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DFE0" w14:textId="77777777" w:rsidR="00F1576E" w:rsidRPr="00EF6F97" w:rsidRDefault="000E5708" w:rsidP="00EF6F97">
      <w:pPr>
        <w:pStyle w:val="Tekstpodstawowywcity3"/>
        <w:spacing w:after="0" w:line="360" w:lineRule="auto"/>
        <w:ind w:left="0"/>
        <w:jc w:val="center"/>
        <w:rPr>
          <w:b/>
          <w:color w:val="000000"/>
          <w:sz w:val="24"/>
          <w:szCs w:val="24"/>
        </w:rPr>
      </w:pPr>
      <w:bookmarkStart w:id="0" w:name="_GoBack"/>
      <w:bookmarkEnd w:id="0"/>
      <w:r w:rsidRPr="00EF6F97">
        <w:rPr>
          <w:b/>
          <w:color w:val="000000"/>
          <w:sz w:val="24"/>
          <w:szCs w:val="24"/>
        </w:rPr>
        <w:t>Uzasadnienie</w:t>
      </w:r>
    </w:p>
    <w:p w14:paraId="74DC5EA0" w14:textId="77777777" w:rsidR="008E1B7A" w:rsidRPr="00EF6F97" w:rsidRDefault="008E1B7A" w:rsidP="00EF6F97">
      <w:pPr>
        <w:spacing w:line="360" w:lineRule="auto"/>
        <w:jc w:val="both"/>
        <w:rPr>
          <w:rFonts w:ascii="Times New Roman" w:hAnsi="Times New Roman" w:cs="Times New Roman"/>
          <w:sz w:val="24"/>
          <w:szCs w:val="24"/>
        </w:rPr>
      </w:pPr>
    </w:p>
    <w:p w14:paraId="4527208D" w14:textId="77777777" w:rsidR="00BF36D4" w:rsidRPr="00EF6F97" w:rsidRDefault="00BF36D4"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Projekt ustawy wprowadza zmiany w następujących obszarach: </w:t>
      </w:r>
    </w:p>
    <w:p w14:paraId="0918A7F4" w14:textId="77777777" w:rsidR="008E1B7A" w:rsidRPr="00EF6F97" w:rsidRDefault="00BF36D4"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Umożliwia się wykonanie przepisów rozporządzenia Parlamentu Europejskiego</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Rady (UE) 2015/1222 </w:t>
      </w:r>
      <w:r w:rsidR="001D0628">
        <w:rPr>
          <w:rFonts w:ascii="Times New Roman" w:hAnsi="Times New Roman" w:cs="Times New Roman"/>
          <w:sz w:val="24"/>
          <w:szCs w:val="24"/>
        </w:rPr>
        <w:t>z </w:t>
      </w:r>
      <w:r w:rsidRPr="00EF6F97">
        <w:rPr>
          <w:rFonts w:ascii="Times New Roman" w:hAnsi="Times New Roman" w:cs="Times New Roman"/>
          <w:sz w:val="24"/>
          <w:szCs w:val="24"/>
        </w:rPr>
        <w:t>dnia 24 lipca 2015</w:t>
      </w:r>
      <w:r w:rsidR="001D0628">
        <w:rPr>
          <w:rFonts w:ascii="Times New Roman" w:hAnsi="Times New Roman" w:cs="Times New Roman"/>
          <w:sz w:val="24"/>
          <w:szCs w:val="24"/>
        </w:rPr>
        <w:t> r.</w:t>
      </w:r>
      <w:r w:rsidRPr="00EF6F97">
        <w:rPr>
          <w:rFonts w:ascii="Times New Roman" w:hAnsi="Times New Roman" w:cs="Times New Roman"/>
          <w:sz w:val="24"/>
          <w:szCs w:val="24"/>
        </w:rPr>
        <w:t xml:space="preserve"> ustanawiającego wytyczne dotyczące alokacji zdolności przesyłowych</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zarządzania ograniczeniami przesyłowymi</w:t>
      </w:r>
      <w:r w:rsidR="009A0461" w:rsidRPr="00EF6F97">
        <w:rPr>
          <w:rFonts w:ascii="Times New Roman" w:hAnsi="Times New Roman" w:cs="Times New Roman"/>
          <w:sz w:val="24"/>
          <w:szCs w:val="24"/>
        </w:rPr>
        <w:t>, w tym ogólne zasady głosowania w sprawie decyzji dotyczących wnioskó</w:t>
      </w:r>
      <w:r w:rsidR="00FB4C05" w:rsidRPr="00EF6F97">
        <w:rPr>
          <w:rFonts w:ascii="Times New Roman" w:hAnsi="Times New Roman" w:cs="Times New Roman"/>
          <w:sz w:val="24"/>
          <w:szCs w:val="24"/>
        </w:rPr>
        <w:t>w przygotowywanych prze</w:t>
      </w:r>
      <w:r w:rsidR="001D0628">
        <w:rPr>
          <w:rFonts w:ascii="Times New Roman" w:hAnsi="Times New Roman" w:cs="Times New Roman"/>
          <w:sz w:val="24"/>
          <w:szCs w:val="24"/>
        </w:rPr>
        <w:t>z </w:t>
      </w:r>
      <w:r w:rsidR="00FB4C05" w:rsidRPr="00EF6F97">
        <w:rPr>
          <w:rFonts w:ascii="Times New Roman" w:hAnsi="Times New Roman" w:cs="Times New Roman"/>
          <w:sz w:val="24"/>
          <w:szCs w:val="24"/>
        </w:rPr>
        <w:t>wyznaczo</w:t>
      </w:r>
      <w:r w:rsidR="009A0461" w:rsidRPr="00EF6F97">
        <w:rPr>
          <w:rFonts w:ascii="Times New Roman" w:hAnsi="Times New Roman" w:cs="Times New Roman"/>
          <w:sz w:val="24"/>
          <w:szCs w:val="24"/>
        </w:rPr>
        <w:t>nych operatorów</w:t>
      </w:r>
      <w:r w:rsidR="00930D82" w:rsidRPr="00EF6F97">
        <w:rPr>
          <w:rFonts w:ascii="Times New Roman" w:hAnsi="Times New Roman" w:cs="Times New Roman"/>
          <w:sz w:val="24"/>
          <w:szCs w:val="24"/>
        </w:rPr>
        <w:t xml:space="preserve"> rynku energii elektrycznej</w:t>
      </w:r>
      <w:r w:rsidRPr="00EF6F97">
        <w:rPr>
          <w:rFonts w:ascii="Times New Roman" w:hAnsi="Times New Roman" w:cs="Times New Roman"/>
          <w:sz w:val="24"/>
          <w:szCs w:val="24"/>
        </w:rPr>
        <w:t>;</w:t>
      </w:r>
    </w:p>
    <w:p w14:paraId="11EFF03E" w14:textId="77777777" w:rsidR="00357A30" w:rsidRPr="00EF6F97" w:rsidRDefault="00B52F70"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Stwarza się podstawę prawną dla rekuperacji energii elektryczn</w:t>
      </w:r>
      <w:r w:rsidR="00141291" w:rsidRPr="00EF6F97">
        <w:rPr>
          <w:rFonts w:ascii="Times New Roman" w:hAnsi="Times New Roman" w:cs="Times New Roman"/>
          <w:sz w:val="24"/>
          <w:szCs w:val="24"/>
        </w:rPr>
        <w:t>ej zwróc</w:t>
      </w:r>
      <w:r w:rsidRPr="00EF6F97">
        <w:rPr>
          <w:rFonts w:ascii="Times New Roman" w:hAnsi="Times New Roman" w:cs="Times New Roman"/>
          <w:sz w:val="24"/>
          <w:szCs w:val="24"/>
        </w:rPr>
        <w:t>onej do sieci trakcyjnej w następstwie hamowania pojazdów</w:t>
      </w:r>
      <w:r w:rsidR="00407418" w:rsidRPr="00EF6F97">
        <w:rPr>
          <w:rFonts w:ascii="Times New Roman" w:hAnsi="Times New Roman" w:cs="Times New Roman"/>
          <w:sz w:val="24"/>
          <w:szCs w:val="24"/>
        </w:rPr>
        <w:t xml:space="preserve"> ora</w:t>
      </w:r>
      <w:r w:rsidR="001D0628">
        <w:rPr>
          <w:rFonts w:ascii="Times New Roman" w:hAnsi="Times New Roman" w:cs="Times New Roman"/>
          <w:sz w:val="24"/>
          <w:szCs w:val="24"/>
        </w:rPr>
        <w:t>z </w:t>
      </w:r>
      <w:r w:rsidR="00407418" w:rsidRPr="00EF6F97">
        <w:rPr>
          <w:rFonts w:ascii="Times New Roman" w:hAnsi="Times New Roman" w:cs="Times New Roman"/>
          <w:sz w:val="24"/>
          <w:szCs w:val="24"/>
        </w:rPr>
        <w:t>odbioru energii elektrycznej prze</w:t>
      </w:r>
      <w:r w:rsidR="001D0628">
        <w:rPr>
          <w:rFonts w:ascii="Times New Roman" w:hAnsi="Times New Roman" w:cs="Times New Roman"/>
          <w:sz w:val="24"/>
          <w:szCs w:val="24"/>
        </w:rPr>
        <w:t>z </w:t>
      </w:r>
      <w:r w:rsidR="00407418" w:rsidRPr="00EF6F97">
        <w:rPr>
          <w:rFonts w:ascii="Times New Roman" w:hAnsi="Times New Roman" w:cs="Times New Roman"/>
          <w:sz w:val="24"/>
          <w:szCs w:val="24"/>
        </w:rPr>
        <w:t xml:space="preserve">punkt ładowania </w:t>
      </w:r>
      <w:r w:rsidR="001D0628">
        <w:rPr>
          <w:rFonts w:ascii="Times New Roman" w:hAnsi="Times New Roman" w:cs="Times New Roman"/>
          <w:sz w:val="24"/>
          <w:szCs w:val="24"/>
        </w:rPr>
        <w:t>z </w:t>
      </w:r>
      <w:r w:rsidR="00407418" w:rsidRPr="00EF6F97">
        <w:rPr>
          <w:rFonts w:ascii="Times New Roman" w:hAnsi="Times New Roman" w:cs="Times New Roman"/>
          <w:sz w:val="24"/>
          <w:szCs w:val="24"/>
        </w:rPr>
        <w:t>pojazdu elektrycznego</w:t>
      </w:r>
      <w:r w:rsidRPr="00EF6F97">
        <w:rPr>
          <w:rFonts w:ascii="Times New Roman" w:hAnsi="Times New Roman" w:cs="Times New Roman"/>
          <w:sz w:val="24"/>
          <w:szCs w:val="24"/>
        </w:rPr>
        <w:t>;</w:t>
      </w:r>
    </w:p>
    <w:p w14:paraId="3CE041A2" w14:textId="77777777" w:rsidR="00354FAB" w:rsidRPr="00EF6F97" w:rsidRDefault="00354FAB"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Wprowadza </w:t>
      </w:r>
      <w:r w:rsidR="00C777A5" w:rsidRPr="00EF6F97">
        <w:rPr>
          <w:rFonts w:ascii="Times New Roman" w:hAnsi="Times New Roman" w:cs="Times New Roman"/>
          <w:sz w:val="24"/>
          <w:szCs w:val="24"/>
        </w:rPr>
        <w:t xml:space="preserve">się </w:t>
      </w:r>
      <w:r w:rsidRPr="00EF6F97">
        <w:rPr>
          <w:rFonts w:ascii="Times New Roman" w:hAnsi="Times New Roman" w:cs="Times New Roman"/>
          <w:sz w:val="24"/>
          <w:szCs w:val="24"/>
        </w:rPr>
        <w:t>obowiązek opracowywania prze</w:t>
      </w:r>
      <w:r w:rsidR="001D0628">
        <w:rPr>
          <w:rFonts w:ascii="Times New Roman" w:hAnsi="Times New Roman" w:cs="Times New Roman"/>
          <w:sz w:val="24"/>
          <w:szCs w:val="24"/>
        </w:rPr>
        <w:t>z </w:t>
      </w:r>
      <w:r w:rsidRPr="00EF6F97">
        <w:rPr>
          <w:rFonts w:ascii="Times New Roman" w:hAnsi="Times New Roman" w:cs="Times New Roman"/>
          <w:sz w:val="24"/>
          <w:szCs w:val="24"/>
        </w:rPr>
        <w:t>operatora systemu magazynowania instrukcji ruchu</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eksploatacji instalacji magazynowej;</w:t>
      </w:r>
    </w:p>
    <w:p w14:paraId="0242A5CB" w14:textId="77777777" w:rsidR="00FC0980" w:rsidRPr="00EF6F97" w:rsidRDefault="000C64B3"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Prezes URE będzie organem właściwym do uznawania kwalifikacji osób wykonujących prace przy urządzeniach, instalacjach</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sieciach energetycznych nabytych w państwach członkowskich UE, Konfederacji Szwajcarskiej lub państwach członkowskich EFTA; wszystkie świadectwa będą tracić ważność po upływie 5 lat od dnia ich</w:t>
      </w:r>
      <w:r w:rsidR="003E48C5" w:rsidRPr="00EF6F97">
        <w:rPr>
          <w:rFonts w:ascii="Times New Roman" w:hAnsi="Times New Roman" w:cs="Times New Roman"/>
          <w:sz w:val="24"/>
          <w:szCs w:val="24"/>
        </w:rPr>
        <w:t xml:space="preserve"> wydania</w:t>
      </w:r>
      <w:r w:rsidRPr="00EF6F97">
        <w:rPr>
          <w:rFonts w:ascii="Times New Roman" w:hAnsi="Times New Roman" w:cs="Times New Roman"/>
          <w:sz w:val="24"/>
          <w:szCs w:val="24"/>
        </w:rPr>
        <w:t>;</w:t>
      </w:r>
    </w:p>
    <w:p w14:paraId="51DF0A3A" w14:textId="77777777" w:rsidR="00FC0980" w:rsidRPr="00EF6F97" w:rsidRDefault="00211759"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Prezes URE będzie mógł</w:t>
      </w:r>
      <w:r w:rsidR="005C3FB7" w:rsidRPr="00EF6F97">
        <w:rPr>
          <w:rFonts w:ascii="Times New Roman" w:hAnsi="Times New Roman" w:cs="Times New Roman"/>
          <w:sz w:val="24"/>
          <w:szCs w:val="24"/>
        </w:rPr>
        <w:t xml:space="preserve"> </w:t>
      </w:r>
      <w:r w:rsidR="001D0628">
        <w:rPr>
          <w:rFonts w:ascii="Times New Roman" w:hAnsi="Times New Roman" w:cs="Times New Roman"/>
          <w:sz w:val="24"/>
          <w:szCs w:val="24"/>
        </w:rPr>
        <w:t>z </w:t>
      </w:r>
      <w:r w:rsidR="005C3FB7" w:rsidRPr="00EF6F97">
        <w:rPr>
          <w:rFonts w:ascii="Times New Roman" w:hAnsi="Times New Roman" w:cs="Times New Roman"/>
          <w:sz w:val="24"/>
          <w:szCs w:val="24"/>
        </w:rPr>
        <w:t xml:space="preserve">urzędu lub na wniosek strony </w:t>
      </w:r>
      <w:r w:rsidR="00FC0980" w:rsidRPr="00EF6F97">
        <w:rPr>
          <w:rFonts w:ascii="Times New Roman" w:hAnsi="Times New Roman" w:cs="Times New Roman"/>
          <w:sz w:val="24"/>
          <w:szCs w:val="24"/>
        </w:rPr>
        <w:t>zobowiązać strony umowy o świadczenie usług przesyłania lub dystrybucji paliw gazowych lub energii elektrycznej zawartej pomiędzy sprzedawcą a operatorem systemu dystrybucyjnego lub operatorem systemu przesyłowego do jej zmiany, w celu umożliwienia sprzedawcy sprzedaży paliw gazowych lub energii elektrycznej lub świadczenia usługi kompleksowej odbiorcom przyłączonym do sieci tego operatora, w przypadkach uzasadnionych koniecznością zapewnienia ochrony interesów odbiorców końcowych, równoważenia interesów stron tej umowy lub przeciwdziałania praktykom ograniczającym konkurencję, w tym umożliwienia korzystania prze</w:t>
      </w:r>
      <w:r w:rsidR="001D0628">
        <w:rPr>
          <w:rFonts w:ascii="Times New Roman" w:hAnsi="Times New Roman" w:cs="Times New Roman"/>
          <w:sz w:val="24"/>
          <w:szCs w:val="24"/>
        </w:rPr>
        <w:t>z </w:t>
      </w:r>
      <w:r w:rsidR="00FC0980" w:rsidRPr="00EF6F97">
        <w:rPr>
          <w:rFonts w:ascii="Times New Roman" w:hAnsi="Times New Roman" w:cs="Times New Roman"/>
          <w:sz w:val="24"/>
          <w:szCs w:val="24"/>
        </w:rPr>
        <w:t xml:space="preserve">odbiorców końcowych </w:t>
      </w:r>
      <w:r w:rsidR="001D0628">
        <w:rPr>
          <w:rFonts w:ascii="Times New Roman" w:hAnsi="Times New Roman" w:cs="Times New Roman"/>
          <w:sz w:val="24"/>
          <w:szCs w:val="24"/>
        </w:rPr>
        <w:t>z </w:t>
      </w:r>
      <w:r w:rsidR="00FC0980" w:rsidRPr="00EF6F97">
        <w:rPr>
          <w:rFonts w:ascii="Times New Roman" w:hAnsi="Times New Roman" w:cs="Times New Roman"/>
          <w:sz w:val="24"/>
          <w:szCs w:val="24"/>
        </w:rPr>
        <w:t>uprawnienia zmiany umowy;</w:t>
      </w:r>
    </w:p>
    <w:p w14:paraId="749836B9" w14:textId="77777777" w:rsidR="000C64B3" w:rsidRPr="00EF6F97" w:rsidRDefault="000C64B3"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Prezes URE będzie mógł cofnąć koncesję w przypadku wydania prze</w:t>
      </w:r>
      <w:r w:rsidR="001D0628">
        <w:rPr>
          <w:rFonts w:ascii="Times New Roman" w:hAnsi="Times New Roman" w:cs="Times New Roman"/>
          <w:sz w:val="24"/>
          <w:szCs w:val="24"/>
        </w:rPr>
        <w:t>z </w:t>
      </w:r>
      <w:r w:rsidRPr="00EF6F97">
        <w:rPr>
          <w:rFonts w:ascii="Times New Roman" w:hAnsi="Times New Roman" w:cs="Times New Roman"/>
          <w:sz w:val="24"/>
          <w:szCs w:val="24"/>
        </w:rPr>
        <w:t>Prezesa Urzędu Ochrony Konkurencji</w:t>
      </w:r>
      <w:r w:rsidR="00D03FA8">
        <w:rPr>
          <w:rFonts w:ascii="Times New Roman" w:hAnsi="Times New Roman" w:cs="Times New Roman"/>
          <w:sz w:val="24"/>
          <w:szCs w:val="24"/>
        </w:rPr>
        <w:t xml:space="preserve"> </w:t>
      </w:r>
      <w:r w:rsidR="001D0628">
        <w:rPr>
          <w:rFonts w:ascii="Times New Roman" w:hAnsi="Times New Roman" w:cs="Times New Roman"/>
          <w:sz w:val="24"/>
          <w:szCs w:val="24"/>
        </w:rPr>
        <w:t>i </w:t>
      </w:r>
      <w:r w:rsidRPr="00EF6F97">
        <w:rPr>
          <w:rFonts w:ascii="Times New Roman" w:hAnsi="Times New Roman" w:cs="Times New Roman"/>
          <w:sz w:val="24"/>
          <w:szCs w:val="24"/>
        </w:rPr>
        <w:t xml:space="preserve">Konsumentów wobec przedsiębiorstwa energetycznego decyzji o uznaniu praktyki za naruszającą zbiorowe interesy konsumentów w rozumieniu art. 24 ustawy </w:t>
      </w:r>
      <w:r w:rsidR="001D0628">
        <w:rPr>
          <w:rFonts w:ascii="Times New Roman" w:hAnsi="Times New Roman" w:cs="Times New Roman"/>
          <w:sz w:val="24"/>
          <w:szCs w:val="24"/>
        </w:rPr>
        <w:t>z </w:t>
      </w:r>
      <w:r w:rsidRPr="00EF6F97">
        <w:rPr>
          <w:rFonts w:ascii="Times New Roman" w:hAnsi="Times New Roman" w:cs="Times New Roman"/>
          <w:sz w:val="24"/>
          <w:szCs w:val="24"/>
        </w:rPr>
        <w:t>dnia 16 lutego 2007</w:t>
      </w:r>
      <w:r w:rsidR="001D0628">
        <w:rPr>
          <w:rFonts w:ascii="Times New Roman" w:hAnsi="Times New Roman" w:cs="Times New Roman"/>
          <w:sz w:val="24"/>
          <w:szCs w:val="24"/>
        </w:rPr>
        <w:t> r.</w:t>
      </w:r>
      <w:r w:rsidRPr="00EF6F97">
        <w:rPr>
          <w:rFonts w:ascii="Times New Roman" w:hAnsi="Times New Roman" w:cs="Times New Roman"/>
          <w:sz w:val="24"/>
          <w:szCs w:val="24"/>
        </w:rPr>
        <w:t xml:space="preserve"> o ochronie konkurencji</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konsumentów</w:t>
      </w:r>
      <w:r w:rsidR="00A47788" w:rsidRPr="00EF6F97">
        <w:rPr>
          <w:rFonts w:ascii="Times New Roman" w:hAnsi="Times New Roman" w:cs="Times New Roman"/>
          <w:sz w:val="24"/>
          <w:szCs w:val="24"/>
        </w:rPr>
        <w:t xml:space="preserve"> (Dz. U. </w:t>
      </w:r>
      <w:r w:rsidR="001D0628">
        <w:rPr>
          <w:rFonts w:ascii="Times New Roman" w:hAnsi="Times New Roman" w:cs="Times New Roman"/>
          <w:sz w:val="24"/>
          <w:szCs w:val="24"/>
        </w:rPr>
        <w:t>z </w:t>
      </w:r>
      <w:r w:rsidR="00A47788" w:rsidRPr="00EF6F97">
        <w:rPr>
          <w:rFonts w:ascii="Times New Roman" w:hAnsi="Times New Roman" w:cs="Times New Roman"/>
          <w:sz w:val="24"/>
          <w:szCs w:val="24"/>
        </w:rPr>
        <w:t>2017</w:t>
      </w:r>
      <w:r w:rsidR="001D0628">
        <w:rPr>
          <w:rFonts w:ascii="Times New Roman" w:hAnsi="Times New Roman" w:cs="Times New Roman"/>
          <w:sz w:val="24"/>
          <w:szCs w:val="24"/>
        </w:rPr>
        <w:t> r.</w:t>
      </w:r>
      <w:r w:rsidR="00A47788" w:rsidRPr="00EF6F97">
        <w:rPr>
          <w:rFonts w:ascii="Times New Roman" w:hAnsi="Times New Roman" w:cs="Times New Roman"/>
          <w:sz w:val="24"/>
          <w:szCs w:val="24"/>
        </w:rPr>
        <w:t xml:space="preserve"> poz. 683</w:t>
      </w:r>
      <w:r w:rsidR="001D0628">
        <w:rPr>
          <w:rFonts w:ascii="Times New Roman" w:hAnsi="Times New Roman" w:cs="Times New Roman"/>
          <w:sz w:val="24"/>
          <w:szCs w:val="24"/>
        </w:rPr>
        <w:t xml:space="preserve"> i </w:t>
      </w:r>
      <w:r w:rsidR="00A47788" w:rsidRPr="00EF6F97">
        <w:rPr>
          <w:rFonts w:ascii="Times New Roman" w:hAnsi="Times New Roman" w:cs="Times New Roman"/>
          <w:sz w:val="24"/>
          <w:szCs w:val="24"/>
        </w:rPr>
        <w:t>2361 ora</w:t>
      </w:r>
      <w:r w:rsidR="001D0628">
        <w:rPr>
          <w:rFonts w:ascii="Times New Roman" w:hAnsi="Times New Roman" w:cs="Times New Roman"/>
          <w:sz w:val="24"/>
          <w:szCs w:val="24"/>
        </w:rPr>
        <w:t>z </w:t>
      </w:r>
      <w:r w:rsidR="00A47788" w:rsidRPr="00EF6F97">
        <w:rPr>
          <w:rFonts w:ascii="Times New Roman" w:hAnsi="Times New Roman" w:cs="Times New Roman"/>
          <w:sz w:val="24"/>
          <w:szCs w:val="24"/>
        </w:rPr>
        <w:t xml:space="preserve">Dz. U. </w:t>
      </w:r>
      <w:r w:rsidR="001D0628">
        <w:rPr>
          <w:rFonts w:ascii="Times New Roman" w:hAnsi="Times New Roman" w:cs="Times New Roman"/>
          <w:sz w:val="24"/>
          <w:szCs w:val="24"/>
        </w:rPr>
        <w:t>z </w:t>
      </w:r>
      <w:r w:rsidR="00A47788" w:rsidRPr="00EF6F97">
        <w:rPr>
          <w:rFonts w:ascii="Times New Roman" w:hAnsi="Times New Roman" w:cs="Times New Roman"/>
          <w:sz w:val="24"/>
          <w:szCs w:val="24"/>
        </w:rPr>
        <w:t>2018</w:t>
      </w:r>
      <w:r w:rsidR="001D0628">
        <w:rPr>
          <w:rFonts w:ascii="Times New Roman" w:hAnsi="Times New Roman" w:cs="Times New Roman"/>
          <w:sz w:val="24"/>
          <w:szCs w:val="24"/>
        </w:rPr>
        <w:t> r.</w:t>
      </w:r>
      <w:r w:rsidR="00A47788" w:rsidRPr="00EF6F97">
        <w:rPr>
          <w:rFonts w:ascii="Times New Roman" w:hAnsi="Times New Roman" w:cs="Times New Roman"/>
          <w:sz w:val="24"/>
          <w:szCs w:val="24"/>
        </w:rPr>
        <w:t xml:space="preserve"> poz. 650)</w:t>
      </w:r>
      <w:r w:rsidRPr="00EF6F97">
        <w:rPr>
          <w:rFonts w:ascii="Times New Roman" w:hAnsi="Times New Roman" w:cs="Times New Roman"/>
          <w:sz w:val="24"/>
          <w:szCs w:val="24"/>
        </w:rPr>
        <w:t>;</w:t>
      </w:r>
    </w:p>
    <w:p w14:paraId="0E785E62" w14:textId="77777777" w:rsidR="000C64B3" w:rsidRPr="00EF6F97" w:rsidRDefault="000C64B3"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Wprowadza się podstawy prawne dla funkcjonowania zamkniętych systemów dystrybucyjnych;</w:t>
      </w:r>
    </w:p>
    <w:p w14:paraId="3AC97CCA" w14:textId="77777777" w:rsidR="000C64B3" w:rsidRPr="00EF6F97" w:rsidRDefault="000C64B3"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w:t>
      </w:r>
      <w:r w:rsidR="006607B7" w:rsidRPr="00EF6F97">
        <w:rPr>
          <w:rFonts w:ascii="Times New Roman" w:hAnsi="Times New Roman" w:cs="Times New Roman"/>
          <w:sz w:val="24"/>
          <w:szCs w:val="24"/>
        </w:rPr>
        <w:t>prowadza się</w:t>
      </w:r>
      <w:r w:rsidRPr="00EF6F97">
        <w:rPr>
          <w:rFonts w:ascii="Times New Roman" w:hAnsi="Times New Roman" w:cs="Times New Roman"/>
          <w:sz w:val="24"/>
          <w:szCs w:val="24"/>
        </w:rPr>
        <w:t xml:space="preserve"> kompleksowe rozwiązania dla funkcjonowania</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rozwoju magazynów </w:t>
      </w:r>
      <w:r w:rsidRPr="00EF6F97">
        <w:rPr>
          <w:rFonts w:ascii="Times New Roman" w:hAnsi="Times New Roman" w:cs="Times New Roman"/>
          <w:sz w:val="24"/>
          <w:szCs w:val="24"/>
        </w:rPr>
        <w:lastRenderedPageBreak/>
        <w:t>energii elektrycznej;</w:t>
      </w:r>
    </w:p>
    <w:p w14:paraId="5EC52B25" w14:textId="77777777" w:rsidR="005C3FB7" w:rsidRPr="00EF6F97" w:rsidRDefault="005C3FB7"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Dokonuje się zmian w zakresie przepisów regulujących politykę energetyczną państwa w sposób pozwalający na elastyczne kształtowanie formuły dokumentu</w:t>
      </w:r>
      <w:r w:rsidR="002533ED" w:rsidRPr="00EF6F97">
        <w:rPr>
          <w:rFonts w:ascii="Times New Roman" w:hAnsi="Times New Roman" w:cs="Times New Roman"/>
          <w:sz w:val="24"/>
          <w:szCs w:val="24"/>
        </w:rPr>
        <w:t>;</w:t>
      </w:r>
    </w:p>
    <w:p w14:paraId="4D151B82" w14:textId="77777777" w:rsidR="00624CAA" w:rsidRPr="00EF6F97" w:rsidRDefault="00624CAA"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Doprecyzowuje się przepisy dotyczące stosowania taryfy dotychczasowej prze</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przedsiębiorstwo energetyczne </w:t>
      </w:r>
      <w:r w:rsidR="00407418" w:rsidRPr="00EF6F97">
        <w:rPr>
          <w:rFonts w:ascii="Times New Roman" w:hAnsi="Times New Roman" w:cs="Times New Roman"/>
          <w:sz w:val="24"/>
          <w:szCs w:val="24"/>
        </w:rPr>
        <w:t>ora</w:t>
      </w:r>
      <w:r w:rsidR="001D0628">
        <w:rPr>
          <w:rFonts w:ascii="Times New Roman" w:hAnsi="Times New Roman" w:cs="Times New Roman"/>
          <w:sz w:val="24"/>
          <w:szCs w:val="24"/>
        </w:rPr>
        <w:t>z </w:t>
      </w:r>
      <w:r w:rsidR="00407418" w:rsidRPr="00EF6F97">
        <w:rPr>
          <w:rFonts w:ascii="Times New Roman" w:hAnsi="Times New Roman" w:cs="Times New Roman"/>
          <w:sz w:val="24"/>
          <w:szCs w:val="24"/>
        </w:rPr>
        <w:t xml:space="preserve">zmienia się miejsce publikacji taryf dla ciepła </w:t>
      </w:r>
      <w:r w:rsidR="001D0628">
        <w:rPr>
          <w:rFonts w:ascii="Times New Roman" w:hAnsi="Times New Roman" w:cs="Times New Roman"/>
          <w:sz w:val="24"/>
          <w:szCs w:val="24"/>
        </w:rPr>
        <w:t>z </w:t>
      </w:r>
      <w:r w:rsidR="00407418" w:rsidRPr="00EF6F97">
        <w:rPr>
          <w:rFonts w:ascii="Times New Roman" w:hAnsi="Times New Roman" w:cs="Times New Roman"/>
          <w:sz w:val="24"/>
          <w:szCs w:val="24"/>
        </w:rPr>
        <w:t>dziennika wojewódzkiego na Biuletyn URE</w:t>
      </w:r>
      <w:r w:rsidRPr="00EF6F97">
        <w:rPr>
          <w:rFonts w:ascii="Times New Roman" w:hAnsi="Times New Roman" w:cs="Times New Roman"/>
          <w:sz w:val="24"/>
          <w:szCs w:val="24"/>
        </w:rPr>
        <w:t>;</w:t>
      </w:r>
    </w:p>
    <w:p w14:paraId="3DCD27BD" w14:textId="77777777" w:rsidR="00BD2E7C" w:rsidRPr="00EF6F97" w:rsidRDefault="00C146D2"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Wprowadzono środki mające na celu przeciwdziałanie nieuczciwym praktykom niektórych sprzedawców wprowadzając </w:t>
      </w:r>
      <w:r w:rsidR="00BD2E7C" w:rsidRPr="00EF6F97">
        <w:rPr>
          <w:rFonts w:ascii="Times New Roman" w:hAnsi="Times New Roman" w:cs="Times New Roman"/>
          <w:sz w:val="24"/>
          <w:szCs w:val="24"/>
        </w:rPr>
        <w:t>zakazu</w:t>
      </w:r>
      <w:r w:rsidRPr="00EF6F97">
        <w:rPr>
          <w:rFonts w:ascii="Times New Roman" w:hAnsi="Times New Roman" w:cs="Times New Roman"/>
          <w:sz w:val="24"/>
          <w:szCs w:val="24"/>
        </w:rPr>
        <w:t xml:space="preserve"> zawierania umów sprzedaży paliw gazowych</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energii elektrycznej poza lokalem przedsiębiorstwa;</w:t>
      </w:r>
    </w:p>
    <w:p w14:paraId="027A4B84" w14:textId="77777777" w:rsidR="009A0461" w:rsidRPr="00EF6F97" w:rsidRDefault="006607B7"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Umożliwia się</w:t>
      </w:r>
      <w:r w:rsidR="00793A1B" w:rsidRPr="00EF6F97">
        <w:rPr>
          <w:rFonts w:ascii="Times New Roman" w:hAnsi="Times New Roman" w:cs="Times New Roman"/>
          <w:sz w:val="24"/>
          <w:szCs w:val="24"/>
        </w:rPr>
        <w:t xml:space="preserve"> prowadzenie</w:t>
      </w:r>
      <w:r w:rsidR="00A47788" w:rsidRPr="00EF6F97">
        <w:rPr>
          <w:rFonts w:ascii="Times New Roman" w:hAnsi="Times New Roman" w:cs="Times New Roman"/>
          <w:sz w:val="24"/>
          <w:szCs w:val="24"/>
        </w:rPr>
        <w:t xml:space="preserve"> postę</w:t>
      </w:r>
      <w:r w:rsidR="009A0461" w:rsidRPr="00EF6F97">
        <w:rPr>
          <w:rFonts w:ascii="Times New Roman" w:hAnsi="Times New Roman" w:cs="Times New Roman"/>
          <w:sz w:val="24"/>
          <w:szCs w:val="24"/>
        </w:rPr>
        <w:t xml:space="preserve">powań </w:t>
      </w:r>
      <w:r w:rsidR="00A47788" w:rsidRPr="00EF6F97">
        <w:rPr>
          <w:rFonts w:ascii="Times New Roman" w:hAnsi="Times New Roman" w:cs="Times New Roman"/>
          <w:sz w:val="24"/>
          <w:szCs w:val="24"/>
        </w:rPr>
        <w:t xml:space="preserve">w sprawie pozasądowego rozwiązywania sporów </w:t>
      </w:r>
      <w:r w:rsidR="00930D82" w:rsidRPr="00EF6F97">
        <w:rPr>
          <w:rFonts w:ascii="Times New Roman" w:hAnsi="Times New Roman" w:cs="Times New Roman"/>
          <w:sz w:val="24"/>
          <w:szCs w:val="24"/>
        </w:rPr>
        <w:t>(ADR -</w:t>
      </w:r>
      <w:r w:rsidR="00A47788" w:rsidRPr="00EF6F97">
        <w:rPr>
          <w:rFonts w:ascii="Times New Roman" w:hAnsi="Times New Roman" w:cs="Times New Roman"/>
          <w:sz w:val="24"/>
          <w:szCs w:val="24"/>
        </w:rPr>
        <w:t xml:space="preserve"> </w:t>
      </w:r>
      <w:r w:rsidR="001D0628">
        <w:rPr>
          <w:rFonts w:ascii="Times New Roman" w:hAnsi="Times New Roman" w:cs="Times New Roman"/>
          <w:sz w:val="24"/>
          <w:szCs w:val="24"/>
        </w:rPr>
        <w:t>z </w:t>
      </w:r>
      <w:r w:rsidR="00A47788" w:rsidRPr="00EF6F97">
        <w:rPr>
          <w:rFonts w:ascii="Times New Roman" w:hAnsi="Times New Roman" w:cs="Times New Roman"/>
          <w:sz w:val="24"/>
          <w:szCs w:val="24"/>
        </w:rPr>
        <w:t xml:space="preserve">ang. alternative dispute resolution) </w:t>
      </w:r>
      <w:r w:rsidR="009A0461" w:rsidRPr="00EF6F97">
        <w:rPr>
          <w:rFonts w:ascii="Times New Roman" w:hAnsi="Times New Roman" w:cs="Times New Roman"/>
          <w:sz w:val="24"/>
          <w:szCs w:val="24"/>
        </w:rPr>
        <w:t>osobom zajmującym się obsługą Koordynatora;</w:t>
      </w:r>
    </w:p>
    <w:p w14:paraId="28AFAFDE" w14:textId="77777777" w:rsidR="00BD2E7C" w:rsidRPr="00EF6F97" w:rsidRDefault="00BD2E7C"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Szczegółowo uregulowano kwestię zabezpieczenia majątkowego w celu zaspokojenia roszczeń osób trzecich, mogących powstać wskutek niewłaściwego prowadzenia działalności objętej koncesją;</w:t>
      </w:r>
    </w:p>
    <w:p w14:paraId="76FA91DE" w14:textId="77777777" w:rsidR="000C64B3" w:rsidRPr="00EF6F97" w:rsidRDefault="000F4042"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Doprecyzowano definicję</w:t>
      </w:r>
      <w:r w:rsidR="000C64B3" w:rsidRPr="00EF6F97">
        <w:rPr>
          <w:rFonts w:ascii="Times New Roman" w:hAnsi="Times New Roman" w:cs="Times New Roman"/>
          <w:sz w:val="24"/>
          <w:szCs w:val="24"/>
        </w:rPr>
        <w:t xml:space="preserve"> uczestnika rynku (włączając jednostki organizacyjne nieposiadające osobowości prawnej) ora</w:t>
      </w:r>
      <w:r w:rsidR="001D0628">
        <w:rPr>
          <w:rFonts w:ascii="Times New Roman" w:hAnsi="Times New Roman" w:cs="Times New Roman"/>
          <w:sz w:val="24"/>
          <w:szCs w:val="24"/>
        </w:rPr>
        <w:t>z </w:t>
      </w:r>
      <w:r w:rsidR="000C64B3" w:rsidRPr="00EF6F97">
        <w:rPr>
          <w:rFonts w:ascii="Times New Roman" w:hAnsi="Times New Roman" w:cs="Times New Roman"/>
          <w:sz w:val="24"/>
          <w:szCs w:val="24"/>
        </w:rPr>
        <w:t xml:space="preserve">przepisy karne w zakresie </w:t>
      </w:r>
      <w:r w:rsidR="00AC25F5" w:rsidRPr="00EF6F97">
        <w:rPr>
          <w:rFonts w:ascii="Times New Roman" w:hAnsi="Times New Roman" w:cs="Times New Roman"/>
          <w:sz w:val="24"/>
          <w:szCs w:val="24"/>
        </w:rPr>
        <w:t>rozporządzenia Parlamentu Europejskiego</w:t>
      </w:r>
      <w:r w:rsidR="001D0628">
        <w:rPr>
          <w:rFonts w:ascii="Times New Roman" w:hAnsi="Times New Roman" w:cs="Times New Roman"/>
          <w:sz w:val="24"/>
          <w:szCs w:val="24"/>
        </w:rPr>
        <w:t xml:space="preserve"> i </w:t>
      </w:r>
      <w:r w:rsidR="00AC25F5" w:rsidRPr="00EF6F97">
        <w:rPr>
          <w:rFonts w:ascii="Times New Roman" w:hAnsi="Times New Roman" w:cs="Times New Roman"/>
          <w:sz w:val="24"/>
          <w:szCs w:val="24"/>
        </w:rPr>
        <w:t xml:space="preserve">Rady (UE) nr 1227/2011 </w:t>
      </w:r>
      <w:r w:rsidR="001D0628">
        <w:rPr>
          <w:rFonts w:ascii="Times New Roman" w:hAnsi="Times New Roman" w:cs="Times New Roman"/>
          <w:sz w:val="24"/>
          <w:szCs w:val="24"/>
        </w:rPr>
        <w:t>z </w:t>
      </w:r>
      <w:r w:rsidR="00AC25F5" w:rsidRPr="00EF6F97">
        <w:rPr>
          <w:rFonts w:ascii="Times New Roman" w:hAnsi="Times New Roman" w:cs="Times New Roman"/>
          <w:sz w:val="24"/>
          <w:szCs w:val="24"/>
        </w:rPr>
        <w:t>dnia 25 października 2011</w:t>
      </w:r>
      <w:r w:rsidR="001D0628">
        <w:rPr>
          <w:rFonts w:ascii="Times New Roman" w:hAnsi="Times New Roman" w:cs="Times New Roman"/>
          <w:sz w:val="24"/>
          <w:szCs w:val="24"/>
        </w:rPr>
        <w:t> r.</w:t>
      </w:r>
      <w:r w:rsidR="00AC25F5" w:rsidRPr="00EF6F97">
        <w:rPr>
          <w:rFonts w:ascii="Times New Roman" w:hAnsi="Times New Roman" w:cs="Times New Roman"/>
          <w:sz w:val="24"/>
          <w:szCs w:val="24"/>
        </w:rPr>
        <w:t xml:space="preserve"> w sprawie integralności</w:t>
      </w:r>
      <w:r w:rsidR="001D0628">
        <w:rPr>
          <w:rFonts w:ascii="Times New Roman" w:hAnsi="Times New Roman" w:cs="Times New Roman"/>
          <w:sz w:val="24"/>
          <w:szCs w:val="24"/>
        </w:rPr>
        <w:t xml:space="preserve"> i </w:t>
      </w:r>
      <w:r w:rsidR="00AC25F5" w:rsidRPr="00EF6F97">
        <w:rPr>
          <w:rFonts w:ascii="Times New Roman" w:hAnsi="Times New Roman" w:cs="Times New Roman"/>
          <w:sz w:val="24"/>
          <w:szCs w:val="24"/>
        </w:rPr>
        <w:t>przejrzystości hurtowego rynku energii (Dz.U.UE.L.2011.326.1), zwanego dalej „</w:t>
      </w:r>
      <w:r w:rsidR="000C64B3" w:rsidRPr="00EF6F97">
        <w:rPr>
          <w:rFonts w:ascii="Times New Roman" w:hAnsi="Times New Roman" w:cs="Times New Roman"/>
          <w:sz w:val="24"/>
          <w:szCs w:val="24"/>
        </w:rPr>
        <w:t>REMIT</w:t>
      </w:r>
      <w:r w:rsidR="00AC25F5" w:rsidRPr="00EF6F97">
        <w:rPr>
          <w:rFonts w:ascii="Times New Roman" w:hAnsi="Times New Roman" w:cs="Times New Roman"/>
          <w:sz w:val="24"/>
          <w:szCs w:val="24"/>
        </w:rPr>
        <w:t>em”</w:t>
      </w:r>
      <w:r w:rsidR="00880D81" w:rsidRPr="00EF6F97">
        <w:rPr>
          <w:rFonts w:ascii="Times New Roman" w:hAnsi="Times New Roman" w:cs="Times New Roman"/>
          <w:sz w:val="24"/>
          <w:szCs w:val="24"/>
        </w:rPr>
        <w:t xml:space="preserve"> zgodnie </w:t>
      </w:r>
      <w:r w:rsidR="001D0628">
        <w:rPr>
          <w:rFonts w:ascii="Times New Roman" w:hAnsi="Times New Roman" w:cs="Times New Roman"/>
          <w:sz w:val="24"/>
          <w:szCs w:val="24"/>
        </w:rPr>
        <w:t>z </w:t>
      </w:r>
      <w:r w:rsidR="00880D81" w:rsidRPr="00EF6F97">
        <w:rPr>
          <w:rFonts w:ascii="Times New Roman" w:hAnsi="Times New Roman" w:cs="Times New Roman"/>
          <w:sz w:val="24"/>
          <w:szCs w:val="24"/>
        </w:rPr>
        <w:t>uwagami Prezesa URE;</w:t>
      </w:r>
    </w:p>
    <w:p w14:paraId="05BAE7AA" w14:textId="77777777" w:rsidR="00880D81" w:rsidRPr="00EF6F97" w:rsidRDefault="00880D81"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Sprzedawca paliw gazowych lub energii elektrycznej został zobowiązany do zapewnienia publicznego dostępu </w:t>
      </w:r>
      <w:r w:rsidR="000F4042" w:rsidRPr="00EF6F97">
        <w:rPr>
          <w:rFonts w:ascii="Times New Roman" w:hAnsi="Times New Roman" w:cs="Times New Roman"/>
          <w:sz w:val="24"/>
          <w:szCs w:val="24"/>
        </w:rPr>
        <w:t xml:space="preserve">do </w:t>
      </w:r>
      <w:r w:rsidRPr="00EF6F97">
        <w:rPr>
          <w:rFonts w:ascii="Times New Roman" w:hAnsi="Times New Roman" w:cs="Times New Roman"/>
          <w:sz w:val="24"/>
          <w:szCs w:val="24"/>
        </w:rPr>
        <w:t xml:space="preserve">aktualnego stanu prawnego związanego </w:t>
      </w:r>
      <w:r w:rsidR="001D0628">
        <w:rPr>
          <w:rFonts w:ascii="Times New Roman" w:hAnsi="Times New Roman" w:cs="Times New Roman"/>
          <w:sz w:val="24"/>
          <w:szCs w:val="24"/>
        </w:rPr>
        <w:t>z </w:t>
      </w:r>
      <w:r w:rsidRPr="00EF6F97">
        <w:rPr>
          <w:rFonts w:ascii="Times New Roman" w:hAnsi="Times New Roman" w:cs="Times New Roman"/>
          <w:sz w:val="24"/>
          <w:szCs w:val="24"/>
        </w:rPr>
        <w:t>prawami konsumenta energii;</w:t>
      </w:r>
    </w:p>
    <w:p w14:paraId="6E561B87" w14:textId="77777777" w:rsidR="00880D81" w:rsidRPr="00EF6F97" w:rsidRDefault="00880D81"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Znak towarowy OSD będącego częścią przedsiębiorstwa zintegrowanego pionowo nie będzie mógł wprowadzać w błąd co do odrębnej tożsamości sprzedawcy będącego częścią tego samego przedsię</w:t>
      </w:r>
      <w:r w:rsidR="00BE449A" w:rsidRPr="00EF6F97">
        <w:rPr>
          <w:rFonts w:ascii="Times New Roman" w:hAnsi="Times New Roman" w:cs="Times New Roman"/>
          <w:sz w:val="24"/>
          <w:szCs w:val="24"/>
        </w:rPr>
        <w:t>biorstwa zintegrowanego pionowo;</w:t>
      </w:r>
    </w:p>
    <w:p w14:paraId="786B01C6" w14:textId="77777777" w:rsidR="009A1099" w:rsidRPr="00EF6F97" w:rsidRDefault="00141291"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w:t>
      </w:r>
      <w:r w:rsidR="009A1099" w:rsidRPr="00EF6F97">
        <w:rPr>
          <w:rFonts w:ascii="Times New Roman" w:hAnsi="Times New Roman" w:cs="Times New Roman"/>
          <w:sz w:val="24"/>
          <w:szCs w:val="24"/>
        </w:rPr>
        <w:t xml:space="preserve">prowadza się systemowe rozwiązania w zakresie </w:t>
      </w:r>
      <w:r w:rsidR="00A84F2A" w:rsidRPr="00EF6F97">
        <w:rPr>
          <w:rFonts w:ascii="Times New Roman" w:hAnsi="Times New Roman" w:cs="Times New Roman"/>
          <w:sz w:val="24"/>
          <w:szCs w:val="24"/>
        </w:rPr>
        <w:t xml:space="preserve">systemu </w:t>
      </w:r>
      <w:r w:rsidR="009A1099" w:rsidRPr="00EF6F97">
        <w:rPr>
          <w:rFonts w:ascii="Times New Roman" w:hAnsi="Times New Roman" w:cs="Times New Roman"/>
          <w:sz w:val="24"/>
          <w:szCs w:val="24"/>
        </w:rPr>
        <w:t>inteligentnego opomiarowania polegające na obowiązku instalacji do dnia 31 grudnia 202</w:t>
      </w:r>
      <w:r w:rsidR="00430319" w:rsidRPr="00EF6F97">
        <w:rPr>
          <w:rFonts w:ascii="Times New Roman" w:hAnsi="Times New Roman" w:cs="Times New Roman"/>
          <w:sz w:val="24"/>
          <w:szCs w:val="24"/>
        </w:rPr>
        <w:t>8</w:t>
      </w:r>
      <w:r w:rsidR="001D0628">
        <w:rPr>
          <w:rFonts w:ascii="Times New Roman" w:hAnsi="Times New Roman" w:cs="Times New Roman"/>
          <w:sz w:val="24"/>
          <w:szCs w:val="24"/>
        </w:rPr>
        <w:t> r.</w:t>
      </w:r>
      <w:r w:rsidR="009A1099" w:rsidRPr="00EF6F97">
        <w:rPr>
          <w:rFonts w:ascii="Times New Roman" w:hAnsi="Times New Roman" w:cs="Times New Roman"/>
          <w:sz w:val="24"/>
          <w:szCs w:val="24"/>
        </w:rPr>
        <w:t xml:space="preserve"> liczników zdalnego odczytu skomunikowanych </w:t>
      </w:r>
      <w:r w:rsidR="001D0628">
        <w:rPr>
          <w:rFonts w:ascii="Times New Roman" w:hAnsi="Times New Roman" w:cs="Times New Roman"/>
          <w:sz w:val="24"/>
          <w:szCs w:val="24"/>
        </w:rPr>
        <w:t>z </w:t>
      </w:r>
      <w:r w:rsidR="009A1099" w:rsidRPr="00EF6F97">
        <w:rPr>
          <w:rFonts w:ascii="Times New Roman" w:hAnsi="Times New Roman" w:cs="Times New Roman"/>
          <w:sz w:val="24"/>
          <w:szCs w:val="24"/>
        </w:rPr>
        <w:t xml:space="preserve">systemem zdalnego odczytu w punktach pomiarowych stanowiących co najmniej 80 % łącznej liczby punktów pomiarowych u odbiorców końcowych przyłączonych do sieci o napięciu znamionowym nie wyższym niż 1 kV należących do tego operatora, zgodnie </w:t>
      </w:r>
      <w:r w:rsidR="001D0628">
        <w:rPr>
          <w:rFonts w:ascii="Times New Roman" w:hAnsi="Times New Roman" w:cs="Times New Roman"/>
          <w:sz w:val="24"/>
          <w:szCs w:val="24"/>
        </w:rPr>
        <w:t>z </w:t>
      </w:r>
      <w:r w:rsidR="009A1099" w:rsidRPr="00EF6F97">
        <w:rPr>
          <w:rFonts w:ascii="Times New Roman" w:hAnsi="Times New Roman" w:cs="Times New Roman"/>
          <w:sz w:val="24"/>
          <w:szCs w:val="24"/>
        </w:rPr>
        <w:t>harmonogramem określonym w ustawie</w:t>
      </w:r>
      <w:r w:rsidR="00A84F2A" w:rsidRPr="00EF6F97">
        <w:rPr>
          <w:rFonts w:ascii="Times New Roman" w:hAnsi="Times New Roman" w:cs="Times New Roman"/>
          <w:sz w:val="24"/>
          <w:szCs w:val="24"/>
        </w:rPr>
        <w:t xml:space="preserve"> (określonych dalej jako system pomiarowy) </w:t>
      </w:r>
      <w:r w:rsidR="009A1099" w:rsidRPr="00EF6F97">
        <w:rPr>
          <w:rFonts w:ascii="Times New Roman" w:hAnsi="Times New Roman" w:cs="Times New Roman"/>
          <w:sz w:val="24"/>
          <w:szCs w:val="24"/>
        </w:rPr>
        <w:lastRenderedPageBreak/>
        <w:t>ora</w:t>
      </w:r>
      <w:r w:rsidR="001D0628">
        <w:rPr>
          <w:rFonts w:ascii="Times New Roman" w:hAnsi="Times New Roman" w:cs="Times New Roman"/>
          <w:sz w:val="24"/>
          <w:szCs w:val="24"/>
        </w:rPr>
        <w:t>z </w:t>
      </w:r>
      <w:r w:rsidR="009A1099" w:rsidRPr="00EF6F97">
        <w:rPr>
          <w:rFonts w:ascii="Times New Roman" w:hAnsi="Times New Roman" w:cs="Times New Roman"/>
          <w:sz w:val="24"/>
          <w:szCs w:val="24"/>
        </w:rPr>
        <w:t xml:space="preserve">na powołaniu Operatora Informacji </w:t>
      </w:r>
      <w:r w:rsidR="00430319" w:rsidRPr="00EF6F97">
        <w:rPr>
          <w:rFonts w:ascii="Times New Roman" w:hAnsi="Times New Roman" w:cs="Times New Roman"/>
          <w:sz w:val="24"/>
          <w:szCs w:val="24"/>
        </w:rPr>
        <w:t>Rynku Energii</w:t>
      </w:r>
      <w:r w:rsidR="00A84F2A" w:rsidRPr="00EF6F97">
        <w:rPr>
          <w:rFonts w:ascii="Times New Roman" w:hAnsi="Times New Roman" w:cs="Times New Roman"/>
          <w:sz w:val="24"/>
          <w:szCs w:val="24"/>
        </w:rPr>
        <w:t xml:space="preserve"> którego rolą będzie utworzenie</w:t>
      </w:r>
      <w:r w:rsidR="001D0628">
        <w:rPr>
          <w:rFonts w:ascii="Times New Roman" w:hAnsi="Times New Roman" w:cs="Times New Roman"/>
          <w:sz w:val="24"/>
          <w:szCs w:val="24"/>
        </w:rPr>
        <w:t xml:space="preserve"> i </w:t>
      </w:r>
      <w:r w:rsidR="00A84F2A" w:rsidRPr="00EF6F97">
        <w:rPr>
          <w:rFonts w:ascii="Times New Roman" w:hAnsi="Times New Roman" w:cs="Times New Roman"/>
          <w:sz w:val="24"/>
          <w:szCs w:val="24"/>
        </w:rPr>
        <w:t>rozwój centralnego systemu informacji rynku energii. Obecny projekt ustawy dokonuje rozdziału przepisów dotyczących systemu pomiarowego</w:t>
      </w:r>
      <w:r w:rsidR="001D0628">
        <w:rPr>
          <w:rFonts w:ascii="Times New Roman" w:hAnsi="Times New Roman" w:cs="Times New Roman"/>
          <w:sz w:val="24"/>
          <w:szCs w:val="24"/>
        </w:rPr>
        <w:t xml:space="preserve"> i </w:t>
      </w:r>
      <w:r w:rsidR="00A84F2A" w:rsidRPr="00EF6F97">
        <w:rPr>
          <w:rFonts w:ascii="Times New Roman" w:hAnsi="Times New Roman" w:cs="Times New Roman"/>
          <w:sz w:val="24"/>
          <w:szCs w:val="24"/>
        </w:rPr>
        <w:t>centralnego systemu informacji rynku energii. Podział ten odpowiada podziałowi odpowiedzialności tych dwóch zakresów:</w:t>
      </w:r>
      <w:r w:rsidR="007A4643" w:rsidRPr="00EF6F97">
        <w:rPr>
          <w:rFonts w:ascii="Times New Roman" w:hAnsi="Times New Roman" w:cs="Times New Roman"/>
          <w:sz w:val="24"/>
          <w:szCs w:val="24"/>
        </w:rPr>
        <w:t xml:space="preserve"> odpowiedzialność za system pomiarowy jest przypisana do operatorów systemów elektroenergetycznych, przede wszystkim do operatorów dystrybucyjnych, natomiast obowiązki związane </w:t>
      </w:r>
      <w:r w:rsidR="001D0628">
        <w:rPr>
          <w:rFonts w:ascii="Times New Roman" w:hAnsi="Times New Roman" w:cs="Times New Roman"/>
          <w:sz w:val="24"/>
          <w:szCs w:val="24"/>
        </w:rPr>
        <w:t>z </w:t>
      </w:r>
      <w:r w:rsidR="007A4643" w:rsidRPr="00EF6F97">
        <w:rPr>
          <w:rFonts w:ascii="Times New Roman" w:hAnsi="Times New Roman" w:cs="Times New Roman"/>
          <w:sz w:val="24"/>
          <w:szCs w:val="24"/>
        </w:rPr>
        <w:t>utworzeniem operatora informacji rynku energii</w:t>
      </w:r>
      <w:r w:rsidR="001D0628">
        <w:rPr>
          <w:rFonts w:ascii="Times New Roman" w:hAnsi="Times New Roman" w:cs="Times New Roman"/>
          <w:sz w:val="24"/>
          <w:szCs w:val="24"/>
        </w:rPr>
        <w:t xml:space="preserve"> i </w:t>
      </w:r>
      <w:r w:rsidR="007A4643" w:rsidRPr="00EF6F97">
        <w:rPr>
          <w:rFonts w:ascii="Times New Roman" w:hAnsi="Times New Roman" w:cs="Times New Roman"/>
          <w:sz w:val="24"/>
          <w:szCs w:val="24"/>
        </w:rPr>
        <w:t xml:space="preserve">centralnego systemu informacji rynki energii dotyczą wszystkich użytkowników systemu elektroenergetycznego, w szczególny obowiązek spoczywa na operatorze systemu przesyłowego elektroenergetycznego, który będzie pełnił rolę operatora informacji rynku energii. </w:t>
      </w:r>
    </w:p>
    <w:p w14:paraId="3C301353" w14:textId="77777777" w:rsidR="00141291" w:rsidRPr="00EF6F97" w:rsidRDefault="00141291"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Wzmacnia się kompetencje nadzorcze Prezesa URE nad rynkiem paliw ciekłych w </w:t>
      </w:r>
      <w:r w:rsidR="008E4C53" w:rsidRPr="00EF6F97">
        <w:rPr>
          <w:rFonts w:ascii="Times New Roman" w:hAnsi="Times New Roman" w:cs="Times New Roman"/>
          <w:sz w:val="24"/>
          <w:szCs w:val="24"/>
        </w:rPr>
        <w:t>celu zapobiegania sygnalizowanym</w:t>
      </w:r>
      <w:r w:rsidRPr="00EF6F97">
        <w:rPr>
          <w:rFonts w:ascii="Times New Roman" w:hAnsi="Times New Roman" w:cs="Times New Roman"/>
          <w:sz w:val="24"/>
          <w:szCs w:val="24"/>
        </w:rPr>
        <w:t xml:space="preserve"> prze</w:t>
      </w:r>
      <w:r w:rsidR="001D0628">
        <w:rPr>
          <w:rFonts w:ascii="Times New Roman" w:hAnsi="Times New Roman" w:cs="Times New Roman"/>
          <w:sz w:val="24"/>
          <w:szCs w:val="24"/>
        </w:rPr>
        <w:t>z </w:t>
      </w:r>
      <w:r w:rsidRPr="00EF6F97">
        <w:rPr>
          <w:rFonts w:ascii="Times New Roman" w:hAnsi="Times New Roman" w:cs="Times New Roman"/>
          <w:sz w:val="24"/>
          <w:szCs w:val="24"/>
        </w:rPr>
        <w:t>ten organ nieprawidłowościom;</w:t>
      </w:r>
    </w:p>
    <w:p w14:paraId="1B621D83" w14:textId="77777777" w:rsidR="0065641E" w:rsidRPr="00EF6F97" w:rsidRDefault="00141291"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Ponadto, projekt usuwa zidentyfikowane luki w prawie ora</w:t>
      </w:r>
      <w:r w:rsidR="001D0628">
        <w:rPr>
          <w:rFonts w:ascii="Times New Roman" w:hAnsi="Times New Roman" w:cs="Times New Roman"/>
          <w:sz w:val="24"/>
          <w:szCs w:val="24"/>
        </w:rPr>
        <w:t>z </w:t>
      </w:r>
      <w:r w:rsidRPr="00EF6F97">
        <w:rPr>
          <w:rFonts w:ascii="Times New Roman" w:hAnsi="Times New Roman" w:cs="Times New Roman"/>
          <w:sz w:val="24"/>
          <w:szCs w:val="24"/>
        </w:rPr>
        <w:t>doprecyzowuje przepisy wywołujące rozbieżności interpretacyjne</w:t>
      </w:r>
      <w:r w:rsidR="0065641E" w:rsidRPr="00EF6F97">
        <w:rPr>
          <w:rFonts w:ascii="Times New Roman" w:hAnsi="Times New Roman" w:cs="Times New Roman"/>
          <w:sz w:val="24"/>
          <w:szCs w:val="24"/>
        </w:rPr>
        <w:t>;</w:t>
      </w:r>
    </w:p>
    <w:p w14:paraId="72BF3FD0" w14:textId="77777777" w:rsidR="00DB0148" w:rsidRDefault="0065641E"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Wprowadza się odroczenie legalizacji ponownej przyrządów pomiarowych w związku </w:t>
      </w:r>
      <w:r w:rsidR="001D0628">
        <w:rPr>
          <w:rFonts w:ascii="Times New Roman" w:hAnsi="Times New Roman" w:cs="Times New Roman"/>
          <w:sz w:val="24"/>
          <w:szCs w:val="24"/>
        </w:rPr>
        <w:t>z </w:t>
      </w:r>
      <w:r w:rsidRPr="00EF6F97">
        <w:rPr>
          <w:rFonts w:ascii="Times New Roman" w:hAnsi="Times New Roman" w:cs="Times New Roman"/>
          <w:sz w:val="24"/>
          <w:szCs w:val="24"/>
        </w:rPr>
        <w:t>COVID – 19</w:t>
      </w:r>
      <w:r w:rsidR="00DB0148">
        <w:rPr>
          <w:rFonts w:ascii="Times New Roman" w:hAnsi="Times New Roman" w:cs="Times New Roman"/>
          <w:sz w:val="24"/>
          <w:szCs w:val="24"/>
        </w:rPr>
        <w:t>;</w:t>
      </w:r>
    </w:p>
    <w:p w14:paraId="1E12F393" w14:textId="1C5BDB83" w:rsidR="00141291" w:rsidRPr="00EF6F97" w:rsidRDefault="00DB0148" w:rsidP="00DB0148">
      <w:pPr>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Usprawnia się procedurę przeprowadzania aukcji uregulowanej w </w:t>
      </w:r>
      <w:r w:rsidRPr="00DB0148">
        <w:rPr>
          <w:rFonts w:ascii="Times New Roman" w:hAnsi="Times New Roman" w:cs="Times New Roman"/>
          <w:sz w:val="24"/>
          <w:szCs w:val="24"/>
        </w:rPr>
        <w:t>ustawie z dnia 14 grudnia 2018 r. o promowaniu energii elektrycznej z wysokosprawnej kogeneracji</w:t>
      </w:r>
      <w:r>
        <w:rPr>
          <w:rFonts w:ascii="Times New Roman" w:hAnsi="Times New Roman" w:cs="Times New Roman"/>
          <w:sz w:val="24"/>
          <w:szCs w:val="24"/>
        </w:rPr>
        <w:t>.</w:t>
      </w:r>
    </w:p>
    <w:p w14:paraId="5816FEBB" w14:textId="77777777" w:rsidR="00BE449A" w:rsidRPr="00EF6F97" w:rsidRDefault="00BE449A" w:rsidP="00EF6F97">
      <w:pPr>
        <w:spacing w:line="360" w:lineRule="auto"/>
        <w:jc w:val="both"/>
        <w:rPr>
          <w:rFonts w:ascii="Times New Roman" w:hAnsi="Times New Roman" w:cs="Times New Roman"/>
          <w:sz w:val="24"/>
          <w:szCs w:val="24"/>
        </w:rPr>
      </w:pPr>
    </w:p>
    <w:p w14:paraId="05372BD9"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C3FB7" w:rsidRPr="00EF6F97">
        <w:rPr>
          <w:rFonts w:ascii="Times New Roman" w:hAnsi="Times New Roman" w:cs="Times New Roman"/>
          <w:sz w:val="24"/>
          <w:szCs w:val="24"/>
        </w:rPr>
        <w:t xml:space="preserve">Ad. 1. </w:t>
      </w:r>
      <w:r w:rsidR="00F3785E" w:rsidRPr="00EF6F97">
        <w:rPr>
          <w:rFonts w:ascii="Times New Roman" w:hAnsi="Times New Roman" w:cs="Times New Roman"/>
          <w:sz w:val="24"/>
          <w:szCs w:val="24"/>
        </w:rPr>
        <w:t>W projekcie ustawy wprowadza się przepisy niezbędne do prawidłowego</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skutecznego stosowania przepisów rozporządzenia Parlamentu Europejskiego</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 xml:space="preserve">Rady (UE) 2015/1222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dnia 24 lipca 2015</w:t>
      </w:r>
      <w:r w:rsidR="001D0628">
        <w:rPr>
          <w:rFonts w:ascii="Times New Roman" w:hAnsi="Times New Roman" w:cs="Times New Roman"/>
          <w:sz w:val="24"/>
          <w:szCs w:val="24"/>
        </w:rPr>
        <w:t> r.</w:t>
      </w:r>
      <w:r w:rsidR="00F3785E" w:rsidRPr="00EF6F97">
        <w:rPr>
          <w:rFonts w:ascii="Times New Roman" w:hAnsi="Times New Roman" w:cs="Times New Roman"/>
          <w:sz w:val="24"/>
          <w:szCs w:val="24"/>
        </w:rPr>
        <w:t xml:space="preserve"> ustanawiającego wytyczne dotyczące alokacji zdolności przesyłowych</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 xml:space="preserve">zarządzania ograniczeniami przesyłowymi (Dz. Urz. UE L 197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 xml:space="preserve">25.7.2015, str. 24), (capacity allocation and congestion management), zwanego dalej „Rozporządzeniem CACM”. </w:t>
      </w:r>
    </w:p>
    <w:p w14:paraId="3099C421"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Rozporządzenie CACM nakłada na regulatora obowiązek zapewnienia przestrzegania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nomin</w:t>
      </w:r>
      <w:r w:rsidR="00A47788" w:rsidRPr="00EF6F97">
        <w:rPr>
          <w:rFonts w:ascii="Times New Roman" w:hAnsi="Times New Roman" w:cs="Times New Roman"/>
          <w:sz w:val="24"/>
          <w:szCs w:val="24"/>
        </w:rPr>
        <w:t>owanego operatora rynku energii, zwanego dalej „NEMO”</w:t>
      </w:r>
      <w:r w:rsidR="00032DC8" w:rsidRPr="00EF6F97">
        <w:rPr>
          <w:rFonts w:ascii="Times New Roman" w:hAnsi="Times New Roman" w:cs="Times New Roman"/>
          <w:sz w:val="24"/>
          <w:szCs w:val="24"/>
        </w:rPr>
        <w:t xml:space="preserve"> </w:t>
      </w:r>
      <w:r w:rsidR="00F3785E" w:rsidRPr="00EF6F97">
        <w:rPr>
          <w:rFonts w:ascii="Times New Roman" w:hAnsi="Times New Roman" w:cs="Times New Roman"/>
          <w:sz w:val="24"/>
          <w:szCs w:val="24"/>
        </w:rPr>
        <w:t>przepisów Rozporządzenia CACM ora</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oceny spełniania prze</w:t>
      </w:r>
      <w:r w:rsidR="001D0628">
        <w:rPr>
          <w:rFonts w:ascii="Times New Roman" w:hAnsi="Times New Roman" w:cs="Times New Roman"/>
          <w:sz w:val="24"/>
          <w:szCs w:val="24"/>
        </w:rPr>
        <w:t>z </w:t>
      </w:r>
      <w:r w:rsidR="00032DC8" w:rsidRPr="00EF6F97">
        <w:rPr>
          <w:rFonts w:ascii="Times New Roman" w:hAnsi="Times New Roman" w:cs="Times New Roman"/>
          <w:sz w:val="24"/>
          <w:szCs w:val="24"/>
        </w:rPr>
        <w:t xml:space="preserve">NEMO </w:t>
      </w:r>
      <w:r w:rsidR="00F3785E" w:rsidRPr="00EF6F97">
        <w:rPr>
          <w:rFonts w:ascii="Times New Roman" w:hAnsi="Times New Roman" w:cs="Times New Roman"/>
          <w:sz w:val="24"/>
          <w:szCs w:val="24"/>
        </w:rPr>
        <w:t>kryteriów wyznaczenia na nominowanego</w:t>
      </w:r>
      <w:r w:rsidR="009F3D5A" w:rsidRPr="00EF6F97">
        <w:rPr>
          <w:rFonts w:ascii="Times New Roman" w:hAnsi="Times New Roman" w:cs="Times New Roman"/>
          <w:sz w:val="24"/>
          <w:szCs w:val="24"/>
        </w:rPr>
        <w:t xml:space="preserve"> (wyznaczonego)</w:t>
      </w:r>
      <w:r w:rsidR="00F3785E" w:rsidRPr="00EF6F97">
        <w:rPr>
          <w:rFonts w:ascii="Times New Roman" w:hAnsi="Times New Roman" w:cs="Times New Roman"/>
          <w:sz w:val="24"/>
          <w:szCs w:val="24"/>
        </w:rPr>
        <w:t xml:space="preserve"> operatora rynku energii określonych w art. 6 Rozporządzenia CACM.</w:t>
      </w:r>
    </w:p>
    <w:p w14:paraId="1605E47B"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 xml:space="preserve">Przedmiotowy projekt przewiduje rozszerzenie </w:t>
      </w:r>
      <w:r w:rsidR="000F4042" w:rsidRPr="00EF6F97">
        <w:rPr>
          <w:rFonts w:ascii="Times New Roman" w:hAnsi="Times New Roman" w:cs="Times New Roman"/>
          <w:sz w:val="24"/>
          <w:szCs w:val="24"/>
        </w:rPr>
        <w:t xml:space="preserve">niektórych </w:t>
      </w:r>
      <w:r w:rsidR="00F3785E" w:rsidRPr="00EF6F97">
        <w:rPr>
          <w:rFonts w:ascii="Times New Roman" w:hAnsi="Times New Roman" w:cs="Times New Roman"/>
          <w:sz w:val="24"/>
          <w:szCs w:val="24"/>
        </w:rPr>
        <w:t>uprawień organu regulacyjnego ora</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 xml:space="preserve">określenie sankcji za dokonywanie naruszeń obowiązków przewidzianych w przepisach Rozporządzenia CACM. W Rozporządzeniu CACM przewidziane są następujące </w:t>
      </w:r>
      <w:r w:rsidR="00F3785E" w:rsidRPr="00EF6F97">
        <w:rPr>
          <w:rFonts w:ascii="Times New Roman" w:hAnsi="Times New Roman" w:cs="Times New Roman"/>
          <w:sz w:val="24"/>
          <w:szCs w:val="24"/>
        </w:rPr>
        <w:lastRenderedPageBreak/>
        <w:t>zasady w zakresie nadzorowania, monitorowania</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kontroli działań NEMO:</w:t>
      </w:r>
    </w:p>
    <w:p w14:paraId="7B1B08E3" w14:textId="77777777" w:rsidR="00F3785E" w:rsidRPr="00215A1D" w:rsidRDefault="00032DC8" w:rsidP="00215A1D">
      <w:pPr>
        <w:pStyle w:val="Akapitzlist"/>
        <w:numPr>
          <w:ilvl w:val="0"/>
          <w:numId w:val="20"/>
        </w:numPr>
        <w:spacing w:after="0" w:line="360" w:lineRule="auto"/>
        <w:jc w:val="both"/>
        <w:rPr>
          <w:rFonts w:ascii="Times New Roman" w:hAnsi="Times New Roman"/>
          <w:sz w:val="24"/>
          <w:szCs w:val="24"/>
        </w:rPr>
      </w:pPr>
      <w:r w:rsidRPr="00215A1D">
        <w:rPr>
          <w:rFonts w:ascii="Times New Roman" w:hAnsi="Times New Roman"/>
          <w:sz w:val="24"/>
          <w:szCs w:val="24"/>
        </w:rPr>
        <w:t>Z</w:t>
      </w:r>
      <w:r w:rsidR="00F3785E" w:rsidRPr="00215A1D">
        <w:rPr>
          <w:rFonts w:ascii="Times New Roman" w:hAnsi="Times New Roman"/>
          <w:sz w:val="24"/>
          <w:szCs w:val="24"/>
        </w:rPr>
        <w:t xml:space="preserve">godnie </w:t>
      </w:r>
      <w:r w:rsidR="001D0628">
        <w:rPr>
          <w:rFonts w:ascii="Times New Roman" w:hAnsi="Times New Roman"/>
          <w:sz w:val="24"/>
          <w:szCs w:val="24"/>
        </w:rPr>
        <w:t>z </w:t>
      </w:r>
      <w:r w:rsidR="00F3785E" w:rsidRPr="00215A1D">
        <w:rPr>
          <w:rFonts w:ascii="Times New Roman" w:hAnsi="Times New Roman"/>
          <w:sz w:val="24"/>
          <w:szCs w:val="24"/>
        </w:rPr>
        <w:t>art. 4 ust. 3 Rozporządzenia CACM za monitorowanie spełnienia kryteriów wyznaczenia na NEMO odpowiedzialny jest krajow</w:t>
      </w:r>
      <w:r w:rsidRPr="00215A1D">
        <w:rPr>
          <w:rFonts w:ascii="Times New Roman" w:hAnsi="Times New Roman"/>
          <w:sz w:val="24"/>
          <w:szCs w:val="24"/>
        </w:rPr>
        <w:t>y organ regulacyjny</w:t>
      </w:r>
      <w:r w:rsidR="00F3785E" w:rsidRPr="00215A1D">
        <w:rPr>
          <w:rFonts w:ascii="Times New Roman" w:hAnsi="Times New Roman"/>
          <w:sz w:val="24"/>
          <w:szCs w:val="24"/>
        </w:rPr>
        <w:t>;</w:t>
      </w:r>
    </w:p>
    <w:p w14:paraId="5730F43C" w14:textId="77777777" w:rsidR="00F3785E" w:rsidRPr="00215A1D" w:rsidRDefault="00032DC8" w:rsidP="00215A1D">
      <w:pPr>
        <w:pStyle w:val="Akapitzlist"/>
        <w:numPr>
          <w:ilvl w:val="0"/>
          <w:numId w:val="20"/>
        </w:numPr>
        <w:spacing w:after="0" w:line="360" w:lineRule="auto"/>
        <w:jc w:val="both"/>
        <w:rPr>
          <w:rFonts w:ascii="Times New Roman" w:hAnsi="Times New Roman"/>
          <w:sz w:val="24"/>
          <w:szCs w:val="24"/>
        </w:rPr>
      </w:pPr>
      <w:r w:rsidRPr="00215A1D">
        <w:rPr>
          <w:rFonts w:ascii="Times New Roman" w:hAnsi="Times New Roman"/>
          <w:sz w:val="24"/>
          <w:szCs w:val="24"/>
        </w:rPr>
        <w:t>Z</w:t>
      </w:r>
      <w:r w:rsidR="00F3785E" w:rsidRPr="00215A1D">
        <w:rPr>
          <w:rFonts w:ascii="Times New Roman" w:hAnsi="Times New Roman"/>
          <w:sz w:val="24"/>
          <w:szCs w:val="24"/>
        </w:rPr>
        <w:t xml:space="preserve">godnie </w:t>
      </w:r>
      <w:r w:rsidR="001D0628">
        <w:rPr>
          <w:rFonts w:ascii="Times New Roman" w:hAnsi="Times New Roman"/>
          <w:sz w:val="24"/>
          <w:szCs w:val="24"/>
        </w:rPr>
        <w:t>z </w:t>
      </w:r>
      <w:r w:rsidR="00F3785E" w:rsidRPr="00215A1D">
        <w:rPr>
          <w:rFonts w:ascii="Times New Roman" w:hAnsi="Times New Roman"/>
          <w:sz w:val="24"/>
          <w:szCs w:val="24"/>
        </w:rPr>
        <w:t xml:space="preserve">art. 4 ust. 5 Rozporządzenia </w:t>
      </w:r>
      <w:r w:rsidRPr="00215A1D">
        <w:rPr>
          <w:rFonts w:ascii="Times New Roman" w:hAnsi="Times New Roman"/>
          <w:sz w:val="24"/>
          <w:szCs w:val="24"/>
        </w:rPr>
        <w:t>CACM, organ wyznaczający</w:t>
      </w:r>
      <w:r w:rsidR="00F3785E" w:rsidRPr="00215A1D">
        <w:rPr>
          <w:rFonts w:ascii="Times New Roman" w:hAnsi="Times New Roman"/>
          <w:sz w:val="24"/>
          <w:szCs w:val="24"/>
        </w:rPr>
        <w:t xml:space="preserve"> monitoruje ora</w:t>
      </w:r>
      <w:r w:rsidR="001D0628">
        <w:rPr>
          <w:rFonts w:ascii="Times New Roman" w:hAnsi="Times New Roman"/>
          <w:sz w:val="24"/>
          <w:szCs w:val="24"/>
        </w:rPr>
        <w:t>z </w:t>
      </w:r>
      <w:r w:rsidR="00F3785E" w:rsidRPr="00215A1D">
        <w:rPr>
          <w:rFonts w:ascii="Times New Roman" w:hAnsi="Times New Roman"/>
          <w:sz w:val="24"/>
          <w:szCs w:val="24"/>
        </w:rPr>
        <w:t>zapewnia przestrzeganie Rozporządzenia CACM prze</w:t>
      </w:r>
      <w:r w:rsidR="001D0628">
        <w:rPr>
          <w:rFonts w:ascii="Times New Roman" w:hAnsi="Times New Roman"/>
          <w:sz w:val="24"/>
          <w:szCs w:val="24"/>
        </w:rPr>
        <w:t>z </w:t>
      </w:r>
      <w:r w:rsidR="00F3785E" w:rsidRPr="00215A1D">
        <w:rPr>
          <w:rFonts w:ascii="Times New Roman" w:hAnsi="Times New Roman"/>
          <w:sz w:val="24"/>
          <w:szCs w:val="24"/>
        </w:rPr>
        <w:t>wszystkich NEMO dokonujących jednolitego łączenia rynków dnia następnego lub rynków dnia bieżącego w danym państwie członkowskim, be</w:t>
      </w:r>
      <w:r w:rsidR="001D0628">
        <w:rPr>
          <w:rFonts w:ascii="Times New Roman" w:hAnsi="Times New Roman"/>
          <w:sz w:val="24"/>
          <w:szCs w:val="24"/>
        </w:rPr>
        <w:t>z </w:t>
      </w:r>
      <w:r w:rsidR="00F3785E" w:rsidRPr="00215A1D">
        <w:rPr>
          <w:rFonts w:ascii="Times New Roman" w:hAnsi="Times New Roman"/>
          <w:sz w:val="24"/>
          <w:szCs w:val="24"/>
        </w:rPr>
        <w:t>względu na to, gdzie wyznaczono NEMO;</w:t>
      </w:r>
    </w:p>
    <w:p w14:paraId="0C1680BC" w14:textId="77777777" w:rsidR="00F3785E" w:rsidRPr="00215A1D" w:rsidRDefault="00032DC8" w:rsidP="00215A1D">
      <w:pPr>
        <w:pStyle w:val="Akapitzlist"/>
        <w:numPr>
          <w:ilvl w:val="0"/>
          <w:numId w:val="20"/>
        </w:numPr>
        <w:spacing w:after="0" w:line="360" w:lineRule="auto"/>
        <w:jc w:val="both"/>
        <w:rPr>
          <w:rFonts w:ascii="Times New Roman" w:hAnsi="Times New Roman"/>
          <w:sz w:val="24"/>
          <w:szCs w:val="24"/>
        </w:rPr>
      </w:pPr>
      <w:r w:rsidRPr="00215A1D">
        <w:rPr>
          <w:rFonts w:ascii="Times New Roman" w:hAnsi="Times New Roman"/>
          <w:sz w:val="24"/>
          <w:szCs w:val="24"/>
        </w:rPr>
        <w:t>O</w:t>
      </w:r>
      <w:r w:rsidR="00F3785E" w:rsidRPr="00215A1D">
        <w:rPr>
          <w:rFonts w:ascii="Times New Roman" w:hAnsi="Times New Roman"/>
          <w:sz w:val="24"/>
          <w:szCs w:val="24"/>
        </w:rPr>
        <w:t>rgan wyznaczający dysponuje ponadto następującymi kompetencjami w zakresie kontrolowania działalności prowadzonej prze</w:t>
      </w:r>
      <w:r w:rsidR="001D0628">
        <w:rPr>
          <w:rFonts w:ascii="Times New Roman" w:hAnsi="Times New Roman"/>
          <w:sz w:val="24"/>
          <w:szCs w:val="24"/>
        </w:rPr>
        <w:t>z </w:t>
      </w:r>
      <w:r w:rsidR="00F3785E" w:rsidRPr="00215A1D">
        <w:rPr>
          <w:rFonts w:ascii="Times New Roman" w:hAnsi="Times New Roman"/>
          <w:sz w:val="24"/>
          <w:szCs w:val="24"/>
        </w:rPr>
        <w:t>NEMO</w:t>
      </w:r>
      <w:r w:rsidR="001D0628">
        <w:rPr>
          <w:rFonts w:ascii="Times New Roman" w:hAnsi="Times New Roman"/>
          <w:sz w:val="24"/>
          <w:szCs w:val="24"/>
        </w:rPr>
        <w:t xml:space="preserve"> i </w:t>
      </w:r>
      <w:r w:rsidR="00F3785E" w:rsidRPr="00215A1D">
        <w:rPr>
          <w:rFonts w:ascii="Times New Roman" w:hAnsi="Times New Roman"/>
          <w:sz w:val="24"/>
          <w:szCs w:val="24"/>
        </w:rPr>
        <w:t>przes</w:t>
      </w:r>
      <w:r w:rsidRPr="00215A1D">
        <w:rPr>
          <w:rFonts w:ascii="Times New Roman" w:hAnsi="Times New Roman"/>
          <w:sz w:val="24"/>
          <w:szCs w:val="24"/>
        </w:rPr>
        <w:t>trzegania kryteriów wyznaczenia:</w:t>
      </w:r>
    </w:p>
    <w:p w14:paraId="56556517" w14:textId="77777777" w:rsidR="00F3785E" w:rsidRPr="00215A1D" w:rsidRDefault="00F3785E" w:rsidP="00215A1D">
      <w:pPr>
        <w:pStyle w:val="Akapitzlist"/>
        <w:numPr>
          <w:ilvl w:val="0"/>
          <w:numId w:val="22"/>
        </w:numPr>
        <w:spacing w:after="0" w:line="360" w:lineRule="auto"/>
        <w:jc w:val="both"/>
        <w:rPr>
          <w:rFonts w:ascii="Times New Roman" w:hAnsi="Times New Roman"/>
          <w:sz w:val="24"/>
          <w:szCs w:val="24"/>
        </w:rPr>
      </w:pPr>
      <w:r w:rsidRPr="00215A1D">
        <w:rPr>
          <w:rFonts w:ascii="Times New Roman" w:hAnsi="Times New Roman"/>
          <w:sz w:val="24"/>
          <w:szCs w:val="24"/>
        </w:rPr>
        <w:t>w stosunku do wyznaczonego prze</w:t>
      </w:r>
      <w:r w:rsidR="001D0628">
        <w:rPr>
          <w:rFonts w:ascii="Times New Roman" w:hAnsi="Times New Roman"/>
          <w:sz w:val="24"/>
          <w:szCs w:val="24"/>
        </w:rPr>
        <w:t>z </w:t>
      </w:r>
      <w:r w:rsidRPr="00215A1D">
        <w:rPr>
          <w:rFonts w:ascii="Times New Roman" w:hAnsi="Times New Roman"/>
          <w:sz w:val="24"/>
          <w:szCs w:val="24"/>
        </w:rPr>
        <w:t>siebie NEMO, jest obowiązany cofnąć wyznaczenie w przypadku, gdy dany NEMO przestał wypełniać kryteria wyznaczenia</w:t>
      </w:r>
      <w:r w:rsidR="001D0628">
        <w:rPr>
          <w:rFonts w:ascii="Times New Roman" w:hAnsi="Times New Roman"/>
          <w:sz w:val="24"/>
          <w:szCs w:val="24"/>
        </w:rPr>
        <w:t xml:space="preserve"> i </w:t>
      </w:r>
      <w:r w:rsidRPr="00215A1D">
        <w:rPr>
          <w:rFonts w:ascii="Times New Roman" w:hAnsi="Times New Roman"/>
          <w:sz w:val="24"/>
          <w:szCs w:val="24"/>
        </w:rPr>
        <w:t xml:space="preserve">nie przywrócił stanu zgodnego </w:t>
      </w:r>
      <w:r w:rsidR="001D0628">
        <w:rPr>
          <w:rFonts w:ascii="Times New Roman" w:hAnsi="Times New Roman"/>
          <w:sz w:val="24"/>
          <w:szCs w:val="24"/>
        </w:rPr>
        <w:t>z </w:t>
      </w:r>
      <w:r w:rsidRPr="00215A1D">
        <w:rPr>
          <w:rFonts w:ascii="Times New Roman" w:hAnsi="Times New Roman"/>
          <w:sz w:val="24"/>
          <w:szCs w:val="24"/>
        </w:rPr>
        <w:t>tymi kryteriami w ciągu 6 miesięcy od przesłania informacji o uchybieniu;</w:t>
      </w:r>
    </w:p>
    <w:p w14:paraId="2514176C" w14:textId="77777777" w:rsidR="00F3785E" w:rsidRPr="00215A1D" w:rsidRDefault="00F3785E" w:rsidP="00215A1D">
      <w:pPr>
        <w:pStyle w:val="Akapitzlist"/>
        <w:numPr>
          <w:ilvl w:val="0"/>
          <w:numId w:val="22"/>
        </w:numPr>
        <w:spacing w:after="0" w:line="360" w:lineRule="auto"/>
        <w:jc w:val="both"/>
        <w:rPr>
          <w:rFonts w:ascii="Times New Roman" w:hAnsi="Times New Roman"/>
          <w:sz w:val="24"/>
          <w:szCs w:val="24"/>
        </w:rPr>
      </w:pPr>
      <w:r w:rsidRPr="00215A1D">
        <w:rPr>
          <w:rFonts w:ascii="Times New Roman" w:hAnsi="Times New Roman"/>
          <w:sz w:val="24"/>
          <w:szCs w:val="24"/>
        </w:rPr>
        <w:t>w odniesieniu do NEMO, które działa na terytorium danego państw członkowskiego w oparciu o art. 4 ust. 5 (czyli na podstawie wyznaczenia w innym państwie</w:t>
      </w:r>
      <w:r w:rsidR="001D0628">
        <w:rPr>
          <w:rFonts w:ascii="Times New Roman" w:hAnsi="Times New Roman"/>
          <w:sz w:val="24"/>
          <w:szCs w:val="24"/>
        </w:rPr>
        <w:t xml:space="preserve"> i </w:t>
      </w:r>
      <w:r w:rsidRPr="00215A1D">
        <w:rPr>
          <w:rFonts w:ascii="Times New Roman" w:hAnsi="Times New Roman"/>
          <w:sz w:val="24"/>
          <w:szCs w:val="24"/>
        </w:rPr>
        <w:t>zawiadomienia o chęci prowadzenia działalności w danym państwie członkowskim), organ wyznaczający może zawiesić prawo do oferowania usług obrotu energią na rynkach dnia następnego</w:t>
      </w:r>
      <w:r w:rsidR="001D0628">
        <w:rPr>
          <w:rFonts w:ascii="Times New Roman" w:hAnsi="Times New Roman"/>
          <w:sz w:val="24"/>
          <w:szCs w:val="24"/>
        </w:rPr>
        <w:t xml:space="preserve"> i </w:t>
      </w:r>
      <w:r w:rsidRPr="00215A1D">
        <w:rPr>
          <w:rFonts w:ascii="Times New Roman" w:hAnsi="Times New Roman"/>
          <w:sz w:val="24"/>
          <w:szCs w:val="24"/>
        </w:rPr>
        <w:t>dnia bieżącego w tym państwie członkowskim, o ile uzna, że dany NEMO nie spełnia kryteriów wyznaczenia,</w:t>
      </w:r>
      <w:r w:rsidR="001D0628">
        <w:rPr>
          <w:rFonts w:ascii="Times New Roman" w:hAnsi="Times New Roman"/>
          <w:sz w:val="24"/>
          <w:szCs w:val="24"/>
        </w:rPr>
        <w:t xml:space="preserve"> i </w:t>
      </w:r>
      <w:r w:rsidRPr="00215A1D">
        <w:rPr>
          <w:rFonts w:ascii="Times New Roman" w:hAnsi="Times New Roman"/>
          <w:sz w:val="24"/>
          <w:szCs w:val="24"/>
        </w:rPr>
        <w:t>nie doprowadzi do stanu zgodności w ciągu 3 miesięcy od przesłania informacji o uchybieniu.</w:t>
      </w:r>
    </w:p>
    <w:p w14:paraId="0ED34B93"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 xml:space="preserve">Ponadto, zgodnie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art. 82 Rozporządzenia CACM, podmiot lub podmioty wykonujące funkcje operatora łączenia rynków (tzw. MCO) są monitorowane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organy regulacyjne lub organy właściwe dla terytor</w:t>
      </w:r>
      <w:r w:rsidR="00032DC8" w:rsidRPr="00EF6F97">
        <w:rPr>
          <w:rFonts w:ascii="Times New Roman" w:hAnsi="Times New Roman" w:cs="Times New Roman"/>
          <w:sz w:val="24"/>
          <w:szCs w:val="24"/>
        </w:rPr>
        <w:t>ium, na którym są zlokalizowane</w:t>
      </w:r>
      <w:r w:rsidR="00F3785E" w:rsidRPr="00EF6F97">
        <w:rPr>
          <w:rFonts w:ascii="Times New Roman" w:hAnsi="Times New Roman" w:cs="Times New Roman"/>
          <w:sz w:val="24"/>
          <w:szCs w:val="24"/>
        </w:rPr>
        <w:t xml:space="preserve">. </w:t>
      </w:r>
    </w:p>
    <w:p w14:paraId="5B0708DD"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Przywołane powyżej przepisy Rozporządzenia CACM jednoznacznie wskazują na i</w:t>
      </w:r>
      <w:r w:rsidR="00032DC8" w:rsidRPr="00EF6F97">
        <w:rPr>
          <w:rFonts w:ascii="Times New Roman" w:hAnsi="Times New Roman" w:cs="Times New Roman"/>
          <w:sz w:val="24"/>
          <w:szCs w:val="24"/>
        </w:rPr>
        <w:t>stotne kompetencje monitorująco-</w:t>
      </w:r>
      <w:r w:rsidR="00F3785E" w:rsidRPr="00EF6F97">
        <w:rPr>
          <w:rFonts w:ascii="Times New Roman" w:hAnsi="Times New Roman" w:cs="Times New Roman"/>
          <w:sz w:val="24"/>
          <w:szCs w:val="24"/>
        </w:rPr>
        <w:t>kontrolne, które posiada</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powinien być w stanie realizować</w:t>
      </w:r>
      <w:r w:rsidR="00032DC8" w:rsidRPr="00EF6F97">
        <w:rPr>
          <w:rFonts w:ascii="Times New Roman" w:hAnsi="Times New Roman" w:cs="Times New Roman"/>
          <w:sz w:val="24"/>
          <w:szCs w:val="24"/>
        </w:rPr>
        <w:t xml:space="preserve"> regulator</w:t>
      </w:r>
      <w:r w:rsidR="00F3785E" w:rsidRPr="00EF6F97">
        <w:rPr>
          <w:rFonts w:ascii="Times New Roman" w:hAnsi="Times New Roman" w:cs="Times New Roman"/>
          <w:sz w:val="24"/>
          <w:szCs w:val="24"/>
        </w:rPr>
        <w:t>, zarówno w odniesieniu do NEMO wyznaczonych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siebie, jak</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wyznaczonych w innych państwach członkowskich ale działających na terytorium RP na podstawie art. 4 ust. 5 Rozporządzenia CACM. Ponadto, wymienione wyżej kompetencje</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obowiązki krajowych organów regulacyjnych w stosunku do NEMO</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MCO mają charakter ogólny</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 xml:space="preserve">wymagają doprecyzowania w przepisach krajowych, w celu zapewnienia pełnej skuteczności rozwiązaniom zawartym w Rozporządzeniu CACM. </w:t>
      </w:r>
    </w:p>
    <w:p w14:paraId="37EBE48C"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 xml:space="preserve">Należy przy tym podnieść argument o różnej sytuacji NEMO będących giełdą towarową w rozumieniu ustawy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dnia 26 października 2000</w:t>
      </w:r>
      <w:r w:rsidR="001D0628">
        <w:rPr>
          <w:rFonts w:ascii="Times New Roman" w:hAnsi="Times New Roman" w:cs="Times New Roman"/>
          <w:sz w:val="24"/>
          <w:szCs w:val="24"/>
        </w:rPr>
        <w:t> r.</w:t>
      </w:r>
      <w:r w:rsidR="00F3785E" w:rsidRPr="00EF6F97">
        <w:rPr>
          <w:rFonts w:ascii="Times New Roman" w:hAnsi="Times New Roman" w:cs="Times New Roman"/>
          <w:sz w:val="24"/>
          <w:szCs w:val="24"/>
        </w:rPr>
        <w:t xml:space="preserve"> o giełdach towarowych (Dz. U. 2016 poz. </w:t>
      </w:r>
      <w:r w:rsidR="00F3785E" w:rsidRPr="00EF6F97">
        <w:rPr>
          <w:rFonts w:ascii="Times New Roman" w:hAnsi="Times New Roman" w:cs="Times New Roman"/>
          <w:sz w:val="24"/>
          <w:szCs w:val="24"/>
        </w:rPr>
        <w:lastRenderedPageBreak/>
        <w:t xml:space="preserve">719,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późn. zm.), ora</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NEMO nie spełniającego tego warunku. Wyznaczenie na NEMO prze</w:t>
      </w:r>
      <w:r w:rsidR="001D0628">
        <w:rPr>
          <w:rFonts w:ascii="Times New Roman" w:hAnsi="Times New Roman" w:cs="Times New Roman"/>
          <w:sz w:val="24"/>
          <w:szCs w:val="24"/>
        </w:rPr>
        <w:t>z </w:t>
      </w:r>
      <w:r w:rsidR="00032DC8" w:rsidRPr="00EF6F97">
        <w:rPr>
          <w:rFonts w:ascii="Times New Roman" w:hAnsi="Times New Roman" w:cs="Times New Roman"/>
          <w:sz w:val="24"/>
          <w:szCs w:val="24"/>
        </w:rPr>
        <w:t xml:space="preserve">regulatora </w:t>
      </w:r>
      <w:r w:rsidR="00F3785E" w:rsidRPr="00EF6F97">
        <w:rPr>
          <w:rFonts w:ascii="Times New Roman" w:hAnsi="Times New Roman" w:cs="Times New Roman"/>
          <w:sz w:val="24"/>
          <w:szCs w:val="24"/>
        </w:rPr>
        <w:t>(lub pełnienie takiej funkcji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 xml:space="preserve">podmiot wyznaczony w innym państwie członkowskim) nie jest równoznaczne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przyznaniem statusu giełdy towarowej w rozumieniu</w:t>
      </w:r>
      <w:r w:rsidR="00EF6F97">
        <w:rPr>
          <w:rFonts w:ascii="Times New Roman" w:hAnsi="Times New Roman" w:cs="Times New Roman"/>
          <w:sz w:val="24"/>
          <w:szCs w:val="24"/>
        </w:rPr>
        <w:t xml:space="preserve"> </w:t>
      </w:r>
      <w:r w:rsidR="00F3785E" w:rsidRPr="00EF6F97">
        <w:rPr>
          <w:rFonts w:ascii="Times New Roman" w:hAnsi="Times New Roman" w:cs="Times New Roman"/>
          <w:sz w:val="24"/>
          <w:szCs w:val="24"/>
        </w:rPr>
        <w:t xml:space="preserve">ustawy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dnia 26 października 2000</w:t>
      </w:r>
      <w:r w:rsidR="001D0628">
        <w:rPr>
          <w:rFonts w:ascii="Times New Roman" w:hAnsi="Times New Roman" w:cs="Times New Roman"/>
          <w:sz w:val="24"/>
          <w:szCs w:val="24"/>
        </w:rPr>
        <w:t> r.</w:t>
      </w:r>
      <w:r w:rsidR="00F3785E" w:rsidRPr="00EF6F97">
        <w:rPr>
          <w:rFonts w:ascii="Times New Roman" w:hAnsi="Times New Roman" w:cs="Times New Roman"/>
          <w:sz w:val="24"/>
          <w:szCs w:val="24"/>
        </w:rPr>
        <w:t xml:space="preserve"> o giełdach towarowych. O ile zatem w stosunku do NEMO nie będąceg</w:t>
      </w:r>
      <w:r w:rsidR="00032DC8" w:rsidRPr="00EF6F97">
        <w:rPr>
          <w:rFonts w:ascii="Times New Roman" w:hAnsi="Times New Roman" w:cs="Times New Roman"/>
          <w:sz w:val="24"/>
          <w:szCs w:val="24"/>
        </w:rPr>
        <w:t>o giełdą towarową ani krajowy regulator</w:t>
      </w:r>
      <w:r w:rsidR="00F3785E" w:rsidRPr="00EF6F97">
        <w:rPr>
          <w:rFonts w:ascii="Times New Roman" w:hAnsi="Times New Roman" w:cs="Times New Roman"/>
          <w:sz w:val="24"/>
          <w:szCs w:val="24"/>
        </w:rPr>
        <w:t xml:space="preserve">, ani inne organy regulacyjne nie dysponują żadnymi kompetencjami, przewidzianymi w prawie krajowym, o tyle istnieją możliwości wykonywania nadzoru w stosunku do giełd towarowych (pełniącymi przy okazji funkcje NEMO). </w:t>
      </w:r>
    </w:p>
    <w:p w14:paraId="6FAB95AA"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Powyższy argument opiera się na wskazanej wyżej różnicy polegającej na dysponowaniu instrumentami regulacyjnymi (choć także niewystarczającymi) w stosunku do NEMO będącego jednocześnie giełdą towarową ora</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NEMO, który nie spełnia tego kryterium (zagraniczne NEMO). O ile bowiem, na podstawie obowiązujących przepis</w:t>
      </w:r>
      <w:r w:rsidR="00032DC8" w:rsidRPr="00EF6F97">
        <w:rPr>
          <w:rFonts w:ascii="Times New Roman" w:hAnsi="Times New Roman" w:cs="Times New Roman"/>
          <w:sz w:val="24"/>
          <w:szCs w:val="24"/>
        </w:rPr>
        <w:t>ów krajowych, zarówno regulator</w:t>
      </w:r>
      <w:r w:rsidR="00F3785E" w:rsidRPr="00EF6F97">
        <w:rPr>
          <w:rFonts w:ascii="Times New Roman" w:hAnsi="Times New Roman" w:cs="Times New Roman"/>
          <w:sz w:val="24"/>
          <w:szCs w:val="24"/>
        </w:rPr>
        <w:t>, jak</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Komisja Nadzoru Finansowego są w stanie nadzorować działalność giełdy towarowej jako NEMO, o tyle nie dysponują praktycznie żadnymi uprawnieniami w prawie krajowym w odniesieniu do zagranicznych NEMO. Jedyną możliwością wpływania na zachowania tych podmiotów są unormowane w rozporządzeniu CACM daleko idące sankcje w postaci cofnięcia wyznaczenia lub (w przypadku NEMO świadczącego usługi na podstawie tzw. paszportu) – zawieszenie możliwości wykonywania funkcji NEMO</w:t>
      </w:r>
      <w:r w:rsidR="00032DC8" w:rsidRPr="00EF6F97">
        <w:rPr>
          <w:rFonts w:ascii="Times New Roman" w:hAnsi="Times New Roman" w:cs="Times New Roman"/>
          <w:sz w:val="24"/>
          <w:szCs w:val="24"/>
        </w:rPr>
        <w:t>.</w:t>
      </w:r>
    </w:p>
    <w:p w14:paraId="24998D8D"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Istnieje zatem konieczność uregulowania na poziomie krajowym zasad nadzoru nad NEMO, które dotyczyłby wszystk</w:t>
      </w:r>
      <w:r w:rsidR="000F4042" w:rsidRPr="00EF6F97">
        <w:rPr>
          <w:rFonts w:ascii="Times New Roman" w:hAnsi="Times New Roman" w:cs="Times New Roman"/>
          <w:sz w:val="24"/>
          <w:szCs w:val="24"/>
        </w:rPr>
        <w:t>ich NEMO, zarówno podmiotów nie</w:t>
      </w:r>
      <w:r w:rsidR="00F3785E" w:rsidRPr="00EF6F97">
        <w:rPr>
          <w:rFonts w:ascii="Times New Roman" w:hAnsi="Times New Roman" w:cs="Times New Roman"/>
          <w:sz w:val="24"/>
          <w:szCs w:val="24"/>
        </w:rPr>
        <w:t>będących giełdami towarowymi w rozumieniu ustawy o giełdach towarowych, a więc tzw. zagranicznych NEMO</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podmiotów będącymi giełdami towarowymi w rozumieniu ustawy o giełdach towarowych.</w:t>
      </w:r>
    </w:p>
    <w:p w14:paraId="31D81831"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Konieczne jest przyjęcie przepisów umożliwiających bieżący</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regularny (np. coroczny) monitoring działalności prowadzonej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wszystkich NEMO, w kontekście wypełniania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te podmioty kryteriów wyznaczenia ora</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prawidłowego realizowania zadań NEMO</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MCO</w:t>
      </w:r>
      <w:r w:rsidR="00032DC8" w:rsidRPr="00EF6F97">
        <w:rPr>
          <w:rFonts w:ascii="Times New Roman" w:hAnsi="Times New Roman" w:cs="Times New Roman"/>
          <w:sz w:val="24"/>
          <w:szCs w:val="24"/>
        </w:rPr>
        <w:t>.</w:t>
      </w:r>
    </w:p>
    <w:p w14:paraId="4A24CB98"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 xml:space="preserve">Celowe jest przyjęcie przepisów </w:t>
      </w:r>
      <w:r w:rsidR="00032DC8" w:rsidRPr="00EF6F97">
        <w:rPr>
          <w:rFonts w:ascii="Times New Roman" w:hAnsi="Times New Roman" w:cs="Times New Roman"/>
          <w:sz w:val="24"/>
          <w:szCs w:val="24"/>
        </w:rPr>
        <w:t>krajowych dających krajowemu regulatorowi</w:t>
      </w:r>
      <w:r w:rsidR="00F3785E" w:rsidRPr="00EF6F97">
        <w:rPr>
          <w:rFonts w:ascii="Times New Roman" w:hAnsi="Times New Roman" w:cs="Times New Roman"/>
          <w:sz w:val="24"/>
          <w:szCs w:val="24"/>
        </w:rPr>
        <w:t xml:space="preserve"> kompetencje do stałego monitorowania działalności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 xml:space="preserve">te podmioty (w kontekście realizacji zadań wynikających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Rozporządzenia CACM, w szczególności określonych w art. 7) ora</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do periodycznej weryfikacji spełniania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 xml:space="preserve">nie kryteriów wyznaczenia zawartych w art. 6 Rozporządzenia CACM. Jak wspomniano powyżej, wprowadzenie takich przepisów jest niezbędne,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uwagi na szczątkowe regulacje w tym zakresie zawarte w Rozporządzeniu CACM (pozwalające tylko na zastosowanie ostatecznego środka w postaci zaprzestania działalności prze NEMO,</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 xml:space="preserve">to tylko w przypadku zaprzestania wypełniania kryteriów wyznaczenia). </w:t>
      </w:r>
    </w:p>
    <w:p w14:paraId="00A35E1D" w14:textId="77777777" w:rsidR="00E577E0" w:rsidRPr="00EF6F97" w:rsidRDefault="00E577E0"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lastRenderedPageBreak/>
        <w:t xml:space="preserve">W związku </w:t>
      </w:r>
      <w:r w:rsidR="001D0628">
        <w:rPr>
          <w:rFonts w:ascii="Times New Roman" w:hAnsi="Times New Roman" w:cs="Times New Roman"/>
          <w:sz w:val="24"/>
          <w:szCs w:val="24"/>
        </w:rPr>
        <w:t>z </w:t>
      </w:r>
      <w:r w:rsidRPr="00EF6F97">
        <w:rPr>
          <w:rFonts w:ascii="Times New Roman" w:hAnsi="Times New Roman" w:cs="Times New Roman"/>
          <w:sz w:val="24"/>
          <w:szCs w:val="24"/>
        </w:rPr>
        <w:t>powyższym w ustawie wprowadza się następujące zmiany:</w:t>
      </w:r>
    </w:p>
    <w:p w14:paraId="165E347D" w14:textId="77777777" w:rsidR="00E577E0" w:rsidRPr="00215A1D" w:rsidRDefault="00E577E0" w:rsidP="00215A1D">
      <w:pPr>
        <w:pStyle w:val="Akapitzlist"/>
        <w:numPr>
          <w:ilvl w:val="0"/>
          <w:numId w:val="19"/>
        </w:numPr>
        <w:spacing w:after="0" w:line="360" w:lineRule="auto"/>
        <w:jc w:val="both"/>
        <w:rPr>
          <w:rFonts w:ascii="Times New Roman" w:hAnsi="Times New Roman"/>
          <w:sz w:val="24"/>
          <w:szCs w:val="24"/>
        </w:rPr>
      </w:pPr>
      <w:r w:rsidRPr="00215A1D">
        <w:rPr>
          <w:rFonts w:ascii="Times New Roman" w:hAnsi="Times New Roman"/>
          <w:sz w:val="24"/>
          <w:szCs w:val="24"/>
        </w:rPr>
        <w:t>zdefiniowano NEMO,</w:t>
      </w:r>
    </w:p>
    <w:p w14:paraId="37104A7F" w14:textId="77777777" w:rsidR="00E577E0" w:rsidRPr="00215A1D" w:rsidRDefault="00E577E0" w:rsidP="00215A1D">
      <w:pPr>
        <w:pStyle w:val="Akapitzlist"/>
        <w:numPr>
          <w:ilvl w:val="0"/>
          <w:numId w:val="19"/>
        </w:numPr>
        <w:spacing w:after="0" w:line="360" w:lineRule="auto"/>
        <w:jc w:val="both"/>
        <w:rPr>
          <w:rFonts w:ascii="Times New Roman" w:hAnsi="Times New Roman"/>
          <w:sz w:val="24"/>
          <w:szCs w:val="24"/>
        </w:rPr>
      </w:pPr>
      <w:r w:rsidRPr="00215A1D">
        <w:rPr>
          <w:rFonts w:ascii="Times New Roman" w:hAnsi="Times New Roman"/>
          <w:sz w:val="24"/>
          <w:szCs w:val="24"/>
        </w:rPr>
        <w:t>nadano regulatorowi kompetencje do ustalania zasad podziału uprawnień do głosowania prze</w:t>
      </w:r>
      <w:r w:rsidR="001D0628">
        <w:rPr>
          <w:rFonts w:ascii="Times New Roman" w:hAnsi="Times New Roman"/>
          <w:sz w:val="24"/>
          <w:szCs w:val="24"/>
        </w:rPr>
        <w:t>z </w:t>
      </w:r>
      <w:r w:rsidRPr="00215A1D">
        <w:rPr>
          <w:rFonts w:ascii="Times New Roman" w:hAnsi="Times New Roman"/>
          <w:sz w:val="24"/>
          <w:szCs w:val="24"/>
        </w:rPr>
        <w:t>NEMO</w:t>
      </w:r>
      <w:r w:rsidR="001D0628">
        <w:rPr>
          <w:rFonts w:ascii="Times New Roman" w:hAnsi="Times New Roman"/>
          <w:sz w:val="24"/>
          <w:szCs w:val="24"/>
        </w:rPr>
        <w:t xml:space="preserve"> i </w:t>
      </w:r>
      <w:r w:rsidRPr="00215A1D">
        <w:rPr>
          <w:rFonts w:ascii="Times New Roman" w:hAnsi="Times New Roman"/>
          <w:sz w:val="24"/>
          <w:szCs w:val="24"/>
        </w:rPr>
        <w:t>podział tych uprawnień w rozumieniu art. 9 ust. 2 akapit 4 Rozporządzenia CACM,</w:t>
      </w:r>
    </w:p>
    <w:p w14:paraId="0706BA20" w14:textId="7F8DCA2D" w:rsidR="00E577E0" w:rsidRPr="00215A1D" w:rsidRDefault="00E577E0" w:rsidP="00215A1D">
      <w:pPr>
        <w:pStyle w:val="Akapitzlist"/>
        <w:numPr>
          <w:ilvl w:val="0"/>
          <w:numId w:val="19"/>
        </w:numPr>
        <w:spacing w:after="0" w:line="360" w:lineRule="auto"/>
        <w:jc w:val="both"/>
        <w:rPr>
          <w:rFonts w:ascii="Times New Roman" w:hAnsi="Times New Roman"/>
          <w:sz w:val="24"/>
          <w:szCs w:val="24"/>
        </w:rPr>
      </w:pPr>
      <w:r w:rsidRPr="00215A1D">
        <w:rPr>
          <w:rFonts w:ascii="Times New Roman" w:hAnsi="Times New Roman"/>
          <w:sz w:val="24"/>
          <w:szCs w:val="24"/>
        </w:rPr>
        <w:t>przyznano regulatorowi prawo do żądania od NEMO</w:t>
      </w:r>
      <w:r w:rsidR="00A90B74" w:rsidRPr="00215A1D">
        <w:rPr>
          <w:rFonts w:ascii="Times New Roman" w:hAnsi="Times New Roman"/>
        </w:rPr>
        <w:t xml:space="preserve"> </w:t>
      </w:r>
      <w:r w:rsidR="00A90B74" w:rsidRPr="00215A1D">
        <w:rPr>
          <w:rFonts w:ascii="Times New Roman" w:hAnsi="Times New Roman"/>
          <w:sz w:val="24"/>
          <w:szCs w:val="24"/>
        </w:rPr>
        <w:t xml:space="preserve">przedstawienia informacji lub dokumentów dotyczących wykonywanej działalności </w:t>
      </w:r>
      <w:r w:rsidR="00374EF3">
        <w:rPr>
          <w:rFonts w:ascii="Times New Roman" w:hAnsi="Times New Roman"/>
          <w:sz w:val="24"/>
          <w:szCs w:val="24"/>
        </w:rPr>
        <w:t>wyznaczo</w:t>
      </w:r>
      <w:r w:rsidR="00A90B74" w:rsidRPr="00215A1D">
        <w:rPr>
          <w:rFonts w:ascii="Times New Roman" w:hAnsi="Times New Roman"/>
          <w:sz w:val="24"/>
          <w:szCs w:val="24"/>
        </w:rPr>
        <w:t>nego operatora rynku energii elektrycznej</w:t>
      </w:r>
      <w:r w:rsidRPr="00215A1D">
        <w:rPr>
          <w:rFonts w:ascii="Times New Roman" w:hAnsi="Times New Roman"/>
          <w:sz w:val="24"/>
          <w:szCs w:val="24"/>
        </w:rPr>
        <w:t xml:space="preserve">. </w:t>
      </w:r>
    </w:p>
    <w:p w14:paraId="281F2076" w14:textId="77777777" w:rsidR="00E577E0"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17363" w:rsidRPr="00EF6F97">
        <w:rPr>
          <w:rFonts w:ascii="Times New Roman" w:hAnsi="Times New Roman" w:cs="Times New Roman"/>
          <w:sz w:val="24"/>
          <w:szCs w:val="24"/>
        </w:rPr>
        <w:t xml:space="preserve">W projekcie określono również sankcje dla NEMO za nie przestrzeganie obowiązków wynikających </w:t>
      </w:r>
      <w:r w:rsidR="001D0628">
        <w:rPr>
          <w:rFonts w:ascii="Times New Roman" w:hAnsi="Times New Roman" w:cs="Times New Roman"/>
          <w:sz w:val="24"/>
          <w:szCs w:val="24"/>
        </w:rPr>
        <w:t>z </w:t>
      </w:r>
      <w:r w:rsidR="00F17363" w:rsidRPr="00EF6F97">
        <w:rPr>
          <w:rFonts w:ascii="Times New Roman" w:hAnsi="Times New Roman" w:cs="Times New Roman"/>
          <w:sz w:val="24"/>
          <w:szCs w:val="24"/>
        </w:rPr>
        <w:t>przepisów Rozporządzenia CACM, nie przekazywanie ACERowi</w:t>
      </w:r>
      <w:r w:rsidR="00211759" w:rsidRPr="00EF6F97">
        <w:rPr>
          <w:rFonts w:ascii="Times New Roman" w:hAnsi="Times New Roman" w:cs="Times New Roman"/>
          <w:sz w:val="24"/>
          <w:szCs w:val="24"/>
        </w:rPr>
        <w:t xml:space="preserve"> lub Prezesowi</w:t>
      </w:r>
      <w:r w:rsidR="00F17363" w:rsidRPr="00EF6F97">
        <w:rPr>
          <w:rFonts w:ascii="Times New Roman" w:hAnsi="Times New Roman" w:cs="Times New Roman"/>
          <w:sz w:val="24"/>
          <w:szCs w:val="24"/>
        </w:rPr>
        <w:t xml:space="preserve"> </w:t>
      </w:r>
      <w:r w:rsidR="00211759" w:rsidRPr="00EF6F97">
        <w:rPr>
          <w:rFonts w:ascii="Times New Roman" w:hAnsi="Times New Roman" w:cs="Times New Roman"/>
          <w:sz w:val="24"/>
          <w:szCs w:val="24"/>
        </w:rPr>
        <w:t>U</w:t>
      </w:r>
      <w:r w:rsidR="0053461A" w:rsidRPr="00EF6F97">
        <w:rPr>
          <w:rFonts w:ascii="Times New Roman" w:hAnsi="Times New Roman" w:cs="Times New Roman"/>
          <w:sz w:val="24"/>
          <w:szCs w:val="24"/>
        </w:rPr>
        <w:t>RE informacji, w tym przekazywanie informacji nieprawdziwych lub niepełnych.</w:t>
      </w:r>
    </w:p>
    <w:p w14:paraId="4D2D299B" w14:textId="77777777" w:rsidR="00956630" w:rsidRPr="00EF6F97" w:rsidRDefault="00C44398"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 projekcie ustawy określono również ogólne zasady głosowania w sprawie decyzji dotyczących wniosków przygotowywanych prze</w:t>
      </w:r>
      <w:r w:rsidR="001D0628">
        <w:rPr>
          <w:rFonts w:ascii="Times New Roman" w:hAnsi="Times New Roman" w:cs="Times New Roman"/>
          <w:sz w:val="24"/>
          <w:szCs w:val="24"/>
        </w:rPr>
        <w:t>z </w:t>
      </w:r>
      <w:r w:rsidRPr="00EF6F97">
        <w:rPr>
          <w:rFonts w:ascii="Times New Roman" w:hAnsi="Times New Roman" w:cs="Times New Roman"/>
          <w:sz w:val="24"/>
          <w:szCs w:val="24"/>
        </w:rPr>
        <w:t>NEMO</w:t>
      </w:r>
      <w:r w:rsidR="000F4042" w:rsidRPr="00EF6F97">
        <w:rPr>
          <w:rFonts w:ascii="Times New Roman" w:hAnsi="Times New Roman" w:cs="Times New Roman"/>
          <w:sz w:val="24"/>
          <w:szCs w:val="24"/>
        </w:rPr>
        <w:t>, które</w:t>
      </w:r>
      <w:r w:rsidRPr="00EF6F97">
        <w:rPr>
          <w:rFonts w:ascii="Times New Roman" w:hAnsi="Times New Roman" w:cs="Times New Roman"/>
          <w:sz w:val="24"/>
          <w:szCs w:val="24"/>
        </w:rPr>
        <w:t xml:space="preserve"> zostały opisane w art. 9 ust. 2 Rozporządzenia CACM. Zaproponowano </w:t>
      </w:r>
      <w:r w:rsidR="00F44FCB" w:rsidRPr="00EF6F97">
        <w:rPr>
          <w:rFonts w:ascii="Times New Roman" w:hAnsi="Times New Roman" w:cs="Times New Roman"/>
          <w:sz w:val="24"/>
          <w:szCs w:val="24"/>
        </w:rPr>
        <w:t xml:space="preserve">model, zgodnie </w:t>
      </w:r>
      <w:r w:rsidR="001D0628">
        <w:rPr>
          <w:rFonts w:ascii="Times New Roman" w:hAnsi="Times New Roman" w:cs="Times New Roman"/>
          <w:sz w:val="24"/>
          <w:szCs w:val="24"/>
        </w:rPr>
        <w:t>z </w:t>
      </w:r>
      <w:r w:rsidR="00F44FCB" w:rsidRPr="00EF6F97">
        <w:rPr>
          <w:rFonts w:ascii="Times New Roman" w:hAnsi="Times New Roman" w:cs="Times New Roman"/>
          <w:sz w:val="24"/>
          <w:szCs w:val="24"/>
        </w:rPr>
        <w:t xml:space="preserve">którym </w:t>
      </w:r>
      <w:r w:rsidR="00770679" w:rsidRPr="00EF6F97">
        <w:rPr>
          <w:rFonts w:ascii="Times New Roman" w:hAnsi="Times New Roman" w:cs="Times New Roman"/>
          <w:sz w:val="24"/>
          <w:szCs w:val="24"/>
        </w:rPr>
        <w:t>wyznaczonemu operatorowi rynku energii elektrycznej przysługuje liczba głosów równa ułamkowi wyrażającemu udział obrotu energią elektryczną dokonanego prze</w:t>
      </w:r>
      <w:r w:rsidR="001D0628">
        <w:rPr>
          <w:rFonts w:ascii="Times New Roman" w:hAnsi="Times New Roman" w:cs="Times New Roman"/>
          <w:sz w:val="24"/>
          <w:szCs w:val="24"/>
        </w:rPr>
        <w:t>z </w:t>
      </w:r>
      <w:r w:rsidR="00770679" w:rsidRPr="00EF6F97">
        <w:rPr>
          <w:rFonts w:ascii="Times New Roman" w:hAnsi="Times New Roman" w:cs="Times New Roman"/>
          <w:sz w:val="24"/>
          <w:szCs w:val="24"/>
        </w:rPr>
        <w:t>tego operatora na terytorium Rzeczypospolitej Polskiej w ogólnej wielkości obrotu energią elektryczną na terytorium Rzeczypospolitej Polskiej w poprzednim roku kalendarzowym.</w:t>
      </w:r>
    </w:p>
    <w:p w14:paraId="58A1F7DF" w14:textId="77777777" w:rsidR="009D3534" w:rsidRPr="00EF6F97" w:rsidRDefault="009D3534" w:rsidP="00EF6F97">
      <w:pPr>
        <w:spacing w:line="360" w:lineRule="auto"/>
        <w:jc w:val="both"/>
        <w:rPr>
          <w:rFonts w:ascii="Times New Roman" w:hAnsi="Times New Roman" w:cs="Times New Roman"/>
          <w:sz w:val="24"/>
          <w:szCs w:val="24"/>
        </w:rPr>
      </w:pPr>
    </w:p>
    <w:p w14:paraId="58AF1AAD" w14:textId="77777777" w:rsidR="00141291"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141291" w:rsidRPr="00EF6F97">
        <w:rPr>
          <w:rFonts w:ascii="Times New Roman" w:hAnsi="Times New Roman" w:cs="Times New Roman"/>
          <w:sz w:val="24"/>
          <w:szCs w:val="24"/>
        </w:rPr>
        <w:t xml:space="preserve">Ad. 2. Projekt ustawy stwarza podstawę prawną dla tzw. rekuperacji energii elektrycznej zwracanej do sieci trakcyjnej w następstwie hamowania pojazdów. </w:t>
      </w:r>
      <w:r w:rsidR="001D0628">
        <w:rPr>
          <w:rFonts w:ascii="Times New Roman" w:hAnsi="Times New Roman" w:cs="Times New Roman"/>
          <w:sz w:val="24"/>
          <w:szCs w:val="24"/>
        </w:rPr>
        <w:t>Z </w:t>
      </w:r>
      <w:r w:rsidR="00141291" w:rsidRPr="00EF6F97">
        <w:rPr>
          <w:rFonts w:ascii="Times New Roman" w:hAnsi="Times New Roman" w:cs="Times New Roman"/>
          <w:sz w:val="24"/>
          <w:szCs w:val="24"/>
        </w:rPr>
        <w:t>zagadnieniem tym zmierzyły się już niektóre Państwa Członkowskie UE. Np. w Niemczech przyjęto model, w którym zwracanie energii elektrycznej prze</w:t>
      </w:r>
      <w:r w:rsidR="001D0628">
        <w:rPr>
          <w:rFonts w:ascii="Times New Roman" w:hAnsi="Times New Roman" w:cs="Times New Roman"/>
          <w:sz w:val="24"/>
          <w:szCs w:val="24"/>
        </w:rPr>
        <w:t>z </w:t>
      </w:r>
      <w:r w:rsidR="00141291" w:rsidRPr="00EF6F97">
        <w:rPr>
          <w:rFonts w:ascii="Times New Roman" w:hAnsi="Times New Roman" w:cs="Times New Roman"/>
          <w:sz w:val="24"/>
          <w:szCs w:val="24"/>
        </w:rPr>
        <w:t>pojazdy kolejowe w ramach procesu rekuperacji nie podlega szczególnym ograniczeniom prawnym. Energia ta może być sprzedawana prze</w:t>
      </w:r>
      <w:r w:rsidR="001D0628">
        <w:rPr>
          <w:rFonts w:ascii="Times New Roman" w:hAnsi="Times New Roman" w:cs="Times New Roman"/>
          <w:sz w:val="24"/>
          <w:szCs w:val="24"/>
        </w:rPr>
        <w:t>z </w:t>
      </w:r>
      <w:r w:rsidR="00141291" w:rsidRPr="00EF6F97">
        <w:rPr>
          <w:rFonts w:ascii="Times New Roman" w:hAnsi="Times New Roman" w:cs="Times New Roman"/>
          <w:sz w:val="24"/>
          <w:szCs w:val="24"/>
        </w:rPr>
        <w:t>przewoźnika kolejowego eksploatującego pojazd kolejowy, którego silniki trakcyjne generują</w:t>
      </w:r>
      <w:r w:rsidR="00EF6F97">
        <w:rPr>
          <w:rFonts w:ascii="Times New Roman" w:hAnsi="Times New Roman" w:cs="Times New Roman"/>
          <w:sz w:val="24"/>
          <w:szCs w:val="24"/>
        </w:rPr>
        <w:t xml:space="preserve"> </w:t>
      </w:r>
      <w:r w:rsidR="00141291" w:rsidRPr="00EF6F97">
        <w:rPr>
          <w:rFonts w:ascii="Times New Roman" w:hAnsi="Times New Roman" w:cs="Times New Roman"/>
          <w:sz w:val="24"/>
          <w:szCs w:val="24"/>
        </w:rPr>
        <w:t>energię elektryczną w trybie pracy prądnicowej</w:t>
      </w:r>
      <w:r w:rsidR="001D0628">
        <w:rPr>
          <w:rFonts w:ascii="Times New Roman" w:hAnsi="Times New Roman" w:cs="Times New Roman"/>
          <w:sz w:val="24"/>
          <w:szCs w:val="24"/>
        </w:rPr>
        <w:t xml:space="preserve"> i </w:t>
      </w:r>
      <w:r w:rsidR="00141291" w:rsidRPr="00EF6F97">
        <w:rPr>
          <w:rFonts w:ascii="Times New Roman" w:hAnsi="Times New Roman" w:cs="Times New Roman"/>
          <w:sz w:val="24"/>
          <w:szCs w:val="24"/>
        </w:rPr>
        <w:t xml:space="preserve">zwraca ją do sieci trakcyjnej. Prawo niemieckie przewiduje stawki na energię elektryczną zwróconą do sieci trakcyjnej w wyniku procesu rekuperacji, lekko zróżnicowane w zależności od tego czy energia elektryczna jest wprowadzana w szczycie czy poza szczytem. Pozwala ono przewoźnikowi kolejowemu – uznanemu za wytwórcę rozproszonego – na otrzymywanie wynagrodzenia </w:t>
      </w:r>
      <w:r w:rsidR="001D0628">
        <w:rPr>
          <w:rFonts w:ascii="Times New Roman" w:hAnsi="Times New Roman" w:cs="Times New Roman"/>
          <w:sz w:val="24"/>
          <w:szCs w:val="24"/>
        </w:rPr>
        <w:t>z </w:t>
      </w:r>
      <w:r w:rsidR="00141291" w:rsidRPr="00EF6F97">
        <w:rPr>
          <w:rFonts w:ascii="Times New Roman" w:hAnsi="Times New Roman" w:cs="Times New Roman"/>
          <w:sz w:val="24"/>
          <w:szCs w:val="24"/>
        </w:rPr>
        <w:t xml:space="preserve">tytułu unikniętych w wyniku rekuperacji kosztów korzystania </w:t>
      </w:r>
      <w:r w:rsidR="001D0628">
        <w:rPr>
          <w:rFonts w:ascii="Times New Roman" w:hAnsi="Times New Roman" w:cs="Times New Roman"/>
          <w:sz w:val="24"/>
          <w:szCs w:val="24"/>
        </w:rPr>
        <w:t>z </w:t>
      </w:r>
      <w:r w:rsidR="00141291" w:rsidRPr="00EF6F97">
        <w:rPr>
          <w:rFonts w:ascii="Times New Roman" w:hAnsi="Times New Roman" w:cs="Times New Roman"/>
          <w:sz w:val="24"/>
          <w:szCs w:val="24"/>
        </w:rPr>
        <w:t>sieci elektroenergetycznej.</w:t>
      </w:r>
    </w:p>
    <w:p w14:paraId="509F3191" w14:textId="77777777" w:rsidR="00770679"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141291" w:rsidRPr="00EF6F97">
        <w:rPr>
          <w:rFonts w:ascii="Times New Roman" w:hAnsi="Times New Roman" w:cs="Times New Roman"/>
          <w:sz w:val="24"/>
          <w:szCs w:val="24"/>
        </w:rPr>
        <w:t>Zaproponowane w projekcie ustawy rozwiązania obejmą swoim zakresem podmiotowym pojazdy kolejowe (w tym metro), tramwaje</w:t>
      </w:r>
      <w:r w:rsidR="001D0628">
        <w:rPr>
          <w:rFonts w:ascii="Times New Roman" w:hAnsi="Times New Roman" w:cs="Times New Roman"/>
          <w:sz w:val="24"/>
          <w:szCs w:val="24"/>
        </w:rPr>
        <w:t xml:space="preserve"> i </w:t>
      </w:r>
      <w:r w:rsidR="00141291" w:rsidRPr="00EF6F97">
        <w:rPr>
          <w:rFonts w:ascii="Times New Roman" w:hAnsi="Times New Roman" w:cs="Times New Roman"/>
          <w:sz w:val="24"/>
          <w:szCs w:val="24"/>
        </w:rPr>
        <w:t xml:space="preserve">trolejbusy. </w:t>
      </w:r>
      <w:r w:rsidR="00770679" w:rsidRPr="00EF6F97">
        <w:rPr>
          <w:rFonts w:ascii="Times New Roman" w:hAnsi="Times New Roman" w:cs="Times New Roman"/>
          <w:sz w:val="24"/>
          <w:szCs w:val="24"/>
        </w:rPr>
        <w:t xml:space="preserve">Rozliczanie dostarczanej energii elektrycznej, w przypadku jej zwrotu do sieci trakcyjnej przyłączonej do </w:t>
      </w:r>
      <w:r w:rsidR="00770679" w:rsidRPr="00EF6F97">
        <w:rPr>
          <w:rFonts w:ascii="Times New Roman" w:hAnsi="Times New Roman" w:cs="Times New Roman"/>
          <w:sz w:val="24"/>
          <w:szCs w:val="24"/>
        </w:rPr>
        <w:lastRenderedPageBreak/>
        <w:t>sieci dystrybucyjnej operatora systemu dystrybucyjnego elektroenergetycznego, albo sieci dystrybucyjnej operatora systemu dystrybucyjnego elektroenergetycznego w następstwie hamowania pojazdu kolejowego, tramwaju ora</w:t>
      </w:r>
      <w:r w:rsidR="001D0628">
        <w:rPr>
          <w:rFonts w:ascii="Times New Roman" w:hAnsi="Times New Roman" w:cs="Times New Roman"/>
          <w:sz w:val="24"/>
          <w:szCs w:val="24"/>
        </w:rPr>
        <w:t>z </w:t>
      </w:r>
      <w:r w:rsidR="00770679" w:rsidRPr="00EF6F97">
        <w:rPr>
          <w:rFonts w:ascii="Times New Roman" w:hAnsi="Times New Roman" w:cs="Times New Roman"/>
          <w:sz w:val="24"/>
          <w:szCs w:val="24"/>
        </w:rPr>
        <w:t>trolejbusa będzie następowało na podstawie różnicy ilości energii elektrycznej pobranej</w:t>
      </w:r>
      <w:r w:rsidR="001D0628">
        <w:rPr>
          <w:rFonts w:ascii="Times New Roman" w:hAnsi="Times New Roman" w:cs="Times New Roman"/>
          <w:sz w:val="24"/>
          <w:szCs w:val="24"/>
        </w:rPr>
        <w:t xml:space="preserve"> i </w:t>
      </w:r>
      <w:r w:rsidR="00770679" w:rsidRPr="00EF6F97">
        <w:rPr>
          <w:rFonts w:ascii="Times New Roman" w:hAnsi="Times New Roman" w:cs="Times New Roman"/>
          <w:sz w:val="24"/>
          <w:szCs w:val="24"/>
        </w:rPr>
        <w:t>zwróconej prze</w:t>
      </w:r>
      <w:r w:rsidR="001D0628">
        <w:rPr>
          <w:rFonts w:ascii="Times New Roman" w:hAnsi="Times New Roman" w:cs="Times New Roman"/>
          <w:sz w:val="24"/>
          <w:szCs w:val="24"/>
        </w:rPr>
        <w:t>z </w:t>
      </w:r>
      <w:r w:rsidR="00770679" w:rsidRPr="00EF6F97">
        <w:rPr>
          <w:rFonts w:ascii="Times New Roman" w:hAnsi="Times New Roman" w:cs="Times New Roman"/>
          <w:sz w:val="24"/>
          <w:szCs w:val="24"/>
        </w:rPr>
        <w:t>danego odbiorcę, ustalanej w oparciu o rzeczywiste wskazania urządzeń pomiarowo-rozliczeniowych. Rozliczanie strat energii elektrycznej powstałych w sieci trakcyjnej przyłączonej do sieci dystrybucyjnej ora</w:t>
      </w:r>
      <w:r w:rsidR="001D0628">
        <w:rPr>
          <w:rFonts w:ascii="Times New Roman" w:hAnsi="Times New Roman" w:cs="Times New Roman"/>
          <w:sz w:val="24"/>
          <w:szCs w:val="24"/>
        </w:rPr>
        <w:t>z </w:t>
      </w:r>
      <w:r w:rsidR="00770679" w:rsidRPr="00EF6F97">
        <w:rPr>
          <w:rFonts w:ascii="Times New Roman" w:hAnsi="Times New Roman" w:cs="Times New Roman"/>
          <w:sz w:val="24"/>
          <w:szCs w:val="24"/>
        </w:rPr>
        <w:t>w sieci dystrybucyjnej podczas dostarczania lub zwrotu tej energii będzie następowało na podstawie umowy.</w:t>
      </w:r>
    </w:p>
    <w:p w14:paraId="063D75E6" w14:textId="77777777" w:rsidR="00141291" w:rsidRPr="00EF6F97" w:rsidRDefault="00141291" w:rsidP="00EF6F97">
      <w:pPr>
        <w:spacing w:line="360" w:lineRule="auto"/>
        <w:jc w:val="both"/>
        <w:rPr>
          <w:rFonts w:ascii="Times New Roman" w:hAnsi="Times New Roman" w:cs="Times New Roman"/>
          <w:sz w:val="24"/>
          <w:szCs w:val="24"/>
        </w:rPr>
      </w:pPr>
    </w:p>
    <w:p w14:paraId="7EE0B372" w14:textId="77777777" w:rsidR="00354FAB"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56630" w:rsidRPr="00EF6F97">
        <w:rPr>
          <w:rFonts w:ascii="Times New Roman" w:hAnsi="Times New Roman" w:cs="Times New Roman"/>
          <w:sz w:val="24"/>
          <w:szCs w:val="24"/>
        </w:rPr>
        <w:t>Ad. 3</w:t>
      </w:r>
      <w:r w:rsidR="00F86AB1" w:rsidRPr="00EF6F97">
        <w:rPr>
          <w:rFonts w:ascii="Times New Roman" w:hAnsi="Times New Roman" w:cs="Times New Roman"/>
          <w:sz w:val="24"/>
          <w:szCs w:val="24"/>
        </w:rPr>
        <w:t xml:space="preserve">. </w:t>
      </w:r>
      <w:r w:rsidR="00736325" w:rsidRPr="00EF6F97">
        <w:rPr>
          <w:rFonts w:ascii="Times New Roman" w:hAnsi="Times New Roman" w:cs="Times New Roman"/>
          <w:sz w:val="24"/>
          <w:szCs w:val="24"/>
        </w:rPr>
        <w:t>Projekt ustawy wprowadza przepisy ustanawiające obowiązek sporządzania prze</w:t>
      </w:r>
      <w:r w:rsidR="001D0628">
        <w:rPr>
          <w:rFonts w:ascii="Times New Roman" w:hAnsi="Times New Roman" w:cs="Times New Roman"/>
          <w:sz w:val="24"/>
          <w:szCs w:val="24"/>
        </w:rPr>
        <w:t>z </w:t>
      </w:r>
      <w:r w:rsidR="00736325" w:rsidRPr="00EF6F97">
        <w:rPr>
          <w:rFonts w:ascii="Times New Roman" w:hAnsi="Times New Roman" w:cs="Times New Roman"/>
          <w:sz w:val="24"/>
          <w:szCs w:val="24"/>
        </w:rPr>
        <w:t>operatora systemu magazynowania instrukcji ruchu</w:t>
      </w:r>
      <w:r w:rsidR="001D0628">
        <w:rPr>
          <w:rFonts w:ascii="Times New Roman" w:hAnsi="Times New Roman" w:cs="Times New Roman"/>
          <w:sz w:val="24"/>
          <w:szCs w:val="24"/>
        </w:rPr>
        <w:t xml:space="preserve"> i </w:t>
      </w:r>
      <w:r w:rsidR="00736325" w:rsidRPr="00EF6F97">
        <w:rPr>
          <w:rFonts w:ascii="Times New Roman" w:hAnsi="Times New Roman" w:cs="Times New Roman"/>
          <w:sz w:val="24"/>
          <w:szCs w:val="24"/>
        </w:rPr>
        <w:t>eksploatacji instalacji magazynowej ora</w:t>
      </w:r>
      <w:r w:rsidR="001D0628">
        <w:rPr>
          <w:rFonts w:ascii="Times New Roman" w:hAnsi="Times New Roman" w:cs="Times New Roman"/>
          <w:sz w:val="24"/>
          <w:szCs w:val="24"/>
        </w:rPr>
        <w:t>z </w:t>
      </w:r>
      <w:r w:rsidR="00736325" w:rsidRPr="00EF6F97">
        <w:rPr>
          <w:rFonts w:ascii="Times New Roman" w:hAnsi="Times New Roman" w:cs="Times New Roman"/>
          <w:sz w:val="24"/>
          <w:szCs w:val="24"/>
        </w:rPr>
        <w:t xml:space="preserve">skonsultowania jej </w:t>
      </w:r>
      <w:r w:rsidR="001D0628">
        <w:rPr>
          <w:rFonts w:ascii="Times New Roman" w:hAnsi="Times New Roman" w:cs="Times New Roman"/>
          <w:sz w:val="24"/>
          <w:szCs w:val="24"/>
        </w:rPr>
        <w:t>z </w:t>
      </w:r>
      <w:r w:rsidR="00736325" w:rsidRPr="00EF6F97">
        <w:rPr>
          <w:rFonts w:ascii="Times New Roman" w:hAnsi="Times New Roman" w:cs="Times New Roman"/>
          <w:sz w:val="24"/>
          <w:szCs w:val="24"/>
        </w:rPr>
        <w:t>użytkownikami systemu</w:t>
      </w:r>
      <w:r w:rsidR="001D0628">
        <w:rPr>
          <w:rFonts w:ascii="Times New Roman" w:hAnsi="Times New Roman" w:cs="Times New Roman"/>
          <w:sz w:val="24"/>
          <w:szCs w:val="24"/>
        </w:rPr>
        <w:t xml:space="preserve"> i </w:t>
      </w:r>
      <w:r w:rsidR="00736325" w:rsidRPr="00EF6F97">
        <w:rPr>
          <w:rFonts w:ascii="Times New Roman" w:hAnsi="Times New Roman" w:cs="Times New Roman"/>
          <w:sz w:val="24"/>
          <w:szCs w:val="24"/>
        </w:rPr>
        <w:t>przedłożenia do zatwierdzenia prze</w:t>
      </w:r>
      <w:r w:rsidR="001D0628">
        <w:rPr>
          <w:rFonts w:ascii="Times New Roman" w:hAnsi="Times New Roman" w:cs="Times New Roman"/>
          <w:sz w:val="24"/>
          <w:szCs w:val="24"/>
        </w:rPr>
        <w:t>z </w:t>
      </w:r>
      <w:r w:rsidR="00736325" w:rsidRPr="00EF6F97">
        <w:rPr>
          <w:rFonts w:ascii="Times New Roman" w:hAnsi="Times New Roman" w:cs="Times New Roman"/>
          <w:sz w:val="24"/>
          <w:szCs w:val="24"/>
        </w:rPr>
        <w:t>Prezesa URE na wzór obecnie funkcjonującego obowiązku sporządzenia instrukcji ruchu</w:t>
      </w:r>
      <w:r w:rsidR="001D0628">
        <w:rPr>
          <w:rFonts w:ascii="Times New Roman" w:hAnsi="Times New Roman" w:cs="Times New Roman"/>
          <w:sz w:val="24"/>
          <w:szCs w:val="24"/>
        </w:rPr>
        <w:t xml:space="preserve"> i </w:t>
      </w:r>
      <w:r w:rsidR="00736325" w:rsidRPr="00EF6F97">
        <w:rPr>
          <w:rFonts w:ascii="Times New Roman" w:hAnsi="Times New Roman" w:cs="Times New Roman"/>
          <w:sz w:val="24"/>
          <w:szCs w:val="24"/>
        </w:rPr>
        <w:t>eksploatacji sieci, zarówno prze</w:t>
      </w:r>
      <w:r w:rsidR="001D0628">
        <w:rPr>
          <w:rFonts w:ascii="Times New Roman" w:hAnsi="Times New Roman" w:cs="Times New Roman"/>
          <w:sz w:val="24"/>
          <w:szCs w:val="24"/>
        </w:rPr>
        <w:t>z </w:t>
      </w:r>
      <w:r w:rsidR="00736325" w:rsidRPr="00EF6F97">
        <w:rPr>
          <w:rFonts w:ascii="Times New Roman" w:hAnsi="Times New Roman" w:cs="Times New Roman"/>
          <w:sz w:val="24"/>
          <w:szCs w:val="24"/>
        </w:rPr>
        <w:t>operatora systemu dystrybucyjnego, jak</w:t>
      </w:r>
      <w:r w:rsidR="001D0628">
        <w:rPr>
          <w:rFonts w:ascii="Times New Roman" w:hAnsi="Times New Roman" w:cs="Times New Roman"/>
          <w:sz w:val="24"/>
          <w:szCs w:val="24"/>
        </w:rPr>
        <w:t xml:space="preserve"> i </w:t>
      </w:r>
      <w:r w:rsidR="00736325" w:rsidRPr="00EF6F97">
        <w:rPr>
          <w:rFonts w:ascii="Times New Roman" w:hAnsi="Times New Roman" w:cs="Times New Roman"/>
          <w:sz w:val="24"/>
          <w:szCs w:val="24"/>
        </w:rPr>
        <w:t xml:space="preserve">operatora systemu przesyłowego. Projektowane przepisy określają zawartość instrukcji, którą powinien przygotować operator systemu magazynowania. Zgodnie </w:t>
      </w:r>
      <w:r w:rsidR="001D0628">
        <w:rPr>
          <w:rFonts w:ascii="Times New Roman" w:hAnsi="Times New Roman" w:cs="Times New Roman"/>
          <w:sz w:val="24"/>
          <w:szCs w:val="24"/>
        </w:rPr>
        <w:t>z </w:t>
      </w:r>
      <w:r w:rsidR="00736325" w:rsidRPr="00EF6F97">
        <w:rPr>
          <w:rFonts w:ascii="Times New Roman" w:hAnsi="Times New Roman" w:cs="Times New Roman"/>
          <w:sz w:val="24"/>
          <w:szCs w:val="24"/>
        </w:rPr>
        <w:t>projektem instrukcja powinna określać</w:t>
      </w:r>
      <w:r w:rsidR="00F44FCB" w:rsidRPr="00EF6F97">
        <w:rPr>
          <w:rFonts w:ascii="Times New Roman" w:hAnsi="Times New Roman" w:cs="Times New Roman"/>
          <w:sz w:val="24"/>
          <w:szCs w:val="24"/>
        </w:rPr>
        <w:t xml:space="preserve"> m.in.</w:t>
      </w:r>
      <w:r w:rsidR="00736325" w:rsidRPr="00EF6F97">
        <w:rPr>
          <w:rFonts w:ascii="Times New Roman" w:hAnsi="Times New Roman" w:cs="Times New Roman"/>
          <w:sz w:val="24"/>
          <w:szCs w:val="24"/>
        </w:rPr>
        <w:t xml:space="preserve">: </w:t>
      </w:r>
      <w:r w:rsidR="00736325" w:rsidRPr="00EF6F97">
        <w:rPr>
          <w:rFonts w:ascii="Times New Roman" w:hAnsi="Times New Roman" w:cs="Times New Roman"/>
          <w:bCs/>
          <w:sz w:val="24"/>
          <w:szCs w:val="24"/>
        </w:rPr>
        <w:t>tryb zawierania umów o świadczenie usług magazynowania, procedury udostępniania zdolności magazynowych, sposób zarządzania ograniczeniami systemu gazowego, kryteria bezpieczeństwa funkcjonowania systemu gazowego</w:t>
      </w:r>
      <w:bookmarkStart w:id="1" w:name="mip42648098"/>
      <w:bookmarkEnd w:id="1"/>
      <w:r w:rsidR="00736325" w:rsidRPr="00EF6F97">
        <w:rPr>
          <w:rFonts w:ascii="Times New Roman" w:hAnsi="Times New Roman" w:cs="Times New Roman"/>
          <w:bCs/>
          <w:sz w:val="24"/>
          <w:szCs w:val="24"/>
        </w:rPr>
        <w:t>, sposób postępowania w stanach zagrożenia bezpieczeństwa zaopatrzenia w paliwa gazowe, współpracę pomiędzy operatorami systemów gazowych</w:t>
      </w:r>
      <w:bookmarkStart w:id="2" w:name="mip42648099"/>
      <w:bookmarkEnd w:id="2"/>
      <w:r w:rsidR="00736325" w:rsidRPr="00EF6F97">
        <w:rPr>
          <w:rFonts w:ascii="Times New Roman" w:hAnsi="Times New Roman" w:cs="Times New Roman"/>
          <w:bCs/>
          <w:sz w:val="24"/>
          <w:szCs w:val="24"/>
        </w:rPr>
        <w:t>, przekazywanie informacji pomiędzy przedsiębiorstwami energetycznymi ora</w:t>
      </w:r>
      <w:r w:rsidR="001D0628">
        <w:rPr>
          <w:rFonts w:ascii="Times New Roman" w:hAnsi="Times New Roman" w:cs="Times New Roman"/>
          <w:bCs/>
          <w:sz w:val="24"/>
          <w:szCs w:val="24"/>
        </w:rPr>
        <w:t>z </w:t>
      </w:r>
      <w:r w:rsidR="00736325" w:rsidRPr="00EF6F97">
        <w:rPr>
          <w:rFonts w:ascii="Times New Roman" w:hAnsi="Times New Roman" w:cs="Times New Roman"/>
          <w:bCs/>
          <w:sz w:val="24"/>
          <w:szCs w:val="24"/>
        </w:rPr>
        <w:t>pomiędzy przedsiębiorstwami energetycznymi a odbiorcami</w:t>
      </w:r>
      <w:bookmarkStart w:id="3" w:name="mip42648100"/>
      <w:bookmarkEnd w:id="3"/>
      <w:r w:rsidR="00736325" w:rsidRPr="00EF6F97">
        <w:rPr>
          <w:rFonts w:ascii="Times New Roman" w:hAnsi="Times New Roman" w:cs="Times New Roman"/>
          <w:bCs/>
          <w:sz w:val="24"/>
          <w:szCs w:val="24"/>
        </w:rPr>
        <w:t xml:space="preserve"> ora</w:t>
      </w:r>
      <w:r w:rsidR="001D0628">
        <w:rPr>
          <w:rFonts w:ascii="Times New Roman" w:hAnsi="Times New Roman" w:cs="Times New Roman"/>
          <w:bCs/>
          <w:sz w:val="24"/>
          <w:szCs w:val="24"/>
        </w:rPr>
        <w:t>z </w:t>
      </w:r>
      <w:r w:rsidR="00736325" w:rsidRPr="00EF6F97">
        <w:rPr>
          <w:rFonts w:ascii="Times New Roman" w:hAnsi="Times New Roman" w:cs="Times New Roman"/>
          <w:sz w:val="24"/>
          <w:szCs w:val="24"/>
        </w:rPr>
        <w:t>parametry jakościowe paliw gazowych</w:t>
      </w:r>
      <w:r w:rsidR="001D0628">
        <w:rPr>
          <w:rFonts w:ascii="Times New Roman" w:hAnsi="Times New Roman" w:cs="Times New Roman"/>
          <w:sz w:val="24"/>
          <w:szCs w:val="24"/>
        </w:rPr>
        <w:t xml:space="preserve"> i </w:t>
      </w:r>
      <w:r w:rsidR="00736325" w:rsidRPr="00EF6F97">
        <w:rPr>
          <w:rFonts w:ascii="Times New Roman" w:hAnsi="Times New Roman" w:cs="Times New Roman"/>
          <w:sz w:val="24"/>
          <w:szCs w:val="24"/>
        </w:rPr>
        <w:t>standardy jakościowe obsługi użytkowników systemu.</w:t>
      </w:r>
    </w:p>
    <w:p w14:paraId="0D5113C7" w14:textId="77777777" w:rsidR="00736325"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736325" w:rsidRPr="00EF6F97">
        <w:rPr>
          <w:rFonts w:ascii="Times New Roman" w:hAnsi="Times New Roman" w:cs="Times New Roman"/>
          <w:sz w:val="24"/>
          <w:szCs w:val="24"/>
        </w:rPr>
        <w:t>Proponowana zmiana pozwoli na zwiększenie zakresu nadzoru nad warunkami świadczenia usług magazynowania</w:t>
      </w:r>
      <w:r w:rsidR="001D0628">
        <w:rPr>
          <w:rFonts w:ascii="Times New Roman" w:hAnsi="Times New Roman" w:cs="Times New Roman"/>
          <w:sz w:val="24"/>
          <w:szCs w:val="24"/>
        </w:rPr>
        <w:t xml:space="preserve"> i </w:t>
      </w:r>
      <w:r w:rsidR="00736325" w:rsidRPr="00EF6F97">
        <w:rPr>
          <w:rFonts w:ascii="Times New Roman" w:hAnsi="Times New Roman" w:cs="Times New Roman"/>
          <w:sz w:val="24"/>
          <w:szCs w:val="24"/>
        </w:rPr>
        <w:t>przyczyni się do zwiększenia przejrzystości zasad funkcjonowania operatora systemu magazynowania.</w:t>
      </w:r>
    </w:p>
    <w:p w14:paraId="7A707A67" w14:textId="77777777" w:rsidR="009D3534" w:rsidRPr="00EF6F97" w:rsidRDefault="009D3534" w:rsidP="00215A1D">
      <w:pPr>
        <w:spacing w:line="360" w:lineRule="auto"/>
        <w:jc w:val="both"/>
        <w:rPr>
          <w:rFonts w:ascii="Times New Roman" w:hAnsi="Times New Roman" w:cs="Times New Roman"/>
          <w:sz w:val="24"/>
          <w:szCs w:val="24"/>
        </w:rPr>
      </w:pPr>
    </w:p>
    <w:p w14:paraId="4814BBB3" w14:textId="77777777" w:rsidR="00F86AB1" w:rsidRPr="00EF6F97" w:rsidRDefault="00D20DB5"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44CBD" w:rsidRPr="00EF6F97">
        <w:rPr>
          <w:rFonts w:ascii="Times New Roman" w:hAnsi="Times New Roman" w:cs="Times New Roman"/>
          <w:sz w:val="24"/>
          <w:szCs w:val="24"/>
        </w:rPr>
        <w:t xml:space="preserve">Ad. </w:t>
      </w:r>
      <w:r w:rsidR="00D0483F" w:rsidRPr="00EF6F97">
        <w:rPr>
          <w:rFonts w:ascii="Times New Roman" w:hAnsi="Times New Roman" w:cs="Times New Roman"/>
          <w:sz w:val="24"/>
          <w:szCs w:val="24"/>
        </w:rPr>
        <w:t>4</w:t>
      </w:r>
      <w:r w:rsidR="00F86AB1" w:rsidRPr="00EF6F97">
        <w:rPr>
          <w:rFonts w:ascii="Times New Roman" w:hAnsi="Times New Roman" w:cs="Times New Roman"/>
          <w:sz w:val="24"/>
          <w:szCs w:val="24"/>
        </w:rPr>
        <w:t>. Urządzenia, instalacje lub sieci mają wpływ na bezpieczeństwo osób</w:t>
      </w:r>
      <w:r w:rsidR="001D0628">
        <w:rPr>
          <w:rFonts w:ascii="Times New Roman" w:hAnsi="Times New Roman" w:cs="Times New Roman"/>
          <w:sz w:val="24"/>
          <w:szCs w:val="24"/>
        </w:rPr>
        <w:t xml:space="preserve"> i </w:t>
      </w:r>
      <w:r w:rsidR="00F86AB1" w:rsidRPr="00EF6F97">
        <w:rPr>
          <w:rFonts w:ascii="Times New Roman" w:hAnsi="Times New Roman" w:cs="Times New Roman"/>
          <w:sz w:val="24"/>
          <w:szCs w:val="24"/>
        </w:rPr>
        <w:t>pracy systemu elektroenergetycznego</w:t>
      </w:r>
      <w:r w:rsidR="001D0628">
        <w:rPr>
          <w:rFonts w:ascii="Times New Roman" w:hAnsi="Times New Roman" w:cs="Times New Roman"/>
          <w:sz w:val="24"/>
          <w:szCs w:val="24"/>
        </w:rPr>
        <w:t xml:space="preserve"> i </w:t>
      </w:r>
      <w:r w:rsidR="00F86AB1" w:rsidRPr="00EF6F97">
        <w:rPr>
          <w:rFonts w:ascii="Times New Roman" w:hAnsi="Times New Roman" w:cs="Times New Roman"/>
          <w:sz w:val="24"/>
          <w:szCs w:val="24"/>
        </w:rPr>
        <w:t xml:space="preserve">ciepłowniczego, dlatego w projekcie ustawy </w:t>
      </w:r>
      <w:r w:rsidR="008E0113" w:rsidRPr="00EF6F97">
        <w:rPr>
          <w:rFonts w:ascii="Times New Roman" w:hAnsi="Times New Roman" w:cs="Times New Roman"/>
          <w:sz w:val="24"/>
          <w:szCs w:val="24"/>
        </w:rPr>
        <w:t xml:space="preserve">nieco </w:t>
      </w:r>
      <w:r w:rsidR="00F86AB1" w:rsidRPr="00EF6F97">
        <w:rPr>
          <w:rFonts w:ascii="Times New Roman" w:hAnsi="Times New Roman" w:cs="Times New Roman"/>
          <w:sz w:val="24"/>
          <w:szCs w:val="24"/>
        </w:rPr>
        <w:t>przebudowano model ich uznawania w ten sposób aby maksymalnie go usprawnić.</w:t>
      </w:r>
    </w:p>
    <w:p w14:paraId="5E71ACA6" w14:textId="77777777" w:rsidR="00F86AB1" w:rsidRPr="00EF6F97" w:rsidRDefault="00D20DB5"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AE688C" w:rsidRPr="00EF6F97">
        <w:rPr>
          <w:rFonts w:ascii="Times New Roman" w:hAnsi="Times New Roman" w:cs="Times New Roman"/>
          <w:sz w:val="24"/>
          <w:szCs w:val="24"/>
        </w:rPr>
        <w:t xml:space="preserve">Prezes URE </w:t>
      </w:r>
      <w:r w:rsidR="00F86AB1" w:rsidRPr="00EF6F97">
        <w:rPr>
          <w:rFonts w:ascii="Times New Roman" w:hAnsi="Times New Roman" w:cs="Times New Roman"/>
          <w:sz w:val="24"/>
          <w:szCs w:val="24"/>
        </w:rPr>
        <w:t>będzie organem właściwym do uznawania kwalifikacji osób wykonujących prace przy urządzeniach, instalacjach</w:t>
      </w:r>
      <w:r w:rsidR="001D0628">
        <w:rPr>
          <w:rFonts w:ascii="Times New Roman" w:hAnsi="Times New Roman" w:cs="Times New Roman"/>
          <w:sz w:val="24"/>
          <w:szCs w:val="24"/>
        </w:rPr>
        <w:t xml:space="preserve"> i </w:t>
      </w:r>
      <w:r w:rsidR="00F86AB1" w:rsidRPr="00EF6F97">
        <w:rPr>
          <w:rFonts w:ascii="Times New Roman" w:hAnsi="Times New Roman" w:cs="Times New Roman"/>
          <w:sz w:val="24"/>
          <w:szCs w:val="24"/>
        </w:rPr>
        <w:t>sieciach energetycznych nabytych w państwach członkowskich UE, Konfederacji Szwajcarskiej lub</w:t>
      </w:r>
      <w:r w:rsidR="00404078" w:rsidRPr="00EF6F97">
        <w:rPr>
          <w:rFonts w:ascii="Times New Roman" w:hAnsi="Times New Roman" w:cs="Times New Roman"/>
          <w:sz w:val="24"/>
          <w:szCs w:val="24"/>
        </w:rPr>
        <w:t xml:space="preserve"> państwach członkowskich EFTA. W </w:t>
      </w:r>
      <w:r w:rsidR="00404078" w:rsidRPr="00EF6F97">
        <w:rPr>
          <w:rFonts w:ascii="Times New Roman" w:hAnsi="Times New Roman" w:cs="Times New Roman"/>
          <w:sz w:val="24"/>
          <w:szCs w:val="24"/>
        </w:rPr>
        <w:lastRenderedPageBreak/>
        <w:t>przedsiębiorstwach energetycznych zatrudniających</w:t>
      </w:r>
      <w:r w:rsidR="00F86AB1" w:rsidRPr="00EF6F97">
        <w:rPr>
          <w:rFonts w:ascii="Times New Roman" w:hAnsi="Times New Roman" w:cs="Times New Roman"/>
          <w:sz w:val="24"/>
          <w:szCs w:val="24"/>
        </w:rPr>
        <w:t xml:space="preserve"> co najmniej 200 osób ora</w:t>
      </w:r>
      <w:r w:rsidR="001D0628">
        <w:rPr>
          <w:rFonts w:ascii="Times New Roman" w:hAnsi="Times New Roman" w:cs="Times New Roman"/>
          <w:sz w:val="24"/>
          <w:szCs w:val="24"/>
        </w:rPr>
        <w:t>z </w:t>
      </w:r>
      <w:r w:rsidR="00F86AB1" w:rsidRPr="00EF6F97">
        <w:rPr>
          <w:rFonts w:ascii="Times New Roman" w:hAnsi="Times New Roman" w:cs="Times New Roman"/>
          <w:sz w:val="24"/>
          <w:szCs w:val="24"/>
        </w:rPr>
        <w:t xml:space="preserve">przy stowarzyszeniach naukowo – technicznych </w:t>
      </w:r>
      <w:r w:rsidR="003D0342" w:rsidRPr="00EF6F97">
        <w:rPr>
          <w:rFonts w:ascii="Times New Roman" w:hAnsi="Times New Roman" w:cs="Times New Roman"/>
          <w:sz w:val="24"/>
          <w:szCs w:val="24"/>
        </w:rPr>
        <w:t>zrzeszających co najmniej 2</w:t>
      </w:r>
      <w:r w:rsidR="00404078" w:rsidRPr="00EF6F97">
        <w:rPr>
          <w:rFonts w:ascii="Times New Roman" w:hAnsi="Times New Roman" w:cs="Times New Roman"/>
          <w:sz w:val="24"/>
          <w:szCs w:val="24"/>
        </w:rPr>
        <w:t xml:space="preserve">00 członków </w:t>
      </w:r>
      <w:r w:rsidR="00F86AB1" w:rsidRPr="00EF6F97">
        <w:rPr>
          <w:rFonts w:ascii="Times New Roman" w:hAnsi="Times New Roman" w:cs="Times New Roman"/>
          <w:sz w:val="24"/>
          <w:szCs w:val="24"/>
        </w:rPr>
        <w:t>komisje kwalifikacy</w:t>
      </w:r>
      <w:r w:rsidR="00AE688C" w:rsidRPr="00EF6F97">
        <w:rPr>
          <w:rFonts w:ascii="Times New Roman" w:hAnsi="Times New Roman" w:cs="Times New Roman"/>
          <w:sz w:val="24"/>
          <w:szCs w:val="24"/>
        </w:rPr>
        <w:t>jne będzie powoływał Prezes URE.</w:t>
      </w:r>
      <w:r w:rsidR="00F86AB1" w:rsidRPr="00EF6F97">
        <w:rPr>
          <w:rFonts w:ascii="Times New Roman" w:hAnsi="Times New Roman" w:cs="Times New Roman"/>
          <w:sz w:val="24"/>
          <w:szCs w:val="24"/>
        </w:rPr>
        <w:t xml:space="preserve"> </w:t>
      </w:r>
    </w:p>
    <w:p w14:paraId="49F9485A" w14:textId="77777777" w:rsidR="00661DB4" w:rsidRPr="00EF6F97" w:rsidRDefault="00D20DB5"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86AB1" w:rsidRPr="00EF6F97">
        <w:rPr>
          <w:rFonts w:ascii="Times New Roman" w:hAnsi="Times New Roman" w:cs="Times New Roman"/>
          <w:sz w:val="24"/>
          <w:szCs w:val="24"/>
        </w:rPr>
        <w:t>Wszystkie świadectwa kwalifikacyjne wydane osobom zajmującym się eksploatacją urządzeń, instalacji lub sieci ora</w:t>
      </w:r>
      <w:r w:rsidR="001D0628">
        <w:rPr>
          <w:rFonts w:ascii="Times New Roman" w:hAnsi="Times New Roman" w:cs="Times New Roman"/>
          <w:sz w:val="24"/>
          <w:szCs w:val="24"/>
        </w:rPr>
        <w:t>z </w:t>
      </w:r>
      <w:r w:rsidR="00F86AB1" w:rsidRPr="00EF6F97">
        <w:rPr>
          <w:rFonts w:ascii="Times New Roman" w:hAnsi="Times New Roman" w:cs="Times New Roman"/>
          <w:sz w:val="24"/>
          <w:szCs w:val="24"/>
        </w:rPr>
        <w:t>wpisy do rejestru świadectw kwalifikacyjnych będą tracić ważność po upływie 5 lat od dnia ich wpisu w rejestrze świadectw kwalifikacyjnych.</w:t>
      </w:r>
    </w:p>
    <w:p w14:paraId="7B597BAF" w14:textId="77777777" w:rsidR="00F86AB1" w:rsidRPr="00EF6F97" w:rsidRDefault="00D20DB5"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61DB4" w:rsidRPr="00EF6F97">
        <w:rPr>
          <w:rFonts w:ascii="Times New Roman" w:hAnsi="Times New Roman" w:cs="Times New Roman"/>
          <w:sz w:val="24"/>
          <w:szCs w:val="24"/>
        </w:rPr>
        <w:t>Utrata ważności prze</w:t>
      </w:r>
      <w:r w:rsidR="001D0628">
        <w:rPr>
          <w:rFonts w:ascii="Times New Roman" w:hAnsi="Times New Roman" w:cs="Times New Roman"/>
          <w:sz w:val="24"/>
          <w:szCs w:val="24"/>
        </w:rPr>
        <w:t>z </w:t>
      </w:r>
      <w:r w:rsidR="00661DB4" w:rsidRPr="00EF6F97">
        <w:rPr>
          <w:rFonts w:ascii="Times New Roman" w:hAnsi="Times New Roman" w:cs="Times New Roman"/>
          <w:sz w:val="24"/>
          <w:szCs w:val="24"/>
        </w:rPr>
        <w:t xml:space="preserve">świadectwa kwalifikacyjne po upływie 5 lat wobec wszystkich osób zajmujących się eksploatacją urządzeń, instalacji lub sieci wiąże się </w:t>
      </w:r>
      <w:r w:rsidR="001D0628">
        <w:rPr>
          <w:rFonts w:ascii="Times New Roman" w:hAnsi="Times New Roman" w:cs="Times New Roman"/>
          <w:sz w:val="24"/>
          <w:szCs w:val="24"/>
        </w:rPr>
        <w:t>z </w:t>
      </w:r>
      <w:r w:rsidR="00661DB4" w:rsidRPr="00EF6F97">
        <w:rPr>
          <w:rFonts w:ascii="Times New Roman" w:hAnsi="Times New Roman" w:cs="Times New Roman"/>
          <w:sz w:val="24"/>
          <w:szCs w:val="24"/>
        </w:rPr>
        <w:t>tym, że osoby te prowadzą prace na tożsamych urządzeniach, instalacjach</w:t>
      </w:r>
      <w:r w:rsidR="001D0628">
        <w:rPr>
          <w:rFonts w:ascii="Times New Roman" w:hAnsi="Times New Roman" w:cs="Times New Roman"/>
          <w:sz w:val="24"/>
          <w:szCs w:val="24"/>
        </w:rPr>
        <w:t xml:space="preserve"> i </w:t>
      </w:r>
      <w:r w:rsidR="00661DB4" w:rsidRPr="00EF6F97">
        <w:rPr>
          <w:rFonts w:ascii="Times New Roman" w:hAnsi="Times New Roman" w:cs="Times New Roman"/>
          <w:sz w:val="24"/>
          <w:szCs w:val="24"/>
        </w:rPr>
        <w:t>sieciach, be</w:t>
      </w:r>
      <w:r w:rsidR="001D0628">
        <w:rPr>
          <w:rFonts w:ascii="Times New Roman" w:hAnsi="Times New Roman" w:cs="Times New Roman"/>
          <w:sz w:val="24"/>
          <w:szCs w:val="24"/>
        </w:rPr>
        <w:t>z </w:t>
      </w:r>
      <w:r w:rsidR="00661DB4" w:rsidRPr="00EF6F97">
        <w:rPr>
          <w:rFonts w:ascii="Times New Roman" w:hAnsi="Times New Roman" w:cs="Times New Roman"/>
          <w:sz w:val="24"/>
          <w:szCs w:val="24"/>
        </w:rPr>
        <w:t>względu na to u kogo</w:t>
      </w:r>
      <w:r w:rsidR="001D0628">
        <w:rPr>
          <w:rFonts w:ascii="Times New Roman" w:hAnsi="Times New Roman" w:cs="Times New Roman"/>
          <w:sz w:val="24"/>
          <w:szCs w:val="24"/>
        </w:rPr>
        <w:t xml:space="preserve"> i </w:t>
      </w:r>
      <w:r w:rsidR="00661DB4" w:rsidRPr="00EF6F97">
        <w:rPr>
          <w:rFonts w:ascii="Times New Roman" w:hAnsi="Times New Roman" w:cs="Times New Roman"/>
          <w:sz w:val="24"/>
          <w:szCs w:val="24"/>
        </w:rPr>
        <w:t>na jakiej podstawie zostały zatrudnione. Kwestia eksploatacji tych urządzeń u małego czy dużego przedsiębiorcy nie powinna stanowić podstawy do rozróżniania w zakresie okresu ważności świadectw kwalifikacyjnych. Zarówno bowiem w jednym jak</w:t>
      </w:r>
      <w:r w:rsidR="001D0628">
        <w:rPr>
          <w:rFonts w:ascii="Times New Roman" w:hAnsi="Times New Roman" w:cs="Times New Roman"/>
          <w:sz w:val="24"/>
          <w:szCs w:val="24"/>
        </w:rPr>
        <w:t xml:space="preserve"> i </w:t>
      </w:r>
      <w:r w:rsidR="00661DB4" w:rsidRPr="00EF6F97">
        <w:rPr>
          <w:rFonts w:ascii="Times New Roman" w:hAnsi="Times New Roman" w:cs="Times New Roman"/>
          <w:sz w:val="24"/>
          <w:szCs w:val="24"/>
        </w:rPr>
        <w:t>drugim przypadku należy zapewnić aby eksploatacja ta była dokonywana w sposób bezpieczny dla życia</w:t>
      </w:r>
      <w:r w:rsidR="001D0628">
        <w:rPr>
          <w:rFonts w:ascii="Times New Roman" w:hAnsi="Times New Roman" w:cs="Times New Roman"/>
          <w:sz w:val="24"/>
          <w:szCs w:val="24"/>
        </w:rPr>
        <w:t xml:space="preserve"> i </w:t>
      </w:r>
      <w:r w:rsidR="00661DB4" w:rsidRPr="00EF6F97">
        <w:rPr>
          <w:rFonts w:ascii="Times New Roman" w:hAnsi="Times New Roman" w:cs="Times New Roman"/>
          <w:sz w:val="24"/>
          <w:szCs w:val="24"/>
        </w:rPr>
        <w:t>zdrowia ludzkiego.</w:t>
      </w:r>
      <w:r w:rsidR="00F86AB1" w:rsidRPr="00EF6F97">
        <w:rPr>
          <w:rFonts w:ascii="Times New Roman" w:hAnsi="Times New Roman" w:cs="Times New Roman"/>
          <w:sz w:val="24"/>
          <w:szCs w:val="24"/>
        </w:rPr>
        <w:t xml:space="preserve"> </w:t>
      </w:r>
    </w:p>
    <w:p w14:paraId="32EAE45B" w14:textId="77777777" w:rsidR="00404078" w:rsidRPr="00EF6F97" w:rsidRDefault="00D20DB5"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04078" w:rsidRPr="00EF6F97">
        <w:rPr>
          <w:rFonts w:ascii="Times New Roman" w:hAnsi="Times New Roman" w:cs="Times New Roman"/>
          <w:sz w:val="24"/>
          <w:szCs w:val="24"/>
        </w:rPr>
        <w:t>Pracodawca będzie mógł dopuścić do wykonywania prac eksploatacyjnych przy urządzeniach energetycznych, pod nadzorem osoby uprawnionej, osoby nieposiadające świadectw kwalifikacyjnych:</w:t>
      </w:r>
    </w:p>
    <w:p w14:paraId="78475398" w14:textId="77777777" w:rsidR="00404078" w:rsidRPr="00215A1D" w:rsidRDefault="00404078" w:rsidP="00215A1D">
      <w:pPr>
        <w:pStyle w:val="Akapitzlist"/>
        <w:numPr>
          <w:ilvl w:val="0"/>
          <w:numId w:val="24"/>
        </w:numPr>
        <w:spacing w:after="0" w:line="360" w:lineRule="auto"/>
        <w:jc w:val="both"/>
        <w:rPr>
          <w:rFonts w:ascii="Times New Roman" w:hAnsi="Times New Roman"/>
          <w:sz w:val="24"/>
          <w:szCs w:val="24"/>
        </w:rPr>
      </w:pPr>
      <w:r w:rsidRPr="00215A1D">
        <w:rPr>
          <w:rFonts w:ascii="Times New Roman" w:hAnsi="Times New Roman"/>
          <w:sz w:val="24"/>
          <w:szCs w:val="24"/>
        </w:rPr>
        <w:t xml:space="preserve">w celu przyuczenia do zawodu </w:t>
      </w:r>
      <w:r w:rsidR="001D0628">
        <w:rPr>
          <w:rFonts w:ascii="Times New Roman" w:hAnsi="Times New Roman"/>
          <w:sz w:val="24"/>
          <w:szCs w:val="24"/>
        </w:rPr>
        <w:t>z </w:t>
      </w:r>
      <w:r w:rsidRPr="00215A1D">
        <w:rPr>
          <w:rFonts w:ascii="Times New Roman" w:hAnsi="Times New Roman"/>
          <w:sz w:val="24"/>
          <w:szCs w:val="24"/>
        </w:rPr>
        <w:t>uwzględnieniem przepisów dotyczących zatrudnienia młodocianych;</w:t>
      </w:r>
    </w:p>
    <w:p w14:paraId="635ED492" w14:textId="77777777" w:rsidR="00404078" w:rsidRPr="00215A1D" w:rsidRDefault="00404078" w:rsidP="00215A1D">
      <w:pPr>
        <w:pStyle w:val="Akapitzlist"/>
        <w:numPr>
          <w:ilvl w:val="0"/>
          <w:numId w:val="24"/>
        </w:numPr>
        <w:spacing w:after="0" w:line="360" w:lineRule="auto"/>
        <w:jc w:val="both"/>
        <w:rPr>
          <w:rFonts w:ascii="Times New Roman" w:hAnsi="Times New Roman"/>
          <w:sz w:val="24"/>
          <w:szCs w:val="24"/>
        </w:rPr>
      </w:pPr>
      <w:r w:rsidRPr="00215A1D">
        <w:rPr>
          <w:rFonts w:ascii="Times New Roman" w:hAnsi="Times New Roman"/>
          <w:sz w:val="24"/>
          <w:szCs w:val="24"/>
        </w:rPr>
        <w:t>reprezentujące organy nadzoru;</w:t>
      </w:r>
    </w:p>
    <w:p w14:paraId="480DC3AC" w14:textId="77777777" w:rsidR="00404078" w:rsidRPr="00215A1D" w:rsidRDefault="00404078" w:rsidP="00215A1D">
      <w:pPr>
        <w:pStyle w:val="Akapitzlist"/>
        <w:numPr>
          <w:ilvl w:val="0"/>
          <w:numId w:val="24"/>
        </w:numPr>
        <w:spacing w:after="0" w:line="360" w:lineRule="auto"/>
        <w:jc w:val="both"/>
        <w:rPr>
          <w:rFonts w:ascii="Times New Roman" w:hAnsi="Times New Roman"/>
          <w:sz w:val="24"/>
          <w:szCs w:val="24"/>
        </w:rPr>
      </w:pPr>
      <w:r w:rsidRPr="00215A1D">
        <w:rPr>
          <w:rFonts w:ascii="Times New Roman" w:hAnsi="Times New Roman"/>
          <w:sz w:val="24"/>
          <w:szCs w:val="24"/>
        </w:rPr>
        <w:t>prowadzące specjalistyczne prace serwisowe.</w:t>
      </w:r>
    </w:p>
    <w:p w14:paraId="53188722" w14:textId="77777777" w:rsidR="00296AE8" w:rsidRDefault="00D20DB5"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46221" w:rsidRPr="00EF6F97">
        <w:rPr>
          <w:rFonts w:ascii="Times New Roman" w:hAnsi="Times New Roman" w:cs="Times New Roman"/>
          <w:sz w:val="24"/>
          <w:szCs w:val="24"/>
        </w:rPr>
        <w:t>W propozycjach przepisów uregulowano również kwestie wydanych świadectw kwalifikacyjnych ora</w:t>
      </w:r>
      <w:r w:rsidR="001D0628">
        <w:rPr>
          <w:rFonts w:ascii="Times New Roman" w:hAnsi="Times New Roman" w:cs="Times New Roman"/>
          <w:sz w:val="24"/>
          <w:szCs w:val="24"/>
        </w:rPr>
        <w:t>z </w:t>
      </w:r>
      <w:r w:rsidR="00646221" w:rsidRPr="00EF6F97">
        <w:rPr>
          <w:rFonts w:ascii="Times New Roman" w:hAnsi="Times New Roman" w:cs="Times New Roman"/>
          <w:sz w:val="24"/>
          <w:szCs w:val="24"/>
        </w:rPr>
        <w:t>istniejących komisji kwalifikacyjnych. Świadectwa wydane prze</w:t>
      </w:r>
      <w:r w:rsidR="001D0628">
        <w:rPr>
          <w:rFonts w:ascii="Times New Roman" w:hAnsi="Times New Roman" w:cs="Times New Roman"/>
          <w:sz w:val="24"/>
          <w:szCs w:val="24"/>
        </w:rPr>
        <w:t>z </w:t>
      </w:r>
      <w:r w:rsidR="00646221" w:rsidRPr="00EF6F97">
        <w:rPr>
          <w:rFonts w:ascii="Times New Roman" w:hAnsi="Times New Roman" w:cs="Times New Roman"/>
          <w:sz w:val="24"/>
          <w:szCs w:val="24"/>
        </w:rPr>
        <w:t>komisje kwalifikacyjne osobom</w:t>
      </w:r>
      <w:r w:rsidR="00646221" w:rsidRPr="00EF6F97">
        <w:rPr>
          <w:rFonts w:ascii="Times New Roman" w:hAnsi="Times New Roman" w:cs="Times New Roman"/>
        </w:rPr>
        <w:t xml:space="preserve"> ś</w:t>
      </w:r>
      <w:r w:rsidR="00646221" w:rsidRPr="00EF6F97">
        <w:rPr>
          <w:rFonts w:ascii="Times New Roman" w:hAnsi="Times New Roman" w:cs="Times New Roman"/>
          <w:sz w:val="24"/>
          <w:szCs w:val="24"/>
        </w:rPr>
        <w:t>wiadczącym usługi na rzec</w:t>
      </w:r>
      <w:r w:rsidR="001D0628">
        <w:rPr>
          <w:rFonts w:ascii="Times New Roman" w:hAnsi="Times New Roman" w:cs="Times New Roman"/>
          <w:sz w:val="24"/>
          <w:szCs w:val="24"/>
        </w:rPr>
        <w:t>z </w:t>
      </w:r>
      <w:r w:rsidR="00646221" w:rsidRPr="00EF6F97">
        <w:rPr>
          <w:rFonts w:ascii="Times New Roman" w:hAnsi="Times New Roman" w:cs="Times New Roman"/>
          <w:sz w:val="24"/>
          <w:szCs w:val="24"/>
        </w:rPr>
        <w:t>konsumentów ora</w:t>
      </w:r>
      <w:r w:rsidR="001D0628">
        <w:rPr>
          <w:rFonts w:ascii="Times New Roman" w:hAnsi="Times New Roman" w:cs="Times New Roman"/>
          <w:sz w:val="24"/>
          <w:szCs w:val="24"/>
        </w:rPr>
        <w:t>z </w:t>
      </w:r>
      <w:r w:rsidR="00EF6F97">
        <w:rPr>
          <w:rFonts w:ascii="Times New Roman" w:hAnsi="Times New Roman" w:cs="Times New Roman"/>
          <w:sz w:val="24"/>
          <w:szCs w:val="24"/>
        </w:rPr>
        <w:t xml:space="preserve"> </w:t>
      </w:r>
      <w:r w:rsidR="00646221" w:rsidRPr="00EF6F97">
        <w:rPr>
          <w:rFonts w:ascii="Times New Roman" w:hAnsi="Times New Roman" w:cs="Times New Roman"/>
          <w:sz w:val="24"/>
          <w:szCs w:val="24"/>
        </w:rPr>
        <w:t>mikroprzedsiębiorców, małych lub średnich przedsiębiorców, zachowują ważność prze</w:t>
      </w:r>
      <w:r w:rsidR="001D0628">
        <w:rPr>
          <w:rFonts w:ascii="Times New Roman" w:hAnsi="Times New Roman" w:cs="Times New Roman"/>
          <w:sz w:val="24"/>
          <w:szCs w:val="24"/>
        </w:rPr>
        <w:t>z </w:t>
      </w:r>
      <w:r w:rsidR="00646221" w:rsidRPr="00EF6F97">
        <w:rPr>
          <w:rFonts w:ascii="Times New Roman" w:hAnsi="Times New Roman" w:cs="Times New Roman"/>
          <w:sz w:val="24"/>
          <w:szCs w:val="24"/>
        </w:rPr>
        <w:t>okres na jaki zostały wydane; wydane zaś innym osobom, zachowują ważność prze</w:t>
      </w:r>
      <w:r w:rsidR="001D0628">
        <w:rPr>
          <w:rFonts w:ascii="Times New Roman" w:hAnsi="Times New Roman" w:cs="Times New Roman"/>
          <w:sz w:val="24"/>
          <w:szCs w:val="24"/>
        </w:rPr>
        <w:t>z </w:t>
      </w:r>
      <w:r w:rsidR="00646221" w:rsidRPr="00EF6F97">
        <w:rPr>
          <w:rFonts w:ascii="Times New Roman" w:hAnsi="Times New Roman" w:cs="Times New Roman"/>
          <w:sz w:val="24"/>
          <w:szCs w:val="24"/>
        </w:rPr>
        <w:t>okres 1 roku od dnia wejścia w życie niniejszej ustawy.</w:t>
      </w:r>
      <w:r w:rsidR="000A38CE" w:rsidRPr="00EF6F97">
        <w:rPr>
          <w:rFonts w:ascii="Times New Roman" w:hAnsi="Times New Roman" w:cs="Times New Roman"/>
          <w:sz w:val="24"/>
          <w:szCs w:val="24"/>
        </w:rPr>
        <w:t xml:space="preserve"> Komisje kwalifikacyjne powołane na podstawie dotychczasowych przepisów stają się komisjami kwalifikacyjnym</w:t>
      </w:r>
      <w:r w:rsidR="00296AE8" w:rsidRPr="00EF6F97">
        <w:rPr>
          <w:rFonts w:ascii="Times New Roman" w:hAnsi="Times New Roman" w:cs="Times New Roman"/>
          <w:sz w:val="24"/>
          <w:szCs w:val="24"/>
        </w:rPr>
        <w:t>i wskazanymi w projekcie ustawy</w:t>
      </w:r>
      <w:r w:rsidR="000A38CE" w:rsidRPr="00EF6F97">
        <w:rPr>
          <w:rFonts w:ascii="Times New Roman" w:hAnsi="Times New Roman" w:cs="Times New Roman"/>
          <w:sz w:val="24"/>
          <w:szCs w:val="24"/>
        </w:rPr>
        <w:t xml:space="preserve">. </w:t>
      </w:r>
      <w:r w:rsidR="00296AE8" w:rsidRPr="00EF6F97">
        <w:rPr>
          <w:rFonts w:ascii="Times New Roman" w:hAnsi="Times New Roman" w:cs="Times New Roman"/>
          <w:sz w:val="24"/>
          <w:szCs w:val="24"/>
        </w:rPr>
        <w:t xml:space="preserve">Dotyczy to komisji kwalifikacyjnych powołanych: </w:t>
      </w:r>
    </w:p>
    <w:p w14:paraId="6F050189" w14:textId="77777777" w:rsidR="00D03FA8" w:rsidRPr="00EF6F97" w:rsidRDefault="00D03FA8" w:rsidP="00215A1D">
      <w:pPr>
        <w:spacing w:line="360" w:lineRule="auto"/>
        <w:jc w:val="both"/>
        <w:rPr>
          <w:rFonts w:ascii="Times New Roman" w:hAnsi="Times New Roman" w:cs="Times New Roman"/>
          <w:sz w:val="24"/>
          <w:szCs w:val="24"/>
        </w:rPr>
      </w:pPr>
      <w:r w:rsidRPr="00D03FA8">
        <w:rPr>
          <w:rFonts w:ascii="Times New Roman" w:hAnsi="Times New Roman" w:cs="Times New Roman"/>
          <w:sz w:val="24"/>
          <w:szCs w:val="24"/>
        </w:rPr>
        <w:t>1) Prezesa URE:</w:t>
      </w:r>
    </w:p>
    <w:p w14:paraId="2E18CAF9" w14:textId="77777777" w:rsidR="00296AE8" w:rsidRPr="00EF6F97" w:rsidRDefault="00C33B05" w:rsidP="00EF6F97">
      <w:pPr>
        <w:pStyle w:val="Akapitzlist"/>
        <w:numPr>
          <w:ilvl w:val="1"/>
          <w:numId w:val="27"/>
        </w:numPr>
        <w:spacing w:after="0" w:line="360" w:lineRule="auto"/>
        <w:ind w:left="567"/>
        <w:jc w:val="both"/>
        <w:rPr>
          <w:rFonts w:ascii="Times New Roman" w:hAnsi="Times New Roman"/>
          <w:sz w:val="24"/>
          <w:szCs w:val="24"/>
        </w:rPr>
      </w:pPr>
      <w:r w:rsidRPr="00EF6F97">
        <w:rPr>
          <w:rFonts w:ascii="Times New Roman" w:hAnsi="Times New Roman"/>
          <w:sz w:val="24"/>
          <w:szCs w:val="24"/>
        </w:rPr>
        <w:t>w przedsiębiorstwach energetycznych zatrudniających</w:t>
      </w:r>
      <w:r w:rsidR="00296AE8" w:rsidRPr="00EF6F97">
        <w:rPr>
          <w:rFonts w:ascii="Times New Roman" w:hAnsi="Times New Roman"/>
          <w:sz w:val="24"/>
          <w:szCs w:val="24"/>
        </w:rPr>
        <w:t xml:space="preserve"> co najmniej 200 osób wykonujących prace, o których mowa w przepisac</w:t>
      </w:r>
      <w:r w:rsidR="000937D0" w:rsidRPr="00EF6F97">
        <w:rPr>
          <w:rFonts w:ascii="Times New Roman" w:hAnsi="Times New Roman"/>
          <w:sz w:val="24"/>
          <w:szCs w:val="24"/>
        </w:rPr>
        <w:t>h wydanych na podstawie art. 54 ust. 7</w:t>
      </w:r>
      <w:r w:rsidR="00296AE8" w:rsidRPr="00EF6F97">
        <w:rPr>
          <w:rFonts w:ascii="Times New Roman" w:hAnsi="Times New Roman"/>
          <w:sz w:val="24"/>
          <w:szCs w:val="24"/>
        </w:rPr>
        <w:t>,</w:t>
      </w:r>
    </w:p>
    <w:p w14:paraId="082F8302" w14:textId="77777777" w:rsidR="00296AE8" w:rsidRPr="00EF6F97" w:rsidRDefault="00296AE8" w:rsidP="00EF6F97">
      <w:pPr>
        <w:pStyle w:val="Akapitzlist"/>
        <w:numPr>
          <w:ilvl w:val="1"/>
          <w:numId w:val="27"/>
        </w:numPr>
        <w:spacing w:after="0" w:line="360" w:lineRule="auto"/>
        <w:ind w:left="567"/>
        <w:jc w:val="both"/>
        <w:rPr>
          <w:rFonts w:ascii="Times New Roman" w:hAnsi="Times New Roman"/>
          <w:sz w:val="24"/>
          <w:szCs w:val="24"/>
        </w:rPr>
      </w:pPr>
      <w:r w:rsidRPr="00EF6F97">
        <w:rPr>
          <w:rFonts w:ascii="Times New Roman" w:hAnsi="Times New Roman"/>
          <w:sz w:val="24"/>
          <w:szCs w:val="24"/>
        </w:rPr>
        <w:lastRenderedPageBreak/>
        <w:t>przy stowarzyszeniach naukowo - technicznych</w:t>
      </w:r>
      <w:r w:rsidR="00C33B05" w:rsidRPr="00EF6F97">
        <w:rPr>
          <w:rFonts w:ascii="Times New Roman" w:hAnsi="Times New Roman"/>
        </w:rPr>
        <w:t xml:space="preserve"> </w:t>
      </w:r>
      <w:r w:rsidR="003D0342" w:rsidRPr="00EF6F97">
        <w:rPr>
          <w:rFonts w:ascii="Times New Roman" w:hAnsi="Times New Roman"/>
          <w:sz w:val="24"/>
          <w:szCs w:val="24"/>
        </w:rPr>
        <w:t>zrzeszających co najmniej 2</w:t>
      </w:r>
      <w:r w:rsidR="00C33B05" w:rsidRPr="00EF6F97">
        <w:rPr>
          <w:rFonts w:ascii="Times New Roman" w:hAnsi="Times New Roman"/>
          <w:sz w:val="24"/>
          <w:szCs w:val="24"/>
        </w:rPr>
        <w:t>00 członków</w:t>
      </w:r>
      <w:r w:rsidRPr="00EF6F97">
        <w:rPr>
          <w:rFonts w:ascii="Times New Roman" w:hAnsi="Times New Roman"/>
          <w:sz w:val="24"/>
          <w:szCs w:val="24"/>
        </w:rPr>
        <w:t>, jeżeli statuty tych stowarzyszeń zawierają postanowienia określające zakres wykonywanej działalności na rzec</w:t>
      </w:r>
      <w:r w:rsidR="001D0628">
        <w:rPr>
          <w:rFonts w:ascii="Times New Roman" w:hAnsi="Times New Roman"/>
          <w:sz w:val="24"/>
          <w:szCs w:val="24"/>
        </w:rPr>
        <w:t>z </w:t>
      </w:r>
      <w:r w:rsidRPr="00EF6F97">
        <w:rPr>
          <w:rFonts w:ascii="Times New Roman" w:hAnsi="Times New Roman"/>
          <w:sz w:val="24"/>
          <w:szCs w:val="24"/>
        </w:rPr>
        <w:t>gospodarki energetycznej;</w:t>
      </w:r>
    </w:p>
    <w:p w14:paraId="21C1A152" w14:textId="77777777" w:rsidR="00296AE8" w:rsidRPr="00EF6F97" w:rsidRDefault="00296AE8"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2) właściwych ministrów ora</w:t>
      </w:r>
      <w:r w:rsidR="001D0628">
        <w:rPr>
          <w:rFonts w:ascii="Times New Roman" w:hAnsi="Times New Roman" w:cs="Times New Roman"/>
          <w:sz w:val="24"/>
          <w:szCs w:val="24"/>
        </w:rPr>
        <w:t>z </w:t>
      </w:r>
      <w:r w:rsidRPr="00EF6F97">
        <w:rPr>
          <w:rFonts w:ascii="Times New Roman" w:hAnsi="Times New Roman" w:cs="Times New Roman"/>
          <w:sz w:val="24"/>
          <w:szCs w:val="24"/>
        </w:rPr>
        <w:t>Szefów Agencji, o których mowa w art. 21a, w zakresie eksploatacji urządzeń, instalacji lub sieci w jednostkach organizacyjnych nadzorowanych lub podległych tym ministrom lub Szefom Agencji,</w:t>
      </w:r>
    </w:p>
    <w:p w14:paraId="1C56861B" w14:textId="77777777" w:rsidR="00296AE8" w:rsidRPr="00EF6F97" w:rsidRDefault="00296AE8"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3) ministra właściwego do spraw transportu, w zakresie eksploatacji urządzeń, instalacji lub sieci energetycznych eksploatowanych w jednostkach organizacyjnych transportu kolejowego.</w:t>
      </w:r>
    </w:p>
    <w:p w14:paraId="3E637FF1" w14:textId="77777777" w:rsidR="00646221"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46221" w:rsidRPr="00EF6F97">
        <w:rPr>
          <w:rFonts w:ascii="Times New Roman" w:hAnsi="Times New Roman" w:cs="Times New Roman"/>
          <w:sz w:val="24"/>
          <w:szCs w:val="24"/>
        </w:rPr>
        <w:t xml:space="preserve">Komisje kwalifikacyjne powołane na podstawie </w:t>
      </w:r>
      <w:r w:rsidR="000A38CE" w:rsidRPr="00EF6F97">
        <w:rPr>
          <w:rFonts w:ascii="Times New Roman" w:hAnsi="Times New Roman" w:cs="Times New Roman"/>
          <w:sz w:val="24"/>
          <w:szCs w:val="24"/>
        </w:rPr>
        <w:t xml:space="preserve">dotychczasowych przepisów </w:t>
      </w:r>
      <w:r w:rsidR="00646221" w:rsidRPr="00EF6F97">
        <w:rPr>
          <w:rFonts w:ascii="Times New Roman" w:hAnsi="Times New Roman" w:cs="Times New Roman"/>
          <w:sz w:val="24"/>
          <w:szCs w:val="24"/>
        </w:rPr>
        <w:t>działają prze</w:t>
      </w:r>
      <w:r w:rsidR="001D0628">
        <w:rPr>
          <w:rFonts w:ascii="Times New Roman" w:hAnsi="Times New Roman" w:cs="Times New Roman"/>
          <w:sz w:val="24"/>
          <w:szCs w:val="24"/>
        </w:rPr>
        <w:t>z </w:t>
      </w:r>
      <w:r w:rsidR="00646221" w:rsidRPr="00EF6F97">
        <w:rPr>
          <w:rFonts w:ascii="Times New Roman" w:hAnsi="Times New Roman" w:cs="Times New Roman"/>
          <w:sz w:val="24"/>
          <w:szCs w:val="24"/>
        </w:rPr>
        <w:t>okres na jaki zostały powołane.</w:t>
      </w:r>
    </w:p>
    <w:p w14:paraId="0A301AFE" w14:textId="7D920E7D" w:rsidR="00A64316"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A64316" w:rsidRPr="00EF6F97">
        <w:rPr>
          <w:rFonts w:ascii="Times New Roman" w:hAnsi="Times New Roman" w:cs="Times New Roman"/>
          <w:sz w:val="24"/>
          <w:szCs w:val="24"/>
        </w:rPr>
        <w:t>Jednocześnie doprecyzowuje się jakie komisje kwalifikacyjne będą powoływane prze</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 xml:space="preserve">Prezesa URE w celu uniknięcia wątpliwości interpretacyjnych, </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którymi miał do czynienia ten organ. Są to komisje powoływane w przedsiębiorstwach energetycznych zatrudniających co najmniej 200 osób wykonujących prace, o których mowa w przepisach wydanych na podstawie art. 54 ust. 7 ora</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przy stowarzyszeniach naukowo - technicznych zrzeszających co najmniej 200 członków, jeżeli statuty tych stowarzyszeń zawierają postanowienia określające zakres wykonywanej działalności na rzec</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gospodarki energetycznej. Wskazanie rodzaju podmiotu ora</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ustalenie progu 200 osób ma na celu zagwarantowanie, że komisje kwalifikacyjne będą ustanawiane w/przy podmiotach posiadających stabilną pozycję na rynku ora</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 xml:space="preserve">wieloletnie doświadczenie. </w:t>
      </w:r>
      <w:r w:rsidR="00360DD7" w:rsidRPr="00EF6F97">
        <w:rPr>
          <w:rFonts w:ascii="Times New Roman" w:hAnsi="Times New Roman" w:cs="Times New Roman"/>
          <w:sz w:val="24"/>
          <w:szCs w:val="24"/>
        </w:rPr>
        <w:t>To ośrodki w postaci przedsiębiorstw energetycznych ora</w:t>
      </w:r>
      <w:r w:rsidR="001D0628">
        <w:rPr>
          <w:rFonts w:ascii="Times New Roman" w:hAnsi="Times New Roman" w:cs="Times New Roman"/>
          <w:sz w:val="24"/>
          <w:szCs w:val="24"/>
        </w:rPr>
        <w:t>z </w:t>
      </w:r>
      <w:r w:rsidR="00360DD7" w:rsidRPr="00EF6F97">
        <w:rPr>
          <w:rFonts w:ascii="Times New Roman" w:hAnsi="Times New Roman" w:cs="Times New Roman"/>
          <w:sz w:val="24"/>
          <w:szCs w:val="24"/>
        </w:rPr>
        <w:t>stowarzyszeń naukowo-technicznych dzia</w:t>
      </w:r>
      <w:r w:rsidR="0076671F" w:rsidRPr="00EF6F97">
        <w:rPr>
          <w:rFonts w:ascii="Times New Roman" w:hAnsi="Times New Roman" w:cs="Times New Roman"/>
          <w:sz w:val="24"/>
          <w:szCs w:val="24"/>
        </w:rPr>
        <w:t>łających w branży</w:t>
      </w:r>
      <w:r w:rsidR="00360DD7" w:rsidRPr="00EF6F97">
        <w:rPr>
          <w:rFonts w:ascii="Times New Roman" w:hAnsi="Times New Roman" w:cs="Times New Roman"/>
          <w:sz w:val="24"/>
          <w:szCs w:val="24"/>
        </w:rPr>
        <w:t xml:space="preserve"> energetycznej stanowią gwarancję należytego przeprowadzenia egzaminów</w:t>
      </w:r>
      <w:r w:rsidR="0076671F" w:rsidRPr="00EF6F97">
        <w:rPr>
          <w:rFonts w:ascii="Times New Roman" w:hAnsi="Times New Roman" w:cs="Times New Roman"/>
          <w:sz w:val="24"/>
          <w:szCs w:val="24"/>
        </w:rPr>
        <w:t xml:space="preserve"> w zawodzie elektryka. Osoby będące pracownikami ww. podmiotów maj</w:t>
      </w:r>
      <w:r w:rsidR="006F5599">
        <w:rPr>
          <w:rFonts w:ascii="Times New Roman" w:hAnsi="Times New Roman" w:cs="Times New Roman"/>
          <w:sz w:val="24"/>
          <w:szCs w:val="24"/>
        </w:rPr>
        <w:t>ą</w:t>
      </w:r>
      <w:r w:rsidR="0076671F" w:rsidRPr="00EF6F97">
        <w:rPr>
          <w:rFonts w:ascii="Times New Roman" w:hAnsi="Times New Roman" w:cs="Times New Roman"/>
          <w:sz w:val="24"/>
          <w:szCs w:val="24"/>
        </w:rPr>
        <w:t xml:space="preserve"> wieloletnie</w:t>
      </w:r>
      <w:r w:rsidR="001D0628">
        <w:rPr>
          <w:rFonts w:ascii="Times New Roman" w:hAnsi="Times New Roman" w:cs="Times New Roman"/>
          <w:sz w:val="24"/>
          <w:szCs w:val="24"/>
        </w:rPr>
        <w:t xml:space="preserve"> i </w:t>
      </w:r>
      <w:r w:rsidR="0076671F" w:rsidRPr="00EF6F97">
        <w:rPr>
          <w:rFonts w:ascii="Times New Roman" w:hAnsi="Times New Roman" w:cs="Times New Roman"/>
          <w:sz w:val="24"/>
          <w:szCs w:val="24"/>
        </w:rPr>
        <w:t xml:space="preserve">praktyczne doświadczenie związane </w:t>
      </w:r>
      <w:r w:rsidR="001D0628">
        <w:rPr>
          <w:rFonts w:ascii="Times New Roman" w:hAnsi="Times New Roman" w:cs="Times New Roman"/>
          <w:sz w:val="24"/>
          <w:szCs w:val="24"/>
        </w:rPr>
        <w:t>z </w:t>
      </w:r>
      <w:r w:rsidR="0076671F" w:rsidRPr="00EF6F97">
        <w:rPr>
          <w:rFonts w:ascii="Times New Roman" w:hAnsi="Times New Roman" w:cs="Times New Roman"/>
          <w:sz w:val="24"/>
          <w:szCs w:val="24"/>
        </w:rPr>
        <w:t xml:space="preserve">pracą urządzeń elektrycznych. Zawężenie do ww. kategorii podmiotów ma na celu wyeliminowanie sytuacji, w której osoby nie mające pojęcia na temat funkcjonowania energetyki przyznają uprawnienia właśnie w tej dziedzinie. </w:t>
      </w:r>
      <w:r w:rsidR="00A64316" w:rsidRPr="00EF6F97">
        <w:rPr>
          <w:rFonts w:ascii="Times New Roman" w:hAnsi="Times New Roman" w:cs="Times New Roman"/>
          <w:sz w:val="24"/>
          <w:szCs w:val="24"/>
        </w:rPr>
        <w:t>Ministerstwu była wielokrotnie sygnalizowana kwestia powoływania stowarzyszenia jedynie w celu osiągania korzyści materialnych związanych ze zbieraniem opłat za przeprowadzenie egzaminu ora</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 xml:space="preserve">wydanie świadectwa kwalifikacyjnego. Niekiedy dochodziło do nadużyć związanych </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tym, że egzaminy były przeprowadzane prze</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niewykwalifikowane osoby co negatywnie odbijało się na jakości świadczonych usług (dopuszczanie do zawodu osób be</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wymaganych kwalifik</w:t>
      </w:r>
      <w:r w:rsidR="007A0BFA" w:rsidRPr="00EF6F97">
        <w:rPr>
          <w:rFonts w:ascii="Times New Roman" w:hAnsi="Times New Roman" w:cs="Times New Roman"/>
          <w:sz w:val="24"/>
          <w:szCs w:val="24"/>
        </w:rPr>
        <w:t>acji ani</w:t>
      </w:r>
      <w:r w:rsidR="00A64316" w:rsidRPr="00EF6F97">
        <w:rPr>
          <w:rFonts w:ascii="Times New Roman" w:hAnsi="Times New Roman" w:cs="Times New Roman"/>
          <w:sz w:val="24"/>
          <w:szCs w:val="24"/>
        </w:rPr>
        <w:t xml:space="preserve"> doświadczenia) ora</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stwarzało zagrożenie</w:t>
      </w:r>
      <w:r w:rsidR="007A0BFA" w:rsidRPr="00EF6F97">
        <w:rPr>
          <w:rFonts w:ascii="Times New Roman" w:hAnsi="Times New Roman" w:cs="Times New Roman"/>
          <w:sz w:val="24"/>
          <w:szCs w:val="24"/>
        </w:rPr>
        <w:t xml:space="preserve"> zdrowia</w:t>
      </w:r>
      <w:r w:rsidR="001D0628">
        <w:rPr>
          <w:rFonts w:ascii="Times New Roman" w:hAnsi="Times New Roman" w:cs="Times New Roman"/>
          <w:sz w:val="24"/>
          <w:szCs w:val="24"/>
        </w:rPr>
        <w:t xml:space="preserve"> i </w:t>
      </w:r>
      <w:r w:rsidR="007A0BFA" w:rsidRPr="00EF6F97">
        <w:rPr>
          <w:rFonts w:ascii="Times New Roman" w:hAnsi="Times New Roman" w:cs="Times New Roman"/>
          <w:sz w:val="24"/>
          <w:szCs w:val="24"/>
        </w:rPr>
        <w:t>życia</w:t>
      </w:r>
      <w:r w:rsidR="00A64316" w:rsidRPr="00EF6F97">
        <w:rPr>
          <w:rFonts w:ascii="Times New Roman" w:hAnsi="Times New Roman" w:cs="Times New Roman"/>
          <w:sz w:val="24"/>
          <w:szCs w:val="24"/>
        </w:rPr>
        <w:t xml:space="preserve"> zarówno dla elektryków jak</w:t>
      </w:r>
      <w:r w:rsidR="001D0628">
        <w:rPr>
          <w:rFonts w:ascii="Times New Roman" w:hAnsi="Times New Roman" w:cs="Times New Roman"/>
          <w:sz w:val="24"/>
          <w:szCs w:val="24"/>
        </w:rPr>
        <w:t xml:space="preserve"> i </w:t>
      </w:r>
      <w:r w:rsidR="00A64316" w:rsidRPr="00EF6F97">
        <w:rPr>
          <w:rFonts w:ascii="Times New Roman" w:hAnsi="Times New Roman" w:cs="Times New Roman"/>
          <w:sz w:val="24"/>
          <w:szCs w:val="24"/>
        </w:rPr>
        <w:t xml:space="preserve">osób, które korzystały </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ich usług.</w:t>
      </w:r>
      <w:r w:rsidR="007A0BFA" w:rsidRPr="00EF6F97">
        <w:rPr>
          <w:rFonts w:ascii="Times New Roman" w:hAnsi="Times New Roman" w:cs="Times New Roman"/>
          <w:sz w:val="24"/>
          <w:szCs w:val="24"/>
        </w:rPr>
        <w:t xml:space="preserve"> Na marginesie należy zauważyć, że zgodnie </w:t>
      </w:r>
      <w:r w:rsidR="001D0628">
        <w:rPr>
          <w:rFonts w:ascii="Times New Roman" w:hAnsi="Times New Roman" w:cs="Times New Roman"/>
          <w:sz w:val="24"/>
          <w:szCs w:val="24"/>
        </w:rPr>
        <w:t>z </w:t>
      </w:r>
      <w:r w:rsidR="007A0BFA" w:rsidRPr="00EF6F97">
        <w:rPr>
          <w:rFonts w:ascii="Times New Roman" w:hAnsi="Times New Roman" w:cs="Times New Roman"/>
          <w:sz w:val="24"/>
          <w:szCs w:val="24"/>
        </w:rPr>
        <w:t xml:space="preserve">art. 9 ustawy </w:t>
      </w:r>
      <w:r w:rsidR="001D0628">
        <w:rPr>
          <w:rFonts w:ascii="Times New Roman" w:hAnsi="Times New Roman" w:cs="Times New Roman"/>
          <w:sz w:val="24"/>
          <w:szCs w:val="24"/>
        </w:rPr>
        <w:t>z </w:t>
      </w:r>
      <w:r w:rsidR="007A0BFA" w:rsidRPr="00EF6F97">
        <w:rPr>
          <w:rFonts w:ascii="Times New Roman" w:hAnsi="Times New Roman" w:cs="Times New Roman"/>
          <w:sz w:val="24"/>
          <w:szCs w:val="24"/>
        </w:rPr>
        <w:t>dnia 7 kwietnia 1989</w:t>
      </w:r>
      <w:r w:rsidRPr="00EF6F97">
        <w:rPr>
          <w:rFonts w:ascii="Times New Roman" w:hAnsi="Times New Roman" w:cs="Times New Roman"/>
          <w:sz w:val="24"/>
          <w:szCs w:val="24"/>
        </w:rPr>
        <w:t> </w:t>
      </w:r>
      <w:r w:rsidR="001D0628">
        <w:rPr>
          <w:rFonts w:ascii="Times New Roman" w:hAnsi="Times New Roman" w:cs="Times New Roman"/>
          <w:sz w:val="24"/>
          <w:szCs w:val="24"/>
        </w:rPr>
        <w:t> r.</w:t>
      </w:r>
      <w:r w:rsidR="007A0BFA" w:rsidRPr="00EF6F97">
        <w:rPr>
          <w:rFonts w:ascii="Times New Roman" w:hAnsi="Times New Roman" w:cs="Times New Roman"/>
          <w:sz w:val="24"/>
          <w:szCs w:val="24"/>
        </w:rPr>
        <w:t xml:space="preserve"> – Prawo o stowarzyszeniach (Dz.</w:t>
      </w:r>
      <w:r w:rsidR="00EF6F97">
        <w:rPr>
          <w:rFonts w:ascii="Times New Roman" w:hAnsi="Times New Roman" w:cs="Times New Roman"/>
          <w:sz w:val="24"/>
          <w:szCs w:val="24"/>
        </w:rPr>
        <w:t xml:space="preserve"> </w:t>
      </w:r>
      <w:r w:rsidR="007A0BFA" w:rsidRPr="00EF6F97">
        <w:rPr>
          <w:rFonts w:ascii="Times New Roman" w:hAnsi="Times New Roman" w:cs="Times New Roman"/>
          <w:sz w:val="24"/>
          <w:szCs w:val="24"/>
        </w:rPr>
        <w:t>U.</w:t>
      </w:r>
      <w:r w:rsidR="00EF6F97">
        <w:rPr>
          <w:rFonts w:ascii="Times New Roman" w:hAnsi="Times New Roman" w:cs="Times New Roman"/>
          <w:sz w:val="24"/>
          <w:szCs w:val="24"/>
        </w:rPr>
        <w:t xml:space="preserve"> </w:t>
      </w:r>
      <w:r w:rsidR="001D0628">
        <w:rPr>
          <w:rFonts w:ascii="Times New Roman" w:hAnsi="Times New Roman" w:cs="Times New Roman"/>
          <w:sz w:val="24"/>
          <w:szCs w:val="24"/>
        </w:rPr>
        <w:t>z </w:t>
      </w:r>
      <w:r w:rsidR="00EF6F97">
        <w:rPr>
          <w:rFonts w:ascii="Times New Roman" w:hAnsi="Times New Roman" w:cs="Times New Roman"/>
          <w:sz w:val="24"/>
          <w:szCs w:val="24"/>
        </w:rPr>
        <w:t xml:space="preserve"> </w:t>
      </w:r>
      <w:r w:rsidR="007A0BFA" w:rsidRPr="00EF6F97">
        <w:rPr>
          <w:rFonts w:ascii="Times New Roman" w:hAnsi="Times New Roman" w:cs="Times New Roman"/>
          <w:sz w:val="24"/>
          <w:szCs w:val="24"/>
        </w:rPr>
        <w:t>2019</w:t>
      </w:r>
      <w:r w:rsidR="001D0628">
        <w:rPr>
          <w:rFonts w:ascii="Times New Roman" w:hAnsi="Times New Roman" w:cs="Times New Roman"/>
          <w:sz w:val="24"/>
          <w:szCs w:val="24"/>
        </w:rPr>
        <w:t> r.</w:t>
      </w:r>
      <w:r w:rsidR="007A0BFA" w:rsidRPr="00EF6F97">
        <w:rPr>
          <w:rFonts w:ascii="Times New Roman" w:hAnsi="Times New Roman" w:cs="Times New Roman"/>
          <w:sz w:val="24"/>
          <w:szCs w:val="24"/>
        </w:rPr>
        <w:t xml:space="preserve"> poz. </w:t>
      </w:r>
      <w:r w:rsidR="007A0BFA" w:rsidRPr="00EF6F97">
        <w:rPr>
          <w:rFonts w:ascii="Times New Roman" w:hAnsi="Times New Roman" w:cs="Times New Roman"/>
          <w:sz w:val="24"/>
          <w:szCs w:val="24"/>
        </w:rPr>
        <w:lastRenderedPageBreak/>
        <w:t>713 ora</w:t>
      </w:r>
      <w:r w:rsidR="001D0628">
        <w:rPr>
          <w:rFonts w:ascii="Times New Roman" w:hAnsi="Times New Roman" w:cs="Times New Roman"/>
          <w:sz w:val="24"/>
          <w:szCs w:val="24"/>
        </w:rPr>
        <w:t>z z </w:t>
      </w:r>
      <w:r w:rsidR="007A0BFA" w:rsidRPr="00EF6F97">
        <w:rPr>
          <w:rFonts w:ascii="Times New Roman" w:hAnsi="Times New Roman" w:cs="Times New Roman"/>
          <w:sz w:val="24"/>
          <w:szCs w:val="24"/>
        </w:rPr>
        <w:t>2020</w:t>
      </w:r>
      <w:r w:rsidR="001D0628">
        <w:rPr>
          <w:rFonts w:ascii="Times New Roman" w:hAnsi="Times New Roman" w:cs="Times New Roman"/>
          <w:sz w:val="24"/>
          <w:szCs w:val="24"/>
        </w:rPr>
        <w:t> r.</w:t>
      </w:r>
      <w:r w:rsidR="007A0BFA" w:rsidRPr="00EF6F97">
        <w:rPr>
          <w:rFonts w:ascii="Times New Roman" w:hAnsi="Times New Roman" w:cs="Times New Roman"/>
          <w:sz w:val="24"/>
          <w:szCs w:val="24"/>
        </w:rPr>
        <w:t xml:space="preserve"> poz. 695) do założenia stowarzyszenia wymagane jest jedynie siedmiu członków. </w:t>
      </w:r>
    </w:p>
    <w:p w14:paraId="72883EF6" w14:textId="77777777" w:rsidR="00F86AB1" w:rsidRPr="00EF6F97" w:rsidRDefault="00F86AB1" w:rsidP="00EF6F97">
      <w:pPr>
        <w:spacing w:line="360" w:lineRule="auto"/>
        <w:jc w:val="both"/>
        <w:rPr>
          <w:rFonts w:ascii="Times New Roman" w:hAnsi="Times New Roman" w:cs="Times New Roman"/>
          <w:sz w:val="24"/>
          <w:szCs w:val="24"/>
        </w:rPr>
      </w:pPr>
    </w:p>
    <w:p w14:paraId="6FE46883" w14:textId="77777777" w:rsidR="0079779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44CBD" w:rsidRPr="00EF6F97">
        <w:rPr>
          <w:rFonts w:ascii="Times New Roman" w:hAnsi="Times New Roman" w:cs="Times New Roman"/>
          <w:sz w:val="24"/>
          <w:szCs w:val="24"/>
        </w:rPr>
        <w:t xml:space="preserve">Ad. </w:t>
      </w:r>
      <w:r w:rsidR="00D0483F" w:rsidRPr="00EF6F97">
        <w:rPr>
          <w:rFonts w:ascii="Times New Roman" w:hAnsi="Times New Roman" w:cs="Times New Roman"/>
          <w:sz w:val="24"/>
          <w:szCs w:val="24"/>
        </w:rPr>
        <w:t>5</w:t>
      </w:r>
      <w:r w:rsidR="00F86AB1" w:rsidRPr="00EF6F97">
        <w:rPr>
          <w:rFonts w:ascii="Times New Roman" w:hAnsi="Times New Roman" w:cs="Times New Roman"/>
          <w:sz w:val="24"/>
          <w:szCs w:val="24"/>
        </w:rPr>
        <w:t xml:space="preserve">. </w:t>
      </w:r>
      <w:r w:rsidR="0053461A" w:rsidRPr="00EF6F97">
        <w:rPr>
          <w:rFonts w:ascii="Times New Roman" w:hAnsi="Times New Roman" w:cs="Times New Roman"/>
          <w:sz w:val="24"/>
          <w:szCs w:val="24"/>
        </w:rPr>
        <w:t>Pomimo wielu lat funkcjonowania przep</w:t>
      </w:r>
      <w:r w:rsidR="006C4234" w:rsidRPr="00EF6F97">
        <w:rPr>
          <w:rFonts w:ascii="Times New Roman" w:hAnsi="Times New Roman" w:cs="Times New Roman"/>
          <w:sz w:val="24"/>
          <w:szCs w:val="24"/>
        </w:rPr>
        <w:t>isów ustawy – Prawo energetyczne</w:t>
      </w:r>
      <w:r w:rsidR="0053461A" w:rsidRPr="00EF6F97">
        <w:rPr>
          <w:rFonts w:ascii="Times New Roman" w:hAnsi="Times New Roman" w:cs="Times New Roman"/>
          <w:sz w:val="24"/>
          <w:szCs w:val="24"/>
        </w:rPr>
        <w:t xml:space="preserve">, które wdrażały do polskiego systemu prawnego kolejne pakiety energetyczne UE nie zostały przełamane monopole </w:t>
      </w:r>
      <w:r w:rsidR="005A44C5" w:rsidRPr="00EF6F97">
        <w:rPr>
          <w:rFonts w:ascii="Times New Roman" w:hAnsi="Times New Roman" w:cs="Times New Roman"/>
          <w:sz w:val="24"/>
          <w:szCs w:val="24"/>
        </w:rPr>
        <w:t>grup energetycznych na sprzedaż energii elektrycznej do odbiorców końcowych. Kolejne dyrektywy rynkowe UE kładły</w:t>
      </w:r>
      <w:r w:rsidR="001D0628">
        <w:rPr>
          <w:rFonts w:ascii="Times New Roman" w:hAnsi="Times New Roman" w:cs="Times New Roman"/>
          <w:sz w:val="24"/>
          <w:szCs w:val="24"/>
        </w:rPr>
        <w:t xml:space="preserve"> i </w:t>
      </w:r>
      <w:r w:rsidR="005A44C5" w:rsidRPr="00EF6F97">
        <w:rPr>
          <w:rFonts w:ascii="Times New Roman" w:hAnsi="Times New Roman" w:cs="Times New Roman"/>
          <w:sz w:val="24"/>
          <w:szCs w:val="24"/>
        </w:rPr>
        <w:t>kładą co ra</w:t>
      </w:r>
      <w:r w:rsidR="001D0628">
        <w:rPr>
          <w:rFonts w:ascii="Times New Roman" w:hAnsi="Times New Roman" w:cs="Times New Roman"/>
          <w:sz w:val="24"/>
          <w:szCs w:val="24"/>
        </w:rPr>
        <w:t>z </w:t>
      </w:r>
      <w:r w:rsidR="005A44C5" w:rsidRPr="00EF6F97">
        <w:rPr>
          <w:rFonts w:ascii="Times New Roman" w:hAnsi="Times New Roman" w:cs="Times New Roman"/>
          <w:sz w:val="24"/>
          <w:szCs w:val="24"/>
        </w:rPr>
        <w:t>silniejszy nacisk na rozdzielenie działalności polegającej na dystrybucji energii elektrycznej od sprzedaży tej energii ora</w:t>
      </w:r>
      <w:r w:rsidR="001D0628">
        <w:rPr>
          <w:rFonts w:ascii="Times New Roman" w:hAnsi="Times New Roman" w:cs="Times New Roman"/>
          <w:sz w:val="24"/>
          <w:szCs w:val="24"/>
        </w:rPr>
        <w:t>z </w:t>
      </w:r>
      <w:r w:rsidR="005A44C5" w:rsidRPr="00EF6F97">
        <w:rPr>
          <w:rFonts w:ascii="Times New Roman" w:hAnsi="Times New Roman" w:cs="Times New Roman"/>
          <w:sz w:val="24"/>
          <w:szCs w:val="24"/>
        </w:rPr>
        <w:t xml:space="preserve">na prawo odbiorcy do wyboru sprzedawcy </w:t>
      </w:r>
      <w:r w:rsidR="001D0628">
        <w:rPr>
          <w:rFonts w:ascii="Times New Roman" w:hAnsi="Times New Roman" w:cs="Times New Roman"/>
          <w:sz w:val="24"/>
          <w:szCs w:val="24"/>
        </w:rPr>
        <w:t>z </w:t>
      </w:r>
      <w:r w:rsidR="005A44C5" w:rsidRPr="00EF6F97">
        <w:rPr>
          <w:rFonts w:ascii="Times New Roman" w:hAnsi="Times New Roman" w:cs="Times New Roman"/>
          <w:sz w:val="24"/>
          <w:szCs w:val="24"/>
        </w:rPr>
        <w:t>poszanowaniem zasady ochrony interesów odbiorców końcowych ora</w:t>
      </w:r>
      <w:r w:rsidR="001D0628">
        <w:rPr>
          <w:rFonts w:ascii="Times New Roman" w:hAnsi="Times New Roman" w:cs="Times New Roman"/>
          <w:sz w:val="24"/>
          <w:szCs w:val="24"/>
        </w:rPr>
        <w:t>z </w:t>
      </w:r>
      <w:r w:rsidR="005A44C5" w:rsidRPr="00EF6F97">
        <w:rPr>
          <w:rFonts w:ascii="Times New Roman" w:hAnsi="Times New Roman" w:cs="Times New Roman"/>
          <w:sz w:val="24"/>
          <w:szCs w:val="24"/>
        </w:rPr>
        <w:t>równoprawnego traktowania stron umowy. W rzeczywistości jednak nie ma mowy o jednakowej pozycji stron</w:t>
      </w:r>
      <w:r w:rsidR="001D0628">
        <w:rPr>
          <w:rFonts w:ascii="Times New Roman" w:hAnsi="Times New Roman" w:cs="Times New Roman"/>
          <w:sz w:val="24"/>
          <w:szCs w:val="24"/>
        </w:rPr>
        <w:t xml:space="preserve"> i </w:t>
      </w:r>
      <w:r w:rsidR="005A44C5" w:rsidRPr="00EF6F97">
        <w:rPr>
          <w:rFonts w:ascii="Times New Roman" w:hAnsi="Times New Roman" w:cs="Times New Roman"/>
          <w:sz w:val="24"/>
          <w:szCs w:val="24"/>
        </w:rPr>
        <w:t>nienarzucaniu warunków umów prze</w:t>
      </w:r>
      <w:r w:rsidR="001D0628">
        <w:rPr>
          <w:rFonts w:ascii="Times New Roman" w:hAnsi="Times New Roman" w:cs="Times New Roman"/>
          <w:sz w:val="24"/>
          <w:szCs w:val="24"/>
        </w:rPr>
        <w:t>z </w:t>
      </w:r>
      <w:r w:rsidR="005A44C5" w:rsidRPr="00EF6F97">
        <w:rPr>
          <w:rFonts w:ascii="Times New Roman" w:hAnsi="Times New Roman" w:cs="Times New Roman"/>
          <w:sz w:val="24"/>
          <w:szCs w:val="24"/>
        </w:rPr>
        <w:t xml:space="preserve">stronę silniejszą. </w:t>
      </w:r>
      <w:r w:rsidR="00424DA5" w:rsidRPr="00EF6F97">
        <w:rPr>
          <w:rFonts w:ascii="Times New Roman" w:hAnsi="Times New Roman" w:cs="Times New Roman"/>
          <w:sz w:val="24"/>
          <w:szCs w:val="24"/>
        </w:rPr>
        <w:t xml:space="preserve">Sytuacja ta wprost prowadzi do hamowania rozwoju konkurencji na rynku energii elektrycznej. By powyższemu, negatywnemu zjawisku zapobiec wyposażono regulatora w odpowiednie narzędzia pozwalające mu na ingerencję w relacje ukształtowane </w:t>
      </w:r>
      <w:r w:rsidR="001D0628">
        <w:rPr>
          <w:rFonts w:ascii="Times New Roman" w:hAnsi="Times New Roman" w:cs="Times New Roman"/>
          <w:sz w:val="24"/>
          <w:szCs w:val="24"/>
        </w:rPr>
        <w:t>z </w:t>
      </w:r>
      <w:r w:rsidR="00424DA5" w:rsidRPr="00EF6F97">
        <w:rPr>
          <w:rFonts w:ascii="Times New Roman" w:hAnsi="Times New Roman" w:cs="Times New Roman"/>
          <w:sz w:val="24"/>
          <w:szCs w:val="24"/>
        </w:rPr>
        <w:t>pokrzywdzeniem jednej</w:t>
      </w:r>
      <w:r w:rsidR="00296AE8" w:rsidRPr="00EF6F97">
        <w:rPr>
          <w:rFonts w:ascii="Times New Roman" w:hAnsi="Times New Roman" w:cs="Times New Roman"/>
          <w:sz w:val="24"/>
          <w:szCs w:val="24"/>
        </w:rPr>
        <w:t xml:space="preserve"> ze stron. W tym celu</w:t>
      </w:r>
      <w:r w:rsidR="00EF6F97">
        <w:rPr>
          <w:rFonts w:ascii="Times New Roman" w:hAnsi="Times New Roman" w:cs="Times New Roman"/>
          <w:sz w:val="24"/>
          <w:szCs w:val="24"/>
        </w:rPr>
        <w:t xml:space="preserve"> </w:t>
      </w:r>
      <w:r w:rsidR="00296AE8" w:rsidRPr="00EF6F97">
        <w:rPr>
          <w:rFonts w:ascii="Times New Roman" w:hAnsi="Times New Roman" w:cs="Times New Roman"/>
          <w:sz w:val="24"/>
          <w:szCs w:val="24"/>
        </w:rPr>
        <w:t>Prezes U</w:t>
      </w:r>
      <w:r w:rsidR="00424DA5" w:rsidRPr="00EF6F97">
        <w:rPr>
          <w:rFonts w:ascii="Times New Roman" w:hAnsi="Times New Roman" w:cs="Times New Roman"/>
          <w:sz w:val="24"/>
          <w:szCs w:val="24"/>
        </w:rPr>
        <w:t xml:space="preserve">RE </w:t>
      </w:r>
      <w:r w:rsidR="001D0628">
        <w:rPr>
          <w:rFonts w:ascii="Times New Roman" w:hAnsi="Times New Roman" w:cs="Times New Roman"/>
          <w:sz w:val="24"/>
          <w:szCs w:val="24"/>
        </w:rPr>
        <w:t>z </w:t>
      </w:r>
      <w:r w:rsidR="0079779C" w:rsidRPr="00EF6F97">
        <w:rPr>
          <w:rFonts w:ascii="Times New Roman" w:hAnsi="Times New Roman" w:cs="Times New Roman"/>
          <w:sz w:val="24"/>
          <w:szCs w:val="24"/>
        </w:rPr>
        <w:t>urzędu lub na wniosek strony zobowiązać strony umowy o świadczenie usług przesyłania lub dystrybucji paliw gazowych lub energii elektrycznej zawartej pomiędzy sprzedawcą a operatorem systemu dystrybucyjnego lub operatorem systemu przesyłowego do jej zmiany, w celu umożliwienia sprzedawcy sprzedaży paliw gazowych lub energii elektrycznej lub świadczenia usługi kompleksowej odbiorcom przyłączonym do sieci tego operatora, w przypadkach uzasadnionych koniecznością zapewnienia ochrony interesów odbiorców końcowych, równoważenia interesów stron tej umowy lub przeciwdziałania praktykom ograniczającym konkurencję, w tym umożliwienia korzystania prze</w:t>
      </w:r>
      <w:r w:rsidR="001D0628">
        <w:rPr>
          <w:rFonts w:ascii="Times New Roman" w:hAnsi="Times New Roman" w:cs="Times New Roman"/>
          <w:sz w:val="24"/>
          <w:szCs w:val="24"/>
        </w:rPr>
        <w:t>z </w:t>
      </w:r>
      <w:r w:rsidR="0079779C" w:rsidRPr="00EF6F97">
        <w:rPr>
          <w:rFonts w:ascii="Times New Roman" w:hAnsi="Times New Roman" w:cs="Times New Roman"/>
          <w:sz w:val="24"/>
          <w:szCs w:val="24"/>
        </w:rPr>
        <w:t xml:space="preserve">odbiorców końcowych </w:t>
      </w:r>
      <w:r w:rsidR="001D0628">
        <w:rPr>
          <w:rFonts w:ascii="Times New Roman" w:hAnsi="Times New Roman" w:cs="Times New Roman"/>
          <w:sz w:val="24"/>
          <w:szCs w:val="24"/>
        </w:rPr>
        <w:t>z </w:t>
      </w:r>
      <w:r w:rsidR="0079779C" w:rsidRPr="00EF6F97">
        <w:rPr>
          <w:rFonts w:ascii="Times New Roman" w:hAnsi="Times New Roman" w:cs="Times New Roman"/>
          <w:sz w:val="24"/>
          <w:szCs w:val="24"/>
        </w:rPr>
        <w:t>uprawnienia zmiany umowy.</w:t>
      </w:r>
    </w:p>
    <w:p w14:paraId="288A6141" w14:textId="77777777" w:rsidR="000653B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296AE8" w:rsidRPr="00EF6F97">
        <w:rPr>
          <w:rFonts w:ascii="Times New Roman" w:hAnsi="Times New Roman" w:cs="Times New Roman"/>
          <w:sz w:val="24"/>
          <w:szCs w:val="24"/>
        </w:rPr>
        <w:t>Prezes U</w:t>
      </w:r>
      <w:r w:rsidR="000653BF" w:rsidRPr="00EF6F97">
        <w:rPr>
          <w:rFonts w:ascii="Times New Roman" w:hAnsi="Times New Roman" w:cs="Times New Roman"/>
          <w:sz w:val="24"/>
          <w:szCs w:val="24"/>
        </w:rPr>
        <w:t>RE zatwierdzi instrukcję tylko wtedy jeżeli spełnia ona wymagania określone w ustawie, równoważy interesy użytkowników systemu ora</w:t>
      </w:r>
      <w:r w:rsidR="001D0628">
        <w:rPr>
          <w:rFonts w:ascii="Times New Roman" w:hAnsi="Times New Roman" w:cs="Times New Roman"/>
          <w:sz w:val="24"/>
          <w:szCs w:val="24"/>
        </w:rPr>
        <w:t>z </w:t>
      </w:r>
      <w:r w:rsidR="000653BF" w:rsidRPr="00EF6F97">
        <w:rPr>
          <w:rFonts w:ascii="Times New Roman" w:hAnsi="Times New Roman" w:cs="Times New Roman"/>
          <w:sz w:val="24"/>
          <w:szCs w:val="24"/>
        </w:rPr>
        <w:t>nie stanowi zagrożenia dla rozwoju konkurencji na rynku energii elektrycznej lub gazu ziemnego.</w:t>
      </w:r>
      <w:r w:rsidR="00296AE8" w:rsidRPr="00EF6F97">
        <w:rPr>
          <w:rFonts w:ascii="Times New Roman" w:hAnsi="Times New Roman" w:cs="Times New Roman"/>
          <w:sz w:val="24"/>
          <w:szCs w:val="24"/>
        </w:rPr>
        <w:t xml:space="preserve"> W innym przypadku Prezes U</w:t>
      </w:r>
      <w:r w:rsidR="000653BF" w:rsidRPr="00EF6F97">
        <w:rPr>
          <w:rFonts w:ascii="Times New Roman" w:hAnsi="Times New Roman" w:cs="Times New Roman"/>
          <w:sz w:val="24"/>
          <w:szCs w:val="24"/>
        </w:rPr>
        <w:t xml:space="preserve">RE </w:t>
      </w:r>
      <w:r w:rsidR="000F4042" w:rsidRPr="00EF6F97">
        <w:rPr>
          <w:rFonts w:ascii="Times New Roman" w:hAnsi="Times New Roman" w:cs="Times New Roman"/>
          <w:sz w:val="24"/>
          <w:szCs w:val="24"/>
        </w:rPr>
        <w:t>będzie mógł</w:t>
      </w:r>
      <w:r w:rsidR="006F0C38" w:rsidRPr="00EF6F97">
        <w:rPr>
          <w:rFonts w:ascii="Times New Roman" w:hAnsi="Times New Roman" w:cs="Times New Roman"/>
          <w:sz w:val="24"/>
          <w:szCs w:val="24"/>
        </w:rPr>
        <w:t xml:space="preserve"> wezwać</w:t>
      </w:r>
      <w:r w:rsidR="000653BF" w:rsidRPr="00EF6F97">
        <w:rPr>
          <w:rFonts w:ascii="Times New Roman" w:hAnsi="Times New Roman" w:cs="Times New Roman"/>
          <w:sz w:val="24"/>
          <w:szCs w:val="24"/>
        </w:rPr>
        <w:t xml:space="preserve"> operatora systemu przesyłowego lub operatora systemu dystrybucyjnego, który przedłożył instrukcję, do jej zmiany w oznaczonym zakresie, wyznaczając mu w tym celu odpowiedni termin. W razie niewykonania wezwania w ter</w:t>
      </w:r>
      <w:r w:rsidR="00296AE8" w:rsidRPr="00EF6F97">
        <w:rPr>
          <w:rFonts w:ascii="Times New Roman" w:hAnsi="Times New Roman" w:cs="Times New Roman"/>
          <w:sz w:val="24"/>
          <w:szCs w:val="24"/>
        </w:rPr>
        <w:t>minie, Prezes U</w:t>
      </w:r>
      <w:r w:rsidR="000F4042" w:rsidRPr="00EF6F97">
        <w:rPr>
          <w:rFonts w:ascii="Times New Roman" w:hAnsi="Times New Roman" w:cs="Times New Roman"/>
          <w:sz w:val="24"/>
          <w:szCs w:val="24"/>
        </w:rPr>
        <w:t>RE będzie mógł</w:t>
      </w:r>
      <w:r w:rsidR="000653BF" w:rsidRPr="00EF6F97">
        <w:rPr>
          <w:rFonts w:ascii="Times New Roman" w:hAnsi="Times New Roman" w:cs="Times New Roman"/>
          <w:sz w:val="24"/>
          <w:szCs w:val="24"/>
        </w:rPr>
        <w:t xml:space="preserve"> samodzielnie zmienić instrukcję w zakresie objętym wezwaniem</w:t>
      </w:r>
      <w:r w:rsidR="001D0628">
        <w:rPr>
          <w:rFonts w:ascii="Times New Roman" w:hAnsi="Times New Roman" w:cs="Times New Roman"/>
          <w:sz w:val="24"/>
          <w:szCs w:val="24"/>
        </w:rPr>
        <w:t xml:space="preserve"> i </w:t>
      </w:r>
      <w:r w:rsidR="000653BF" w:rsidRPr="00EF6F97">
        <w:rPr>
          <w:rFonts w:ascii="Times New Roman" w:hAnsi="Times New Roman" w:cs="Times New Roman"/>
          <w:sz w:val="24"/>
          <w:szCs w:val="24"/>
        </w:rPr>
        <w:t>zatwierdzić ją w brzmieniu uwzględniającym wprowadzone prze</w:t>
      </w:r>
      <w:r w:rsidR="001D0628">
        <w:rPr>
          <w:rFonts w:ascii="Times New Roman" w:hAnsi="Times New Roman" w:cs="Times New Roman"/>
          <w:sz w:val="24"/>
          <w:szCs w:val="24"/>
        </w:rPr>
        <w:t>z </w:t>
      </w:r>
      <w:r w:rsidR="000653BF" w:rsidRPr="00EF6F97">
        <w:rPr>
          <w:rFonts w:ascii="Times New Roman" w:hAnsi="Times New Roman" w:cs="Times New Roman"/>
          <w:sz w:val="24"/>
          <w:szCs w:val="24"/>
        </w:rPr>
        <w:t xml:space="preserve">nią zmiany. </w:t>
      </w:r>
    </w:p>
    <w:p w14:paraId="5FC1B13C" w14:textId="77777777" w:rsidR="00D20DB5" w:rsidRPr="00EF6F97" w:rsidRDefault="00D20DB5" w:rsidP="00EF6F97">
      <w:pPr>
        <w:spacing w:line="360" w:lineRule="auto"/>
        <w:jc w:val="both"/>
        <w:rPr>
          <w:rFonts w:ascii="Times New Roman" w:hAnsi="Times New Roman" w:cs="Times New Roman"/>
          <w:sz w:val="24"/>
          <w:szCs w:val="24"/>
        </w:rPr>
      </w:pPr>
    </w:p>
    <w:p w14:paraId="24B93499" w14:textId="77777777"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44CBD" w:rsidRPr="00EF6F97">
        <w:rPr>
          <w:rFonts w:ascii="Times New Roman" w:hAnsi="Times New Roman" w:cs="Times New Roman"/>
          <w:sz w:val="24"/>
          <w:szCs w:val="24"/>
        </w:rPr>
        <w:t xml:space="preserve">Ad. </w:t>
      </w:r>
      <w:r w:rsidR="00D0483F" w:rsidRPr="00EF6F97">
        <w:rPr>
          <w:rFonts w:ascii="Times New Roman" w:hAnsi="Times New Roman" w:cs="Times New Roman"/>
          <w:sz w:val="24"/>
          <w:szCs w:val="24"/>
        </w:rPr>
        <w:t>6</w:t>
      </w:r>
      <w:r w:rsidR="00F86AB1" w:rsidRPr="00EF6F97">
        <w:rPr>
          <w:rFonts w:ascii="Times New Roman" w:hAnsi="Times New Roman" w:cs="Times New Roman"/>
          <w:sz w:val="24"/>
          <w:szCs w:val="24"/>
        </w:rPr>
        <w:t xml:space="preserve">. </w:t>
      </w:r>
      <w:r w:rsidR="00296AE8" w:rsidRPr="00EF6F97">
        <w:rPr>
          <w:rFonts w:ascii="Times New Roman" w:hAnsi="Times New Roman" w:cs="Times New Roman"/>
          <w:sz w:val="24"/>
          <w:szCs w:val="24"/>
        </w:rPr>
        <w:t>Prezes URE będzie mógł cofnąć koncesję w przypadku wydania prze</w:t>
      </w:r>
      <w:r w:rsidR="001D0628">
        <w:rPr>
          <w:rFonts w:ascii="Times New Roman" w:hAnsi="Times New Roman" w:cs="Times New Roman"/>
          <w:sz w:val="24"/>
          <w:szCs w:val="24"/>
        </w:rPr>
        <w:t>z </w:t>
      </w:r>
      <w:r w:rsidR="00296AE8" w:rsidRPr="00EF6F97">
        <w:rPr>
          <w:rFonts w:ascii="Times New Roman" w:hAnsi="Times New Roman" w:cs="Times New Roman"/>
          <w:sz w:val="24"/>
          <w:szCs w:val="24"/>
        </w:rPr>
        <w:t>Prezesa Urzędu Ochrony Konkurencji</w:t>
      </w:r>
      <w:r w:rsidR="001D0628">
        <w:rPr>
          <w:rFonts w:ascii="Times New Roman" w:hAnsi="Times New Roman" w:cs="Times New Roman"/>
          <w:sz w:val="24"/>
          <w:szCs w:val="24"/>
        </w:rPr>
        <w:t xml:space="preserve"> i </w:t>
      </w:r>
      <w:r w:rsidR="00296AE8" w:rsidRPr="00EF6F97">
        <w:rPr>
          <w:rFonts w:ascii="Times New Roman" w:hAnsi="Times New Roman" w:cs="Times New Roman"/>
          <w:sz w:val="24"/>
          <w:szCs w:val="24"/>
        </w:rPr>
        <w:t xml:space="preserve">Konsumentów </w:t>
      </w:r>
      <w:r w:rsidR="00DE0FEF" w:rsidRPr="00EF6F97">
        <w:rPr>
          <w:rFonts w:ascii="Times New Roman" w:hAnsi="Times New Roman" w:cs="Times New Roman"/>
          <w:sz w:val="24"/>
          <w:szCs w:val="24"/>
        </w:rPr>
        <w:t>(zwany dalej „Pr</w:t>
      </w:r>
      <w:r w:rsidR="000F4042" w:rsidRPr="00EF6F97">
        <w:rPr>
          <w:rFonts w:ascii="Times New Roman" w:hAnsi="Times New Roman" w:cs="Times New Roman"/>
          <w:sz w:val="24"/>
          <w:szCs w:val="24"/>
        </w:rPr>
        <w:t>ezesem UOKiK</w:t>
      </w:r>
      <w:r w:rsidR="00DE0FEF" w:rsidRPr="00EF6F97">
        <w:rPr>
          <w:rFonts w:ascii="Times New Roman" w:hAnsi="Times New Roman" w:cs="Times New Roman"/>
          <w:sz w:val="24"/>
          <w:szCs w:val="24"/>
        </w:rPr>
        <w:t xml:space="preserve">”) </w:t>
      </w:r>
      <w:r w:rsidR="00296AE8" w:rsidRPr="00EF6F97">
        <w:rPr>
          <w:rFonts w:ascii="Times New Roman" w:hAnsi="Times New Roman" w:cs="Times New Roman"/>
          <w:sz w:val="24"/>
          <w:szCs w:val="24"/>
        </w:rPr>
        <w:t xml:space="preserve">wobec </w:t>
      </w:r>
      <w:r w:rsidR="00296AE8" w:rsidRPr="00EF6F97">
        <w:rPr>
          <w:rFonts w:ascii="Times New Roman" w:hAnsi="Times New Roman" w:cs="Times New Roman"/>
          <w:sz w:val="24"/>
          <w:szCs w:val="24"/>
        </w:rPr>
        <w:lastRenderedPageBreak/>
        <w:t xml:space="preserve">przedsiębiorstwa energetycznego decyzji o uznaniu praktyki za naruszającą zbiorowe interesy konsumentów w rozumieniu art. 24 ustawy </w:t>
      </w:r>
      <w:r w:rsidR="001D0628">
        <w:rPr>
          <w:rFonts w:ascii="Times New Roman" w:hAnsi="Times New Roman" w:cs="Times New Roman"/>
          <w:sz w:val="24"/>
          <w:szCs w:val="24"/>
        </w:rPr>
        <w:t>z </w:t>
      </w:r>
      <w:r w:rsidR="00296AE8" w:rsidRPr="00EF6F97">
        <w:rPr>
          <w:rFonts w:ascii="Times New Roman" w:hAnsi="Times New Roman" w:cs="Times New Roman"/>
          <w:sz w:val="24"/>
          <w:szCs w:val="24"/>
        </w:rPr>
        <w:t>dnia 16 lutego 2007</w:t>
      </w:r>
      <w:r w:rsidR="001D0628">
        <w:rPr>
          <w:rFonts w:ascii="Times New Roman" w:hAnsi="Times New Roman" w:cs="Times New Roman"/>
          <w:sz w:val="24"/>
          <w:szCs w:val="24"/>
        </w:rPr>
        <w:t> r.</w:t>
      </w:r>
      <w:r w:rsidR="00296AE8" w:rsidRPr="00EF6F97">
        <w:rPr>
          <w:rFonts w:ascii="Times New Roman" w:hAnsi="Times New Roman" w:cs="Times New Roman"/>
          <w:sz w:val="24"/>
          <w:szCs w:val="24"/>
        </w:rPr>
        <w:t xml:space="preserve"> o och</w:t>
      </w:r>
      <w:r w:rsidR="00DE0FEF" w:rsidRPr="00EF6F97">
        <w:rPr>
          <w:rFonts w:ascii="Times New Roman" w:hAnsi="Times New Roman" w:cs="Times New Roman"/>
          <w:sz w:val="24"/>
          <w:szCs w:val="24"/>
        </w:rPr>
        <w:t>ronie konkurencji</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konsumentów. Prezes UOKiK ma kompetencje m.in., do prowadzenia postepowań w sprawie praktyk naruszających zbiorowe interesy konsumentów.</w:t>
      </w:r>
    </w:p>
    <w:p w14:paraId="70239756" w14:textId="77777777"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E0FEF" w:rsidRPr="00EF6F97">
        <w:rPr>
          <w:rFonts w:ascii="Times New Roman" w:hAnsi="Times New Roman" w:cs="Times New Roman"/>
          <w:sz w:val="24"/>
          <w:szCs w:val="24"/>
        </w:rPr>
        <w:t xml:space="preserve">Prezes UOKiK wielokrotnie wykorzystywał przysługujące mu kompetencje, celem eliminacji negatywnych praktyk na rynku energii. </w:t>
      </w:r>
    </w:p>
    <w:p w14:paraId="2071C291" w14:textId="77777777"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E0FEF" w:rsidRPr="00EF6F97">
        <w:rPr>
          <w:rFonts w:ascii="Times New Roman" w:hAnsi="Times New Roman" w:cs="Times New Roman"/>
          <w:sz w:val="24"/>
          <w:szCs w:val="24"/>
        </w:rPr>
        <w:t>Szczególnie rozpowszechnionymi praktykami na rynku energii są:</w:t>
      </w:r>
    </w:p>
    <w:p w14:paraId="4742061F" w14:textId="77777777" w:rsidR="00DE0FEF" w:rsidRPr="00EF6F97" w:rsidRDefault="00DE0FEF" w:rsidP="00EF6F97">
      <w:pPr>
        <w:pStyle w:val="Akapitzlist"/>
        <w:numPr>
          <w:ilvl w:val="0"/>
          <w:numId w:val="28"/>
        </w:numPr>
        <w:spacing w:after="0" w:line="360" w:lineRule="auto"/>
        <w:jc w:val="both"/>
        <w:rPr>
          <w:rFonts w:ascii="Times New Roman" w:hAnsi="Times New Roman"/>
          <w:sz w:val="24"/>
          <w:szCs w:val="24"/>
        </w:rPr>
      </w:pPr>
      <w:r w:rsidRPr="00EF6F97">
        <w:rPr>
          <w:rFonts w:ascii="Times New Roman" w:hAnsi="Times New Roman"/>
          <w:sz w:val="24"/>
          <w:szCs w:val="24"/>
        </w:rPr>
        <w:t>wprowadzanie prze</w:t>
      </w:r>
      <w:r w:rsidR="001D0628">
        <w:rPr>
          <w:rFonts w:ascii="Times New Roman" w:hAnsi="Times New Roman"/>
          <w:sz w:val="24"/>
          <w:szCs w:val="24"/>
        </w:rPr>
        <w:t>z </w:t>
      </w:r>
      <w:r w:rsidRPr="00EF6F97">
        <w:rPr>
          <w:rFonts w:ascii="Times New Roman" w:hAnsi="Times New Roman"/>
          <w:sz w:val="24"/>
          <w:szCs w:val="24"/>
        </w:rPr>
        <w:t>przedstawicieli przedsiębiorstwa konsumentów w błąd co do</w:t>
      </w:r>
      <w:r w:rsidR="00EF6F97">
        <w:rPr>
          <w:rFonts w:ascii="Times New Roman" w:hAnsi="Times New Roman"/>
          <w:sz w:val="24"/>
          <w:szCs w:val="24"/>
        </w:rPr>
        <w:t xml:space="preserve"> </w:t>
      </w:r>
      <w:r w:rsidRPr="00EF6F97">
        <w:rPr>
          <w:rFonts w:ascii="Times New Roman" w:hAnsi="Times New Roman"/>
          <w:sz w:val="24"/>
          <w:szCs w:val="24"/>
        </w:rPr>
        <w:t>tożsamości, poprze</w:t>
      </w:r>
      <w:r w:rsidR="001D0628">
        <w:rPr>
          <w:rFonts w:ascii="Times New Roman" w:hAnsi="Times New Roman"/>
          <w:sz w:val="24"/>
          <w:szCs w:val="24"/>
        </w:rPr>
        <w:t>z </w:t>
      </w:r>
      <w:r w:rsidRPr="00EF6F97">
        <w:rPr>
          <w:rFonts w:ascii="Times New Roman" w:hAnsi="Times New Roman"/>
          <w:sz w:val="24"/>
          <w:szCs w:val="24"/>
        </w:rPr>
        <w:t>podszywanie się pod dotychczasowego sprzedawcę prądu;</w:t>
      </w:r>
    </w:p>
    <w:p w14:paraId="4AF1BE1C" w14:textId="77777777" w:rsidR="00DE0FEF" w:rsidRPr="00EF6F97" w:rsidRDefault="00DE0FEF" w:rsidP="00EF6F97">
      <w:pPr>
        <w:pStyle w:val="Akapitzlist"/>
        <w:numPr>
          <w:ilvl w:val="0"/>
          <w:numId w:val="28"/>
        </w:numPr>
        <w:spacing w:after="0" w:line="360" w:lineRule="auto"/>
        <w:jc w:val="both"/>
        <w:rPr>
          <w:rFonts w:ascii="Times New Roman" w:hAnsi="Times New Roman"/>
          <w:sz w:val="24"/>
          <w:szCs w:val="24"/>
        </w:rPr>
      </w:pPr>
      <w:r w:rsidRPr="00EF6F97">
        <w:rPr>
          <w:rFonts w:ascii="Times New Roman" w:hAnsi="Times New Roman"/>
          <w:sz w:val="24"/>
          <w:szCs w:val="24"/>
        </w:rPr>
        <w:t xml:space="preserve">sugerowanie, że przedkładane do podpisu dokumenty stanowią aneks do umowy </w:t>
      </w:r>
      <w:r w:rsidR="001D0628">
        <w:rPr>
          <w:rFonts w:ascii="Times New Roman" w:hAnsi="Times New Roman"/>
          <w:sz w:val="24"/>
          <w:szCs w:val="24"/>
        </w:rPr>
        <w:t>z </w:t>
      </w:r>
      <w:r w:rsidRPr="00EF6F97">
        <w:rPr>
          <w:rFonts w:ascii="Times New Roman" w:hAnsi="Times New Roman"/>
          <w:sz w:val="24"/>
          <w:szCs w:val="24"/>
        </w:rPr>
        <w:t xml:space="preserve">dotychczasowym sprzedawcą energii, bądź wymóg ich podpisania wynika ze zmiany przepisów prawa, likwidacji sprzedawcy energii elektrycznej, </w:t>
      </w:r>
      <w:r w:rsidR="001D0628">
        <w:rPr>
          <w:rFonts w:ascii="Times New Roman" w:hAnsi="Times New Roman"/>
          <w:sz w:val="24"/>
          <w:szCs w:val="24"/>
        </w:rPr>
        <w:t>z </w:t>
      </w:r>
      <w:r w:rsidRPr="00EF6F97">
        <w:rPr>
          <w:rFonts w:ascii="Times New Roman" w:hAnsi="Times New Roman"/>
          <w:sz w:val="24"/>
          <w:szCs w:val="24"/>
        </w:rPr>
        <w:t xml:space="preserve">którego usług korzystał dotychczas konsument lub połączenia tego przedsiębiorcy </w:t>
      </w:r>
      <w:r w:rsidR="001D0628">
        <w:rPr>
          <w:rFonts w:ascii="Times New Roman" w:hAnsi="Times New Roman"/>
          <w:sz w:val="24"/>
          <w:szCs w:val="24"/>
        </w:rPr>
        <w:t>z </w:t>
      </w:r>
      <w:r w:rsidRPr="00EF6F97">
        <w:rPr>
          <w:rFonts w:ascii="Times New Roman" w:hAnsi="Times New Roman"/>
          <w:sz w:val="24"/>
          <w:szCs w:val="24"/>
        </w:rPr>
        <w:t>innym przedsiębiorcą,</w:t>
      </w:r>
    </w:p>
    <w:p w14:paraId="371712C3" w14:textId="77777777" w:rsidR="00DE0FEF" w:rsidRPr="00EF6F97" w:rsidRDefault="00DE0FEF" w:rsidP="00EF6F97">
      <w:pPr>
        <w:pStyle w:val="Akapitzlist"/>
        <w:numPr>
          <w:ilvl w:val="0"/>
          <w:numId w:val="28"/>
        </w:numPr>
        <w:spacing w:after="0" w:line="360" w:lineRule="auto"/>
        <w:jc w:val="both"/>
        <w:rPr>
          <w:rFonts w:ascii="Times New Roman" w:hAnsi="Times New Roman"/>
          <w:sz w:val="24"/>
          <w:szCs w:val="24"/>
        </w:rPr>
      </w:pPr>
      <w:r w:rsidRPr="00EF6F97">
        <w:rPr>
          <w:rFonts w:ascii="Times New Roman" w:hAnsi="Times New Roman"/>
          <w:sz w:val="24"/>
          <w:szCs w:val="24"/>
        </w:rPr>
        <w:t>stosowanie przymusu</w:t>
      </w:r>
      <w:r w:rsidR="001D0628">
        <w:rPr>
          <w:rFonts w:ascii="Times New Roman" w:hAnsi="Times New Roman"/>
          <w:sz w:val="24"/>
          <w:szCs w:val="24"/>
        </w:rPr>
        <w:t xml:space="preserve"> i </w:t>
      </w:r>
      <w:r w:rsidRPr="00EF6F97">
        <w:rPr>
          <w:rFonts w:ascii="Times New Roman" w:hAnsi="Times New Roman"/>
          <w:sz w:val="24"/>
          <w:szCs w:val="24"/>
        </w:rPr>
        <w:t>wywieraniu na konsumentach presji poprze</w:t>
      </w:r>
      <w:r w:rsidR="001D0628">
        <w:rPr>
          <w:rFonts w:ascii="Times New Roman" w:hAnsi="Times New Roman"/>
          <w:sz w:val="24"/>
          <w:szCs w:val="24"/>
        </w:rPr>
        <w:t>z </w:t>
      </w:r>
      <w:r w:rsidRPr="00EF6F97">
        <w:rPr>
          <w:rFonts w:ascii="Times New Roman" w:hAnsi="Times New Roman"/>
          <w:sz w:val="24"/>
          <w:szCs w:val="24"/>
        </w:rPr>
        <w:t>sugerowanie konsumentowi, że jeżeli nie podpisze dokumentów, pozbawiony zostanie prądu, albo jego dotychczasowa umowa wygaśnie;</w:t>
      </w:r>
    </w:p>
    <w:p w14:paraId="0B378D79" w14:textId="77777777" w:rsidR="00DE0FEF" w:rsidRPr="00EF6F97" w:rsidRDefault="00DE0FEF" w:rsidP="00EF6F97">
      <w:pPr>
        <w:pStyle w:val="Akapitzlist"/>
        <w:numPr>
          <w:ilvl w:val="0"/>
          <w:numId w:val="28"/>
        </w:numPr>
        <w:spacing w:after="0" w:line="360" w:lineRule="auto"/>
        <w:jc w:val="both"/>
        <w:rPr>
          <w:rFonts w:ascii="Times New Roman" w:hAnsi="Times New Roman"/>
          <w:sz w:val="24"/>
          <w:szCs w:val="24"/>
        </w:rPr>
      </w:pPr>
      <w:r w:rsidRPr="00EF6F97">
        <w:rPr>
          <w:rFonts w:ascii="Times New Roman" w:hAnsi="Times New Roman"/>
          <w:sz w:val="24"/>
          <w:szCs w:val="24"/>
        </w:rPr>
        <w:t>manipulowanie informacjami o niższych rachunkach za energię,</w:t>
      </w:r>
    </w:p>
    <w:p w14:paraId="6D3B0B22" w14:textId="77777777" w:rsidR="00DE0FEF" w:rsidRPr="00EF6F97" w:rsidRDefault="00DE0FEF" w:rsidP="00EF6F97">
      <w:pPr>
        <w:pStyle w:val="Akapitzlist"/>
        <w:numPr>
          <w:ilvl w:val="0"/>
          <w:numId w:val="28"/>
        </w:numPr>
        <w:spacing w:after="0" w:line="360" w:lineRule="auto"/>
        <w:jc w:val="both"/>
        <w:rPr>
          <w:rFonts w:ascii="Times New Roman" w:hAnsi="Times New Roman"/>
          <w:sz w:val="24"/>
          <w:szCs w:val="24"/>
        </w:rPr>
      </w:pPr>
      <w:r w:rsidRPr="00EF6F97">
        <w:rPr>
          <w:rFonts w:ascii="Times New Roman" w:hAnsi="Times New Roman"/>
          <w:sz w:val="24"/>
          <w:szCs w:val="24"/>
        </w:rPr>
        <w:t xml:space="preserve">niezostawianie konsumentom podpisanych dokumentów. </w:t>
      </w:r>
    </w:p>
    <w:p w14:paraId="0D270FB1" w14:textId="77777777"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0F4042" w:rsidRPr="00EF6F97">
        <w:rPr>
          <w:rFonts w:ascii="Times New Roman" w:hAnsi="Times New Roman" w:cs="Times New Roman"/>
          <w:sz w:val="24"/>
          <w:szCs w:val="24"/>
        </w:rPr>
        <w:t>Prezes UOKiK</w:t>
      </w:r>
      <w:r w:rsidR="00DE0FEF" w:rsidRPr="00EF6F97">
        <w:rPr>
          <w:rFonts w:ascii="Times New Roman" w:hAnsi="Times New Roman" w:cs="Times New Roman"/>
          <w:sz w:val="24"/>
          <w:szCs w:val="24"/>
        </w:rPr>
        <w:t xml:space="preserve"> w decyzji kończącej postępowanie w sprawie praktyk naruszających zbiorowe interesy konsumentów może nałożyć karę pieniężną w wysokości nie większej niż 10 % obrotu osiągniętego w roku obrotowym poprzedzającym rok nałożenia kary. Takie kary nakładane były również na przedsiębiorstwa energetyczne.</w:t>
      </w:r>
    </w:p>
    <w:p w14:paraId="2E91A1FD" w14:textId="77777777"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E0FEF" w:rsidRPr="00EF6F97">
        <w:rPr>
          <w:rFonts w:ascii="Times New Roman" w:hAnsi="Times New Roman" w:cs="Times New Roman"/>
          <w:sz w:val="24"/>
          <w:szCs w:val="24"/>
        </w:rPr>
        <w:t>Zauważyć jednak należy, iż mimo wypełnienia prze</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Prezesa UOKiK jego ustawowych obowiązków</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wydania decyzji nakładającej karę pieniężną, przedsiębiorca może zaskarżyć decyzję do sądu</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w dalszym ciągu dopuszczać się naruszeń.</w:t>
      </w:r>
    </w:p>
    <w:p w14:paraId="24003297" w14:textId="77777777"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0F4042" w:rsidRPr="00EF6F97">
        <w:rPr>
          <w:rFonts w:ascii="Times New Roman" w:hAnsi="Times New Roman" w:cs="Times New Roman"/>
          <w:sz w:val="24"/>
          <w:szCs w:val="24"/>
        </w:rPr>
        <w:t>W praktyce UOKiKu</w:t>
      </w:r>
      <w:r w:rsidR="00DE0FEF" w:rsidRPr="00EF6F97">
        <w:rPr>
          <w:rFonts w:ascii="Times New Roman" w:hAnsi="Times New Roman" w:cs="Times New Roman"/>
          <w:sz w:val="24"/>
          <w:szCs w:val="24"/>
        </w:rPr>
        <w:t xml:space="preserve"> zdarzało się, że przedstawiciele ukaranego przedsiębiorstwa notorycznie dopuszczali się działań, które były tożsame </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tymi, które stanowiły podstawę do wszczęcia postępowania o cofnięcie koncesji przeciwko takiemu przedsiębiorcy. Dlatego też, Prezes UOKiK zwracał się do Prezesa URE o podjęcie działań mających na celu odebranie koncesji</w:t>
      </w:r>
      <w:r w:rsidR="00EF6F97">
        <w:rPr>
          <w:rFonts w:ascii="Times New Roman" w:hAnsi="Times New Roman" w:cs="Times New Roman"/>
          <w:sz w:val="24"/>
          <w:szCs w:val="24"/>
        </w:rPr>
        <w:t xml:space="preserve"> </w:t>
      </w:r>
      <w:r w:rsidR="00DE0FEF" w:rsidRPr="00EF6F97">
        <w:rPr>
          <w:rFonts w:ascii="Times New Roman" w:hAnsi="Times New Roman" w:cs="Times New Roman"/>
          <w:sz w:val="24"/>
          <w:szCs w:val="24"/>
        </w:rPr>
        <w:t xml:space="preserve">przedsiębiorcom dopuszczającym się opisanych wyżej naruszeń. </w:t>
      </w:r>
    </w:p>
    <w:p w14:paraId="36A18FDE" w14:textId="77777777"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E0FEF" w:rsidRPr="00EF6F97">
        <w:rPr>
          <w:rFonts w:ascii="Times New Roman" w:hAnsi="Times New Roman" w:cs="Times New Roman"/>
          <w:sz w:val="24"/>
          <w:szCs w:val="24"/>
        </w:rPr>
        <w:t xml:space="preserve">Na przedsiębiorcy, który uzyskał koncesję na działalność określoną </w:t>
      </w:r>
      <w:r w:rsidR="006C4234" w:rsidRPr="00EF6F97">
        <w:rPr>
          <w:rFonts w:ascii="Times New Roman" w:hAnsi="Times New Roman" w:cs="Times New Roman"/>
          <w:sz w:val="24"/>
          <w:szCs w:val="24"/>
        </w:rPr>
        <w:t>w przepisach ustawy - P</w:t>
      </w:r>
      <w:r w:rsidR="00DE0FEF" w:rsidRPr="00EF6F97">
        <w:rPr>
          <w:rFonts w:ascii="Times New Roman" w:hAnsi="Times New Roman" w:cs="Times New Roman"/>
          <w:sz w:val="24"/>
          <w:szCs w:val="24"/>
        </w:rPr>
        <w:t xml:space="preserve">rawo energetyczne ciążą obowiązki wynikające </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warunków udzielonej koncesji ora</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przepisów prawa.</w:t>
      </w:r>
    </w:p>
    <w:p w14:paraId="6F18F649" w14:textId="77777777"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1D0628">
        <w:rPr>
          <w:rFonts w:ascii="Times New Roman" w:hAnsi="Times New Roman" w:cs="Times New Roman"/>
          <w:sz w:val="24"/>
          <w:szCs w:val="24"/>
        </w:rPr>
        <w:t>Z </w:t>
      </w:r>
      <w:r w:rsidR="00DE0FEF" w:rsidRPr="00EF6F97">
        <w:rPr>
          <w:rFonts w:ascii="Times New Roman" w:hAnsi="Times New Roman" w:cs="Times New Roman"/>
          <w:sz w:val="24"/>
          <w:szCs w:val="24"/>
        </w:rPr>
        <w:t xml:space="preserve">treści komunikatów, które pojawiały się na stronie internetowej Urzędu Regulacji </w:t>
      </w:r>
      <w:r w:rsidR="00DE0FEF" w:rsidRPr="00EF6F97">
        <w:rPr>
          <w:rFonts w:ascii="Times New Roman" w:hAnsi="Times New Roman" w:cs="Times New Roman"/>
          <w:sz w:val="24"/>
          <w:szCs w:val="24"/>
        </w:rPr>
        <w:lastRenderedPageBreak/>
        <w:t>Energetyki wynika natomiast, że dla wszystkich przedsiębiorstw energetycznych prowadzących działalność gospodarczą w zakresie obrotu gazem</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energią elektryczną Prezes URE wprowadził nowy warunek koncesyjny, nakładający na koncesjonariuszy obowiązek przestrzegania chronionych prawem interesów odbiorców, w tym poprze</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udzielanie odbiorcom końcowym pełnych, rzetelnych</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wyczerpujących informacji dotyczących ich uprawnień</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obowiązków. W świetle powyższego,</w:t>
      </w:r>
      <w:r w:rsidR="00EF6F97">
        <w:rPr>
          <w:rFonts w:ascii="Times New Roman" w:hAnsi="Times New Roman" w:cs="Times New Roman"/>
          <w:sz w:val="24"/>
          <w:szCs w:val="24"/>
        </w:rPr>
        <w:t xml:space="preserve"> </w:t>
      </w:r>
      <w:r w:rsidR="00DE0FEF" w:rsidRPr="00EF6F97">
        <w:rPr>
          <w:rFonts w:ascii="Times New Roman" w:hAnsi="Times New Roman" w:cs="Times New Roman"/>
          <w:sz w:val="24"/>
          <w:szCs w:val="24"/>
        </w:rPr>
        <w:t>koncesjonarius</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 xml:space="preserve">nie powinien stosować praktyk powodujących wprowadzenie odbiorców w błąd co do ich uprawnień lub obowiązków. Postanowienia umów zawieranych </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odbiorcami powinny być czytelne</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 xml:space="preserve">zrozumiałe, a postanowienia inne niż związane </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dostarczaniem paliw lub energii (ar</w:t>
      </w:r>
      <w:r w:rsidR="006C4234" w:rsidRPr="00EF6F97">
        <w:rPr>
          <w:rFonts w:ascii="Times New Roman" w:hAnsi="Times New Roman" w:cs="Times New Roman"/>
          <w:sz w:val="24"/>
          <w:szCs w:val="24"/>
        </w:rPr>
        <w:t>t. 5 ustawy – Prawo energetyczne</w:t>
      </w:r>
      <w:r w:rsidR="00DE0FEF" w:rsidRPr="00EF6F97">
        <w:rPr>
          <w:rFonts w:ascii="Times New Roman" w:hAnsi="Times New Roman" w:cs="Times New Roman"/>
          <w:sz w:val="24"/>
          <w:szCs w:val="24"/>
        </w:rPr>
        <w:t>), powinny być odrębnie</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wyraźnie oznaczone. Uzupełnianie koncesji poprze</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dodanie do nich w/w warunku stanowi realizację prze</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Prezesa URE jego ustawowych zadań, tj. równoważenia interesów przedsiębiorstw energetycznych</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odbiorców paliw</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energii m.in. poprze</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przeciwdziałanie praktykom przedsiębiorstw energetycznych ograniczających konkurencję. Powyższy warunek zamieszczany jest we wszystkich nowo udzielanych koncesjach dotyczących obrotu paliwami gazowymi</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 xml:space="preserve">energią. </w:t>
      </w:r>
    </w:p>
    <w:p w14:paraId="56CBBFAE" w14:textId="77777777" w:rsidR="00AD41DE"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8232A8" w:rsidRPr="00EF6F97">
        <w:rPr>
          <w:rFonts w:ascii="Times New Roman" w:hAnsi="Times New Roman" w:cs="Times New Roman"/>
          <w:sz w:val="24"/>
          <w:szCs w:val="24"/>
        </w:rPr>
        <w:t>Wzmocnienie powyższych rozwiązań przepisami umożliwiającymi cofnięcie koncesji prze</w:t>
      </w:r>
      <w:r w:rsidR="001D0628">
        <w:rPr>
          <w:rFonts w:ascii="Times New Roman" w:hAnsi="Times New Roman" w:cs="Times New Roman"/>
          <w:sz w:val="24"/>
          <w:szCs w:val="24"/>
        </w:rPr>
        <w:t>z </w:t>
      </w:r>
      <w:r w:rsidR="008232A8" w:rsidRPr="00EF6F97">
        <w:rPr>
          <w:rFonts w:ascii="Times New Roman" w:hAnsi="Times New Roman" w:cs="Times New Roman"/>
          <w:sz w:val="24"/>
          <w:szCs w:val="24"/>
        </w:rPr>
        <w:t>Prezesa URE w przypadku praktyk naruszających zbiorowe interesy konsumentów pozwoli na skuteczną realizację obowiązków prze</w:t>
      </w:r>
      <w:r w:rsidR="001D0628">
        <w:rPr>
          <w:rFonts w:ascii="Times New Roman" w:hAnsi="Times New Roman" w:cs="Times New Roman"/>
          <w:sz w:val="24"/>
          <w:szCs w:val="24"/>
        </w:rPr>
        <w:t>z </w:t>
      </w:r>
      <w:r w:rsidR="008232A8" w:rsidRPr="00EF6F97">
        <w:rPr>
          <w:rFonts w:ascii="Times New Roman" w:hAnsi="Times New Roman" w:cs="Times New Roman"/>
          <w:sz w:val="24"/>
          <w:szCs w:val="24"/>
        </w:rPr>
        <w:t>regulatora ora</w:t>
      </w:r>
      <w:r w:rsidR="001D0628">
        <w:rPr>
          <w:rFonts w:ascii="Times New Roman" w:hAnsi="Times New Roman" w:cs="Times New Roman"/>
          <w:sz w:val="24"/>
          <w:szCs w:val="24"/>
        </w:rPr>
        <w:t>z </w:t>
      </w:r>
      <w:r w:rsidR="008232A8" w:rsidRPr="00EF6F97">
        <w:rPr>
          <w:rFonts w:ascii="Times New Roman" w:hAnsi="Times New Roman" w:cs="Times New Roman"/>
          <w:sz w:val="24"/>
          <w:szCs w:val="24"/>
        </w:rPr>
        <w:t>równoważenie pozycji przedsiębiorcy</w:t>
      </w:r>
      <w:r w:rsidR="001D0628">
        <w:rPr>
          <w:rFonts w:ascii="Times New Roman" w:hAnsi="Times New Roman" w:cs="Times New Roman"/>
          <w:sz w:val="24"/>
          <w:szCs w:val="24"/>
        </w:rPr>
        <w:t xml:space="preserve"> i </w:t>
      </w:r>
      <w:r w:rsidR="008232A8" w:rsidRPr="00EF6F97">
        <w:rPr>
          <w:rFonts w:ascii="Times New Roman" w:hAnsi="Times New Roman" w:cs="Times New Roman"/>
          <w:sz w:val="24"/>
          <w:szCs w:val="24"/>
        </w:rPr>
        <w:t>konsumenta energii.</w:t>
      </w:r>
    </w:p>
    <w:p w14:paraId="7BBA74D9" w14:textId="6517E883" w:rsidR="00AD41DE" w:rsidRPr="00EF6F97" w:rsidRDefault="00AD41DE" w:rsidP="00AD41D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marginesie należy zaznaczyć, że </w:t>
      </w:r>
      <w:r w:rsidRPr="00AD41DE">
        <w:rPr>
          <w:rFonts w:ascii="Times New Roman" w:hAnsi="Times New Roman" w:cs="Times New Roman"/>
          <w:sz w:val="24"/>
          <w:szCs w:val="24"/>
        </w:rPr>
        <w:t xml:space="preserve">zgodnie z </w:t>
      </w:r>
      <w:r>
        <w:rPr>
          <w:rFonts w:ascii="Times New Roman" w:hAnsi="Times New Roman" w:cs="Times New Roman"/>
          <w:sz w:val="24"/>
          <w:szCs w:val="24"/>
        </w:rPr>
        <w:t xml:space="preserve">propozycja zawartą w </w:t>
      </w:r>
      <w:r w:rsidRPr="00AD41DE">
        <w:rPr>
          <w:rFonts w:ascii="Times New Roman" w:hAnsi="Times New Roman" w:cs="Times New Roman"/>
          <w:sz w:val="24"/>
          <w:szCs w:val="24"/>
        </w:rPr>
        <w:t xml:space="preserve">art. 41 ust. 4 Prezes URE może cofnąć koncesję ale nie </w:t>
      </w:r>
      <w:r w:rsidR="00473144">
        <w:rPr>
          <w:rFonts w:ascii="Times New Roman" w:hAnsi="Times New Roman" w:cs="Times New Roman"/>
          <w:sz w:val="24"/>
          <w:szCs w:val="24"/>
        </w:rPr>
        <w:t>jest to obligatoryjne</w:t>
      </w:r>
      <w:r w:rsidRPr="00AD41DE">
        <w:rPr>
          <w:rFonts w:ascii="Times New Roman" w:hAnsi="Times New Roman" w:cs="Times New Roman"/>
          <w:sz w:val="24"/>
          <w:szCs w:val="24"/>
        </w:rPr>
        <w:t>. Dodatkowo, zgodnie z art. 56 ust. 6 ustawy – Prawo energetyczne</w:t>
      </w:r>
      <w:r w:rsidR="00473144">
        <w:rPr>
          <w:rFonts w:ascii="Times New Roman" w:hAnsi="Times New Roman" w:cs="Times New Roman"/>
          <w:sz w:val="24"/>
          <w:szCs w:val="24"/>
        </w:rPr>
        <w:t>,</w:t>
      </w:r>
      <w:r w:rsidRPr="00AD41DE">
        <w:rPr>
          <w:rFonts w:ascii="Times New Roman" w:hAnsi="Times New Roman" w:cs="Times New Roman"/>
          <w:sz w:val="24"/>
          <w:szCs w:val="24"/>
        </w:rPr>
        <w:t xml:space="preserve"> ustalając  wysokość  kary  pieniężnej, Prezes  URE  uwzględnia  stopień szkodliwości czynu, stopień zawinienia oraz dotychczasowe zachowanie podmiotu i jego możliwości finansowe. Tak więc w przypadku wykonania decyzji Prezesa UOKiK, Prezes URE ma ustawowy obowiązek uwzględnienia tej okoliczności i powinien odstąpić od wymierzenia kary</w:t>
      </w:r>
      <w:r>
        <w:rPr>
          <w:rFonts w:ascii="Times New Roman" w:hAnsi="Times New Roman" w:cs="Times New Roman"/>
          <w:sz w:val="24"/>
          <w:szCs w:val="24"/>
        </w:rPr>
        <w:t xml:space="preserve"> albo zdecydowanie złagodzić jej wymiar</w:t>
      </w:r>
      <w:r w:rsidRPr="00AD41DE">
        <w:rPr>
          <w:rFonts w:ascii="Times New Roman" w:hAnsi="Times New Roman" w:cs="Times New Roman"/>
          <w:sz w:val="24"/>
          <w:szCs w:val="24"/>
        </w:rPr>
        <w:t>.</w:t>
      </w:r>
    </w:p>
    <w:p w14:paraId="31D76AC9" w14:textId="77777777" w:rsidR="0079779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79779C" w:rsidRPr="00EF6F97">
        <w:rPr>
          <w:rFonts w:ascii="Times New Roman" w:hAnsi="Times New Roman" w:cs="Times New Roman"/>
          <w:sz w:val="24"/>
          <w:szCs w:val="24"/>
        </w:rPr>
        <w:t xml:space="preserve">Dodatkowo, na wniosek Prezesa URE dodano przepis, zgodnie </w:t>
      </w:r>
      <w:r w:rsidR="001D0628">
        <w:rPr>
          <w:rFonts w:ascii="Times New Roman" w:hAnsi="Times New Roman" w:cs="Times New Roman"/>
          <w:sz w:val="24"/>
          <w:szCs w:val="24"/>
        </w:rPr>
        <w:t>z </w:t>
      </w:r>
      <w:r w:rsidR="0079779C" w:rsidRPr="00EF6F97">
        <w:rPr>
          <w:rFonts w:ascii="Times New Roman" w:hAnsi="Times New Roman" w:cs="Times New Roman"/>
          <w:sz w:val="24"/>
          <w:szCs w:val="24"/>
        </w:rPr>
        <w:t>którym Prezes URE będzie mógł odmówić udzielenia koncesji wnioskodawcy, który nie daje rękojmi prawidłowego wykonywania działalności objętej koncesją.</w:t>
      </w:r>
    </w:p>
    <w:p w14:paraId="3028614F" w14:textId="77777777" w:rsidR="00665C47" w:rsidRPr="00EF6F97" w:rsidRDefault="00665C47" w:rsidP="00EF6F97">
      <w:pPr>
        <w:spacing w:line="360" w:lineRule="auto"/>
        <w:jc w:val="both"/>
        <w:rPr>
          <w:rFonts w:ascii="Times New Roman" w:hAnsi="Times New Roman" w:cs="Times New Roman"/>
          <w:sz w:val="24"/>
          <w:szCs w:val="24"/>
        </w:rPr>
      </w:pPr>
    </w:p>
    <w:p w14:paraId="1829E7B2"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Ad. </w:t>
      </w:r>
      <w:r w:rsidR="00D0483F" w:rsidRPr="00EF6F97">
        <w:rPr>
          <w:rFonts w:ascii="Times New Roman" w:hAnsi="Times New Roman" w:cs="Times New Roman"/>
          <w:sz w:val="24"/>
          <w:szCs w:val="24"/>
        </w:rPr>
        <w:t>7</w:t>
      </w:r>
      <w:r w:rsidR="0097130C" w:rsidRPr="00EF6F97">
        <w:rPr>
          <w:rFonts w:ascii="Times New Roman" w:hAnsi="Times New Roman" w:cs="Times New Roman"/>
          <w:sz w:val="24"/>
          <w:szCs w:val="24"/>
        </w:rPr>
        <w:t xml:space="preserve">. </w:t>
      </w:r>
      <w:r w:rsidR="00AD422A" w:rsidRPr="00EF6F97">
        <w:rPr>
          <w:rFonts w:ascii="Times New Roman" w:hAnsi="Times New Roman" w:cs="Times New Roman"/>
          <w:sz w:val="24"/>
          <w:szCs w:val="24"/>
        </w:rPr>
        <w:t xml:space="preserve">Na wstępie należy zaznaczyć, że projektowane rozwiązania co do zasady nie służą wdrożeniu dyrektywy 2019/944, bowiem przedmiotowa dyrektywa nawiązuje w obszarze zamkniętych systemów dystrybucyjnych (ZSD) do nowych instytucji prawnych, które są wypracowywane w ramach oddzielnej nowelizacji implementującej w całości IV pakiet </w:t>
      </w:r>
      <w:r w:rsidR="00AD422A" w:rsidRPr="00EF6F97">
        <w:rPr>
          <w:rFonts w:ascii="Times New Roman" w:hAnsi="Times New Roman" w:cs="Times New Roman"/>
          <w:sz w:val="24"/>
          <w:szCs w:val="24"/>
        </w:rPr>
        <w:lastRenderedPageBreak/>
        <w:t xml:space="preserve">energetyczny. </w:t>
      </w:r>
      <w:r w:rsidR="0097130C" w:rsidRPr="00EF6F97">
        <w:rPr>
          <w:rFonts w:ascii="Times New Roman" w:hAnsi="Times New Roman" w:cs="Times New Roman"/>
          <w:sz w:val="24"/>
          <w:szCs w:val="24"/>
        </w:rPr>
        <w:t>Impulsem do podjęcia anali</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w zakresie zasadn</w:t>
      </w:r>
      <w:r w:rsidR="000F4042" w:rsidRPr="00EF6F97">
        <w:rPr>
          <w:rFonts w:ascii="Times New Roman" w:hAnsi="Times New Roman" w:cs="Times New Roman"/>
          <w:sz w:val="24"/>
          <w:szCs w:val="24"/>
        </w:rPr>
        <w:t>ości wprowadzenia instytucji ZSD</w:t>
      </w:r>
      <w:r w:rsidR="0097130C" w:rsidRPr="00EF6F97">
        <w:rPr>
          <w:rFonts w:ascii="Times New Roman" w:hAnsi="Times New Roman" w:cs="Times New Roman"/>
          <w:sz w:val="24"/>
          <w:szCs w:val="24"/>
        </w:rPr>
        <w:t xml:space="preserve"> do ustawy - Prawo energetyczne były wyraźne sygnały zarówno po stronie </w:t>
      </w:r>
      <w:r w:rsidR="006C4234" w:rsidRPr="00EF6F97">
        <w:rPr>
          <w:rFonts w:ascii="Times New Roman" w:hAnsi="Times New Roman" w:cs="Times New Roman"/>
          <w:sz w:val="24"/>
          <w:szCs w:val="24"/>
        </w:rPr>
        <w:t>OSD</w:t>
      </w:r>
      <w:r w:rsidR="0097130C" w:rsidRPr="00EF6F97">
        <w:rPr>
          <w:rFonts w:ascii="Times New Roman" w:hAnsi="Times New Roman" w:cs="Times New Roman"/>
          <w:sz w:val="24"/>
          <w:szCs w:val="24"/>
        </w:rPr>
        <w:t xml:space="preserve"> jak</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przedsiębiorstw, których głównym przedmiotem działalności nie jest działalność energetyczna, natomiast warunki, w jakich funkcjonują niejako wymuszają uzyskanie 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nich statusu OSD. Obowiązki administracyjne, jakie ustawa - Prawo energetyczne nakłada na tych przedsiębiorców są niewspółmierne do skali działalności, jaką w rzeczywistości wykonują. </w:t>
      </w:r>
    </w:p>
    <w:p w14:paraId="1AAA62E5"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Po pierwsze należy wskazać </w:t>
      </w:r>
      <w:r w:rsidR="000F4042" w:rsidRPr="00EF6F97">
        <w:rPr>
          <w:rFonts w:ascii="Times New Roman" w:hAnsi="Times New Roman" w:cs="Times New Roman"/>
          <w:sz w:val="24"/>
          <w:szCs w:val="24"/>
        </w:rPr>
        <w:t xml:space="preserve">na jeden </w:t>
      </w:r>
      <w:r w:rsidR="001D0628">
        <w:rPr>
          <w:rFonts w:ascii="Times New Roman" w:hAnsi="Times New Roman" w:cs="Times New Roman"/>
          <w:sz w:val="24"/>
          <w:szCs w:val="24"/>
        </w:rPr>
        <w:t>z </w:t>
      </w:r>
      <w:r w:rsidR="000F4042" w:rsidRPr="00EF6F97">
        <w:rPr>
          <w:rFonts w:ascii="Times New Roman" w:hAnsi="Times New Roman" w:cs="Times New Roman"/>
          <w:sz w:val="24"/>
          <w:szCs w:val="24"/>
        </w:rPr>
        <w:t>modelowych rodzajów ZSD</w:t>
      </w:r>
      <w:r w:rsidR="0097130C" w:rsidRPr="00EF6F97">
        <w:rPr>
          <w:rFonts w:ascii="Times New Roman" w:hAnsi="Times New Roman" w:cs="Times New Roman"/>
          <w:sz w:val="24"/>
          <w:szCs w:val="24"/>
        </w:rPr>
        <w:t xml:space="preserve">, jakimi są duże zakłady przemysłowe, których warunki funkcjonowania, w związku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zaszłościami historycznymi, podyktowane są ich wcześniejszym statusem. W ramach dawnej struktury gospodarczej, zapewniały dostawę energii elektrycznej głównie na potrzeby swoich oddziałów czy działów produkcyjnych</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jednocześnie dla wszystkich innych podmiotów lub jednostek zlokalizowanych na terenie przedsiębiorstwa.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biegiem czasu przedsiębiorstwa te ulegały przekształceniom restrukturyzacyjnym, produkcyjnym</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funkcjonalnym, często także własnościowym. Nie następowały natomiast zmiany w konfiguracji</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funkcjonowaniu układu elektroenergetycznego. Wobec tego przedsiębiorstwa przyłączone do sieci dystrybucyjnej (lub przesyłowej) wciąż zapewniają dostawę energii elektrycznej do wielu swoich historycznych pododbiorców, a zgodnie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przepisami ustawy - Prawo energetyczne, muszą uzyskać status przedsiębiorstw energetycznych, choć działalność polegająca na dystrybucji</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obrocie nie wchodzi w zakres ich podstawowej działalności gospodarczej.</w:t>
      </w:r>
    </w:p>
    <w:p w14:paraId="15A0ACC2"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1D0628">
        <w:rPr>
          <w:rFonts w:ascii="Times New Roman" w:hAnsi="Times New Roman" w:cs="Times New Roman"/>
          <w:sz w:val="24"/>
          <w:szCs w:val="24"/>
        </w:rPr>
        <w:t>Z </w:t>
      </w:r>
      <w:r w:rsidR="0097130C" w:rsidRPr="00EF6F97">
        <w:rPr>
          <w:rFonts w:ascii="Times New Roman" w:hAnsi="Times New Roman" w:cs="Times New Roman"/>
          <w:sz w:val="24"/>
          <w:szCs w:val="24"/>
        </w:rPr>
        <w:t>technicznego punktu widzenia przyłącza odbiorców pracują na wysokim napięciu (WN) lub średnich napięciach (SN)</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poprze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układy transformatorowe, linie napowietrzne lub kablowe, redystrybuują energię na SN lub niskie napięcia (nN) do układów pomiarowych</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końcowego zużycia. Zgodnie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przepisami ustawy - Prawo energetyczne, przedsiębiorstwa te muszą uzyskać status przedsiębiorstw energetycznych, choć działalność polegająca na dystrybucji energii elektrycznej</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jej obrocie nie wchodzi w zakres ich podstawowej działalności gospodarczej. </w:t>
      </w:r>
    </w:p>
    <w:p w14:paraId="50103F7B"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Inny modelowy rodzaj systemu dystrybucyjnego zamkniętego to stosunkowo nowe rozwiązanie, które pojawiło się na gospodarczej mapie Polski wra</w:t>
      </w:r>
      <w:r w:rsidR="001D0628">
        <w:rPr>
          <w:rFonts w:ascii="Times New Roman" w:hAnsi="Times New Roman" w:cs="Times New Roman"/>
          <w:sz w:val="24"/>
          <w:szCs w:val="24"/>
        </w:rPr>
        <w:t>z z </w:t>
      </w:r>
      <w:r w:rsidR="0097130C" w:rsidRPr="00EF6F97">
        <w:rPr>
          <w:rFonts w:ascii="Times New Roman" w:hAnsi="Times New Roman" w:cs="Times New Roman"/>
          <w:sz w:val="24"/>
          <w:szCs w:val="24"/>
        </w:rPr>
        <w:t>powstaniem</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rozwojem specjalnych stref ekonomicznych, kompleksów</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centrów handlowych (wielkopowierzchniowych), centrów biurowych, wydzielonych osiedli mieszkaniowych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innych miejsc świadczenia usług wspólnych obsługujących łącznie wiele tysięcy nowych odbiorców energii elektrycznej. Podobnie jak zakłady przemysłowe, także w odniesieniu do wymienionych powyżej obiektów mamy do czynienia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obiektem przyłączonym liniami </w:t>
      </w:r>
      <w:r w:rsidR="0097130C" w:rsidRPr="00EF6F97">
        <w:rPr>
          <w:rFonts w:ascii="Times New Roman" w:hAnsi="Times New Roman" w:cs="Times New Roman"/>
          <w:sz w:val="24"/>
          <w:szCs w:val="24"/>
        </w:rPr>
        <w:lastRenderedPageBreak/>
        <w:t xml:space="preserve">kablowymi do sieci WN lub sieci SN, gdzie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reguły wewnątr</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podmiotu przyłączonego poprze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rozdzielnice, stacje transformatorowe, złącza kablowe</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elastycznie konfigurowane szynoprzewody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układy pomiarowe, energia elektryczna doprowadzona jest do odbiorcy końcowego. </w:t>
      </w:r>
    </w:p>
    <w:p w14:paraId="1A602395"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W każdym przypadku uzyskanie statusu przed</w:t>
      </w:r>
      <w:r w:rsidR="00F71EAD" w:rsidRPr="00EF6F97">
        <w:rPr>
          <w:rFonts w:ascii="Times New Roman" w:hAnsi="Times New Roman" w:cs="Times New Roman"/>
          <w:sz w:val="24"/>
          <w:szCs w:val="24"/>
        </w:rPr>
        <w:t>siębiorstwa energetycznego wiąże</w:t>
      </w:r>
      <w:r w:rsidR="0097130C" w:rsidRPr="00EF6F97">
        <w:rPr>
          <w:rFonts w:ascii="Times New Roman" w:hAnsi="Times New Roman" w:cs="Times New Roman"/>
          <w:sz w:val="24"/>
          <w:szCs w:val="24"/>
        </w:rPr>
        <w:t xml:space="preserve"> się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koniecznością sprostania ponadstandardowym wymaganiom, takim jak uzyskanie koncesji, zatwierdzanie taryfy, przedkładaniem różnego rodzaju sprawozdań itp. W związku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powyższym o koncesję na dystrybucję energii elektrycznej, a także status OSD, występują podmioty prowadzące galerie handlowe, zamknięte osiedla</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przede wszystkim duże zakłady przemysłowe. </w:t>
      </w:r>
    </w:p>
    <w:p w14:paraId="7541D30F"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Co więcej, ustawa - Prawo energetyczne nie rozróżnia spółek ze względu na skalę działalności energetycznej.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małymi wyjątkami, tak samo traktuje te, które obsługują miliony odbiorców końcowych, jak</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te, które mają tych odbiorców kilkunastu lub kilkudziesięciu. Przepisy ustawy - Prawo energetyczne narzucają jednakowe obowiązki na podmioty podejmujące zamierzoną lub wymuszoną działalność dystrybucyjną, w postaci konieczności uzyskania koncesji na prowadzenie takiej działalności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statusu OSD.</w:t>
      </w:r>
    </w:p>
    <w:p w14:paraId="794ACEAC" w14:textId="77777777" w:rsidR="0097130C" w:rsidRPr="00EF6F97" w:rsidRDefault="0097130C"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Zgodnie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danymi ze strony Urzędu Regulacji Energetyki (dalej jako: „URE”) liczba OSD rośnie od 2009 roku. Poniższe zestawienia obrazują wzrost ilości </w:t>
      </w:r>
      <w:r w:rsidR="006C4234" w:rsidRPr="00EF6F97">
        <w:rPr>
          <w:rFonts w:ascii="Times New Roman" w:hAnsi="Times New Roman" w:cs="Times New Roman"/>
          <w:sz w:val="24"/>
          <w:szCs w:val="24"/>
        </w:rPr>
        <w:t xml:space="preserve">OSD </w:t>
      </w:r>
      <w:r w:rsidRPr="00EF6F97">
        <w:rPr>
          <w:rFonts w:ascii="Times New Roman" w:hAnsi="Times New Roman" w:cs="Times New Roman"/>
          <w:sz w:val="24"/>
          <w:szCs w:val="24"/>
        </w:rPr>
        <w:t>aż o 1960%</w:t>
      </w:r>
      <w:r w:rsidRPr="00EF6F97">
        <w:rPr>
          <w:rFonts w:ascii="Times New Roman" w:hAnsi="Times New Roman" w:cs="Times New Roman"/>
          <w:sz w:val="24"/>
          <w:szCs w:val="24"/>
          <w:vertAlign w:val="superscript"/>
        </w:rPr>
        <w:footnoteReference w:id="1"/>
      </w:r>
      <w:r w:rsidRPr="00EF6F97">
        <w:rPr>
          <w:rFonts w:ascii="Times New Roman" w:hAnsi="Times New Roman" w:cs="Times New Roman"/>
          <w:sz w:val="24"/>
          <w:szCs w:val="24"/>
        </w:rPr>
        <w:t xml:space="preserve"> od 2008</w:t>
      </w:r>
      <w:r w:rsidR="001D0628">
        <w:rPr>
          <w:rFonts w:ascii="Times New Roman" w:hAnsi="Times New Roman" w:cs="Times New Roman"/>
          <w:sz w:val="24"/>
          <w:szCs w:val="24"/>
        </w:rPr>
        <w:t> r.</w:t>
      </w:r>
      <w:r w:rsidRPr="00EF6F97">
        <w:rPr>
          <w:rFonts w:ascii="Times New Roman" w:hAnsi="Times New Roman" w:cs="Times New Roman"/>
          <w:sz w:val="24"/>
          <w:szCs w:val="24"/>
        </w:rPr>
        <w:t>:</w:t>
      </w:r>
    </w:p>
    <w:tbl>
      <w:tblPr>
        <w:tblpPr w:leftFromText="141" w:rightFromText="141" w:vertAnchor="text" w:horzAnchor="margin" w:tblpX="-994" w:tblpY="131"/>
        <w:tblW w:w="10278" w:type="dxa"/>
        <w:tblLayout w:type="fixed"/>
        <w:tblCellMar>
          <w:left w:w="70" w:type="dxa"/>
          <w:right w:w="70" w:type="dxa"/>
        </w:tblCellMar>
        <w:tblLook w:val="04A0" w:firstRow="1" w:lastRow="0" w:firstColumn="1" w:lastColumn="0" w:noHBand="0" w:noVBand="1"/>
      </w:tblPr>
      <w:tblGrid>
        <w:gridCol w:w="1773"/>
        <w:gridCol w:w="709"/>
        <w:gridCol w:w="709"/>
        <w:gridCol w:w="708"/>
        <w:gridCol w:w="709"/>
        <w:gridCol w:w="709"/>
        <w:gridCol w:w="709"/>
        <w:gridCol w:w="708"/>
        <w:gridCol w:w="709"/>
        <w:gridCol w:w="709"/>
        <w:gridCol w:w="709"/>
        <w:gridCol w:w="708"/>
        <w:gridCol w:w="709"/>
      </w:tblGrid>
      <w:tr w:rsidR="0097130C" w:rsidRPr="00EF6F97" w14:paraId="6605C188" w14:textId="77777777" w:rsidTr="0097130C">
        <w:trPr>
          <w:trHeight w:val="317"/>
        </w:trPr>
        <w:tc>
          <w:tcPr>
            <w:tcW w:w="1773" w:type="dxa"/>
            <w:tcBorders>
              <w:top w:val="nil"/>
              <w:left w:val="nil"/>
              <w:bottom w:val="nil"/>
              <w:right w:val="nil"/>
            </w:tcBorders>
            <w:shd w:val="clear" w:color="auto" w:fill="auto"/>
            <w:noWrap/>
            <w:vAlign w:val="bottom"/>
            <w:hideMark/>
          </w:tcPr>
          <w:p w14:paraId="45E78FCD" w14:textId="77777777" w:rsidR="0097130C" w:rsidRPr="00EF6F97" w:rsidRDefault="0097130C" w:rsidP="00EF6F97">
            <w:pPr>
              <w:spacing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5F8473ED"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2006</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77603DBC"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2007</w:t>
            </w:r>
          </w:p>
        </w:tc>
        <w:tc>
          <w:tcPr>
            <w:tcW w:w="708" w:type="dxa"/>
            <w:tcBorders>
              <w:top w:val="single" w:sz="4" w:space="0" w:color="auto"/>
              <w:left w:val="nil"/>
              <w:bottom w:val="single" w:sz="4" w:space="0" w:color="auto"/>
              <w:right w:val="single" w:sz="4" w:space="0" w:color="auto"/>
            </w:tcBorders>
            <w:shd w:val="clear" w:color="auto" w:fill="C5E0B3"/>
            <w:noWrap/>
            <w:vAlign w:val="center"/>
            <w:hideMark/>
          </w:tcPr>
          <w:p w14:paraId="422D520D"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2008</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5FB1A732"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2009</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3D680746"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2010</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5AEBE7AA"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2011</w:t>
            </w:r>
          </w:p>
        </w:tc>
        <w:tc>
          <w:tcPr>
            <w:tcW w:w="708" w:type="dxa"/>
            <w:tcBorders>
              <w:top w:val="single" w:sz="4" w:space="0" w:color="auto"/>
              <w:left w:val="nil"/>
              <w:bottom w:val="single" w:sz="4" w:space="0" w:color="auto"/>
              <w:right w:val="single" w:sz="4" w:space="0" w:color="auto"/>
            </w:tcBorders>
            <w:shd w:val="clear" w:color="auto" w:fill="C5E0B3"/>
            <w:noWrap/>
            <w:vAlign w:val="center"/>
            <w:hideMark/>
          </w:tcPr>
          <w:p w14:paraId="2723396E"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2012</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0D5EEE2E"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2013</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0DE41D8D"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2014</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034E5E9A"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2015</w:t>
            </w:r>
          </w:p>
        </w:tc>
        <w:tc>
          <w:tcPr>
            <w:tcW w:w="708" w:type="dxa"/>
            <w:tcBorders>
              <w:top w:val="single" w:sz="4" w:space="0" w:color="auto"/>
              <w:left w:val="nil"/>
              <w:bottom w:val="single" w:sz="4" w:space="0" w:color="auto"/>
              <w:right w:val="single" w:sz="4" w:space="0" w:color="auto"/>
            </w:tcBorders>
            <w:shd w:val="clear" w:color="auto" w:fill="C5E0B3"/>
            <w:noWrap/>
            <w:vAlign w:val="center"/>
            <w:hideMark/>
          </w:tcPr>
          <w:p w14:paraId="708FEC25"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2016</w:t>
            </w:r>
          </w:p>
        </w:tc>
        <w:tc>
          <w:tcPr>
            <w:tcW w:w="709" w:type="dxa"/>
            <w:tcBorders>
              <w:top w:val="single" w:sz="4" w:space="0" w:color="auto"/>
              <w:left w:val="nil"/>
              <w:bottom w:val="single" w:sz="4" w:space="0" w:color="auto"/>
              <w:right w:val="single" w:sz="4" w:space="0" w:color="auto"/>
            </w:tcBorders>
            <w:shd w:val="clear" w:color="auto" w:fill="C5E0B3"/>
            <w:vAlign w:val="center"/>
          </w:tcPr>
          <w:p w14:paraId="5C633C1B"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2017</w:t>
            </w:r>
          </w:p>
        </w:tc>
      </w:tr>
      <w:tr w:rsidR="0097130C" w:rsidRPr="00EF6F97" w14:paraId="178560F1" w14:textId="77777777" w:rsidTr="0097130C">
        <w:trPr>
          <w:trHeight w:val="634"/>
        </w:trPr>
        <w:tc>
          <w:tcPr>
            <w:tcW w:w="1773"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05DE6390" w14:textId="77777777" w:rsidR="0097130C" w:rsidRPr="00EF6F97" w:rsidRDefault="0097130C"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OSD wyznaczeni w danym roku</w:t>
            </w:r>
          </w:p>
        </w:tc>
        <w:tc>
          <w:tcPr>
            <w:tcW w:w="709" w:type="dxa"/>
            <w:tcBorders>
              <w:top w:val="nil"/>
              <w:left w:val="nil"/>
              <w:bottom w:val="single" w:sz="4" w:space="0" w:color="auto"/>
              <w:right w:val="single" w:sz="4" w:space="0" w:color="auto"/>
            </w:tcBorders>
            <w:shd w:val="clear" w:color="auto" w:fill="auto"/>
            <w:noWrap/>
            <w:vAlign w:val="center"/>
            <w:hideMark/>
          </w:tcPr>
          <w:p w14:paraId="3F9E4708"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14:paraId="3617CED4"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14:paraId="4A667B73"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14:paraId="589ABBD9"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14:paraId="43256234"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auto" w:fill="auto"/>
            <w:noWrap/>
            <w:vAlign w:val="center"/>
            <w:hideMark/>
          </w:tcPr>
          <w:p w14:paraId="0C352DB9"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52</w:t>
            </w:r>
          </w:p>
        </w:tc>
        <w:tc>
          <w:tcPr>
            <w:tcW w:w="708" w:type="dxa"/>
            <w:tcBorders>
              <w:top w:val="nil"/>
              <w:left w:val="nil"/>
              <w:bottom w:val="single" w:sz="4" w:space="0" w:color="auto"/>
              <w:right w:val="single" w:sz="4" w:space="0" w:color="auto"/>
            </w:tcBorders>
            <w:shd w:val="clear" w:color="auto" w:fill="auto"/>
            <w:noWrap/>
            <w:vAlign w:val="center"/>
            <w:hideMark/>
          </w:tcPr>
          <w:p w14:paraId="6F27DAF6"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59</w:t>
            </w:r>
          </w:p>
        </w:tc>
        <w:tc>
          <w:tcPr>
            <w:tcW w:w="709" w:type="dxa"/>
            <w:tcBorders>
              <w:top w:val="nil"/>
              <w:left w:val="nil"/>
              <w:bottom w:val="single" w:sz="4" w:space="0" w:color="auto"/>
              <w:right w:val="single" w:sz="4" w:space="0" w:color="auto"/>
            </w:tcBorders>
            <w:shd w:val="clear" w:color="auto" w:fill="auto"/>
            <w:noWrap/>
            <w:vAlign w:val="center"/>
            <w:hideMark/>
          </w:tcPr>
          <w:p w14:paraId="6707F784"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14:paraId="37AF6F60"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60508958"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14:paraId="0CB1DC26"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auto" w:fill="auto"/>
            <w:vAlign w:val="center"/>
          </w:tcPr>
          <w:p w14:paraId="1E5755DA"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7</w:t>
            </w:r>
          </w:p>
        </w:tc>
      </w:tr>
      <w:tr w:rsidR="0097130C" w:rsidRPr="00EF6F97" w14:paraId="29E8242C" w14:textId="77777777" w:rsidTr="0097130C">
        <w:trPr>
          <w:trHeight w:val="952"/>
        </w:trPr>
        <w:tc>
          <w:tcPr>
            <w:tcW w:w="1773" w:type="dxa"/>
            <w:tcBorders>
              <w:top w:val="nil"/>
              <w:left w:val="single" w:sz="4" w:space="0" w:color="auto"/>
              <w:bottom w:val="single" w:sz="4" w:space="0" w:color="auto"/>
              <w:right w:val="single" w:sz="4" w:space="0" w:color="auto"/>
            </w:tcBorders>
            <w:shd w:val="clear" w:color="000000" w:fill="E7E6E6"/>
            <w:vAlign w:val="bottom"/>
            <w:hideMark/>
          </w:tcPr>
          <w:p w14:paraId="72E4C1BC" w14:textId="77777777" w:rsidR="0097130C" w:rsidRPr="00EF6F97" w:rsidRDefault="0097130C"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Suma OSD w poszczególnych latach</w:t>
            </w:r>
          </w:p>
        </w:tc>
        <w:tc>
          <w:tcPr>
            <w:tcW w:w="709" w:type="dxa"/>
            <w:tcBorders>
              <w:top w:val="nil"/>
              <w:left w:val="nil"/>
              <w:bottom w:val="single" w:sz="4" w:space="0" w:color="auto"/>
              <w:right w:val="single" w:sz="4" w:space="0" w:color="auto"/>
            </w:tcBorders>
            <w:shd w:val="clear" w:color="auto" w:fill="auto"/>
            <w:noWrap/>
            <w:vAlign w:val="center"/>
            <w:hideMark/>
          </w:tcPr>
          <w:p w14:paraId="4CE92E60"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14:paraId="28A4F411"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14:paraId="5B33E5D3"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auto" w:fill="auto"/>
            <w:noWrap/>
            <w:vAlign w:val="center"/>
            <w:hideMark/>
          </w:tcPr>
          <w:p w14:paraId="7104AB96"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5B3794D3"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19</w:t>
            </w:r>
          </w:p>
        </w:tc>
        <w:tc>
          <w:tcPr>
            <w:tcW w:w="709" w:type="dxa"/>
            <w:tcBorders>
              <w:top w:val="nil"/>
              <w:left w:val="nil"/>
              <w:bottom w:val="single" w:sz="4" w:space="0" w:color="auto"/>
              <w:right w:val="single" w:sz="4" w:space="0" w:color="auto"/>
            </w:tcBorders>
            <w:shd w:val="clear" w:color="auto" w:fill="auto"/>
            <w:noWrap/>
            <w:vAlign w:val="center"/>
            <w:hideMark/>
          </w:tcPr>
          <w:p w14:paraId="7E553BE3"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71</w:t>
            </w:r>
          </w:p>
        </w:tc>
        <w:tc>
          <w:tcPr>
            <w:tcW w:w="708" w:type="dxa"/>
            <w:tcBorders>
              <w:top w:val="nil"/>
              <w:left w:val="nil"/>
              <w:bottom w:val="single" w:sz="4" w:space="0" w:color="auto"/>
              <w:right w:val="single" w:sz="4" w:space="0" w:color="auto"/>
            </w:tcBorders>
            <w:shd w:val="clear" w:color="auto" w:fill="auto"/>
            <w:noWrap/>
            <w:vAlign w:val="center"/>
            <w:hideMark/>
          </w:tcPr>
          <w:p w14:paraId="26E7807B"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130</w:t>
            </w:r>
          </w:p>
        </w:tc>
        <w:tc>
          <w:tcPr>
            <w:tcW w:w="709" w:type="dxa"/>
            <w:tcBorders>
              <w:top w:val="nil"/>
              <w:left w:val="nil"/>
              <w:bottom w:val="single" w:sz="4" w:space="0" w:color="auto"/>
              <w:right w:val="single" w:sz="4" w:space="0" w:color="auto"/>
            </w:tcBorders>
            <w:shd w:val="clear" w:color="auto" w:fill="auto"/>
            <w:noWrap/>
            <w:vAlign w:val="center"/>
            <w:hideMark/>
          </w:tcPr>
          <w:p w14:paraId="1A38C2D5"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142</w:t>
            </w:r>
          </w:p>
        </w:tc>
        <w:tc>
          <w:tcPr>
            <w:tcW w:w="709" w:type="dxa"/>
            <w:tcBorders>
              <w:top w:val="nil"/>
              <w:left w:val="nil"/>
              <w:bottom w:val="single" w:sz="4" w:space="0" w:color="auto"/>
              <w:right w:val="single" w:sz="4" w:space="0" w:color="auto"/>
            </w:tcBorders>
            <w:shd w:val="clear" w:color="auto" w:fill="auto"/>
            <w:noWrap/>
            <w:vAlign w:val="center"/>
            <w:hideMark/>
          </w:tcPr>
          <w:p w14:paraId="0E97182F"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157</w:t>
            </w:r>
          </w:p>
        </w:tc>
        <w:tc>
          <w:tcPr>
            <w:tcW w:w="709" w:type="dxa"/>
            <w:tcBorders>
              <w:top w:val="nil"/>
              <w:left w:val="nil"/>
              <w:bottom w:val="single" w:sz="4" w:space="0" w:color="auto"/>
              <w:right w:val="single" w:sz="4" w:space="0" w:color="auto"/>
            </w:tcBorders>
            <w:shd w:val="clear" w:color="auto" w:fill="auto"/>
            <w:noWrap/>
            <w:vAlign w:val="center"/>
            <w:hideMark/>
          </w:tcPr>
          <w:p w14:paraId="55877C65"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167</w:t>
            </w:r>
          </w:p>
        </w:tc>
        <w:tc>
          <w:tcPr>
            <w:tcW w:w="708" w:type="dxa"/>
            <w:tcBorders>
              <w:top w:val="nil"/>
              <w:left w:val="nil"/>
              <w:bottom w:val="single" w:sz="4" w:space="0" w:color="auto"/>
              <w:right w:val="single" w:sz="4" w:space="0" w:color="auto"/>
            </w:tcBorders>
            <w:shd w:val="clear" w:color="auto" w:fill="auto"/>
            <w:noWrap/>
            <w:vAlign w:val="center"/>
            <w:hideMark/>
          </w:tcPr>
          <w:p w14:paraId="49BC06CF"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176</w:t>
            </w:r>
          </w:p>
        </w:tc>
        <w:tc>
          <w:tcPr>
            <w:tcW w:w="709" w:type="dxa"/>
            <w:tcBorders>
              <w:top w:val="nil"/>
              <w:left w:val="nil"/>
              <w:bottom w:val="single" w:sz="4" w:space="0" w:color="auto"/>
              <w:right w:val="single" w:sz="4" w:space="0" w:color="auto"/>
            </w:tcBorders>
            <w:shd w:val="clear" w:color="auto" w:fill="auto"/>
            <w:vAlign w:val="center"/>
          </w:tcPr>
          <w:p w14:paraId="4D5DFE0D"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183</w:t>
            </w:r>
          </w:p>
        </w:tc>
      </w:tr>
      <w:tr w:rsidR="0097130C" w:rsidRPr="00EF6F97" w14:paraId="4090F3BB" w14:textId="77777777" w:rsidTr="0097130C">
        <w:trPr>
          <w:trHeight w:val="317"/>
        </w:trPr>
        <w:tc>
          <w:tcPr>
            <w:tcW w:w="1773" w:type="dxa"/>
            <w:tcBorders>
              <w:top w:val="nil"/>
              <w:left w:val="single" w:sz="4" w:space="0" w:color="auto"/>
              <w:bottom w:val="single" w:sz="4" w:space="0" w:color="auto"/>
              <w:right w:val="single" w:sz="4" w:space="0" w:color="auto"/>
            </w:tcBorders>
            <w:shd w:val="clear" w:color="000000" w:fill="E7E6E6"/>
            <w:vAlign w:val="bottom"/>
            <w:hideMark/>
          </w:tcPr>
          <w:p w14:paraId="49C07198" w14:textId="77777777" w:rsidR="0097130C" w:rsidRPr="00EF6F97" w:rsidRDefault="0097130C"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Wzrost</w:t>
            </w:r>
          </w:p>
        </w:tc>
        <w:tc>
          <w:tcPr>
            <w:tcW w:w="709" w:type="dxa"/>
            <w:tcBorders>
              <w:top w:val="nil"/>
              <w:left w:val="nil"/>
              <w:bottom w:val="single" w:sz="4" w:space="0" w:color="auto"/>
              <w:right w:val="single" w:sz="4" w:space="0" w:color="auto"/>
            </w:tcBorders>
            <w:shd w:val="clear" w:color="000000" w:fill="E7E6E6"/>
            <w:noWrap/>
            <w:vAlign w:val="center"/>
            <w:hideMark/>
          </w:tcPr>
          <w:p w14:paraId="76D2A43D"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n/a</w:t>
            </w:r>
          </w:p>
        </w:tc>
        <w:tc>
          <w:tcPr>
            <w:tcW w:w="709" w:type="dxa"/>
            <w:tcBorders>
              <w:top w:val="nil"/>
              <w:left w:val="nil"/>
              <w:bottom w:val="single" w:sz="4" w:space="0" w:color="auto"/>
              <w:right w:val="single" w:sz="4" w:space="0" w:color="auto"/>
            </w:tcBorders>
            <w:shd w:val="clear" w:color="000000" w:fill="E7E6E6"/>
            <w:noWrap/>
            <w:vAlign w:val="center"/>
            <w:hideMark/>
          </w:tcPr>
          <w:p w14:paraId="09F3B811"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400%</w:t>
            </w:r>
          </w:p>
        </w:tc>
        <w:tc>
          <w:tcPr>
            <w:tcW w:w="708" w:type="dxa"/>
            <w:tcBorders>
              <w:top w:val="nil"/>
              <w:left w:val="nil"/>
              <w:bottom w:val="single" w:sz="4" w:space="0" w:color="auto"/>
              <w:right w:val="single" w:sz="4" w:space="0" w:color="auto"/>
            </w:tcBorders>
            <w:shd w:val="clear" w:color="000000" w:fill="E7E6E6"/>
            <w:noWrap/>
            <w:vAlign w:val="center"/>
            <w:hideMark/>
          </w:tcPr>
          <w:p w14:paraId="65E91A0C"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80%</w:t>
            </w:r>
          </w:p>
        </w:tc>
        <w:tc>
          <w:tcPr>
            <w:tcW w:w="709" w:type="dxa"/>
            <w:tcBorders>
              <w:top w:val="nil"/>
              <w:left w:val="nil"/>
              <w:bottom w:val="single" w:sz="4" w:space="0" w:color="auto"/>
              <w:right w:val="single" w:sz="4" w:space="0" w:color="auto"/>
            </w:tcBorders>
            <w:shd w:val="clear" w:color="000000" w:fill="E7E6E6"/>
            <w:noWrap/>
            <w:vAlign w:val="center"/>
            <w:hideMark/>
          </w:tcPr>
          <w:p w14:paraId="3A992F34"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11%</w:t>
            </w:r>
          </w:p>
        </w:tc>
        <w:tc>
          <w:tcPr>
            <w:tcW w:w="709" w:type="dxa"/>
            <w:tcBorders>
              <w:top w:val="nil"/>
              <w:left w:val="nil"/>
              <w:bottom w:val="single" w:sz="4" w:space="0" w:color="auto"/>
              <w:right w:val="single" w:sz="4" w:space="0" w:color="auto"/>
            </w:tcBorders>
            <w:shd w:val="clear" w:color="000000" w:fill="E7E6E6"/>
            <w:noWrap/>
            <w:vAlign w:val="center"/>
            <w:hideMark/>
          </w:tcPr>
          <w:p w14:paraId="21B4A680"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90%</w:t>
            </w:r>
          </w:p>
        </w:tc>
        <w:tc>
          <w:tcPr>
            <w:tcW w:w="709" w:type="dxa"/>
            <w:tcBorders>
              <w:top w:val="nil"/>
              <w:left w:val="nil"/>
              <w:bottom w:val="single" w:sz="4" w:space="0" w:color="auto"/>
              <w:right w:val="single" w:sz="4" w:space="0" w:color="auto"/>
            </w:tcBorders>
            <w:shd w:val="clear" w:color="000000" w:fill="E7E6E6"/>
            <w:noWrap/>
            <w:vAlign w:val="center"/>
            <w:hideMark/>
          </w:tcPr>
          <w:p w14:paraId="2A64305A"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274%</w:t>
            </w:r>
          </w:p>
        </w:tc>
        <w:tc>
          <w:tcPr>
            <w:tcW w:w="708" w:type="dxa"/>
            <w:tcBorders>
              <w:top w:val="nil"/>
              <w:left w:val="nil"/>
              <w:bottom w:val="single" w:sz="4" w:space="0" w:color="auto"/>
              <w:right w:val="single" w:sz="4" w:space="0" w:color="auto"/>
            </w:tcBorders>
            <w:shd w:val="clear" w:color="000000" w:fill="E7E6E6"/>
            <w:noWrap/>
            <w:vAlign w:val="center"/>
            <w:hideMark/>
          </w:tcPr>
          <w:p w14:paraId="609FBAD8"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83%</w:t>
            </w:r>
          </w:p>
        </w:tc>
        <w:tc>
          <w:tcPr>
            <w:tcW w:w="709" w:type="dxa"/>
            <w:tcBorders>
              <w:top w:val="nil"/>
              <w:left w:val="nil"/>
              <w:bottom w:val="single" w:sz="4" w:space="0" w:color="auto"/>
              <w:right w:val="single" w:sz="4" w:space="0" w:color="auto"/>
            </w:tcBorders>
            <w:shd w:val="clear" w:color="000000" w:fill="E7E6E6"/>
            <w:noWrap/>
            <w:vAlign w:val="center"/>
            <w:hideMark/>
          </w:tcPr>
          <w:p w14:paraId="6ACFDB9D"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000000" w:fill="E7E6E6"/>
            <w:noWrap/>
            <w:vAlign w:val="center"/>
            <w:hideMark/>
          </w:tcPr>
          <w:p w14:paraId="43290C7F"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11%</w:t>
            </w:r>
          </w:p>
        </w:tc>
        <w:tc>
          <w:tcPr>
            <w:tcW w:w="709" w:type="dxa"/>
            <w:tcBorders>
              <w:top w:val="nil"/>
              <w:left w:val="nil"/>
              <w:bottom w:val="single" w:sz="4" w:space="0" w:color="auto"/>
              <w:right w:val="single" w:sz="4" w:space="0" w:color="auto"/>
            </w:tcBorders>
            <w:shd w:val="clear" w:color="000000" w:fill="E7E6E6"/>
            <w:noWrap/>
            <w:vAlign w:val="center"/>
            <w:hideMark/>
          </w:tcPr>
          <w:p w14:paraId="18D144B9"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6%</w:t>
            </w:r>
          </w:p>
        </w:tc>
        <w:tc>
          <w:tcPr>
            <w:tcW w:w="708" w:type="dxa"/>
            <w:tcBorders>
              <w:top w:val="nil"/>
              <w:left w:val="nil"/>
              <w:bottom w:val="single" w:sz="4" w:space="0" w:color="auto"/>
              <w:right w:val="single" w:sz="4" w:space="0" w:color="auto"/>
            </w:tcBorders>
            <w:shd w:val="clear" w:color="000000" w:fill="E7E6E6"/>
            <w:noWrap/>
            <w:vAlign w:val="center"/>
            <w:hideMark/>
          </w:tcPr>
          <w:p w14:paraId="2F4625DB"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5%</w:t>
            </w:r>
          </w:p>
        </w:tc>
        <w:tc>
          <w:tcPr>
            <w:tcW w:w="709" w:type="dxa"/>
            <w:tcBorders>
              <w:top w:val="nil"/>
              <w:left w:val="nil"/>
              <w:bottom w:val="single" w:sz="4" w:space="0" w:color="auto"/>
              <w:right w:val="single" w:sz="4" w:space="0" w:color="auto"/>
            </w:tcBorders>
            <w:shd w:val="clear" w:color="000000" w:fill="E7E6E6"/>
            <w:vAlign w:val="center"/>
          </w:tcPr>
          <w:p w14:paraId="31270253"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4%</w:t>
            </w:r>
          </w:p>
        </w:tc>
      </w:tr>
    </w:tbl>
    <w:p w14:paraId="13E33503" w14:textId="77777777" w:rsidR="0097130C" w:rsidRPr="00EF6F97" w:rsidRDefault="0097130C"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 </w:t>
      </w:r>
    </w:p>
    <w:p w14:paraId="0E757308" w14:textId="77777777" w:rsidR="0097130C" w:rsidRPr="00EF6F97" w:rsidDel="008B2C8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Wskazany wzrost nie jest uzasadniony dynamiczną rozbudową systemu dystrybucyjnego. Znaczną część spółek wyznaczonych na operatorów sieci dystrybucyjnej stanowią przedsiębiorstwa, których funkcjonowanie niejako wymusza uzyskanie takiego statusu - chodzi tu przede wszystkim o wspomniane duże zakłady produkcyjne, sp</w:t>
      </w:r>
      <w:r w:rsidR="00CB5761" w:rsidRPr="00EF6F97">
        <w:rPr>
          <w:rFonts w:ascii="Times New Roman" w:hAnsi="Times New Roman" w:cs="Times New Roman"/>
          <w:sz w:val="24"/>
          <w:szCs w:val="24"/>
        </w:rPr>
        <w:t xml:space="preserve">ecjalne strefy </w:t>
      </w:r>
      <w:r w:rsidR="00CB5761" w:rsidRPr="00EF6F97">
        <w:rPr>
          <w:rFonts w:ascii="Times New Roman" w:hAnsi="Times New Roman" w:cs="Times New Roman"/>
          <w:sz w:val="24"/>
          <w:szCs w:val="24"/>
        </w:rPr>
        <w:lastRenderedPageBreak/>
        <w:t>ekonomiczne, centra</w:t>
      </w:r>
      <w:r w:rsidR="001D0628">
        <w:rPr>
          <w:rFonts w:ascii="Times New Roman" w:hAnsi="Times New Roman" w:cs="Times New Roman"/>
          <w:sz w:val="24"/>
          <w:szCs w:val="24"/>
        </w:rPr>
        <w:t xml:space="preserve"> i </w:t>
      </w:r>
      <w:r w:rsidR="00CB5761" w:rsidRPr="00EF6F97">
        <w:rPr>
          <w:rFonts w:ascii="Times New Roman" w:hAnsi="Times New Roman" w:cs="Times New Roman"/>
          <w:sz w:val="24"/>
          <w:szCs w:val="24"/>
        </w:rPr>
        <w:t>kompleksy handlowe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biurowe.</w:t>
      </w:r>
    </w:p>
    <w:p w14:paraId="4ACAC38F"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71EAD" w:rsidRPr="00EF6F97">
        <w:rPr>
          <w:rFonts w:ascii="Times New Roman" w:hAnsi="Times New Roman" w:cs="Times New Roman"/>
          <w:sz w:val="24"/>
          <w:szCs w:val="24"/>
        </w:rPr>
        <w:t>Ustawa - P</w:t>
      </w:r>
      <w:r w:rsidR="0097130C" w:rsidRPr="00EF6F97">
        <w:rPr>
          <w:rFonts w:ascii="Times New Roman" w:hAnsi="Times New Roman" w:cs="Times New Roman"/>
          <w:sz w:val="24"/>
          <w:szCs w:val="24"/>
        </w:rPr>
        <w:t>rawo energetyczne nakłada na operatorów systemów dystrybucyjnych szereg obowiązków, których spełnianie zapewnia ochronę użytkowników sieci dystrybucyjnej, zachowanie jej w należytym stanie technicznym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jej rozbudowę. Celowość nałożenia tych samych obowiązków na przedsiębiorstwa funkcjonujące w sektorze energetyki zawodowej, przedsiębiorstwa produkcyjne posiadające ograniczone systemy dystrybucyjne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galerie handlowe</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centra biurowe jest co najmniej wątpliwa – w większości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nich brak jest odbiorców będących gospodarstwami domowymi. Dodatkowo przedsiębiorstwa posiadające ograniczone systemy dystrybucji nie są, co do zasady, zainteresowane rozbudową własnej sieci</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przyłączaniem nowych odbiorców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uwagi na fakt, że głównym profilem ich działalności nie jest dystrybucja energii, zaś sama sieć dystrybucyjna pozostająca do ich dyspozycji jest ograniczona do terenu obiektu / obszaru. Ponadto takie przedsiębiorstwa przeznaczają znaczne zasoby finansowe, ludzkie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organizacyjne w celu spełnienia wymagań administracyjnych wynikających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ustawy - Prawo energetyczne. Koszty ponoszone 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tego rodzaju OSD są nieporównywalne w skali odniesienia tych samych nakładów 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spółki dystrybucyjne, których działalność nastawiona jest wyłącznie na dystrybucję</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nieproporcjonalne do profilu prowadzonej działalności regulowanej. </w:t>
      </w:r>
    </w:p>
    <w:p w14:paraId="5FBD33FE"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Brak definicji pojęcia zamkniętego systemu dystrybucyjnego został wskazany w opracowanej 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Konfederację Lewiatan „Czarnej Liście Barier dla rozwoju przedsiębiorczości”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zakresu ochrony środowiska</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energetyki.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inicjatywami legislacyjnymi w zakresie zamkniętych systemów dystrybucyjnych wystąpiło szereg Wojewódzkich Rad Dialogu Społecznego.</w:t>
      </w:r>
    </w:p>
    <w:p w14:paraId="78807874"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Innym ważnym argumentem przemawiającym za przyjęciem nowelizacji w proponowanym zakresie jest odciążenie organu regulacyjnego - Prezesa Urzędu Regulacji Energetyki. Biorąc pod uwagę zakres kompetencji Prezesa URE</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cora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większą liczbę spraw administracyjnych załatwianych 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URE, nieproporcjonalną do przyznawanego budżetu</w:t>
      </w:r>
      <w:r w:rsidR="0097130C" w:rsidRPr="00EF6F97">
        <w:rPr>
          <w:rStyle w:val="Odwoanieprzypisudolnego"/>
          <w:rFonts w:ascii="Times New Roman" w:hAnsi="Times New Roman" w:cs="Times New Roman"/>
          <w:sz w:val="24"/>
          <w:szCs w:val="24"/>
        </w:rPr>
        <w:footnoteReference w:id="2"/>
      </w:r>
      <w:r w:rsidR="0097130C" w:rsidRPr="00EF6F97">
        <w:rPr>
          <w:rFonts w:ascii="Times New Roman" w:hAnsi="Times New Roman" w:cs="Times New Roman"/>
          <w:sz w:val="24"/>
          <w:szCs w:val="24"/>
        </w:rPr>
        <w:t xml:space="preserve"> należy wskazać, że ograniczenie niektórych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obowiązków a</w:t>
      </w:r>
      <w:r w:rsidR="004614CC" w:rsidRPr="00EF6F97">
        <w:rPr>
          <w:rFonts w:ascii="Times New Roman" w:hAnsi="Times New Roman" w:cs="Times New Roman"/>
          <w:sz w:val="24"/>
          <w:szCs w:val="24"/>
        </w:rPr>
        <w:t xml:space="preserve">dministracyjnych nałożonych na operatora </w:t>
      </w:r>
      <w:r w:rsidR="0097130C" w:rsidRPr="00EF6F97">
        <w:rPr>
          <w:rFonts w:ascii="Times New Roman" w:hAnsi="Times New Roman" w:cs="Times New Roman"/>
          <w:sz w:val="24"/>
          <w:szCs w:val="24"/>
        </w:rPr>
        <w:t>SD</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wpłynie pozytywnie na nakład pracy URE, nie uchybiając tym samym skuteczności w nadzorze rynku energii. </w:t>
      </w:r>
    </w:p>
    <w:p w14:paraId="7399EA88"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0F4042" w:rsidRPr="00EF6F97">
        <w:rPr>
          <w:rFonts w:ascii="Times New Roman" w:hAnsi="Times New Roman" w:cs="Times New Roman"/>
          <w:sz w:val="24"/>
          <w:szCs w:val="24"/>
        </w:rPr>
        <w:t>Wprowadzenie instytucji ZSD</w:t>
      </w:r>
      <w:r w:rsidR="0097130C" w:rsidRPr="00EF6F97">
        <w:rPr>
          <w:rFonts w:ascii="Times New Roman" w:hAnsi="Times New Roman" w:cs="Times New Roman"/>
          <w:sz w:val="24"/>
          <w:szCs w:val="24"/>
        </w:rPr>
        <w:t xml:space="preserve"> do polskiego porządku prawnego wpłynie pozytywnie również na status odbiorców końcowych. W obecnym momencie, duża część systemów, które mogłyby zostać uznane za dystrybucyjne, nie uzyskuje takiego statusu,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obawy przed wysokim </w:t>
      </w:r>
      <w:r w:rsidR="0097130C" w:rsidRPr="00EF6F97">
        <w:rPr>
          <w:rFonts w:ascii="Times New Roman" w:hAnsi="Times New Roman" w:cs="Times New Roman"/>
          <w:sz w:val="24"/>
          <w:szCs w:val="24"/>
        </w:rPr>
        <w:lastRenderedPageBreak/>
        <w:t>stopniem obciążeń administracyjnych ciążących na operatorach. Prowadzi to do sytuacji, w których odbiorcom energii elektrycznej dużo łatwiej jest udostępniać media swoim pododbiorcom na zasadzie refaktury</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obciążać ich kosztami dostarczania mediów. W związku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powyższym w chwili obecnej pododbiorcy - głównie mali</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średni przedsiębiorcy, pozbawieni są swoich podstawowych praw, np. prawa do zmiany sprzedawcy. Ponadto pododbiorcy ponoszą obecnie znacznie wyższe koszty niż te, które ponosiliby w przyp</w:t>
      </w:r>
      <w:r w:rsidR="000F4042" w:rsidRPr="00EF6F97">
        <w:rPr>
          <w:rFonts w:ascii="Times New Roman" w:hAnsi="Times New Roman" w:cs="Times New Roman"/>
          <w:sz w:val="24"/>
          <w:szCs w:val="24"/>
        </w:rPr>
        <w:t>adku wprowadzenia instytucji ZSD. Dodatkowo funkcjonowanie ZSD</w:t>
      </w:r>
      <w:r w:rsidR="0097130C" w:rsidRPr="00EF6F97">
        <w:rPr>
          <w:rFonts w:ascii="Times New Roman" w:hAnsi="Times New Roman" w:cs="Times New Roman"/>
          <w:sz w:val="24"/>
          <w:szCs w:val="24"/>
        </w:rPr>
        <w:t xml:space="preserve"> wpłynie pozytywnie na propagowanie konkurencji na rynku energii elektrycznej,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uwagi na fakt, ze pododobiorcy będą mogli w pełni korzystać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prawa do zmiany sprzedawcy. </w:t>
      </w:r>
    </w:p>
    <w:p w14:paraId="72C74EED"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Przygotowany projekt nowelizacji ustawy - Prawo energetyczne </w:t>
      </w:r>
      <w:r w:rsidR="000F4042" w:rsidRPr="00EF6F97">
        <w:rPr>
          <w:rFonts w:ascii="Times New Roman" w:hAnsi="Times New Roman" w:cs="Times New Roman"/>
          <w:sz w:val="24"/>
          <w:szCs w:val="24"/>
        </w:rPr>
        <w:t>określa czym jest ZSD</w:t>
      </w:r>
      <w:r w:rsidR="0097130C" w:rsidRPr="00EF6F97">
        <w:rPr>
          <w:rFonts w:ascii="Times New Roman" w:hAnsi="Times New Roman" w:cs="Times New Roman"/>
          <w:sz w:val="24"/>
          <w:szCs w:val="24"/>
        </w:rPr>
        <w:t xml:space="preserve">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reguluje jego status prawny. Wniosek o uznani</w:t>
      </w:r>
      <w:r w:rsidR="000F4042" w:rsidRPr="00EF6F97">
        <w:rPr>
          <w:rFonts w:ascii="Times New Roman" w:hAnsi="Times New Roman" w:cs="Times New Roman"/>
          <w:sz w:val="24"/>
          <w:szCs w:val="24"/>
        </w:rPr>
        <w:t>e systemu dystrybucyjnego za ZSD</w:t>
      </w:r>
      <w:r w:rsidR="0097130C" w:rsidRPr="00EF6F97">
        <w:rPr>
          <w:rFonts w:ascii="Times New Roman" w:hAnsi="Times New Roman" w:cs="Times New Roman"/>
          <w:sz w:val="24"/>
          <w:szCs w:val="24"/>
        </w:rPr>
        <w:t>, ma dotyczyć systemu dystrybucyjnego zlokalizowanego na ograniczonym obszarze geograficznym, w tym w szczególności na obszarze zakładu przemysłowego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w jego najbliższym otoczeniu, na obszarze obiektu handlowego lub miejsca świadczenia usług wspólnych. Chodzi tu o przypadki, o których mowa w pierwszej części uzasadnienia, w których funkcjonowanie systemu dystrybucyjnego oparte jest o specyfikę danego zespołu obiektów. Dodatkowym obostrzeniem jest wykluczenie możliwości funkcjonowania odbiorców k</w:t>
      </w:r>
      <w:r w:rsidR="000F111F" w:rsidRPr="00EF6F97">
        <w:rPr>
          <w:rFonts w:ascii="Times New Roman" w:hAnsi="Times New Roman" w:cs="Times New Roman"/>
          <w:sz w:val="24"/>
          <w:szCs w:val="24"/>
        </w:rPr>
        <w:t xml:space="preserve">omunalnych niepowiązanych </w:t>
      </w:r>
      <w:r w:rsidR="001D0628">
        <w:rPr>
          <w:rFonts w:ascii="Times New Roman" w:hAnsi="Times New Roman" w:cs="Times New Roman"/>
          <w:sz w:val="24"/>
          <w:szCs w:val="24"/>
        </w:rPr>
        <w:t>z </w:t>
      </w:r>
      <w:r w:rsidR="000F111F" w:rsidRPr="00EF6F97">
        <w:rPr>
          <w:rFonts w:ascii="Times New Roman" w:hAnsi="Times New Roman" w:cs="Times New Roman"/>
          <w:sz w:val="24"/>
          <w:szCs w:val="24"/>
        </w:rPr>
        <w:t xml:space="preserve">operatorem </w:t>
      </w:r>
      <w:r w:rsidR="000F4042" w:rsidRPr="00EF6F97">
        <w:rPr>
          <w:rFonts w:ascii="Times New Roman" w:hAnsi="Times New Roman" w:cs="Times New Roman"/>
          <w:sz w:val="24"/>
          <w:szCs w:val="24"/>
        </w:rPr>
        <w:t>ZSD</w:t>
      </w:r>
      <w:r w:rsidR="0097130C" w:rsidRPr="00EF6F97">
        <w:rPr>
          <w:rFonts w:ascii="Times New Roman" w:hAnsi="Times New Roman" w:cs="Times New Roman"/>
          <w:sz w:val="24"/>
          <w:szCs w:val="24"/>
        </w:rPr>
        <w:t xml:space="preserve">. </w:t>
      </w:r>
    </w:p>
    <w:p w14:paraId="632BCD1C"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Zgodnie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projektem ustawy za zamknięty system dystrybucyjny Prezes URE może uznać w szczególności zakłady przemysłowe, centra handlowe</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centra usług wspólnych, jeżeli spełniają przesłanki wskazane w ww. artykule. Proponowany przepis wyklucza natomiast możliwość przyznania statusu systemu zamkniętego spółdzielniom mieszkaniowym</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deweloperom. Jednocześnie nie jest wykluczone przyznanie go podmiotom posiadającym osiedla przyzakładowe, w których zamieszkują pracownicy</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emerytowani pracownicy danego podmiotu.</w:t>
      </w:r>
    </w:p>
    <w:p w14:paraId="2268A47C"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Należy podkreślić, że uzyskanie statusu </w:t>
      </w:r>
      <w:r w:rsidR="000F4042" w:rsidRPr="00EF6F97">
        <w:rPr>
          <w:rFonts w:ascii="Times New Roman" w:hAnsi="Times New Roman" w:cs="Times New Roman"/>
          <w:sz w:val="24"/>
          <w:szCs w:val="24"/>
        </w:rPr>
        <w:t>ZSD</w:t>
      </w:r>
      <w:r w:rsidR="0097130C" w:rsidRPr="00EF6F97">
        <w:rPr>
          <w:rFonts w:ascii="Times New Roman" w:hAnsi="Times New Roman" w:cs="Times New Roman"/>
          <w:sz w:val="24"/>
          <w:szCs w:val="24"/>
        </w:rPr>
        <w:t xml:space="preserve"> może nastąpić tylko na wniosek operatora systemu dystrybucyjnego. Taki wniosek należy złożyć do Prezes URE, który stwierdza w drodze decyzji administracyjnej, że dany system dystrybucyjny jest zamkniętym systemem dystrybucyjnym w przypadku, gdy spełnione są łącznie przesłanki wskazane projektowanych przepisach. Tak skonstruowany przepis zawęża krąg podmiotów, mogących ubiegać się o wydanie decyzji w sprawie uznani</w:t>
      </w:r>
      <w:r w:rsidR="000F4042" w:rsidRPr="00EF6F97">
        <w:rPr>
          <w:rFonts w:ascii="Times New Roman" w:hAnsi="Times New Roman" w:cs="Times New Roman"/>
          <w:sz w:val="24"/>
          <w:szCs w:val="24"/>
        </w:rPr>
        <w:t>a systemu dystrybucyjnego za ZSD</w:t>
      </w:r>
      <w:r w:rsidR="0097130C" w:rsidRPr="00EF6F97">
        <w:rPr>
          <w:rFonts w:ascii="Times New Roman" w:hAnsi="Times New Roman" w:cs="Times New Roman"/>
          <w:sz w:val="24"/>
          <w:szCs w:val="24"/>
        </w:rPr>
        <w:t>, jedynie do podmiotu, który wcześniej uzyskał status operatora systemu dystrybucyjnego</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posiada koncesje na dystrybucję energii elektrycznej</w:t>
      </w:r>
      <w:r w:rsidR="00D7302F" w:rsidRPr="00EF6F97">
        <w:rPr>
          <w:rFonts w:ascii="Times New Roman" w:hAnsi="Times New Roman" w:cs="Times New Roman"/>
          <w:sz w:val="24"/>
          <w:szCs w:val="24"/>
        </w:rPr>
        <w:t xml:space="preserve"> lub paliw gazowych</w:t>
      </w:r>
      <w:r w:rsidR="0097130C" w:rsidRPr="00EF6F97">
        <w:rPr>
          <w:rFonts w:ascii="Times New Roman" w:hAnsi="Times New Roman" w:cs="Times New Roman"/>
          <w:sz w:val="24"/>
          <w:szCs w:val="24"/>
        </w:rPr>
        <w:t xml:space="preserve">. </w:t>
      </w:r>
    </w:p>
    <w:p w14:paraId="237ADF72"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Oznacza to, że podmiot, który chce uzyskać status operatora </w:t>
      </w:r>
      <w:r w:rsidR="000F4042" w:rsidRPr="00EF6F97">
        <w:rPr>
          <w:rFonts w:ascii="Times New Roman" w:hAnsi="Times New Roman" w:cs="Times New Roman"/>
          <w:sz w:val="24"/>
          <w:szCs w:val="24"/>
        </w:rPr>
        <w:t>ZSD</w:t>
      </w:r>
      <w:r w:rsidR="0097130C" w:rsidRPr="00EF6F97">
        <w:rPr>
          <w:rFonts w:ascii="Times New Roman" w:hAnsi="Times New Roman" w:cs="Times New Roman"/>
          <w:sz w:val="24"/>
          <w:szCs w:val="24"/>
        </w:rPr>
        <w:t xml:space="preserve">, przed złożeniem </w:t>
      </w:r>
      <w:r w:rsidR="0097130C" w:rsidRPr="00EF6F97">
        <w:rPr>
          <w:rFonts w:ascii="Times New Roman" w:hAnsi="Times New Roman" w:cs="Times New Roman"/>
          <w:sz w:val="24"/>
          <w:szCs w:val="24"/>
        </w:rPr>
        <w:lastRenderedPageBreak/>
        <w:t>wniosku o wydanie przedmiotowej decyzji jest zobowiązany (i) uzyskać koncesję na dystrybucję energii elektrycznej (ii) złożyć wniosek o przyznanie statusu OSD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(iii) przedłożyć Prezesowi URE pierwszą taryfę do zatwierdzenia. Dopiero po uzyskaniu statusu OSD</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zatwierdzeniu pierwszej taryfy zainteresowany podmiot będzie mógł złożyć wniosek w trybie nowych przepisów.</w:t>
      </w:r>
    </w:p>
    <w:p w14:paraId="3BDAED4F"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Należy również podkreślić, że operator </w:t>
      </w:r>
      <w:r w:rsidR="000F4042" w:rsidRPr="00EF6F97">
        <w:rPr>
          <w:rFonts w:ascii="Times New Roman" w:hAnsi="Times New Roman" w:cs="Times New Roman"/>
          <w:sz w:val="24"/>
          <w:szCs w:val="24"/>
        </w:rPr>
        <w:t>ZSD</w:t>
      </w:r>
      <w:r w:rsidR="0097130C" w:rsidRPr="00EF6F97">
        <w:rPr>
          <w:rFonts w:ascii="Times New Roman" w:hAnsi="Times New Roman" w:cs="Times New Roman"/>
          <w:sz w:val="24"/>
          <w:szCs w:val="24"/>
        </w:rPr>
        <w:t xml:space="preserve">, który zarządza kilkoma niezależnymi od siebie zamkniętymi systemami dystrybucyjnymi, musi spełnić powyższe wymagania w stosunku do każdego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zamkniętych systemów dystrybucyjnych, co wiąże się m.in.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obo</w:t>
      </w:r>
      <w:r w:rsidR="00CB5761" w:rsidRPr="00EF6F97">
        <w:rPr>
          <w:rFonts w:ascii="Times New Roman" w:hAnsi="Times New Roman" w:cs="Times New Roman"/>
          <w:sz w:val="24"/>
          <w:szCs w:val="24"/>
        </w:rPr>
        <w:t>wiązkiem rozszerzenia koncesji na</w:t>
      </w:r>
      <w:r w:rsidR="0097130C" w:rsidRPr="00EF6F97">
        <w:rPr>
          <w:rFonts w:ascii="Times New Roman" w:hAnsi="Times New Roman" w:cs="Times New Roman"/>
          <w:sz w:val="24"/>
          <w:szCs w:val="24"/>
        </w:rPr>
        <w:t xml:space="preserve"> obszary, na których zlokalizowane będą kolejne zamknięte systemy dystrybucyjne.</w:t>
      </w:r>
    </w:p>
    <w:p w14:paraId="58CEC1D2" w14:textId="77777777" w:rsidR="00E237C5"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W przypadku </w:t>
      </w:r>
      <w:r w:rsidR="00E237C5" w:rsidRPr="00EF6F97">
        <w:rPr>
          <w:rFonts w:ascii="Times New Roman" w:hAnsi="Times New Roman" w:cs="Times New Roman"/>
          <w:sz w:val="24"/>
          <w:szCs w:val="24"/>
        </w:rPr>
        <w:t xml:space="preserve">gdy system dystrybucyjny przestał spełniać co najmniej jeden </w:t>
      </w:r>
      <w:r w:rsidR="001D0628">
        <w:rPr>
          <w:rFonts w:ascii="Times New Roman" w:hAnsi="Times New Roman" w:cs="Times New Roman"/>
          <w:sz w:val="24"/>
          <w:szCs w:val="24"/>
        </w:rPr>
        <w:t>z </w:t>
      </w:r>
      <w:r w:rsidR="00E237C5" w:rsidRPr="00EF6F97">
        <w:rPr>
          <w:rFonts w:ascii="Times New Roman" w:hAnsi="Times New Roman" w:cs="Times New Roman"/>
          <w:sz w:val="24"/>
          <w:szCs w:val="24"/>
        </w:rPr>
        <w:t xml:space="preserve">warunków określonych przepisach lub pomimo wezwania nie dokonał zmiany w sposób spełniający warunki, o których mowa w tych przepisach </w:t>
      </w:r>
      <w:r w:rsidR="0097130C" w:rsidRPr="00EF6F97">
        <w:rPr>
          <w:rFonts w:ascii="Times New Roman" w:hAnsi="Times New Roman" w:cs="Times New Roman"/>
          <w:sz w:val="24"/>
          <w:szCs w:val="24"/>
        </w:rPr>
        <w:t xml:space="preserve">Prezes URE </w:t>
      </w:r>
      <w:r w:rsidR="00E237C5" w:rsidRPr="00EF6F97">
        <w:rPr>
          <w:rFonts w:ascii="Times New Roman" w:hAnsi="Times New Roman" w:cs="Times New Roman"/>
          <w:sz w:val="24"/>
          <w:szCs w:val="24"/>
        </w:rPr>
        <w:t xml:space="preserve">uchyli </w:t>
      </w:r>
      <w:r w:rsidR="0097130C" w:rsidRPr="00EF6F97">
        <w:rPr>
          <w:rFonts w:ascii="Times New Roman" w:hAnsi="Times New Roman" w:cs="Times New Roman"/>
          <w:sz w:val="24"/>
          <w:szCs w:val="24"/>
        </w:rPr>
        <w:t xml:space="preserve">decyzję </w:t>
      </w:r>
      <w:r w:rsidR="000F4042" w:rsidRPr="00EF6F97">
        <w:rPr>
          <w:rFonts w:ascii="Times New Roman" w:hAnsi="Times New Roman" w:cs="Times New Roman"/>
          <w:sz w:val="24"/>
          <w:szCs w:val="24"/>
        </w:rPr>
        <w:t>w sprawie uznania systemu za ZSD</w:t>
      </w:r>
      <w:r w:rsidR="0097130C" w:rsidRPr="00EF6F97">
        <w:rPr>
          <w:rFonts w:ascii="Times New Roman" w:hAnsi="Times New Roman" w:cs="Times New Roman"/>
          <w:sz w:val="24"/>
          <w:szCs w:val="24"/>
        </w:rPr>
        <w:t xml:space="preserve">. </w:t>
      </w:r>
    </w:p>
    <w:p w14:paraId="0EEE7221"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Operator zamkniętego systemu dystrybucyjnego, tj. systemu w odniesieniu do którego została wydana przedmiotowa decyzja zostaje ex lege zwolniony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obowiązków wskazanych </w:t>
      </w:r>
      <w:r w:rsidR="0097130C" w:rsidRPr="00EF6F97">
        <w:rPr>
          <w:rFonts w:ascii="Times New Roman" w:hAnsi="Times New Roman" w:cs="Times New Roman"/>
          <w:sz w:val="24"/>
          <w:szCs w:val="24"/>
        </w:rPr>
        <w:br/>
        <w:t>w sposób enumeratywny w projekcie ustawy.</w:t>
      </w:r>
    </w:p>
    <w:p w14:paraId="6C9D117C"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Należy podkreślić, że mimo przyznania </w:t>
      </w:r>
      <w:r w:rsidR="00E237C5" w:rsidRPr="00EF6F97">
        <w:rPr>
          <w:rFonts w:ascii="Times New Roman" w:hAnsi="Times New Roman" w:cs="Times New Roman"/>
          <w:sz w:val="24"/>
          <w:szCs w:val="24"/>
        </w:rPr>
        <w:t xml:space="preserve">pewnych </w:t>
      </w:r>
      <w:r w:rsidR="0097130C" w:rsidRPr="00EF6F97">
        <w:rPr>
          <w:rFonts w:ascii="Times New Roman" w:hAnsi="Times New Roman" w:cs="Times New Roman"/>
          <w:sz w:val="24"/>
          <w:szCs w:val="24"/>
        </w:rPr>
        <w:t xml:space="preserve">zwolnień, przedsiębiorstwo, które uzyskało status operatora </w:t>
      </w:r>
      <w:r w:rsidR="000F4042" w:rsidRPr="00EF6F97">
        <w:rPr>
          <w:rFonts w:ascii="Times New Roman" w:hAnsi="Times New Roman" w:cs="Times New Roman"/>
          <w:sz w:val="24"/>
          <w:szCs w:val="24"/>
        </w:rPr>
        <w:t>ZSD</w:t>
      </w:r>
      <w:r w:rsidR="0097130C" w:rsidRPr="00EF6F97">
        <w:rPr>
          <w:rFonts w:ascii="Times New Roman" w:hAnsi="Times New Roman" w:cs="Times New Roman"/>
          <w:sz w:val="24"/>
          <w:szCs w:val="24"/>
        </w:rPr>
        <w:t xml:space="preserve"> ma obowiązek prowadzić politykę księgowo-finansową zgodnie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art. 44</w:t>
      </w:r>
      <w:r w:rsidR="006C4234" w:rsidRPr="00EF6F97">
        <w:rPr>
          <w:rFonts w:ascii="Times New Roman" w:hAnsi="Times New Roman" w:cs="Times New Roman"/>
          <w:sz w:val="24"/>
          <w:szCs w:val="24"/>
        </w:rPr>
        <w:t xml:space="preserve"> ustawy – Prawo energetyczne</w:t>
      </w:r>
      <w:r w:rsidR="0097130C" w:rsidRPr="00EF6F97">
        <w:rPr>
          <w:rFonts w:ascii="Times New Roman" w:hAnsi="Times New Roman" w:cs="Times New Roman"/>
          <w:sz w:val="24"/>
          <w:szCs w:val="24"/>
        </w:rPr>
        <w:t>, tj. ma obowiązek stosowania transparentnych metod rozliczeniowych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zapewnienia równoprawnego traktowania odbiorców.</w:t>
      </w:r>
    </w:p>
    <w:p w14:paraId="60B4B669"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Szczególnie istotnym obowiązkiem wyłączonym w stosunku do operatorów </w:t>
      </w:r>
      <w:r w:rsidR="000F111F" w:rsidRPr="00EF6F97">
        <w:rPr>
          <w:rFonts w:ascii="Times New Roman" w:hAnsi="Times New Roman" w:cs="Times New Roman"/>
          <w:sz w:val="24"/>
          <w:szCs w:val="24"/>
        </w:rPr>
        <w:t>ZSD</w:t>
      </w:r>
      <w:r w:rsidR="00EF6F97">
        <w:rPr>
          <w:rFonts w:ascii="Times New Roman" w:hAnsi="Times New Roman" w:cs="Times New Roman"/>
          <w:sz w:val="24"/>
          <w:szCs w:val="24"/>
        </w:rPr>
        <w:t xml:space="preserve"> </w:t>
      </w:r>
      <w:r w:rsidR="0097130C" w:rsidRPr="00EF6F97">
        <w:rPr>
          <w:rFonts w:ascii="Times New Roman" w:hAnsi="Times New Roman" w:cs="Times New Roman"/>
          <w:sz w:val="24"/>
          <w:szCs w:val="24"/>
        </w:rPr>
        <w:t xml:space="preserve">jest przedkładanie taryf do zatwierdzenia Prezesowi URE. W odróżnieniu od pozostałych zwolnień, które mają charakter pełny, zwolnienie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obowiązku przedkładania taryf ma charakter ograniczony.</w:t>
      </w:r>
      <w:r w:rsidR="000F111F" w:rsidRPr="00EF6F97">
        <w:rPr>
          <w:rFonts w:ascii="Times New Roman" w:hAnsi="Times New Roman" w:cs="Times New Roman"/>
          <w:sz w:val="24"/>
          <w:szCs w:val="24"/>
        </w:rPr>
        <w:t xml:space="preserve"> Operator ZSD</w:t>
      </w:r>
      <w:r w:rsidR="0097130C" w:rsidRPr="00EF6F97">
        <w:rPr>
          <w:rFonts w:ascii="Times New Roman" w:hAnsi="Times New Roman" w:cs="Times New Roman"/>
          <w:sz w:val="24"/>
          <w:szCs w:val="24"/>
        </w:rPr>
        <w:t xml:space="preserve"> będzie zwolniony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obowiązku przedkładania taryf do zatwierdzenia pod warunkiem, że </w:t>
      </w:r>
      <w:r w:rsidR="00D7302F" w:rsidRPr="00EF6F97">
        <w:rPr>
          <w:rFonts w:ascii="Times New Roman" w:hAnsi="Times New Roman" w:cs="Times New Roman"/>
          <w:sz w:val="24"/>
          <w:szCs w:val="24"/>
        </w:rPr>
        <w:t xml:space="preserve">należność za energię elektryczną lub paliwa gazowe dostarczone każdemu </w:t>
      </w:r>
      <w:r w:rsidR="001D0628">
        <w:rPr>
          <w:rFonts w:ascii="Times New Roman" w:hAnsi="Times New Roman" w:cs="Times New Roman"/>
          <w:sz w:val="24"/>
          <w:szCs w:val="24"/>
        </w:rPr>
        <w:t>z </w:t>
      </w:r>
      <w:r w:rsidR="00D7302F" w:rsidRPr="00EF6F97">
        <w:rPr>
          <w:rFonts w:ascii="Times New Roman" w:hAnsi="Times New Roman" w:cs="Times New Roman"/>
          <w:sz w:val="24"/>
          <w:szCs w:val="24"/>
        </w:rPr>
        <w:t>odbiorców końcowych, którzy są użytkownikami zamkniętego systemu dystrybucyjnego, obliczona na podstawie skalkulowanych prze</w:t>
      </w:r>
      <w:r w:rsidR="001D0628">
        <w:rPr>
          <w:rFonts w:ascii="Times New Roman" w:hAnsi="Times New Roman" w:cs="Times New Roman"/>
          <w:sz w:val="24"/>
          <w:szCs w:val="24"/>
        </w:rPr>
        <w:t>z </w:t>
      </w:r>
      <w:r w:rsidR="00D7302F" w:rsidRPr="00EF6F97">
        <w:rPr>
          <w:rFonts w:ascii="Times New Roman" w:hAnsi="Times New Roman" w:cs="Times New Roman"/>
          <w:sz w:val="24"/>
          <w:szCs w:val="24"/>
        </w:rPr>
        <w:t xml:space="preserve">tego operatora stawek opłat dla usług dystrybucji, nie będzie wyższa, niż płatność obliczona według stawek opłat wynikających </w:t>
      </w:r>
      <w:r w:rsidR="001D0628">
        <w:rPr>
          <w:rFonts w:ascii="Times New Roman" w:hAnsi="Times New Roman" w:cs="Times New Roman"/>
          <w:sz w:val="24"/>
          <w:szCs w:val="24"/>
        </w:rPr>
        <w:t>z </w:t>
      </w:r>
      <w:r w:rsidR="00D7302F" w:rsidRPr="00EF6F97">
        <w:rPr>
          <w:rFonts w:ascii="Times New Roman" w:hAnsi="Times New Roman" w:cs="Times New Roman"/>
          <w:sz w:val="24"/>
          <w:szCs w:val="24"/>
        </w:rPr>
        <w:t>zatwierdzonej prze</w:t>
      </w:r>
      <w:r w:rsidR="001D0628">
        <w:rPr>
          <w:rFonts w:ascii="Times New Roman" w:hAnsi="Times New Roman" w:cs="Times New Roman"/>
          <w:sz w:val="24"/>
          <w:szCs w:val="24"/>
        </w:rPr>
        <w:t>z </w:t>
      </w:r>
      <w:r w:rsidR="00D7302F" w:rsidRPr="00EF6F97">
        <w:rPr>
          <w:rFonts w:ascii="Times New Roman" w:hAnsi="Times New Roman" w:cs="Times New Roman"/>
          <w:sz w:val="24"/>
          <w:szCs w:val="24"/>
        </w:rPr>
        <w:t>Prezesa Urzędu Regulacji Energetyki taryfy przedsiębiorstwa energetycznego, do którego sieci jest przyłączony albo w przypadku braku takiego przyłączenia, na którego obszarze działania zamknięty system dystrybucyjny jest położony, ora</w:t>
      </w:r>
      <w:r w:rsidR="001D0628">
        <w:rPr>
          <w:rFonts w:ascii="Times New Roman" w:hAnsi="Times New Roman" w:cs="Times New Roman"/>
          <w:sz w:val="24"/>
          <w:szCs w:val="24"/>
        </w:rPr>
        <w:t>z </w:t>
      </w:r>
      <w:r w:rsidR="00D7302F" w:rsidRPr="00EF6F97">
        <w:rPr>
          <w:rFonts w:ascii="Times New Roman" w:hAnsi="Times New Roman" w:cs="Times New Roman"/>
          <w:sz w:val="24"/>
          <w:szCs w:val="24"/>
        </w:rPr>
        <w:t>zasady rozliczeń</w:t>
      </w:r>
      <w:r w:rsidR="001D0628">
        <w:rPr>
          <w:rFonts w:ascii="Times New Roman" w:hAnsi="Times New Roman" w:cs="Times New Roman"/>
          <w:sz w:val="24"/>
          <w:szCs w:val="24"/>
        </w:rPr>
        <w:t xml:space="preserve"> i </w:t>
      </w:r>
      <w:r w:rsidR="00D7302F" w:rsidRPr="00EF6F97">
        <w:rPr>
          <w:rFonts w:ascii="Times New Roman" w:hAnsi="Times New Roman" w:cs="Times New Roman"/>
          <w:sz w:val="24"/>
          <w:szCs w:val="24"/>
        </w:rPr>
        <w:t>warunki stosowania tej taryfy są takie same jak w taryfie tego przedsiębiorstwa energetycznego.</w:t>
      </w:r>
      <w:r w:rsidR="000F111F" w:rsidRPr="00EF6F97">
        <w:rPr>
          <w:rFonts w:ascii="Times New Roman" w:hAnsi="Times New Roman" w:cs="Times New Roman"/>
          <w:sz w:val="24"/>
          <w:szCs w:val="24"/>
        </w:rPr>
        <w:t xml:space="preserve"> Operator ZSD</w:t>
      </w:r>
      <w:r w:rsidR="0097130C" w:rsidRPr="00EF6F97">
        <w:rPr>
          <w:rFonts w:ascii="Times New Roman" w:hAnsi="Times New Roman" w:cs="Times New Roman"/>
          <w:sz w:val="24"/>
          <w:szCs w:val="24"/>
        </w:rPr>
        <w:t xml:space="preserve"> w sytuacji gdy jednocześnie prowadzi </w:t>
      </w:r>
      <w:r w:rsidR="0097130C" w:rsidRPr="00EF6F97">
        <w:rPr>
          <w:rFonts w:ascii="Times New Roman" w:hAnsi="Times New Roman" w:cs="Times New Roman"/>
          <w:sz w:val="24"/>
          <w:szCs w:val="24"/>
        </w:rPr>
        <w:lastRenderedPageBreak/>
        <w:t xml:space="preserve">działalność polegającą na obrocie energią elektryczną, w rozliczeniach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odbiorcami w gospodarstwach domowych będzie stosował ceny energii elektrycznej ni</w:t>
      </w:r>
      <w:r w:rsidR="006E552E" w:rsidRPr="00EF6F97">
        <w:rPr>
          <w:rFonts w:ascii="Times New Roman" w:hAnsi="Times New Roman" w:cs="Times New Roman"/>
          <w:sz w:val="24"/>
          <w:szCs w:val="24"/>
        </w:rPr>
        <w:t xml:space="preserve">e wyższe niż zawarte w taryfie ale nie wyższe niż ceny zawarte w taryfie sprzedawcy </w:t>
      </w:r>
      <w:r w:rsidR="001D0628">
        <w:rPr>
          <w:rFonts w:ascii="Times New Roman" w:hAnsi="Times New Roman" w:cs="Times New Roman"/>
          <w:sz w:val="24"/>
          <w:szCs w:val="24"/>
        </w:rPr>
        <w:t>z </w:t>
      </w:r>
      <w:r w:rsidR="006E552E" w:rsidRPr="00EF6F97">
        <w:rPr>
          <w:rFonts w:ascii="Times New Roman" w:hAnsi="Times New Roman" w:cs="Times New Roman"/>
          <w:sz w:val="24"/>
          <w:szCs w:val="24"/>
        </w:rPr>
        <w:t>urzędu działającego na obszarze, na którym prowadzi działalność ten operator, zatwierdzanej prze</w:t>
      </w:r>
      <w:r w:rsidR="001D0628">
        <w:rPr>
          <w:rFonts w:ascii="Times New Roman" w:hAnsi="Times New Roman" w:cs="Times New Roman"/>
          <w:sz w:val="24"/>
          <w:szCs w:val="24"/>
        </w:rPr>
        <w:t>z </w:t>
      </w:r>
      <w:r w:rsidR="006E552E" w:rsidRPr="00EF6F97">
        <w:rPr>
          <w:rFonts w:ascii="Times New Roman" w:hAnsi="Times New Roman" w:cs="Times New Roman"/>
          <w:sz w:val="24"/>
          <w:szCs w:val="24"/>
        </w:rPr>
        <w:t xml:space="preserve">Prezesa URE, jeżeli sprzedawca </w:t>
      </w:r>
      <w:r w:rsidR="001D0628">
        <w:rPr>
          <w:rFonts w:ascii="Times New Roman" w:hAnsi="Times New Roman" w:cs="Times New Roman"/>
          <w:sz w:val="24"/>
          <w:szCs w:val="24"/>
        </w:rPr>
        <w:t>z </w:t>
      </w:r>
      <w:r w:rsidR="006E552E" w:rsidRPr="00EF6F97">
        <w:rPr>
          <w:rFonts w:ascii="Times New Roman" w:hAnsi="Times New Roman" w:cs="Times New Roman"/>
          <w:sz w:val="24"/>
          <w:szCs w:val="24"/>
        </w:rPr>
        <w:t xml:space="preserve">urzędu nie został zwolniony </w:t>
      </w:r>
      <w:r w:rsidR="001D0628">
        <w:rPr>
          <w:rFonts w:ascii="Times New Roman" w:hAnsi="Times New Roman" w:cs="Times New Roman"/>
          <w:sz w:val="24"/>
          <w:szCs w:val="24"/>
        </w:rPr>
        <w:t>z </w:t>
      </w:r>
      <w:r w:rsidR="006E552E" w:rsidRPr="00EF6F97">
        <w:rPr>
          <w:rFonts w:ascii="Times New Roman" w:hAnsi="Times New Roman" w:cs="Times New Roman"/>
          <w:sz w:val="24"/>
          <w:szCs w:val="24"/>
        </w:rPr>
        <w:t>obowiązku przedłożenia taryfy do zatwierdzenia</w:t>
      </w:r>
      <w:r w:rsidR="0097130C" w:rsidRPr="00EF6F97">
        <w:rPr>
          <w:rFonts w:ascii="Times New Roman" w:hAnsi="Times New Roman" w:cs="Times New Roman"/>
          <w:sz w:val="24"/>
          <w:szCs w:val="24"/>
        </w:rPr>
        <w:t>. Prezes URE, na pisemny wniosek użytkownika zamkniętego systemu dystrybucyjnego, w uzasadnionych przypadkach, będzie mógł przeprowadzić kontrolę cen</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stawek opłat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warunków ich stosowania ustalonych 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operatora</w:t>
      </w:r>
      <w:r w:rsidR="000F111F" w:rsidRPr="00EF6F97">
        <w:rPr>
          <w:rFonts w:ascii="Times New Roman" w:hAnsi="Times New Roman" w:cs="Times New Roman"/>
          <w:sz w:val="24"/>
          <w:szCs w:val="24"/>
        </w:rPr>
        <w:t xml:space="preserve"> ZSD</w:t>
      </w:r>
      <w:r w:rsidR="0097130C" w:rsidRPr="00EF6F97">
        <w:rPr>
          <w:rFonts w:ascii="Times New Roman" w:hAnsi="Times New Roman" w:cs="Times New Roman"/>
          <w:sz w:val="24"/>
          <w:szCs w:val="24"/>
        </w:rPr>
        <w:t>. W sytuacji, gdy w wyniku przeprowadzonej kontroli Prezes URE stwierdzi, że stosowane ceny lub stawki opłat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warunki ich stosowania nie spełniają warunków określonych w prawie wezwie operatora</w:t>
      </w:r>
      <w:r w:rsidR="000F111F" w:rsidRPr="00EF6F97">
        <w:rPr>
          <w:rFonts w:ascii="Times New Roman" w:hAnsi="Times New Roman" w:cs="Times New Roman"/>
          <w:sz w:val="24"/>
          <w:szCs w:val="24"/>
        </w:rPr>
        <w:t xml:space="preserve"> ZSD</w:t>
      </w:r>
      <w:r w:rsidR="0097130C" w:rsidRPr="00EF6F97">
        <w:rPr>
          <w:rFonts w:ascii="Times New Roman" w:hAnsi="Times New Roman" w:cs="Times New Roman"/>
          <w:sz w:val="24"/>
          <w:szCs w:val="24"/>
        </w:rPr>
        <w:t xml:space="preserve"> do ich skalkulowania lub zmiany w sposób spełniający powyższe warunki.</w:t>
      </w:r>
    </w:p>
    <w:p w14:paraId="0FC6B76F" w14:textId="77777777" w:rsidR="00310368" w:rsidRPr="00EF6F97" w:rsidRDefault="00310368"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Jednocześnie uchyla się art. 38b ustawy </w:t>
      </w:r>
      <w:r w:rsidR="001D0628">
        <w:rPr>
          <w:rFonts w:ascii="Times New Roman" w:hAnsi="Times New Roman" w:cs="Times New Roman"/>
          <w:sz w:val="24"/>
          <w:szCs w:val="24"/>
        </w:rPr>
        <w:t>z </w:t>
      </w:r>
      <w:r w:rsidRPr="00EF6F97">
        <w:rPr>
          <w:rFonts w:ascii="Times New Roman" w:hAnsi="Times New Roman" w:cs="Times New Roman"/>
          <w:sz w:val="24"/>
          <w:szCs w:val="24"/>
        </w:rPr>
        <w:t>dnia 20 lutego 2015</w:t>
      </w:r>
      <w:r w:rsidR="001D0628">
        <w:rPr>
          <w:rFonts w:ascii="Times New Roman" w:hAnsi="Times New Roman" w:cs="Times New Roman"/>
          <w:sz w:val="24"/>
          <w:szCs w:val="24"/>
        </w:rPr>
        <w:t> r.</w:t>
      </w:r>
      <w:r w:rsidRPr="00EF6F97">
        <w:rPr>
          <w:rFonts w:ascii="Times New Roman" w:hAnsi="Times New Roman" w:cs="Times New Roman"/>
          <w:sz w:val="24"/>
          <w:szCs w:val="24"/>
        </w:rPr>
        <w:t xml:space="preserve"> o odnawialnych źródłach energii w celu nie dublowania regulacji w zakresie zamkniętych systemów dystrybucyjnych.</w:t>
      </w:r>
    </w:p>
    <w:p w14:paraId="5577D645" w14:textId="77777777" w:rsidR="00B25FE4" w:rsidRPr="00EF6F97" w:rsidRDefault="00B25FE4" w:rsidP="00EF6F97">
      <w:pPr>
        <w:spacing w:line="360" w:lineRule="auto"/>
        <w:jc w:val="both"/>
        <w:rPr>
          <w:rFonts w:ascii="Times New Roman" w:hAnsi="Times New Roman" w:cs="Times New Roman"/>
          <w:sz w:val="24"/>
          <w:szCs w:val="24"/>
        </w:rPr>
      </w:pPr>
    </w:p>
    <w:p w14:paraId="7163F0B3" w14:textId="77777777" w:rsidR="00A00414"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55610" w:rsidRPr="00EF6F97">
        <w:rPr>
          <w:rFonts w:ascii="Times New Roman" w:hAnsi="Times New Roman" w:cs="Times New Roman"/>
          <w:sz w:val="24"/>
          <w:szCs w:val="24"/>
        </w:rPr>
        <w:t xml:space="preserve">Ad. </w:t>
      </w:r>
      <w:r w:rsidR="00D0483F" w:rsidRPr="00EF6F97">
        <w:rPr>
          <w:rFonts w:ascii="Times New Roman" w:hAnsi="Times New Roman" w:cs="Times New Roman"/>
          <w:sz w:val="24"/>
          <w:szCs w:val="24"/>
        </w:rPr>
        <w:t>8</w:t>
      </w:r>
      <w:r w:rsidR="00B25FE4" w:rsidRPr="00EF6F97">
        <w:rPr>
          <w:rFonts w:ascii="Times New Roman" w:hAnsi="Times New Roman" w:cs="Times New Roman"/>
          <w:sz w:val="24"/>
          <w:szCs w:val="24"/>
        </w:rPr>
        <w:t>. Projekt ustawy wprowadza kompleksowe rozwiązania w zakresie funkcjonowania magazynów energii elektrycznej w Krajowym</w:t>
      </w:r>
      <w:r w:rsidR="006C4234" w:rsidRPr="00EF6F97">
        <w:rPr>
          <w:rFonts w:ascii="Times New Roman" w:hAnsi="Times New Roman" w:cs="Times New Roman"/>
          <w:sz w:val="24"/>
          <w:szCs w:val="24"/>
        </w:rPr>
        <w:t xml:space="preserve"> Systemie Elektroenergetycznym, </w:t>
      </w:r>
      <w:r w:rsidR="00B25FE4" w:rsidRPr="00EF6F97">
        <w:rPr>
          <w:rFonts w:ascii="Times New Roman" w:hAnsi="Times New Roman" w:cs="Times New Roman"/>
          <w:sz w:val="24"/>
          <w:szCs w:val="24"/>
        </w:rPr>
        <w:t xml:space="preserve">zwanym dalej „KSE”. </w:t>
      </w:r>
    </w:p>
    <w:p w14:paraId="221608DA" w14:textId="77777777" w:rsidR="00A00414" w:rsidRPr="00EF6F97" w:rsidRDefault="00A00414"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Potrzeba</w:t>
      </w:r>
      <w:r w:rsidR="001D0628">
        <w:rPr>
          <w:rFonts w:ascii="Times New Roman" w:hAnsi="Times New Roman" w:cs="Times New Roman"/>
          <w:b/>
          <w:sz w:val="24"/>
          <w:szCs w:val="24"/>
        </w:rPr>
        <w:t xml:space="preserve"> i </w:t>
      </w:r>
      <w:r w:rsidR="00CB5761" w:rsidRPr="00EF6F97">
        <w:rPr>
          <w:rFonts w:ascii="Times New Roman" w:hAnsi="Times New Roman" w:cs="Times New Roman"/>
          <w:b/>
          <w:sz w:val="24"/>
          <w:szCs w:val="24"/>
        </w:rPr>
        <w:t xml:space="preserve">cel </w:t>
      </w:r>
      <w:r w:rsidRPr="00EF6F97">
        <w:rPr>
          <w:rFonts w:ascii="Times New Roman" w:hAnsi="Times New Roman" w:cs="Times New Roman"/>
          <w:b/>
          <w:sz w:val="24"/>
          <w:szCs w:val="24"/>
        </w:rPr>
        <w:t>uchwalenia projektowanej ustawy</w:t>
      </w:r>
    </w:p>
    <w:p w14:paraId="425E568E" w14:textId="77777777" w:rsidR="00B25FE4"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B25FE4" w:rsidRPr="00EF6F97">
        <w:rPr>
          <w:rFonts w:ascii="Times New Roman" w:hAnsi="Times New Roman" w:cs="Times New Roman"/>
          <w:sz w:val="24"/>
          <w:szCs w:val="24"/>
        </w:rPr>
        <w:t xml:space="preserve">Regulacja ma na celu stworzenie warunków dla rozwoju zastosowań magazynów energii elektrycznej, w tym usunięcie barier, które obecnie uniemożliwiają inwestorom uzyskanie korzyści ekonomicznych ze stosowania magazynowania energii elektrycznej. </w:t>
      </w:r>
    </w:p>
    <w:p w14:paraId="382B6ABD" w14:textId="77777777" w:rsidR="00B25FE4"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B25FE4" w:rsidRPr="00EF6F97">
        <w:rPr>
          <w:rFonts w:ascii="Times New Roman" w:hAnsi="Times New Roman" w:cs="Times New Roman"/>
          <w:sz w:val="24"/>
          <w:szCs w:val="24"/>
        </w:rPr>
        <w:t xml:space="preserve">Obserwowany w ostatnich latach szybki rozwój technologii magazynowania energii elektrycznej, w szczególności w oparciu o technologie bateryjne, otworzył nowe możliwości jej praktycznego wykorzystania w różnych obszarach systemu elektroenergetycznego, czego obecny system regulacji nie uwzględnia. Ocenia się, że magazynowanie energii elektrycznej na szeroką skalę będzie stanowić kluczowy czynnik usprawniający funkcjonowanie systemu elektroenergetycznego, w szczególności wpływając </w:t>
      </w:r>
      <w:r w:rsidR="001D0628">
        <w:rPr>
          <w:rFonts w:ascii="Times New Roman" w:hAnsi="Times New Roman" w:cs="Times New Roman"/>
          <w:sz w:val="24"/>
          <w:szCs w:val="24"/>
        </w:rPr>
        <w:t>z </w:t>
      </w:r>
      <w:r w:rsidR="00B25FE4" w:rsidRPr="00EF6F97">
        <w:rPr>
          <w:rFonts w:ascii="Times New Roman" w:hAnsi="Times New Roman" w:cs="Times New Roman"/>
          <w:sz w:val="24"/>
          <w:szCs w:val="24"/>
        </w:rPr>
        <w:t xml:space="preserve">jednej strony na możliwość absorpcji większych wolumenów generacji ze </w:t>
      </w:r>
      <w:r w:rsidR="006C4234" w:rsidRPr="00EF6F97">
        <w:rPr>
          <w:rFonts w:ascii="Times New Roman" w:hAnsi="Times New Roman" w:cs="Times New Roman"/>
          <w:sz w:val="24"/>
          <w:szCs w:val="24"/>
        </w:rPr>
        <w:t>odnawialnych źródeł energii, zwanych dalej „</w:t>
      </w:r>
      <w:r w:rsidR="00B25FE4" w:rsidRPr="00EF6F97">
        <w:rPr>
          <w:rFonts w:ascii="Times New Roman" w:hAnsi="Times New Roman" w:cs="Times New Roman"/>
          <w:sz w:val="24"/>
          <w:szCs w:val="24"/>
        </w:rPr>
        <w:t>źródł</w:t>
      </w:r>
      <w:r w:rsidR="00430319" w:rsidRPr="00EF6F97">
        <w:rPr>
          <w:rFonts w:ascii="Times New Roman" w:hAnsi="Times New Roman" w:cs="Times New Roman"/>
          <w:sz w:val="24"/>
          <w:szCs w:val="24"/>
        </w:rPr>
        <w:t>ami</w:t>
      </w:r>
      <w:r w:rsidR="00B25FE4" w:rsidRPr="00EF6F97">
        <w:rPr>
          <w:rFonts w:ascii="Times New Roman" w:hAnsi="Times New Roman" w:cs="Times New Roman"/>
          <w:sz w:val="24"/>
          <w:szCs w:val="24"/>
        </w:rPr>
        <w:t xml:space="preserve"> OZE</w:t>
      </w:r>
      <w:r w:rsidR="00430319" w:rsidRPr="00EF6F97">
        <w:rPr>
          <w:rFonts w:ascii="Times New Roman" w:hAnsi="Times New Roman" w:cs="Times New Roman"/>
          <w:sz w:val="24"/>
          <w:szCs w:val="24"/>
        </w:rPr>
        <w:t>”</w:t>
      </w:r>
      <w:r w:rsidR="00B25FE4" w:rsidRPr="00EF6F97">
        <w:rPr>
          <w:rFonts w:ascii="Times New Roman" w:hAnsi="Times New Roman" w:cs="Times New Roman"/>
          <w:sz w:val="24"/>
          <w:szCs w:val="24"/>
        </w:rPr>
        <w:t xml:space="preserve">, </w:t>
      </w:r>
      <w:r w:rsidR="001D0628">
        <w:rPr>
          <w:rFonts w:ascii="Times New Roman" w:hAnsi="Times New Roman" w:cs="Times New Roman"/>
          <w:sz w:val="24"/>
          <w:szCs w:val="24"/>
        </w:rPr>
        <w:t>z </w:t>
      </w:r>
      <w:r w:rsidR="00B25FE4" w:rsidRPr="00EF6F97">
        <w:rPr>
          <w:rFonts w:ascii="Times New Roman" w:hAnsi="Times New Roman" w:cs="Times New Roman"/>
          <w:sz w:val="24"/>
          <w:szCs w:val="24"/>
        </w:rPr>
        <w:t>drugiej zaś na poprawę bezpieczeństwa dostaw energii elektrycznej. W szczególności wykorzystanie magazynowania energii elektrycznej stworzy możliwości szybkiej reakcji na zmieniające się</w:t>
      </w:r>
      <w:r w:rsidR="00CB5761" w:rsidRPr="00EF6F97">
        <w:rPr>
          <w:rFonts w:ascii="Times New Roman" w:hAnsi="Times New Roman" w:cs="Times New Roman"/>
          <w:sz w:val="24"/>
          <w:szCs w:val="24"/>
        </w:rPr>
        <w:t xml:space="preserve"> zapotrzebowania na moc w KSE</w:t>
      </w:r>
      <w:r w:rsidR="00B25FE4" w:rsidRPr="00EF6F97">
        <w:rPr>
          <w:rFonts w:ascii="Times New Roman" w:hAnsi="Times New Roman" w:cs="Times New Roman"/>
          <w:sz w:val="24"/>
          <w:szCs w:val="24"/>
        </w:rPr>
        <w:t>, poprawi warunki napięciowe funkcjonowania sieci, pozytywnie wpłynie na zakres</w:t>
      </w:r>
      <w:r w:rsidR="00EF6F97">
        <w:rPr>
          <w:rFonts w:ascii="Times New Roman" w:hAnsi="Times New Roman" w:cs="Times New Roman"/>
          <w:sz w:val="24"/>
          <w:szCs w:val="24"/>
        </w:rPr>
        <w:t xml:space="preserve"> </w:t>
      </w:r>
      <w:r w:rsidR="00B25FE4" w:rsidRPr="00EF6F97">
        <w:rPr>
          <w:rFonts w:ascii="Times New Roman" w:hAnsi="Times New Roman" w:cs="Times New Roman"/>
          <w:sz w:val="24"/>
          <w:szCs w:val="24"/>
        </w:rPr>
        <w:t>prowadzonych inwestycji w sieć dzięki możliwości wykorzystania magazynowania energii elektrycznej zamiast inwestycji sieciowych</w:t>
      </w:r>
      <w:r w:rsidR="00695DE8" w:rsidRPr="00EF6F97">
        <w:rPr>
          <w:rFonts w:ascii="Times New Roman" w:hAnsi="Times New Roman" w:cs="Times New Roman"/>
          <w:sz w:val="24"/>
          <w:szCs w:val="24"/>
        </w:rPr>
        <w:t xml:space="preserve"> tam gdzie to będzie opłacalne</w:t>
      </w:r>
      <w:r w:rsidR="00B25FE4" w:rsidRPr="00EF6F97">
        <w:rPr>
          <w:rFonts w:ascii="Times New Roman" w:hAnsi="Times New Roman" w:cs="Times New Roman"/>
          <w:sz w:val="24"/>
          <w:szCs w:val="24"/>
        </w:rPr>
        <w:t xml:space="preserve">, pozwoli na poprawę wykorzystania energii ze źródeł OZE o niestabilnej </w:t>
      </w:r>
      <w:r w:rsidR="00B25FE4" w:rsidRPr="00EF6F97">
        <w:rPr>
          <w:rFonts w:ascii="Times New Roman" w:hAnsi="Times New Roman" w:cs="Times New Roman"/>
          <w:sz w:val="24"/>
          <w:szCs w:val="24"/>
        </w:rPr>
        <w:lastRenderedPageBreak/>
        <w:t>charakterystyce, itd.</w:t>
      </w:r>
      <w:r w:rsidR="00EF6F97">
        <w:rPr>
          <w:rFonts w:ascii="Times New Roman" w:hAnsi="Times New Roman" w:cs="Times New Roman"/>
          <w:sz w:val="24"/>
          <w:szCs w:val="24"/>
        </w:rPr>
        <w:t xml:space="preserve"> </w:t>
      </w:r>
    </w:p>
    <w:p w14:paraId="74AAB6BD" w14:textId="77777777" w:rsidR="00A00414" w:rsidRPr="00EF6F97" w:rsidRDefault="00A00414"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Zidentyfikowane bariery prawne</w:t>
      </w:r>
      <w:r w:rsidR="001D0628">
        <w:rPr>
          <w:rFonts w:ascii="Times New Roman" w:hAnsi="Times New Roman" w:cs="Times New Roman"/>
          <w:b/>
          <w:sz w:val="24"/>
          <w:szCs w:val="24"/>
        </w:rPr>
        <w:t xml:space="preserve"> i </w:t>
      </w:r>
      <w:r w:rsidRPr="00EF6F97">
        <w:rPr>
          <w:rFonts w:ascii="Times New Roman" w:hAnsi="Times New Roman" w:cs="Times New Roman"/>
          <w:b/>
          <w:sz w:val="24"/>
          <w:szCs w:val="24"/>
        </w:rPr>
        <w:t>regulacyjne</w:t>
      </w:r>
    </w:p>
    <w:p w14:paraId="543167F2" w14:textId="77777777" w:rsidR="00B25FE4"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B25FE4" w:rsidRPr="00EF6F97">
        <w:rPr>
          <w:rFonts w:ascii="Times New Roman" w:hAnsi="Times New Roman" w:cs="Times New Roman"/>
          <w:sz w:val="24"/>
          <w:szCs w:val="24"/>
        </w:rPr>
        <w:t xml:space="preserve">W oparciu o dotychczasowe doświadczenia związane </w:t>
      </w:r>
      <w:r w:rsidR="001D0628">
        <w:rPr>
          <w:rFonts w:ascii="Times New Roman" w:hAnsi="Times New Roman" w:cs="Times New Roman"/>
          <w:sz w:val="24"/>
          <w:szCs w:val="24"/>
        </w:rPr>
        <w:t>z </w:t>
      </w:r>
      <w:r w:rsidR="00B25FE4" w:rsidRPr="00EF6F97">
        <w:rPr>
          <w:rFonts w:ascii="Times New Roman" w:hAnsi="Times New Roman" w:cs="Times New Roman"/>
          <w:sz w:val="24"/>
          <w:szCs w:val="24"/>
        </w:rPr>
        <w:t>realizowanymi lub przygotowywanymi projektami wykorzystania magazynów energii elektrycznej w KSE zidentyfikowane zostały następujące bariery:</w:t>
      </w:r>
    </w:p>
    <w:p w14:paraId="066D8F5A" w14:textId="77777777"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Niespójne definicje</w:t>
      </w:r>
      <w:r w:rsidR="001D0628">
        <w:rPr>
          <w:rFonts w:ascii="Times New Roman" w:hAnsi="Times New Roman"/>
          <w:sz w:val="24"/>
          <w:szCs w:val="24"/>
        </w:rPr>
        <w:t xml:space="preserve"> i </w:t>
      </w:r>
      <w:r w:rsidRPr="00EF6F97">
        <w:rPr>
          <w:rFonts w:ascii="Times New Roman" w:hAnsi="Times New Roman"/>
          <w:sz w:val="24"/>
          <w:szCs w:val="24"/>
        </w:rPr>
        <w:t>brak określenia magazynowania energii elektrycznej jako procesu energetycznego;</w:t>
      </w:r>
    </w:p>
    <w:p w14:paraId="34211A68" w14:textId="77777777"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Nieokreślony status magazynowania energii elektrycznej w kontekście taryfowania</w:t>
      </w:r>
      <w:r w:rsidR="001D0628">
        <w:rPr>
          <w:rFonts w:ascii="Times New Roman" w:hAnsi="Times New Roman"/>
          <w:sz w:val="24"/>
          <w:szCs w:val="24"/>
        </w:rPr>
        <w:t xml:space="preserve"> i </w:t>
      </w:r>
      <w:r w:rsidRPr="00EF6F97">
        <w:rPr>
          <w:rFonts w:ascii="Times New Roman" w:hAnsi="Times New Roman"/>
          <w:sz w:val="24"/>
          <w:szCs w:val="24"/>
        </w:rPr>
        <w:t>obowiązków koncesyjnych;</w:t>
      </w:r>
    </w:p>
    <w:p w14:paraId="74FECFC9" w14:textId="77777777"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Brak przepisów określających szczegółowe wymagania techniczne</w:t>
      </w:r>
      <w:r w:rsidR="001D0628">
        <w:rPr>
          <w:rFonts w:ascii="Times New Roman" w:hAnsi="Times New Roman"/>
          <w:sz w:val="24"/>
          <w:szCs w:val="24"/>
        </w:rPr>
        <w:t xml:space="preserve"> i </w:t>
      </w:r>
      <w:r w:rsidRPr="00EF6F97">
        <w:rPr>
          <w:rFonts w:ascii="Times New Roman" w:hAnsi="Times New Roman"/>
          <w:sz w:val="24"/>
          <w:szCs w:val="24"/>
        </w:rPr>
        <w:t>zasady przyłączenia do sieci magazynu energii elektrycznej;</w:t>
      </w:r>
    </w:p>
    <w:p w14:paraId="6E764136" w14:textId="77777777"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Brak przepisów określających zasady współpracy magazynu energii elektrycznej </w:t>
      </w:r>
      <w:r w:rsidR="001D0628">
        <w:rPr>
          <w:rFonts w:ascii="Times New Roman" w:hAnsi="Times New Roman"/>
          <w:sz w:val="24"/>
          <w:szCs w:val="24"/>
        </w:rPr>
        <w:t>z </w:t>
      </w:r>
      <w:r w:rsidRPr="00EF6F97">
        <w:rPr>
          <w:rFonts w:ascii="Times New Roman" w:hAnsi="Times New Roman"/>
          <w:sz w:val="24"/>
          <w:szCs w:val="24"/>
        </w:rPr>
        <w:t>siecią elektroenergetyczną;</w:t>
      </w:r>
    </w:p>
    <w:p w14:paraId="49B0A3BC" w14:textId="77777777"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Brak przepisów określających zasady współpracy magazynów energii elektrycznej </w:t>
      </w:r>
      <w:r w:rsidR="001D0628">
        <w:rPr>
          <w:rFonts w:ascii="Times New Roman" w:hAnsi="Times New Roman"/>
          <w:sz w:val="24"/>
          <w:szCs w:val="24"/>
        </w:rPr>
        <w:t>z </w:t>
      </w:r>
      <w:r w:rsidRPr="00EF6F97">
        <w:rPr>
          <w:rFonts w:ascii="Times New Roman" w:hAnsi="Times New Roman"/>
          <w:sz w:val="24"/>
          <w:szCs w:val="24"/>
        </w:rPr>
        <w:t>jednostkami wytwórczymi, w tym ze źródłami OZE, których część stanowią ora</w:t>
      </w:r>
      <w:r w:rsidR="001D0628">
        <w:rPr>
          <w:rFonts w:ascii="Times New Roman" w:hAnsi="Times New Roman"/>
          <w:sz w:val="24"/>
          <w:szCs w:val="24"/>
        </w:rPr>
        <w:t>z z </w:t>
      </w:r>
      <w:r w:rsidRPr="00EF6F97">
        <w:rPr>
          <w:rFonts w:ascii="Times New Roman" w:hAnsi="Times New Roman"/>
          <w:sz w:val="24"/>
          <w:szCs w:val="24"/>
        </w:rPr>
        <w:t>instalacjami odbiorców końcowych;</w:t>
      </w:r>
    </w:p>
    <w:p w14:paraId="18864B86" w14:textId="77777777"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Instalacje OZE </w:t>
      </w:r>
      <w:r w:rsidR="001D0628">
        <w:rPr>
          <w:rFonts w:ascii="Times New Roman" w:hAnsi="Times New Roman"/>
          <w:sz w:val="24"/>
          <w:szCs w:val="24"/>
        </w:rPr>
        <w:t>z </w:t>
      </w:r>
      <w:r w:rsidRPr="00EF6F97">
        <w:rPr>
          <w:rFonts w:ascii="Times New Roman" w:hAnsi="Times New Roman"/>
          <w:sz w:val="24"/>
          <w:szCs w:val="24"/>
        </w:rPr>
        <w:t xml:space="preserve">magazynami energii elektrycznej nie mają możliwości wykorzystania pełnego potencjału magazynowania w związku </w:t>
      </w:r>
      <w:r w:rsidR="001D0628">
        <w:rPr>
          <w:rFonts w:ascii="Times New Roman" w:hAnsi="Times New Roman"/>
          <w:sz w:val="24"/>
          <w:szCs w:val="24"/>
        </w:rPr>
        <w:t>z </w:t>
      </w:r>
      <w:r w:rsidRPr="00EF6F97">
        <w:rPr>
          <w:rFonts w:ascii="Times New Roman" w:hAnsi="Times New Roman"/>
          <w:sz w:val="24"/>
          <w:szCs w:val="24"/>
        </w:rPr>
        <w:t xml:space="preserve">zagrożeniem utraty wsparcia w sytuacji poboru energii </w:t>
      </w:r>
      <w:r w:rsidR="00695DE8" w:rsidRPr="00EF6F97">
        <w:rPr>
          <w:rFonts w:ascii="Times New Roman" w:hAnsi="Times New Roman"/>
          <w:sz w:val="24"/>
          <w:szCs w:val="24"/>
        </w:rPr>
        <w:t>prze</w:t>
      </w:r>
      <w:r w:rsidR="001D0628">
        <w:rPr>
          <w:rFonts w:ascii="Times New Roman" w:hAnsi="Times New Roman"/>
          <w:sz w:val="24"/>
          <w:szCs w:val="24"/>
        </w:rPr>
        <w:t>z </w:t>
      </w:r>
      <w:r w:rsidR="00695DE8" w:rsidRPr="00EF6F97">
        <w:rPr>
          <w:rFonts w:ascii="Times New Roman" w:hAnsi="Times New Roman"/>
          <w:sz w:val="24"/>
          <w:szCs w:val="24"/>
        </w:rPr>
        <w:t xml:space="preserve">magazyn </w:t>
      </w:r>
      <w:r w:rsidR="001D0628">
        <w:rPr>
          <w:rFonts w:ascii="Times New Roman" w:hAnsi="Times New Roman"/>
          <w:sz w:val="24"/>
          <w:szCs w:val="24"/>
        </w:rPr>
        <w:t>z </w:t>
      </w:r>
      <w:r w:rsidRPr="00EF6F97">
        <w:rPr>
          <w:rFonts w:ascii="Times New Roman" w:hAnsi="Times New Roman"/>
          <w:sz w:val="24"/>
          <w:szCs w:val="24"/>
        </w:rPr>
        <w:t>sieci elektroenergetycznej;</w:t>
      </w:r>
    </w:p>
    <w:p w14:paraId="730C208E" w14:textId="77777777"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Brak w regulacjach dotyczących taryfowania odrębnych przepisów uwzględniających fakt, że energia </w:t>
      </w:r>
      <w:r w:rsidR="0031660F" w:rsidRPr="00EF6F97">
        <w:rPr>
          <w:rFonts w:ascii="Times New Roman" w:hAnsi="Times New Roman"/>
          <w:sz w:val="24"/>
          <w:szCs w:val="24"/>
        </w:rPr>
        <w:t xml:space="preserve">elektryczna </w:t>
      </w:r>
      <w:r w:rsidRPr="00EF6F97">
        <w:rPr>
          <w:rFonts w:ascii="Times New Roman" w:hAnsi="Times New Roman"/>
          <w:sz w:val="24"/>
          <w:szCs w:val="24"/>
        </w:rPr>
        <w:t>pobierana prze</w:t>
      </w:r>
      <w:r w:rsidR="001D0628">
        <w:rPr>
          <w:rFonts w:ascii="Times New Roman" w:hAnsi="Times New Roman"/>
          <w:sz w:val="24"/>
          <w:szCs w:val="24"/>
        </w:rPr>
        <w:t>z </w:t>
      </w:r>
      <w:r w:rsidR="00CB5761" w:rsidRPr="00EF6F97">
        <w:rPr>
          <w:rFonts w:ascii="Times New Roman" w:hAnsi="Times New Roman"/>
          <w:sz w:val="24"/>
          <w:szCs w:val="24"/>
        </w:rPr>
        <w:t xml:space="preserve">magazyn energii elektrycznej, </w:t>
      </w:r>
      <w:r w:rsidRPr="00EF6F97">
        <w:rPr>
          <w:rFonts w:ascii="Times New Roman" w:hAnsi="Times New Roman"/>
          <w:sz w:val="24"/>
          <w:szCs w:val="24"/>
        </w:rPr>
        <w:t>która następnie jest wprowadzana do sieci nie jest zużyciem końcowym;</w:t>
      </w:r>
    </w:p>
    <w:p w14:paraId="3349CF5D" w14:textId="77777777"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Niezdefiniowany status energii elektrycznej wprowadzanej do magazynu energii elektrycznej ora</w:t>
      </w:r>
      <w:r w:rsidR="001D0628">
        <w:rPr>
          <w:rFonts w:ascii="Times New Roman" w:hAnsi="Times New Roman"/>
          <w:sz w:val="24"/>
          <w:szCs w:val="24"/>
        </w:rPr>
        <w:t>z </w:t>
      </w:r>
      <w:r w:rsidRPr="00EF6F97">
        <w:rPr>
          <w:rFonts w:ascii="Times New Roman" w:hAnsi="Times New Roman"/>
          <w:sz w:val="24"/>
          <w:szCs w:val="24"/>
        </w:rPr>
        <w:t xml:space="preserve">energii wyprowadzanej </w:t>
      </w:r>
      <w:r w:rsidR="001D0628">
        <w:rPr>
          <w:rFonts w:ascii="Times New Roman" w:hAnsi="Times New Roman"/>
          <w:sz w:val="24"/>
          <w:szCs w:val="24"/>
        </w:rPr>
        <w:t>z </w:t>
      </w:r>
      <w:r w:rsidRPr="00EF6F97">
        <w:rPr>
          <w:rFonts w:ascii="Times New Roman" w:hAnsi="Times New Roman"/>
          <w:sz w:val="24"/>
          <w:szCs w:val="24"/>
        </w:rPr>
        <w:t xml:space="preserve">uwzględnieniem strat </w:t>
      </w:r>
      <w:r w:rsidR="001D0628">
        <w:rPr>
          <w:rFonts w:ascii="Times New Roman" w:hAnsi="Times New Roman"/>
          <w:sz w:val="24"/>
          <w:szCs w:val="24"/>
        </w:rPr>
        <w:t>z </w:t>
      </w:r>
      <w:r w:rsidRPr="00EF6F97">
        <w:rPr>
          <w:rFonts w:ascii="Times New Roman" w:hAnsi="Times New Roman"/>
          <w:sz w:val="24"/>
          <w:szCs w:val="24"/>
        </w:rPr>
        <w:t>magazynu energii elektrycznej w kontekście podatku akcyzowego ora</w:t>
      </w:r>
      <w:r w:rsidR="001D0628">
        <w:rPr>
          <w:rFonts w:ascii="Times New Roman" w:hAnsi="Times New Roman"/>
          <w:sz w:val="24"/>
          <w:szCs w:val="24"/>
        </w:rPr>
        <w:t>z </w:t>
      </w:r>
      <w:r w:rsidRPr="00EF6F97">
        <w:rPr>
          <w:rFonts w:ascii="Times New Roman" w:hAnsi="Times New Roman"/>
          <w:sz w:val="24"/>
          <w:szCs w:val="24"/>
        </w:rPr>
        <w:t>obowiązków przedstawiania do umorzenia świadectw pochodzenia (</w:t>
      </w:r>
      <w:r w:rsidR="001D0628">
        <w:rPr>
          <w:rFonts w:ascii="Times New Roman" w:hAnsi="Times New Roman"/>
          <w:sz w:val="24"/>
          <w:szCs w:val="24"/>
        </w:rPr>
        <w:t>z </w:t>
      </w:r>
      <w:r w:rsidRPr="00EF6F97">
        <w:rPr>
          <w:rFonts w:ascii="Times New Roman" w:hAnsi="Times New Roman"/>
          <w:sz w:val="24"/>
          <w:szCs w:val="24"/>
        </w:rPr>
        <w:t xml:space="preserve">OZE, </w:t>
      </w:r>
      <w:r w:rsidR="001D0628">
        <w:rPr>
          <w:rFonts w:ascii="Times New Roman" w:hAnsi="Times New Roman"/>
          <w:sz w:val="24"/>
          <w:szCs w:val="24"/>
        </w:rPr>
        <w:t>z </w:t>
      </w:r>
      <w:r w:rsidRPr="00EF6F97">
        <w:rPr>
          <w:rFonts w:ascii="Times New Roman" w:hAnsi="Times New Roman"/>
          <w:sz w:val="24"/>
          <w:szCs w:val="24"/>
        </w:rPr>
        <w:t>kogeneracji</w:t>
      </w:r>
      <w:r w:rsidR="001D0628">
        <w:rPr>
          <w:rFonts w:ascii="Times New Roman" w:hAnsi="Times New Roman"/>
          <w:sz w:val="24"/>
          <w:szCs w:val="24"/>
        </w:rPr>
        <w:t xml:space="preserve"> i </w:t>
      </w:r>
      <w:r w:rsidRPr="00EF6F97">
        <w:rPr>
          <w:rFonts w:ascii="Times New Roman" w:hAnsi="Times New Roman"/>
          <w:sz w:val="24"/>
          <w:szCs w:val="24"/>
        </w:rPr>
        <w:t>efektywności energetycznej).</w:t>
      </w:r>
    </w:p>
    <w:p w14:paraId="31A4EC4A" w14:textId="77777777" w:rsidR="0031660F" w:rsidRPr="00EF6F97" w:rsidRDefault="0031660F"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Zakres proponowanych zmian obejmuje:</w:t>
      </w:r>
    </w:p>
    <w:p w14:paraId="1F09B3FE" w14:textId="77777777" w:rsidR="0031660F" w:rsidRPr="00EF6F97" w:rsidRDefault="0031660F"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 przypadku ustawy - Prawo energetyczne:</w:t>
      </w:r>
    </w:p>
    <w:p w14:paraId="524ADA55"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Wprowadzenie</w:t>
      </w:r>
      <w:r w:rsidR="001D0628">
        <w:rPr>
          <w:rFonts w:ascii="Times New Roman" w:hAnsi="Times New Roman"/>
          <w:sz w:val="24"/>
          <w:szCs w:val="24"/>
        </w:rPr>
        <w:t xml:space="preserve"> i </w:t>
      </w:r>
      <w:r w:rsidRPr="00EF6F97">
        <w:rPr>
          <w:rFonts w:ascii="Times New Roman" w:hAnsi="Times New Roman"/>
          <w:sz w:val="24"/>
          <w:szCs w:val="24"/>
        </w:rPr>
        <w:t>zmiana wybranych definicji;</w:t>
      </w:r>
      <w:r w:rsidR="00EF6F97">
        <w:rPr>
          <w:rFonts w:ascii="Times New Roman" w:hAnsi="Times New Roman"/>
          <w:sz w:val="24"/>
          <w:szCs w:val="24"/>
        </w:rPr>
        <w:t xml:space="preserve"> </w:t>
      </w:r>
    </w:p>
    <w:p w14:paraId="1CA6DE86"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Wyłączenie magazynowania energii elektrycznej </w:t>
      </w:r>
      <w:r w:rsidR="001D0628">
        <w:rPr>
          <w:rFonts w:ascii="Times New Roman" w:hAnsi="Times New Roman"/>
          <w:sz w:val="24"/>
          <w:szCs w:val="24"/>
        </w:rPr>
        <w:t>z </w:t>
      </w:r>
      <w:r w:rsidRPr="00EF6F97">
        <w:rPr>
          <w:rFonts w:ascii="Times New Roman" w:hAnsi="Times New Roman"/>
          <w:sz w:val="24"/>
          <w:szCs w:val="24"/>
        </w:rPr>
        <w:t>obowiązku sporządzania taryf;</w:t>
      </w:r>
    </w:p>
    <w:p w14:paraId="48B386E2"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Określenie wymagań dotyczących koncesjonowania magazynowania energii elektrycznej</w:t>
      </w:r>
      <w:r w:rsidR="001D0628">
        <w:rPr>
          <w:rFonts w:ascii="Times New Roman" w:hAnsi="Times New Roman"/>
          <w:sz w:val="24"/>
          <w:szCs w:val="24"/>
        </w:rPr>
        <w:t xml:space="preserve"> i </w:t>
      </w:r>
      <w:r w:rsidRPr="00EF6F97">
        <w:rPr>
          <w:rFonts w:ascii="Times New Roman" w:hAnsi="Times New Roman"/>
          <w:sz w:val="24"/>
          <w:szCs w:val="24"/>
        </w:rPr>
        <w:t>rejestracji magazynów energii elektrycznej;</w:t>
      </w:r>
    </w:p>
    <w:p w14:paraId="2A4A5B87"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lastRenderedPageBreak/>
        <w:t>Określenie ogólnych wymagań dotyczących warunków przyłączenia do sieci magazynu energii elektrycznej lub urządzeń wytwórczych</w:t>
      </w:r>
      <w:r w:rsidR="001D0628">
        <w:rPr>
          <w:rFonts w:ascii="Times New Roman" w:hAnsi="Times New Roman"/>
          <w:sz w:val="24"/>
          <w:szCs w:val="24"/>
        </w:rPr>
        <w:t xml:space="preserve"> i </w:t>
      </w:r>
      <w:r w:rsidRPr="00EF6F97">
        <w:rPr>
          <w:rFonts w:ascii="Times New Roman" w:hAnsi="Times New Roman"/>
          <w:sz w:val="24"/>
          <w:szCs w:val="24"/>
        </w:rPr>
        <w:t>instalacji odbiorcy końcowego obejmujących magazyn energii elektrycznej;</w:t>
      </w:r>
    </w:p>
    <w:p w14:paraId="01A61234"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Określenie warunków technicznych na jakich magazyn energii współpracuje </w:t>
      </w:r>
      <w:r w:rsidR="001D0628">
        <w:rPr>
          <w:rFonts w:ascii="Times New Roman" w:hAnsi="Times New Roman"/>
          <w:sz w:val="24"/>
          <w:szCs w:val="24"/>
        </w:rPr>
        <w:t>z </w:t>
      </w:r>
      <w:r w:rsidRPr="00EF6F97">
        <w:rPr>
          <w:rFonts w:ascii="Times New Roman" w:hAnsi="Times New Roman"/>
          <w:sz w:val="24"/>
          <w:szCs w:val="24"/>
        </w:rPr>
        <w:t>siecią.</w:t>
      </w:r>
    </w:p>
    <w:p w14:paraId="5B15054B"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Określenie warunków na jakich magazyn energii elektrycznej może być uwzględniony w planie rozwoju jako substytut rozbudowy sieci;</w:t>
      </w:r>
    </w:p>
    <w:p w14:paraId="5078F520"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Zmiana zasad rozliczania energii elektrycznej pobranej </w:t>
      </w:r>
      <w:r w:rsidR="001D0628">
        <w:rPr>
          <w:rFonts w:ascii="Times New Roman" w:hAnsi="Times New Roman"/>
          <w:sz w:val="24"/>
          <w:szCs w:val="24"/>
        </w:rPr>
        <w:t>z </w:t>
      </w:r>
      <w:r w:rsidRPr="00EF6F97">
        <w:rPr>
          <w:rFonts w:ascii="Times New Roman" w:hAnsi="Times New Roman"/>
          <w:sz w:val="24"/>
          <w:szCs w:val="24"/>
        </w:rPr>
        <w:t>sieci na potrzeby magazynowania energii elektrycznej.</w:t>
      </w:r>
    </w:p>
    <w:p w14:paraId="4B609AA0"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Zmiana dotycząca delegacji do opracowania rozporządzenia taryfowego;</w:t>
      </w:r>
    </w:p>
    <w:p w14:paraId="5418C956"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Zwolnienie </w:t>
      </w:r>
      <w:r w:rsidR="001D0628">
        <w:rPr>
          <w:rFonts w:ascii="Times New Roman" w:hAnsi="Times New Roman"/>
          <w:sz w:val="24"/>
          <w:szCs w:val="24"/>
        </w:rPr>
        <w:t>z </w:t>
      </w:r>
      <w:r w:rsidRPr="00EF6F97">
        <w:rPr>
          <w:rFonts w:ascii="Times New Roman" w:hAnsi="Times New Roman"/>
          <w:sz w:val="24"/>
          <w:szCs w:val="24"/>
        </w:rPr>
        <w:t>obowiązku przedstawiania do umorzenia świadectw pochodzenia w odniesieniu do energii elektrycznej pobranej</w:t>
      </w:r>
      <w:r w:rsidR="001D0628">
        <w:rPr>
          <w:rFonts w:ascii="Times New Roman" w:hAnsi="Times New Roman"/>
          <w:sz w:val="24"/>
          <w:szCs w:val="24"/>
        </w:rPr>
        <w:t xml:space="preserve"> i </w:t>
      </w:r>
      <w:r w:rsidRPr="00EF6F97">
        <w:rPr>
          <w:rFonts w:ascii="Times New Roman" w:hAnsi="Times New Roman"/>
          <w:sz w:val="24"/>
          <w:szCs w:val="24"/>
        </w:rPr>
        <w:t>zużytej prze</w:t>
      </w:r>
      <w:r w:rsidR="001D0628">
        <w:rPr>
          <w:rFonts w:ascii="Times New Roman" w:hAnsi="Times New Roman"/>
          <w:sz w:val="24"/>
          <w:szCs w:val="24"/>
        </w:rPr>
        <w:t>z </w:t>
      </w:r>
      <w:r w:rsidRPr="00EF6F97">
        <w:rPr>
          <w:rFonts w:ascii="Times New Roman" w:hAnsi="Times New Roman"/>
          <w:sz w:val="24"/>
          <w:szCs w:val="24"/>
        </w:rPr>
        <w:t>magazyn energii elektrycznej na potrzeby magazynowania energii elektrycznej.</w:t>
      </w:r>
    </w:p>
    <w:p w14:paraId="55F0C095"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Wprowadzenie uprawnienia do posiadania magazynów energii elektrycznej prze</w:t>
      </w:r>
      <w:r w:rsidR="001D0628">
        <w:rPr>
          <w:rFonts w:ascii="Times New Roman" w:hAnsi="Times New Roman"/>
          <w:sz w:val="24"/>
          <w:szCs w:val="24"/>
        </w:rPr>
        <w:t>z </w:t>
      </w:r>
      <w:r w:rsidRPr="00EF6F97">
        <w:rPr>
          <w:rFonts w:ascii="Times New Roman" w:hAnsi="Times New Roman"/>
          <w:sz w:val="24"/>
          <w:szCs w:val="24"/>
        </w:rPr>
        <w:t>OSP</w:t>
      </w:r>
      <w:r w:rsidR="001D0628">
        <w:rPr>
          <w:rFonts w:ascii="Times New Roman" w:hAnsi="Times New Roman"/>
          <w:sz w:val="24"/>
          <w:szCs w:val="24"/>
        </w:rPr>
        <w:t xml:space="preserve"> i </w:t>
      </w:r>
      <w:r w:rsidRPr="00EF6F97">
        <w:rPr>
          <w:rFonts w:ascii="Times New Roman" w:hAnsi="Times New Roman"/>
          <w:sz w:val="24"/>
          <w:szCs w:val="24"/>
        </w:rPr>
        <w:t>OSD;</w:t>
      </w:r>
    </w:p>
    <w:p w14:paraId="1018F3E4"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Wprowadzenie regulacji dotyczących istniejących magazynów energii elektrycznej, w tym elektrowni szczytowo-pompowych; </w:t>
      </w:r>
    </w:p>
    <w:p w14:paraId="28512A8D"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Wprowadzenie czasowego zwolnienia </w:t>
      </w:r>
      <w:r w:rsidR="001D0628">
        <w:rPr>
          <w:rFonts w:ascii="Times New Roman" w:hAnsi="Times New Roman"/>
          <w:sz w:val="24"/>
          <w:szCs w:val="24"/>
        </w:rPr>
        <w:t>z </w:t>
      </w:r>
      <w:r w:rsidRPr="00EF6F97">
        <w:rPr>
          <w:rFonts w:ascii="Times New Roman" w:hAnsi="Times New Roman"/>
          <w:sz w:val="24"/>
          <w:szCs w:val="24"/>
        </w:rPr>
        <w:t>opłat za przyłączenie do sieci magazynów energii elektrycznej.</w:t>
      </w:r>
    </w:p>
    <w:p w14:paraId="4CDA29F4" w14:textId="77777777" w:rsidR="0031660F" w:rsidRPr="00EF6F97" w:rsidRDefault="0031660F"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 przypadku ustawy o odnawialnych źródłach energii:</w:t>
      </w:r>
    </w:p>
    <w:p w14:paraId="68886176" w14:textId="77777777" w:rsidR="0031660F" w:rsidRPr="00EF6F97" w:rsidRDefault="0031660F" w:rsidP="00EF6F97">
      <w:pPr>
        <w:pStyle w:val="Akapitzlist"/>
        <w:numPr>
          <w:ilvl w:val="3"/>
          <w:numId w:val="34"/>
        </w:numPr>
        <w:spacing w:after="0" w:line="360" w:lineRule="auto"/>
        <w:ind w:left="426"/>
        <w:jc w:val="both"/>
        <w:rPr>
          <w:rFonts w:ascii="Times New Roman" w:hAnsi="Times New Roman"/>
          <w:sz w:val="24"/>
          <w:szCs w:val="24"/>
        </w:rPr>
      </w:pPr>
      <w:r w:rsidRPr="00EF6F97">
        <w:rPr>
          <w:rFonts w:ascii="Times New Roman" w:hAnsi="Times New Roman"/>
          <w:sz w:val="24"/>
          <w:szCs w:val="24"/>
        </w:rPr>
        <w:t>Zmiana istniejących definicji odpowiednio do zmian w ustawie - Prawo energetyczne;</w:t>
      </w:r>
    </w:p>
    <w:p w14:paraId="530FD451" w14:textId="77777777" w:rsidR="0031660F" w:rsidRPr="00EF6F97" w:rsidRDefault="0031660F" w:rsidP="00EF6F97">
      <w:pPr>
        <w:pStyle w:val="Akapitzlist"/>
        <w:numPr>
          <w:ilvl w:val="3"/>
          <w:numId w:val="34"/>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Wprowadzenie możliwości pobierania energii elektrycznej </w:t>
      </w:r>
      <w:r w:rsidR="001D0628">
        <w:rPr>
          <w:rFonts w:ascii="Times New Roman" w:hAnsi="Times New Roman"/>
          <w:sz w:val="24"/>
          <w:szCs w:val="24"/>
        </w:rPr>
        <w:t>z </w:t>
      </w:r>
      <w:r w:rsidRPr="00EF6F97">
        <w:rPr>
          <w:rFonts w:ascii="Times New Roman" w:hAnsi="Times New Roman"/>
          <w:sz w:val="24"/>
          <w:szCs w:val="24"/>
        </w:rPr>
        <w:t>sieci prze</w:t>
      </w:r>
      <w:r w:rsidR="001D0628">
        <w:rPr>
          <w:rFonts w:ascii="Times New Roman" w:hAnsi="Times New Roman"/>
          <w:sz w:val="24"/>
          <w:szCs w:val="24"/>
        </w:rPr>
        <w:t>z </w:t>
      </w:r>
      <w:r w:rsidRPr="00EF6F97">
        <w:rPr>
          <w:rFonts w:ascii="Times New Roman" w:hAnsi="Times New Roman"/>
          <w:sz w:val="24"/>
          <w:szCs w:val="24"/>
        </w:rPr>
        <w:t>magazyn energii elektrycznej stanowiący część instalacji odnawialnego źródła energii lub hybrydowej instalacji odnawialnego źródła energii be</w:t>
      </w:r>
      <w:r w:rsidR="001D0628">
        <w:rPr>
          <w:rFonts w:ascii="Times New Roman" w:hAnsi="Times New Roman"/>
          <w:sz w:val="24"/>
          <w:szCs w:val="24"/>
        </w:rPr>
        <w:t>z </w:t>
      </w:r>
      <w:r w:rsidRPr="00EF6F97">
        <w:rPr>
          <w:rFonts w:ascii="Times New Roman" w:hAnsi="Times New Roman"/>
          <w:sz w:val="24"/>
          <w:szCs w:val="24"/>
        </w:rPr>
        <w:t>utraty praw do certyfikatów</w:t>
      </w:r>
      <w:r w:rsidR="001D0628">
        <w:rPr>
          <w:rFonts w:ascii="Times New Roman" w:hAnsi="Times New Roman"/>
          <w:sz w:val="24"/>
          <w:szCs w:val="24"/>
        </w:rPr>
        <w:t xml:space="preserve"> i </w:t>
      </w:r>
      <w:r w:rsidRPr="00EF6F97">
        <w:rPr>
          <w:rFonts w:ascii="Times New Roman" w:hAnsi="Times New Roman"/>
          <w:sz w:val="24"/>
          <w:szCs w:val="24"/>
        </w:rPr>
        <w:t xml:space="preserve">uprawnień wynikających </w:t>
      </w:r>
      <w:r w:rsidR="001D0628">
        <w:rPr>
          <w:rFonts w:ascii="Times New Roman" w:hAnsi="Times New Roman"/>
          <w:sz w:val="24"/>
          <w:szCs w:val="24"/>
        </w:rPr>
        <w:t>z </w:t>
      </w:r>
      <w:r w:rsidRPr="00EF6F97">
        <w:rPr>
          <w:rFonts w:ascii="Times New Roman" w:hAnsi="Times New Roman"/>
          <w:sz w:val="24"/>
          <w:szCs w:val="24"/>
        </w:rPr>
        <w:t>innych systemów wsparcia</w:t>
      </w:r>
    </w:p>
    <w:p w14:paraId="21510936" w14:textId="77777777" w:rsidR="0031660F" w:rsidRPr="00EF6F97" w:rsidRDefault="0031660F" w:rsidP="00EF6F97">
      <w:pPr>
        <w:pStyle w:val="Akapitzlist"/>
        <w:numPr>
          <w:ilvl w:val="3"/>
          <w:numId w:val="34"/>
        </w:numPr>
        <w:spacing w:after="0" w:line="360" w:lineRule="auto"/>
        <w:ind w:left="426"/>
        <w:jc w:val="both"/>
        <w:rPr>
          <w:rFonts w:ascii="Times New Roman" w:hAnsi="Times New Roman"/>
          <w:sz w:val="24"/>
          <w:szCs w:val="24"/>
        </w:rPr>
      </w:pPr>
      <w:r w:rsidRPr="00EF6F97">
        <w:rPr>
          <w:rFonts w:ascii="Times New Roman" w:hAnsi="Times New Roman"/>
          <w:sz w:val="24"/>
          <w:szCs w:val="24"/>
        </w:rPr>
        <w:t>Wprowadzenie obowiązków opomiarowania źródeł OZE</w:t>
      </w:r>
      <w:r w:rsidR="001D0628">
        <w:rPr>
          <w:rFonts w:ascii="Times New Roman" w:hAnsi="Times New Roman"/>
          <w:sz w:val="24"/>
          <w:szCs w:val="24"/>
        </w:rPr>
        <w:t xml:space="preserve"> i </w:t>
      </w:r>
      <w:r w:rsidRPr="00EF6F97">
        <w:rPr>
          <w:rFonts w:ascii="Times New Roman" w:hAnsi="Times New Roman"/>
          <w:sz w:val="24"/>
          <w:szCs w:val="24"/>
        </w:rPr>
        <w:t>uzależnienie praw do certyfikatów</w:t>
      </w:r>
      <w:r w:rsidR="001D0628">
        <w:rPr>
          <w:rFonts w:ascii="Times New Roman" w:hAnsi="Times New Roman"/>
          <w:sz w:val="24"/>
          <w:szCs w:val="24"/>
        </w:rPr>
        <w:t xml:space="preserve"> i </w:t>
      </w:r>
      <w:r w:rsidRPr="00EF6F97">
        <w:rPr>
          <w:rFonts w:ascii="Times New Roman" w:hAnsi="Times New Roman"/>
          <w:sz w:val="24"/>
          <w:szCs w:val="24"/>
        </w:rPr>
        <w:t xml:space="preserve">uprawnień wynikających </w:t>
      </w:r>
      <w:r w:rsidR="001D0628">
        <w:rPr>
          <w:rFonts w:ascii="Times New Roman" w:hAnsi="Times New Roman"/>
          <w:sz w:val="24"/>
          <w:szCs w:val="24"/>
        </w:rPr>
        <w:t>z </w:t>
      </w:r>
      <w:r w:rsidRPr="00EF6F97">
        <w:rPr>
          <w:rFonts w:ascii="Times New Roman" w:hAnsi="Times New Roman"/>
          <w:sz w:val="24"/>
          <w:szCs w:val="24"/>
        </w:rPr>
        <w:t>innych systemów wsparcia od prawidłowego opomiarowania magazynu energii elektrycznej.</w:t>
      </w:r>
    </w:p>
    <w:p w14:paraId="3CDB11AB" w14:textId="77777777" w:rsidR="0031660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31660F" w:rsidRPr="00EF6F97">
        <w:rPr>
          <w:rFonts w:ascii="Times New Roman" w:hAnsi="Times New Roman" w:cs="Times New Roman"/>
          <w:sz w:val="24"/>
          <w:szCs w:val="24"/>
        </w:rPr>
        <w:t>Ponadto proponuje się wprowadzenie odpowiednich zmian w ustawie o rynku mocy</w:t>
      </w:r>
      <w:r w:rsidR="001D0628">
        <w:rPr>
          <w:rFonts w:ascii="Times New Roman" w:hAnsi="Times New Roman" w:cs="Times New Roman"/>
          <w:sz w:val="24"/>
          <w:szCs w:val="24"/>
        </w:rPr>
        <w:t xml:space="preserve"> i </w:t>
      </w:r>
      <w:r w:rsidR="0031660F" w:rsidRPr="00EF6F97">
        <w:rPr>
          <w:rFonts w:ascii="Times New Roman" w:hAnsi="Times New Roman" w:cs="Times New Roman"/>
          <w:sz w:val="24"/>
          <w:szCs w:val="24"/>
        </w:rPr>
        <w:t>ustawie o podatku akcyzowym.</w:t>
      </w:r>
    </w:p>
    <w:p w14:paraId="3B4197AD" w14:textId="77777777" w:rsidR="00695DE8" w:rsidRPr="00EF6F97" w:rsidRDefault="00695DE8" w:rsidP="00EF6F97">
      <w:pPr>
        <w:spacing w:line="360" w:lineRule="auto"/>
        <w:jc w:val="both"/>
        <w:rPr>
          <w:rFonts w:ascii="Times New Roman" w:hAnsi="Times New Roman" w:cs="Times New Roman"/>
          <w:b/>
          <w:sz w:val="24"/>
          <w:szCs w:val="24"/>
        </w:rPr>
      </w:pPr>
    </w:p>
    <w:p w14:paraId="5E64976C" w14:textId="77777777" w:rsidR="00A00414" w:rsidRPr="00EF6F97" w:rsidRDefault="00A00414"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W kontekście realizacji celów polityki energetycznej, w tym ograniczenia emisji CO2</w:t>
      </w:r>
    </w:p>
    <w:p w14:paraId="5411E053"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 xml:space="preserve">Polityka klimatyczna UE postrzega technologie magazynowania energii elektrycznej jako kluczowe dla wzrostu wykorzystania energii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OZE. Większe wykorzystanie magazynów energii wspiera zatem realizowanie ambitnych celów unijnej polityki w zakresie en</w:t>
      </w:r>
      <w:r w:rsidR="00CB5761" w:rsidRPr="00EF6F97">
        <w:rPr>
          <w:rFonts w:ascii="Times New Roman" w:hAnsi="Times New Roman" w:cs="Times New Roman"/>
          <w:sz w:val="24"/>
          <w:szCs w:val="24"/>
        </w:rPr>
        <w:t>ergii</w:t>
      </w:r>
      <w:r w:rsidR="001D0628">
        <w:rPr>
          <w:rFonts w:ascii="Times New Roman" w:hAnsi="Times New Roman" w:cs="Times New Roman"/>
          <w:sz w:val="24"/>
          <w:szCs w:val="24"/>
        </w:rPr>
        <w:t xml:space="preserve"> </w:t>
      </w:r>
      <w:r w:rsidR="001D0628">
        <w:rPr>
          <w:rFonts w:ascii="Times New Roman" w:hAnsi="Times New Roman" w:cs="Times New Roman"/>
          <w:sz w:val="24"/>
          <w:szCs w:val="24"/>
        </w:rPr>
        <w:lastRenderedPageBreak/>
        <w:t>i </w:t>
      </w:r>
      <w:r w:rsidR="00CB5761" w:rsidRPr="00EF6F97">
        <w:rPr>
          <w:rFonts w:ascii="Times New Roman" w:hAnsi="Times New Roman" w:cs="Times New Roman"/>
          <w:sz w:val="24"/>
          <w:szCs w:val="24"/>
        </w:rPr>
        <w:t xml:space="preserve">klimatu, przewidującej </w:t>
      </w:r>
      <w:r w:rsidR="00634DCE" w:rsidRPr="00EF6F97">
        <w:rPr>
          <w:rFonts w:ascii="Times New Roman" w:hAnsi="Times New Roman" w:cs="Times New Roman"/>
          <w:sz w:val="24"/>
          <w:szCs w:val="24"/>
        </w:rPr>
        <w:t>ograniczenie emisji gazów cieplarnianych o 20% w 2020</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40% w 2030</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a następnie 80% w roku 2050, zgodnie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założeniami EU Energy Roadmap. Realizacja powyższych ora</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podejmowanie dalszych inicjatyw w obszarze rozwoju niskoemisyjnej gospodarki, jest dodatkowo wspierana </w:t>
      </w:r>
      <w:r w:rsidR="00930D82" w:rsidRPr="00EF6F97">
        <w:rPr>
          <w:rFonts w:ascii="Times New Roman" w:hAnsi="Times New Roman" w:cs="Times New Roman"/>
          <w:sz w:val="24"/>
          <w:szCs w:val="24"/>
        </w:rPr>
        <w:t>prze</w:t>
      </w:r>
      <w:r w:rsidR="001D0628">
        <w:rPr>
          <w:rFonts w:ascii="Times New Roman" w:hAnsi="Times New Roman" w:cs="Times New Roman"/>
          <w:sz w:val="24"/>
          <w:szCs w:val="24"/>
        </w:rPr>
        <w:t>z </w:t>
      </w:r>
      <w:r w:rsidR="00930D82" w:rsidRPr="00EF6F97">
        <w:rPr>
          <w:rFonts w:ascii="Times New Roman" w:hAnsi="Times New Roman" w:cs="Times New Roman"/>
          <w:sz w:val="24"/>
          <w:szCs w:val="24"/>
        </w:rPr>
        <w:t>konkluzje porozumienia 21</w:t>
      </w:r>
      <w:r w:rsidR="00634DCE" w:rsidRPr="00EF6F97">
        <w:rPr>
          <w:rFonts w:ascii="Times New Roman" w:hAnsi="Times New Roman" w:cs="Times New Roman"/>
          <w:sz w:val="24"/>
          <w:szCs w:val="24"/>
        </w:rPr>
        <w:t xml:space="preserve"> </w:t>
      </w:r>
      <w:r w:rsidR="00930D82" w:rsidRPr="00EF6F97">
        <w:rPr>
          <w:rFonts w:ascii="Times New Roman" w:hAnsi="Times New Roman" w:cs="Times New Roman"/>
          <w:sz w:val="24"/>
          <w:szCs w:val="24"/>
        </w:rPr>
        <w:t xml:space="preserve">Ramowej konwencji Narodów Zjednoczonych w sprawie zmian klimatu </w:t>
      </w:r>
      <w:r w:rsidR="001D0628">
        <w:rPr>
          <w:rFonts w:ascii="Times New Roman" w:hAnsi="Times New Roman" w:cs="Times New Roman"/>
          <w:sz w:val="24"/>
          <w:szCs w:val="24"/>
        </w:rPr>
        <w:t>z </w:t>
      </w:r>
      <w:r w:rsidR="00930D82" w:rsidRPr="00EF6F97">
        <w:rPr>
          <w:rFonts w:ascii="Times New Roman" w:hAnsi="Times New Roman" w:cs="Times New Roman"/>
          <w:sz w:val="24"/>
          <w:szCs w:val="24"/>
        </w:rPr>
        <w:t>dnia 9 maja 1992</w:t>
      </w:r>
      <w:r w:rsidR="001D0628">
        <w:rPr>
          <w:rFonts w:ascii="Times New Roman" w:hAnsi="Times New Roman" w:cs="Times New Roman"/>
          <w:sz w:val="24"/>
          <w:szCs w:val="24"/>
        </w:rPr>
        <w:t> r.</w:t>
      </w:r>
      <w:r w:rsidR="00930D82" w:rsidRPr="00EF6F97">
        <w:rPr>
          <w:rFonts w:ascii="Times New Roman" w:hAnsi="Times New Roman" w:cs="Times New Roman"/>
          <w:sz w:val="24"/>
          <w:szCs w:val="24"/>
        </w:rPr>
        <w:t xml:space="preserve"> (ang: United Nations Framework Convention on Climate Change – UNFCCC)</w:t>
      </w:r>
      <w:r w:rsidR="00634DCE" w:rsidRPr="00EF6F97">
        <w:rPr>
          <w:rFonts w:ascii="Times New Roman" w:hAnsi="Times New Roman" w:cs="Times New Roman"/>
          <w:sz w:val="24"/>
          <w:szCs w:val="24"/>
        </w:rPr>
        <w:t>, czyli tzw. Porozumienia Paryskiego, które stały się wiążące w listopadzie 2016</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w:t>
      </w:r>
    </w:p>
    <w:p w14:paraId="4CD7C50A"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Obniżanie emisji gazów cieplarnianych w horyzoncie 2050</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w różnych sektorach gospodarki przedstawia poniższy rysunek.</w:t>
      </w:r>
    </w:p>
    <w:p w14:paraId="0CAEF843" w14:textId="77777777" w:rsidR="00634DCE" w:rsidRPr="00EF6F97" w:rsidRDefault="00634DCE"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 </w:t>
      </w:r>
      <w:r w:rsidR="000C0C31" w:rsidRPr="00EF6F97">
        <w:rPr>
          <w:rFonts w:ascii="Times New Roman" w:hAnsi="Times New Roman" w:cs="Times New Roman"/>
          <w:noProof/>
        </w:rPr>
        <w:drawing>
          <wp:inline distT="0" distB="0" distL="0" distR="0" wp14:anchorId="7253A873" wp14:editId="0E724050">
            <wp:extent cx="3886200" cy="287655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3886200" cy="2876550"/>
                    </a:xfrm>
                    <a:prstGeom prst="rect">
                      <a:avLst/>
                    </a:prstGeom>
                    <a:noFill/>
                    <a:ln w="9525">
                      <a:noFill/>
                      <a:miter lim="800000"/>
                      <a:headEnd/>
                      <a:tailEnd/>
                    </a:ln>
                  </pic:spPr>
                </pic:pic>
              </a:graphicData>
            </a:graphic>
          </wp:inline>
        </w:drawing>
      </w:r>
    </w:p>
    <w:p w14:paraId="2F76DDD6"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Powyższe zobowiązania w zakresie ochrony klimatu</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zmniejszania emisji w najbliższych dziesięcioleciach będą wpływać na podejmowanie dalszych działań w obszarze rozwoju</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wykorzystania niskoemisyjnych źródeł energii elektrycznej, a także rozwiązań, które będą wspomagać wykorzystanie tych źródeł</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 xml:space="preserve">stabilizować pracę sieci elektroenergetycznych. </w:t>
      </w:r>
    </w:p>
    <w:p w14:paraId="7E2916C2"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Warto zaznaczyć, że pomimo, iż magazyny energii elektrycznej nie są wprost wymienione w dokumentach strategicznych dla sektora energetycznego w Polsce, to poprze</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wspieranie integracji OZE, wpisują się w realizację obowiązującej obecnie „Polityki energetycznej Polski do 2030 roku”. Dokument ten zakłada zwiększenie udziału odnawialnych źródeł energii w finalnym zużyciu energii co najmniej do poziomu 15% w 2020 roku ora</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sukcesywne zwiększanie udziału tych źródeł </w:t>
      </w:r>
      <w:r w:rsidR="00CB5761" w:rsidRPr="00EF6F97">
        <w:rPr>
          <w:rFonts w:ascii="Times New Roman" w:hAnsi="Times New Roman" w:cs="Times New Roman"/>
          <w:sz w:val="24"/>
          <w:szCs w:val="24"/>
        </w:rPr>
        <w:t xml:space="preserve">w </w:t>
      </w:r>
      <w:r w:rsidR="00634DCE" w:rsidRPr="00EF6F97">
        <w:rPr>
          <w:rFonts w:ascii="Times New Roman" w:hAnsi="Times New Roman" w:cs="Times New Roman"/>
          <w:sz w:val="24"/>
          <w:szCs w:val="24"/>
        </w:rPr>
        <w:t>latach następnych.</w:t>
      </w:r>
    </w:p>
    <w:p w14:paraId="095AFD47" w14:textId="77777777" w:rsidR="00695DE8" w:rsidRPr="00EF6F97" w:rsidRDefault="00695DE8" w:rsidP="00EF6F97">
      <w:pPr>
        <w:spacing w:line="360" w:lineRule="auto"/>
        <w:jc w:val="both"/>
        <w:rPr>
          <w:rFonts w:ascii="Times New Roman" w:hAnsi="Times New Roman" w:cs="Times New Roman"/>
          <w:b/>
          <w:sz w:val="24"/>
          <w:szCs w:val="24"/>
        </w:rPr>
      </w:pPr>
    </w:p>
    <w:p w14:paraId="02B33662" w14:textId="77777777" w:rsidR="00A00414" w:rsidRPr="00EF6F97" w:rsidRDefault="00A00414"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W kontekście obowiązujących kodeksów sieciowych wprowadzonych w życie rozporządzeniami Komisji</w:t>
      </w:r>
      <w:r w:rsidR="00CB5761" w:rsidRPr="00EF6F97">
        <w:rPr>
          <w:rFonts w:ascii="Times New Roman" w:hAnsi="Times New Roman" w:cs="Times New Roman"/>
          <w:b/>
          <w:sz w:val="24"/>
          <w:szCs w:val="24"/>
        </w:rPr>
        <w:t xml:space="preserve"> Europejskiej</w:t>
      </w:r>
    </w:p>
    <w:p w14:paraId="3039F9D0"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lastRenderedPageBreak/>
        <w:tab/>
      </w:r>
      <w:r w:rsidR="00634DCE" w:rsidRPr="00EF6F97">
        <w:rPr>
          <w:rFonts w:ascii="Times New Roman" w:hAnsi="Times New Roman" w:cs="Times New Roman"/>
          <w:sz w:val="24"/>
          <w:szCs w:val="24"/>
        </w:rPr>
        <w:t xml:space="preserve">Wśród celów Rozporządzenia Komisji (UE) 2017/2195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dnia 23 listopada 2017</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ustanawiającego wytyczne dotyczące bilansowania wymienia się: „ułatwienie udziału usług zarządzania stroną popytową, w tym zagregowanych instalacji odbiorczych ora</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magazynów energii, przy jednoczesnym zapewnieniu im równych szans w konkurencji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innymi usługami bilansującymi, a w razie potrzeby zapewnieniu im możliwości niezależnego działania przy obsłudze pojedynczej instalacji odbiorczej”. </w:t>
      </w:r>
    </w:p>
    <w:p w14:paraId="3B315A7C"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 xml:space="preserve">Magazynowanie, traktowane jako usługa zarządzania stroną popytową, ma mieć zatem zagwarantowane równe szanse w konkurencji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innymi usługami bilansującymi. Dodatkowo, jeśli wystąpi taka potrzeba, ma mieć możliwość niezależnego działania przy obsłudze pojedynczej instalacji odbiorczej. </w:t>
      </w:r>
    </w:p>
    <w:p w14:paraId="6F69212F"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Na podstawie przepisów tego samego rozporządzenia, w warunkach dla dostawców usług bilansujących należy umożliwić zakładom magazynowania (ang. energy storage facilities) świadczenie usług bilansujących ora</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uzyskanie statusu dostawców usług bilansujących. </w:t>
      </w:r>
    </w:p>
    <w:p w14:paraId="2F2AF59F"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 xml:space="preserve">Rozporządzenie Komisji (UE) 2016/631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dnia 14 kwietnia 2016</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ustanawiające kodeks sieci dotyczący wymogów w zakresie przyłączenia jednostek wytwórczych do sieci odnosi się do kwestii magazynów w przepisach dot. zakresu jego stosowania, stanowiąc wprost, że nie należy przedmiotowego rozporządzenia stosować do urządzeń magazynowania,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wyjątkiem szczytowo-pompowych modułów wytwarzania energii. Analogiczny przepis znajduje się w Rozporządzeniu Komisji (UE) 2016/1388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dnia 17 sierpnia 2016</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ustanawiającym kodeks sieci dotyczący przyłączenia odbioru. </w:t>
      </w:r>
    </w:p>
    <w:p w14:paraId="1E1D9DD2"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Zatem rozporządzenia dotyczące przyłączenia jednostek wytwórczych</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 xml:space="preserve">instalacji odbiorczych nie regulują kwestii przyłączenia magazynów energii elektrycznej do sieci,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wyjątkiem przypadków dotyczących modułów wytwarzania energii elektrowni szczytowo-pompowych. </w:t>
      </w:r>
    </w:p>
    <w:p w14:paraId="713C3895" w14:textId="77777777" w:rsidR="00634DCE" w:rsidRPr="00EF6F97" w:rsidRDefault="001D0628" w:rsidP="00EF6F97">
      <w:pPr>
        <w:spacing w:line="360" w:lineRule="auto"/>
        <w:jc w:val="both"/>
        <w:rPr>
          <w:rFonts w:ascii="Times New Roman" w:hAnsi="Times New Roman" w:cs="Times New Roman"/>
          <w:sz w:val="24"/>
          <w:szCs w:val="24"/>
        </w:rPr>
      </w:pPr>
      <w:r>
        <w:rPr>
          <w:rFonts w:ascii="Times New Roman" w:hAnsi="Times New Roman" w:cs="Times New Roman"/>
          <w:sz w:val="24"/>
          <w:szCs w:val="24"/>
        </w:rPr>
        <w:t>Z </w:t>
      </w:r>
      <w:r w:rsidR="00634DCE" w:rsidRPr="00EF6F97">
        <w:rPr>
          <w:rFonts w:ascii="Times New Roman" w:hAnsi="Times New Roman" w:cs="Times New Roman"/>
          <w:sz w:val="24"/>
          <w:szCs w:val="24"/>
        </w:rPr>
        <w:t>kolei rozporządzenie Komisji ustanawiające kodeks sieci dotyczący stanu zagrożenia</w:t>
      </w:r>
      <w:r>
        <w:rPr>
          <w:rFonts w:ascii="Times New Roman" w:hAnsi="Times New Roman" w:cs="Times New Roman"/>
          <w:sz w:val="24"/>
          <w:szCs w:val="24"/>
        </w:rPr>
        <w:t xml:space="preserve"> i </w:t>
      </w:r>
      <w:r w:rsidR="00634DCE" w:rsidRPr="00EF6F97">
        <w:rPr>
          <w:rFonts w:ascii="Times New Roman" w:hAnsi="Times New Roman" w:cs="Times New Roman"/>
          <w:sz w:val="24"/>
          <w:szCs w:val="24"/>
        </w:rPr>
        <w:t xml:space="preserve">stanu odbudowy systemów elektroenergetycznych reguluje wyłącznie kwestię wykorzystania jednostek magazynowania energii SGU w sytuacjach kryzysowych. </w:t>
      </w:r>
    </w:p>
    <w:p w14:paraId="2E53AE48" w14:textId="77777777" w:rsidR="00695DE8" w:rsidRPr="00EF6F97" w:rsidRDefault="00695DE8" w:rsidP="00EF6F97">
      <w:pPr>
        <w:spacing w:line="360" w:lineRule="auto"/>
        <w:jc w:val="both"/>
        <w:rPr>
          <w:rFonts w:ascii="Times New Roman" w:hAnsi="Times New Roman" w:cs="Times New Roman"/>
          <w:b/>
          <w:sz w:val="24"/>
          <w:szCs w:val="24"/>
        </w:rPr>
      </w:pPr>
    </w:p>
    <w:p w14:paraId="5B51C743" w14:textId="77777777" w:rsidR="00A00414" w:rsidRPr="00EF6F97" w:rsidRDefault="00A00414"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 xml:space="preserve">W kontekście Planu Rozwoju Elektromobilności </w:t>
      </w:r>
      <w:r w:rsidR="00CB5761" w:rsidRPr="00EF6F97">
        <w:rPr>
          <w:rFonts w:ascii="Times New Roman" w:hAnsi="Times New Roman" w:cs="Times New Roman"/>
          <w:b/>
          <w:sz w:val="24"/>
          <w:szCs w:val="24"/>
        </w:rPr>
        <w:t xml:space="preserve">w Polsce </w:t>
      </w:r>
      <w:r w:rsidRPr="00EF6F97">
        <w:rPr>
          <w:rFonts w:ascii="Times New Roman" w:hAnsi="Times New Roman" w:cs="Times New Roman"/>
          <w:b/>
          <w:sz w:val="24"/>
          <w:szCs w:val="24"/>
        </w:rPr>
        <w:t>(PRE)</w:t>
      </w:r>
    </w:p>
    <w:p w14:paraId="6B563DA3"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Przyjęty prze</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Radę Ministrów w dniu 16 marca 2017</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Plan </w:t>
      </w:r>
      <w:r w:rsidR="00CB5761" w:rsidRPr="00EF6F97">
        <w:rPr>
          <w:rFonts w:ascii="Times New Roman" w:hAnsi="Times New Roman" w:cs="Times New Roman"/>
          <w:sz w:val="24"/>
          <w:szCs w:val="24"/>
        </w:rPr>
        <w:t>Rozw</w:t>
      </w:r>
      <w:r w:rsidR="00930D82" w:rsidRPr="00EF6F97">
        <w:rPr>
          <w:rFonts w:ascii="Times New Roman" w:hAnsi="Times New Roman" w:cs="Times New Roman"/>
          <w:sz w:val="24"/>
          <w:szCs w:val="24"/>
        </w:rPr>
        <w:t>oju Elektromobilności w Polsce, zwany dalej „PRE”</w:t>
      </w:r>
      <w:r w:rsidR="00CB5761" w:rsidRPr="00EF6F97">
        <w:rPr>
          <w:rFonts w:ascii="Times New Roman" w:hAnsi="Times New Roman" w:cs="Times New Roman"/>
          <w:sz w:val="24"/>
          <w:szCs w:val="24"/>
        </w:rPr>
        <w:t xml:space="preserve"> </w:t>
      </w:r>
      <w:r w:rsidR="00634DCE" w:rsidRPr="00EF6F97">
        <w:rPr>
          <w:rFonts w:ascii="Times New Roman" w:hAnsi="Times New Roman" w:cs="Times New Roman"/>
          <w:sz w:val="24"/>
          <w:szCs w:val="24"/>
        </w:rPr>
        <w:t>wyznacza cel 1 mln pojazdów elektrycznych w Polsce do roku 2025</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Osiągnięcie tego celu wiązać się będzie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dodatkowym popytem na moc</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energię elektryczną</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 xml:space="preserve">stworzeniem odpowiednich warunków dla rozwoju </w:t>
      </w:r>
      <w:r w:rsidR="00634DCE" w:rsidRPr="00EF6F97">
        <w:rPr>
          <w:rFonts w:ascii="Times New Roman" w:hAnsi="Times New Roman" w:cs="Times New Roman"/>
          <w:sz w:val="24"/>
          <w:szCs w:val="24"/>
        </w:rPr>
        <w:lastRenderedPageBreak/>
        <w:t>elektromobilności. Rozwój elektromobilności jest również szansą na rozwój systemów magazynowania energii.</w:t>
      </w:r>
    </w:p>
    <w:p w14:paraId="6687906C"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 xml:space="preserve">Zgodnie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PRE:</w:t>
      </w:r>
    </w:p>
    <w:p w14:paraId="79BC62F6" w14:textId="77777777" w:rsidR="00634DCE" w:rsidRPr="00EF6F97" w:rsidRDefault="00634DCE"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t>
      </w:r>
      <w:r w:rsidR="001D0628">
        <w:rPr>
          <w:rFonts w:ascii="Times New Roman" w:hAnsi="Times New Roman" w:cs="Times New Roman"/>
          <w:sz w:val="24"/>
          <w:szCs w:val="24"/>
        </w:rPr>
        <w:t>Z </w:t>
      </w:r>
      <w:r w:rsidRPr="00EF6F97">
        <w:rPr>
          <w:rFonts w:ascii="Times New Roman" w:hAnsi="Times New Roman" w:cs="Times New Roman"/>
          <w:sz w:val="24"/>
          <w:szCs w:val="24"/>
        </w:rPr>
        <w:t>punktu widzenia wykorzystania pojazdów elektrycznych dla stabilizacji pracy sieci niezbędne jest zoptymalizowanie rozmieszczenia stacji ładowania, zwłaszcza szybkich stacji ładowania, pod kątem parametrów sieci. W celu uniknięcia kosztownej modernizacji sieci na potrzeby szybkich punktów ładowania uzasadniona jest instalacja zasobników energii elektrycznej. Zasobniki ładowałyby się w nocy, oddając energię w dzień zarówno na potrzeby pojazdów elektrycznych, jak</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sieci gdy zajdzie taka konieczność. Podwójna rola zasobników pozwoli skrócić okres zwrotu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inwestycji, który w przypadku budowania samych stacji ładowania jest dziś nieakceptowalnie długi </w:t>
      </w:r>
      <w:r w:rsidR="001D0628">
        <w:rPr>
          <w:rFonts w:ascii="Times New Roman" w:hAnsi="Times New Roman" w:cs="Times New Roman"/>
          <w:sz w:val="24"/>
          <w:szCs w:val="24"/>
        </w:rPr>
        <w:t>z </w:t>
      </w:r>
      <w:r w:rsidRPr="00EF6F97">
        <w:rPr>
          <w:rFonts w:ascii="Times New Roman" w:hAnsi="Times New Roman" w:cs="Times New Roman"/>
          <w:sz w:val="24"/>
          <w:szCs w:val="24"/>
        </w:rPr>
        <w:t>punktu widzenia inwestycji stricte komercyjnych. Wymaga to stworzenia nowego modelu biznesowego, w którym podmiot odpowiedzialny za stabilność pracy KSE wynagradza właściciela stacji wyposażonej w zasobnik za gotowość świadczenia usługi na rzec</w:t>
      </w:r>
      <w:r w:rsidR="001D0628">
        <w:rPr>
          <w:rFonts w:ascii="Times New Roman" w:hAnsi="Times New Roman" w:cs="Times New Roman"/>
          <w:sz w:val="24"/>
          <w:szCs w:val="24"/>
        </w:rPr>
        <w:t>z </w:t>
      </w:r>
      <w:r w:rsidRPr="00EF6F97">
        <w:rPr>
          <w:rFonts w:ascii="Times New Roman" w:hAnsi="Times New Roman" w:cs="Times New Roman"/>
          <w:sz w:val="24"/>
          <w:szCs w:val="24"/>
        </w:rPr>
        <w:t>sieci.” str. 28,</w:t>
      </w:r>
    </w:p>
    <w:p w14:paraId="4B2D6E81" w14:textId="77777777" w:rsidR="00634DCE" w:rsidRPr="00EF6F97" w:rsidRDefault="00634DCE"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„Warunkiem skutecznego przesunięcia zapotrzebowania na moc w ciągu doby jest wywołanie reakcji cenowej u konsumentów, co można osiągnąć poprze</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zróżnicowanie cen energii w zależności od zapotrzebowania rynku. W tym celu konieczne jest dostosowanie taryf strefowych lub wprowadzenie chwilowych sygnałów cenowych dla odbiorcy (tzw. taryfy dynamiczne). Niezbędnym dopełnieniem rozbudowanego systemu taryfowego jest upowszechnienie rozwiązań </w:t>
      </w:r>
      <w:r w:rsidR="001D0628">
        <w:rPr>
          <w:rFonts w:ascii="Times New Roman" w:hAnsi="Times New Roman" w:cs="Times New Roman"/>
          <w:sz w:val="24"/>
          <w:szCs w:val="24"/>
        </w:rPr>
        <w:t>z </w:t>
      </w:r>
      <w:r w:rsidRPr="00EF6F97">
        <w:rPr>
          <w:rFonts w:ascii="Times New Roman" w:hAnsi="Times New Roman" w:cs="Times New Roman"/>
          <w:sz w:val="24"/>
          <w:szCs w:val="24"/>
        </w:rPr>
        <w:t>zakresu inteligentnej sieci, w tym liczników zdalnego odczytu ora</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zasobników energii, tam gdzie </w:t>
      </w:r>
      <w:r w:rsidR="00A00414" w:rsidRPr="00EF6F97">
        <w:rPr>
          <w:rFonts w:ascii="Times New Roman" w:hAnsi="Times New Roman" w:cs="Times New Roman"/>
          <w:sz w:val="24"/>
          <w:szCs w:val="24"/>
        </w:rPr>
        <w:t>będzie to uzasadnione” str. 14.</w:t>
      </w:r>
    </w:p>
    <w:p w14:paraId="28F51D83"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Wśród działań wykonawczych, w Załączniku nr 5 do PRE, w proponowanych działaniach wskazana została instalacja zasobników energii elektrycznej</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oczekiwane efekty w kolejnych latach.</w:t>
      </w:r>
    </w:p>
    <w:p w14:paraId="5E79EB7A"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30D82" w:rsidRPr="00EF6F97">
        <w:rPr>
          <w:rFonts w:ascii="Times New Roman" w:hAnsi="Times New Roman" w:cs="Times New Roman"/>
          <w:sz w:val="24"/>
          <w:szCs w:val="24"/>
        </w:rPr>
        <w:t xml:space="preserve">Zgodnie </w:t>
      </w:r>
      <w:r w:rsidR="001D0628">
        <w:rPr>
          <w:rFonts w:ascii="Times New Roman" w:hAnsi="Times New Roman" w:cs="Times New Roman"/>
          <w:sz w:val="24"/>
          <w:szCs w:val="24"/>
        </w:rPr>
        <w:t>z </w:t>
      </w:r>
      <w:r w:rsidR="00930D82" w:rsidRPr="00EF6F97">
        <w:rPr>
          <w:rFonts w:ascii="Times New Roman" w:hAnsi="Times New Roman" w:cs="Times New Roman"/>
          <w:sz w:val="24"/>
          <w:szCs w:val="24"/>
        </w:rPr>
        <w:t>projektem planu rozwoju sieci p</w:t>
      </w:r>
      <w:r w:rsidR="00634DCE" w:rsidRPr="00EF6F97">
        <w:rPr>
          <w:rFonts w:ascii="Times New Roman" w:hAnsi="Times New Roman" w:cs="Times New Roman"/>
          <w:sz w:val="24"/>
          <w:szCs w:val="24"/>
        </w:rPr>
        <w:t>rzesyłowej, w kontekści</w:t>
      </w:r>
      <w:r w:rsidR="00930D82" w:rsidRPr="00EF6F97">
        <w:rPr>
          <w:rFonts w:ascii="Times New Roman" w:hAnsi="Times New Roman" w:cs="Times New Roman"/>
          <w:sz w:val="24"/>
          <w:szCs w:val="24"/>
        </w:rPr>
        <w:t>e rozwoju elektromobilności, Polskie Sieci Elektroenergetyczne S.A.</w:t>
      </w:r>
      <w:r w:rsidR="00634DCE" w:rsidRPr="00EF6F97">
        <w:rPr>
          <w:rFonts w:ascii="Times New Roman" w:hAnsi="Times New Roman" w:cs="Times New Roman"/>
          <w:sz w:val="24"/>
          <w:szCs w:val="24"/>
        </w:rPr>
        <w:t xml:space="preserve"> zamierza</w:t>
      </w:r>
      <w:r w:rsidR="00930D82" w:rsidRPr="00EF6F97">
        <w:rPr>
          <w:rFonts w:ascii="Times New Roman" w:hAnsi="Times New Roman" w:cs="Times New Roman"/>
          <w:sz w:val="24"/>
          <w:szCs w:val="24"/>
        </w:rPr>
        <w:t>ją</w:t>
      </w:r>
      <w:r w:rsidR="00634DCE" w:rsidRPr="00EF6F97">
        <w:rPr>
          <w:rFonts w:ascii="Times New Roman" w:hAnsi="Times New Roman" w:cs="Times New Roman"/>
          <w:sz w:val="24"/>
          <w:szCs w:val="24"/>
        </w:rPr>
        <w:t xml:space="preserve"> m.in. zidentyfikować możliwe mechanizmy, których wdrożenie mogłoby pozwolić na zarządzanie zwiększonym zapotrzebowaniem na moc</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energię. Głównym celem tych mechanizmów będzie stymulowanie procesów ładowania pojazdów, w taki sposób, aby przy maksymalizacji użyteczności dla użytkowników aut elektrycznych, zapewnić optymalny przebieg krzywej zapotrzebowania na moc generowanego prze</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pojazdy elektryczne.</w:t>
      </w:r>
    </w:p>
    <w:p w14:paraId="064B8CB4"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 xml:space="preserve">Ponadto zgodnie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ww. planem w kontekście zmian zachodzących na rynku energii pojawia się potrzeba zwiększenia elastyczności</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bezpieczeństwa KSE ora</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konieczność zwiększenia po</w:t>
      </w:r>
      <w:r w:rsidR="00A00414" w:rsidRPr="00EF6F97">
        <w:rPr>
          <w:rFonts w:ascii="Times New Roman" w:hAnsi="Times New Roman" w:cs="Times New Roman"/>
          <w:sz w:val="24"/>
          <w:szCs w:val="24"/>
        </w:rPr>
        <w:t>ziomu mocy rezerwowych w KSE.</w:t>
      </w:r>
      <w:r w:rsidR="00EF6F97">
        <w:rPr>
          <w:rFonts w:ascii="Times New Roman" w:hAnsi="Times New Roman" w:cs="Times New Roman"/>
          <w:sz w:val="24"/>
          <w:szCs w:val="24"/>
        </w:rPr>
        <w:t xml:space="preserve"> </w:t>
      </w:r>
    </w:p>
    <w:p w14:paraId="1B617FA7" w14:textId="77777777" w:rsidR="00695DE8" w:rsidRPr="00EF6F97" w:rsidRDefault="00695DE8" w:rsidP="00EF6F97">
      <w:pPr>
        <w:spacing w:line="360" w:lineRule="auto"/>
        <w:jc w:val="both"/>
        <w:rPr>
          <w:rFonts w:ascii="Times New Roman" w:hAnsi="Times New Roman" w:cs="Times New Roman"/>
          <w:b/>
          <w:sz w:val="24"/>
          <w:szCs w:val="24"/>
        </w:rPr>
      </w:pPr>
    </w:p>
    <w:p w14:paraId="066AEE3B" w14:textId="77777777" w:rsidR="00634DCE" w:rsidRPr="00EF6F97" w:rsidRDefault="00634DCE"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Alternatywne środki osiągnięcia celów</w:t>
      </w:r>
      <w:r w:rsidR="00EF6F97">
        <w:rPr>
          <w:rFonts w:ascii="Times New Roman" w:hAnsi="Times New Roman" w:cs="Times New Roman"/>
          <w:b/>
          <w:sz w:val="24"/>
          <w:szCs w:val="24"/>
        </w:rPr>
        <w:t xml:space="preserve"> </w:t>
      </w:r>
    </w:p>
    <w:p w14:paraId="4F4208A0" w14:textId="77777777" w:rsidR="00634DCE" w:rsidRPr="00EF6F97" w:rsidRDefault="00634DCE" w:rsidP="00EF6F97">
      <w:pPr>
        <w:pStyle w:val="Akapitzlist"/>
        <w:numPr>
          <w:ilvl w:val="0"/>
          <w:numId w:val="35"/>
        </w:numPr>
        <w:spacing w:after="0" w:line="360" w:lineRule="auto"/>
        <w:jc w:val="both"/>
        <w:rPr>
          <w:rFonts w:ascii="Times New Roman" w:hAnsi="Times New Roman"/>
          <w:sz w:val="24"/>
          <w:szCs w:val="24"/>
        </w:rPr>
      </w:pPr>
      <w:r w:rsidRPr="00EF6F97">
        <w:rPr>
          <w:rFonts w:ascii="Times New Roman" w:hAnsi="Times New Roman"/>
          <w:sz w:val="24"/>
          <w:szCs w:val="24"/>
        </w:rPr>
        <w:t xml:space="preserve">Kontynuować stan obecny </w:t>
      </w:r>
    </w:p>
    <w:p w14:paraId="3351CEFF" w14:textId="77777777" w:rsidR="00634DCE" w:rsidRPr="00EF6F97" w:rsidRDefault="00634DCE"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Scenarius</w:t>
      </w:r>
      <w:r w:rsidR="001D0628">
        <w:rPr>
          <w:rFonts w:ascii="Times New Roman" w:hAnsi="Times New Roman" w:cs="Times New Roman"/>
          <w:sz w:val="24"/>
          <w:szCs w:val="24"/>
        </w:rPr>
        <w:t>z </w:t>
      </w:r>
      <w:r w:rsidRPr="00EF6F97">
        <w:rPr>
          <w:rFonts w:ascii="Times New Roman" w:hAnsi="Times New Roman" w:cs="Times New Roman"/>
          <w:sz w:val="24"/>
          <w:szCs w:val="24"/>
        </w:rPr>
        <w:t>zakładający utrzymanie obecnego stanu prawnego, be</w:t>
      </w:r>
      <w:r w:rsidR="001D0628">
        <w:rPr>
          <w:rFonts w:ascii="Times New Roman" w:hAnsi="Times New Roman" w:cs="Times New Roman"/>
          <w:sz w:val="24"/>
          <w:szCs w:val="24"/>
        </w:rPr>
        <w:t>z </w:t>
      </w:r>
      <w:r w:rsidRPr="00EF6F97">
        <w:rPr>
          <w:rFonts w:ascii="Times New Roman" w:hAnsi="Times New Roman" w:cs="Times New Roman"/>
          <w:sz w:val="24"/>
          <w:szCs w:val="24"/>
        </w:rPr>
        <w:t>jakichkolwiek zmian regulacji, spowoduje poprze</w:t>
      </w:r>
      <w:r w:rsidR="001D0628">
        <w:rPr>
          <w:rFonts w:ascii="Times New Roman" w:hAnsi="Times New Roman" w:cs="Times New Roman"/>
          <w:sz w:val="24"/>
          <w:szCs w:val="24"/>
        </w:rPr>
        <w:t>z </w:t>
      </w:r>
      <w:r w:rsidRPr="00EF6F97">
        <w:rPr>
          <w:rFonts w:ascii="Times New Roman" w:hAnsi="Times New Roman" w:cs="Times New Roman"/>
          <w:sz w:val="24"/>
          <w:szCs w:val="24"/>
        </w:rPr>
        <w:t>utrzymanie barier brak możliwości rozwoju magazynowania energii elektrycznej</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uniemożliwi uzyskanie efektywności ekonomicznej inwestycji w magazyny energii elektrycznej.</w:t>
      </w:r>
      <w:r w:rsidR="00EF6F97">
        <w:rPr>
          <w:rFonts w:ascii="Times New Roman" w:hAnsi="Times New Roman" w:cs="Times New Roman"/>
          <w:sz w:val="24"/>
          <w:szCs w:val="24"/>
        </w:rPr>
        <w:t xml:space="preserve"> </w:t>
      </w:r>
    </w:p>
    <w:p w14:paraId="647EE38D" w14:textId="77777777" w:rsidR="00634DCE" w:rsidRPr="00EF6F97" w:rsidRDefault="00634DCE" w:rsidP="00EF6F97">
      <w:pPr>
        <w:pStyle w:val="Akapitzlist"/>
        <w:numPr>
          <w:ilvl w:val="0"/>
          <w:numId w:val="35"/>
        </w:numPr>
        <w:spacing w:after="0" w:line="360" w:lineRule="auto"/>
        <w:jc w:val="both"/>
        <w:rPr>
          <w:rFonts w:ascii="Times New Roman" w:hAnsi="Times New Roman"/>
          <w:sz w:val="24"/>
          <w:szCs w:val="24"/>
        </w:rPr>
      </w:pPr>
      <w:r w:rsidRPr="00EF6F97">
        <w:rPr>
          <w:rFonts w:ascii="Times New Roman" w:hAnsi="Times New Roman"/>
          <w:sz w:val="24"/>
          <w:szCs w:val="24"/>
        </w:rPr>
        <w:t xml:space="preserve">Wprowadzić proponowane regulacje prawne. </w:t>
      </w:r>
    </w:p>
    <w:p w14:paraId="72EC8D08"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Scenarius</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uwzględniający zmianę regulacji prawnych, polegający przede wszystkim na usunięciu barier, stworzy warunki do rozwoju magazynowania energii elektrycznej.</w:t>
      </w:r>
      <w:r w:rsidR="00EF6F97">
        <w:rPr>
          <w:rFonts w:ascii="Times New Roman" w:hAnsi="Times New Roman" w:cs="Times New Roman"/>
          <w:sz w:val="24"/>
          <w:szCs w:val="24"/>
        </w:rPr>
        <w:t xml:space="preserve"> </w:t>
      </w:r>
      <w:r w:rsidR="00634DCE" w:rsidRPr="00EF6F97">
        <w:rPr>
          <w:rFonts w:ascii="Times New Roman" w:hAnsi="Times New Roman" w:cs="Times New Roman"/>
          <w:sz w:val="24"/>
          <w:szCs w:val="24"/>
        </w:rPr>
        <w:t xml:space="preserve">Nie przewiduje się na obecnym etapie szczególnych zachęt dla magazynowania energii elektrycznej, poza czasowym zwolnieniem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opłaty za przyłączenie magazynu energii elektrycznej do sieci. </w:t>
      </w:r>
    </w:p>
    <w:p w14:paraId="77EB72ED" w14:textId="77777777" w:rsidR="005D3849" w:rsidRPr="00EF6F97" w:rsidRDefault="005D3849" w:rsidP="00EF6F97">
      <w:pPr>
        <w:spacing w:line="360" w:lineRule="auto"/>
        <w:jc w:val="both"/>
        <w:rPr>
          <w:rFonts w:ascii="Times New Roman" w:hAnsi="Times New Roman" w:cs="Times New Roman"/>
          <w:sz w:val="24"/>
          <w:szCs w:val="24"/>
        </w:rPr>
      </w:pPr>
    </w:p>
    <w:p w14:paraId="1EA4D43A" w14:textId="77777777" w:rsidR="005D3849" w:rsidRPr="00EF6F97" w:rsidRDefault="005D3849" w:rsidP="00EF6F97">
      <w:pPr>
        <w:spacing w:line="360" w:lineRule="auto"/>
        <w:rPr>
          <w:rFonts w:ascii="Times New Roman" w:hAnsi="Times New Roman" w:cs="Times New Roman"/>
          <w:b/>
          <w:sz w:val="24"/>
          <w:szCs w:val="24"/>
          <w:shd w:val="clear" w:color="auto" w:fill="FFFFFF"/>
        </w:rPr>
      </w:pPr>
      <w:r w:rsidRPr="00EF6F97">
        <w:rPr>
          <w:rFonts w:ascii="Times New Roman" w:hAnsi="Times New Roman" w:cs="Times New Roman"/>
          <w:b/>
          <w:sz w:val="24"/>
          <w:szCs w:val="24"/>
          <w:shd w:val="clear" w:color="auto" w:fill="FFFFFF"/>
        </w:rPr>
        <w:t>Wsparcie dla rozwoju technologii magazynowania energii w wybranych państwach</w:t>
      </w:r>
    </w:p>
    <w:p w14:paraId="346E7EBA" w14:textId="77777777" w:rsidR="005D3849" w:rsidRPr="00EF6F97" w:rsidRDefault="005D3849" w:rsidP="00EF6F97">
      <w:pPr>
        <w:pStyle w:val="NormalnyWeb"/>
        <w:shd w:val="clear" w:color="auto" w:fill="FFFFFF"/>
        <w:spacing w:before="0" w:beforeAutospacing="0" w:after="0" w:afterAutospacing="0" w:line="360" w:lineRule="auto"/>
        <w:rPr>
          <w:b/>
        </w:rPr>
      </w:pPr>
      <w:r w:rsidRPr="00EF6F97">
        <w:rPr>
          <w:b/>
        </w:rPr>
        <w:t>Ogólne informacje o magazynowaniu energii</w:t>
      </w:r>
    </w:p>
    <w:p w14:paraId="0E006E41" w14:textId="77777777" w:rsidR="005D3849" w:rsidRPr="00EF6F97" w:rsidRDefault="005D3849" w:rsidP="00EF6F97">
      <w:pPr>
        <w:pStyle w:val="NormalnyWeb"/>
        <w:shd w:val="clear" w:color="auto" w:fill="FFFFFF"/>
        <w:spacing w:before="0" w:beforeAutospacing="0" w:after="0" w:afterAutospacing="0" w:line="360" w:lineRule="auto"/>
      </w:pPr>
      <w:r w:rsidRPr="00EF6F97">
        <w:t xml:space="preserve">Zastosowania magazynu energii można podzielić na trzy grupy: </w:t>
      </w:r>
    </w:p>
    <w:p w14:paraId="41926E6F" w14:textId="77777777" w:rsidR="005D3849" w:rsidRPr="00EF6F97" w:rsidRDefault="005D3849" w:rsidP="00EF6F97">
      <w:pPr>
        <w:pStyle w:val="NormalnyWeb"/>
        <w:numPr>
          <w:ilvl w:val="0"/>
          <w:numId w:val="37"/>
        </w:numPr>
        <w:shd w:val="clear" w:color="auto" w:fill="FFFFFF"/>
        <w:spacing w:before="0" w:beforeAutospacing="0" w:after="0" w:afterAutospacing="0" w:line="360" w:lineRule="auto"/>
      </w:pPr>
      <w:r w:rsidRPr="00EF6F97">
        <w:t>Wsparcie dla podsektora wytwórczego,</w:t>
      </w:r>
    </w:p>
    <w:p w14:paraId="29A3625B" w14:textId="77777777" w:rsidR="005D3849" w:rsidRPr="00EF6F97" w:rsidRDefault="005D3849" w:rsidP="00EF6F97">
      <w:pPr>
        <w:pStyle w:val="NormalnyWeb"/>
        <w:numPr>
          <w:ilvl w:val="0"/>
          <w:numId w:val="37"/>
        </w:numPr>
        <w:shd w:val="clear" w:color="auto" w:fill="FFFFFF"/>
        <w:spacing w:before="0" w:beforeAutospacing="0" w:after="0" w:afterAutospacing="0" w:line="360" w:lineRule="auto"/>
      </w:pPr>
      <w:r w:rsidRPr="00EF6F97">
        <w:t>Wsparcie dla podsektora przesyłu</w:t>
      </w:r>
      <w:r w:rsidR="001D0628">
        <w:t xml:space="preserve"> i </w:t>
      </w:r>
      <w:r w:rsidRPr="00EF6F97">
        <w:t>dystrybucji energii elektrycznej,</w:t>
      </w:r>
    </w:p>
    <w:p w14:paraId="7C010237" w14:textId="77777777" w:rsidR="005D3849" w:rsidRPr="00EF6F97" w:rsidRDefault="005D3849" w:rsidP="00EF6F97">
      <w:pPr>
        <w:pStyle w:val="NormalnyWeb"/>
        <w:numPr>
          <w:ilvl w:val="0"/>
          <w:numId w:val="37"/>
        </w:numPr>
        <w:shd w:val="clear" w:color="auto" w:fill="FFFFFF"/>
        <w:spacing w:before="0" w:beforeAutospacing="0" w:after="0" w:afterAutospacing="0" w:line="360" w:lineRule="auto"/>
        <w:rPr>
          <w:b/>
          <w:bCs/>
        </w:rPr>
      </w:pPr>
      <w:r w:rsidRPr="00EF6F97">
        <w:t>Wsparcie dla odbiorcy końcowego/prosumenta.</w:t>
      </w:r>
    </w:p>
    <w:p w14:paraId="4DBEEAEC" w14:textId="77777777" w:rsidR="005D3849" w:rsidRPr="00EF6F97" w:rsidRDefault="005D3849" w:rsidP="00EF6F97">
      <w:pPr>
        <w:pStyle w:val="NormalnyWeb"/>
        <w:numPr>
          <w:ilvl w:val="0"/>
          <w:numId w:val="37"/>
        </w:numPr>
        <w:shd w:val="clear" w:color="auto" w:fill="FFFFFF"/>
        <w:spacing w:before="0" w:beforeAutospacing="0" w:after="0" w:afterAutospacing="0" w:line="360" w:lineRule="auto"/>
      </w:pPr>
      <w:r w:rsidRPr="00EF6F97">
        <w:t>Kryteria techniczne</w:t>
      </w:r>
      <w:r w:rsidR="001D0628">
        <w:t xml:space="preserve"> i </w:t>
      </w:r>
      <w:r w:rsidRPr="00EF6F97">
        <w:t>ekonomiczne wyboru odpowiedniej technologii magazynowania:</w:t>
      </w:r>
    </w:p>
    <w:p w14:paraId="30472BCA" w14:textId="77777777" w:rsidR="005D3849" w:rsidRPr="00EF6F97" w:rsidRDefault="005D3849" w:rsidP="00EF6F97">
      <w:pPr>
        <w:pStyle w:val="NormalnyWeb"/>
        <w:numPr>
          <w:ilvl w:val="0"/>
          <w:numId w:val="37"/>
        </w:numPr>
        <w:shd w:val="clear" w:color="auto" w:fill="FFFFFF"/>
        <w:spacing w:before="0" w:beforeAutospacing="0" w:after="0" w:afterAutospacing="0" w:line="360" w:lineRule="auto"/>
      </w:pPr>
      <w:r w:rsidRPr="00EF6F97">
        <w:t>Gęstość energii</w:t>
      </w:r>
      <w:r w:rsidR="001D0628">
        <w:t xml:space="preserve"> i </w:t>
      </w:r>
      <w:r w:rsidRPr="00EF6F97">
        <w:t xml:space="preserve">mocy </w:t>
      </w:r>
    </w:p>
    <w:p w14:paraId="3567A5DF" w14:textId="77777777" w:rsidR="005D3849" w:rsidRPr="00EF6F97" w:rsidRDefault="005D3849" w:rsidP="00EF6F97">
      <w:pPr>
        <w:pStyle w:val="NormalnyWeb"/>
        <w:numPr>
          <w:ilvl w:val="0"/>
          <w:numId w:val="37"/>
        </w:numPr>
        <w:shd w:val="clear" w:color="auto" w:fill="FFFFFF"/>
        <w:spacing w:before="0" w:beforeAutospacing="0" w:after="0" w:afterAutospacing="0" w:line="360" w:lineRule="auto"/>
      </w:pPr>
      <w:r w:rsidRPr="00EF6F97">
        <w:t>Czas odpowiedzi</w:t>
      </w:r>
    </w:p>
    <w:p w14:paraId="64532C68" w14:textId="77777777" w:rsidR="005D3849" w:rsidRPr="00EF6F97" w:rsidRDefault="005D3849" w:rsidP="00EF6F97">
      <w:pPr>
        <w:pStyle w:val="NormalnyWeb"/>
        <w:numPr>
          <w:ilvl w:val="0"/>
          <w:numId w:val="37"/>
        </w:numPr>
        <w:shd w:val="clear" w:color="auto" w:fill="FFFFFF"/>
        <w:spacing w:before="0" w:beforeAutospacing="0" w:after="0" w:afterAutospacing="0" w:line="360" w:lineRule="auto"/>
      </w:pPr>
      <w:r w:rsidRPr="00EF6F97">
        <w:t>Koszty jednostkowe</w:t>
      </w:r>
      <w:r w:rsidR="001D0628">
        <w:t xml:space="preserve"> i </w:t>
      </w:r>
      <w:r w:rsidRPr="00EF6F97">
        <w:t xml:space="preserve">ekonomika skali </w:t>
      </w:r>
    </w:p>
    <w:p w14:paraId="65DB8E29" w14:textId="77777777" w:rsidR="005D3849" w:rsidRPr="00EF6F97" w:rsidRDefault="005D3849" w:rsidP="00EF6F97">
      <w:pPr>
        <w:pStyle w:val="NormalnyWeb"/>
        <w:numPr>
          <w:ilvl w:val="0"/>
          <w:numId w:val="37"/>
        </w:numPr>
        <w:shd w:val="clear" w:color="auto" w:fill="FFFFFF"/>
        <w:spacing w:before="0" w:beforeAutospacing="0" w:after="0" w:afterAutospacing="0" w:line="360" w:lineRule="auto"/>
      </w:pPr>
      <w:r w:rsidRPr="00EF6F97">
        <w:t>Lokalizacja</w:t>
      </w:r>
      <w:r w:rsidR="001D0628">
        <w:t xml:space="preserve"> i </w:t>
      </w:r>
      <w:r w:rsidRPr="00EF6F97">
        <w:t>sposób przyłączenia do systemu</w:t>
      </w:r>
    </w:p>
    <w:p w14:paraId="32E9A8D1" w14:textId="77777777" w:rsidR="005D3849" w:rsidRPr="00EF6F97" w:rsidRDefault="005D3849" w:rsidP="00EF6F97">
      <w:pPr>
        <w:pStyle w:val="NormalnyWeb"/>
        <w:numPr>
          <w:ilvl w:val="0"/>
          <w:numId w:val="37"/>
        </w:numPr>
        <w:shd w:val="clear" w:color="auto" w:fill="FFFFFF"/>
        <w:spacing w:before="0" w:beforeAutospacing="0" w:after="0" w:afterAutospacing="0" w:line="360" w:lineRule="auto"/>
      </w:pPr>
      <w:r w:rsidRPr="00EF6F97">
        <w:t>Wyposażenie monitorujące</w:t>
      </w:r>
      <w:r w:rsidR="001D0628">
        <w:t xml:space="preserve"> i </w:t>
      </w:r>
      <w:r w:rsidRPr="00EF6F97">
        <w:t xml:space="preserve">kontrolne </w:t>
      </w:r>
    </w:p>
    <w:p w14:paraId="48FE1F4F" w14:textId="77777777" w:rsidR="005D3849" w:rsidRPr="00EF6F97" w:rsidRDefault="005D3849" w:rsidP="00EF6F97">
      <w:pPr>
        <w:pStyle w:val="NormalnyWeb"/>
        <w:numPr>
          <w:ilvl w:val="0"/>
          <w:numId w:val="37"/>
        </w:numPr>
        <w:shd w:val="clear" w:color="auto" w:fill="FFFFFF"/>
        <w:spacing w:before="0" w:beforeAutospacing="0" w:after="0" w:afterAutospacing="0" w:line="360" w:lineRule="auto"/>
      </w:pPr>
      <w:r w:rsidRPr="00EF6F97">
        <w:t>Sprawność magazynowania</w:t>
      </w:r>
      <w:r w:rsidR="001D0628">
        <w:t xml:space="preserve"> i </w:t>
      </w:r>
      <w:r w:rsidRPr="00EF6F97">
        <w:t xml:space="preserve">poziom niezawodności </w:t>
      </w:r>
    </w:p>
    <w:p w14:paraId="5803FB2E" w14:textId="77777777" w:rsidR="005D3849" w:rsidRPr="00EF6F97" w:rsidRDefault="005D3849" w:rsidP="00EF6F97">
      <w:pPr>
        <w:pStyle w:val="Default"/>
        <w:spacing w:line="360" w:lineRule="auto"/>
        <w:rPr>
          <w:rFonts w:ascii="Times New Roman" w:hAnsi="Times New Roman" w:cs="Times New Roman"/>
          <w:b/>
          <w:color w:val="auto"/>
        </w:rPr>
      </w:pPr>
      <w:r w:rsidRPr="00EF6F97">
        <w:rPr>
          <w:rFonts w:ascii="Times New Roman" w:hAnsi="Times New Roman" w:cs="Times New Roman"/>
          <w:b/>
          <w:color w:val="auto"/>
        </w:rPr>
        <w:t>Technologie magazynowania energii według mocy</w:t>
      </w:r>
    </w:p>
    <w:p w14:paraId="2BC7F99D" w14:textId="77777777" w:rsidR="005D3849" w:rsidRPr="00EF6F97" w:rsidRDefault="005D3849" w:rsidP="00EF6F97">
      <w:pPr>
        <w:pStyle w:val="Default"/>
        <w:spacing w:line="360" w:lineRule="auto"/>
        <w:rPr>
          <w:rFonts w:ascii="Times New Roman" w:hAnsi="Times New Roman" w:cs="Times New Roman"/>
          <w:b/>
          <w:color w:val="auto"/>
        </w:rPr>
      </w:pPr>
    </w:p>
    <w:p w14:paraId="31BFD713" w14:textId="77777777" w:rsidR="005D3849" w:rsidRPr="00EF6F97" w:rsidRDefault="000C0C31" w:rsidP="00EF6F97">
      <w:pPr>
        <w:pStyle w:val="Default"/>
        <w:spacing w:line="360" w:lineRule="auto"/>
        <w:jc w:val="center"/>
        <w:rPr>
          <w:rFonts w:ascii="Times New Roman" w:hAnsi="Times New Roman" w:cs="Times New Roman"/>
          <w:color w:val="auto"/>
        </w:rPr>
        <w:sectPr w:rsidR="005D3849" w:rsidRPr="00EF6F97">
          <w:headerReference w:type="default" r:id="rId9"/>
          <w:footerReference w:type="default" r:id="rId10"/>
          <w:pgSz w:w="11906" w:h="16838"/>
          <w:pgMar w:top="1417" w:right="1417" w:bottom="1417" w:left="1417" w:header="708" w:footer="708" w:gutter="0"/>
          <w:cols w:space="708"/>
          <w:docGrid w:linePitch="360"/>
        </w:sectPr>
      </w:pPr>
      <w:r w:rsidRPr="00EF6F97">
        <w:rPr>
          <w:rFonts w:ascii="Times New Roman" w:hAnsi="Times New Roman" w:cs="Times New Roman"/>
          <w:noProof/>
          <w:color w:val="auto"/>
          <w:lang w:eastAsia="pl-PL"/>
        </w:rPr>
        <w:lastRenderedPageBreak/>
        <w:drawing>
          <wp:inline distT="0" distB="0" distL="0" distR="0" wp14:anchorId="5019EC57" wp14:editId="0D8CB70D">
            <wp:extent cx="5743575" cy="3019425"/>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srcRect/>
                    <a:stretch>
                      <a:fillRect/>
                    </a:stretch>
                  </pic:blipFill>
                  <pic:spPr bwMode="auto">
                    <a:xfrm>
                      <a:off x="0" y="0"/>
                      <a:ext cx="5743575" cy="3019425"/>
                    </a:xfrm>
                    <a:prstGeom prst="rect">
                      <a:avLst/>
                    </a:prstGeom>
                    <a:noFill/>
                    <a:ln w="9525">
                      <a:noFill/>
                      <a:miter lim="800000"/>
                      <a:headEnd/>
                      <a:tailEnd/>
                    </a:ln>
                  </pic:spPr>
                </pic:pic>
              </a:graphicData>
            </a:graphic>
          </wp:inline>
        </w:drawing>
      </w:r>
    </w:p>
    <w:p w14:paraId="27AAC1FB" w14:textId="77777777" w:rsidR="005D3849" w:rsidRPr="00EF6F97" w:rsidRDefault="005D3849" w:rsidP="00EF6F97">
      <w:pPr>
        <w:spacing w:line="360" w:lineRule="auto"/>
        <w:rPr>
          <w:rFonts w:ascii="Times New Roman" w:hAnsi="Times New Roman" w:cs="Times New Roman"/>
          <w:b/>
          <w:sz w:val="24"/>
          <w:szCs w:val="24"/>
          <w:shd w:val="clear" w:color="auto" w:fill="FFFFFF"/>
        </w:rPr>
      </w:pPr>
      <w:r w:rsidRPr="00EF6F97">
        <w:rPr>
          <w:rStyle w:val="Pogrubienie"/>
          <w:rFonts w:ascii="Times New Roman" w:hAnsi="Times New Roman" w:cs="Times New Roman"/>
          <w:sz w:val="24"/>
          <w:szCs w:val="24"/>
        </w:rPr>
        <w:lastRenderedPageBreak/>
        <w:t>Magazynowanie energii w wybranych państwach</w:t>
      </w:r>
    </w:p>
    <w:p w14:paraId="5CE077FF" w14:textId="77777777" w:rsidR="005D3849" w:rsidRPr="00EF6F97" w:rsidRDefault="005D3849" w:rsidP="00EF6F97">
      <w:pPr>
        <w:pStyle w:val="Akapitzlist"/>
        <w:numPr>
          <w:ilvl w:val="0"/>
          <w:numId w:val="16"/>
        </w:numPr>
        <w:spacing w:after="0" w:line="360" w:lineRule="auto"/>
        <w:jc w:val="both"/>
        <w:rPr>
          <w:rFonts w:ascii="Times New Roman" w:hAnsi="Times New Roman"/>
          <w:b/>
          <w:i/>
          <w:sz w:val="24"/>
          <w:szCs w:val="24"/>
          <w:shd w:val="clear" w:color="auto" w:fill="FFFFFF"/>
        </w:rPr>
      </w:pPr>
      <w:r w:rsidRPr="00EF6F97">
        <w:rPr>
          <w:rFonts w:ascii="Times New Roman" w:hAnsi="Times New Roman"/>
          <w:b/>
          <w:i/>
          <w:sz w:val="24"/>
          <w:szCs w:val="24"/>
          <w:shd w:val="clear" w:color="auto" w:fill="FFFFFF"/>
        </w:rPr>
        <w:t>USA</w:t>
      </w:r>
    </w:p>
    <w:p w14:paraId="2A686C39" w14:textId="77777777" w:rsidR="005D3849" w:rsidRPr="00EF6F97" w:rsidRDefault="005D3849" w:rsidP="00EF6F97">
      <w:pPr>
        <w:spacing w:line="360" w:lineRule="auto"/>
        <w:jc w:val="both"/>
        <w:rPr>
          <w:rFonts w:ascii="Times New Roman" w:hAnsi="Times New Roman" w:cs="Times New Roman"/>
          <w:sz w:val="24"/>
          <w:szCs w:val="24"/>
          <w:shd w:val="clear" w:color="auto" w:fill="FFFFFF"/>
          <w:lang w:val="en-US"/>
        </w:rPr>
      </w:pPr>
      <w:r w:rsidRPr="00EF6F97">
        <w:rPr>
          <w:rFonts w:ascii="Times New Roman" w:hAnsi="Times New Roman" w:cs="Times New Roman"/>
          <w:sz w:val="24"/>
          <w:szCs w:val="24"/>
          <w:shd w:val="clear" w:color="auto" w:fill="FFFFFF"/>
          <w:lang w:val="en-US"/>
        </w:rPr>
        <w:t xml:space="preserve">Definicja magazynu energii: </w:t>
      </w:r>
      <w:r w:rsidRPr="00EF6F97">
        <w:rPr>
          <w:rFonts w:ascii="Times New Roman" w:hAnsi="Times New Roman" w:cs="Times New Roman"/>
          <w:i/>
          <w:sz w:val="24"/>
          <w:szCs w:val="24"/>
          <w:shd w:val="clear" w:color="auto" w:fill="FFFFFF"/>
          <w:lang w:val="en-US"/>
        </w:rPr>
        <w:t>“a resource capable of receiving electric energy from the grid and storing it for later injection of electricity back to the grid”</w:t>
      </w:r>
    </w:p>
    <w:p w14:paraId="030C807B" w14:textId="77777777" w:rsidR="005D3849" w:rsidRPr="00EF6F97" w:rsidRDefault="005D3849" w:rsidP="00EF6F97">
      <w:pPr>
        <w:spacing w:line="360" w:lineRule="auto"/>
        <w:jc w:val="both"/>
        <w:rPr>
          <w:rFonts w:ascii="Times New Roman" w:hAnsi="Times New Roman" w:cs="Times New Roman"/>
          <w:sz w:val="24"/>
          <w:szCs w:val="24"/>
          <w:shd w:val="clear" w:color="auto" w:fill="FFFFFF"/>
        </w:rPr>
      </w:pPr>
      <w:r w:rsidRPr="00EF6F97">
        <w:rPr>
          <w:rFonts w:ascii="Times New Roman" w:hAnsi="Times New Roman" w:cs="Times New Roman"/>
          <w:sz w:val="24"/>
          <w:szCs w:val="24"/>
          <w:shd w:val="clear" w:color="auto" w:fill="FFFFFF"/>
        </w:rPr>
        <w:t xml:space="preserve">Tłumaczenie: </w:t>
      </w:r>
      <w:r w:rsidRPr="00EF6F97">
        <w:rPr>
          <w:rFonts w:ascii="Times New Roman" w:hAnsi="Times New Roman" w:cs="Times New Roman"/>
          <w:i/>
          <w:sz w:val="24"/>
          <w:szCs w:val="24"/>
          <w:shd w:val="clear" w:color="auto" w:fill="FFFFFF"/>
        </w:rPr>
        <w:t xml:space="preserve">zasób zdolny do odbierania energii elektrycznej </w:t>
      </w:r>
      <w:r w:rsidR="001D0628">
        <w:rPr>
          <w:rFonts w:ascii="Times New Roman" w:hAnsi="Times New Roman" w:cs="Times New Roman"/>
          <w:i/>
          <w:sz w:val="24"/>
          <w:szCs w:val="24"/>
          <w:shd w:val="clear" w:color="auto" w:fill="FFFFFF"/>
        </w:rPr>
        <w:t>z </w:t>
      </w:r>
      <w:r w:rsidRPr="00EF6F97">
        <w:rPr>
          <w:rFonts w:ascii="Times New Roman" w:hAnsi="Times New Roman" w:cs="Times New Roman"/>
          <w:i/>
          <w:sz w:val="24"/>
          <w:szCs w:val="24"/>
          <w:shd w:val="clear" w:color="auto" w:fill="FFFFFF"/>
        </w:rPr>
        <w:t>sieci</w:t>
      </w:r>
      <w:r w:rsidR="001D0628">
        <w:rPr>
          <w:rFonts w:ascii="Times New Roman" w:hAnsi="Times New Roman" w:cs="Times New Roman"/>
          <w:i/>
          <w:sz w:val="24"/>
          <w:szCs w:val="24"/>
          <w:shd w:val="clear" w:color="auto" w:fill="FFFFFF"/>
        </w:rPr>
        <w:t xml:space="preserve"> i </w:t>
      </w:r>
      <w:r w:rsidRPr="00EF6F97">
        <w:rPr>
          <w:rFonts w:ascii="Times New Roman" w:hAnsi="Times New Roman" w:cs="Times New Roman"/>
          <w:i/>
          <w:sz w:val="24"/>
          <w:szCs w:val="24"/>
          <w:shd w:val="clear" w:color="auto" w:fill="FFFFFF"/>
        </w:rPr>
        <w:t xml:space="preserve">przechowywania jej do późniejszego oddania energii elektrycznej </w:t>
      </w:r>
      <w:r w:rsidR="001D0628">
        <w:rPr>
          <w:rFonts w:ascii="Times New Roman" w:hAnsi="Times New Roman" w:cs="Times New Roman"/>
          <w:i/>
          <w:sz w:val="24"/>
          <w:szCs w:val="24"/>
          <w:shd w:val="clear" w:color="auto" w:fill="FFFFFF"/>
        </w:rPr>
        <w:t>z </w:t>
      </w:r>
      <w:r w:rsidRPr="00EF6F97">
        <w:rPr>
          <w:rFonts w:ascii="Times New Roman" w:hAnsi="Times New Roman" w:cs="Times New Roman"/>
          <w:i/>
          <w:sz w:val="24"/>
          <w:szCs w:val="24"/>
          <w:shd w:val="clear" w:color="auto" w:fill="FFFFFF"/>
        </w:rPr>
        <w:t>powrotem do sieci</w:t>
      </w:r>
    </w:p>
    <w:p w14:paraId="11A9A3E3" w14:textId="77777777" w:rsidR="005D3849" w:rsidRPr="00EF6F97" w:rsidRDefault="005D3849" w:rsidP="00EF6F97">
      <w:pPr>
        <w:spacing w:line="360" w:lineRule="auto"/>
        <w:jc w:val="both"/>
        <w:rPr>
          <w:rFonts w:ascii="Times New Roman" w:hAnsi="Times New Roman" w:cs="Times New Roman"/>
          <w:i/>
          <w:sz w:val="24"/>
          <w:szCs w:val="24"/>
          <w:lang w:val="en-US"/>
        </w:rPr>
      </w:pPr>
      <w:r w:rsidRPr="00EF6F97">
        <w:rPr>
          <w:rFonts w:ascii="Times New Roman" w:hAnsi="Times New Roman" w:cs="Times New Roman"/>
          <w:i/>
          <w:sz w:val="24"/>
          <w:szCs w:val="24"/>
          <w:lang w:val="en-US"/>
        </w:rPr>
        <w:t>Źródło: Electric Storage Participation in Markets Operated by Regional Transmission Organizations and Independent System Operators, Order No. 841, 162 FERC 61,127 (2018)</w:t>
      </w:r>
    </w:p>
    <w:p w14:paraId="3400ED98" w14:textId="77777777" w:rsidR="005D3849" w:rsidRPr="00EF6F97" w:rsidRDefault="005D3849" w:rsidP="00EF6F97">
      <w:pPr>
        <w:spacing w:line="360" w:lineRule="auto"/>
        <w:jc w:val="both"/>
        <w:rPr>
          <w:rFonts w:ascii="Times New Roman" w:hAnsi="Times New Roman" w:cs="Times New Roman"/>
          <w:sz w:val="24"/>
          <w:szCs w:val="24"/>
          <w:shd w:val="clear" w:color="auto" w:fill="FFFFFF"/>
          <w:lang w:val="en-US"/>
        </w:rPr>
      </w:pPr>
    </w:p>
    <w:p w14:paraId="22A7BE8E" w14:textId="77777777" w:rsidR="005D3849" w:rsidRPr="00EF6F97" w:rsidRDefault="005D3849" w:rsidP="00EF6F97">
      <w:pPr>
        <w:spacing w:line="360" w:lineRule="auto"/>
        <w:jc w:val="both"/>
        <w:rPr>
          <w:rFonts w:ascii="Times New Roman" w:hAnsi="Times New Roman" w:cs="Times New Roman"/>
          <w:b/>
          <w:sz w:val="24"/>
          <w:szCs w:val="24"/>
          <w:shd w:val="clear" w:color="auto" w:fill="FFFFFF"/>
        </w:rPr>
      </w:pPr>
      <w:r w:rsidRPr="00EF6F97">
        <w:rPr>
          <w:rFonts w:ascii="Times New Roman" w:hAnsi="Times New Roman" w:cs="Times New Roman"/>
          <w:b/>
          <w:sz w:val="24"/>
          <w:szCs w:val="24"/>
          <w:shd w:val="clear" w:color="auto" w:fill="FFFFFF"/>
        </w:rPr>
        <w:t xml:space="preserve">Obecny stan mocy magazynowej USA </w:t>
      </w:r>
      <w:r w:rsidR="001D0628">
        <w:rPr>
          <w:rFonts w:ascii="Times New Roman" w:hAnsi="Times New Roman" w:cs="Times New Roman"/>
          <w:b/>
          <w:sz w:val="24"/>
          <w:szCs w:val="24"/>
          <w:shd w:val="clear" w:color="auto" w:fill="FFFFFF"/>
        </w:rPr>
        <w:t>z </w:t>
      </w:r>
      <w:r w:rsidRPr="00EF6F97">
        <w:rPr>
          <w:rFonts w:ascii="Times New Roman" w:hAnsi="Times New Roman" w:cs="Times New Roman"/>
          <w:b/>
          <w:sz w:val="24"/>
          <w:szCs w:val="24"/>
          <w:shd w:val="clear" w:color="auto" w:fill="FFFFFF"/>
        </w:rPr>
        <w:t>podziałem na technologie</w:t>
      </w:r>
    </w:p>
    <w:p w14:paraId="18461B5D" w14:textId="77777777" w:rsidR="005D3849" w:rsidRPr="00EF6F97" w:rsidRDefault="000C0C31" w:rsidP="00EF6F97">
      <w:pPr>
        <w:spacing w:line="360" w:lineRule="auto"/>
        <w:jc w:val="center"/>
        <w:rPr>
          <w:rFonts w:ascii="Times New Roman" w:hAnsi="Times New Roman" w:cs="Times New Roman"/>
          <w:sz w:val="24"/>
          <w:szCs w:val="24"/>
          <w:shd w:val="clear" w:color="auto" w:fill="FFFFFF"/>
        </w:rPr>
      </w:pPr>
      <w:r w:rsidRPr="00EF6F97">
        <w:rPr>
          <w:rFonts w:ascii="Times New Roman" w:hAnsi="Times New Roman" w:cs="Times New Roman"/>
          <w:noProof/>
          <w:sz w:val="24"/>
          <w:szCs w:val="24"/>
          <w:shd w:val="clear" w:color="auto" w:fill="FFFFFF"/>
        </w:rPr>
        <w:drawing>
          <wp:inline distT="0" distB="0" distL="0" distR="0" wp14:anchorId="6A572159" wp14:editId="2BA732F1">
            <wp:extent cx="5829300" cy="2314575"/>
            <wp:effectExtent l="19050" t="0" r="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srcRect/>
                    <a:stretch>
                      <a:fillRect/>
                    </a:stretch>
                  </pic:blipFill>
                  <pic:spPr bwMode="auto">
                    <a:xfrm>
                      <a:off x="0" y="0"/>
                      <a:ext cx="5829300" cy="2314575"/>
                    </a:xfrm>
                    <a:prstGeom prst="rect">
                      <a:avLst/>
                    </a:prstGeom>
                    <a:noFill/>
                    <a:ln w="9525">
                      <a:noFill/>
                      <a:miter lim="800000"/>
                      <a:headEnd/>
                      <a:tailEnd/>
                    </a:ln>
                  </pic:spPr>
                </pic:pic>
              </a:graphicData>
            </a:graphic>
          </wp:inline>
        </w:drawing>
      </w:r>
    </w:p>
    <w:p w14:paraId="54948717" w14:textId="77777777" w:rsidR="005D3849" w:rsidRPr="00EF6F97" w:rsidRDefault="005D3849" w:rsidP="00EF6F97">
      <w:pPr>
        <w:spacing w:line="360" w:lineRule="auto"/>
        <w:jc w:val="both"/>
        <w:rPr>
          <w:rFonts w:ascii="Times New Roman" w:hAnsi="Times New Roman" w:cs="Times New Roman"/>
          <w:i/>
          <w:sz w:val="24"/>
          <w:szCs w:val="24"/>
          <w:shd w:val="clear" w:color="auto" w:fill="FFFFFF"/>
          <w:lang w:val="en-US"/>
        </w:rPr>
      </w:pPr>
      <w:r w:rsidRPr="00EF6F97">
        <w:rPr>
          <w:rFonts w:ascii="Times New Roman" w:hAnsi="Times New Roman" w:cs="Times New Roman"/>
          <w:i/>
          <w:sz w:val="24"/>
          <w:szCs w:val="24"/>
          <w:shd w:val="clear" w:color="auto" w:fill="FFFFFF"/>
          <w:lang w:val="en-US"/>
        </w:rPr>
        <w:t>Źródło: epa.gov/energy/electricity-storage</w:t>
      </w:r>
    </w:p>
    <w:p w14:paraId="610F620F" w14:textId="77777777" w:rsidR="005D3849" w:rsidRPr="00EF6F97" w:rsidRDefault="005D3849" w:rsidP="00EF6F97">
      <w:pPr>
        <w:spacing w:line="360" w:lineRule="auto"/>
        <w:jc w:val="both"/>
        <w:rPr>
          <w:rFonts w:ascii="Times New Roman" w:hAnsi="Times New Roman" w:cs="Times New Roman"/>
          <w:sz w:val="24"/>
          <w:szCs w:val="24"/>
          <w:shd w:val="clear" w:color="auto" w:fill="FFFFFF"/>
          <w:lang w:val="en-US"/>
        </w:rPr>
      </w:pPr>
    </w:p>
    <w:p w14:paraId="2631B816" w14:textId="77777777" w:rsidR="005D3849" w:rsidRPr="00EF6F97" w:rsidRDefault="00D20DB5" w:rsidP="00EF6F97">
      <w:pPr>
        <w:spacing w:line="360" w:lineRule="auto"/>
        <w:jc w:val="both"/>
        <w:rPr>
          <w:rFonts w:ascii="Times New Roman" w:hAnsi="Times New Roman" w:cs="Times New Roman"/>
          <w:sz w:val="24"/>
          <w:szCs w:val="24"/>
          <w:shd w:val="clear" w:color="auto" w:fill="FFFFFF"/>
        </w:rPr>
      </w:pPr>
      <w:r w:rsidRPr="001D0628">
        <w:rPr>
          <w:rFonts w:ascii="Times New Roman" w:hAnsi="Times New Roman" w:cs="Times New Roman"/>
          <w:sz w:val="24"/>
          <w:szCs w:val="24"/>
          <w:shd w:val="clear" w:color="auto" w:fill="FFFFFF"/>
          <w:lang w:val="en-US"/>
        </w:rPr>
        <w:tab/>
      </w:r>
      <w:r w:rsidR="005D3849" w:rsidRPr="00EF6F97">
        <w:rPr>
          <w:rFonts w:ascii="Times New Roman" w:hAnsi="Times New Roman" w:cs="Times New Roman"/>
          <w:sz w:val="24"/>
          <w:szCs w:val="24"/>
          <w:shd w:val="clear" w:color="auto" w:fill="FFFFFF"/>
        </w:rPr>
        <w:t xml:space="preserve">Nowy Jork jest drugim stanem we wschodnich Stanach Zjednoczonych, który przyjął ustawę (AB 6571) dotyczącą magazynowania energii. Pierwszy </w:t>
      </w:r>
      <w:r w:rsidR="00117FBD" w:rsidRPr="00EF6F97">
        <w:rPr>
          <w:rFonts w:ascii="Times New Roman" w:hAnsi="Times New Roman" w:cs="Times New Roman"/>
          <w:sz w:val="24"/>
          <w:szCs w:val="24"/>
          <w:shd w:val="clear" w:color="auto" w:fill="FFFFFF"/>
        </w:rPr>
        <w:t>to Kalifornia gdzie w roku 2010 uchwalono Assembly</w:t>
      </w:r>
      <w:r w:rsidR="00EF6F97">
        <w:rPr>
          <w:rFonts w:ascii="Times New Roman" w:hAnsi="Times New Roman" w:cs="Times New Roman"/>
          <w:sz w:val="24"/>
          <w:szCs w:val="24"/>
          <w:shd w:val="clear" w:color="auto" w:fill="FFFFFF"/>
        </w:rPr>
        <w:t xml:space="preserve"> </w:t>
      </w:r>
      <w:r w:rsidR="00117FBD" w:rsidRPr="00EF6F97">
        <w:rPr>
          <w:rFonts w:ascii="Times New Roman" w:hAnsi="Times New Roman" w:cs="Times New Roman"/>
          <w:sz w:val="24"/>
          <w:szCs w:val="24"/>
          <w:shd w:val="clear" w:color="auto" w:fill="FFFFFF"/>
        </w:rPr>
        <w:t>Bill 2514. Massachusetts</w:t>
      </w:r>
      <w:r w:rsidR="005D3849" w:rsidRPr="00EF6F97">
        <w:rPr>
          <w:rFonts w:ascii="Times New Roman" w:hAnsi="Times New Roman" w:cs="Times New Roman"/>
          <w:sz w:val="24"/>
          <w:szCs w:val="24"/>
          <w:shd w:val="clear" w:color="auto" w:fill="FFFFFF"/>
        </w:rPr>
        <w:t xml:space="preserve"> wyznaczył cel 200 MWh magazynowania energii do 2020 roku. Cel Kalifornii na 2020 rok to 1,3 GW energii magazynowej. Do tego czasu udział źródeł odnawialnych w kalifornijskim miksie energii elektrycznej ma wzrosnąć do 33%, a w roku 2030 OZE ma odpowiadać za 50% produkcji energii w Kalifornii.</w:t>
      </w:r>
    </w:p>
    <w:p w14:paraId="5C6FE747" w14:textId="77777777" w:rsidR="005D3849" w:rsidRPr="00EF6F97" w:rsidRDefault="005D3849" w:rsidP="00EF6F97">
      <w:pPr>
        <w:spacing w:line="360" w:lineRule="auto"/>
        <w:jc w:val="both"/>
        <w:rPr>
          <w:rFonts w:ascii="Times New Roman" w:hAnsi="Times New Roman" w:cs="Times New Roman"/>
          <w:b/>
          <w:sz w:val="24"/>
          <w:szCs w:val="24"/>
          <w:shd w:val="clear" w:color="auto" w:fill="FFFFFF"/>
        </w:rPr>
      </w:pPr>
      <w:r w:rsidRPr="00EF6F97">
        <w:rPr>
          <w:rFonts w:ascii="Times New Roman" w:hAnsi="Times New Roman" w:cs="Times New Roman"/>
          <w:b/>
          <w:sz w:val="24"/>
          <w:szCs w:val="24"/>
          <w:shd w:val="clear" w:color="auto" w:fill="FFFFFF"/>
        </w:rPr>
        <w:t>Regulacje prawne:</w:t>
      </w:r>
    </w:p>
    <w:p w14:paraId="4C086CFA" w14:textId="77777777" w:rsidR="005D3849" w:rsidRPr="00EF6F97" w:rsidRDefault="00D20DB5" w:rsidP="00EF6F97">
      <w:pPr>
        <w:spacing w:line="360" w:lineRule="auto"/>
        <w:jc w:val="both"/>
        <w:rPr>
          <w:rFonts w:ascii="Times New Roman" w:hAnsi="Times New Roman" w:cs="Times New Roman"/>
          <w:sz w:val="24"/>
          <w:szCs w:val="24"/>
          <w:shd w:val="clear" w:color="auto" w:fill="FFFFFF"/>
        </w:rPr>
      </w:pPr>
      <w:r w:rsidRPr="00EF6F97">
        <w:rPr>
          <w:rFonts w:ascii="Times New Roman" w:hAnsi="Times New Roman" w:cs="Times New Roman"/>
          <w:sz w:val="24"/>
          <w:szCs w:val="24"/>
          <w:shd w:val="clear" w:color="auto" w:fill="FFFFFF"/>
        </w:rPr>
        <w:tab/>
      </w:r>
      <w:r w:rsidR="005D3849" w:rsidRPr="00EF6F97">
        <w:rPr>
          <w:rFonts w:ascii="Times New Roman" w:hAnsi="Times New Roman" w:cs="Times New Roman"/>
          <w:sz w:val="24"/>
          <w:szCs w:val="24"/>
          <w:shd w:val="clear" w:color="auto" w:fill="FFFFFF"/>
        </w:rPr>
        <w:t>Gubernator stanu Nowy Jork Andrew Cuomo podpisał ustawę (AB 6571) w celu opracowania programu wdrażania magazynowania energii, w tym celu dotyczącego magazynowania w 2030</w:t>
      </w:r>
      <w:r w:rsidR="001D0628">
        <w:rPr>
          <w:rFonts w:ascii="Times New Roman" w:hAnsi="Times New Roman" w:cs="Times New Roman"/>
          <w:sz w:val="24"/>
          <w:szCs w:val="24"/>
          <w:shd w:val="clear" w:color="auto" w:fill="FFFFFF"/>
        </w:rPr>
        <w:t> r.</w:t>
      </w:r>
      <w:r w:rsidR="005D3849" w:rsidRPr="00EF6F97">
        <w:rPr>
          <w:rFonts w:ascii="Times New Roman" w:hAnsi="Times New Roman" w:cs="Times New Roman"/>
          <w:sz w:val="24"/>
          <w:szCs w:val="24"/>
          <w:shd w:val="clear" w:color="auto" w:fill="FFFFFF"/>
        </w:rPr>
        <w:t xml:space="preserve"> Głównym celem ustawy jest wsparcie nowojorskiego projektu, który mówi o 50% udziału OZE do 2030</w:t>
      </w:r>
      <w:r w:rsidR="001D0628">
        <w:rPr>
          <w:rFonts w:ascii="Times New Roman" w:hAnsi="Times New Roman" w:cs="Times New Roman"/>
          <w:sz w:val="24"/>
          <w:szCs w:val="24"/>
          <w:shd w:val="clear" w:color="auto" w:fill="FFFFFF"/>
        </w:rPr>
        <w:t> r.</w:t>
      </w:r>
      <w:r w:rsidR="005D3849" w:rsidRPr="00EF6F97">
        <w:rPr>
          <w:rFonts w:ascii="Times New Roman" w:hAnsi="Times New Roman" w:cs="Times New Roman"/>
          <w:sz w:val="24"/>
          <w:szCs w:val="24"/>
          <w:shd w:val="clear" w:color="auto" w:fill="FFFFFF"/>
        </w:rPr>
        <w:t xml:space="preserve"> Projekt jest kontynuacją programu NY-Sun wprowadzonego prze</w:t>
      </w:r>
      <w:r w:rsidR="001D0628">
        <w:rPr>
          <w:rFonts w:ascii="Times New Roman" w:hAnsi="Times New Roman" w:cs="Times New Roman"/>
          <w:sz w:val="24"/>
          <w:szCs w:val="24"/>
          <w:shd w:val="clear" w:color="auto" w:fill="FFFFFF"/>
        </w:rPr>
        <w:t>z </w:t>
      </w:r>
      <w:r w:rsidR="005D3849" w:rsidRPr="00EF6F97">
        <w:rPr>
          <w:rFonts w:ascii="Times New Roman" w:hAnsi="Times New Roman" w:cs="Times New Roman"/>
          <w:sz w:val="24"/>
          <w:szCs w:val="24"/>
          <w:shd w:val="clear" w:color="auto" w:fill="FFFFFF"/>
        </w:rPr>
        <w:t>gubernatora Cuomo w 2012</w:t>
      </w:r>
      <w:r w:rsidR="001D0628">
        <w:rPr>
          <w:rFonts w:ascii="Times New Roman" w:hAnsi="Times New Roman" w:cs="Times New Roman"/>
          <w:sz w:val="24"/>
          <w:szCs w:val="24"/>
          <w:shd w:val="clear" w:color="auto" w:fill="FFFFFF"/>
        </w:rPr>
        <w:t> r.</w:t>
      </w:r>
      <w:r w:rsidR="005D3849" w:rsidRPr="00EF6F97">
        <w:rPr>
          <w:rFonts w:ascii="Times New Roman" w:hAnsi="Times New Roman" w:cs="Times New Roman"/>
          <w:sz w:val="24"/>
          <w:szCs w:val="24"/>
          <w:shd w:val="clear" w:color="auto" w:fill="FFFFFF"/>
        </w:rPr>
        <w:t xml:space="preserve"> który przewiduje:</w:t>
      </w:r>
    </w:p>
    <w:p w14:paraId="7A499905" w14:textId="77777777" w:rsidR="005D3849" w:rsidRPr="00EF6F97" w:rsidRDefault="005D3849" w:rsidP="00EF6F97">
      <w:pPr>
        <w:pStyle w:val="Akapitzlist"/>
        <w:numPr>
          <w:ilvl w:val="0"/>
          <w:numId w:val="38"/>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lastRenderedPageBreak/>
        <w:t>1 miliard USD na rozwój rynku energii słonecznej w ciągu 10 lat,</w:t>
      </w:r>
    </w:p>
    <w:p w14:paraId="74804BBA" w14:textId="77777777" w:rsidR="005D3849" w:rsidRPr="00EF6F97" w:rsidRDefault="005D3849" w:rsidP="00EF6F97">
      <w:pPr>
        <w:pStyle w:val="Akapitzlist"/>
        <w:numPr>
          <w:ilvl w:val="0"/>
          <w:numId w:val="38"/>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dodanie ponad 3000 MW mocy słonecznej w stanie do 2023</w:t>
      </w:r>
      <w:r w:rsidR="001D0628">
        <w:rPr>
          <w:rFonts w:ascii="Times New Roman" w:hAnsi="Times New Roman"/>
          <w:sz w:val="24"/>
          <w:szCs w:val="24"/>
          <w:shd w:val="clear" w:color="auto" w:fill="FFFFFF"/>
        </w:rPr>
        <w:t> r.</w:t>
      </w:r>
      <w:r w:rsidRPr="00EF6F97">
        <w:rPr>
          <w:rFonts w:ascii="Times New Roman" w:hAnsi="Times New Roman"/>
          <w:sz w:val="24"/>
          <w:szCs w:val="24"/>
          <w:shd w:val="clear" w:color="auto" w:fill="FFFFFF"/>
        </w:rPr>
        <w:t>,</w:t>
      </w:r>
    </w:p>
    <w:p w14:paraId="78E60299" w14:textId="77777777" w:rsidR="005D3849" w:rsidRPr="00EF6F97" w:rsidRDefault="005D3849" w:rsidP="00EF6F97">
      <w:pPr>
        <w:pStyle w:val="Akapitzlist"/>
        <w:numPr>
          <w:ilvl w:val="0"/>
          <w:numId w:val="38"/>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osiągnięcie wzrostu o 181% na państwowym rynku energii słonecznej.</w:t>
      </w:r>
    </w:p>
    <w:p w14:paraId="2AFE944E" w14:textId="77777777" w:rsidR="005D3849" w:rsidRPr="00EF6F97" w:rsidRDefault="005D3849" w:rsidP="00EF6F97">
      <w:pPr>
        <w:spacing w:line="360" w:lineRule="auto"/>
        <w:jc w:val="both"/>
        <w:rPr>
          <w:rFonts w:ascii="Times New Roman" w:hAnsi="Times New Roman" w:cs="Times New Roman"/>
          <w:i/>
          <w:sz w:val="24"/>
          <w:szCs w:val="24"/>
          <w:shd w:val="clear" w:color="auto" w:fill="FFFFFF"/>
          <w:lang w:val="en-US"/>
        </w:rPr>
      </w:pPr>
      <w:r w:rsidRPr="00EF6F97">
        <w:rPr>
          <w:rFonts w:ascii="Times New Roman" w:hAnsi="Times New Roman" w:cs="Times New Roman"/>
          <w:i/>
          <w:sz w:val="24"/>
          <w:szCs w:val="24"/>
          <w:shd w:val="clear" w:color="auto" w:fill="FFFFFF"/>
          <w:lang w:val="en-US"/>
        </w:rPr>
        <w:t>Źródło: electrek.co/2017/12/01/new-york-energy-storage-targets/</w:t>
      </w:r>
    </w:p>
    <w:p w14:paraId="038C3D65" w14:textId="77777777" w:rsidR="005D3849" w:rsidRPr="00EF6F97" w:rsidRDefault="00D20DB5" w:rsidP="00EF6F97">
      <w:pPr>
        <w:spacing w:line="360" w:lineRule="auto"/>
        <w:jc w:val="both"/>
        <w:rPr>
          <w:rFonts w:ascii="Times New Roman" w:hAnsi="Times New Roman" w:cs="Times New Roman"/>
          <w:sz w:val="24"/>
          <w:szCs w:val="24"/>
          <w:shd w:val="clear" w:color="auto" w:fill="FFFFFF"/>
        </w:rPr>
      </w:pPr>
      <w:r w:rsidRPr="001D0628">
        <w:rPr>
          <w:rFonts w:ascii="Times New Roman" w:hAnsi="Times New Roman" w:cs="Times New Roman"/>
          <w:sz w:val="24"/>
          <w:szCs w:val="24"/>
          <w:shd w:val="clear" w:color="auto" w:fill="FFFFFF"/>
          <w:lang w:val="en-US"/>
        </w:rPr>
        <w:tab/>
      </w:r>
      <w:r w:rsidR="005D3849" w:rsidRPr="00EF6F97">
        <w:rPr>
          <w:rFonts w:ascii="Times New Roman" w:hAnsi="Times New Roman" w:cs="Times New Roman"/>
          <w:sz w:val="24"/>
          <w:szCs w:val="24"/>
          <w:shd w:val="clear" w:color="auto" w:fill="FFFFFF"/>
        </w:rPr>
        <w:t>Federalna Komisja Regulacji Energetyki (FERC) wydała regulacje ułatwiające wprowadzenie magazynów energii do systemu elektroenergetycznego. The Final Rule</w:t>
      </w:r>
      <w:r w:rsidR="005D3849" w:rsidRPr="00EF6F97">
        <w:rPr>
          <w:rStyle w:val="Odwoanieprzypisudolnego"/>
          <w:rFonts w:ascii="Times New Roman" w:hAnsi="Times New Roman" w:cs="Times New Roman"/>
          <w:sz w:val="24"/>
          <w:szCs w:val="24"/>
          <w:shd w:val="clear" w:color="auto" w:fill="FFFFFF"/>
        </w:rPr>
        <w:footnoteReference w:id="3"/>
      </w:r>
      <w:r w:rsidR="005D3849" w:rsidRPr="00EF6F97">
        <w:rPr>
          <w:rFonts w:ascii="Times New Roman" w:hAnsi="Times New Roman" w:cs="Times New Roman"/>
          <w:sz w:val="24"/>
          <w:szCs w:val="24"/>
          <w:shd w:val="clear" w:color="auto" w:fill="FFFFFF"/>
        </w:rPr>
        <w:t xml:space="preserve"> ustala model uczestnictwa: </w:t>
      </w:r>
    </w:p>
    <w:p w14:paraId="361C02FD" w14:textId="77777777" w:rsidR="005D3849" w:rsidRPr="00EF6F97" w:rsidRDefault="005D3849" w:rsidP="00EF6F97">
      <w:pPr>
        <w:pStyle w:val="Akapitzlist"/>
        <w:numPr>
          <w:ilvl w:val="0"/>
          <w:numId w:val="39"/>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FERC wprowadziła dodatkowe opłaty za usług</w:t>
      </w:r>
      <w:r w:rsidR="00695DE8" w:rsidRPr="00EF6F97">
        <w:rPr>
          <w:rFonts w:ascii="Times New Roman" w:hAnsi="Times New Roman"/>
          <w:sz w:val="24"/>
          <w:szCs w:val="24"/>
          <w:shd w:val="clear" w:color="auto" w:fill="FFFFFF"/>
        </w:rPr>
        <w:t>i regulacyjne</w:t>
      </w:r>
      <w:r w:rsidRPr="00EF6F97">
        <w:rPr>
          <w:rFonts w:ascii="Times New Roman" w:hAnsi="Times New Roman"/>
          <w:sz w:val="24"/>
          <w:szCs w:val="24"/>
          <w:shd w:val="clear" w:color="auto" w:fill="FFFFFF"/>
        </w:rPr>
        <w:t xml:space="preserve"> – do opłaty za moc dodała opłaty za możliwą szybkość interwencji w sieci prze</w:t>
      </w:r>
      <w:r w:rsidR="001D0628">
        <w:rPr>
          <w:rFonts w:ascii="Times New Roman" w:hAnsi="Times New Roman"/>
          <w:sz w:val="24"/>
          <w:szCs w:val="24"/>
          <w:shd w:val="clear" w:color="auto" w:fill="FFFFFF"/>
        </w:rPr>
        <w:t>z </w:t>
      </w:r>
      <w:r w:rsidRPr="00EF6F97">
        <w:rPr>
          <w:rFonts w:ascii="Times New Roman" w:hAnsi="Times New Roman"/>
          <w:sz w:val="24"/>
          <w:szCs w:val="24"/>
          <w:shd w:val="clear" w:color="auto" w:fill="FFFFFF"/>
        </w:rPr>
        <w:t>dane źródło, co spowodowało prawie dwukrotny wzrost opłacalności biznesu polegającego na oferowaniu rezerw interwencyjnych w postaci magazynów energii w systemie energetycznym USA. W tej usłudze została doceniona nie tylko wielkość mocy, jaką posiada dane źródło, ale też możliwość szybkiej reakcji na zakłócenia częstotliwości w sieci. </w:t>
      </w:r>
    </w:p>
    <w:p w14:paraId="6BAB7FB2" w14:textId="77777777" w:rsidR="005D3849" w:rsidRPr="00EF6F97" w:rsidRDefault="005D3849" w:rsidP="00EF6F97">
      <w:pPr>
        <w:pStyle w:val="Akapitzlist"/>
        <w:numPr>
          <w:ilvl w:val="0"/>
          <w:numId w:val="39"/>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 xml:space="preserve">Model uczestnictwa musi określić zasady rynkowe, które mają gwarantować, że magazyny korzystające </w:t>
      </w:r>
      <w:r w:rsidR="001D0628">
        <w:rPr>
          <w:rFonts w:ascii="Times New Roman" w:hAnsi="Times New Roman"/>
          <w:sz w:val="24"/>
          <w:szCs w:val="24"/>
          <w:shd w:val="clear" w:color="auto" w:fill="FFFFFF"/>
        </w:rPr>
        <w:t>z </w:t>
      </w:r>
      <w:r w:rsidRPr="00EF6F97">
        <w:rPr>
          <w:rFonts w:ascii="Times New Roman" w:hAnsi="Times New Roman"/>
          <w:sz w:val="24"/>
          <w:szCs w:val="24"/>
          <w:shd w:val="clear" w:color="auto" w:fill="FFFFFF"/>
        </w:rPr>
        <w:t>tego modelu są zdolne do zapewnienia wszystkich mocy produkcyjnych, energetycznych</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pomocniczych, które są w stanie technicznie zapewnić.</w:t>
      </w:r>
    </w:p>
    <w:p w14:paraId="2D4EBD10" w14:textId="77777777" w:rsidR="005D3849" w:rsidRPr="00EF6F97" w:rsidRDefault="005D3849" w:rsidP="00EF6F97">
      <w:pPr>
        <w:pStyle w:val="Akapitzlist"/>
        <w:numPr>
          <w:ilvl w:val="0"/>
          <w:numId w:val="39"/>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Akumulatory, koła zamachowe</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inne technologie umożliwiają przepływ mocy w obie strony</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reagują znacznie szybciej</w:t>
      </w:r>
      <w:r w:rsidR="00695DE8" w:rsidRPr="00EF6F97">
        <w:rPr>
          <w:rFonts w:ascii="Times New Roman" w:hAnsi="Times New Roman"/>
          <w:sz w:val="24"/>
          <w:szCs w:val="24"/>
          <w:shd w:val="clear" w:color="auto" w:fill="FFFFFF"/>
        </w:rPr>
        <w:t xml:space="preserve"> niż rozwiązania tradycyjne</w:t>
      </w:r>
      <w:r w:rsidRPr="00EF6F97">
        <w:rPr>
          <w:rFonts w:ascii="Times New Roman" w:hAnsi="Times New Roman"/>
          <w:sz w:val="24"/>
          <w:szCs w:val="24"/>
          <w:shd w:val="clear" w:color="auto" w:fill="FFFFFF"/>
        </w:rPr>
        <w:t>. FERC zauważyła, że ​​zasady rynkowe opracowane dla tradycyjnych metod wytwarzania mogą stwarzać bariery wejścia dla nowych technologii, takich jak magazyny energii. Zaproponowała, aby operatorzy sieci stworzyli odpowiednie taryfy w celu określenia modelu uczestnictwa, analizując fizyczne</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operacyjne właściwości magazynów, co zwiększy konkurencję</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ograniczy stawki. FERC zaproponowała, aby każdy operator zdefiniował kryteria w swojej taryfie, które nie mogą ograniczać uczestnictwa różnych typów magazynów. Uczestnictwo będzie uwzględniało jedynie parametry fizyczne</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operacyjne, co umożliwi wprowadzenie nowych technologii be</w:t>
      </w:r>
      <w:r w:rsidR="001D0628">
        <w:rPr>
          <w:rFonts w:ascii="Times New Roman" w:hAnsi="Times New Roman"/>
          <w:sz w:val="24"/>
          <w:szCs w:val="24"/>
          <w:shd w:val="clear" w:color="auto" w:fill="FFFFFF"/>
        </w:rPr>
        <w:t>z </w:t>
      </w:r>
      <w:r w:rsidRPr="00EF6F97">
        <w:rPr>
          <w:rFonts w:ascii="Times New Roman" w:hAnsi="Times New Roman"/>
          <w:sz w:val="24"/>
          <w:szCs w:val="24"/>
          <w:shd w:val="clear" w:color="auto" w:fill="FFFFFF"/>
        </w:rPr>
        <w:t>potrzeby zmiany taryf.</w:t>
      </w:r>
    </w:p>
    <w:p w14:paraId="40B7C9C8" w14:textId="77777777" w:rsidR="005D3849" w:rsidRPr="00EF6F97" w:rsidRDefault="005D3849" w:rsidP="00EF6F97">
      <w:pPr>
        <w:pStyle w:val="Akapitzlist"/>
        <w:numPr>
          <w:ilvl w:val="0"/>
          <w:numId w:val="39"/>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 xml:space="preserve">FERC wymaga, aby taryfy określające model uczestnictwa magazynów energii uwzględniały jedynie magazyny o mocy co najmniej 100 kW. Ten wymóg obejmuje </w:t>
      </w:r>
      <w:r w:rsidRPr="00EF6F97">
        <w:rPr>
          <w:rFonts w:ascii="Times New Roman" w:hAnsi="Times New Roman"/>
          <w:sz w:val="24"/>
          <w:szCs w:val="24"/>
          <w:shd w:val="clear" w:color="auto" w:fill="FFFFFF"/>
        </w:rPr>
        <w:lastRenderedPageBreak/>
        <w:t>wszystkie minimalne wymagania dotyczące pojemności, minimalną ofertę sprzedaży ora</w:t>
      </w:r>
      <w:r w:rsidR="001D0628">
        <w:rPr>
          <w:rFonts w:ascii="Times New Roman" w:hAnsi="Times New Roman"/>
          <w:sz w:val="24"/>
          <w:szCs w:val="24"/>
          <w:shd w:val="clear" w:color="auto" w:fill="FFFFFF"/>
        </w:rPr>
        <w:t>z </w:t>
      </w:r>
      <w:r w:rsidRPr="00EF6F97">
        <w:rPr>
          <w:rFonts w:ascii="Times New Roman" w:hAnsi="Times New Roman"/>
          <w:sz w:val="24"/>
          <w:szCs w:val="24"/>
          <w:shd w:val="clear" w:color="auto" w:fill="FFFFFF"/>
        </w:rPr>
        <w:t>zakupu.</w:t>
      </w:r>
    </w:p>
    <w:p w14:paraId="65C4D59F" w14:textId="77777777" w:rsidR="005D3849" w:rsidRPr="00EF6F97" w:rsidRDefault="005D3849" w:rsidP="00EF6F97">
      <w:pPr>
        <w:pStyle w:val="Akapitzlist"/>
        <w:numPr>
          <w:ilvl w:val="0"/>
          <w:numId w:val="39"/>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 xml:space="preserve">FERC wymaga, aby sprzedaż energii elektrycznej </w:t>
      </w:r>
      <w:r w:rsidR="001D0628">
        <w:rPr>
          <w:rFonts w:ascii="Times New Roman" w:hAnsi="Times New Roman"/>
          <w:sz w:val="24"/>
          <w:szCs w:val="24"/>
          <w:shd w:val="clear" w:color="auto" w:fill="FFFFFF"/>
        </w:rPr>
        <w:t>z </w:t>
      </w:r>
      <w:r w:rsidRPr="00EF6F97">
        <w:rPr>
          <w:rFonts w:ascii="Times New Roman" w:hAnsi="Times New Roman"/>
          <w:sz w:val="24"/>
          <w:szCs w:val="24"/>
          <w:shd w:val="clear" w:color="auto" w:fill="FFFFFF"/>
        </w:rPr>
        <w:t>rynku OSD</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 xml:space="preserve">OSP do magazynu energii, którą następnie odsprzeda </w:t>
      </w:r>
      <w:r w:rsidR="001D0628">
        <w:rPr>
          <w:rFonts w:ascii="Times New Roman" w:hAnsi="Times New Roman"/>
          <w:sz w:val="24"/>
          <w:szCs w:val="24"/>
          <w:shd w:val="clear" w:color="auto" w:fill="FFFFFF"/>
        </w:rPr>
        <w:t>z </w:t>
      </w:r>
      <w:r w:rsidRPr="00EF6F97">
        <w:rPr>
          <w:rFonts w:ascii="Times New Roman" w:hAnsi="Times New Roman"/>
          <w:sz w:val="24"/>
          <w:szCs w:val="24"/>
          <w:shd w:val="clear" w:color="auto" w:fill="FFFFFF"/>
        </w:rPr>
        <w:t>powrotem na te rynki, odbywała się po cenie hurtowej za energię elektryczną. Ponadto wymaga od operatorów posiadania liczników mierzących całą energię wchodzącą</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wychodzącą. Natomiast magazyny OSD</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u odbiorcy za licznikiem wymagają innego rozwiązania.</w:t>
      </w:r>
    </w:p>
    <w:p w14:paraId="4B44180B" w14:textId="77777777" w:rsidR="005D3849" w:rsidRPr="00EF6F97" w:rsidRDefault="005D3849" w:rsidP="00EF6F97">
      <w:pPr>
        <w:spacing w:line="360" w:lineRule="auto"/>
        <w:jc w:val="both"/>
        <w:rPr>
          <w:rFonts w:ascii="Times New Roman" w:hAnsi="Times New Roman" w:cs="Times New Roman"/>
          <w:i/>
          <w:sz w:val="24"/>
          <w:szCs w:val="24"/>
          <w:shd w:val="clear" w:color="auto" w:fill="FFFFFF"/>
          <w:lang w:val="en-US"/>
        </w:rPr>
      </w:pPr>
      <w:r w:rsidRPr="00EF6F97">
        <w:rPr>
          <w:rFonts w:ascii="Times New Roman" w:hAnsi="Times New Roman" w:cs="Times New Roman"/>
          <w:i/>
          <w:sz w:val="24"/>
          <w:szCs w:val="24"/>
          <w:shd w:val="clear" w:color="auto" w:fill="FFFFFF"/>
          <w:lang w:val="en-US"/>
        </w:rPr>
        <w:t>Źródło: ferc.gov/media/news-releases/2018/2018-1/02-15-18-E-1.asp#.W07oOtIzbct</w:t>
      </w:r>
    </w:p>
    <w:p w14:paraId="0E5B2B53" w14:textId="77777777" w:rsidR="005D3849" w:rsidRPr="00EF6F97" w:rsidRDefault="005D3849" w:rsidP="00EF6F97">
      <w:pPr>
        <w:spacing w:line="360" w:lineRule="auto"/>
        <w:jc w:val="both"/>
        <w:rPr>
          <w:rFonts w:ascii="Times New Roman" w:hAnsi="Times New Roman" w:cs="Times New Roman"/>
          <w:i/>
          <w:sz w:val="24"/>
          <w:szCs w:val="24"/>
          <w:shd w:val="clear" w:color="auto" w:fill="FFFFFF"/>
          <w:lang w:val="en-US"/>
        </w:rPr>
      </w:pPr>
      <w:r w:rsidRPr="00EF6F97">
        <w:rPr>
          <w:rFonts w:ascii="Times New Roman" w:hAnsi="Times New Roman" w:cs="Times New Roman"/>
          <w:i/>
          <w:sz w:val="24"/>
          <w:szCs w:val="24"/>
          <w:shd w:val="clear" w:color="auto" w:fill="FFFFFF"/>
          <w:lang w:val="en-US"/>
        </w:rPr>
        <w:t>ferc.gov/whats-new/comm-meet/2018/021518/E-1.pdf</w:t>
      </w:r>
    </w:p>
    <w:p w14:paraId="5A99D403" w14:textId="77777777" w:rsidR="005D3849" w:rsidRPr="00EF6F97" w:rsidRDefault="005D3849" w:rsidP="00EF6F97">
      <w:pPr>
        <w:pStyle w:val="Akapitzlist"/>
        <w:numPr>
          <w:ilvl w:val="0"/>
          <w:numId w:val="16"/>
        </w:numPr>
        <w:spacing w:after="0" w:line="360" w:lineRule="auto"/>
        <w:jc w:val="both"/>
        <w:rPr>
          <w:rFonts w:ascii="Times New Roman" w:hAnsi="Times New Roman"/>
          <w:b/>
          <w:i/>
          <w:sz w:val="24"/>
          <w:szCs w:val="24"/>
          <w:shd w:val="clear" w:color="auto" w:fill="FFFFFF"/>
        </w:rPr>
      </w:pPr>
      <w:r w:rsidRPr="00EF6F97">
        <w:rPr>
          <w:rFonts w:ascii="Times New Roman" w:hAnsi="Times New Roman"/>
          <w:b/>
          <w:i/>
          <w:sz w:val="24"/>
          <w:szCs w:val="24"/>
          <w:shd w:val="clear" w:color="auto" w:fill="FFFFFF"/>
        </w:rPr>
        <w:t>JAPONIA</w:t>
      </w:r>
    </w:p>
    <w:p w14:paraId="5A674E28" w14:textId="77777777" w:rsidR="005D3849" w:rsidRPr="00EF6F97" w:rsidRDefault="005D3849"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Obecny stan</w:t>
      </w:r>
    </w:p>
    <w:p w14:paraId="482E30EB" w14:textId="77777777" w:rsidR="005D3849"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D3849" w:rsidRPr="00EF6F97">
        <w:rPr>
          <w:rFonts w:ascii="Times New Roman" w:hAnsi="Times New Roman" w:cs="Times New Roman"/>
          <w:sz w:val="24"/>
          <w:szCs w:val="24"/>
        </w:rPr>
        <w:t>Po katastrofie jądrowej w Fukushimie, japoński rząd zmienił swoją strategię energetyczną, aby położyć większy nacisk na odnawialne źródła energii. Japońska Rada ds. Promocji Nowej Energii (NEPC) otrzymała 2,57 mld USD, na wsparcie ”Large-Scale Grid-Balancing Battery Energy Demonstration Projects”. Japoński rząd ustalił także cel rozwoju, który zakłada, że ​​do 2020</w:t>
      </w:r>
      <w:r w:rsidR="001D0628">
        <w:rPr>
          <w:rFonts w:ascii="Times New Roman" w:hAnsi="Times New Roman" w:cs="Times New Roman"/>
          <w:sz w:val="24"/>
          <w:szCs w:val="24"/>
        </w:rPr>
        <w:t> r.</w:t>
      </w:r>
      <w:r w:rsidR="005D3849" w:rsidRPr="00EF6F97">
        <w:rPr>
          <w:rFonts w:ascii="Times New Roman" w:hAnsi="Times New Roman" w:cs="Times New Roman"/>
          <w:sz w:val="24"/>
          <w:szCs w:val="24"/>
        </w:rPr>
        <w:t xml:space="preserve"> japońscy producenci magazynów energii powinni kontrolować 50% udziału w światowym rynku. Aby osiągnąć ten cel, Japonia zobowiązała się do wdrożenia mechanizmów wspierających zastosowanie magazynowania energii w wytwarzaniu, przesyle, dystrybucji</w:t>
      </w:r>
      <w:r w:rsidR="001D0628">
        <w:rPr>
          <w:rFonts w:ascii="Times New Roman" w:hAnsi="Times New Roman" w:cs="Times New Roman"/>
          <w:sz w:val="24"/>
          <w:szCs w:val="24"/>
        </w:rPr>
        <w:t xml:space="preserve"> i </w:t>
      </w:r>
      <w:r w:rsidR="005D3849" w:rsidRPr="00EF6F97">
        <w:rPr>
          <w:rFonts w:ascii="Times New Roman" w:hAnsi="Times New Roman" w:cs="Times New Roman"/>
          <w:sz w:val="24"/>
          <w:szCs w:val="24"/>
        </w:rPr>
        <w:t>zużyciu energii.</w:t>
      </w:r>
    </w:p>
    <w:p w14:paraId="2F177FCA" w14:textId="77777777" w:rsidR="005D3849"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D3849" w:rsidRPr="00EF6F97">
        <w:rPr>
          <w:rFonts w:ascii="Times New Roman" w:hAnsi="Times New Roman" w:cs="Times New Roman"/>
          <w:sz w:val="24"/>
          <w:szCs w:val="24"/>
        </w:rPr>
        <w:t>Japońskie Ministerstwo Gospodarki, Handlu</w:t>
      </w:r>
      <w:r w:rsidR="001D0628">
        <w:rPr>
          <w:rFonts w:ascii="Times New Roman" w:hAnsi="Times New Roman" w:cs="Times New Roman"/>
          <w:sz w:val="24"/>
          <w:szCs w:val="24"/>
        </w:rPr>
        <w:t xml:space="preserve"> i </w:t>
      </w:r>
      <w:r w:rsidR="005D3849" w:rsidRPr="00EF6F97">
        <w:rPr>
          <w:rFonts w:ascii="Times New Roman" w:hAnsi="Times New Roman" w:cs="Times New Roman"/>
          <w:sz w:val="24"/>
          <w:szCs w:val="24"/>
        </w:rPr>
        <w:t>Przemysłu (METI) rozpoczęło w 2014</w:t>
      </w:r>
      <w:r w:rsidR="001D0628">
        <w:rPr>
          <w:rFonts w:ascii="Times New Roman" w:hAnsi="Times New Roman" w:cs="Times New Roman"/>
          <w:sz w:val="24"/>
          <w:szCs w:val="24"/>
        </w:rPr>
        <w:t> r.</w:t>
      </w:r>
      <w:r w:rsidR="005D3849" w:rsidRPr="00EF6F97">
        <w:rPr>
          <w:rFonts w:ascii="Times New Roman" w:hAnsi="Times New Roman" w:cs="Times New Roman"/>
          <w:sz w:val="24"/>
          <w:szCs w:val="24"/>
        </w:rPr>
        <w:t xml:space="preserve"> program zachęt dla systemów magazynowania energii Li-ion o wartości co najmniej 1 kWh, przeznaczając na fundus</w:t>
      </w:r>
      <w:r w:rsidR="001D0628">
        <w:rPr>
          <w:rFonts w:ascii="Times New Roman" w:hAnsi="Times New Roman" w:cs="Times New Roman"/>
          <w:sz w:val="24"/>
          <w:szCs w:val="24"/>
        </w:rPr>
        <w:t>z </w:t>
      </w:r>
      <w:r w:rsidR="005D3849" w:rsidRPr="00EF6F97">
        <w:rPr>
          <w:rFonts w:ascii="Times New Roman" w:hAnsi="Times New Roman" w:cs="Times New Roman"/>
          <w:sz w:val="24"/>
          <w:szCs w:val="24"/>
        </w:rPr>
        <w:t>prawie 100 milionów USD. Nabywcy systemów akumulatorów litowo-jonowych mogą uzyskać do 2/3 dofinansowania, maksymalnie 10 000USD dla gospodarstw domowych ora</w:t>
      </w:r>
      <w:r w:rsidR="001D0628">
        <w:rPr>
          <w:rFonts w:ascii="Times New Roman" w:hAnsi="Times New Roman" w:cs="Times New Roman"/>
          <w:sz w:val="24"/>
          <w:szCs w:val="24"/>
        </w:rPr>
        <w:t>z </w:t>
      </w:r>
      <w:r w:rsidR="005D3849" w:rsidRPr="00EF6F97">
        <w:rPr>
          <w:rFonts w:ascii="Times New Roman" w:hAnsi="Times New Roman" w:cs="Times New Roman"/>
          <w:sz w:val="24"/>
          <w:szCs w:val="24"/>
        </w:rPr>
        <w:t>100 000 USD dla firm.</w:t>
      </w:r>
    </w:p>
    <w:p w14:paraId="338E28BF" w14:textId="77777777" w:rsidR="005D3849" w:rsidRPr="00EF6F97" w:rsidRDefault="005D3849" w:rsidP="00EF6F97">
      <w:pPr>
        <w:spacing w:line="360" w:lineRule="auto"/>
        <w:jc w:val="both"/>
        <w:rPr>
          <w:rFonts w:ascii="Times New Roman" w:hAnsi="Times New Roman" w:cs="Times New Roman"/>
          <w:i/>
          <w:sz w:val="24"/>
          <w:szCs w:val="24"/>
          <w:shd w:val="clear" w:color="auto" w:fill="FFFFFF"/>
          <w:lang w:val="en-US"/>
        </w:rPr>
      </w:pPr>
      <w:r w:rsidRPr="00EF6F97">
        <w:rPr>
          <w:rFonts w:ascii="Times New Roman" w:hAnsi="Times New Roman" w:cs="Times New Roman"/>
          <w:i/>
          <w:sz w:val="24"/>
          <w:szCs w:val="24"/>
          <w:shd w:val="clear" w:color="auto" w:fill="FFFFFF"/>
          <w:lang w:val="en-US"/>
        </w:rPr>
        <w:t>Źródło: engerati.com/article/japan-introduces-energy-storage-subsidy</w:t>
      </w:r>
    </w:p>
    <w:p w14:paraId="6FBE0259" w14:textId="77777777" w:rsidR="005D3849" w:rsidRPr="00EF6F97" w:rsidRDefault="005D3849" w:rsidP="00EF6F97">
      <w:pPr>
        <w:spacing w:line="360" w:lineRule="auto"/>
        <w:jc w:val="both"/>
        <w:rPr>
          <w:rFonts w:ascii="Times New Roman" w:hAnsi="Times New Roman" w:cs="Times New Roman"/>
          <w:b/>
          <w:i/>
          <w:sz w:val="24"/>
          <w:szCs w:val="24"/>
          <w:shd w:val="clear" w:color="auto" w:fill="FFFFFF"/>
        </w:rPr>
      </w:pPr>
      <w:r w:rsidRPr="00EF6F97">
        <w:rPr>
          <w:rFonts w:ascii="Times New Roman" w:hAnsi="Times New Roman" w:cs="Times New Roman"/>
          <w:b/>
          <w:sz w:val="24"/>
          <w:szCs w:val="24"/>
        </w:rPr>
        <w:t>Regulacje prawne w Japonii</w:t>
      </w:r>
    </w:p>
    <w:p w14:paraId="676CFDCD" w14:textId="77777777" w:rsidR="005D3849" w:rsidRPr="00EF6F97" w:rsidRDefault="00D20DB5" w:rsidP="00EF6F97">
      <w:pPr>
        <w:spacing w:line="360" w:lineRule="auto"/>
        <w:jc w:val="both"/>
        <w:rPr>
          <w:rFonts w:ascii="Times New Roman" w:hAnsi="Times New Roman" w:cs="Times New Roman"/>
          <w:sz w:val="24"/>
          <w:szCs w:val="24"/>
          <w:shd w:val="clear" w:color="auto" w:fill="FFFFFF"/>
        </w:rPr>
      </w:pPr>
      <w:r w:rsidRPr="00EF6F97">
        <w:rPr>
          <w:rFonts w:ascii="Times New Roman" w:hAnsi="Times New Roman" w:cs="Times New Roman"/>
          <w:sz w:val="24"/>
          <w:szCs w:val="24"/>
          <w:shd w:val="clear" w:color="auto" w:fill="FFFFFF"/>
        </w:rPr>
        <w:tab/>
      </w:r>
      <w:r w:rsidR="005D3849" w:rsidRPr="00EF6F97">
        <w:rPr>
          <w:rFonts w:ascii="Times New Roman" w:hAnsi="Times New Roman" w:cs="Times New Roman"/>
          <w:sz w:val="24"/>
          <w:szCs w:val="24"/>
          <w:shd w:val="clear" w:color="auto" w:fill="FFFFFF"/>
        </w:rPr>
        <w:t>W przypadku instalacji magazynowania energii w Japonii wymagane są określone pozwolenia, które zostały omówione w poniższej tabeli.</w:t>
      </w:r>
    </w:p>
    <w:tbl>
      <w:tblPr>
        <w:tblW w:w="9629" w:type="dxa"/>
        <w:jc w:val="center"/>
        <w:tblLayout w:type="fixed"/>
        <w:tblCellMar>
          <w:left w:w="0" w:type="dxa"/>
          <w:right w:w="0" w:type="dxa"/>
        </w:tblCellMar>
        <w:tblLook w:val="04A0" w:firstRow="1" w:lastRow="0" w:firstColumn="1" w:lastColumn="0" w:noHBand="0" w:noVBand="1"/>
      </w:tblPr>
      <w:tblGrid>
        <w:gridCol w:w="1429"/>
        <w:gridCol w:w="2410"/>
        <w:gridCol w:w="3118"/>
        <w:gridCol w:w="2672"/>
      </w:tblGrid>
      <w:tr w:rsidR="005D3849" w:rsidRPr="00EF6F97" w14:paraId="29DFEB80" w14:textId="77777777" w:rsidTr="005D3849">
        <w:trPr>
          <w:trHeight w:val="250"/>
          <w:jc w:val="center"/>
        </w:trPr>
        <w:tc>
          <w:tcPr>
            <w:tcW w:w="1429" w:type="dxa"/>
            <w:tcBorders>
              <w:top w:val="single" w:sz="8" w:space="0" w:color="auto"/>
              <w:left w:val="single" w:sz="8" w:space="0" w:color="auto"/>
              <w:bottom w:val="single" w:sz="8" w:space="0" w:color="auto"/>
              <w:right w:val="single" w:sz="8" w:space="0" w:color="auto"/>
            </w:tcBorders>
            <w:shd w:val="clear" w:color="auto" w:fill="04498C"/>
            <w:vAlign w:val="center"/>
          </w:tcPr>
          <w:p w14:paraId="5B5189D9" w14:textId="77777777" w:rsidR="005D3849" w:rsidRPr="00EF6F97" w:rsidRDefault="005D3849" w:rsidP="00EF6F97">
            <w:pPr>
              <w:spacing w:line="360" w:lineRule="auto"/>
              <w:jc w:val="center"/>
              <w:rPr>
                <w:rFonts w:ascii="Times New Roman" w:hAnsi="Times New Roman" w:cs="Times New Roman"/>
                <w:b/>
                <w:sz w:val="24"/>
              </w:rPr>
            </w:pPr>
            <w:r w:rsidRPr="00EF6F97">
              <w:rPr>
                <w:rFonts w:ascii="Times New Roman" w:hAnsi="Times New Roman" w:cs="Times New Roman"/>
                <w:b/>
                <w:sz w:val="24"/>
              </w:rPr>
              <w:t>Typ</w:t>
            </w:r>
          </w:p>
        </w:tc>
        <w:tc>
          <w:tcPr>
            <w:tcW w:w="5528" w:type="dxa"/>
            <w:gridSpan w:val="2"/>
            <w:tcBorders>
              <w:top w:val="single" w:sz="8" w:space="0" w:color="auto"/>
              <w:bottom w:val="single" w:sz="8" w:space="0" w:color="auto"/>
              <w:right w:val="single" w:sz="8" w:space="0" w:color="auto"/>
            </w:tcBorders>
            <w:shd w:val="clear" w:color="auto" w:fill="04498C"/>
            <w:vAlign w:val="center"/>
          </w:tcPr>
          <w:p w14:paraId="622224A5" w14:textId="77777777" w:rsidR="005D3849" w:rsidRPr="00EF6F97" w:rsidRDefault="005D3849" w:rsidP="00EF6F97">
            <w:pPr>
              <w:spacing w:line="360" w:lineRule="auto"/>
              <w:jc w:val="center"/>
              <w:rPr>
                <w:rFonts w:ascii="Times New Roman" w:hAnsi="Times New Roman" w:cs="Times New Roman"/>
                <w:b/>
                <w:sz w:val="24"/>
              </w:rPr>
            </w:pPr>
            <w:r w:rsidRPr="00EF6F97">
              <w:rPr>
                <w:rFonts w:ascii="Times New Roman" w:hAnsi="Times New Roman" w:cs="Times New Roman"/>
                <w:b/>
                <w:sz w:val="24"/>
              </w:rPr>
              <w:t>Regulacje prawne</w:t>
            </w:r>
          </w:p>
        </w:tc>
        <w:tc>
          <w:tcPr>
            <w:tcW w:w="2672" w:type="dxa"/>
            <w:tcBorders>
              <w:top w:val="single" w:sz="8" w:space="0" w:color="auto"/>
              <w:bottom w:val="single" w:sz="8" w:space="0" w:color="auto"/>
              <w:right w:val="single" w:sz="8" w:space="0" w:color="auto"/>
            </w:tcBorders>
            <w:shd w:val="clear" w:color="auto" w:fill="04498C"/>
            <w:vAlign w:val="center"/>
          </w:tcPr>
          <w:p w14:paraId="52E4AD79" w14:textId="77777777" w:rsidR="005D3849" w:rsidRPr="00EF6F97" w:rsidRDefault="005D3849" w:rsidP="00EF6F97">
            <w:pPr>
              <w:spacing w:line="360" w:lineRule="auto"/>
              <w:jc w:val="center"/>
              <w:rPr>
                <w:rFonts w:ascii="Times New Roman" w:hAnsi="Times New Roman" w:cs="Times New Roman"/>
                <w:b/>
                <w:sz w:val="24"/>
              </w:rPr>
            </w:pPr>
            <w:r w:rsidRPr="00EF6F97">
              <w:rPr>
                <w:rFonts w:ascii="Times New Roman" w:hAnsi="Times New Roman" w:cs="Times New Roman"/>
                <w:b/>
                <w:sz w:val="24"/>
              </w:rPr>
              <w:t>Organizacja</w:t>
            </w:r>
          </w:p>
        </w:tc>
      </w:tr>
      <w:tr w:rsidR="005D3849" w:rsidRPr="00EF6F97" w14:paraId="568E060D" w14:textId="77777777" w:rsidTr="005D3849">
        <w:trPr>
          <w:trHeight w:val="120"/>
          <w:jc w:val="center"/>
        </w:trPr>
        <w:tc>
          <w:tcPr>
            <w:tcW w:w="1429" w:type="dxa"/>
            <w:vMerge w:val="restart"/>
            <w:tcBorders>
              <w:top w:val="single" w:sz="8" w:space="0" w:color="auto"/>
              <w:left w:val="single" w:sz="8" w:space="0" w:color="auto"/>
              <w:right w:val="single" w:sz="8" w:space="0" w:color="auto"/>
            </w:tcBorders>
            <w:shd w:val="clear" w:color="auto" w:fill="FFFFFF"/>
            <w:vAlign w:val="center"/>
          </w:tcPr>
          <w:p w14:paraId="0E5A6099" w14:textId="77777777" w:rsidR="005D3849" w:rsidRPr="00EF6F97" w:rsidRDefault="005D3849" w:rsidP="00EF6F97">
            <w:pPr>
              <w:spacing w:line="360" w:lineRule="auto"/>
              <w:jc w:val="center"/>
              <w:rPr>
                <w:rFonts w:ascii="Times New Roman" w:hAnsi="Times New Roman" w:cs="Times New Roman"/>
              </w:rPr>
            </w:pPr>
            <w:r w:rsidRPr="00EF6F97">
              <w:rPr>
                <w:rFonts w:ascii="Times New Roman" w:hAnsi="Times New Roman" w:cs="Times New Roman"/>
              </w:rPr>
              <w:t>Wytyczne (Wymagania techniczne)</w:t>
            </w:r>
          </w:p>
        </w:tc>
        <w:tc>
          <w:tcPr>
            <w:tcW w:w="552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C3891EB"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Wytyczne techniczne dotyczące połączeń sieci w celu zapewnienia bezpiecznej jakości energii elektrycznej (2013)</w:t>
            </w:r>
          </w:p>
        </w:tc>
        <w:tc>
          <w:tcPr>
            <w:tcW w:w="2672" w:type="dxa"/>
            <w:tcBorders>
              <w:top w:val="single" w:sz="8" w:space="0" w:color="auto"/>
              <w:left w:val="single" w:sz="8" w:space="0" w:color="auto"/>
              <w:bottom w:val="single" w:sz="8" w:space="0" w:color="auto"/>
              <w:right w:val="single" w:sz="8" w:space="0" w:color="auto"/>
            </w:tcBorders>
            <w:shd w:val="clear" w:color="auto" w:fill="FFFFFF"/>
            <w:vAlign w:val="center"/>
          </w:tcPr>
          <w:p w14:paraId="6142B105" w14:textId="77777777" w:rsidR="005D3849" w:rsidRPr="00EF6F97" w:rsidRDefault="005D3849" w:rsidP="00EF6F97">
            <w:pPr>
              <w:spacing w:line="360" w:lineRule="auto"/>
              <w:jc w:val="center"/>
              <w:rPr>
                <w:rFonts w:ascii="Times New Roman" w:hAnsi="Times New Roman" w:cs="Times New Roman"/>
              </w:rPr>
            </w:pPr>
            <w:r w:rsidRPr="00EF6F97">
              <w:rPr>
                <w:rFonts w:ascii="Times New Roman" w:hAnsi="Times New Roman" w:cs="Times New Roman"/>
              </w:rPr>
              <w:t>Ministerstwo Gospodarki, Handlu</w:t>
            </w:r>
            <w:r w:rsidR="001D0628">
              <w:rPr>
                <w:rFonts w:ascii="Times New Roman" w:hAnsi="Times New Roman" w:cs="Times New Roman"/>
              </w:rPr>
              <w:t xml:space="preserve"> i </w:t>
            </w:r>
            <w:r w:rsidRPr="00EF6F97">
              <w:rPr>
                <w:rFonts w:ascii="Times New Roman" w:hAnsi="Times New Roman" w:cs="Times New Roman"/>
              </w:rPr>
              <w:t>Przemysłu (METI)</w:t>
            </w:r>
          </w:p>
        </w:tc>
      </w:tr>
      <w:tr w:rsidR="005D3849" w:rsidRPr="00EF6F97" w14:paraId="243BB58A" w14:textId="77777777" w:rsidTr="005D3849">
        <w:trPr>
          <w:trHeight w:val="572"/>
          <w:jc w:val="center"/>
        </w:trPr>
        <w:tc>
          <w:tcPr>
            <w:tcW w:w="1429" w:type="dxa"/>
            <w:vMerge/>
            <w:tcBorders>
              <w:left w:val="single" w:sz="8" w:space="0" w:color="auto"/>
              <w:bottom w:val="single" w:sz="8" w:space="0" w:color="auto"/>
              <w:right w:val="single" w:sz="8" w:space="0" w:color="auto"/>
            </w:tcBorders>
            <w:shd w:val="clear" w:color="auto" w:fill="FFFFFF"/>
            <w:vAlign w:val="center"/>
          </w:tcPr>
          <w:p w14:paraId="218AF685" w14:textId="77777777" w:rsidR="005D3849" w:rsidRPr="00EF6F97" w:rsidRDefault="005D3849" w:rsidP="00EF6F97">
            <w:pPr>
              <w:spacing w:line="360" w:lineRule="auto"/>
              <w:ind w:left="120"/>
              <w:jc w:val="both"/>
              <w:rPr>
                <w:rFonts w:ascii="Times New Roman" w:hAnsi="Times New Roman" w:cs="Times New Roman"/>
              </w:rPr>
            </w:pPr>
          </w:p>
        </w:tc>
        <w:tc>
          <w:tcPr>
            <w:tcW w:w="5528" w:type="dxa"/>
            <w:gridSpan w:val="2"/>
            <w:tcBorders>
              <w:top w:val="single" w:sz="8" w:space="0" w:color="auto"/>
              <w:right w:val="single" w:sz="8" w:space="0" w:color="auto"/>
            </w:tcBorders>
            <w:shd w:val="clear" w:color="auto" w:fill="FFFFFF"/>
            <w:vAlign w:val="center"/>
          </w:tcPr>
          <w:p w14:paraId="6B1FFEF7"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Kodeks połączeń sieciowych (JEAC 9701-2012)</w:t>
            </w:r>
          </w:p>
        </w:tc>
        <w:tc>
          <w:tcPr>
            <w:tcW w:w="2672" w:type="dxa"/>
            <w:tcBorders>
              <w:top w:val="single" w:sz="8" w:space="0" w:color="auto"/>
              <w:right w:val="single" w:sz="8" w:space="0" w:color="auto"/>
            </w:tcBorders>
            <w:shd w:val="clear" w:color="auto" w:fill="FFFFFF"/>
            <w:vAlign w:val="center"/>
          </w:tcPr>
          <w:p w14:paraId="458541D7"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Stowarzyszenie Elektryki Japonii (JEA)</w:t>
            </w:r>
          </w:p>
        </w:tc>
      </w:tr>
      <w:tr w:rsidR="005D3849" w:rsidRPr="00EF6F97" w14:paraId="7AB9AE45" w14:textId="77777777" w:rsidTr="005D3849">
        <w:trPr>
          <w:trHeight w:val="242"/>
          <w:jc w:val="center"/>
        </w:trPr>
        <w:tc>
          <w:tcPr>
            <w:tcW w:w="1429" w:type="dxa"/>
            <w:vMerge w:val="restart"/>
            <w:tcBorders>
              <w:top w:val="single" w:sz="8" w:space="0" w:color="auto"/>
              <w:left w:val="single" w:sz="8" w:space="0" w:color="auto"/>
              <w:right w:val="single" w:sz="8" w:space="0" w:color="auto"/>
            </w:tcBorders>
            <w:shd w:val="clear" w:color="auto" w:fill="FFFFFF"/>
            <w:vAlign w:val="center"/>
          </w:tcPr>
          <w:p w14:paraId="21B04035" w14:textId="77777777" w:rsidR="005D3849" w:rsidRPr="00EF6F97" w:rsidRDefault="005D3849" w:rsidP="00EF6F97">
            <w:pPr>
              <w:spacing w:line="360" w:lineRule="auto"/>
              <w:jc w:val="center"/>
              <w:rPr>
                <w:rFonts w:ascii="Times New Roman" w:hAnsi="Times New Roman" w:cs="Times New Roman"/>
              </w:rPr>
            </w:pPr>
            <w:r w:rsidRPr="00EF6F97">
              <w:rPr>
                <w:rFonts w:ascii="Times New Roman" w:hAnsi="Times New Roman" w:cs="Times New Roman"/>
              </w:rPr>
              <w:t>Pozostałe</w:t>
            </w:r>
          </w:p>
        </w:tc>
        <w:tc>
          <w:tcPr>
            <w:tcW w:w="2410" w:type="dxa"/>
            <w:tcBorders>
              <w:top w:val="single" w:sz="8" w:space="0" w:color="auto"/>
              <w:bottom w:val="single" w:sz="8" w:space="0" w:color="auto"/>
              <w:right w:val="single" w:sz="8" w:space="0" w:color="auto"/>
            </w:tcBorders>
            <w:shd w:val="clear" w:color="auto" w:fill="FFFFFF"/>
            <w:vAlign w:val="center"/>
          </w:tcPr>
          <w:p w14:paraId="019BF944"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 xml:space="preserve">Akt prawny dotyczący </w:t>
            </w:r>
            <w:r w:rsidRPr="00EF6F97">
              <w:rPr>
                <w:rFonts w:ascii="Times New Roman" w:hAnsi="Times New Roman" w:cs="Times New Roman"/>
              </w:rPr>
              <w:lastRenderedPageBreak/>
              <w:t>energii elektrycznej</w:t>
            </w:r>
          </w:p>
        </w:tc>
        <w:tc>
          <w:tcPr>
            <w:tcW w:w="3118" w:type="dxa"/>
            <w:tcBorders>
              <w:top w:val="single" w:sz="8" w:space="0" w:color="auto"/>
              <w:bottom w:val="single" w:sz="8" w:space="0" w:color="auto"/>
              <w:right w:val="single" w:sz="8" w:space="0" w:color="auto"/>
            </w:tcBorders>
            <w:shd w:val="clear" w:color="auto" w:fill="FFFFFF"/>
            <w:vAlign w:val="center"/>
          </w:tcPr>
          <w:p w14:paraId="57B6482B"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lastRenderedPageBreak/>
              <w:t>Wymagane zatwierdzenie dla dużych</w:t>
            </w:r>
            <w:r w:rsidR="00EF6F97">
              <w:rPr>
                <w:rFonts w:ascii="Times New Roman" w:hAnsi="Times New Roman" w:cs="Times New Roman"/>
              </w:rPr>
              <w:t xml:space="preserve"> </w:t>
            </w:r>
            <w:r w:rsidRPr="00EF6F97">
              <w:rPr>
                <w:rFonts w:ascii="Times New Roman" w:hAnsi="Times New Roman" w:cs="Times New Roman"/>
              </w:rPr>
              <w:lastRenderedPageBreak/>
              <w:t>magazynów energii (większych niż 80,000kWh)</w:t>
            </w:r>
          </w:p>
        </w:tc>
        <w:tc>
          <w:tcPr>
            <w:tcW w:w="2672" w:type="dxa"/>
            <w:tcBorders>
              <w:top w:val="single" w:sz="8" w:space="0" w:color="auto"/>
              <w:bottom w:val="single" w:sz="8" w:space="0" w:color="auto"/>
              <w:right w:val="single" w:sz="8" w:space="0" w:color="auto"/>
            </w:tcBorders>
            <w:shd w:val="clear" w:color="auto" w:fill="FFFFFF"/>
            <w:vAlign w:val="center"/>
          </w:tcPr>
          <w:p w14:paraId="06FB88BF"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lastRenderedPageBreak/>
              <w:t xml:space="preserve">Ministerstwo Gospodarki, </w:t>
            </w:r>
            <w:r w:rsidRPr="00EF6F97">
              <w:rPr>
                <w:rFonts w:ascii="Times New Roman" w:hAnsi="Times New Roman" w:cs="Times New Roman"/>
              </w:rPr>
              <w:lastRenderedPageBreak/>
              <w:t>Handlu</w:t>
            </w:r>
            <w:r w:rsidR="001D0628">
              <w:rPr>
                <w:rFonts w:ascii="Times New Roman" w:hAnsi="Times New Roman" w:cs="Times New Roman"/>
              </w:rPr>
              <w:t xml:space="preserve"> i </w:t>
            </w:r>
            <w:r w:rsidRPr="00EF6F97">
              <w:rPr>
                <w:rFonts w:ascii="Times New Roman" w:hAnsi="Times New Roman" w:cs="Times New Roman"/>
              </w:rPr>
              <w:t>Przemysłu (METI)</w:t>
            </w:r>
          </w:p>
        </w:tc>
      </w:tr>
      <w:tr w:rsidR="005D3849" w:rsidRPr="00EF6F97" w14:paraId="033AF7BB" w14:textId="77777777" w:rsidTr="005D3849">
        <w:trPr>
          <w:trHeight w:val="177"/>
          <w:jc w:val="center"/>
        </w:trPr>
        <w:tc>
          <w:tcPr>
            <w:tcW w:w="1429" w:type="dxa"/>
            <w:vMerge/>
            <w:tcBorders>
              <w:left w:val="single" w:sz="8" w:space="0" w:color="auto"/>
              <w:right w:val="single" w:sz="8" w:space="0" w:color="auto"/>
            </w:tcBorders>
            <w:shd w:val="clear" w:color="auto" w:fill="FFFFFF"/>
            <w:vAlign w:val="center"/>
          </w:tcPr>
          <w:p w14:paraId="405F97AF" w14:textId="77777777" w:rsidR="005D3849" w:rsidRPr="00EF6F97" w:rsidRDefault="005D3849" w:rsidP="00EF6F97">
            <w:pPr>
              <w:spacing w:line="360" w:lineRule="auto"/>
              <w:ind w:left="120"/>
              <w:jc w:val="center"/>
              <w:rPr>
                <w:rFonts w:ascii="Times New Roman" w:hAnsi="Times New Roman" w:cs="Times New Roman"/>
              </w:rPr>
            </w:pPr>
          </w:p>
        </w:tc>
        <w:tc>
          <w:tcPr>
            <w:tcW w:w="2410" w:type="dxa"/>
            <w:tcBorders>
              <w:top w:val="single" w:sz="8" w:space="0" w:color="auto"/>
              <w:bottom w:val="single" w:sz="8" w:space="0" w:color="auto"/>
              <w:right w:val="single" w:sz="8" w:space="0" w:color="auto"/>
            </w:tcBorders>
            <w:shd w:val="clear" w:color="auto" w:fill="FFFFFF"/>
            <w:vAlign w:val="center"/>
          </w:tcPr>
          <w:p w14:paraId="2E4AEFEA"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Przepisy przeciwpożarowe</w:t>
            </w:r>
          </w:p>
        </w:tc>
        <w:tc>
          <w:tcPr>
            <w:tcW w:w="3118" w:type="dxa"/>
            <w:tcBorders>
              <w:top w:val="single" w:sz="8" w:space="0" w:color="auto"/>
              <w:bottom w:val="single" w:sz="8" w:space="0" w:color="auto"/>
              <w:right w:val="single" w:sz="8" w:space="0" w:color="auto"/>
            </w:tcBorders>
            <w:shd w:val="clear" w:color="auto" w:fill="FFFFFF"/>
            <w:vAlign w:val="center"/>
          </w:tcPr>
          <w:p w14:paraId="0BE2A799"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Niebezpieczny materiał dla ponad 1,000l organicznego roztworu elektrolitu</w:t>
            </w:r>
          </w:p>
        </w:tc>
        <w:tc>
          <w:tcPr>
            <w:tcW w:w="2672" w:type="dxa"/>
            <w:vMerge w:val="restart"/>
            <w:tcBorders>
              <w:top w:val="single" w:sz="8" w:space="0" w:color="auto"/>
              <w:right w:val="single" w:sz="8" w:space="0" w:color="auto"/>
            </w:tcBorders>
            <w:shd w:val="clear" w:color="auto" w:fill="FFFFFF"/>
            <w:vAlign w:val="center"/>
          </w:tcPr>
          <w:p w14:paraId="114445EB" w14:textId="77777777" w:rsidR="005D3849" w:rsidRPr="00EF6F97" w:rsidRDefault="005D3849" w:rsidP="00EF6F97">
            <w:pPr>
              <w:spacing w:line="360" w:lineRule="auto"/>
              <w:jc w:val="center"/>
              <w:rPr>
                <w:rFonts w:ascii="Times New Roman" w:hAnsi="Times New Roman" w:cs="Times New Roman"/>
              </w:rPr>
            </w:pPr>
            <w:r w:rsidRPr="00EF6F97">
              <w:rPr>
                <w:rFonts w:ascii="Times New Roman" w:hAnsi="Times New Roman" w:cs="Times New Roman"/>
              </w:rPr>
              <w:t>Agencja Zarządzania Pożarami</w:t>
            </w:r>
            <w:r w:rsidR="001D0628">
              <w:rPr>
                <w:rFonts w:ascii="Times New Roman" w:hAnsi="Times New Roman" w:cs="Times New Roman"/>
              </w:rPr>
              <w:t xml:space="preserve"> i </w:t>
            </w:r>
            <w:r w:rsidRPr="00EF6F97">
              <w:rPr>
                <w:rFonts w:ascii="Times New Roman" w:hAnsi="Times New Roman" w:cs="Times New Roman"/>
              </w:rPr>
              <w:t>Katastrofami, Ministerstwo Spraw Wewnętrznych</w:t>
            </w:r>
            <w:r w:rsidR="001D0628">
              <w:rPr>
                <w:rFonts w:ascii="Times New Roman" w:hAnsi="Times New Roman" w:cs="Times New Roman"/>
              </w:rPr>
              <w:t xml:space="preserve"> i </w:t>
            </w:r>
            <w:r w:rsidRPr="00EF6F97">
              <w:rPr>
                <w:rFonts w:ascii="Times New Roman" w:hAnsi="Times New Roman" w:cs="Times New Roman"/>
              </w:rPr>
              <w:t>Komunikacji</w:t>
            </w:r>
          </w:p>
        </w:tc>
      </w:tr>
      <w:tr w:rsidR="005D3849" w:rsidRPr="00EF6F97" w14:paraId="1517344B" w14:textId="77777777" w:rsidTr="005D3849">
        <w:trPr>
          <w:trHeight w:val="572"/>
          <w:jc w:val="center"/>
        </w:trPr>
        <w:tc>
          <w:tcPr>
            <w:tcW w:w="1429" w:type="dxa"/>
            <w:vMerge/>
            <w:tcBorders>
              <w:left w:val="single" w:sz="8" w:space="0" w:color="auto"/>
              <w:right w:val="single" w:sz="8" w:space="0" w:color="auto"/>
            </w:tcBorders>
            <w:shd w:val="clear" w:color="auto" w:fill="FFFFFF"/>
            <w:vAlign w:val="center"/>
          </w:tcPr>
          <w:p w14:paraId="083E6C9F" w14:textId="77777777" w:rsidR="005D3849" w:rsidRPr="00EF6F97" w:rsidRDefault="005D3849" w:rsidP="00EF6F97">
            <w:pPr>
              <w:spacing w:line="360" w:lineRule="auto"/>
              <w:ind w:left="120"/>
              <w:jc w:val="center"/>
              <w:rPr>
                <w:rFonts w:ascii="Times New Roman" w:hAnsi="Times New Roman" w:cs="Times New Roman"/>
              </w:rPr>
            </w:pPr>
          </w:p>
        </w:tc>
        <w:tc>
          <w:tcPr>
            <w:tcW w:w="2410" w:type="dxa"/>
            <w:tcBorders>
              <w:top w:val="single" w:sz="8" w:space="0" w:color="auto"/>
              <w:right w:val="single" w:sz="8" w:space="0" w:color="auto"/>
            </w:tcBorders>
            <w:shd w:val="clear" w:color="auto" w:fill="FFFFFF"/>
            <w:vAlign w:val="center"/>
          </w:tcPr>
          <w:p w14:paraId="5DD9BF44"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Rozporządzenie przeciwpożarowe</w:t>
            </w:r>
          </w:p>
        </w:tc>
        <w:tc>
          <w:tcPr>
            <w:tcW w:w="3118" w:type="dxa"/>
            <w:tcBorders>
              <w:top w:val="single" w:sz="8" w:space="0" w:color="auto"/>
              <w:right w:val="single" w:sz="8" w:space="0" w:color="auto"/>
            </w:tcBorders>
            <w:shd w:val="clear" w:color="auto" w:fill="FFFFFF"/>
            <w:vAlign w:val="center"/>
          </w:tcPr>
          <w:p w14:paraId="058B8AAF"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Wymagane pozwolenie dla dużych baterii (4,800Ah/ogniwo)</w:t>
            </w:r>
          </w:p>
        </w:tc>
        <w:tc>
          <w:tcPr>
            <w:tcW w:w="2672" w:type="dxa"/>
            <w:vMerge/>
            <w:tcBorders>
              <w:right w:val="single" w:sz="8" w:space="0" w:color="auto"/>
            </w:tcBorders>
            <w:shd w:val="clear" w:color="auto" w:fill="FFFFFF"/>
            <w:vAlign w:val="center"/>
          </w:tcPr>
          <w:p w14:paraId="555410D9" w14:textId="77777777" w:rsidR="005D3849" w:rsidRPr="00EF6F97" w:rsidRDefault="005D3849" w:rsidP="00EF6F97">
            <w:pPr>
              <w:spacing w:line="360" w:lineRule="auto"/>
              <w:ind w:left="100"/>
              <w:jc w:val="center"/>
              <w:rPr>
                <w:rFonts w:ascii="Times New Roman" w:hAnsi="Times New Roman" w:cs="Times New Roman"/>
              </w:rPr>
            </w:pPr>
          </w:p>
        </w:tc>
      </w:tr>
      <w:tr w:rsidR="005D3849" w:rsidRPr="00EF6F97" w14:paraId="04F8F419" w14:textId="77777777" w:rsidTr="005D3849">
        <w:trPr>
          <w:trHeight w:val="240"/>
          <w:jc w:val="center"/>
        </w:trPr>
        <w:tc>
          <w:tcPr>
            <w:tcW w:w="1429" w:type="dxa"/>
            <w:vMerge/>
            <w:tcBorders>
              <w:left w:val="single" w:sz="8" w:space="0" w:color="auto"/>
              <w:bottom w:val="single" w:sz="8" w:space="0" w:color="auto"/>
              <w:right w:val="single" w:sz="8" w:space="0" w:color="auto"/>
            </w:tcBorders>
            <w:shd w:val="clear" w:color="auto" w:fill="FFFFFF"/>
            <w:vAlign w:val="center"/>
          </w:tcPr>
          <w:p w14:paraId="363DE475" w14:textId="77777777" w:rsidR="005D3849" w:rsidRPr="00EF6F97" w:rsidRDefault="005D3849" w:rsidP="00EF6F97">
            <w:pPr>
              <w:spacing w:line="360" w:lineRule="auto"/>
              <w:ind w:left="120"/>
              <w:jc w:val="center"/>
              <w:rPr>
                <w:rFonts w:ascii="Times New Roman" w:hAnsi="Times New Roman" w:cs="Times New Roman"/>
              </w:rPr>
            </w:pPr>
          </w:p>
        </w:tc>
        <w:tc>
          <w:tcPr>
            <w:tcW w:w="2410" w:type="dxa"/>
            <w:tcBorders>
              <w:top w:val="single" w:sz="8" w:space="0" w:color="auto"/>
              <w:left w:val="single" w:sz="8" w:space="0" w:color="auto"/>
              <w:bottom w:val="single" w:sz="8" w:space="0" w:color="auto"/>
              <w:right w:val="single" w:sz="8" w:space="0" w:color="auto"/>
            </w:tcBorders>
            <w:shd w:val="clear" w:color="auto" w:fill="FFFFFF"/>
            <w:vAlign w:val="center"/>
          </w:tcPr>
          <w:p w14:paraId="7F7233B8"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Przepisy budowlane</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tcPr>
          <w:p w14:paraId="5B37042A"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Aplikacja budowlana dla budynku w zakresie właściwości przeciwpożarowych</w:t>
            </w:r>
          </w:p>
        </w:tc>
        <w:tc>
          <w:tcPr>
            <w:tcW w:w="2672" w:type="dxa"/>
            <w:tcBorders>
              <w:top w:val="single" w:sz="8" w:space="0" w:color="auto"/>
              <w:left w:val="single" w:sz="8" w:space="0" w:color="auto"/>
              <w:bottom w:val="single" w:sz="8" w:space="0" w:color="auto"/>
              <w:right w:val="single" w:sz="8" w:space="0" w:color="auto"/>
            </w:tcBorders>
            <w:shd w:val="clear" w:color="auto" w:fill="FFFFFF"/>
            <w:vAlign w:val="center"/>
          </w:tcPr>
          <w:p w14:paraId="68A7B5DE" w14:textId="77777777" w:rsidR="005D3849" w:rsidRPr="00EF6F97" w:rsidRDefault="005D3849" w:rsidP="00EF6F97">
            <w:pPr>
              <w:spacing w:line="360" w:lineRule="auto"/>
              <w:jc w:val="center"/>
              <w:rPr>
                <w:rFonts w:ascii="Times New Roman" w:hAnsi="Times New Roman" w:cs="Times New Roman"/>
              </w:rPr>
            </w:pPr>
            <w:r w:rsidRPr="00EF6F97">
              <w:rPr>
                <w:rFonts w:ascii="Times New Roman" w:hAnsi="Times New Roman" w:cs="Times New Roman"/>
              </w:rPr>
              <w:t>Ministerstwo Infrastruktury, Transportu</w:t>
            </w:r>
            <w:r w:rsidR="001D0628">
              <w:rPr>
                <w:rFonts w:ascii="Times New Roman" w:hAnsi="Times New Roman" w:cs="Times New Roman"/>
              </w:rPr>
              <w:t xml:space="preserve"> i </w:t>
            </w:r>
            <w:r w:rsidRPr="00EF6F97">
              <w:rPr>
                <w:rFonts w:ascii="Times New Roman" w:hAnsi="Times New Roman" w:cs="Times New Roman"/>
              </w:rPr>
              <w:t>Turystyki</w:t>
            </w:r>
          </w:p>
        </w:tc>
      </w:tr>
    </w:tbl>
    <w:p w14:paraId="5DB90C84" w14:textId="77777777" w:rsidR="005D3849" w:rsidRPr="00EF6F97" w:rsidRDefault="005D3849" w:rsidP="00EF6F97">
      <w:pPr>
        <w:spacing w:line="360" w:lineRule="auto"/>
        <w:jc w:val="both"/>
        <w:rPr>
          <w:rFonts w:ascii="Times New Roman" w:hAnsi="Times New Roman" w:cs="Times New Roman"/>
          <w:b/>
          <w:sz w:val="24"/>
          <w:szCs w:val="24"/>
          <w:shd w:val="clear" w:color="auto" w:fill="FFFFFF"/>
        </w:rPr>
      </w:pPr>
    </w:p>
    <w:p w14:paraId="1F220EF4" w14:textId="77777777" w:rsidR="00695DE8" w:rsidRPr="00215A1D" w:rsidRDefault="00D20DB5" w:rsidP="00EF6F97">
      <w:pPr>
        <w:spacing w:line="360" w:lineRule="auto"/>
        <w:jc w:val="both"/>
        <w:rPr>
          <w:rFonts w:ascii="Times New Roman" w:hAnsi="Times New Roman" w:cs="Times New Roman"/>
        </w:rPr>
      </w:pPr>
      <w:r w:rsidRPr="00EF6F97">
        <w:rPr>
          <w:rFonts w:ascii="Times New Roman" w:hAnsi="Times New Roman" w:cs="Times New Roman"/>
          <w:sz w:val="24"/>
          <w:szCs w:val="24"/>
        </w:rPr>
        <w:tab/>
      </w:r>
      <w:r w:rsidR="00695DE8" w:rsidRPr="00EF6F97">
        <w:rPr>
          <w:rFonts w:ascii="Times New Roman" w:hAnsi="Times New Roman" w:cs="Times New Roman"/>
          <w:sz w:val="24"/>
          <w:szCs w:val="24"/>
        </w:rPr>
        <w:t xml:space="preserve">Baza danych wszystkich projektów zrealizowanych na świecie w zakresie magazynowania energii znajduje się pod adresem: </w:t>
      </w:r>
      <w:hyperlink r:id="rId13" w:history="1">
        <w:r w:rsidR="00695DE8" w:rsidRPr="00215A1D">
          <w:rPr>
            <w:rStyle w:val="Hipercze"/>
            <w:rFonts w:ascii="Times New Roman" w:hAnsi="Times New Roman" w:cs="Times New Roman"/>
          </w:rPr>
          <w:t>https://www.energystorageexchange.org/projects</w:t>
        </w:r>
      </w:hyperlink>
    </w:p>
    <w:p w14:paraId="78A468CD" w14:textId="77777777" w:rsidR="00695DE8" w:rsidRPr="00EF6F97" w:rsidRDefault="00695DE8" w:rsidP="00EF6F97">
      <w:pPr>
        <w:spacing w:line="360" w:lineRule="auto"/>
        <w:jc w:val="both"/>
        <w:rPr>
          <w:rFonts w:ascii="Times New Roman" w:hAnsi="Times New Roman" w:cs="Times New Roman"/>
          <w:sz w:val="24"/>
          <w:szCs w:val="24"/>
        </w:rPr>
      </w:pPr>
    </w:p>
    <w:p w14:paraId="56556939" w14:textId="77777777" w:rsidR="00634DCE" w:rsidRPr="00EF6F97" w:rsidRDefault="00634DCE"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 xml:space="preserve">Przewidywane skutki finansowe dla budżetu Państwa uchwalenia projektowanej ustawy </w:t>
      </w:r>
    </w:p>
    <w:p w14:paraId="25B28726"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 xml:space="preserve">Proponowane regulacje przewidują wprowadzenie opłaty koncesyjnej dla określonych typów magazynów energii elektrycznej. Spodziewanym efektem tego rozwiązania będzie wzrost przychodów sektora finansów publicznych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tytułu opłat koncesyjnych. W przyszłości, wra</w:t>
      </w:r>
      <w:r w:rsidR="001D0628">
        <w:rPr>
          <w:rFonts w:ascii="Times New Roman" w:hAnsi="Times New Roman" w:cs="Times New Roman"/>
          <w:sz w:val="24"/>
          <w:szCs w:val="24"/>
        </w:rPr>
        <w:t>z z </w:t>
      </w:r>
      <w:r w:rsidR="00634DCE" w:rsidRPr="00EF6F97">
        <w:rPr>
          <w:rFonts w:ascii="Times New Roman" w:hAnsi="Times New Roman" w:cs="Times New Roman"/>
          <w:sz w:val="24"/>
          <w:szCs w:val="24"/>
        </w:rPr>
        <w:t>wzrostem liczby podmiotów ubiegających się o koncesję, regulacja może generować dodatkowe koszty pracy po stronie Urzędu Regulacji Energetyki.</w:t>
      </w:r>
    </w:p>
    <w:p w14:paraId="4CF795AB"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W kontekście wpływu proponowanych regulacji na konkurencyjność gospodarki</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 xml:space="preserve">przedsiębiorczość, spodziewanym efektem regulacji będzie rozwój przedsiębiorstw w sektorach związanych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wytwarzaniem energii w odnawialnych źródłach, magazynowaniem energii elektrycznej ora</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branżach związanych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dostarczaniem komponentów do instalacji – szczególności podmiotów importujących baterie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krajów azjatyckich, a także branżach usługowych dla tego sektora. Oczekuje się, że rozwój sektora OZE, magazynowania energii elektrycznej</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 xml:space="preserve">powiązanych branż, wpłynie na wzrost przychodów do budżetu państwa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tytułu podatków. Spodziewany jest także wzrost zatrudnienia w ww. obszarach.</w:t>
      </w:r>
    </w:p>
    <w:p w14:paraId="5135AB4B" w14:textId="77777777" w:rsidR="001970B8" w:rsidRPr="00EF6F97" w:rsidRDefault="001970B8" w:rsidP="00EF6F97">
      <w:pPr>
        <w:spacing w:line="360" w:lineRule="auto"/>
        <w:jc w:val="both"/>
        <w:rPr>
          <w:rFonts w:ascii="Times New Roman" w:hAnsi="Times New Roman" w:cs="Times New Roman"/>
          <w:b/>
          <w:sz w:val="24"/>
          <w:szCs w:val="24"/>
        </w:rPr>
      </w:pPr>
    </w:p>
    <w:p w14:paraId="12F944D9" w14:textId="77777777" w:rsidR="004E2823" w:rsidRPr="00EF6F97" w:rsidRDefault="004E2823"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 xml:space="preserve">Aktualny stan prawny </w:t>
      </w:r>
    </w:p>
    <w:p w14:paraId="7FD3022F" w14:textId="77777777" w:rsidR="004E2823" w:rsidRPr="00EF6F97" w:rsidRDefault="004E2823" w:rsidP="00EF6F97">
      <w:pPr>
        <w:spacing w:line="360" w:lineRule="auto"/>
        <w:jc w:val="both"/>
        <w:rPr>
          <w:rFonts w:ascii="Times New Roman" w:hAnsi="Times New Roman" w:cs="Times New Roman"/>
          <w:sz w:val="24"/>
          <w:szCs w:val="24"/>
          <w:u w:val="single"/>
        </w:rPr>
      </w:pPr>
      <w:r w:rsidRPr="00EF6F97">
        <w:rPr>
          <w:rFonts w:ascii="Times New Roman" w:hAnsi="Times New Roman" w:cs="Times New Roman"/>
          <w:sz w:val="24"/>
          <w:szCs w:val="24"/>
          <w:u w:val="single"/>
        </w:rPr>
        <w:t>W zakresie definicji</w:t>
      </w:r>
    </w:p>
    <w:p w14:paraId="5D07BE9B" w14:textId="77777777" w:rsidR="004E2823"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2823" w:rsidRPr="00EF6F97">
        <w:rPr>
          <w:rFonts w:ascii="Times New Roman" w:hAnsi="Times New Roman" w:cs="Times New Roman"/>
          <w:sz w:val="24"/>
          <w:szCs w:val="24"/>
        </w:rPr>
        <w:t xml:space="preserve">Obecnie magazynowanie energii jest uznane za proces energetyczny (art. 3 </w:t>
      </w:r>
      <w:r w:rsidR="001D0628">
        <w:rPr>
          <w:rFonts w:ascii="Times New Roman" w:hAnsi="Times New Roman" w:cs="Times New Roman"/>
          <w:sz w:val="24"/>
          <w:szCs w:val="24"/>
        </w:rPr>
        <w:t>pkt</w:t>
      </w:r>
      <w:r w:rsidR="004E2823" w:rsidRPr="00EF6F97">
        <w:rPr>
          <w:rFonts w:ascii="Times New Roman" w:hAnsi="Times New Roman" w:cs="Times New Roman"/>
          <w:sz w:val="24"/>
          <w:szCs w:val="24"/>
        </w:rPr>
        <w:t xml:space="preserve"> 7 ustawy – Prawo energetyczne), a podmiot prowadzący działalność w zakresie magazynowania energii jest uznany za przedsiębiorstwo energetyczne (art. 3 </w:t>
      </w:r>
      <w:r w:rsidR="001D0628">
        <w:rPr>
          <w:rFonts w:ascii="Times New Roman" w:hAnsi="Times New Roman" w:cs="Times New Roman"/>
          <w:sz w:val="24"/>
          <w:szCs w:val="24"/>
        </w:rPr>
        <w:t>pkt</w:t>
      </w:r>
      <w:r w:rsidR="004E2823" w:rsidRPr="00EF6F97">
        <w:rPr>
          <w:rFonts w:ascii="Times New Roman" w:hAnsi="Times New Roman" w:cs="Times New Roman"/>
          <w:sz w:val="24"/>
          <w:szCs w:val="24"/>
        </w:rPr>
        <w:t xml:space="preserve"> 12 ustawy – Prawo energetyczne). </w:t>
      </w:r>
    </w:p>
    <w:p w14:paraId="0D283221" w14:textId="77777777" w:rsidR="004E2823"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2823" w:rsidRPr="00EF6F97">
        <w:rPr>
          <w:rFonts w:ascii="Times New Roman" w:hAnsi="Times New Roman" w:cs="Times New Roman"/>
          <w:sz w:val="24"/>
          <w:szCs w:val="24"/>
        </w:rPr>
        <w:t>Istnieją obecnie dwie różne definicje magazynu energii:</w:t>
      </w:r>
    </w:p>
    <w:p w14:paraId="5A17CC17" w14:textId="77777777" w:rsidR="004E2823" w:rsidRPr="00EF6F97" w:rsidRDefault="004E2823" w:rsidP="00EF6F97">
      <w:pPr>
        <w:pStyle w:val="Akapitzlist"/>
        <w:numPr>
          <w:ilvl w:val="0"/>
          <w:numId w:val="40"/>
        </w:numPr>
        <w:spacing w:after="0" w:line="360" w:lineRule="auto"/>
        <w:jc w:val="both"/>
        <w:rPr>
          <w:rFonts w:ascii="Times New Roman" w:hAnsi="Times New Roman"/>
          <w:sz w:val="24"/>
          <w:szCs w:val="24"/>
        </w:rPr>
      </w:pPr>
      <w:r w:rsidRPr="00EF6F97">
        <w:rPr>
          <w:rFonts w:ascii="Times New Roman" w:hAnsi="Times New Roman"/>
          <w:sz w:val="24"/>
          <w:szCs w:val="24"/>
        </w:rPr>
        <w:lastRenderedPageBreak/>
        <w:t xml:space="preserve">w ustawie - Prawo energetyczne art. 3 </w:t>
      </w:r>
      <w:r w:rsidR="001D0628">
        <w:rPr>
          <w:rFonts w:ascii="Times New Roman" w:hAnsi="Times New Roman"/>
          <w:sz w:val="24"/>
          <w:szCs w:val="24"/>
        </w:rPr>
        <w:t>pkt</w:t>
      </w:r>
      <w:r w:rsidRPr="00EF6F97">
        <w:rPr>
          <w:rFonts w:ascii="Times New Roman" w:hAnsi="Times New Roman"/>
          <w:sz w:val="24"/>
          <w:szCs w:val="24"/>
        </w:rPr>
        <w:t xml:space="preserve"> 10k:</w:t>
      </w:r>
    </w:p>
    <w:p w14:paraId="5DFD7FB8" w14:textId="77777777" w:rsidR="004E2823" w:rsidRPr="00EF6F97" w:rsidRDefault="00173903" w:rsidP="00EF6F97">
      <w:pPr>
        <w:pStyle w:val="Akapitzlist"/>
        <w:spacing w:after="0" w:line="360" w:lineRule="auto"/>
        <w:jc w:val="both"/>
        <w:rPr>
          <w:rFonts w:ascii="Times New Roman" w:hAnsi="Times New Roman"/>
          <w:sz w:val="24"/>
          <w:szCs w:val="24"/>
        </w:rPr>
      </w:pPr>
      <w:r w:rsidRPr="00EF6F97">
        <w:rPr>
          <w:rFonts w:ascii="Times New Roman" w:hAnsi="Times New Roman"/>
          <w:sz w:val="24"/>
          <w:szCs w:val="24"/>
        </w:rPr>
        <w:t>„</w:t>
      </w:r>
      <w:r w:rsidR="004E2823" w:rsidRPr="00EF6F97">
        <w:rPr>
          <w:rFonts w:ascii="Times New Roman" w:hAnsi="Times New Roman"/>
          <w:sz w:val="24"/>
          <w:szCs w:val="24"/>
        </w:rPr>
        <w:t>10k) magazyn energii - instalację służącą do przechowywania energii, przyłączoną do sieci, mającą zdolność do dostawy energii elektrycznej do sieci;</w:t>
      </w:r>
      <w:r w:rsidRPr="00EF6F97">
        <w:rPr>
          <w:rFonts w:ascii="Times New Roman" w:hAnsi="Times New Roman"/>
          <w:sz w:val="24"/>
          <w:szCs w:val="24"/>
        </w:rPr>
        <w:t>”,</w:t>
      </w:r>
    </w:p>
    <w:p w14:paraId="6119AF3A" w14:textId="77777777" w:rsidR="00173903" w:rsidRPr="00EF6F97" w:rsidRDefault="004E2823" w:rsidP="00EF6F97">
      <w:pPr>
        <w:pStyle w:val="Akapitzlist"/>
        <w:numPr>
          <w:ilvl w:val="0"/>
          <w:numId w:val="40"/>
        </w:numPr>
        <w:spacing w:after="0" w:line="360" w:lineRule="auto"/>
        <w:jc w:val="both"/>
        <w:rPr>
          <w:rFonts w:ascii="Times New Roman" w:hAnsi="Times New Roman"/>
          <w:sz w:val="24"/>
          <w:szCs w:val="24"/>
        </w:rPr>
      </w:pPr>
      <w:r w:rsidRPr="00EF6F97">
        <w:rPr>
          <w:rFonts w:ascii="Times New Roman" w:hAnsi="Times New Roman"/>
          <w:sz w:val="24"/>
          <w:szCs w:val="24"/>
        </w:rPr>
        <w:t xml:space="preserve">w ustawie o OZE art. 2 </w:t>
      </w:r>
      <w:r w:rsidR="001D0628">
        <w:rPr>
          <w:rFonts w:ascii="Times New Roman" w:hAnsi="Times New Roman"/>
          <w:sz w:val="24"/>
          <w:szCs w:val="24"/>
        </w:rPr>
        <w:t>pkt</w:t>
      </w:r>
      <w:r w:rsidRPr="00EF6F97">
        <w:rPr>
          <w:rFonts w:ascii="Times New Roman" w:hAnsi="Times New Roman"/>
          <w:sz w:val="24"/>
          <w:szCs w:val="24"/>
        </w:rPr>
        <w:t xml:space="preserve"> 17:</w:t>
      </w:r>
    </w:p>
    <w:p w14:paraId="316427CD" w14:textId="77777777" w:rsidR="004E2823" w:rsidRPr="00EF6F97" w:rsidRDefault="00173903" w:rsidP="00EF6F97">
      <w:pPr>
        <w:pStyle w:val="Akapitzlist"/>
        <w:spacing w:after="0" w:line="360" w:lineRule="auto"/>
        <w:jc w:val="both"/>
        <w:rPr>
          <w:rFonts w:ascii="Times New Roman" w:hAnsi="Times New Roman"/>
          <w:sz w:val="24"/>
          <w:szCs w:val="24"/>
        </w:rPr>
      </w:pPr>
      <w:r w:rsidRPr="00EF6F97">
        <w:rPr>
          <w:rFonts w:ascii="Times New Roman" w:hAnsi="Times New Roman"/>
          <w:sz w:val="24"/>
          <w:szCs w:val="24"/>
        </w:rPr>
        <w:t>„</w:t>
      </w:r>
      <w:r w:rsidR="004E2823" w:rsidRPr="00EF6F97">
        <w:rPr>
          <w:rFonts w:ascii="Times New Roman" w:hAnsi="Times New Roman"/>
          <w:sz w:val="24"/>
          <w:szCs w:val="24"/>
        </w:rPr>
        <w:t>17) magazyn energii – wyodrębnione urządzenie lub zespół urządzeń służących do przechowywania energii w dowolnej postaci, niepowodujących emisji będących obciążeniem dla środowiska, w sposób pozwalający co najmniej na jej częściowe odzyskanie;</w:t>
      </w:r>
      <w:r w:rsidRPr="00EF6F97">
        <w:rPr>
          <w:rFonts w:ascii="Times New Roman" w:hAnsi="Times New Roman"/>
          <w:sz w:val="24"/>
          <w:szCs w:val="24"/>
        </w:rPr>
        <w:t>”.</w:t>
      </w:r>
    </w:p>
    <w:p w14:paraId="6A57B43E"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Istnieje również w ustawie - Prawo energetyczne definicja ma</w:t>
      </w:r>
      <w:r w:rsidR="00CB5761" w:rsidRPr="00EF6F97">
        <w:rPr>
          <w:rFonts w:ascii="Times New Roman" w:hAnsi="Times New Roman" w:cs="Times New Roman"/>
          <w:sz w:val="24"/>
          <w:szCs w:val="24"/>
        </w:rPr>
        <w:t>gazynowania energii (art. 3 pkt</w:t>
      </w:r>
      <w:r w:rsidRPr="00EF6F97">
        <w:rPr>
          <w:rFonts w:ascii="Times New Roman" w:hAnsi="Times New Roman" w:cs="Times New Roman"/>
          <w:sz w:val="24"/>
          <w:szCs w:val="24"/>
        </w:rPr>
        <w:t xml:space="preserve"> 59):</w:t>
      </w:r>
    </w:p>
    <w:p w14:paraId="41AAA762" w14:textId="77777777" w:rsidR="004E282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t>
      </w:r>
      <w:r w:rsidR="004E2823" w:rsidRPr="00EF6F97">
        <w:rPr>
          <w:rFonts w:ascii="Times New Roman" w:hAnsi="Times New Roman" w:cs="Times New Roman"/>
          <w:sz w:val="24"/>
          <w:szCs w:val="24"/>
        </w:rPr>
        <w:t>59) magazynowanie energii - świadczenie usług przechowywania energii w magazynie energii.</w:t>
      </w:r>
      <w:r w:rsidRPr="00EF6F97">
        <w:rPr>
          <w:rFonts w:ascii="Times New Roman" w:hAnsi="Times New Roman" w:cs="Times New Roman"/>
          <w:sz w:val="24"/>
          <w:szCs w:val="24"/>
        </w:rPr>
        <w:t>”.</w:t>
      </w:r>
    </w:p>
    <w:p w14:paraId="4AE433EA" w14:textId="77777777" w:rsidR="004E282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2823" w:rsidRPr="00EF6F97">
        <w:rPr>
          <w:rFonts w:ascii="Times New Roman" w:hAnsi="Times New Roman" w:cs="Times New Roman"/>
          <w:sz w:val="24"/>
          <w:szCs w:val="24"/>
        </w:rPr>
        <w:t>Ponadto w ustawie - Prawo energetyczne wra</w:t>
      </w:r>
      <w:r w:rsidR="001D0628">
        <w:rPr>
          <w:rFonts w:ascii="Times New Roman" w:hAnsi="Times New Roman" w:cs="Times New Roman"/>
          <w:sz w:val="24"/>
          <w:szCs w:val="24"/>
        </w:rPr>
        <w:t>z z </w:t>
      </w:r>
      <w:r w:rsidR="004E2823" w:rsidRPr="00EF6F97">
        <w:rPr>
          <w:rFonts w:ascii="Times New Roman" w:hAnsi="Times New Roman" w:cs="Times New Roman"/>
          <w:sz w:val="24"/>
          <w:szCs w:val="24"/>
        </w:rPr>
        <w:t>wejściem w życie ustawy o elektromobilności</w:t>
      </w:r>
      <w:r w:rsidR="001D0628">
        <w:rPr>
          <w:rFonts w:ascii="Times New Roman" w:hAnsi="Times New Roman" w:cs="Times New Roman"/>
          <w:sz w:val="24"/>
          <w:szCs w:val="24"/>
        </w:rPr>
        <w:t xml:space="preserve"> i </w:t>
      </w:r>
      <w:r w:rsidR="004E2823" w:rsidRPr="00EF6F97">
        <w:rPr>
          <w:rFonts w:ascii="Times New Roman" w:hAnsi="Times New Roman" w:cs="Times New Roman"/>
          <w:sz w:val="24"/>
          <w:szCs w:val="24"/>
        </w:rPr>
        <w:t>paliwach alternatywnych wprowadzono definicję instalacji zarządzania popytem w poniższym brzemieniu:</w:t>
      </w:r>
    </w:p>
    <w:p w14:paraId="2FA885A1"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„11i) instalacja zarządzania popytem -</w:t>
      </w:r>
      <w:r w:rsidR="00117FBD" w:rsidRPr="00EF6F97">
        <w:rPr>
          <w:rFonts w:ascii="Times New Roman" w:hAnsi="Times New Roman" w:cs="Times New Roman"/>
          <w:sz w:val="24"/>
          <w:szCs w:val="24"/>
        </w:rPr>
        <w:t xml:space="preserve"> instalację odbiorcy końcowego, której urządzenia umożliwiają zmianę profilu poboru energii elektrycznej na żądanie operatora systemu dystrybucyjnego, operatora systemu przesyłowego lub operatora systemu połączonego, na którą może składać się w szczególności magazyn energii, instalacja wytwórcza niewspółpracująca bezpośrednio </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 xml:space="preserve">siecią lub punkt ładowania w rozumieniu art. 2 pkt 17 ustawy </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dnia 11 stycznia 2018</w:t>
      </w:r>
      <w:r w:rsidR="001D0628">
        <w:rPr>
          <w:rFonts w:ascii="Times New Roman" w:hAnsi="Times New Roman" w:cs="Times New Roman"/>
          <w:sz w:val="24"/>
          <w:szCs w:val="24"/>
        </w:rPr>
        <w:t> r.</w:t>
      </w:r>
      <w:r w:rsidR="00117FBD" w:rsidRPr="00EF6F97">
        <w:rPr>
          <w:rFonts w:ascii="Times New Roman" w:hAnsi="Times New Roman" w:cs="Times New Roman"/>
          <w:sz w:val="24"/>
          <w:szCs w:val="24"/>
        </w:rPr>
        <w:t xml:space="preserve"> o elektromobilności</w:t>
      </w:r>
      <w:r w:rsidR="001D0628">
        <w:rPr>
          <w:rFonts w:ascii="Times New Roman" w:hAnsi="Times New Roman" w:cs="Times New Roman"/>
          <w:sz w:val="24"/>
          <w:szCs w:val="24"/>
        </w:rPr>
        <w:t xml:space="preserve"> i </w:t>
      </w:r>
      <w:r w:rsidR="00117FBD" w:rsidRPr="00EF6F97">
        <w:rPr>
          <w:rFonts w:ascii="Times New Roman" w:hAnsi="Times New Roman" w:cs="Times New Roman"/>
          <w:sz w:val="24"/>
          <w:szCs w:val="24"/>
        </w:rPr>
        <w:t>paliwach alternatywnych</w:t>
      </w:r>
      <w:r w:rsidRPr="00EF6F97">
        <w:rPr>
          <w:rFonts w:ascii="Times New Roman" w:hAnsi="Times New Roman" w:cs="Times New Roman"/>
          <w:sz w:val="24"/>
          <w:szCs w:val="24"/>
        </w:rPr>
        <w:t>;</w:t>
      </w:r>
      <w:r w:rsidR="00173903" w:rsidRPr="00EF6F97">
        <w:rPr>
          <w:rFonts w:ascii="Times New Roman" w:hAnsi="Times New Roman" w:cs="Times New Roman"/>
          <w:sz w:val="24"/>
          <w:szCs w:val="24"/>
        </w:rPr>
        <w:t>”.</w:t>
      </w:r>
    </w:p>
    <w:p w14:paraId="6F1B415C"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Definicja ta sugeruje, że magazyn energii może stanowić część instalacji odbiorcy końcowego. </w:t>
      </w:r>
    </w:p>
    <w:p w14:paraId="03A75864"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u w:val="single"/>
        </w:rPr>
        <w:t>W ustawie o OZE</w:t>
      </w:r>
      <w:r w:rsidRPr="00EF6F97">
        <w:rPr>
          <w:rFonts w:ascii="Times New Roman" w:hAnsi="Times New Roman" w:cs="Times New Roman"/>
          <w:sz w:val="24"/>
          <w:szCs w:val="24"/>
        </w:rPr>
        <w:t xml:space="preserve"> występują również definicje (art. 2) wykorzystujące w następujący sposób magazyny energii:</w:t>
      </w:r>
    </w:p>
    <w:p w14:paraId="45F6B272" w14:textId="77777777" w:rsidR="00117FBD"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t>
      </w:r>
      <w:r w:rsidR="004E2823" w:rsidRPr="00EF6F97">
        <w:rPr>
          <w:rFonts w:ascii="Times New Roman" w:hAnsi="Times New Roman" w:cs="Times New Roman"/>
          <w:sz w:val="24"/>
          <w:szCs w:val="24"/>
        </w:rPr>
        <w:t>11a) hybrydowa instalacja odnawialnego źródła energii –</w:t>
      </w:r>
      <w:r w:rsidR="00117FBD" w:rsidRPr="00EF6F97">
        <w:rPr>
          <w:rFonts w:ascii="Times New Roman" w:hAnsi="Times New Roman" w:cs="Times New Roman"/>
          <w:sz w:val="24"/>
          <w:szCs w:val="24"/>
        </w:rPr>
        <w:t xml:space="preserve"> wyodrębniony zespół urządzeń opisanych prze</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dane techniczne</w:t>
      </w:r>
      <w:r w:rsidR="001D0628">
        <w:rPr>
          <w:rFonts w:ascii="Times New Roman" w:hAnsi="Times New Roman" w:cs="Times New Roman"/>
          <w:sz w:val="24"/>
          <w:szCs w:val="24"/>
        </w:rPr>
        <w:t xml:space="preserve"> i </w:t>
      </w:r>
      <w:r w:rsidR="00117FBD" w:rsidRPr="00EF6F97">
        <w:rPr>
          <w:rFonts w:ascii="Times New Roman" w:hAnsi="Times New Roman" w:cs="Times New Roman"/>
          <w:sz w:val="24"/>
          <w:szCs w:val="24"/>
        </w:rPr>
        <w:t xml:space="preserve">handlowe, przyłączonych do tej samej sieci dystrybucyjnej lub przesyłowej o napięciu znamionowym nie wyższym niż 110 kV, w których energia elektryczna jest wytwarzana wyłącznie </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odnawialnych źródeł energii, różniących się rodzajem ora</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 xml:space="preserve">charakterystyką dyspozycyjności wytwarzanej energii elektrycznej, oraz: </w:t>
      </w:r>
    </w:p>
    <w:p w14:paraId="24288925" w14:textId="77777777" w:rsidR="00117FBD" w:rsidRPr="00EF6F97" w:rsidRDefault="00117FBD"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a) żadne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urządzeń wytwórczych nie ma mocy zainstalowanej elektrycznej większej niż 80% łącznej mocy zainstalowanej elektrycznej tego zespołu, </w:t>
      </w:r>
    </w:p>
    <w:p w14:paraId="42222017" w14:textId="77777777" w:rsidR="00117FBD" w:rsidRPr="00EF6F97" w:rsidRDefault="00117FBD"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b) urządzenia wytwórcze wchodzące w skład tego zespołu mogą być wyposażone w jeden albo w kilka układów wyprowadzenia mocy, w ramach jednego albo kilku punktów przyłączenia, </w:t>
      </w:r>
    </w:p>
    <w:p w14:paraId="3235EF6B" w14:textId="77777777" w:rsidR="00117FBD" w:rsidRPr="00EF6F97" w:rsidRDefault="00117FBD"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c) łączny stopień wykorzystania mocy zainstalowanej elektrycznej tego zespołu jest większy </w:t>
      </w:r>
      <w:r w:rsidRPr="00EF6F97">
        <w:rPr>
          <w:rFonts w:ascii="Times New Roman" w:hAnsi="Times New Roman" w:cs="Times New Roman"/>
          <w:sz w:val="24"/>
          <w:szCs w:val="24"/>
        </w:rPr>
        <w:lastRenderedPageBreak/>
        <w:t xml:space="preserve">niż 3504 MWh/MW/rok, </w:t>
      </w:r>
    </w:p>
    <w:p w14:paraId="5A2EA646" w14:textId="77777777" w:rsidR="00117FBD" w:rsidRPr="00EF6F97" w:rsidRDefault="00117FBD"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d) zespół ten jest zlokalizowany na obszarze jednego powiatu albo nie więcej niż 5 gmin graniczących ze sobą </w:t>
      </w:r>
    </w:p>
    <w:p w14:paraId="4AADB36E" w14:textId="77777777" w:rsidR="004E2823" w:rsidRPr="00EF6F97" w:rsidRDefault="00117FBD"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 przy czym taki zespół urządzeń wytwórczych może być wspomagany magazynem energii służącym do magazynowania energii wytworzonej </w:t>
      </w:r>
      <w:r w:rsidR="001D0628">
        <w:rPr>
          <w:rFonts w:ascii="Times New Roman" w:hAnsi="Times New Roman" w:cs="Times New Roman"/>
          <w:sz w:val="24"/>
          <w:szCs w:val="24"/>
        </w:rPr>
        <w:t>z </w:t>
      </w:r>
      <w:r w:rsidRPr="00EF6F97">
        <w:rPr>
          <w:rFonts w:ascii="Times New Roman" w:hAnsi="Times New Roman" w:cs="Times New Roman"/>
          <w:sz w:val="24"/>
          <w:szCs w:val="24"/>
        </w:rPr>
        <w:t>tego zespołu</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wówczas oddawana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niego energia jest traktowana jako energia </w:t>
      </w:r>
      <w:r w:rsidR="001D0628">
        <w:rPr>
          <w:rFonts w:ascii="Times New Roman" w:hAnsi="Times New Roman" w:cs="Times New Roman"/>
          <w:sz w:val="24"/>
          <w:szCs w:val="24"/>
        </w:rPr>
        <w:t>z </w:t>
      </w:r>
      <w:r w:rsidRPr="00EF6F97">
        <w:rPr>
          <w:rFonts w:ascii="Times New Roman" w:hAnsi="Times New Roman" w:cs="Times New Roman"/>
          <w:sz w:val="24"/>
          <w:szCs w:val="24"/>
        </w:rPr>
        <w:t>odnawialnego źródła energii</w:t>
      </w:r>
      <w:r w:rsidR="004E2823" w:rsidRPr="00EF6F97">
        <w:rPr>
          <w:rFonts w:ascii="Times New Roman" w:hAnsi="Times New Roman" w:cs="Times New Roman"/>
          <w:sz w:val="24"/>
          <w:szCs w:val="24"/>
        </w:rPr>
        <w:t>;</w:t>
      </w:r>
      <w:r w:rsidR="00173903" w:rsidRPr="00EF6F97">
        <w:rPr>
          <w:rFonts w:ascii="Times New Roman" w:hAnsi="Times New Roman" w:cs="Times New Roman"/>
          <w:sz w:val="24"/>
          <w:szCs w:val="24"/>
        </w:rPr>
        <w:t>”</w:t>
      </w:r>
    </w:p>
    <w:p w14:paraId="04C9614D"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oraz</w:t>
      </w:r>
    </w:p>
    <w:p w14:paraId="3CA66E63" w14:textId="77777777" w:rsidR="00117FBD"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t>
      </w:r>
      <w:r w:rsidR="004E2823" w:rsidRPr="00EF6F97">
        <w:rPr>
          <w:rFonts w:ascii="Times New Roman" w:hAnsi="Times New Roman" w:cs="Times New Roman"/>
          <w:sz w:val="24"/>
          <w:szCs w:val="24"/>
        </w:rPr>
        <w:t>13) instalacja odnawialnego źródła energii –</w:t>
      </w:r>
      <w:r w:rsidR="00117FBD" w:rsidRPr="00EF6F97">
        <w:rPr>
          <w:rFonts w:ascii="Times New Roman" w:hAnsi="Times New Roman" w:cs="Times New Roman"/>
          <w:sz w:val="24"/>
          <w:szCs w:val="24"/>
        </w:rPr>
        <w:t xml:space="preserve"> instalację stanowiącą wyodrębniony zespół: </w:t>
      </w:r>
    </w:p>
    <w:p w14:paraId="57E59445" w14:textId="77777777" w:rsidR="00117FBD" w:rsidRPr="00EF6F97" w:rsidRDefault="00117FBD"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 urządzeń służących do wytwarzania energii opisanych prze</w:t>
      </w:r>
      <w:r w:rsidR="001D0628">
        <w:rPr>
          <w:rFonts w:ascii="Times New Roman" w:hAnsi="Times New Roman" w:cs="Times New Roman"/>
          <w:sz w:val="24"/>
          <w:szCs w:val="24"/>
        </w:rPr>
        <w:t>z </w:t>
      </w:r>
      <w:r w:rsidRPr="00EF6F97">
        <w:rPr>
          <w:rFonts w:ascii="Times New Roman" w:hAnsi="Times New Roman" w:cs="Times New Roman"/>
          <w:sz w:val="24"/>
          <w:szCs w:val="24"/>
        </w:rPr>
        <w:t>dane techniczne</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handlowe, w których energia jest wytwarzana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odnawialnych źródeł energii, lub </w:t>
      </w:r>
    </w:p>
    <w:p w14:paraId="1D75FFC6" w14:textId="77777777" w:rsidR="00117FBD" w:rsidRPr="00EF6F97" w:rsidRDefault="00117FBD"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b) obiektów budowlanych</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urządzeń stanowiących całość techniczno-użytkową służący do wytwarzania biogazu rolniczego </w:t>
      </w:r>
    </w:p>
    <w:p w14:paraId="52E20733" w14:textId="77777777" w:rsidR="00117FBD" w:rsidRPr="00EF6F97" w:rsidRDefault="00117FBD"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 a także połączony </w:t>
      </w:r>
      <w:r w:rsidR="001D0628">
        <w:rPr>
          <w:rFonts w:ascii="Times New Roman" w:hAnsi="Times New Roman" w:cs="Times New Roman"/>
          <w:sz w:val="24"/>
          <w:szCs w:val="24"/>
        </w:rPr>
        <w:t>z </w:t>
      </w:r>
      <w:r w:rsidRPr="00EF6F97">
        <w:rPr>
          <w:rFonts w:ascii="Times New Roman" w:hAnsi="Times New Roman" w:cs="Times New Roman"/>
          <w:sz w:val="24"/>
          <w:szCs w:val="24"/>
        </w:rPr>
        <w:t>tym zespołem magazyn energii, w tym magazyn biogazu rolniczego;</w:t>
      </w:r>
      <w:r w:rsidR="00173903" w:rsidRPr="00EF6F97">
        <w:rPr>
          <w:rFonts w:ascii="Times New Roman" w:hAnsi="Times New Roman" w:cs="Times New Roman"/>
          <w:sz w:val="24"/>
          <w:szCs w:val="24"/>
        </w:rPr>
        <w:t>”</w:t>
      </w:r>
    </w:p>
    <w:p w14:paraId="443B192D" w14:textId="77777777" w:rsidR="004E282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2823" w:rsidRPr="00EF6F97">
        <w:rPr>
          <w:rFonts w:ascii="Times New Roman" w:hAnsi="Times New Roman" w:cs="Times New Roman"/>
          <w:sz w:val="24"/>
          <w:szCs w:val="24"/>
          <w:u w:val="single"/>
        </w:rPr>
        <w:t>W ustawie o rynku mocy</w:t>
      </w:r>
      <w:r w:rsidR="004E2823" w:rsidRPr="00EF6F97">
        <w:rPr>
          <w:rFonts w:ascii="Times New Roman" w:hAnsi="Times New Roman" w:cs="Times New Roman"/>
          <w:sz w:val="24"/>
          <w:szCs w:val="24"/>
        </w:rPr>
        <w:t xml:space="preserve"> znajdują się następujące definicje mające związek </w:t>
      </w:r>
      <w:r w:rsidR="001D0628">
        <w:rPr>
          <w:rFonts w:ascii="Times New Roman" w:hAnsi="Times New Roman" w:cs="Times New Roman"/>
          <w:sz w:val="24"/>
          <w:szCs w:val="24"/>
        </w:rPr>
        <w:t>z </w:t>
      </w:r>
      <w:r w:rsidR="004E2823" w:rsidRPr="00EF6F97">
        <w:rPr>
          <w:rFonts w:ascii="Times New Roman" w:hAnsi="Times New Roman" w:cs="Times New Roman"/>
          <w:sz w:val="24"/>
          <w:szCs w:val="24"/>
        </w:rPr>
        <w:t>magazynowaniem energii</w:t>
      </w:r>
      <w:r w:rsidR="001D0628">
        <w:rPr>
          <w:rFonts w:ascii="Times New Roman" w:hAnsi="Times New Roman" w:cs="Times New Roman"/>
          <w:sz w:val="24"/>
          <w:szCs w:val="24"/>
        </w:rPr>
        <w:t xml:space="preserve"> i </w:t>
      </w:r>
      <w:r w:rsidR="004E2823" w:rsidRPr="00EF6F97">
        <w:rPr>
          <w:rFonts w:ascii="Times New Roman" w:hAnsi="Times New Roman" w:cs="Times New Roman"/>
          <w:sz w:val="24"/>
          <w:szCs w:val="24"/>
        </w:rPr>
        <w:t>funkcjonowaniem magazynów energii elektrycznej</w:t>
      </w:r>
    </w:p>
    <w:p w14:paraId="2A41B189"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Art. 2 ust.1:</w:t>
      </w:r>
    </w:p>
    <w:p w14:paraId="3544949C" w14:textId="77777777" w:rsidR="004E282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t>
      </w:r>
      <w:r w:rsidR="004E2823" w:rsidRPr="00EF6F97">
        <w:rPr>
          <w:rFonts w:ascii="Times New Roman" w:hAnsi="Times New Roman" w:cs="Times New Roman"/>
          <w:sz w:val="24"/>
          <w:szCs w:val="24"/>
        </w:rPr>
        <w:t xml:space="preserve">8) jednostka fizyczna wytwórcza – jednostkę fizyczną będącą jednostką wytwórczą, o której mowa w art. 3 pkt 43 ustawy </w:t>
      </w:r>
      <w:r w:rsidR="001D0628">
        <w:rPr>
          <w:rFonts w:ascii="Times New Roman" w:hAnsi="Times New Roman" w:cs="Times New Roman"/>
          <w:sz w:val="24"/>
          <w:szCs w:val="24"/>
        </w:rPr>
        <w:t>z </w:t>
      </w:r>
      <w:r w:rsidR="004E2823" w:rsidRPr="00EF6F97">
        <w:rPr>
          <w:rFonts w:ascii="Times New Roman" w:hAnsi="Times New Roman" w:cs="Times New Roman"/>
          <w:sz w:val="24"/>
          <w:szCs w:val="24"/>
        </w:rPr>
        <w:t>dnia 10 kwietnia 1997</w:t>
      </w:r>
      <w:r w:rsidR="001D0628">
        <w:rPr>
          <w:rFonts w:ascii="Times New Roman" w:hAnsi="Times New Roman" w:cs="Times New Roman"/>
          <w:sz w:val="24"/>
          <w:szCs w:val="24"/>
        </w:rPr>
        <w:t> r.</w:t>
      </w:r>
      <w:r w:rsidR="004E2823" w:rsidRPr="00EF6F97">
        <w:rPr>
          <w:rFonts w:ascii="Times New Roman" w:hAnsi="Times New Roman" w:cs="Times New Roman"/>
          <w:sz w:val="24"/>
          <w:szCs w:val="24"/>
        </w:rPr>
        <w:t xml:space="preserve"> – Prawo energetyczne, lub magazynem energii elektrycznej</w:t>
      </w:r>
      <w:r w:rsidRPr="00EF6F97">
        <w:rPr>
          <w:rFonts w:ascii="Times New Roman" w:hAnsi="Times New Roman" w:cs="Times New Roman"/>
          <w:sz w:val="24"/>
          <w:szCs w:val="24"/>
        </w:rPr>
        <w:t>;”</w:t>
      </w:r>
    </w:p>
    <w:p w14:paraId="2305F539"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oraz</w:t>
      </w:r>
    </w:p>
    <w:p w14:paraId="369D494D" w14:textId="77777777" w:rsidR="004E282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t>
      </w:r>
      <w:r w:rsidR="004E2823" w:rsidRPr="00EF6F97">
        <w:rPr>
          <w:rFonts w:ascii="Times New Roman" w:hAnsi="Times New Roman" w:cs="Times New Roman"/>
          <w:sz w:val="24"/>
          <w:szCs w:val="24"/>
        </w:rPr>
        <w:t>18)</w:t>
      </w:r>
      <w:r w:rsidR="00EF6F97">
        <w:rPr>
          <w:rFonts w:ascii="Times New Roman" w:hAnsi="Times New Roman" w:cs="Times New Roman"/>
          <w:sz w:val="24"/>
          <w:szCs w:val="24"/>
        </w:rPr>
        <w:t xml:space="preserve"> </w:t>
      </w:r>
      <w:r w:rsidR="004E2823" w:rsidRPr="00EF6F97">
        <w:rPr>
          <w:rFonts w:ascii="Times New Roman" w:hAnsi="Times New Roman" w:cs="Times New Roman"/>
          <w:sz w:val="24"/>
          <w:szCs w:val="24"/>
        </w:rPr>
        <w:t xml:space="preserve">magazyn energii elektrycznej – magazyn energii, o którym mowa w art. 2 pkt 17 ustawy </w:t>
      </w:r>
      <w:r w:rsidR="001D0628">
        <w:rPr>
          <w:rFonts w:ascii="Times New Roman" w:hAnsi="Times New Roman" w:cs="Times New Roman"/>
          <w:sz w:val="24"/>
          <w:szCs w:val="24"/>
        </w:rPr>
        <w:t>z </w:t>
      </w:r>
      <w:r w:rsidR="004E2823" w:rsidRPr="00EF6F97">
        <w:rPr>
          <w:rFonts w:ascii="Times New Roman" w:hAnsi="Times New Roman" w:cs="Times New Roman"/>
          <w:sz w:val="24"/>
          <w:szCs w:val="24"/>
        </w:rPr>
        <w:t>dnia 20 lutego 2015</w:t>
      </w:r>
      <w:r w:rsidR="001D0628">
        <w:rPr>
          <w:rFonts w:ascii="Times New Roman" w:hAnsi="Times New Roman" w:cs="Times New Roman"/>
          <w:sz w:val="24"/>
          <w:szCs w:val="24"/>
        </w:rPr>
        <w:t> r.</w:t>
      </w:r>
      <w:r w:rsidR="004E2823" w:rsidRPr="00EF6F97">
        <w:rPr>
          <w:rFonts w:ascii="Times New Roman" w:hAnsi="Times New Roman" w:cs="Times New Roman"/>
          <w:sz w:val="24"/>
          <w:szCs w:val="24"/>
        </w:rPr>
        <w:t xml:space="preserve"> o odnawialnych źródłach energii (Dz. U. </w:t>
      </w:r>
      <w:r w:rsidR="001D0628">
        <w:rPr>
          <w:rFonts w:ascii="Times New Roman" w:hAnsi="Times New Roman" w:cs="Times New Roman"/>
          <w:sz w:val="24"/>
          <w:szCs w:val="24"/>
        </w:rPr>
        <w:t>z </w:t>
      </w:r>
      <w:r w:rsidR="004E2823" w:rsidRPr="00EF6F97">
        <w:rPr>
          <w:rFonts w:ascii="Times New Roman" w:hAnsi="Times New Roman" w:cs="Times New Roman"/>
          <w:sz w:val="24"/>
          <w:szCs w:val="24"/>
        </w:rPr>
        <w:t>2017</w:t>
      </w:r>
      <w:r w:rsidR="001D0628">
        <w:rPr>
          <w:rFonts w:ascii="Times New Roman" w:hAnsi="Times New Roman" w:cs="Times New Roman"/>
          <w:sz w:val="24"/>
          <w:szCs w:val="24"/>
        </w:rPr>
        <w:t> r.</w:t>
      </w:r>
      <w:r w:rsidR="004E2823" w:rsidRPr="00EF6F97">
        <w:rPr>
          <w:rFonts w:ascii="Times New Roman" w:hAnsi="Times New Roman" w:cs="Times New Roman"/>
          <w:sz w:val="24"/>
          <w:szCs w:val="24"/>
        </w:rPr>
        <w:t xml:space="preserve"> poz. 1148, 1213</w:t>
      </w:r>
      <w:r w:rsidR="001D0628">
        <w:rPr>
          <w:rFonts w:ascii="Times New Roman" w:hAnsi="Times New Roman" w:cs="Times New Roman"/>
          <w:sz w:val="24"/>
          <w:szCs w:val="24"/>
        </w:rPr>
        <w:t xml:space="preserve"> i </w:t>
      </w:r>
      <w:r w:rsidR="004E2823" w:rsidRPr="00EF6F97">
        <w:rPr>
          <w:rFonts w:ascii="Times New Roman" w:hAnsi="Times New Roman" w:cs="Times New Roman"/>
          <w:sz w:val="24"/>
          <w:szCs w:val="24"/>
        </w:rPr>
        <w:t>1593), posiadający zdolność do dostawy mocy elektrycznej do systemu;</w:t>
      </w:r>
      <w:r w:rsidRPr="00EF6F97">
        <w:rPr>
          <w:rFonts w:ascii="Times New Roman" w:hAnsi="Times New Roman" w:cs="Times New Roman"/>
          <w:sz w:val="24"/>
          <w:szCs w:val="24"/>
        </w:rPr>
        <w:t>”</w:t>
      </w:r>
    </w:p>
    <w:p w14:paraId="4B11CE49" w14:textId="77777777" w:rsidR="004E2823" w:rsidRPr="00EF6F97" w:rsidRDefault="004E2823" w:rsidP="00EF6F97">
      <w:pPr>
        <w:spacing w:line="360" w:lineRule="auto"/>
        <w:jc w:val="both"/>
        <w:rPr>
          <w:rFonts w:ascii="Times New Roman" w:hAnsi="Times New Roman" w:cs="Times New Roman"/>
          <w:sz w:val="24"/>
          <w:szCs w:val="24"/>
          <w:u w:val="single"/>
        </w:rPr>
      </w:pPr>
      <w:r w:rsidRPr="00EF6F97">
        <w:rPr>
          <w:rFonts w:ascii="Times New Roman" w:hAnsi="Times New Roman" w:cs="Times New Roman"/>
          <w:sz w:val="24"/>
          <w:szCs w:val="24"/>
          <w:u w:val="single"/>
        </w:rPr>
        <w:t xml:space="preserve">W zakresie pozostałych przepisów </w:t>
      </w:r>
    </w:p>
    <w:p w14:paraId="0523B305" w14:textId="77777777" w:rsidR="004E282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2823" w:rsidRPr="00EF6F97">
        <w:rPr>
          <w:rFonts w:ascii="Times New Roman" w:hAnsi="Times New Roman" w:cs="Times New Roman"/>
          <w:sz w:val="24"/>
          <w:szCs w:val="24"/>
        </w:rPr>
        <w:t xml:space="preserve">Ponadto, w ustawie o rynku mocy występują następujące przepisy odwołujące się do magazynów energii elektrycznej: </w:t>
      </w:r>
    </w:p>
    <w:p w14:paraId="45977AE4"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„Art. 14. 1. Operator, w terminie 14 dni od zakończenia certyfikacji ogólnej, przedkłada Prezesowi URE ora</w:t>
      </w:r>
      <w:r w:rsidR="001D0628">
        <w:rPr>
          <w:rFonts w:ascii="Times New Roman" w:hAnsi="Times New Roman" w:cs="Times New Roman"/>
          <w:sz w:val="24"/>
          <w:szCs w:val="24"/>
        </w:rPr>
        <w:t>z </w:t>
      </w:r>
      <w:r w:rsidRPr="00EF6F97">
        <w:rPr>
          <w:rFonts w:ascii="Times New Roman" w:hAnsi="Times New Roman" w:cs="Times New Roman"/>
          <w:sz w:val="24"/>
          <w:szCs w:val="24"/>
        </w:rPr>
        <w:t>ministrowi właściwemu do spraw energii informację o przebiegu tej certyfikacji. Informacja ta zawiera w szczególności:</w:t>
      </w:r>
    </w:p>
    <w:p w14:paraId="5F525FE2"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1)</w:t>
      </w:r>
      <w:r w:rsidR="00173903" w:rsidRPr="00EF6F97">
        <w:rPr>
          <w:rFonts w:ascii="Times New Roman" w:hAnsi="Times New Roman" w:cs="Times New Roman"/>
          <w:sz w:val="24"/>
          <w:szCs w:val="24"/>
        </w:rPr>
        <w:t> </w:t>
      </w:r>
      <w:r w:rsidRPr="00EF6F97">
        <w:rPr>
          <w:rFonts w:ascii="Times New Roman" w:hAnsi="Times New Roman" w:cs="Times New Roman"/>
          <w:sz w:val="24"/>
          <w:szCs w:val="24"/>
        </w:rPr>
        <w:t>sumę mocy osiągalnej netto wszystkich jednostek fizycznych zgłoszonych do certyfikacji ogólnej w podziale na: jednostki fizyczne wytwórcze planowane</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istniejące, jednostki fizyczne redukcji zapotrzebowania, jednostki redukcji zapotrzebowania planowane, jednostki fizyczne wytwórcze będące magazynem energii elektrycznej ora</w:t>
      </w:r>
      <w:r w:rsidR="001D0628">
        <w:rPr>
          <w:rFonts w:ascii="Times New Roman" w:hAnsi="Times New Roman" w:cs="Times New Roman"/>
          <w:sz w:val="24"/>
          <w:szCs w:val="24"/>
        </w:rPr>
        <w:t>z </w:t>
      </w:r>
      <w:r w:rsidRPr="00EF6F97">
        <w:rPr>
          <w:rFonts w:ascii="Times New Roman" w:hAnsi="Times New Roman" w:cs="Times New Roman"/>
          <w:sz w:val="24"/>
          <w:szCs w:val="24"/>
        </w:rPr>
        <w:t>jednostki fizyczne zagraniczne; (…)”</w:t>
      </w:r>
      <w:r w:rsidR="00173903" w:rsidRPr="00EF6F97">
        <w:rPr>
          <w:rFonts w:ascii="Times New Roman" w:hAnsi="Times New Roman" w:cs="Times New Roman"/>
          <w:sz w:val="24"/>
          <w:szCs w:val="24"/>
        </w:rPr>
        <w:t>.</w:t>
      </w:r>
    </w:p>
    <w:p w14:paraId="76353FE2"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Art. 20: </w:t>
      </w:r>
    </w:p>
    <w:p w14:paraId="73E0B8AF"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lastRenderedPageBreak/>
        <w:t>„ust. 1. Wniosek o certyfikację jednostki rynku mocy redukcji zapotrzebowania zawiera informacje, o których mowa w art. 19 ust. 1, odpowiednio dla jednostki rynku mocy redukcji zapotrzebowania, w tym o zasobach lub układach umożliwiających redukcję zapotrzebowania obejmujące informacje dotyczące źródeł wytwarzania lub magazynów energii elektrycznej, jeżeli wchodzą w skład tej jednostki rynku mocy redukcji zapotrzebowania.”</w:t>
      </w:r>
    </w:p>
    <w:p w14:paraId="0F1A0DE2"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„ust. 5. Wniosek o certyfikację jednostki rynku mocy redukcji zapotrzebowania składającej się </w:t>
      </w:r>
      <w:r w:rsidR="001D0628">
        <w:rPr>
          <w:rFonts w:ascii="Times New Roman" w:hAnsi="Times New Roman" w:cs="Times New Roman"/>
          <w:sz w:val="24"/>
          <w:szCs w:val="24"/>
        </w:rPr>
        <w:t>z </w:t>
      </w:r>
      <w:r w:rsidRPr="00EF6F97">
        <w:rPr>
          <w:rFonts w:ascii="Times New Roman" w:hAnsi="Times New Roman" w:cs="Times New Roman"/>
          <w:sz w:val="24"/>
          <w:szCs w:val="24"/>
        </w:rPr>
        <w:t>jednostki fizycznej zagranicznej redukcji zapotrzebowania zawiera informacje, o których mowa w art. 19 ust. 4, odpowiednio dla jednostki rynku mocy redukcji zapotrzebowania, w tym o zasobach lub układach umożliwiających redukcję zapotrzebowania obejmujące informacje dotyczące źródeł wytwarzania lub magazynów energii elektrycznej, jeżeli wchodzą w skład tej jednostki rynku mocy redukcji zapotrzebowania.”</w:t>
      </w:r>
    </w:p>
    <w:p w14:paraId="759357C3"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„Art. 27. Operator, w terminie 10 dni od zakończenia certyfikacji do aukcji głównej, przedkłada Prezesowi URE ora</w:t>
      </w:r>
      <w:r w:rsidR="001D0628">
        <w:rPr>
          <w:rFonts w:ascii="Times New Roman" w:hAnsi="Times New Roman" w:cs="Times New Roman"/>
          <w:sz w:val="24"/>
          <w:szCs w:val="24"/>
        </w:rPr>
        <w:t>z </w:t>
      </w:r>
      <w:r w:rsidRPr="00EF6F97">
        <w:rPr>
          <w:rFonts w:ascii="Times New Roman" w:hAnsi="Times New Roman" w:cs="Times New Roman"/>
          <w:sz w:val="24"/>
          <w:szCs w:val="24"/>
        </w:rPr>
        <w:t>ministrowi właściwemu do spraw energii informację o przebiegu tej certyfikacji. Informacja ta zawiera w szczególności:</w:t>
      </w:r>
    </w:p>
    <w:p w14:paraId="309ACAAD"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1)</w:t>
      </w:r>
      <w:r w:rsidR="00173903" w:rsidRPr="00EF6F97">
        <w:rPr>
          <w:rFonts w:ascii="Times New Roman" w:hAnsi="Times New Roman" w:cs="Times New Roman"/>
          <w:sz w:val="24"/>
          <w:szCs w:val="24"/>
        </w:rPr>
        <w:t xml:space="preserve"> </w:t>
      </w:r>
      <w:r w:rsidRPr="00EF6F97">
        <w:rPr>
          <w:rFonts w:ascii="Times New Roman" w:hAnsi="Times New Roman" w:cs="Times New Roman"/>
          <w:sz w:val="24"/>
          <w:szCs w:val="24"/>
        </w:rPr>
        <w:t>liczbę utworzonych jednostek rynku mocy ora</w:t>
      </w:r>
      <w:r w:rsidR="001D0628">
        <w:rPr>
          <w:rFonts w:ascii="Times New Roman" w:hAnsi="Times New Roman" w:cs="Times New Roman"/>
          <w:sz w:val="24"/>
          <w:szCs w:val="24"/>
        </w:rPr>
        <w:t>z </w:t>
      </w:r>
      <w:r w:rsidRPr="00EF6F97">
        <w:rPr>
          <w:rFonts w:ascii="Times New Roman" w:hAnsi="Times New Roman" w:cs="Times New Roman"/>
          <w:sz w:val="24"/>
          <w:szCs w:val="24"/>
        </w:rPr>
        <w:t>sumę iloczynów ich mocy osiągalnej netto</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korekcyjnych współczynników dyspozycyjności, w podziale na: jednostki rynku mocy wytwórcze istniejące, modernizowane</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nowe, jednostki rynku mocy redukcji zapotrzebowania, jednostki rynku mocy wytwórcze będące magazynem energii elektrycznej, jednostki rynku mocy składające się </w:t>
      </w:r>
      <w:r w:rsidR="001D0628">
        <w:rPr>
          <w:rFonts w:ascii="Times New Roman" w:hAnsi="Times New Roman" w:cs="Times New Roman"/>
          <w:sz w:val="24"/>
          <w:szCs w:val="24"/>
        </w:rPr>
        <w:t>z </w:t>
      </w:r>
      <w:r w:rsidRPr="00EF6F97">
        <w:rPr>
          <w:rFonts w:ascii="Times New Roman" w:hAnsi="Times New Roman" w:cs="Times New Roman"/>
          <w:sz w:val="24"/>
          <w:szCs w:val="24"/>
        </w:rPr>
        <w:t>jednostek fizycznych zagranicznych ora</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jednostki rynku mocy składające się </w:t>
      </w:r>
      <w:r w:rsidR="001D0628">
        <w:rPr>
          <w:rFonts w:ascii="Times New Roman" w:hAnsi="Times New Roman" w:cs="Times New Roman"/>
          <w:sz w:val="24"/>
          <w:szCs w:val="24"/>
        </w:rPr>
        <w:t>z </w:t>
      </w:r>
      <w:r w:rsidRPr="00EF6F97">
        <w:rPr>
          <w:rFonts w:ascii="Times New Roman" w:hAnsi="Times New Roman" w:cs="Times New Roman"/>
          <w:sz w:val="24"/>
          <w:szCs w:val="24"/>
        </w:rPr>
        <w:t>jednostek fizycznych połączenia międzysystemowego;</w:t>
      </w:r>
    </w:p>
    <w:p w14:paraId="3D5E2BFC" w14:textId="77777777" w:rsidR="00634DCE"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2823" w:rsidRPr="00EF6F97">
        <w:rPr>
          <w:rFonts w:ascii="Times New Roman" w:hAnsi="Times New Roman" w:cs="Times New Roman"/>
          <w:sz w:val="24"/>
          <w:szCs w:val="24"/>
        </w:rPr>
        <w:t>Ponadto w dokumencie pn. „Podręcznik Użytkownika Portalu Uczestnika Rynku Mocy” użytkownik będzie musiał określić parametry magazynu energii, tj. pojemność magazynu (MWh), sprawność cyklu jednokrotnego ładowania (%), maksymalną moc ładowania (MW), maksymalną moc rozładowania (MW).”</w:t>
      </w:r>
    </w:p>
    <w:p w14:paraId="60CA33EB" w14:textId="77777777" w:rsidR="001970B8" w:rsidRPr="00EF6F97" w:rsidRDefault="001970B8" w:rsidP="00EF6F97">
      <w:pPr>
        <w:spacing w:line="360" w:lineRule="auto"/>
        <w:jc w:val="both"/>
        <w:rPr>
          <w:rFonts w:ascii="Times New Roman" w:hAnsi="Times New Roman" w:cs="Times New Roman"/>
          <w:b/>
          <w:sz w:val="24"/>
          <w:szCs w:val="24"/>
        </w:rPr>
      </w:pPr>
    </w:p>
    <w:p w14:paraId="4836A240" w14:textId="77777777" w:rsidR="00364AF5" w:rsidRPr="00EF6F97" w:rsidRDefault="00364AF5"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Proponowane rozwiązania</w:t>
      </w:r>
    </w:p>
    <w:p w14:paraId="72FB4FF5" w14:textId="77777777" w:rsidR="004E282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364AF5" w:rsidRPr="00EF6F97">
        <w:rPr>
          <w:rFonts w:ascii="Times New Roman" w:hAnsi="Times New Roman" w:cs="Times New Roman"/>
          <w:sz w:val="24"/>
          <w:szCs w:val="24"/>
        </w:rPr>
        <w:t>W projekcie ustawy proponuje się wprowadzenie do ustawy - Prawo energetyczne jednolitych definicji, które będą wykorzystane we wszystkich innych aktach prawnych, tj. definicji „magazynowania energii elektrycznej” ora</w:t>
      </w:r>
      <w:r w:rsidR="001D0628">
        <w:rPr>
          <w:rFonts w:ascii="Times New Roman" w:hAnsi="Times New Roman" w:cs="Times New Roman"/>
          <w:sz w:val="24"/>
          <w:szCs w:val="24"/>
        </w:rPr>
        <w:t>z </w:t>
      </w:r>
      <w:r w:rsidR="00364AF5" w:rsidRPr="00EF6F97">
        <w:rPr>
          <w:rFonts w:ascii="Times New Roman" w:hAnsi="Times New Roman" w:cs="Times New Roman"/>
          <w:sz w:val="24"/>
          <w:szCs w:val="24"/>
        </w:rPr>
        <w:t xml:space="preserve">definicji magazynu energii elektrycznej. </w:t>
      </w:r>
      <w:r w:rsidR="00551173" w:rsidRPr="00EF6F97">
        <w:rPr>
          <w:rFonts w:ascii="Times New Roman" w:hAnsi="Times New Roman" w:cs="Times New Roman"/>
          <w:sz w:val="24"/>
          <w:szCs w:val="24"/>
        </w:rPr>
        <w:t>Obecny stan w którym istnieją różne definicje w ustawie – Prawo energetyczne</w:t>
      </w:r>
      <w:r w:rsidR="001D0628">
        <w:rPr>
          <w:rFonts w:ascii="Times New Roman" w:hAnsi="Times New Roman" w:cs="Times New Roman"/>
          <w:sz w:val="24"/>
          <w:szCs w:val="24"/>
        </w:rPr>
        <w:t xml:space="preserve"> i </w:t>
      </w:r>
      <w:r w:rsidR="00551173" w:rsidRPr="00EF6F97">
        <w:rPr>
          <w:rFonts w:ascii="Times New Roman" w:hAnsi="Times New Roman" w:cs="Times New Roman"/>
          <w:sz w:val="24"/>
          <w:szCs w:val="24"/>
        </w:rPr>
        <w:t>ustawie o OZE prowadzi do niejednoznaczności</w:t>
      </w:r>
      <w:r w:rsidR="001D0628">
        <w:rPr>
          <w:rFonts w:ascii="Times New Roman" w:hAnsi="Times New Roman" w:cs="Times New Roman"/>
          <w:sz w:val="24"/>
          <w:szCs w:val="24"/>
        </w:rPr>
        <w:t xml:space="preserve"> i </w:t>
      </w:r>
      <w:r w:rsidR="00551173" w:rsidRPr="00EF6F97">
        <w:rPr>
          <w:rFonts w:ascii="Times New Roman" w:hAnsi="Times New Roman" w:cs="Times New Roman"/>
          <w:sz w:val="24"/>
          <w:szCs w:val="24"/>
        </w:rPr>
        <w:t xml:space="preserve">potencjalnych problemów interpretacyjnych. Ponadto przyjęta koncepcja definiowania „magazynowania energii” jako usługi jest niewłaściwa, gdyż część zastosowań będzie miała charakter rozbudowy własnych instalacji (np. źródła OZE lub ekwiwalentu rozbudowy sieci), gdzie formuła usługi nie występuje. W przedstawionej </w:t>
      </w:r>
      <w:r w:rsidR="00551173" w:rsidRPr="00EF6F97">
        <w:rPr>
          <w:rFonts w:ascii="Times New Roman" w:hAnsi="Times New Roman" w:cs="Times New Roman"/>
          <w:sz w:val="24"/>
          <w:szCs w:val="24"/>
        </w:rPr>
        <w:lastRenderedPageBreak/>
        <w:t xml:space="preserve">propozycji „magazynowanie energii elektrycznej” jest procesem w którym energia pobrana </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sieci jest ponownie</w:t>
      </w:r>
      <w:r w:rsidR="00EA6B6D">
        <w:rPr>
          <w:rFonts w:ascii="Times New Roman" w:hAnsi="Times New Roman" w:cs="Times New Roman"/>
          <w:sz w:val="24"/>
          <w:szCs w:val="24"/>
        </w:rPr>
        <w:t xml:space="preserve"> przetworzona na energię elektryczną</w:t>
      </w:r>
      <w:r w:rsidR="00551173" w:rsidRPr="00EF6F97">
        <w:rPr>
          <w:rFonts w:ascii="Times New Roman" w:hAnsi="Times New Roman" w:cs="Times New Roman"/>
          <w:sz w:val="24"/>
          <w:szCs w:val="24"/>
        </w:rPr>
        <w:t xml:space="preserve">. </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 xml:space="preserve">tego punktu widzenia nie będzie magazynem energii elektrycznej instalacja, która dokonuje konwersji energii elektrycznej na nośnik taki jak np. wodór (P2G). Będzie to instalacja odbiorcza mająca zdolność do zarządzania swoim poborem energii elektrycznej </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sieci określon</w:t>
      </w:r>
      <w:r w:rsidR="001970B8" w:rsidRPr="00EF6F97">
        <w:rPr>
          <w:rFonts w:ascii="Times New Roman" w:hAnsi="Times New Roman" w:cs="Times New Roman"/>
          <w:sz w:val="24"/>
          <w:szCs w:val="24"/>
        </w:rPr>
        <w:t>a</w:t>
      </w:r>
      <w:r w:rsidR="00551173" w:rsidRPr="00EF6F97">
        <w:rPr>
          <w:rFonts w:ascii="Times New Roman" w:hAnsi="Times New Roman" w:cs="Times New Roman"/>
          <w:sz w:val="24"/>
          <w:szCs w:val="24"/>
        </w:rPr>
        <w:t xml:space="preserve"> w ustawie jako instalacja zarządzania popytem.</w:t>
      </w:r>
      <w:r w:rsidR="00EF6F97">
        <w:rPr>
          <w:rFonts w:ascii="Times New Roman" w:hAnsi="Times New Roman" w:cs="Times New Roman"/>
          <w:sz w:val="24"/>
          <w:szCs w:val="24"/>
        </w:rPr>
        <w:t xml:space="preserve"> </w:t>
      </w:r>
    </w:p>
    <w:p w14:paraId="2E375A9F" w14:textId="77777777" w:rsidR="0055117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51173" w:rsidRPr="00EF6F97">
        <w:rPr>
          <w:rFonts w:ascii="Times New Roman" w:hAnsi="Times New Roman" w:cs="Times New Roman"/>
          <w:sz w:val="24"/>
          <w:szCs w:val="24"/>
        </w:rPr>
        <w:t>Celowe jest także dostosowanie definicji do pojęć określonych już w ustawie o rynku mocy.</w:t>
      </w:r>
      <w:r w:rsidR="00EF6F97">
        <w:rPr>
          <w:rFonts w:ascii="Times New Roman" w:hAnsi="Times New Roman" w:cs="Times New Roman"/>
          <w:sz w:val="24"/>
          <w:szCs w:val="24"/>
        </w:rPr>
        <w:t xml:space="preserve"> </w:t>
      </w:r>
      <w:r w:rsidR="00551173" w:rsidRPr="00EF6F97">
        <w:rPr>
          <w:rFonts w:ascii="Times New Roman" w:hAnsi="Times New Roman" w:cs="Times New Roman"/>
          <w:sz w:val="24"/>
          <w:szCs w:val="24"/>
        </w:rPr>
        <w:t>Równolegle prowadzone prace na</w:t>
      </w:r>
      <w:r w:rsidR="001970B8" w:rsidRPr="00EF6F97">
        <w:rPr>
          <w:rFonts w:ascii="Times New Roman" w:hAnsi="Times New Roman" w:cs="Times New Roman"/>
          <w:sz w:val="24"/>
          <w:szCs w:val="24"/>
        </w:rPr>
        <w:t>d</w:t>
      </w:r>
      <w:r w:rsidR="00551173" w:rsidRPr="00EF6F97">
        <w:rPr>
          <w:rFonts w:ascii="Times New Roman" w:hAnsi="Times New Roman" w:cs="Times New Roman"/>
          <w:sz w:val="24"/>
          <w:szCs w:val="24"/>
        </w:rPr>
        <w:t xml:space="preserve"> ustawami o rynku mocy</w:t>
      </w:r>
      <w:r w:rsidR="001D0628">
        <w:rPr>
          <w:rFonts w:ascii="Times New Roman" w:hAnsi="Times New Roman" w:cs="Times New Roman"/>
          <w:sz w:val="24"/>
          <w:szCs w:val="24"/>
        </w:rPr>
        <w:t xml:space="preserve"> i </w:t>
      </w:r>
      <w:r w:rsidR="00551173" w:rsidRPr="00EF6F97">
        <w:rPr>
          <w:rFonts w:ascii="Times New Roman" w:hAnsi="Times New Roman" w:cs="Times New Roman"/>
          <w:sz w:val="24"/>
          <w:szCs w:val="24"/>
        </w:rPr>
        <w:t>o elektromobilności</w:t>
      </w:r>
      <w:r w:rsidR="001D0628">
        <w:rPr>
          <w:rFonts w:ascii="Times New Roman" w:hAnsi="Times New Roman" w:cs="Times New Roman"/>
          <w:sz w:val="24"/>
          <w:szCs w:val="24"/>
        </w:rPr>
        <w:t xml:space="preserve"> i </w:t>
      </w:r>
      <w:r w:rsidR="00551173" w:rsidRPr="00EF6F97">
        <w:rPr>
          <w:rFonts w:ascii="Times New Roman" w:hAnsi="Times New Roman" w:cs="Times New Roman"/>
          <w:sz w:val="24"/>
          <w:szCs w:val="24"/>
        </w:rPr>
        <w:t xml:space="preserve">paliwach alternatywnych doprowadziły do sytuacji, że powstały dwie różne definicje dotyczące tej samej instalacji odbiorcy końcowego, zdolne do redukcji swojego zapotrzebowania (poboru) energii elektrycznej </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sieci. Przedstawiona propozycja normuje tą sytuację.</w:t>
      </w:r>
    </w:p>
    <w:p w14:paraId="1C9C5FE7" w14:textId="77777777" w:rsidR="0055117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51173" w:rsidRPr="00EF6F97">
        <w:rPr>
          <w:rFonts w:ascii="Times New Roman" w:hAnsi="Times New Roman" w:cs="Times New Roman"/>
          <w:sz w:val="24"/>
          <w:szCs w:val="24"/>
        </w:rPr>
        <w:t>Zmiana definicji odbiorcy końcowego</w:t>
      </w:r>
      <w:r w:rsidR="00CB5761" w:rsidRPr="00EF6F97">
        <w:rPr>
          <w:rFonts w:ascii="Times New Roman" w:hAnsi="Times New Roman" w:cs="Times New Roman"/>
          <w:sz w:val="24"/>
          <w:szCs w:val="24"/>
        </w:rPr>
        <w:t xml:space="preserve"> ma</w:t>
      </w:r>
      <w:r w:rsidR="00551173" w:rsidRPr="00EF6F97">
        <w:rPr>
          <w:rFonts w:ascii="Times New Roman" w:hAnsi="Times New Roman" w:cs="Times New Roman"/>
          <w:sz w:val="24"/>
          <w:szCs w:val="24"/>
        </w:rPr>
        <w:t xml:space="preserve"> na celu uwzględnienie natury magazynowania energii elektrycznej poprze</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 xml:space="preserve">uwzględnienie w tej definicji wyłączenia energii zużywanej na potrzeby magazynowania </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kategorii własnego użytku. Oznacza to, że cała magazynowana energia elektryczna ora</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energia strat w magazynie analogicznie do wytwarzania, przesyłu</w:t>
      </w:r>
      <w:r w:rsidR="001D0628">
        <w:rPr>
          <w:rFonts w:ascii="Times New Roman" w:hAnsi="Times New Roman" w:cs="Times New Roman"/>
          <w:sz w:val="24"/>
          <w:szCs w:val="24"/>
        </w:rPr>
        <w:t xml:space="preserve"> i </w:t>
      </w:r>
      <w:r w:rsidR="00551173" w:rsidRPr="00EF6F97">
        <w:rPr>
          <w:rFonts w:ascii="Times New Roman" w:hAnsi="Times New Roman" w:cs="Times New Roman"/>
          <w:sz w:val="24"/>
          <w:szCs w:val="24"/>
        </w:rPr>
        <w:t xml:space="preserve">dystrybucji, nie będzie uznana za zużycie odbiorcy końcowego. Uzasadnieniem tego jest fakt, że energia wprowadzona do sieci </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magazynu energii elektrycznej będzie po pewnym czasie zużyta prze</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odbiorcę końcowego, który poniesie koszty zarówno dotyczące transportu energii elektrycznej jak</w:t>
      </w:r>
      <w:r w:rsidR="001D0628">
        <w:rPr>
          <w:rFonts w:ascii="Times New Roman" w:hAnsi="Times New Roman" w:cs="Times New Roman"/>
          <w:sz w:val="24"/>
          <w:szCs w:val="24"/>
        </w:rPr>
        <w:t xml:space="preserve"> i </w:t>
      </w:r>
      <w:r w:rsidR="00551173" w:rsidRPr="00EF6F97">
        <w:rPr>
          <w:rFonts w:ascii="Times New Roman" w:hAnsi="Times New Roman" w:cs="Times New Roman"/>
          <w:sz w:val="24"/>
          <w:szCs w:val="24"/>
        </w:rPr>
        <w:t>koszty samej energii ze wszystkich obciążeniami przewidzianymi ustawą.</w:t>
      </w:r>
    </w:p>
    <w:p w14:paraId="3617E81A" w14:textId="77777777" w:rsidR="00645C7B" w:rsidRPr="00EF6F97" w:rsidRDefault="00645C7B"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Proponowana zmiana definicji </w:t>
      </w:r>
    </w:p>
    <w:p w14:paraId="4E2FF65A" w14:textId="77777777" w:rsidR="00E91116"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E91116" w:rsidRPr="00EF6F97">
        <w:rPr>
          <w:rFonts w:ascii="Times New Roman" w:hAnsi="Times New Roman" w:cs="Times New Roman"/>
          <w:sz w:val="24"/>
          <w:szCs w:val="24"/>
        </w:rPr>
        <w:t xml:space="preserve">W projekcie ustawy proponuje się, analogicznie jak </w:t>
      </w:r>
      <w:r w:rsidR="00CB5761" w:rsidRPr="00EF6F97">
        <w:rPr>
          <w:rFonts w:ascii="Times New Roman" w:hAnsi="Times New Roman" w:cs="Times New Roman"/>
          <w:sz w:val="24"/>
          <w:szCs w:val="24"/>
        </w:rPr>
        <w:t xml:space="preserve">ma </w:t>
      </w:r>
      <w:r w:rsidR="00E91116" w:rsidRPr="00EF6F97">
        <w:rPr>
          <w:rFonts w:ascii="Times New Roman" w:hAnsi="Times New Roman" w:cs="Times New Roman"/>
          <w:sz w:val="24"/>
          <w:szCs w:val="24"/>
        </w:rPr>
        <w:t>to miejsce w sektorze gazu, objęcie magazynowania energii elektrycznej osobną koncesją</w:t>
      </w:r>
      <w:r w:rsidR="001970B8" w:rsidRPr="00EF6F97">
        <w:rPr>
          <w:rFonts w:ascii="Times New Roman" w:hAnsi="Times New Roman" w:cs="Times New Roman"/>
          <w:sz w:val="24"/>
          <w:szCs w:val="24"/>
        </w:rPr>
        <w:t>,</w:t>
      </w:r>
      <w:r w:rsidR="00E91116" w:rsidRPr="00EF6F97">
        <w:rPr>
          <w:rFonts w:ascii="Times New Roman" w:hAnsi="Times New Roman" w:cs="Times New Roman"/>
          <w:sz w:val="24"/>
          <w:szCs w:val="24"/>
        </w:rPr>
        <w:t xml:space="preserve"> alternatywną wobec koncesji na wytwarzanie. Określenie progu mocowego, dla którego niezbędne jest uzyskanie koncesji wynika </w:t>
      </w:r>
      <w:r w:rsidR="001D0628">
        <w:rPr>
          <w:rFonts w:ascii="Times New Roman" w:hAnsi="Times New Roman" w:cs="Times New Roman"/>
          <w:sz w:val="24"/>
          <w:szCs w:val="24"/>
        </w:rPr>
        <w:t>z </w:t>
      </w:r>
      <w:r w:rsidR="00E91116" w:rsidRPr="00EF6F97">
        <w:rPr>
          <w:rFonts w:ascii="Times New Roman" w:hAnsi="Times New Roman" w:cs="Times New Roman"/>
          <w:sz w:val="24"/>
          <w:szCs w:val="24"/>
        </w:rPr>
        <w:t>potrzeby zagwarantowania pewności świadczenia usług na rzec</w:t>
      </w:r>
      <w:r w:rsidR="001D0628">
        <w:rPr>
          <w:rFonts w:ascii="Times New Roman" w:hAnsi="Times New Roman" w:cs="Times New Roman"/>
          <w:sz w:val="24"/>
          <w:szCs w:val="24"/>
        </w:rPr>
        <w:t>z </w:t>
      </w:r>
      <w:r w:rsidR="00E91116" w:rsidRPr="00EF6F97">
        <w:rPr>
          <w:rFonts w:ascii="Times New Roman" w:hAnsi="Times New Roman" w:cs="Times New Roman"/>
          <w:sz w:val="24"/>
          <w:szCs w:val="24"/>
        </w:rPr>
        <w:t>KSE prze</w:t>
      </w:r>
      <w:r w:rsidR="001D0628">
        <w:rPr>
          <w:rFonts w:ascii="Times New Roman" w:hAnsi="Times New Roman" w:cs="Times New Roman"/>
          <w:sz w:val="24"/>
          <w:szCs w:val="24"/>
        </w:rPr>
        <w:t>z </w:t>
      </w:r>
      <w:r w:rsidR="00E91116" w:rsidRPr="00EF6F97">
        <w:rPr>
          <w:rFonts w:ascii="Times New Roman" w:hAnsi="Times New Roman" w:cs="Times New Roman"/>
          <w:sz w:val="24"/>
          <w:szCs w:val="24"/>
        </w:rPr>
        <w:t xml:space="preserve">magazyny energii elektrycznej o mocy większej niż 10 </w:t>
      </w:r>
      <w:r w:rsidR="00CB5761" w:rsidRPr="00EF6F97">
        <w:rPr>
          <w:rFonts w:ascii="Times New Roman" w:hAnsi="Times New Roman" w:cs="Times New Roman"/>
          <w:sz w:val="24"/>
          <w:szCs w:val="24"/>
        </w:rPr>
        <w:t>MW. Proponuje się przyjęcie takiego</w:t>
      </w:r>
      <w:r w:rsidR="00E91116" w:rsidRPr="00EF6F97">
        <w:rPr>
          <w:rFonts w:ascii="Times New Roman" w:hAnsi="Times New Roman" w:cs="Times New Roman"/>
          <w:sz w:val="24"/>
          <w:szCs w:val="24"/>
        </w:rPr>
        <w:t xml:space="preserve"> samego progu jak dla źródeł wytwórczych (modułów wytwarzania energii) typu C (zgodnie </w:t>
      </w:r>
      <w:r w:rsidR="001D0628">
        <w:rPr>
          <w:rFonts w:ascii="Times New Roman" w:hAnsi="Times New Roman" w:cs="Times New Roman"/>
          <w:sz w:val="24"/>
          <w:szCs w:val="24"/>
        </w:rPr>
        <w:t>z </w:t>
      </w:r>
      <w:r w:rsidR="00E91116" w:rsidRPr="00EF6F97">
        <w:rPr>
          <w:rFonts w:ascii="Times New Roman" w:hAnsi="Times New Roman" w:cs="Times New Roman"/>
          <w:sz w:val="24"/>
          <w:szCs w:val="24"/>
        </w:rPr>
        <w:t xml:space="preserve">klasyfikacją wynikającą </w:t>
      </w:r>
      <w:r w:rsidR="001D0628">
        <w:rPr>
          <w:rFonts w:ascii="Times New Roman" w:hAnsi="Times New Roman" w:cs="Times New Roman"/>
          <w:sz w:val="24"/>
          <w:szCs w:val="24"/>
        </w:rPr>
        <w:t>z </w:t>
      </w:r>
      <w:r w:rsidR="00E91116" w:rsidRPr="00EF6F97">
        <w:rPr>
          <w:rFonts w:ascii="Times New Roman" w:hAnsi="Times New Roman" w:cs="Times New Roman"/>
          <w:sz w:val="24"/>
          <w:szCs w:val="24"/>
        </w:rPr>
        <w:t xml:space="preserve">Rozporządzania Komisji (UE) 2016/631 </w:t>
      </w:r>
      <w:r w:rsidR="001D0628">
        <w:rPr>
          <w:rFonts w:ascii="Times New Roman" w:hAnsi="Times New Roman" w:cs="Times New Roman"/>
          <w:sz w:val="24"/>
          <w:szCs w:val="24"/>
        </w:rPr>
        <w:t>z </w:t>
      </w:r>
      <w:r w:rsidR="00E91116" w:rsidRPr="00EF6F97">
        <w:rPr>
          <w:rFonts w:ascii="Times New Roman" w:hAnsi="Times New Roman" w:cs="Times New Roman"/>
          <w:sz w:val="24"/>
          <w:szCs w:val="24"/>
        </w:rPr>
        <w:t>dnia 14 kwietnia 2016</w:t>
      </w:r>
      <w:r w:rsidR="001D0628">
        <w:rPr>
          <w:rFonts w:ascii="Times New Roman" w:hAnsi="Times New Roman" w:cs="Times New Roman"/>
          <w:sz w:val="24"/>
          <w:szCs w:val="24"/>
        </w:rPr>
        <w:t> r.</w:t>
      </w:r>
      <w:r w:rsidR="00E91116" w:rsidRPr="00EF6F97">
        <w:rPr>
          <w:rFonts w:ascii="Times New Roman" w:hAnsi="Times New Roman" w:cs="Times New Roman"/>
          <w:sz w:val="24"/>
          <w:szCs w:val="24"/>
        </w:rPr>
        <w:t xml:space="preserve"> </w:t>
      </w:r>
    </w:p>
    <w:p w14:paraId="210AAA6C" w14:textId="77777777" w:rsidR="00E5096F" w:rsidRPr="00EF6F97" w:rsidRDefault="00E91116" w:rsidP="00B855AB">
      <w:pPr>
        <w:spacing w:line="360" w:lineRule="auto"/>
        <w:ind w:firstLine="709"/>
        <w:jc w:val="both"/>
        <w:rPr>
          <w:rFonts w:ascii="Times New Roman" w:hAnsi="Times New Roman" w:cs="Times New Roman"/>
          <w:sz w:val="24"/>
          <w:szCs w:val="24"/>
        </w:rPr>
      </w:pPr>
      <w:r w:rsidRPr="00EF6F97">
        <w:rPr>
          <w:rFonts w:ascii="Times New Roman" w:hAnsi="Times New Roman" w:cs="Times New Roman"/>
          <w:sz w:val="24"/>
          <w:szCs w:val="24"/>
        </w:rPr>
        <w:t xml:space="preserve">Jednocześnie proponuje się wprowadzenie obowiązku rejestracji magazynów energii elektrycznej o mocy znamionowej większej niż </w:t>
      </w:r>
      <w:r w:rsidR="001970B8" w:rsidRPr="00EF6F97">
        <w:rPr>
          <w:rFonts w:ascii="Times New Roman" w:hAnsi="Times New Roman" w:cs="Times New Roman"/>
          <w:sz w:val="24"/>
          <w:szCs w:val="24"/>
        </w:rPr>
        <w:t>50</w:t>
      </w:r>
      <w:r w:rsidRPr="00EF6F97">
        <w:rPr>
          <w:rFonts w:ascii="Times New Roman" w:hAnsi="Times New Roman" w:cs="Times New Roman"/>
          <w:sz w:val="24"/>
          <w:szCs w:val="24"/>
        </w:rPr>
        <w:t xml:space="preserve"> kW. Pozwoli to na monitorowanie rozwoju magazynowania energii elektrycznej w skali całego kraju. Rejestr magazynów energii elektrycznej według propozycji będzie prowadzony prze</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operatorów systemów </w:t>
      </w:r>
      <w:r w:rsidRPr="00EF6F97">
        <w:rPr>
          <w:rFonts w:ascii="Times New Roman" w:hAnsi="Times New Roman" w:cs="Times New Roman"/>
          <w:sz w:val="24"/>
          <w:szCs w:val="24"/>
        </w:rPr>
        <w:lastRenderedPageBreak/>
        <w:t>elektroenergetycznych w zakresie odpowiadającym ich obszarowi działania</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będzie obejmował podstawowe parametry techniczne poszczególnych magazynów, w tym ich pojemność.</w:t>
      </w:r>
    </w:p>
    <w:p w14:paraId="3138AEE7" w14:textId="77777777" w:rsidR="00E91116"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7D3EE2" w:rsidRPr="00EF6F97">
        <w:rPr>
          <w:rFonts w:ascii="Times New Roman" w:hAnsi="Times New Roman" w:cs="Times New Roman"/>
          <w:sz w:val="24"/>
          <w:szCs w:val="24"/>
        </w:rPr>
        <w:t xml:space="preserve">W związku </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wprowadzaniem w ustawie - Prawo energetyczne regulacji ustanawiających przepisy dotyczące funkcjonowania magazynów energii elektrycznej w KSE (mających na celu stworzenie warunków dla rozwoju zastosowań magazynów energii elektrycznej), niezbędne jest uwzględnienie magazynów energii elektrycznej w zapisach art. 7 tej ustawy, w którym uregulowane są wymagania dotyczące wniosków o określenie warunków przyłączenia ora</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 xml:space="preserve">umów o przyłączenie. Ponadto zaproponowany zakres informacji jaki powinien być zawarty we wniosku o określenie warunków przyłączenia dla magazynów energii elektrycznej, w szczególności zawierać będzie dane jakie opisują magazyn energii elektrycznej w procesie certyfikacji ogólnej w ramach przepisów rynku mocy. Ponadto, jako jeden </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elementów promowania przyłączania magazynów energii elektrycznej do sieci wskazano</w:t>
      </w:r>
      <w:r w:rsidR="00FE6018">
        <w:rPr>
          <w:rFonts w:ascii="Times New Roman" w:hAnsi="Times New Roman" w:cs="Times New Roman"/>
          <w:sz w:val="24"/>
          <w:szCs w:val="24"/>
        </w:rPr>
        <w:t>, że wysokość opłaty za przyłączenie do sieci będzie stanowić połowę rzeczywiście poniesionych kosztów na realizacje przyłączenia</w:t>
      </w:r>
      <w:r w:rsidR="007D3EE2" w:rsidRPr="00EF6F97">
        <w:rPr>
          <w:rFonts w:ascii="Times New Roman" w:hAnsi="Times New Roman" w:cs="Times New Roman"/>
          <w:sz w:val="24"/>
          <w:szCs w:val="24"/>
        </w:rPr>
        <w:t>.</w:t>
      </w:r>
    </w:p>
    <w:p w14:paraId="669A9A33" w14:textId="77777777" w:rsidR="007D3EE2"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7D3EE2" w:rsidRPr="00EF6F97">
        <w:rPr>
          <w:rFonts w:ascii="Times New Roman" w:hAnsi="Times New Roman" w:cs="Times New Roman"/>
          <w:sz w:val="24"/>
          <w:szCs w:val="24"/>
        </w:rPr>
        <w:t>Konieczne stało się również wprowadzenie przepisu rozszerzającego delegację do IRiESP</w:t>
      </w:r>
      <w:r w:rsidR="001D0628">
        <w:rPr>
          <w:rFonts w:ascii="Times New Roman" w:hAnsi="Times New Roman" w:cs="Times New Roman"/>
          <w:sz w:val="24"/>
          <w:szCs w:val="24"/>
        </w:rPr>
        <w:t xml:space="preserve"> i </w:t>
      </w:r>
      <w:r w:rsidR="007D3EE2" w:rsidRPr="00EF6F97">
        <w:rPr>
          <w:rFonts w:ascii="Times New Roman" w:hAnsi="Times New Roman" w:cs="Times New Roman"/>
          <w:sz w:val="24"/>
          <w:szCs w:val="24"/>
        </w:rPr>
        <w:t>IRiESD w celu określenia wymagań technicznych określających funkcjonowanie odrębnie instalacji zarządzania popytem</w:t>
      </w:r>
      <w:r w:rsidR="001D0628">
        <w:rPr>
          <w:rFonts w:ascii="Times New Roman" w:hAnsi="Times New Roman" w:cs="Times New Roman"/>
          <w:sz w:val="24"/>
          <w:szCs w:val="24"/>
        </w:rPr>
        <w:t xml:space="preserve"> i </w:t>
      </w:r>
      <w:r w:rsidR="007D3EE2" w:rsidRPr="00EF6F97">
        <w:rPr>
          <w:rFonts w:ascii="Times New Roman" w:hAnsi="Times New Roman" w:cs="Times New Roman"/>
          <w:sz w:val="24"/>
          <w:szCs w:val="24"/>
        </w:rPr>
        <w:t>magazynów energii elektrycznej.</w:t>
      </w:r>
    </w:p>
    <w:p w14:paraId="541A7EE7" w14:textId="77777777" w:rsidR="007D3EE2"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7D3EE2" w:rsidRPr="00EF6F97">
        <w:rPr>
          <w:rFonts w:ascii="Times New Roman" w:hAnsi="Times New Roman" w:cs="Times New Roman"/>
          <w:sz w:val="24"/>
          <w:szCs w:val="24"/>
        </w:rPr>
        <w:t>Projekt ustawy określa warunki na jakich magazyn energii elektrycznej może być uwzględniony w planie rozwoju jako substytut rozbudowy sieci. Celem regulacji jest uwzględnienie możliwości wykorzystania magazynów energii elektrycznej w planach zaspokojenia obecnego</w:t>
      </w:r>
      <w:r w:rsidR="001D0628">
        <w:rPr>
          <w:rFonts w:ascii="Times New Roman" w:hAnsi="Times New Roman" w:cs="Times New Roman"/>
          <w:sz w:val="24"/>
          <w:szCs w:val="24"/>
        </w:rPr>
        <w:t xml:space="preserve"> i </w:t>
      </w:r>
      <w:r w:rsidR="007D3EE2" w:rsidRPr="00EF6F97">
        <w:rPr>
          <w:rFonts w:ascii="Times New Roman" w:hAnsi="Times New Roman" w:cs="Times New Roman"/>
          <w:sz w:val="24"/>
          <w:szCs w:val="24"/>
        </w:rPr>
        <w:t>przyszłego zapotrzebowania na energię, sporządzanych prze</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 xml:space="preserve">operatorów sieci. Magazyny energii </w:t>
      </w:r>
      <w:r w:rsidR="00675679" w:rsidRPr="00EF6F97">
        <w:rPr>
          <w:rFonts w:ascii="Times New Roman" w:hAnsi="Times New Roman" w:cs="Times New Roman"/>
          <w:sz w:val="24"/>
          <w:szCs w:val="24"/>
        </w:rPr>
        <w:t xml:space="preserve">elektrycznej </w:t>
      </w:r>
      <w:r w:rsidR="007D3EE2" w:rsidRPr="00EF6F97">
        <w:rPr>
          <w:rFonts w:ascii="Times New Roman" w:hAnsi="Times New Roman" w:cs="Times New Roman"/>
          <w:sz w:val="24"/>
          <w:szCs w:val="24"/>
        </w:rPr>
        <w:t>mogą korzystnie wpływać na funkcjonowanie infrastruktury sieciowej, w sytuacji nagłego zwiększania popytu na energię elektryczną prze</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 xml:space="preserve">jej użytkowników końcowych lub w związku </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 xml:space="preserve">potrzebami przyłączeniowymi nowych użytkowników sieci. Możliwość szybkiego wykorzystania mocy przyłączonych magazynów energii </w:t>
      </w:r>
      <w:r w:rsidR="00675679" w:rsidRPr="00EF6F97">
        <w:rPr>
          <w:rFonts w:ascii="Times New Roman" w:hAnsi="Times New Roman" w:cs="Times New Roman"/>
          <w:sz w:val="24"/>
          <w:szCs w:val="24"/>
        </w:rPr>
        <w:t xml:space="preserve">elektrycznej do </w:t>
      </w:r>
      <w:r w:rsidR="007D3EE2" w:rsidRPr="00EF6F97">
        <w:rPr>
          <w:rFonts w:ascii="Times New Roman" w:hAnsi="Times New Roman" w:cs="Times New Roman"/>
          <w:sz w:val="24"/>
          <w:szCs w:val="24"/>
        </w:rPr>
        <w:t>sieci może pozwolić na czasowe odciążenie linii</w:t>
      </w:r>
      <w:r w:rsidR="001D0628">
        <w:rPr>
          <w:rFonts w:ascii="Times New Roman" w:hAnsi="Times New Roman" w:cs="Times New Roman"/>
          <w:sz w:val="24"/>
          <w:szCs w:val="24"/>
        </w:rPr>
        <w:t xml:space="preserve"> i </w:t>
      </w:r>
      <w:r w:rsidR="007D3EE2" w:rsidRPr="00EF6F97">
        <w:rPr>
          <w:rFonts w:ascii="Times New Roman" w:hAnsi="Times New Roman" w:cs="Times New Roman"/>
          <w:sz w:val="24"/>
          <w:szCs w:val="24"/>
        </w:rPr>
        <w:t>odłożenie w czasie kosztownych</w:t>
      </w:r>
      <w:r w:rsidR="001D0628">
        <w:rPr>
          <w:rFonts w:ascii="Times New Roman" w:hAnsi="Times New Roman" w:cs="Times New Roman"/>
          <w:sz w:val="24"/>
          <w:szCs w:val="24"/>
        </w:rPr>
        <w:t xml:space="preserve"> i </w:t>
      </w:r>
      <w:r w:rsidR="007D3EE2" w:rsidRPr="00EF6F97">
        <w:rPr>
          <w:rFonts w:ascii="Times New Roman" w:hAnsi="Times New Roman" w:cs="Times New Roman"/>
          <w:sz w:val="24"/>
          <w:szCs w:val="24"/>
        </w:rPr>
        <w:t xml:space="preserve">czasochłonnych inwestycji w rozwój infrastruktury sieciowej, w szczególności w obszarach zurbanizowanych. W tym celu operatorzy sieci powinni zostać zobligowania do uwzględniania magazynów energii </w:t>
      </w:r>
      <w:r w:rsidR="00675679" w:rsidRPr="00EF6F97">
        <w:rPr>
          <w:rFonts w:ascii="Times New Roman" w:hAnsi="Times New Roman" w:cs="Times New Roman"/>
          <w:sz w:val="24"/>
          <w:szCs w:val="24"/>
        </w:rPr>
        <w:t xml:space="preserve">elektrycznej </w:t>
      </w:r>
      <w:r w:rsidR="007D3EE2" w:rsidRPr="00EF6F97">
        <w:rPr>
          <w:rFonts w:ascii="Times New Roman" w:hAnsi="Times New Roman" w:cs="Times New Roman"/>
          <w:sz w:val="24"/>
          <w:szCs w:val="24"/>
        </w:rPr>
        <w:t>w planach rozbudowy sieci, o ile jest to uzasadnione oceną kosztów ora</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 xml:space="preserve">korzyści związanych </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 xml:space="preserve">wykorzystaniem magazynu energii elektrycznej w porównaniu </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rozbudową sieci na danym obszarze.</w:t>
      </w:r>
    </w:p>
    <w:p w14:paraId="17833EBC" w14:textId="77777777" w:rsidR="0065591B"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5591B" w:rsidRPr="00EF6F97">
        <w:rPr>
          <w:rFonts w:ascii="Times New Roman" w:hAnsi="Times New Roman" w:cs="Times New Roman"/>
          <w:sz w:val="24"/>
          <w:szCs w:val="24"/>
        </w:rPr>
        <w:t xml:space="preserve">W projekcie przepisów wyłącza się magazynowanie energii elektrycznej </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 xml:space="preserve">obowiązku </w:t>
      </w:r>
      <w:r w:rsidR="0065591B" w:rsidRPr="00EF6F97">
        <w:rPr>
          <w:rFonts w:ascii="Times New Roman" w:hAnsi="Times New Roman" w:cs="Times New Roman"/>
          <w:sz w:val="24"/>
          <w:szCs w:val="24"/>
        </w:rPr>
        <w:lastRenderedPageBreak/>
        <w:t xml:space="preserve">sporządzania taryf, </w:t>
      </w:r>
      <w:r w:rsidR="00E52CF7" w:rsidRPr="00EF6F97">
        <w:rPr>
          <w:rFonts w:ascii="Times New Roman" w:hAnsi="Times New Roman" w:cs="Times New Roman"/>
          <w:sz w:val="24"/>
          <w:szCs w:val="24"/>
        </w:rPr>
        <w:t xml:space="preserve">brak jest </w:t>
      </w:r>
      <w:r w:rsidR="0065591B" w:rsidRPr="00EF6F97">
        <w:rPr>
          <w:rFonts w:ascii="Times New Roman" w:hAnsi="Times New Roman" w:cs="Times New Roman"/>
          <w:sz w:val="24"/>
          <w:szCs w:val="24"/>
        </w:rPr>
        <w:t>bowiem celowości</w:t>
      </w:r>
      <w:r w:rsidR="001D0628">
        <w:rPr>
          <w:rFonts w:ascii="Times New Roman" w:hAnsi="Times New Roman" w:cs="Times New Roman"/>
          <w:sz w:val="24"/>
          <w:szCs w:val="24"/>
        </w:rPr>
        <w:t xml:space="preserve"> i </w:t>
      </w:r>
      <w:r w:rsidR="0065591B" w:rsidRPr="00EF6F97">
        <w:rPr>
          <w:rFonts w:ascii="Times New Roman" w:hAnsi="Times New Roman" w:cs="Times New Roman"/>
          <w:sz w:val="24"/>
          <w:szCs w:val="24"/>
        </w:rPr>
        <w:t xml:space="preserve">uzasadnienia merytorycznego wprowadzenia takiego obowiązku. Wynika to </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 xml:space="preserve">charakteru działalności magazynowania energii elektrycznej, w szczególności </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konieczności zapewnienia możliwości świadczenia różnych usług zarówno na potrzeby rynków mocy, energii</w:t>
      </w:r>
      <w:r w:rsidR="001D0628">
        <w:rPr>
          <w:rFonts w:ascii="Times New Roman" w:hAnsi="Times New Roman" w:cs="Times New Roman"/>
          <w:sz w:val="24"/>
          <w:szCs w:val="24"/>
        </w:rPr>
        <w:t xml:space="preserve"> i </w:t>
      </w:r>
      <w:r w:rsidR="0065591B" w:rsidRPr="00EF6F97">
        <w:rPr>
          <w:rFonts w:ascii="Times New Roman" w:hAnsi="Times New Roman" w:cs="Times New Roman"/>
          <w:sz w:val="24"/>
          <w:szCs w:val="24"/>
        </w:rPr>
        <w:t>usług systemowych. Proponuje się pozostawienie ustanowienia stosunków umownych zasadom wolnego rynku</w:t>
      </w:r>
      <w:r w:rsidR="001D0628">
        <w:rPr>
          <w:rFonts w:ascii="Times New Roman" w:hAnsi="Times New Roman" w:cs="Times New Roman"/>
          <w:sz w:val="24"/>
          <w:szCs w:val="24"/>
        </w:rPr>
        <w:t xml:space="preserve"> i </w:t>
      </w:r>
      <w:r w:rsidR="0065591B" w:rsidRPr="00EF6F97">
        <w:rPr>
          <w:rFonts w:ascii="Times New Roman" w:hAnsi="Times New Roman" w:cs="Times New Roman"/>
          <w:sz w:val="24"/>
          <w:szCs w:val="24"/>
        </w:rPr>
        <w:t>swobodzie zawierania umów.</w:t>
      </w:r>
    </w:p>
    <w:p w14:paraId="210A6B78" w14:textId="77777777" w:rsidR="006B0F3B" w:rsidRPr="00EF6F97" w:rsidRDefault="006B0F3B"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Dodatkowo</w:t>
      </w:r>
      <w:r w:rsidR="0065591B" w:rsidRPr="00EF6F97">
        <w:rPr>
          <w:rFonts w:ascii="Times New Roman" w:hAnsi="Times New Roman" w:cs="Times New Roman"/>
          <w:sz w:val="24"/>
          <w:szCs w:val="24"/>
        </w:rPr>
        <w:t>,</w:t>
      </w:r>
      <w:r w:rsidRPr="00EF6F97">
        <w:rPr>
          <w:rFonts w:ascii="Times New Roman" w:hAnsi="Times New Roman" w:cs="Times New Roman"/>
          <w:sz w:val="24"/>
          <w:szCs w:val="24"/>
        </w:rPr>
        <w:t xml:space="preserve"> proponuje się przyjąć w rozliczeniach </w:t>
      </w:r>
      <w:r w:rsidR="0065591B" w:rsidRPr="00EF6F97">
        <w:rPr>
          <w:rFonts w:ascii="Times New Roman" w:hAnsi="Times New Roman" w:cs="Times New Roman"/>
          <w:sz w:val="24"/>
          <w:szCs w:val="24"/>
        </w:rPr>
        <w:t>za usługę przesyłania</w:t>
      </w:r>
      <w:r w:rsidR="001D0628">
        <w:rPr>
          <w:rFonts w:ascii="Times New Roman" w:hAnsi="Times New Roman" w:cs="Times New Roman"/>
          <w:sz w:val="24"/>
          <w:szCs w:val="24"/>
        </w:rPr>
        <w:t xml:space="preserve"> i </w:t>
      </w:r>
      <w:r w:rsidR="0065591B" w:rsidRPr="00EF6F97">
        <w:rPr>
          <w:rFonts w:ascii="Times New Roman" w:hAnsi="Times New Roman" w:cs="Times New Roman"/>
          <w:sz w:val="24"/>
          <w:szCs w:val="24"/>
        </w:rPr>
        <w:t xml:space="preserve">dystrybucji energii elektrycznej </w:t>
      </w:r>
      <w:r w:rsidRPr="00EF6F97">
        <w:rPr>
          <w:rFonts w:ascii="Times New Roman" w:hAnsi="Times New Roman" w:cs="Times New Roman"/>
          <w:sz w:val="24"/>
          <w:szCs w:val="24"/>
        </w:rPr>
        <w:t>regułę salda, czyli przyjęcie jako podstawy do rozliczeń stawki sieciowej wyłącznie różnicy pomiędzy ilością energii elektrycznej pobranej prze</w:t>
      </w:r>
      <w:r w:rsidR="001D0628">
        <w:rPr>
          <w:rFonts w:ascii="Times New Roman" w:hAnsi="Times New Roman" w:cs="Times New Roman"/>
          <w:sz w:val="24"/>
          <w:szCs w:val="24"/>
        </w:rPr>
        <w:t>z </w:t>
      </w:r>
      <w:r w:rsidRPr="00EF6F97">
        <w:rPr>
          <w:rFonts w:ascii="Times New Roman" w:hAnsi="Times New Roman" w:cs="Times New Roman"/>
          <w:sz w:val="24"/>
          <w:szCs w:val="24"/>
        </w:rPr>
        <w:t>magazyn energii elektrycznej</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energii ponownie wprowadzonej do sieci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tego magazynu, co określa się jako stratę w procesie magazynowania energii elektrycznej. Uzasadnieniem tego jest fakt, iż energia elektryczna wprowadzona </w:t>
      </w:r>
      <w:r w:rsidR="001D0628">
        <w:rPr>
          <w:rFonts w:ascii="Times New Roman" w:hAnsi="Times New Roman" w:cs="Times New Roman"/>
          <w:sz w:val="24"/>
          <w:szCs w:val="24"/>
        </w:rPr>
        <w:t>z </w:t>
      </w:r>
      <w:r w:rsidRPr="00EF6F97">
        <w:rPr>
          <w:rFonts w:ascii="Times New Roman" w:hAnsi="Times New Roman" w:cs="Times New Roman"/>
          <w:sz w:val="24"/>
          <w:szCs w:val="24"/>
        </w:rPr>
        <w:t>magazynu energii elektrycznej do sieci będzie zużyta prze</w:t>
      </w:r>
      <w:r w:rsidR="001D0628">
        <w:rPr>
          <w:rFonts w:ascii="Times New Roman" w:hAnsi="Times New Roman" w:cs="Times New Roman"/>
          <w:sz w:val="24"/>
          <w:szCs w:val="24"/>
        </w:rPr>
        <w:t>z </w:t>
      </w:r>
      <w:r w:rsidRPr="00EF6F97">
        <w:rPr>
          <w:rFonts w:ascii="Times New Roman" w:hAnsi="Times New Roman" w:cs="Times New Roman"/>
          <w:sz w:val="24"/>
          <w:szCs w:val="24"/>
        </w:rPr>
        <w:t>odbiorcę końcowego, który będzie</w:t>
      </w:r>
      <w:r w:rsidR="00E52CF7" w:rsidRPr="00EF6F97">
        <w:rPr>
          <w:rFonts w:ascii="Times New Roman" w:hAnsi="Times New Roman" w:cs="Times New Roman"/>
          <w:sz w:val="24"/>
          <w:szCs w:val="24"/>
        </w:rPr>
        <w:t xml:space="preserve"> obciążony opłatą sieciową za tę</w:t>
      </w:r>
      <w:r w:rsidRPr="00EF6F97">
        <w:rPr>
          <w:rFonts w:ascii="Times New Roman" w:hAnsi="Times New Roman" w:cs="Times New Roman"/>
          <w:sz w:val="24"/>
          <w:szCs w:val="24"/>
        </w:rPr>
        <w:t xml:space="preserve"> ilość zużytej energii elektrycznej. Obciążenie stawką sieciową zmienną będzie zatem stosowane wyłącznie w odniesieniu do energii elektrycznej będącej stratą własną magazynu energii elektrycznej. Zasada ta pozwoli na kierowanie właściwych impulsów ekonomicznych skłaniających do poszukiwania najbardziej efektywnych rozwiązań. Proponuje się przyjęcie podobnego mechanizmu w przypadku składnika stałego opłaty sieciowej, obliczanego na je</w:t>
      </w:r>
      <w:r w:rsidR="00FF3CB3" w:rsidRPr="00EF6F97">
        <w:rPr>
          <w:rFonts w:ascii="Times New Roman" w:hAnsi="Times New Roman" w:cs="Times New Roman"/>
          <w:sz w:val="24"/>
          <w:szCs w:val="24"/>
        </w:rPr>
        <w:t>dnostkę mocy umownej. Tak więc, projekt ustawy przewiduje, że</w:t>
      </w:r>
      <w:r w:rsidRPr="00EF6F97">
        <w:rPr>
          <w:rFonts w:ascii="Times New Roman" w:hAnsi="Times New Roman" w:cs="Times New Roman"/>
          <w:sz w:val="24"/>
          <w:szCs w:val="24"/>
        </w:rPr>
        <w:t xml:space="preserve"> moc umowna przyjmowana do rozliczeń, </w:t>
      </w:r>
      <w:r w:rsidR="001D0628">
        <w:rPr>
          <w:rFonts w:ascii="Times New Roman" w:hAnsi="Times New Roman" w:cs="Times New Roman"/>
          <w:sz w:val="24"/>
          <w:szCs w:val="24"/>
        </w:rPr>
        <w:t>z </w:t>
      </w:r>
      <w:r w:rsidRPr="00EF6F97">
        <w:rPr>
          <w:rFonts w:ascii="Times New Roman" w:hAnsi="Times New Roman" w:cs="Times New Roman"/>
          <w:sz w:val="24"/>
          <w:szCs w:val="24"/>
        </w:rPr>
        <w:t>wyjątkiem przekroczeń mocy umownej, dla mag</w:t>
      </w:r>
      <w:r w:rsidR="00FF3CB3" w:rsidRPr="00EF6F97">
        <w:rPr>
          <w:rFonts w:ascii="Times New Roman" w:hAnsi="Times New Roman" w:cs="Times New Roman"/>
          <w:sz w:val="24"/>
          <w:szCs w:val="24"/>
        </w:rPr>
        <w:t>azynu energii elektrycznej będzie</w:t>
      </w:r>
      <w:r w:rsidRPr="00EF6F97">
        <w:rPr>
          <w:rFonts w:ascii="Times New Roman" w:hAnsi="Times New Roman" w:cs="Times New Roman"/>
          <w:sz w:val="24"/>
          <w:szCs w:val="24"/>
        </w:rPr>
        <w:t xml:space="preserve"> korygowana współczynnikiem wynikającym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potrzeb własnych magazynu tj. </w:t>
      </w:r>
      <w:r w:rsidR="001D0628">
        <w:rPr>
          <w:rFonts w:ascii="Times New Roman" w:hAnsi="Times New Roman" w:cs="Times New Roman"/>
          <w:sz w:val="24"/>
          <w:szCs w:val="24"/>
        </w:rPr>
        <w:t>z </w:t>
      </w:r>
      <w:r w:rsidRPr="00EF6F97">
        <w:rPr>
          <w:rFonts w:ascii="Times New Roman" w:hAnsi="Times New Roman" w:cs="Times New Roman"/>
          <w:sz w:val="24"/>
          <w:szCs w:val="24"/>
        </w:rPr>
        <w:t>proporcji pomiędzy energią pobraną prze</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magazyn, a oddaną do sieci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tego magazynu. Proporcja mogłaby być obliczona w oparciu o dane pomiarowe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12 kolejnych miesięcy. Regulacja mogłaby dopuszczać odrzucenie,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wybranych 12 miesięcy, miesięcy zawierających dane skrajne – tzn. miesięcy </w:t>
      </w:r>
      <w:r w:rsidR="001D0628">
        <w:rPr>
          <w:rFonts w:ascii="Times New Roman" w:hAnsi="Times New Roman" w:cs="Times New Roman"/>
          <w:sz w:val="24"/>
          <w:szCs w:val="24"/>
        </w:rPr>
        <w:t>z </w:t>
      </w:r>
      <w:r w:rsidRPr="00EF6F97">
        <w:rPr>
          <w:rFonts w:ascii="Times New Roman" w:hAnsi="Times New Roman" w:cs="Times New Roman"/>
          <w:sz w:val="24"/>
          <w:szCs w:val="24"/>
        </w:rPr>
        <w:t>najwyższym obliczonym współczynnikiem</w:t>
      </w:r>
      <w:r w:rsidR="001D0628">
        <w:rPr>
          <w:rFonts w:ascii="Times New Roman" w:hAnsi="Times New Roman" w:cs="Times New Roman"/>
          <w:sz w:val="24"/>
          <w:szCs w:val="24"/>
        </w:rPr>
        <w:t xml:space="preserve"> i z </w:t>
      </w:r>
      <w:r w:rsidRPr="00EF6F97">
        <w:rPr>
          <w:rFonts w:ascii="Times New Roman" w:hAnsi="Times New Roman" w:cs="Times New Roman"/>
          <w:sz w:val="24"/>
          <w:szCs w:val="24"/>
        </w:rPr>
        <w:t>najniższym. W rezultacie powstanie bodziec cenowy dla rozwoju magazynów energii elektrycznej, promujący magazyny najbardziej sprawne.</w:t>
      </w:r>
      <w:r w:rsidR="00FF3CB3" w:rsidRPr="00EF6F97">
        <w:rPr>
          <w:rFonts w:ascii="Times New Roman" w:hAnsi="Times New Roman" w:cs="Times New Roman"/>
          <w:sz w:val="24"/>
          <w:szCs w:val="24"/>
        </w:rPr>
        <w:t xml:space="preserve"> </w:t>
      </w:r>
      <w:r w:rsidR="00C154EC" w:rsidRPr="00EF6F97">
        <w:rPr>
          <w:rFonts w:ascii="Times New Roman" w:hAnsi="Times New Roman" w:cs="Times New Roman"/>
          <w:sz w:val="24"/>
          <w:szCs w:val="24"/>
        </w:rPr>
        <w:t>W przypadku magazynu będącego częścią jed</w:t>
      </w:r>
      <w:r w:rsidR="00E52CF7" w:rsidRPr="00EF6F97">
        <w:rPr>
          <w:rFonts w:ascii="Times New Roman" w:hAnsi="Times New Roman" w:cs="Times New Roman"/>
          <w:sz w:val="24"/>
          <w:szCs w:val="24"/>
        </w:rPr>
        <w:t>nostki wytwórczej stosuje się tę</w:t>
      </w:r>
      <w:r w:rsidR="00C154EC" w:rsidRPr="00EF6F97">
        <w:rPr>
          <w:rFonts w:ascii="Times New Roman" w:hAnsi="Times New Roman" w:cs="Times New Roman"/>
          <w:sz w:val="24"/>
          <w:szCs w:val="24"/>
        </w:rPr>
        <w:t xml:space="preserve"> samą zasadę, przy czym jako punkt wyjścia do ustalenia mocy do rozliczeń przyjmuje się łączną moc zainstalowaną magazynu energii elektrycznej. W przypadku nowo zainstalowanego magazynu energii elektrycznej w każdym przypadku do czasu zebrania danych pozwalających na określenie współczynnika, przyjmuje się współczynnik wynikający </w:t>
      </w:r>
      <w:r w:rsidR="001D0628">
        <w:rPr>
          <w:rFonts w:ascii="Times New Roman" w:hAnsi="Times New Roman" w:cs="Times New Roman"/>
          <w:sz w:val="24"/>
          <w:szCs w:val="24"/>
        </w:rPr>
        <w:t>z </w:t>
      </w:r>
      <w:r w:rsidR="007C0858" w:rsidRPr="00EF6F97">
        <w:rPr>
          <w:rFonts w:ascii="Times New Roman" w:hAnsi="Times New Roman" w:cs="Times New Roman"/>
          <w:sz w:val="24"/>
          <w:szCs w:val="24"/>
        </w:rPr>
        <w:t>nominalnej</w:t>
      </w:r>
      <w:r w:rsidR="00C154EC" w:rsidRPr="00EF6F97">
        <w:rPr>
          <w:rFonts w:ascii="Times New Roman" w:hAnsi="Times New Roman" w:cs="Times New Roman"/>
          <w:sz w:val="24"/>
          <w:szCs w:val="24"/>
        </w:rPr>
        <w:t xml:space="preserve"> sprawności cyklu jednokrotnego ładowania, który następnie będzie weryfikowany w trakcie użytkowania magazynu, wywołując stosowne korekty po zakończeniu okresu</w:t>
      </w:r>
      <w:r w:rsidR="001D0628">
        <w:rPr>
          <w:rFonts w:ascii="Times New Roman" w:hAnsi="Times New Roman" w:cs="Times New Roman"/>
          <w:sz w:val="24"/>
          <w:szCs w:val="24"/>
        </w:rPr>
        <w:t xml:space="preserve"> i </w:t>
      </w:r>
      <w:r w:rsidR="00C154EC" w:rsidRPr="00EF6F97">
        <w:rPr>
          <w:rFonts w:ascii="Times New Roman" w:hAnsi="Times New Roman" w:cs="Times New Roman"/>
          <w:sz w:val="24"/>
          <w:szCs w:val="24"/>
        </w:rPr>
        <w:t xml:space="preserve">zebraniu danych dotyczących rzeczywistej eksploatacji. </w:t>
      </w:r>
      <w:r w:rsidR="00FF3CB3" w:rsidRPr="00EF6F97">
        <w:rPr>
          <w:rFonts w:ascii="Times New Roman" w:hAnsi="Times New Roman" w:cs="Times New Roman"/>
          <w:sz w:val="24"/>
          <w:szCs w:val="24"/>
        </w:rPr>
        <w:t>Dodatkowo konieczne będzie dokonanie zmian w rozporządzeniu „taryfowym”</w:t>
      </w:r>
      <w:r w:rsidR="0065591B" w:rsidRPr="00EF6F97">
        <w:rPr>
          <w:rFonts w:ascii="Times New Roman" w:hAnsi="Times New Roman" w:cs="Times New Roman"/>
          <w:sz w:val="24"/>
          <w:szCs w:val="24"/>
        </w:rPr>
        <w:t xml:space="preserve">, które powinno </w:t>
      </w:r>
      <w:r w:rsidR="0065591B" w:rsidRPr="00EF6F97">
        <w:rPr>
          <w:rFonts w:ascii="Times New Roman" w:hAnsi="Times New Roman" w:cs="Times New Roman"/>
          <w:sz w:val="24"/>
          <w:szCs w:val="24"/>
        </w:rPr>
        <w:lastRenderedPageBreak/>
        <w:t xml:space="preserve">określać szczegółowo sposób rozliczeń za energię pobieraną </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sieci</w:t>
      </w:r>
      <w:r w:rsidR="001D0628">
        <w:rPr>
          <w:rFonts w:ascii="Times New Roman" w:hAnsi="Times New Roman" w:cs="Times New Roman"/>
          <w:sz w:val="24"/>
          <w:szCs w:val="24"/>
        </w:rPr>
        <w:t xml:space="preserve"> i </w:t>
      </w:r>
      <w:r w:rsidR="0065591B" w:rsidRPr="00EF6F97">
        <w:rPr>
          <w:rFonts w:ascii="Times New Roman" w:hAnsi="Times New Roman" w:cs="Times New Roman"/>
          <w:sz w:val="24"/>
          <w:szCs w:val="24"/>
        </w:rPr>
        <w:t>wprowadzaną do sieci prze</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magazyny energii elektrycznej ora</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doprecyzować sposób ustalania współczynnika służącego do obliczania składnika stałego opłaty sieciowej. S</w:t>
      </w:r>
      <w:r w:rsidR="00FF3CB3" w:rsidRPr="00EF6F97">
        <w:rPr>
          <w:rFonts w:ascii="Times New Roman" w:hAnsi="Times New Roman" w:cs="Times New Roman"/>
          <w:sz w:val="24"/>
          <w:szCs w:val="24"/>
        </w:rPr>
        <w:t xml:space="preserve">tawka jakościowa </w:t>
      </w:r>
      <w:r w:rsidR="0065591B" w:rsidRPr="00EF6F97">
        <w:rPr>
          <w:rFonts w:ascii="Times New Roman" w:hAnsi="Times New Roman" w:cs="Times New Roman"/>
          <w:sz w:val="24"/>
          <w:szCs w:val="24"/>
        </w:rPr>
        <w:t>powinna być</w:t>
      </w:r>
      <w:r w:rsidR="00FF3CB3" w:rsidRPr="00EF6F97">
        <w:rPr>
          <w:rFonts w:ascii="Times New Roman" w:hAnsi="Times New Roman" w:cs="Times New Roman"/>
          <w:sz w:val="24"/>
          <w:szCs w:val="24"/>
        </w:rPr>
        <w:t xml:space="preserve"> obliczana na analogicznych zasadach jak składnik zmienny stawki sieciowej. Znajduje to swoje uzasadnienie w tym, że co do zasady stawka jakościowa związana jest </w:t>
      </w:r>
      <w:r w:rsidR="001D0628">
        <w:rPr>
          <w:rFonts w:ascii="Times New Roman" w:hAnsi="Times New Roman" w:cs="Times New Roman"/>
          <w:sz w:val="24"/>
          <w:szCs w:val="24"/>
        </w:rPr>
        <w:t>z </w:t>
      </w:r>
      <w:r w:rsidR="00FF3CB3" w:rsidRPr="00EF6F97">
        <w:rPr>
          <w:rFonts w:ascii="Times New Roman" w:hAnsi="Times New Roman" w:cs="Times New Roman"/>
          <w:sz w:val="24"/>
          <w:szCs w:val="24"/>
        </w:rPr>
        <w:t>zapewnieniem bezpieczeństwa dostaw do czego w istotny sposób przyczyniać się będzie magazynowanie energii elektrycznej. Zatem obciążanie energii pobranej prze</w:t>
      </w:r>
      <w:r w:rsidR="001D0628">
        <w:rPr>
          <w:rFonts w:ascii="Times New Roman" w:hAnsi="Times New Roman" w:cs="Times New Roman"/>
          <w:sz w:val="24"/>
          <w:szCs w:val="24"/>
        </w:rPr>
        <w:t>z </w:t>
      </w:r>
      <w:r w:rsidR="00FF3CB3" w:rsidRPr="00EF6F97">
        <w:rPr>
          <w:rFonts w:ascii="Times New Roman" w:hAnsi="Times New Roman" w:cs="Times New Roman"/>
          <w:sz w:val="24"/>
          <w:szCs w:val="24"/>
        </w:rPr>
        <w:t xml:space="preserve">magazyn energii elektrycznej tą opłatą w całości pozostawałoby w sprzeczności </w:t>
      </w:r>
      <w:r w:rsidR="001D0628">
        <w:rPr>
          <w:rFonts w:ascii="Times New Roman" w:hAnsi="Times New Roman" w:cs="Times New Roman"/>
          <w:sz w:val="24"/>
          <w:szCs w:val="24"/>
        </w:rPr>
        <w:t>z </w:t>
      </w:r>
      <w:r w:rsidR="00FF3CB3" w:rsidRPr="00EF6F97">
        <w:rPr>
          <w:rFonts w:ascii="Times New Roman" w:hAnsi="Times New Roman" w:cs="Times New Roman"/>
          <w:sz w:val="24"/>
          <w:szCs w:val="24"/>
        </w:rPr>
        <w:t xml:space="preserve">podstawowym celem wprowadzenia opłaty jakościowej. </w:t>
      </w:r>
    </w:p>
    <w:p w14:paraId="27C9A4C6" w14:textId="77777777" w:rsidR="00C154EC"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57EBE" w:rsidRPr="00EF6F97">
        <w:rPr>
          <w:rFonts w:ascii="Times New Roman" w:hAnsi="Times New Roman" w:cs="Times New Roman"/>
          <w:sz w:val="24"/>
          <w:szCs w:val="24"/>
        </w:rPr>
        <w:t>Ze względu na zmienioną definicję odbiorcy końcowego</w:t>
      </w:r>
      <w:r w:rsidR="00E52CF7" w:rsidRPr="00EF6F97">
        <w:rPr>
          <w:rFonts w:ascii="Times New Roman" w:hAnsi="Times New Roman" w:cs="Times New Roman"/>
          <w:sz w:val="24"/>
          <w:szCs w:val="24"/>
        </w:rPr>
        <w:t>,</w:t>
      </w:r>
      <w:r w:rsidR="00F57EBE" w:rsidRPr="00EF6F97">
        <w:rPr>
          <w:rFonts w:ascii="Times New Roman" w:hAnsi="Times New Roman" w:cs="Times New Roman"/>
          <w:sz w:val="24"/>
          <w:szCs w:val="24"/>
        </w:rPr>
        <w:t xml:space="preserve"> opłata przejściowa nie będzie stosowana w przypadku magazynowania energii elektrycznej. </w:t>
      </w:r>
      <w:r w:rsidR="00C154EC" w:rsidRPr="00EF6F97">
        <w:rPr>
          <w:rFonts w:ascii="Times New Roman" w:hAnsi="Times New Roman" w:cs="Times New Roman"/>
          <w:sz w:val="24"/>
          <w:szCs w:val="24"/>
        </w:rPr>
        <w:t>Uzasadnieniem tego jest fakt, że opłaty te są obecnie ponoszone wyłącznie prze</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odbiorców końcowych</w:t>
      </w:r>
      <w:r w:rsidR="001D0628">
        <w:rPr>
          <w:rFonts w:ascii="Times New Roman" w:hAnsi="Times New Roman" w:cs="Times New Roman"/>
          <w:sz w:val="24"/>
          <w:szCs w:val="24"/>
        </w:rPr>
        <w:t xml:space="preserve"> i </w:t>
      </w:r>
      <w:r w:rsidR="00C154EC" w:rsidRPr="00EF6F97">
        <w:rPr>
          <w:rFonts w:ascii="Times New Roman" w:hAnsi="Times New Roman" w:cs="Times New Roman"/>
          <w:sz w:val="24"/>
          <w:szCs w:val="24"/>
        </w:rPr>
        <w:t>nie są nimi obciążane podmioty prowadzące działalność w zakresie wytwarzania, dystrybucji lub przesyłu energii elektrycznej.</w:t>
      </w:r>
      <w:r w:rsidR="00F57EBE" w:rsidRPr="00EF6F97">
        <w:rPr>
          <w:rFonts w:ascii="Times New Roman" w:hAnsi="Times New Roman" w:cs="Times New Roman"/>
          <w:sz w:val="24"/>
          <w:szCs w:val="24"/>
        </w:rPr>
        <w:t xml:space="preserve"> </w:t>
      </w:r>
      <w:r w:rsidR="0065591B" w:rsidRPr="00EF6F97">
        <w:rPr>
          <w:rFonts w:ascii="Times New Roman" w:hAnsi="Times New Roman" w:cs="Times New Roman"/>
          <w:sz w:val="24"/>
          <w:szCs w:val="24"/>
        </w:rPr>
        <w:t>Poprze</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zmianę definicji odbiorcy końcowego</w:t>
      </w:r>
      <w:r w:rsidR="00C154EC" w:rsidRPr="00EF6F97">
        <w:rPr>
          <w:rFonts w:ascii="Times New Roman" w:hAnsi="Times New Roman" w:cs="Times New Roman"/>
          <w:sz w:val="24"/>
          <w:szCs w:val="24"/>
        </w:rPr>
        <w:t xml:space="preserve"> nastąpi </w:t>
      </w:r>
      <w:r w:rsidR="0065591B" w:rsidRPr="00EF6F97">
        <w:rPr>
          <w:rFonts w:ascii="Times New Roman" w:hAnsi="Times New Roman" w:cs="Times New Roman"/>
          <w:sz w:val="24"/>
          <w:szCs w:val="24"/>
        </w:rPr>
        <w:t xml:space="preserve">również </w:t>
      </w:r>
      <w:r w:rsidR="00C154EC" w:rsidRPr="00EF6F97">
        <w:rPr>
          <w:rFonts w:ascii="Times New Roman" w:hAnsi="Times New Roman" w:cs="Times New Roman"/>
          <w:sz w:val="24"/>
          <w:szCs w:val="24"/>
        </w:rPr>
        <w:t xml:space="preserve">zwolnienie </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 xml:space="preserve">obowiązku przedstawiania do umorzenia świadectw pochodzenia </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kogeneracji w odniesieniu do energii elektrycznej pobranej</w:t>
      </w:r>
      <w:r w:rsidR="001D0628">
        <w:rPr>
          <w:rFonts w:ascii="Times New Roman" w:hAnsi="Times New Roman" w:cs="Times New Roman"/>
          <w:sz w:val="24"/>
          <w:szCs w:val="24"/>
        </w:rPr>
        <w:t xml:space="preserve"> i </w:t>
      </w:r>
      <w:r w:rsidR="00C154EC" w:rsidRPr="00EF6F97">
        <w:rPr>
          <w:rFonts w:ascii="Times New Roman" w:hAnsi="Times New Roman" w:cs="Times New Roman"/>
          <w:sz w:val="24"/>
          <w:szCs w:val="24"/>
        </w:rPr>
        <w:t>zużytej prze</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magazyn energii elektrycznej na potrzeby magazynowania energii elektrycznej. Rozwiązanie to pozwoli na uniknięcie podwójnego obciążenia ra</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 xml:space="preserve">wytworzonej energii obowiązkiem przedstawiania do umorzenia świadectw pochodzenia </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 xml:space="preserve">kogeneracji. </w:t>
      </w:r>
    </w:p>
    <w:p w14:paraId="7DC31306" w14:textId="77777777" w:rsidR="00C154EC"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C154EC" w:rsidRPr="00EF6F97">
        <w:rPr>
          <w:rFonts w:ascii="Times New Roman" w:hAnsi="Times New Roman" w:cs="Times New Roman"/>
          <w:sz w:val="24"/>
          <w:szCs w:val="24"/>
        </w:rPr>
        <w:t xml:space="preserve">W ustawie o podatku akcyzowym proponuje się zmianę definicji nabywcy końcowego wyłączającą </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obowiązku akcyzowego nabycie energii elektrycznej prze</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podmiot prowadzący działalność w zakresie magazynowania energii elektrycznej</w:t>
      </w:r>
      <w:r w:rsidR="001D0628">
        <w:rPr>
          <w:rFonts w:ascii="Times New Roman" w:hAnsi="Times New Roman" w:cs="Times New Roman"/>
          <w:sz w:val="24"/>
          <w:szCs w:val="24"/>
        </w:rPr>
        <w:t xml:space="preserve"> i </w:t>
      </w:r>
      <w:r w:rsidR="00C154EC" w:rsidRPr="00EF6F97">
        <w:rPr>
          <w:rFonts w:ascii="Times New Roman" w:hAnsi="Times New Roman" w:cs="Times New Roman"/>
          <w:sz w:val="24"/>
          <w:szCs w:val="24"/>
        </w:rPr>
        <w:t>posiadający koncesję na magazynowanie energii elektrycznej. Proponowane zwolnienie pozwoli uniknąć podwójnego obciążenia ra</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wytworzonej energii podatkiem akcyzowym ze względu na to, że akcyzą obciążona jest energia</w:t>
      </w:r>
      <w:r w:rsidR="00EF6F97">
        <w:rPr>
          <w:rFonts w:ascii="Times New Roman" w:hAnsi="Times New Roman" w:cs="Times New Roman"/>
          <w:sz w:val="24"/>
          <w:szCs w:val="24"/>
        </w:rPr>
        <w:t xml:space="preserve"> </w:t>
      </w:r>
      <w:r w:rsidR="00C154EC" w:rsidRPr="00EF6F97">
        <w:rPr>
          <w:rFonts w:ascii="Times New Roman" w:hAnsi="Times New Roman" w:cs="Times New Roman"/>
          <w:sz w:val="24"/>
          <w:szCs w:val="24"/>
        </w:rPr>
        <w:t>dostarczona do odbiorcy końcowego. Rozwiązanie to zapewni podobne traktowanie podmiotów prowadzącą działalność w zakresie magazynowania energii, jak podmiotów posiadających koncesję na wytwarzanie, przesyłanie, dystrybucję lub obrót energią elektryczną.</w:t>
      </w:r>
    </w:p>
    <w:p w14:paraId="3FBDB7E1" w14:textId="77777777" w:rsidR="00E70B10"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E70B10" w:rsidRPr="00EF6F97">
        <w:rPr>
          <w:rFonts w:ascii="Times New Roman" w:hAnsi="Times New Roman" w:cs="Times New Roman"/>
          <w:sz w:val="24"/>
          <w:szCs w:val="24"/>
        </w:rPr>
        <w:t>W ustawie o odnawialnych źródłach energii dostosowano definicje do ustawy – Prawo energetyczne ora</w:t>
      </w:r>
      <w:r w:rsidR="001D0628">
        <w:rPr>
          <w:rFonts w:ascii="Times New Roman" w:hAnsi="Times New Roman" w:cs="Times New Roman"/>
          <w:sz w:val="24"/>
          <w:szCs w:val="24"/>
        </w:rPr>
        <w:t>z </w:t>
      </w:r>
      <w:r w:rsidR="00E70B10" w:rsidRPr="00EF6F97">
        <w:rPr>
          <w:rFonts w:ascii="Times New Roman" w:hAnsi="Times New Roman" w:cs="Times New Roman"/>
          <w:sz w:val="24"/>
          <w:szCs w:val="24"/>
        </w:rPr>
        <w:t xml:space="preserve">określono warunki na jakich magazyn energii współpracuje </w:t>
      </w:r>
      <w:r w:rsidR="001D0628">
        <w:rPr>
          <w:rFonts w:ascii="Times New Roman" w:hAnsi="Times New Roman" w:cs="Times New Roman"/>
          <w:sz w:val="24"/>
          <w:szCs w:val="24"/>
        </w:rPr>
        <w:t>z </w:t>
      </w:r>
      <w:r w:rsidR="00E70B10" w:rsidRPr="00EF6F97">
        <w:rPr>
          <w:rFonts w:ascii="Times New Roman" w:hAnsi="Times New Roman" w:cs="Times New Roman"/>
          <w:sz w:val="24"/>
          <w:szCs w:val="24"/>
        </w:rPr>
        <w:t xml:space="preserve">instalacją OZE, której jest częścią (jest przyłączony do sieci wewnętrznej instalacji OZE). </w:t>
      </w:r>
      <w:r w:rsidR="00645C7B" w:rsidRPr="00EF6F97">
        <w:rPr>
          <w:rFonts w:ascii="Times New Roman" w:hAnsi="Times New Roman" w:cs="Times New Roman"/>
          <w:sz w:val="24"/>
          <w:szCs w:val="24"/>
        </w:rPr>
        <w:t>W szczególności dokonano rozszerzenia definicji hybrydowej instalacji odnawialnego źródła energii, które poza obecnie obowiązującym zespołem urządzeń może alternatywnie obejmować instalację odnawialnego źródła energii wra</w:t>
      </w:r>
      <w:r w:rsidR="001D0628">
        <w:rPr>
          <w:rFonts w:ascii="Times New Roman" w:hAnsi="Times New Roman" w:cs="Times New Roman"/>
          <w:sz w:val="24"/>
          <w:szCs w:val="24"/>
        </w:rPr>
        <w:t>z z </w:t>
      </w:r>
      <w:r w:rsidR="00645C7B" w:rsidRPr="00EF6F97">
        <w:rPr>
          <w:rFonts w:ascii="Times New Roman" w:hAnsi="Times New Roman" w:cs="Times New Roman"/>
          <w:sz w:val="24"/>
          <w:szCs w:val="24"/>
        </w:rPr>
        <w:t xml:space="preserve">magazynem energii elektrycznej. </w:t>
      </w:r>
    </w:p>
    <w:p w14:paraId="6C43FF63" w14:textId="77777777" w:rsidR="00E70B10" w:rsidRPr="00EF6F97" w:rsidRDefault="00E70B10"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lastRenderedPageBreak/>
        <w:t xml:space="preserve">Dodatkowo zwolniono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obowiązku przedstawiania do umorzenia świadectw pochodzenia </w:t>
      </w:r>
      <w:r w:rsidR="001D0628">
        <w:rPr>
          <w:rFonts w:ascii="Times New Roman" w:hAnsi="Times New Roman" w:cs="Times New Roman"/>
          <w:sz w:val="24"/>
          <w:szCs w:val="24"/>
        </w:rPr>
        <w:t>z </w:t>
      </w:r>
      <w:r w:rsidRPr="00EF6F97">
        <w:rPr>
          <w:rFonts w:ascii="Times New Roman" w:hAnsi="Times New Roman" w:cs="Times New Roman"/>
          <w:sz w:val="24"/>
          <w:szCs w:val="24"/>
        </w:rPr>
        <w:t>OZE energii elektrycznej pobranej</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zużytej prze</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magazyn energii elektrycznej na potrzeby magazynowania energii elektrycznej. </w:t>
      </w:r>
      <w:r w:rsidR="002F7BB5" w:rsidRPr="00EF6F97">
        <w:rPr>
          <w:rFonts w:ascii="Times New Roman" w:hAnsi="Times New Roman" w:cs="Times New Roman"/>
          <w:sz w:val="24"/>
          <w:szCs w:val="24"/>
        </w:rPr>
        <w:t>Zaproponowane rozwiązanie przewiduje, że dla energii która, zostanie pobrana prze</w:t>
      </w:r>
      <w:r w:rsidR="001D0628">
        <w:rPr>
          <w:rFonts w:ascii="Times New Roman" w:hAnsi="Times New Roman" w:cs="Times New Roman"/>
          <w:sz w:val="24"/>
          <w:szCs w:val="24"/>
        </w:rPr>
        <w:t>z </w:t>
      </w:r>
      <w:r w:rsidR="002F7BB5" w:rsidRPr="00EF6F97">
        <w:rPr>
          <w:rFonts w:ascii="Times New Roman" w:hAnsi="Times New Roman" w:cs="Times New Roman"/>
          <w:sz w:val="24"/>
          <w:szCs w:val="24"/>
        </w:rPr>
        <w:t>magazyn energii elektrycznej na potrzeby magazynowania ora</w:t>
      </w:r>
      <w:r w:rsidR="001D0628">
        <w:rPr>
          <w:rFonts w:ascii="Times New Roman" w:hAnsi="Times New Roman" w:cs="Times New Roman"/>
          <w:sz w:val="24"/>
          <w:szCs w:val="24"/>
        </w:rPr>
        <w:t>z </w:t>
      </w:r>
      <w:r w:rsidR="002F7BB5" w:rsidRPr="00EF6F97">
        <w:rPr>
          <w:rFonts w:ascii="Times New Roman" w:hAnsi="Times New Roman" w:cs="Times New Roman"/>
          <w:sz w:val="24"/>
          <w:szCs w:val="24"/>
        </w:rPr>
        <w:t xml:space="preserve">na potrzeby własne magazynu nie będzie obowiązku przedstawiania do umorzenia świadectw pochodzenia </w:t>
      </w:r>
      <w:r w:rsidR="001D0628">
        <w:rPr>
          <w:rFonts w:ascii="Times New Roman" w:hAnsi="Times New Roman" w:cs="Times New Roman"/>
          <w:sz w:val="24"/>
          <w:szCs w:val="24"/>
        </w:rPr>
        <w:t>z </w:t>
      </w:r>
      <w:r w:rsidR="002F7BB5" w:rsidRPr="00EF6F97">
        <w:rPr>
          <w:rFonts w:ascii="Times New Roman" w:hAnsi="Times New Roman" w:cs="Times New Roman"/>
          <w:sz w:val="24"/>
          <w:szCs w:val="24"/>
        </w:rPr>
        <w:t xml:space="preserve">OZE. </w:t>
      </w:r>
      <w:r w:rsidRPr="00EF6F97">
        <w:rPr>
          <w:rFonts w:ascii="Times New Roman" w:hAnsi="Times New Roman" w:cs="Times New Roman"/>
          <w:sz w:val="24"/>
          <w:szCs w:val="24"/>
        </w:rPr>
        <w:t>Rozwiązanie to pozwoli na uniknięcie podwójnego obciążenia ra</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wytworzonej energii obowiązkiem przedstawiania do umorzenia świadectw pochodzenia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OZE. </w:t>
      </w:r>
    </w:p>
    <w:p w14:paraId="07A97234" w14:textId="77777777" w:rsidR="00E70B10"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E70B10" w:rsidRPr="00EF6F97">
        <w:rPr>
          <w:rFonts w:ascii="Times New Roman" w:hAnsi="Times New Roman" w:cs="Times New Roman"/>
          <w:sz w:val="24"/>
          <w:szCs w:val="24"/>
        </w:rPr>
        <w:t xml:space="preserve">Magazynowanie energii elektrycznej zwolniono także </w:t>
      </w:r>
      <w:r w:rsidR="001D0628">
        <w:rPr>
          <w:rFonts w:ascii="Times New Roman" w:hAnsi="Times New Roman" w:cs="Times New Roman"/>
          <w:sz w:val="24"/>
          <w:szCs w:val="24"/>
        </w:rPr>
        <w:t>z </w:t>
      </w:r>
      <w:r w:rsidR="00E70B10" w:rsidRPr="00EF6F97">
        <w:rPr>
          <w:rFonts w:ascii="Times New Roman" w:hAnsi="Times New Roman" w:cs="Times New Roman"/>
          <w:sz w:val="24"/>
          <w:szCs w:val="24"/>
        </w:rPr>
        <w:t>opłaty OZE, bowiem działalność w zakresie magazynowania energii elektrycznej, podobnie jak w przypadku wytwarzania, przesyłu</w:t>
      </w:r>
      <w:r w:rsidR="001D0628">
        <w:rPr>
          <w:rFonts w:ascii="Times New Roman" w:hAnsi="Times New Roman" w:cs="Times New Roman"/>
          <w:sz w:val="24"/>
          <w:szCs w:val="24"/>
        </w:rPr>
        <w:t xml:space="preserve"> i </w:t>
      </w:r>
      <w:r w:rsidR="00E70B10" w:rsidRPr="00EF6F97">
        <w:rPr>
          <w:rFonts w:ascii="Times New Roman" w:hAnsi="Times New Roman" w:cs="Times New Roman"/>
          <w:sz w:val="24"/>
          <w:szCs w:val="24"/>
        </w:rPr>
        <w:t>dystrybucji energii elektrycznej, w części w jakiej jest ona zużywana na potrzeby magazynowania energii elektrycznej, nie ma cechy końcowego zużycia. Opłatę OZE ponoszą odbiorcy końcowi zużywający energię elektryczną na własne potrzeby. Ponadto magazynowanie energii elektrycznej przyczynia się do lepszego wykorzystania źródeł OZE w KSE, a zatem obciążanie tą opłatą energii elektrycznej zużywanej na potrzeby magazynowania energii</w:t>
      </w:r>
      <w:r w:rsidR="00E52CF7" w:rsidRPr="00EF6F97">
        <w:rPr>
          <w:rFonts w:ascii="Times New Roman" w:hAnsi="Times New Roman" w:cs="Times New Roman"/>
          <w:sz w:val="24"/>
          <w:szCs w:val="24"/>
        </w:rPr>
        <w:t xml:space="preserve"> elektrycznej byłoby niezasadne</w:t>
      </w:r>
      <w:r w:rsidR="00E70B10" w:rsidRPr="00EF6F97">
        <w:rPr>
          <w:rFonts w:ascii="Times New Roman" w:hAnsi="Times New Roman" w:cs="Times New Roman"/>
          <w:sz w:val="24"/>
          <w:szCs w:val="24"/>
        </w:rPr>
        <w:t>.</w:t>
      </w:r>
    </w:p>
    <w:p w14:paraId="0A8EE479" w14:textId="77777777" w:rsidR="00DC2C22"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E70B10" w:rsidRPr="00EF6F97">
        <w:rPr>
          <w:rFonts w:ascii="Times New Roman" w:hAnsi="Times New Roman" w:cs="Times New Roman"/>
          <w:sz w:val="24"/>
          <w:szCs w:val="24"/>
        </w:rPr>
        <w:t xml:space="preserve">Równocześnie dopuszczono możliwość pobierania energii elektrycznej </w:t>
      </w:r>
      <w:r w:rsidR="001D0628">
        <w:rPr>
          <w:rFonts w:ascii="Times New Roman" w:hAnsi="Times New Roman" w:cs="Times New Roman"/>
          <w:sz w:val="24"/>
          <w:szCs w:val="24"/>
        </w:rPr>
        <w:t>z </w:t>
      </w:r>
      <w:r w:rsidR="00E70B10" w:rsidRPr="00EF6F97">
        <w:rPr>
          <w:rFonts w:ascii="Times New Roman" w:hAnsi="Times New Roman" w:cs="Times New Roman"/>
          <w:sz w:val="24"/>
          <w:szCs w:val="24"/>
        </w:rPr>
        <w:t>sieci prze</w:t>
      </w:r>
      <w:r w:rsidR="001D0628">
        <w:rPr>
          <w:rFonts w:ascii="Times New Roman" w:hAnsi="Times New Roman" w:cs="Times New Roman"/>
          <w:sz w:val="24"/>
          <w:szCs w:val="24"/>
        </w:rPr>
        <w:t>z </w:t>
      </w:r>
      <w:r w:rsidR="00E70B10" w:rsidRPr="00EF6F97">
        <w:rPr>
          <w:rFonts w:ascii="Times New Roman" w:hAnsi="Times New Roman" w:cs="Times New Roman"/>
          <w:sz w:val="24"/>
          <w:szCs w:val="24"/>
        </w:rPr>
        <w:t>magazyn stanowiący część instalacji odnawialnego źródła energii (w tym hybrydowego) w celu stworzenia warunków do realizacji prze</w:t>
      </w:r>
      <w:r w:rsidR="001D0628">
        <w:rPr>
          <w:rFonts w:ascii="Times New Roman" w:hAnsi="Times New Roman" w:cs="Times New Roman"/>
          <w:sz w:val="24"/>
          <w:szCs w:val="24"/>
        </w:rPr>
        <w:t>z </w:t>
      </w:r>
      <w:r w:rsidR="00E70B10" w:rsidRPr="00EF6F97">
        <w:rPr>
          <w:rFonts w:ascii="Times New Roman" w:hAnsi="Times New Roman" w:cs="Times New Roman"/>
          <w:sz w:val="24"/>
          <w:szCs w:val="24"/>
        </w:rPr>
        <w:t>taki magazyn wielu funkcjonalności, niezależnie od warunków pogodowych. Brak tej możliwości ograniczyłby istotnie efektywność wykorzystan</w:t>
      </w:r>
      <w:r w:rsidR="00DC2C22" w:rsidRPr="00EF6F97">
        <w:rPr>
          <w:rFonts w:ascii="Times New Roman" w:hAnsi="Times New Roman" w:cs="Times New Roman"/>
          <w:sz w:val="24"/>
          <w:szCs w:val="24"/>
        </w:rPr>
        <w:t xml:space="preserve">ia magazynu ze względu na ograniczone możliwości ładowania magazynu energii elektrycznej – wyłącznie w związku </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pracą źródła OZE, co nie wystarcza do zapewnienia możliwości świadczenia usług o gwarantowanej jakości na rzec</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podmiotów zewnętrznych (sprzedawcy, OSD, OSP).</w:t>
      </w:r>
    </w:p>
    <w:p w14:paraId="26DFB68C" w14:textId="77777777" w:rsidR="005C696A" w:rsidRPr="00EF6F97" w:rsidRDefault="005C696A" w:rsidP="005C696A">
      <w:pPr>
        <w:spacing w:line="360" w:lineRule="auto"/>
        <w:ind w:firstLine="709"/>
        <w:jc w:val="both"/>
        <w:rPr>
          <w:rFonts w:ascii="Times New Roman" w:hAnsi="Times New Roman" w:cs="Times New Roman"/>
          <w:sz w:val="24"/>
          <w:szCs w:val="24"/>
        </w:rPr>
      </w:pPr>
      <w:r w:rsidRPr="005C696A">
        <w:rPr>
          <w:rFonts w:ascii="Times New Roman" w:hAnsi="Times New Roman" w:cs="Times New Roman"/>
          <w:sz w:val="24"/>
          <w:szCs w:val="24"/>
        </w:rPr>
        <w:t>Dodatkowo, biorąc pod uwagę, że zapisy ustawy o odnawialnych źródłach energii przewidują wyraźnie, że prawo do udziału w systemach wsparcia (FIT/FIP/aukcje) ma jedynie wytwórca energii elektrycznej z OZE w instalacji posiadającej wyodrębniony zespół urządzeń służących do wyprowadzania mocy wyłącznie z tej instalacji do sieci (70a ust. 1 i 2, 71 ust. 1, 75 ust. 1), we wszystkich tych przepisach została zawarta wyraźna regulacja stanowiąca, że wystąpienie o wydanie zaświadczenia/deklaracji jest możliwe również w przypadku instalacji, w skład której wchodzi magazyn energii, także wówczas, gdy taki magazyn ma możliwość pobierania energii z sieci, a nie tylko z instalacji OZE, z którą jest połączony.</w:t>
      </w:r>
    </w:p>
    <w:p w14:paraId="6F6AE25D" w14:textId="77777777" w:rsidR="00E70B10" w:rsidRPr="00EF6F97" w:rsidRDefault="00E70B10" w:rsidP="005C696A">
      <w:pPr>
        <w:spacing w:line="360" w:lineRule="auto"/>
        <w:ind w:firstLine="709"/>
        <w:jc w:val="both"/>
        <w:rPr>
          <w:rFonts w:ascii="Times New Roman" w:hAnsi="Times New Roman" w:cs="Times New Roman"/>
          <w:sz w:val="24"/>
          <w:szCs w:val="24"/>
        </w:rPr>
      </w:pPr>
      <w:r w:rsidRPr="00EF6F97">
        <w:rPr>
          <w:rFonts w:ascii="Times New Roman" w:hAnsi="Times New Roman" w:cs="Times New Roman"/>
          <w:sz w:val="24"/>
          <w:szCs w:val="24"/>
        </w:rPr>
        <w:t>Jednocześnie wprowadzono obowiązek zapewnienia opomiarowania wszystkich źródeł OZE</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magazynu energii elektrycznej.</w:t>
      </w:r>
      <w:r w:rsidR="00DC2C22" w:rsidRPr="00EF6F97">
        <w:rPr>
          <w:rFonts w:ascii="Times New Roman" w:hAnsi="Times New Roman" w:cs="Times New Roman"/>
          <w:sz w:val="24"/>
          <w:szCs w:val="24"/>
        </w:rPr>
        <w:t xml:space="preserve"> Umożliwienie poboru energii </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sieci prze</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 xml:space="preserve">magazyn </w:t>
      </w:r>
      <w:r w:rsidR="00DC2C22" w:rsidRPr="00EF6F97">
        <w:rPr>
          <w:rFonts w:ascii="Times New Roman" w:hAnsi="Times New Roman" w:cs="Times New Roman"/>
          <w:sz w:val="24"/>
          <w:szCs w:val="24"/>
        </w:rPr>
        <w:lastRenderedPageBreak/>
        <w:t xml:space="preserve">energii elektrycznej współpracujący </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instalacją OZE wymaga zapewnienia pełnego opomiarowania źródeł OZE ora</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 xml:space="preserve">magazynu energii elektrycznej stanowiącego część instalacji OZE, niezależnie od opomiarowania instalacji OZE w punkcie przyłączenia do sieci. Pozwoli to na określenie ilości energii </w:t>
      </w:r>
      <w:r w:rsidR="00B12942" w:rsidRPr="00EF6F97">
        <w:rPr>
          <w:rFonts w:ascii="Times New Roman" w:hAnsi="Times New Roman" w:cs="Times New Roman"/>
          <w:sz w:val="24"/>
          <w:szCs w:val="24"/>
        </w:rPr>
        <w:t xml:space="preserve">elektrycznej </w:t>
      </w:r>
      <w:r w:rsidR="00DC2C22" w:rsidRPr="00EF6F97">
        <w:rPr>
          <w:rFonts w:ascii="Times New Roman" w:hAnsi="Times New Roman" w:cs="Times New Roman"/>
          <w:sz w:val="24"/>
          <w:szCs w:val="24"/>
        </w:rPr>
        <w:t>wytworzonej w OZE</w:t>
      </w:r>
      <w:r w:rsidR="001D0628">
        <w:rPr>
          <w:rFonts w:ascii="Times New Roman" w:hAnsi="Times New Roman" w:cs="Times New Roman"/>
          <w:sz w:val="24"/>
          <w:szCs w:val="24"/>
        </w:rPr>
        <w:t xml:space="preserve"> i </w:t>
      </w:r>
      <w:r w:rsidR="00DC2C22" w:rsidRPr="00EF6F97">
        <w:rPr>
          <w:rFonts w:ascii="Times New Roman" w:hAnsi="Times New Roman" w:cs="Times New Roman"/>
          <w:sz w:val="24"/>
          <w:szCs w:val="24"/>
        </w:rPr>
        <w:t>wprowadzonej do sieci ora</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 xml:space="preserve">określenie ilości energii </w:t>
      </w:r>
      <w:r w:rsidR="00B12942" w:rsidRPr="00EF6F97">
        <w:rPr>
          <w:rFonts w:ascii="Times New Roman" w:hAnsi="Times New Roman" w:cs="Times New Roman"/>
          <w:sz w:val="24"/>
          <w:szCs w:val="24"/>
        </w:rPr>
        <w:t xml:space="preserve">elektrycznej </w:t>
      </w:r>
      <w:r w:rsidR="00DC2C22" w:rsidRPr="00EF6F97">
        <w:rPr>
          <w:rFonts w:ascii="Times New Roman" w:hAnsi="Times New Roman" w:cs="Times New Roman"/>
          <w:sz w:val="24"/>
          <w:szCs w:val="24"/>
        </w:rPr>
        <w:t xml:space="preserve">wprowadzonej do sieci </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 xml:space="preserve">magazynu energii elektrycznej stanowiącego część instalacji odnawialnego źródła energii, która poprzednio została pobrana </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sieci prze</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ten magazyn energii elektrycznej.</w:t>
      </w:r>
      <w:r w:rsidR="00EF6F97">
        <w:rPr>
          <w:rFonts w:ascii="Times New Roman" w:hAnsi="Times New Roman" w:cs="Times New Roman"/>
          <w:sz w:val="24"/>
          <w:szCs w:val="24"/>
        </w:rPr>
        <w:t xml:space="preserve"> </w:t>
      </w:r>
    </w:p>
    <w:p w14:paraId="727AEAE4" w14:textId="77777777" w:rsidR="00B12942"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D7ADC" w:rsidRPr="00EF6F97">
        <w:rPr>
          <w:rFonts w:ascii="Times New Roman" w:hAnsi="Times New Roman" w:cs="Times New Roman"/>
          <w:sz w:val="24"/>
          <w:szCs w:val="24"/>
        </w:rPr>
        <w:t>W przepisach przejściowych</w:t>
      </w:r>
      <w:r w:rsidR="00625B02" w:rsidRPr="00EF6F97">
        <w:rPr>
          <w:rFonts w:ascii="Times New Roman" w:hAnsi="Times New Roman" w:cs="Times New Roman"/>
          <w:sz w:val="24"/>
          <w:szCs w:val="24"/>
        </w:rPr>
        <w:t xml:space="preserve"> </w:t>
      </w:r>
      <w:r w:rsidR="00F021B8" w:rsidRPr="00EF6F97">
        <w:rPr>
          <w:rFonts w:ascii="Times New Roman" w:hAnsi="Times New Roman" w:cs="Times New Roman"/>
          <w:sz w:val="24"/>
          <w:szCs w:val="24"/>
        </w:rPr>
        <w:t xml:space="preserve">dotyczących podmiotów prowadzących działalność gospodarczą w zakresie magazynowania energii elektrycznej w dniu wejścia w życie ustawy </w:t>
      </w:r>
      <w:r w:rsidR="00625B02" w:rsidRPr="00EF6F97">
        <w:rPr>
          <w:rFonts w:ascii="Times New Roman" w:hAnsi="Times New Roman" w:cs="Times New Roman"/>
          <w:sz w:val="24"/>
          <w:szCs w:val="24"/>
        </w:rPr>
        <w:t>(art. 6)</w:t>
      </w:r>
      <w:r w:rsidR="005D7ADC" w:rsidRPr="00EF6F97">
        <w:rPr>
          <w:rFonts w:ascii="Times New Roman" w:hAnsi="Times New Roman" w:cs="Times New Roman"/>
          <w:sz w:val="24"/>
          <w:szCs w:val="24"/>
        </w:rPr>
        <w:t xml:space="preserve"> </w:t>
      </w:r>
      <w:r w:rsidR="00625B02" w:rsidRPr="00EF6F97">
        <w:rPr>
          <w:rFonts w:ascii="Times New Roman" w:hAnsi="Times New Roman" w:cs="Times New Roman"/>
          <w:sz w:val="24"/>
          <w:szCs w:val="24"/>
        </w:rPr>
        <w:t>dopuszczono utrzymanie dotychczas prowadzonej działalności magazynowania energii elektrycznej o mocy zainstalowanej elektrycznej wyższej niż 10 MW</w:t>
      </w:r>
      <w:r w:rsidR="005D7ADC" w:rsidRPr="00EF6F97">
        <w:rPr>
          <w:rFonts w:ascii="Times New Roman" w:hAnsi="Times New Roman" w:cs="Times New Roman"/>
          <w:sz w:val="24"/>
          <w:szCs w:val="24"/>
        </w:rPr>
        <w:t>, która jest obecnie podstawą działania elektrowni szczytowo-pompowych</w:t>
      </w:r>
      <w:r w:rsidR="00351ECC" w:rsidRPr="00EF6F97">
        <w:rPr>
          <w:rFonts w:ascii="Times New Roman" w:hAnsi="Times New Roman" w:cs="Times New Roman"/>
          <w:sz w:val="24"/>
          <w:szCs w:val="24"/>
        </w:rPr>
        <w:t>,</w:t>
      </w:r>
      <w:r w:rsidR="005D7ADC" w:rsidRPr="00EF6F97">
        <w:rPr>
          <w:rFonts w:ascii="Times New Roman" w:hAnsi="Times New Roman" w:cs="Times New Roman"/>
          <w:sz w:val="24"/>
          <w:szCs w:val="24"/>
        </w:rPr>
        <w:t xml:space="preserve"> </w:t>
      </w:r>
      <w:r w:rsidR="00351ECC" w:rsidRPr="00EF6F97">
        <w:rPr>
          <w:rFonts w:ascii="Times New Roman" w:hAnsi="Times New Roman" w:cs="Times New Roman"/>
          <w:sz w:val="24"/>
          <w:szCs w:val="24"/>
        </w:rPr>
        <w:t xml:space="preserve">w oparciu o </w:t>
      </w:r>
      <w:r w:rsidR="00625B02" w:rsidRPr="00EF6F97">
        <w:rPr>
          <w:rFonts w:ascii="Times New Roman" w:hAnsi="Times New Roman" w:cs="Times New Roman"/>
          <w:sz w:val="24"/>
          <w:szCs w:val="24"/>
        </w:rPr>
        <w:t xml:space="preserve">posiadaną już </w:t>
      </w:r>
      <w:r w:rsidR="00351ECC" w:rsidRPr="00EF6F97">
        <w:rPr>
          <w:rFonts w:ascii="Times New Roman" w:hAnsi="Times New Roman" w:cs="Times New Roman"/>
          <w:sz w:val="24"/>
          <w:szCs w:val="24"/>
        </w:rPr>
        <w:t xml:space="preserve">koncesję na wytwarzanie. </w:t>
      </w:r>
      <w:r w:rsidR="00F021B8" w:rsidRPr="00EF6F97">
        <w:rPr>
          <w:rFonts w:ascii="Times New Roman" w:hAnsi="Times New Roman" w:cs="Times New Roman"/>
          <w:sz w:val="24"/>
          <w:szCs w:val="24"/>
        </w:rPr>
        <w:t xml:space="preserve">Natomiast w przypadku </w:t>
      </w:r>
      <w:r w:rsidR="009C0A17" w:rsidRPr="00EF6F97">
        <w:rPr>
          <w:rFonts w:ascii="Times New Roman" w:hAnsi="Times New Roman" w:cs="Times New Roman"/>
          <w:sz w:val="24"/>
          <w:szCs w:val="24"/>
        </w:rPr>
        <w:t xml:space="preserve">magazynów energii elektrycznej o łącznej mocy zainstalowanej </w:t>
      </w:r>
      <w:r w:rsidR="00625B02" w:rsidRPr="00EF6F97">
        <w:rPr>
          <w:rFonts w:ascii="Times New Roman" w:hAnsi="Times New Roman" w:cs="Times New Roman"/>
          <w:sz w:val="24"/>
          <w:szCs w:val="24"/>
        </w:rPr>
        <w:t xml:space="preserve">nie wyższej </w:t>
      </w:r>
      <w:r w:rsidR="00E346E4" w:rsidRPr="00EF6F97">
        <w:rPr>
          <w:rFonts w:ascii="Times New Roman" w:hAnsi="Times New Roman" w:cs="Times New Roman"/>
          <w:sz w:val="24"/>
          <w:szCs w:val="24"/>
        </w:rPr>
        <w:t>niż 10 MW</w:t>
      </w:r>
      <w:r w:rsidR="00625B02" w:rsidRPr="00EF6F97">
        <w:rPr>
          <w:rFonts w:ascii="Times New Roman" w:hAnsi="Times New Roman" w:cs="Times New Roman"/>
          <w:sz w:val="24"/>
          <w:szCs w:val="24"/>
        </w:rPr>
        <w:t xml:space="preserve"> wprowadzono obowią</w:t>
      </w:r>
      <w:r w:rsidR="00F021B8" w:rsidRPr="00EF6F97">
        <w:rPr>
          <w:rFonts w:ascii="Times New Roman" w:hAnsi="Times New Roman" w:cs="Times New Roman"/>
          <w:sz w:val="24"/>
          <w:szCs w:val="24"/>
        </w:rPr>
        <w:t>zek wystąpienia podmiotu prowadzącego taką działalność o wpis do rejestru magazynów energii elektrycznej w terminie do 31 grudnia 2020</w:t>
      </w:r>
      <w:r w:rsidR="001D0628">
        <w:rPr>
          <w:rFonts w:ascii="Times New Roman" w:hAnsi="Times New Roman" w:cs="Times New Roman"/>
          <w:sz w:val="24"/>
          <w:szCs w:val="24"/>
        </w:rPr>
        <w:t> r.</w:t>
      </w:r>
      <w:r w:rsidR="00F021B8" w:rsidRPr="00EF6F97">
        <w:rPr>
          <w:rFonts w:ascii="Times New Roman" w:hAnsi="Times New Roman" w:cs="Times New Roman"/>
          <w:sz w:val="24"/>
          <w:szCs w:val="24"/>
        </w:rPr>
        <w:t xml:space="preserve"> </w:t>
      </w:r>
    </w:p>
    <w:p w14:paraId="70921640" w14:textId="77777777" w:rsidR="005D7ADC"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351ECC" w:rsidRPr="00EF6F97">
        <w:rPr>
          <w:rFonts w:ascii="Times New Roman" w:hAnsi="Times New Roman" w:cs="Times New Roman"/>
          <w:sz w:val="24"/>
          <w:szCs w:val="24"/>
        </w:rPr>
        <w:t>Ponadto w przepisach przejściowych</w:t>
      </w:r>
      <w:r w:rsidR="005C696A">
        <w:rPr>
          <w:rFonts w:ascii="Times New Roman" w:hAnsi="Times New Roman" w:cs="Times New Roman"/>
          <w:sz w:val="24"/>
          <w:szCs w:val="24"/>
        </w:rPr>
        <w:t>, w związku z wprowadzeniem dla magazynów energii elektrycznej opłaty za przyłączenie do sieci w wysokości połowy rzeczywiście poniesionych kosztów na realizację przyłączenia,</w:t>
      </w:r>
      <w:r w:rsidR="00351ECC" w:rsidRPr="00EF6F97">
        <w:rPr>
          <w:rFonts w:ascii="Times New Roman" w:hAnsi="Times New Roman" w:cs="Times New Roman"/>
          <w:sz w:val="24"/>
          <w:szCs w:val="24"/>
        </w:rPr>
        <w:t xml:space="preserve"> </w:t>
      </w:r>
      <w:r w:rsidR="005C696A">
        <w:rPr>
          <w:rFonts w:ascii="Times New Roman" w:hAnsi="Times New Roman" w:cs="Times New Roman"/>
          <w:sz w:val="24"/>
          <w:szCs w:val="24"/>
        </w:rPr>
        <w:t xml:space="preserve">uregulowano kwestię spraw w toku. Biorąc pod uwagę całokształt </w:t>
      </w:r>
      <w:r w:rsidR="001520CF">
        <w:rPr>
          <w:rFonts w:ascii="Times New Roman" w:hAnsi="Times New Roman" w:cs="Times New Roman"/>
          <w:sz w:val="24"/>
          <w:szCs w:val="24"/>
        </w:rPr>
        <w:t>obowiązujących przepisów szeroko pojętego prawa energetycznego oraz zmian, które wejdą w życie 30 września 2020 r. w związku z nowelizacją ustawy – Prawo budowlane (ustawa z dnia 13 lutego 2020 r. o zmianie ustawy – Prawo budowlane oraz niektórych innych ustaw (</w:t>
      </w:r>
      <w:r w:rsidR="001520CF" w:rsidRPr="001520CF">
        <w:rPr>
          <w:rFonts w:ascii="Times New Roman" w:hAnsi="Times New Roman" w:cs="Times New Roman"/>
          <w:sz w:val="24"/>
          <w:szCs w:val="24"/>
        </w:rPr>
        <w:t>Dz.  U. z 2020 r. poz. 471</w:t>
      </w:r>
      <w:r w:rsidR="001520CF">
        <w:rPr>
          <w:rFonts w:ascii="Times New Roman" w:hAnsi="Times New Roman" w:cs="Times New Roman"/>
          <w:sz w:val="24"/>
          <w:szCs w:val="24"/>
        </w:rPr>
        <w:t>), poszanowanie praw nabytych a zarazem zawartych umów, wprowadzono przepis, zgodnie z którym j</w:t>
      </w:r>
      <w:r w:rsidR="001520CF" w:rsidRPr="001520CF">
        <w:rPr>
          <w:rFonts w:ascii="Times New Roman" w:hAnsi="Times New Roman" w:cs="Times New Roman"/>
          <w:sz w:val="24"/>
          <w:szCs w:val="24"/>
        </w:rPr>
        <w:t xml:space="preserve">eżeli podmiot ubiegający się o przyłączenie do sieci magazynu energii elektrycznej, przed dniem wejścia w życie niniejszej ustawy, złożył wniosek o określenie warunków przyłączenia i wpłacił zaliczkę albo otrzymał warunki przyłączenia, ale nie zawarł umowy o przyłączenie do sieci ponosi on opłatę za przyłączenie do sieci na </w:t>
      </w:r>
      <w:r w:rsidR="001520CF">
        <w:rPr>
          <w:rFonts w:ascii="Times New Roman" w:hAnsi="Times New Roman" w:cs="Times New Roman"/>
          <w:sz w:val="24"/>
          <w:szCs w:val="24"/>
        </w:rPr>
        <w:t xml:space="preserve">nowych </w:t>
      </w:r>
      <w:r w:rsidR="001520CF" w:rsidRPr="001520CF">
        <w:rPr>
          <w:rFonts w:ascii="Times New Roman" w:hAnsi="Times New Roman" w:cs="Times New Roman"/>
          <w:sz w:val="24"/>
          <w:szCs w:val="24"/>
        </w:rPr>
        <w:t xml:space="preserve">zasadach. </w:t>
      </w:r>
      <w:r w:rsidR="001520CF">
        <w:rPr>
          <w:rFonts w:ascii="Times New Roman" w:hAnsi="Times New Roman" w:cs="Times New Roman"/>
          <w:sz w:val="24"/>
          <w:szCs w:val="24"/>
        </w:rPr>
        <w:t>Jeżeli w powyższym przypadku</w:t>
      </w:r>
      <w:r w:rsidR="001520CF" w:rsidRPr="001520CF">
        <w:rPr>
          <w:rFonts w:ascii="Times New Roman" w:hAnsi="Times New Roman" w:cs="Times New Roman"/>
          <w:sz w:val="24"/>
          <w:szCs w:val="24"/>
        </w:rPr>
        <w:t xml:space="preserve"> wysokość wpłaconej zaliczki przekracz</w:t>
      </w:r>
      <w:r w:rsidR="001520CF">
        <w:rPr>
          <w:rFonts w:ascii="Times New Roman" w:hAnsi="Times New Roman" w:cs="Times New Roman"/>
          <w:sz w:val="24"/>
          <w:szCs w:val="24"/>
        </w:rPr>
        <w:t>a połowę rzeczywistych nakładów poniesionych na</w:t>
      </w:r>
      <w:r w:rsidR="001520CF" w:rsidRPr="001520CF">
        <w:rPr>
          <w:rFonts w:ascii="Times New Roman" w:hAnsi="Times New Roman" w:cs="Times New Roman"/>
          <w:sz w:val="24"/>
          <w:szCs w:val="24"/>
        </w:rPr>
        <w:t xml:space="preserve"> realizację przyłączenia, kwoty stanowiące różnicę pomiędzy wysokością wpłaconej zaliczki a połowy rzeczywistych  nakładów  poniesionych  na  realizację przyłączenia podlegają niezwłocznemu zwrotowi wraz z ustawowymi odsetkami liczonymi od dnia wniesienia </w:t>
      </w:r>
      <w:r w:rsidR="001520CF">
        <w:rPr>
          <w:rFonts w:ascii="Times New Roman" w:hAnsi="Times New Roman" w:cs="Times New Roman"/>
          <w:sz w:val="24"/>
          <w:szCs w:val="24"/>
        </w:rPr>
        <w:t xml:space="preserve">danej kwoty do dnia jej zwrotu. </w:t>
      </w:r>
      <w:r w:rsidR="009C0A17" w:rsidRPr="00EF6F97">
        <w:rPr>
          <w:rFonts w:ascii="Times New Roman" w:hAnsi="Times New Roman" w:cs="Times New Roman"/>
          <w:sz w:val="24"/>
          <w:szCs w:val="24"/>
        </w:rPr>
        <w:t xml:space="preserve">Powyższe uściślenie </w:t>
      </w:r>
      <w:r w:rsidR="001520CF">
        <w:rPr>
          <w:rFonts w:ascii="Times New Roman" w:hAnsi="Times New Roman" w:cs="Times New Roman"/>
          <w:sz w:val="24"/>
          <w:szCs w:val="24"/>
        </w:rPr>
        <w:t xml:space="preserve">również </w:t>
      </w:r>
      <w:r w:rsidR="009C0A17" w:rsidRPr="00EF6F97">
        <w:rPr>
          <w:rFonts w:ascii="Times New Roman" w:hAnsi="Times New Roman" w:cs="Times New Roman"/>
          <w:sz w:val="24"/>
          <w:szCs w:val="24"/>
        </w:rPr>
        <w:t>ma celu uwiarygodnienie inwestorów, optymalizację zdolności przyłączeniowych w KSE</w:t>
      </w:r>
      <w:r w:rsidR="001D0628">
        <w:rPr>
          <w:rFonts w:ascii="Times New Roman" w:hAnsi="Times New Roman" w:cs="Times New Roman"/>
          <w:sz w:val="24"/>
          <w:szCs w:val="24"/>
        </w:rPr>
        <w:t xml:space="preserve"> i </w:t>
      </w:r>
      <w:r w:rsidR="009C0A17" w:rsidRPr="00EF6F97">
        <w:rPr>
          <w:rFonts w:ascii="Times New Roman" w:hAnsi="Times New Roman" w:cs="Times New Roman"/>
          <w:sz w:val="24"/>
          <w:szCs w:val="24"/>
        </w:rPr>
        <w:t xml:space="preserve">uzyskanie </w:t>
      </w:r>
      <w:r w:rsidR="00876793" w:rsidRPr="00EF6F97">
        <w:rPr>
          <w:rFonts w:ascii="Times New Roman" w:hAnsi="Times New Roman" w:cs="Times New Roman"/>
          <w:sz w:val="24"/>
          <w:szCs w:val="24"/>
        </w:rPr>
        <w:t xml:space="preserve">w określonym czasie </w:t>
      </w:r>
      <w:r w:rsidR="009C0A17" w:rsidRPr="00EF6F97">
        <w:rPr>
          <w:rFonts w:ascii="Times New Roman" w:hAnsi="Times New Roman" w:cs="Times New Roman"/>
          <w:sz w:val="24"/>
          <w:szCs w:val="24"/>
        </w:rPr>
        <w:t xml:space="preserve">realnych inwestycji w </w:t>
      </w:r>
      <w:r w:rsidR="009C0A17" w:rsidRPr="00EF6F97">
        <w:rPr>
          <w:rFonts w:ascii="Times New Roman" w:hAnsi="Times New Roman" w:cs="Times New Roman"/>
          <w:sz w:val="24"/>
          <w:szCs w:val="24"/>
        </w:rPr>
        <w:lastRenderedPageBreak/>
        <w:t>magazyny energii elektrycznej przyłączone do sieci</w:t>
      </w:r>
      <w:r w:rsidR="00444DA5" w:rsidRPr="00EF6F97">
        <w:rPr>
          <w:rStyle w:val="Odwoanieprzypisudolnego"/>
          <w:rFonts w:ascii="Times New Roman" w:hAnsi="Times New Roman" w:cs="Times New Roman"/>
          <w:sz w:val="24"/>
          <w:szCs w:val="24"/>
        </w:rPr>
        <w:footnoteReference w:id="4"/>
      </w:r>
      <w:r w:rsidR="009C0A17" w:rsidRPr="00EF6F97">
        <w:rPr>
          <w:rFonts w:ascii="Times New Roman" w:hAnsi="Times New Roman" w:cs="Times New Roman"/>
          <w:sz w:val="24"/>
          <w:szCs w:val="24"/>
        </w:rPr>
        <w:t xml:space="preserve">. </w:t>
      </w:r>
    </w:p>
    <w:p w14:paraId="2F6C84F8" w14:textId="77777777" w:rsidR="005D7ADC" w:rsidRPr="00EF6F97" w:rsidRDefault="005D7ADC" w:rsidP="00215A1D">
      <w:pPr>
        <w:spacing w:line="360" w:lineRule="auto"/>
        <w:jc w:val="both"/>
        <w:rPr>
          <w:rFonts w:ascii="Times New Roman" w:hAnsi="Times New Roman" w:cs="Times New Roman"/>
          <w:sz w:val="24"/>
          <w:szCs w:val="24"/>
        </w:rPr>
      </w:pPr>
    </w:p>
    <w:p w14:paraId="7135F156" w14:textId="77777777" w:rsidR="00172458"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0483F" w:rsidRPr="00EF6F97">
        <w:rPr>
          <w:rFonts w:ascii="Times New Roman" w:hAnsi="Times New Roman" w:cs="Times New Roman"/>
          <w:sz w:val="24"/>
          <w:szCs w:val="24"/>
        </w:rPr>
        <w:t>Ad. 9</w:t>
      </w:r>
      <w:r w:rsidR="00F86AB1" w:rsidRPr="00EF6F97">
        <w:rPr>
          <w:rFonts w:ascii="Times New Roman" w:hAnsi="Times New Roman" w:cs="Times New Roman"/>
          <w:sz w:val="24"/>
          <w:szCs w:val="24"/>
        </w:rPr>
        <w:t xml:space="preserve">. </w:t>
      </w:r>
      <w:r w:rsidR="00FE10F9" w:rsidRPr="00EF6F97">
        <w:rPr>
          <w:rFonts w:ascii="Times New Roman" w:hAnsi="Times New Roman" w:cs="Times New Roman"/>
          <w:sz w:val="24"/>
          <w:szCs w:val="24"/>
        </w:rPr>
        <w:t xml:space="preserve">Dokonano </w:t>
      </w:r>
      <w:r w:rsidR="00377EAC" w:rsidRPr="00EF6F97">
        <w:rPr>
          <w:rFonts w:ascii="Times New Roman" w:hAnsi="Times New Roman" w:cs="Times New Roman"/>
          <w:sz w:val="24"/>
          <w:szCs w:val="24"/>
        </w:rPr>
        <w:t xml:space="preserve">również </w:t>
      </w:r>
      <w:r w:rsidR="00FE10F9" w:rsidRPr="00EF6F97">
        <w:rPr>
          <w:rFonts w:ascii="Times New Roman" w:hAnsi="Times New Roman" w:cs="Times New Roman"/>
          <w:sz w:val="24"/>
          <w:szCs w:val="24"/>
        </w:rPr>
        <w:t xml:space="preserve">zmian w zakresie przepisów regulujących politykę energetyczną państwa w </w:t>
      </w:r>
      <w:r w:rsidR="006326C1">
        <w:rPr>
          <w:rFonts w:ascii="Times New Roman" w:hAnsi="Times New Roman" w:cs="Times New Roman"/>
          <w:sz w:val="24"/>
          <w:szCs w:val="24"/>
        </w:rPr>
        <w:t>sposób pozwalający na elastyczniejsze</w:t>
      </w:r>
      <w:r w:rsidR="00FE10F9" w:rsidRPr="00EF6F97">
        <w:rPr>
          <w:rFonts w:ascii="Times New Roman" w:hAnsi="Times New Roman" w:cs="Times New Roman"/>
          <w:sz w:val="24"/>
          <w:szCs w:val="24"/>
        </w:rPr>
        <w:t xml:space="preserve"> kształtowanie formuły dokumentu. W związku </w:t>
      </w:r>
      <w:r w:rsidR="001D0628">
        <w:rPr>
          <w:rFonts w:ascii="Times New Roman" w:hAnsi="Times New Roman" w:cs="Times New Roman"/>
          <w:sz w:val="24"/>
          <w:szCs w:val="24"/>
        </w:rPr>
        <w:t>z </w:t>
      </w:r>
      <w:r w:rsidR="00FE10F9" w:rsidRPr="00EF6F97">
        <w:rPr>
          <w:rFonts w:ascii="Times New Roman" w:hAnsi="Times New Roman" w:cs="Times New Roman"/>
          <w:sz w:val="24"/>
          <w:szCs w:val="24"/>
        </w:rPr>
        <w:t>pracami nad systemem zarządzania unią energetyczną opracowywany jest Plan krajowy na rzec</w:t>
      </w:r>
      <w:r w:rsidR="001D0628">
        <w:rPr>
          <w:rFonts w:ascii="Times New Roman" w:hAnsi="Times New Roman" w:cs="Times New Roman"/>
          <w:sz w:val="24"/>
          <w:szCs w:val="24"/>
        </w:rPr>
        <w:t>z </w:t>
      </w:r>
      <w:r w:rsidR="00FE10F9" w:rsidRPr="00EF6F97">
        <w:rPr>
          <w:rFonts w:ascii="Times New Roman" w:hAnsi="Times New Roman" w:cs="Times New Roman"/>
          <w:sz w:val="24"/>
          <w:szCs w:val="24"/>
        </w:rPr>
        <w:t>energii</w:t>
      </w:r>
      <w:r w:rsidR="001D0628">
        <w:rPr>
          <w:rFonts w:ascii="Times New Roman" w:hAnsi="Times New Roman" w:cs="Times New Roman"/>
          <w:sz w:val="24"/>
          <w:szCs w:val="24"/>
        </w:rPr>
        <w:t xml:space="preserve"> i </w:t>
      </w:r>
      <w:r w:rsidR="00FE10F9" w:rsidRPr="00EF6F97">
        <w:rPr>
          <w:rFonts w:ascii="Times New Roman" w:hAnsi="Times New Roman" w:cs="Times New Roman"/>
          <w:sz w:val="24"/>
          <w:szCs w:val="24"/>
        </w:rPr>
        <w:t>klimatu. Struktura dokumentu opiera się na szablonie zunifikowanym dla wszystkich państw członkowskich, któr</w:t>
      </w:r>
      <w:r w:rsidR="00E52CF7" w:rsidRPr="00EF6F97">
        <w:rPr>
          <w:rFonts w:ascii="Times New Roman" w:hAnsi="Times New Roman" w:cs="Times New Roman"/>
          <w:sz w:val="24"/>
          <w:szCs w:val="24"/>
        </w:rPr>
        <w:t>y pokrywa znaczną część zakresu</w:t>
      </w:r>
      <w:r w:rsidR="00FE10F9" w:rsidRPr="00EF6F97">
        <w:rPr>
          <w:rFonts w:ascii="Times New Roman" w:hAnsi="Times New Roman" w:cs="Times New Roman"/>
          <w:sz w:val="24"/>
          <w:szCs w:val="24"/>
        </w:rPr>
        <w:t xml:space="preserve"> polityki energetycznej określonego w art. 15.</w:t>
      </w:r>
    </w:p>
    <w:p w14:paraId="3D7868E1" w14:textId="77777777" w:rsidR="00172458"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172458" w:rsidRPr="00EF6F97">
        <w:rPr>
          <w:rFonts w:ascii="Times New Roman" w:hAnsi="Times New Roman" w:cs="Times New Roman"/>
          <w:sz w:val="24"/>
          <w:szCs w:val="24"/>
        </w:rPr>
        <w:t xml:space="preserve">Ponadto, w celu usprawnienia procesu związanego </w:t>
      </w:r>
      <w:r w:rsidR="009A1CFD" w:rsidRPr="00EF6F97">
        <w:rPr>
          <w:rFonts w:ascii="Times New Roman" w:hAnsi="Times New Roman" w:cs="Times New Roman"/>
          <w:sz w:val="24"/>
          <w:szCs w:val="24"/>
        </w:rPr>
        <w:t>ze</w:t>
      </w:r>
      <w:r w:rsidR="00172458" w:rsidRPr="00EF6F97">
        <w:rPr>
          <w:rFonts w:ascii="Times New Roman" w:hAnsi="Times New Roman" w:cs="Times New Roman"/>
          <w:sz w:val="24"/>
          <w:szCs w:val="24"/>
        </w:rPr>
        <w:t xml:space="preserve"> sprawozda</w:t>
      </w:r>
      <w:r w:rsidR="009A1CFD" w:rsidRPr="00EF6F97">
        <w:rPr>
          <w:rFonts w:ascii="Times New Roman" w:hAnsi="Times New Roman" w:cs="Times New Roman"/>
          <w:sz w:val="24"/>
          <w:szCs w:val="24"/>
        </w:rPr>
        <w:t>niem</w:t>
      </w:r>
      <w:r w:rsidR="00172458" w:rsidRPr="00EF6F97">
        <w:rPr>
          <w:rFonts w:ascii="Times New Roman" w:hAnsi="Times New Roman" w:cs="Times New Roman"/>
          <w:sz w:val="24"/>
          <w:szCs w:val="24"/>
        </w:rPr>
        <w:t xml:space="preserve"> </w:t>
      </w:r>
      <w:r w:rsidR="001D0628">
        <w:rPr>
          <w:rFonts w:ascii="Times New Roman" w:hAnsi="Times New Roman" w:cs="Times New Roman"/>
          <w:sz w:val="24"/>
          <w:szCs w:val="24"/>
        </w:rPr>
        <w:t>z </w:t>
      </w:r>
      <w:r w:rsidR="00172458" w:rsidRPr="00EF6F97">
        <w:rPr>
          <w:rFonts w:ascii="Times New Roman" w:hAnsi="Times New Roman" w:cs="Times New Roman"/>
          <w:sz w:val="24"/>
          <w:szCs w:val="24"/>
        </w:rPr>
        <w:t>wyników monitorowania bezpieczeństwa dostaw energii elektrycznej ujednolicono termin opracowania, zamieszcza na swoich stronach internetowych w Biuletynie Informacji Publicznej ora</w:t>
      </w:r>
      <w:r w:rsidR="001D0628">
        <w:rPr>
          <w:rFonts w:ascii="Times New Roman" w:hAnsi="Times New Roman" w:cs="Times New Roman"/>
          <w:sz w:val="24"/>
          <w:szCs w:val="24"/>
        </w:rPr>
        <w:t>z </w:t>
      </w:r>
      <w:r w:rsidR="00172458" w:rsidRPr="00EF6F97">
        <w:rPr>
          <w:rFonts w:ascii="Times New Roman" w:hAnsi="Times New Roman" w:cs="Times New Roman"/>
          <w:sz w:val="24"/>
          <w:szCs w:val="24"/>
        </w:rPr>
        <w:t xml:space="preserve">przekazania Komisji Europejskiej tego sprawozdania, tj. do dnia 31 sierpnia. Do tej pory dwie pierwsze czynności były dokonywane do dnia 31 lipca, zaś ostatnia do dnia 31 sierpnia. </w:t>
      </w:r>
      <w:r w:rsidR="009A1CFD" w:rsidRPr="00EF6F97">
        <w:rPr>
          <w:rFonts w:ascii="Times New Roman" w:hAnsi="Times New Roman" w:cs="Times New Roman"/>
          <w:sz w:val="24"/>
          <w:szCs w:val="24"/>
        </w:rPr>
        <w:t>Jedno-miesięczna luka na dokonanie czynności w postaci przekazania sprawozdania Komisji Europejskiej nie znajduje uzasadnienia, tym bardziej, że dokument zamieszczony na stronie BIP jest tym samym dokumentem co</w:t>
      </w:r>
      <w:r w:rsidR="009D3060" w:rsidRPr="00EF6F97">
        <w:rPr>
          <w:rFonts w:ascii="Times New Roman" w:hAnsi="Times New Roman" w:cs="Times New Roman"/>
          <w:sz w:val="24"/>
          <w:szCs w:val="24"/>
        </w:rPr>
        <w:t xml:space="preserve"> przekazywany Komisji Europejskiej. Ponadto, miesiąc lipiec</w:t>
      </w:r>
      <w:r w:rsidR="001D0628">
        <w:rPr>
          <w:rFonts w:ascii="Times New Roman" w:hAnsi="Times New Roman" w:cs="Times New Roman"/>
          <w:sz w:val="24"/>
          <w:szCs w:val="24"/>
        </w:rPr>
        <w:t xml:space="preserve"> i </w:t>
      </w:r>
      <w:r w:rsidR="009D3060" w:rsidRPr="00EF6F97">
        <w:rPr>
          <w:rFonts w:ascii="Times New Roman" w:hAnsi="Times New Roman" w:cs="Times New Roman"/>
          <w:sz w:val="24"/>
          <w:szCs w:val="24"/>
        </w:rPr>
        <w:t xml:space="preserve">sierpień, jak pokazuje doświadczenie, są miesiącami szczególnie wrażliwymi </w:t>
      </w:r>
      <w:r w:rsidR="001D0628">
        <w:rPr>
          <w:rFonts w:ascii="Times New Roman" w:hAnsi="Times New Roman" w:cs="Times New Roman"/>
          <w:sz w:val="24"/>
          <w:szCs w:val="24"/>
        </w:rPr>
        <w:t>z </w:t>
      </w:r>
      <w:r w:rsidR="009D3060" w:rsidRPr="00EF6F97">
        <w:rPr>
          <w:rFonts w:ascii="Times New Roman" w:hAnsi="Times New Roman" w:cs="Times New Roman"/>
          <w:sz w:val="24"/>
          <w:szCs w:val="24"/>
        </w:rPr>
        <w:t>punktu widzenia zagrożenia bezpieczeństwa dostaw energii elektrycznej.</w:t>
      </w:r>
    </w:p>
    <w:p w14:paraId="4F5C444C" w14:textId="77777777" w:rsidR="002533ED" w:rsidRPr="00EF6F97" w:rsidRDefault="002533ED" w:rsidP="00215A1D">
      <w:pPr>
        <w:spacing w:line="360" w:lineRule="auto"/>
        <w:jc w:val="both"/>
        <w:rPr>
          <w:rFonts w:ascii="Times New Roman" w:hAnsi="Times New Roman" w:cs="Times New Roman"/>
          <w:sz w:val="24"/>
          <w:szCs w:val="24"/>
        </w:rPr>
      </w:pPr>
    </w:p>
    <w:p w14:paraId="21B4F92B" w14:textId="77777777" w:rsidR="002533ED"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0483F" w:rsidRPr="00EF6F97">
        <w:rPr>
          <w:rFonts w:ascii="Times New Roman" w:hAnsi="Times New Roman" w:cs="Times New Roman"/>
          <w:sz w:val="24"/>
          <w:szCs w:val="24"/>
        </w:rPr>
        <w:t>Ad. 10</w:t>
      </w:r>
      <w:r w:rsidR="002533ED" w:rsidRPr="00EF6F97">
        <w:rPr>
          <w:rFonts w:ascii="Times New Roman" w:hAnsi="Times New Roman" w:cs="Times New Roman"/>
          <w:sz w:val="24"/>
          <w:szCs w:val="24"/>
        </w:rPr>
        <w:t xml:space="preserve">. Zgodnie </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art. 47 ust. 2c, „W przypadku upływu okresu, na jaki została ustalona taryfa, do dnia wejścia w życie nowej taryfy stosuje się taryfę dotychczasową, jeżeli:</w:t>
      </w:r>
    </w:p>
    <w:p w14:paraId="36C7AD21" w14:textId="77777777" w:rsidR="002533ED" w:rsidRPr="00215A1D" w:rsidRDefault="002533ED" w:rsidP="00215A1D">
      <w:pPr>
        <w:pStyle w:val="Akapitzlist"/>
        <w:numPr>
          <w:ilvl w:val="0"/>
          <w:numId w:val="41"/>
        </w:numPr>
        <w:spacing w:after="0" w:line="360" w:lineRule="auto"/>
        <w:jc w:val="both"/>
        <w:rPr>
          <w:rFonts w:ascii="Times New Roman" w:hAnsi="Times New Roman"/>
          <w:sz w:val="24"/>
          <w:szCs w:val="24"/>
        </w:rPr>
      </w:pPr>
      <w:r w:rsidRPr="00215A1D">
        <w:rPr>
          <w:rFonts w:ascii="Times New Roman" w:hAnsi="Times New Roman"/>
          <w:sz w:val="24"/>
          <w:szCs w:val="24"/>
        </w:rPr>
        <w:t>decyzja Prezesa URE nie została wydana albo</w:t>
      </w:r>
    </w:p>
    <w:p w14:paraId="2549A1E8" w14:textId="77777777" w:rsidR="002533ED" w:rsidRPr="00215A1D" w:rsidRDefault="002533ED" w:rsidP="00215A1D">
      <w:pPr>
        <w:pStyle w:val="Akapitzlist"/>
        <w:numPr>
          <w:ilvl w:val="0"/>
          <w:numId w:val="41"/>
        </w:numPr>
        <w:spacing w:after="0" w:line="360" w:lineRule="auto"/>
        <w:jc w:val="both"/>
        <w:rPr>
          <w:rFonts w:ascii="Times New Roman" w:hAnsi="Times New Roman"/>
          <w:sz w:val="24"/>
          <w:szCs w:val="24"/>
        </w:rPr>
      </w:pPr>
      <w:r w:rsidRPr="00215A1D">
        <w:rPr>
          <w:rFonts w:ascii="Times New Roman" w:hAnsi="Times New Roman"/>
          <w:sz w:val="24"/>
          <w:szCs w:val="24"/>
        </w:rPr>
        <w:t>toczy się postępowanie odwoławcze od decyzji Prezesa URE.”.</w:t>
      </w:r>
    </w:p>
    <w:p w14:paraId="14D50FBC" w14:textId="77777777" w:rsidR="002533ED"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1D0628">
        <w:rPr>
          <w:rFonts w:ascii="Times New Roman" w:hAnsi="Times New Roman" w:cs="Times New Roman"/>
          <w:sz w:val="24"/>
          <w:szCs w:val="24"/>
        </w:rPr>
        <w:t>Z </w:t>
      </w:r>
      <w:r w:rsidR="002533ED" w:rsidRPr="00EF6F97">
        <w:rPr>
          <w:rFonts w:ascii="Times New Roman" w:hAnsi="Times New Roman" w:cs="Times New Roman"/>
          <w:sz w:val="24"/>
          <w:szCs w:val="24"/>
        </w:rPr>
        <w:t>kolei art. 47 ust. 2d stanowi, że „</w:t>
      </w:r>
      <w:r w:rsidR="00D814C5" w:rsidRPr="00EF6F97">
        <w:rPr>
          <w:rFonts w:ascii="Times New Roman" w:hAnsi="Times New Roman" w:cs="Times New Roman"/>
          <w:sz w:val="24"/>
          <w:szCs w:val="24"/>
        </w:rPr>
        <w:t>t</w:t>
      </w:r>
      <w:r w:rsidR="002533ED" w:rsidRPr="00EF6F97">
        <w:rPr>
          <w:rFonts w:ascii="Times New Roman" w:hAnsi="Times New Roman" w:cs="Times New Roman"/>
          <w:sz w:val="24"/>
          <w:szCs w:val="24"/>
        </w:rPr>
        <w:t>aryfy dotychczasowej, o której mowa w ust. 2c, nie stosuje się, jeżeli decyzja Prezesa URE odmawiająca zatwierdzenia taryfy jest uzasadniona koniecznością obniżenia cen</w:t>
      </w:r>
      <w:r w:rsidR="001D0628">
        <w:rPr>
          <w:rFonts w:ascii="Times New Roman" w:hAnsi="Times New Roman" w:cs="Times New Roman"/>
          <w:sz w:val="24"/>
          <w:szCs w:val="24"/>
        </w:rPr>
        <w:t xml:space="preserve"> i </w:t>
      </w:r>
      <w:r w:rsidR="002533ED" w:rsidRPr="00EF6F97">
        <w:rPr>
          <w:rFonts w:ascii="Times New Roman" w:hAnsi="Times New Roman" w:cs="Times New Roman"/>
          <w:sz w:val="24"/>
          <w:szCs w:val="24"/>
        </w:rPr>
        <w:t>stawek opłat poniżej cen</w:t>
      </w:r>
      <w:r w:rsidR="001D0628">
        <w:rPr>
          <w:rFonts w:ascii="Times New Roman" w:hAnsi="Times New Roman" w:cs="Times New Roman"/>
          <w:sz w:val="24"/>
          <w:szCs w:val="24"/>
        </w:rPr>
        <w:t xml:space="preserve"> i </w:t>
      </w:r>
      <w:r w:rsidR="002533ED" w:rsidRPr="00EF6F97">
        <w:rPr>
          <w:rFonts w:ascii="Times New Roman" w:hAnsi="Times New Roman" w:cs="Times New Roman"/>
          <w:sz w:val="24"/>
          <w:szCs w:val="24"/>
        </w:rPr>
        <w:t xml:space="preserve">stawek opłat zawartych w </w:t>
      </w:r>
      <w:r w:rsidR="002533ED" w:rsidRPr="00EF6F97">
        <w:rPr>
          <w:rFonts w:ascii="Times New Roman" w:hAnsi="Times New Roman" w:cs="Times New Roman"/>
          <w:sz w:val="24"/>
          <w:szCs w:val="24"/>
        </w:rPr>
        <w:lastRenderedPageBreak/>
        <w:t>dotychczasowej taryfie</w:t>
      </w:r>
      <w:r w:rsidR="001D0628">
        <w:rPr>
          <w:rFonts w:ascii="Times New Roman" w:hAnsi="Times New Roman" w:cs="Times New Roman"/>
          <w:sz w:val="24"/>
          <w:szCs w:val="24"/>
        </w:rPr>
        <w:t xml:space="preserve"> i </w:t>
      </w:r>
      <w:r w:rsidR="002533ED" w:rsidRPr="00EF6F97">
        <w:rPr>
          <w:rFonts w:ascii="Times New Roman" w:hAnsi="Times New Roman" w:cs="Times New Roman"/>
          <w:sz w:val="24"/>
          <w:szCs w:val="24"/>
        </w:rPr>
        <w:t xml:space="preserve">wynika </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udokumentowanych</w:t>
      </w:r>
      <w:r w:rsidR="001D0628">
        <w:rPr>
          <w:rFonts w:ascii="Times New Roman" w:hAnsi="Times New Roman" w:cs="Times New Roman"/>
          <w:sz w:val="24"/>
          <w:szCs w:val="24"/>
        </w:rPr>
        <w:t xml:space="preserve"> i </w:t>
      </w:r>
      <w:r w:rsidR="002533ED" w:rsidRPr="00EF6F97">
        <w:rPr>
          <w:rFonts w:ascii="Times New Roman" w:hAnsi="Times New Roman" w:cs="Times New Roman"/>
          <w:sz w:val="24"/>
          <w:szCs w:val="24"/>
        </w:rPr>
        <w:t>opisanych zmian zewnętrznych warunków wykonywania prze</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przedsiębiorstwo energetyczne działalności gospodarczej.”.</w:t>
      </w:r>
    </w:p>
    <w:p w14:paraId="4CC95997" w14:textId="77777777" w:rsidR="002533ED"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2533ED" w:rsidRPr="00EF6F97">
        <w:rPr>
          <w:rFonts w:ascii="Times New Roman" w:hAnsi="Times New Roman" w:cs="Times New Roman"/>
          <w:sz w:val="24"/>
          <w:szCs w:val="24"/>
        </w:rPr>
        <w:t>Powyższe przepisy precyzują kwestię możliwości stosowania taryfy przedsiębiorstwa energetycznego mimo upływu okresu na jaki został</w:t>
      </w:r>
      <w:r w:rsidR="00E52CF7" w:rsidRPr="00EF6F97">
        <w:rPr>
          <w:rFonts w:ascii="Times New Roman" w:hAnsi="Times New Roman" w:cs="Times New Roman"/>
          <w:sz w:val="24"/>
          <w:szCs w:val="24"/>
        </w:rPr>
        <w:t>a</w:t>
      </w:r>
      <w:r w:rsidR="002533ED" w:rsidRPr="00EF6F97">
        <w:rPr>
          <w:rFonts w:ascii="Times New Roman" w:hAnsi="Times New Roman" w:cs="Times New Roman"/>
          <w:sz w:val="24"/>
          <w:szCs w:val="24"/>
        </w:rPr>
        <w:t xml:space="preserve"> zatwierdzona. Jest to regulacja bardzo pożyteczna jakkolwiek - jak wykazuje dotychczasowa praktyka - niepełna.</w:t>
      </w:r>
      <w:r w:rsidR="001D0628">
        <w:rPr>
          <w:rFonts w:ascii="Times New Roman" w:hAnsi="Times New Roman" w:cs="Times New Roman"/>
          <w:sz w:val="24"/>
          <w:szCs w:val="24"/>
        </w:rPr>
        <w:t xml:space="preserve"> i </w:t>
      </w:r>
      <w:r w:rsidR="002533ED" w:rsidRPr="00EF6F97">
        <w:rPr>
          <w:rFonts w:ascii="Times New Roman" w:hAnsi="Times New Roman" w:cs="Times New Roman"/>
          <w:sz w:val="24"/>
          <w:szCs w:val="24"/>
        </w:rPr>
        <w:t xml:space="preserve">tak, </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 xml:space="preserve">art. 47 ust. 2d nie wynika, w jaki sposób należy rozliczać odbiorców po upływie okresu obowiązywania dotychczasowej taryfy (której nie można stosować) a prawomocnym rozstrzygnięciem sprawy </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odwołania od decyzji odmawiającej zatwierdzenia „nowej" taryfy. Dodać przy tym należy, że postępowania odwoławcze trwają zwykle prze</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kilka lat, odbiorcy przedsiębiorstwa pozostają w niepewności co do wysokości kosztów jaki</w:t>
      </w:r>
      <w:r w:rsidR="00E52CF7" w:rsidRPr="00EF6F97">
        <w:rPr>
          <w:rFonts w:ascii="Times New Roman" w:hAnsi="Times New Roman" w:cs="Times New Roman"/>
          <w:sz w:val="24"/>
          <w:szCs w:val="24"/>
        </w:rPr>
        <w:t>e</w:t>
      </w:r>
      <w:r w:rsidR="002533ED" w:rsidRPr="00EF6F97">
        <w:rPr>
          <w:rFonts w:ascii="Times New Roman" w:hAnsi="Times New Roman" w:cs="Times New Roman"/>
          <w:sz w:val="24"/>
          <w:szCs w:val="24"/>
        </w:rPr>
        <w:t xml:space="preserve"> ponoszą </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 xml:space="preserve">tytułu dostarczania paliw lub energii. </w:t>
      </w:r>
      <w:r w:rsidR="00A41A65" w:rsidRPr="00EF6F97">
        <w:rPr>
          <w:rFonts w:ascii="Times New Roman" w:hAnsi="Times New Roman" w:cs="Times New Roman"/>
          <w:sz w:val="24"/>
          <w:szCs w:val="24"/>
        </w:rPr>
        <w:t xml:space="preserve">W związku </w:t>
      </w:r>
      <w:r w:rsidR="001D0628">
        <w:rPr>
          <w:rFonts w:ascii="Times New Roman" w:hAnsi="Times New Roman" w:cs="Times New Roman"/>
          <w:sz w:val="24"/>
          <w:szCs w:val="24"/>
        </w:rPr>
        <w:t>z </w:t>
      </w:r>
      <w:r w:rsidR="00A41A65" w:rsidRPr="00EF6F97">
        <w:rPr>
          <w:rFonts w:ascii="Times New Roman" w:hAnsi="Times New Roman" w:cs="Times New Roman"/>
          <w:sz w:val="24"/>
          <w:szCs w:val="24"/>
        </w:rPr>
        <w:t>powyższym doprecyzowano ten przepis</w:t>
      </w:r>
      <w:r w:rsidR="002533ED" w:rsidRPr="00EF6F97">
        <w:rPr>
          <w:rFonts w:ascii="Times New Roman" w:hAnsi="Times New Roman" w:cs="Times New Roman"/>
          <w:sz w:val="24"/>
          <w:szCs w:val="24"/>
        </w:rPr>
        <w:t xml:space="preserve"> p</w:t>
      </w:r>
      <w:r w:rsidR="00A41A65" w:rsidRPr="00EF6F97">
        <w:rPr>
          <w:rFonts w:ascii="Times New Roman" w:hAnsi="Times New Roman" w:cs="Times New Roman"/>
          <w:sz w:val="24"/>
          <w:szCs w:val="24"/>
        </w:rPr>
        <w:t>op</w:t>
      </w:r>
      <w:r w:rsidR="002533ED" w:rsidRPr="00EF6F97">
        <w:rPr>
          <w:rFonts w:ascii="Times New Roman" w:hAnsi="Times New Roman" w:cs="Times New Roman"/>
          <w:sz w:val="24"/>
          <w:szCs w:val="24"/>
        </w:rPr>
        <w:t>rze</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 xml:space="preserve">wskazanie podstawy do rozliczeń </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 xml:space="preserve">odbiorcami w tym „przejściowym" okresie. </w:t>
      </w:r>
    </w:p>
    <w:p w14:paraId="637EDBD5" w14:textId="77777777" w:rsidR="00A91F44"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814C5" w:rsidRPr="00EF6F97">
        <w:rPr>
          <w:rFonts w:ascii="Times New Roman" w:hAnsi="Times New Roman" w:cs="Times New Roman"/>
          <w:sz w:val="24"/>
          <w:szCs w:val="24"/>
        </w:rPr>
        <w:t>Proponuje się również</w:t>
      </w:r>
      <w:r w:rsidR="002533ED" w:rsidRPr="00EF6F97">
        <w:rPr>
          <w:rFonts w:ascii="Times New Roman" w:hAnsi="Times New Roman" w:cs="Times New Roman"/>
          <w:sz w:val="24"/>
          <w:szCs w:val="24"/>
        </w:rPr>
        <w:t xml:space="preserve"> odstąpić w art. 47 ust. 2d od przesłanki, aby odmowa zatwierdzenia taryfy wynikała </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udokumentowanych</w:t>
      </w:r>
      <w:r w:rsidR="001D0628">
        <w:rPr>
          <w:rFonts w:ascii="Times New Roman" w:hAnsi="Times New Roman" w:cs="Times New Roman"/>
          <w:sz w:val="24"/>
          <w:szCs w:val="24"/>
        </w:rPr>
        <w:t xml:space="preserve"> i </w:t>
      </w:r>
      <w:r w:rsidR="002533ED" w:rsidRPr="00EF6F97">
        <w:rPr>
          <w:rFonts w:ascii="Times New Roman" w:hAnsi="Times New Roman" w:cs="Times New Roman"/>
          <w:sz w:val="24"/>
          <w:szCs w:val="24"/>
        </w:rPr>
        <w:t xml:space="preserve">opisanych zmian </w:t>
      </w:r>
      <w:r w:rsidR="002533ED" w:rsidRPr="00EF6F97">
        <w:rPr>
          <w:rFonts w:ascii="Times New Roman" w:hAnsi="Times New Roman" w:cs="Times New Roman"/>
          <w:sz w:val="24"/>
          <w:szCs w:val="24"/>
          <w:u w:val="single"/>
        </w:rPr>
        <w:t>zewnętrznych</w:t>
      </w:r>
      <w:r w:rsidR="002533ED" w:rsidRPr="00EF6F97">
        <w:rPr>
          <w:rFonts w:ascii="Times New Roman" w:hAnsi="Times New Roman" w:cs="Times New Roman"/>
          <w:sz w:val="24"/>
          <w:szCs w:val="24"/>
        </w:rPr>
        <w:t xml:space="preserve"> warunków wykonywania działalności gospodarczej prze</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przedsiębiorstwo energetyczne. Niejednokrotnie bowiem ma miejsce sytuacja, w której przedsiębiorstwo energetyczne w dowolny</w:t>
      </w:r>
      <w:r w:rsidR="001D0628">
        <w:rPr>
          <w:rFonts w:ascii="Times New Roman" w:hAnsi="Times New Roman" w:cs="Times New Roman"/>
          <w:sz w:val="24"/>
          <w:szCs w:val="24"/>
        </w:rPr>
        <w:t xml:space="preserve"> i </w:t>
      </w:r>
      <w:r w:rsidR="002533ED" w:rsidRPr="00EF6F97">
        <w:rPr>
          <w:rFonts w:ascii="Times New Roman" w:hAnsi="Times New Roman" w:cs="Times New Roman"/>
          <w:sz w:val="24"/>
          <w:szCs w:val="24"/>
        </w:rPr>
        <w:t xml:space="preserve">nieuzasadniony sposób zawyża koszty własne, przyjęte do kalkulacji przedstawianej do zatwierdzenia taryfy. </w:t>
      </w:r>
      <w:r w:rsidR="00E9108B" w:rsidRPr="00EF6F97">
        <w:rPr>
          <w:rFonts w:ascii="Times New Roman" w:hAnsi="Times New Roman" w:cs="Times New Roman"/>
          <w:sz w:val="24"/>
          <w:szCs w:val="24"/>
        </w:rPr>
        <w:t xml:space="preserve">Regulator </w:t>
      </w:r>
      <w:r w:rsidR="002533ED" w:rsidRPr="00EF6F97">
        <w:rPr>
          <w:rFonts w:ascii="Times New Roman" w:hAnsi="Times New Roman" w:cs="Times New Roman"/>
          <w:sz w:val="24"/>
          <w:szCs w:val="24"/>
        </w:rPr>
        <w:t>odmawia zatwierdzenia tak skonstruowanej taryfy</w:t>
      </w:r>
      <w:r w:rsidR="00E52CF7" w:rsidRPr="00EF6F97">
        <w:rPr>
          <w:rFonts w:ascii="Times New Roman" w:hAnsi="Times New Roman" w:cs="Times New Roman"/>
          <w:sz w:val="24"/>
          <w:szCs w:val="24"/>
        </w:rPr>
        <w:t>,</w:t>
      </w:r>
      <w:r w:rsidR="002533ED" w:rsidRPr="00EF6F97">
        <w:rPr>
          <w:rFonts w:ascii="Times New Roman" w:hAnsi="Times New Roman" w:cs="Times New Roman"/>
          <w:sz w:val="24"/>
          <w:szCs w:val="24"/>
        </w:rPr>
        <w:t xml:space="preserve"> a przedsiębiorstwo wnosi odwołanie. Ponieważ odmowa zatwierdzenia taryfy nie wynika w takim przypadku ze zmian warunków zewnętrznych, przedsiębiorstwo do czasu prawomocnego zakończenia postępowania stosuje taryfę dotychczasową na podstawie art. 47 ust. 2c pkt 2. W takim przypadku, nawet jeżeli </w:t>
      </w:r>
      <w:r w:rsidR="00E9108B" w:rsidRPr="00EF6F97">
        <w:rPr>
          <w:rFonts w:ascii="Times New Roman" w:hAnsi="Times New Roman" w:cs="Times New Roman"/>
          <w:sz w:val="24"/>
          <w:szCs w:val="24"/>
        </w:rPr>
        <w:t>ostatecznie s</w:t>
      </w:r>
      <w:r w:rsidR="002533ED" w:rsidRPr="00EF6F97">
        <w:rPr>
          <w:rFonts w:ascii="Times New Roman" w:hAnsi="Times New Roman" w:cs="Times New Roman"/>
          <w:sz w:val="24"/>
          <w:szCs w:val="24"/>
        </w:rPr>
        <w:t>ąd odwo</w:t>
      </w:r>
      <w:r w:rsidR="00E9108B" w:rsidRPr="00EF6F97">
        <w:rPr>
          <w:rFonts w:ascii="Times New Roman" w:hAnsi="Times New Roman" w:cs="Times New Roman"/>
          <w:sz w:val="24"/>
          <w:szCs w:val="24"/>
        </w:rPr>
        <w:t>ławczy uzna za zasadną decyzję regulatora</w:t>
      </w:r>
      <w:r w:rsidR="002533ED" w:rsidRPr="00EF6F97">
        <w:rPr>
          <w:rFonts w:ascii="Times New Roman" w:hAnsi="Times New Roman" w:cs="Times New Roman"/>
          <w:sz w:val="24"/>
          <w:szCs w:val="24"/>
        </w:rPr>
        <w:t>, przedsiębiorstwo nawet prze</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 xml:space="preserve">kilka lat osiąga nieuzasadnione korzyści pobierając od odbiorców opłaty w wysokości przewidzianej w dotychczasowej taryfie. Zatem wykreślenie </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 xml:space="preserve">art. 47 ust. 2d wyrazu </w:t>
      </w:r>
      <w:r w:rsidR="00D814C5" w:rsidRPr="00EF6F97">
        <w:rPr>
          <w:rFonts w:ascii="Times New Roman" w:hAnsi="Times New Roman" w:cs="Times New Roman"/>
          <w:sz w:val="24"/>
          <w:szCs w:val="24"/>
        </w:rPr>
        <w:t>„zewnętrznych" wyeliminuje</w:t>
      </w:r>
      <w:r w:rsidR="002533ED" w:rsidRPr="00EF6F97">
        <w:rPr>
          <w:rFonts w:ascii="Times New Roman" w:hAnsi="Times New Roman" w:cs="Times New Roman"/>
          <w:sz w:val="24"/>
          <w:szCs w:val="24"/>
        </w:rPr>
        <w:t xml:space="preserve"> powyższe niekorzystne zjawiska</w:t>
      </w:r>
      <w:r w:rsidR="001D0628">
        <w:rPr>
          <w:rFonts w:ascii="Times New Roman" w:hAnsi="Times New Roman" w:cs="Times New Roman"/>
          <w:sz w:val="24"/>
          <w:szCs w:val="24"/>
        </w:rPr>
        <w:t xml:space="preserve"> i </w:t>
      </w:r>
      <w:r w:rsidR="00D814C5" w:rsidRPr="00EF6F97">
        <w:rPr>
          <w:rFonts w:ascii="Times New Roman" w:hAnsi="Times New Roman" w:cs="Times New Roman"/>
          <w:sz w:val="24"/>
          <w:szCs w:val="24"/>
        </w:rPr>
        <w:t>zwiększy</w:t>
      </w:r>
      <w:r w:rsidR="002533ED" w:rsidRPr="00EF6F97">
        <w:rPr>
          <w:rFonts w:ascii="Times New Roman" w:hAnsi="Times New Roman" w:cs="Times New Roman"/>
          <w:sz w:val="24"/>
          <w:szCs w:val="24"/>
        </w:rPr>
        <w:t xml:space="preserve"> skuteczność przepisów art. 47 ust. 2c</w:t>
      </w:r>
      <w:r w:rsidR="001D0628">
        <w:rPr>
          <w:rFonts w:ascii="Times New Roman" w:hAnsi="Times New Roman" w:cs="Times New Roman"/>
          <w:sz w:val="24"/>
          <w:szCs w:val="24"/>
        </w:rPr>
        <w:t xml:space="preserve"> i </w:t>
      </w:r>
      <w:r w:rsidR="002533ED" w:rsidRPr="00EF6F97">
        <w:rPr>
          <w:rFonts w:ascii="Times New Roman" w:hAnsi="Times New Roman" w:cs="Times New Roman"/>
          <w:sz w:val="24"/>
          <w:szCs w:val="24"/>
        </w:rPr>
        <w:t xml:space="preserve">2d. </w:t>
      </w:r>
    </w:p>
    <w:p w14:paraId="14C45C63" w14:textId="77777777" w:rsidR="0054167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4167B" w:rsidRPr="00EF6F97">
        <w:rPr>
          <w:rFonts w:ascii="Times New Roman" w:hAnsi="Times New Roman" w:cs="Times New Roman"/>
          <w:sz w:val="24"/>
          <w:szCs w:val="24"/>
        </w:rPr>
        <w:t>Dodatkowo, doprecyzowano, że w ww. przypadku Prezes URE ustali, w drodze postanowienia ceny</w:t>
      </w:r>
      <w:r w:rsidR="001D0628">
        <w:rPr>
          <w:rFonts w:ascii="Times New Roman" w:hAnsi="Times New Roman" w:cs="Times New Roman"/>
          <w:sz w:val="24"/>
          <w:szCs w:val="24"/>
        </w:rPr>
        <w:t xml:space="preserve"> i </w:t>
      </w:r>
      <w:r w:rsidR="0054167B" w:rsidRPr="00EF6F97">
        <w:rPr>
          <w:rFonts w:ascii="Times New Roman" w:hAnsi="Times New Roman" w:cs="Times New Roman"/>
          <w:sz w:val="24"/>
          <w:szCs w:val="24"/>
        </w:rPr>
        <w:t xml:space="preserve">stawki opłat, które przedsiębiorstwo energetyczne jest zobowiązane stosować nie później niż od 7 dnia następującego po opublikowaniu postanowienia w Biuletynie URE, do czasu wejścia w życie nowej taryfy. </w:t>
      </w:r>
    </w:p>
    <w:p w14:paraId="4C190BEB" w14:textId="77777777" w:rsidR="00D55610"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55610" w:rsidRPr="00EF6F97">
        <w:rPr>
          <w:rFonts w:ascii="Times New Roman" w:hAnsi="Times New Roman" w:cs="Times New Roman"/>
          <w:sz w:val="24"/>
          <w:szCs w:val="24"/>
        </w:rPr>
        <w:t xml:space="preserve">Zmiana miejsca publikacji taryf dla ciepła </w:t>
      </w:r>
      <w:r w:rsidR="001D0628">
        <w:rPr>
          <w:rFonts w:ascii="Times New Roman" w:hAnsi="Times New Roman" w:cs="Times New Roman"/>
          <w:sz w:val="24"/>
          <w:szCs w:val="24"/>
        </w:rPr>
        <w:t>z </w:t>
      </w:r>
      <w:r w:rsidR="00D55610" w:rsidRPr="00EF6F97">
        <w:rPr>
          <w:rFonts w:ascii="Times New Roman" w:hAnsi="Times New Roman" w:cs="Times New Roman"/>
          <w:sz w:val="24"/>
          <w:szCs w:val="24"/>
        </w:rPr>
        <w:t>dziennika wojewódzkiego na Biuletyn URE</w:t>
      </w:r>
      <w:r w:rsidR="001D0628">
        <w:rPr>
          <w:rFonts w:ascii="Times New Roman" w:hAnsi="Times New Roman" w:cs="Times New Roman"/>
          <w:sz w:val="24"/>
          <w:szCs w:val="24"/>
        </w:rPr>
        <w:t xml:space="preserve"> i </w:t>
      </w:r>
      <w:r w:rsidR="00D55610" w:rsidRPr="00EF6F97">
        <w:rPr>
          <w:rFonts w:ascii="Times New Roman" w:hAnsi="Times New Roman" w:cs="Times New Roman"/>
          <w:sz w:val="24"/>
          <w:szCs w:val="24"/>
        </w:rPr>
        <w:t>wydłużenie terminu, podobnie jak jest to w przypadku energii elektrycznej</w:t>
      </w:r>
      <w:r w:rsidR="001D0628">
        <w:rPr>
          <w:rFonts w:ascii="Times New Roman" w:hAnsi="Times New Roman" w:cs="Times New Roman"/>
          <w:sz w:val="24"/>
          <w:szCs w:val="24"/>
        </w:rPr>
        <w:t xml:space="preserve"> i </w:t>
      </w:r>
      <w:r w:rsidR="00D55610" w:rsidRPr="00EF6F97">
        <w:rPr>
          <w:rFonts w:ascii="Times New Roman" w:hAnsi="Times New Roman" w:cs="Times New Roman"/>
          <w:sz w:val="24"/>
          <w:szCs w:val="24"/>
        </w:rPr>
        <w:t xml:space="preserve">paliw gazowych, </w:t>
      </w:r>
      <w:r w:rsidR="001D0628">
        <w:rPr>
          <w:rFonts w:ascii="Times New Roman" w:hAnsi="Times New Roman" w:cs="Times New Roman"/>
          <w:sz w:val="24"/>
          <w:szCs w:val="24"/>
        </w:rPr>
        <w:t>z </w:t>
      </w:r>
      <w:r w:rsidR="00D55610" w:rsidRPr="00EF6F97">
        <w:rPr>
          <w:rFonts w:ascii="Times New Roman" w:hAnsi="Times New Roman" w:cs="Times New Roman"/>
          <w:sz w:val="24"/>
          <w:szCs w:val="24"/>
        </w:rPr>
        <w:t xml:space="preserve">7 do 14 dni stanowi uwzględnienie uwagi Prezes URE zgłoszonej przy piśmie </w:t>
      </w:r>
      <w:r w:rsidR="001D0628">
        <w:rPr>
          <w:rFonts w:ascii="Times New Roman" w:hAnsi="Times New Roman" w:cs="Times New Roman"/>
          <w:sz w:val="24"/>
          <w:szCs w:val="24"/>
        </w:rPr>
        <w:t>z </w:t>
      </w:r>
      <w:r w:rsidR="00D55610" w:rsidRPr="00EF6F97">
        <w:rPr>
          <w:rFonts w:ascii="Times New Roman" w:hAnsi="Times New Roman" w:cs="Times New Roman"/>
          <w:sz w:val="24"/>
          <w:szCs w:val="24"/>
        </w:rPr>
        <w:t>dnia 24 lipca 2018</w:t>
      </w:r>
      <w:r w:rsidR="001D0628">
        <w:rPr>
          <w:rFonts w:ascii="Times New Roman" w:hAnsi="Times New Roman" w:cs="Times New Roman"/>
          <w:sz w:val="24"/>
          <w:szCs w:val="24"/>
        </w:rPr>
        <w:t> r.</w:t>
      </w:r>
    </w:p>
    <w:p w14:paraId="77EB1AEC" w14:textId="77777777" w:rsidR="00E9108B" w:rsidRPr="00EF6F97" w:rsidRDefault="00E9108B" w:rsidP="00215A1D">
      <w:pPr>
        <w:spacing w:line="360" w:lineRule="auto"/>
        <w:jc w:val="both"/>
        <w:rPr>
          <w:rFonts w:ascii="Times New Roman" w:hAnsi="Times New Roman" w:cs="Times New Roman"/>
          <w:sz w:val="24"/>
          <w:szCs w:val="24"/>
        </w:rPr>
      </w:pPr>
    </w:p>
    <w:p w14:paraId="1174C6CC" w14:textId="77777777" w:rsidR="001F258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1F2587">
        <w:rPr>
          <w:rFonts w:ascii="Times New Roman" w:hAnsi="Times New Roman" w:cs="Times New Roman"/>
          <w:sz w:val="24"/>
          <w:szCs w:val="24"/>
        </w:rPr>
        <w:t>Dodatkowo, uwzględniając uwagę Prezesa URE, zgłoszoną przy piśmie z dnia 31 stycznia 2020 r. nadano nowe brzmienie art. 47 ust. 2a:</w:t>
      </w:r>
    </w:p>
    <w:p w14:paraId="47FB4BB6" w14:textId="77777777" w:rsidR="001F2587" w:rsidRPr="001F2587" w:rsidRDefault="001F2587" w:rsidP="001F2587">
      <w:pPr>
        <w:spacing w:line="360" w:lineRule="auto"/>
        <w:jc w:val="both"/>
        <w:rPr>
          <w:rFonts w:ascii="Times New Roman" w:hAnsi="Times New Roman" w:cs="Times New Roman"/>
          <w:sz w:val="24"/>
          <w:szCs w:val="24"/>
        </w:rPr>
      </w:pPr>
      <w:r w:rsidRPr="001F2587">
        <w:rPr>
          <w:rFonts w:ascii="Times New Roman" w:hAnsi="Times New Roman" w:cs="Times New Roman"/>
          <w:sz w:val="24"/>
          <w:szCs w:val="24"/>
        </w:rPr>
        <w:t>„2a. Prezes URE, na wniosek przedsiębiorstwa energetycznego, może zatwierdzić, na okres nie dłuższy niż 3 lata, taryfę zawierającą ceny i stawki opłat w wysokości nie wyższej niż ceny i stawki opłat obowiązujące przed jej przedłożeniem Prezesowi URE, jeżeli są spełnione łącznie następujące warunki:”.</w:t>
      </w:r>
    </w:p>
    <w:p w14:paraId="0E946986" w14:textId="77777777" w:rsidR="001F2587" w:rsidRDefault="001F2587" w:rsidP="001F2587">
      <w:pPr>
        <w:spacing w:line="360" w:lineRule="auto"/>
        <w:jc w:val="both"/>
        <w:rPr>
          <w:rFonts w:ascii="Times New Roman" w:hAnsi="Times New Roman" w:cs="Times New Roman"/>
          <w:sz w:val="24"/>
          <w:szCs w:val="24"/>
        </w:rPr>
      </w:pPr>
      <w:r w:rsidRPr="001F2587">
        <w:rPr>
          <w:rFonts w:ascii="Times New Roman" w:hAnsi="Times New Roman" w:cs="Times New Roman"/>
          <w:sz w:val="24"/>
          <w:szCs w:val="24"/>
        </w:rPr>
        <w:t>Powyższy przepis wprowadza szczególny, uproszczony tryb zatwierdzania taryfy na okres do 3 lat, bez dokonywania przeglądu regulacyjnego. Celem tego przepisu jest zagwarantowanie wyłącznie wnioskodawcy, akumulacji korzyści wynikających z poprawy efektywności jego działania w okresie obowiązywania takiej taryfy (tj. bez przeniesienia części tych korzyści na odbiorców). Z uwagi na doświadczenie regulatora w rozpatrywaniu ww. wniosków, proponuje się zmianę przepisu poprzez stworzenie możliwości zasadności takiego wniosku w ramach uznania administracyjnego.</w:t>
      </w:r>
    </w:p>
    <w:p w14:paraId="6EA0FC70" w14:textId="77777777" w:rsidR="006326C1" w:rsidRDefault="006326C1" w:rsidP="001F2587">
      <w:pPr>
        <w:spacing w:line="360" w:lineRule="auto"/>
        <w:jc w:val="both"/>
        <w:rPr>
          <w:rFonts w:ascii="Times New Roman" w:hAnsi="Times New Roman" w:cs="Times New Roman"/>
          <w:sz w:val="24"/>
          <w:szCs w:val="24"/>
        </w:rPr>
      </w:pPr>
    </w:p>
    <w:p w14:paraId="31014ED2" w14:textId="77777777" w:rsidR="004E459B" w:rsidRPr="00EF6F97" w:rsidRDefault="00D0483F" w:rsidP="001F2587">
      <w:pPr>
        <w:spacing w:line="360" w:lineRule="auto"/>
        <w:ind w:firstLine="709"/>
        <w:jc w:val="both"/>
        <w:rPr>
          <w:rFonts w:ascii="Times New Roman" w:hAnsi="Times New Roman" w:cs="Times New Roman"/>
          <w:sz w:val="24"/>
          <w:szCs w:val="24"/>
        </w:rPr>
      </w:pPr>
      <w:r w:rsidRPr="00EF6F97">
        <w:rPr>
          <w:rFonts w:ascii="Times New Roman" w:hAnsi="Times New Roman" w:cs="Times New Roman"/>
          <w:sz w:val="24"/>
          <w:szCs w:val="24"/>
        </w:rPr>
        <w:t>Ad. 11</w:t>
      </w:r>
      <w:r w:rsidR="00E9108B" w:rsidRPr="00EF6F97">
        <w:rPr>
          <w:rFonts w:ascii="Times New Roman" w:hAnsi="Times New Roman" w:cs="Times New Roman"/>
          <w:sz w:val="24"/>
          <w:szCs w:val="24"/>
        </w:rPr>
        <w:t xml:space="preserve">. </w:t>
      </w:r>
      <w:r w:rsidR="004E459B" w:rsidRPr="00EF6F97">
        <w:rPr>
          <w:rFonts w:ascii="Times New Roman" w:hAnsi="Times New Roman" w:cs="Times New Roman"/>
          <w:sz w:val="24"/>
          <w:szCs w:val="24"/>
        </w:rPr>
        <w:t>Problem zawierania umów poza lokalem przedsiębiorstwa sygnalizowany był prze</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Prezesa URE kilkukrotnie (co potwierdza Najwyższa Izba Kontroli w Informacji o wynikach kontroli Ochrona praw konsumenta energii elektrycznej, wskazując, że „Prezes URE kilkukrotnie zwracał się do Ministra Energii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propozycjami zmian legislacyjnych, w tym wprowadzenie zakazu sprzedaży w formule bezpośredniej akwizycji”, str. 10), wymaga pilnego rozwiązania w związku licznymi</w:t>
      </w:r>
      <w:r w:rsidR="00EF6F97">
        <w:rPr>
          <w:rFonts w:ascii="Times New Roman" w:hAnsi="Times New Roman" w:cs="Times New Roman"/>
          <w:sz w:val="24"/>
          <w:szCs w:val="24"/>
        </w:rPr>
        <w:t xml:space="preserve"> </w:t>
      </w:r>
      <w:r w:rsidR="004E459B" w:rsidRPr="00EF6F97">
        <w:rPr>
          <w:rFonts w:ascii="Times New Roman" w:hAnsi="Times New Roman" w:cs="Times New Roman"/>
          <w:sz w:val="24"/>
          <w:szCs w:val="24"/>
        </w:rPr>
        <w:t>przypadkami oszustw</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wprowadzania w błąd odbiorców paliw</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energii w gospodarstwach domowych podczas sprzedaży bezpośredniej w tzw. formule door-to-door. Wobec powyższego proponuje się wprowadzenie zmian w ustawie – Prawo energetyczne, które pozwolą na wyeliminowanie lub znaczące zmniejszenie tego rodzaju niepożądanych zachowań. Ze skarg odbiorców wynika, że koncesjonariusze sprzedający energię elektryczną lub ga</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ziemny w tzw. formule door-to-door (sprzedaż poza lokalem przedsiębiorstwa) - działający również za pośrednictwem wyspecjalizowanych agencji</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przedstawicieli handlowych (akwizytorów) - dopuszczają się m.in. następujących niedozwolonych praktyk:</w:t>
      </w:r>
    </w:p>
    <w:p w14:paraId="1A39AB21" w14:textId="77777777" w:rsidR="004E459B" w:rsidRPr="00215A1D" w:rsidRDefault="004E459B" w:rsidP="00215A1D">
      <w:pPr>
        <w:pStyle w:val="Akapitzlist"/>
        <w:numPr>
          <w:ilvl w:val="2"/>
          <w:numId w:val="47"/>
        </w:numPr>
        <w:spacing w:after="0" w:line="360" w:lineRule="auto"/>
        <w:ind w:left="426"/>
        <w:jc w:val="both"/>
        <w:rPr>
          <w:rFonts w:ascii="Times New Roman" w:hAnsi="Times New Roman"/>
          <w:sz w:val="24"/>
          <w:szCs w:val="24"/>
        </w:rPr>
      </w:pPr>
      <w:r w:rsidRPr="00215A1D">
        <w:rPr>
          <w:rFonts w:ascii="Times New Roman" w:hAnsi="Times New Roman"/>
          <w:sz w:val="24"/>
          <w:szCs w:val="24"/>
        </w:rPr>
        <w:t>niepodawanie odbiorcom nazwy sprzedawcy lub wprowadzanie w błąd, co do nazwy sprzedawcy (podawanie się za pracowników innych podmiotów),</w:t>
      </w:r>
    </w:p>
    <w:p w14:paraId="3166C67D" w14:textId="77777777" w:rsidR="004E459B" w:rsidRPr="00215A1D" w:rsidRDefault="004E459B" w:rsidP="00215A1D">
      <w:pPr>
        <w:pStyle w:val="Akapitzlist"/>
        <w:numPr>
          <w:ilvl w:val="2"/>
          <w:numId w:val="47"/>
        </w:numPr>
        <w:spacing w:after="0" w:line="360" w:lineRule="auto"/>
        <w:ind w:left="426"/>
        <w:jc w:val="both"/>
        <w:rPr>
          <w:rFonts w:ascii="Times New Roman" w:hAnsi="Times New Roman"/>
          <w:sz w:val="24"/>
          <w:szCs w:val="24"/>
        </w:rPr>
      </w:pPr>
      <w:r w:rsidRPr="00215A1D">
        <w:rPr>
          <w:rFonts w:ascii="Times New Roman" w:hAnsi="Times New Roman"/>
          <w:sz w:val="24"/>
          <w:szCs w:val="24"/>
        </w:rPr>
        <w:t>wprowadzanie odbiorców w błąd poprze</w:t>
      </w:r>
      <w:r w:rsidR="001D0628">
        <w:rPr>
          <w:rFonts w:ascii="Times New Roman" w:hAnsi="Times New Roman"/>
          <w:sz w:val="24"/>
          <w:szCs w:val="24"/>
        </w:rPr>
        <w:t>z </w:t>
      </w:r>
      <w:r w:rsidRPr="00215A1D">
        <w:rPr>
          <w:rFonts w:ascii="Times New Roman" w:hAnsi="Times New Roman"/>
          <w:sz w:val="24"/>
          <w:szCs w:val="24"/>
        </w:rPr>
        <w:t xml:space="preserve">informowanie o obowiązku podpisywania nowych umów, aneksów do umów lub innych dokumentów związanych </w:t>
      </w:r>
      <w:r w:rsidR="001D0628">
        <w:rPr>
          <w:rFonts w:ascii="Times New Roman" w:hAnsi="Times New Roman"/>
          <w:sz w:val="24"/>
          <w:szCs w:val="24"/>
        </w:rPr>
        <w:t>z </w:t>
      </w:r>
      <w:r w:rsidR="00EF6F97">
        <w:rPr>
          <w:rFonts w:ascii="Times New Roman" w:hAnsi="Times New Roman"/>
          <w:sz w:val="24"/>
          <w:szCs w:val="24"/>
        </w:rPr>
        <w:t xml:space="preserve"> </w:t>
      </w:r>
      <w:r w:rsidRPr="00215A1D">
        <w:rPr>
          <w:rFonts w:ascii="Times New Roman" w:hAnsi="Times New Roman"/>
          <w:sz w:val="24"/>
          <w:szCs w:val="24"/>
        </w:rPr>
        <w:t>dostarczaniem paliw gazowych</w:t>
      </w:r>
      <w:r w:rsidR="001D0628">
        <w:rPr>
          <w:rFonts w:ascii="Times New Roman" w:hAnsi="Times New Roman"/>
          <w:sz w:val="24"/>
          <w:szCs w:val="24"/>
        </w:rPr>
        <w:t xml:space="preserve"> i </w:t>
      </w:r>
      <w:r w:rsidRPr="00215A1D">
        <w:rPr>
          <w:rFonts w:ascii="Times New Roman" w:hAnsi="Times New Roman"/>
          <w:sz w:val="24"/>
          <w:szCs w:val="24"/>
        </w:rPr>
        <w:t>energii elektrycznej ora</w:t>
      </w:r>
      <w:r w:rsidR="001D0628">
        <w:rPr>
          <w:rFonts w:ascii="Times New Roman" w:hAnsi="Times New Roman"/>
          <w:sz w:val="24"/>
          <w:szCs w:val="24"/>
        </w:rPr>
        <w:t>z </w:t>
      </w:r>
      <w:r w:rsidRPr="00215A1D">
        <w:rPr>
          <w:rFonts w:ascii="Times New Roman" w:hAnsi="Times New Roman"/>
          <w:sz w:val="24"/>
          <w:szCs w:val="24"/>
        </w:rPr>
        <w:t xml:space="preserve">podawanie nieprawdziwych przyczyn tego </w:t>
      </w:r>
      <w:r w:rsidRPr="00215A1D">
        <w:rPr>
          <w:rFonts w:ascii="Times New Roman" w:hAnsi="Times New Roman"/>
          <w:sz w:val="24"/>
          <w:szCs w:val="24"/>
        </w:rPr>
        <w:lastRenderedPageBreak/>
        <w:t>obowiązku (np. planowane zaprzestanie dostarczania paliw gazowych lub energii elektrycznej prze</w:t>
      </w:r>
      <w:r w:rsidR="001D0628">
        <w:rPr>
          <w:rFonts w:ascii="Times New Roman" w:hAnsi="Times New Roman"/>
          <w:sz w:val="24"/>
          <w:szCs w:val="24"/>
        </w:rPr>
        <w:t>z </w:t>
      </w:r>
      <w:r w:rsidRPr="00215A1D">
        <w:rPr>
          <w:rFonts w:ascii="Times New Roman" w:hAnsi="Times New Roman"/>
          <w:sz w:val="24"/>
          <w:szCs w:val="24"/>
        </w:rPr>
        <w:t>dotychczasowego sprzedawcę, czy też zmiana danych dotychczasowego sprzedawcy),</w:t>
      </w:r>
    </w:p>
    <w:p w14:paraId="4ED97769" w14:textId="77777777" w:rsidR="004E459B" w:rsidRPr="00215A1D" w:rsidRDefault="004E459B" w:rsidP="00215A1D">
      <w:pPr>
        <w:pStyle w:val="Akapitzlist"/>
        <w:numPr>
          <w:ilvl w:val="2"/>
          <w:numId w:val="47"/>
        </w:numPr>
        <w:spacing w:after="0" w:line="360" w:lineRule="auto"/>
        <w:ind w:left="426"/>
        <w:jc w:val="both"/>
        <w:rPr>
          <w:rFonts w:ascii="Times New Roman" w:hAnsi="Times New Roman"/>
          <w:sz w:val="24"/>
          <w:szCs w:val="24"/>
        </w:rPr>
      </w:pPr>
      <w:r w:rsidRPr="00215A1D">
        <w:rPr>
          <w:rFonts w:ascii="Times New Roman" w:hAnsi="Times New Roman"/>
          <w:sz w:val="24"/>
          <w:szCs w:val="24"/>
        </w:rPr>
        <w:t>nieinformowanie odbiorców o dokonanej zmianie sprzedawcy ora</w:t>
      </w:r>
      <w:r w:rsidR="001D0628">
        <w:rPr>
          <w:rFonts w:ascii="Times New Roman" w:hAnsi="Times New Roman"/>
          <w:sz w:val="24"/>
          <w:szCs w:val="24"/>
        </w:rPr>
        <w:t>z </w:t>
      </w:r>
      <w:r w:rsidRPr="00215A1D">
        <w:rPr>
          <w:rFonts w:ascii="Times New Roman" w:hAnsi="Times New Roman"/>
          <w:sz w:val="24"/>
          <w:szCs w:val="24"/>
        </w:rPr>
        <w:t>prawach i</w:t>
      </w:r>
      <w:r w:rsidR="00EF6F97">
        <w:rPr>
          <w:rFonts w:ascii="Times New Roman" w:hAnsi="Times New Roman"/>
          <w:sz w:val="24"/>
          <w:szCs w:val="24"/>
        </w:rPr>
        <w:t xml:space="preserve"> </w:t>
      </w:r>
      <w:r w:rsidRPr="00215A1D">
        <w:rPr>
          <w:rFonts w:ascii="Times New Roman" w:hAnsi="Times New Roman"/>
          <w:sz w:val="24"/>
          <w:szCs w:val="24"/>
        </w:rPr>
        <w:t xml:space="preserve">obowiązkach wynikających </w:t>
      </w:r>
      <w:r w:rsidR="001D0628">
        <w:rPr>
          <w:rFonts w:ascii="Times New Roman" w:hAnsi="Times New Roman"/>
          <w:sz w:val="24"/>
          <w:szCs w:val="24"/>
        </w:rPr>
        <w:t>z </w:t>
      </w:r>
      <w:r w:rsidRPr="00215A1D">
        <w:rPr>
          <w:rFonts w:ascii="Times New Roman" w:hAnsi="Times New Roman"/>
          <w:sz w:val="24"/>
          <w:szCs w:val="24"/>
        </w:rPr>
        <w:t>tej procedury,</w:t>
      </w:r>
    </w:p>
    <w:p w14:paraId="07C6D45C" w14:textId="77777777" w:rsidR="004E459B" w:rsidRPr="00215A1D" w:rsidRDefault="004E459B" w:rsidP="00215A1D">
      <w:pPr>
        <w:pStyle w:val="Akapitzlist"/>
        <w:numPr>
          <w:ilvl w:val="2"/>
          <w:numId w:val="47"/>
        </w:numPr>
        <w:spacing w:after="0" w:line="360" w:lineRule="auto"/>
        <w:ind w:left="426"/>
        <w:jc w:val="both"/>
        <w:rPr>
          <w:rFonts w:ascii="Times New Roman" w:hAnsi="Times New Roman"/>
          <w:sz w:val="24"/>
          <w:szCs w:val="24"/>
        </w:rPr>
      </w:pPr>
      <w:r w:rsidRPr="00215A1D">
        <w:rPr>
          <w:rFonts w:ascii="Times New Roman" w:hAnsi="Times New Roman"/>
          <w:sz w:val="24"/>
          <w:szCs w:val="24"/>
        </w:rPr>
        <w:t>fałszowanie podpisów odbiorców,</w:t>
      </w:r>
    </w:p>
    <w:p w14:paraId="71CD7F65" w14:textId="77777777" w:rsidR="004E459B" w:rsidRPr="00215A1D" w:rsidRDefault="004E459B" w:rsidP="00215A1D">
      <w:pPr>
        <w:pStyle w:val="Akapitzlist"/>
        <w:numPr>
          <w:ilvl w:val="2"/>
          <w:numId w:val="47"/>
        </w:numPr>
        <w:spacing w:after="0" w:line="360" w:lineRule="auto"/>
        <w:ind w:left="426"/>
        <w:jc w:val="both"/>
        <w:rPr>
          <w:rFonts w:ascii="Times New Roman" w:hAnsi="Times New Roman"/>
          <w:sz w:val="24"/>
          <w:szCs w:val="24"/>
        </w:rPr>
      </w:pPr>
      <w:r w:rsidRPr="00215A1D">
        <w:rPr>
          <w:rFonts w:ascii="Times New Roman" w:hAnsi="Times New Roman"/>
          <w:sz w:val="24"/>
          <w:szCs w:val="24"/>
        </w:rPr>
        <w:t>nieuwzględnienie złożonych w terminie prze</w:t>
      </w:r>
      <w:r w:rsidR="001D0628">
        <w:rPr>
          <w:rFonts w:ascii="Times New Roman" w:hAnsi="Times New Roman"/>
          <w:sz w:val="24"/>
          <w:szCs w:val="24"/>
        </w:rPr>
        <w:t>z </w:t>
      </w:r>
      <w:r w:rsidRPr="00215A1D">
        <w:rPr>
          <w:rFonts w:ascii="Times New Roman" w:hAnsi="Times New Roman"/>
          <w:sz w:val="24"/>
          <w:szCs w:val="24"/>
        </w:rPr>
        <w:t>odbiorców odstąpień od zawartych poza lokalem koncesjonariusza umów kompleksowych.</w:t>
      </w:r>
    </w:p>
    <w:p w14:paraId="739D4BCF" w14:textId="77777777" w:rsidR="004E459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459B" w:rsidRPr="00EF6F97">
        <w:rPr>
          <w:rFonts w:ascii="Times New Roman" w:hAnsi="Times New Roman" w:cs="Times New Roman"/>
          <w:sz w:val="24"/>
          <w:szCs w:val="24"/>
        </w:rPr>
        <w:t xml:space="preserve">Agresywna polityka sprzedaży przedsiębiorstw energetycznych, powiązana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brakiem profesjonalizmu przedstawicieli handlowych tych przedsiębiorstw prowadzi do występowania licznych nieprawidłowości a nawet przestępstw w trakcie podpisywania umów sprzedaży paliw gazowych</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energii elektrycznej. Przedstawiciele handlowi nastawieni na maksymalizację swoich zarobków wykorzystują niewiedzę odbiorców w</w:t>
      </w:r>
      <w:r w:rsidR="00EF6F97">
        <w:rPr>
          <w:rFonts w:ascii="Times New Roman" w:hAnsi="Times New Roman" w:cs="Times New Roman"/>
          <w:sz w:val="24"/>
          <w:szCs w:val="24"/>
        </w:rPr>
        <w:t xml:space="preserve"> </w:t>
      </w:r>
      <w:r w:rsidR="004E459B" w:rsidRPr="00EF6F97">
        <w:rPr>
          <w:rFonts w:ascii="Times New Roman" w:hAnsi="Times New Roman" w:cs="Times New Roman"/>
          <w:sz w:val="24"/>
          <w:szCs w:val="24"/>
        </w:rPr>
        <w:t>gospodarstwach domowych, w szczególności osób starszych</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często wprowadzając je w</w:t>
      </w:r>
      <w:r w:rsidR="00EF6F97">
        <w:rPr>
          <w:rFonts w:ascii="Times New Roman" w:hAnsi="Times New Roman" w:cs="Times New Roman"/>
          <w:sz w:val="24"/>
          <w:szCs w:val="24"/>
        </w:rPr>
        <w:t xml:space="preserve"> </w:t>
      </w:r>
      <w:r w:rsidR="004E459B" w:rsidRPr="00EF6F97">
        <w:rPr>
          <w:rFonts w:ascii="Times New Roman" w:hAnsi="Times New Roman" w:cs="Times New Roman"/>
          <w:sz w:val="24"/>
          <w:szCs w:val="24"/>
        </w:rPr>
        <w:t>błąd doprowadzają do zawarcia niekorzystnej umowy.</w:t>
      </w:r>
    </w:p>
    <w:p w14:paraId="747249CB" w14:textId="77777777" w:rsidR="004E459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459B" w:rsidRPr="00EF6F97">
        <w:rPr>
          <w:rFonts w:ascii="Times New Roman" w:hAnsi="Times New Roman" w:cs="Times New Roman"/>
          <w:sz w:val="24"/>
          <w:szCs w:val="24"/>
        </w:rPr>
        <w:t>W 2018 roku ogólna ilość zgłoszeń tylko do Punktu Informacyjnego Odbiorców Energii</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Paliw Gazowych (PI) wyniosła ok. 5000, w tym spraw dot. nieuczciwych praktyk rynkowych było blisko 600 (12%). Natomiast dane za rok 2019 wskazują na łączną ilość zgłoszeń 2995 w tym nieuczciwe praktyki rynkowe 395 (13%). Przy czym spadek spraw zgłaszanych do PI związany jest specyfiką roku 2019</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funkcjonowaniem tzw. „ustawy prądowej”, która spowodowała zamrożenie rynku energii, aktywności akwizycyjnej sprzedawców, spadek ofert</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niepewność funkcjonowania w nowych otoczeniu prawnym. Warto jednak zauważyć, że % udział spraw zgłaszanych na nieuczciwe praktyki sprzedawców utrzymuje się na zbliżonym poziomie w kolejnych latach mimo podejmowanych działań prze</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Regulatora – cyklicznych spotkań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przedsiębiorstwami energetycznymi w celu omówienia nieprawidłowości</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skarg ora</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mimo deklaracji zarządów spółek do podjęcia środków zaradczych, w tym wewnętrznych procedur kontrolnych. Na marginesie warto podkreślić, że powyższe dane dotyczą tylko</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wyłącznie zarejestrowanych zgłoszeń, które nie odzwierciedlają liczby rzeczywiście zaistniałych sytuacji. Wielu bowiem odbiorców nie wie do jakiego organu należy dokonać zgłoszenia a nawet gdy wie to tego nie czyni.</w:t>
      </w:r>
    </w:p>
    <w:p w14:paraId="5F85EBDA" w14:textId="77777777" w:rsidR="004E459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459B" w:rsidRPr="00EF6F97">
        <w:rPr>
          <w:rFonts w:ascii="Times New Roman" w:hAnsi="Times New Roman" w:cs="Times New Roman"/>
          <w:sz w:val="24"/>
          <w:szCs w:val="24"/>
        </w:rPr>
        <w:t>Zaka</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lub ograniczenie stosowania sprzedaży poprze</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kanał „door to door” funkcjonuje także w innych Państwach Członkowskich. Przykładowo został on wprowadzony w Hiszpanii w październiku 2018</w:t>
      </w:r>
      <w:r w:rsidR="001D0628">
        <w:rPr>
          <w:rFonts w:ascii="Times New Roman" w:hAnsi="Times New Roman" w:cs="Times New Roman"/>
          <w:sz w:val="24"/>
          <w:szCs w:val="24"/>
        </w:rPr>
        <w:t> r.</w:t>
      </w:r>
      <w:r w:rsidR="004E459B" w:rsidRPr="00EF6F97">
        <w:rPr>
          <w:rFonts w:ascii="Times New Roman" w:hAnsi="Times New Roman" w:cs="Times New Roman"/>
          <w:sz w:val="24"/>
          <w:szCs w:val="24"/>
        </w:rPr>
        <w:t xml:space="preserve">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powodu nieuczciwych praktyk rynkowych stosowanych prze</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sprzedawców na rynku energii elektrycznej</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 xml:space="preserve">paliw gazowych. Jak informuje </w:t>
      </w:r>
      <w:r w:rsidR="004E459B" w:rsidRPr="00EF6F97">
        <w:rPr>
          <w:rFonts w:ascii="Times New Roman" w:hAnsi="Times New Roman" w:cs="Times New Roman"/>
          <w:sz w:val="24"/>
          <w:szCs w:val="24"/>
        </w:rPr>
        <w:lastRenderedPageBreak/>
        <w:t>przedstawiciel Regulatora hiszpańskiego, znaczący spadek kontraktów sprzedaży „door to door” zastąpiły inne kanały sprzedaży tj. sprzedaż internetowa</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sprzedaż telefoniczna ora</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zwiększyła się liczba punktów sprzedaży w centrach handlowych, na stacjach benzynowych</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w innych miejscach publicznych. Ograniczenie sprzedaży „door to door” stosowane jest także w Czechach. W Czechach nie wprowadzono odgórnej regulacji dot. zakazu sprzedaży „door to door”, natomiast takie prawo zostało nadane władzom lokalnym</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przykładowo odpowiednik naszego prezydenta, burmistrza czy wójta wydaje na danym obszarze odpowiednie zarządzenie. We Włoszech natomiast, co prawda nie ma bezpośredniego zakazu „door to door”, ale zasady stosowania tego kanału znajdują się w prawie, są także regulowane prze</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włoskiego regulatora L'Autorità di Regolazione per Energia Reti e Ambiente (ARERA) Regulator opracował tzw. "Code of commercial conduct”, który zawiera wszystkie reguły</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zasady stosowania kanału sprzedaży „door to door”. ARERA za złamanie kodeksu nakłada sankcje na sprzedawców, uzupełniająco robi to także odpowiednik naszego UOKIK-u. W Belgii funkcjonuje natomiast sektorowe porozumienie, w którym znajdują się wszystkie zasady</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 xml:space="preserve">obowiązki związane ze sprzedażą poza siedzibą przedsiębiorstwa,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wyszczególnieniem „door to door”.</w:t>
      </w:r>
      <w:r w:rsidR="00EF6F97">
        <w:rPr>
          <w:rFonts w:ascii="Times New Roman" w:hAnsi="Times New Roman" w:cs="Times New Roman"/>
          <w:sz w:val="24"/>
          <w:szCs w:val="24"/>
        </w:rPr>
        <w:t xml:space="preserve"> </w:t>
      </w:r>
      <w:r w:rsidR="004E459B" w:rsidRPr="00EF6F97">
        <w:rPr>
          <w:rFonts w:ascii="Times New Roman" w:hAnsi="Times New Roman" w:cs="Times New Roman"/>
          <w:sz w:val="24"/>
          <w:szCs w:val="24"/>
          <w:lang w:val="en-US"/>
        </w:rPr>
        <w:t>Dokument nazywa się</w:t>
      </w:r>
      <w:r w:rsidR="00EF6F97">
        <w:rPr>
          <w:rFonts w:ascii="Times New Roman" w:hAnsi="Times New Roman" w:cs="Times New Roman"/>
          <w:sz w:val="24"/>
          <w:szCs w:val="24"/>
          <w:lang w:val="en-US"/>
        </w:rPr>
        <w:t xml:space="preserve"> </w:t>
      </w:r>
      <w:r w:rsidR="004E459B" w:rsidRPr="00EF6F97">
        <w:rPr>
          <w:rFonts w:ascii="Times New Roman" w:hAnsi="Times New Roman" w:cs="Times New Roman"/>
          <w:sz w:val="24"/>
          <w:szCs w:val="24"/>
          <w:lang w:val="en-US"/>
        </w:rPr>
        <w:t>“Agreement – The consumer in the liberalised markets for electricity and gas”.</w:t>
      </w:r>
      <w:r w:rsidR="00EF6F97">
        <w:rPr>
          <w:rFonts w:ascii="Times New Roman" w:hAnsi="Times New Roman" w:cs="Times New Roman"/>
          <w:sz w:val="24"/>
          <w:szCs w:val="24"/>
          <w:lang w:val="en-US"/>
        </w:rPr>
        <w:t xml:space="preserve"> </w:t>
      </w:r>
      <w:r w:rsidR="004E459B" w:rsidRPr="00EF6F97">
        <w:rPr>
          <w:rFonts w:ascii="Times New Roman" w:hAnsi="Times New Roman" w:cs="Times New Roman"/>
          <w:sz w:val="24"/>
          <w:szCs w:val="24"/>
        </w:rPr>
        <w:t>Porozumienie zawiera sankcje, a przyjęte zasady są obowiązkowe dla wszystkich sprzedawców (zasady są podpisywane prze</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pracowników sprzedawców). Rozwiązanie w zakresie kanału „door to door” są różne, co związane też jest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nieco odmienną kulturą prawną</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biznesową jak</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funkcjonowaniem Regulatora w relacji</w:t>
      </w:r>
      <w:r w:rsidR="00EF6F97">
        <w:rPr>
          <w:rFonts w:ascii="Times New Roman" w:hAnsi="Times New Roman" w:cs="Times New Roman"/>
          <w:sz w:val="24"/>
          <w:szCs w:val="24"/>
        </w:rPr>
        <w:t xml:space="preserve">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przedsiębiorstwami energetycznymi. Jednak co najbardziej istotne temat jest podejmowany prze</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Regulatorów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innych Państw Członkowskich</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skutecznie zakazywany bądź formalnie regulowany w celu ochrony konsumentów</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najsłabszych odbiorców.</w:t>
      </w:r>
    </w:p>
    <w:p w14:paraId="2FB5F4D2" w14:textId="77777777" w:rsidR="004E459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459B" w:rsidRPr="00EF6F97">
        <w:rPr>
          <w:rFonts w:ascii="Times New Roman" w:hAnsi="Times New Roman" w:cs="Times New Roman"/>
          <w:sz w:val="24"/>
          <w:szCs w:val="24"/>
        </w:rPr>
        <w:t>Wprowadzanie zakazu zawierania umów sprzedaży paliw gazowych</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energii elektrycznej poza lokalem przedsiębiorstwa nie ogranicza przy tym możliwości zawarcia takiej umowy na odległość (np. telefonicznie) czy w punkcie sprzedawcy umiejscowionym np. w galerii handlowej. Zaka</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ten nie spowolni ani nie wstrzyma dokonywania zmian sprzedawcy. Wręc</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przeciwnie, stworzenie systemu ochrony praw odbiorców powinno zmobilizować odbiorców do podejmowania aktywnych działań na rynku paliw gazowych</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energii elektrycznej.</w:t>
      </w:r>
    </w:p>
    <w:p w14:paraId="727DE1F8" w14:textId="77777777" w:rsidR="004E459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459B" w:rsidRPr="00EF6F97">
        <w:rPr>
          <w:rFonts w:ascii="Times New Roman" w:hAnsi="Times New Roman" w:cs="Times New Roman"/>
          <w:sz w:val="24"/>
          <w:szCs w:val="24"/>
        </w:rPr>
        <w:t xml:space="preserve">Dodatkowo należy zaznaczyć, że obecnie Prezes URE nie dysponuje odpowiednimi narzędziami pozwalającymi na skuteczną ingerencję w przypadku nieuczciwych zachowań Sprzedawców. Aby Prezes URE mógł nakładać sankcje powinien mieć podstawę prawną w przepisach merytorycznych zakazujących danego typu zachowań. Obecnie, zagadnienie to </w:t>
      </w:r>
      <w:r w:rsidR="004E459B" w:rsidRPr="00EF6F97">
        <w:rPr>
          <w:rFonts w:ascii="Times New Roman" w:hAnsi="Times New Roman" w:cs="Times New Roman"/>
          <w:sz w:val="24"/>
          <w:szCs w:val="24"/>
        </w:rPr>
        <w:lastRenderedPageBreak/>
        <w:t xml:space="preserve">można podciągnąć pod tzw. wady oświadczenia woli uregulowane w ustawie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dnia 23 kwietnia 1964</w:t>
      </w:r>
      <w:r w:rsidR="001D0628">
        <w:rPr>
          <w:rFonts w:ascii="Times New Roman" w:hAnsi="Times New Roman" w:cs="Times New Roman"/>
          <w:sz w:val="24"/>
          <w:szCs w:val="24"/>
        </w:rPr>
        <w:t> r.</w:t>
      </w:r>
      <w:r w:rsidR="004E459B" w:rsidRPr="00EF6F97">
        <w:rPr>
          <w:rFonts w:ascii="Times New Roman" w:hAnsi="Times New Roman" w:cs="Times New Roman"/>
          <w:sz w:val="24"/>
          <w:szCs w:val="24"/>
        </w:rPr>
        <w:t xml:space="preserve"> – Kodeks cywilny (Dz.</w:t>
      </w:r>
      <w:r w:rsidR="00EF6F97">
        <w:rPr>
          <w:rFonts w:ascii="Times New Roman" w:hAnsi="Times New Roman" w:cs="Times New Roman"/>
          <w:sz w:val="24"/>
          <w:szCs w:val="24"/>
        </w:rPr>
        <w:t xml:space="preserve"> </w:t>
      </w:r>
      <w:r w:rsidR="004E459B" w:rsidRPr="00EF6F97">
        <w:rPr>
          <w:rFonts w:ascii="Times New Roman" w:hAnsi="Times New Roman" w:cs="Times New Roman"/>
          <w:sz w:val="24"/>
          <w:szCs w:val="24"/>
        </w:rPr>
        <w:t>U.</w:t>
      </w:r>
      <w:r w:rsidR="00EF6F97">
        <w:rPr>
          <w:rFonts w:ascii="Times New Roman" w:hAnsi="Times New Roman" w:cs="Times New Roman"/>
          <w:sz w:val="24"/>
          <w:szCs w:val="24"/>
        </w:rPr>
        <w:t xml:space="preserve"> </w:t>
      </w:r>
      <w:r w:rsidR="001D0628">
        <w:rPr>
          <w:rFonts w:ascii="Times New Roman" w:hAnsi="Times New Roman" w:cs="Times New Roman"/>
          <w:sz w:val="24"/>
          <w:szCs w:val="24"/>
        </w:rPr>
        <w:t>z </w:t>
      </w:r>
      <w:r w:rsidR="00EF6F97">
        <w:rPr>
          <w:rFonts w:ascii="Times New Roman" w:hAnsi="Times New Roman" w:cs="Times New Roman"/>
          <w:sz w:val="24"/>
          <w:szCs w:val="24"/>
        </w:rPr>
        <w:t xml:space="preserve"> </w:t>
      </w:r>
      <w:r w:rsidR="004E459B" w:rsidRPr="00EF6F97">
        <w:rPr>
          <w:rFonts w:ascii="Times New Roman" w:hAnsi="Times New Roman" w:cs="Times New Roman"/>
          <w:sz w:val="24"/>
          <w:szCs w:val="24"/>
        </w:rPr>
        <w:t>2019</w:t>
      </w:r>
      <w:r w:rsidR="001D0628">
        <w:rPr>
          <w:rFonts w:ascii="Times New Roman" w:hAnsi="Times New Roman" w:cs="Times New Roman"/>
          <w:sz w:val="24"/>
          <w:szCs w:val="24"/>
        </w:rPr>
        <w:t> r.</w:t>
      </w:r>
      <w:r w:rsidR="004E459B" w:rsidRPr="00EF6F97">
        <w:rPr>
          <w:rFonts w:ascii="Times New Roman" w:hAnsi="Times New Roman" w:cs="Times New Roman"/>
          <w:sz w:val="24"/>
          <w:szCs w:val="24"/>
        </w:rPr>
        <w:t xml:space="preserve"> poz. 1145, 1495,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2020</w:t>
      </w:r>
      <w:r w:rsidR="001D0628">
        <w:rPr>
          <w:rFonts w:ascii="Times New Roman" w:hAnsi="Times New Roman" w:cs="Times New Roman"/>
          <w:sz w:val="24"/>
          <w:szCs w:val="24"/>
        </w:rPr>
        <w:t> r.</w:t>
      </w:r>
      <w:r w:rsidR="004E459B" w:rsidRPr="00EF6F97">
        <w:rPr>
          <w:rFonts w:ascii="Times New Roman" w:hAnsi="Times New Roman" w:cs="Times New Roman"/>
          <w:sz w:val="24"/>
          <w:szCs w:val="24"/>
        </w:rPr>
        <w:t xml:space="preserve"> poz. 875.). Jednakże należy zaznaczyć, że właściwy jest wówczas sąd powszechny. Zgodnie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art. 8 ustawy – Prawo energetyczne, Prezes URE właściwy jest jedynie w sprawie odmowy zawarcia umowy. Rozszerzenie właściwości tego organu o wszystkie zagadnienia związane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umowami wymagałoby zagwarantowaniu mu dodatkowych środków (ok. 20 etatów) co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kolei mogłoby zostać zakwestionowane ze względu na dodatkowe wydatki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budżetu Państwa. Należy zaznaczyć, że w pierwotnej wersji projektu rozszerzono uprawnienia Prezesa URE o sprawy związane ze zmianą umów. Jednakże ze względów finansowych szybko zrezygnowano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tych rozwiązań.</w:t>
      </w:r>
      <w:r w:rsidR="00EF6F97">
        <w:rPr>
          <w:rFonts w:ascii="Times New Roman" w:hAnsi="Times New Roman" w:cs="Times New Roman"/>
          <w:sz w:val="24"/>
          <w:szCs w:val="24"/>
        </w:rPr>
        <w:t xml:space="preserve"> </w:t>
      </w:r>
      <w:r w:rsidR="004E459B" w:rsidRPr="00EF6F97">
        <w:rPr>
          <w:rFonts w:ascii="Times New Roman" w:hAnsi="Times New Roman" w:cs="Times New Roman"/>
          <w:sz w:val="24"/>
          <w:szCs w:val="24"/>
        </w:rPr>
        <w:t>Cofnięcie zaś koncesji jest instrumentem ostatecznym</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 xml:space="preserve">wiąże się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przeprowadzeniem długotrwałej procedury związanej m.in.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możliwością zaskarżenia decyzji Prezesa URE.</w:t>
      </w:r>
    </w:p>
    <w:p w14:paraId="6252E472" w14:textId="77777777" w:rsidR="004E459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459B" w:rsidRPr="00EF6F97">
        <w:rPr>
          <w:rFonts w:ascii="Times New Roman" w:hAnsi="Times New Roman" w:cs="Times New Roman"/>
          <w:sz w:val="24"/>
          <w:szCs w:val="24"/>
        </w:rPr>
        <w:t>Zaproponowane narzędzie jest więc jedynym skutecznym środkiem, który może zapobiec ww. procederom a którego celem jest interes publiczny ora</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ochrona uzasadnionego interesu konsumenta</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jego prywatności.</w:t>
      </w:r>
    </w:p>
    <w:p w14:paraId="2112E546" w14:textId="77777777" w:rsidR="00C146D2" w:rsidRPr="00EF6F97" w:rsidRDefault="00C146D2" w:rsidP="00215A1D">
      <w:pPr>
        <w:spacing w:line="360" w:lineRule="auto"/>
        <w:jc w:val="both"/>
        <w:rPr>
          <w:rFonts w:ascii="Times New Roman" w:hAnsi="Times New Roman" w:cs="Times New Roman"/>
          <w:sz w:val="24"/>
          <w:szCs w:val="24"/>
        </w:rPr>
      </w:pPr>
    </w:p>
    <w:p w14:paraId="6CF26B92" w14:textId="77777777" w:rsidR="00FF172C"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0483F" w:rsidRPr="00EF6F97">
        <w:rPr>
          <w:rFonts w:ascii="Times New Roman" w:hAnsi="Times New Roman" w:cs="Times New Roman"/>
          <w:sz w:val="24"/>
          <w:szCs w:val="24"/>
        </w:rPr>
        <w:t>Ad. 12</w:t>
      </w:r>
      <w:r w:rsidR="00FF172C" w:rsidRPr="00EF6F97">
        <w:rPr>
          <w:rFonts w:ascii="Times New Roman" w:hAnsi="Times New Roman" w:cs="Times New Roman"/>
          <w:sz w:val="24"/>
          <w:szCs w:val="24"/>
        </w:rPr>
        <w:t xml:space="preserve">. Zmiany ustawy - Prawo energetyczne dokonane ustawą o </w:t>
      </w:r>
      <w:r w:rsidR="001D0628">
        <w:rPr>
          <w:rFonts w:ascii="Times New Roman" w:hAnsi="Times New Roman" w:cs="Times New Roman"/>
          <w:sz w:val="24"/>
          <w:szCs w:val="24"/>
        </w:rPr>
        <w:t>z </w:t>
      </w:r>
      <w:r w:rsidR="00FF172C" w:rsidRPr="00EF6F97">
        <w:rPr>
          <w:rFonts w:ascii="Times New Roman" w:hAnsi="Times New Roman" w:cs="Times New Roman"/>
          <w:sz w:val="24"/>
          <w:szCs w:val="24"/>
        </w:rPr>
        <w:t>dnia 23 września 2016</w:t>
      </w:r>
      <w:r w:rsidR="001D0628">
        <w:rPr>
          <w:rFonts w:ascii="Times New Roman" w:hAnsi="Times New Roman" w:cs="Times New Roman"/>
          <w:sz w:val="24"/>
          <w:szCs w:val="24"/>
        </w:rPr>
        <w:t> r.</w:t>
      </w:r>
      <w:r w:rsidR="00FF172C" w:rsidRPr="00EF6F97">
        <w:rPr>
          <w:rFonts w:ascii="Times New Roman" w:hAnsi="Times New Roman" w:cs="Times New Roman"/>
          <w:sz w:val="24"/>
          <w:szCs w:val="24"/>
        </w:rPr>
        <w:t xml:space="preserve"> o pozasądowym rozwiązywaniu sporów konsumenckich (D z. U. </w:t>
      </w:r>
      <w:r w:rsidR="001D0628">
        <w:rPr>
          <w:rFonts w:ascii="Times New Roman" w:hAnsi="Times New Roman" w:cs="Times New Roman"/>
          <w:sz w:val="24"/>
          <w:szCs w:val="24"/>
        </w:rPr>
        <w:t>z </w:t>
      </w:r>
      <w:r w:rsidR="00FF172C" w:rsidRPr="00EF6F97">
        <w:rPr>
          <w:rFonts w:ascii="Times New Roman" w:hAnsi="Times New Roman" w:cs="Times New Roman"/>
          <w:sz w:val="24"/>
          <w:szCs w:val="24"/>
        </w:rPr>
        <w:t>2016</w:t>
      </w:r>
      <w:r w:rsidR="001D0628">
        <w:rPr>
          <w:rFonts w:ascii="Times New Roman" w:hAnsi="Times New Roman" w:cs="Times New Roman"/>
          <w:sz w:val="24"/>
          <w:szCs w:val="24"/>
        </w:rPr>
        <w:t> r.</w:t>
      </w:r>
      <w:r w:rsidR="00FF172C" w:rsidRPr="00EF6F97">
        <w:rPr>
          <w:rFonts w:ascii="Times New Roman" w:hAnsi="Times New Roman" w:cs="Times New Roman"/>
          <w:sz w:val="24"/>
          <w:szCs w:val="24"/>
        </w:rPr>
        <w:t xml:space="preserve"> poz. 1823) wprowadziły instytucję Koordynatora do spraw negocjacji czyli podmiotu prowadzącego postępowania w sprawie pozasądowego rozwiązywania sporów konsumenckich (dalej „postępowania ADR") </w:t>
      </w:r>
      <w:r w:rsidR="001D0628">
        <w:rPr>
          <w:rFonts w:ascii="Times New Roman" w:hAnsi="Times New Roman" w:cs="Times New Roman"/>
          <w:sz w:val="24"/>
          <w:szCs w:val="24"/>
        </w:rPr>
        <w:t>z </w:t>
      </w:r>
      <w:r w:rsidR="00FF172C" w:rsidRPr="00EF6F97">
        <w:rPr>
          <w:rFonts w:ascii="Times New Roman" w:hAnsi="Times New Roman" w:cs="Times New Roman"/>
          <w:sz w:val="24"/>
          <w:szCs w:val="24"/>
        </w:rPr>
        <w:t xml:space="preserve">zakresu objętego regulacją ustawy - Prawo energetyczne. Jak wynika </w:t>
      </w:r>
      <w:r w:rsidR="001D0628">
        <w:rPr>
          <w:rFonts w:ascii="Times New Roman" w:hAnsi="Times New Roman" w:cs="Times New Roman"/>
          <w:sz w:val="24"/>
          <w:szCs w:val="24"/>
        </w:rPr>
        <w:t>z </w:t>
      </w:r>
      <w:r w:rsidR="00FF172C" w:rsidRPr="00EF6F97">
        <w:rPr>
          <w:rFonts w:ascii="Times New Roman" w:hAnsi="Times New Roman" w:cs="Times New Roman"/>
          <w:sz w:val="24"/>
          <w:szCs w:val="24"/>
        </w:rPr>
        <w:t>postanowień przepisów Rozdziału 4a tej ustawy, Koordynator działa przy regulatorze energetycznym (art. 31a ust. 1), który zapewnia mu obsługę organizacyjną (art. 31c ust. 8). W konsekwencji powyższych przepisów, tylko Koordynator może prowadzić postępowania w sprawach pozasądowego rozwiązywania sporów, natomiast część czynności o charakterze sprawozdawczo</w:t>
      </w:r>
      <w:r w:rsidR="00E52CF7" w:rsidRPr="00EF6F97">
        <w:rPr>
          <w:rFonts w:ascii="Times New Roman" w:hAnsi="Times New Roman" w:cs="Times New Roman"/>
          <w:sz w:val="24"/>
          <w:szCs w:val="24"/>
        </w:rPr>
        <w:t xml:space="preserve"> </w:t>
      </w:r>
      <w:r w:rsidR="00FF172C" w:rsidRPr="00EF6F97">
        <w:rPr>
          <w:rFonts w:ascii="Times New Roman" w:hAnsi="Times New Roman" w:cs="Times New Roman"/>
          <w:sz w:val="24"/>
          <w:szCs w:val="24"/>
        </w:rPr>
        <w:t>-</w:t>
      </w:r>
      <w:r w:rsidR="00E52CF7" w:rsidRPr="00EF6F97">
        <w:rPr>
          <w:rFonts w:ascii="Times New Roman" w:hAnsi="Times New Roman" w:cs="Times New Roman"/>
          <w:sz w:val="24"/>
          <w:szCs w:val="24"/>
        </w:rPr>
        <w:t xml:space="preserve"> </w:t>
      </w:r>
      <w:r w:rsidR="00FF172C" w:rsidRPr="00EF6F97">
        <w:rPr>
          <w:rFonts w:ascii="Times New Roman" w:hAnsi="Times New Roman" w:cs="Times New Roman"/>
          <w:sz w:val="24"/>
          <w:szCs w:val="24"/>
        </w:rPr>
        <w:t>organizacyjnym mogą pełnić pracownicy urzędu „oddelegowani" do obsługi Koordynatora. Tymczasem, mimo stosunkowo krótkiego okresu obowiązywania powyższych przepisów, zainteresowanie pozasądowym rozwiązaniem sporów prze</w:t>
      </w:r>
      <w:r w:rsidR="001D0628">
        <w:rPr>
          <w:rFonts w:ascii="Times New Roman" w:hAnsi="Times New Roman" w:cs="Times New Roman"/>
          <w:sz w:val="24"/>
          <w:szCs w:val="24"/>
        </w:rPr>
        <w:t>z </w:t>
      </w:r>
      <w:r w:rsidR="00FF172C" w:rsidRPr="00EF6F97">
        <w:rPr>
          <w:rFonts w:ascii="Times New Roman" w:hAnsi="Times New Roman" w:cs="Times New Roman"/>
          <w:sz w:val="24"/>
          <w:szCs w:val="24"/>
        </w:rPr>
        <w:t xml:space="preserve">Koordynatora przy regulatorze energetycznym jest bardzo duże, o czym świadczy wzrastająca liczba wpływających wniosków. Dla skuteczności działania Koordynatora umożliwiono prowadzenie postępowań ADR także osobom zajmującym się obsługą Koordynatora. W tym celu uzupełniono przepisów Rozdziału 4a Prawa energetycznego, wzorując się na rozwiązaniach przyjętych w art. 16f ustawy </w:t>
      </w:r>
      <w:r w:rsidR="001D0628">
        <w:rPr>
          <w:rFonts w:ascii="Times New Roman" w:hAnsi="Times New Roman" w:cs="Times New Roman"/>
          <w:sz w:val="24"/>
          <w:szCs w:val="24"/>
        </w:rPr>
        <w:t>z </w:t>
      </w:r>
      <w:r w:rsidR="00FF172C" w:rsidRPr="00EF6F97">
        <w:rPr>
          <w:rFonts w:ascii="Times New Roman" w:hAnsi="Times New Roman" w:cs="Times New Roman"/>
          <w:sz w:val="24"/>
          <w:szCs w:val="24"/>
        </w:rPr>
        <w:t>dnia 28 marca 2003</w:t>
      </w:r>
      <w:r w:rsidR="001D0628">
        <w:rPr>
          <w:rFonts w:ascii="Times New Roman" w:hAnsi="Times New Roman" w:cs="Times New Roman"/>
          <w:sz w:val="24"/>
          <w:szCs w:val="24"/>
        </w:rPr>
        <w:t> r.</w:t>
      </w:r>
      <w:r w:rsidR="00FF172C" w:rsidRPr="00EF6F97">
        <w:rPr>
          <w:rFonts w:ascii="Times New Roman" w:hAnsi="Times New Roman" w:cs="Times New Roman"/>
          <w:sz w:val="24"/>
          <w:szCs w:val="24"/>
        </w:rPr>
        <w:t xml:space="preserve"> o transporcie kolejowym (Dz.U. </w:t>
      </w:r>
      <w:r w:rsidR="001D0628">
        <w:rPr>
          <w:rFonts w:ascii="Times New Roman" w:hAnsi="Times New Roman" w:cs="Times New Roman"/>
          <w:sz w:val="24"/>
          <w:szCs w:val="24"/>
        </w:rPr>
        <w:t>z </w:t>
      </w:r>
      <w:r w:rsidR="00FF172C" w:rsidRPr="00EF6F97">
        <w:rPr>
          <w:rFonts w:ascii="Times New Roman" w:hAnsi="Times New Roman" w:cs="Times New Roman"/>
          <w:sz w:val="24"/>
          <w:szCs w:val="24"/>
        </w:rPr>
        <w:t>2016</w:t>
      </w:r>
      <w:r w:rsidR="001D0628">
        <w:rPr>
          <w:rFonts w:ascii="Times New Roman" w:hAnsi="Times New Roman" w:cs="Times New Roman"/>
          <w:sz w:val="24"/>
          <w:szCs w:val="24"/>
        </w:rPr>
        <w:t> r.</w:t>
      </w:r>
      <w:r w:rsidR="00FF172C" w:rsidRPr="00EF6F97">
        <w:rPr>
          <w:rFonts w:ascii="Times New Roman" w:hAnsi="Times New Roman" w:cs="Times New Roman"/>
          <w:sz w:val="24"/>
          <w:szCs w:val="24"/>
        </w:rPr>
        <w:t xml:space="preserve"> poz. 1727) umożliwiających Rzecznikowi Praw Pasażera Kolei („odpowiednikowi" </w:t>
      </w:r>
      <w:r w:rsidR="00FF172C" w:rsidRPr="00EF6F97">
        <w:rPr>
          <w:rFonts w:ascii="Times New Roman" w:hAnsi="Times New Roman" w:cs="Times New Roman"/>
          <w:sz w:val="24"/>
          <w:szCs w:val="24"/>
        </w:rPr>
        <w:lastRenderedPageBreak/>
        <w:t xml:space="preserve">Koordynatora) wykonywanie zadań przy pomocy zespołu, którego członkowie prowadzą postępowania. </w:t>
      </w:r>
    </w:p>
    <w:p w14:paraId="2B15A246" w14:textId="77777777" w:rsidR="004B2E7F" w:rsidRPr="00EF6F97" w:rsidRDefault="004B2E7F" w:rsidP="00215A1D">
      <w:pPr>
        <w:spacing w:line="360" w:lineRule="auto"/>
        <w:jc w:val="both"/>
        <w:rPr>
          <w:rFonts w:ascii="Times New Roman" w:hAnsi="Times New Roman" w:cs="Times New Roman"/>
          <w:sz w:val="24"/>
          <w:szCs w:val="24"/>
        </w:rPr>
      </w:pPr>
    </w:p>
    <w:p w14:paraId="77FF0FFF" w14:textId="77777777" w:rsidR="00BD2E7C"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74EEF" w:rsidRPr="00EF6F97">
        <w:rPr>
          <w:rFonts w:ascii="Times New Roman" w:hAnsi="Times New Roman" w:cs="Times New Roman"/>
          <w:sz w:val="24"/>
          <w:szCs w:val="24"/>
        </w:rPr>
        <w:t xml:space="preserve">Ad. </w:t>
      </w:r>
      <w:r w:rsidR="00F909E9" w:rsidRPr="00EF6F97">
        <w:rPr>
          <w:rFonts w:ascii="Times New Roman" w:hAnsi="Times New Roman" w:cs="Times New Roman"/>
          <w:sz w:val="24"/>
          <w:szCs w:val="24"/>
        </w:rPr>
        <w:t>1</w:t>
      </w:r>
      <w:r w:rsidR="00D0483F" w:rsidRPr="00EF6F97">
        <w:rPr>
          <w:rFonts w:ascii="Times New Roman" w:hAnsi="Times New Roman" w:cs="Times New Roman"/>
          <w:sz w:val="24"/>
          <w:szCs w:val="24"/>
        </w:rPr>
        <w:t>3</w:t>
      </w:r>
      <w:r w:rsidR="004B2E7F" w:rsidRPr="00EF6F97">
        <w:rPr>
          <w:rFonts w:ascii="Times New Roman" w:hAnsi="Times New Roman" w:cs="Times New Roman"/>
          <w:sz w:val="24"/>
          <w:szCs w:val="24"/>
        </w:rPr>
        <w:t xml:space="preserve">. </w:t>
      </w:r>
      <w:r w:rsidR="00BD2E7C" w:rsidRPr="00EF6F97">
        <w:rPr>
          <w:rFonts w:ascii="Times New Roman" w:hAnsi="Times New Roman" w:cs="Times New Roman"/>
          <w:sz w:val="24"/>
          <w:szCs w:val="24"/>
        </w:rPr>
        <w:t xml:space="preserve">Zgodnie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art. 38 ustawy – Prawo energetyczne, udzielenie koncesji może być uzależnione od złożenia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wnioskodawcę zabezpieczenia majątkowego w celu zaspokojenia roszczeń osób trzecich, mogących powstać wskutek niewłaściwego prowadzenia działalności objętej koncesją, w tym szkód w środowisku. </w:t>
      </w:r>
    </w:p>
    <w:p w14:paraId="0F15AF2A" w14:textId="77777777" w:rsidR="00BD2E7C" w:rsidRPr="00EF6F97" w:rsidRDefault="00BD2E7C"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Instytucja zabezpieczenia jest szczególnie istotna w przypadku koncesji na obrót paliwami</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energią, w sytuacji, gdy podmiot ubiegający się o udzielenie koncesji nie dysponuje żadną infrastrukturą. Zasadne jest określenie zasad stosowania instytucji zabezpieczenia majątkowego. Mając jednocześnie na uwadze, że doprecyzowanie czy też w zasadzie określenie ww. zasad będzie miało istotny wpływ na prawa</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obowiązki przedsiębiorców, realizacja tego postulatu powinna zostać zrealizowana przepisami ustawy. </w:t>
      </w:r>
    </w:p>
    <w:p w14:paraId="4DED85BF" w14:textId="77777777" w:rsidR="00BD2E7C"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BD2E7C" w:rsidRPr="00EF6F97">
        <w:rPr>
          <w:rFonts w:ascii="Times New Roman" w:hAnsi="Times New Roman" w:cs="Times New Roman"/>
          <w:sz w:val="24"/>
          <w:szCs w:val="24"/>
        </w:rPr>
        <w:t>Proponuje się dodanie do obowiązującego art. 38 ustawy – Prawo energetyczne dodatkowych przepisów, mających na celu uregulowanie zasad dotyczących ustanawianych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Prezesa URE zabezpieczeń majątkowych, które będą dotyczyć wszystkich rodzajów działalności koncesjonowanej. W szczególności istotne jest ograniczenie zakresu podmiotów mogących być gwarantami do osób wpisanych do wykazu gwarantów, o którym mowa w art. 52 ustawy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dnia 19 marca 2004</w:t>
      </w:r>
      <w:r w:rsidR="001D0628">
        <w:rPr>
          <w:rFonts w:ascii="Times New Roman" w:hAnsi="Times New Roman" w:cs="Times New Roman"/>
          <w:sz w:val="24"/>
          <w:szCs w:val="24"/>
        </w:rPr>
        <w:t> r.</w:t>
      </w:r>
      <w:r w:rsidR="00BD2E7C" w:rsidRPr="00EF6F97">
        <w:rPr>
          <w:rFonts w:ascii="Times New Roman" w:hAnsi="Times New Roman" w:cs="Times New Roman"/>
          <w:sz w:val="24"/>
          <w:szCs w:val="24"/>
        </w:rPr>
        <w:t xml:space="preserve"> - Prawo celne (Dz. U.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2018</w:t>
      </w:r>
      <w:r w:rsidR="001D0628">
        <w:rPr>
          <w:rFonts w:ascii="Times New Roman" w:hAnsi="Times New Roman" w:cs="Times New Roman"/>
          <w:sz w:val="24"/>
          <w:szCs w:val="24"/>
        </w:rPr>
        <w:t> r.</w:t>
      </w:r>
      <w:r w:rsidR="00BD2E7C" w:rsidRPr="00EF6F97">
        <w:rPr>
          <w:rFonts w:ascii="Times New Roman" w:hAnsi="Times New Roman" w:cs="Times New Roman"/>
          <w:sz w:val="24"/>
          <w:szCs w:val="24"/>
        </w:rPr>
        <w:t xml:space="preserve"> poz. 167,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późn. zm.). Honorowanie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organ koncesyjny zabezpieczeń majątkowych udzielanych wyłącznie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podmioty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listy zweryfikowanej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Ministra Finansów przy współpracy Komisji</w:t>
      </w:r>
      <w:r w:rsidR="00EF6F97">
        <w:rPr>
          <w:rFonts w:ascii="Times New Roman" w:hAnsi="Times New Roman" w:cs="Times New Roman"/>
          <w:sz w:val="24"/>
          <w:szCs w:val="24"/>
        </w:rPr>
        <w:t xml:space="preserve"> </w:t>
      </w:r>
      <w:r w:rsidR="00BD2E7C" w:rsidRPr="00EF6F97">
        <w:rPr>
          <w:rFonts w:ascii="Times New Roman" w:hAnsi="Times New Roman" w:cs="Times New Roman"/>
          <w:sz w:val="24"/>
          <w:szCs w:val="24"/>
        </w:rPr>
        <w:t>Nadzoru Finansowego, przyczyni się do poprawy bezpieczeństwa obrotu energią</w:t>
      </w:r>
      <w:r w:rsidR="001D0628">
        <w:rPr>
          <w:rFonts w:ascii="Times New Roman" w:hAnsi="Times New Roman" w:cs="Times New Roman"/>
          <w:sz w:val="24"/>
          <w:szCs w:val="24"/>
        </w:rPr>
        <w:t xml:space="preserve"> i </w:t>
      </w:r>
      <w:r w:rsidR="00BD2E7C" w:rsidRPr="00EF6F97">
        <w:rPr>
          <w:rFonts w:ascii="Times New Roman" w:hAnsi="Times New Roman" w:cs="Times New Roman"/>
          <w:sz w:val="24"/>
          <w:szCs w:val="24"/>
        </w:rPr>
        <w:t xml:space="preserve">paliwami, w tym bezpieczeństwa osób trzecich, które mogą wystąpić do przedsiębiorstw energetycznych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ewentualnymi roszczeniami. Obecnie w świetle art. 38 organ koncesyjny jest obowiązany honorować zabezpieczenia majątkowe udzielane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dowolne podmioty.</w:t>
      </w:r>
    </w:p>
    <w:p w14:paraId="2C30BFAA" w14:textId="77777777" w:rsidR="00BD2E7C"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BD2E7C" w:rsidRPr="00EF6F97">
        <w:rPr>
          <w:rFonts w:ascii="Times New Roman" w:hAnsi="Times New Roman" w:cs="Times New Roman"/>
          <w:sz w:val="24"/>
          <w:szCs w:val="24"/>
        </w:rPr>
        <w:t>Proponuje się także wprowadzenie minimalnego progu takiego zabezpieczenia ora</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określenie przesłanek, które umożliwią Prezesowi URE zwolnienie koncesjonariusza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utrzymywania tego zabezpieczenia. Celem przedstawionego poniżej rozwiązania jest zapewnienie, iż działalność koncesjonowana będzie wykonywana wyłącznie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podmioty dysponujące odpowiednimi środkami finansowymi gwarantującymi prawidłowe wykonywanie działalności koncesjonowanej, dla których nie jest wymagane złożenie zabezpieczenia majątkowego albo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podmioty, którym odpowiednia instytucja finansowa lub ubezpieczeniowa udzieli zabezpieczenia majątkowego w określonej wysokości. </w:t>
      </w:r>
    </w:p>
    <w:p w14:paraId="653596FA" w14:textId="77777777" w:rsidR="00B91A50"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BD2E7C" w:rsidRPr="00EF6F97">
        <w:rPr>
          <w:rFonts w:ascii="Times New Roman" w:hAnsi="Times New Roman" w:cs="Times New Roman"/>
          <w:sz w:val="24"/>
          <w:szCs w:val="24"/>
        </w:rPr>
        <w:t xml:space="preserve">Proponowane przepisy w większości punktów zbieżne są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istniejącymi już przepisami </w:t>
      </w:r>
      <w:r w:rsidR="00BD2E7C" w:rsidRPr="00EF6F97">
        <w:rPr>
          <w:rFonts w:ascii="Times New Roman" w:hAnsi="Times New Roman" w:cs="Times New Roman"/>
          <w:sz w:val="24"/>
          <w:szCs w:val="24"/>
        </w:rPr>
        <w:lastRenderedPageBreak/>
        <w:t>art. 38a-38g ustawy – Prawo energetyczne dotyczącymi zabezpieczeń majątkowych dla działalności w zakresie wytwarzania paliw ciekłych ora</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obrotu paliwami ciekłymi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zagranicą.</w:t>
      </w:r>
    </w:p>
    <w:p w14:paraId="53EDD3D4" w14:textId="77777777" w:rsidR="00D719A0" w:rsidRPr="00EF6F97" w:rsidRDefault="00D719A0" w:rsidP="00215A1D">
      <w:pPr>
        <w:spacing w:line="360" w:lineRule="auto"/>
        <w:jc w:val="both"/>
        <w:rPr>
          <w:rFonts w:ascii="Times New Roman" w:hAnsi="Times New Roman" w:cs="Times New Roman"/>
          <w:sz w:val="24"/>
          <w:szCs w:val="24"/>
        </w:rPr>
      </w:pPr>
    </w:p>
    <w:p w14:paraId="65E45224" w14:textId="77777777" w:rsidR="00D719A0"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0483F" w:rsidRPr="00EF6F97">
        <w:rPr>
          <w:rFonts w:ascii="Times New Roman" w:hAnsi="Times New Roman" w:cs="Times New Roman"/>
          <w:sz w:val="24"/>
          <w:szCs w:val="24"/>
        </w:rPr>
        <w:t>Ad. 14</w:t>
      </w:r>
      <w:r w:rsidR="00B25FE4" w:rsidRPr="00EF6F97">
        <w:rPr>
          <w:rFonts w:ascii="Times New Roman" w:hAnsi="Times New Roman" w:cs="Times New Roman"/>
          <w:sz w:val="24"/>
          <w:szCs w:val="24"/>
        </w:rPr>
        <w:t xml:space="preserve">. W sprawozdaniu </w:t>
      </w:r>
      <w:r w:rsidR="001D0628">
        <w:rPr>
          <w:rFonts w:ascii="Times New Roman" w:hAnsi="Times New Roman" w:cs="Times New Roman"/>
          <w:sz w:val="24"/>
          <w:szCs w:val="24"/>
        </w:rPr>
        <w:t>z </w:t>
      </w:r>
      <w:r w:rsidR="00B25FE4" w:rsidRPr="00EF6F97">
        <w:rPr>
          <w:rFonts w:ascii="Times New Roman" w:hAnsi="Times New Roman" w:cs="Times New Roman"/>
          <w:sz w:val="24"/>
          <w:szCs w:val="24"/>
        </w:rPr>
        <w:t>działalności Prezesa URE za 2017</w:t>
      </w:r>
      <w:r w:rsidR="001D0628">
        <w:rPr>
          <w:rFonts w:ascii="Times New Roman" w:hAnsi="Times New Roman" w:cs="Times New Roman"/>
          <w:sz w:val="24"/>
          <w:szCs w:val="24"/>
        </w:rPr>
        <w:t> r.</w:t>
      </w:r>
      <w:r w:rsidR="00B25FE4" w:rsidRPr="00EF6F97">
        <w:rPr>
          <w:rFonts w:ascii="Times New Roman" w:hAnsi="Times New Roman" w:cs="Times New Roman"/>
          <w:sz w:val="24"/>
          <w:szCs w:val="24"/>
        </w:rPr>
        <w:t xml:space="preserve"> na str. 20 czytamy: </w:t>
      </w:r>
      <w:r w:rsidR="00B25FE4" w:rsidRPr="00EF6F97">
        <w:rPr>
          <w:rFonts w:ascii="Times New Roman" w:hAnsi="Times New Roman" w:cs="Times New Roman"/>
          <w:i/>
          <w:sz w:val="24"/>
          <w:szCs w:val="24"/>
        </w:rPr>
        <w:t xml:space="preserve">Ustawa – Prawo energetyczne w art. 3 definiuje uczestnika rynku odwołując się do definicji uczestnika rynku zawartej w art. 2 pkt 7 rozporządzenia REMIT. Należy natomiast zauważyć, że w myśl rozporządzenia REMIT „uczestnik rynku” oznacza każdą osobę, w tym operatorów systemów przesyłowych, która przeprowadza transakcje, obejmujące składanie zleceń, na co najmniej jednym hurtowym rynku energii. </w:t>
      </w:r>
      <w:r w:rsidR="001D0628">
        <w:rPr>
          <w:rFonts w:ascii="Times New Roman" w:hAnsi="Times New Roman" w:cs="Times New Roman"/>
          <w:i/>
          <w:sz w:val="24"/>
          <w:szCs w:val="24"/>
        </w:rPr>
        <w:t>Z </w:t>
      </w:r>
      <w:r w:rsidR="00B25FE4" w:rsidRPr="00EF6F97">
        <w:rPr>
          <w:rFonts w:ascii="Times New Roman" w:hAnsi="Times New Roman" w:cs="Times New Roman"/>
          <w:i/>
          <w:sz w:val="24"/>
          <w:szCs w:val="24"/>
        </w:rPr>
        <w:t>kolei „osoba” oznacza osobę fizyczną lub prawną. Natomiast przepisy prawa polskiego (kodeks cywilny ora</w:t>
      </w:r>
      <w:r w:rsidR="001D0628">
        <w:rPr>
          <w:rFonts w:ascii="Times New Roman" w:hAnsi="Times New Roman" w:cs="Times New Roman"/>
          <w:i/>
          <w:sz w:val="24"/>
          <w:szCs w:val="24"/>
        </w:rPr>
        <w:t>z </w:t>
      </w:r>
      <w:r w:rsidR="00B25FE4" w:rsidRPr="00EF6F97">
        <w:rPr>
          <w:rFonts w:ascii="Times New Roman" w:hAnsi="Times New Roman" w:cs="Times New Roman"/>
          <w:i/>
          <w:sz w:val="24"/>
          <w:szCs w:val="24"/>
        </w:rPr>
        <w:t xml:space="preserve">ustawa – Prawo energetyczne) rozróżniają następujące podmioty: osobę fizyczną, osobę prawną lub jednostkę organizacyjną nieposiadającą osobowości prawnej. Wydaje się, że literalne brzmienie ww. definicji uczestnika rynku może wyłączyć spod nadzoru przewidzianego w rozporządzeniu REMIT grupę podmiotów na polskim hurtowym rynku energii, które nie są osobami fizycznymi lub osobami prawnymi w rozumieniu prawa krajowego. W związku </w:t>
      </w:r>
      <w:r w:rsidR="001D0628">
        <w:rPr>
          <w:rFonts w:ascii="Times New Roman" w:hAnsi="Times New Roman" w:cs="Times New Roman"/>
          <w:i/>
          <w:sz w:val="24"/>
          <w:szCs w:val="24"/>
        </w:rPr>
        <w:t>z </w:t>
      </w:r>
      <w:r w:rsidR="00B25FE4" w:rsidRPr="00EF6F97">
        <w:rPr>
          <w:rFonts w:ascii="Times New Roman" w:hAnsi="Times New Roman" w:cs="Times New Roman"/>
          <w:i/>
          <w:sz w:val="24"/>
          <w:szCs w:val="24"/>
        </w:rPr>
        <w:t xml:space="preserve">powyższym wydaje się zasadne doprecyzowanie definicji uczestnika rynku biorąc pod uwagę specyfikę krajowych przepisów prawa. </w:t>
      </w:r>
      <w:r w:rsidR="00B25FE4" w:rsidRPr="00EF6F97">
        <w:rPr>
          <w:rFonts w:ascii="Times New Roman" w:hAnsi="Times New Roman" w:cs="Times New Roman"/>
          <w:sz w:val="24"/>
          <w:szCs w:val="24"/>
        </w:rPr>
        <w:t>Zaproponowana w projekcie ustawy zmiana definicji uczestnika rynku wychodzi naprzeciw temu postulatowi.</w:t>
      </w:r>
    </w:p>
    <w:p w14:paraId="03301F06" w14:textId="77777777" w:rsidR="009F245A" w:rsidRPr="00EF6F97" w:rsidRDefault="009F245A" w:rsidP="00215A1D">
      <w:pPr>
        <w:spacing w:line="360" w:lineRule="auto"/>
        <w:jc w:val="both"/>
        <w:rPr>
          <w:rFonts w:ascii="Times New Roman" w:hAnsi="Times New Roman" w:cs="Times New Roman"/>
          <w:sz w:val="24"/>
          <w:szCs w:val="24"/>
        </w:rPr>
      </w:pPr>
    </w:p>
    <w:p w14:paraId="6822EAE4" w14:textId="77777777" w:rsidR="00531055" w:rsidRPr="00EF6F97" w:rsidRDefault="00173903" w:rsidP="00215A1D">
      <w:pPr>
        <w:spacing w:line="360" w:lineRule="auto"/>
        <w:jc w:val="both"/>
        <w:rPr>
          <w:rFonts w:ascii="Times New Roman" w:hAnsi="Times New Roman" w:cs="Times New Roman"/>
          <w:i/>
          <w:sz w:val="24"/>
          <w:szCs w:val="24"/>
        </w:rPr>
      </w:pPr>
      <w:r w:rsidRPr="00EF6F97">
        <w:rPr>
          <w:rFonts w:ascii="Times New Roman" w:hAnsi="Times New Roman" w:cs="Times New Roman"/>
          <w:sz w:val="24"/>
          <w:szCs w:val="24"/>
        </w:rPr>
        <w:tab/>
      </w:r>
      <w:r w:rsidR="00D0483F" w:rsidRPr="00EF6F97">
        <w:rPr>
          <w:rFonts w:ascii="Times New Roman" w:hAnsi="Times New Roman" w:cs="Times New Roman"/>
          <w:sz w:val="24"/>
          <w:szCs w:val="24"/>
        </w:rPr>
        <w:t>Ad. 15</w:t>
      </w:r>
      <w:r w:rsidR="009F245A" w:rsidRPr="00EF6F97">
        <w:rPr>
          <w:rFonts w:ascii="Times New Roman" w:hAnsi="Times New Roman" w:cs="Times New Roman"/>
          <w:sz w:val="24"/>
          <w:szCs w:val="24"/>
        </w:rPr>
        <w:t xml:space="preserve">. </w:t>
      </w:r>
      <w:r w:rsidR="00531055" w:rsidRPr="00EF6F97">
        <w:rPr>
          <w:rFonts w:ascii="Times New Roman" w:hAnsi="Times New Roman" w:cs="Times New Roman"/>
          <w:sz w:val="24"/>
          <w:szCs w:val="24"/>
        </w:rPr>
        <w:t xml:space="preserve">Na str. 316 Sprawozdania </w:t>
      </w:r>
      <w:r w:rsidR="001D0628">
        <w:rPr>
          <w:rFonts w:ascii="Times New Roman" w:hAnsi="Times New Roman" w:cs="Times New Roman"/>
          <w:sz w:val="24"/>
          <w:szCs w:val="24"/>
        </w:rPr>
        <w:t>z </w:t>
      </w:r>
      <w:r w:rsidR="00531055" w:rsidRPr="00EF6F97">
        <w:rPr>
          <w:rFonts w:ascii="Times New Roman" w:hAnsi="Times New Roman" w:cs="Times New Roman"/>
          <w:sz w:val="24"/>
          <w:szCs w:val="24"/>
        </w:rPr>
        <w:t>działalności Prezesa URE w 2017</w:t>
      </w:r>
      <w:r w:rsidR="001D0628">
        <w:rPr>
          <w:rFonts w:ascii="Times New Roman" w:hAnsi="Times New Roman" w:cs="Times New Roman"/>
          <w:sz w:val="24"/>
          <w:szCs w:val="24"/>
        </w:rPr>
        <w:t> r.</w:t>
      </w:r>
      <w:r w:rsidR="00531055" w:rsidRPr="00EF6F97">
        <w:rPr>
          <w:rFonts w:ascii="Times New Roman" w:hAnsi="Times New Roman" w:cs="Times New Roman"/>
          <w:sz w:val="24"/>
          <w:szCs w:val="24"/>
        </w:rPr>
        <w:t xml:space="preserve"> czytamy: </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uwagi na brak jednolitości w postępowaniu ora</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różną interpretację prze</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poszczególne spółki obrotu art. 5 ust. 6e ustawy – Prawo energetyczne, w kontekście dostarczania</w:t>
      </w:r>
      <w:r w:rsidR="001D0628">
        <w:rPr>
          <w:rFonts w:ascii="Times New Roman" w:hAnsi="Times New Roman" w:cs="Times New Roman"/>
          <w:i/>
          <w:sz w:val="24"/>
          <w:szCs w:val="24"/>
        </w:rPr>
        <w:t xml:space="preserve"> i </w:t>
      </w:r>
      <w:r w:rsidR="00531055" w:rsidRPr="00EF6F97">
        <w:rPr>
          <w:rFonts w:ascii="Times New Roman" w:hAnsi="Times New Roman" w:cs="Times New Roman"/>
          <w:i/>
          <w:sz w:val="24"/>
          <w:szCs w:val="24"/>
        </w:rPr>
        <w:t>aktualizacji prze</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 xml:space="preserve">sprzedawców Zbioru Praw Konsumenta, celowym wydaje się doprecyzowanie treści przedmiotowego artykułu, tak aby w sposób nie budzący wątpliwości, wynikał </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niego obowiązek sprzedawców do:</w:t>
      </w:r>
    </w:p>
    <w:p w14:paraId="1E9A1223" w14:textId="77777777" w:rsidR="00531055" w:rsidRPr="00215A1D" w:rsidRDefault="00531055" w:rsidP="00215A1D">
      <w:pPr>
        <w:pStyle w:val="Akapitzlist"/>
        <w:numPr>
          <w:ilvl w:val="1"/>
          <w:numId w:val="49"/>
        </w:numPr>
        <w:spacing w:after="0" w:line="360" w:lineRule="auto"/>
        <w:ind w:left="567" w:hanging="338"/>
        <w:jc w:val="both"/>
        <w:rPr>
          <w:rFonts w:ascii="Times New Roman" w:hAnsi="Times New Roman"/>
          <w:i/>
          <w:sz w:val="24"/>
          <w:szCs w:val="24"/>
        </w:rPr>
      </w:pPr>
      <w:r w:rsidRPr="00215A1D">
        <w:rPr>
          <w:rFonts w:ascii="Times New Roman" w:hAnsi="Times New Roman"/>
          <w:i/>
          <w:sz w:val="24"/>
          <w:szCs w:val="24"/>
        </w:rPr>
        <w:t xml:space="preserve">dostarczenia odbiorcom w gospodarstwie domowym Zbioru Praw Konsumenta </w:t>
      </w:r>
      <w:r w:rsidR="001D0628">
        <w:rPr>
          <w:rFonts w:ascii="Times New Roman" w:hAnsi="Times New Roman"/>
          <w:i/>
          <w:sz w:val="24"/>
          <w:szCs w:val="24"/>
        </w:rPr>
        <w:t>z </w:t>
      </w:r>
      <w:r w:rsidRPr="00215A1D">
        <w:rPr>
          <w:rFonts w:ascii="Times New Roman" w:hAnsi="Times New Roman"/>
          <w:i/>
          <w:sz w:val="24"/>
          <w:szCs w:val="24"/>
        </w:rPr>
        <w:t xml:space="preserve">aktualnym stanem prawnym na dzień dostarczenia, </w:t>
      </w:r>
    </w:p>
    <w:p w14:paraId="17B68303" w14:textId="77777777" w:rsidR="00531055" w:rsidRPr="00215A1D" w:rsidRDefault="00531055" w:rsidP="00215A1D">
      <w:pPr>
        <w:pStyle w:val="Akapitzlist"/>
        <w:numPr>
          <w:ilvl w:val="1"/>
          <w:numId w:val="49"/>
        </w:numPr>
        <w:spacing w:after="0" w:line="360" w:lineRule="auto"/>
        <w:ind w:left="567" w:hanging="338"/>
        <w:jc w:val="both"/>
        <w:rPr>
          <w:rFonts w:ascii="Times New Roman" w:hAnsi="Times New Roman"/>
          <w:i/>
          <w:sz w:val="24"/>
          <w:szCs w:val="24"/>
        </w:rPr>
      </w:pPr>
      <w:r w:rsidRPr="00215A1D">
        <w:rPr>
          <w:rFonts w:ascii="Times New Roman" w:hAnsi="Times New Roman"/>
          <w:i/>
          <w:sz w:val="24"/>
          <w:szCs w:val="24"/>
        </w:rPr>
        <w:t>w przypadku aktualizacji Zbioru Praw Konsumenta – dostarczenia odbiorcom w gospodarstwie domowym informacji o zakresie aktualizacji ora</w:t>
      </w:r>
      <w:r w:rsidR="001D0628">
        <w:rPr>
          <w:rFonts w:ascii="Times New Roman" w:hAnsi="Times New Roman"/>
          <w:i/>
          <w:sz w:val="24"/>
          <w:szCs w:val="24"/>
        </w:rPr>
        <w:t>z </w:t>
      </w:r>
      <w:r w:rsidRPr="00215A1D">
        <w:rPr>
          <w:rFonts w:ascii="Times New Roman" w:hAnsi="Times New Roman"/>
          <w:i/>
          <w:sz w:val="24"/>
          <w:szCs w:val="24"/>
        </w:rPr>
        <w:t xml:space="preserve">miejscu, gdzie mogą zapoznać się </w:t>
      </w:r>
      <w:r w:rsidR="001D0628">
        <w:rPr>
          <w:rFonts w:ascii="Times New Roman" w:hAnsi="Times New Roman"/>
          <w:i/>
          <w:sz w:val="24"/>
          <w:szCs w:val="24"/>
        </w:rPr>
        <w:t>z </w:t>
      </w:r>
      <w:r w:rsidRPr="00215A1D">
        <w:rPr>
          <w:rFonts w:ascii="Times New Roman" w:hAnsi="Times New Roman"/>
          <w:i/>
          <w:sz w:val="24"/>
          <w:szCs w:val="24"/>
        </w:rPr>
        <w:t>przedmiotowym dokumentem ujednoliconym do aktualnego stanu prawnego,</w:t>
      </w:r>
    </w:p>
    <w:p w14:paraId="4FCCC9B4" w14:textId="77777777" w:rsidR="00531055" w:rsidRPr="00215A1D" w:rsidRDefault="00531055" w:rsidP="00215A1D">
      <w:pPr>
        <w:pStyle w:val="Akapitzlist"/>
        <w:numPr>
          <w:ilvl w:val="1"/>
          <w:numId w:val="49"/>
        </w:numPr>
        <w:spacing w:after="0" w:line="360" w:lineRule="auto"/>
        <w:ind w:left="567" w:hanging="338"/>
        <w:jc w:val="both"/>
        <w:rPr>
          <w:rFonts w:ascii="Times New Roman" w:hAnsi="Times New Roman"/>
          <w:i/>
          <w:sz w:val="24"/>
          <w:szCs w:val="24"/>
        </w:rPr>
      </w:pPr>
      <w:r w:rsidRPr="00215A1D">
        <w:rPr>
          <w:rFonts w:ascii="Times New Roman" w:hAnsi="Times New Roman"/>
          <w:i/>
          <w:sz w:val="24"/>
          <w:szCs w:val="24"/>
        </w:rPr>
        <w:t xml:space="preserve">zapewnienia publicznego dostępu do Zbioru Praw Konsumenta </w:t>
      </w:r>
      <w:r w:rsidR="001D0628">
        <w:rPr>
          <w:rFonts w:ascii="Times New Roman" w:hAnsi="Times New Roman"/>
          <w:i/>
          <w:sz w:val="24"/>
          <w:szCs w:val="24"/>
        </w:rPr>
        <w:t>z </w:t>
      </w:r>
      <w:r w:rsidRPr="00215A1D">
        <w:rPr>
          <w:rFonts w:ascii="Times New Roman" w:hAnsi="Times New Roman"/>
          <w:i/>
          <w:sz w:val="24"/>
          <w:szCs w:val="24"/>
        </w:rPr>
        <w:t>aktualnym stanem prawnym.</w:t>
      </w:r>
    </w:p>
    <w:p w14:paraId="7E62E065" w14:textId="77777777" w:rsidR="009F245A"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i/>
          <w:sz w:val="24"/>
          <w:szCs w:val="24"/>
        </w:rPr>
        <w:tab/>
      </w:r>
      <w:r w:rsidR="00531055" w:rsidRPr="00EF6F97">
        <w:rPr>
          <w:rFonts w:ascii="Times New Roman" w:hAnsi="Times New Roman" w:cs="Times New Roman"/>
          <w:i/>
          <w:sz w:val="24"/>
          <w:szCs w:val="24"/>
        </w:rPr>
        <w:t>Celem wzmocnienia pozycji regulatora</w:t>
      </w:r>
      <w:r w:rsidR="001D0628">
        <w:rPr>
          <w:rFonts w:ascii="Times New Roman" w:hAnsi="Times New Roman" w:cs="Times New Roman"/>
          <w:i/>
          <w:sz w:val="24"/>
          <w:szCs w:val="24"/>
        </w:rPr>
        <w:t xml:space="preserve"> i </w:t>
      </w:r>
      <w:r w:rsidR="00531055" w:rsidRPr="00EF6F97">
        <w:rPr>
          <w:rFonts w:ascii="Times New Roman" w:hAnsi="Times New Roman" w:cs="Times New Roman"/>
          <w:i/>
          <w:sz w:val="24"/>
          <w:szCs w:val="24"/>
        </w:rPr>
        <w:t xml:space="preserve">możliwości realnego egzekwowania od </w:t>
      </w:r>
      <w:r w:rsidR="00531055" w:rsidRPr="00EF6F97">
        <w:rPr>
          <w:rFonts w:ascii="Times New Roman" w:hAnsi="Times New Roman" w:cs="Times New Roman"/>
          <w:i/>
          <w:sz w:val="24"/>
          <w:szCs w:val="24"/>
        </w:rPr>
        <w:lastRenderedPageBreak/>
        <w:t>przedsiębiorstw energetycznych wykonywania obowiązku nałożonego na nich prze</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ustawodawcę w art. 5 ust. 6e ustawy – Prawo energetyczne, zasadnym byłoby uzupełnienie obowiązujących przepisów ustawy – Prawo energetyczne artykułem penalizującym w przypadku nie wykonywania prze</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 xml:space="preserve">spółki obrotu obowiązku wynikającego </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art. 5 ust. 6e tejże ustawy, zarówno w odniesieniu do dostarczania odbiorcom aktualizacji Zbioru Praw Konsumenta, jak</w:t>
      </w:r>
      <w:r w:rsidR="001D0628">
        <w:rPr>
          <w:rFonts w:ascii="Times New Roman" w:hAnsi="Times New Roman" w:cs="Times New Roman"/>
          <w:i/>
          <w:sz w:val="24"/>
          <w:szCs w:val="24"/>
        </w:rPr>
        <w:t xml:space="preserve"> i </w:t>
      </w:r>
      <w:r w:rsidR="00531055" w:rsidRPr="00EF6F97">
        <w:rPr>
          <w:rFonts w:ascii="Times New Roman" w:hAnsi="Times New Roman" w:cs="Times New Roman"/>
          <w:i/>
          <w:sz w:val="24"/>
          <w:szCs w:val="24"/>
        </w:rPr>
        <w:t>zapewniania jego publicznego dostępu.</w:t>
      </w:r>
      <w:r w:rsidR="00531055" w:rsidRPr="00EF6F97">
        <w:rPr>
          <w:rFonts w:ascii="Times New Roman" w:hAnsi="Times New Roman" w:cs="Times New Roman"/>
          <w:sz w:val="24"/>
          <w:szCs w:val="24"/>
        </w:rPr>
        <w:t xml:space="preserve"> </w:t>
      </w:r>
    </w:p>
    <w:p w14:paraId="32477303" w14:textId="77777777" w:rsidR="00531055"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31055" w:rsidRPr="00EF6F97">
        <w:rPr>
          <w:rFonts w:ascii="Times New Roman" w:hAnsi="Times New Roman" w:cs="Times New Roman"/>
          <w:sz w:val="24"/>
          <w:szCs w:val="24"/>
        </w:rPr>
        <w:t xml:space="preserve">Jakkolwiek nałożenie obowiązku dostarczania odbiorcy końcowemu aktualnego stanu prawnego mogłoby się wiązać </w:t>
      </w:r>
      <w:r w:rsidR="001D0628">
        <w:rPr>
          <w:rFonts w:ascii="Times New Roman" w:hAnsi="Times New Roman" w:cs="Times New Roman"/>
          <w:sz w:val="24"/>
          <w:szCs w:val="24"/>
        </w:rPr>
        <w:t>z </w:t>
      </w:r>
      <w:r w:rsidR="00531055" w:rsidRPr="00EF6F97">
        <w:rPr>
          <w:rFonts w:ascii="Times New Roman" w:hAnsi="Times New Roman" w:cs="Times New Roman"/>
          <w:sz w:val="24"/>
          <w:szCs w:val="24"/>
        </w:rPr>
        <w:t>wysokimi kosztami po stronie spółek, które to w ostateczności</w:t>
      </w:r>
      <w:r w:rsidR="001D0628">
        <w:rPr>
          <w:rFonts w:ascii="Times New Roman" w:hAnsi="Times New Roman" w:cs="Times New Roman"/>
          <w:sz w:val="24"/>
          <w:szCs w:val="24"/>
        </w:rPr>
        <w:t xml:space="preserve"> i </w:t>
      </w:r>
      <w:r w:rsidR="00531055" w:rsidRPr="00EF6F97">
        <w:rPr>
          <w:rFonts w:ascii="Times New Roman" w:hAnsi="Times New Roman" w:cs="Times New Roman"/>
          <w:sz w:val="24"/>
          <w:szCs w:val="24"/>
        </w:rPr>
        <w:t xml:space="preserve">tak byłyby przeniesione w taryfie na tego odbiorcę, to obowiązek publikacji aktualnego stanu prawnego jest trafnym rozwiązaniem, które </w:t>
      </w:r>
      <w:r w:rsidR="00127DFB" w:rsidRPr="00EF6F97">
        <w:rPr>
          <w:rFonts w:ascii="Times New Roman" w:hAnsi="Times New Roman" w:cs="Times New Roman"/>
          <w:sz w:val="24"/>
          <w:szCs w:val="24"/>
        </w:rPr>
        <w:t xml:space="preserve">przyczyni się do pogłębienia świadomości odbiorcy końcowego na temat jego praw. </w:t>
      </w:r>
    </w:p>
    <w:p w14:paraId="7A13F85A" w14:textId="77777777" w:rsidR="001963DF" w:rsidRPr="00EF6F97" w:rsidRDefault="001963DF" w:rsidP="00215A1D">
      <w:pPr>
        <w:spacing w:line="360" w:lineRule="auto"/>
        <w:jc w:val="both"/>
        <w:rPr>
          <w:rFonts w:ascii="Times New Roman" w:hAnsi="Times New Roman" w:cs="Times New Roman"/>
          <w:sz w:val="24"/>
          <w:szCs w:val="24"/>
        </w:rPr>
      </w:pPr>
    </w:p>
    <w:p w14:paraId="6B2B92B9" w14:textId="77777777" w:rsidR="001963DF"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0483F" w:rsidRPr="00EF6F97">
        <w:rPr>
          <w:rFonts w:ascii="Times New Roman" w:hAnsi="Times New Roman" w:cs="Times New Roman"/>
          <w:sz w:val="24"/>
          <w:szCs w:val="24"/>
        </w:rPr>
        <w:t>Ad. 16</w:t>
      </w:r>
      <w:r w:rsidR="001963DF" w:rsidRPr="00EF6F97">
        <w:rPr>
          <w:rFonts w:ascii="Times New Roman" w:hAnsi="Times New Roman" w:cs="Times New Roman"/>
          <w:sz w:val="24"/>
          <w:szCs w:val="24"/>
        </w:rPr>
        <w:t xml:space="preserve">. </w:t>
      </w:r>
      <w:r w:rsidR="00457B28" w:rsidRPr="00EF6F97">
        <w:rPr>
          <w:rFonts w:ascii="Times New Roman" w:hAnsi="Times New Roman" w:cs="Times New Roman"/>
          <w:sz w:val="24"/>
          <w:szCs w:val="24"/>
        </w:rPr>
        <w:t xml:space="preserve">Na stronie 317 Sprawozdania </w:t>
      </w:r>
      <w:r w:rsidR="001D0628">
        <w:rPr>
          <w:rFonts w:ascii="Times New Roman" w:hAnsi="Times New Roman" w:cs="Times New Roman"/>
          <w:sz w:val="24"/>
          <w:szCs w:val="24"/>
        </w:rPr>
        <w:t>z </w:t>
      </w:r>
      <w:r w:rsidR="00457B28" w:rsidRPr="00EF6F97">
        <w:rPr>
          <w:rFonts w:ascii="Times New Roman" w:hAnsi="Times New Roman" w:cs="Times New Roman"/>
          <w:sz w:val="24"/>
          <w:szCs w:val="24"/>
        </w:rPr>
        <w:t>działalności Prezesa URE w 2017</w:t>
      </w:r>
      <w:r w:rsidR="001D0628">
        <w:rPr>
          <w:rFonts w:ascii="Times New Roman" w:hAnsi="Times New Roman" w:cs="Times New Roman"/>
          <w:sz w:val="24"/>
          <w:szCs w:val="24"/>
        </w:rPr>
        <w:t> r.</w:t>
      </w:r>
      <w:r w:rsidR="00457B28" w:rsidRPr="00EF6F97">
        <w:rPr>
          <w:rFonts w:ascii="Times New Roman" w:hAnsi="Times New Roman" w:cs="Times New Roman"/>
          <w:sz w:val="24"/>
          <w:szCs w:val="24"/>
        </w:rPr>
        <w:t xml:space="preserve"> czytamy: </w:t>
      </w:r>
      <w:r w:rsidR="00457B28" w:rsidRPr="00EF6F97">
        <w:rPr>
          <w:rFonts w:ascii="Times New Roman" w:hAnsi="Times New Roman" w:cs="Times New Roman"/>
          <w:i/>
          <w:sz w:val="24"/>
          <w:szCs w:val="24"/>
        </w:rPr>
        <w:t>Należy także wskazać, że takie same logo OSD ora</w:t>
      </w:r>
      <w:r w:rsidR="001D0628">
        <w:rPr>
          <w:rFonts w:ascii="Times New Roman" w:hAnsi="Times New Roman" w:cs="Times New Roman"/>
          <w:i/>
          <w:sz w:val="24"/>
          <w:szCs w:val="24"/>
        </w:rPr>
        <w:t>z </w:t>
      </w:r>
      <w:r w:rsidR="00457B28" w:rsidRPr="00EF6F97">
        <w:rPr>
          <w:rFonts w:ascii="Times New Roman" w:hAnsi="Times New Roman" w:cs="Times New Roman"/>
          <w:i/>
          <w:sz w:val="24"/>
          <w:szCs w:val="24"/>
        </w:rPr>
        <w:t xml:space="preserve">podobna nazwa w odniesieniu do spółki obrotu wchodzącej w skład tej samej, co OSD </w:t>
      </w:r>
      <w:r w:rsidR="001D0628">
        <w:rPr>
          <w:rFonts w:ascii="Times New Roman" w:hAnsi="Times New Roman" w:cs="Times New Roman"/>
          <w:i/>
          <w:sz w:val="24"/>
          <w:szCs w:val="24"/>
        </w:rPr>
        <w:t>z </w:t>
      </w:r>
      <w:r w:rsidR="00457B28" w:rsidRPr="00EF6F97">
        <w:rPr>
          <w:rFonts w:ascii="Times New Roman" w:hAnsi="Times New Roman" w:cs="Times New Roman"/>
          <w:i/>
          <w:sz w:val="24"/>
          <w:szCs w:val="24"/>
        </w:rPr>
        <w:t xml:space="preserve">grupy kapitałowej, wprowadzają odbiorców w błąd, co do niezależności OSD. Ponadto dotychczasowa praktyka niezasadnie premiuje spółkę obrotu </w:t>
      </w:r>
      <w:r w:rsidR="001D0628">
        <w:rPr>
          <w:rFonts w:ascii="Times New Roman" w:hAnsi="Times New Roman" w:cs="Times New Roman"/>
          <w:i/>
          <w:sz w:val="24"/>
          <w:szCs w:val="24"/>
        </w:rPr>
        <w:t>z </w:t>
      </w:r>
      <w:r w:rsidR="00457B28" w:rsidRPr="00EF6F97">
        <w:rPr>
          <w:rFonts w:ascii="Times New Roman" w:hAnsi="Times New Roman" w:cs="Times New Roman"/>
          <w:i/>
          <w:sz w:val="24"/>
          <w:szCs w:val="24"/>
        </w:rPr>
        <w:t>grupy kapitałowej OSD, poprze</w:t>
      </w:r>
      <w:r w:rsidR="001D0628">
        <w:rPr>
          <w:rFonts w:ascii="Times New Roman" w:hAnsi="Times New Roman" w:cs="Times New Roman"/>
          <w:i/>
          <w:sz w:val="24"/>
          <w:szCs w:val="24"/>
        </w:rPr>
        <w:t>z </w:t>
      </w:r>
      <w:r w:rsidR="00457B28" w:rsidRPr="00EF6F97">
        <w:rPr>
          <w:rFonts w:ascii="Times New Roman" w:hAnsi="Times New Roman" w:cs="Times New Roman"/>
          <w:i/>
          <w:sz w:val="24"/>
          <w:szCs w:val="24"/>
        </w:rPr>
        <w:t xml:space="preserve">sugerowanie, że właśnie ten sprzedawca w najlepszym stopniu zapewni bezpieczeństwo dostaw energii lub paliw gazowych do odbiorcy. Regulator jest zatem za odrębnym logo OSD funkcjonującym w przedsiębiorstwie zintegrowanym pionowo. </w:t>
      </w:r>
      <w:r w:rsidR="00457B28" w:rsidRPr="00EF6F97">
        <w:rPr>
          <w:rFonts w:ascii="Times New Roman" w:hAnsi="Times New Roman" w:cs="Times New Roman"/>
          <w:sz w:val="24"/>
          <w:szCs w:val="24"/>
        </w:rPr>
        <w:t>Po</w:t>
      </w:r>
      <w:r w:rsidR="00E52CF7" w:rsidRPr="00EF6F97">
        <w:rPr>
          <w:rFonts w:ascii="Times New Roman" w:hAnsi="Times New Roman" w:cs="Times New Roman"/>
          <w:sz w:val="24"/>
          <w:szCs w:val="24"/>
        </w:rPr>
        <w:t xml:space="preserve">nadto, w świetle art. 26 ust. 3 </w:t>
      </w:r>
      <w:r w:rsidR="00457B28" w:rsidRPr="00EF6F97">
        <w:rPr>
          <w:rFonts w:ascii="Times New Roman" w:hAnsi="Times New Roman" w:cs="Times New Roman"/>
          <w:sz w:val="24"/>
          <w:szCs w:val="24"/>
        </w:rPr>
        <w:t>dyrektywy Parlamentu Europejskieg</w:t>
      </w:r>
      <w:r w:rsidR="00E52CF7" w:rsidRPr="00EF6F97">
        <w:rPr>
          <w:rFonts w:ascii="Times New Roman" w:hAnsi="Times New Roman" w:cs="Times New Roman"/>
          <w:sz w:val="24"/>
          <w:szCs w:val="24"/>
        </w:rPr>
        <w:t>o</w:t>
      </w:r>
      <w:r w:rsidR="001D0628">
        <w:rPr>
          <w:rFonts w:ascii="Times New Roman" w:hAnsi="Times New Roman" w:cs="Times New Roman"/>
          <w:sz w:val="24"/>
          <w:szCs w:val="24"/>
        </w:rPr>
        <w:t xml:space="preserve"> i </w:t>
      </w:r>
      <w:r w:rsidR="00E52CF7" w:rsidRPr="00EF6F97">
        <w:rPr>
          <w:rFonts w:ascii="Times New Roman" w:hAnsi="Times New Roman" w:cs="Times New Roman"/>
          <w:sz w:val="24"/>
          <w:szCs w:val="24"/>
        </w:rPr>
        <w:t xml:space="preserve">Rady 2009/72/WE </w:t>
      </w:r>
      <w:r w:rsidR="001D0628">
        <w:rPr>
          <w:rFonts w:ascii="Times New Roman" w:hAnsi="Times New Roman" w:cs="Times New Roman"/>
          <w:sz w:val="24"/>
          <w:szCs w:val="24"/>
        </w:rPr>
        <w:t>z </w:t>
      </w:r>
      <w:r w:rsidR="00E52CF7" w:rsidRPr="00EF6F97">
        <w:rPr>
          <w:rFonts w:ascii="Times New Roman" w:hAnsi="Times New Roman" w:cs="Times New Roman"/>
          <w:sz w:val="24"/>
          <w:szCs w:val="24"/>
        </w:rPr>
        <w:t xml:space="preserve">dnia 13 lipca </w:t>
      </w:r>
      <w:r w:rsidR="00457B28" w:rsidRPr="00EF6F97">
        <w:rPr>
          <w:rFonts w:ascii="Times New Roman" w:hAnsi="Times New Roman" w:cs="Times New Roman"/>
          <w:sz w:val="24"/>
          <w:szCs w:val="24"/>
        </w:rPr>
        <w:t>2009</w:t>
      </w:r>
      <w:r w:rsidR="001D0628">
        <w:rPr>
          <w:rFonts w:ascii="Times New Roman" w:hAnsi="Times New Roman" w:cs="Times New Roman"/>
          <w:sz w:val="24"/>
          <w:szCs w:val="24"/>
        </w:rPr>
        <w:t> r.</w:t>
      </w:r>
      <w:r w:rsidR="00457B28" w:rsidRPr="00EF6F97">
        <w:rPr>
          <w:rFonts w:ascii="Times New Roman" w:hAnsi="Times New Roman" w:cs="Times New Roman"/>
          <w:sz w:val="24"/>
          <w:szCs w:val="24"/>
        </w:rPr>
        <w:t xml:space="preserve"> dotyczącej wspólnych zasad rynku wewnęt</w:t>
      </w:r>
      <w:r w:rsidR="00E52CF7" w:rsidRPr="00EF6F97">
        <w:rPr>
          <w:rFonts w:ascii="Times New Roman" w:hAnsi="Times New Roman" w:cs="Times New Roman"/>
          <w:sz w:val="24"/>
          <w:szCs w:val="24"/>
        </w:rPr>
        <w:t>rznego energii elektrycznej</w:t>
      </w:r>
      <w:r w:rsidR="001D0628">
        <w:rPr>
          <w:rFonts w:ascii="Times New Roman" w:hAnsi="Times New Roman" w:cs="Times New Roman"/>
          <w:sz w:val="24"/>
          <w:szCs w:val="24"/>
        </w:rPr>
        <w:t xml:space="preserve"> i </w:t>
      </w:r>
      <w:r w:rsidR="00E52CF7" w:rsidRPr="00EF6F97">
        <w:rPr>
          <w:rFonts w:ascii="Times New Roman" w:hAnsi="Times New Roman" w:cs="Times New Roman"/>
          <w:sz w:val="24"/>
          <w:szCs w:val="24"/>
        </w:rPr>
        <w:t xml:space="preserve">uchylającej dyrektywę </w:t>
      </w:r>
      <w:r w:rsidR="00457B28" w:rsidRPr="00EF6F97">
        <w:rPr>
          <w:rFonts w:ascii="Times New Roman" w:hAnsi="Times New Roman" w:cs="Times New Roman"/>
          <w:sz w:val="24"/>
          <w:szCs w:val="24"/>
        </w:rPr>
        <w:t>2003/54/WE</w:t>
      </w:r>
      <w:r w:rsidR="00457B28" w:rsidRPr="00EF6F97">
        <w:rPr>
          <w:rFonts w:ascii="Times New Roman" w:hAnsi="Times New Roman" w:cs="Times New Roman"/>
          <w:i/>
          <w:sz w:val="24"/>
          <w:szCs w:val="24"/>
        </w:rPr>
        <w:t xml:space="preserve"> w szczególności pionowo zintegrowani operatorzy systemu dystrybucyjnego nie mogą powodować — w zakresie komunikacji i</w:t>
      </w:r>
      <w:r w:rsidR="00EF6F97">
        <w:rPr>
          <w:rFonts w:ascii="Times New Roman" w:hAnsi="Times New Roman" w:cs="Times New Roman"/>
          <w:i/>
          <w:sz w:val="24"/>
          <w:szCs w:val="24"/>
        </w:rPr>
        <w:t xml:space="preserve"> </w:t>
      </w:r>
      <w:r w:rsidR="00457B28" w:rsidRPr="00EF6F97">
        <w:rPr>
          <w:rFonts w:ascii="Times New Roman" w:hAnsi="Times New Roman" w:cs="Times New Roman"/>
          <w:i/>
          <w:sz w:val="24"/>
          <w:szCs w:val="24"/>
        </w:rPr>
        <w:t>marki — nieporozumień w</w:t>
      </w:r>
      <w:r w:rsidR="00EF6F97">
        <w:rPr>
          <w:rFonts w:ascii="Times New Roman" w:hAnsi="Times New Roman" w:cs="Times New Roman"/>
          <w:i/>
          <w:sz w:val="24"/>
          <w:szCs w:val="24"/>
        </w:rPr>
        <w:t xml:space="preserve"> </w:t>
      </w:r>
      <w:r w:rsidR="00457B28" w:rsidRPr="00EF6F97">
        <w:rPr>
          <w:rFonts w:ascii="Times New Roman" w:hAnsi="Times New Roman" w:cs="Times New Roman"/>
          <w:i/>
          <w:sz w:val="24"/>
          <w:szCs w:val="24"/>
        </w:rPr>
        <w:t xml:space="preserve">odniesieniu do odrębnej tożsamości części przedsiębiorstwa zintegrowanego pionowo zajmującej się dostawami. </w:t>
      </w:r>
      <w:r w:rsidR="00457B28" w:rsidRPr="00EF6F97">
        <w:rPr>
          <w:rFonts w:ascii="Times New Roman" w:hAnsi="Times New Roman" w:cs="Times New Roman"/>
          <w:sz w:val="24"/>
          <w:szCs w:val="24"/>
        </w:rPr>
        <w:t xml:space="preserve">Wprowadzenie przepisu, zgodnie </w:t>
      </w:r>
      <w:r w:rsidR="001D0628">
        <w:rPr>
          <w:rFonts w:ascii="Times New Roman" w:hAnsi="Times New Roman" w:cs="Times New Roman"/>
          <w:sz w:val="24"/>
          <w:szCs w:val="24"/>
        </w:rPr>
        <w:t>z </w:t>
      </w:r>
      <w:r w:rsidR="00457B28" w:rsidRPr="00EF6F97">
        <w:rPr>
          <w:rFonts w:ascii="Times New Roman" w:hAnsi="Times New Roman" w:cs="Times New Roman"/>
          <w:sz w:val="24"/>
          <w:szCs w:val="24"/>
        </w:rPr>
        <w:t>którym znak towarowy OSD będącego częścią przedsiębiorstwa zintegrowanego pionowo nie będzie mógł wprowadzać w błąd co do odrębnej tożsamości sprzedawcy będącego częścią tego samego przedsię</w:t>
      </w:r>
      <w:r w:rsidR="009F245A" w:rsidRPr="00EF6F97">
        <w:rPr>
          <w:rFonts w:ascii="Times New Roman" w:hAnsi="Times New Roman" w:cs="Times New Roman"/>
          <w:sz w:val="24"/>
          <w:szCs w:val="24"/>
        </w:rPr>
        <w:t>biorstwa zintegrowanego pionowo stanowi zatem wypełnienie postulatu zawartego w ww. Sprawozdaniu ora</w:t>
      </w:r>
      <w:r w:rsidR="001D0628">
        <w:rPr>
          <w:rFonts w:ascii="Times New Roman" w:hAnsi="Times New Roman" w:cs="Times New Roman"/>
          <w:sz w:val="24"/>
          <w:szCs w:val="24"/>
        </w:rPr>
        <w:t>z </w:t>
      </w:r>
      <w:r w:rsidR="009F245A" w:rsidRPr="00EF6F97">
        <w:rPr>
          <w:rFonts w:ascii="Times New Roman" w:hAnsi="Times New Roman" w:cs="Times New Roman"/>
          <w:sz w:val="24"/>
          <w:szCs w:val="24"/>
        </w:rPr>
        <w:t>normy określonej w ww. dyrektywie.</w:t>
      </w:r>
      <w:r w:rsidR="00A40AA9" w:rsidRPr="00EF6F97">
        <w:rPr>
          <w:rFonts w:ascii="Times New Roman" w:hAnsi="Times New Roman" w:cs="Times New Roman"/>
          <w:sz w:val="24"/>
          <w:szCs w:val="24"/>
        </w:rPr>
        <w:t xml:space="preserve"> Dodatkowo, wprowadzono przepis przejściowy – 1 rok – na dostosowanie loga </w:t>
      </w:r>
      <w:r w:rsidR="001E3CCC" w:rsidRPr="00EF6F97">
        <w:rPr>
          <w:rFonts w:ascii="Times New Roman" w:hAnsi="Times New Roman" w:cs="Times New Roman"/>
          <w:sz w:val="24"/>
          <w:szCs w:val="24"/>
        </w:rPr>
        <w:t>prze</w:t>
      </w:r>
      <w:r w:rsidR="001D0628">
        <w:rPr>
          <w:rFonts w:ascii="Times New Roman" w:hAnsi="Times New Roman" w:cs="Times New Roman"/>
          <w:sz w:val="24"/>
          <w:szCs w:val="24"/>
        </w:rPr>
        <w:t>z </w:t>
      </w:r>
      <w:r w:rsidR="00A40AA9" w:rsidRPr="00EF6F97">
        <w:rPr>
          <w:rFonts w:ascii="Times New Roman" w:hAnsi="Times New Roman" w:cs="Times New Roman"/>
          <w:sz w:val="24"/>
          <w:szCs w:val="24"/>
        </w:rPr>
        <w:t>OSD.</w:t>
      </w:r>
    </w:p>
    <w:p w14:paraId="01A8B122" w14:textId="77777777" w:rsidR="009A1099" w:rsidRPr="00EF6F97" w:rsidRDefault="009A1099" w:rsidP="00EF6F97">
      <w:pPr>
        <w:spacing w:line="360" w:lineRule="auto"/>
        <w:jc w:val="both"/>
        <w:rPr>
          <w:rFonts w:ascii="Times New Roman" w:hAnsi="Times New Roman" w:cs="Times New Roman"/>
          <w:sz w:val="24"/>
        </w:rPr>
      </w:pPr>
    </w:p>
    <w:p w14:paraId="3FA00472" w14:textId="77777777" w:rsidR="009A1099" w:rsidRPr="00EF6F97" w:rsidRDefault="00173903" w:rsidP="00EF6F97">
      <w:pPr>
        <w:spacing w:line="360" w:lineRule="auto"/>
        <w:jc w:val="both"/>
        <w:rPr>
          <w:rFonts w:ascii="Times New Roman" w:hAnsi="Times New Roman" w:cs="Times New Roman"/>
          <w:sz w:val="24"/>
        </w:rPr>
      </w:pPr>
      <w:r w:rsidRPr="00EF6F97">
        <w:rPr>
          <w:rFonts w:ascii="Times New Roman" w:hAnsi="Times New Roman" w:cs="Times New Roman"/>
          <w:sz w:val="24"/>
        </w:rPr>
        <w:tab/>
      </w:r>
      <w:r w:rsidR="00D24A41">
        <w:rPr>
          <w:rFonts w:ascii="Times New Roman" w:hAnsi="Times New Roman" w:cs="Times New Roman"/>
          <w:sz w:val="24"/>
        </w:rPr>
        <w:t>Ad. 17</w:t>
      </w:r>
      <w:r w:rsidR="009A1099" w:rsidRPr="00EF6F97">
        <w:rPr>
          <w:rFonts w:ascii="Times New Roman" w:hAnsi="Times New Roman" w:cs="Times New Roman"/>
          <w:sz w:val="24"/>
        </w:rPr>
        <w:t>. Wprowadzenie systemowych rozwiązań w zakresie inteligentnego opomiarowania.</w:t>
      </w:r>
    </w:p>
    <w:p w14:paraId="78D771DD" w14:textId="77777777" w:rsidR="009A1099" w:rsidRPr="00215A1D" w:rsidRDefault="00D24A41" w:rsidP="00EF6F97">
      <w:pPr>
        <w:pStyle w:val="USTustnpkodeksu"/>
        <w:ind w:firstLine="0"/>
        <w:rPr>
          <w:rFonts w:ascii="Times New Roman" w:hAnsi="Times New Roman" w:cs="Times New Roman"/>
        </w:rPr>
      </w:pPr>
      <w:r>
        <w:rPr>
          <w:rFonts w:ascii="Times New Roman" w:hAnsi="Times New Roman" w:cs="Times New Roman"/>
        </w:rPr>
        <w:t>17</w:t>
      </w:r>
      <w:r w:rsidR="009A1099" w:rsidRPr="00215A1D">
        <w:rPr>
          <w:rFonts w:ascii="Times New Roman" w:hAnsi="Times New Roman" w:cs="Times New Roman"/>
        </w:rPr>
        <w:t>. 1. Wdrażane przepisy UE</w:t>
      </w:r>
      <w:r w:rsidR="001D0628">
        <w:rPr>
          <w:rFonts w:ascii="Times New Roman" w:hAnsi="Times New Roman" w:cs="Times New Roman"/>
        </w:rPr>
        <w:t xml:space="preserve"> i </w:t>
      </w:r>
      <w:r w:rsidR="009A1099" w:rsidRPr="00215A1D">
        <w:rPr>
          <w:rFonts w:ascii="Times New Roman" w:hAnsi="Times New Roman" w:cs="Times New Roman"/>
        </w:rPr>
        <w:t>potrzeba regulacji:</w:t>
      </w:r>
    </w:p>
    <w:p w14:paraId="7C381887"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lastRenderedPageBreak/>
        <w:tab/>
      </w:r>
      <w:r w:rsidR="009A1099" w:rsidRPr="00215A1D">
        <w:rPr>
          <w:rFonts w:ascii="Times New Roman" w:hAnsi="Times New Roman" w:cs="Times New Roman"/>
        </w:rPr>
        <w:t xml:space="preserve">Projektowane rozwiązania w zakresie wprowadzenia systemu inteligentnego opomiarowania zostały przygotowany w oparciu o: </w:t>
      </w:r>
      <w:r w:rsidR="009D27A5" w:rsidRPr="00215A1D">
        <w:rPr>
          <w:rFonts w:ascii="Times New Roman" w:hAnsi="Times New Roman" w:cs="Times New Roman"/>
        </w:rPr>
        <w:t>art. 19 - 24 ora</w:t>
      </w:r>
      <w:r w:rsidR="001D0628">
        <w:rPr>
          <w:rFonts w:ascii="Times New Roman" w:hAnsi="Times New Roman" w:cs="Times New Roman"/>
        </w:rPr>
        <w:t>z </w:t>
      </w:r>
      <w:r w:rsidR="009D27A5" w:rsidRPr="00215A1D">
        <w:rPr>
          <w:rFonts w:ascii="Times New Roman" w:hAnsi="Times New Roman" w:cs="Times New Roman"/>
        </w:rPr>
        <w:t>załącznik nr 2 do dyrektywy Parlamentu Europejskiego</w:t>
      </w:r>
      <w:r w:rsidR="001D0628">
        <w:rPr>
          <w:rFonts w:ascii="Times New Roman" w:hAnsi="Times New Roman" w:cs="Times New Roman"/>
        </w:rPr>
        <w:t xml:space="preserve"> i </w:t>
      </w:r>
      <w:r w:rsidR="009D27A5" w:rsidRPr="00215A1D">
        <w:rPr>
          <w:rFonts w:ascii="Times New Roman" w:hAnsi="Times New Roman" w:cs="Times New Roman"/>
        </w:rPr>
        <w:t xml:space="preserve">Rady 2019/944 </w:t>
      </w:r>
      <w:r w:rsidR="001D0628">
        <w:rPr>
          <w:rFonts w:ascii="Times New Roman" w:hAnsi="Times New Roman" w:cs="Times New Roman"/>
        </w:rPr>
        <w:t>z </w:t>
      </w:r>
      <w:r w:rsidR="009D27A5" w:rsidRPr="00215A1D">
        <w:rPr>
          <w:rFonts w:ascii="Times New Roman" w:hAnsi="Times New Roman" w:cs="Times New Roman"/>
        </w:rPr>
        <w:t>dnia 5 czerwca 2019</w:t>
      </w:r>
      <w:r w:rsidR="001D0628">
        <w:rPr>
          <w:rFonts w:ascii="Times New Roman" w:hAnsi="Times New Roman" w:cs="Times New Roman"/>
        </w:rPr>
        <w:t> r.</w:t>
      </w:r>
      <w:r w:rsidR="009D27A5" w:rsidRPr="00215A1D">
        <w:rPr>
          <w:rFonts w:ascii="Times New Roman" w:hAnsi="Times New Roman" w:cs="Times New Roman"/>
        </w:rPr>
        <w:t xml:space="preserve"> dotyczącej wspólnych zasad rynku wewnętrznego energii elektrycznej ora</w:t>
      </w:r>
      <w:r w:rsidR="001D0628">
        <w:rPr>
          <w:rFonts w:ascii="Times New Roman" w:hAnsi="Times New Roman" w:cs="Times New Roman"/>
        </w:rPr>
        <w:t>z </w:t>
      </w:r>
      <w:r w:rsidR="009D27A5" w:rsidRPr="00215A1D">
        <w:rPr>
          <w:rFonts w:ascii="Times New Roman" w:hAnsi="Times New Roman" w:cs="Times New Roman"/>
        </w:rPr>
        <w:t xml:space="preserve">zmieniająca dyrektywę 2012/27/WE (Dz. U. UE. L. 158 </w:t>
      </w:r>
      <w:r w:rsidR="001D0628">
        <w:rPr>
          <w:rFonts w:ascii="Times New Roman" w:hAnsi="Times New Roman" w:cs="Times New Roman"/>
        </w:rPr>
        <w:t>z </w:t>
      </w:r>
      <w:r w:rsidR="009D27A5" w:rsidRPr="00215A1D">
        <w:rPr>
          <w:rFonts w:ascii="Times New Roman" w:hAnsi="Times New Roman" w:cs="Times New Roman"/>
        </w:rPr>
        <w:t>14. 06. 2019, str. 125) „dyrektywą 2019/944</w:t>
      </w:r>
      <w:r w:rsidR="009A1099" w:rsidRPr="00215A1D">
        <w:rPr>
          <w:rFonts w:ascii="Times New Roman" w:hAnsi="Times New Roman" w:cs="Times New Roman"/>
        </w:rPr>
        <w:t>”,</w:t>
      </w:r>
      <w:r w:rsidR="00D975AF" w:rsidRPr="00215A1D">
        <w:rPr>
          <w:rFonts w:ascii="Times New Roman" w:hAnsi="Times New Roman" w:cs="Times New Roman"/>
        </w:rPr>
        <w:t xml:space="preserve"> ora</w:t>
      </w:r>
      <w:r w:rsidR="001D0628">
        <w:rPr>
          <w:rFonts w:ascii="Times New Roman" w:hAnsi="Times New Roman" w:cs="Times New Roman"/>
        </w:rPr>
        <w:t>z </w:t>
      </w:r>
      <w:r w:rsidR="00D975AF" w:rsidRPr="00215A1D">
        <w:rPr>
          <w:rFonts w:ascii="Times New Roman" w:hAnsi="Times New Roman" w:cs="Times New Roman"/>
        </w:rPr>
        <w:t>definicje zawarte w tej dyrektywie.</w:t>
      </w:r>
    </w:p>
    <w:p w14:paraId="0F11ECF4" w14:textId="77777777" w:rsidR="009A1099" w:rsidRPr="00215A1D" w:rsidRDefault="009A1099" w:rsidP="00EF6F97">
      <w:pPr>
        <w:pStyle w:val="USTustnpkodeksu"/>
        <w:rPr>
          <w:rFonts w:ascii="Times New Roman" w:hAnsi="Times New Roman" w:cs="Times New Roman"/>
        </w:rPr>
      </w:pPr>
      <w:r w:rsidRPr="00215A1D">
        <w:rPr>
          <w:rFonts w:ascii="Times New Roman" w:hAnsi="Times New Roman" w:cs="Times New Roman"/>
        </w:rPr>
        <w:t>W projekcie ustawy uwzględniono także zalecenia:</w:t>
      </w:r>
    </w:p>
    <w:p w14:paraId="3DBC147F" w14:textId="77777777" w:rsidR="009A1099" w:rsidRPr="00215A1D" w:rsidRDefault="009A1099" w:rsidP="00215A1D">
      <w:pPr>
        <w:pStyle w:val="PKTpunkt"/>
        <w:numPr>
          <w:ilvl w:val="0"/>
          <w:numId w:val="50"/>
        </w:numPr>
        <w:rPr>
          <w:rFonts w:ascii="Times New Roman" w:hAnsi="Times New Roman" w:cs="Times New Roman"/>
        </w:rPr>
      </w:pPr>
      <w:r w:rsidRPr="00215A1D">
        <w:rPr>
          <w:rFonts w:ascii="Times New Roman" w:hAnsi="Times New Roman" w:cs="Times New Roman"/>
        </w:rPr>
        <w:t xml:space="preserve">Komisji Europejskiej </w:t>
      </w:r>
      <w:r w:rsidR="001D0628">
        <w:rPr>
          <w:rFonts w:ascii="Times New Roman" w:hAnsi="Times New Roman" w:cs="Times New Roman"/>
        </w:rPr>
        <w:t>z </w:t>
      </w:r>
      <w:r w:rsidRPr="00215A1D">
        <w:rPr>
          <w:rFonts w:ascii="Times New Roman" w:hAnsi="Times New Roman" w:cs="Times New Roman"/>
        </w:rPr>
        <w:t>dnia 9 marca 2012</w:t>
      </w:r>
      <w:r w:rsidR="001D0628">
        <w:rPr>
          <w:rFonts w:ascii="Times New Roman" w:hAnsi="Times New Roman" w:cs="Times New Roman"/>
        </w:rPr>
        <w:t> r.</w:t>
      </w:r>
      <w:r w:rsidRPr="00215A1D">
        <w:rPr>
          <w:rFonts w:ascii="Times New Roman" w:hAnsi="Times New Roman" w:cs="Times New Roman"/>
        </w:rPr>
        <w:t xml:space="preserve"> w sprawie przygotowań do rozpowszechnienia inteligentnych systemów pomiarowych (Dz. U. UE. L. 73 </w:t>
      </w:r>
      <w:r w:rsidR="001D0628">
        <w:rPr>
          <w:rFonts w:ascii="Times New Roman" w:hAnsi="Times New Roman" w:cs="Times New Roman"/>
        </w:rPr>
        <w:t>z </w:t>
      </w:r>
      <w:r w:rsidRPr="00215A1D">
        <w:rPr>
          <w:rFonts w:ascii="Times New Roman" w:hAnsi="Times New Roman" w:cs="Times New Roman"/>
        </w:rPr>
        <w:t>9. 03. 2012, str. 9);</w:t>
      </w:r>
    </w:p>
    <w:p w14:paraId="736B2D64" w14:textId="77777777" w:rsidR="009A1099" w:rsidRPr="00215A1D" w:rsidRDefault="009A1099" w:rsidP="00215A1D">
      <w:pPr>
        <w:pStyle w:val="PKTpunkt"/>
        <w:numPr>
          <w:ilvl w:val="0"/>
          <w:numId w:val="50"/>
        </w:numPr>
        <w:rPr>
          <w:rFonts w:ascii="Times New Roman" w:hAnsi="Times New Roman" w:cs="Times New Roman"/>
        </w:rPr>
      </w:pPr>
      <w:r w:rsidRPr="00215A1D">
        <w:rPr>
          <w:rFonts w:ascii="Times New Roman" w:hAnsi="Times New Roman" w:cs="Times New Roman"/>
        </w:rPr>
        <w:t xml:space="preserve">Komisji </w:t>
      </w:r>
      <w:r w:rsidR="001D0628">
        <w:rPr>
          <w:rFonts w:ascii="Times New Roman" w:hAnsi="Times New Roman" w:cs="Times New Roman"/>
        </w:rPr>
        <w:t>z </w:t>
      </w:r>
      <w:r w:rsidRPr="00215A1D">
        <w:rPr>
          <w:rFonts w:ascii="Times New Roman" w:hAnsi="Times New Roman" w:cs="Times New Roman"/>
        </w:rPr>
        <w:t>dnia 10 października 2014</w:t>
      </w:r>
      <w:r w:rsidR="001D0628">
        <w:rPr>
          <w:rFonts w:ascii="Times New Roman" w:hAnsi="Times New Roman" w:cs="Times New Roman"/>
        </w:rPr>
        <w:t> r.</w:t>
      </w:r>
      <w:r w:rsidRPr="00215A1D">
        <w:rPr>
          <w:rFonts w:ascii="Times New Roman" w:hAnsi="Times New Roman" w:cs="Times New Roman"/>
        </w:rPr>
        <w:t xml:space="preserve"> w sprawie szablonu oceny skutków w zakresie ochrony danych na potrzeby inteligentnych sieci</w:t>
      </w:r>
      <w:r w:rsidR="001D0628">
        <w:rPr>
          <w:rFonts w:ascii="Times New Roman" w:hAnsi="Times New Roman" w:cs="Times New Roman"/>
        </w:rPr>
        <w:t xml:space="preserve"> i </w:t>
      </w:r>
      <w:r w:rsidRPr="00215A1D">
        <w:rPr>
          <w:rFonts w:ascii="Times New Roman" w:hAnsi="Times New Roman" w:cs="Times New Roman"/>
        </w:rPr>
        <w:t xml:space="preserve">inteligentnych systemów pomiarowych (Dz. U. UE. L. 300 </w:t>
      </w:r>
      <w:r w:rsidR="001D0628">
        <w:rPr>
          <w:rFonts w:ascii="Times New Roman" w:hAnsi="Times New Roman" w:cs="Times New Roman"/>
        </w:rPr>
        <w:t>z </w:t>
      </w:r>
      <w:r w:rsidRPr="00215A1D">
        <w:rPr>
          <w:rFonts w:ascii="Times New Roman" w:hAnsi="Times New Roman" w:cs="Times New Roman"/>
        </w:rPr>
        <w:t>18. 10. 2014, str. 63).</w:t>
      </w:r>
    </w:p>
    <w:p w14:paraId="71B94CB0"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Projektowane rozwiązania uwzględniają również przepisy rozporządzenia PE</w:t>
      </w:r>
      <w:r w:rsidR="001D0628">
        <w:rPr>
          <w:rFonts w:ascii="Times New Roman" w:hAnsi="Times New Roman" w:cs="Times New Roman"/>
        </w:rPr>
        <w:t xml:space="preserve"> i </w:t>
      </w:r>
      <w:r w:rsidR="009A1099" w:rsidRPr="00215A1D">
        <w:rPr>
          <w:rFonts w:ascii="Times New Roman" w:hAnsi="Times New Roman" w:cs="Times New Roman"/>
        </w:rPr>
        <w:t xml:space="preserve">Rady UE 2016/679 </w:t>
      </w:r>
      <w:r w:rsidR="001D0628">
        <w:rPr>
          <w:rFonts w:ascii="Times New Roman" w:hAnsi="Times New Roman" w:cs="Times New Roman"/>
        </w:rPr>
        <w:t>z </w:t>
      </w:r>
      <w:r w:rsidR="009A1099" w:rsidRPr="00215A1D">
        <w:rPr>
          <w:rFonts w:ascii="Times New Roman" w:hAnsi="Times New Roman" w:cs="Times New Roman"/>
        </w:rPr>
        <w:t>dnia 27 kwietnia 2016</w:t>
      </w:r>
      <w:r w:rsidR="001D0628">
        <w:rPr>
          <w:rFonts w:ascii="Times New Roman" w:hAnsi="Times New Roman" w:cs="Times New Roman"/>
        </w:rPr>
        <w:t> r.</w:t>
      </w:r>
      <w:r w:rsidR="009A1099" w:rsidRPr="00215A1D">
        <w:rPr>
          <w:rFonts w:ascii="Times New Roman" w:hAnsi="Times New Roman" w:cs="Times New Roman"/>
        </w:rPr>
        <w:t xml:space="preserve"> w sprawie ochrony osób fizycznych w związku </w:t>
      </w:r>
      <w:r w:rsidR="001D0628">
        <w:rPr>
          <w:rFonts w:ascii="Times New Roman" w:hAnsi="Times New Roman" w:cs="Times New Roman"/>
        </w:rPr>
        <w:t>z </w:t>
      </w:r>
      <w:r w:rsidR="009A1099" w:rsidRPr="00215A1D">
        <w:rPr>
          <w:rFonts w:ascii="Times New Roman" w:hAnsi="Times New Roman" w:cs="Times New Roman"/>
        </w:rPr>
        <w:t>przetwarzaniem danych osobowych</w:t>
      </w:r>
      <w:r w:rsidR="001D0628">
        <w:rPr>
          <w:rFonts w:ascii="Times New Roman" w:hAnsi="Times New Roman" w:cs="Times New Roman"/>
        </w:rPr>
        <w:t xml:space="preserve"> i </w:t>
      </w:r>
      <w:r w:rsidR="009A1099" w:rsidRPr="00215A1D">
        <w:rPr>
          <w:rFonts w:ascii="Times New Roman" w:hAnsi="Times New Roman" w:cs="Times New Roman"/>
        </w:rPr>
        <w:t>w sprawie swobodnego przepływu takich danych ora</w:t>
      </w:r>
      <w:r w:rsidR="001D0628">
        <w:rPr>
          <w:rFonts w:ascii="Times New Roman" w:hAnsi="Times New Roman" w:cs="Times New Roman"/>
        </w:rPr>
        <w:t>z </w:t>
      </w:r>
      <w:r w:rsidR="009A1099" w:rsidRPr="00215A1D">
        <w:rPr>
          <w:rFonts w:ascii="Times New Roman" w:hAnsi="Times New Roman" w:cs="Times New Roman"/>
        </w:rPr>
        <w:t xml:space="preserve">uchylania dyrektywy 95/46/WE (RODO) (Dz. Urz. UE </w:t>
      </w:r>
      <w:r w:rsidR="001D0628">
        <w:rPr>
          <w:rFonts w:ascii="Times New Roman" w:hAnsi="Times New Roman" w:cs="Times New Roman"/>
        </w:rPr>
        <w:t>z </w:t>
      </w:r>
      <w:r w:rsidR="009A1099" w:rsidRPr="00215A1D">
        <w:rPr>
          <w:rFonts w:ascii="Times New Roman" w:hAnsi="Times New Roman" w:cs="Times New Roman"/>
        </w:rPr>
        <w:t>2016</w:t>
      </w:r>
      <w:r w:rsidR="001D0628">
        <w:rPr>
          <w:rFonts w:ascii="Times New Roman" w:hAnsi="Times New Roman" w:cs="Times New Roman"/>
        </w:rPr>
        <w:t> r.</w:t>
      </w:r>
      <w:r w:rsidR="009A1099" w:rsidRPr="00215A1D">
        <w:rPr>
          <w:rFonts w:ascii="Times New Roman" w:hAnsi="Times New Roman" w:cs="Times New Roman"/>
        </w:rPr>
        <w:t xml:space="preserve"> L119/1) ora</w:t>
      </w:r>
      <w:r w:rsidR="001D0628">
        <w:rPr>
          <w:rFonts w:ascii="Times New Roman" w:hAnsi="Times New Roman" w:cs="Times New Roman"/>
        </w:rPr>
        <w:t>z </w:t>
      </w:r>
      <w:r w:rsidR="009A1099" w:rsidRPr="00215A1D">
        <w:rPr>
          <w:rFonts w:ascii="Times New Roman" w:hAnsi="Times New Roman" w:cs="Times New Roman"/>
        </w:rPr>
        <w:t xml:space="preserve">propozycje przepisów w zakresie systemu inteligentnego opomiarowania zawarte w </w:t>
      </w:r>
      <w:r w:rsidR="009D27A5" w:rsidRPr="00215A1D">
        <w:rPr>
          <w:rFonts w:ascii="Times New Roman" w:hAnsi="Times New Roman" w:cs="Times New Roman"/>
        </w:rPr>
        <w:t>dyrektywie</w:t>
      </w:r>
      <w:r w:rsidR="009A1099" w:rsidRPr="00215A1D">
        <w:rPr>
          <w:rFonts w:ascii="Times New Roman" w:hAnsi="Times New Roman" w:cs="Times New Roman"/>
        </w:rPr>
        <w:t xml:space="preserve"> </w:t>
      </w:r>
      <w:r w:rsidR="009D27A5" w:rsidRPr="00215A1D">
        <w:rPr>
          <w:rFonts w:ascii="Times New Roman" w:hAnsi="Times New Roman" w:cs="Times New Roman"/>
        </w:rPr>
        <w:t>2019/944</w:t>
      </w:r>
      <w:r w:rsidR="009A1099" w:rsidRPr="00215A1D">
        <w:rPr>
          <w:rFonts w:ascii="Times New Roman" w:hAnsi="Times New Roman" w:cs="Times New Roman"/>
        </w:rPr>
        <w:t>, a także stanowią wykonanie przyjętego w Ministerstwie Energii w październiku 2016</w:t>
      </w:r>
      <w:r w:rsidR="001D0628">
        <w:rPr>
          <w:rFonts w:ascii="Times New Roman" w:hAnsi="Times New Roman" w:cs="Times New Roman"/>
        </w:rPr>
        <w:t> r.</w:t>
      </w:r>
      <w:r w:rsidR="009A1099" w:rsidRPr="00215A1D">
        <w:rPr>
          <w:rFonts w:ascii="Times New Roman" w:hAnsi="Times New Roman" w:cs="Times New Roman"/>
        </w:rPr>
        <w:t xml:space="preserve"> Programu rozwoju inteligentnej sieci elektroenergetycznej w Polsce.</w:t>
      </w:r>
    </w:p>
    <w:p w14:paraId="6CBFE369"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Celem tych rozwiązań jest przyczynienie się do dalszego rozwoju rynku energii elektrycznej, zapewnienie odbiorcom niezakłóconego dostępu do energii elektrycznej ora</w:t>
      </w:r>
      <w:r w:rsidR="001D0628">
        <w:rPr>
          <w:rFonts w:ascii="Times New Roman" w:hAnsi="Times New Roman" w:cs="Times New Roman"/>
        </w:rPr>
        <w:t>z </w:t>
      </w:r>
      <w:r w:rsidR="009A1099" w:rsidRPr="00215A1D">
        <w:rPr>
          <w:rFonts w:ascii="Times New Roman" w:hAnsi="Times New Roman" w:cs="Times New Roman"/>
        </w:rPr>
        <w:t xml:space="preserve">możliwości rozliczenia energii elektrycznej według rzeczywistego zużycia, a także ochrona danych pomiarowych. Propozycja nadania inteligentnemu systemowi pomiarowemu w sektorze elektroenergetycznym w Polsce normatywnego charakteru wynika zarówno </w:t>
      </w:r>
      <w:r w:rsidR="001D0628">
        <w:rPr>
          <w:rFonts w:ascii="Times New Roman" w:hAnsi="Times New Roman" w:cs="Times New Roman"/>
        </w:rPr>
        <w:t>z </w:t>
      </w:r>
      <w:r w:rsidR="009A1099" w:rsidRPr="00215A1D">
        <w:rPr>
          <w:rFonts w:ascii="Times New Roman" w:hAnsi="Times New Roman" w:cs="Times New Roman"/>
        </w:rPr>
        <w:t>przesłanek formalno−prawnych jak</w:t>
      </w:r>
      <w:r w:rsidR="001D0628">
        <w:rPr>
          <w:rFonts w:ascii="Times New Roman" w:hAnsi="Times New Roman" w:cs="Times New Roman"/>
        </w:rPr>
        <w:t xml:space="preserve"> i z </w:t>
      </w:r>
      <w:r w:rsidR="009A1099" w:rsidRPr="00215A1D">
        <w:rPr>
          <w:rFonts w:ascii="Times New Roman" w:hAnsi="Times New Roman" w:cs="Times New Roman"/>
        </w:rPr>
        <w:t>szeregu potrzeb ora</w:t>
      </w:r>
      <w:r w:rsidR="001D0628">
        <w:rPr>
          <w:rFonts w:ascii="Times New Roman" w:hAnsi="Times New Roman" w:cs="Times New Roman"/>
        </w:rPr>
        <w:t>z </w:t>
      </w:r>
      <w:r w:rsidR="009A1099" w:rsidRPr="00215A1D">
        <w:rPr>
          <w:rFonts w:ascii="Times New Roman" w:hAnsi="Times New Roman" w:cs="Times New Roman"/>
        </w:rPr>
        <w:t xml:space="preserve">korzyści o charakterze faktycznym. </w:t>
      </w:r>
    </w:p>
    <w:p w14:paraId="18842D81"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Do przesłanek formalno–prawnych zaliczyć należy przede wszystkim zapewnieni</w:t>
      </w:r>
      <w:r w:rsidR="006E5528" w:rsidRPr="00215A1D">
        <w:rPr>
          <w:rFonts w:ascii="Times New Roman" w:hAnsi="Times New Roman" w:cs="Times New Roman"/>
        </w:rPr>
        <w:t>e</w:t>
      </w:r>
      <w:r w:rsidR="009A1099" w:rsidRPr="00215A1D">
        <w:rPr>
          <w:rFonts w:ascii="Times New Roman" w:hAnsi="Times New Roman" w:cs="Times New Roman"/>
        </w:rPr>
        <w:t xml:space="preserve"> realizacji celów wyn</w:t>
      </w:r>
      <w:r w:rsidR="009D27A5" w:rsidRPr="00215A1D">
        <w:rPr>
          <w:rFonts w:ascii="Times New Roman" w:hAnsi="Times New Roman" w:cs="Times New Roman"/>
        </w:rPr>
        <w:t xml:space="preserve">ikających </w:t>
      </w:r>
      <w:r w:rsidR="001D0628">
        <w:rPr>
          <w:rFonts w:ascii="Times New Roman" w:hAnsi="Times New Roman" w:cs="Times New Roman"/>
        </w:rPr>
        <w:t>z </w:t>
      </w:r>
      <w:r w:rsidR="009D27A5" w:rsidRPr="00215A1D">
        <w:rPr>
          <w:rFonts w:ascii="Times New Roman" w:hAnsi="Times New Roman" w:cs="Times New Roman"/>
        </w:rPr>
        <w:t>dyrektywy 2019/944</w:t>
      </w:r>
      <w:r w:rsidR="009A1099" w:rsidRPr="00215A1D">
        <w:rPr>
          <w:rFonts w:ascii="Times New Roman" w:hAnsi="Times New Roman" w:cs="Times New Roman"/>
        </w:rPr>
        <w:t xml:space="preserve">. Zgodnie </w:t>
      </w:r>
      <w:r w:rsidR="001D0628">
        <w:rPr>
          <w:rFonts w:ascii="Times New Roman" w:hAnsi="Times New Roman" w:cs="Times New Roman"/>
        </w:rPr>
        <w:t>z </w:t>
      </w:r>
      <w:r w:rsidR="009A1099" w:rsidRPr="00215A1D">
        <w:rPr>
          <w:rFonts w:ascii="Times New Roman" w:hAnsi="Times New Roman" w:cs="Times New Roman"/>
        </w:rPr>
        <w:t xml:space="preserve">jej przepisami – Państwa Członkowskie powinny zapewnić wdrożenie inteligentnych systemów pomiarowych, które pomagają konsumentom w aktywnym korzystaniu </w:t>
      </w:r>
      <w:r w:rsidR="001D0628">
        <w:rPr>
          <w:rFonts w:ascii="Times New Roman" w:hAnsi="Times New Roman" w:cs="Times New Roman"/>
        </w:rPr>
        <w:t>z </w:t>
      </w:r>
      <w:r w:rsidR="009A1099" w:rsidRPr="00215A1D">
        <w:rPr>
          <w:rFonts w:ascii="Times New Roman" w:hAnsi="Times New Roman" w:cs="Times New Roman"/>
        </w:rPr>
        <w:t>rynków dostaw energii elektrycznej. Wdrożenie inteligentnych systemów pomiarowych może być uzależnione od ekonomicznej oceny wszystkich długoterminowych kosztów</w:t>
      </w:r>
      <w:r w:rsidR="001D0628">
        <w:rPr>
          <w:rFonts w:ascii="Times New Roman" w:hAnsi="Times New Roman" w:cs="Times New Roman"/>
        </w:rPr>
        <w:t xml:space="preserve"> i </w:t>
      </w:r>
      <w:r w:rsidR="009A1099" w:rsidRPr="00215A1D">
        <w:rPr>
          <w:rFonts w:ascii="Times New Roman" w:hAnsi="Times New Roman" w:cs="Times New Roman"/>
        </w:rPr>
        <w:t>korzyści dla rynku ora</w:t>
      </w:r>
      <w:r w:rsidR="001D0628">
        <w:rPr>
          <w:rFonts w:ascii="Times New Roman" w:hAnsi="Times New Roman" w:cs="Times New Roman"/>
        </w:rPr>
        <w:t>z </w:t>
      </w:r>
      <w:r w:rsidR="009A1099" w:rsidRPr="00215A1D">
        <w:rPr>
          <w:rFonts w:ascii="Times New Roman" w:hAnsi="Times New Roman" w:cs="Times New Roman"/>
        </w:rPr>
        <w:t xml:space="preserve">indywidualnego konsumenta, lub od oceny, która forma inteligentnego pomiaru jest uzasadniona </w:t>
      </w:r>
      <w:r w:rsidR="001D0628">
        <w:rPr>
          <w:rFonts w:ascii="Times New Roman" w:hAnsi="Times New Roman" w:cs="Times New Roman"/>
        </w:rPr>
        <w:lastRenderedPageBreak/>
        <w:t>z </w:t>
      </w:r>
      <w:r w:rsidR="009A1099" w:rsidRPr="00215A1D">
        <w:rPr>
          <w:rFonts w:ascii="Times New Roman" w:hAnsi="Times New Roman" w:cs="Times New Roman"/>
        </w:rPr>
        <w:t>ekonomicznego punktu widzenia</w:t>
      </w:r>
      <w:r w:rsidR="001D0628">
        <w:rPr>
          <w:rFonts w:ascii="Times New Roman" w:hAnsi="Times New Roman" w:cs="Times New Roman"/>
        </w:rPr>
        <w:t xml:space="preserve"> i </w:t>
      </w:r>
      <w:r w:rsidR="009A1099" w:rsidRPr="00215A1D">
        <w:rPr>
          <w:rFonts w:ascii="Times New Roman" w:hAnsi="Times New Roman" w:cs="Times New Roman"/>
        </w:rPr>
        <w:t>najbardziej opłacalna ora</w:t>
      </w:r>
      <w:r w:rsidR="001D0628">
        <w:rPr>
          <w:rFonts w:ascii="Times New Roman" w:hAnsi="Times New Roman" w:cs="Times New Roman"/>
        </w:rPr>
        <w:t>z </w:t>
      </w:r>
      <w:r w:rsidR="009A1099" w:rsidRPr="00215A1D">
        <w:rPr>
          <w:rFonts w:ascii="Times New Roman" w:hAnsi="Times New Roman" w:cs="Times New Roman"/>
        </w:rPr>
        <w:t xml:space="preserve">w jakim czasie ich wprowadzenie jest wykonalne. </w:t>
      </w:r>
    </w:p>
    <w:p w14:paraId="21D2792B"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Zgodnie zaś </w:t>
      </w:r>
      <w:r w:rsidR="001D0628">
        <w:rPr>
          <w:rFonts w:ascii="Times New Roman" w:hAnsi="Times New Roman" w:cs="Times New Roman"/>
        </w:rPr>
        <w:t>z </w:t>
      </w:r>
      <w:r w:rsidR="009A1099" w:rsidRPr="00215A1D">
        <w:rPr>
          <w:rFonts w:ascii="Times New Roman" w:hAnsi="Times New Roman" w:cs="Times New Roman"/>
        </w:rPr>
        <w:t xml:space="preserve">zaleceniami Komisji Europejskiej </w:t>
      </w:r>
      <w:r w:rsidR="001D0628">
        <w:rPr>
          <w:rFonts w:ascii="Times New Roman" w:hAnsi="Times New Roman" w:cs="Times New Roman"/>
        </w:rPr>
        <w:t>z </w:t>
      </w:r>
      <w:r w:rsidR="009A1099" w:rsidRPr="00215A1D">
        <w:rPr>
          <w:rFonts w:ascii="Times New Roman" w:hAnsi="Times New Roman" w:cs="Times New Roman"/>
        </w:rPr>
        <w:t>dnia 9 marca 2012</w:t>
      </w:r>
      <w:r w:rsidR="001D0628">
        <w:rPr>
          <w:rFonts w:ascii="Times New Roman" w:hAnsi="Times New Roman" w:cs="Times New Roman"/>
        </w:rPr>
        <w:t> r.</w:t>
      </w:r>
      <w:r w:rsidR="009A1099" w:rsidRPr="00215A1D">
        <w:rPr>
          <w:rFonts w:ascii="Times New Roman" w:hAnsi="Times New Roman" w:cs="Times New Roman"/>
        </w:rPr>
        <w:t xml:space="preserve"> w sprawie przygotowań do rozpowszechnienia inteligentnych systemów pomiarowych, wprowadzając takie systemy należy zwrócić szczególną uwagę na bezpieczeństwo</w:t>
      </w:r>
      <w:r w:rsidR="001D0628">
        <w:rPr>
          <w:rFonts w:ascii="Times New Roman" w:hAnsi="Times New Roman" w:cs="Times New Roman"/>
        </w:rPr>
        <w:t xml:space="preserve"> i </w:t>
      </w:r>
      <w:r w:rsidR="009A1099" w:rsidRPr="00215A1D">
        <w:rPr>
          <w:rFonts w:ascii="Times New Roman" w:hAnsi="Times New Roman" w:cs="Times New Roman"/>
        </w:rPr>
        <w:t>ochronę danych osobowych przetwarzanych w ramach tych systemów.</w:t>
      </w:r>
    </w:p>
    <w:p w14:paraId="227F2F27"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W komunikacie Komisji Europejskiej do Parlamentu Europejskiego, Rady, Europejskiego Komitetu Ekonomiczno-Społecznego</w:t>
      </w:r>
      <w:r w:rsidR="001D0628">
        <w:rPr>
          <w:rFonts w:ascii="Times New Roman" w:hAnsi="Times New Roman" w:cs="Times New Roman"/>
        </w:rPr>
        <w:t xml:space="preserve"> i </w:t>
      </w:r>
      <w:r w:rsidR="009A1099" w:rsidRPr="00215A1D">
        <w:rPr>
          <w:rFonts w:ascii="Times New Roman" w:hAnsi="Times New Roman" w:cs="Times New Roman"/>
        </w:rPr>
        <w:t xml:space="preserve">Komitetu Regionów </w:t>
      </w:r>
      <w:r w:rsidR="001D0628">
        <w:rPr>
          <w:rFonts w:ascii="Times New Roman" w:hAnsi="Times New Roman" w:cs="Times New Roman"/>
        </w:rPr>
        <w:t>z </w:t>
      </w:r>
      <w:r w:rsidR="009A1099" w:rsidRPr="00215A1D">
        <w:rPr>
          <w:rFonts w:ascii="Times New Roman" w:hAnsi="Times New Roman" w:cs="Times New Roman"/>
        </w:rPr>
        <w:t>dnia 12 kwietnia 2011</w:t>
      </w:r>
      <w:r w:rsidR="001D0628">
        <w:rPr>
          <w:rFonts w:ascii="Times New Roman" w:hAnsi="Times New Roman" w:cs="Times New Roman"/>
        </w:rPr>
        <w:t> r.</w:t>
      </w:r>
      <w:r w:rsidR="009A1099" w:rsidRPr="00215A1D">
        <w:rPr>
          <w:rFonts w:ascii="Times New Roman" w:hAnsi="Times New Roman" w:cs="Times New Roman"/>
        </w:rPr>
        <w:t xml:space="preserve"> „Inteligentne sieci energetyczne: od innowacji do wdrożenia", zapowiedziano podjęcie szeregu środków, w tym monitorowanie postępów Państw Członkowskich, ustanowienie wytycznych dotyczących głównych wskaźników skuteczności</w:t>
      </w:r>
      <w:r w:rsidR="001D0628">
        <w:rPr>
          <w:rFonts w:ascii="Times New Roman" w:hAnsi="Times New Roman" w:cs="Times New Roman"/>
        </w:rPr>
        <w:t xml:space="preserve"> i </w:t>
      </w:r>
      <w:r w:rsidR="009A1099" w:rsidRPr="00215A1D">
        <w:rPr>
          <w:rFonts w:ascii="Times New Roman" w:hAnsi="Times New Roman" w:cs="Times New Roman"/>
        </w:rPr>
        <w:t>określenia metodyki planów realizacji inteligentnych systemów pomiarowych wra</w:t>
      </w:r>
      <w:r w:rsidR="001D0628">
        <w:rPr>
          <w:rFonts w:ascii="Times New Roman" w:hAnsi="Times New Roman" w:cs="Times New Roman"/>
        </w:rPr>
        <w:t>z z </w:t>
      </w:r>
      <w:r w:rsidR="009A1099" w:rsidRPr="00215A1D">
        <w:rPr>
          <w:rFonts w:ascii="Times New Roman" w:hAnsi="Times New Roman" w:cs="Times New Roman"/>
        </w:rPr>
        <w:t>analizami kosztów</w:t>
      </w:r>
      <w:r w:rsidR="001D0628">
        <w:rPr>
          <w:rFonts w:ascii="Times New Roman" w:hAnsi="Times New Roman" w:cs="Times New Roman"/>
        </w:rPr>
        <w:t xml:space="preserve"> i </w:t>
      </w:r>
      <w:r w:rsidR="009A1099" w:rsidRPr="00215A1D">
        <w:rPr>
          <w:rFonts w:ascii="Times New Roman" w:hAnsi="Times New Roman" w:cs="Times New Roman"/>
        </w:rPr>
        <w:t>korzyści.</w:t>
      </w:r>
      <w:r w:rsidR="00EF6F97">
        <w:rPr>
          <w:rFonts w:ascii="Times New Roman" w:hAnsi="Times New Roman" w:cs="Times New Roman"/>
        </w:rPr>
        <w:t xml:space="preserve"> </w:t>
      </w:r>
      <w:r w:rsidR="00255CF2" w:rsidRPr="00215A1D">
        <w:rPr>
          <w:rFonts w:ascii="Times New Roman" w:hAnsi="Times New Roman" w:cs="Times New Roman"/>
        </w:rPr>
        <w:t>Ostatnia ankieta dotycząca stanu wdrożenia inteligentnego opomiarowania przeprowadzona została prze</w:t>
      </w:r>
      <w:r w:rsidR="001D0628">
        <w:rPr>
          <w:rFonts w:ascii="Times New Roman" w:hAnsi="Times New Roman" w:cs="Times New Roman"/>
        </w:rPr>
        <w:t>z </w:t>
      </w:r>
      <w:r w:rsidR="00255CF2" w:rsidRPr="00215A1D">
        <w:rPr>
          <w:rFonts w:ascii="Times New Roman" w:hAnsi="Times New Roman" w:cs="Times New Roman"/>
        </w:rPr>
        <w:t>Komisję Europejską w IV kwartale 2018</w:t>
      </w:r>
      <w:r w:rsidR="001D0628">
        <w:rPr>
          <w:rFonts w:ascii="Times New Roman" w:hAnsi="Times New Roman" w:cs="Times New Roman"/>
        </w:rPr>
        <w:t> r.</w:t>
      </w:r>
      <w:r w:rsidR="00255CF2" w:rsidRPr="00215A1D">
        <w:rPr>
          <w:rFonts w:ascii="Times New Roman" w:hAnsi="Times New Roman" w:cs="Times New Roman"/>
        </w:rPr>
        <w:t xml:space="preserve"> </w:t>
      </w:r>
    </w:p>
    <w:p w14:paraId="0440BE6B"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W Polsce analizy kosztów</w:t>
      </w:r>
      <w:r w:rsidR="001D0628">
        <w:rPr>
          <w:rFonts w:ascii="Times New Roman" w:hAnsi="Times New Roman" w:cs="Times New Roman"/>
        </w:rPr>
        <w:t xml:space="preserve"> i </w:t>
      </w:r>
      <w:r w:rsidR="009A1099" w:rsidRPr="00215A1D">
        <w:rPr>
          <w:rFonts w:ascii="Times New Roman" w:hAnsi="Times New Roman" w:cs="Times New Roman"/>
        </w:rPr>
        <w:t xml:space="preserve">korzyści zostały wykonane. </w:t>
      </w:r>
      <w:r w:rsidR="001D0628">
        <w:rPr>
          <w:rFonts w:ascii="Times New Roman" w:hAnsi="Times New Roman" w:cs="Times New Roman"/>
        </w:rPr>
        <w:t>Z </w:t>
      </w:r>
      <w:r w:rsidR="009A1099" w:rsidRPr="00215A1D">
        <w:rPr>
          <w:rFonts w:ascii="Times New Roman" w:hAnsi="Times New Roman" w:cs="Times New Roman"/>
        </w:rPr>
        <w:t>anali</w:t>
      </w:r>
      <w:r w:rsidR="001D0628">
        <w:rPr>
          <w:rFonts w:ascii="Times New Roman" w:hAnsi="Times New Roman" w:cs="Times New Roman"/>
        </w:rPr>
        <w:t>z </w:t>
      </w:r>
      <w:r w:rsidR="009A1099" w:rsidRPr="00215A1D">
        <w:rPr>
          <w:rFonts w:ascii="Times New Roman" w:hAnsi="Times New Roman" w:cs="Times New Roman"/>
        </w:rPr>
        <w:t>tych wynika, że wdrożenie systemów inteligentnego opomiarowania umożliwi podejmowanie działań proefektywnościowych</w:t>
      </w:r>
      <w:r w:rsidR="001D0628">
        <w:rPr>
          <w:rFonts w:ascii="Times New Roman" w:hAnsi="Times New Roman" w:cs="Times New Roman"/>
        </w:rPr>
        <w:t xml:space="preserve"> i </w:t>
      </w:r>
      <w:r w:rsidR="009A1099" w:rsidRPr="00215A1D">
        <w:rPr>
          <w:rFonts w:ascii="Times New Roman" w:hAnsi="Times New Roman" w:cs="Times New Roman"/>
        </w:rPr>
        <w:t>stanowić będzie element budowy inteligentnych sieci elektroenergetycznych. Przyczyni się też do efektywnego zarządzania energią elektryczną zarówno po stronie podaży jak</w:t>
      </w:r>
      <w:r w:rsidR="001D0628">
        <w:rPr>
          <w:rFonts w:ascii="Times New Roman" w:hAnsi="Times New Roman" w:cs="Times New Roman"/>
        </w:rPr>
        <w:t xml:space="preserve"> i </w:t>
      </w:r>
      <w:r w:rsidR="009A1099" w:rsidRPr="00215A1D">
        <w:rPr>
          <w:rFonts w:ascii="Times New Roman" w:hAnsi="Times New Roman" w:cs="Times New Roman"/>
        </w:rPr>
        <w:t>popytu, co jest fundamentalne dla ograniczenia emisji CO2, oszczędności pierwotnych nośników energii ora</w:t>
      </w:r>
      <w:r w:rsidR="001D0628">
        <w:rPr>
          <w:rFonts w:ascii="Times New Roman" w:hAnsi="Times New Roman" w:cs="Times New Roman"/>
        </w:rPr>
        <w:t>z </w:t>
      </w:r>
      <w:r w:rsidR="009A1099" w:rsidRPr="00215A1D">
        <w:rPr>
          <w:rFonts w:ascii="Times New Roman" w:hAnsi="Times New Roman" w:cs="Times New Roman"/>
        </w:rPr>
        <w:t>rozwoju odnawialnych źródeł energii elektrycznej u prosumentów. Sprawnie działająca sieć inteligentna może w przyszłości skutecznie integrować rozproszone wytwarzanie energii elektrycznej w mikroźródłach, przewidywany rozwój samochodów elektrycznych</w:t>
      </w:r>
      <w:r w:rsidR="001D0628">
        <w:rPr>
          <w:rFonts w:ascii="Times New Roman" w:hAnsi="Times New Roman" w:cs="Times New Roman"/>
        </w:rPr>
        <w:t xml:space="preserve"> i </w:t>
      </w:r>
      <w:r w:rsidR="009A1099" w:rsidRPr="00215A1D">
        <w:rPr>
          <w:rFonts w:ascii="Times New Roman" w:hAnsi="Times New Roman" w:cs="Times New Roman"/>
        </w:rPr>
        <w:t>infrastruktury sieci domowej.</w:t>
      </w:r>
      <w:r w:rsidR="00EF6F97">
        <w:rPr>
          <w:rFonts w:ascii="Times New Roman" w:hAnsi="Times New Roman" w:cs="Times New Roman"/>
        </w:rPr>
        <w:t xml:space="preserve"> </w:t>
      </w:r>
    </w:p>
    <w:p w14:paraId="42D5BAC7"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Rosnące zapotrzebowanie na energię elektryczną wskazuje na konieczność wdrożenia programów zarządzania popytem jako efektywnego sposobu na zapewnienie bezpieczeństwa dostarczania energii elektrycznej, w tym szczególnie w okresach szczytowego zapotrzebowania na moc w krajowym systemie elektroenergetycznym.</w:t>
      </w:r>
    </w:p>
    <w:p w14:paraId="1C6B4F11"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Pozytywnym skutkiem projektowanych rozwiązań będzie racjonalizacja zużycia energii elektrycznej w gospodarstwach domowych ora</w:t>
      </w:r>
      <w:r w:rsidR="001D0628">
        <w:rPr>
          <w:rFonts w:ascii="Times New Roman" w:hAnsi="Times New Roman" w:cs="Times New Roman"/>
        </w:rPr>
        <w:t>z </w:t>
      </w:r>
      <w:r w:rsidR="009A1099" w:rsidRPr="00215A1D">
        <w:rPr>
          <w:rFonts w:ascii="Times New Roman" w:hAnsi="Times New Roman" w:cs="Times New Roman"/>
        </w:rPr>
        <w:t>zmniejszenie energochłonności gospodarki. Dostęp odbiorców do bieżących informacji o zużyciu energii elektrycznej pozwoli na racjonalizację jej zużycia ze względu na jej wartość ekonomiczną, co zmniejszy całkowite koszty funkcjonowania systemu elektroenergetycznego. Przyczyni się również do wzrostu elastyczności</w:t>
      </w:r>
      <w:r w:rsidR="001D0628">
        <w:rPr>
          <w:rFonts w:ascii="Times New Roman" w:hAnsi="Times New Roman" w:cs="Times New Roman"/>
        </w:rPr>
        <w:t xml:space="preserve"> i </w:t>
      </w:r>
      <w:r w:rsidR="009A1099" w:rsidRPr="00215A1D">
        <w:rPr>
          <w:rFonts w:ascii="Times New Roman" w:hAnsi="Times New Roman" w:cs="Times New Roman"/>
        </w:rPr>
        <w:t xml:space="preserve">konkurencyjności rynku energii elektrycznej. </w:t>
      </w:r>
    </w:p>
    <w:p w14:paraId="5BC512CB" w14:textId="77777777" w:rsidR="009A1099" w:rsidRPr="00215A1D" w:rsidRDefault="009A1099" w:rsidP="00EF6F97">
      <w:pPr>
        <w:pStyle w:val="USTustnpkodeksu"/>
        <w:rPr>
          <w:rFonts w:ascii="Times New Roman" w:hAnsi="Times New Roman" w:cs="Times New Roman"/>
        </w:rPr>
      </w:pPr>
      <w:r w:rsidRPr="00215A1D">
        <w:rPr>
          <w:rFonts w:ascii="Times New Roman" w:hAnsi="Times New Roman" w:cs="Times New Roman"/>
        </w:rPr>
        <w:t>Projektowane rozwiązania będą oznaczały dla:</w:t>
      </w:r>
    </w:p>
    <w:p w14:paraId="326EEADC" w14:textId="77777777" w:rsidR="009A1099" w:rsidRPr="00215A1D" w:rsidRDefault="009A1099" w:rsidP="00215A1D">
      <w:pPr>
        <w:pStyle w:val="PKTpunkt"/>
        <w:numPr>
          <w:ilvl w:val="0"/>
          <w:numId w:val="53"/>
        </w:numPr>
        <w:rPr>
          <w:rFonts w:ascii="Times New Roman" w:hAnsi="Times New Roman" w:cs="Times New Roman"/>
        </w:rPr>
      </w:pPr>
      <w:r w:rsidRPr="00215A1D">
        <w:rPr>
          <w:rFonts w:ascii="Times New Roman" w:hAnsi="Times New Roman" w:cs="Times New Roman"/>
        </w:rPr>
        <w:lastRenderedPageBreak/>
        <w:t>przedsiębiorstw energetycznych – potencjalną redukcję kosztów dzięki pozyskaniu bardziej dokładnych danych rynkowych ora</w:t>
      </w:r>
      <w:r w:rsidR="001D0628">
        <w:rPr>
          <w:rFonts w:ascii="Times New Roman" w:hAnsi="Times New Roman" w:cs="Times New Roman"/>
        </w:rPr>
        <w:t>z </w:t>
      </w:r>
      <w:r w:rsidRPr="00215A1D">
        <w:rPr>
          <w:rFonts w:ascii="Times New Roman" w:hAnsi="Times New Roman" w:cs="Times New Roman"/>
        </w:rPr>
        <w:t>wzrost przychodów w wyniku redukcji strat</w:t>
      </w:r>
      <w:r w:rsidR="001D0628">
        <w:rPr>
          <w:rFonts w:ascii="Times New Roman" w:hAnsi="Times New Roman" w:cs="Times New Roman"/>
        </w:rPr>
        <w:t xml:space="preserve"> i </w:t>
      </w:r>
      <w:r w:rsidRPr="00215A1D">
        <w:rPr>
          <w:rFonts w:ascii="Times New Roman" w:hAnsi="Times New Roman" w:cs="Times New Roman"/>
        </w:rPr>
        <w:t>nieefektywności w systemie (np. szybsze usuwanie awarii, eliminacja nielegalnego poboru energii elektrycznej),</w:t>
      </w:r>
    </w:p>
    <w:p w14:paraId="6434D016" w14:textId="77777777" w:rsidR="009A1099" w:rsidRPr="00215A1D" w:rsidRDefault="009A1099" w:rsidP="00215A1D">
      <w:pPr>
        <w:pStyle w:val="PKTpunkt"/>
        <w:numPr>
          <w:ilvl w:val="0"/>
          <w:numId w:val="53"/>
        </w:numPr>
        <w:rPr>
          <w:rFonts w:ascii="Times New Roman" w:hAnsi="Times New Roman" w:cs="Times New Roman"/>
        </w:rPr>
      </w:pPr>
      <w:r w:rsidRPr="00215A1D">
        <w:rPr>
          <w:rFonts w:ascii="Times New Roman" w:hAnsi="Times New Roman" w:cs="Times New Roman"/>
        </w:rPr>
        <w:t>operatora systemu przesyłowego elektroenergetycznego – poprawę bezpieczeństwa systemu elektroenergetycznego ora</w:t>
      </w:r>
      <w:r w:rsidR="001D0628">
        <w:rPr>
          <w:rFonts w:ascii="Times New Roman" w:hAnsi="Times New Roman" w:cs="Times New Roman"/>
        </w:rPr>
        <w:t>z </w:t>
      </w:r>
      <w:r w:rsidRPr="00215A1D">
        <w:rPr>
          <w:rFonts w:ascii="Times New Roman" w:hAnsi="Times New Roman" w:cs="Times New Roman"/>
        </w:rPr>
        <w:t>obniżenie kosztów mechanizmu bilansowania,</w:t>
      </w:r>
    </w:p>
    <w:p w14:paraId="591FD7D9" w14:textId="77777777" w:rsidR="009A1099" w:rsidRPr="00215A1D" w:rsidRDefault="009A1099" w:rsidP="00215A1D">
      <w:pPr>
        <w:pStyle w:val="PKTpunkt"/>
        <w:numPr>
          <w:ilvl w:val="0"/>
          <w:numId w:val="53"/>
        </w:numPr>
        <w:rPr>
          <w:rFonts w:ascii="Times New Roman" w:hAnsi="Times New Roman" w:cs="Times New Roman"/>
        </w:rPr>
      </w:pPr>
      <w:r w:rsidRPr="00215A1D">
        <w:rPr>
          <w:rFonts w:ascii="Times New Roman" w:hAnsi="Times New Roman" w:cs="Times New Roman"/>
        </w:rPr>
        <w:t>sprzedawców energii elektrycznej – możliwość dostosowania ofert sprzedaży energii elektrycznej do indywidualnych potrzeb odbiorców końcowych;</w:t>
      </w:r>
    </w:p>
    <w:p w14:paraId="35A88356" w14:textId="77777777" w:rsidR="009A1099" w:rsidRPr="00215A1D" w:rsidRDefault="009A1099" w:rsidP="00215A1D">
      <w:pPr>
        <w:pStyle w:val="PKTpunkt"/>
        <w:numPr>
          <w:ilvl w:val="0"/>
          <w:numId w:val="53"/>
        </w:numPr>
        <w:rPr>
          <w:rFonts w:ascii="Times New Roman" w:hAnsi="Times New Roman" w:cs="Times New Roman"/>
        </w:rPr>
      </w:pPr>
      <w:r w:rsidRPr="00215A1D">
        <w:rPr>
          <w:rFonts w:ascii="Times New Roman" w:hAnsi="Times New Roman" w:cs="Times New Roman"/>
        </w:rPr>
        <w:t>odbiorców końcowych – likwidację rozliczeń na podstawie progno</w:t>
      </w:r>
      <w:r w:rsidR="001D0628">
        <w:rPr>
          <w:rFonts w:ascii="Times New Roman" w:hAnsi="Times New Roman" w:cs="Times New Roman"/>
        </w:rPr>
        <w:t>z </w:t>
      </w:r>
      <w:r w:rsidRPr="00215A1D">
        <w:rPr>
          <w:rFonts w:ascii="Times New Roman" w:hAnsi="Times New Roman" w:cs="Times New Roman"/>
        </w:rPr>
        <w:t>ora</w:t>
      </w:r>
      <w:r w:rsidR="001D0628">
        <w:rPr>
          <w:rFonts w:ascii="Times New Roman" w:hAnsi="Times New Roman" w:cs="Times New Roman"/>
        </w:rPr>
        <w:t>z </w:t>
      </w:r>
      <w:r w:rsidRPr="00215A1D">
        <w:rPr>
          <w:rFonts w:ascii="Times New Roman" w:hAnsi="Times New Roman" w:cs="Times New Roman"/>
        </w:rPr>
        <w:t xml:space="preserve">świadome korzystanie </w:t>
      </w:r>
      <w:r w:rsidR="001D0628">
        <w:rPr>
          <w:rFonts w:ascii="Times New Roman" w:hAnsi="Times New Roman" w:cs="Times New Roman"/>
        </w:rPr>
        <w:t>z </w:t>
      </w:r>
      <w:r w:rsidRPr="00215A1D">
        <w:rPr>
          <w:rFonts w:ascii="Times New Roman" w:hAnsi="Times New Roman" w:cs="Times New Roman"/>
        </w:rPr>
        <w:t xml:space="preserve">energii elektrycznej. Przewiduje się, że nastąpi poprawa parametrów jakościowych dostarczanej energii elektrycznej </w:t>
      </w:r>
      <w:r w:rsidR="001D0628">
        <w:rPr>
          <w:rFonts w:ascii="Times New Roman" w:hAnsi="Times New Roman" w:cs="Times New Roman"/>
        </w:rPr>
        <w:t>z </w:t>
      </w:r>
      <w:r w:rsidRPr="00215A1D">
        <w:rPr>
          <w:rFonts w:ascii="Times New Roman" w:hAnsi="Times New Roman" w:cs="Times New Roman"/>
        </w:rPr>
        <w:t>korzyścią dla odbiorcy, a także ulegnie uproszczeniu</w:t>
      </w:r>
      <w:r w:rsidR="001D0628">
        <w:rPr>
          <w:rFonts w:ascii="Times New Roman" w:hAnsi="Times New Roman" w:cs="Times New Roman"/>
        </w:rPr>
        <w:t xml:space="preserve"> i </w:t>
      </w:r>
      <w:r w:rsidRPr="00215A1D">
        <w:rPr>
          <w:rFonts w:ascii="Times New Roman" w:hAnsi="Times New Roman" w:cs="Times New Roman"/>
        </w:rPr>
        <w:t>skróceniu procedura zmiany sprzedawcy energii elektrycznej;</w:t>
      </w:r>
    </w:p>
    <w:p w14:paraId="1CC35C7A" w14:textId="77777777" w:rsidR="009A1099" w:rsidRPr="00215A1D" w:rsidRDefault="009A1099" w:rsidP="00215A1D">
      <w:pPr>
        <w:pStyle w:val="PKTpunkt"/>
        <w:numPr>
          <w:ilvl w:val="0"/>
          <w:numId w:val="53"/>
        </w:numPr>
        <w:rPr>
          <w:rFonts w:ascii="Times New Roman" w:hAnsi="Times New Roman" w:cs="Times New Roman"/>
        </w:rPr>
      </w:pPr>
      <w:r w:rsidRPr="00215A1D">
        <w:rPr>
          <w:rFonts w:ascii="Times New Roman" w:hAnsi="Times New Roman" w:cs="Times New Roman"/>
        </w:rPr>
        <w:t xml:space="preserve">mniej zamożnych odbiorców – możliwość elastycznego gospodarowania energią elektryczną, proporcjonalnie do posiadanych środków finansowych, w tym np. czasowej rezygnacji </w:t>
      </w:r>
      <w:r w:rsidR="001D0628">
        <w:rPr>
          <w:rFonts w:ascii="Times New Roman" w:hAnsi="Times New Roman" w:cs="Times New Roman"/>
        </w:rPr>
        <w:t>z </w:t>
      </w:r>
      <w:r w:rsidRPr="00215A1D">
        <w:rPr>
          <w:rFonts w:ascii="Times New Roman" w:hAnsi="Times New Roman" w:cs="Times New Roman"/>
        </w:rPr>
        <w:t xml:space="preserve">korzystania </w:t>
      </w:r>
      <w:r w:rsidR="001D0628">
        <w:rPr>
          <w:rFonts w:ascii="Times New Roman" w:hAnsi="Times New Roman" w:cs="Times New Roman"/>
        </w:rPr>
        <w:t>z </w:t>
      </w:r>
      <w:r w:rsidRPr="00215A1D">
        <w:rPr>
          <w:rFonts w:ascii="Times New Roman" w:hAnsi="Times New Roman" w:cs="Times New Roman"/>
        </w:rPr>
        <w:t>najbardziej energochłonnych urządzeń.</w:t>
      </w:r>
    </w:p>
    <w:p w14:paraId="0DBF6CD2"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Wprowadzenie projektowanych rozwiązań przyczyni się do poprawy funkcjonowania rynku energii elektrycznej, a tym samym ograniczenia podwyżek cen, poprze</w:t>
      </w:r>
      <w:r w:rsidR="001D0628">
        <w:rPr>
          <w:rFonts w:ascii="Times New Roman" w:hAnsi="Times New Roman" w:cs="Times New Roman"/>
        </w:rPr>
        <w:t>z </w:t>
      </w:r>
      <w:r w:rsidR="009A1099" w:rsidRPr="00215A1D">
        <w:rPr>
          <w:rFonts w:ascii="Times New Roman" w:hAnsi="Times New Roman" w:cs="Times New Roman"/>
        </w:rPr>
        <w:t>ujawnienie cenowej elastyczności popytu</w:t>
      </w:r>
      <w:r w:rsidR="001D0628">
        <w:rPr>
          <w:rFonts w:ascii="Times New Roman" w:hAnsi="Times New Roman" w:cs="Times New Roman"/>
        </w:rPr>
        <w:t xml:space="preserve"> i </w:t>
      </w:r>
      <w:r w:rsidR="009A1099" w:rsidRPr="00215A1D">
        <w:rPr>
          <w:rFonts w:ascii="Times New Roman" w:hAnsi="Times New Roman" w:cs="Times New Roman"/>
        </w:rPr>
        <w:t>dokładniejszej informacji rynkowej. Będzie także możliwe zarządzanie poborem energii elektrycznej prze</w:t>
      </w:r>
      <w:r w:rsidR="001D0628">
        <w:rPr>
          <w:rFonts w:ascii="Times New Roman" w:hAnsi="Times New Roman" w:cs="Times New Roman"/>
        </w:rPr>
        <w:t>z </w:t>
      </w:r>
      <w:r w:rsidR="009A1099" w:rsidRPr="00215A1D">
        <w:rPr>
          <w:rFonts w:ascii="Times New Roman" w:hAnsi="Times New Roman" w:cs="Times New Roman"/>
        </w:rPr>
        <w:t>sterowanie instalacją - załączanie</w:t>
      </w:r>
      <w:r w:rsidR="001D0628">
        <w:rPr>
          <w:rFonts w:ascii="Times New Roman" w:hAnsi="Times New Roman" w:cs="Times New Roman"/>
        </w:rPr>
        <w:t xml:space="preserve"> i </w:t>
      </w:r>
      <w:r w:rsidR="009A1099" w:rsidRPr="00215A1D">
        <w:rPr>
          <w:rFonts w:ascii="Times New Roman" w:hAnsi="Times New Roman" w:cs="Times New Roman"/>
        </w:rPr>
        <w:t>wyłączanie urządzeń w zależności od pory doby</w:t>
      </w:r>
      <w:r w:rsidR="001D0628">
        <w:rPr>
          <w:rFonts w:ascii="Times New Roman" w:hAnsi="Times New Roman" w:cs="Times New Roman"/>
        </w:rPr>
        <w:t xml:space="preserve"> i </w:t>
      </w:r>
      <w:r w:rsidR="009A1099" w:rsidRPr="00215A1D">
        <w:rPr>
          <w:rFonts w:ascii="Times New Roman" w:hAnsi="Times New Roman" w:cs="Times New Roman"/>
        </w:rPr>
        <w:t>roku. Odbiorca końcowy, u którego zainstalowano licznik zdalnego odczytu będzie rozliczany na podstawie danych o rzeczywistym zużyciu energii elektrycznej ora</w:t>
      </w:r>
      <w:r w:rsidR="001D0628">
        <w:rPr>
          <w:rFonts w:ascii="Times New Roman" w:hAnsi="Times New Roman" w:cs="Times New Roman"/>
        </w:rPr>
        <w:t>z </w:t>
      </w:r>
      <w:r w:rsidR="009A1099" w:rsidRPr="00215A1D">
        <w:rPr>
          <w:rFonts w:ascii="Times New Roman" w:hAnsi="Times New Roman" w:cs="Times New Roman"/>
        </w:rPr>
        <w:t>będzie miał bieżący dostęp do danych o swoim zużyciu.</w:t>
      </w:r>
    </w:p>
    <w:p w14:paraId="03BE661F" w14:textId="77777777" w:rsidR="00540D8A"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540D8A" w:rsidRPr="00215A1D">
        <w:rPr>
          <w:rFonts w:ascii="Times New Roman" w:hAnsi="Times New Roman" w:cs="Times New Roman"/>
        </w:rPr>
        <w:t xml:space="preserve">Podsumowując, </w:t>
      </w:r>
      <w:r w:rsidR="00F5055A" w:rsidRPr="00215A1D">
        <w:rPr>
          <w:rFonts w:ascii="Times New Roman" w:hAnsi="Times New Roman" w:cs="Times New Roman"/>
        </w:rPr>
        <w:t xml:space="preserve">podstawowe </w:t>
      </w:r>
      <w:r w:rsidR="00F20691" w:rsidRPr="00215A1D">
        <w:rPr>
          <w:rFonts w:ascii="Times New Roman" w:hAnsi="Times New Roman" w:cs="Times New Roman"/>
        </w:rPr>
        <w:t xml:space="preserve">korzyści </w:t>
      </w:r>
      <w:r w:rsidR="001D0628">
        <w:rPr>
          <w:rFonts w:ascii="Times New Roman" w:hAnsi="Times New Roman" w:cs="Times New Roman"/>
        </w:rPr>
        <w:t>z </w:t>
      </w:r>
      <w:r w:rsidR="00F20691" w:rsidRPr="00215A1D">
        <w:rPr>
          <w:rFonts w:ascii="Times New Roman" w:hAnsi="Times New Roman" w:cs="Times New Roman"/>
        </w:rPr>
        <w:t xml:space="preserve">wdrożenia </w:t>
      </w:r>
      <w:r w:rsidR="006E5528" w:rsidRPr="00215A1D">
        <w:rPr>
          <w:rFonts w:ascii="Times New Roman" w:hAnsi="Times New Roman" w:cs="Times New Roman"/>
        </w:rPr>
        <w:t xml:space="preserve">systemu </w:t>
      </w:r>
      <w:r w:rsidR="00F20691" w:rsidRPr="00215A1D">
        <w:rPr>
          <w:rFonts w:ascii="Times New Roman" w:hAnsi="Times New Roman" w:cs="Times New Roman"/>
        </w:rPr>
        <w:t xml:space="preserve">inteligentnego opomiarowania </w:t>
      </w:r>
      <w:r w:rsidR="006E5528" w:rsidRPr="00215A1D">
        <w:rPr>
          <w:rFonts w:ascii="Times New Roman" w:hAnsi="Times New Roman" w:cs="Times New Roman"/>
        </w:rPr>
        <w:t xml:space="preserve">obejmującego </w:t>
      </w:r>
      <w:r w:rsidR="00F20691" w:rsidRPr="00215A1D">
        <w:rPr>
          <w:rFonts w:ascii="Times New Roman" w:hAnsi="Times New Roman" w:cs="Times New Roman"/>
        </w:rPr>
        <w:t xml:space="preserve">operatora informacji rynku energii </w:t>
      </w:r>
      <w:r w:rsidR="001D0628">
        <w:rPr>
          <w:rFonts w:ascii="Times New Roman" w:hAnsi="Times New Roman" w:cs="Times New Roman"/>
        </w:rPr>
        <w:t>z </w:t>
      </w:r>
      <w:r w:rsidR="009C2C5E" w:rsidRPr="00215A1D">
        <w:rPr>
          <w:rFonts w:ascii="Times New Roman" w:hAnsi="Times New Roman" w:cs="Times New Roman"/>
        </w:rPr>
        <w:t xml:space="preserve">perspektywy </w:t>
      </w:r>
      <w:r w:rsidR="00540D8A" w:rsidRPr="00215A1D">
        <w:rPr>
          <w:rFonts w:ascii="Times New Roman" w:hAnsi="Times New Roman" w:cs="Times New Roman"/>
          <w:u w:val="single"/>
        </w:rPr>
        <w:t>odbiorc</w:t>
      </w:r>
      <w:r w:rsidR="009C2C5E" w:rsidRPr="00215A1D">
        <w:rPr>
          <w:rFonts w:ascii="Times New Roman" w:hAnsi="Times New Roman" w:cs="Times New Roman"/>
          <w:u w:val="single"/>
        </w:rPr>
        <w:t>y</w:t>
      </w:r>
      <w:r w:rsidR="00540D8A" w:rsidRPr="00215A1D">
        <w:rPr>
          <w:rFonts w:ascii="Times New Roman" w:hAnsi="Times New Roman" w:cs="Times New Roman"/>
          <w:u w:val="single"/>
        </w:rPr>
        <w:t xml:space="preserve"> końcowego</w:t>
      </w:r>
      <w:r w:rsidR="00540D8A" w:rsidRPr="00215A1D">
        <w:rPr>
          <w:rFonts w:ascii="Times New Roman" w:hAnsi="Times New Roman" w:cs="Times New Roman"/>
        </w:rPr>
        <w:t xml:space="preserve"> będą następujące:</w:t>
      </w:r>
    </w:p>
    <w:p w14:paraId="3A605EB9" w14:textId="77777777" w:rsidR="00EE6A04" w:rsidRPr="00215A1D" w:rsidRDefault="00EE6A04"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Zwiększenie świadomości zużycia energii elektrycznej</w:t>
      </w:r>
      <w:r w:rsidRPr="00215A1D">
        <w:rPr>
          <w:rFonts w:ascii="Times New Roman" w:hAnsi="Times New Roman" w:cs="Times New Roman"/>
        </w:rPr>
        <w:t xml:space="preserve"> </w:t>
      </w:r>
      <w:r w:rsidR="003810F7" w:rsidRPr="00215A1D">
        <w:rPr>
          <w:rFonts w:ascii="Times New Roman" w:hAnsi="Times New Roman" w:cs="Times New Roman"/>
        </w:rPr>
        <w:t>poprze</w:t>
      </w:r>
      <w:r w:rsidR="001D0628">
        <w:rPr>
          <w:rFonts w:ascii="Times New Roman" w:hAnsi="Times New Roman" w:cs="Times New Roman"/>
        </w:rPr>
        <w:t>z </w:t>
      </w:r>
      <w:r w:rsidRPr="00215A1D">
        <w:rPr>
          <w:rFonts w:ascii="Times New Roman" w:hAnsi="Times New Roman" w:cs="Times New Roman"/>
        </w:rPr>
        <w:t>bieżąc</w:t>
      </w:r>
      <w:r w:rsidR="003810F7" w:rsidRPr="00215A1D">
        <w:rPr>
          <w:rFonts w:ascii="Times New Roman" w:hAnsi="Times New Roman" w:cs="Times New Roman"/>
        </w:rPr>
        <w:t>ą</w:t>
      </w:r>
      <w:r w:rsidRPr="00215A1D">
        <w:rPr>
          <w:rFonts w:ascii="Times New Roman" w:hAnsi="Times New Roman" w:cs="Times New Roman"/>
        </w:rPr>
        <w:t xml:space="preserve"> kontrol</w:t>
      </w:r>
      <w:r w:rsidR="003810F7" w:rsidRPr="00215A1D">
        <w:rPr>
          <w:rFonts w:ascii="Times New Roman" w:hAnsi="Times New Roman" w:cs="Times New Roman"/>
        </w:rPr>
        <w:t>ą</w:t>
      </w:r>
      <w:r w:rsidRPr="00215A1D">
        <w:rPr>
          <w:rFonts w:ascii="Times New Roman" w:hAnsi="Times New Roman" w:cs="Times New Roman"/>
        </w:rPr>
        <w:t xml:space="preserve"> wskazań licznika, porównanie aktualnego zużycia </w:t>
      </w:r>
      <w:r w:rsidR="001D0628">
        <w:rPr>
          <w:rFonts w:ascii="Times New Roman" w:hAnsi="Times New Roman" w:cs="Times New Roman"/>
        </w:rPr>
        <w:t>z </w:t>
      </w:r>
      <w:r w:rsidRPr="00215A1D">
        <w:rPr>
          <w:rFonts w:ascii="Times New Roman" w:hAnsi="Times New Roman" w:cs="Times New Roman"/>
        </w:rPr>
        <w:t>okresami poprzednimi ora</w:t>
      </w:r>
      <w:r w:rsidR="001D0628">
        <w:rPr>
          <w:rFonts w:ascii="Times New Roman" w:hAnsi="Times New Roman" w:cs="Times New Roman"/>
        </w:rPr>
        <w:t>z </w:t>
      </w:r>
      <w:r w:rsidRPr="00215A1D">
        <w:rPr>
          <w:rFonts w:ascii="Times New Roman" w:hAnsi="Times New Roman" w:cs="Times New Roman"/>
        </w:rPr>
        <w:t>weryfikacj</w:t>
      </w:r>
      <w:r w:rsidR="009C2C5E" w:rsidRPr="00215A1D">
        <w:rPr>
          <w:rFonts w:ascii="Times New Roman" w:hAnsi="Times New Roman" w:cs="Times New Roman"/>
        </w:rPr>
        <w:t>ę</w:t>
      </w:r>
      <w:r w:rsidRPr="00215A1D">
        <w:rPr>
          <w:rFonts w:ascii="Times New Roman" w:hAnsi="Times New Roman" w:cs="Times New Roman"/>
        </w:rPr>
        <w:t xml:space="preserve"> kosztów pracy poszczególnych urządzeń; </w:t>
      </w:r>
    </w:p>
    <w:p w14:paraId="1E1EA02C" w14:textId="77777777" w:rsidR="00F20691" w:rsidRPr="00215A1D" w:rsidRDefault="00F20691"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 xml:space="preserve">Ułatwienie zmiany sprzedawcy. </w:t>
      </w:r>
      <w:r w:rsidRPr="00215A1D">
        <w:rPr>
          <w:rFonts w:ascii="Times New Roman" w:hAnsi="Times New Roman" w:cs="Times New Roman"/>
        </w:rPr>
        <w:t xml:space="preserve">Odbiorca końcowy będzie mógł dokonać zmiany sprzedawcy w istotnie krótszym czasie dzięki </w:t>
      </w:r>
      <w:r w:rsidR="003810F7" w:rsidRPr="00215A1D">
        <w:rPr>
          <w:rFonts w:ascii="Times New Roman" w:hAnsi="Times New Roman" w:cs="Times New Roman"/>
        </w:rPr>
        <w:t xml:space="preserve">zestandaryzowaniu </w:t>
      </w:r>
      <w:r w:rsidRPr="00215A1D">
        <w:rPr>
          <w:rFonts w:ascii="Times New Roman" w:hAnsi="Times New Roman" w:cs="Times New Roman"/>
        </w:rPr>
        <w:t xml:space="preserve">procesu zmiany sprzedawcy. </w:t>
      </w:r>
    </w:p>
    <w:p w14:paraId="17F37DF8" w14:textId="77777777" w:rsidR="00EE6A04" w:rsidRPr="00215A1D" w:rsidRDefault="004D2802"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Skrócenie czasu do wystawienia faktury</w:t>
      </w:r>
      <w:r w:rsidRPr="00215A1D">
        <w:rPr>
          <w:rFonts w:ascii="Times New Roman" w:hAnsi="Times New Roman" w:cs="Times New Roman"/>
        </w:rPr>
        <w:t xml:space="preserve">. </w:t>
      </w:r>
      <w:r w:rsidR="00EE6A04" w:rsidRPr="00215A1D">
        <w:rPr>
          <w:rFonts w:ascii="Times New Roman" w:hAnsi="Times New Roman" w:cs="Times New Roman"/>
        </w:rPr>
        <w:t>Jako bezpośrednią przy</w:t>
      </w:r>
      <w:r w:rsidRPr="00215A1D">
        <w:rPr>
          <w:rFonts w:ascii="Times New Roman" w:hAnsi="Times New Roman" w:cs="Times New Roman"/>
        </w:rPr>
        <w:t>czynę redukcji (</w:t>
      </w:r>
      <w:r w:rsidR="001D0628">
        <w:rPr>
          <w:rFonts w:ascii="Times New Roman" w:hAnsi="Times New Roman" w:cs="Times New Roman"/>
        </w:rPr>
        <w:t>z </w:t>
      </w:r>
      <w:r w:rsidRPr="00215A1D">
        <w:rPr>
          <w:rFonts w:ascii="Times New Roman" w:hAnsi="Times New Roman" w:cs="Times New Roman"/>
        </w:rPr>
        <w:t xml:space="preserve">10 do 3 dni) </w:t>
      </w:r>
      <w:r w:rsidR="00EE6A04" w:rsidRPr="00215A1D">
        <w:rPr>
          <w:rFonts w:ascii="Times New Roman" w:hAnsi="Times New Roman" w:cs="Times New Roman"/>
        </w:rPr>
        <w:t xml:space="preserve">wskazano zmniejszenie liczby czynności towarzyszących procesowi rozliczania </w:t>
      </w:r>
      <w:r w:rsidR="00EE6A04" w:rsidRPr="00215A1D">
        <w:rPr>
          <w:rFonts w:ascii="Times New Roman" w:hAnsi="Times New Roman" w:cs="Times New Roman"/>
        </w:rPr>
        <w:lastRenderedPageBreak/>
        <w:t>należności odbiorców o konieczność zebrania danych w terenie, przygotowanie danych bilingowych</w:t>
      </w:r>
      <w:r w:rsidR="001D0628">
        <w:rPr>
          <w:rFonts w:ascii="Times New Roman" w:hAnsi="Times New Roman" w:cs="Times New Roman"/>
        </w:rPr>
        <w:t xml:space="preserve"> i </w:t>
      </w:r>
      <w:r w:rsidR="00EE6A04" w:rsidRPr="00215A1D">
        <w:rPr>
          <w:rFonts w:ascii="Times New Roman" w:hAnsi="Times New Roman" w:cs="Times New Roman"/>
        </w:rPr>
        <w:t>przesłanie danych do sprzedawcy;</w:t>
      </w:r>
    </w:p>
    <w:p w14:paraId="73345F98" w14:textId="77777777" w:rsidR="004D2802" w:rsidRPr="00215A1D" w:rsidRDefault="004D2802"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Redukcja kosztów odczytu</w:t>
      </w:r>
      <w:r w:rsidRPr="00215A1D">
        <w:rPr>
          <w:rFonts w:ascii="Times New Roman" w:hAnsi="Times New Roman" w:cs="Times New Roman"/>
        </w:rPr>
        <w:t xml:space="preserve">. W wyniku wprowadzenia systemu zdalnego odczytu odbiorca nie powinien więcej ponosić tzw. opłaty abonamentowej związanej </w:t>
      </w:r>
      <w:r w:rsidR="001D0628">
        <w:rPr>
          <w:rFonts w:ascii="Times New Roman" w:hAnsi="Times New Roman" w:cs="Times New Roman"/>
        </w:rPr>
        <w:t>z </w:t>
      </w:r>
      <w:r w:rsidRPr="00215A1D">
        <w:rPr>
          <w:rFonts w:ascii="Times New Roman" w:hAnsi="Times New Roman" w:cs="Times New Roman"/>
        </w:rPr>
        <w:t xml:space="preserve">bezpośrednim odczytem licznika. </w:t>
      </w:r>
      <w:r w:rsidR="001D0628">
        <w:rPr>
          <w:rFonts w:ascii="Times New Roman" w:hAnsi="Times New Roman" w:cs="Times New Roman"/>
        </w:rPr>
        <w:t>Z </w:t>
      </w:r>
      <w:r w:rsidRPr="00215A1D">
        <w:rPr>
          <w:rFonts w:ascii="Times New Roman" w:hAnsi="Times New Roman" w:cs="Times New Roman"/>
        </w:rPr>
        <w:t>zebranych danych</w:t>
      </w:r>
      <w:r w:rsidR="001D0628">
        <w:rPr>
          <w:rFonts w:ascii="Times New Roman" w:hAnsi="Times New Roman" w:cs="Times New Roman"/>
        </w:rPr>
        <w:t xml:space="preserve"> i </w:t>
      </w:r>
      <w:r w:rsidRPr="00215A1D">
        <w:rPr>
          <w:rFonts w:ascii="Times New Roman" w:hAnsi="Times New Roman" w:cs="Times New Roman"/>
        </w:rPr>
        <w:t>przeprowadzanych anali</w:t>
      </w:r>
      <w:r w:rsidR="001D0628">
        <w:rPr>
          <w:rFonts w:ascii="Times New Roman" w:hAnsi="Times New Roman" w:cs="Times New Roman"/>
        </w:rPr>
        <w:t>z </w:t>
      </w:r>
      <w:r w:rsidRPr="00215A1D">
        <w:rPr>
          <w:rFonts w:ascii="Times New Roman" w:hAnsi="Times New Roman" w:cs="Times New Roman"/>
        </w:rPr>
        <w:t xml:space="preserve">wynika, że koszty odczytu licznika stanowią podstawowy koszt związany </w:t>
      </w:r>
      <w:r w:rsidR="001D0628">
        <w:rPr>
          <w:rFonts w:ascii="Times New Roman" w:hAnsi="Times New Roman" w:cs="Times New Roman"/>
        </w:rPr>
        <w:t>z </w:t>
      </w:r>
      <w:r w:rsidRPr="00215A1D">
        <w:rPr>
          <w:rFonts w:ascii="Times New Roman" w:hAnsi="Times New Roman" w:cs="Times New Roman"/>
        </w:rPr>
        <w:t>ustaleniem zużycia energii elektrycznej prze</w:t>
      </w:r>
      <w:r w:rsidR="001D0628">
        <w:rPr>
          <w:rFonts w:ascii="Times New Roman" w:hAnsi="Times New Roman" w:cs="Times New Roman"/>
        </w:rPr>
        <w:t>z </w:t>
      </w:r>
      <w:r w:rsidRPr="00215A1D">
        <w:rPr>
          <w:rFonts w:ascii="Times New Roman" w:hAnsi="Times New Roman" w:cs="Times New Roman"/>
        </w:rPr>
        <w:t>odbiorcę końcowego</w:t>
      </w:r>
      <w:r w:rsidR="001D0628">
        <w:rPr>
          <w:rFonts w:ascii="Times New Roman" w:hAnsi="Times New Roman" w:cs="Times New Roman"/>
        </w:rPr>
        <w:t xml:space="preserve"> i </w:t>
      </w:r>
      <w:r w:rsidRPr="00215A1D">
        <w:rPr>
          <w:rFonts w:ascii="Times New Roman" w:hAnsi="Times New Roman" w:cs="Times New Roman"/>
        </w:rPr>
        <w:t>jego rozliczeniem</w:t>
      </w:r>
      <w:r w:rsidR="00C00ECA" w:rsidRPr="00215A1D">
        <w:rPr>
          <w:rFonts w:ascii="Times New Roman" w:hAnsi="Times New Roman" w:cs="Times New Roman"/>
        </w:rPr>
        <w:t xml:space="preserve">. W związku </w:t>
      </w:r>
      <w:r w:rsidR="001D0628">
        <w:rPr>
          <w:rFonts w:ascii="Times New Roman" w:hAnsi="Times New Roman" w:cs="Times New Roman"/>
        </w:rPr>
        <w:t>z </w:t>
      </w:r>
      <w:r w:rsidR="00C00ECA" w:rsidRPr="00215A1D">
        <w:rPr>
          <w:rFonts w:ascii="Times New Roman" w:hAnsi="Times New Roman" w:cs="Times New Roman"/>
        </w:rPr>
        <w:t>wejściem w życie tzw. pakietu zimowego przewiduje się konieczność zwiększonej częstotliwości odczytów liczników. Ponadto jednostkowy koszt odczytu powinien wzrosnąć w przyszłości w stosunku do kosztów instalacji samego licznika;</w:t>
      </w:r>
    </w:p>
    <w:p w14:paraId="3B443584" w14:textId="77777777" w:rsidR="00EE6A04" w:rsidRPr="00215A1D" w:rsidRDefault="00C00ECA"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 xml:space="preserve">Uzyskanie korzyści wynikających </w:t>
      </w:r>
      <w:r w:rsidR="001D0628">
        <w:rPr>
          <w:rFonts w:ascii="Times New Roman" w:hAnsi="Times New Roman" w:cs="Times New Roman"/>
          <w:b/>
        </w:rPr>
        <w:t>z </w:t>
      </w:r>
      <w:r w:rsidRPr="00215A1D">
        <w:rPr>
          <w:rFonts w:ascii="Times New Roman" w:hAnsi="Times New Roman" w:cs="Times New Roman"/>
          <w:b/>
        </w:rPr>
        <w:t>z</w:t>
      </w:r>
      <w:r w:rsidR="00EE6A04" w:rsidRPr="00215A1D">
        <w:rPr>
          <w:rFonts w:ascii="Times New Roman" w:hAnsi="Times New Roman" w:cs="Times New Roman"/>
          <w:b/>
        </w:rPr>
        <w:t>arządzania popytem</w:t>
      </w:r>
      <w:r w:rsidRPr="00215A1D">
        <w:rPr>
          <w:rFonts w:ascii="Times New Roman" w:hAnsi="Times New Roman" w:cs="Times New Roman"/>
        </w:rPr>
        <w:t>.</w:t>
      </w:r>
      <w:r w:rsidR="00EE6A04" w:rsidRPr="00215A1D">
        <w:rPr>
          <w:rFonts w:ascii="Times New Roman" w:hAnsi="Times New Roman" w:cs="Times New Roman"/>
        </w:rPr>
        <w:t xml:space="preserve"> Sprzedawca występujący w roli aktywnego uczestnika rynku będzie kierował konkretną ofertę do</w:t>
      </w:r>
      <w:r w:rsidRPr="00215A1D">
        <w:rPr>
          <w:rFonts w:ascii="Times New Roman" w:hAnsi="Times New Roman" w:cs="Times New Roman"/>
        </w:rPr>
        <w:t>stosowaną do potrzeb</w:t>
      </w:r>
      <w:r w:rsidR="00EF6F97">
        <w:rPr>
          <w:rFonts w:ascii="Times New Roman" w:hAnsi="Times New Roman" w:cs="Times New Roman"/>
        </w:rPr>
        <w:t xml:space="preserve"> </w:t>
      </w:r>
      <w:r w:rsidR="00EE6A04" w:rsidRPr="00215A1D">
        <w:rPr>
          <w:rFonts w:ascii="Times New Roman" w:hAnsi="Times New Roman" w:cs="Times New Roman"/>
        </w:rPr>
        <w:t>uczestników poszczególnych segmentów rynku, tworząc w odpowiedzi na ich potrzeby taryfy dynamiczne;</w:t>
      </w:r>
    </w:p>
    <w:p w14:paraId="42C5E6FD" w14:textId="77777777" w:rsidR="00EE6A04" w:rsidRPr="00215A1D" w:rsidRDefault="00C00ECA"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Redukcja</w:t>
      </w:r>
      <w:r w:rsidR="00EE6A04" w:rsidRPr="00215A1D">
        <w:rPr>
          <w:rFonts w:ascii="Times New Roman" w:hAnsi="Times New Roman" w:cs="Times New Roman"/>
          <w:b/>
        </w:rPr>
        <w:t xml:space="preserve"> wsparcia finansowego w budowie</w:t>
      </w:r>
      <w:r w:rsidR="001D0628">
        <w:rPr>
          <w:rFonts w:ascii="Times New Roman" w:hAnsi="Times New Roman" w:cs="Times New Roman"/>
          <w:b/>
        </w:rPr>
        <w:t xml:space="preserve"> i </w:t>
      </w:r>
      <w:r w:rsidR="00EE6A04" w:rsidRPr="00215A1D">
        <w:rPr>
          <w:rFonts w:ascii="Times New Roman" w:hAnsi="Times New Roman" w:cs="Times New Roman"/>
          <w:b/>
        </w:rPr>
        <w:t>utrzymaniu źródeł szczytowych</w:t>
      </w:r>
      <w:r w:rsidRPr="00215A1D">
        <w:rPr>
          <w:rFonts w:ascii="Times New Roman" w:hAnsi="Times New Roman" w:cs="Times New Roman"/>
        </w:rPr>
        <w:t>. Przewiduje się</w:t>
      </w:r>
      <w:r w:rsidR="00EF6F97">
        <w:rPr>
          <w:rFonts w:ascii="Times New Roman" w:hAnsi="Times New Roman" w:cs="Times New Roman"/>
        </w:rPr>
        <w:t xml:space="preserve"> </w:t>
      </w:r>
      <w:r w:rsidRPr="00215A1D">
        <w:rPr>
          <w:rFonts w:ascii="Times New Roman" w:hAnsi="Times New Roman" w:cs="Times New Roman"/>
        </w:rPr>
        <w:t>ok. 20 % redukcję</w:t>
      </w:r>
      <w:r w:rsidR="00EE6A04" w:rsidRPr="00215A1D">
        <w:rPr>
          <w:rFonts w:ascii="Times New Roman" w:hAnsi="Times New Roman" w:cs="Times New Roman"/>
        </w:rPr>
        <w:t xml:space="preserve"> szczytowego zapotrzebowania na moc </w:t>
      </w:r>
      <w:r w:rsidR="00255CF2" w:rsidRPr="00215A1D">
        <w:rPr>
          <w:rFonts w:ascii="Times New Roman" w:hAnsi="Times New Roman" w:cs="Times New Roman"/>
        </w:rPr>
        <w:t xml:space="preserve">wśród odbiorców </w:t>
      </w:r>
      <w:r w:rsidR="001D0628">
        <w:rPr>
          <w:rFonts w:ascii="Times New Roman" w:hAnsi="Times New Roman" w:cs="Times New Roman"/>
        </w:rPr>
        <w:t>z </w:t>
      </w:r>
      <w:r w:rsidR="00255CF2" w:rsidRPr="00215A1D">
        <w:rPr>
          <w:rFonts w:ascii="Times New Roman" w:hAnsi="Times New Roman" w:cs="Times New Roman"/>
        </w:rPr>
        <w:t xml:space="preserve">grupy taryfowej G </w:t>
      </w:r>
      <w:r w:rsidR="00EE6A04" w:rsidRPr="00215A1D">
        <w:rPr>
          <w:rFonts w:ascii="Times New Roman" w:hAnsi="Times New Roman" w:cs="Times New Roman"/>
        </w:rPr>
        <w:t>(realizowan</w:t>
      </w:r>
      <w:r w:rsidR="00255CF2" w:rsidRPr="00215A1D">
        <w:rPr>
          <w:rFonts w:ascii="Times New Roman" w:hAnsi="Times New Roman" w:cs="Times New Roman"/>
        </w:rPr>
        <w:t>ą</w:t>
      </w:r>
      <w:r w:rsidR="00EE6A04" w:rsidRPr="00215A1D">
        <w:rPr>
          <w:rFonts w:ascii="Times New Roman" w:hAnsi="Times New Roman" w:cs="Times New Roman"/>
        </w:rPr>
        <w:t xml:space="preserve"> m.in. poprze</w:t>
      </w:r>
      <w:r w:rsidR="001D0628">
        <w:rPr>
          <w:rFonts w:ascii="Times New Roman" w:hAnsi="Times New Roman" w:cs="Times New Roman"/>
        </w:rPr>
        <w:t>z </w:t>
      </w:r>
      <w:r w:rsidR="00EE6A04" w:rsidRPr="00215A1D">
        <w:rPr>
          <w:rFonts w:ascii="Times New Roman" w:hAnsi="Times New Roman" w:cs="Times New Roman"/>
        </w:rPr>
        <w:t>uczestnictwo odbiorców w programach DSR (przy zaangażowaniu agregatorów)</w:t>
      </w:r>
      <w:r w:rsidR="00255CF2" w:rsidRPr="00215A1D">
        <w:rPr>
          <w:rFonts w:ascii="Times New Roman" w:hAnsi="Times New Roman" w:cs="Times New Roman"/>
        </w:rPr>
        <w:t xml:space="preserve"> w</w:t>
      </w:r>
      <w:r w:rsidR="00EE6A04" w:rsidRPr="00215A1D">
        <w:rPr>
          <w:rFonts w:ascii="Times New Roman" w:hAnsi="Times New Roman" w:cs="Times New Roman"/>
        </w:rPr>
        <w:t xml:space="preserve"> </w:t>
      </w:r>
      <w:r w:rsidR="00255CF2" w:rsidRPr="00215A1D">
        <w:rPr>
          <w:rFonts w:ascii="Times New Roman" w:hAnsi="Times New Roman" w:cs="Times New Roman"/>
        </w:rPr>
        <w:t xml:space="preserve">tym w </w:t>
      </w:r>
      <w:r w:rsidR="00EE6A04" w:rsidRPr="00215A1D">
        <w:rPr>
          <w:rFonts w:ascii="Times New Roman" w:hAnsi="Times New Roman" w:cs="Times New Roman"/>
        </w:rPr>
        <w:t>reakcji na sygnały cenowe, świadome ograniczenie zużycia energii ora</w:t>
      </w:r>
      <w:r w:rsidR="001D0628">
        <w:rPr>
          <w:rFonts w:ascii="Times New Roman" w:hAnsi="Times New Roman" w:cs="Times New Roman"/>
        </w:rPr>
        <w:t>z </w:t>
      </w:r>
      <w:r w:rsidR="00EE6A04" w:rsidRPr="00215A1D">
        <w:rPr>
          <w:rFonts w:ascii="Times New Roman" w:hAnsi="Times New Roman" w:cs="Times New Roman"/>
        </w:rPr>
        <w:t>przesunięcie zużycia poza godziny szczytowego zapotrzebowania. Wartość powyższą oszacowano na podstawie wyników testów konsumenckich prowadzonych prze</w:t>
      </w:r>
      <w:r w:rsidR="001D0628">
        <w:rPr>
          <w:rFonts w:ascii="Times New Roman" w:hAnsi="Times New Roman" w:cs="Times New Roman"/>
        </w:rPr>
        <w:t>z </w:t>
      </w:r>
      <w:r w:rsidR="00EE6A04" w:rsidRPr="00215A1D">
        <w:rPr>
          <w:rFonts w:ascii="Times New Roman" w:hAnsi="Times New Roman" w:cs="Times New Roman"/>
        </w:rPr>
        <w:t>Energa-Operator S.A. na wybranej populacji liczników AMI (na terenie Kalisza) ora</w:t>
      </w:r>
      <w:r w:rsidR="001D0628">
        <w:rPr>
          <w:rFonts w:ascii="Times New Roman" w:hAnsi="Times New Roman" w:cs="Times New Roman"/>
        </w:rPr>
        <w:t>z </w:t>
      </w:r>
      <w:r w:rsidR="00EE6A04" w:rsidRPr="00215A1D">
        <w:rPr>
          <w:rFonts w:ascii="Times New Roman" w:hAnsi="Times New Roman" w:cs="Times New Roman"/>
        </w:rPr>
        <w:t>pilotażowego wdrożenia innowacyjnych programów redukcyjnych prze</w:t>
      </w:r>
      <w:r w:rsidR="001D0628">
        <w:rPr>
          <w:rFonts w:ascii="Times New Roman" w:hAnsi="Times New Roman" w:cs="Times New Roman"/>
        </w:rPr>
        <w:t>z </w:t>
      </w:r>
      <w:r w:rsidR="00EE6A04" w:rsidRPr="00215A1D">
        <w:rPr>
          <w:rFonts w:ascii="Times New Roman" w:hAnsi="Times New Roman" w:cs="Times New Roman"/>
        </w:rPr>
        <w:t>TAURON Dystrybucja S.A.</w:t>
      </w:r>
      <w:r w:rsidR="001D0628">
        <w:rPr>
          <w:rFonts w:ascii="Times New Roman" w:hAnsi="Times New Roman" w:cs="Times New Roman"/>
        </w:rPr>
        <w:t xml:space="preserve"> i </w:t>
      </w:r>
      <w:r w:rsidR="00EE6A04" w:rsidRPr="00215A1D">
        <w:rPr>
          <w:rFonts w:ascii="Times New Roman" w:hAnsi="Times New Roman" w:cs="Times New Roman"/>
        </w:rPr>
        <w:t>TAURON Sprzedaż</w:t>
      </w:r>
      <w:r w:rsidRPr="00215A1D">
        <w:rPr>
          <w:rFonts w:ascii="Times New Roman" w:hAnsi="Times New Roman" w:cs="Times New Roman"/>
        </w:rPr>
        <w:t xml:space="preserve"> S.A. we współpracy </w:t>
      </w:r>
      <w:r w:rsidR="001D0628">
        <w:rPr>
          <w:rFonts w:ascii="Times New Roman" w:hAnsi="Times New Roman" w:cs="Times New Roman"/>
        </w:rPr>
        <w:t>z </w:t>
      </w:r>
      <w:r w:rsidRPr="00215A1D">
        <w:rPr>
          <w:rFonts w:ascii="Times New Roman" w:hAnsi="Times New Roman" w:cs="Times New Roman"/>
        </w:rPr>
        <w:t>PSE S.A.;</w:t>
      </w:r>
    </w:p>
    <w:p w14:paraId="3D3B502D" w14:textId="77777777" w:rsidR="00EE6A04" w:rsidRPr="00215A1D" w:rsidRDefault="00C00ECA"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Uzyskanie oszczędności dzięki r</w:t>
      </w:r>
      <w:r w:rsidR="00EE6A04" w:rsidRPr="00215A1D">
        <w:rPr>
          <w:rFonts w:ascii="Times New Roman" w:hAnsi="Times New Roman" w:cs="Times New Roman"/>
          <w:b/>
        </w:rPr>
        <w:t>edukcji str</w:t>
      </w:r>
      <w:r w:rsidRPr="00215A1D">
        <w:rPr>
          <w:rFonts w:ascii="Times New Roman" w:hAnsi="Times New Roman" w:cs="Times New Roman"/>
          <w:b/>
        </w:rPr>
        <w:t>at handlowych</w:t>
      </w:r>
      <w:r w:rsidR="001D0628">
        <w:rPr>
          <w:rFonts w:ascii="Times New Roman" w:hAnsi="Times New Roman" w:cs="Times New Roman"/>
          <w:b/>
        </w:rPr>
        <w:t xml:space="preserve"> i </w:t>
      </w:r>
      <w:r w:rsidRPr="00215A1D">
        <w:rPr>
          <w:rFonts w:ascii="Times New Roman" w:hAnsi="Times New Roman" w:cs="Times New Roman"/>
          <w:b/>
        </w:rPr>
        <w:t>technicznych</w:t>
      </w:r>
      <w:r w:rsidRPr="00215A1D">
        <w:rPr>
          <w:rFonts w:ascii="Times New Roman" w:hAnsi="Times New Roman" w:cs="Times New Roman"/>
        </w:rPr>
        <w:t>. Z</w:t>
      </w:r>
      <w:r w:rsidR="00EE6A04" w:rsidRPr="00215A1D">
        <w:rPr>
          <w:rFonts w:ascii="Times New Roman" w:hAnsi="Times New Roman" w:cs="Times New Roman"/>
        </w:rPr>
        <w:t xml:space="preserve">ałożono, że w wyniku wdrożenia inteligentnego opomiarowania straty handlowe wynikające </w:t>
      </w:r>
      <w:r w:rsidR="001D0628">
        <w:rPr>
          <w:rFonts w:ascii="Times New Roman" w:hAnsi="Times New Roman" w:cs="Times New Roman"/>
        </w:rPr>
        <w:t>z </w:t>
      </w:r>
      <w:r w:rsidR="00EE6A04" w:rsidRPr="00215A1D">
        <w:rPr>
          <w:rFonts w:ascii="Times New Roman" w:hAnsi="Times New Roman" w:cs="Times New Roman"/>
        </w:rPr>
        <w:t>nielegalnego poboru zostaną ograniczone o 60%</w:t>
      </w:r>
      <w:r w:rsidR="00452E53" w:rsidRPr="00215A1D">
        <w:rPr>
          <w:rFonts w:ascii="Times New Roman" w:hAnsi="Times New Roman" w:cs="Times New Roman"/>
        </w:rPr>
        <w:t>.</w:t>
      </w:r>
      <w:r w:rsidR="00EE6A04" w:rsidRPr="00215A1D">
        <w:rPr>
          <w:rFonts w:ascii="Times New Roman" w:hAnsi="Times New Roman" w:cs="Times New Roman"/>
        </w:rPr>
        <w:t xml:space="preserve"> Zmniejszenie strat handlowych określono jako możliwe dzięki uzyskaniu narzędzi do bardziej precyzyjnego prognozowania zapotrzebowania, bieżącego monitorowania zmian w poborze energii elektrycznej ora</w:t>
      </w:r>
      <w:r w:rsidR="001D0628">
        <w:rPr>
          <w:rFonts w:ascii="Times New Roman" w:hAnsi="Times New Roman" w:cs="Times New Roman"/>
        </w:rPr>
        <w:t>z </w:t>
      </w:r>
      <w:r w:rsidR="00EE6A04" w:rsidRPr="00215A1D">
        <w:rPr>
          <w:rFonts w:ascii="Times New Roman" w:hAnsi="Times New Roman" w:cs="Times New Roman"/>
        </w:rPr>
        <w:t xml:space="preserve">znaczącego zmniejszenia rozmiaru zjawiska nielegalnego poboru energii. Jako czynniki sprzyjające </w:t>
      </w:r>
      <w:r w:rsidR="001D0628">
        <w:rPr>
          <w:rFonts w:ascii="Times New Roman" w:hAnsi="Times New Roman" w:cs="Times New Roman"/>
        </w:rPr>
        <w:t>z </w:t>
      </w:r>
      <w:r w:rsidR="00EE6A04" w:rsidRPr="00215A1D">
        <w:rPr>
          <w:rFonts w:ascii="Times New Roman" w:hAnsi="Times New Roman" w:cs="Times New Roman"/>
        </w:rPr>
        <w:t>kolei zmniejszeniu strat technicznych wskazano spłaszczenie krzywej zapotrzebowania na energię elektryczną</w:t>
      </w:r>
      <w:r w:rsidR="00EF6F97">
        <w:rPr>
          <w:rFonts w:ascii="Times New Roman" w:hAnsi="Times New Roman" w:cs="Times New Roman"/>
        </w:rPr>
        <w:t xml:space="preserve"> </w:t>
      </w:r>
      <w:r w:rsidR="00EE6A04" w:rsidRPr="00215A1D">
        <w:rPr>
          <w:rFonts w:ascii="Times New Roman" w:hAnsi="Times New Roman" w:cs="Times New Roman"/>
        </w:rPr>
        <w:t>w szczycie zapotrzebowania ora</w:t>
      </w:r>
      <w:r w:rsidR="001D0628">
        <w:rPr>
          <w:rFonts w:ascii="Times New Roman" w:hAnsi="Times New Roman" w:cs="Times New Roman"/>
        </w:rPr>
        <w:t>z </w:t>
      </w:r>
      <w:r w:rsidR="00EE6A04" w:rsidRPr="00215A1D">
        <w:rPr>
          <w:rFonts w:ascii="Times New Roman" w:hAnsi="Times New Roman" w:cs="Times New Roman"/>
        </w:rPr>
        <w:t>dokładniejszy pomiar (dzięki niższemu progowi zadziałania liczników zdalnego odczytu);</w:t>
      </w:r>
    </w:p>
    <w:p w14:paraId="277FA724" w14:textId="77777777" w:rsidR="009A1099" w:rsidRPr="00215A1D" w:rsidRDefault="009A1099"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rPr>
        <w:lastRenderedPageBreak/>
        <w:t xml:space="preserve">Projektowane rozwiązania przyczynią się także do </w:t>
      </w:r>
      <w:r w:rsidRPr="00215A1D">
        <w:rPr>
          <w:rFonts w:ascii="Times New Roman" w:hAnsi="Times New Roman" w:cs="Times New Roman"/>
          <w:b/>
        </w:rPr>
        <w:t xml:space="preserve">stworzenia potencjału do rozwoju mikro – generacji </w:t>
      </w:r>
      <w:r w:rsidRPr="00215A1D">
        <w:rPr>
          <w:rFonts w:ascii="Times New Roman" w:hAnsi="Times New Roman" w:cs="Times New Roman"/>
        </w:rPr>
        <w:t>ora</w:t>
      </w:r>
      <w:r w:rsidR="001D0628">
        <w:rPr>
          <w:rFonts w:ascii="Times New Roman" w:hAnsi="Times New Roman" w:cs="Times New Roman"/>
        </w:rPr>
        <w:t>z </w:t>
      </w:r>
      <w:r w:rsidRPr="00215A1D">
        <w:rPr>
          <w:rFonts w:ascii="Times New Roman" w:hAnsi="Times New Roman" w:cs="Times New Roman"/>
        </w:rPr>
        <w:t>podłączenia do sieci dodatkowych urządzeń, łatwego rozliczania sprzedawanej energii elektrycznej prze</w:t>
      </w:r>
      <w:r w:rsidR="001D0628">
        <w:rPr>
          <w:rFonts w:ascii="Times New Roman" w:hAnsi="Times New Roman" w:cs="Times New Roman"/>
        </w:rPr>
        <w:t>z </w:t>
      </w:r>
      <w:r w:rsidRPr="00215A1D">
        <w:rPr>
          <w:rFonts w:ascii="Times New Roman" w:hAnsi="Times New Roman" w:cs="Times New Roman"/>
        </w:rPr>
        <w:t>odbiorców końcowych instalujących własne źródła m</w:t>
      </w:r>
      <w:r w:rsidR="00C00ECA" w:rsidRPr="00215A1D">
        <w:rPr>
          <w:rFonts w:ascii="Times New Roman" w:hAnsi="Times New Roman" w:cs="Times New Roman"/>
        </w:rPr>
        <w:t>ikrogeneracji (prosumentów);</w:t>
      </w:r>
    </w:p>
    <w:p w14:paraId="673BCCEB" w14:textId="77777777" w:rsidR="0050796C" w:rsidRPr="00215A1D" w:rsidRDefault="0050796C"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rPr>
        <w:t xml:space="preserve">Na wniosek odbiorcy końcowego w gospodarstwie domowym </w:t>
      </w:r>
      <w:r w:rsidRPr="00215A1D">
        <w:rPr>
          <w:rFonts w:ascii="Times New Roman" w:hAnsi="Times New Roman" w:cs="Times New Roman"/>
          <w:b/>
        </w:rPr>
        <w:t>licznik zdalnego odczytu będzie mógł pełnić funkcję przedpłatowego układu pomiarowo-rozliczeniowego a zmiana formy rozliczeń nastąpi be</w:t>
      </w:r>
      <w:r w:rsidR="001D0628">
        <w:rPr>
          <w:rFonts w:ascii="Times New Roman" w:hAnsi="Times New Roman" w:cs="Times New Roman"/>
          <w:b/>
        </w:rPr>
        <w:t>z </w:t>
      </w:r>
      <w:r w:rsidRPr="00215A1D">
        <w:rPr>
          <w:rFonts w:ascii="Times New Roman" w:hAnsi="Times New Roman" w:cs="Times New Roman"/>
          <w:b/>
        </w:rPr>
        <w:t>dodatkowych opłat</w:t>
      </w:r>
      <w:r w:rsidRPr="00215A1D">
        <w:rPr>
          <w:rFonts w:ascii="Times New Roman" w:hAnsi="Times New Roman" w:cs="Times New Roman"/>
        </w:rPr>
        <w:t xml:space="preserve">; </w:t>
      </w:r>
    </w:p>
    <w:p w14:paraId="7C314017" w14:textId="77777777" w:rsidR="0050796C" w:rsidRPr="00215A1D" w:rsidRDefault="0050796C"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rPr>
        <w:t xml:space="preserve">Odbiorca końcowy w gospodarstwie domowym będzie również mógł wystąpić </w:t>
      </w:r>
      <w:r w:rsidR="001D0628">
        <w:rPr>
          <w:rFonts w:ascii="Times New Roman" w:hAnsi="Times New Roman" w:cs="Times New Roman"/>
        </w:rPr>
        <w:t>z </w:t>
      </w:r>
      <w:r w:rsidRPr="00215A1D">
        <w:rPr>
          <w:rFonts w:ascii="Times New Roman" w:hAnsi="Times New Roman" w:cs="Times New Roman"/>
        </w:rPr>
        <w:t xml:space="preserve">wnioskiem o </w:t>
      </w:r>
      <w:r w:rsidRPr="00215A1D">
        <w:rPr>
          <w:rFonts w:ascii="Times New Roman" w:hAnsi="Times New Roman" w:cs="Times New Roman"/>
          <w:b/>
        </w:rPr>
        <w:t xml:space="preserve">skomunikowanie licznika zdalnego odczytu </w:t>
      </w:r>
      <w:r w:rsidR="001D0628">
        <w:rPr>
          <w:rFonts w:ascii="Times New Roman" w:hAnsi="Times New Roman" w:cs="Times New Roman"/>
          <w:b/>
        </w:rPr>
        <w:t>z </w:t>
      </w:r>
      <w:r w:rsidRPr="00215A1D">
        <w:rPr>
          <w:rFonts w:ascii="Times New Roman" w:hAnsi="Times New Roman" w:cs="Times New Roman"/>
          <w:b/>
        </w:rPr>
        <w:t>urządzeniami sieci domowej w celu zarządzania pracą tych urządzeń</w:t>
      </w:r>
      <w:r w:rsidRPr="00215A1D">
        <w:rPr>
          <w:rFonts w:ascii="Times New Roman" w:hAnsi="Times New Roman" w:cs="Times New Roman"/>
        </w:rPr>
        <w:t>;</w:t>
      </w:r>
    </w:p>
    <w:p w14:paraId="0874A1B4" w14:textId="77777777" w:rsidR="0050796C" w:rsidRPr="00215A1D" w:rsidRDefault="00F5055A"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rPr>
        <w:t xml:space="preserve">Przepis, zgodnie </w:t>
      </w:r>
      <w:r w:rsidR="001D0628">
        <w:rPr>
          <w:rFonts w:ascii="Times New Roman" w:hAnsi="Times New Roman" w:cs="Times New Roman"/>
        </w:rPr>
        <w:t>z </w:t>
      </w:r>
      <w:r w:rsidRPr="00215A1D">
        <w:rPr>
          <w:rFonts w:ascii="Times New Roman" w:hAnsi="Times New Roman" w:cs="Times New Roman"/>
        </w:rPr>
        <w:t xml:space="preserve">którym odbiorca końcowy w gospodarstwie domowym będzie mógł wystąpić do operatora systemu dystrybucyjnego elektroenergetycznego, do którego sieci jest przyłączony, o wyposażenie punktu ładowania należącego do odbiorcy końcowego w licznik zdalnego odczytu w instalacji odbiorcy końcowego w gospodarstwie domowym w zw. </w:t>
      </w:r>
      <w:r w:rsidR="001D0628">
        <w:rPr>
          <w:rFonts w:ascii="Times New Roman" w:hAnsi="Times New Roman" w:cs="Times New Roman"/>
        </w:rPr>
        <w:t>z </w:t>
      </w:r>
      <w:r w:rsidRPr="00215A1D">
        <w:rPr>
          <w:rFonts w:ascii="Times New Roman" w:hAnsi="Times New Roman" w:cs="Times New Roman"/>
        </w:rPr>
        <w:t xml:space="preserve">art. 10 ustawy </w:t>
      </w:r>
      <w:r w:rsidR="001D0628">
        <w:rPr>
          <w:rFonts w:ascii="Times New Roman" w:hAnsi="Times New Roman" w:cs="Times New Roman"/>
        </w:rPr>
        <w:t>z </w:t>
      </w:r>
      <w:r w:rsidRPr="00215A1D">
        <w:rPr>
          <w:rFonts w:ascii="Times New Roman" w:hAnsi="Times New Roman" w:cs="Times New Roman"/>
        </w:rPr>
        <w:t>dnia 11 stycznia 2018</w:t>
      </w:r>
      <w:r w:rsidR="001D0628">
        <w:rPr>
          <w:rFonts w:ascii="Times New Roman" w:hAnsi="Times New Roman" w:cs="Times New Roman"/>
        </w:rPr>
        <w:t> r.</w:t>
      </w:r>
      <w:r w:rsidRPr="00215A1D">
        <w:rPr>
          <w:rFonts w:ascii="Times New Roman" w:hAnsi="Times New Roman" w:cs="Times New Roman"/>
        </w:rPr>
        <w:t xml:space="preserve"> o elektromobilności</w:t>
      </w:r>
      <w:r w:rsidR="001D0628">
        <w:rPr>
          <w:rFonts w:ascii="Times New Roman" w:hAnsi="Times New Roman" w:cs="Times New Roman"/>
        </w:rPr>
        <w:t xml:space="preserve"> i </w:t>
      </w:r>
      <w:r w:rsidRPr="00215A1D">
        <w:rPr>
          <w:rFonts w:ascii="Times New Roman" w:hAnsi="Times New Roman" w:cs="Times New Roman"/>
        </w:rPr>
        <w:t xml:space="preserve">paliwach alternatywnych (Dz. U. </w:t>
      </w:r>
      <w:r w:rsidR="001D0628">
        <w:rPr>
          <w:rFonts w:ascii="Times New Roman" w:hAnsi="Times New Roman" w:cs="Times New Roman"/>
        </w:rPr>
        <w:t>z </w:t>
      </w:r>
      <w:r w:rsidRPr="00215A1D">
        <w:rPr>
          <w:rFonts w:ascii="Times New Roman" w:hAnsi="Times New Roman" w:cs="Times New Roman"/>
        </w:rPr>
        <w:t>2018</w:t>
      </w:r>
      <w:r w:rsidR="001D0628">
        <w:rPr>
          <w:rFonts w:ascii="Times New Roman" w:hAnsi="Times New Roman" w:cs="Times New Roman"/>
        </w:rPr>
        <w:t> r.</w:t>
      </w:r>
      <w:r w:rsidRPr="00215A1D">
        <w:rPr>
          <w:rFonts w:ascii="Times New Roman" w:hAnsi="Times New Roman" w:cs="Times New Roman"/>
        </w:rPr>
        <w:t xml:space="preserve"> poz. 317</w:t>
      </w:r>
      <w:r w:rsidR="001D0628">
        <w:rPr>
          <w:rFonts w:ascii="Times New Roman" w:hAnsi="Times New Roman" w:cs="Times New Roman"/>
        </w:rPr>
        <w:t xml:space="preserve"> i </w:t>
      </w:r>
      <w:r w:rsidRPr="00215A1D">
        <w:rPr>
          <w:rFonts w:ascii="Times New Roman" w:hAnsi="Times New Roman" w:cs="Times New Roman"/>
        </w:rPr>
        <w:t xml:space="preserve">1356) umożliwi </w:t>
      </w:r>
      <w:r w:rsidRPr="00215A1D">
        <w:rPr>
          <w:rFonts w:ascii="Times New Roman" w:hAnsi="Times New Roman" w:cs="Times New Roman"/>
          <w:b/>
        </w:rPr>
        <w:t>oddzielne rozliczanie się za energię elektryczną pobraną prze</w:t>
      </w:r>
      <w:r w:rsidR="001D0628">
        <w:rPr>
          <w:rFonts w:ascii="Times New Roman" w:hAnsi="Times New Roman" w:cs="Times New Roman"/>
          <w:b/>
        </w:rPr>
        <w:t>z </w:t>
      </w:r>
      <w:r w:rsidRPr="00215A1D">
        <w:rPr>
          <w:rFonts w:ascii="Times New Roman" w:hAnsi="Times New Roman" w:cs="Times New Roman"/>
          <w:b/>
        </w:rPr>
        <w:t>pojazd elektryczny w gospodarstwie domowym</w:t>
      </w:r>
      <w:r w:rsidRPr="00215A1D">
        <w:rPr>
          <w:rFonts w:ascii="Times New Roman" w:hAnsi="Times New Roman" w:cs="Times New Roman"/>
        </w:rPr>
        <w:t>.</w:t>
      </w:r>
    </w:p>
    <w:p w14:paraId="7D6C26DE"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Dodatkowo, wejście w życie ustawy </w:t>
      </w:r>
      <w:r w:rsidR="001D0628">
        <w:rPr>
          <w:rFonts w:ascii="Times New Roman" w:hAnsi="Times New Roman" w:cs="Times New Roman"/>
        </w:rPr>
        <w:t>z </w:t>
      </w:r>
      <w:r w:rsidR="009A1099" w:rsidRPr="00215A1D">
        <w:rPr>
          <w:rFonts w:ascii="Times New Roman" w:hAnsi="Times New Roman" w:cs="Times New Roman"/>
        </w:rPr>
        <w:t>8 grudnia 2017</w:t>
      </w:r>
      <w:r w:rsidR="001D0628">
        <w:rPr>
          <w:rFonts w:ascii="Times New Roman" w:hAnsi="Times New Roman" w:cs="Times New Roman"/>
        </w:rPr>
        <w:t> r.</w:t>
      </w:r>
      <w:r w:rsidR="009A1099" w:rsidRPr="00215A1D">
        <w:rPr>
          <w:rFonts w:ascii="Times New Roman" w:hAnsi="Times New Roman" w:cs="Times New Roman"/>
        </w:rPr>
        <w:t xml:space="preserve"> o rynku mocy (Dz. U. </w:t>
      </w:r>
      <w:r w:rsidR="001D0628">
        <w:rPr>
          <w:rFonts w:ascii="Times New Roman" w:hAnsi="Times New Roman" w:cs="Times New Roman"/>
        </w:rPr>
        <w:t>z </w:t>
      </w:r>
      <w:r w:rsidR="009A1099" w:rsidRPr="00215A1D">
        <w:rPr>
          <w:rFonts w:ascii="Times New Roman" w:hAnsi="Times New Roman" w:cs="Times New Roman"/>
        </w:rPr>
        <w:t>2018</w:t>
      </w:r>
      <w:r w:rsidR="001D0628">
        <w:rPr>
          <w:rFonts w:ascii="Times New Roman" w:hAnsi="Times New Roman" w:cs="Times New Roman"/>
        </w:rPr>
        <w:t> r.</w:t>
      </w:r>
      <w:r w:rsidR="009A1099" w:rsidRPr="00215A1D">
        <w:rPr>
          <w:rFonts w:ascii="Times New Roman" w:hAnsi="Times New Roman" w:cs="Times New Roman"/>
        </w:rPr>
        <w:t xml:space="preserve"> poz. 9) skutkuje koniecznością dostosowania układów pomiarowych grupy taryfowej C1x</w:t>
      </w:r>
      <w:r w:rsidR="001D0628">
        <w:rPr>
          <w:rFonts w:ascii="Times New Roman" w:hAnsi="Times New Roman" w:cs="Times New Roman"/>
        </w:rPr>
        <w:t xml:space="preserve"> i </w:t>
      </w:r>
      <w:r w:rsidR="009A1099" w:rsidRPr="00215A1D">
        <w:rPr>
          <w:rFonts w:ascii="Times New Roman" w:hAnsi="Times New Roman" w:cs="Times New Roman"/>
        </w:rPr>
        <w:t>wyższych do pomiaru zużycia energii w okresach godzinowych, co oznacza możliwość miarodajnego pomiaru każdej godzinie doby. Oznacza to, że stawka opłaty mocowej zostanie obliczona na podstawie realnego zużycia. Obowiązek pomiaru w okresach godzinowych nie objął jednak grupy odbiorców indywidualnych (grupa taryfowa G), dla których sposób kalkulowania stawki opłaty mocowej uzależniono od rocznego zużycia energii elektrycznej, a co za tym idzie, stawka mocowa dalej może być obliczana nawet na postawie jednego odczytu w roku.</w:t>
      </w:r>
      <w:r w:rsidR="00EF6F97">
        <w:rPr>
          <w:rFonts w:ascii="Times New Roman" w:hAnsi="Times New Roman" w:cs="Times New Roman"/>
        </w:rPr>
        <w:t xml:space="preserve"> </w:t>
      </w:r>
      <w:r w:rsidR="009A1099" w:rsidRPr="00215A1D">
        <w:rPr>
          <w:rFonts w:ascii="Times New Roman" w:hAnsi="Times New Roman" w:cs="Times New Roman"/>
        </w:rPr>
        <w:t>Taki sposób kalkulacji nie będzie oparty na realnym zużyciu energii elektrycznej prze</w:t>
      </w:r>
      <w:r w:rsidR="001D0628">
        <w:rPr>
          <w:rFonts w:ascii="Times New Roman" w:hAnsi="Times New Roman" w:cs="Times New Roman"/>
        </w:rPr>
        <w:t>z </w:t>
      </w:r>
      <w:r w:rsidR="009A1099" w:rsidRPr="00215A1D">
        <w:rPr>
          <w:rFonts w:ascii="Times New Roman" w:hAnsi="Times New Roman" w:cs="Times New Roman"/>
        </w:rPr>
        <w:t xml:space="preserve">odbiorcę końcowego. Sytuacja odbiorców </w:t>
      </w:r>
      <w:r w:rsidR="001D0628">
        <w:rPr>
          <w:rFonts w:ascii="Times New Roman" w:hAnsi="Times New Roman" w:cs="Times New Roman"/>
        </w:rPr>
        <w:t>z </w:t>
      </w:r>
      <w:r w:rsidR="009A1099" w:rsidRPr="00215A1D">
        <w:rPr>
          <w:rFonts w:ascii="Times New Roman" w:hAnsi="Times New Roman" w:cs="Times New Roman"/>
        </w:rPr>
        <w:t xml:space="preserve">grupy G jest więc w tym aspekcie mniej korzystna w relacji do pozycji odbiorców </w:t>
      </w:r>
      <w:r w:rsidR="001D0628">
        <w:rPr>
          <w:rFonts w:ascii="Times New Roman" w:hAnsi="Times New Roman" w:cs="Times New Roman"/>
        </w:rPr>
        <w:t>z </w:t>
      </w:r>
      <w:r w:rsidR="009A1099" w:rsidRPr="00215A1D">
        <w:rPr>
          <w:rFonts w:ascii="Times New Roman" w:hAnsi="Times New Roman" w:cs="Times New Roman"/>
        </w:rPr>
        <w:t xml:space="preserve">grupy C1x, bowiem nie mają oni zapewnionych analogicznych standardów usług (pomiaru godzinowego). Projekt ustawy zmienia tę sytuację. </w:t>
      </w:r>
      <w:r w:rsidR="00452E53" w:rsidRPr="00215A1D">
        <w:rPr>
          <w:rFonts w:ascii="Times New Roman" w:hAnsi="Times New Roman" w:cs="Times New Roman"/>
        </w:rPr>
        <w:t xml:space="preserve">Przewidywana zmiana w ustawie o rynku mocy wyłącza obowiązek instalacji liczników zdalnego odczytu dla odbiorców grupy taryfowej C1 o mocy umownej mniejszej niż 16 kW, wobec czego odbiorcy tej grupy taryfowej będą traktowani tak samo jak odbiorcy grupy taryfowej G. </w:t>
      </w:r>
    </w:p>
    <w:p w14:paraId="391C007E" w14:textId="77777777" w:rsidR="009A1099" w:rsidRPr="00215A1D" w:rsidRDefault="009A1099" w:rsidP="00215A1D">
      <w:pPr>
        <w:spacing w:line="360" w:lineRule="auto"/>
        <w:rPr>
          <w:rFonts w:ascii="Times New Roman" w:hAnsi="Times New Roman" w:cs="Times New Roman"/>
        </w:rPr>
      </w:pPr>
    </w:p>
    <w:p w14:paraId="024BC6B5" w14:textId="77777777" w:rsidR="009A1099" w:rsidRPr="00EF6F97" w:rsidRDefault="00D24A41" w:rsidP="00EF6F97">
      <w:pPr>
        <w:pStyle w:val="USTustnpkodeksu"/>
        <w:ind w:firstLine="0"/>
        <w:rPr>
          <w:rFonts w:ascii="Times New Roman" w:hAnsi="Times New Roman" w:cs="Times New Roman"/>
          <w:szCs w:val="24"/>
        </w:rPr>
      </w:pPr>
      <w:r>
        <w:rPr>
          <w:rFonts w:ascii="Times New Roman" w:hAnsi="Times New Roman" w:cs="Times New Roman"/>
          <w:szCs w:val="24"/>
        </w:rPr>
        <w:lastRenderedPageBreak/>
        <w:t>17</w:t>
      </w:r>
      <w:r w:rsidR="009A1099" w:rsidRPr="00EF6F97">
        <w:rPr>
          <w:rFonts w:ascii="Times New Roman" w:hAnsi="Times New Roman" w:cs="Times New Roman"/>
          <w:szCs w:val="24"/>
        </w:rPr>
        <w:t>. 2. Aktualny stan prawny:</w:t>
      </w:r>
    </w:p>
    <w:p w14:paraId="3012B491" w14:textId="77777777" w:rsidR="00F021B8" w:rsidRPr="00EF6F97" w:rsidRDefault="00173903" w:rsidP="00EF6F97">
      <w:pPr>
        <w:pStyle w:val="USTustnpkodeksu"/>
        <w:rPr>
          <w:rFonts w:ascii="Times New Roman" w:hAnsi="Times New Roman" w:cs="Times New Roman"/>
          <w:szCs w:val="24"/>
        </w:rPr>
      </w:pPr>
      <w:r w:rsidRPr="00EF6F97">
        <w:rPr>
          <w:rFonts w:ascii="Times New Roman" w:hAnsi="Times New Roman" w:cs="Times New Roman"/>
          <w:szCs w:val="24"/>
        </w:rPr>
        <w:tab/>
      </w:r>
      <w:r w:rsidR="001C2DE6" w:rsidRPr="00EF6F97">
        <w:rPr>
          <w:rFonts w:ascii="Times New Roman" w:hAnsi="Times New Roman" w:cs="Times New Roman"/>
          <w:szCs w:val="24"/>
        </w:rPr>
        <w:t>W obecnie obowiązującej ustawie Prawo energetyczne występują następujące przepisy dotyczące liczników zdalnego odczytu.</w:t>
      </w:r>
    </w:p>
    <w:p w14:paraId="58A5FBF6" w14:textId="77777777" w:rsidR="001C2DE6" w:rsidRPr="00EF6F97" w:rsidRDefault="00173903" w:rsidP="00EF6F97">
      <w:pPr>
        <w:widowControl/>
        <w:spacing w:line="360" w:lineRule="auto"/>
        <w:rPr>
          <w:rFonts w:ascii="Times New Roman" w:hAnsi="Times New Roman" w:cs="Times New Roman"/>
          <w:color w:val="000000"/>
          <w:sz w:val="24"/>
          <w:szCs w:val="24"/>
          <w:lang w:eastAsia="en-GB"/>
        </w:rPr>
      </w:pPr>
      <w:r w:rsidRPr="00EF6F97">
        <w:rPr>
          <w:rFonts w:ascii="Times New Roman" w:hAnsi="Times New Roman" w:cs="Times New Roman"/>
          <w:color w:val="000000"/>
          <w:sz w:val="24"/>
          <w:szCs w:val="24"/>
          <w:lang w:eastAsia="en-GB"/>
        </w:rPr>
        <w:tab/>
      </w:r>
      <w:r w:rsidR="001C2DE6" w:rsidRPr="00EF6F97">
        <w:rPr>
          <w:rFonts w:ascii="Times New Roman" w:hAnsi="Times New Roman" w:cs="Times New Roman"/>
          <w:color w:val="000000"/>
          <w:sz w:val="24"/>
          <w:szCs w:val="24"/>
          <w:lang w:eastAsia="en-GB"/>
        </w:rPr>
        <w:t xml:space="preserve">Art. 9c ust. 5a. Operatorzy systemów dystrybucyjnych instalujący u odbiorców końcowych przyłączonych do ich sieci liczniki zdalnego odczytu są obowiązani chronić dane pomiarowe dotyczące tych odbiorców na zasadach określonych w przepisach o ochronie danych osobowych. </w:t>
      </w:r>
    </w:p>
    <w:p w14:paraId="72C002AD" w14:textId="19B30AE2" w:rsidR="00F021B8" w:rsidRPr="00EF6F97" w:rsidRDefault="00173903" w:rsidP="00EF6F97">
      <w:pPr>
        <w:pStyle w:val="USTustnpkodeksu"/>
        <w:ind w:firstLine="0"/>
        <w:rPr>
          <w:rFonts w:ascii="Times New Roman" w:hAnsi="Times New Roman" w:cs="Times New Roman"/>
          <w:bCs w:val="0"/>
          <w:color w:val="000000"/>
          <w:szCs w:val="24"/>
          <w:lang w:eastAsia="en-GB"/>
        </w:rPr>
      </w:pPr>
      <w:r w:rsidRPr="00EF6F97">
        <w:rPr>
          <w:rFonts w:ascii="Times New Roman" w:hAnsi="Times New Roman" w:cs="Times New Roman"/>
          <w:bCs w:val="0"/>
          <w:color w:val="000000"/>
          <w:szCs w:val="24"/>
          <w:lang w:eastAsia="en-GB"/>
        </w:rPr>
        <w:tab/>
      </w:r>
      <w:r w:rsidR="001C2DE6" w:rsidRPr="00EF6F97">
        <w:rPr>
          <w:rFonts w:ascii="Times New Roman" w:hAnsi="Times New Roman" w:cs="Times New Roman"/>
          <w:bCs w:val="0"/>
          <w:color w:val="000000"/>
          <w:szCs w:val="24"/>
          <w:lang w:eastAsia="en-GB"/>
        </w:rPr>
        <w:t>Art. 9c ust. 5b. Prze</w:t>
      </w:r>
      <w:r w:rsidR="001D0628">
        <w:rPr>
          <w:rFonts w:ascii="Times New Roman" w:hAnsi="Times New Roman" w:cs="Times New Roman"/>
          <w:bCs w:val="0"/>
          <w:color w:val="000000"/>
          <w:szCs w:val="24"/>
          <w:lang w:eastAsia="en-GB"/>
        </w:rPr>
        <w:t>z </w:t>
      </w:r>
      <w:r w:rsidR="001C2DE6" w:rsidRPr="00EF6F97">
        <w:rPr>
          <w:rFonts w:ascii="Times New Roman" w:hAnsi="Times New Roman" w:cs="Times New Roman"/>
          <w:bCs w:val="0"/>
          <w:color w:val="000000"/>
          <w:szCs w:val="24"/>
          <w:lang w:eastAsia="en-GB"/>
        </w:rPr>
        <w:t xml:space="preserve">liczniki zdalnego odczytu rozumie się zespół urządzeń służących do pozyskiwania danych pomiarowych, umożliwiający dwustronną komunikację </w:t>
      </w:r>
      <w:r w:rsidR="001D0628">
        <w:rPr>
          <w:rFonts w:ascii="Times New Roman" w:hAnsi="Times New Roman" w:cs="Times New Roman"/>
          <w:bCs w:val="0"/>
          <w:color w:val="000000"/>
          <w:szCs w:val="24"/>
          <w:lang w:eastAsia="en-GB"/>
        </w:rPr>
        <w:t>z </w:t>
      </w:r>
      <w:r w:rsidR="001C2DE6" w:rsidRPr="00EF6F97">
        <w:rPr>
          <w:rFonts w:ascii="Times New Roman" w:hAnsi="Times New Roman" w:cs="Times New Roman"/>
          <w:bCs w:val="0"/>
          <w:color w:val="000000"/>
          <w:szCs w:val="24"/>
          <w:lang w:eastAsia="en-GB"/>
        </w:rPr>
        <w:t xml:space="preserve">systemem </w:t>
      </w:r>
      <w:r w:rsidR="00B077B9">
        <w:rPr>
          <w:rFonts w:ascii="Times New Roman" w:hAnsi="Times New Roman" w:cs="Times New Roman"/>
          <w:bCs w:val="0"/>
          <w:color w:val="000000"/>
          <w:szCs w:val="24"/>
          <w:lang w:eastAsia="en-GB"/>
        </w:rPr>
        <w:t>informacyjnym</w:t>
      </w:r>
      <w:r w:rsidR="001C2DE6" w:rsidRPr="00EF6F97">
        <w:rPr>
          <w:rFonts w:ascii="Times New Roman" w:hAnsi="Times New Roman" w:cs="Times New Roman"/>
          <w:bCs w:val="0"/>
          <w:color w:val="000000"/>
          <w:szCs w:val="24"/>
          <w:lang w:eastAsia="en-GB"/>
        </w:rPr>
        <w:t>.</w:t>
      </w:r>
    </w:p>
    <w:p w14:paraId="4B339FC8" w14:textId="77777777" w:rsidR="001C2DE6" w:rsidRPr="00EF6F97" w:rsidRDefault="001C2DE6" w:rsidP="00215A1D">
      <w:pPr>
        <w:widowControl/>
        <w:spacing w:line="360" w:lineRule="auto"/>
        <w:rPr>
          <w:rFonts w:ascii="Times New Roman" w:hAnsi="Times New Roman" w:cs="Times New Roman"/>
          <w:color w:val="000000"/>
          <w:sz w:val="24"/>
          <w:szCs w:val="24"/>
          <w:lang w:eastAsia="en-GB"/>
        </w:rPr>
      </w:pPr>
      <w:r w:rsidRPr="00EF6F97">
        <w:rPr>
          <w:rFonts w:ascii="Times New Roman" w:hAnsi="Times New Roman" w:cs="Times New Roman"/>
          <w:color w:val="000000"/>
          <w:sz w:val="24"/>
          <w:szCs w:val="24"/>
          <w:lang w:eastAsia="en-GB"/>
        </w:rPr>
        <w:t xml:space="preserve">Art. 16 ust. 7. Plan, o którym mowa w ust. 1, obejmuje w szczególności: </w:t>
      </w:r>
    </w:p>
    <w:p w14:paraId="16859C18" w14:textId="77777777" w:rsidR="001C2DE6" w:rsidRPr="00EF6F97" w:rsidRDefault="001C2DE6" w:rsidP="00EF6F97">
      <w:pPr>
        <w:pStyle w:val="USTustnpkodeksu"/>
        <w:ind w:firstLine="0"/>
        <w:rPr>
          <w:rFonts w:ascii="Times New Roman" w:hAnsi="Times New Roman" w:cs="Times New Roman"/>
          <w:szCs w:val="24"/>
        </w:rPr>
      </w:pPr>
      <w:r w:rsidRPr="00EF6F97">
        <w:rPr>
          <w:rFonts w:ascii="Times New Roman" w:hAnsi="Times New Roman" w:cs="Times New Roman"/>
          <w:bCs w:val="0"/>
          <w:color w:val="000000"/>
          <w:szCs w:val="24"/>
          <w:lang w:eastAsia="en-GB"/>
        </w:rPr>
        <w:t>4) przedsięwzięcia racjonalizujące zużycie paliw</w:t>
      </w:r>
      <w:r w:rsidR="001D0628">
        <w:rPr>
          <w:rFonts w:ascii="Times New Roman" w:hAnsi="Times New Roman" w:cs="Times New Roman"/>
          <w:bCs w:val="0"/>
          <w:color w:val="000000"/>
          <w:szCs w:val="24"/>
          <w:lang w:eastAsia="en-GB"/>
        </w:rPr>
        <w:t xml:space="preserve"> i </w:t>
      </w:r>
      <w:r w:rsidRPr="00EF6F97">
        <w:rPr>
          <w:rFonts w:ascii="Times New Roman" w:hAnsi="Times New Roman" w:cs="Times New Roman"/>
          <w:bCs w:val="0"/>
          <w:color w:val="000000"/>
          <w:szCs w:val="24"/>
          <w:lang w:eastAsia="en-GB"/>
        </w:rPr>
        <w:t>energii u odbiorców, w tym także przedsięwzięcia w zakresie pozyskiwania, transmisji ora</w:t>
      </w:r>
      <w:r w:rsidR="001D0628">
        <w:rPr>
          <w:rFonts w:ascii="Times New Roman" w:hAnsi="Times New Roman" w:cs="Times New Roman"/>
          <w:bCs w:val="0"/>
          <w:color w:val="000000"/>
          <w:szCs w:val="24"/>
          <w:lang w:eastAsia="en-GB"/>
        </w:rPr>
        <w:t>z </w:t>
      </w:r>
      <w:r w:rsidRPr="00EF6F97">
        <w:rPr>
          <w:rFonts w:ascii="Times New Roman" w:hAnsi="Times New Roman" w:cs="Times New Roman"/>
          <w:bCs w:val="0"/>
          <w:color w:val="000000"/>
          <w:szCs w:val="24"/>
          <w:lang w:eastAsia="en-GB"/>
        </w:rPr>
        <w:t xml:space="preserve">przetwarzania danych pomiarowych </w:t>
      </w:r>
      <w:r w:rsidR="001D0628">
        <w:rPr>
          <w:rFonts w:ascii="Times New Roman" w:hAnsi="Times New Roman" w:cs="Times New Roman"/>
          <w:bCs w:val="0"/>
          <w:color w:val="000000"/>
          <w:szCs w:val="24"/>
          <w:lang w:eastAsia="en-GB"/>
        </w:rPr>
        <w:t>z </w:t>
      </w:r>
      <w:r w:rsidRPr="00EF6F97">
        <w:rPr>
          <w:rFonts w:ascii="Times New Roman" w:hAnsi="Times New Roman" w:cs="Times New Roman"/>
          <w:bCs w:val="0"/>
          <w:color w:val="000000"/>
          <w:szCs w:val="24"/>
          <w:lang w:eastAsia="en-GB"/>
        </w:rPr>
        <w:t>licznika zdalnego odczytu;</w:t>
      </w:r>
    </w:p>
    <w:p w14:paraId="1EC1EF6E" w14:textId="77777777" w:rsidR="006F4FCE" w:rsidRPr="00EF6F97" w:rsidRDefault="00173903" w:rsidP="00EF6F97">
      <w:pPr>
        <w:pStyle w:val="USTustnpkodeksu"/>
        <w:rPr>
          <w:rFonts w:ascii="Times New Roman" w:hAnsi="Times New Roman" w:cs="Times New Roman"/>
          <w:szCs w:val="24"/>
        </w:rPr>
      </w:pPr>
      <w:r w:rsidRPr="00EF6F97">
        <w:rPr>
          <w:rFonts w:ascii="Times New Roman" w:hAnsi="Times New Roman" w:cs="Times New Roman"/>
          <w:szCs w:val="24"/>
        </w:rPr>
        <w:tab/>
      </w:r>
      <w:r w:rsidR="001C2DE6" w:rsidRPr="00EF6F97">
        <w:rPr>
          <w:rFonts w:ascii="Times New Roman" w:hAnsi="Times New Roman" w:cs="Times New Roman"/>
          <w:szCs w:val="24"/>
        </w:rPr>
        <w:t xml:space="preserve">Nie występują natomiast w ustawie Prawo energetyczne przepisy dotyczące centralnego przetwarzania informacji rynku energii. </w:t>
      </w:r>
    </w:p>
    <w:p w14:paraId="110B16F8" w14:textId="77777777" w:rsidR="00C82FC8"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Większość krajów UE jest w fazie wdrażania systemów inteligentnego opomiarowania (m.in. </w:t>
      </w:r>
      <w:r w:rsidR="00C82FC8" w:rsidRPr="00215A1D">
        <w:rPr>
          <w:rFonts w:ascii="Times New Roman" w:hAnsi="Times New Roman" w:cs="Times New Roman"/>
        </w:rPr>
        <w:t xml:space="preserve">Dania, Francja, </w:t>
      </w:r>
      <w:r w:rsidR="009A1099" w:rsidRPr="00215A1D">
        <w:rPr>
          <w:rFonts w:ascii="Times New Roman" w:hAnsi="Times New Roman" w:cs="Times New Roman"/>
        </w:rPr>
        <w:t>Norwegia, ) lub takie systemy posiadają</w:t>
      </w:r>
      <w:r w:rsidR="00EF6F97">
        <w:rPr>
          <w:rFonts w:ascii="Times New Roman" w:hAnsi="Times New Roman" w:cs="Times New Roman"/>
        </w:rPr>
        <w:t xml:space="preserve"> </w:t>
      </w:r>
      <w:r w:rsidR="009A1099" w:rsidRPr="00215A1D">
        <w:rPr>
          <w:rFonts w:ascii="Times New Roman" w:hAnsi="Times New Roman" w:cs="Times New Roman"/>
        </w:rPr>
        <w:t>(m.in. w</w:t>
      </w:r>
      <w:r w:rsidR="00C82FC8" w:rsidRPr="00215A1D">
        <w:rPr>
          <w:rFonts w:ascii="Times New Roman" w:hAnsi="Times New Roman" w:cs="Times New Roman"/>
        </w:rPr>
        <w:t xml:space="preserve"> Estonia, Finlandia, Szwecja, </w:t>
      </w:r>
      <w:r w:rsidR="009A1099" w:rsidRPr="00215A1D">
        <w:rPr>
          <w:rFonts w:ascii="Times New Roman" w:hAnsi="Times New Roman" w:cs="Times New Roman"/>
        </w:rPr>
        <w:t xml:space="preserve">Włochy). Systemy te obejmują </w:t>
      </w:r>
      <w:r w:rsidR="008B4A71" w:rsidRPr="00215A1D">
        <w:rPr>
          <w:rFonts w:ascii="Times New Roman" w:hAnsi="Times New Roman" w:cs="Times New Roman"/>
        </w:rPr>
        <w:t xml:space="preserve">także </w:t>
      </w:r>
      <w:r w:rsidR="009A1099" w:rsidRPr="00215A1D">
        <w:rPr>
          <w:rFonts w:ascii="Times New Roman" w:hAnsi="Times New Roman" w:cs="Times New Roman"/>
        </w:rPr>
        <w:t xml:space="preserve">centralne gromadzenie lub centralny dostęp do danych pomiarowych. </w:t>
      </w:r>
      <w:r w:rsidR="00C82FC8" w:rsidRPr="00215A1D">
        <w:rPr>
          <w:rFonts w:ascii="Times New Roman" w:hAnsi="Times New Roman" w:cs="Times New Roman"/>
        </w:rPr>
        <w:t xml:space="preserve">Stan zaawansowania wdrożeń w poszczególnych krajach UE przedstawia strona: </w:t>
      </w:r>
      <w:hyperlink r:id="rId14" w:history="1">
        <w:r w:rsidR="00C82FC8" w:rsidRPr="00215A1D">
          <w:rPr>
            <w:rStyle w:val="Hipercze"/>
            <w:rFonts w:ascii="Times New Roman" w:hAnsi="Times New Roman" w:cs="Times New Roman"/>
          </w:rPr>
          <w:t>https://ses.jrc.ec.europa.eu/smart-metering-deployment-european-union</w:t>
        </w:r>
      </w:hyperlink>
    </w:p>
    <w:p w14:paraId="717CF0EC"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Rozwiązania te są zbliżone co do swej istoty do modelu proponowanego do wdrożenia w Polsce. Funkcje zarządzających centralnymi systemami danych pełnią zazwyczaj podmioty niezależne organizacyjnie</w:t>
      </w:r>
      <w:r w:rsidR="001D0628">
        <w:rPr>
          <w:rFonts w:ascii="Times New Roman" w:hAnsi="Times New Roman" w:cs="Times New Roman"/>
        </w:rPr>
        <w:t xml:space="preserve"> i </w:t>
      </w:r>
      <w:r w:rsidR="009A1099" w:rsidRPr="00215A1D">
        <w:rPr>
          <w:rFonts w:ascii="Times New Roman" w:hAnsi="Times New Roman" w:cs="Times New Roman"/>
        </w:rPr>
        <w:t>funkcjonalnie od operatorów systemów dystrybucyjnych (OSD)</w:t>
      </w:r>
      <w:r w:rsidR="001D0628">
        <w:rPr>
          <w:rFonts w:ascii="Times New Roman" w:hAnsi="Times New Roman" w:cs="Times New Roman"/>
        </w:rPr>
        <w:t xml:space="preserve"> i </w:t>
      </w:r>
      <w:r w:rsidR="009A1099" w:rsidRPr="00215A1D">
        <w:rPr>
          <w:rFonts w:ascii="Times New Roman" w:hAnsi="Times New Roman" w:cs="Times New Roman"/>
        </w:rPr>
        <w:t xml:space="preserve">sprzedawców, najczęściej są to spółki powiązane </w:t>
      </w:r>
      <w:r w:rsidR="001D0628">
        <w:rPr>
          <w:rFonts w:ascii="Times New Roman" w:hAnsi="Times New Roman" w:cs="Times New Roman"/>
        </w:rPr>
        <w:t>z </w:t>
      </w:r>
      <w:r w:rsidR="009A1099" w:rsidRPr="00215A1D">
        <w:rPr>
          <w:rFonts w:ascii="Times New Roman" w:hAnsi="Times New Roman" w:cs="Times New Roman"/>
        </w:rPr>
        <w:t xml:space="preserve">operatorami systemu przesyłowego (OSP) (w większości krajów UE jest jeden OSP). Rolę operatora informacji </w:t>
      </w:r>
      <w:r w:rsidR="00C82FC8" w:rsidRPr="00215A1D">
        <w:rPr>
          <w:rFonts w:ascii="Times New Roman" w:hAnsi="Times New Roman" w:cs="Times New Roman"/>
        </w:rPr>
        <w:t xml:space="preserve">rynku energii </w:t>
      </w:r>
      <w:r w:rsidR="009A1099" w:rsidRPr="00215A1D">
        <w:rPr>
          <w:rFonts w:ascii="Times New Roman" w:hAnsi="Times New Roman" w:cs="Times New Roman"/>
        </w:rPr>
        <w:t>(OI</w:t>
      </w:r>
      <w:r w:rsidR="00C82FC8" w:rsidRPr="00215A1D">
        <w:rPr>
          <w:rFonts w:ascii="Times New Roman" w:hAnsi="Times New Roman" w:cs="Times New Roman"/>
        </w:rPr>
        <w:t>RE</w:t>
      </w:r>
      <w:r w:rsidR="009A1099" w:rsidRPr="00215A1D">
        <w:rPr>
          <w:rFonts w:ascii="Times New Roman" w:hAnsi="Times New Roman" w:cs="Times New Roman"/>
        </w:rPr>
        <w:t xml:space="preserve">) może również pełnić bezpośrednio OSP. Działalność w obszarze zarządzania </w:t>
      </w:r>
      <w:r w:rsidR="00C94C9C" w:rsidRPr="00215A1D">
        <w:rPr>
          <w:rFonts w:ascii="Times New Roman" w:hAnsi="Times New Roman" w:cs="Times New Roman"/>
        </w:rPr>
        <w:t xml:space="preserve">danymi </w:t>
      </w:r>
      <w:r w:rsidR="009A1099" w:rsidRPr="00215A1D">
        <w:rPr>
          <w:rFonts w:ascii="Times New Roman" w:hAnsi="Times New Roman" w:cs="Times New Roman"/>
        </w:rPr>
        <w:t xml:space="preserve">pomiarowymi jest działalnością regulowaną. </w:t>
      </w:r>
    </w:p>
    <w:p w14:paraId="61337CDA"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Systemy najbardziej zbliżone do proponowanych rozwiązań, opierające się na scentralizowanym modelu zarządzania danymi pomiarowymi, wprowadzone zostały w Danii</w:t>
      </w:r>
      <w:r w:rsidR="001D0628">
        <w:rPr>
          <w:rFonts w:ascii="Times New Roman" w:hAnsi="Times New Roman" w:cs="Times New Roman"/>
        </w:rPr>
        <w:t xml:space="preserve"> i </w:t>
      </w:r>
      <w:r w:rsidR="00C82FC8" w:rsidRPr="00215A1D">
        <w:rPr>
          <w:rFonts w:ascii="Times New Roman" w:hAnsi="Times New Roman" w:cs="Times New Roman"/>
        </w:rPr>
        <w:t>Norwegii</w:t>
      </w:r>
      <w:r w:rsidR="009A1099" w:rsidRPr="00215A1D">
        <w:rPr>
          <w:rFonts w:ascii="Times New Roman" w:hAnsi="Times New Roman" w:cs="Times New Roman"/>
        </w:rPr>
        <w:t>. Na uwagę zasługuje szereg podobieństw pomiędzy strukturami rynku energii elektrycznej w Dani</w:t>
      </w:r>
      <w:r w:rsidR="00C82FC8" w:rsidRPr="00215A1D">
        <w:rPr>
          <w:rFonts w:ascii="Times New Roman" w:hAnsi="Times New Roman" w:cs="Times New Roman"/>
        </w:rPr>
        <w:t>i</w:t>
      </w:r>
      <w:r w:rsidR="001D0628">
        <w:rPr>
          <w:rFonts w:ascii="Times New Roman" w:hAnsi="Times New Roman" w:cs="Times New Roman"/>
        </w:rPr>
        <w:t xml:space="preserve"> i </w:t>
      </w:r>
      <w:r w:rsidR="00C82FC8" w:rsidRPr="00215A1D">
        <w:rPr>
          <w:rFonts w:ascii="Times New Roman" w:hAnsi="Times New Roman" w:cs="Times New Roman"/>
        </w:rPr>
        <w:t>Norwegii ora</w:t>
      </w:r>
      <w:r w:rsidR="001D0628">
        <w:rPr>
          <w:rFonts w:ascii="Times New Roman" w:hAnsi="Times New Roman" w:cs="Times New Roman"/>
        </w:rPr>
        <w:t>z </w:t>
      </w:r>
      <w:r w:rsidR="009A1099" w:rsidRPr="00215A1D">
        <w:rPr>
          <w:rFonts w:ascii="Times New Roman" w:hAnsi="Times New Roman" w:cs="Times New Roman"/>
        </w:rPr>
        <w:t>w Polsce: jeden OSP, duża liczba OSD, duża liczba sprzedawców, bardzo duża liczba interakcji między tymi uczestnikami.</w:t>
      </w:r>
    </w:p>
    <w:p w14:paraId="0F499F6D" w14:textId="77777777" w:rsidR="009679B5" w:rsidRPr="00215A1D" w:rsidRDefault="009679B5" w:rsidP="00EF6F97">
      <w:pPr>
        <w:pStyle w:val="USTustnpkodeksu"/>
        <w:rPr>
          <w:rFonts w:ascii="Times New Roman" w:hAnsi="Times New Roman" w:cs="Times New Roman"/>
        </w:rPr>
      </w:pPr>
    </w:p>
    <w:p w14:paraId="1675BF1D"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lastRenderedPageBreak/>
        <w:tab/>
      </w:r>
      <w:r w:rsidR="009A1099" w:rsidRPr="00215A1D">
        <w:rPr>
          <w:rFonts w:ascii="Times New Roman" w:hAnsi="Times New Roman" w:cs="Times New Roman"/>
        </w:rPr>
        <w:t>W Polsce sporządzono szereg ocen</w:t>
      </w:r>
      <w:r w:rsidR="001D0628">
        <w:rPr>
          <w:rFonts w:ascii="Times New Roman" w:hAnsi="Times New Roman" w:cs="Times New Roman"/>
        </w:rPr>
        <w:t xml:space="preserve"> i </w:t>
      </w:r>
      <w:r w:rsidR="009A1099" w:rsidRPr="00215A1D">
        <w:rPr>
          <w:rFonts w:ascii="Times New Roman" w:hAnsi="Times New Roman" w:cs="Times New Roman"/>
        </w:rPr>
        <w:t>analiz. Sporządzone oceny ora</w:t>
      </w:r>
      <w:r w:rsidR="001D0628">
        <w:rPr>
          <w:rFonts w:ascii="Times New Roman" w:hAnsi="Times New Roman" w:cs="Times New Roman"/>
        </w:rPr>
        <w:t>z </w:t>
      </w:r>
      <w:r w:rsidR="009A1099" w:rsidRPr="00215A1D">
        <w:rPr>
          <w:rFonts w:ascii="Times New Roman" w:hAnsi="Times New Roman" w:cs="Times New Roman"/>
        </w:rPr>
        <w:t>analizy wykazały, że:</w:t>
      </w:r>
    </w:p>
    <w:p w14:paraId="3E317CF3" w14:textId="77777777" w:rsidR="009A1099" w:rsidRPr="00215A1D" w:rsidRDefault="009A1099" w:rsidP="00215A1D">
      <w:pPr>
        <w:pStyle w:val="PKTpunkt"/>
        <w:numPr>
          <w:ilvl w:val="0"/>
          <w:numId w:val="56"/>
        </w:numPr>
        <w:rPr>
          <w:rFonts w:ascii="Times New Roman" w:hAnsi="Times New Roman" w:cs="Times New Roman"/>
        </w:rPr>
      </w:pPr>
      <w:r w:rsidRPr="00215A1D">
        <w:rPr>
          <w:rFonts w:ascii="Times New Roman" w:hAnsi="Times New Roman" w:cs="Times New Roman"/>
        </w:rPr>
        <w:t>w wyniku wdrożenia inteligentnego opomiarowania planowane korzyści jego wdrożenia przewyższają poniesione koszty;</w:t>
      </w:r>
    </w:p>
    <w:p w14:paraId="0B933FB6" w14:textId="77777777" w:rsidR="009A1099" w:rsidRPr="00215A1D" w:rsidRDefault="009A1099" w:rsidP="00215A1D">
      <w:pPr>
        <w:pStyle w:val="PKTpunkt"/>
        <w:numPr>
          <w:ilvl w:val="0"/>
          <w:numId w:val="56"/>
        </w:numPr>
        <w:rPr>
          <w:rFonts w:ascii="Times New Roman" w:hAnsi="Times New Roman" w:cs="Times New Roman"/>
        </w:rPr>
      </w:pPr>
      <w:r w:rsidRPr="00215A1D">
        <w:rPr>
          <w:rFonts w:ascii="Times New Roman" w:hAnsi="Times New Roman" w:cs="Times New Roman"/>
        </w:rPr>
        <w:t>ochrona</w:t>
      </w:r>
      <w:r w:rsidR="001D0628">
        <w:rPr>
          <w:rFonts w:ascii="Times New Roman" w:hAnsi="Times New Roman" w:cs="Times New Roman"/>
        </w:rPr>
        <w:t xml:space="preserve"> i </w:t>
      </w:r>
      <w:r w:rsidRPr="00215A1D">
        <w:rPr>
          <w:rFonts w:ascii="Times New Roman" w:hAnsi="Times New Roman" w:cs="Times New Roman"/>
        </w:rPr>
        <w:t>bezpieczeństwo danych pomiarowych</w:t>
      </w:r>
      <w:r w:rsidR="001D0628">
        <w:rPr>
          <w:rFonts w:ascii="Times New Roman" w:hAnsi="Times New Roman" w:cs="Times New Roman"/>
        </w:rPr>
        <w:t xml:space="preserve"> i </w:t>
      </w:r>
      <w:r w:rsidR="005870DA" w:rsidRPr="00215A1D">
        <w:rPr>
          <w:rFonts w:ascii="Times New Roman" w:hAnsi="Times New Roman" w:cs="Times New Roman"/>
        </w:rPr>
        <w:t xml:space="preserve">danych osobowych </w:t>
      </w:r>
      <w:r w:rsidRPr="00215A1D">
        <w:rPr>
          <w:rFonts w:ascii="Times New Roman" w:hAnsi="Times New Roman" w:cs="Times New Roman"/>
        </w:rPr>
        <w:t>w kontekście inteligentnego opomiarowania jest</w:t>
      </w:r>
      <w:r w:rsidR="001D0628">
        <w:rPr>
          <w:rFonts w:ascii="Times New Roman" w:hAnsi="Times New Roman" w:cs="Times New Roman"/>
        </w:rPr>
        <w:t xml:space="preserve"> i </w:t>
      </w:r>
      <w:r w:rsidRPr="00215A1D">
        <w:rPr>
          <w:rFonts w:ascii="Times New Roman" w:hAnsi="Times New Roman" w:cs="Times New Roman"/>
        </w:rPr>
        <w:t xml:space="preserve">powinno być jednym </w:t>
      </w:r>
      <w:r w:rsidR="001D0628">
        <w:rPr>
          <w:rFonts w:ascii="Times New Roman" w:hAnsi="Times New Roman" w:cs="Times New Roman"/>
        </w:rPr>
        <w:t>z </w:t>
      </w:r>
      <w:r w:rsidRPr="00215A1D">
        <w:rPr>
          <w:rFonts w:ascii="Times New Roman" w:hAnsi="Times New Roman" w:cs="Times New Roman"/>
        </w:rPr>
        <w:t>najważniejszych elementów decydujących o jego powodzeniu;</w:t>
      </w:r>
    </w:p>
    <w:p w14:paraId="2AFFDCE5" w14:textId="77777777" w:rsidR="009A1099" w:rsidRPr="00215A1D" w:rsidRDefault="009A1099" w:rsidP="00215A1D">
      <w:pPr>
        <w:pStyle w:val="PKTpunkt"/>
        <w:numPr>
          <w:ilvl w:val="0"/>
          <w:numId w:val="56"/>
        </w:numPr>
        <w:rPr>
          <w:rFonts w:ascii="Times New Roman" w:hAnsi="Times New Roman" w:cs="Times New Roman"/>
        </w:rPr>
      </w:pPr>
      <w:r w:rsidRPr="00215A1D">
        <w:rPr>
          <w:rFonts w:ascii="Times New Roman" w:hAnsi="Times New Roman" w:cs="Times New Roman"/>
        </w:rPr>
        <w:t>należy zapewnić spójne wymagania dla systemu pomiarowego w zakresie jego cech funkcjonalnych, co będzie również miało wpływ na interoperacyjność tego systemu ora</w:t>
      </w:r>
      <w:r w:rsidR="001D0628">
        <w:rPr>
          <w:rFonts w:ascii="Times New Roman" w:hAnsi="Times New Roman" w:cs="Times New Roman"/>
        </w:rPr>
        <w:t>z </w:t>
      </w:r>
      <w:r w:rsidRPr="00215A1D">
        <w:rPr>
          <w:rFonts w:ascii="Times New Roman" w:hAnsi="Times New Roman" w:cs="Times New Roman"/>
        </w:rPr>
        <w:t>bezpieczeństwo danych pomiarowych. Kryterium cenowe w tym przypadku nie powinno być najważniejszym czynnikiem wyboru dostawcy oprzyrządowania;</w:t>
      </w:r>
    </w:p>
    <w:p w14:paraId="34CA0460" w14:textId="77777777" w:rsidR="009A1099" w:rsidRPr="00215A1D" w:rsidRDefault="009A1099" w:rsidP="00215A1D">
      <w:pPr>
        <w:pStyle w:val="PKTpunkt"/>
        <w:numPr>
          <w:ilvl w:val="0"/>
          <w:numId w:val="56"/>
        </w:numPr>
        <w:rPr>
          <w:rFonts w:ascii="Times New Roman" w:hAnsi="Times New Roman" w:cs="Times New Roman"/>
        </w:rPr>
      </w:pPr>
      <w:r w:rsidRPr="00215A1D">
        <w:rPr>
          <w:rFonts w:ascii="Times New Roman" w:hAnsi="Times New Roman" w:cs="Times New Roman"/>
        </w:rPr>
        <w:t xml:space="preserve">wprowadzenie inteligentnego opomiarowania na szeroką skalę powinno być związane ze zmianą sposobu określania cen energii elektrycznej dla odbiorców końcowych; </w:t>
      </w:r>
    </w:p>
    <w:p w14:paraId="45169FC8" w14:textId="77777777" w:rsidR="009A1099" w:rsidRPr="00215A1D" w:rsidRDefault="009A1099" w:rsidP="00215A1D">
      <w:pPr>
        <w:pStyle w:val="PKTpunkt"/>
        <w:numPr>
          <w:ilvl w:val="0"/>
          <w:numId w:val="56"/>
        </w:numPr>
        <w:rPr>
          <w:rFonts w:ascii="Times New Roman" w:hAnsi="Times New Roman" w:cs="Times New Roman"/>
        </w:rPr>
      </w:pPr>
      <w:r w:rsidRPr="00215A1D">
        <w:rPr>
          <w:rFonts w:ascii="Times New Roman" w:hAnsi="Times New Roman" w:cs="Times New Roman"/>
        </w:rPr>
        <w:t>należy odejść, co do zasady, od stałych taryf na rzec</w:t>
      </w:r>
      <w:r w:rsidR="001D0628">
        <w:rPr>
          <w:rFonts w:ascii="Times New Roman" w:hAnsi="Times New Roman" w:cs="Times New Roman"/>
        </w:rPr>
        <w:t>z </w:t>
      </w:r>
      <w:r w:rsidRPr="00215A1D">
        <w:rPr>
          <w:rFonts w:ascii="Times New Roman" w:hAnsi="Times New Roman" w:cs="Times New Roman"/>
        </w:rPr>
        <w:t>taryf dynamicznych w zależności od pory dnia ora</w:t>
      </w:r>
      <w:r w:rsidR="001D0628">
        <w:rPr>
          <w:rFonts w:ascii="Times New Roman" w:hAnsi="Times New Roman" w:cs="Times New Roman"/>
        </w:rPr>
        <w:t>z </w:t>
      </w:r>
      <w:r w:rsidRPr="00215A1D">
        <w:rPr>
          <w:rFonts w:ascii="Times New Roman" w:hAnsi="Times New Roman" w:cs="Times New Roman"/>
        </w:rPr>
        <w:t>sytuacji w systemie elektroenergetycznym;</w:t>
      </w:r>
    </w:p>
    <w:p w14:paraId="0FFC8B62" w14:textId="77777777" w:rsidR="009A1099" w:rsidRPr="00215A1D" w:rsidRDefault="008B4A71" w:rsidP="00215A1D">
      <w:pPr>
        <w:pStyle w:val="PKTpunkt"/>
        <w:numPr>
          <w:ilvl w:val="0"/>
          <w:numId w:val="56"/>
        </w:numPr>
        <w:rPr>
          <w:rFonts w:ascii="Times New Roman" w:hAnsi="Times New Roman" w:cs="Times New Roman"/>
        </w:rPr>
      </w:pPr>
      <w:r w:rsidRPr="00215A1D">
        <w:rPr>
          <w:rFonts w:ascii="Times New Roman" w:hAnsi="Times New Roman" w:cs="Times New Roman"/>
        </w:rPr>
        <w:t xml:space="preserve">celowe jest wprowadzenie </w:t>
      </w:r>
      <w:r w:rsidR="006D44F3" w:rsidRPr="00215A1D">
        <w:rPr>
          <w:rFonts w:ascii="Times New Roman" w:hAnsi="Times New Roman" w:cs="Times New Roman"/>
        </w:rPr>
        <w:t xml:space="preserve">systemu </w:t>
      </w:r>
      <w:r w:rsidRPr="00215A1D">
        <w:rPr>
          <w:rFonts w:ascii="Times New Roman" w:hAnsi="Times New Roman" w:cs="Times New Roman"/>
        </w:rPr>
        <w:t xml:space="preserve">scentralizowanego </w:t>
      </w:r>
      <w:r w:rsidR="009A1099" w:rsidRPr="00215A1D">
        <w:rPr>
          <w:rFonts w:ascii="Times New Roman" w:hAnsi="Times New Roman" w:cs="Times New Roman"/>
        </w:rPr>
        <w:t>gromadzeni</w:t>
      </w:r>
      <w:r w:rsidRPr="00215A1D">
        <w:rPr>
          <w:rFonts w:ascii="Times New Roman" w:hAnsi="Times New Roman" w:cs="Times New Roman"/>
        </w:rPr>
        <w:t>a</w:t>
      </w:r>
      <w:r w:rsidR="001D0628">
        <w:rPr>
          <w:rFonts w:ascii="Times New Roman" w:hAnsi="Times New Roman" w:cs="Times New Roman"/>
        </w:rPr>
        <w:t xml:space="preserve"> i </w:t>
      </w:r>
      <w:r w:rsidR="009A1099" w:rsidRPr="00215A1D">
        <w:rPr>
          <w:rFonts w:ascii="Times New Roman" w:hAnsi="Times New Roman" w:cs="Times New Roman"/>
        </w:rPr>
        <w:t>przetwarzani</w:t>
      </w:r>
      <w:r w:rsidRPr="00215A1D">
        <w:rPr>
          <w:rFonts w:ascii="Times New Roman" w:hAnsi="Times New Roman" w:cs="Times New Roman"/>
        </w:rPr>
        <w:t>a informacji rynku energii, w tym</w:t>
      </w:r>
      <w:r w:rsidR="009A1099" w:rsidRPr="00215A1D">
        <w:rPr>
          <w:rFonts w:ascii="Times New Roman" w:hAnsi="Times New Roman" w:cs="Times New Roman"/>
        </w:rPr>
        <w:t xml:space="preserve"> danych pomiarowych </w:t>
      </w:r>
      <w:r w:rsidRPr="00215A1D">
        <w:rPr>
          <w:rFonts w:ascii="Times New Roman" w:hAnsi="Times New Roman" w:cs="Times New Roman"/>
        </w:rPr>
        <w:t xml:space="preserve">dotyczących </w:t>
      </w:r>
      <w:r w:rsidR="009A1099" w:rsidRPr="00215A1D">
        <w:rPr>
          <w:rFonts w:ascii="Times New Roman" w:hAnsi="Times New Roman" w:cs="Times New Roman"/>
        </w:rPr>
        <w:t xml:space="preserve">energii elektrycznej, jak ma to miejsce w </w:t>
      </w:r>
      <w:r w:rsidR="000E38B9" w:rsidRPr="00215A1D">
        <w:rPr>
          <w:rFonts w:ascii="Times New Roman" w:hAnsi="Times New Roman" w:cs="Times New Roman"/>
        </w:rPr>
        <w:t xml:space="preserve">wybranych </w:t>
      </w:r>
      <w:r w:rsidR="009A1099" w:rsidRPr="00215A1D">
        <w:rPr>
          <w:rFonts w:ascii="Times New Roman" w:hAnsi="Times New Roman" w:cs="Times New Roman"/>
        </w:rPr>
        <w:t xml:space="preserve">krajach </w:t>
      </w:r>
      <w:r w:rsidR="000E38B9" w:rsidRPr="00215A1D">
        <w:rPr>
          <w:rFonts w:ascii="Times New Roman" w:hAnsi="Times New Roman" w:cs="Times New Roman"/>
        </w:rPr>
        <w:t>EOG</w:t>
      </w:r>
      <w:r w:rsidR="001D0628">
        <w:rPr>
          <w:rFonts w:ascii="Times New Roman" w:hAnsi="Times New Roman" w:cs="Times New Roman"/>
        </w:rPr>
        <w:t xml:space="preserve"> i </w:t>
      </w:r>
      <w:r w:rsidR="009A1099" w:rsidRPr="00215A1D">
        <w:rPr>
          <w:rFonts w:ascii="Times New Roman" w:hAnsi="Times New Roman" w:cs="Times New Roman"/>
        </w:rPr>
        <w:t xml:space="preserve">Unii Europejskiej: Dania, </w:t>
      </w:r>
      <w:r w:rsidR="005870DA" w:rsidRPr="00215A1D">
        <w:rPr>
          <w:rFonts w:ascii="Times New Roman" w:hAnsi="Times New Roman" w:cs="Times New Roman"/>
        </w:rPr>
        <w:t xml:space="preserve">Norwegia, </w:t>
      </w:r>
      <w:r w:rsidR="009A1099" w:rsidRPr="00215A1D">
        <w:rPr>
          <w:rFonts w:ascii="Times New Roman" w:hAnsi="Times New Roman" w:cs="Times New Roman"/>
        </w:rPr>
        <w:t>Wielka Brytania czy Estonia, który w sposób optymalny zapewni realizację celów inteligentnego opomiarowania, przy zachowaniu ochrony</w:t>
      </w:r>
      <w:r w:rsidR="001D0628">
        <w:rPr>
          <w:rFonts w:ascii="Times New Roman" w:hAnsi="Times New Roman" w:cs="Times New Roman"/>
        </w:rPr>
        <w:t xml:space="preserve"> i </w:t>
      </w:r>
      <w:r w:rsidR="009A1099" w:rsidRPr="00215A1D">
        <w:rPr>
          <w:rFonts w:ascii="Times New Roman" w:hAnsi="Times New Roman" w:cs="Times New Roman"/>
        </w:rPr>
        <w:t>bezpieczeństwa danych pomiarowych.</w:t>
      </w:r>
    </w:p>
    <w:p w14:paraId="667BEC44"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O wynikach dotychczas przeprowadzonych anali</w:t>
      </w:r>
      <w:r w:rsidR="001D0628">
        <w:rPr>
          <w:rFonts w:ascii="Times New Roman" w:hAnsi="Times New Roman" w:cs="Times New Roman"/>
        </w:rPr>
        <w:t>z </w:t>
      </w:r>
      <w:r w:rsidR="009A1099" w:rsidRPr="00215A1D">
        <w:rPr>
          <w:rFonts w:ascii="Times New Roman" w:hAnsi="Times New Roman" w:cs="Times New Roman"/>
        </w:rPr>
        <w:t>została poinformowana Komisja Europejska w Stanowisku Rządu do sprawozdania Komisji pt. „Analiza porównawcza rozpowszechnienia inteligentnego opomiarowania w Unii Europejskiej, ze szczególnym uwzględnieniem energii elektrycznej”, przyjętym prze</w:t>
      </w:r>
      <w:r w:rsidR="001D0628">
        <w:rPr>
          <w:rFonts w:ascii="Times New Roman" w:hAnsi="Times New Roman" w:cs="Times New Roman"/>
        </w:rPr>
        <w:t>z </w:t>
      </w:r>
      <w:r w:rsidR="009A1099" w:rsidRPr="00215A1D">
        <w:rPr>
          <w:rFonts w:ascii="Times New Roman" w:hAnsi="Times New Roman" w:cs="Times New Roman"/>
        </w:rPr>
        <w:t>Radę Ministrów w dniu 27 sierpnia 2014</w:t>
      </w:r>
      <w:r w:rsidR="001D0628">
        <w:rPr>
          <w:rFonts w:ascii="Times New Roman" w:hAnsi="Times New Roman" w:cs="Times New Roman"/>
        </w:rPr>
        <w:t> r.</w:t>
      </w:r>
      <w:r w:rsidR="009A1099" w:rsidRPr="00215A1D">
        <w:rPr>
          <w:rFonts w:ascii="Times New Roman" w:hAnsi="Times New Roman" w:cs="Times New Roman"/>
        </w:rPr>
        <w:t xml:space="preserve"> Zgodnie </w:t>
      </w:r>
      <w:r w:rsidR="001D0628">
        <w:rPr>
          <w:rFonts w:ascii="Times New Roman" w:hAnsi="Times New Roman" w:cs="Times New Roman"/>
        </w:rPr>
        <w:t>z </w:t>
      </w:r>
      <w:r w:rsidR="009A1099" w:rsidRPr="00215A1D">
        <w:rPr>
          <w:rFonts w:ascii="Times New Roman" w:hAnsi="Times New Roman" w:cs="Times New Roman"/>
        </w:rPr>
        <w:t>tym stanowiskiem, wybór prze</w:t>
      </w:r>
      <w:r w:rsidR="001D0628">
        <w:rPr>
          <w:rFonts w:ascii="Times New Roman" w:hAnsi="Times New Roman" w:cs="Times New Roman"/>
        </w:rPr>
        <w:t>z </w:t>
      </w:r>
      <w:r w:rsidR="009A1099" w:rsidRPr="00215A1D">
        <w:rPr>
          <w:rFonts w:ascii="Times New Roman" w:hAnsi="Times New Roman" w:cs="Times New Roman"/>
        </w:rPr>
        <w:t>Polskę rozwiązania zakładającego utworzenie niezależnego podmiotu odpowiedzialnego za gromadzenie</w:t>
      </w:r>
      <w:r w:rsidR="001D0628">
        <w:rPr>
          <w:rFonts w:ascii="Times New Roman" w:hAnsi="Times New Roman" w:cs="Times New Roman"/>
        </w:rPr>
        <w:t xml:space="preserve"> i </w:t>
      </w:r>
      <w:r w:rsidR="009A1099" w:rsidRPr="00215A1D">
        <w:rPr>
          <w:rFonts w:ascii="Times New Roman" w:hAnsi="Times New Roman" w:cs="Times New Roman"/>
        </w:rPr>
        <w:t xml:space="preserve">przetwarzanie danych pomiarowych w zakresie energii elektrycznej (operator informacji </w:t>
      </w:r>
      <w:r w:rsidR="00C94C9C" w:rsidRPr="00215A1D">
        <w:rPr>
          <w:rFonts w:ascii="Times New Roman" w:hAnsi="Times New Roman" w:cs="Times New Roman"/>
        </w:rPr>
        <w:t>rynku energii</w:t>
      </w:r>
      <w:r w:rsidR="009A1099" w:rsidRPr="00215A1D">
        <w:rPr>
          <w:rFonts w:ascii="Times New Roman" w:hAnsi="Times New Roman" w:cs="Times New Roman"/>
        </w:rPr>
        <w:t>) zapewni w sposób optymalny realizację wdrożenia inteligentnego opomiarowania, przy zachowaniu ochrony</w:t>
      </w:r>
      <w:r w:rsidR="001D0628">
        <w:rPr>
          <w:rFonts w:ascii="Times New Roman" w:hAnsi="Times New Roman" w:cs="Times New Roman"/>
        </w:rPr>
        <w:t xml:space="preserve"> i </w:t>
      </w:r>
      <w:r w:rsidR="009A1099" w:rsidRPr="00215A1D">
        <w:rPr>
          <w:rFonts w:ascii="Times New Roman" w:hAnsi="Times New Roman" w:cs="Times New Roman"/>
        </w:rPr>
        <w:t>bezpieczeństwa danych pomiarowych. Wprowadzenie inteligentnego opomiarowania obniży koszty zużycia energii elektrycznej prze</w:t>
      </w:r>
      <w:r w:rsidR="001D0628">
        <w:rPr>
          <w:rFonts w:ascii="Times New Roman" w:hAnsi="Times New Roman" w:cs="Times New Roman"/>
        </w:rPr>
        <w:t>z </w:t>
      </w:r>
      <w:r w:rsidR="009A1099" w:rsidRPr="00215A1D">
        <w:rPr>
          <w:rFonts w:ascii="Times New Roman" w:hAnsi="Times New Roman" w:cs="Times New Roman"/>
        </w:rPr>
        <w:t>odbiorców końcowych</w:t>
      </w:r>
      <w:r w:rsidR="001D0628">
        <w:rPr>
          <w:rFonts w:ascii="Times New Roman" w:hAnsi="Times New Roman" w:cs="Times New Roman"/>
        </w:rPr>
        <w:t xml:space="preserve"> i </w:t>
      </w:r>
      <w:r w:rsidR="009A1099" w:rsidRPr="00215A1D">
        <w:rPr>
          <w:rFonts w:ascii="Times New Roman" w:hAnsi="Times New Roman" w:cs="Times New Roman"/>
        </w:rPr>
        <w:t>przyniesie korzyści uczestnikom rynku energii elektrycznej w Polsce.</w:t>
      </w:r>
    </w:p>
    <w:p w14:paraId="3B23D95A" w14:textId="77777777" w:rsidR="00245B40"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245B40" w:rsidRPr="00215A1D">
        <w:rPr>
          <w:rFonts w:ascii="Times New Roman" w:hAnsi="Times New Roman" w:cs="Times New Roman"/>
        </w:rPr>
        <w:t>Podstawowym dokumentem, na podstawie którego dokonano zgłoszenia do Komisji Europejskiej stanowiła analiza Polskiego Towarzystwa Przesyłu</w:t>
      </w:r>
      <w:r w:rsidR="001D0628">
        <w:rPr>
          <w:rFonts w:ascii="Times New Roman" w:hAnsi="Times New Roman" w:cs="Times New Roman"/>
        </w:rPr>
        <w:t xml:space="preserve"> i </w:t>
      </w:r>
      <w:r w:rsidR="00245B40" w:rsidRPr="00215A1D">
        <w:rPr>
          <w:rFonts w:ascii="Times New Roman" w:hAnsi="Times New Roman" w:cs="Times New Roman"/>
        </w:rPr>
        <w:t xml:space="preserve">Rozdziału Energii </w:t>
      </w:r>
      <w:r w:rsidR="00245B40" w:rsidRPr="00215A1D">
        <w:rPr>
          <w:rFonts w:ascii="Times New Roman" w:hAnsi="Times New Roman" w:cs="Times New Roman"/>
        </w:rPr>
        <w:lastRenderedPageBreak/>
        <w:t>Elektrycznej pt. „Analiza w zakresie ekonomicznej oceny zasadności wprowadzenia inteligentnych form pomiaru zużycia energii elektrycznej w Polsce”, przygotowana 20 sierpnia 2012</w:t>
      </w:r>
      <w:r w:rsidR="001D0628">
        <w:rPr>
          <w:rFonts w:ascii="Times New Roman" w:hAnsi="Times New Roman" w:cs="Times New Roman"/>
        </w:rPr>
        <w:t> r.</w:t>
      </w:r>
      <w:r w:rsidR="00245B40" w:rsidRPr="00215A1D">
        <w:rPr>
          <w:rFonts w:ascii="Times New Roman" w:hAnsi="Times New Roman" w:cs="Times New Roman"/>
        </w:rPr>
        <w:t xml:space="preserve">, zgodnie bowiem </w:t>
      </w:r>
      <w:r w:rsidR="001D0628">
        <w:rPr>
          <w:rFonts w:ascii="Times New Roman" w:hAnsi="Times New Roman" w:cs="Times New Roman"/>
        </w:rPr>
        <w:t>z </w:t>
      </w:r>
      <w:r w:rsidR="00245B40" w:rsidRPr="00215A1D">
        <w:rPr>
          <w:rFonts w:ascii="Times New Roman" w:hAnsi="Times New Roman" w:cs="Times New Roman"/>
        </w:rPr>
        <w:t>art. 19 ust. 2 dyrektywy 2019/944, „państwa członkowskie zapewniają wprowadzenie na swoich terytoriach inteligentnych systemów opomiarowania, które ułatwiają aktywne uczestnictwo odbiorców w rynku energii elektrycznej. Wprowadzenie takie może być jednak uzależnione od analizy kosztów</w:t>
      </w:r>
      <w:r w:rsidR="001D0628">
        <w:rPr>
          <w:rFonts w:ascii="Times New Roman" w:hAnsi="Times New Roman" w:cs="Times New Roman"/>
        </w:rPr>
        <w:t xml:space="preserve"> i </w:t>
      </w:r>
      <w:r w:rsidR="00245B40" w:rsidRPr="00215A1D">
        <w:rPr>
          <w:rFonts w:ascii="Times New Roman" w:hAnsi="Times New Roman" w:cs="Times New Roman"/>
        </w:rPr>
        <w:t xml:space="preserve">korzyści, którą przeprowadza się zgodnie </w:t>
      </w:r>
      <w:r w:rsidR="001D0628">
        <w:rPr>
          <w:rFonts w:ascii="Times New Roman" w:hAnsi="Times New Roman" w:cs="Times New Roman"/>
        </w:rPr>
        <w:t>z </w:t>
      </w:r>
      <w:r w:rsidR="00245B40" w:rsidRPr="00215A1D">
        <w:rPr>
          <w:rFonts w:ascii="Times New Roman" w:hAnsi="Times New Roman" w:cs="Times New Roman"/>
        </w:rPr>
        <w:t xml:space="preserve">zasadami określonymi w załączniku II”. </w:t>
      </w:r>
      <w:r w:rsidR="00B767D8" w:rsidRPr="00215A1D">
        <w:rPr>
          <w:rFonts w:ascii="Times New Roman" w:hAnsi="Times New Roman" w:cs="Times New Roman"/>
        </w:rPr>
        <w:t>Na podstawie tej analizy opracowano w ówczesnym ministerstwie Gospodarki dokument zatytułowany „Informacja dotycząca zasadności wprowadzenia inteligentnych form pomiaru zużycia energii elektrycznej w Polsce” wykazujący przewagę korzyści nad kosztami wdrożenia systemu inteligentnego opomiarowania w Polsce.</w:t>
      </w:r>
    </w:p>
    <w:p w14:paraId="695613B4" w14:textId="77777777" w:rsidR="009A1099" w:rsidRPr="00215A1D" w:rsidRDefault="009A1099" w:rsidP="00215A1D">
      <w:pPr>
        <w:spacing w:line="360" w:lineRule="auto"/>
        <w:rPr>
          <w:rFonts w:ascii="Times New Roman" w:hAnsi="Times New Roman" w:cs="Times New Roman"/>
        </w:rPr>
      </w:pPr>
    </w:p>
    <w:p w14:paraId="263EE192" w14:textId="77777777" w:rsidR="009A1099" w:rsidRPr="00215A1D" w:rsidRDefault="00173903" w:rsidP="00EF6F97">
      <w:pPr>
        <w:pStyle w:val="USTustnpkodeksu"/>
        <w:ind w:firstLine="0"/>
        <w:rPr>
          <w:rFonts w:ascii="Times New Roman" w:hAnsi="Times New Roman" w:cs="Times New Roman"/>
        </w:rPr>
      </w:pPr>
      <w:r w:rsidRPr="00215A1D">
        <w:rPr>
          <w:rFonts w:ascii="Times New Roman" w:hAnsi="Times New Roman" w:cs="Times New Roman"/>
        </w:rPr>
        <w:tab/>
      </w:r>
      <w:r w:rsidR="00D24A41">
        <w:rPr>
          <w:rFonts w:ascii="Times New Roman" w:hAnsi="Times New Roman" w:cs="Times New Roman"/>
        </w:rPr>
        <w:t>17</w:t>
      </w:r>
      <w:r w:rsidR="009A1099" w:rsidRPr="00215A1D">
        <w:rPr>
          <w:rFonts w:ascii="Times New Roman" w:hAnsi="Times New Roman" w:cs="Times New Roman"/>
        </w:rPr>
        <w:t>. 3. Alternatywne środki osiągnięcia celów:</w:t>
      </w:r>
    </w:p>
    <w:p w14:paraId="55605735" w14:textId="77777777" w:rsidR="009A1099" w:rsidRPr="00215A1D" w:rsidRDefault="009A1099" w:rsidP="00EF6F97">
      <w:pPr>
        <w:pStyle w:val="USTustnpkodeksu"/>
        <w:rPr>
          <w:rFonts w:ascii="Times New Roman" w:hAnsi="Times New Roman" w:cs="Times New Roman"/>
        </w:rPr>
      </w:pPr>
      <w:r w:rsidRPr="00215A1D">
        <w:rPr>
          <w:rFonts w:ascii="Times New Roman" w:hAnsi="Times New Roman" w:cs="Times New Roman"/>
        </w:rPr>
        <w:t>Można:</w:t>
      </w:r>
    </w:p>
    <w:p w14:paraId="6BFE7CCB" w14:textId="77777777" w:rsidR="009A1099" w:rsidRPr="00215A1D" w:rsidRDefault="009A1099" w:rsidP="00215A1D">
      <w:pPr>
        <w:pStyle w:val="PKTpunkt"/>
        <w:numPr>
          <w:ilvl w:val="0"/>
          <w:numId w:val="58"/>
        </w:numPr>
        <w:rPr>
          <w:rFonts w:ascii="Times New Roman" w:hAnsi="Times New Roman" w:cs="Times New Roman"/>
        </w:rPr>
      </w:pPr>
      <w:r w:rsidRPr="00215A1D">
        <w:rPr>
          <w:rFonts w:ascii="Times New Roman" w:hAnsi="Times New Roman" w:cs="Times New Roman"/>
        </w:rPr>
        <w:t xml:space="preserve">kontynuować stan obecny, czyli nie wprowadzać systemu inteligentnego opomiarowania; </w:t>
      </w:r>
    </w:p>
    <w:p w14:paraId="1D067135" w14:textId="77777777" w:rsidR="009A1099" w:rsidRPr="00215A1D" w:rsidRDefault="009A1099" w:rsidP="00215A1D">
      <w:pPr>
        <w:pStyle w:val="PKTpunkt"/>
        <w:numPr>
          <w:ilvl w:val="0"/>
          <w:numId w:val="58"/>
        </w:numPr>
        <w:rPr>
          <w:rFonts w:ascii="Times New Roman" w:hAnsi="Times New Roman" w:cs="Times New Roman"/>
        </w:rPr>
      </w:pPr>
      <w:r w:rsidRPr="00215A1D">
        <w:rPr>
          <w:rFonts w:ascii="Times New Roman" w:hAnsi="Times New Roman" w:cs="Times New Roman"/>
        </w:rPr>
        <w:t>instalować liczniki zdalnego odczytu</w:t>
      </w:r>
      <w:r w:rsidR="005870DA" w:rsidRPr="00215A1D">
        <w:rPr>
          <w:rFonts w:ascii="Times New Roman" w:hAnsi="Times New Roman" w:cs="Times New Roman"/>
        </w:rPr>
        <w:t xml:space="preserve"> na wniosek </w:t>
      </w:r>
      <w:r w:rsidRPr="00215A1D">
        <w:rPr>
          <w:rFonts w:ascii="Times New Roman" w:hAnsi="Times New Roman" w:cs="Times New Roman"/>
        </w:rPr>
        <w:t>odbiorcy końcowego;</w:t>
      </w:r>
    </w:p>
    <w:p w14:paraId="1B31C2AA" w14:textId="77777777" w:rsidR="009A1099" w:rsidRPr="00215A1D" w:rsidRDefault="009A1099" w:rsidP="00215A1D">
      <w:pPr>
        <w:pStyle w:val="PKTpunkt"/>
        <w:numPr>
          <w:ilvl w:val="0"/>
          <w:numId w:val="58"/>
        </w:numPr>
        <w:rPr>
          <w:rFonts w:ascii="Times New Roman" w:hAnsi="Times New Roman" w:cs="Times New Roman"/>
        </w:rPr>
      </w:pPr>
      <w:r w:rsidRPr="00215A1D">
        <w:rPr>
          <w:rFonts w:ascii="Times New Roman" w:hAnsi="Times New Roman" w:cs="Times New Roman"/>
        </w:rPr>
        <w:t xml:space="preserve">wprowadzić </w:t>
      </w:r>
      <w:r w:rsidR="000E38B9" w:rsidRPr="00215A1D">
        <w:rPr>
          <w:rFonts w:ascii="Times New Roman" w:hAnsi="Times New Roman" w:cs="Times New Roman"/>
        </w:rPr>
        <w:t xml:space="preserve">w okresie 5 lat </w:t>
      </w:r>
      <w:r w:rsidRPr="00215A1D">
        <w:rPr>
          <w:rFonts w:ascii="Times New Roman" w:hAnsi="Times New Roman" w:cs="Times New Roman"/>
        </w:rPr>
        <w:t xml:space="preserve">system inteligentnego opomiarowania, czyli </w:t>
      </w:r>
      <w:r w:rsidR="006D44F3" w:rsidRPr="00215A1D">
        <w:rPr>
          <w:rFonts w:ascii="Times New Roman" w:hAnsi="Times New Roman" w:cs="Times New Roman"/>
        </w:rPr>
        <w:t>za</w:t>
      </w:r>
      <w:r w:rsidRPr="00215A1D">
        <w:rPr>
          <w:rFonts w:ascii="Times New Roman" w:hAnsi="Times New Roman" w:cs="Times New Roman"/>
        </w:rPr>
        <w:t>instalować liczniki zdalnego odczytu u 80 % odbiorców końcowych, zgodn</w:t>
      </w:r>
      <w:r w:rsidR="009D27A5" w:rsidRPr="00215A1D">
        <w:rPr>
          <w:rFonts w:ascii="Times New Roman" w:hAnsi="Times New Roman" w:cs="Times New Roman"/>
        </w:rPr>
        <w:t xml:space="preserve">ie </w:t>
      </w:r>
      <w:r w:rsidR="001D0628">
        <w:rPr>
          <w:rFonts w:ascii="Times New Roman" w:hAnsi="Times New Roman" w:cs="Times New Roman"/>
        </w:rPr>
        <w:t>z </w:t>
      </w:r>
      <w:r w:rsidR="009D27A5" w:rsidRPr="00215A1D">
        <w:rPr>
          <w:rFonts w:ascii="Times New Roman" w:hAnsi="Times New Roman" w:cs="Times New Roman"/>
        </w:rPr>
        <w:t>celami dyrektywy 2019/944</w:t>
      </w:r>
      <w:r w:rsidRPr="00215A1D">
        <w:rPr>
          <w:rFonts w:ascii="Times New Roman" w:hAnsi="Times New Roman" w:cs="Times New Roman"/>
        </w:rPr>
        <w:t>.</w:t>
      </w:r>
    </w:p>
    <w:p w14:paraId="5F05C760" w14:textId="77777777" w:rsidR="000E38B9" w:rsidRPr="00215A1D" w:rsidRDefault="000E38B9" w:rsidP="00215A1D">
      <w:pPr>
        <w:pStyle w:val="PKTpunkt"/>
        <w:numPr>
          <w:ilvl w:val="0"/>
          <w:numId w:val="58"/>
        </w:numPr>
        <w:rPr>
          <w:rFonts w:ascii="Times New Roman" w:hAnsi="Times New Roman" w:cs="Times New Roman"/>
        </w:rPr>
      </w:pPr>
      <w:r w:rsidRPr="00215A1D">
        <w:rPr>
          <w:rFonts w:ascii="Times New Roman" w:hAnsi="Times New Roman" w:cs="Times New Roman"/>
        </w:rPr>
        <w:t xml:space="preserve">wprowadzić analogicznie jak w </w:t>
      </w:r>
      <w:r w:rsidR="001D0628">
        <w:rPr>
          <w:rFonts w:ascii="Times New Roman" w:hAnsi="Times New Roman" w:cs="Times New Roman"/>
        </w:rPr>
        <w:t>pkt 3</w:t>
      </w:r>
      <w:r w:rsidRPr="00215A1D">
        <w:rPr>
          <w:rFonts w:ascii="Times New Roman" w:hAnsi="Times New Roman" w:cs="Times New Roman"/>
        </w:rPr>
        <w:t xml:space="preserve"> system inteligentnego opomiarowania </w:t>
      </w:r>
      <w:r w:rsidR="006D44F3" w:rsidRPr="00215A1D">
        <w:rPr>
          <w:rFonts w:ascii="Times New Roman" w:hAnsi="Times New Roman" w:cs="Times New Roman"/>
        </w:rPr>
        <w:t>lec</w:t>
      </w:r>
      <w:r w:rsidR="001D0628">
        <w:rPr>
          <w:rFonts w:ascii="Times New Roman" w:hAnsi="Times New Roman" w:cs="Times New Roman"/>
        </w:rPr>
        <w:t>z </w:t>
      </w:r>
      <w:r w:rsidRPr="00215A1D">
        <w:rPr>
          <w:rFonts w:ascii="Times New Roman" w:hAnsi="Times New Roman" w:cs="Times New Roman"/>
        </w:rPr>
        <w:t xml:space="preserve">w okresie 10 lat. </w:t>
      </w:r>
    </w:p>
    <w:p w14:paraId="7BBEA2FC"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0E38B9" w:rsidRPr="00215A1D">
        <w:rPr>
          <w:rFonts w:ascii="Times New Roman" w:hAnsi="Times New Roman" w:cs="Times New Roman"/>
        </w:rPr>
        <w:t xml:space="preserve">Dla </w:t>
      </w:r>
      <w:r w:rsidR="009A1099" w:rsidRPr="00215A1D">
        <w:rPr>
          <w:rFonts w:ascii="Times New Roman" w:hAnsi="Times New Roman" w:cs="Times New Roman"/>
        </w:rPr>
        <w:t>rozwiąza</w:t>
      </w:r>
      <w:r w:rsidR="000E38B9" w:rsidRPr="00215A1D">
        <w:rPr>
          <w:rFonts w:ascii="Times New Roman" w:hAnsi="Times New Roman" w:cs="Times New Roman"/>
        </w:rPr>
        <w:t>ń</w:t>
      </w:r>
      <w:r w:rsidR="009A1099" w:rsidRPr="00215A1D">
        <w:rPr>
          <w:rFonts w:ascii="Times New Roman" w:hAnsi="Times New Roman" w:cs="Times New Roman"/>
        </w:rPr>
        <w:t xml:space="preserve"> wskazany</w:t>
      </w:r>
      <w:r w:rsidR="000E38B9" w:rsidRPr="00215A1D">
        <w:rPr>
          <w:rFonts w:ascii="Times New Roman" w:hAnsi="Times New Roman" w:cs="Times New Roman"/>
        </w:rPr>
        <w:t>ch</w:t>
      </w:r>
      <w:r w:rsidR="009A1099" w:rsidRPr="00215A1D">
        <w:rPr>
          <w:rFonts w:ascii="Times New Roman" w:hAnsi="Times New Roman" w:cs="Times New Roman"/>
        </w:rPr>
        <w:t xml:space="preserve"> w </w:t>
      </w:r>
      <w:r w:rsidR="001D0628">
        <w:rPr>
          <w:rFonts w:ascii="Times New Roman" w:hAnsi="Times New Roman" w:cs="Times New Roman"/>
        </w:rPr>
        <w:t>pkt 1</w:t>
      </w:r>
      <w:r w:rsidR="000E38B9" w:rsidRPr="00215A1D">
        <w:rPr>
          <w:rFonts w:ascii="Times New Roman" w:hAnsi="Times New Roman" w:cs="Times New Roman"/>
        </w:rPr>
        <w:t xml:space="preserve"> </w:t>
      </w:r>
      <w:r w:rsidR="009A1099" w:rsidRPr="00215A1D">
        <w:rPr>
          <w:rFonts w:ascii="Times New Roman" w:hAnsi="Times New Roman" w:cs="Times New Roman"/>
        </w:rPr>
        <w:t>saldo korzyści</w:t>
      </w:r>
      <w:r w:rsidR="001D0628">
        <w:rPr>
          <w:rFonts w:ascii="Times New Roman" w:hAnsi="Times New Roman" w:cs="Times New Roman"/>
        </w:rPr>
        <w:t xml:space="preserve"> i </w:t>
      </w:r>
      <w:r w:rsidR="009A1099" w:rsidRPr="00215A1D">
        <w:rPr>
          <w:rFonts w:ascii="Times New Roman" w:hAnsi="Times New Roman" w:cs="Times New Roman"/>
        </w:rPr>
        <w:t>kosztów, zarówno w ujęciu finansowym jak</w:t>
      </w:r>
      <w:r w:rsidR="001D0628">
        <w:rPr>
          <w:rFonts w:ascii="Times New Roman" w:hAnsi="Times New Roman" w:cs="Times New Roman"/>
        </w:rPr>
        <w:t xml:space="preserve"> i </w:t>
      </w:r>
      <w:r w:rsidR="009A1099" w:rsidRPr="00215A1D">
        <w:rPr>
          <w:rFonts w:ascii="Times New Roman" w:hAnsi="Times New Roman" w:cs="Times New Roman"/>
        </w:rPr>
        <w:t xml:space="preserve">jakościowym, jest mniejsze niż w pkt </w:t>
      </w:r>
      <w:r w:rsidR="000E38B9" w:rsidRPr="00215A1D">
        <w:rPr>
          <w:rFonts w:ascii="Times New Roman" w:hAnsi="Times New Roman" w:cs="Times New Roman"/>
        </w:rPr>
        <w:t>4</w:t>
      </w:r>
      <w:r w:rsidR="009A1099" w:rsidRPr="00215A1D">
        <w:rPr>
          <w:rFonts w:ascii="Times New Roman" w:hAnsi="Times New Roman" w:cs="Times New Roman"/>
        </w:rPr>
        <w:t xml:space="preserve"> znajdującym odzwierciedlenie w projekcie założeń. Koszty związane </w:t>
      </w:r>
      <w:r w:rsidR="001D0628">
        <w:rPr>
          <w:rFonts w:ascii="Times New Roman" w:hAnsi="Times New Roman" w:cs="Times New Roman"/>
        </w:rPr>
        <w:t>z </w:t>
      </w:r>
      <w:r w:rsidR="009A1099" w:rsidRPr="00215A1D">
        <w:rPr>
          <w:rFonts w:ascii="Times New Roman" w:hAnsi="Times New Roman" w:cs="Times New Roman"/>
        </w:rPr>
        <w:t xml:space="preserve">utrzymaniem prawidłowego funkcjonowania </w:t>
      </w:r>
      <w:r w:rsidR="000E38B9" w:rsidRPr="00215A1D">
        <w:rPr>
          <w:rFonts w:ascii="Times New Roman" w:hAnsi="Times New Roman" w:cs="Times New Roman"/>
        </w:rPr>
        <w:t>obecnych liczników statycznych (elektronicznych)</w:t>
      </w:r>
      <w:r w:rsidR="00EF6F97">
        <w:rPr>
          <w:rFonts w:ascii="Times New Roman" w:hAnsi="Times New Roman" w:cs="Times New Roman"/>
        </w:rPr>
        <w:t xml:space="preserve"> </w:t>
      </w:r>
      <w:r w:rsidR="009A1099" w:rsidRPr="00215A1D">
        <w:rPr>
          <w:rFonts w:ascii="Times New Roman" w:hAnsi="Times New Roman" w:cs="Times New Roman"/>
        </w:rPr>
        <w:t>stanowią dużą część wydatków ponoszonych prze</w:t>
      </w:r>
      <w:r w:rsidR="001D0628">
        <w:rPr>
          <w:rFonts w:ascii="Times New Roman" w:hAnsi="Times New Roman" w:cs="Times New Roman"/>
        </w:rPr>
        <w:t>z </w:t>
      </w:r>
      <w:r w:rsidR="009A1099" w:rsidRPr="00215A1D">
        <w:rPr>
          <w:rFonts w:ascii="Times New Roman" w:hAnsi="Times New Roman" w:cs="Times New Roman"/>
        </w:rPr>
        <w:t>OSD. Na podstawie danych</w:t>
      </w:r>
      <w:r w:rsidR="00EF6F97">
        <w:rPr>
          <w:rFonts w:ascii="Times New Roman" w:hAnsi="Times New Roman" w:cs="Times New Roman"/>
        </w:rPr>
        <w:t xml:space="preserve"> </w:t>
      </w:r>
      <w:r w:rsidR="009A1099" w:rsidRPr="00215A1D">
        <w:rPr>
          <w:rFonts w:ascii="Times New Roman" w:hAnsi="Times New Roman" w:cs="Times New Roman"/>
        </w:rPr>
        <w:t>dostarczonych prze</w:t>
      </w:r>
      <w:r w:rsidR="001D0628">
        <w:rPr>
          <w:rFonts w:ascii="Times New Roman" w:hAnsi="Times New Roman" w:cs="Times New Roman"/>
        </w:rPr>
        <w:t>z </w:t>
      </w:r>
      <w:r w:rsidR="009A1099" w:rsidRPr="00215A1D">
        <w:rPr>
          <w:rFonts w:ascii="Times New Roman" w:hAnsi="Times New Roman" w:cs="Times New Roman"/>
        </w:rPr>
        <w:t xml:space="preserve">największych OSD, ustalono, że w latach 2019-2028, przy utrzymaniu stanu istniejącego, koszt ten może osiągnąć łączną wysokość ok. 3 mld zł. Zachowanie modelu systemu pomiarowego opartego o liczniki statyczne spowoduje w perspektywie najbliższych dziesięciu lat zdecydowany wzrost kosztów związanych </w:t>
      </w:r>
      <w:r w:rsidR="001D0628">
        <w:rPr>
          <w:rFonts w:ascii="Times New Roman" w:hAnsi="Times New Roman" w:cs="Times New Roman"/>
        </w:rPr>
        <w:t>z </w:t>
      </w:r>
      <w:r w:rsidR="009A1099" w:rsidRPr="00215A1D">
        <w:rPr>
          <w:rFonts w:ascii="Times New Roman" w:hAnsi="Times New Roman" w:cs="Times New Roman"/>
        </w:rPr>
        <w:t>ich odczytem. Przy założeniu, że:</w:t>
      </w:r>
    </w:p>
    <w:p w14:paraId="5B7F9A14" w14:textId="77777777" w:rsidR="009A1099" w:rsidRPr="00215A1D" w:rsidRDefault="009A1099" w:rsidP="00215A1D">
      <w:pPr>
        <w:pStyle w:val="PKTpunkt"/>
        <w:numPr>
          <w:ilvl w:val="0"/>
          <w:numId w:val="60"/>
        </w:numPr>
        <w:rPr>
          <w:rFonts w:ascii="Times New Roman" w:hAnsi="Times New Roman" w:cs="Times New Roman"/>
        </w:rPr>
      </w:pPr>
      <w:r w:rsidRPr="00215A1D">
        <w:rPr>
          <w:rFonts w:ascii="Times New Roman" w:hAnsi="Times New Roman" w:cs="Times New Roman"/>
        </w:rPr>
        <w:t>podtrzymany zostanie inkasencki sposób zbierania informacji na temat ilości energii elektrycznej pobranej prze</w:t>
      </w:r>
      <w:r w:rsidR="001D0628">
        <w:rPr>
          <w:rFonts w:ascii="Times New Roman" w:hAnsi="Times New Roman" w:cs="Times New Roman"/>
        </w:rPr>
        <w:t>z </w:t>
      </w:r>
      <w:r w:rsidRPr="00215A1D">
        <w:rPr>
          <w:rFonts w:ascii="Times New Roman" w:hAnsi="Times New Roman" w:cs="Times New Roman"/>
        </w:rPr>
        <w:t xml:space="preserve">odbiorcę końcowego, </w:t>
      </w:r>
    </w:p>
    <w:p w14:paraId="4946C6E9" w14:textId="77777777" w:rsidR="009A282B" w:rsidRPr="00215A1D" w:rsidRDefault="009A282B" w:rsidP="00215A1D">
      <w:pPr>
        <w:pStyle w:val="PKTpunkt"/>
        <w:numPr>
          <w:ilvl w:val="0"/>
          <w:numId w:val="60"/>
        </w:numPr>
        <w:rPr>
          <w:rFonts w:ascii="Times New Roman" w:hAnsi="Times New Roman" w:cs="Times New Roman"/>
        </w:rPr>
      </w:pPr>
      <w:r w:rsidRPr="00215A1D">
        <w:rPr>
          <w:rFonts w:ascii="Times New Roman" w:hAnsi="Times New Roman" w:cs="Times New Roman"/>
        </w:rPr>
        <w:lastRenderedPageBreak/>
        <w:t xml:space="preserve">częstotliwość odczytu licznika uzależniona będzie od postanowień umowy zawartej ze sprzedawcą (obecnie może wahać się od 1 w miesiącu do 1 w roku), docelowo w wyniku wdrożenia wymagań </w:t>
      </w:r>
      <w:r w:rsidR="006D44F3" w:rsidRPr="00215A1D">
        <w:rPr>
          <w:rFonts w:ascii="Times New Roman" w:hAnsi="Times New Roman" w:cs="Times New Roman"/>
        </w:rPr>
        <w:t xml:space="preserve">przepisów unijnych </w:t>
      </w:r>
      <w:r w:rsidRPr="00215A1D">
        <w:rPr>
          <w:rFonts w:ascii="Times New Roman" w:hAnsi="Times New Roman" w:cs="Times New Roman"/>
        </w:rPr>
        <w:t>będzie musiała wynosić c</w:t>
      </w:r>
      <w:r w:rsidR="000E38B9" w:rsidRPr="00215A1D">
        <w:rPr>
          <w:rFonts w:ascii="Times New Roman" w:hAnsi="Times New Roman" w:cs="Times New Roman"/>
        </w:rPr>
        <w:t>o najmniej dwa razy w roku lub 4 na żądanie odbiorcy końcowego,</w:t>
      </w:r>
    </w:p>
    <w:p w14:paraId="3B49A3B9" w14:textId="77777777" w:rsidR="009A1099" w:rsidRPr="00215A1D" w:rsidRDefault="00C96863" w:rsidP="00215A1D">
      <w:pPr>
        <w:pStyle w:val="PKTpunkt"/>
        <w:numPr>
          <w:ilvl w:val="0"/>
          <w:numId w:val="60"/>
        </w:numPr>
        <w:rPr>
          <w:rFonts w:ascii="Times New Roman" w:hAnsi="Times New Roman" w:cs="Times New Roman"/>
        </w:rPr>
      </w:pPr>
      <w:r w:rsidRPr="00215A1D">
        <w:rPr>
          <w:rFonts w:ascii="Times New Roman" w:hAnsi="Times New Roman" w:cs="Times New Roman"/>
        </w:rPr>
        <w:t>liczba</w:t>
      </w:r>
      <w:r w:rsidR="009A1099" w:rsidRPr="00215A1D">
        <w:rPr>
          <w:rFonts w:ascii="Times New Roman" w:hAnsi="Times New Roman" w:cs="Times New Roman"/>
        </w:rPr>
        <w:t xml:space="preserve"> odczytów będzie wprost proporcjonalnie powiązana </w:t>
      </w:r>
      <w:r w:rsidR="001D0628">
        <w:rPr>
          <w:rFonts w:ascii="Times New Roman" w:hAnsi="Times New Roman" w:cs="Times New Roman"/>
        </w:rPr>
        <w:t>z </w:t>
      </w:r>
      <w:r w:rsidR="009A1099" w:rsidRPr="00215A1D">
        <w:rPr>
          <w:rFonts w:ascii="Times New Roman" w:hAnsi="Times New Roman" w:cs="Times New Roman"/>
        </w:rPr>
        <w:t>wysokością opłaty abonamentowej</w:t>
      </w:r>
      <w:r w:rsidR="009A282B" w:rsidRPr="00215A1D">
        <w:rPr>
          <w:rFonts w:ascii="Times New Roman" w:hAnsi="Times New Roman" w:cs="Times New Roman"/>
        </w:rPr>
        <w:t>,</w:t>
      </w:r>
    </w:p>
    <w:p w14:paraId="131ACA33" w14:textId="77777777" w:rsidR="009A1099" w:rsidRPr="00215A1D" w:rsidRDefault="009A1099" w:rsidP="00EF6F97">
      <w:pPr>
        <w:pStyle w:val="USTustnpkodeksu"/>
        <w:ind w:firstLine="0"/>
        <w:rPr>
          <w:rFonts w:ascii="Times New Roman" w:hAnsi="Times New Roman" w:cs="Times New Roman"/>
        </w:rPr>
      </w:pPr>
      <w:r w:rsidRPr="00215A1D">
        <w:rPr>
          <w:rFonts w:ascii="Times New Roman" w:hAnsi="Times New Roman" w:cs="Times New Roman"/>
        </w:rPr>
        <w:t xml:space="preserve">- to koszty związane </w:t>
      </w:r>
      <w:r w:rsidR="001D0628">
        <w:rPr>
          <w:rFonts w:ascii="Times New Roman" w:hAnsi="Times New Roman" w:cs="Times New Roman"/>
        </w:rPr>
        <w:t>z </w:t>
      </w:r>
      <w:r w:rsidRPr="00215A1D">
        <w:rPr>
          <w:rFonts w:ascii="Times New Roman" w:hAnsi="Times New Roman" w:cs="Times New Roman"/>
        </w:rPr>
        <w:t xml:space="preserve">odczytem liczników statycznych w latach 2019 - 2028 mogą osiągnąć wartość ok. </w:t>
      </w:r>
      <w:r w:rsidR="004D00B7" w:rsidRPr="00215A1D">
        <w:rPr>
          <w:rFonts w:ascii="Times New Roman" w:hAnsi="Times New Roman" w:cs="Times New Roman"/>
        </w:rPr>
        <w:t>2,5</w:t>
      </w:r>
      <w:r w:rsidRPr="00215A1D">
        <w:rPr>
          <w:rFonts w:ascii="Times New Roman" w:hAnsi="Times New Roman" w:cs="Times New Roman"/>
        </w:rPr>
        <w:t xml:space="preserve"> mld zł</w:t>
      </w:r>
      <w:r w:rsidR="00306D56" w:rsidRPr="00215A1D">
        <w:rPr>
          <w:rFonts w:ascii="Times New Roman" w:hAnsi="Times New Roman" w:cs="Times New Roman"/>
        </w:rPr>
        <w:t>.</w:t>
      </w:r>
      <w:r w:rsidR="000E38B9" w:rsidRPr="00215A1D">
        <w:rPr>
          <w:rFonts w:ascii="Times New Roman" w:hAnsi="Times New Roman" w:cs="Times New Roman"/>
        </w:rPr>
        <w:t xml:space="preserve"> Przy utrzymaniu dzisiejszego modelu, ponoszeniu tych kosztów nie będą towarzyszyć korzyści opisane wyżej dla systemy inteligentnego opomiarowania. </w:t>
      </w:r>
    </w:p>
    <w:p w14:paraId="05CBBFC7" w14:textId="77777777" w:rsidR="000E38B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4E0D73" w:rsidRPr="00215A1D">
        <w:rPr>
          <w:rFonts w:ascii="Times New Roman" w:hAnsi="Times New Roman" w:cs="Times New Roman"/>
        </w:rPr>
        <w:t>Efekty rozwiązania</w:t>
      </w:r>
      <w:r w:rsidR="000E38B9" w:rsidRPr="00215A1D">
        <w:rPr>
          <w:rFonts w:ascii="Times New Roman" w:hAnsi="Times New Roman" w:cs="Times New Roman"/>
        </w:rPr>
        <w:t xml:space="preserve"> określone</w:t>
      </w:r>
      <w:r w:rsidR="004E0D73" w:rsidRPr="00215A1D">
        <w:rPr>
          <w:rFonts w:ascii="Times New Roman" w:hAnsi="Times New Roman" w:cs="Times New Roman"/>
        </w:rPr>
        <w:t>go</w:t>
      </w:r>
      <w:r w:rsidR="000E38B9" w:rsidRPr="00215A1D">
        <w:rPr>
          <w:rFonts w:ascii="Times New Roman" w:hAnsi="Times New Roman" w:cs="Times New Roman"/>
        </w:rPr>
        <w:t xml:space="preserve"> w </w:t>
      </w:r>
      <w:r w:rsidR="001D0628">
        <w:rPr>
          <w:rFonts w:ascii="Times New Roman" w:hAnsi="Times New Roman" w:cs="Times New Roman"/>
        </w:rPr>
        <w:t>pkt 2</w:t>
      </w:r>
      <w:r w:rsidR="000E38B9" w:rsidRPr="00215A1D">
        <w:rPr>
          <w:rFonts w:ascii="Times New Roman" w:hAnsi="Times New Roman" w:cs="Times New Roman"/>
        </w:rPr>
        <w:t xml:space="preserve"> </w:t>
      </w:r>
      <w:r w:rsidR="004E0D73" w:rsidRPr="00215A1D">
        <w:rPr>
          <w:rFonts w:ascii="Times New Roman" w:hAnsi="Times New Roman" w:cs="Times New Roman"/>
        </w:rPr>
        <w:t>będą zbliżone</w:t>
      </w:r>
      <w:r w:rsidR="00EF6F97">
        <w:rPr>
          <w:rFonts w:ascii="Times New Roman" w:hAnsi="Times New Roman" w:cs="Times New Roman"/>
        </w:rPr>
        <w:t xml:space="preserve"> </w:t>
      </w:r>
      <w:r w:rsidR="004E0D73" w:rsidRPr="00215A1D">
        <w:rPr>
          <w:rFonts w:ascii="Times New Roman" w:hAnsi="Times New Roman" w:cs="Times New Roman"/>
        </w:rPr>
        <w:t xml:space="preserve">do ww. efektów właściwych dla rozwiązania </w:t>
      </w:r>
      <w:r w:rsidR="001D0628">
        <w:rPr>
          <w:rFonts w:ascii="Times New Roman" w:hAnsi="Times New Roman" w:cs="Times New Roman"/>
        </w:rPr>
        <w:t>z pkt 1</w:t>
      </w:r>
      <w:r w:rsidR="004E0D73" w:rsidRPr="00215A1D">
        <w:rPr>
          <w:rFonts w:ascii="Times New Roman" w:hAnsi="Times New Roman" w:cs="Times New Roman"/>
        </w:rPr>
        <w:t>. Różnica będzie polegała na tym, że wystąpią punktowe instalacje liczników zdalnego odczytu, których koszty instalacji</w:t>
      </w:r>
      <w:r w:rsidR="001D0628">
        <w:rPr>
          <w:rFonts w:ascii="Times New Roman" w:hAnsi="Times New Roman" w:cs="Times New Roman"/>
        </w:rPr>
        <w:t xml:space="preserve"> i </w:t>
      </w:r>
      <w:r w:rsidR="004E0D73" w:rsidRPr="00215A1D">
        <w:rPr>
          <w:rFonts w:ascii="Times New Roman" w:hAnsi="Times New Roman" w:cs="Times New Roman"/>
        </w:rPr>
        <w:t xml:space="preserve">koszty eksploatacji </w:t>
      </w:r>
      <w:r w:rsidR="001D0628">
        <w:rPr>
          <w:rFonts w:ascii="Times New Roman" w:hAnsi="Times New Roman" w:cs="Times New Roman"/>
        </w:rPr>
        <w:t>z </w:t>
      </w:r>
      <w:r w:rsidR="004E0D73" w:rsidRPr="00215A1D">
        <w:rPr>
          <w:rFonts w:ascii="Times New Roman" w:hAnsi="Times New Roman" w:cs="Times New Roman"/>
        </w:rPr>
        <w:t>racji ich rozproszenia będą droższe (wykorzystanie najtańszej technologii PLC tj. wykorzystującej linie niskiego napięcia do przesyłania sygnałów będzie nieopłacalne, gdyż wymaga dodatkowych urządzeń do odbioru sygnałów (koncentratorów), które zazwyczaj obsługują duże grupy liczników zdalnego odczytu. Ponadto nie zostaną osiągnięte korzyści skali zarówno przy zakupie urządzeń jak</w:t>
      </w:r>
      <w:r w:rsidR="001D0628">
        <w:rPr>
          <w:rFonts w:ascii="Times New Roman" w:hAnsi="Times New Roman" w:cs="Times New Roman"/>
        </w:rPr>
        <w:t xml:space="preserve"> i </w:t>
      </w:r>
      <w:r w:rsidR="004E0D73" w:rsidRPr="00215A1D">
        <w:rPr>
          <w:rFonts w:ascii="Times New Roman" w:hAnsi="Times New Roman" w:cs="Times New Roman"/>
        </w:rPr>
        <w:t>ich instalacji. Adek</w:t>
      </w:r>
      <w:r w:rsidR="006D44F3" w:rsidRPr="00215A1D">
        <w:rPr>
          <w:rFonts w:ascii="Times New Roman" w:hAnsi="Times New Roman" w:cs="Times New Roman"/>
        </w:rPr>
        <w:t>watne do skali rozpowszechnienia</w:t>
      </w:r>
      <w:r w:rsidR="004E0D73" w:rsidRPr="00215A1D">
        <w:rPr>
          <w:rFonts w:ascii="Times New Roman" w:hAnsi="Times New Roman" w:cs="Times New Roman"/>
        </w:rPr>
        <w:t xml:space="preserve"> będą też możliwe do uzyskania korzyści, przy czym korzyści wynikające </w:t>
      </w:r>
      <w:r w:rsidR="001D0628">
        <w:rPr>
          <w:rFonts w:ascii="Times New Roman" w:hAnsi="Times New Roman" w:cs="Times New Roman"/>
        </w:rPr>
        <w:t>z </w:t>
      </w:r>
      <w:r w:rsidR="004E0D73" w:rsidRPr="00215A1D">
        <w:rPr>
          <w:rFonts w:ascii="Times New Roman" w:hAnsi="Times New Roman" w:cs="Times New Roman"/>
        </w:rPr>
        <w:t>kompletności obszarowych wdrożeń nie będą możliwe do uzyskania (np. eliminacja strat handlowych).</w:t>
      </w:r>
    </w:p>
    <w:p w14:paraId="7488E013" w14:textId="77777777" w:rsidR="008B4A71"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4E0D73" w:rsidRPr="00215A1D">
        <w:rPr>
          <w:rFonts w:ascii="Times New Roman" w:hAnsi="Times New Roman" w:cs="Times New Roman"/>
        </w:rPr>
        <w:t xml:space="preserve">Dla rozwiązania określonego w </w:t>
      </w:r>
      <w:r w:rsidR="001D0628">
        <w:rPr>
          <w:rFonts w:ascii="Times New Roman" w:hAnsi="Times New Roman" w:cs="Times New Roman"/>
        </w:rPr>
        <w:t>pkt 3</w:t>
      </w:r>
      <w:r w:rsidR="004E0D73" w:rsidRPr="00215A1D">
        <w:rPr>
          <w:rFonts w:ascii="Times New Roman" w:hAnsi="Times New Roman" w:cs="Times New Roman"/>
        </w:rPr>
        <w:t xml:space="preserve"> </w:t>
      </w:r>
      <w:r w:rsidR="001D0628">
        <w:rPr>
          <w:rFonts w:ascii="Times New Roman" w:hAnsi="Times New Roman" w:cs="Times New Roman"/>
        </w:rPr>
        <w:t>z </w:t>
      </w:r>
      <w:r w:rsidR="008B4A71" w:rsidRPr="00215A1D">
        <w:rPr>
          <w:rFonts w:ascii="Times New Roman" w:hAnsi="Times New Roman" w:cs="Times New Roman"/>
        </w:rPr>
        <w:t>przeprowadzonych szacunków wynika, iż, przy założeniu, że:</w:t>
      </w:r>
    </w:p>
    <w:p w14:paraId="42092E3E" w14:textId="77777777" w:rsidR="008B4A71" w:rsidRPr="00215A1D" w:rsidRDefault="004E0D73" w:rsidP="00215A1D">
      <w:pPr>
        <w:pStyle w:val="USTustnpkodeksu"/>
        <w:numPr>
          <w:ilvl w:val="1"/>
          <w:numId w:val="62"/>
        </w:numPr>
        <w:ind w:left="426"/>
        <w:rPr>
          <w:rFonts w:ascii="Times New Roman" w:hAnsi="Times New Roman" w:cs="Times New Roman"/>
        </w:rPr>
      </w:pPr>
      <w:r w:rsidRPr="00215A1D">
        <w:rPr>
          <w:rFonts w:ascii="Times New Roman" w:hAnsi="Times New Roman" w:cs="Times New Roman"/>
        </w:rPr>
        <w:t>Utworzenie</w:t>
      </w:r>
      <w:r w:rsidR="008B4A71" w:rsidRPr="00215A1D">
        <w:rPr>
          <w:rFonts w:ascii="Times New Roman" w:hAnsi="Times New Roman" w:cs="Times New Roman"/>
        </w:rPr>
        <w:t xml:space="preserve"> </w:t>
      </w:r>
      <w:r w:rsidRPr="00215A1D">
        <w:rPr>
          <w:rFonts w:ascii="Times New Roman" w:hAnsi="Times New Roman" w:cs="Times New Roman"/>
        </w:rPr>
        <w:t xml:space="preserve">centralnego systemu informacji rynku energii </w:t>
      </w:r>
      <w:r w:rsidR="008B4A71" w:rsidRPr="00215A1D">
        <w:rPr>
          <w:rFonts w:ascii="Times New Roman" w:hAnsi="Times New Roman" w:cs="Times New Roman"/>
        </w:rPr>
        <w:t>nastąpi w drugiej połowie 2022 roku (czyli po 3 latach),</w:t>
      </w:r>
    </w:p>
    <w:p w14:paraId="753FC561" w14:textId="77777777" w:rsidR="008B4A71" w:rsidRPr="00215A1D" w:rsidRDefault="008B4A71" w:rsidP="00215A1D">
      <w:pPr>
        <w:pStyle w:val="USTustnpkodeksu"/>
        <w:numPr>
          <w:ilvl w:val="1"/>
          <w:numId w:val="62"/>
        </w:numPr>
        <w:ind w:left="426"/>
        <w:rPr>
          <w:rFonts w:ascii="Times New Roman" w:hAnsi="Times New Roman" w:cs="Times New Roman"/>
        </w:rPr>
      </w:pPr>
      <w:r w:rsidRPr="00215A1D">
        <w:rPr>
          <w:rFonts w:ascii="Times New Roman" w:hAnsi="Times New Roman" w:cs="Times New Roman"/>
        </w:rPr>
        <w:t>Sprzedawcy ora</w:t>
      </w:r>
      <w:r w:rsidR="001D0628">
        <w:rPr>
          <w:rFonts w:ascii="Times New Roman" w:hAnsi="Times New Roman" w:cs="Times New Roman"/>
        </w:rPr>
        <w:t>z </w:t>
      </w:r>
      <w:r w:rsidRPr="00215A1D">
        <w:rPr>
          <w:rFonts w:ascii="Times New Roman" w:hAnsi="Times New Roman" w:cs="Times New Roman"/>
        </w:rPr>
        <w:t>odbiorcy końcowi zaczną osiągać wymierne korzyści wra</w:t>
      </w:r>
      <w:r w:rsidR="001D0628">
        <w:rPr>
          <w:rFonts w:ascii="Times New Roman" w:hAnsi="Times New Roman" w:cs="Times New Roman"/>
        </w:rPr>
        <w:t>z z </w:t>
      </w:r>
      <w:r w:rsidRPr="00215A1D">
        <w:rPr>
          <w:rFonts w:ascii="Times New Roman" w:hAnsi="Times New Roman" w:cs="Times New Roman"/>
        </w:rPr>
        <w:t xml:space="preserve">funkcjonalnym uruchomieniem CSIRE </w:t>
      </w:r>
      <w:r w:rsidR="00A166BB" w:rsidRPr="00215A1D">
        <w:rPr>
          <w:rFonts w:ascii="Times New Roman" w:hAnsi="Times New Roman" w:cs="Times New Roman"/>
        </w:rPr>
        <w:t xml:space="preserve">tj. począwszy od </w:t>
      </w:r>
      <w:r w:rsidRPr="00215A1D">
        <w:rPr>
          <w:rFonts w:ascii="Times New Roman" w:hAnsi="Times New Roman" w:cs="Times New Roman"/>
        </w:rPr>
        <w:t>202</w:t>
      </w:r>
      <w:r w:rsidR="004D00B7" w:rsidRPr="00215A1D">
        <w:rPr>
          <w:rFonts w:ascii="Times New Roman" w:hAnsi="Times New Roman" w:cs="Times New Roman"/>
        </w:rPr>
        <w:t>3</w:t>
      </w:r>
      <w:r w:rsidRPr="00215A1D">
        <w:rPr>
          <w:rFonts w:ascii="Times New Roman" w:hAnsi="Times New Roman" w:cs="Times New Roman"/>
        </w:rPr>
        <w:t xml:space="preserve"> roku,</w:t>
      </w:r>
    </w:p>
    <w:p w14:paraId="2A8417AB" w14:textId="77777777" w:rsidR="008B4A71" w:rsidRPr="00215A1D" w:rsidRDefault="008B4A71" w:rsidP="00215A1D">
      <w:pPr>
        <w:pStyle w:val="USTustnpkodeksu"/>
        <w:numPr>
          <w:ilvl w:val="1"/>
          <w:numId w:val="62"/>
        </w:numPr>
        <w:ind w:left="426"/>
        <w:rPr>
          <w:rFonts w:ascii="Times New Roman" w:hAnsi="Times New Roman" w:cs="Times New Roman"/>
        </w:rPr>
      </w:pPr>
      <w:r w:rsidRPr="00215A1D">
        <w:rPr>
          <w:rFonts w:ascii="Times New Roman" w:hAnsi="Times New Roman" w:cs="Times New Roman"/>
        </w:rPr>
        <w:t>Utrzymany zostanie ośmioletni cykl legalizacyjny,</w:t>
      </w:r>
    </w:p>
    <w:p w14:paraId="288CD7A9" w14:textId="77777777" w:rsidR="008B4A71" w:rsidRPr="00215A1D" w:rsidRDefault="008B4A71" w:rsidP="00215A1D">
      <w:pPr>
        <w:pStyle w:val="USTustnpkodeksu"/>
        <w:numPr>
          <w:ilvl w:val="1"/>
          <w:numId w:val="62"/>
        </w:numPr>
        <w:ind w:left="426"/>
        <w:rPr>
          <w:rFonts w:ascii="Times New Roman" w:hAnsi="Times New Roman" w:cs="Times New Roman"/>
        </w:rPr>
      </w:pPr>
      <w:r w:rsidRPr="00215A1D">
        <w:rPr>
          <w:rFonts w:ascii="Times New Roman" w:hAnsi="Times New Roman" w:cs="Times New Roman"/>
        </w:rPr>
        <w:t xml:space="preserve">Utrzymana zostanie ośmioletnia amortyzacja dla nowo zainstalowanych liczników (w ujęciu kosztowym zsynchronizowana </w:t>
      </w:r>
      <w:r w:rsidR="001D0628">
        <w:rPr>
          <w:rFonts w:ascii="Times New Roman" w:hAnsi="Times New Roman" w:cs="Times New Roman"/>
        </w:rPr>
        <w:t>z </w:t>
      </w:r>
      <w:r w:rsidRPr="00215A1D">
        <w:rPr>
          <w:rFonts w:ascii="Times New Roman" w:hAnsi="Times New Roman" w:cs="Times New Roman"/>
        </w:rPr>
        <w:t>procesem legalizacji, jako działanie optymalizacyjne OSD),</w:t>
      </w:r>
    </w:p>
    <w:p w14:paraId="3E3A2E62" w14:textId="77777777" w:rsidR="008B4A71" w:rsidRPr="00215A1D" w:rsidRDefault="008B4A71" w:rsidP="00215A1D">
      <w:pPr>
        <w:pStyle w:val="USTustnpkodeksu"/>
        <w:numPr>
          <w:ilvl w:val="1"/>
          <w:numId w:val="62"/>
        </w:numPr>
        <w:ind w:left="426"/>
        <w:rPr>
          <w:rFonts w:ascii="Times New Roman" w:hAnsi="Times New Roman" w:cs="Times New Roman"/>
        </w:rPr>
      </w:pPr>
      <w:r w:rsidRPr="00215A1D">
        <w:rPr>
          <w:rFonts w:ascii="Times New Roman" w:hAnsi="Times New Roman" w:cs="Times New Roman"/>
        </w:rPr>
        <w:t>Ceny liczników ora</w:t>
      </w:r>
      <w:r w:rsidR="001D0628">
        <w:rPr>
          <w:rFonts w:ascii="Times New Roman" w:hAnsi="Times New Roman" w:cs="Times New Roman"/>
        </w:rPr>
        <w:t>z </w:t>
      </w:r>
      <w:r w:rsidRPr="00215A1D">
        <w:rPr>
          <w:rFonts w:ascii="Times New Roman" w:hAnsi="Times New Roman" w:cs="Times New Roman"/>
        </w:rPr>
        <w:t xml:space="preserve">koncentratorów </w:t>
      </w:r>
      <w:r w:rsidR="001D0628">
        <w:rPr>
          <w:rFonts w:ascii="Times New Roman" w:hAnsi="Times New Roman" w:cs="Times New Roman"/>
        </w:rPr>
        <w:t>z </w:t>
      </w:r>
      <w:r w:rsidRPr="00215A1D">
        <w:rPr>
          <w:rFonts w:ascii="Times New Roman" w:hAnsi="Times New Roman" w:cs="Times New Roman"/>
        </w:rPr>
        <w:t xml:space="preserve">uwagi na </w:t>
      </w:r>
      <w:r w:rsidR="004D00B7" w:rsidRPr="00215A1D">
        <w:rPr>
          <w:rFonts w:ascii="Times New Roman" w:hAnsi="Times New Roman" w:cs="Times New Roman"/>
        </w:rPr>
        <w:t>znaczny wzrost popytu</w:t>
      </w:r>
      <w:r w:rsidR="001D0628">
        <w:rPr>
          <w:rFonts w:ascii="Times New Roman" w:hAnsi="Times New Roman" w:cs="Times New Roman"/>
        </w:rPr>
        <w:t xml:space="preserve"> i </w:t>
      </w:r>
      <w:r w:rsidR="005260EE" w:rsidRPr="00215A1D">
        <w:rPr>
          <w:rFonts w:ascii="Times New Roman" w:hAnsi="Times New Roman" w:cs="Times New Roman"/>
        </w:rPr>
        <w:t>możliwą ograniczoną zdolność producentów do jego zaspokojenia</w:t>
      </w:r>
      <w:r w:rsidR="004D00B7" w:rsidRPr="00215A1D">
        <w:rPr>
          <w:rFonts w:ascii="Times New Roman" w:hAnsi="Times New Roman" w:cs="Times New Roman"/>
        </w:rPr>
        <w:t xml:space="preserve"> </w:t>
      </w:r>
      <w:r w:rsidRPr="00215A1D">
        <w:rPr>
          <w:rFonts w:ascii="Times New Roman" w:hAnsi="Times New Roman" w:cs="Times New Roman"/>
        </w:rPr>
        <w:t>w ciągu pierwszych 3 lat wdrożenia wzrosną o łącznie 10%</w:t>
      </w:r>
      <w:r w:rsidR="001D0628">
        <w:rPr>
          <w:rFonts w:ascii="Times New Roman" w:hAnsi="Times New Roman" w:cs="Times New Roman"/>
        </w:rPr>
        <w:t xml:space="preserve"> i </w:t>
      </w:r>
      <w:r w:rsidRPr="00215A1D">
        <w:rPr>
          <w:rFonts w:ascii="Times New Roman" w:hAnsi="Times New Roman" w:cs="Times New Roman"/>
        </w:rPr>
        <w:t>do końca 2023 roku nie zmniejszą się,</w:t>
      </w:r>
    </w:p>
    <w:p w14:paraId="59124416" w14:textId="77777777" w:rsidR="008B4A71" w:rsidRPr="00215A1D" w:rsidRDefault="008B4A71" w:rsidP="00215A1D">
      <w:pPr>
        <w:pStyle w:val="USTustnpkodeksu"/>
        <w:numPr>
          <w:ilvl w:val="1"/>
          <w:numId w:val="62"/>
        </w:numPr>
        <w:ind w:left="426"/>
        <w:rPr>
          <w:rFonts w:ascii="Times New Roman" w:hAnsi="Times New Roman" w:cs="Times New Roman"/>
        </w:rPr>
      </w:pPr>
      <w:r w:rsidRPr="00215A1D">
        <w:rPr>
          <w:rFonts w:ascii="Times New Roman" w:hAnsi="Times New Roman" w:cs="Times New Roman"/>
        </w:rPr>
        <w:t>Skrócenie czasu wdrożenia znacząco wpłynie na budżety OSD to korzyści osiągane prze</w:t>
      </w:r>
      <w:r w:rsidR="001D0628">
        <w:rPr>
          <w:rFonts w:ascii="Times New Roman" w:hAnsi="Times New Roman" w:cs="Times New Roman"/>
        </w:rPr>
        <w:t>z </w:t>
      </w:r>
      <w:r w:rsidRPr="00215A1D">
        <w:rPr>
          <w:rFonts w:ascii="Times New Roman" w:hAnsi="Times New Roman" w:cs="Times New Roman"/>
        </w:rPr>
        <w:t xml:space="preserve">nich w obszarze redukcji liczby odczytów realizowanych w trybie inkasenckim jak </w:t>
      </w:r>
      <w:r w:rsidRPr="00215A1D">
        <w:rPr>
          <w:rFonts w:ascii="Times New Roman" w:hAnsi="Times New Roman" w:cs="Times New Roman"/>
        </w:rPr>
        <w:lastRenderedPageBreak/>
        <w:t>również redukcji strat handlowych</w:t>
      </w:r>
      <w:r w:rsidR="001D0628">
        <w:rPr>
          <w:rFonts w:ascii="Times New Roman" w:hAnsi="Times New Roman" w:cs="Times New Roman"/>
        </w:rPr>
        <w:t xml:space="preserve"> i </w:t>
      </w:r>
      <w:r w:rsidRPr="00215A1D">
        <w:rPr>
          <w:rFonts w:ascii="Times New Roman" w:hAnsi="Times New Roman" w:cs="Times New Roman"/>
        </w:rPr>
        <w:t>technicznych zostaną w mniejszym zakresie przeniesione na odbiorców końcowych</w:t>
      </w:r>
      <w:r w:rsidR="001D0628">
        <w:rPr>
          <w:rFonts w:ascii="Times New Roman" w:hAnsi="Times New Roman" w:cs="Times New Roman"/>
        </w:rPr>
        <w:t xml:space="preserve"> i </w:t>
      </w:r>
      <w:r w:rsidRPr="00215A1D">
        <w:rPr>
          <w:rFonts w:ascii="Times New Roman" w:hAnsi="Times New Roman" w:cs="Times New Roman"/>
        </w:rPr>
        <w:t>będzie to 50% w obszarze odczytów</w:t>
      </w:r>
      <w:r w:rsidR="001D0628">
        <w:rPr>
          <w:rFonts w:ascii="Times New Roman" w:hAnsi="Times New Roman" w:cs="Times New Roman"/>
        </w:rPr>
        <w:t xml:space="preserve"> i </w:t>
      </w:r>
      <w:r w:rsidRPr="00215A1D">
        <w:rPr>
          <w:rFonts w:ascii="Times New Roman" w:hAnsi="Times New Roman" w:cs="Times New Roman"/>
        </w:rPr>
        <w:t>20% w obszarze strat handlowych</w:t>
      </w:r>
      <w:r w:rsidR="001D0628">
        <w:rPr>
          <w:rFonts w:ascii="Times New Roman" w:hAnsi="Times New Roman" w:cs="Times New Roman"/>
        </w:rPr>
        <w:t xml:space="preserve"> i </w:t>
      </w:r>
      <w:r w:rsidRPr="00215A1D">
        <w:rPr>
          <w:rFonts w:ascii="Times New Roman" w:hAnsi="Times New Roman" w:cs="Times New Roman"/>
        </w:rPr>
        <w:t>technicznych,</w:t>
      </w:r>
    </w:p>
    <w:p w14:paraId="2CCADBB5" w14:textId="77777777" w:rsidR="00A166BB" w:rsidRPr="00215A1D" w:rsidRDefault="008B4A71" w:rsidP="00EF6F97">
      <w:pPr>
        <w:pStyle w:val="USTustnpkodeksu"/>
        <w:ind w:firstLine="0"/>
        <w:rPr>
          <w:rFonts w:ascii="Times New Roman" w:hAnsi="Times New Roman" w:cs="Times New Roman"/>
        </w:rPr>
      </w:pPr>
      <w:r w:rsidRPr="00215A1D">
        <w:rPr>
          <w:rFonts w:ascii="Times New Roman" w:hAnsi="Times New Roman" w:cs="Times New Roman"/>
        </w:rPr>
        <w:t>- bilans kosztów</w:t>
      </w:r>
      <w:r w:rsidR="001D0628">
        <w:rPr>
          <w:rFonts w:ascii="Times New Roman" w:hAnsi="Times New Roman" w:cs="Times New Roman"/>
        </w:rPr>
        <w:t xml:space="preserve"> i </w:t>
      </w:r>
      <w:r w:rsidRPr="00215A1D">
        <w:rPr>
          <w:rFonts w:ascii="Times New Roman" w:hAnsi="Times New Roman" w:cs="Times New Roman"/>
        </w:rPr>
        <w:t>korzyści, po 5 latach od rozpoczęcia procesu wdrażania byłby ujemny</w:t>
      </w:r>
      <w:r w:rsidR="001D0628">
        <w:rPr>
          <w:rFonts w:ascii="Times New Roman" w:hAnsi="Times New Roman" w:cs="Times New Roman"/>
        </w:rPr>
        <w:t xml:space="preserve"> i </w:t>
      </w:r>
      <w:r w:rsidRPr="00215A1D">
        <w:rPr>
          <w:rFonts w:ascii="Times New Roman" w:hAnsi="Times New Roman" w:cs="Times New Roman"/>
        </w:rPr>
        <w:t xml:space="preserve">wyniósłby ok. </w:t>
      </w:r>
      <w:r w:rsidR="00A166BB" w:rsidRPr="00215A1D">
        <w:rPr>
          <w:rFonts w:ascii="Times New Roman" w:hAnsi="Times New Roman" w:cs="Times New Roman"/>
        </w:rPr>
        <w:t>(-) 2.</w:t>
      </w:r>
      <w:r w:rsidRPr="00215A1D">
        <w:rPr>
          <w:rFonts w:ascii="Times New Roman" w:hAnsi="Times New Roman" w:cs="Times New Roman"/>
        </w:rPr>
        <w:t xml:space="preserve">808 mln zł. </w:t>
      </w:r>
    </w:p>
    <w:p w14:paraId="7D5B6ED0" w14:textId="77777777" w:rsidR="008B4A71" w:rsidRPr="00215A1D" w:rsidRDefault="00A166BB" w:rsidP="00EF6F97">
      <w:pPr>
        <w:pStyle w:val="USTustnpkodeksu"/>
        <w:ind w:firstLine="0"/>
        <w:rPr>
          <w:rFonts w:ascii="Times New Roman" w:hAnsi="Times New Roman" w:cs="Times New Roman"/>
        </w:rPr>
      </w:pPr>
      <w:r w:rsidRPr="00215A1D">
        <w:rPr>
          <w:rFonts w:ascii="Times New Roman" w:hAnsi="Times New Roman" w:cs="Times New Roman"/>
        </w:rPr>
        <w:t xml:space="preserve">Wobec wyników opisanej powyżej analizy proponuje się realizację rozwiązania wskazanego w </w:t>
      </w:r>
      <w:r w:rsidR="001D0628">
        <w:rPr>
          <w:rFonts w:ascii="Times New Roman" w:hAnsi="Times New Roman" w:cs="Times New Roman"/>
        </w:rPr>
        <w:t>pkt 4</w:t>
      </w:r>
      <w:r w:rsidRPr="00215A1D">
        <w:rPr>
          <w:rFonts w:ascii="Times New Roman" w:hAnsi="Times New Roman" w:cs="Times New Roman"/>
        </w:rPr>
        <w:t xml:space="preserve"> dla którego 15-letni bilans kosztów</w:t>
      </w:r>
      <w:r w:rsidR="001D0628">
        <w:rPr>
          <w:rFonts w:ascii="Times New Roman" w:hAnsi="Times New Roman" w:cs="Times New Roman"/>
        </w:rPr>
        <w:t xml:space="preserve"> i </w:t>
      </w:r>
      <w:r w:rsidRPr="00215A1D">
        <w:rPr>
          <w:rFonts w:ascii="Times New Roman" w:hAnsi="Times New Roman" w:cs="Times New Roman"/>
        </w:rPr>
        <w:t>korzyści wynikający</w:t>
      </w:r>
      <w:r w:rsidR="008B4A71" w:rsidRPr="00215A1D">
        <w:rPr>
          <w:rFonts w:ascii="Times New Roman" w:hAnsi="Times New Roman" w:cs="Times New Roman"/>
        </w:rPr>
        <w:t xml:space="preserve"> </w:t>
      </w:r>
      <w:r w:rsidR="001D0628">
        <w:rPr>
          <w:rFonts w:ascii="Times New Roman" w:hAnsi="Times New Roman" w:cs="Times New Roman"/>
        </w:rPr>
        <w:t>z </w:t>
      </w:r>
      <w:r w:rsidR="008B4A71" w:rsidRPr="00215A1D">
        <w:rPr>
          <w:rFonts w:ascii="Times New Roman" w:hAnsi="Times New Roman" w:cs="Times New Roman"/>
        </w:rPr>
        <w:t xml:space="preserve">10-letniego harmonogramu </w:t>
      </w:r>
      <w:r w:rsidRPr="00215A1D">
        <w:rPr>
          <w:rFonts w:ascii="Times New Roman" w:hAnsi="Times New Roman" w:cs="Times New Roman"/>
        </w:rPr>
        <w:t xml:space="preserve">instalacji </w:t>
      </w:r>
      <w:r w:rsidR="000770F7" w:rsidRPr="00215A1D">
        <w:rPr>
          <w:rFonts w:ascii="Times New Roman" w:hAnsi="Times New Roman" w:cs="Times New Roman"/>
        </w:rPr>
        <w:t xml:space="preserve">liczników zdalnego odczytu </w:t>
      </w:r>
      <w:r w:rsidR="008B4A71" w:rsidRPr="00215A1D">
        <w:rPr>
          <w:rFonts w:ascii="Times New Roman" w:hAnsi="Times New Roman" w:cs="Times New Roman"/>
        </w:rPr>
        <w:t>zaproponowanego w projekcie ustawy</w:t>
      </w:r>
      <w:r w:rsidRPr="00215A1D">
        <w:rPr>
          <w:rFonts w:ascii="Times New Roman" w:hAnsi="Times New Roman" w:cs="Times New Roman"/>
        </w:rPr>
        <w:t xml:space="preserve"> jest dodatni</w:t>
      </w:r>
      <w:r w:rsidR="001D0628">
        <w:rPr>
          <w:rFonts w:ascii="Times New Roman" w:hAnsi="Times New Roman" w:cs="Times New Roman"/>
        </w:rPr>
        <w:t xml:space="preserve"> i </w:t>
      </w:r>
      <w:r w:rsidRPr="00215A1D">
        <w:rPr>
          <w:rFonts w:ascii="Times New Roman" w:hAnsi="Times New Roman" w:cs="Times New Roman"/>
        </w:rPr>
        <w:t xml:space="preserve">wykazuje korzyści netto </w:t>
      </w:r>
      <w:r w:rsidR="008B4905" w:rsidRPr="00215A1D">
        <w:rPr>
          <w:rFonts w:ascii="Times New Roman" w:hAnsi="Times New Roman" w:cs="Times New Roman"/>
        </w:rPr>
        <w:t>5.026,4</w:t>
      </w:r>
      <w:r w:rsidRPr="00215A1D">
        <w:rPr>
          <w:rFonts w:ascii="Times New Roman" w:hAnsi="Times New Roman" w:cs="Times New Roman"/>
        </w:rPr>
        <w:t xml:space="preserve"> mln</w:t>
      </w:r>
      <w:r w:rsidR="008B4A71" w:rsidRPr="00215A1D">
        <w:rPr>
          <w:rFonts w:ascii="Times New Roman" w:hAnsi="Times New Roman" w:cs="Times New Roman"/>
        </w:rPr>
        <w:t xml:space="preserve"> zł.</w:t>
      </w:r>
    </w:p>
    <w:p w14:paraId="37B72D61"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Instalacja liczników zdalnego odczytu w ramach systemu inteligentnego opomiarowania zostanie skorelowana </w:t>
      </w:r>
      <w:r w:rsidR="001D0628">
        <w:rPr>
          <w:rFonts w:ascii="Times New Roman" w:hAnsi="Times New Roman" w:cs="Times New Roman"/>
        </w:rPr>
        <w:t>z </w:t>
      </w:r>
      <w:r w:rsidR="009A1099" w:rsidRPr="00215A1D">
        <w:rPr>
          <w:rFonts w:ascii="Times New Roman" w:hAnsi="Times New Roman" w:cs="Times New Roman"/>
        </w:rPr>
        <w:t xml:space="preserve">przeprowadzaną wymianą legalizacyjną obecnie działających liczników. </w:t>
      </w:r>
    </w:p>
    <w:p w14:paraId="0954B9FC"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Na rynku polskim są dostępne różne rodzaje liczników zdalnego odczytu energii elektrycznej. Mają one możliwość zdalnego odczytywania pomiarów</w:t>
      </w:r>
      <w:r w:rsidR="001D0628">
        <w:rPr>
          <w:rFonts w:ascii="Times New Roman" w:hAnsi="Times New Roman" w:cs="Times New Roman"/>
        </w:rPr>
        <w:t xml:space="preserve"> i </w:t>
      </w:r>
      <w:r w:rsidR="009A1099" w:rsidRPr="00215A1D">
        <w:rPr>
          <w:rFonts w:ascii="Times New Roman" w:hAnsi="Times New Roman" w:cs="Times New Roman"/>
        </w:rPr>
        <w:t>funkcję zdalnego przełączania trybu kredytowego na przedpłatowy. Funkcja ta umożliwi świadome planowanie zużycia energii elektrycznej polegające na jej zakupie w dowolnej chwili</w:t>
      </w:r>
      <w:r w:rsidR="001D0628">
        <w:rPr>
          <w:rFonts w:ascii="Times New Roman" w:hAnsi="Times New Roman" w:cs="Times New Roman"/>
        </w:rPr>
        <w:t xml:space="preserve"> i </w:t>
      </w:r>
      <w:r w:rsidR="009A1099" w:rsidRPr="00215A1D">
        <w:rPr>
          <w:rFonts w:ascii="Times New Roman" w:hAnsi="Times New Roman" w:cs="Times New Roman"/>
        </w:rPr>
        <w:t>na dowolną kwotę, co skutkować będzie jej oszczędzaniem ora</w:t>
      </w:r>
      <w:r w:rsidR="001D0628">
        <w:rPr>
          <w:rFonts w:ascii="Times New Roman" w:hAnsi="Times New Roman" w:cs="Times New Roman"/>
        </w:rPr>
        <w:t>z </w:t>
      </w:r>
      <w:r w:rsidR="009A1099" w:rsidRPr="00215A1D">
        <w:rPr>
          <w:rFonts w:ascii="Times New Roman" w:hAnsi="Times New Roman" w:cs="Times New Roman"/>
        </w:rPr>
        <w:t xml:space="preserve">wydłużeniem czasu, na jaki energia ta wystarczy. </w:t>
      </w:r>
      <w:r w:rsidR="001D0628">
        <w:rPr>
          <w:rFonts w:ascii="Times New Roman" w:hAnsi="Times New Roman" w:cs="Times New Roman"/>
        </w:rPr>
        <w:t>Z </w:t>
      </w:r>
      <w:r w:rsidR="009A1099" w:rsidRPr="00215A1D">
        <w:rPr>
          <w:rFonts w:ascii="Times New Roman" w:hAnsi="Times New Roman" w:cs="Times New Roman"/>
        </w:rPr>
        <w:t xml:space="preserve">uzyskanych danych wynika, że liczniki zdalnego odczytu zastały </w:t>
      </w:r>
      <w:r w:rsidR="005870DA" w:rsidRPr="00215A1D">
        <w:rPr>
          <w:rFonts w:ascii="Times New Roman" w:hAnsi="Times New Roman" w:cs="Times New Roman"/>
        </w:rPr>
        <w:t xml:space="preserve">dotychczas </w:t>
      </w:r>
      <w:r w:rsidR="009A1099" w:rsidRPr="00215A1D">
        <w:rPr>
          <w:rFonts w:ascii="Times New Roman" w:hAnsi="Times New Roman" w:cs="Times New Roman"/>
        </w:rPr>
        <w:t xml:space="preserve">zainstalowane u 1516 tys. odbiorców energii elektrycznej, co stanowi blisko </w:t>
      </w:r>
      <w:r w:rsidR="00306D56" w:rsidRPr="00215A1D">
        <w:rPr>
          <w:rFonts w:ascii="Times New Roman" w:hAnsi="Times New Roman" w:cs="Times New Roman"/>
        </w:rPr>
        <w:t>10</w:t>
      </w:r>
      <w:r w:rsidR="009A1099" w:rsidRPr="00215A1D">
        <w:rPr>
          <w:rFonts w:ascii="Times New Roman" w:hAnsi="Times New Roman" w:cs="Times New Roman"/>
        </w:rPr>
        <w:t xml:space="preserve">% tych odbiorców (dane na rok 2017) </w:t>
      </w:r>
      <w:r w:rsidR="001D0628">
        <w:rPr>
          <w:rFonts w:ascii="Times New Roman" w:hAnsi="Times New Roman" w:cs="Times New Roman"/>
        </w:rPr>
        <w:t>z </w:t>
      </w:r>
      <w:r w:rsidR="009A1099" w:rsidRPr="00215A1D">
        <w:rPr>
          <w:rFonts w:ascii="Times New Roman" w:hAnsi="Times New Roman" w:cs="Times New Roman"/>
        </w:rPr>
        <w:t>czego najwięcej zainstalowała ENERGA</w:t>
      </w:r>
      <w:r w:rsidR="005870DA" w:rsidRPr="00215A1D">
        <w:rPr>
          <w:rFonts w:ascii="Times New Roman" w:hAnsi="Times New Roman" w:cs="Times New Roman"/>
        </w:rPr>
        <w:t>-</w:t>
      </w:r>
      <w:r w:rsidR="009A1099" w:rsidRPr="00215A1D">
        <w:rPr>
          <w:rFonts w:ascii="Times New Roman" w:hAnsi="Times New Roman" w:cs="Times New Roman"/>
        </w:rPr>
        <w:t>Operator S.A.</w:t>
      </w:r>
      <w:r w:rsidR="00EF6F97">
        <w:rPr>
          <w:rFonts w:ascii="Times New Roman" w:hAnsi="Times New Roman" w:cs="Times New Roman"/>
        </w:rPr>
        <w:t xml:space="preserve"> </w:t>
      </w:r>
    </w:p>
    <w:p w14:paraId="126FA090" w14:textId="77777777"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Wolumen korzyści możliwych do osiągnięcia dla wszystkich uczestników rynku dla okresu </w:t>
      </w:r>
      <w:r w:rsidR="00306D56" w:rsidRPr="00215A1D">
        <w:rPr>
          <w:rFonts w:ascii="Times New Roman" w:hAnsi="Times New Roman" w:cs="Times New Roman"/>
        </w:rPr>
        <w:t xml:space="preserve">15-to letniego wyliczono </w:t>
      </w:r>
      <w:r w:rsidR="009A1099" w:rsidRPr="00215A1D">
        <w:rPr>
          <w:rFonts w:ascii="Times New Roman" w:hAnsi="Times New Roman" w:cs="Times New Roman"/>
        </w:rPr>
        <w:t xml:space="preserve">na kwotę </w:t>
      </w:r>
      <w:r w:rsidR="00DD4D1B" w:rsidRPr="00215A1D">
        <w:rPr>
          <w:rFonts w:ascii="Times New Roman" w:hAnsi="Times New Roman" w:cs="Times New Roman"/>
        </w:rPr>
        <w:t>12936</w:t>
      </w:r>
      <w:r w:rsidR="00306D56" w:rsidRPr="00215A1D">
        <w:rPr>
          <w:rFonts w:ascii="Times New Roman" w:hAnsi="Times New Roman" w:cs="Times New Roman"/>
        </w:rPr>
        <w:t xml:space="preserve"> </w:t>
      </w:r>
      <w:r w:rsidR="009A1099" w:rsidRPr="00215A1D">
        <w:rPr>
          <w:rFonts w:ascii="Times New Roman" w:hAnsi="Times New Roman" w:cs="Times New Roman"/>
        </w:rPr>
        <w:t>ml</w:t>
      </w:r>
      <w:r w:rsidR="00306D56" w:rsidRPr="00215A1D">
        <w:rPr>
          <w:rFonts w:ascii="Times New Roman" w:hAnsi="Times New Roman" w:cs="Times New Roman"/>
        </w:rPr>
        <w:t>n</w:t>
      </w:r>
      <w:r w:rsidR="009A1099" w:rsidRPr="00215A1D">
        <w:rPr>
          <w:rFonts w:ascii="Times New Roman" w:hAnsi="Times New Roman" w:cs="Times New Roman"/>
        </w:rPr>
        <w:t xml:space="preserve"> zł </w:t>
      </w:r>
      <w:r w:rsidR="001D0628">
        <w:rPr>
          <w:rFonts w:ascii="Times New Roman" w:hAnsi="Times New Roman" w:cs="Times New Roman"/>
        </w:rPr>
        <w:t>z </w:t>
      </w:r>
      <w:r w:rsidR="00EA3F9B" w:rsidRPr="00215A1D">
        <w:rPr>
          <w:rFonts w:ascii="Times New Roman" w:hAnsi="Times New Roman" w:cs="Times New Roman"/>
        </w:rPr>
        <w:t xml:space="preserve">czego dla odbiorców końcowych na kwotę 11338 mln zł, </w:t>
      </w:r>
      <w:r w:rsidR="009A1099" w:rsidRPr="00215A1D">
        <w:rPr>
          <w:rFonts w:ascii="Times New Roman" w:hAnsi="Times New Roman" w:cs="Times New Roman"/>
        </w:rPr>
        <w:t xml:space="preserve">zaś kosztów na poziomie </w:t>
      </w:r>
      <w:r w:rsidR="00DD4D1B" w:rsidRPr="00215A1D">
        <w:rPr>
          <w:rFonts w:ascii="Times New Roman" w:hAnsi="Times New Roman" w:cs="Times New Roman"/>
        </w:rPr>
        <w:t>7909</w:t>
      </w:r>
      <w:r w:rsidR="009A1099" w:rsidRPr="00215A1D">
        <w:rPr>
          <w:rFonts w:ascii="Times New Roman" w:hAnsi="Times New Roman" w:cs="Times New Roman"/>
        </w:rPr>
        <w:t xml:space="preserve"> ml</w:t>
      </w:r>
      <w:r w:rsidR="00306D56" w:rsidRPr="00215A1D">
        <w:rPr>
          <w:rFonts w:ascii="Times New Roman" w:hAnsi="Times New Roman" w:cs="Times New Roman"/>
        </w:rPr>
        <w:t>n</w:t>
      </w:r>
      <w:r w:rsidR="009A1099" w:rsidRPr="00215A1D">
        <w:rPr>
          <w:rFonts w:ascii="Times New Roman" w:hAnsi="Times New Roman" w:cs="Times New Roman"/>
        </w:rPr>
        <w:t xml:space="preserve"> zł</w:t>
      </w:r>
      <w:r w:rsidR="00EA3F9B" w:rsidRPr="00215A1D">
        <w:rPr>
          <w:rFonts w:ascii="Times New Roman" w:hAnsi="Times New Roman" w:cs="Times New Roman"/>
        </w:rPr>
        <w:t xml:space="preserve"> </w:t>
      </w:r>
      <w:r w:rsidR="001D0628">
        <w:rPr>
          <w:rFonts w:ascii="Times New Roman" w:hAnsi="Times New Roman" w:cs="Times New Roman"/>
        </w:rPr>
        <w:t>z </w:t>
      </w:r>
      <w:r w:rsidR="00EA3F9B" w:rsidRPr="00215A1D">
        <w:rPr>
          <w:rFonts w:ascii="Times New Roman" w:hAnsi="Times New Roman" w:cs="Times New Roman"/>
        </w:rPr>
        <w:t>czego przeniesionych na odbiorców końcowych 7218 mln zł</w:t>
      </w:r>
      <w:r w:rsidR="009A1099" w:rsidRPr="00215A1D">
        <w:rPr>
          <w:rFonts w:ascii="Times New Roman" w:hAnsi="Times New Roman" w:cs="Times New Roman"/>
        </w:rPr>
        <w:t>.</w:t>
      </w:r>
      <w:r w:rsidR="00EA3F9B" w:rsidRPr="00215A1D">
        <w:rPr>
          <w:rFonts w:ascii="Times New Roman" w:hAnsi="Times New Roman" w:cs="Times New Roman"/>
        </w:rPr>
        <w:t xml:space="preserve"> </w:t>
      </w:r>
      <w:r w:rsidR="009A1099" w:rsidRPr="00215A1D">
        <w:rPr>
          <w:rFonts w:ascii="Times New Roman" w:hAnsi="Times New Roman" w:cs="Times New Roman"/>
        </w:rPr>
        <w:t>Szczegółowe wyliczenia w tym zakresie ora</w:t>
      </w:r>
      <w:r w:rsidR="001D0628">
        <w:rPr>
          <w:rFonts w:ascii="Times New Roman" w:hAnsi="Times New Roman" w:cs="Times New Roman"/>
        </w:rPr>
        <w:t>z </w:t>
      </w:r>
      <w:r w:rsidR="009A1099" w:rsidRPr="00215A1D">
        <w:rPr>
          <w:rFonts w:ascii="Times New Roman" w:hAnsi="Times New Roman" w:cs="Times New Roman"/>
        </w:rPr>
        <w:t>przyjęte mierniki przedstawiono w Ocenie Skutków Regulacji ora</w:t>
      </w:r>
      <w:r w:rsidR="001D0628">
        <w:rPr>
          <w:rFonts w:ascii="Times New Roman" w:hAnsi="Times New Roman" w:cs="Times New Roman"/>
        </w:rPr>
        <w:t>z </w:t>
      </w:r>
      <w:r w:rsidR="009A1099" w:rsidRPr="00215A1D">
        <w:rPr>
          <w:rFonts w:ascii="Times New Roman" w:hAnsi="Times New Roman" w:cs="Times New Roman"/>
        </w:rPr>
        <w:t>Aktualizacji istotnych założeń do modelu kosztów</w:t>
      </w:r>
      <w:r w:rsidR="001D0628">
        <w:rPr>
          <w:rFonts w:ascii="Times New Roman" w:hAnsi="Times New Roman" w:cs="Times New Roman"/>
        </w:rPr>
        <w:t xml:space="preserve"> i </w:t>
      </w:r>
      <w:r w:rsidR="009A1099" w:rsidRPr="00215A1D">
        <w:rPr>
          <w:rFonts w:ascii="Times New Roman" w:hAnsi="Times New Roman" w:cs="Times New Roman"/>
        </w:rPr>
        <w:t>korzyści wdrożenia inteligentnego opomiarowania w Polsce.</w:t>
      </w:r>
    </w:p>
    <w:p w14:paraId="5F6F67A3" w14:textId="6EA8BAD6" w:rsidR="006F4FCE" w:rsidRDefault="00B077B9" w:rsidP="00372981">
      <w:pPr>
        <w:pStyle w:val="USTustnpkodeksu"/>
        <w:ind w:firstLine="708"/>
      </w:pPr>
      <w:r>
        <w:t>Powyższe, stanowi także element realizacji w obszarze regulacyjnym dot. sektora energetyki Programu Zintegrowanej Informatyzacji Państwa przyjętego przez Rząd RP w 2019 r., który to program zakłada systemowe zmiany całych sektorów gospodarki i wykorzystywanie nowoczesnych technologii wykorzystujących cyfrową postać danych. Dodatkowo, oparcie gospodarki na technologiach cyfrowych oraz większe zaangażowanie wszystkich interesariuszy w transformację cyfrową może przyczynić się do przyspieszenia gospodarczego oraz zmniejszy różnice rozwojowe w stosunku do najbardziej zaawansowanych ekonomicznie krajów Europy.</w:t>
      </w:r>
    </w:p>
    <w:p w14:paraId="44DE9138" w14:textId="77777777" w:rsidR="00B077B9" w:rsidRPr="00215A1D" w:rsidRDefault="00B077B9" w:rsidP="00372981">
      <w:pPr>
        <w:pStyle w:val="USTustnpkodeksu"/>
        <w:ind w:firstLine="0"/>
        <w:rPr>
          <w:rFonts w:ascii="Times New Roman" w:hAnsi="Times New Roman" w:cs="Times New Roman"/>
        </w:rPr>
      </w:pPr>
    </w:p>
    <w:p w14:paraId="4FE7C250" w14:textId="77777777" w:rsidR="009A1099" w:rsidRPr="00215A1D" w:rsidRDefault="00D24A41" w:rsidP="00EF6F97">
      <w:pPr>
        <w:pStyle w:val="USTustnpkodeksu"/>
        <w:ind w:firstLine="0"/>
        <w:rPr>
          <w:rFonts w:ascii="Times New Roman" w:hAnsi="Times New Roman" w:cs="Times New Roman"/>
        </w:rPr>
      </w:pPr>
      <w:r>
        <w:rPr>
          <w:rFonts w:ascii="Times New Roman" w:hAnsi="Times New Roman" w:cs="Times New Roman"/>
        </w:rPr>
        <w:t>17</w:t>
      </w:r>
      <w:r w:rsidR="00EE6A04" w:rsidRPr="00215A1D">
        <w:rPr>
          <w:rFonts w:ascii="Times New Roman" w:hAnsi="Times New Roman" w:cs="Times New Roman"/>
        </w:rPr>
        <w:t>. 4</w:t>
      </w:r>
      <w:r w:rsidR="009A1099" w:rsidRPr="00215A1D">
        <w:rPr>
          <w:rFonts w:ascii="Times New Roman" w:hAnsi="Times New Roman" w:cs="Times New Roman"/>
        </w:rPr>
        <w:t>. Szczegółowe rozwiązania:</w:t>
      </w:r>
    </w:p>
    <w:p w14:paraId="091658B3" w14:textId="77777777" w:rsidR="00154F38" w:rsidRPr="00215A1D" w:rsidRDefault="009A1099" w:rsidP="00215A1D">
      <w:pPr>
        <w:pStyle w:val="USTustnpkodeksu"/>
        <w:rPr>
          <w:rFonts w:ascii="Times New Roman" w:hAnsi="Times New Roman" w:cs="Times New Roman"/>
        </w:rPr>
      </w:pPr>
      <w:r w:rsidRPr="00215A1D">
        <w:rPr>
          <w:rFonts w:ascii="Times New Roman" w:hAnsi="Times New Roman" w:cs="Times New Roman"/>
          <w:bCs w:val="0"/>
        </w:rPr>
        <w:t xml:space="preserve">W projekcie ustawy, zdefiniowano </w:t>
      </w:r>
      <w:r w:rsidR="00025850" w:rsidRPr="00215A1D">
        <w:rPr>
          <w:rFonts w:ascii="Times New Roman" w:hAnsi="Times New Roman" w:cs="Times New Roman"/>
          <w:bCs w:val="0"/>
        </w:rPr>
        <w:t xml:space="preserve">m.in. </w:t>
      </w:r>
      <w:r w:rsidRPr="00215A1D">
        <w:rPr>
          <w:rFonts w:ascii="Times New Roman" w:hAnsi="Times New Roman" w:cs="Times New Roman"/>
          <w:bCs w:val="0"/>
        </w:rPr>
        <w:t>następujące pojęcia:</w:t>
      </w:r>
    </w:p>
    <w:p w14:paraId="39557224" w14:textId="77777777" w:rsidR="00154F38" w:rsidRPr="00215A1D" w:rsidRDefault="00154F38" w:rsidP="00215A1D">
      <w:pPr>
        <w:pStyle w:val="USTustnpkodeksu"/>
        <w:numPr>
          <w:ilvl w:val="0"/>
          <w:numId w:val="67"/>
        </w:numPr>
        <w:rPr>
          <w:rFonts w:ascii="Times New Roman" w:hAnsi="Times New Roman" w:cs="Times New Roman"/>
        </w:rPr>
      </w:pPr>
      <w:r w:rsidRPr="00215A1D">
        <w:rPr>
          <w:rFonts w:ascii="Times New Roman" w:hAnsi="Times New Roman" w:cs="Times New Roman"/>
        </w:rPr>
        <w:t>dane pomiarowe – dane pozyskiwane lub wyznaczane dla punktu pomiarowego;</w:t>
      </w:r>
    </w:p>
    <w:p w14:paraId="1E08A1E0" w14:textId="77777777" w:rsidR="00154F38" w:rsidRPr="00215A1D" w:rsidRDefault="00154F38" w:rsidP="00215A1D">
      <w:pPr>
        <w:pStyle w:val="USTustnpkodeksu"/>
        <w:numPr>
          <w:ilvl w:val="0"/>
          <w:numId w:val="67"/>
        </w:numPr>
        <w:rPr>
          <w:rFonts w:ascii="Times New Roman" w:hAnsi="Times New Roman" w:cs="Times New Roman"/>
        </w:rPr>
      </w:pPr>
      <w:r w:rsidRPr="00215A1D">
        <w:rPr>
          <w:rFonts w:ascii="Times New Roman" w:hAnsi="Times New Roman" w:cs="Times New Roman"/>
        </w:rPr>
        <w:t>informacje rynku energii − informacje dotyczące punktu pomiarowego, dane pomiarowe, informacje o zdarzeniach rejestrowanych prze</w:t>
      </w:r>
      <w:r w:rsidR="001D0628">
        <w:rPr>
          <w:rFonts w:ascii="Times New Roman" w:hAnsi="Times New Roman" w:cs="Times New Roman"/>
        </w:rPr>
        <w:t>z </w:t>
      </w:r>
      <w:r w:rsidRPr="00215A1D">
        <w:rPr>
          <w:rFonts w:ascii="Times New Roman" w:hAnsi="Times New Roman" w:cs="Times New Roman"/>
        </w:rPr>
        <w:t>licznik zdalnego odczytu, polecenia odbierane prze</w:t>
      </w:r>
      <w:r w:rsidR="001D0628">
        <w:rPr>
          <w:rFonts w:ascii="Times New Roman" w:hAnsi="Times New Roman" w:cs="Times New Roman"/>
        </w:rPr>
        <w:t>z </w:t>
      </w:r>
      <w:r w:rsidRPr="00215A1D">
        <w:rPr>
          <w:rFonts w:ascii="Times New Roman" w:hAnsi="Times New Roman" w:cs="Times New Roman"/>
        </w:rPr>
        <w:t>licznik zdalnego odczytu ora</w:t>
      </w:r>
      <w:r w:rsidR="001D0628">
        <w:rPr>
          <w:rFonts w:ascii="Times New Roman" w:hAnsi="Times New Roman" w:cs="Times New Roman"/>
        </w:rPr>
        <w:t>z </w:t>
      </w:r>
      <w:r w:rsidRPr="00215A1D">
        <w:rPr>
          <w:rFonts w:ascii="Times New Roman" w:hAnsi="Times New Roman" w:cs="Times New Roman"/>
        </w:rPr>
        <w:t>inne informacje niezbędne do dostarczania energii elektrycznej;</w:t>
      </w:r>
    </w:p>
    <w:p w14:paraId="4C36DD33" w14:textId="77777777" w:rsidR="00154F38" w:rsidRPr="00215A1D" w:rsidRDefault="00154F38" w:rsidP="00215A1D">
      <w:pPr>
        <w:pStyle w:val="USTustnpkodeksu"/>
        <w:numPr>
          <w:ilvl w:val="0"/>
          <w:numId w:val="67"/>
        </w:numPr>
        <w:rPr>
          <w:rFonts w:ascii="Times New Roman" w:hAnsi="Times New Roman" w:cs="Times New Roman"/>
        </w:rPr>
      </w:pPr>
      <w:r w:rsidRPr="00215A1D">
        <w:rPr>
          <w:rFonts w:ascii="Times New Roman" w:hAnsi="Times New Roman" w:cs="Times New Roman"/>
        </w:rPr>
        <w:t>układ</w:t>
      </w:r>
      <w:r w:rsidR="00EF6F97">
        <w:rPr>
          <w:rFonts w:ascii="Times New Roman" w:hAnsi="Times New Roman" w:cs="Times New Roman"/>
        </w:rPr>
        <w:t xml:space="preserve"> </w:t>
      </w:r>
      <w:r w:rsidRPr="00215A1D">
        <w:rPr>
          <w:rFonts w:ascii="Times New Roman" w:hAnsi="Times New Roman" w:cs="Times New Roman"/>
        </w:rPr>
        <w:t>pomiarowo-rozliczeniowy</w:t>
      </w:r>
      <w:r w:rsidR="00EF6F97">
        <w:rPr>
          <w:rFonts w:ascii="Times New Roman" w:hAnsi="Times New Roman" w:cs="Times New Roman"/>
        </w:rPr>
        <w:t xml:space="preserve"> </w:t>
      </w:r>
      <w:r w:rsidRPr="00215A1D">
        <w:rPr>
          <w:rFonts w:ascii="Times New Roman" w:hAnsi="Times New Roman" w:cs="Times New Roman"/>
        </w:rPr>
        <w:t>—</w:t>
      </w:r>
      <w:r w:rsidR="00EF6F97">
        <w:rPr>
          <w:rFonts w:ascii="Times New Roman" w:hAnsi="Times New Roman" w:cs="Times New Roman"/>
        </w:rPr>
        <w:t xml:space="preserve"> </w:t>
      </w:r>
      <w:r w:rsidRPr="00215A1D">
        <w:rPr>
          <w:rFonts w:ascii="Times New Roman" w:hAnsi="Times New Roman" w:cs="Times New Roman"/>
        </w:rPr>
        <w:t>liczniki</w:t>
      </w:r>
      <w:r w:rsidR="00EF6F97">
        <w:rPr>
          <w:rFonts w:ascii="Times New Roman" w:hAnsi="Times New Roman" w:cs="Times New Roman"/>
        </w:rPr>
        <w:t xml:space="preserve"> </w:t>
      </w:r>
      <w:r w:rsidRPr="00215A1D">
        <w:rPr>
          <w:rFonts w:ascii="Times New Roman" w:hAnsi="Times New Roman" w:cs="Times New Roman"/>
        </w:rPr>
        <w:t>i</w:t>
      </w:r>
      <w:r w:rsidR="00EF6F97">
        <w:rPr>
          <w:rFonts w:ascii="Times New Roman" w:hAnsi="Times New Roman" w:cs="Times New Roman"/>
        </w:rPr>
        <w:t xml:space="preserve"> </w:t>
      </w:r>
      <w:r w:rsidRPr="00215A1D">
        <w:rPr>
          <w:rFonts w:ascii="Times New Roman" w:hAnsi="Times New Roman" w:cs="Times New Roman"/>
        </w:rPr>
        <w:t>inne przyrządy pomiarowe</w:t>
      </w:r>
      <w:r w:rsidR="00EF6F97">
        <w:rPr>
          <w:rFonts w:ascii="Times New Roman" w:hAnsi="Times New Roman" w:cs="Times New Roman"/>
        </w:rPr>
        <w:t xml:space="preserve"> </w:t>
      </w:r>
      <w:r w:rsidRPr="00215A1D">
        <w:rPr>
          <w:rFonts w:ascii="Times New Roman" w:hAnsi="Times New Roman" w:cs="Times New Roman"/>
        </w:rPr>
        <w:t>lub</w:t>
      </w:r>
      <w:r w:rsidR="00EF6F97">
        <w:rPr>
          <w:rFonts w:ascii="Times New Roman" w:hAnsi="Times New Roman" w:cs="Times New Roman"/>
        </w:rPr>
        <w:t xml:space="preserve"> </w:t>
      </w:r>
      <w:r w:rsidRPr="00215A1D">
        <w:rPr>
          <w:rFonts w:ascii="Times New Roman" w:hAnsi="Times New Roman" w:cs="Times New Roman"/>
        </w:rPr>
        <w:t>urządzenia pomiarowo-rozliczeniowe,</w:t>
      </w:r>
      <w:r w:rsidR="00EF6F97">
        <w:rPr>
          <w:rFonts w:ascii="Times New Roman" w:hAnsi="Times New Roman" w:cs="Times New Roman"/>
        </w:rPr>
        <w:t xml:space="preserve"> </w:t>
      </w:r>
      <w:r w:rsidRPr="00215A1D">
        <w:rPr>
          <w:rFonts w:ascii="Times New Roman" w:hAnsi="Times New Roman" w:cs="Times New Roman"/>
        </w:rPr>
        <w:t>w</w:t>
      </w:r>
      <w:r w:rsidR="00EF6F97">
        <w:rPr>
          <w:rFonts w:ascii="Times New Roman" w:hAnsi="Times New Roman" w:cs="Times New Roman"/>
        </w:rPr>
        <w:t xml:space="preserve"> </w:t>
      </w:r>
      <w:r w:rsidRPr="00215A1D">
        <w:rPr>
          <w:rFonts w:ascii="Times New Roman" w:hAnsi="Times New Roman" w:cs="Times New Roman"/>
        </w:rPr>
        <w:t>szczególności</w:t>
      </w:r>
      <w:r w:rsidR="00EF6F97">
        <w:rPr>
          <w:rFonts w:ascii="Times New Roman" w:hAnsi="Times New Roman" w:cs="Times New Roman"/>
        </w:rPr>
        <w:t xml:space="preserve"> </w:t>
      </w:r>
      <w:r w:rsidRPr="00215A1D">
        <w:rPr>
          <w:rFonts w:ascii="Times New Roman" w:hAnsi="Times New Roman" w:cs="Times New Roman"/>
        </w:rPr>
        <w:t>liczniki</w:t>
      </w:r>
      <w:r w:rsidR="00EF6F97">
        <w:rPr>
          <w:rFonts w:ascii="Times New Roman" w:hAnsi="Times New Roman" w:cs="Times New Roman"/>
        </w:rPr>
        <w:t xml:space="preserve"> </w:t>
      </w:r>
      <w:r w:rsidRPr="00215A1D">
        <w:rPr>
          <w:rFonts w:ascii="Times New Roman" w:hAnsi="Times New Roman" w:cs="Times New Roman"/>
        </w:rPr>
        <w:t>energii</w:t>
      </w:r>
      <w:r w:rsidR="00EF6F97">
        <w:rPr>
          <w:rFonts w:ascii="Times New Roman" w:hAnsi="Times New Roman" w:cs="Times New Roman"/>
        </w:rPr>
        <w:t xml:space="preserve"> </w:t>
      </w:r>
      <w:r w:rsidRPr="00215A1D">
        <w:rPr>
          <w:rFonts w:ascii="Times New Roman" w:hAnsi="Times New Roman" w:cs="Times New Roman"/>
        </w:rPr>
        <w:t>czynnej, liczniki</w:t>
      </w:r>
      <w:r w:rsidR="00EF6F97">
        <w:rPr>
          <w:rFonts w:ascii="Times New Roman" w:hAnsi="Times New Roman" w:cs="Times New Roman"/>
        </w:rPr>
        <w:t xml:space="preserve"> </w:t>
      </w:r>
      <w:r w:rsidRPr="00215A1D">
        <w:rPr>
          <w:rFonts w:ascii="Times New Roman" w:hAnsi="Times New Roman" w:cs="Times New Roman"/>
        </w:rPr>
        <w:t>energii</w:t>
      </w:r>
      <w:r w:rsidR="00EF6F97">
        <w:rPr>
          <w:rFonts w:ascii="Times New Roman" w:hAnsi="Times New Roman" w:cs="Times New Roman"/>
        </w:rPr>
        <w:t xml:space="preserve"> </w:t>
      </w:r>
      <w:r w:rsidRPr="00215A1D">
        <w:rPr>
          <w:rFonts w:ascii="Times New Roman" w:hAnsi="Times New Roman" w:cs="Times New Roman"/>
        </w:rPr>
        <w:t>biernej</w:t>
      </w:r>
      <w:r w:rsidR="00EF6F97">
        <w:rPr>
          <w:rFonts w:ascii="Times New Roman" w:hAnsi="Times New Roman" w:cs="Times New Roman"/>
        </w:rPr>
        <w:t xml:space="preserve"> </w:t>
      </w:r>
      <w:r w:rsidRPr="00215A1D">
        <w:rPr>
          <w:rFonts w:ascii="Times New Roman" w:hAnsi="Times New Roman" w:cs="Times New Roman"/>
        </w:rPr>
        <w:t>ora</w:t>
      </w:r>
      <w:r w:rsidR="001D0628">
        <w:rPr>
          <w:rFonts w:ascii="Times New Roman" w:hAnsi="Times New Roman" w:cs="Times New Roman"/>
        </w:rPr>
        <w:t>z </w:t>
      </w:r>
      <w:r w:rsidR="00EF6F97">
        <w:rPr>
          <w:rFonts w:ascii="Times New Roman" w:hAnsi="Times New Roman" w:cs="Times New Roman"/>
        </w:rPr>
        <w:t xml:space="preserve"> </w:t>
      </w:r>
      <w:r w:rsidRPr="00215A1D">
        <w:rPr>
          <w:rFonts w:ascii="Times New Roman" w:hAnsi="Times New Roman" w:cs="Times New Roman"/>
        </w:rPr>
        <w:t>przekładniki</w:t>
      </w:r>
      <w:r w:rsidR="00EF6F97">
        <w:rPr>
          <w:rFonts w:ascii="Times New Roman" w:hAnsi="Times New Roman" w:cs="Times New Roman"/>
        </w:rPr>
        <w:t xml:space="preserve"> </w:t>
      </w:r>
      <w:r w:rsidRPr="00215A1D">
        <w:rPr>
          <w:rFonts w:ascii="Times New Roman" w:hAnsi="Times New Roman" w:cs="Times New Roman"/>
        </w:rPr>
        <w:t>prądowe</w:t>
      </w:r>
      <w:r w:rsidR="001D0628">
        <w:rPr>
          <w:rFonts w:ascii="Times New Roman" w:hAnsi="Times New Roman" w:cs="Times New Roman"/>
        </w:rPr>
        <w:t xml:space="preserve"> i </w:t>
      </w:r>
      <w:r w:rsidRPr="00215A1D">
        <w:rPr>
          <w:rFonts w:ascii="Times New Roman" w:hAnsi="Times New Roman" w:cs="Times New Roman"/>
        </w:rPr>
        <w:t>napięciowe,</w:t>
      </w:r>
      <w:r w:rsidR="00EF6F97">
        <w:rPr>
          <w:rFonts w:ascii="Times New Roman" w:hAnsi="Times New Roman" w:cs="Times New Roman"/>
        </w:rPr>
        <w:t xml:space="preserve"> </w:t>
      </w:r>
      <w:r w:rsidRPr="00215A1D">
        <w:rPr>
          <w:rFonts w:ascii="Times New Roman" w:hAnsi="Times New Roman" w:cs="Times New Roman"/>
        </w:rPr>
        <w:t>a także</w:t>
      </w:r>
      <w:r w:rsidR="00EF6F97">
        <w:rPr>
          <w:rFonts w:ascii="Times New Roman" w:hAnsi="Times New Roman" w:cs="Times New Roman"/>
        </w:rPr>
        <w:t xml:space="preserve"> </w:t>
      </w:r>
      <w:r w:rsidRPr="00215A1D">
        <w:rPr>
          <w:rFonts w:ascii="Times New Roman" w:hAnsi="Times New Roman" w:cs="Times New Roman"/>
        </w:rPr>
        <w:t>układy</w:t>
      </w:r>
      <w:r w:rsidR="00EF6F97">
        <w:rPr>
          <w:rFonts w:ascii="Times New Roman" w:hAnsi="Times New Roman" w:cs="Times New Roman"/>
        </w:rPr>
        <w:t xml:space="preserve"> </w:t>
      </w:r>
      <w:r w:rsidRPr="00215A1D">
        <w:rPr>
          <w:rFonts w:ascii="Times New Roman" w:hAnsi="Times New Roman" w:cs="Times New Roman"/>
        </w:rPr>
        <w:t>połączeń</w:t>
      </w:r>
      <w:r w:rsidR="00EF6F97">
        <w:rPr>
          <w:rFonts w:ascii="Times New Roman" w:hAnsi="Times New Roman" w:cs="Times New Roman"/>
        </w:rPr>
        <w:t xml:space="preserve"> </w:t>
      </w:r>
      <w:r w:rsidRPr="00215A1D">
        <w:rPr>
          <w:rFonts w:ascii="Times New Roman" w:hAnsi="Times New Roman" w:cs="Times New Roman"/>
        </w:rPr>
        <w:t>między</w:t>
      </w:r>
      <w:r w:rsidR="00EF6F97">
        <w:rPr>
          <w:rFonts w:ascii="Times New Roman" w:hAnsi="Times New Roman" w:cs="Times New Roman"/>
        </w:rPr>
        <w:t xml:space="preserve"> </w:t>
      </w:r>
      <w:r w:rsidRPr="00215A1D">
        <w:rPr>
          <w:rFonts w:ascii="Times New Roman" w:hAnsi="Times New Roman" w:cs="Times New Roman"/>
        </w:rPr>
        <w:t>nimi, służące bezpośrednio lub pośrednio do pomiarów energii elektrycznej</w:t>
      </w:r>
      <w:r w:rsidR="001D0628">
        <w:rPr>
          <w:rFonts w:ascii="Times New Roman" w:hAnsi="Times New Roman" w:cs="Times New Roman"/>
        </w:rPr>
        <w:t xml:space="preserve"> i </w:t>
      </w:r>
      <w:r w:rsidRPr="00215A1D">
        <w:rPr>
          <w:rFonts w:ascii="Times New Roman" w:hAnsi="Times New Roman" w:cs="Times New Roman"/>
        </w:rPr>
        <w:t>rozliczeń za tę energię;</w:t>
      </w:r>
    </w:p>
    <w:p w14:paraId="6FD0CAA9"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licznik zdalnego odczytu – przyrząd pomiarowy w rozumieniu ustawy </w:t>
      </w:r>
      <w:r w:rsidR="001D0628">
        <w:rPr>
          <w:rFonts w:ascii="Times New Roman" w:hAnsi="Times New Roman" w:cs="Times New Roman"/>
        </w:rPr>
        <w:t>z </w:t>
      </w:r>
      <w:r w:rsidRPr="00215A1D">
        <w:rPr>
          <w:rFonts w:ascii="Times New Roman" w:hAnsi="Times New Roman" w:cs="Times New Roman"/>
        </w:rPr>
        <w:t>dnia 11 maja 2011</w:t>
      </w:r>
      <w:r w:rsidR="001D0628">
        <w:rPr>
          <w:rFonts w:ascii="Times New Roman" w:hAnsi="Times New Roman" w:cs="Times New Roman"/>
        </w:rPr>
        <w:t> r.</w:t>
      </w:r>
      <w:r w:rsidRPr="00215A1D">
        <w:rPr>
          <w:rFonts w:ascii="Times New Roman" w:hAnsi="Times New Roman" w:cs="Times New Roman"/>
        </w:rPr>
        <w:t xml:space="preserve"> - Prawo o miarach (Dz. U. </w:t>
      </w:r>
      <w:r w:rsidR="001D0628">
        <w:rPr>
          <w:rFonts w:ascii="Times New Roman" w:hAnsi="Times New Roman" w:cs="Times New Roman"/>
        </w:rPr>
        <w:t>z </w:t>
      </w:r>
      <w:r w:rsidRPr="00215A1D">
        <w:rPr>
          <w:rFonts w:ascii="Times New Roman" w:hAnsi="Times New Roman" w:cs="Times New Roman"/>
        </w:rPr>
        <w:t>2019</w:t>
      </w:r>
      <w:r w:rsidR="001D0628">
        <w:rPr>
          <w:rFonts w:ascii="Times New Roman" w:hAnsi="Times New Roman" w:cs="Times New Roman"/>
        </w:rPr>
        <w:t> r.</w:t>
      </w:r>
      <w:r w:rsidRPr="00215A1D">
        <w:rPr>
          <w:rFonts w:ascii="Times New Roman" w:hAnsi="Times New Roman" w:cs="Times New Roman"/>
        </w:rPr>
        <w:t xml:space="preserve"> poz. 541, 675 ora</w:t>
      </w:r>
      <w:r w:rsidR="001D0628">
        <w:rPr>
          <w:rFonts w:ascii="Times New Roman" w:hAnsi="Times New Roman" w:cs="Times New Roman"/>
        </w:rPr>
        <w:t>z </w:t>
      </w:r>
      <w:r w:rsidRPr="00215A1D">
        <w:rPr>
          <w:rFonts w:ascii="Times New Roman" w:hAnsi="Times New Roman" w:cs="Times New Roman"/>
        </w:rPr>
        <w:t>1123), służący do pomiaru energii elektrycznej</w:t>
      </w:r>
      <w:r w:rsidR="001D0628">
        <w:rPr>
          <w:rFonts w:ascii="Times New Roman" w:hAnsi="Times New Roman" w:cs="Times New Roman"/>
        </w:rPr>
        <w:t xml:space="preserve"> i </w:t>
      </w:r>
      <w:r w:rsidRPr="00215A1D">
        <w:rPr>
          <w:rFonts w:ascii="Times New Roman" w:hAnsi="Times New Roman" w:cs="Times New Roman"/>
        </w:rPr>
        <w:t xml:space="preserve">rozliczeń za tę energię, wyposażony w funkcję komunikacji </w:t>
      </w:r>
      <w:r w:rsidR="001D0628">
        <w:rPr>
          <w:rFonts w:ascii="Times New Roman" w:hAnsi="Times New Roman" w:cs="Times New Roman"/>
        </w:rPr>
        <w:t>z </w:t>
      </w:r>
      <w:r w:rsidRPr="00215A1D">
        <w:rPr>
          <w:rFonts w:ascii="Times New Roman" w:hAnsi="Times New Roman" w:cs="Times New Roman"/>
        </w:rPr>
        <w:t>systemem zdalnego odczytu;</w:t>
      </w:r>
    </w:p>
    <w:p w14:paraId="37FBAD21"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licznik konwencjonalny – przyrząd pomiarowy w rozumieniu ustawy </w:t>
      </w:r>
      <w:r w:rsidR="001D0628">
        <w:rPr>
          <w:rFonts w:ascii="Times New Roman" w:hAnsi="Times New Roman" w:cs="Times New Roman"/>
        </w:rPr>
        <w:t>z </w:t>
      </w:r>
      <w:r w:rsidRPr="00215A1D">
        <w:rPr>
          <w:rFonts w:ascii="Times New Roman" w:hAnsi="Times New Roman" w:cs="Times New Roman"/>
        </w:rPr>
        <w:t>dnia 11 maja 2011</w:t>
      </w:r>
      <w:r w:rsidR="001D0628">
        <w:rPr>
          <w:rFonts w:ascii="Times New Roman" w:hAnsi="Times New Roman" w:cs="Times New Roman"/>
        </w:rPr>
        <w:t> r.</w:t>
      </w:r>
      <w:r w:rsidRPr="00215A1D">
        <w:rPr>
          <w:rFonts w:ascii="Times New Roman" w:hAnsi="Times New Roman" w:cs="Times New Roman"/>
        </w:rPr>
        <w:t xml:space="preserve"> - Prawo o miarach, służący do pomiaru energii elektrycznej</w:t>
      </w:r>
      <w:r w:rsidR="001D0628">
        <w:rPr>
          <w:rFonts w:ascii="Times New Roman" w:hAnsi="Times New Roman" w:cs="Times New Roman"/>
        </w:rPr>
        <w:t xml:space="preserve"> i </w:t>
      </w:r>
      <w:r w:rsidRPr="00215A1D">
        <w:rPr>
          <w:rFonts w:ascii="Times New Roman" w:hAnsi="Times New Roman" w:cs="Times New Roman"/>
        </w:rPr>
        <w:t xml:space="preserve">rozliczeń za tę energię, nie wyposażony w funkcję komunikacji </w:t>
      </w:r>
      <w:r w:rsidR="001D0628">
        <w:rPr>
          <w:rFonts w:ascii="Times New Roman" w:hAnsi="Times New Roman" w:cs="Times New Roman"/>
        </w:rPr>
        <w:t>z </w:t>
      </w:r>
      <w:r w:rsidRPr="00215A1D">
        <w:rPr>
          <w:rFonts w:ascii="Times New Roman" w:hAnsi="Times New Roman" w:cs="Times New Roman"/>
        </w:rPr>
        <w:t>systemem zdalnego odczytu;</w:t>
      </w:r>
    </w:p>
    <w:p w14:paraId="4D2DAF04"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bezpośredni układ pomiarowy – układ pomiarowo - rozliczeniowy be</w:t>
      </w:r>
      <w:r w:rsidR="001D0628">
        <w:rPr>
          <w:rFonts w:ascii="Times New Roman" w:hAnsi="Times New Roman" w:cs="Times New Roman"/>
        </w:rPr>
        <w:t>z </w:t>
      </w:r>
      <w:r w:rsidRPr="00215A1D">
        <w:rPr>
          <w:rFonts w:ascii="Times New Roman" w:hAnsi="Times New Roman" w:cs="Times New Roman"/>
        </w:rPr>
        <w:t>przekładników prądowych ani napięciowych;</w:t>
      </w:r>
    </w:p>
    <w:p w14:paraId="6CA01919"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punkt pomiarowy − miejsce w urządzeniu, instalacji lub sieci, w którym dokonuje się pomiaru lub wyznaczenia wielkości fizycznych dotyczących energii elektrycznej;</w:t>
      </w:r>
    </w:p>
    <w:p w14:paraId="54EFBC75"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punkt poboru energii – punkt pomiarowy w instalacji lub sieci, dla którego dokonuje się rozliczeń ora</w:t>
      </w:r>
      <w:r w:rsidR="001D0628">
        <w:rPr>
          <w:rFonts w:ascii="Times New Roman" w:hAnsi="Times New Roman" w:cs="Times New Roman"/>
        </w:rPr>
        <w:t>z </w:t>
      </w:r>
      <w:r w:rsidRPr="00215A1D">
        <w:rPr>
          <w:rFonts w:ascii="Times New Roman" w:hAnsi="Times New Roman" w:cs="Times New Roman"/>
        </w:rPr>
        <w:t>dla którego może nastąpić zmiana sprzedawcy;</w:t>
      </w:r>
    </w:p>
    <w:p w14:paraId="0C1DAF65" w14:textId="04B536BA"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system zdalnego odczytu – system </w:t>
      </w:r>
      <w:r w:rsidR="00B077B9">
        <w:rPr>
          <w:rFonts w:ascii="Times New Roman" w:hAnsi="Times New Roman" w:cs="Times New Roman"/>
        </w:rPr>
        <w:t>informacyjny</w:t>
      </w:r>
      <w:r w:rsidR="00B077B9" w:rsidRPr="00215A1D">
        <w:rPr>
          <w:rFonts w:ascii="Times New Roman" w:hAnsi="Times New Roman" w:cs="Times New Roman"/>
        </w:rPr>
        <w:t xml:space="preserve"> </w:t>
      </w:r>
      <w:r w:rsidRPr="00215A1D">
        <w:rPr>
          <w:rFonts w:ascii="Times New Roman" w:hAnsi="Times New Roman" w:cs="Times New Roman"/>
        </w:rPr>
        <w:t xml:space="preserve">służący do pozyskiwania danych pomiarowych </w:t>
      </w:r>
      <w:r w:rsidR="001D0628">
        <w:rPr>
          <w:rFonts w:ascii="Times New Roman" w:hAnsi="Times New Roman" w:cs="Times New Roman"/>
        </w:rPr>
        <w:t>z </w:t>
      </w:r>
      <w:r w:rsidRPr="00215A1D">
        <w:rPr>
          <w:rFonts w:ascii="Times New Roman" w:hAnsi="Times New Roman" w:cs="Times New Roman"/>
        </w:rPr>
        <w:t>liczników zdalnego odczytu</w:t>
      </w:r>
      <w:r w:rsidR="001D0628">
        <w:rPr>
          <w:rFonts w:ascii="Times New Roman" w:hAnsi="Times New Roman" w:cs="Times New Roman"/>
        </w:rPr>
        <w:t xml:space="preserve"> i </w:t>
      </w:r>
      <w:r w:rsidRPr="00215A1D">
        <w:rPr>
          <w:rFonts w:ascii="Times New Roman" w:hAnsi="Times New Roman" w:cs="Times New Roman"/>
        </w:rPr>
        <w:t>informacji o zdarzeniach rejestrowanych prze</w:t>
      </w:r>
      <w:r w:rsidR="001D0628">
        <w:rPr>
          <w:rFonts w:ascii="Times New Roman" w:hAnsi="Times New Roman" w:cs="Times New Roman"/>
        </w:rPr>
        <w:t>z </w:t>
      </w:r>
      <w:r w:rsidRPr="00215A1D">
        <w:rPr>
          <w:rFonts w:ascii="Times New Roman" w:hAnsi="Times New Roman" w:cs="Times New Roman"/>
        </w:rPr>
        <w:t>te liczniki ora</w:t>
      </w:r>
      <w:r w:rsidR="001D0628">
        <w:rPr>
          <w:rFonts w:ascii="Times New Roman" w:hAnsi="Times New Roman" w:cs="Times New Roman"/>
        </w:rPr>
        <w:t>z </w:t>
      </w:r>
      <w:r w:rsidRPr="00215A1D">
        <w:rPr>
          <w:rFonts w:ascii="Times New Roman" w:hAnsi="Times New Roman" w:cs="Times New Roman"/>
        </w:rPr>
        <w:t>służący do wysyłania poleceń do liczników zdalnego odczytu;</w:t>
      </w:r>
    </w:p>
    <w:p w14:paraId="69DE75D4" w14:textId="4627AF7C"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centralny system informacji rynku energii – system </w:t>
      </w:r>
      <w:r w:rsidR="00B077B9">
        <w:rPr>
          <w:rFonts w:ascii="Times New Roman" w:hAnsi="Times New Roman" w:cs="Times New Roman"/>
        </w:rPr>
        <w:t>informacyjny</w:t>
      </w:r>
      <w:r w:rsidR="00B077B9" w:rsidRPr="00215A1D">
        <w:rPr>
          <w:rFonts w:ascii="Times New Roman" w:hAnsi="Times New Roman" w:cs="Times New Roman"/>
        </w:rPr>
        <w:t xml:space="preserve"> </w:t>
      </w:r>
      <w:r w:rsidRPr="00215A1D">
        <w:rPr>
          <w:rFonts w:ascii="Times New Roman" w:hAnsi="Times New Roman" w:cs="Times New Roman"/>
        </w:rPr>
        <w:t>służący do przetwarzania informacji rynku energii na potrzeby realizacji procesów rynku energii elektrycznej ora</w:t>
      </w:r>
      <w:r w:rsidR="001D0628">
        <w:rPr>
          <w:rFonts w:ascii="Times New Roman" w:hAnsi="Times New Roman" w:cs="Times New Roman"/>
        </w:rPr>
        <w:t>z </w:t>
      </w:r>
      <w:r w:rsidRPr="00215A1D">
        <w:rPr>
          <w:rFonts w:ascii="Times New Roman" w:hAnsi="Times New Roman" w:cs="Times New Roman"/>
        </w:rPr>
        <w:t>wymiany informacji pomiędzy użytkownikami systemu;</w:t>
      </w:r>
    </w:p>
    <w:p w14:paraId="165B3271"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system pomiarowy – system zdalnego odczytu, liczniki zdalnego odczytu wra</w:t>
      </w:r>
      <w:r w:rsidR="001D0628">
        <w:rPr>
          <w:rFonts w:ascii="Times New Roman" w:hAnsi="Times New Roman" w:cs="Times New Roman"/>
        </w:rPr>
        <w:t>z z </w:t>
      </w:r>
      <w:r w:rsidRPr="00215A1D">
        <w:rPr>
          <w:rFonts w:ascii="Times New Roman" w:hAnsi="Times New Roman" w:cs="Times New Roman"/>
        </w:rPr>
        <w:t xml:space="preserve">niezbędną infrastrukturą techniczną skomunikowane </w:t>
      </w:r>
      <w:r w:rsidR="001D0628">
        <w:rPr>
          <w:rFonts w:ascii="Times New Roman" w:hAnsi="Times New Roman" w:cs="Times New Roman"/>
        </w:rPr>
        <w:t>z </w:t>
      </w:r>
      <w:r w:rsidRPr="00215A1D">
        <w:rPr>
          <w:rFonts w:ascii="Times New Roman" w:hAnsi="Times New Roman" w:cs="Times New Roman"/>
        </w:rPr>
        <w:t xml:space="preserve">tym systemem zdalnego </w:t>
      </w:r>
      <w:r w:rsidRPr="00215A1D">
        <w:rPr>
          <w:rFonts w:ascii="Times New Roman" w:hAnsi="Times New Roman" w:cs="Times New Roman"/>
        </w:rPr>
        <w:lastRenderedPageBreak/>
        <w:t>odczytu ora</w:t>
      </w:r>
      <w:r w:rsidR="001D0628">
        <w:rPr>
          <w:rFonts w:ascii="Times New Roman" w:hAnsi="Times New Roman" w:cs="Times New Roman"/>
        </w:rPr>
        <w:t>z </w:t>
      </w:r>
      <w:r w:rsidRPr="00215A1D">
        <w:rPr>
          <w:rFonts w:ascii="Times New Roman" w:hAnsi="Times New Roman" w:cs="Times New Roman"/>
        </w:rPr>
        <w:t>liczniki konwencjonalne, służący do przetwarzania danych pomiarowych, celem ich przekazania do centralnego systemu informacji rynku energii;</w:t>
      </w:r>
    </w:p>
    <w:p w14:paraId="43AAC628" w14:textId="3BC26EF3"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system </w:t>
      </w:r>
      <w:r w:rsidR="00B077B9">
        <w:rPr>
          <w:rFonts w:ascii="Times New Roman" w:hAnsi="Times New Roman" w:cs="Times New Roman"/>
        </w:rPr>
        <w:t>informacyjny</w:t>
      </w:r>
      <w:r w:rsidR="00B077B9" w:rsidRPr="00215A1D">
        <w:rPr>
          <w:rFonts w:ascii="Times New Roman" w:hAnsi="Times New Roman" w:cs="Times New Roman"/>
        </w:rPr>
        <w:t xml:space="preserve"> </w:t>
      </w:r>
      <w:r w:rsidRPr="00215A1D">
        <w:rPr>
          <w:rFonts w:ascii="Times New Roman" w:hAnsi="Times New Roman" w:cs="Times New Roman"/>
        </w:rPr>
        <w:t xml:space="preserve">− system teleinformatyczny w rozumieniu </w:t>
      </w:r>
      <w:r w:rsidR="00B077B9">
        <w:rPr>
          <w:rFonts w:ascii="Times New Roman" w:hAnsi="Times New Roman" w:cs="Times New Roman"/>
        </w:rPr>
        <w:t>ustawy o krajowym systemie cyberbezpieczeństwa;</w:t>
      </w:r>
    </w:p>
    <w:p w14:paraId="0980D3B6"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operator informacji rynku energii - podmiot odpowiedzialny za zarządzanie</w:t>
      </w:r>
      <w:r w:rsidR="001D0628">
        <w:rPr>
          <w:rFonts w:ascii="Times New Roman" w:hAnsi="Times New Roman" w:cs="Times New Roman"/>
        </w:rPr>
        <w:t xml:space="preserve"> i </w:t>
      </w:r>
      <w:r w:rsidRPr="00215A1D">
        <w:rPr>
          <w:rFonts w:ascii="Times New Roman" w:hAnsi="Times New Roman" w:cs="Times New Roman"/>
        </w:rPr>
        <w:t>administrowanie centralnym systemem informacji rynku energii ora</w:t>
      </w:r>
      <w:r w:rsidR="001D0628">
        <w:rPr>
          <w:rFonts w:ascii="Times New Roman" w:hAnsi="Times New Roman" w:cs="Times New Roman"/>
        </w:rPr>
        <w:t>z </w:t>
      </w:r>
      <w:r w:rsidRPr="00215A1D">
        <w:rPr>
          <w:rFonts w:ascii="Times New Roman" w:hAnsi="Times New Roman" w:cs="Times New Roman"/>
        </w:rPr>
        <w:t>przetwarzanie zgromadzonych w nim informacji na potrzeby realizacji procesów rynku energii elektrycznej;</w:t>
      </w:r>
    </w:p>
    <w:p w14:paraId="2E46A52A"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jednostkowe dane pomiarowe - dane pomiarowe dotyczące pomiarów dla pojedynczego punktu pomiarowego, dla których jest możliwe ich przypisanie do danego użytkownika systemu;</w:t>
      </w:r>
    </w:p>
    <w:p w14:paraId="673B1100"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zagregowane dane pomiarowe – dane pomiarowe dla zbioru punktów pomiarowych, dla których nie jest możliwe przypisanie ich do danego użytkownika systemu;</w:t>
      </w:r>
    </w:p>
    <w:p w14:paraId="6008178C"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operator ogólnodostępnej stacji ładowania - operator ogólnodostępnej stacji ładowania w rozumieniu art. 2 pkt 7 ustawy </w:t>
      </w:r>
      <w:r w:rsidR="001D0628">
        <w:rPr>
          <w:rFonts w:ascii="Times New Roman" w:hAnsi="Times New Roman" w:cs="Times New Roman"/>
        </w:rPr>
        <w:t>z </w:t>
      </w:r>
      <w:r w:rsidRPr="00215A1D">
        <w:rPr>
          <w:rFonts w:ascii="Times New Roman" w:hAnsi="Times New Roman" w:cs="Times New Roman"/>
        </w:rPr>
        <w:t>dnia 11 stycznia 2018</w:t>
      </w:r>
      <w:r w:rsidR="001D0628">
        <w:rPr>
          <w:rFonts w:ascii="Times New Roman" w:hAnsi="Times New Roman" w:cs="Times New Roman"/>
        </w:rPr>
        <w:t> r.</w:t>
      </w:r>
      <w:r w:rsidRPr="00215A1D">
        <w:rPr>
          <w:rFonts w:ascii="Times New Roman" w:hAnsi="Times New Roman" w:cs="Times New Roman"/>
        </w:rPr>
        <w:t xml:space="preserve"> o elektromobilności</w:t>
      </w:r>
      <w:r w:rsidR="001D0628">
        <w:rPr>
          <w:rFonts w:ascii="Times New Roman" w:hAnsi="Times New Roman" w:cs="Times New Roman"/>
        </w:rPr>
        <w:t xml:space="preserve"> i </w:t>
      </w:r>
      <w:r w:rsidRPr="00215A1D">
        <w:rPr>
          <w:rFonts w:ascii="Times New Roman" w:hAnsi="Times New Roman" w:cs="Times New Roman"/>
        </w:rPr>
        <w:t>paliwach alternatywnych;</w:t>
      </w:r>
    </w:p>
    <w:p w14:paraId="05EDE44E" w14:textId="77777777" w:rsidR="00D0483F" w:rsidRPr="00215A1D" w:rsidRDefault="00D0483F" w:rsidP="00EF6F97">
      <w:pPr>
        <w:pStyle w:val="USTustnpkodeksu"/>
        <w:ind w:left="510" w:firstLine="624"/>
        <w:rPr>
          <w:rFonts w:ascii="Times New Roman" w:hAnsi="Times New Roman" w:cs="Times New Roman"/>
        </w:rPr>
      </w:pPr>
    </w:p>
    <w:p w14:paraId="125C3305" w14:textId="77777777" w:rsidR="009A1099" w:rsidRPr="00215A1D" w:rsidRDefault="00154F38" w:rsidP="00EF6F97">
      <w:pPr>
        <w:pStyle w:val="USTustnpkodeksu"/>
        <w:ind w:firstLine="0"/>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System wykorzystujący zdalną komunikację dwukierunkową powinien gwarantować </w:t>
      </w:r>
      <w:r w:rsidR="001D0628">
        <w:rPr>
          <w:rFonts w:ascii="Times New Roman" w:hAnsi="Times New Roman" w:cs="Times New Roman"/>
        </w:rPr>
        <w:t>z </w:t>
      </w:r>
      <w:r w:rsidR="009A1099" w:rsidRPr="00215A1D">
        <w:rPr>
          <w:rFonts w:ascii="Times New Roman" w:hAnsi="Times New Roman" w:cs="Times New Roman"/>
        </w:rPr>
        <w:t>jednej strony pozyskiwanie</w:t>
      </w:r>
      <w:r w:rsidR="001D0628">
        <w:rPr>
          <w:rFonts w:ascii="Times New Roman" w:hAnsi="Times New Roman" w:cs="Times New Roman"/>
        </w:rPr>
        <w:t xml:space="preserve"> i </w:t>
      </w:r>
      <w:r w:rsidR="009A1099" w:rsidRPr="00215A1D">
        <w:rPr>
          <w:rFonts w:ascii="Times New Roman" w:hAnsi="Times New Roman" w:cs="Times New Roman"/>
        </w:rPr>
        <w:t xml:space="preserve">przetwarzanie danych pomiarowych, </w:t>
      </w:r>
      <w:r w:rsidR="001D0628">
        <w:rPr>
          <w:rFonts w:ascii="Times New Roman" w:hAnsi="Times New Roman" w:cs="Times New Roman"/>
        </w:rPr>
        <w:t>z </w:t>
      </w:r>
      <w:r w:rsidR="009A1099" w:rsidRPr="00215A1D">
        <w:rPr>
          <w:rFonts w:ascii="Times New Roman" w:hAnsi="Times New Roman" w:cs="Times New Roman"/>
        </w:rPr>
        <w:t xml:space="preserve">drugiej zaś strony </w:t>
      </w:r>
      <w:r w:rsidR="00D81B39" w:rsidRPr="00215A1D">
        <w:rPr>
          <w:rFonts w:ascii="Times New Roman" w:hAnsi="Times New Roman" w:cs="Times New Roman"/>
        </w:rPr>
        <w:t xml:space="preserve">możliwość </w:t>
      </w:r>
      <w:r w:rsidR="009A1099" w:rsidRPr="00215A1D">
        <w:rPr>
          <w:rFonts w:ascii="Times New Roman" w:hAnsi="Times New Roman" w:cs="Times New Roman"/>
        </w:rPr>
        <w:t>wysyłani</w:t>
      </w:r>
      <w:r w:rsidR="00D81B39" w:rsidRPr="00215A1D">
        <w:rPr>
          <w:rFonts w:ascii="Times New Roman" w:hAnsi="Times New Roman" w:cs="Times New Roman"/>
        </w:rPr>
        <w:t>a</w:t>
      </w:r>
      <w:r w:rsidR="009A1099" w:rsidRPr="00215A1D">
        <w:rPr>
          <w:rFonts w:ascii="Times New Roman" w:hAnsi="Times New Roman" w:cs="Times New Roman"/>
        </w:rPr>
        <w:t xml:space="preserve"> poleceń do liczników zdalnego odczytu służących do jego obsługi jak</w:t>
      </w:r>
      <w:r w:rsidR="001D0628">
        <w:rPr>
          <w:rFonts w:ascii="Times New Roman" w:hAnsi="Times New Roman" w:cs="Times New Roman"/>
        </w:rPr>
        <w:t xml:space="preserve"> i </w:t>
      </w:r>
      <w:r w:rsidR="009A1099" w:rsidRPr="00215A1D">
        <w:rPr>
          <w:rFonts w:ascii="Times New Roman" w:hAnsi="Times New Roman" w:cs="Times New Roman"/>
        </w:rPr>
        <w:t>ograniczani</w:t>
      </w:r>
      <w:r w:rsidR="00D81B39" w:rsidRPr="00215A1D">
        <w:rPr>
          <w:rFonts w:ascii="Times New Roman" w:hAnsi="Times New Roman" w:cs="Times New Roman"/>
        </w:rPr>
        <w:t>a</w:t>
      </w:r>
      <w:r w:rsidR="009A1099" w:rsidRPr="00215A1D">
        <w:rPr>
          <w:rFonts w:ascii="Times New Roman" w:hAnsi="Times New Roman" w:cs="Times New Roman"/>
        </w:rPr>
        <w:t xml:space="preserve"> za pośrednictwem tego licznika poboru energii elektrycznej w punkcie pomiarowym.</w:t>
      </w:r>
    </w:p>
    <w:p w14:paraId="761E0082" w14:textId="77777777"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D81B39" w:rsidRPr="00215A1D">
        <w:rPr>
          <w:rFonts w:ascii="Times New Roman" w:hAnsi="Times New Roman" w:cs="Times New Roman"/>
        </w:rPr>
        <w:t xml:space="preserve">Przewiduje się, że </w:t>
      </w:r>
      <w:r w:rsidR="009A1099" w:rsidRPr="00215A1D">
        <w:rPr>
          <w:rFonts w:ascii="Times New Roman" w:hAnsi="Times New Roman" w:cs="Times New Roman"/>
        </w:rPr>
        <w:t xml:space="preserve">licznik zdalnego odczytu </w:t>
      </w:r>
      <w:r w:rsidR="00D81B39" w:rsidRPr="00215A1D">
        <w:rPr>
          <w:rFonts w:ascii="Times New Roman" w:hAnsi="Times New Roman" w:cs="Times New Roman"/>
        </w:rPr>
        <w:t xml:space="preserve">będzie umożliwiał </w:t>
      </w:r>
      <w:r w:rsidR="009A1099" w:rsidRPr="00215A1D">
        <w:rPr>
          <w:rFonts w:ascii="Times New Roman" w:hAnsi="Times New Roman" w:cs="Times New Roman"/>
        </w:rPr>
        <w:t>pomiar</w:t>
      </w:r>
      <w:r w:rsidR="00D81B39" w:rsidRPr="00215A1D">
        <w:rPr>
          <w:rFonts w:ascii="Times New Roman" w:hAnsi="Times New Roman" w:cs="Times New Roman"/>
        </w:rPr>
        <w:t>y</w:t>
      </w:r>
      <w:r w:rsidR="009A1099" w:rsidRPr="00215A1D">
        <w:rPr>
          <w:rFonts w:ascii="Times New Roman" w:hAnsi="Times New Roman" w:cs="Times New Roman"/>
        </w:rPr>
        <w:t xml:space="preserve"> jakości dostarczanej energii elektrycznej</w:t>
      </w:r>
      <w:r w:rsidR="00D81B39" w:rsidRPr="00215A1D">
        <w:rPr>
          <w:rFonts w:ascii="Times New Roman" w:hAnsi="Times New Roman" w:cs="Times New Roman"/>
        </w:rPr>
        <w:t>, co</w:t>
      </w:r>
      <w:r w:rsidR="009A1099" w:rsidRPr="00215A1D">
        <w:rPr>
          <w:rFonts w:ascii="Times New Roman" w:hAnsi="Times New Roman" w:cs="Times New Roman"/>
        </w:rPr>
        <w:t xml:space="preserve"> umożliwi docelowo wprowadzenie automatycznego naliczania bonifikat za przerwy w jej dostarczaniu ora</w:t>
      </w:r>
      <w:r w:rsidR="001D0628">
        <w:rPr>
          <w:rFonts w:ascii="Times New Roman" w:hAnsi="Times New Roman" w:cs="Times New Roman"/>
        </w:rPr>
        <w:t>z </w:t>
      </w:r>
      <w:r w:rsidR="009A1099" w:rsidRPr="00215A1D">
        <w:rPr>
          <w:rFonts w:ascii="Times New Roman" w:hAnsi="Times New Roman" w:cs="Times New Roman"/>
        </w:rPr>
        <w:t>inne naruszenia parametrów jakościowych energii elektrycznej. Obecnie bonifikaty naliczane są na wniosek odbiorcy końcowego, a przedsiębiorstwo energetyczne na rozpatrzenie takiego wniosku ma 30 dni. Wprowadzenie systemu automatycznego rozliczania bonifikat odciąży odbiorców energii elektrycznej ora</w:t>
      </w:r>
      <w:r w:rsidR="001D0628">
        <w:rPr>
          <w:rFonts w:ascii="Times New Roman" w:hAnsi="Times New Roman" w:cs="Times New Roman"/>
        </w:rPr>
        <w:t>z </w:t>
      </w:r>
      <w:r w:rsidR="009A1099" w:rsidRPr="00215A1D">
        <w:rPr>
          <w:rFonts w:ascii="Times New Roman" w:hAnsi="Times New Roman" w:cs="Times New Roman"/>
        </w:rPr>
        <w:t>przedsiębiorstwa energetyczne od zbędnych czynności (składanie wniosków, ich rozpatrywanie) ora</w:t>
      </w:r>
      <w:r w:rsidR="001D0628">
        <w:rPr>
          <w:rFonts w:ascii="Times New Roman" w:hAnsi="Times New Roman" w:cs="Times New Roman"/>
        </w:rPr>
        <w:t>z </w:t>
      </w:r>
      <w:r w:rsidR="009A1099" w:rsidRPr="00215A1D">
        <w:rPr>
          <w:rFonts w:ascii="Times New Roman" w:hAnsi="Times New Roman" w:cs="Times New Roman"/>
        </w:rPr>
        <w:t xml:space="preserve">ponoszenia wydatków </w:t>
      </w:r>
      <w:r w:rsidR="001D0628">
        <w:rPr>
          <w:rFonts w:ascii="Times New Roman" w:hAnsi="Times New Roman" w:cs="Times New Roman"/>
        </w:rPr>
        <w:t>z </w:t>
      </w:r>
      <w:r w:rsidR="009A1099" w:rsidRPr="00215A1D">
        <w:rPr>
          <w:rFonts w:ascii="Times New Roman" w:hAnsi="Times New Roman" w:cs="Times New Roman"/>
        </w:rPr>
        <w:t xml:space="preserve">tym związanych. Wprowadzenie takiego systemu w Szwecji w związku </w:t>
      </w:r>
      <w:r w:rsidR="001D0628">
        <w:rPr>
          <w:rFonts w:ascii="Times New Roman" w:hAnsi="Times New Roman" w:cs="Times New Roman"/>
        </w:rPr>
        <w:t>z </w:t>
      </w:r>
      <w:r w:rsidR="009A1099" w:rsidRPr="00215A1D">
        <w:rPr>
          <w:rFonts w:ascii="Times New Roman" w:hAnsi="Times New Roman" w:cs="Times New Roman"/>
        </w:rPr>
        <w:t>instalacją liczników zdalnego odczytu było prze</w:t>
      </w:r>
      <w:r w:rsidR="001D0628">
        <w:rPr>
          <w:rFonts w:ascii="Times New Roman" w:hAnsi="Times New Roman" w:cs="Times New Roman"/>
        </w:rPr>
        <w:t>z </w:t>
      </w:r>
      <w:r w:rsidR="009A1099" w:rsidRPr="00215A1D">
        <w:rPr>
          <w:rFonts w:ascii="Times New Roman" w:hAnsi="Times New Roman" w:cs="Times New Roman"/>
        </w:rPr>
        <w:t>odbiorców uznane jako zasadnicza korzyść.</w:t>
      </w:r>
    </w:p>
    <w:p w14:paraId="7806762E" w14:textId="77777777"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W projekcie ustawy zdefiniowano również pozostałe elementy składające się na system inteligentnego opomiarowania. </w:t>
      </w:r>
    </w:p>
    <w:p w14:paraId="2AF0C5C3" w14:textId="77777777" w:rsidR="00150B08" w:rsidRPr="00215A1D" w:rsidRDefault="00154F38" w:rsidP="00EF6F97">
      <w:pPr>
        <w:pStyle w:val="USTustnpkodeksu"/>
        <w:rPr>
          <w:rFonts w:ascii="Times New Roman" w:hAnsi="Times New Roman" w:cs="Times New Roman"/>
        </w:rPr>
      </w:pPr>
      <w:r w:rsidRPr="00215A1D">
        <w:rPr>
          <w:rFonts w:ascii="Times New Roman" w:hAnsi="Times New Roman" w:cs="Times New Roman"/>
        </w:rPr>
        <w:lastRenderedPageBreak/>
        <w:tab/>
      </w:r>
      <w:r w:rsidR="009A1099" w:rsidRPr="00215A1D">
        <w:rPr>
          <w:rFonts w:ascii="Times New Roman" w:hAnsi="Times New Roman" w:cs="Times New Roman"/>
        </w:rPr>
        <w:t xml:space="preserve">Proponuje się </w:t>
      </w:r>
      <w:r w:rsidR="00D81B39" w:rsidRPr="00215A1D">
        <w:rPr>
          <w:rFonts w:ascii="Times New Roman" w:hAnsi="Times New Roman" w:cs="Times New Roman"/>
        </w:rPr>
        <w:t xml:space="preserve">dokonać zmian </w:t>
      </w:r>
      <w:r w:rsidR="009A1099" w:rsidRPr="00215A1D">
        <w:rPr>
          <w:rFonts w:ascii="Times New Roman" w:hAnsi="Times New Roman" w:cs="Times New Roman"/>
        </w:rPr>
        <w:t>przepis</w:t>
      </w:r>
      <w:r w:rsidR="00D81B39" w:rsidRPr="00215A1D">
        <w:rPr>
          <w:rFonts w:ascii="Times New Roman" w:hAnsi="Times New Roman" w:cs="Times New Roman"/>
        </w:rPr>
        <w:t>u</w:t>
      </w:r>
      <w:r w:rsidR="009A1099" w:rsidRPr="00215A1D">
        <w:rPr>
          <w:rFonts w:ascii="Times New Roman" w:hAnsi="Times New Roman" w:cs="Times New Roman"/>
        </w:rPr>
        <w:t xml:space="preserve"> określające</w:t>
      </w:r>
      <w:r w:rsidR="00D81B39" w:rsidRPr="00215A1D">
        <w:rPr>
          <w:rFonts w:ascii="Times New Roman" w:hAnsi="Times New Roman" w:cs="Times New Roman"/>
        </w:rPr>
        <w:t xml:space="preserve">go termin </w:t>
      </w:r>
      <w:r w:rsidR="00150B08" w:rsidRPr="00215A1D">
        <w:rPr>
          <w:rFonts w:ascii="Times New Roman" w:hAnsi="Times New Roman" w:cs="Times New Roman"/>
        </w:rPr>
        <w:t xml:space="preserve">wyznaczony na </w:t>
      </w:r>
      <w:r w:rsidR="009A1099" w:rsidRPr="00215A1D">
        <w:rPr>
          <w:rFonts w:ascii="Times New Roman" w:hAnsi="Times New Roman" w:cs="Times New Roman"/>
        </w:rPr>
        <w:t>zmian</w:t>
      </w:r>
      <w:r w:rsidR="00150B08" w:rsidRPr="00215A1D">
        <w:rPr>
          <w:rFonts w:ascii="Times New Roman" w:hAnsi="Times New Roman" w:cs="Times New Roman"/>
        </w:rPr>
        <w:t>ę</w:t>
      </w:r>
      <w:r w:rsidR="009A1099" w:rsidRPr="00215A1D">
        <w:rPr>
          <w:rFonts w:ascii="Times New Roman" w:hAnsi="Times New Roman" w:cs="Times New Roman"/>
        </w:rPr>
        <w:t xml:space="preserve"> sprzedawcy (art. 4j</w:t>
      </w:r>
      <w:r w:rsidR="00150B08" w:rsidRPr="00215A1D">
        <w:rPr>
          <w:rFonts w:ascii="Times New Roman" w:hAnsi="Times New Roman" w:cs="Times New Roman"/>
        </w:rPr>
        <w:t xml:space="preserve"> ust. 6</w:t>
      </w:r>
      <w:r w:rsidR="009A1099" w:rsidRPr="00215A1D">
        <w:rPr>
          <w:rFonts w:ascii="Times New Roman" w:hAnsi="Times New Roman" w:cs="Times New Roman"/>
        </w:rPr>
        <w:t xml:space="preserve">) </w:t>
      </w:r>
      <w:r w:rsidR="00150B08" w:rsidRPr="00215A1D">
        <w:rPr>
          <w:rFonts w:ascii="Times New Roman" w:hAnsi="Times New Roman" w:cs="Times New Roman"/>
        </w:rPr>
        <w:t xml:space="preserve">w taki sposób, aby po okresie wdrożenia CSIRE zmiana sprzedawcy energii elektrycznej następowała w terminie 7 dni. </w:t>
      </w:r>
    </w:p>
    <w:p w14:paraId="71DF97D6" w14:textId="77777777" w:rsidR="006D44F3"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Centralizacja wymiany </w:t>
      </w:r>
      <w:r w:rsidR="006D44F3" w:rsidRPr="00215A1D">
        <w:rPr>
          <w:rFonts w:ascii="Times New Roman" w:hAnsi="Times New Roman" w:cs="Times New Roman"/>
        </w:rPr>
        <w:t>danych pomiarowych</w:t>
      </w:r>
      <w:r w:rsidR="00C94C9C" w:rsidRPr="00215A1D">
        <w:rPr>
          <w:rFonts w:ascii="Times New Roman" w:hAnsi="Times New Roman" w:cs="Times New Roman"/>
        </w:rPr>
        <w:t xml:space="preserve">, w tym </w:t>
      </w:r>
      <w:r w:rsidR="009A1099" w:rsidRPr="00215A1D">
        <w:rPr>
          <w:rFonts w:ascii="Times New Roman" w:hAnsi="Times New Roman" w:cs="Times New Roman"/>
        </w:rPr>
        <w:t>informacji potrzebnych w procesie zmiany sprzedawcy usprawni</w:t>
      </w:r>
      <w:r w:rsidR="001D0628">
        <w:rPr>
          <w:rFonts w:ascii="Times New Roman" w:hAnsi="Times New Roman" w:cs="Times New Roman"/>
        </w:rPr>
        <w:t xml:space="preserve"> i </w:t>
      </w:r>
      <w:r w:rsidR="009A1099" w:rsidRPr="00215A1D">
        <w:rPr>
          <w:rFonts w:ascii="Times New Roman" w:hAnsi="Times New Roman" w:cs="Times New Roman"/>
        </w:rPr>
        <w:t>przyspieszy te procesy. Wszyscy sprzedawcy wykorzystywać będą jednolitą platformę dostarczoną prze</w:t>
      </w:r>
      <w:r w:rsidR="001D0628">
        <w:rPr>
          <w:rFonts w:ascii="Times New Roman" w:hAnsi="Times New Roman" w:cs="Times New Roman"/>
        </w:rPr>
        <w:t>z </w:t>
      </w:r>
      <w:r w:rsidR="009A1099" w:rsidRPr="00215A1D">
        <w:rPr>
          <w:rFonts w:ascii="Times New Roman" w:hAnsi="Times New Roman" w:cs="Times New Roman"/>
        </w:rPr>
        <w:t xml:space="preserve">operatora informacji </w:t>
      </w:r>
      <w:r w:rsidR="00C94C9C" w:rsidRPr="00215A1D">
        <w:rPr>
          <w:rFonts w:ascii="Times New Roman" w:hAnsi="Times New Roman" w:cs="Times New Roman"/>
        </w:rPr>
        <w:t xml:space="preserve">rynku energii </w:t>
      </w:r>
      <w:r w:rsidR="009A1099" w:rsidRPr="00215A1D">
        <w:rPr>
          <w:rFonts w:ascii="Times New Roman" w:hAnsi="Times New Roman" w:cs="Times New Roman"/>
        </w:rPr>
        <w:t>do przesyłania informacji o zmianie sprzedawcy do operatora systemu dystrybucyjnego elektroenergetycznego</w:t>
      </w:r>
      <w:r w:rsidR="001D0628">
        <w:rPr>
          <w:rFonts w:ascii="Times New Roman" w:hAnsi="Times New Roman" w:cs="Times New Roman"/>
        </w:rPr>
        <w:t xml:space="preserve"> i </w:t>
      </w:r>
      <w:r w:rsidR="009A1099" w:rsidRPr="00215A1D">
        <w:rPr>
          <w:rFonts w:ascii="Times New Roman" w:hAnsi="Times New Roman" w:cs="Times New Roman"/>
        </w:rPr>
        <w:t>sprzedawców energii elektrycznej. W ramach tej platformy nastąpi weryfikacja</w:t>
      </w:r>
      <w:r w:rsidR="001D0628">
        <w:rPr>
          <w:rFonts w:ascii="Times New Roman" w:hAnsi="Times New Roman" w:cs="Times New Roman"/>
        </w:rPr>
        <w:t xml:space="preserve"> i </w:t>
      </w:r>
      <w:r w:rsidR="009A1099" w:rsidRPr="00215A1D">
        <w:rPr>
          <w:rFonts w:ascii="Times New Roman" w:hAnsi="Times New Roman" w:cs="Times New Roman"/>
        </w:rPr>
        <w:t>uzupełnienie wniosków o zmianę sprzedawcy, co skróci</w:t>
      </w:r>
      <w:r w:rsidR="001D0628">
        <w:rPr>
          <w:rFonts w:ascii="Times New Roman" w:hAnsi="Times New Roman" w:cs="Times New Roman"/>
        </w:rPr>
        <w:t xml:space="preserve"> i </w:t>
      </w:r>
      <w:r w:rsidR="009A1099" w:rsidRPr="00215A1D">
        <w:rPr>
          <w:rFonts w:ascii="Times New Roman" w:hAnsi="Times New Roman" w:cs="Times New Roman"/>
        </w:rPr>
        <w:t>uprości ten system. Sprawny system zmiany sprzedawcy gwarantujący równoprawne traktowanie podmiotów jest kluczowy dla rozwoju konkurencyjnego rynku detalicznego energii elektrycznej w Polsce. Usprawnienie</w:t>
      </w:r>
      <w:r w:rsidR="001D0628">
        <w:rPr>
          <w:rFonts w:ascii="Times New Roman" w:hAnsi="Times New Roman" w:cs="Times New Roman"/>
        </w:rPr>
        <w:t xml:space="preserve"> i </w:t>
      </w:r>
      <w:r w:rsidR="009A1099" w:rsidRPr="00215A1D">
        <w:rPr>
          <w:rFonts w:ascii="Times New Roman" w:hAnsi="Times New Roman" w:cs="Times New Roman"/>
        </w:rPr>
        <w:t>przyspieszenie procedury zmiany sprzedawcy</w:t>
      </w:r>
      <w:r w:rsidR="006D44F3" w:rsidRPr="00215A1D">
        <w:rPr>
          <w:rFonts w:ascii="Times New Roman" w:hAnsi="Times New Roman" w:cs="Times New Roman"/>
        </w:rPr>
        <w:t xml:space="preserve"> </w:t>
      </w:r>
      <w:r w:rsidR="009A1099" w:rsidRPr="00215A1D">
        <w:rPr>
          <w:rFonts w:ascii="Times New Roman" w:hAnsi="Times New Roman" w:cs="Times New Roman"/>
        </w:rPr>
        <w:t>wpłynie na spadek kosztów funkcjonowania sprzedawców energii elektrycznej, a tym samym odbiorcy końcowi będą mogli otrzymać korzystniejsze oferty w zakresie dostarczanej energii elektrycznej.</w:t>
      </w:r>
      <w:r w:rsidR="00EF6F97">
        <w:rPr>
          <w:rFonts w:ascii="Times New Roman" w:hAnsi="Times New Roman" w:cs="Times New Roman"/>
        </w:rPr>
        <w:t xml:space="preserve"> </w:t>
      </w:r>
      <w:r w:rsidR="006D44F3" w:rsidRPr="00215A1D">
        <w:rPr>
          <w:rFonts w:ascii="Times New Roman" w:hAnsi="Times New Roman" w:cs="Times New Roman"/>
        </w:rPr>
        <w:t xml:space="preserve">Docelowo, przewiduje się zmianę sprzedawcy w ciągu 1 dnia. </w:t>
      </w:r>
    </w:p>
    <w:p w14:paraId="29D0F051" w14:textId="77777777"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150B08" w:rsidRPr="00215A1D">
        <w:rPr>
          <w:rFonts w:ascii="Times New Roman" w:hAnsi="Times New Roman" w:cs="Times New Roman"/>
        </w:rPr>
        <w:t>Projektowane wprowadzenie systemu inteligentnego opomiarowania</w:t>
      </w:r>
      <w:r w:rsidR="000A128D" w:rsidRPr="00215A1D">
        <w:rPr>
          <w:rFonts w:ascii="Times New Roman" w:hAnsi="Times New Roman" w:cs="Times New Roman"/>
        </w:rPr>
        <w:t xml:space="preserve"> obejmującego</w:t>
      </w:r>
      <w:r w:rsidR="00150B08" w:rsidRPr="00215A1D">
        <w:rPr>
          <w:rFonts w:ascii="Times New Roman" w:hAnsi="Times New Roman" w:cs="Times New Roman"/>
        </w:rPr>
        <w:t xml:space="preserve"> operatora informacji rynku energii wymusza dokonanie zmian w przepisach określających zasady prowadzenia rozliczeń za energię elektryczną. Przewiduje się, że po wdrożeniu CSIRE wszelkie rozliczenia za energię elektryczną będą prowadzone wyłącznie na podstawie danych </w:t>
      </w:r>
      <w:r w:rsidR="001D0628">
        <w:rPr>
          <w:rFonts w:ascii="Times New Roman" w:hAnsi="Times New Roman" w:cs="Times New Roman"/>
        </w:rPr>
        <w:t>z </w:t>
      </w:r>
      <w:r w:rsidR="00150B08" w:rsidRPr="00215A1D">
        <w:rPr>
          <w:rFonts w:ascii="Times New Roman" w:hAnsi="Times New Roman" w:cs="Times New Roman"/>
        </w:rPr>
        <w:t xml:space="preserve">tego systemu (art. </w:t>
      </w:r>
      <w:r w:rsidR="00943A0D" w:rsidRPr="00215A1D">
        <w:rPr>
          <w:rFonts w:ascii="Times New Roman" w:hAnsi="Times New Roman" w:cs="Times New Roman"/>
        </w:rPr>
        <w:t>4k</w:t>
      </w:r>
      <w:r w:rsidR="00AA434E" w:rsidRPr="00215A1D">
        <w:rPr>
          <w:rFonts w:ascii="Times New Roman" w:hAnsi="Times New Roman" w:cs="Times New Roman"/>
        </w:rPr>
        <w:t>)</w:t>
      </w:r>
      <w:r w:rsidR="00150B08" w:rsidRPr="00215A1D">
        <w:rPr>
          <w:rFonts w:ascii="Times New Roman" w:hAnsi="Times New Roman" w:cs="Times New Roman"/>
        </w:rPr>
        <w:t xml:space="preserve">. </w:t>
      </w:r>
    </w:p>
    <w:p w14:paraId="4FA02BC4" w14:textId="77777777"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43A0D" w:rsidRPr="00215A1D">
        <w:rPr>
          <w:rFonts w:ascii="Times New Roman" w:hAnsi="Times New Roman" w:cs="Times New Roman"/>
        </w:rPr>
        <w:t>Uzasadnieniem obowiązku użytkowników systemu, w tym operatorów systemów dystrybucyjnych</w:t>
      </w:r>
      <w:r w:rsidR="001D0628">
        <w:rPr>
          <w:rFonts w:ascii="Times New Roman" w:hAnsi="Times New Roman" w:cs="Times New Roman"/>
        </w:rPr>
        <w:t xml:space="preserve"> i </w:t>
      </w:r>
      <w:r w:rsidR="00943A0D" w:rsidRPr="00215A1D">
        <w:rPr>
          <w:rFonts w:ascii="Times New Roman" w:hAnsi="Times New Roman" w:cs="Times New Roman"/>
        </w:rPr>
        <w:t>operatora systemu przesyłowego ora</w:t>
      </w:r>
      <w:r w:rsidR="001D0628">
        <w:rPr>
          <w:rFonts w:ascii="Times New Roman" w:hAnsi="Times New Roman" w:cs="Times New Roman"/>
        </w:rPr>
        <w:t>z </w:t>
      </w:r>
      <w:r w:rsidR="00943A0D" w:rsidRPr="00215A1D">
        <w:rPr>
          <w:rFonts w:ascii="Times New Roman" w:hAnsi="Times New Roman" w:cs="Times New Roman"/>
        </w:rPr>
        <w:t>sprzedawców, dokonywania rozliczeń za energię elektryczną</w:t>
      </w:r>
      <w:r w:rsidR="001D0628">
        <w:rPr>
          <w:rFonts w:ascii="Times New Roman" w:hAnsi="Times New Roman" w:cs="Times New Roman"/>
        </w:rPr>
        <w:t xml:space="preserve"> i </w:t>
      </w:r>
      <w:r w:rsidR="00943A0D" w:rsidRPr="00215A1D">
        <w:rPr>
          <w:rFonts w:ascii="Times New Roman" w:hAnsi="Times New Roman" w:cs="Times New Roman"/>
        </w:rPr>
        <w:t>usługi wyłącznie na podstawie informacji rynku energii zarejestrowanych w CSIRE jest potrzeba zapewnienia jednego spójnego źródła danych do rozliczeń realizowanych prze</w:t>
      </w:r>
      <w:r w:rsidR="001D0628">
        <w:rPr>
          <w:rFonts w:ascii="Times New Roman" w:hAnsi="Times New Roman" w:cs="Times New Roman"/>
        </w:rPr>
        <w:t>z </w:t>
      </w:r>
      <w:r w:rsidR="00943A0D" w:rsidRPr="00215A1D">
        <w:rPr>
          <w:rFonts w:ascii="Times New Roman" w:hAnsi="Times New Roman" w:cs="Times New Roman"/>
        </w:rPr>
        <w:t>różne podmioty rynku energii,</w:t>
      </w:r>
      <w:r w:rsidR="00EF6F97">
        <w:rPr>
          <w:rFonts w:ascii="Times New Roman" w:hAnsi="Times New Roman" w:cs="Times New Roman"/>
        </w:rPr>
        <w:t xml:space="preserve"> </w:t>
      </w:r>
      <w:r w:rsidR="00943A0D" w:rsidRPr="00215A1D">
        <w:rPr>
          <w:rFonts w:ascii="Times New Roman" w:hAnsi="Times New Roman" w:cs="Times New Roman"/>
        </w:rPr>
        <w:t>zapewniającego standardową postać tych informacji</w:t>
      </w:r>
      <w:r w:rsidR="001D0628">
        <w:rPr>
          <w:rFonts w:ascii="Times New Roman" w:hAnsi="Times New Roman" w:cs="Times New Roman"/>
        </w:rPr>
        <w:t xml:space="preserve"> i </w:t>
      </w:r>
      <w:r w:rsidR="00943A0D" w:rsidRPr="00215A1D">
        <w:rPr>
          <w:rFonts w:ascii="Times New Roman" w:hAnsi="Times New Roman" w:cs="Times New Roman"/>
        </w:rPr>
        <w:t>łatwy dostęp do nich prze</w:t>
      </w:r>
      <w:r w:rsidR="001D0628">
        <w:rPr>
          <w:rFonts w:ascii="Times New Roman" w:hAnsi="Times New Roman" w:cs="Times New Roman"/>
        </w:rPr>
        <w:t>z </w:t>
      </w:r>
      <w:r w:rsidR="00943A0D" w:rsidRPr="00215A1D">
        <w:rPr>
          <w:rFonts w:ascii="Times New Roman" w:hAnsi="Times New Roman" w:cs="Times New Roman"/>
        </w:rPr>
        <w:t>uprawnionych użytkowników. Należy podkreślić, że rozliczenia odbiorców za dostawy energii elektrycznej w przypadku umów kompleksowych prowadzone będą prze</w:t>
      </w:r>
      <w:r w:rsidR="001D0628">
        <w:rPr>
          <w:rFonts w:ascii="Times New Roman" w:hAnsi="Times New Roman" w:cs="Times New Roman"/>
        </w:rPr>
        <w:t>z </w:t>
      </w:r>
      <w:r w:rsidR="00943A0D" w:rsidRPr="00215A1D">
        <w:rPr>
          <w:rFonts w:ascii="Times New Roman" w:hAnsi="Times New Roman" w:cs="Times New Roman"/>
        </w:rPr>
        <w:t xml:space="preserve">sprzedawców na podstawie danych </w:t>
      </w:r>
      <w:r w:rsidR="001D0628">
        <w:rPr>
          <w:rFonts w:ascii="Times New Roman" w:hAnsi="Times New Roman" w:cs="Times New Roman"/>
        </w:rPr>
        <w:t>z </w:t>
      </w:r>
      <w:r w:rsidR="00943A0D" w:rsidRPr="00215A1D">
        <w:rPr>
          <w:rFonts w:ascii="Times New Roman" w:hAnsi="Times New Roman" w:cs="Times New Roman"/>
        </w:rPr>
        <w:t>CSIRE</w:t>
      </w:r>
      <w:r w:rsidR="001D0628">
        <w:rPr>
          <w:rFonts w:ascii="Times New Roman" w:hAnsi="Times New Roman" w:cs="Times New Roman"/>
        </w:rPr>
        <w:t xml:space="preserve"> i </w:t>
      </w:r>
      <w:r w:rsidR="00943A0D" w:rsidRPr="00215A1D">
        <w:rPr>
          <w:rFonts w:ascii="Times New Roman" w:hAnsi="Times New Roman" w:cs="Times New Roman"/>
        </w:rPr>
        <w:t>będą obejmować zarówno energię elektryczną jak</w:t>
      </w:r>
      <w:r w:rsidR="001D0628">
        <w:rPr>
          <w:rFonts w:ascii="Times New Roman" w:hAnsi="Times New Roman" w:cs="Times New Roman"/>
        </w:rPr>
        <w:t xml:space="preserve"> i </w:t>
      </w:r>
      <w:r w:rsidR="00943A0D" w:rsidRPr="00215A1D">
        <w:rPr>
          <w:rFonts w:ascii="Times New Roman" w:hAnsi="Times New Roman" w:cs="Times New Roman"/>
        </w:rPr>
        <w:t>usługi dystrybucji lub przesyłania energii elektrycznej.</w:t>
      </w:r>
    </w:p>
    <w:p w14:paraId="4EBBDDF6" w14:textId="77777777"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43A0D" w:rsidRPr="00215A1D">
        <w:rPr>
          <w:rFonts w:ascii="Times New Roman" w:hAnsi="Times New Roman" w:cs="Times New Roman"/>
        </w:rPr>
        <w:t>Jednocześnie należy zauważyć, że przepływ danych OSD-&gt;OIRE-&gt;OSD, o którym mowa w uwadze, w kontekście procesu rozliczania umów sprzedaży</w:t>
      </w:r>
      <w:r w:rsidR="00EF6F97">
        <w:rPr>
          <w:rFonts w:ascii="Times New Roman" w:hAnsi="Times New Roman" w:cs="Times New Roman"/>
        </w:rPr>
        <w:t xml:space="preserve"> </w:t>
      </w:r>
      <w:r w:rsidR="00943A0D" w:rsidRPr="00215A1D">
        <w:rPr>
          <w:rFonts w:ascii="Times New Roman" w:hAnsi="Times New Roman" w:cs="Times New Roman"/>
        </w:rPr>
        <w:t>energii przebiega w ciągu: LZO-&gt;OSD-&gt;OIRE-&gt;Sprzedawca-&gt;Odbiorca Końcowy.</w:t>
      </w:r>
    </w:p>
    <w:p w14:paraId="183F0574" w14:textId="77777777"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lastRenderedPageBreak/>
        <w:tab/>
      </w:r>
      <w:r w:rsidR="00943A0D" w:rsidRPr="00215A1D">
        <w:rPr>
          <w:rFonts w:ascii="Times New Roman" w:hAnsi="Times New Roman" w:cs="Times New Roman"/>
        </w:rPr>
        <w:t>W przypadku umów tzw. rozdzielonych sprzedawca dokonuje rozliczeń za energię elektryczną a operator systemu elektroenergetycznego dokonuje rozliczeń za usługi przesyłania lub dystrybucji. Przyjęte podejście zapewni spójny sposób rozliczeń ze względu na jedno źródło informacji. Dodatkową korzyścią jest możliwość powiadamiania prze</w:t>
      </w:r>
      <w:r w:rsidR="001D0628">
        <w:rPr>
          <w:rFonts w:ascii="Times New Roman" w:hAnsi="Times New Roman" w:cs="Times New Roman"/>
        </w:rPr>
        <w:t>z </w:t>
      </w:r>
      <w:r w:rsidR="00943A0D" w:rsidRPr="00215A1D">
        <w:rPr>
          <w:rFonts w:ascii="Times New Roman" w:hAnsi="Times New Roman" w:cs="Times New Roman"/>
        </w:rPr>
        <w:t>CSIRE podmiotów, które pobrały dane pomiarowe za okres, który został skorygowany prze</w:t>
      </w:r>
      <w:r w:rsidR="001D0628">
        <w:rPr>
          <w:rFonts w:ascii="Times New Roman" w:hAnsi="Times New Roman" w:cs="Times New Roman"/>
        </w:rPr>
        <w:t>z </w:t>
      </w:r>
      <w:r w:rsidR="00943A0D" w:rsidRPr="00215A1D">
        <w:rPr>
          <w:rFonts w:ascii="Times New Roman" w:hAnsi="Times New Roman" w:cs="Times New Roman"/>
        </w:rPr>
        <w:t>OSD (np. w rezultacie reklamacji, stwierdzenia niesprawności układu pomiarowo-rozliczeniowego).</w:t>
      </w:r>
    </w:p>
    <w:p w14:paraId="44C0F9DF" w14:textId="77777777"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43A0D" w:rsidRPr="00215A1D">
        <w:rPr>
          <w:rFonts w:ascii="Times New Roman" w:hAnsi="Times New Roman" w:cs="Times New Roman"/>
        </w:rPr>
        <w:t>Należy także zauważyć, że zawarte w CSIRE informacje rynku energii będą również służyć, po ich agregacji, do rozliczeń niezbilansowania na rynku bilansującym podmiotów odpowiedzialnych za bilansowanie.</w:t>
      </w:r>
    </w:p>
    <w:p w14:paraId="3A3ECBD6" w14:textId="77777777"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43A0D" w:rsidRPr="00215A1D">
        <w:rPr>
          <w:rFonts w:ascii="Times New Roman" w:hAnsi="Times New Roman" w:cs="Times New Roman"/>
        </w:rPr>
        <w:t>Wobec przewidywanego znaczącego rozwoju usług świadczonych prze</w:t>
      </w:r>
      <w:r w:rsidR="001D0628">
        <w:rPr>
          <w:rFonts w:ascii="Times New Roman" w:hAnsi="Times New Roman" w:cs="Times New Roman"/>
        </w:rPr>
        <w:t>z </w:t>
      </w:r>
      <w:r w:rsidR="00943A0D" w:rsidRPr="00215A1D">
        <w:rPr>
          <w:rFonts w:ascii="Times New Roman" w:hAnsi="Times New Roman" w:cs="Times New Roman"/>
        </w:rPr>
        <w:t xml:space="preserve">odbiorców końcowych (tzw. DSR) wynikających </w:t>
      </w:r>
      <w:r w:rsidR="001D0628">
        <w:rPr>
          <w:rFonts w:ascii="Times New Roman" w:hAnsi="Times New Roman" w:cs="Times New Roman"/>
        </w:rPr>
        <w:t>z </w:t>
      </w:r>
      <w:r w:rsidR="00943A0D" w:rsidRPr="00215A1D">
        <w:rPr>
          <w:rFonts w:ascii="Times New Roman" w:hAnsi="Times New Roman" w:cs="Times New Roman"/>
        </w:rPr>
        <w:t xml:space="preserve">wdrożenia przepisów dyrektywy 2019/944 zakłada się, że przyjęte rozwiązanie centralnego systemu informacji rynku energii posiadającego wszystkie informacje konieczne do rozliczeń wszelkich usług świadczonych na rynku energii elektrycznej jest optymalne dzięki temu, że zapewni dostęp do danych pomiarowych koniecznych do rozliczeń tych usług. Uzyskiwane dane będą zgodne </w:t>
      </w:r>
      <w:r w:rsidR="001D0628">
        <w:rPr>
          <w:rFonts w:ascii="Times New Roman" w:hAnsi="Times New Roman" w:cs="Times New Roman"/>
        </w:rPr>
        <w:t>z </w:t>
      </w:r>
      <w:r w:rsidR="00943A0D" w:rsidRPr="00215A1D">
        <w:rPr>
          <w:rFonts w:ascii="Times New Roman" w:hAnsi="Times New Roman" w:cs="Times New Roman"/>
        </w:rPr>
        <w:t>przyjętym standardem</w:t>
      </w:r>
      <w:r w:rsidR="001D0628">
        <w:rPr>
          <w:rFonts w:ascii="Times New Roman" w:hAnsi="Times New Roman" w:cs="Times New Roman"/>
        </w:rPr>
        <w:t xml:space="preserve"> i </w:t>
      </w:r>
      <w:r w:rsidR="00943A0D" w:rsidRPr="00215A1D">
        <w:rPr>
          <w:rFonts w:ascii="Times New Roman" w:hAnsi="Times New Roman" w:cs="Times New Roman"/>
        </w:rPr>
        <w:t>dostępne również dla celów kontrolnych dla odbiorców końcowych, których dotyczą. Należy zauważyć, że w przeciwieństwie do obecnych danych określających zużycie, bądź w jednej, bądź w dwóch lub maksymalnie trzech strefach czasowych doby, przyszłe taryfy</w:t>
      </w:r>
      <w:r w:rsidR="001D0628">
        <w:rPr>
          <w:rFonts w:ascii="Times New Roman" w:hAnsi="Times New Roman" w:cs="Times New Roman"/>
        </w:rPr>
        <w:t xml:space="preserve"> i </w:t>
      </w:r>
      <w:r w:rsidR="00943A0D" w:rsidRPr="00215A1D">
        <w:rPr>
          <w:rFonts w:ascii="Times New Roman" w:hAnsi="Times New Roman" w:cs="Times New Roman"/>
        </w:rPr>
        <w:t>sposoby rozliczeń będą wymagały dostępu do danych kwadransowych (tzn. danych zmierzonych w interwałach 15-minutowych).</w:t>
      </w:r>
    </w:p>
    <w:p w14:paraId="161E92D5" w14:textId="2B769C93"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43A0D" w:rsidRPr="00215A1D">
        <w:rPr>
          <w:rFonts w:ascii="Times New Roman" w:hAnsi="Times New Roman" w:cs="Times New Roman"/>
        </w:rPr>
        <w:t>Podkreślenia wymaga również, że koszty przesyłania prze</w:t>
      </w:r>
      <w:r w:rsidR="001D0628">
        <w:rPr>
          <w:rFonts w:ascii="Times New Roman" w:hAnsi="Times New Roman" w:cs="Times New Roman"/>
        </w:rPr>
        <w:t>z </w:t>
      </w:r>
      <w:r w:rsidR="00943A0D" w:rsidRPr="00215A1D">
        <w:rPr>
          <w:rFonts w:ascii="Times New Roman" w:hAnsi="Times New Roman" w:cs="Times New Roman"/>
        </w:rPr>
        <w:t>OSD danych pomiarowych do centralnego systemu informacji rynku energii lub ich pobieranie prze</w:t>
      </w:r>
      <w:r w:rsidR="001D0628">
        <w:rPr>
          <w:rFonts w:ascii="Times New Roman" w:hAnsi="Times New Roman" w:cs="Times New Roman"/>
        </w:rPr>
        <w:t>z </w:t>
      </w:r>
      <w:r w:rsidR="00943A0D" w:rsidRPr="00215A1D">
        <w:rPr>
          <w:rFonts w:ascii="Times New Roman" w:hAnsi="Times New Roman" w:cs="Times New Roman"/>
        </w:rPr>
        <w:t xml:space="preserve">OSD, sprzedawcę lub agregatora </w:t>
      </w:r>
      <w:r w:rsidR="001D0628">
        <w:rPr>
          <w:rFonts w:ascii="Times New Roman" w:hAnsi="Times New Roman" w:cs="Times New Roman"/>
        </w:rPr>
        <w:t>z </w:t>
      </w:r>
      <w:r w:rsidR="00943A0D" w:rsidRPr="00215A1D">
        <w:rPr>
          <w:rFonts w:ascii="Times New Roman" w:hAnsi="Times New Roman" w:cs="Times New Roman"/>
        </w:rPr>
        <w:t>tego systemu są pomijalnie małe, co będzie konsekwencją standaryzacji interfejsów</w:t>
      </w:r>
      <w:r w:rsidR="001D0628">
        <w:rPr>
          <w:rFonts w:ascii="Times New Roman" w:hAnsi="Times New Roman" w:cs="Times New Roman"/>
        </w:rPr>
        <w:t xml:space="preserve"> i </w:t>
      </w:r>
      <w:r w:rsidR="00943A0D" w:rsidRPr="00215A1D">
        <w:rPr>
          <w:rFonts w:ascii="Times New Roman" w:hAnsi="Times New Roman" w:cs="Times New Roman"/>
        </w:rPr>
        <w:t>formatów wymiany informacji rynku energii jak</w:t>
      </w:r>
      <w:r w:rsidR="001D0628">
        <w:rPr>
          <w:rFonts w:ascii="Times New Roman" w:hAnsi="Times New Roman" w:cs="Times New Roman"/>
        </w:rPr>
        <w:t xml:space="preserve"> i </w:t>
      </w:r>
      <w:r w:rsidR="00943A0D" w:rsidRPr="00215A1D">
        <w:rPr>
          <w:rFonts w:ascii="Times New Roman" w:hAnsi="Times New Roman" w:cs="Times New Roman"/>
        </w:rPr>
        <w:t xml:space="preserve">też zamiar wyeliminowania abonamentu związanego </w:t>
      </w:r>
      <w:r w:rsidR="001D0628">
        <w:rPr>
          <w:rFonts w:ascii="Times New Roman" w:hAnsi="Times New Roman" w:cs="Times New Roman"/>
        </w:rPr>
        <w:t>z </w:t>
      </w:r>
      <w:r w:rsidR="00943A0D" w:rsidRPr="00215A1D">
        <w:rPr>
          <w:rFonts w:ascii="Times New Roman" w:hAnsi="Times New Roman" w:cs="Times New Roman"/>
        </w:rPr>
        <w:t xml:space="preserve">odczytem licznika zdalnego odczytu. </w:t>
      </w:r>
      <w:r w:rsidR="00B96BC8">
        <w:rPr>
          <w:rFonts w:ascii="Times New Roman" w:hAnsi="Times New Roman" w:cs="Times New Roman"/>
        </w:rPr>
        <w:t xml:space="preserve">Należy zaznaczyć, że </w:t>
      </w:r>
      <w:r w:rsidR="00B96BC8" w:rsidRPr="00B96BC8">
        <w:rPr>
          <w:rFonts w:ascii="Times New Roman" w:hAnsi="Times New Roman" w:cs="Times New Roman"/>
        </w:rPr>
        <w:t>odbiorcy posiadający liczniki konwencjonalne jak i liczniki zdalnego odczytu będą zwolnieni z części kosztów abonamentowych związanych z manualnym odczytem licznika konwencjonalnego oraz kosztów stałych i zmiennych określonych w taryfie równych opłacie abonamentowej odniesionej do procentu zainstalowanych liczników zdalnego odczytu. W miarę postępu w instalacj</w:t>
      </w:r>
      <w:r w:rsidR="0031416F">
        <w:rPr>
          <w:rFonts w:ascii="Times New Roman" w:hAnsi="Times New Roman" w:cs="Times New Roman"/>
        </w:rPr>
        <w:t>i liczników zdalnego odczytu opł</w:t>
      </w:r>
      <w:r w:rsidR="00B96BC8" w:rsidRPr="00B96BC8">
        <w:rPr>
          <w:rFonts w:ascii="Times New Roman" w:hAnsi="Times New Roman" w:cs="Times New Roman"/>
        </w:rPr>
        <w:t xml:space="preserve">ata abonamentowa będzie ulegała zmniejszeniu. </w:t>
      </w:r>
    </w:p>
    <w:p w14:paraId="2DF3B0CC" w14:textId="77777777" w:rsidR="00150B08"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AA434E" w:rsidRPr="00215A1D">
        <w:rPr>
          <w:rFonts w:ascii="Times New Roman" w:hAnsi="Times New Roman" w:cs="Times New Roman"/>
        </w:rPr>
        <w:t xml:space="preserve">Zapewnienie decyzji o zmianie sposobie rozliczeń za energię elektryczną </w:t>
      </w:r>
      <w:r w:rsidR="001D0628">
        <w:rPr>
          <w:rFonts w:ascii="Times New Roman" w:hAnsi="Times New Roman" w:cs="Times New Roman"/>
        </w:rPr>
        <w:t>z </w:t>
      </w:r>
      <w:r w:rsidR="00AA434E" w:rsidRPr="00215A1D">
        <w:rPr>
          <w:rFonts w:ascii="Times New Roman" w:hAnsi="Times New Roman" w:cs="Times New Roman"/>
        </w:rPr>
        <w:t xml:space="preserve">formy kredytowej na przedpłatową będzie pozostawione odbiorcy do jego swobodnego wyboru. Odbiorca będzie mógł wystąpić do operatora systemu dystrybucyjnego elektroenergetycznego </w:t>
      </w:r>
      <w:r w:rsidR="00AA434E" w:rsidRPr="00215A1D">
        <w:rPr>
          <w:rFonts w:ascii="Times New Roman" w:hAnsi="Times New Roman" w:cs="Times New Roman"/>
        </w:rPr>
        <w:lastRenderedPageBreak/>
        <w:t xml:space="preserve">o zainstalowanie </w:t>
      </w:r>
      <w:r w:rsidR="00391539" w:rsidRPr="00215A1D">
        <w:rPr>
          <w:rFonts w:ascii="Times New Roman" w:hAnsi="Times New Roman" w:cs="Times New Roman"/>
        </w:rPr>
        <w:t>przedpłatowego układu pomiarowo-rozliczeniowego</w:t>
      </w:r>
      <w:r w:rsidR="001D0628">
        <w:rPr>
          <w:rFonts w:ascii="Times New Roman" w:hAnsi="Times New Roman" w:cs="Times New Roman"/>
        </w:rPr>
        <w:t xml:space="preserve"> i </w:t>
      </w:r>
      <w:r w:rsidR="00AA434E" w:rsidRPr="00215A1D">
        <w:rPr>
          <w:rFonts w:ascii="Times New Roman" w:hAnsi="Times New Roman" w:cs="Times New Roman"/>
        </w:rPr>
        <w:t>dokonywać rozliczeń w oparciu przedpłatow</w:t>
      </w:r>
      <w:r w:rsidR="00391539" w:rsidRPr="00215A1D">
        <w:rPr>
          <w:rFonts w:ascii="Times New Roman" w:hAnsi="Times New Roman" w:cs="Times New Roman"/>
        </w:rPr>
        <w:t>ą formę rozliczeń</w:t>
      </w:r>
      <w:r w:rsidR="00AA434E" w:rsidRPr="00215A1D">
        <w:rPr>
          <w:rFonts w:ascii="Times New Roman" w:hAnsi="Times New Roman" w:cs="Times New Roman"/>
        </w:rPr>
        <w:t xml:space="preserve"> (art. 6a ust. 4</w:t>
      </w:r>
      <w:r w:rsidR="001D0628">
        <w:rPr>
          <w:rFonts w:ascii="Times New Roman" w:hAnsi="Times New Roman" w:cs="Times New Roman"/>
        </w:rPr>
        <w:t xml:space="preserve"> i </w:t>
      </w:r>
      <w:r w:rsidR="00AA434E" w:rsidRPr="00215A1D">
        <w:rPr>
          <w:rFonts w:ascii="Times New Roman" w:hAnsi="Times New Roman" w:cs="Times New Roman"/>
        </w:rPr>
        <w:t xml:space="preserve">5). </w:t>
      </w:r>
    </w:p>
    <w:p w14:paraId="78D25D85" w14:textId="77777777" w:rsidR="00AA434E"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AA434E" w:rsidRPr="00215A1D">
        <w:rPr>
          <w:rFonts w:ascii="Times New Roman" w:hAnsi="Times New Roman" w:cs="Times New Roman"/>
        </w:rPr>
        <w:t xml:space="preserve">Utworzenie operatora informacji rynku energii powoduje konieczność zmiany zakresu odpowiedzialności operatorów systemów dystrybucyjnych elektroenergetycznych (art. 9c ust. 3 </w:t>
      </w:r>
      <w:r w:rsidR="001D0628">
        <w:rPr>
          <w:rFonts w:ascii="Times New Roman" w:hAnsi="Times New Roman" w:cs="Times New Roman"/>
        </w:rPr>
        <w:t>pkt</w:t>
      </w:r>
      <w:r w:rsidR="00AA434E" w:rsidRPr="00215A1D">
        <w:rPr>
          <w:rFonts w:ascii="Times New Roman" w:hAnsi="Times New Roman" w:cs="Times New Roman"/>
        </w:rPr>
        <w:t xml:space="preserve"> 9a), gdyż część dotychczasowych obowiązków przejmie po wdrożeniu CSIRE operator informacji rynku energii. Zmiana ta określi jednoznacznie podział odpowiedzialności pomiędzy podmioty zaangażowane w przetwarzanie informacji rynku energii. </w:t>
      </w:r>
    </w:p>
    <w:p w14:paraId="395AA83C" w14:textId="77777777"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Projektowane kompleksowe uregulowanie funkcjonowania systemu pomiarowego dla energii elektrycznej, w tym zasady ochrony danych pomiarowych wymusza wykreślenie w art. 9c ust. 5a</w:t>
      </w:r>
      <w:r w:rsidR="001D0628">
        <w:rPr>
          <w:rFonts w:ascii="Times New Roman" w:hAnsi="Times New Roman" w:cs="Times New Roman"/>
        </w:rPr>
        <w:t xml:space="preserve"> i </w:t>
      </w:r>
      <w:r w:rsidR="009A1099" w:rsidRPr="00215A1D">
        <w:rPr>
          <w:rFonts w:ascii="Times New Roman" w:hAnsi="Times New Roman" w:cs="Times New Roman"/>
        </w:rPr>
        <w:t>5b ustawy.</w:t>
      </w:r>
    </w:p>
    <w:p w14:paraId="65F4D572" w14:textId="77777777"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Ze względu na powierzenie pełnienia funkcji operatora informacji </w:t>
      </w:r>
      <w:r w:rsidR="00AA434E" w:rsidRPr="00215A1D">
        <w:rPr>
          <w:rFonts w:ascii="Times New Roman" w:hAnsi="Times New Roman" w:cs="Times New Roman"/>
        </w:rPr>
        <w:t xml:space="preserve">rynku energii </w:t>
      </w:r>
      <w:r w:rsidR="009A1099" w:rsidRPr="00215A1D">
        <w:rPr>
          <w:rFonts w:ascii="Times New Roman" w:hAnsi="Times New Roman" w:cs="Times New Roman"/>
        </w:rPr>
        <w:t>operatorowi systemu przesyłowego elektroenergetycznego uzasadnione stało się określenie w wyodrębnionej części Instrukcji Ruchu</w:t>
      </w:r>
      <w:r w:rsidR="001D0628">
        <w:rPr>
          <w:rFonts w:ascii="Times New Roman" w:hAnsi="Times New Roman" w:cs="Times New Roman"/>
        </w:rPr>
        <w:t xml:space="preserve"> i </w:t>
      </w:r>
      <w:r w:rsidR="009A1099" w:rsidRPr="00215A1D">
        <w:rPr>
          <w:rFonts w:ascii="Times New Roman" w:hAnsi="Times New Roman" w:cs="Times New Roman"/>
        </w:rPr>
        <w:t xml:space="preserve">Eksploatacji Sieci Przesyłowej szczegółowych zasad współpracy operatora systemu przesyłowego elektroenergetycznego, działającego jako operator informacji </w:t>
      </w:r>
      <w:r w:rsidR="00C94C9C" w:rsidRPr="00215A1D">
        <w:rPr>
          <w:rFonts w:ascii="Times New Roman" w:hAnsi="Times New Roman" w:cs="Times New Roman"/>
        </w:rPr>
        <w:t>rynku energii</w:t>
      </w:r>
      <w:r w:rsidR="009A1099" w:rsidRPr="00215A1D">
        <w:rPr>
          <w:rFonts w:ascii="Times New Roman" w:hAnsi="Times New Roman" w:cs="Times New Roman"/>
        </w:rPr>
        <w:t xml:space="preserve">, </w:t>
      </w:r>
      <w:r w:rsidR="001D0628">
        <w:rPr>
          <w:rFonts w:ascii="Times New Roman" w:hAnsi="Times New Roman" w:cs="Times New Roman"/>
        </w:rPr>
        <w:t>z </w:t>
      </w:r>
      <w:r w:rsidR="009A1099" w:rsidRPr="00215A1D">
        <w:rPr>
          <w:rFonts w:ascii="Times New Roman" w:hAnsi="Times New Roman" w:cs="Times New Roman"/>
        </w:rPr>
        <w:t>użytkownikami systemu</w:t>
      </w:r>
      <w:r w:rsidR="001D0628">
        <w:rPr>
          <w:rFonts w:ascii="Times New Roman" w:hAnsi="Times New Roman" w:cs="Times New Roman"/>
        </w:rPr>
        <w:t xml:space="preserve"> i </w:t>
      </w:r>
      <w:r w:rsidR="009A1099" w:rsidRPr="00215A1D">
        <w:rPr>
          <w:rFonts w:ascii="Times New Roman" w:hAnsi="Times New Roman" w:cs="Times New Roman"/>
        </w:rPr>
        <w:t>innymi podmiotami zobowiązanymi do przekazywania danych pomiarowych lub uprawnionymi do ich otrzymywania. Instrukcja w tej części będzie stanowiła doszczegółowienie zasad współpracy określonych w ustawie ora</w:t>
      </w:r>
      <w:r w:rsidR="001D0628">
        <w:rPr>
          <w:rFonts w:ascii="Times New Roman" w:hAnsi="Times New Roman" w:cs="Times New Roman"/>
        </w:rPr>
        <w:t>z </w:t>
      </w:r>
      <w:r w:rsidR="009A1099" w:rsidRPr="00215A1D">
        <w:rPr>
          <w:rFonts w:ascii="Times New Roman" w:hAnsi="Times New Roman" w:cs="Times New Roman"/>
        </w:rPr>
        <w:t xml:space="preserve">rozporządzeniu wykonawczym. Jako taka będzie ona podlegała procesowi konsultacji </w:t>
      </w:r>
      <w:r w:rsidR="001D0628">
        <w:rPr>
          <w:rFonts w:ascii="Times New Roman" w:hAnsi="Times New Roman" w:cs="Times New Roman"/>
        </w:rPr>
        <w:t>z </w:t>
      </w:r>
      <w:r w:rsidR="009A1099" w:rsidRPr="00215A1D">
        <w:rPr>
          <w:rFonts w:ascii="Times New Roman" w:hAnsi="Times New Roman" w:cs="Times New Roman"/>
        </w:rPr>
        <w:t>innymi użytkownikami systemu ora</w:t>
      </w:r>
      <w:r w:rsidR="001D0628">
        <w:rPr>
          <w:rFonts w:ascii="Times New Roman" w:hAnsi="Times New Roman" w:cs="Times New Roman"/>
        </w:rPr>
        <w:t>z </w:t>
      </w:r>
      <w:r w:rsidR="009A1099" w:rsidRPr="00215A1D">
        <w:rPr>
          <w:rFonts w:ascii="Times New Roman" w:hAnsi="Times New Roman" w:cs="Times New Roman"/>
        </w:rPr>
        <w:t>zatwierdzeniu po stronie Prezesa URE na zasadach określonych w art. 9g ustawy - Prawo energetyczne.</w:t>
      </w:r>
    </w:p>
    <w:p w14:paraId="7CAD5379" w14:textId="77777777" w:rsidR="00891A75" w:rsidRDefault="00154F38" w:rsidP="00EF6F97">
      <w:pPr>
        <w:pStyle w:val="USTustnpkodeksu"/>
        <w:rPr>
          <w:rFonts w:ascii="Times New Roman" w:hAnsi="Times New Roman" w:cs="Times New Roman"/>
        </w:rPr>
      </w:pPr>
      <w:r w:rsidRPr="00215A1D">
        <w:rPr>
          <w:rFonts w:ascii="Times New Roman" w:hAnsi="Times New Roman" w:cs="Times New Roman"/>
        </w:rPr>
        <w:tab/>
      </w:r>
      <w:r w:rsidR="00013A56" w:rsidRPr="00215A1D">
        <w:rPr>
          <w:rFonts w:ascii="Times New Roman" w:hAnsi="Times New Roman" w:cs="Times New Roman"/>
        </w:rPr>
        <w:t>Rozwiązanie polegające na odrębnym od zatwierdzenia IRiESP pierwotnym zatwierdzeniu SWI</w:t>
      </w:r>
      <w:r w:rsidR="00EF6F97">
        <w:rPr>
          <w:rFonts w:ascii="Times New Roman" w:hAnsi="Times New Roman" w:cs="Times New Roman"/>
        </w:rPr>
        <w:t xml:space="preserve"> </w:t>
      </w:r>
      <w:r w:rsidR="00013A56" w:rsidRPr="00215A1D">
        <w:rPr>
          <w:rFonts w:ascii="Times New Roman" w:hAnsi="Times New Roman" w:cs="Times New Roman"/>
        </w:rPr>
        <w:t>opracowano na sygnał od uczestników prac Zespołu do spraw wprowadzenia w Polsce inteligentnego opomiarowania (art. 12). SWI mają stanowić dokument, którego kształt będzie skutkował wdrożeniem określonych rozwiązań technicznych po stronie OSD, Sprzedawców energii ora</w:t>
      </w:r>
      <w:r w:rsidR="001D0628">
        <w:rPr>
          <w:rFonts w:ascii="Times New Roman" w:hAnsi="Times New Roman" w:cs="Times New Roman"/>
        </w:rPr>
        <w:t>z </w:t>
      </w:r>
      <w:r w:rsidR="00013A56" w:rsidRPr="00215A1D">
        <w:rPr>
          <w:rFonts w:ascii="Times New Roman" w:hAnsi="Times New Roman" w:cs="Times New Roman"/>
        </w:rPr>
        <w:t xml:space="preserve">innych podmiotów zobowiązanych lub uprawnionych do korzystania </w:t>
      </w:r>
      <w:r w:rsidR="001D0628">
        <w:rPr>
          <w:rFonts w:ascii="Times New Roman" w:hAnsi="Times New Roman" w:cs="Times New Roman"/>
        </w:rPr>
        <w:t>z </w:t>
      </w:r>
      <w:r w:rsidR="00013A56" w:rsidRPr="00215A1D">
        <w:rPr>
          <w:rFonts w:ascii="Times New Roman" w:hAnsi="Times New Roman" w:cs="Times New Roman"/>
        </w:rPr>
        <w:t>CSIRE. Wobec powyższego zaistniała konieczność jak najszybszego opracowania</w:t>
      </w:r>
      <w:r w:rsidR="001D0628">
        <w:rPr>
          <w:rFonts w:ascii="Times New Roman" w:hAnsi="Times New Roman" w:cs="Times New Roman"/>
        </w:rPr>
        <w:t xml:space="preserve"> i </w:t>
      </w:r>
      <w:r w:rsidR="00013A56" w:rsidRPr="00215A1D">
        <w:rPr>
          <w:rFonts w:ascii="Times New Roman" w:hAnsi="Times New Roman" w:cs="Times New Roman"/>
        </w:rPr>
        <w:t>zatwierdzenia SWI, niezależnie od innych zmian niezbędnych do wprowadzenia w IRiESP.</w:t>
      </w:r>
      <w:r w:rsidR="00EF6F97">
        <w:rPr>
          <w:rFonts w:ascii="Times New Roman" w:hAnsi="Times New Roman" w:cs="Times New Roman"/>
        </w:rPr>
        <w:t xml:space="preserve"> </w:t>
      </w:r>
    </w:p>
    <w:p w14:paraId="206839BA" w14:textId="48697201" w:rsidR="003560C4" w:rsidRPr="00215A1D" w:rsidRDefault="003560C4" w:rsidP="00EF6F97">
      <w:pPr>
        <w:pStyle w:val="USTustnpkodeksu"/>
        <w:rPr>
          <w:rFonts w:ascii="Times New Roman" w:hAnsi="Times New Roman" w:cs="Times New Roman"/>
        </w:rPr>
      </w:pPr>
    </w:p>
    <w:p w14:paraId="597B5648" w14:textId="10477226"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A2575F" w:rsidRPr="00215A1D">
        <w:rPr>
          <w:rFonts w:ascii="Times New Roman" w:hAnsi="Times New Roman" w:cs="Times New Roman"/>
        </w:rPr>
        <w:t>P</w:t>
      </w:r>
      <w:r w:rsidR="009A1099" w:rsidRPr="00215A1D">
        <w:rPr>
          <w:rFonts w:ascii="Times New Roman" w:hAnsi="Times New Roman" w:cs="Times New Roman"/>
        </w:rPr>
        <w:t xml:space="preserve">roponuje się </w:t>
      </w:r>
      <w:r w:rsidR="00A2575F" w:rsidRPr="00215A1D">
        <w:rPr>
          <w:rFonts w:ascii="Times New Roman" w:hAnsi="Times New Roman" w:cs="Times New Roman"/>
        </w:rPr>
        <w:t>(art. 11</w:t>
      </w:r>
      <w:r w:rsidR="005557FE">
        <w:rPr>
          <w:rFonts w:ascii="Times New Roman" w:hAnsi="Times New Roman" w:cs="Times New Roman"/>
        </w:rPr>
        <w:t>t</w:t>
      </w:r>
      <w:r w:rsidR="00A2575F" w:rsidRPr="00215A1D">
        <w:rPr>
          <w:rFonts w:ascii="Times New Roman" w:hAnsi="Times New Roman" w:cs="Times New Roman"/>
        </w:rPr>
        <w:t xml:space="preserve"> ust. 1), </w:t>
      </w:r>
      <w:r w:rsidR="009A1099" w:rsidRPr="00215A1D">
        <w:rPr>
          <w:rFonts w:ascii="Times New Roman" w:hAnsi="Times New Roman" w:cs="Times New Roman"/>
        </w:rPr>
        <w:t>aby operatorzy systemów dystrybucyjnych elektroenergetycznych zainstalowali do dnia 31 grudnia 202</w:t>
      </w:r>
      <w:r w:rsidR="000A128D" w:rsidRPr="00215A1D">
        <w:rPr>
          <w:rFonts w:ascii="Times New Roman" w:hAnsi="Times New Roman" w:cs="Times New Roman"/>
        </w:rPr>
        <w:t>8</w:t>
      </w:r>
      <w:r w:rsidR="001D0628">
        <w:rPr>
          <w:rFonts w:ascii="Times New Roman" w:hAnsi="Times New Roman" w:cs="Times New Roman"/>
        </w:rPr>
        <w:t> r.</w:t>
      </w:r>
      <w:r w:rsidR="009A1099" w:rsidRPr="00215A1D">
        <w:rPr>
          <w:rFonts w:ascii="Times New Roman" w:hAnsi="Times New Roman" w:cs="Times New Roman"/>
        </w:rPr>
        <w:t xml:space="preserve"> liczniki zdalnego odczytu skomunikowane </w:t>
      </w:r>
      <w:r w:rsidR="001D0628">
        <w:rPr>
          <w:rFonts w:ascii="Times New Roman" w:hAnsi="Times New Roman" w:cs="Times New Roman"/>
        </w:rPr>
        <w:t>z </w:t>
      </w:r>
      <w:r w:rsidR="009A1099" w:rsidRPr="00215A1D">
        <w:rPr>
          <w:rFonts w:ascii="Times New Roman" w:hAnsi="Times New Roman" w:cs="Times New Roman"/>
        </w:rPr>
        <w:t xml:space="preserve">systemem </w:t>
      </w:r>
      <w:r w:rsidR="000A128D" w:rsidRPr="00215A1D">
        <w:rPr>
          <w:rFonts w:ascii="Times New Roman" w:hAnsi="Times New Roman" w:cs="Times New Roman"/>
        </w:rPr>
        <w:t xml:space="preserve">zdalnego odczytu w punktach poboru energii stanowiących </w:t>
      </w:r>
      <w:r w:rsidR="009A1099" w:rsidRPr="00215A1D">
        <w:rPr>
          <w:rFonts w:ascii="Times New Roman" w:hAnsi="Times New Roman" w:cs="Times New Roman"/>
        </w:rPr>
        <w:t xml:space="preserve">u co najmniej 80 % </w:t>
      </w:r>
      <w:r w:rsidR="000A128D" w:rsidRPr="00215A1D">
        <w:rPr>
          <w:rFonts w:ascii="Times New Roman" w:hAnsi="Times New Roman" w:cs="Times New Roman"/>
        </w:rPr>
        <w:t xml:space="preserve">łącznej liczby punktów poboru energii w </w:t>
      </w:r>
      <w:r w:rsidR="009A1099" w:rsidRPr="00215A1D">
        <w:rPr>
          <w:rFonts w:ascii="Times New Roman" w:hAnsi="Times New Roman" w:cs="Times New Roman"/>
        </w:rPr>
        <w:t>odbiorców końcowych</w:t>
      </w:r>
      <w:r w:rsidR="006D30EA" w:rsidRPr="00215A1D">
        <w:rPr>
          <w:rFonts w:ascii="Times New Roman" w:hAnsi="Times New Roman" w:cs="Times New Roman"/>
        </w:rPr>
        <w:t xml:space="preserve">, w tym stanowiących co najmniej 80 % łącznej liczby punktów poboru energii u odbiorców końcowych </w:t>
      </w:r>
      <w:r w:rsidR="006D30EA" w:rsidRPr="00215A1D">
        <w:rPr>
          <w:rFonts w:ascii="Times New Roman" w:hAnsi="Times New Roman" w:cs="Times New Roman"/>
        </w:rPr>
        <w:lastRenderedPageBreak/>
        <w:t>w gospodarstwach domowych,</w:t>
      </w:r>
      <w:r w:rsidR="009A1099" w:rsidRPr="00215A1D">
        <w:rPr>
          <w:rFonts w:ascii="Times New Roman" w:hAnsi="Times New Roman" w:cs="Times New Roman"/>
        </w:rPr>
        <w:t xml:space="preserve"> </w:t>
      </w:r>
      <w:r w:rsidR="000A128D" w:rsidRPr="00215A1D">
        <w:rPr>
          <w:rFonts w:ascii="Times New Roman" w:hAnsi="Times New Roman" w:cs="Times New Roman"/>
        </w:rPr>
        <w:t xml:space="preserve">posiadających układ pomiarowy bezpośredni, </w:t>
      </w:r>
      <w:r w:rsidR="009A1099" w:rsidRPr="00215A1D">
        <w:rPr>
          <w:rFonts w:ascii="Times New Roman" w:hAnsi="Times New Roman" w:cs="Times New Roman"/>
        </w:rPr>
        <w:t>przyłączonych do sieci o napięciu znamionowym nie wyższym niż 1 kV</w:t>
      </w:r>
      <w:r w:rsidR="00A2575F" w:rsidRPr="00215A1D">
        <w:rPr>
          <w:rFonts w:ascii="Times New Roman" w:hAnsi="Times New Roman" w:cs="Times New Roman"/>
        </w:rPr>
        <w:t>.</w:t>
      </w:r>
    </w:p>
    <w:p w14:paraId="6BA9ED75" w14:textId="1FF2D0DB"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Instalacja liczników zdalnego odczytu odbywać się będzie </w:t>
      </w:r>
      <w:r w:rsidR="00A2575F" w:rsidRPr="00215A1D">
        <w:rPr>
          <w:rFonts w:ascii="Times New Roman" w:hAnsi="Times New Roman" w:cs="Times New Roman"/>
        </w:rPr>
        <w:t>(art. 11</w:t>
      </w:r>
      <w:r w:rsidR="005557FE">
        <w:rPr>
          <w:rFonts w:ascii="Times New Roman" w:hAnsi="Times New Roman" w:cs="Times New Roman"/>
        </w:rPr>
        <w:t>t</w:t>
      </w:r>
      <w:r w:rsidR="00A2575F" w:rsidRPr="00215A1D">
        <w:rPr>
          <w:rFonts w:ascii="Times New Roman" w:hAnsi="Times New Roman" w:cs="Times New Roman"/>
        </w:rPr>
        <w:t xml:space="preserve"> ust. 2) </w:t>
      </w:r>
      <w:r w:rsidR="009A1099" w:rsidRPr="00215A1D">
        <w:rPr>
          <w:rFonts w:ascii="Times New Roman" w:hAnsi="Times New Roman" w:cs="Times New Roman"/>
        </w:rPr>
        <w:t xml:space="preserve">zgodnie </w:t>
      </w:r>
      <w:r w:rsidR="001D0628">
        <w:rPr>
          <w:rFonts w:ascii="Times New Roman" w:hAnsi="Times New Roman" w:cs="Times New Roman"/>
        </w:rPr>
        <w:t>z </w:t>
      </w:r>
      <w:r w:rsidR="009A1099" w:rsidRPr="00215A1D">
        <w:rPr>
          <w:rFonts w:ascii="Times New Roman" w:hAnsi="Times New Roman" w:cs="Times New Roman"/>
        </w:rPr>
        <w:t>harmonogramem określonym w ustawie, tj. do dni</w:t>
      </w:r>
      <w:r w:rsidR="00A2575F" w:rsidRPr="00215A1D">
        <w:rPr>
          <w:rFonts w:ascii="Times New Roman" w:hAnsi="Times New Roman" w:cs="Times New Roman"/>
        </w:rPr>
        <w:t>a</w:t>
      </w:r>
      <w:r w:rsidR="009A1099" w:rsidRPr="00215A1D">
        <w:rPr>
          <w:rFonts w:ascii="Times New Roman" w:hAnsi="Times New Roman" w:cs="Times New Roman"/>
        </w:rPr>
        <w:t>:</w:t>
      </w:r>
    </w:p>
    <w:p w14:paraId="71079185" w14:textId="77777777" w:rsidR="009A1099" w:rsidRPr="00215A1D" w:rsidRDefault="00A65E2D" w:rsidP="00EF6F97">
      <w:pPr>
        <w:pStyle w:val="USTustnpkodeksu"/>
        <w:ind w:firstLine="284"/>
        <w:rPr>
          <w:rFonts w:ascii="Times New Roman" w:hAnsi="Times New Roman" w:cs="Times New Roman"/>
        </w:rPr>
      </w:pPr>
      <w:r w:rsidRPr="00215A1D">
        <w:rPr>
          <w:rFonts w:ascii="Times New Roman" w:hAnsi="Times New Roman" w:cs="Times New Roman"/>
        </w:rPr>
        <w:t xml:space="preserve">1) </w:t>
      </w:r>
      <w:r w:rsidR="009A1099" w:rsidRPr="00215A1D">
        <w:rPr>
          <w:rFonts w:ascii="Times New Roman" w:hAnsi="Times New Roman" w:cs="Times New Roman"/>
        </w:rPr>
        <w:t>31 grudnia 20</w:t>
      </w:r>
      <w:r w:rsidR="00A2575F" w:rsidRPr="00215A1D">
        <w:rPr>
          <w:rFonts w:ascii="Times New Roman" w:hAnsi="Times New Roman" w:cs="Times New Roman"/>
        </w:rPr>
        <w:t>23</w:t>
      </w:r>
      <w:r w:rsidR="001D0628">
        <w:rPr>
          <w:rFonts w:ascii="Times New Roman" w:hAnsi="Times New Roman" w:cs="Times New Roman"/>
        </w:rPr>
        <w:t> r.</w:t>
      </w:r>
      <w:r w:rsidR="009A1099" w:rsidRPr="00215A1D">
        <w:rPr>
          <w:rFonts w:ascii="Times New Roman" w:hAnsi="Times New Roman" w:cs="Times New Roman"/>
        </w:rPr>
        <w:t xml:space="preserve"> - </w:t>
      </w:r>
      <w:r w:rsidR="00A2575F" w:rsidRPr="00215A1D">
        <w:rPr>
          <w:rFonts w:ascii="Times New Roman" w:hAnsi="Times New Roman" w:cs="Times New Roman"/>
        </w:rPr>
        <w:t>w punktach poboru energii</w:t>
      </w:r>
      <w:r w:rsidR="00EF6F97">
        <w:rPr>
          <w:rFonts w:ascii="Times New Roman" w:hAnsi="Times New Roman" w:cs="Times New Roman"/>
        </w:rPr>
        <w:t xml:space="preserve"> </w:t>
      </w:r>
      <w:r w:rsidR="00A2575F" w:rsidRPr="00215A1D">
        <w:rPr>
          <w:rFonts w:ascii="Times New Roman" w:hAnsi="Times New Roman" w:cs="Times New Roman"/>
        </w:rPr>
        <w:t>stanowiących co najmniej 15%</w:t>
      </w:r>
      <w:r w:rsidR="009A1099" w:rsidRPr="00215A1D">
        <w:rPr>
          <w:rFonts w:ascii="Times New Roman" w:hAnsi="Times New Roman" w:cs="Times New Roman"/>
        </w:rPr>
        <w:t>;</w:t>
      </w:r>
    </w:p>
    <w:p w14:paraId="4A668A6F" w14:textId="77777777" w:rsidR="009A1099" w:rsidRPr="00215A1D" w:rsidRDefault="00A65E2D" w:rsidP="00EF6F97">
      <w:pPr>
        <w:pStyle w:val="USTustnpkodeksu"/>
        <w:ind w:firstLine="284"/>
        <w:rPr>
          <w:rFonts w:ascii="Times New Roman" w:hAnsi="Times New Roman" w:cs="Times New Roman"/>
        </w:rPr>
      </w:pPr>
      <w:r w:rsidRPr="00215A1D">
        <w:rPr>
          <w:rFonts w:ascii="Times New Roman" w:hAnsi="Times New Roman" w:cs="Times New Roman"/>
        </w:rPr>
        <w:t xml:space="preserve">2) </w:t>
      </w:r>
      <w:r w:rsidR="009A1099" w:rsidRPr="00215A1D">
        <w:rPr>
          <w:rFonts w:ascii="Times New Roman" w:hAnsi="Times New Roman" w:cs="Times New Roman"/>
        </w:rPr>
        <w:t>31 grudnia 202</w:t>
      </w:r>
      <w:r w:rsidR="00A2575F" w:rsidRPr="00215A1D">
        <w:rPr>
          <w:rFonts w:ascii="Times New Roman" w:hAnsi="Times New Roman" w:cs="Times New Roman"/>
        </w:rPr>
        <w:t>5</w:t>
      </w:r>
      <w:r w:rsidR="001D0628">
        <w:rPr>
          <w:rFonts w:ascii="Times New Roman" w:hAnsi="Times New Roman" w:cs="Times New Roman"/>
        </w:rPr>
        <w:t> r.</w:t>
      </w:r>
      <w:r w:rsidR="009A1099" w:rsidRPr="00215A1D">
        <w:rPr>
          <w:rFonts w:ascii="Times New Roman" w:hAnsi="Times New Roman" w:cs="Times New Roman"/>
        </w:rPr>
        <w:t xml:space="preserve"> − </w:t>
      </w:r>
      <w:r w:rsidR="00A2575F" w:rsidRPr="00215A1D">
        <w:rPr>
          <w:rFonts w:ascii="Times New Roman" w:hAnsi="Times New Roman" w:cs="Times New Roman"/>
        </w:rPr>
        <w:t>w punktach poboru energii</w:t>
      </w:r>
      <w:r w:rsidR="00EF6F97">
        <w:rPr>
          <w:rFonts w:ascii="Times New Roman" w:hAnsi="Times New Roman" w:cs="Times New Roman"/>
        </w:rPr>
        <w:t xml:space="preserve"> </w:t>
      </w:r>
      <w:r w:rsidR="00A2575F" w:rsidRPr="00215A1D">
        <w:rPr>
          <w:rFonts w:ascii="Times New Roman" w:hAnsi="Times New Roman" w:cs="Times New Roman"/>
        </w:rPr>
        <w:t>stanowiących co najmniej 35%</w:t>
      </w:r>
      <w:r w:rsidR="009A1099" w:rsidRPr="00215A1D">
        <w:rPr>
          <w:rFonts w:ascii="Times New Roman" w:hAnsi="Times New Roman" w:cs="Times New Roman"/>
        </w:rPr>
        <w:t>;</w:t>
      </w:r>
    </w:p>
    <w:p w14:paraId="5AD9AC8C" w14:textId="77777777" w:rsidR="00154F38" w:rsidRPr="00215A1D" w:rsidRDefault="00A65E2D" w:rsidP="00EF6F97">
      <w:pPr>
        <w:pStyle w:val="USTustnpkodeksu"/>
        <w:ind w:firstLine="284"/>
        <w:rPr>
          <w:rFonts w:ascii="Times New Roman" w:hAnsi="Times New Roman" w:cs="Times New Roman"/>
        </w:rPr>
      </w:pPr>
      <w:r w:rsidRPr="00215A1D">
        <w:rPr>
          <w:rFonts w:ascii="Times New Roman" w:hAnsi="Times New Roman" w:cs="Times New Roman"/>
        </w:rPr>
        <w:t xml:space="preserve">3) </w:t>
      </w:r>
      <w:r w:rsidR="009A1099" w:rsidRPr="00215A1D">
        <w:rPr>
          <w:rFonts w:ascii="Times New Roman" w:hAnsi="Times New Roman" w:cs="Times New Roman"/>
        </w:rPr>
        <w:t>31 grudnia 202</w:t>
      </w:r>
      <w:r w:rsidR="00A2575F" w:rsidRPr="00215A1D">
        <w:rPr>
          <w:rFonts w:ascii="Times New Roman" w:hAnsi="Times New Roman" w:cs="Times New Roman"/>
        </w:rPr>
        <w:t>7</w:t>
      </w:r>
      <w:r w:rsidR="001D0628">
        <w:rPr>
          <w:rFonts w:ascii="Times New Roman" w:hAnsi="Times New Roman" w:cs="Times New Roman"/>
        </w:rPr>
        <w:t> r.</w:t>
      </w:r>
      <w:r w:rsidR="009A1099" w:rsidRPr="00215A1D">
        <w:rPr>
          <w:rFonts w:ascii="Times New Roman" w:hAnsi="Times New Roman" w:cs="Times New Roman"/>
        </w:rPr>
        <w:t xml:space="preserve"> − </w:t>
      </w:r>
      <w:r w:rsidR="00A2575F" w:rsidRPr="00215A1D">
        <w:rPr>
          <w:rFonts w:ascii="Times New Roman" w:hAnsi="Times New Roman" w:cs="Times New Roman"/>
        </w:rPr>
        <w:t>w punktach poboru energii</w:t>
      </w:r>
      <w:r w:rsidR="00EF6F97">
        <w:rPr>
          <w:rFonts w:ascii="Times New Roman" w:hAnsi="Times New Roman" w:cs="Times New Roman"/>
        </w:rPr>
        <w:t xml:space="preserve"> </w:t>
      </w:r>
      <w:r w:rsidR="00A2575F" w:rsidRPr="00215A1D">
        <w:rPr>
          <w:rFonts w:ascii="Times New Roman" w:hAnsi="Times New Roman" w:cs="Times New Roman"/>
        </w:rPr>
        <w:t>stanowiących co najmniej 65%</w:t>
      </w:r>
      <w:r w:rsidR="009A1099" w:rsidRPr="00215A1D">
        <w:rPr>
          <w:rFonts w:ascii="Times New Roman" w:hAnsi="Times New Roman" w:cs="Times New Roman"/>
        </w:rPr>
        <w:t>;</w:t>
      </w:r>
      <w:r w:rsidR="00154F38" w:rsidRPr="00215A1D">
        <w:rPr>
          <w:rFonts w:ascii="Times New Roman" w:hAnsi="Times New Roman" w:cs="Times New Roman"/>
        </w:rPr>
        <w:t xml:space="preserve"> </w:t>
      </w:r>
    </w:p>
    <w:p w14:paraId="6BBD6A19" w14:textId="77777777" w:rsidR="00A2575F" w:rsidRPr="00215A1D" w:rsidRDefault="00A2575F" w:rsidP="00215A1D">
      <w:pPr>
        <w:pStyle w:val="USTustnpkodeksu"/>
        <w:ind w:firstLine="284"/>
        <w:rPr>
          <w:rFonts w:ascii="Times New Roman" w:hAnsi="Times New Roman" w:cs="Times New Roman"/>
        </w:rPr>
      </w:pPr>
      <w:r w:rsidRPr="00215A1D">
        <w:rPr>
          <w:rFonts w:ascii="Times New Roman" w:hAnsi="Times New Roman" w:cs="Times New Roman"/>
        </w:rPr>
        <w:t>łącznej liczby punktów poboru energii u odbiorców końcowych,</w:t>
      </w:r>
      <w:r w:rsidR="0065641E" w:rsidRPr="00215A1D">
        <w:rPr>
          <w:rFonts w:ascii="Times New Roman" w:hAnsi="Times New Roman" w:cs="Times New Roman"/>
        </w:rPr>
        <w:t xml:space="preserve"> o których mowa w ust. 1</w:t>
      </w:r>
      <w:r w:rsidRPr="00215A1D">
        <w:rPr>
          <w:rFonts w:ascii="Times New Roman" w:hAnsi="Times New Roman" w:cs="Times New Roman"/>
        </w:rPr>
        <w:t>.</w:t>
      </w:r>
    </w:p>
    <w:p w14:paraId="5C9C28DB" w14:textId="77777777" w:rsidR="000F040F" w:rsidRPr="00215A1D" w:rsidRDefault="00154F38" w:rsidP="00EF6F97">
      <w:pPr>
        <w:pStyle w:val="USTustnpkodeksu"/>
        <w:ind w:firstLine="284"/>
        <w:rPr>
          <w:rFonts w:ascii="Times New Roman" w:hAnsi="Times New Roman" w:cs="Times New Roman"/>
        </w:rPr>
      </w:pPr>
      <w:r w:rsidRPr="00215A1D">
        <w:rPr>
          <w:rFonts w:ascii="Times New Roman" w:hAnsi="Times New Roman" w:cs="Times New Roman"/>
        </w:rPr>
        <w:tab/>
      </w:r>
      <w:r w:rsidR="000F040F" w:rsidRPr="00215A1D">
        <w:rPr>
          <w:rFonts w:ascii="Times New Roman" w:hAnsi="Times New Roman" w:cs="Times New Roman"/>
        </w:rPr>
        <w:t>Wg danych przekazanych prze</w:t>
      </w:r>
      <w:r w:rsidR="001D0628">
        <w:rPr>
          <w:rFonts w:ascii="Times New Roman" w:hAnsi="Times New Roman" w:cs="Times New Roman"/>
        </w:rPr>
        <w:t>z </w:t>
      </w:r>
      <w:r w:rsidR="000F040F" w:rsidRPr="00215A1D">
        <w:rPr>
          <w:rFonts w:ascii="Times New Roman" w:hAnsi="Times New Roman" w:cs="Times New Roman"/>
        </w:rPr>
        <w:t>Polskie Towarzystwo Przesyłu</w:t>
      </w:r>
      <w:r w:rsidR="001D0628">
        <w:rPr>
          <w:rFonts w:ascii="Times New Roman" w:hAnsi="Times New Roman" w:cs="Times New Roman"/>
        </w:rPr>
        <w:t xml:space="preserve"> i </w:t>
      </w:r>
      <w:r w:rsidR="000F040F" w:rsidRPr="00215A1D">
        <w:rPr>
          <w:rFonts w:ascii="Times New Roman" w:hAnsi="Times New Roman" w:cs="Times New Roman"/>
        </w:rPr>
        <w:t>Rozdziału Energii Elektrycznej w grupie C1x jedynie 11,10 % posiada zainstalowane liczniki zdalnego odczytu zaś w grupie G jest to 9,2 %. W pozostałych grupach sytuacja przedstawia się następująco: grupa A: 100 %, grupa B 97,1 %</w:t>
      </w:r>
      <w:r w:rsidR="001D0628">
        <w:rPr>
          <w:rFonts w:ascii="Times New Roman" w:hAnsi="Times New Roman" w:cs="Times New Roman"/>
        </w:rPr>
        <w:t xml:space="preserve"> i </w:t>
      </w:r>
      <w:r w:rsidR="000F040F" w:rsidRPr="00215A1D">
        <w:rPr>
          <w:rFonts w:ascii="Times New Roman" w:hAnsi="Times New Roman" w:cs="Times New Roman"/>
        </w:rPr>
        <w:t xml:space="preserve">grupa C2x 99,44 %. </w:t>
      </w:r>
      <w:r w:rsidR="00FE6018">
        <w:rPr>
          <w:rFonts w:ascii="Times New Roman" w:hAnsi="Times New Roman" w:cs="Times New Roman"/>
        </w:rPr>
        <w:t>P</w:t>
      </w:r>
      <w:r w:rsidR="000F040F" w:rsidRPr="00215A1D">
        <w:rPr>
          <w:rFonts w:ascii="Times New Roman" w:hAnsi="Times New Roman" w:cs="Times New Roman"/>
        </w:rPr>
        <w:t>rojekt ustawy wprowadza obowiązek instalacji liczników zdalnego odczytu u odbiorców końcowych posiadających układ pomiarowy bezpośredni, przyłączonych do sieci o napięciu znamionowym nie wyższym niż 1 kV</w:t>
      </w:r>
      <w:r w:rsidR="00FE6018">
        <w:rPr>
          <w:rFonts w:ascii="Times New Roman" w:hAnsi="Times New Roman" w:cs="Times New Roman"/>
        </w:rPr>
        <w:t>, czyli w grupie G oraz C1x</w:t>
      </w:r>
      <w:r w:rsidR="000F040F" w:rsidRPr="00215A1D">
        <w:rPr>
          <w:rFonts w:ascii="Times New Roman" w:hAnsi="Times New Roman" w:cs="Times New Roman"/>
        </w:rPr>
        <w:t>.</w:t>
      </w:r>
      <w:r w:rsidR="00FE6018">
        <w:rPr>
          <w:rFonts w:ascii="Times New Roman" w:hAnsi="Times New Roman" w:cs="Times New Roman"/>
        </w:rPr>
        <w:t xml:space="preserve"> Na marginesie należy zaznaczyć, że</w:t>
      </w:r>
      <w:r w:rsidR="000F040F" w:rsidRPr="00215A1D">
        <w:rPr>
          <w:rFonts w:ascii="Times New Roman" w:hAnsi="Times New Roman" w:cs="Times New Roman"/>
        </w:rPr>
        <w:t xml:space="preserve"> układ pomiarowy bezpośredni to układ posiadający tzw. stycznik czyli przyrząd umożliwiający dwustronną komunikację, zarządzanie stroną popytową (DSR) ora</w:t>
      </w:r>
      <w:r w:rsidR="001D0628">
        <w:rPr>
          <w:rFonts w:ascii="Times New Roman" w:hAnsi="Times New Roman" w:cs="Times New Roman"/>
        </w:rPr>
        <w:t>z </w:t>
      </w:r>
      <w:r w:rsidR="000F040F" w:rsidRPr="00215A1D">
        <w:rPr>
          <w:rFonts w:ascii="Times New Roman" w:hAnsi="Times New Roman" w:cs="Times New Roman"/>
        </w:rPr>
        <w:t>przedpłatę</w:t>
      </w:r>
      <w:r w:rsidR="001D0628">
        <w:rPr>
          <w:rFonts w:ascii="Times New Roman" w:hAnsi="Times New Roman" w:cs="Times New Roman"/>
        </w:rPr>
        <w:t xml:space="preserve"> i </w:t>
      </w:r>
      <w:r w:rsidR="000F040F" w:rsidRPr="00215A1D">
        <w:rPr>
          <w:rFonts w:ascii="Times New Roman" w:hAnsi="Times New Roman" w:cs="Times New Roman"/>
        </w:rPr>
        <w:t xml:space="preserve">tym samym zapewnia zgodność funkcjonalności </w:t>
      </w:r>
      <w:r w:rsidR="001D0628">
        <w:rPr>
          <w:rFonts w:ascii="Times New Roman" w:hAnsi="Times New Roman" w:cs="Times New Roman"/>
        </w:rPr>
        <w:t>z </w:t>
      </w:r>
      <w:r w:rsidR="000F040F" w:rsidRPr="00215A1D">
        <w:rPr>
          <w:rFonts w:ascii="Times New Roman" w:hAnsi="Times New Roman" w:cs="Times New Roman"/>
        </w:rPr>
        <w:t xml:space="preserve">Zaleceniami Komisji Europejskiej </w:t>
      </w:r>
      <w:r w:rsidR="001D0628">
        <w:rPr>
          <w:rFonts w:ascii="Times New Roman" w:hAnsi="Times New Roman" w:cs="Times New Roman"/>
        </w:rPr>
        <w:t>z </w:t>
      </w:r>
      <w:r w:rsidR="000F040F" w:rsidRPr="00215A1D">
        <w:rPr>
          <w:rFonts w:ascii="Times New Roman" w:hAnsi="Times New Roman" w:cs="Times New Roman"/>
        </w:rPr>
        <w:t>dnia 9 marca 2012</w:t>
      </w:r>
      <w:r w:rsidR="001D0628">
        <w:rPr>
          <w:rFonts w:ascii="Times New Roman" w:hAnsi="Times New Roman" w:cs="Times New Roman"/>
        </w:rPr>
        <w:t> r.</w:t>
      </w:r>
      <w:r w:rsidR="000F040F" w:rsidRPr="00215A1D">
        <w:rPr>
          <w:rFonts w:ascii="Times New Roman" w:hAnsi="Times New Roman" w:cs="Times New Roman"/>
        </w:rPr>
        <w:t xml:space="preserve"> w sprawie przygotowań do rozpowszechnienia inteligentnych systemów pomiarowych (Dz. U. UE. L. 73 </w:t>
      </w:r>
      <w:r w:rsidR="001D0628">
        <w:rPr>
          <w:rFonts w:ascii="Times New Roman" w:hAnsi="Times New Roman" w:cs="Times New Roman"/>
        </w:rPr>
        <w:t>z </w:t>
      </w:r>
      <w:r w:rsidR="000F040F" w:rsidRPr="00215A1D">
        <w:rPr>
          <w:rFonts w:ascii="Times New Roman" w:hAnsi="Times New Roman" w:cs="Times New Roman"/>
        </w:rPr>
        <w:t>9. 03. 2012, str. 9).</w:t>
      </w:r>
      <w:r w:rsidR="00FE6018">
        <w:rPr>
          <w:rFonts w:ascii="Times New Roman" w:hAnsi="Times New Roman" w:cs="Times New Roman"/>
        </w:rPr>
        <w:t xml:space="preserve"> </w:t>
      </w:r>
      <w:r w:rsidR="00FE6018" w:rsidRPr="00FE6018">
        <w:rPr>
          <w:rFonts w:ascii="Times New Roman" w:hAnsi="Times New Roman" w:cs="Times New Roman"/>
        </w:rPr>
        <w:t xml:space="preserve">Obowiązek instalacji liczników zdalnego odczytu dla wszystkich pozostałych kategorii odbiorców końcowych wynika </w:t>
      </w:r>
      <w:r w:rsidR="00FE6018">
        <w:rPr>
          <w:rFonts w:ascii="Times New Roman" w:hAnsi="Times New Roman" w:cs="Times New Roman"/>
        </w:rPr>
        <w:t xml:space="preserve">bowiem </w:t>
      </w:r>
      <w:r w:rsidR="00FE6018" w:rsidRPr="00FE6018">
        <w:rPr>
          <w:rFonts w:ascii="Times New Roman" w:hAnsi="Times New Roman" w:cs="Times New Roman"/>
        </w:rPr>
        <w:t xml:space="preserve">pośrednio z ustawy z dnia 8 grudnia 2017 r. o rynku mocy, </w:t>
      </w:r>
      <w:r w:rsidR="00FE6018">
        <w:rPr>
          <w:rFonts w:ascii="Times New Roman" w:hAnsi="Times New Roman" w:cs="Times New Roman"/>
        </w:rPr>
        <w:t>gdyż nie jest</w:t>
      </w:r>
      <w:r w:rsidR="00FE6018" w:rsidRPr="00FE6018">
        <w:rPr>
          <w:rFonts w:ascii="Times New Roman" w:hAnsi="Times New Roman" w:cs="Times New Roman"/>
        </w:rPr>
        <w:t xml:space="preserve"> możliwa realizacja obowiązków wynikających z tej ustawy bez dokładnych wyliczeń, które mogą jedynie zapewnić liczniki zdalnego odczytu.</w:t>
      </w:r>
    </w:p>
    <w:p w14:paraId="6DD8496D" w14:textId="41432C1D"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Elementem budowy systemu inteligentnego opomiarowania </w:t>
      </w:r>
      <w:r w:rsidR="00A2575F" w:rsidRPr="00215A1D">
        <w:rPr>
          <w:rFonts w:ascii="Times New Roman" w:hAnsi="Times New Roman" w:cs="Times New Roman"/>
        </w:rPr>
        <w:t>(art. 11</w:t>
      </w:r>
      <w:r w:rsidR="005557FE">
        <w:rPr>
          <w:rFonts w:ascii="Times New Roman" w:hAnsi="Times New Roman" w:cs="Times New Roman"/>
        </w:rPr>
        <w:t>t</w:t>
      </w:r>
      <w:r w:rsidR="00A2575F" w:rsidRPr="00215A1D">
        <w:rPr>
          <w:rFonts w:ascii="Times New Roman" w:hAnsi="Times New Roman" w:cs="Times New Roman"/>
        </w:rPr>
        <w:t xml:space="preserve"> ust. 3) </w:t>
      </w:r>
      <w:r w:rsidR="009A1099" w:rsidRPr="00215A1D">
        <w:rPr>
          <w:rFonts w:ascii="Times New Roman" w:hAnsi="Times New Roman" w:cs="Times New Roman"/>
        </w:rPr>
        <w:t xml:space="preserve">będzie również instalacja liczników </w:t>
      </w:r>
      <w:r w:rsidR="006D44F3" w:rsidRPr="00215A1D">
        <w:rPr>
          <w:rFonts w:ascii="Times New Roman" w:hAnsi="Times New Roman" w:cs="Times New Roman"/>
        </w:rPr>
        <w:t xml:space="preserve">zdalnego odczytu </w:t>
      </w:r>
      <w:r w:rsidR="009A1099" w:rsidRPr="00215A1D">
        <w:rPr>
          <w:rFonts w:ascii="Times New Roman" w:hAnsi="Times New Roman" w:cs="Times New Roman"/>
        </w:rPr>
        <w:t>na stacjach SN/nN. W projekcie ustawy określono rok 202</w:t>
      </w:r>
      <w:r w:rsidR="00A2575F" w:rsidRPr="00215A1D">
        <w:rPr>
          <w:rFonts w:ascii="Times New Roman" w:hAnsi="Times New Roman" w:cs="Times New Roman"/>
        </w:rPr>
        <w:t>5</w:t>
      </w:r>
      <w:r w:rsidR="009A1099" w:rsidRPr="00215A1D">
        <w:rPr>
          <w:rFonts w:ascii="Times New Roman" w:hAnsi="Times New Roman" w:cs="Times New Roman"/>
        </w:rPr>
        <w:t xml:space="preserve"> jako datę instalacji tych liczników. </w:t>
      </w:r>
    </w:p>
    <w:p w14:paraId="1D85BBB5" w14:textId="77777777" w:rsidR="009A1099"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Koszty zainstalowania liczników zdalnego odczytu u odbiorców końcowych przyłączonych do sieci danego operatora o napięciu znamionowym nie wyższym niż 1 kV</w:t>
      </w:r>
      <w:r w:rsidR="00A8567E" w:rsidRPr="00215A1D">
        <w:rPr>
          <w:rFonts w:ascii="Times New Roman" w:hAnsi="Times New Roman" w:cs="Times New Roman"/>
        </w:rPr>
        <w:t xml:space="preserve"> ora</w:t>
      </w:r>
      <w:r w:rsidR="001D0628">
        <w:rPr>
          <w:rFonts w:ascii="Times New Roman" w:hAnsi="Times New Roman" w:cs="Times New Roman"/>
        </w:rPr>
        <w:t>z </w:t>
      </w:r>
      <w:r w:rsidR="00A8567E" w:rsidRPr="00215A1D">
        <w:rPr>
          <w:rFonts w:ascii="Times New Roman" w:hAnsi="Times New Roman" w:cs="Times New Roman"/>
        </w:rPr>
        <w:t>liczników w stacjach SN/nN</w:t>
      </w:r>
      <w:r w:rsidR="009A1099" w:rsidRPr="00215A1D">
        <w:rPr>
          <w:rFonts w:ascii="Times New Roman" w:hAnsi="Times New Roman" w:cs="Times New Roman"/>
        </w:rPr>
        <w:t>, pokrywane będą prze</w:t>
      </w:r>
      <w:r w:rsidR="001D0628">
        <w:rPr>
          <w:rFonts w:ascii="Times New Roman" w:hAnsi="Times New Roman" w:cs="Times New Roman"/>
        </w:rPr>
        <w:t>z </w:t>
      </w:r>
      <w:r w:rsidR="009A1099" w:rsidRPr="00215A1D">
        <w:rPr>
          <w:rFonts w:ascii="Times New Roman" w:hAnsi="Times New Roman" w:cs="Times New Roman"/>
        </w:rPr>
        <w:t>właściwego operatora systemu dystrybucyjnego elektroenergetycznego</w:t>
      </w:r>
      <w:r w:rsidR="001D0628">
        <w:rPr>
          <w:rFonts w:ascii="Times New Roman" w:hAnsi="Times New Roman" w:cs="Times New Roman"/>
        </w:rPr>
        <w:t xml:space="preserve"> i </w:t>
      </w:r>
      <w:r w:rsidR="009A1099" w:rsidRPr="00215A1D">
        <w:rPr>
          <w:rFonts w:ascii="Times New Roman" w:hAnsi="Times New Roman" w:cs="Times New Roman"/>
        </w:rPr>
        <w:t>powinny stanowić uzasadnione koszty działalności tego operatora.</w:t>
      </w:r>
    </w:p>
    <w:p w14:paraId="2E7ED1D1" w14:textId="35CBC543" w:rsidR="009A1099" w:rsidRPr="00215A1D" w:rsidRDefault="00B96BC8" w:rsidP="00EF6F97">
      <w:pPr>
        <w:pStyle w:val="USTustnpkodeksu"/>
        <w:rPr>
          <w:rFonts w:ascii="Times New Roman" w:hAnsi="Times New Roman" w:cs="Times New Roman"/>
        </w:rPr>
      </w:pPr>
      <w:r>
        <w:rPr>
          <w:rFonts w:ascii="Times New Roman" w:hAnsi="Times New Roman" w:cs="Times New Roman"/>
        </w:rPr>
        <w:t xml:space="preserve">   </w:t>
      </w:r>
      <w:r w:rsidR="009A1099" w:rsidRPr="00215A1D">
        <w:rPr>
          <w:rFonts w:ascii="Times New Roman" w:hAnsi="Times New Roman" w:cs="Times New Roman"/>
        </w:rPr>
        <w:t xml:space="preserve">Rozłożenie w czasie (na </w:t>
      </w:r>
      <w:r w:rsidR="00A2575F" w:rsidRPr="00215A1D">
        <w:rPr>
          <w:rFonts w:ascii="Times New Roman" w:hAnsi="Times New Roman" w:cs="Times New Roman"/>
        </w:rPr>
        <w:t>10</w:t>
      </w:r>
      <w:r w:rsidR="009A1099" w:rsidRPr="00215A1D">
        <w:rPr>
          <w:rFonts w:ascii="Times New Roman" w:hAnsi="Times New Roman" w:cs="Times New Roman"/>
        </w:rPr>
        <w:t xml:space="preserve"> lat) procesu instalowania liczników zdalnego odczytu </w:t>
      </w:r>
      <w:r w:rsidR="00A8567E" w:rsidRPr="00215A1D">
        <w:rPr>
          <w:rFonts w:ascii="Times New Roman" w:hAnsi="Times New Roman" w:cs="Times New Roman"/>
        </w:rPr>
        <w:t xml:space="preserve">u odbiorców końcowych w gospodarstwach domowych </w:t>
      </w:r>
      <w:r w:rsidR="009A1099" w:rsidRPr="00215A1D">
        <w:rPr>
          <w:rFonts w:ascii="Times New Roman" w:hAnsi="Times New Roman" w:cs="Times New Roman"/>
        </w:rPr>
        <w:t xml:space="preserve">powinno zminimalizować uciążliwość </w:t>
      </w:r>
      <w:r w:rsidR="009A1099" w:rsidRPr="00215A1D">
        <w:rPr>
          <w:rFonts w:ascii="Times New Roman" w:hAnsi="Times New Roman" w:cs="Times New Roman"/>
        </w:rPr>
        <w:lastRenderedPageBreak/>
        <w:t>procesu ich instalacji poprze</w:t>
      </w:r>
      <w:r w:rsidR="001D0628">
        <w:rPr>
          <w:rFonts w:ascii="Times New Roman" w:hAnsi="Times New Roman" w:cs="Times New Roman"/>
        </w:rPr>
        <w:t>z </w:t>
      </w:r>
      <w:r w:rsidR="009A1099" w:rsidRPr="00215A1D">
        <w:rPr>
          <w:rFonts w:ascii="Times New Roman" w:hAnsi="Times New Roman" w:cs="Times New Roman"/>
        </w:rPr>
        <w:t xml:space="preserve">skorelowanie instalacji </w:t>
      </w:r>
      <w:r w:rsidR="00A8567E" w:rsidRPr="00215A1D">
        <w:rPr>
          <w:rFonts w:ascii="Times New Roman" w:hAnsi="Times New Roman" w:cs="Times New Roman"/>
        </w:rPr>
        <w:t xml:space="preserve">tych </w:t>
      </w:r>
      <w:r w:rsidR="009A1099" w:rsidRPr="00215A1D">
        <w:rPr>
          <w:rFonts w:ascii="Times New Roman" w:hAnsi="Times New Roman" w:cs="Times New Roman"/>
        </w:rPr>
        <w:t xml:space="preserve">liczników </w:t>
      </w:r>
      <w:r w:rsidR="001D0628">
        <w:rPr>
          <w:rFonts w:ascii="Times New Roman" w:hAnsi="Times New Roman" w:cs="Times New Roman"/>
        </w:rPr>
        <w:t>z </w:t>
      </w:r>
      <w:r w:rsidR="009A1099" w:rsidRPr="00215A1D">
        <w:rPr>
          <w:rFonts w:ascii="Times New Roman" w:hAnsi="Times New Roman" w:cs="Times New Roman"/>
        </w:rPr>
        <w:t>wymianą już istniejący</w:t>
      </w:r>
      <w:r w:rsidR="008B4A71" w:rsidRPr="00215A1D">
        <w:rPr>
          <w:rFonts w:ascii="Times New Roman" w:hAnsi="Times New Roman" w:cs="Times New Roman"/>
        </w:rPr>
        <w:t xml:space="preserve">ch </w:t>
      </w:r>
      <w:r w:rsidR="009A1099" w:rsidRPr="00215A1D">
        <w:rPr>
          <w:rFonts w:ascii="Times New Roman" w:hAnsi="Times New Roman" w:cs="Times New Roman"/>
        </w:rPr>
        <w:t>licznik</w:t>
      </w:r>
      <w:r w:rsidR="008B4A71" w:rsidRPr="00215A1D">
        <w:rPr>
          <w:rFonts w:ascii="Times New Roman" w:hAnsi="Times New Roman" w:cs="Times New Roman"/>
        </w:rPr>
        <w:t>ów</w:t>
      </w:r>
      <w:r w:rsidR="009A1099" w:rsidRPr="00215A1D">
        <w:rPr>
          <w:rFonts w:ascii="Times New Roman" w:hAnsi="Times New Roman" w:cs="Times New Roman"/>
        </w:rPr>
        <w:t xml:space="preserve"> wynikającą </w:t>
      </w:r>
      <w:r w:rsidR="00A8567E" w:rsidRPr="00215A1D">
        <w:rPr>
          <w:rFonts w:ascii="Times New Roman" w:hAnsi="Times New Roman" w:cs="Times New Roman"/>
        </w:rPr>
        <w:t xml:space="preserve">np. </w:t>
      </w:r>
      <w:r w:rsidR="001D0628">
        <w:rPr>
          <w:rFonts w:ascii="Times New Roman" w:hAnsi="Times New Roman" w:cs="Times New Roman"/>
        </w:rPr>
        <w:t>z </w:t>
      </w:r>
      <w:r w:rsidR="009A1099" w:rsidRPr="00215A1D">
        <w:rPr>
          <w:rFonts w:ascii="Times New Roman" w:hAnsi="Times New Roman" w:cs="Times New Roman"/>
        </w:rPr>
        <w:t>legalizacji, uszkodzenia licznika, przyłączeń nowych odbiorców do sieci. Przyczyni się to do optymalizacji kosztów wprowadzenia systemu inteligentnego opomiarowania ora</w:t>
      </w:r>
      <w:r w:rsidR="001D0628">
        <w:rPr>
          <w:rFonts w:ascii="Times New Roman" w:hAnsi="Times New Roman" w:cs="Times New Roman"/>
        </w:rPr>
        <w:t>z </w:t>
      </w:r>
      <w:r w:rsidR="009A1099" w:rsidRPr="00215A1D">
        <w:rPr>
          <w:rFonts w:ascii="Times New Roman" w:hAnsi="Times New Roman" w:cs="Times New Roman"/>
        </w:rPr>
        <w:t xml:space="preserve">umożliwi, zgodnie </w:t>
      </w:r>
      <w:r w:rsidR="001D0628">
        <w:rPr>
          <w:rFonts w:ascii="Times New Roman" w:hAnsi="Times New Roman" w:cs="Times New Roman"/>
        </w:rPr>
        <w:t>z </w:t>
      </w:r>
      <w:r w:rsidR="009A1099" w:rsidRPr="00215A1D">
        <w:rPr>
          <w:rFonts w:ascii="Times New Roman" w:hAnsi="Times New Roman" w:cs="Times New Roman"/>
        </w:rPr>
        <w:t>oczekiwaniami Prezesa URE, bezkolizyjne</w:t>
      </w:r>
      <w:r w:rsidR="001D0628">
        <w:rPr>
          <w:rFonts w:ascii="Times New Roman" w:hAnsi="Times New Roman" w:cs="Times New Roman"/>
        </w:rPr>
        <w:t xml:space="preserve"> i </w:t>
      </w:r>
      <w:r w:rsidR="009A1099" w:rsidRPr="00215A1D">
        <w:rPr>
          <w:rFonts w:ascii="Times New Roman" w:hAnsi="Times New Roman" w:cs="Times New Roman"/>
        </w:rPr>
        <w:t xml:space="preserve">kompleksowe zharmonizowanie tego procesu </w:t>
      </w:r>
      <w:r w:rsidR="001D0628">
        <w:rPr>
          <w:rFonts w:ascii="Times New Roman" w:hAnsi="Times New Roman" w:cs="Times New Roman"/>
        </w:rPr>
        <w:t>z </w:t>
      </w:r>
      <w:r w:rsidR="009A1099" w:rsidRPr="00215A1D">
        <w:rPr>
          <w:rFonts w:ascii="Times New Roman" w:hAnsi="Times New Roman" w:cs="Times New Roman"/>
        </w:rPr>
        <w:t xml:space="preserve">rozwojem inteligentnych sieci. </w:t>
      </w:r>
      <w:r w:rsidR="00CF1DF5" w:rsidRPr="00215A1D">
        <w:rPr>
          <w:rFonts w:ascii="Times New Roman" w:hAnsi="Times New Roman" w:cs="Times New Roman"/>
        </w:rPr>
        <w:t>Uzasadnieniem proponowanego harmonogramy instalacji jest też konieczność przeprowadzenia prac przygotowawczych mających na celu zbudowanie zespołów, opracowanie wymagań a następnie przeprowadzenie postępowań przetargowych, po rozstrzygnięciu których dopiero nastąpi sukcesywna instalacja liczników zdalnego odczytu</w:t>
      </w:r>
      <w:r w:rsidR="001D0628">
        <w:rPr>
          <w:rFonts w:ascii="Times New Roman" w:hAnsi="Times New Roman" w:cs="Times New Roman"/>
        </w:rPr>
        <w:t xml:space="preserve"> i </w:t>
      </w:r>
      <w:r w:rsidR="00CF1DF5" w:rsidRPr="00215A1D">
        <w:rPr>
          <w:rFonts w:ascii="Times New Roman" w:hAnsi="Times New Roman" w:cs="Times New Roman"/>
        </w:rPr>
        <w:t>koncentratorów (przyjmując, że utrzymana będzie technologia PLC), która może również wymusić modernizację stacji SN/nN.</w:t>
      </w:r>
      <w:r w:rsidR="00EF6F97">
        <w:rPr>
          <w:rFonts w:ascii="Times New Roman" w:hAnsi="Times New Roman" w:cs="Times New Roman"/>
        </w:rPr>
        <w:t xml:space="preserve"> </w:t>
      </w:r>
    </w:p>
    <w:p w14:paraId="52440834" w14:textId="4900241C" w:rsidR="002C6541"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EE6A04" w:rsidRPr="00215A1D">
        <w:rPr>
          <w:rFonts w:ascii="Times New Roman" w:hAnsi="Times New Roman" w:cs="Times New Roman"/>
        </w:rPr>
        <w:t>Dodatkowo wprowadza się przepis</w:t>
      </w:r>
      <w:r w:rsidR="002C6541" w:rsidRPr="00215A1D">
        <w:rPr>
          <w:rFonts w:ascii="Times New Roman" w:hAnsi="Times New Roman" w:cs="Times New Roman"/>
        </w:rPr>
        <w:t xml:space="preserve"> (art. 11</w:t>
      </w:r>
      <w:r w:rsidR="005557FE">
        <w:rPr>
          <w:rFonts w:ascii="Times New Roman" w:hAnsi="Times New Roman" w:cs="Times New Roman"/>
        </w:rPr>
        <w:t>t</w:t>
      </w:r>
      <w:r w:rsidR="002C6541" w:rsidRPr="00215A1D">
        <w:rPr>
          <w:rFonts w:ascii="Times New Roman" w:hAnsi="Times New Roman" w:cs="Times New Roman"/>
        </w:rPr>
        <w:t xml:space="preserve"> ust. 6-9)</w:t>
      </w:r>
      <w:r w:rsidR="00EE6A04" w:rsidRPr="00215A1D">
        <w:rPr>
          <w:rFonts w:ascii="Times New Roman" w:hAnsi="Times New Roman" w:cs="Times New Roman"/>
        </w:rPr>
        <w:t xml:space="preserve">, zgodnie </w:t>
      </w:r>
      <w:r w:rsidR="001D0628">
        <w:rPr>
          <w:rFonts w:ascii="Times New Roman" w:hAnsi="Times New Roman" w:cs="Times New Roman"/>
        </w:rPr>
        <w:t>z </w:t>
      </w:r>
      <w:r w:rsidR="00EE6A04" w:rsidRPr="00215A1D">
        <w:rPr>
          <w:rFonts w:ascii="Times New Roman" w:hAnsi="Times New Roman" w:cs="Times New Roman"/>
        </w:rPr>
        <w:t xml:space="preserve">którym na wniosek odbiorcy końcowego </w:t>
      </w:r>
      <w:r w:rsidR="002C6541" w:rsidRPr="00215A1D">
        <w:rPr>
          <w:rFonts w:ascii="Times New Roman" w:hAnsi="Times New Roman" w:cs="Times New Roman"/>
        </w:rPr>
        <w:t xml:space="preserve">przyłączonego do sieci o napięciu znamionowym nie wyższym niż 1 kV operator systemu dystrybucyjnego elektroenergetycznego do którego jest przyłączony odbiorca </w:t>
      </w:r>
      <w:r w:rsidR="00025850" w:rsidRPr="00215A1D">
        <w:rPr>
          <w:rFonts w:ascii="Times New Roman" w:hAnsi="Times New Roman" w:cs="Times New Roman"/>
        </w:rPr>
        <w:t xml:space="preserve">albo członka spółdzielni energetycznej </w:t>
      </w:r>
      <w:r w:rsidR="002C6541" w:rsidRPr="00215A1D">
        <w:rPr>
          <w:rFonts w:ascii="Times New Roman" w:hAnsi="Times New Roman" w:cs="Times New Roman"/>
        </w:rPr>
        <w:t xml:space="preserve">zainstaluje </w:t>
      </w:r>
      <w:r w:rsidR="00EE6A04" w:rsidRPr="00215A1D">
        <w:rPr>
          <w:rFonts w:ascii="Times New Roman" w:hAnsi="Times New Roman" w:cs="Times New Roman"/>
        </w:rPr>
        <w:t xml:space="preserve">licznik zdalnego odczytu </w:t>
      </w:r>
      <w:r w:rsidR="002C6541" w:rsidRPr="00215A1D">
        <w:rPr>
          <w:rFonts w:ascii="Times New Roman" w:hAnsi="Times New Roman" w:cs="Times New Roman"/>
        </w:rPr>
        <w:t>albo wyposaży punkt ładowania w licznik zdalnego odczytu, przy czym odbiorca końcowy poniesie w takim przypadku koszty instalacji</w:t>
      </w:r>
      <w:r w:rsidR="001D0628">
        <w:rPr>
          <w:rFonts w:ascii="Times New Roman" w:hAnsi="Times New Roman" w:cs="Times New Roman"/>
        </w:rPr>
        <w:t xml:space="preserve"> i </w:t>
      </w:r>
      <w:r w:rsidR="002C6541" w:rsidRPr="00215A1D">
        <w:rPr>
          <w:rFonts w:ascii="Times New Roman" w:hAnsi="Times New Roman" w:cs="Times New Roman"/>
        </w:rPr>
        <w:t xml:space="preserve">uruchomienia urządzeń. Dodatkowo, na wniosek tego odbiorcy końcowego operator systemu dystrybucyjnego elektroenergetycznego jest zobowiązany </w:t>
      </w:r>
      <w:r w:rsidR="002259AD" w:rsidRPr="00215A1D">
        <w:rPr>
          <w:rFonts w:ascii="Times New Roman" w:hAnsi="Times New Roman" w:cs="Times New Roman"/>
        </w:rPr>
        <w:t xml:space="preserve">nieodpłatnie </w:t>
      </w:r>
      <w:r w:rsidR="002C6541" w:rsidRPr="00215A1D">
        <w:rPr>
          <w:rFonts w:ascii="Times New Roman" w:hAnsi="Times New Roman" w:cs="Times New Roman"/>
        </w:rPr>
        <w:t xml:space="preserve">do umożliwienia skomunikowania licznika zdalnego odczytu </w:t>
      </w:r>
      <w:r w:rsidR="001D0628">
        <w:rPr>
          <w:rFonts w:ascii="Times New Roman" w:hAnsi="Times New Roman" w:cs="Times New Roman"/>
        </w:rPr>
        <w:t>z </w:t>
      </w:r>
      <w:r w:rsidR="002C6541" w:rsidRPr="00215A1D">
        <w:rPr>
          <w:rFonts w:ascii="Times New Roman" w:hAnsi="Times New Roman" w:cs="Times New Roman"/>
        </w:rPr>
        <w:t xml:space="preserve">urządzeniami tego odbiorcy. </w:t>
      </w:r>
      <w:r w:rsidR="002259AD" w:rsidRPr="00215A1D">
        <w:rPr>
          <w:rFonts w:ascii="Times New Roman" w:hAnsi="Times New Roman" w:cs="Times New Roman"/>
        </w:rPr>
        <w:t xml:space="preserve">Określono przy tym roczny limit instalacji liczników zdalnego odczytu na wniosek odbiorcy, w ramach którego operator systemu dystrybucyjnego elektroenergetycznego jest zobowiązany do realizacji wniosków o instalacją licznika zdalnego odczytu. </w:t>
      </w:r>
    </w:p>
    <w:p w14:paraId="16FBA575" w14:textId="25761C44" w:rsidR="00E46073"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E46073" w:rsidRPr="00215A1D">
        <w:rPr>
          <w:rFonts w:ascii="Times New Roman" w:hAnsi="Times New Roman" w:cs="Times New Roman"/>
        </w:rPr>
        <w:t>A</w:t>
      </w:r>
      <w:r w:rsidR="002259AD" w:rsidRPr="00215A1D">
        <w:rPr>
          <w:rFonts w:ascii="Times New Roman" w:hAnsi="Times New Roman" w:cs="Times New Roman"/>
        </w:rPr>
        <w:t>rt. 11</w:t>
      </w:r>
      <w:r w:rsidR="005557FE">
        <w:rPr>
          <w:rFonts w:ascii="Times New Roman" w:hAnsi="Times New Roman" w:cs="Times New Roman"/>
        </w:rPr>
        <w:t>t</w:t>
      </w:r>
      <w:r w:rsidR="002259AD" w:rsidRPr="00215A1D">
        <w:rPr>
          <w:rFonts w:ascii="Times New Roman" w:hAnsi="Times New Roman" w:cs="Times New Roman"/>
        </w:rPr>
        <w:t xml:space="preserve"> </w:t>
      </w:r>
      <w:r w:rsidR="00E46073" w:rsidRPr="00215A1D">
        <w:rPr>
          <w:rFonts w:ascii="Times New Roman" w:hAnsi="Times New Roman" w:cs="Times New Roman"/>
        </w:rPr>
        <w:t>zobowiązuje również operatorów systemów dystrybucyjnych elektroenergetycznych do przekazuje odbiorcy końcowemu, podczas lub przed instalacją licznika zdalnego odczytu, informacje dotyczące tego licznika, określone w przepisach wykonawczych, w tym informację o:</w:t>
      </w:r>
    </w:p>
    <w:p w14:paraId="4F0748ED" w14:textId="77777777" w:rsidR="00E46073" w:rsidRPr="00215A1D" w:rsidRDefault="00E46073" w:rsidP="00215A1D">
      <w:pPr>
        <w:pStyle w:val="USTustnpkodeksu"/>
        <w:numPr>
          <w:ilvl w:val="1"/>
          <w:numId w:val="20"/>
        </w:numPr>
        <w:ind w:left="426" w:hanging="284"/>
        <w:rPr>
          <w:rFonts w:ascii="Times New Roman" w:hAnsi="Times New Roman" w:cs="Times New Roman"/>
        </w:rPr>
      </w:pPr>
      <w:r w:rsidRPr="00215A1D">
        <w:rPr>
          <w:rFonts w:ascii="Times New Roman" w:hAnsi="Times New Roman" w:cs="Times New Roman"/>
        </w:rPr>
        <w:t>funkcjach licznika zdalnego odczytu;</w:t>
      </w:r>
    </w:p>
    <w:p w14:paraId="65859A9D" w14:textId="77777777" w:rsidR="00E46073" w:rsidRPr="00215A1D" w:rsidRDefault="00E46073" w:rsidP="00215A1D">
      <w:pPr>
        <w:pStyle w:val="USTustnpkodeksu"/>
        <w:numPr>
          <w:ilvl w:val="1"/>
          <w:numId w:val="20"/>
        </w:numPr>
        <w:ind w:left="426" w:hanging="284"/>
        <w:rPr>
          <w:rFonts w:ascii="Times New Roman" w:hAnsi="Times New Roman" w:cs="Times New Roman"/>
        </w:rPr>
      </w:pPr>
      <w:r w:rsidRPr="00215A1D">
        <w:rPr>
          <w:rFonts w:ascii="Times New Roman" w:hAnsi="Times New Roman" w:cs="Times New Roman"/>
        </w:rPr>
        <w:t>przetwarzaniu danych osobowych tego odbiorcy;</w:t>
      </w:r>
    </w:p>
    <w:p w14:paraId="5189762A" w14:textId="77777777" w:rsidR="00E46073" w:rsidRPr="00215A1D" w:rsidRDefault="00E46073" w:rsidP="00215A1D">
      <w:pPr>
        <w:pStyle w:val="USTustnpkodeksu"/>
        <w:numPr>
          <w:ilvl w:val="0"/>
          <w:numId w:val="20"/>
        </w:numPr>
        <w:ind w:left="426" w:hanging="284"/>
        <w:rPr>
          <w:rFonts w:ascii="Times New Roman" w:hAnsi="Times New Roman" w:cs="Times New Roman"/>
        </w:rPr>
      </w:pPr>
      <w:r w:rsidRPr="00215A1D">
        <w:rPr>
          <w:rFonts w:ascii="Times New Roman" w:hAnsi="Times New Roman" w:cs="Times New Roman"/>
        </w:rPr>
        <w:t>uśrednionych ora</w:t>
      </w:r>
      <w:r w:rsidR="001D0628">
        <w:rPr>
          <w:rFonts w:ascii="Times New Roman" w:hAnsi="Times New Roman" w:cs="Times New Roman"/>
        </w:rPr>
        <w:t>z </w:t>
      </w:r>
      <w:r w:rsidRPr="00215A1D">
        <w:rPr>
          <w:rFonts w:ascii="Times New Roman" w:hAnsi="Times New Roman" w:cs="Times New Roman"/>
        </w:rPr>
        <w:t>długoterminowych kosztach</w:t>
      </w:r>
      <w:r w:rsidR="001D0628">
        <w:rPr>
          <w:rFonts w:ascii="Times New Roman" w:hAnsi="Times New Roman" w:cs="Times New Roman"/>
        </w:rPr>
        <w:t xml:space="preserve"> i </w:t>
      </w:r>
      <w:r w:rsidRPr="00215A1D">
        <w:rPr>
          <w:rFonts w:ascii="Times New Roman" w:hAnsi="Times New Roman" w:cs="Times New Roman"/>
        </w:rPr>
        <w:t xml:space="preserve">korzyściach związanych </w:t>
      </w:r>
      <w:r w:rsidR="001D0628">
        <w:rPr>
          <w:rFonts w:ascii="Times New Roman" w:hAnsi="Times New Roman" w:cs="Times New Roman"/>
        </w:rPr>
        <w:t>z </w:t>
      </w:r>
      <w:r w:rsidRPr="00215A1D">
        <w:rPr>
          <w:rFonts w:ascii="Times New Roman" w:hAnsi="Times New Roman" w:cs="Times New Roman"/>
        </w:rPr>
        <w:t>taką instalacją oraz</w:t>
      </w:r>
    </w:p>
    <w:p w14:paraId="21871023" w14:textId="77777777" w:rsidR="002259AD" w:rsidRPr="00215A1D" w:rsidRDefault="00E46073" w:rsidP="00215A1D">
      <w:pPr>
        <w:pStyle w:val="USTustnpkodeksu"/>
        <w:numPr>
          <w:ilvl w:val="0"/>
          <w:numId w:val="20"/>
        </w:numPr>
        <w:ind w:left="426" w:hanging="284"/>
        <w:rPr>
          <w:rFonts w:ascii="Times New Roman" w:hAnsi="Times New Roman" w:cs="Times New Roman"/>
        </w:rPr>
      </w:pPr>
      <w:r w:rsidRPr="00215A1D">
        <w:rPr>
          <w:rFonts w:ascii="Times New Roman" w:hAnsi="Times New Roman" w:cs="Times New Roman"/>
        </w:rPr>
        <w:t>pokryciu</w:t>
      </w:r>
      <w:r w:rsidR="001D0628">
        <w:rPr>
          <w:rFonts w:ascii="Times New Roman" w:hAnsi="Times New Roman" w:cs="Times New Roman"/>
        </w:rPr>
        <w:t xml:space="preserve"> i </w:t>
      </w:r>
      <w:r w:rsidRPr="00215A1D">
        <w:rPr>
          <w:rFonts w:ascii="Times New Roman" w:hAnsi="Times New Roman" w:cs="Times New Roman"/>
        </w:rPr>
        <w:t>uwzględnieniu kosztów określonych w ust. 4 ora</w:t>
      </w:r>
      <w:r w:rsidR="001D0628">
        <w:rPr>
          <w:rFonts w:ascii="Times New Roman" w:hAnsi="Times New Roman" w:cs="Times New Roman"/>
        </w:rPr>
        <w:t>z </w:t>
      </w:r>
      <w:r w:rsidRPr="00215A1D">
        <w:rPr>
          <w:rFonts w:ascii="Times New Roman" w:hAnsi="Times New Roman" w:cs="Times New Roman"/>
        </w:rPr>
        <w:t>w art. 45 ust. 1i w kosztach działalności przedsiębiorstw energetycznych zajmujących się przesyłaniem lub dystrybucją energii elektrycznej, o których mowa w art. 45 ust. 1 pkt 1</w:t>
      </w:r>
      <w:r w:rsidR="001D0628">
        <w:rPr>
          <w:rFonts w:ascii="Times New Roman" w:hAnsi="Times New Roman" w:cs="Times New Roman"/>
        </w:rPr>
        <w:t xml:space="preserve"> i </w:t>
      </w:r>
      <w:r w:rsidRPr="00215A1D">
        <w:rPr>
          <w:rFonts w:ascii="Times New Roman" w:hAnsi="Times New Roman" w:cs="Times New Roman"/>
        </w:rPr>
        <w:t>ujęciu ich w taryfie ogłaszanej w sposób określony w art. 47 ust. 3.</w:t>
      </w:r>
    </w:p>
    <w:p w14:paraId="5582D140" w14:textId="3F272B3A" w:rsidR="002C6541" w:rsidRPr="00215A1D" w:rsidRDefault="00154F38" w:rsidP="00EF6F97">
      <w:pPr>
        <w:pStyle w:val="USTustnpkodeksu"/>
        <w:rPr>
          <w:rFonts w:ascii="Times New Roman" w:hAnsi="Times New Roman" w:cs="Times New Roman"/>
        </w:rPr>
      </w:pPr>
      <w:r w:rsidRPr="00215A1D">
        <w:rPr>
          <w:rFonts w:ascii="Times New Roman" w:hAnsi="Times New Roman" w:cs="Times New Roman"/>
        </w:rPr>
        <w:lastRenderedPageBreak/>
        <w:tab/>
      </w:r>
      <w:r w:rsidR="002259AD" w:rsidRPr="00215A1D">
        <w:rPr>
          <w:rFonts w:ascii="Times New Roman" w:hAnsi="Times New Roman" w:cs="Times New Roman"/>
        </w:rPr>
        <w:t>Przepis</w:t>
      </w:r>
      <w:r w:rsidR="00391539" w:rsidRPr="00215A1D">
        <w:rPr>
          <w:rFonts w:ascii="Times New Roman" w:hAnsi="Times New Roman" w:cs="Times New Roman"/>
        </w:rPr>
        <w:t>y</w:t>
      </w:r>
      <w:r w:rsidR="002259AD" w:rsidRPr="00215A1D">
        <w:rPr>
          <w:rFonts w:ascii="Times New Roman" w:hAnsi="Times New Roman" w:cs="Times New Roman"/>
        </w:rPr>
        <w:t xml:space="preserve"> art. 11</w:t>
      </w:r>
      <w:r w:rsidR="005557FE">
        <w:rPr>
          <w:rFonts w:ascii="Times New Roman" w:hAnsi="Times New Roman" w:cs="Times New Roman"/>
        </w:rPr>
        <w:t>t</w:t>
      </w:r>
      <w:r w:rsidR="002259AD" w:rsidRPr="00215A1D">
        <w:rPr>
          <w:rFonts w:ascii="Times New Roman" w:hAnsi="Times New Roman" w:cs="Times New Roman"/>
        </w:rPr>
        <w:t xml:space="preserve"> ust. 1</w:t>
      </w:r>
      <w:r w:rsidR="00E46073" w:rsidRPr="00215A1D">
        <w:rPr>
          <w:rFonts w:ascii="Times New Roman" w:hAnsi="Times New Roman" w:cs="Times New Roman"/>
        </w:rPr>
        <w:t>2</w:t>
      </w:r>
      <w:r w:rsidR="001D0628">
        <w:rPr>
          <w:rFonts w:ascii="Times New Roman" w:hAnsi="Times New Roman" w:cs="Times New Roman"/>
        </w:rPr>
        <w:t xml:space="preserve"> i </w:t>
      </w:r>
      <w:r w:rsidR="002259AD" w:rsidRPr="00215A1D">
        <w:rPr>
          <w:rFonts w:ascii="Times New Roman" w:hAnsi="Times New Roman" w:cs="Times New Roman"/>
        </w:rPr>
        <w:t>1</w:t>
      </w:r>
      <w:r w:rsidR="00E46073" w:rsidRPr="00215A1D">
        <w:rPr>
          <w:rFonts w:ascii="Times New Roman" w:hAnsi="Times New Roman" w:cs="Times New Roman"/>
        </w:rPr>
        <w:t>3</w:t>
      </w:r>
      <w:r w:rsidR="002259AD" w:rsidRPr="00215A1D">
        <w:rPr>
          <w:rFonts w:ascii="Times New Roman" w:hAnsi="Times New Roman" w:cs="Times New Roman"/>
        </w:rPr>
        <w:t xml:space="preserve"> stanowią o możliwości wykorzystania licznika zdalnego odczytu do realizacji przedpłatowej formy rozliczeń. </w:t>
      </w:r>
    </w:p>
    <w:p w14:paraId="16A2697B" w14:textId="77777777" w:rsidR="00EE6A04"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EE6A04" w:rsidRPr="00215A1D">
        <w:rPr>
          <w:rFonts w:ascii="Times New Roman" w:hAnsi="Times New Roman" w:cs="Times New Roman"/>
        </w:rPr>
        <w:t xml:space="preserve">Szersze stosowanie przedpłatowej formy rozliczeń </w:t>
      </w:r>
      <w:r w:rsidR="001D0628">
        <w:rPr>
          <w:rFonts w:ascii="Times New Roman" w:hAnsi="Times New Roman" w:cs="Times New Roman"/>
        </w:rPr>
        <w:t>z </w:t>
      </w:r>
      <w:r w:rsidR="00EE6A04" w:rsidRPr="00215A1D">
        <w:rPr>
          <w:rFonts w:ascii="Times New Roman" w:hAnsi="Times New Roman" w:cs="Times New Roman"/>
        </w:rPr>
        <w:t>wykorzystaniem liczników zdalnego odczytu pozwoli odbiorcom na lepsze zarządzanie własnym zużyciem energii elektrycznej a ponadto może być niezwykle użyteczna w przypadku wynajmu mieszkań czy lokali, domków letniskowych, garaży itp. obiektów, w których energia elektryczna pobierana jest okresowo.</w:t>
      </w:r>
    </w:p>
    <w:p w14:paraId="6FB5565E" w14:textId="77777777" w:rsidR="00EE6A04"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EE6A04" w:rsidRPr="00215A1D">
        <w:rPr>
          <w:rFonts w:ascii="Times New Roman" w:hAnsi="Times New Roman" w:cs="Times New Roman"/>
        </w:rPr>
        <w:t>Stworzenie warunków do przedpłatowej formy rozliczeń, podobnie jak w przypadku usług telekomunikacyjnych, stworzy szereg możliwości zapewniających lepsze dostosowanie formy usługi do potrzeb</w:t>
      </w:r>
      <w:r w:rsidR="001D0628">
        <w:rPr>
          <w:rFonts w:ascii="Times New Roman" w:hAnsi="Times New Roman" w:cs="Times New Roman"/>
        </w:rPr>
        <w:t xml:space="preserve"> i </w:t>
      </w:r>
      <w:r w:rsidR="00EE6A04" w:rsidRPr="00215A1D">
        <w:rPr>
          <w:rFonts w:ascii="Times New Roman" w:hAnsi="Times New Roman" w:cs="Times New Roman"/>
        </w:rPr>
        <w:t xml:space="preserve">oczekiwań odbiorcy. </w:t>
      </w:r>
    </w:p>
    <w:p w14:paraId="1ABF4751" w14:textId="77777777" w:rsidR="00EE6A04" w:rsidRPr="00215A1D" w:rsidRDefault="00154F38" w:rsidP="00EF6F97">
      <w:pPr>
        <w:pStyle w:val="USTustnpkodeksu"/>
        <w:ind w:firstLine="567"/>
        <w:rPr>
          <w:rFonts w:ascii="Times New Roman" w:hAnsi="Times New Roman" w:cs="Times New Roman"/>
        </w:rPr>
      </w:pPr>
      <w:r w:rsidRPr="00215A1D">
        <w:rPr>
          <w:rFonts w:ascii="Times New Roman" w:hAnsi="Times New Roman" w:cs="Times New Roman"/>
        </w:rPr>
        <w:tab/>
      </w:r>
      <w:r w:rsidR="00EE6A04" w:rsidRPr="00215A1D">
        <w:rPr>
          <w:rFonts w:ascii="Times New Roman" w:hAnsi="Times New Roman" w:cs="Times New Roman"/>
        </w:rPr>
        <w:t>Istotna rola w procesie kontroli rozwoju tej formy rozliczeń przypadnie Prezesowi URE, który zatwierdzając taryfy operatorów systemów dystrybucyjnych może wpływać na sprawiedliwe</w:t>
      </w:r>
      <w:r w:rsidR="001D0628">
        <w:rPr>
          <w:rFonts w:ascii="Times New Roman" w:hAnsi="Times New Roman" w:cs="Times New Roman"/>
        </w:rPr>
        <w:t xml:space="preserve"> i </w:t>
      </w:r>
      <w:r w:rsidR="00EE6A04" w:rsidRPr="00215A1D">
        <w:rPr>
          <w:rFonts w:ascii="Times New Roman" w:hAnsi="Times New Roman" w:cs="Times New Roman"/>
        </w:rPr>
        <w:t xml:space="preserve">adekwatne do kosztów stawki rozliczeń. Pozostałe zagadnienia związane </w:t>
      </w:r>
      <w:r w:rsidR="001D0628">
        <w:rPr>
          <w:rFonts w:ascii="Times New Roman" w:hAnsi="Times New Roman" w:cs="Times New Roman"/>
        </w:rPr>
        <w:t>z </w:t>
      </w:r>
      <w:r w:rsidR="00EE6A04" w:rsidRPr="00215A1D">
        <w:rPr>
          <w:rFonts w:ascii="Times New Roman" w:hAnsi="Times New Roman" w:cs="Times New Roman"/>
        </w:rPr>
        <w:t>rynkiem należy pozostawić grze rynkowej sprzedawców</w:t>
      </w:r>
      <w:r w:rsidR="001D0628">
        <w:rPr>
          <w:rFonts w:ascii="Times New Roman" w:hAnsi="Times New Roman" w:cs="Times New Roman"/>
        </w:rPr>
        <w:t xml:space="preserve"> i </w:t>
      </w:r>
      <w:r w:rsidR="00EE6A04" w:rsidRPr="00215A1D">
        <w:rPr>
          <w:rFonts w:ascii="Times New Roman" w:hAnsi="Times New Roman" w:cs="Times New Roman"/>
        </w:rPr>
        <w:t>wolnej konkurencji.</w:t>
      </w:r>
    </w:p>
    <w:p w14:paraId="371FA8F2" w14:textId="77777777" w:rsidR="00703991" w:rsidRPr="00215A1D" w:rsidRDefault="00703991" w:rsidP="00EF6F97">
      <w:pPr>
        <w:pStyle w:val="USTustnpkodeksu"/>
        <w:ind w:firstLine="567"/>
        <w:rPr>
          <w:rFonts w:ascii="Times New Roman" w:hAnsi="Times New Roman" w:cs="Times New Roman"/>
        </w:rPr>
      </w:pPr>
    </w:p>
    <w:p w14:paraId="54A1206F" w14:textId="5CB237B2" w:rsidR="00E50C5E" w:rsidRDefault="00154F38" w:rsidP="00EF6F97">
      <w:pPr>
        <w:pStyle w:val="USTustnpkodeksu"/>
        <w:rPr>
          <w:rFonts w:ascii="Times New Roman" w:hAnsi="Times New Roman" w:cs="Times New Roman"/>
          <w:szCs w:val="24"/>
        </w:rPr>
      </w:pPr>
      <w:r w:rsidRPr="00EF6F97">
        <w:rPr>
          <w:rFonts w:ascii="Times New Roman" w:hAnsi="Times New Roman" w:cs="Times New Roman"/>
          <w:szCs w:val="24"/>
        </w:rPr>
        <w:tab/>
      </w:r>
      <w:r w:rsidR="00703991" w:rsidRPr="00EF6F97">
        <w:rPr>
          <w:rFonts w:ascii="Times New Roman" w:hAnsi="Times New Roman" w:cs="Times New Roman"/>
          <w:szCs w:val="24"/>
        </w:rPr>
        <w:t>Art. 11</w:t>
      </w:r>
      <w:r w:rsidR="005557FE">
        <w:rPr>
          <w:rFonts w:ascii="Times New Roman" w:hAnsi="Times New Roman" w:cs="Times New Roman"/>
          <w:szCs w:val="24"/>
        </w:rPr>
        <w:t>u</w:t>
      </w:r>
      <w:r w:rsidR="00703991" w:rsidRPr="00EF6F97">
        <w:rPr>
          <w:rFonts w:ascii="Times New Roman" w:hAnsi="Times New Roman" w:cs="Times New Roman"/>
          <w:szCs w:val="24"/>
        </w:rPr>
        <w:t xml:space="preserve"> </w:t>
      </w:r>
      <w:r w:rsidR="00D03FA8">
        <w:rPr>
          <w:rFonts w:ascii="Times New Roman" w:hAnsi="Times New Roman" w:cs="Times New Roman"/>
          <w:szCs w:val="24"/>
        </w:rPr>
        <w:t>nakłada na o</w:t>
      </w:r>
      <w:r w:rsidR="00D03FA8" w:rsidRPr="00D03FA8">
        <w:rPr>
          <w:rFonts w:ascii="Times New Roman" w:hAnsi="Times New Roman" w:cs="Times New Roman"/>
          <w:szCs w:val="24"/>
        </w:rPr>
        <w:t>perator</w:t>
      </w:r>
      <w:r w:rsidR="00D03FA8">
        <w:rPr>
          <w:rFonts w:ascii="Times New Roman" w:hAnsi="Times New Roman" w:cs="Times New Roman"/>
          <w:szCs w:val="24"/>
        </w:rPr>
        <w:t>a</w:t>
      </w:r>
      <w:r w:rsidR="00D03FA8" w:rsidRPr="00D03FA8">
        <w:rPr>
          <w:rFonts w:ascii="Times New Roman" w:hAnsi="Times New Roman" w:cs="Times New Roman"/>
          <w:szCs w:val="24"/>
        </w:rPr>
        <w:t xml:space="preserve"> systemu dystrybucyjnego elektroenergetycznego, operator</w:t>
      </w:r>
      <w:r w:rsidR="00D03FA8">
        <w:rPr>
          <w:rFonts w:ascii="Times New Roman" w:hAnsi="Times New Roman" w:cs="Times New Roman"/>
          <w:szCs w:val="24"/>
        </w:rPr>
        <w:t>a</w:t>
      </w:r>
      <w:r w:rsidR="00D03FA8" w:rsidRPr="00D03FA8">
        <w:rPr>
          <w:rFonts w:ascii="Times New Roman" w:hAnsi="Times New Roman" w:cs="Times New Roman"/>
          <w:szCs w:val="24"/>
        </w:rPr>
        <w:t xml:space="preserve"> systemu przesyłowego elektroenergetycznego lub właściciel</w:t>
      </w:r>
      <w:r w:rsidR="00D03FA8">
        <w:rPr>
          <w:rFonts w:ascii="Times New Roman" w:hAnsi="Times New Roman" w:cs="Times New Roman"/>
          <w:szCs w:val="24"/>
        </w:rPr>
        <w:t>a</w:t>
      </w:r>
      <w:r w:rsidR="00D03FA8" w:rsidRPr="00D03FA8">
        <w:rPr>
          <w:rFonts w:ascii="Times New Roman" w:hAnsi="Times New Roman" w:cs="Times New Roman"/>
          <w:szCs w:val="24"/>
        </w:rPr>
        <w:t xml:space="preserve"> urządzeń, instalacji lub sieci, w przypadku gdy użytkownik systemu przyłączony jest do urządzeń, instalacji lub sieci, na których nie wyznaczono operatora systemu elektroenergetycznego </w:t>
      </w:r>
      <w:r w:rsidR="00D03FA8">
        <w:rPr>
          <w:rFonts w:ascii="Times New Roman" w:hAnsi="Times New Roman" w:cs="Times New Roman"/>
          <w:szCs w:val="24"/>
        </w:rPr>
        <w:t>obowiązek pozyskiwania</w:t>
      </w:r>
      <w:r w:rsidR="00D03FA8" w:rsidRPr="00D03FA8">
        <w:rPr>
          <w:rFonts w:ascii="Times New Roman" w:hAnsi="Times New Roman" w:cs="Times New Roman"/>
          <w:szCs w:val="24"/>
        </w:rPr>
        <w:t xml:space="preserve"> z</w:t>
      </w:r>
      <w:r w:rsidR="00D03FA8">
        <w:rPr>
          <w:rFonts w:ascii="Times New Roman" w:hAnsi="Times New Roman" w:cs="Times New Roman"/>
          <w:szCs w:val="24"/>
        </w:rPr>
        <w:t xml:space="preserve"> liczników zdalnego odczytu danych pomiarowych i przekazywania ich</w:t>
      </w:r>
      <w:r w:rsidR="00D03FA8" w:rsidRPr="00D03FA8">
        <w:rPr>
          <w:rFonts w:ascii="Times New Roman" w:hAnsi="Times New Roman" w:cs="Times New Roman"/>
          <w:szCs w:val="24"/>
        </w:rPr>
        <w:t xml:space="preserve"> w postaci elektronicznej do centralnego systemu informacji rynku energii.</w:t>
      </w:r>
    </w:p>
    <w:p w14:paraId="446617F8" w14:textId="77777777" w:rsidR="00EF6F97" w:rsidRPr="00215A1D" w:rsidRDefault="00E50C5E" w:rsidP="00E50C5E">
      <w:pPr>
        <w:pStyle w:val="USTustnpkodeksu"/>
        <w:rPr>
          <w:rFonts w:ascii="Times New Roman" w:hAnsi="Times New Roman" w:cs="Times New Roman"/>
        </w:rPr>
      </w:pPr>
      <w:r>
        <w:rPr>
          <w:rFonts w:ascii="Times New Roman" w:hAnsi="Times New Roman" w:cs="Times New Roman"/>
          <w:szCs w:val="24"/>
        </w:rPr>
        <w:t xml:space="preserve">W rozporządzeniu wykonawczym będzie </w:t>
      </w:r>
      <w:r w:rsidR="00703991" w:rsidRPr="00EF6F97">
        <w:rPr>
          <w:rFonts w:ascii="Times New Roman" w:hAnsi="Times New Roman" w:cs="Times New Roman"/>
          <w:szCs w:val="24"/>
        </w:rPr>
        <w:t>określ</w:t>
      </w:r>
      <w:r>
        <w:rPr>
          <w:rFonts w:ascii="Times New Roman" w:hAnsi="Times New Roman" w:cs="Times New Roman"/>
          <w:szCs w:val="24"/>
        </w:rPr>
        <w:t>one</w:t>
      </w:r>
      <w:r w:rsidR="00703991" w:rsidRPr="00EF6F97">
        <w:rPr>
          <w:rFonts w:ascii="Times New Roman" w:hAnsi="Times New Roman" w:cs="Times New Roman"/>
          <w:szCs w:val="24"/>
        </w:rPr>
        <w:t xml:space="preserve"> jakie dane pomiarowe może rejestrować</w:t>
      </w:r>
      <w:r w:rsidR="001D0628">
        <w:rPr>
          <w:rFonts w:ascii="Times New Roman" w:hAnsi="Times New Roman" w:cs="Times New Roman"/>
          <w:szCs w:val="24"/>
        </w:rPr>
        <w:t xml:space="preserve"> i </w:t>
      </w:r>
      <w:r w:rsidR="00703991" w:rsidRPr="00EF6F97">
        <w:rPr>
          <w:rFonts w:ascii="Times New Roman" w:hAnsi="Times New Roman" w:cs="Times New Roman"/>
          <w:szCs w:val="24"/>
        </w:rPr>
        <w:t xml:space="preserve">przekazywać licznik zdalnego odczytu odbiorcy końcowego w gospodarstwie domowym. W szczególności licznik powinien rejestrować dane pomiarowe dotyczące energii elektrycznej o granulacji 15-to minutowej. Wynika to </w:t>
      </w:r>
      <w:r w:rsidR="001D0628">
        <w:rPr>
          <w:rFonts w:ascii="Times New Roman" w:hAnsi="Times New Roman" w:cs="Times New Roman"/>
          <w:szCs w:val="24"/>
        </w:rPr>
        <w:t>z </w:t>
      </w:r>
      <w:r w:rsidR="00703991" w:rsidRPr="00EF6F97">
        <w:rPr>
          <w:rFonts w:ascii="Times New Roman" w:hAnsi="Times New Roman" w:cs="Times New Roman"/>
          <w:szCs w:val="24"/>
        </w:rPr>
        <w:t xml:space="preserve">konieczności dostosowana systemu pomiarowego do wymagań określonych w </w:t>
      </w:r>
      <w:r w:rsidR="00267666" w:rsidRPr="00EF6F97">
        <w:rPr>
          <w:rFonts w:ascii="Times New Roman" w:hAnsi="Times New Roman" w:cs="Times New Roman"/>
          <w:szCs w:val="24"/>
        </w:rPr>
        <w:t xml:space="preserve">art. 53 </w:t>
      </w:r>
      <w:r w:rsidR="00267666" w:rsidRPr="00EF6F97">
        <w:rPr>
          <w:rFonts w:ascii="Times New Roman" w:hAnsi="Times New Roman" w:cs="Times New Roman"/>
          <w:szCs w:val="24"/>
          <w:shd w:val="clear" w:color="auto" w:fill="FFFFFF"/>
        </w:rPr>
        <w:t xml:space="preserve">Rozporządzenia Komisji (UE) 2017/2195 </w:t>
      </w:r>
      <w:r w:rsidR="001D0628">
        <w:rPr>
          <w:rFonts w:ascii="Times New Roman" w:hAnsi="Times New Roman" w:cs="Times New Roman"/>
          <w:szCs w:val="24"/>
          <w:shd w:val="clear" w:color="auto" w:fill="FFFFFF"/>
        </w:rPr>
        <w:t>z </w:t>
      </w:r>
      <w:r w:rsidR="00267666" w:rsidRPr="00EF6F97">
        <w:rPr>
          <w:rFonts w:ascii="Times New Roman" w:hAnsi="Times New Roman" w:cs="Times New Roman"/>
          <w:szCs w:val="24"/>
          <w:shd w:val="clear" w:color="auto" w:fill="FFFFFF"/>
        </w:rPr>
        <w:t>dnia 23 listopada 2017</w:t>
      </w:r>
      <w:r w:rsidR="001D0628">
        <w:rPr>
          <w:rFonts w:ascii="Times New Roman" w:hAnsi="Times New Roman" w:cs="Times New Roman"/>
          <w:szCs w:val="24"/>
          <w:shd w:val="clear" w:color="auto" w:fill="FFFFFF"/>
        </w:rPr>
        <w:t> r.</w:t>
      </w:r>
      <w:r w:rsidR="00267666" w:rsidRPr="00EF6F97">
        <w:rPr>
          <w:rFonts w:ascii="Times New Roman" w:hAnsi="Times New Roman" w:cs="Times New Roman"/>
          <w:szCs w:val="24"/>
          <w:shd w:val="clear" w:color="auto" w:fill="FFFFFF"/>
        </w:rPr>
        <w:t xml:space="preserve"> ustanawiające wytyczne dotyczące bilansowania (Dz.U. UE </w:t>
      </w:r>
      <w:r w:rsidR="001D0628">
        <w:rPr>
          <w:rFonts w:ascii="Times New Roman" w:hAnsi="Times New Roman" w:cs="Times New Roman"/>
          <w:szCs w:val="24"/>
          <w:shd w:val="clear" w:color="auto" w:fill="FFFFFF"/>
        </w:rPr>
        <w:t>z </w:t>
      </w:r>
      <w:r w:rsidR="00267666" w:rsidRPr="00EF6F97">
        <w:rPr>
          <w:rFonts w:ascii="Times New Roman" w:hAnsi="Times New Roman" w:cs="Times New Roman"/>
          <w:szCs w:val="24"/>
          <w:shd w:val="clear" w:color="auto" w:fill="FFFFFF"/>
        </w:rPr>
        <w:t>28.11.2017 L 312/6).</w:t>
      </w:r>
      <w:r w:rsidR="007A55BB" w:rsidRPr="00EF6F97">
        <w:rPr>
          <w:rFonts w:ascii="Times New Roman" w:hAnsi="Times New Roman" w:cs="Times New Roman"/>
          <w:szCs w:val="24"/>
          <w:shd w:val="clear" w:color="auto" w:fill="FFFFFF"/>
        </w:rPr>
        <w:t xml:space="preserve"> </w:t>
      </w:r>
      <w:r w:rsidR="00E37F76" w:rsidRPr="00215A1D">
        <w:rPr>
          <w:rFonts w:ascii="Times New Roman" w:hAnsi="Times New Roman" w:cs="Times New Roman"/>
        </w:rPr>
        <w:t>Dane pomiarowe rejestrowane w proponowanym zakresie uniemożliwią szczegółową identyfikację zachowań odbiorcy końcowego będącego osobą fizyczną (uniemożliwiona ingerencja w prywatność odbiorcy). Wprowadzenie przejrzystych reguł uzależniających szczegółowość danych od konkretnych usprawiedliwionych celów rejestracji</w:t>
      </w:r>
      <w:r w:rsidR="001D0628">
        <w:rPr>
          <w:rFonts w:ascii="Times New Roman" w:hAnsi="Times New Roman" w:cs="Times New Roman"/>
        </w:rPr>
        <w:t xml:space="preserve"> i </w:t>
      </w:r>
      <w:r w:rsidR="00E37F76" w:rsidRPr="00215A1D">
        <w:rPr>
          <w:rFonts w:ascii="Times New Roman" w:hAnsi="Times New Roman" w:cs="Times New Roman"/>
        </w:rPr>
        <w:t xml:space="preserve">dalszego udostępniania tych danych zminimalizuje ryzyko naruszenia prywatności osób fizycznych (odbiorcy energii elektrycznej w gospodarstwie domowym) wynikającej </w:t>
      </w:r>
      <w:r w:rsidR="001D0628">
        <w:rPr>
          <w:rFonts w:ascii="Times New Roman" w:hAnsi="Times New Roman" w:cs="Times New Roman"/>
        </w:rPr>
        <w:t>z </w:t>
      </w:r>
      <w:r w:rsidR="00E37F76" w:rsidRPr="00215A1D">
        <w:rPr>
          <w:rFonts w:ascii="Times New Roman" w:hAnsi="Times New Roman" w:cs="Times New Roman"/>
        </w:rPr>
        <w:t xml:space="preserve">chęci nadmiernego gromadzenia danych. </w:t>
      </w:r>
      <w:r w:rsidR="00BB11D3" w:rsidRPr="00215A1D">
        <w:rPr>
          <w:rFonts w:ascii="Times New Roman" w:hAnsi="Times New Roman" w:cs="Times New Roman"/>
          <w:bCs w:val="0"/>
        </w:rPr>
        <w:t xml:space="preserve">Katalog informacji pozyskiwanych </w:t>
      </w:r>
      <w:r w:rsidR="001D0628">
        <w:rPr>
          <w:rFonts w:ascii="Times New Roman" w:hAnsi="Times New Roman" w:cs="Times New Roman"/>
        </w:rPr>
        <w:t>z </w:t>
      </w:r>
      <w:r w:rsidR="00BB11D3" w:rsidRPr="00215A1D">
        <w:rPr>
          <w:rFonts w:ascii="Times New Roman" w:hAnsi="Times New Roman" w:cs="Times New Roman"/>
          <w:bCs w:val="0"/>
        </w:rPr>
        <w:t xml:space="preserve">liczników zdalnego </w:t>
      </w:r>
      <w:r w:rsidR="00BB11D3" w:rsidRPr="00215A1D">
        <w:rPr>
          <w:rFonts w:ascii="Times New Roman" w:hAnsi="Times New Roman" w:cs="Times New Roman"/>
          <w:bCs w:val="0"/>
        </w:rPr>
        <w:lastRenderedPageBreak/>
        <w:t xml:space="preserve">odczytu </w:t>
      </w:r>
      <w:r w:rsidR="00D03FA8">
        <w:rPr>
          <w:rFonts w:ascii="Times New Roman" w:hAnsi="Times New Roman" w:cs="Times New Roman"/>
          <w:bCs w:val="0"/>
        </w:rPr>
        <w:t xml:space="preserve">będzie </w:t>
      </w:r>
      <w:r w:rsidR="00BB11D3" w:rsidRPr="00215A1D">
        <w:rPr>
          <w:rFonts w:ascii="Times New Roman" w:hAnsi="Times New Roman" w:cs="Times New Roman"/>
          <w:bCs w:val="0"/>
        </w:rPr>
        <w:t>obejm</w:t>
      </w:r>
      <w:r>
        <w:rPr>
          <w:rFonts w:ascii="Times New Roman" w:hAnsi="Times New Roman" w:cs="Times New Roman"/>
          <w:bCs w:val="0"/>
        </w:rPr>
        <w:t>ował</w:t>
      </w:r>
      <w:r w:rsidR="00BB11D3" w:rsidRPr="00215A1D">
        <w:rPr>
          <w:rFonts w:ascii="Times New Roman" w:hAnsi="Times New Roman" w:cs="Times New Roman"/>
          <w:bCs w:val="0"/>
        </w:rPr>
        <w:t xml:space="preserve"> możliwie szerokie spektrum informacji niezbędnych zarówno do rozliczeń jak</w:t>
      </w:r>
      <w:r w:rsidR="001D0628">
        <w:rPr>
          <w:rFonts w:ascii="Times New Roman" w:hAnsi="Times New Roman" w:cs="Times New Roman"/>
        </w:rPr>
        <w:t xml:space="preserve"> i </w:t>
      </w:r>
      <w:r w:rsidR="00BB11D3" w:rsidRPr="00215A1D">
        <w:rPr>
          <w:rFonts w:ascii="Times New Roman" w:hAnsi="Times New Roman" w:cs="Times New Roman"/>
          <w:bCs w:val="0"/>
        </w:rPr>
        <w:t>oceny stanu krajowego systemu elektroenergetycznego</w:t>
      </w:r>
      <w:r w:rsidR="00E37F76" w:rsidRPr="00215A1D">
        <w:rPr>
          <w:rFonts w:ascii="Times New Roman" w:hAnsi="Times New Roman" w:cs="Times New Roman"/>
          <w:bCs w:val="0"/>
        </w:rPr>
        <w:t>, przy czym należy podkreślić, że zbiór podmiotów których dane pomiarowe będą dotyczyć obejmować będzie nie tylko odbiorców końcowych w gospodarstwach domowych, ale także innych odbiorców, wytwórców</w:t>
      </w:r>
      <w:r w:rsidR="001D0628">
        <w:rPr>
          <w:rFonts w:ascii="Times New Roman" w:hAnsi="Times New Roman" w:cs="Times New Roman"/>
        </w:rPr>
        <w:t xml:space="preserve"> i </w:t>
      </w:r>
      <w:r w:rsidR="00765693" w:rsidRPr="00215A1D">
        <w:rPr>
          <w:rFonts w:ascii="Times New Roman" w:hAnsi="Times New Roman" w:cs="Times New Roman"/>
          <w:bCs w:val="0"/>
        </w:rPr>
        <w:t>inne podmioty określone w przepisach odrębnych.</w:t>
      </w:r>
      <w:r w:rsidR="007A55BB" w:rsidRPr="00215A1D">
        <w:rPr>
          <w:rFonts w:ascii="Times New Roman" w:hAnsi="Times New Roman" w:cs="Times New Roman"/>
          <w:bCs w:val="0"/>
        </w:rPr>
        <w:t xml:space="preserve"> </w:t>
      </w:r>
    </w:p>
    <w:p w14:paraId="1BB2502D" w14:textId="3C0F8985" w:rsidR="00765693"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BB11D3" w:rsidRPr="00215A1D">
        <w:rPr>
          <w:rFonts w:ascii="Times New Roman" w:hAnsi="Times New Roman" w:cs="Times New Roman"/>
        </w:rPr>
        <w:t>Informacje te zostaną następnie przekazane do centralnego systemu informacji rynku energii</w:t>
      </w:r>
      <w:r w:rsidR="00765693" w:rsidRPr="00215A1D">
        <w:rPr>
          <w:rFonts w:ascii="Times New Roman" w:hAnsi="Times New Roman" w:cs="Times New Roman"/>
        </w:rPr>
        <w:t xml:space="preserve"> prowadzonego w systemie </w:t>
      </w:r>
      <w:r w:rsidR="00B077B9">
        <w:rPr>
          <w:rFonts w:ascii="Times New Roman" w:hAnsi="Times New Roman" w:cs="Times New Roman"/>
        </w:rPr>
        <w:t>informacyjnym</w:t>
      </w:r>
      <w:r w:rsidR="00B077B9" w:rsidRPr="00215A1D">
        <w:rPr>
          <w:rFonts w:ascii="Times New Roman" w:hAnsi="Times New Roman" w:cs="Times New Roman"/>
        </w:rPr>
        <w:t xml:space="preserve"> </w:t>
      </w:r>
      <w:r w:rsidR="00765693" w:rsidRPr="00215A1D">
        <w:rPr>
          <w:rFonts w:ascii="Times New Roman" w:hAnsi="Times New Roman" w:cs="Times New Roman"/>
        </w:rPr>
        <w:t>prze</w:t>
      </w:r>
      <w:r w:rsidR="001D0628">
        <w:rPr>
          <w:rFonts w:ascii="Times New Roman" w:hAnsi="Times New Roman" w:cs="Times New Roman"/>
        </w:rPr>
        <w:t>z </w:t>
      </w:r>
      <w:r w:rsidR="00765693" w:rsidRPr="00215A1D">
        <w:rPr>
          <w:rFonts w:ascii="Times New Roman" w:hAnsi="Times New Roman" w:cs="Times New Roman"/>
        </w:rPr>
        <w:t xml:space="preserve">operatora informacji rynku energii. </w:t>
      </w:r>
    </w:p>
    <w:p w14:paraId="22BA81FA" w14:textId="3B1B95B3" w:rsidR="00EF6F97" w:rsidRPr="00215A1D" w:rsidRDefault="00EF6F97" w:rsidP="00EF6F97">
      <w:pPr>
        <w:pStyle w:val="USTustnpkodeksu"/>
        <w:rPr>
          <w:rFonts w:ascii="Times New Roman" w:hAnsi="Times New Roman" w:cs="Times New Roman"/>
        </w:rPr>
      </w:pPr>
      <w:r w:rsidRPr="00215A1D">
        <w:rPr>
          <w:rFonts w:ascii="Times New Roman" w:hAnsi="Times New Roman" w:cs="Times New Roman"/>
          <w:bCs w:val="0"/>
        </w:rPr>
        <w:tab/>
      </w:r>
      <w:r w:rsidR="00765693" w:rsidRPr="00215A1D">
        <w:rPr>
          <w:rFonts w:ascii="Times New Roman" w:hAnsi="Times New Roman" w:cs="Times New Roman"/>
          <w:bCs w:val="0"/>
        </w:rPr>
        <w:t>Art. 11</w:t>
      </w:r>
      <w:r w:rsidR="005557FE">
        <w:rPr>
          <w:rFonts w:ascii="Times New Roman" w:hAnsi="Times New Roman" w:cs="Times New Roman"/>
          <w:bCs w:val="0"/>
        </w:rPr>
        <w:t>u</w:t>
      </w:r>
      <w:r w:rsidR="00765693" w:rsidRPr="00215A1D">
        <w:rPr>
          <w:rFonts w:ascii="Times New Roman" w:hAnsi="Times New Roman" w:cs="Times New Roman"/>
          <w:bCs w:val="0"/>
        </w:rPr>
        <w:t xml:space="preserve"> ust. </w:t>
      </w:r>
      <w:r w:rsidR="00E50C5E">
        <w:rPr>
          <w:rFonts w:ascii="Times New Roman" w:hAnsi="Times New Roman" w:cs="Times New Roman"/>
          <w:bCs w:val="0"/>
        </w:rPr>
        <w:t>2</w:t>
      </w:r>
      <w:r w:rsidR="00765693" w:rsidRPr="00215A1D">
        <w:rPr>
          <w:rFonts w:ascii="Times New Roman" w:hAnsi="Times New Roman" w:cs="Times New Roman"/>
          <w:bCs w:val="0"/>
        </w:rPr>
        <w:t xml:space="preserve"> stanowi, że o</w:t>
      </w:r>
      <w:r w:rsidR="009A1099" w:rsidRPr="00215A1D">
        <w:rPr>
          <w:rFonts w:ascii="Times New Roman" w:hAnsi="Times New Roman" w:cs="Times New Roman"/>
          <w:bCs w:val="0"/>
        </w:rPr>
        <w:t xml:space="preserve">perator systemu dystrybucyjnego elektroenergetycznego będzie również mógł </w:t>
      </w:r>
      <w:r w:rsidR="00BB11D3" w:rsidRPr="00215A1D">
        <w:rPr>
          <w:rFonts w:ascii="Times New Roman" w:hAnsi="Times New Roman" w:cs="Times New Roman"/>
          <w:bCs w:val="0"/>
        </w:rPr>
        <w:t xml:space="preserve">wysyłać do liczników zdalnego odczytu polecenia a także będzie zobowiązany do wysyłania poleceń do liczników zdalnego odczytu </w:t>
      </w:r>
      <w:r w:rsidR="009A1099" w:rsidRPr="00215A1D">
        <w:rPr>
          <w:rFonts w:ascii="Times New Roman" w:hAnsi="Times New Roman" w:cs="Times New Roman"/>
          <w:bCs w:val="0"/>
        </w:rPr>
        <w:t>na żądanie operatora systemu przesyłowego elektroenergetycznego w przypadkach określonych w ustawie ora</w:t>
      </w:r>
      <w:r w:rsidR="001D0628">
        <w:rPr>
          <w:rFonts w:ascii="Times New Roman" w:hAnsi="Times New Roman" w:cs="Times New Roman"/>
        </w:rPr>
        <w:t>z </w:t>
      </w:r>
      <w:r w:rsidR="009A1099" w:rsidRPr="00215A1D">
        <w:rPr>
          <w:rFonts w:ascii="Times New Roman" w:hAnsi="Times New Roman" w:cs="Times New Roman"/>
          <w:bCs w:val="0"/>
        </w:rPr>
        <w:t>sprzedawcy energii elektrycznej, odbiorcy końcowego</w:t>
      </w:r>
      <w:r w:rsidR="001D0628">
        <w:rPr>
          <w:rFonts w:ascii="Times New Roman" w:hAnsi="Times New Roman" w:cs="Times New Roman"/>
        </w:rPr>
        <w:t xml:space="preserve"> i </w:t>
      </w:r>
      <w:r w:rsidR="009A1099" w:rsidRPr="00215A1D">
        <w:rPr>
          <w:rFonts w:ascii="Times New Roman" w:hAnsi="Times New Roman" w:cs="Times New Roman"/>
          <w:bCs w:val="0"/>
        </w:rPr>
        <w:t>podmiotu upoważnionego</w:t>
      </w:r>
      <w:r w:rsidR="00BB11D3" w:rsidRPr="00215A1D">
        <w:rPr>
          <w:rFonts w:ascii="Times New Roman" w:hAnsi="Times New Roman" w:cs="Times New Roman"/>
          <w:bCs w:val="0"/>
        </w:rPr>
        <w:t xml:space="preserve"> prze</w:t>
      </w:r>
      <w:r w:rsidR="001D0628">
        <w:rPr>
          <w:rFonts w:ascii="Times New Roman" w:hAnsi="Times New Roman" w:cs="Times New Roman"/>
        </w:rPr>
        <w:t>z </w:t>
      </w:r>
      <w:r w:rsidR="00BB11D3" w:rsidRPr="00215A1D">
        <w:rPr>
          <w:rFonts w:ascii="Times New Roman" w:hAnsi="Times New Roman" w:cs="Times New Roman"/>
          <w:bCs w:val="0"/>
        </w:rPr>
        <w:t xml:space="preserve">odbiorcę końcowego. Pozwoli to na zdalną obsługę liczników zdalnego odczytu </w:t>
      </w:r>
      <w:r w:rsidR="00E37F76" w:rsidRPr="00215A1D">
        <w:rPr>
          <w:rFonts w:ascii="Times New Roman" w:hAnsi="Times New Roman" w:cs="Times New Roman"/>
          <w:bCs w:val="0"/>
        </w:rPr>
        <w:t>prze</w:t>
      </w:r>
      <w:r w:rsidR="001D0628">
        <w:rPr>
          <w:rFonts w:ascii="Times New Roman" w:hAnsi="Times New Roman" w:cs="Times New Roman"/>
        </w:rPr>
        <w:t>z </w:t>
      </w:r>
      <w:r w:rsidR="00E37F76" w:rsidRPr="00215A1D">
        <w:rPr>
          <w:rFonts w:ascii="Times New Roman" w:hAnsi="Times New Roman" w:cs="Times New Roman"/>
          <w:bCs w:val="0"/>
        </w:rPr>
        <w:t xml:space="preserve">operatora (zmiana ustawień, wprowadzenie nowego oprogramowania, itp.) </w:t>
      </w:r>
      <w:r w:rsidR="00BB11D3" w:rsidRPr="00215A1D">
        <w:rPr>
          <w:rFonts w:ascii="Times New Roman" w:hAnsi="Times New Roman" w:cs="Times New Roman"/>
          <w:bCs w:val="0"/>
        </w:rPr>
        <w:t>ora</w:t>
      </w:r>
      <w:r w:rsidR="001D0628">
        <w:rPr>
          <w:rFonts w:ascii="Times New Roman" w:hAnsi="Times New Roman" w:cs="Times New Roman"/>
        </w:rPr>
        <w:t>z </w:t>
      </w:r>
      <w:r w:rsidR="00BB11D3" w:rsidRPr="00215A1D">
        <w:rPr>
          <w:rFonts w:ascii="Times New Roman" w:hAnsi="Times New Roman" w:cs="Times New Roman"/>
          <w:bCs w:val="0"/>
        </w:rPr>
        <w:t xml:space="preserve">na zmiany stanu liczników zgodnie </w:t>
      </w:r>
      <w:r w:rsidR="001D0628">
        <w:rPr>
          <w:rFonts w:ascii="Times New Roman" w:hAnsi="Times New Roman" w:cs="Times New Roman"/>
        </w:rPr>
        <w:t>z </w:t>
      </w:r>
      <w:r w:rsidR="00BB11D3" w:rsidRPr="00215A1D">
        <w:rPr>
          <w:rFonts w:ascii="Times New Roman" w:hAnsi="Times New Roman" w:cs="Times New Roman"/>
          <w:bCs w:val="0"/>
        </w:rPr>
        <w:t>przekazanymi dyspozycjami uprawnionych podmiotów (np.</w:t>
      </w:r>
      <w:r w:rsidR="00E37F76" w:rsidRPr="00215A1D">
        <w:rPr>
          <w:rFonts w:ascii="Times New Roman" w:hAnsi="Times New Roman" w:cs="Times New Roman"/>
          <w:bCs w:val="0"/>
        </w:rPr>
        <w:t xml:space="preserve"> odłączenie</w:t>
      </w:r>
      <w:r w:rsidR="001D0628">
        <w:rPr>
          <w:rFonts w:ascii="Times New Roman" w:hAnsi="Times New Roman" w:cs="Times New Roman"/>
        </w:rPr>
        <w:t xml:space="preserve"> i </w:t>
      </w:r>
      <w:r w:rsidR="00E37F76" w:rsidRPr="00215A1D">
        <w:rPr>
          <w:rFonts w:ascii="Times New Roman" w:hAnsi="Times New Roman" w:cs="Times New Roman"/>
          <w:bCs w:val="0"/>
        </w:rPr>
        <w:t>załączenie,</w:t>
      </w:r>
      <w:r>
        <w:rPr>
          <w:rFonts w:ascii="Times New Roman" w:hAnsi="Times New Roman" w:cs="Times New Roman"/>
        </w:rPr>
        <w:t xml:space="preserve"> </w:t>
      </w:r>
      <w:r w:rsidR="00E37F76" w:rsidRPr="00215A1D">
        <w:rPr>
          <w:rFonts w:ascii="Times New Roman" w:hAnsi="Times New Roman" w:cs="Times New Roman"/>
          <w:bCs w:val="0"/>
        </w:rPr>
        <w:t>ustawienie poziomu tzw. „strażnika mocy” w przypadku korzystania prze</w:t>
      </w:r>
      <w:r w:rsidR="001D0628">
        <w:rPr>
          <w:rFonts w:ascii="Times New Roman" w:hAnsi="Times New Roman" w:cs="Times New Roman"/>
        </w:rPr>
        <w:t>z </w:t>
      </w:r>
      <w:r w:rsidR="00E37F76" w:rsidRPr="00215A1D">
        <w:rPr>
          <w:rFonts w:ascii="Times New Roman" w:hAnsi="Times New Roman" w:cs="Times New Roman"/>
          <w:bCs w:val="0"/>
        </w:rPr>
        <w:t xml:space="preserve">odbiorcę </w:t>
      </w:r>
      <w:r w:rsidR="001D0628">
        <w:rPr>
          <w:rFonts w:ascii="Times New Roman" w:hAnsi="Times New Roman" w:cs="Times New Roman"/>
        </w:rPr>
        <w:t>z </w:t>
      </w:r>
      <w:r w:rsidR="00E37F76" w:rsidRPr="00215A1D">
        <w:rPr>
          <w:rFonts w:ascii="Times New Roman" w:hAnsi="Times New Roman" w:cs="Times New Roman"/>
          <w:bCs w:val="0"/>
        </w:rPr>
        <w:t xml:space="preserve">programu redukcji zapotrzebowania, itp.). </w:t>
      </w:r>
    </w:p>
    <w:p w14:paraId="68190D10" w14:textId="2C4ABA76" w:rsidR="00765693" w:rsidRDefault="00EF6F97" w:rsidP="00EF6F97">
      <w:pPr>
        <w:pStyle w:val="USTustnpkodeksu"/>
        <w:rPr>
          <w:rFonts w:ascii="Times New Roman" w:hAnsi="Times New Roman" w:cs="Times New Roman"/>
        </w:rPr>
      </w:pPr>
      <w:r w:rsidRPr="00215A1D">
        <w:rPr>
          <w:rFonts w:ascii="Times New Roman" w:hAnsi="Times New Roman" w:cs="Times New Roman"/>
        </w:rPr>
        <w:tab/>
      </w:r>
      <w:r w:rsidR="00765693" w:rsidRPr="00215A1D">
        <w:rPr>
          <w:rFonts w:ascii="Times New Roman" w:hAnsi="Times New Roman" w:cs="Times New Roman"/>
        </w:rPr>
        <w:t>Projekt ustawy</w:t>
      </w:r>
      <w:r w:rsidR="00517494" w:rsidRPr="00215A1D">
        <w:rPr>
          <w:rFonts w:ascii="Times New Roman" w:hAnsi="Times New Roman" w:cs="Times New Roman"/>
        </w:rPr>
        <w:t xml:space="preserve"> ustala </w:t>
      </w:r>
      <w:r w:rsidR="00765693" w:rsidRPr="00215A1D">
        <w:rPr>
          <w:rFonts w:ascii="Times New Roman" w:hAnsi="Times New Roman" w:cs="Times New Roman"/>
        </w:rPr>
        <w:t>(art. 11</w:t>
      </w:r>
      <w:r w:rsidR="00810D8B">
        <w:rPr>
          <w:rFonts w:ascii="Times New Roman" w:hAnsi="Times New Roman" w:cs="Times New Roman"/>
        </w:rPr>
        <w:t>w</w:t>
      </w:r>
      <w:r w:rsidR="00765693" w:rsidRPr="00215A1D">
        <w:rPr>
          <w:rFonts w:ascii="Times New Roman" w:hAnsi="Times New Roman" w:cs="Times New Roman"/>
        </w:rPr>
        <w:t>) zakres rozporządzenia wykonawczego dotyczącego systemu pomiarowego określonego prze</w:t>
      </w:r>
      <w:r w:rsidR="001D0628">
        <w:rPr>
          <w:rFonts w:ascii="Times New Roman" w:hAnsi="Times New Roman" w:cs="Times New Roman"/>
        </w:rPr>
        <w:t>z </w:t>
      </w:r>
      <w:r w:rsidR="00765693" w:rsidRPr="00215A1D">
        <w:rPr>
          <w:rFonts w:ascii="Times New Roman" w:hAnsi="Times New Roman" w:cs="Times New Roman"/>
        </w:rPr>
        <w:t>ministra właściwego do spraw energii</w:t>
      </w:r>
      <w:r w:rsidR="00D75ED4">
        <w:rPr>
          <w:rFonts w:ascii="Times New Roman" w:hAnsi="Times New Roman" w:cs="Times New Roman"/>
        </w:rPr>
        <w:t>,</w:t>
      </w:r>
      <w:r w:rsidR="0031416F">
        <w:rPr>
          <w:rFonts w:ascii="Times New Roman" w:hAnsi="Times New Roman" w:cs="Times New Roman"/>
        </w:rPr>
        <w:t xml:space="preserve"> </w:t>
      </w:r>
      <w:r w:rsidR="0031416F" w:rsidRPr="0031416F">
        <w:rPr>
          <w:rFonts w:ascii="Times New Roman" w:hAnsi="Times New Roman" w:cs="Times New Roman"/>
        </w:rPr>
        <w:t>w porozumieniu z ministrem właściwym do spraw informatyzacji</w:t>
      </w:r>
      <w:r w:rsidR="00765693" w:rsidRPr="00215A1D">
        <w:rPr>
          <w:rFonts w:ascii="Times New Roman" w:hAnsi="Times New Roman" w:cs="Times New Roman"/>
        </w:rPr>
        <w:t>:</w:t>
      </w:r>
    </w:p>
    <w:p w14:paraId="24171653" w14:textId="77777777" w:rsidR="00122F15" w:rsidRPr="00122F15" w:rsidRDefault="00122F15" w:rsidP="00122F15">
      <w:pPr>
        <w:widowControl/>
        <w:autoSpaceDE/>
        <w:autoSpaceDN/>
        <w:adjustRightInd/>
        <w:spacing w:line="360" w:lineRule="auto"/>
        <w:ind w:left="1020" w:hanging="510"/>
        <w:jc w:val="both"/>
        <w:rPr>
          <w:rFonts w:ascii="Times" w:eastAsiaTheme="minorEastAsia" w:hAnsi="Times"/>
          <w:bCs/>
          <w:sz w:val="24"/>
        </w:rPr>
      </w:pPr>
      <w:r w:rsidRPr="00122F15">
        <w:rPr>
          <w:rFonts w:ascii="Times" w:eastAsiaTheme="minorEastAsia" w:hAnsi="Times"/>
          <w:bCs/>
          <w:sz w:val="24"/>
        </w:rPr>
        <w:t>1) wymagania funkcjonalne jakie powinien spełniać system pomiarowy;</w:t>
      </w:r>
    </w:p>
    <w:p w14:paraId="24C03D21" w14:textId="77777777" w:rsidR="00122F15" w:rsidRPr="00122F15" w:rsidRDefault="00122F15" w:rsidP="00122F15">
      <w:pPr>
        <w:keepNext/>
        <w:widowControl/>
        <w:autoSpaceDE/>
        <w:autoSpaceDN/>
        <w:adjustRightInd/>
        <w:spacing w:line="360" w:lineRule="auto"/>
        <w:ind w:left="1020" w:hanging="510"/>
        <w:jc w:val="both"/>
        <w:rPr>
          <w:rFonts w:ascii="Times" w:eastAsiaTheme="minorEastAsia" w:hAnsi="Times"/>
          <w:bCs/>
          <w:sz w:val="24"/>
        </w:rPr>
      </w:pPr>
      <w:r w:rsidRPr="00122F15">
        <w:rPr>
          <w:rFonts w:ascii="Times" w:eastAsiaTheme="minorEastAsia" w:hAnsi="Times"/>
          <w:bCs/>
          <w:sz w:val="24"/>
        </w:rPr>
        <w:t>2) wymaganie jakie powinny spełniać:</w:t>
      </w:r>
    </w:p>
    <w:p w14:paraId="7DF5DFB2" w14:textId="77777777" w:rsidR="00122F15" w:rsidRPr="00122F15" w:rsidRDefault="00122F15" w:rsidP="00122F15">
      <w:pPr>
        <w:widowControl/>
        <w:autoSpaceDE/>
        <w:autoSpaceDN/>
        <w:adjustRightInd/>
        <w:spacing w:line="360" w:lineRule="auto"/>
        <w:ind w:left="1497" w:hanging="476"/>
        <w:jc w:val="both"/>
        <w:rPr>
          <w:rFonts w:ascii="Times" w:eastAsiaTheme="minorEastAsia" w:hAnsi="Times"/>
          <w:bCs/>
          <w:sz w:val="24"/>
        </w:rPr>
      </w:pPr>
      <w:r w:rsidRPr="00122F15">
        <w:rPr>
          <w:rFonts w:ascii="Times" w:eastAsiaTheme="minorEastAsia" w:hAnsi="Times"/>
          <w:bCs/>
          <w:sz w:val="24"/>
        </w:rPr>
        <w:t>a) przyrządy pomiarowe w zakresie energii elektrycznej w rozumieniu ustawy z dnia 11 maja 2011 r. – Prawo o miarach w zależności od miejsca ich instalacji oraz ich przeznaczenia;</w:t>
      </w:r>
    </w:p>
    <w:p w14:paraId="5C939F28" w14:textId="77777777" w:rsidR="00122F15" w:rsidRPr="00122F15" w:rsidRDefault="00122F15" w:rsidP="00122F15">
      <w:pPr>
        <w:widowControl/>
        <w:autoSpaceDE/>
        <w:autoSpaceDN/>
        <w:adjustRightInd/>
        <w:spacing w:line="360" w:lineRule="auto"/>
        <w:ind w:left="1497" w:hanging="476"/>
        <w:jc w:val="both"/>
        <w:rPr>
          <w:rFonts w:ascii="Times" w:eastAsiaTheme="minorEastAsia" w:hAnsi="Times"/>
          <w:bCs/>
          <w:sz w:val="24"/>
        </w:rPr>
      </w:pPr>
      <w:r w:rsidRPr="00122F15">
        <w:rPr>
          <w:rFonts w:ascii="Times" w:eastAsiaTheme="minorEastAsia" w:hAnsi="Times"/>
          <w:bCs/>
          <w:sz w:val="24"/>
        </w:rPr>
        <w:t>b) standardy komunikacji pomiędzy licznikiem zdalnego odczytu a systemem zdalnego odczytu,</w:t>
      </w:r>
    </w:p>
    <w:p w14:paraId="264DA629" w14:textId="77777777" w:rsidR="00122F15" w:rsidRPr="00122F15" w:rsidRDefault="00122F15" w:rsidP="00122F15">
      <w:pPr>
        <w:widowControl/>
        <w:autoSpaceDE/>
        <w:autoSpaceDN/>
        <w:adjustRightInd/>
        <w:spacing w:line="360" w:lineRule="auto"/>
        <w:ind w:left="1497" w:hanging="476"/>
        <w:jc w:val="both"/>
        <w:rPr>
          <w:rFonts w:ascii="Times" w:eastAsiaTheme="minorEastAsia" w:hAnsi="Times"/>
          <w:bCs/>
          <w:sz w:val="24"/>
        </w:rPr>
      </w:pPr>
      <w:r w:rsidRPr="00122F15">
        <w:rPr>
          <w:rFonts w:ascii="Times" w:eastAsiaTheme="minorEastAsia" w:hAnsi="Times"/>
          <w:bCs/>
          <w:sz w:val="24"/>
        </w:rPr>
        <w:t>c) dane pomiarowe oraz inne informacje rejestrowane przez licznik zdalnego odczytu,</w:t>
      </w:r>
    </w:p>
    <w:p w14:paraId="0BEC4A90" w14:textId="77777777" w:rsidR="00122F15" w:rsidRPr="00122F15" w:rsidRDefault="00122F15" w:rsidP="00122F15">
      <w:pPr>
        <w:widowControl/>
        <w:autoSpaceDE/>
        <w:autoSpaceDN/>
        <w:adjustRightInd/>
        <w:spacing w:line="360" w:lineRule="auto"/>
        <w:ind w:left="1497" w:hanging="476"/>
        <w:jc w:val="both"/>
        <w:rPr>
          <w:rFonts w:ascii="Times" w:eastAsiaTheme="minorEastAsia" w:hAnsi="Times"/>
          <w:bCs/>
          <w:sz w:val="24"/>
        </w:rPr>
      </w:pPr>
      <w:r w:rsidRPr="00122F15">
        <w:rPr>
          <w:rFonts w:ascii="Times" w:eastAsiaTheme="minorEastAsia" w:hAnsi="Times"/>
          <w:bCs/>
          <w:sz w:val="24"/>
        </w:rPr>
        <w:t>d) polecenia odbierane przez licznik zdalnego odczytu, a także warunki ich przesyłania,</w:t>
      </w:r>
    </w:p>
    <w:p w14:paraId="02F53DB9" w14:textId="77777777" w:rsidR="00122F15" w:rsidRPr="00122F15" w:rsidRDefault="00122F15" w:rsidP="00122F15">
      <w:pPr>
        <w:widowControl/>
        <w:autoSpaceDE/>
        <w:autoSpaceDN/>
        <w:adjustRightInd/>
        <w:spacing w:line="360" w:lineRule="auto"/>
        <w:ind w:left="1497" w:hanging="476"/>
        <w:jc w:val="both"/>
        <w:rPr>
          <w:rFonts w:ascii="Times" w:eastAsiaTheme="minorEastAsia" w:hAnsi="Times"/>
          <w:bCs/>
          <w:sz w:val="24"/>
        </w:rPr>
      </w:pPr>
      <w:r w:rsidRPr="00122F15">
        <w:rPr>
          <w:rFonts w:ascii="Times" w:eastAsiaTheme="minorEastAsia" w:hAnsi="Times"/>
          <w:bCs/>
          <w:sz w:val="24"/>
        </w:rPr>
        <w:t>e) dane pomiarowe oraz polecenia wysyłane przez licznik zdalnego odczytu do urządzeń w gospodarstwie domowym, a także warunki ich przesyłania;</w:t>
      </w:r>
    </w:p>
    <w:p w14:paraId="154D99A8" w14:textId="77777777" w:rsidR="00122F15" w:rsidRPr="00122F15" w:rsidRDefault="00122F15" w:rsidP="00122F15">
      <w:pPr>
        <w:widowControl/>
        <w:autoSpaceDE/>
        <w:autoSpaceDN/>
        <w:adjustRightInd/>
        <w:spacing w:line="360" w:lineRule="auto"/>
        <w:ind w:left="1020" w:hanging="510"/>
        <w:jc w:val="both"/>
        <w:rPr>
          <w:rFonts w:ascii="Times" w:eastAsiaTheme="minorEastAsia" w:hAnsi="Times"/>
          <w:bCs/>
          <w:sz w:val="24"/>
        </w:rPr>
      </w:pPr>
      <w:r w:rsidRPr="00122F15">
        <w:rPr>
          <w:rFonts w:ascii="Times" w:eastAsiaTheme="minorEastAsia" w:hAnsi="Times"/>
          <w:bCs/>
          <w:sz w:val="24"/>
        </w:rPr>
        <w:lastRenderedPageBreak/>
        <w:t>3) wymagania w zakresie bezpieczeństwa systemu pomiarowego, w tym ochrony tego systemu przed nieuprawnioną ingerencją w ten system oraz nieuprawnionym dostępem do informacji rynku energii;</w:t>
      </w:r>
    </w:p>
    <w:p w14:paraId="5D0C8565" w14:textId="77777777" w:rsidR="00122F15" w:rsidRPr="00122F15" w:rsidRDefault="00122F15" w:rsidP="00122F15">
      <w:pPr>
        <w:widowControl/>
        <w:autoSpaceDE/>
        <w:autoSpaceDN/>
        <w:adjustRightInd/>
        <w:spacing w:line="360" w:lineRule="auto"/>
        <w:ind w:left="1020" w:hanging="510"/>
        <w:jc w:val="both"/>
        <w:rPr>
          <w:rFonts w:ascii="Times" w:eastAsiaTheme="minorEastAsia" w:hAnsi="Times"/>
          <w:bCs/>
          <w:sz w:val="24"/>
        </w:rPr>
      </w:pPr>
      <w:r w:rsidRPr="00122F15">
        <w:rPr>
          <w:rFonts w:ascii="Times" w:eastAsiaTheme="minorEastAsia" w:hAnsi="Times"/>
          <w:bCs/>
          <w:sz w:val="24"/>
        </w:rPr>
        <w:t>4) zasady funkcjonowania liczników zdalnego odczytu w trybie przedpłatowym;</w:t>
      </w:r>
    </w:p>
    <w:p w14:paraId="4466497C" w14:textId="77777777" w:rsidR="00122F15" w:rsidRPr="00122F15" w:rsidRDefault="00122F15" w:rsidP="00122F15">
      <w:pPr>
        <w:widowControl/>
        <w:autoSpaceDE/>
        <w:autoSpaceDN/>
        <w:adjustRightInd/>
        <w:spacing w:line="360" w:lineRule="auto"/>
        <w:ind w:left="1020" w:hanging="510"/>
        <w:jc w:val="both"/>
        <w:rPr>
          <w:rFonts w:ascii="Times" w:eastAsiaTheme="minorEastAsia" w:hAnsi="Times"/>
          <w:bCs/>
          <w:sz w:val="24"/>
        </w:rPr>
      </w:pPr>
      <w:r w:rsidRPr="00122F15">
        <w:rPr>
          <w:rFonts w:ascii="Times" w:eastAsiaTheme="minorEastAsia" w:hAnsi="Times"/>
          <w:bCs/>
          <w:sz w:val="24"/>
        </w:rPr>
        <w:t>5) sposób ustalania danych zastępczych w przypadku braku możliwości pozyskania danych pomiarowych z licznika konwencjonalnego oraz licznika zdalnego odczytu;</w:t>
      </w:r>
    </w:p>
    <w:p w14:paraId="231DF310" w14:textId="77777777" w:rsidR="00122F15" w:rsidRPr="00122F15" w:rsidRDefault="00122F15" w:rsidP="00122F15">
      <w:pPr>
        <w:widowControl/>
        <w:autoSpaceDE/>
        <w:autoSpaceDN/>
        <w:adjustRightInd/>
        <w:spacing w:line="360" w:lineRule="auto"/>
        <w:ind w:left="1020" w:hanging="510"/>
        <w:jc w:val="both"/>
        <w:rPr>
          <w:rFonts w:ascii="Times" w:eastAsiaTheme="minorEastAsia" w:hAnsi="Times"/>
          <w:bCs/>
          <w:sz w:val="24"/>
        </w:rPr>
      </w:pPr>
      <w:r w:rsidRPr="00122F15">
        <w:rPr>
          <w:rFonts w:ascii="Times" w:eastAsiaTheme="minorEastAsia" w:hAnsi="Times"/>
          <w:bCs/>
          <w:sz w:val="24"/>
        </w:rPr>
        <w:t>6) wskaźniki niezawodności komunikacji w systemie pomiarowym;</w:t>
      </w:r>
    </w:p>
    <w:p w14:paraId="4F027E8F" w14:textId="77777777" w:rsidR="00122F15" w:rsidRPr="00122F15" w:rsidRDefault="00122F15" w:rsidP="00122F15">
      <w:pPr>
        <w:widowControl/>
        <w:autoSpaceDE/>
        <w:autoSpaceDN/>
        <w:adjustRightInd/>
        <w:spacing w:line="360" w:lineRule="auto"/>
        <w:ind w:left="1020" w:hanging="510"/>
        <w:jc w:val="both"/>
        <w:rPr>
          <w:rFonts w:ascii="Times" w:eastAsiaTheme="minorEastAsia" w:hAnsi="Times"/>
          <w:bCs/>
          <w:sz w:val="24"/>
        </w:rPr>
      </w:pPr>
      <w:r w:rsidRPr="00122F15">
        <w:rPr>
          <w:rFonts w:ascii="Times" w:eastAsiaTheme="minorEastAsia" w:hAnsi="Times"/>
          <w:bCs/>
          <w:sz w:val="24"/>
        </w:rPr>
        <w:t>7) zakres danych pomiarowych i innych informacji pozyskiwanych z licznika zdalnego odczytu;</w:t>
      </w:r>
    </w:p>
    <w:p w14:paraId="2DBE144F" w14:textId="77777777" w:rsidR="00122F15" w:rsidRPr="00122F15" w:rsidRDefault="00122F15" w:rsidP="00122F15">
      <w:pPr>
        <w:widowControl/>
        <w:autoSpaceDE/>
        <w:autoSpaceDN/>
        <w:adjustRightInd/>
        <w:spacing w:line="360" w:lineRule="auto"/>
        <w:ind w:left="1020" w:hanging="510"/>
        <w:jc w:val="both"/>
        <w:rPr>
          <w:rFonts w:ascii="Times" w:eastAsiaTheme="minorEastAsia" w:hAnsi="Times"/>
          <w:bCs/>
          <w:sz w:val="24"/>
        </w:rPr>
      </w:pPr>
      <w:r w:rsidRPr="00122F15">
        <w:rPr>
          <w:rFonts w:ascii="Times" w:eastAsiaTheme="minorEastAsia" w:hAnsi="Times"/>
          <w:bCs/>
          <w:sz w:val="24"/>
        </w:rPr>
        <w:t>8) wymagania dotyczące jakości danych pomiarowych w systemie pomiarowym;</w:t>
      </w:r>
    </w:p>
    <w:p w14:paraId="701DE4CD" w14:textId="77777777" w:rsidR="00122F15" w:rsidRPr="00122F15" w:rsidRDefault="00122F15" w:rsidP="00122F15">
      <w:pPr>
        <w:widowControl/>
        <w:autoSpaceDE/>
        <w:autoSpaceDN/>
        <w:adjustRightInd/>
        <w:spacing w:line="360" w:lineRule="auto"/>
        <w:ind w:left="1020" w:hanging="510"/>
        <w:jc w:val="both"/>
        <w:rPr>
          <w:rFonts w:ascii="Times" w:eastAsiaTheme="minorEastAsia" w:hAnsi="Times"/>
          <w:bCs/>
          <w:sz w:val="24"/>
        </w:rPr>
      </w:pPr>
      <w:r w:rsidRPr="00122F15">
        <w:rPr>
          <w:rFonts w:ascii="Times" w:eastAsiaTheme="minorEastAsia" w:hAnsi="Times"/>
          <w:bCs/>
          <w:sz w:val="24"/>
        </w:rPr>
        <w:t>9) wymagania jakie powinien spełniać licznik zdalnego odczytu, aby umożliwić skomunikowanie z urządzeniami odbiorcy w gospodarstwie domowym;</w:t>
      </w:r>
    </w:p>
    <w:p w14:paraId="45DF7EF7" w14:textId="49E010D1" w:rsidR="00122F15" w:rsidRPr="00122F15" w:rsidRDefault="00122F15" w:rsidP="00122F15">
      <w:pPr>
        <w:widowControl/>
        <w:autoSpaceDE/>
        <w:autoSpaceDN/>
        <w:adjustRightInd/>
        <w:spacing w:line="360" w:lineRule="auto"/>
        <w:ind w:left="1020" w:hanging="510"/>
        <w:jc w:val="both"/>
        <w:rPr>
          <w:rFonts w:ascii="Times" w:eastAsiaTheme="minorEastAsia" w:hAnsi="Times"/>
          <w:bCs/>
          <w:sz w:val="24"/>
        </w:rPr>
      </w:pPr>
      <w:r w:rsidRPr="00122F15">
        <w:rPr>
          <w:rFonts w:ascii="Times" w:eastAsiaTheme="minorEastAsia" w:hAnsi="Times"/>
          <w:bCs/>
          <w:sz w:val="24"/>
        </w:rPr>
        <w:t>10) informacje przekazywane odbiorcy końcowemu, o którym mowa w art. 11</w:t>
      </w:r>
      <w:r w:rsidR="005557FE">
        <w:rPr>
          <w:rFonts w:ascii="Times" w:eastAsiaTheme="minorEastAsia" w:hAnsi="Times"/>
          <w:bCs/>
          <w:sz w:val="24"/>
        </w:rPr>
        <w:t>t</w:t>
      </w:r>
      <w:r w:rsidRPr="00122F15">
        <w:rPr>
          <w:rFonts w:ascii="Times" w:eastAsiaTheme="minorEastAsia" w:hAnsi="Times"/>
          <w:bCs/>
          <w:sz w:val="24"/>
        </w:rPr>
        <w:t xml:space="preserve"> ust. 1 lub 6, o liczniku zdalnego odczytu oraz o przetwarzaniu jego danych osobowych.</w:t>
      </w:r>
    </w:p>
    <w:p w14:paraId="2A169230" w14:textId="33F1F47F" w:rsidR="00765693" w:rsidRDefault="00765693" w:rsidP="00EF6F97">
      <w:pPr>
        <w:pStyle w:val="USTustnpkodeksu"/>
        <w:rPr>
          <w:rFonts w:ascii="Times New Roman" w:hAnsi="Times New Roman" w:cs="Times New Roman"/>
        </w:rPr>
      </w:pPr>
      <w:r w:rsidRPr="00215A1D">
        <w:rPr>
          <w:rFonts w:ascii="Times New Roman" w:hAnsi="Times New Roman" w:cs="Times New Roman"/>
        </w:rPr>
        <w:t>Ponadto, minister właściwy do spraw energii</w:t>
      </w:r>
      <w:r w:rsidR="00D75ED4">
        <w:rPr>
          <w:rFonts w:ascii="Times New Roman" w:hAnsi="Times New Roman" w:cs="Times New Roman"/>
        </w:rPr>
        <w:t>,</w:t>
      </w:r>
      <w:r w:rsidRPr="00215A1D">
        <w:rPr>
          <w:rFonts w:ascii="Times New Roman" w:hAnsi="Times New Roman" w:cs="Times New Roman"/>
        </w:rPr>
        <w:t xml:space="preserve"> </w:t>
      </w:r>
      <w:r w:rsidR="0031416F" w:rsidRPr="0031416F">
        <w:rPr>
          <w:rFonts w:ascii="Times New Roman" w:hAnsi="Times New Roman" w:cs="Times New Roman"/>
        </w:rPr>
        <w:t>w porozumieniu z ministrem właściwym do spraw informatyzacji</w:t>
      </w:r>
      <w:r w:rsidR="00D75ED4">
        <w:rPr>
          <w:rFonts w:ascii="Times New Roman" w:hAnsi="Times New Roman" w:cs="Times New Roman"/>
        </w:rPr>
        <w:t>,</w:t>
      </w:r>
      <w:r w:rsidR="0031416F" w:rsidRPr="0031416F">
        <w:rPr>
          <w:rFonts w:ascii="Times New Roman" w:hAnsi="Times New Roman" w:cs="Times New Roman"/>
        </w:rPr>
        <w:t xml:space="preserve"> </w:t>
      </w:r>
      <w:r w:rsidRPr="00215A1D">
        <w:rPr>
          <w:rFonts w:ascii="Times New Roman" w:hAnsi="Times New Roman" w:cs="Times New Roman"/>
        </w:rPr>
        <w:t>określ</w:t>
      </w:r>
      <w:r w:rsidR="00FA6E5D" w:rsidRPr="00215A1D">
        <w:rPr>
          <w:rFonts w:ascii="Times New Roman" w:hAnsi="Times New Roman" w:cs="Times New Roman"/>
        </w:rPr>
        <w:t>i</w:t>
      </w:r>
      <w:r w:rsidR="00517494" w:rsidRPr="00215A1D">
        <w:rPr>
          <w:rFonts w:ascii="Times New Roman" w:hAnsi="Times New Roman" w:cs="Times New Roman"/>
        </w:rPr>
        <w:t xml:space="preserve"> (art. 11</w:t>
      </w:r>
      <w:r w:rsidR="00810D8B">
        <w:rPr>
          <w:rFonts w:ascii="Times New Roman" w:hAnsi="Times New Roman" w:cs="Times New Roman"/>
        </w:rPr>
        <w:t>x</w:t>
      </w:r>
      <w:r w:rsidR="00517494" w:rsidRPr="00215A1D">
        <w:rPr>
          <w:rFonts w:ascii="Times New Roman" w:hAnsi="Times New Roman" w:cs="Times New Roman"/>
        </w:rPr>
        <w:t>)</w:t>
      </w:r>
      <w:r w:rsidRPr="00215A1D">
        <w:rPr>
          <w:rFonts w:ascii="Times New Roman" w:hAnsi="Times New Roman" w:cs="Times New Roman"/>
        </w:rPr>
        <w:t>, w drodze rozporządzenia, wymagania jakie</w:t>
      </w:r>
      <w:r w:rsidR="00517494" w:rsidRPr="00215A1D">
        <w:rPr>
          <w:rFonts w:ascii="Times New Roman" w:hAnsi="Times New Roman" w:cs="Times New Roman"/>
        </w:rPr>
        <w:t xml:space="preserve"> powinny spełniać</w:t>
      </w:r>
      <w:r w:rsidRPr="00215A1D">
        <w:rPr>
          <w:rFonts w:ascii="Times New Roman" w:hAnsi="Times New Roman" w:cs="Times New Roman"/>
        </w:rPr>
        <w:t>:</w:t>
      </w:r>
    </w:p>
    <w:p w14:paraId="3EF307B7" w14:textId="77777777" w:rsidR="00122F15" w:rsidRPr="00122F15" w:rsidRDefault="00122F15" w:rsidP="00122F15">
      <w:pPr>
        <w:widowControl/>
        <w:autoSpaceDE/>
        <w:autoSpaceDN/>
        <w:adjustRightInd/>
        <w:spacing w:line="360" w:lineRule="auto"/>
        <w:ind w:left="1020" w:hanging="510"/>
        <w:jc w:val="both"/>
        <w:rPr>
          <w:rFonts w:ascii="Times" w:eastAsiaTheme="minorEastAsia" w:hAnsi="Times"/>
          <w:bCs/>
          <w:sz w:val="24"/>
        </w:rPr>
      </w:pPr>
      <w:r w:rsidRPr="00122F15">
        <w:rPr>
          <w:rFonts w:ascii="Times" w:eastAsiaTheme="minorEastAsia" w:hAnsi="Times"/>
          <w:bCs/>
          <w:sz w:val="24"/>
        </w:rPr>
        <w:t>1) standardy komunikacji pomiędzy licznikiem zdalnego odczytu a urządzeniami odbiorcy w gospodarstwie domowym, w tym wymagania w zakresie ochrony tej komunikacji przed nieuprawnioną ingerencją oraz nieuprawnionym dostępem;</w:t>
      </w:r>
    </w:p>
    <w:p w14:paraId="0C7BCDE0" w14:textId="77777777" w:rsidR="00517494" w:rsidRPr="00215A1D" w:rsidRDefault="00122F15" w:rsidP="00122F15">
      <w:pPr>
        <w:widowControl/>
        <w:autoSpaceDE/>
        <w:autoSpaceDN/>
        <w:adjustRightInd/>
        <w:spacing w:line="360" w:lineRule="auto"/>
        <w:ind w:left="1020" w:hanging="510"/>
        <w:jc w:val="both"/>
        <w:rPr>
          <w:rFonts w:ascii="Times New Roman" w:hAnsi="Times New Roman" w:cs="Times New Roman"/>
        </w:rPr>
      </w:pPr>
      <w:r w:rsidRPr="00122F15">
        <w:rPr>
          <w:rFonts w:ascii="Times" w:eastAsiaTheme="minorEastAsia" w:hAnsi="Times"/>
          <w:bCs/>
          <w:sz w:val="24"/>
        </w:rPr>
        <w:t>2) urządzenia w gospodarstwie domowym na potrzeby komunikacji z licznikiem zdalnego</w:t>
      </w:r>
      <w:r>
        <w:rPr>
          <w:rFonts w:ascii="Times" w:eastAsiaTheme="minorEastAsia" w:hAnsi="Times"/>
          <w:bCs/>
          <w:sz w:val="24"/>
        </w:rPr>
        <w:t>.</w:t>
      </w:r>
      <w:r w:rsidRPr="00122F15">
        <w:rPr>
          <w:rFonts w:ascii="Times" w:eastAsiaTheme="minorEastAsia" w:hAnsi="Times"/>
          <w:bCs/>
          <w:sz w:val="24"/>
        </w:rPr>
        <w:t xml:space="preserve"> </w:t>
      </w:r>
    </w:p>
    <w:p w14:paraId="0495CE6A" w14:textId="77777777" w:rsidR="00D5115E"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D5115E" w:rsidRPr="00215A1D">
        <w:rPr>
          <w:rFonts w:ascii="Times New Roman" w:hAnsi="Times New Roman" w:cs="Times New Roman"/>
        </w:rPr>
        <w:t>W projekcie ustawy określa się zasady funkcjonowania centralnego systemu informacji rynku energii (Rozdział 2d).</w:t>
      </w:r>
    </w:p>
    <w:p w14:paraId="021C694A" w14:textId="643D8C6B" w:rsidR="001A6B3C"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D5115E" w:rsidRPr="00215A1D">
        <w:rPr>
          <w:rFonts w:ascii="Times New Roman" w:hAnsi="Times New Roman" w:cs="Times New Roman"/>
        </w:rPr>
        <w:t>Art. 11</w:t>
      </w:r>
      <w:r w:rsidR="00810D8B">
        <w:rPr>
          <w:rFonts w:ascii="Times New Roman" w:hAnsi="Times New Roman" w:cs="Times New Roman"/>
        </w:rPr>
        <w:t>y</w:t>
      </w:r>
      <w:r w:rsidR="001D0628">
        <w:rPr>
          <w:rFonts w:ascii="Times New Roman" w:hAnsi="Times New Roman" w:cs="Times New Roman"/>
        </w:rPr>
        <w:t> </w:t>
      </w:r>
      <w:r w:rsidR="00D5115E" w:rsidRPr="00215A1D">
        <w:rPr>
          <w:rFonts w:ascii="Times New Roman" w:hAnsi="Times New Roman" w:cs="Times New Roman"/>
        </w:rPr>
        <w:t>określa obowiązki operatora informacji rynku energii</w:t>
      </w:r>
      <w:r w:rsidR="001A6B3C" w:rsidRPr="00215A1D">
        <w:rPr>
          <w:rFonts w:ascii="Times New Roman" w:hAnsi="Times New Roman" w:cs="Times New Roman"/>
        </w:rPr>
        <w:t>. W szczególności operator informacji rynku energii, stosując obiektywne</w:t>
      </w:r>
      <w:r w:rsidR="001D0628">
        <w:rPr>
          <w:rFonts w:ascii="Times New Roman" w:hAnsi="Times New Roman" w:cs="Times New Roman"/>
        </w:rPr>
        <w:t xml:space="preserve"> i </w:t>
      </w:r>
      <w:r w:rsidR="001A6B3C" w:rsidRPr="00215A1D">
        <w:rPr>
          <w:rFonts w:ascii="Times New Roman" w:hAnsi="Times New Roman" w:cs="Times New Roman"/>
        </w:rPr>
        <w:t>przejrzyste zasady zapewniające równoprawne traktowanie użytkowników systemu (ust. 1):</w:t>
      </w:r>
    </w:p>
    <w:p w14:paraId="16FFF8E1" w14:textId="77777777" w:rsidR="001A6B3C" w:rsidRPr="00215A1D" w:rsidRDefault="001A6B3C" w:rsidP="00215A1D">
      <w:pPr>
        <w:pStyle w:val="ZPKTzmpktartykuempunktem"/>
        <w:numPr>
          <w:ilvl w:val="0"/>
          <w:numId w:val="76"/>
        </w:numPr>
        <w:rPr>
          <w:rFonts w:ascii="Times New Roman" w:hAnsi="Times New Roman" w:cs="Times New Roman"/>
        </w:rPr>
      </w:pPr>
      <w:r w:rsidRPr="00215A1D">
        <w:rPr>
          <w:rFonts w:ascii="Times New Roman" w:hAnsi="Times New Roman" w:cs="Times New Roman"/>
        </w:rPr>
        <w:t>zarządza</w:t>
      </w:r>
      <w:r w:rsidR="001D0628">
        <w:rPr>
          <w:rFonts w:ascii="Times New Roman" w:hAnsi="Times New Roman" w:cs="Times New Roman"/>
        </w:rPr>
        <w:t xml:space="preserve"> i </w:t>
      </w:r>
      <w:r w:rsidRPr="00215A1D">
        <w:rPr>
          <w:rFonts w:ascii="Times New Roman" w:hAnsi="Times New Roman" w:cs="Times New Roman"/>
        </w:rPr>
        <w:t>administruje centralnym systemem informacji rynku energii;</w:t>
      </w:r>
    </w:p>
    <w:p w14:paraId="74FB7DAB" w14:textId="2840CE5F" w:rsidR="001A6B3C" w:rsidRPr="00215A1D" w:rsidRDefault="001A6B3C" w:rsidP="00215A1D">
      <w:pPr>
        <w:pStyle w:val="ZPKTzmpktartykuempunktem"/>
        <w:numPr>
          <w:ilvl w:val="0"/>
          <w:numId w:val="76"/>
        </w:numPr>
        <w:rPr>
          <w:rFonts w:ascii="Times New Roman" w:hAnsi="Times New Roman" w:cs="Times New Roman"/>
        </w:rPr>
      </w:pPr>
      <w:r w:rsidRPr="00215A1D">
        <w:rPr>
          <w:rFonts w:ascii="Times New Roman" w:hAnsi="Times New Roman" w:cs="Times New Roman"/>
        </w:rPr>
        <w:t>pozyskuje informacje rynku energii ora</w:t>
      </w:r>
      <w:r w:rsidR="001D0628">
        <w:rPr>
          <w:rFonts w:ascii="Times New Roman" w:hAnsi="Times New Roman" w:cs="Times New Roman"/>
        </w:rPr>
        <w:t>z </w:t>
      </w:r>
      <w:r w:rsidRPr="00215A1D">
        <w:rPr>
          <w:rFonts w:ascii="Times New Roman" w:hAnsi="Times New Roman" w:cs="Times New Roman"/>
        </w:rPr>
        <w:t>inne informacje od użytkowników systemu na potrzeby realizacji procesów określonych w przepisach wydanych na podstawie w art. 11z</w:t>
      </w:r>
      <w:r w:rsidR="00810D8B">
        <w:rPr>
          <w:rFonts w:ascii="Times New Roman" w:hAnsi="Times New Roman" w:cs="Times New Roman"/>
        </w:rPr>
        <w:t>h</w:t>
      </w:r>
      <w:r w:rsidRPr="00215A1D">
        <w:rPr>
          <w:rFonts w:ascii="Times New Roman" w:hAnsi="Times New Roman" w:cs="Times New Roman"/>
        </w:rPr>
        <w:t>;</w:t>
      </w:r>
    </w:p>
    <w:p w14:paraId="6F110739" w14:textId="5939E2C2" w:rsidR="001A6B3C" w:rsidRPr="00215A1D" w:rsidRDefault="001A6B3C" w:rsidP="00215A1D">
      <w:pPr>
        <w:pStyle w:val="ZPKTzmpktartykuempunktem"/>
        <w:numPr>
          <w:ilvl w:val="0"/>
          <w:numId w:val="76"/>
        </w:numPr>
        <w:rPr>
          <w:rFonts w:ascii="Times New Roman" w:hAnsi="Times New Roman" w:cs="Times New Roman"/>
        </w:rPr>
      </w:pPr>
      <w:r w:rsidRPr="00215A1D">
        <w:rPr>
          <w:rFonts w:ascii="Times New Roman" w:hAnsi="Times New Roman" w:cs="Times New Roman"/>
        </w:rPr>
        <w:t>przetwarza zgromadzone w centralnym systemie informacji rynku energii informacje rynku energii ora</w:t>
      </w:r>
      <w:r w:rsidR="001D0628">
        <w:rPr>
          <w:rFonts w:ascii="Times New Roman" w:hAnsi="Times New Roman" w:cs="Times New Roman"/>
        </w:rPr>
        <w:t>z </w:t>
      </w:r>
      <w:r w:rsidRPr="00215A1D">
        <w:rPr>
          <w:rFonts w:ascii="Times New Roman" w:hAnsi="Times New Roman" w:cs="Times New Roman"/>
        </w:rPr>
        <w:t>inne informacje, do których jest uprawniony na potrzeby realizacji procesów rynku energii określonych w przepisach wydanych na podstawie art. 11z</w:t>
      </w:r>
      <w:r w:rsidR="00810D8B">
        <w:rPr>
          <w:rFonts w:ascii="Times New Roman" w:hAnsi="Times New Roman" w:cs="Times New Roman"/>
        </w:rPr>
        <w:t>h</w:t>
      </w:r>
      <w:r w:rsidRPr="00215A1D">
        <w:rPr>
          <w:rFonts w:ascii="Times New Roman" w:hAnsi="Times New Roman" w:cs="Times New Roman"/>
        </w:rPr>
        <w:t>;</w:t>
      </w:r>
    </w:p>
    <w:p w14:paraId="7B4F0A84" w14:textId="1CBD1AEC" w:rsidR="001A6B3C" w:rsidRPr="00215A1D" w:rsidRDefault="001A6B3C" w:rsidP="00215A1D">
      <w:pPr>
        <w:pStyle w:val="ZPKTzmpktartykuempunktem"/>
        <w:numPr>
          <w:ilvl w:val="0"/>
          <w:numId w:val="76"/>
        </w:numPr>
        <w:rPr>
          <w:rFonts w:ascii="Times New Roman" w:hAnsi="Times New Roman" w:cs="Times New Roman"/>
        </w:rPr>
      </w:pPr>
      <w:r w:rsidRPr="00215A1D">
        <w:rPr>
          <w:rFonts w:ascii="Times New Roman" w:hAnsi="Times New Roman" w:cs="Times New Roman"/>
        </w:rPr>
        <w:lastRenderedPageBreak/>
        <w:t>wspiera realizację procesów rynku energii określonych w przepisach wydanych na podstawie art. 11z</w:t>
      </w:r>
      <w:r w:rsidR="00810D8B">
        <w:rPr>
          <w:rFonts w:ascii="Times New Roman" w:hAnsi="Times New Roman" w:cs="Times New Roman"/>
        </w:rPr>
        <w:t>h</w:t>
      </w:r>
      <w:r w:rsidRPr="00215A1D">
        <w:rPr>
          <w:rFonts w:ascii="Times New Roman" w:hAnsi="Times New Roman" w:cs="Times New Roman"/>
        </w:rPr>
        <w:t xml:space="preserve">; </w:t>
      </w:r>
    </w:p>
    <w:p w14:paraId="2253710D" w14:textId="77777777" w:rsidR="001A6B3C" w:rsidRPr="00215A1D" w:rsidRDefault="001A6B3C" w:rsidP="00215A1D">
      <w:pPr>
        <w:pStyle w:val="ZPKTzmpktartykuempunktem"/>
        <w:numPr>
          <w:ilvl w:val="0"/>
          <w:numId w:val="76"/>
        </w:numPr>
        <w:rPr>
          <w:rFonts w:ascii="Times New Roman" w:hAnsi="Times New Roman" w:cs="Times New Roman"/>
        </w:rPr>
      </w:pPr>
      <w:r w:rsidRPr="00215A1D">
        <w:rPr>
          <w:rFonts w:ascii="Times New Roman" w:hAnsi="Times New Roman" w:cs="Times New Roman"/>
        </w:rPr>
        <w:t>opracowuje standardy wymiany informacji centralnego systemu informacji rynku energii;</w:t>
      </w:r>
    </w:p>
    <w:p w14:paraId="7624C661" w14:textId="1DBE9F89" w:rsidR="001A6B3C" w:rsidRPr="00215A1D" w:rsidRDefault="001A6B3C" w:rsidP="00215A1D">
      <w:pPr>
        <w:pStyle w:val="ZPKTzmpktartykuempunktem"/>
        <w:numPr>
          <w:ilvl w:val="0"/>
          <w:numId w:val="76"/>
        </w:numPr>
        <w:rPr>
          <w:rFonts w:ascii="Times New Roman" w:hAnsi="Times New Roman" w:cs="Times New Roman"/>
        </w:rPr>
      </w:pPr>
      <w:r w:rsidRPr="00215A1D">
        <w:rPr>
          <w:rFonts w:ascii="Times New Roman" w:hAnsi="Times New Roman" w:cs="Times New Roman"/>
        </w:rPr>
        <w:t>udostępnia uprawnionym użytkownikom systemu informacje rynku energii w zakresie przewidzianym w ustawie</w:t>
      </w:r>
      <w:r w:rsidR="001D0628">
        <w:rPr>
          <w:rFonts w:ascii="Times New Roman" w:hAnsi="Times New Roman" w:cs="Times New Roman"/>
        </w:rPr>
        <w:t xml:space="preserve"> i </w:t>
      </w:r>
      <w:r w:rsidRPr="00215A1D">
        <w:rPr>
          <w:rFonts w:ascii="Times New Roman" w:hAnsi="Times New Roman" w:cs="Times New Roman"/>
        </w:rPr>
        <w:t>w przepisach wydanych na podstawie art. 11z</w:t>
      </w:r>
      <w:r w:rsidR="00810D8B">
        <w:rPr>
          <w:rFonts w:ascii="Times New Roman" w:hAnsi="Times New Roman" w:cs="Times New Roman"/>
        </w:rPr>
        <w:t>h</w:t>
      </w:r>
      <w:r w:rsidR="001D0628">
        <w:rPr>
          <w:rFonts w:ascii="Times New Roman" w:hAnsi="Times New Roman" w:cs="Times New Roman"/>
        </w:rPr>
        <w:t xml:space="preserve"> i </w:t>
      </w:r>
      <w:r w:rsidRPr="00215A1D">
        <w:rPr>
          <w:rFonts w:ascii="Times New Roman" w:hAnsi="Times New Roman" w:cs="Times New Roman"/>
        </w:rPr>
        <w:t>na warunkach określonych w instrukcji opracowanej na podstawie art. 9g ust. 5c.</w:t>
      </w:r>
    </w:p>
    <w:p w14:paraId="7BDB5C17" w14:textId="77777777" w:rsidR="001A6B3C"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1A6B3C" w:rsidRPr="00215A1D">
        <w:rPr>
          <w:rFonts w:ascii="Times New Roman" w:hAnsi="Times New Roman" w:cs="Times New Roman"/>
        </w:rPr>
        <w:t>W kolejnych przepisach (ust. 2) określone są obowiązki operatora informacji rynku energii w zakresie zamieszczania na stronach internetowych informacji dotyczących rynku energii ora</w:t>
      </w:r>
      <w:r w:rsidR="001D0628">
        <w:rPr>
          <w:rFonts w:ascii="Times New Roman" w:hAnsi="Times New Roman" w:cs="Times New Roman"/>
        </w:rPr>
        <w:t>z </w:t>
      </w:r>
      <w:r w:rsidR="001A6B3C" w:rsidRPr="00215A1D">
        <w:rPr>
          <w:rFonts w:ascii="Times New Roman" w:hAnsi="Times New Roman" w:cs="Times New Roman"/>
        </w:rPr>
        <w:t xml:space="preserve">obowiązki (ust. 3) dotyczące zapewnienia bezpieczeństwa centralnego systemu informacji rynku energii. </w:t>
      </w:r>
    </w:p>
    <w:p w14:paraId="2968CB14" w14:textId="77777777" w:rsidR="007A55BB"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7A55BB" w:rsidRPr="00215A1D">
        <w:rPr>
          <w:rFonts w:ascii="Times New Roman" w:hAnsi="Times New Roman" w:cs="Times New Roman"/>
        </w:rPr>
        <w:t xml:space="preserve">Przepisy ust. 1 – </w:t>
      </w:r>
      <w:r w:rsidR="00057BA7" w:rsidRPr="00215A1D">
        <w:rPr>
          <w:rFonts w:ascii="Times New Roman" w:hAnsi="Times New Roman" w:cs="Times New Roman"/>
        </w:rPr>
        <w:t>2</w:t>
      </w:r>
      <w:r w:rsidR="007A55BB" w:rsidRPr="00215A1D">
        <w:rPr>
          <w:rFonts w:ascii="Times New Roman" w:hAnsi="Times New Roman" w:cs="Times New Roman"/>
        </w:rPr>
        <w:t xml:space="preserve"> wchodzą w życie </w:t>
      </w:r>
      <w:r w:rsidR="00271648" w:rsidRPr="00215A1D">
        <w:rPr>
          <w:rFonts w:ascii="Times New Roman" w:hAnsi="Times New Roman" w:cs="Times New Roman"/>
        </w:rPr>
        <w:t>po wdrożeniu CSIRE</w:t>
      </w:r>
      <w:r w:rsidR="00057BA7" w:rsidRPr="00215A1D">
        <w:rPr>
          <w:rFonts w:ascii="Times New Roman" w:hAnsi="Times New Roman" w:cs="Times New Roman"/>
        </w:rPr>
        <w:t xml:space="preserve"> a ust. 3</w:t>
      </w:r>
      <w:r w:rsidR="00271648" w:rsidRPr="00215A1D">
        <w:rPr>
          <w:rFonts w:ascii="Times New Roman" w:hAnsi="Times New Roman" w:cs="Times New Roman"/>
        </w:rPr>
        <w:t xml:space="preserve"> wchodzi w życie </w:t>
      </w:r>
      <w:r w:rsidR="00057BA7" w:rsidRPr="00215A1D">
        <w:rPr>
          <w:rFonts w:ascii="Times New Roman" w:hAnsi="Times New Roman" w:cs="Times New Roman"/>
        </w:rPr>
        <w:t>po 30 miesiącach po wejściu w życie ustawy</w:t>
      </w:r>
      <w:r w:rsidR="00271648" w:rsidRPr="00215A1D">
        <w:rPr>
          <w:rFonts w:ascii="Times New Roman" w:hAnsi="Times New Roman" w:cs="Times New Roman"/>
        </w:rPr>
        <w:t xml:space="preserve">. </w:t>
      </w:r>
    </w:p>
    <w:p w14:paraId="34438752" w14:textId="34FB0F68" w:rsidR="001A6B3C"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1A6B3C" w:rsidRPr="00215A1D">
        <w:rPr>
          <w:rFonts w:ascii="Times New Roman" w:hAnsi="Times New Roman" w:cs="Times New Roman"/>
        </w:rPr>
        <w:t>Art. 11</w:t>
      </w:r>
      <w:r w:rsidR="00810D8B">
        <w:rPr>
          <w:rFonts w:ascii="Times New Roman" w:hAnsi="Times New Roman" w:cs="Times New Roman"/>
        </w:rPr>
        <w:t>y</w:t>
      </w:r>
      <w:r w:rsidR="001D0628">
        <w:rPr>
          <w:rFonts w:ascii="Times New Roman" w:hAnsi="Times New Roman" w:cs="Times New Roman"/>
        </w:rPr>
        <w:t> </w:t>
      </w:r>
      <w:r w:rsidR="001A6B3C" w:rsidRPr="00215A1D">
        <w:rPr>
          <w:rFonts w:ascii="Times New Roman" w:hAnsi="Times New Roman" w:cs="Times New Roman"/>
        </w:rPr>
        <w:t xml:space="preserve">ust. 4 stanowi, że zadania operatora informacji rynku energii wykonuje operator systemu przesyłowego elektroenergetycznego. </w:t>
      </w:r>
    </w:p>
    <w:p w14:paraId="1DAB3274" w14:textId="77777777" w:rsidR="001A6B3C"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1A6B3C" w:rsidRPr="00215A1D">
        <w:rPr>
          <w:rFonts w:ascii="Times New Roman" w:hAnsi="Times New Roman" w:cs="Times New Roman"/>
        </w:rPr>
        <w:t>Ze względu na wielość operatorów systemów dystrybucyjnych elektroenergetycznych</w:t>
      </w:r>
      <w:r w:rsidR="001D0628">
        <w:rPr>
          <w:rFonts w:ascii="Times New Roman" w:hAnsi="Times New Roman" w:cs="Times New Roman"/>
        </w:rPr>
        <w:t xml:space="preserve"> i </w:t>
      </w:r>
      <w:r w:rsidR="001A6B3C" w:rsidRPr="00215A1D">
        <w:rPr>
          <w:rFonts w:ascii="Times New Roman" w:hAnsi="Times New Roman" w:cs="Times New Roman"/>
        </w:rPr>
        <w:t>sprzedawców, w celu standaryzacji</w:t>
      </w:r>
      <w:r w:rsidR="001D0628">
        <w:rPr>
          <w:rFonts w:ascii="Times New Roman" w:hAnsi="Times New Roman" w:cs="Times New Roman"/>
        </w:rPr>
        <w:t xml:space="preserve"> i </w:t>
      </w:r>
      <w:r w:rsidR="001A6B3C" w:rsidRPr="00215A1D">
        <w:rPr>
          <w:rFonts w:ascii="Times New Roman" w:hAnsi="Times New Roman" w:cs="Times New Roman"/>
        </w:rPr>
        <w:t>przede wszystkim uproszczenia relacji pomiędzy tymi podmiotami, jest uzasadnione zsynchronizowanie wymiany danych</w:t>
      </w:r>
      <w:r w:rsidR="001D0628">
        <w:rPr>
          <w:rFonts w:ascii="Times New Roman" w:hAnsi="Times New Roman" w:cs="Times New Roman"/>
        </w:rPr>
        <w:t xml:space="preserve"> i </w:t>
      </w:r>
      <w:r w:rsidR="001A6B3C" w:rsidRPr="00215A1D">
        <w:rPr>
          <w:rFonts w:ascii="Times New Roman" w:hAnsi="Times New Roman" w:cs="Times New Roman"/>
        </w:rPr>
        <w:t>informacji prze</w:t>
      </w:r>
      <w:r w:rsidR="001D0628">
        <w:rPr>
          <w:rFonts w:ascii="Times New Roman" w:hAnsi="Times New Roman" w:cs="Times New Roman"/>
        </w:rPr>
        <w:t>z </w:t>
      </w:r>
      <w:r w:rsidR="001A6B3C" w:rsidRPr="00215A1D">
        <w:rPr>
          <w:rFonts w:ascii="Times New Roman" w:hAnsi="Times New Roman" w:cs="Times New Roman"/>
        </w:rPr>
        <w:t>operatora informacji rynku energii. Jeden punkt dostępowy łączący wszystkich operatorów systemów dystrybucyjnych elektroenergetycznych</w:t>
      </w:r>
      <w:r w:rsidR="001D0628">
        <w:rPr>
          <w:rFonts w:ascii="Times New Roman" w:hAnsi="Times New Roman" w:cs="Times New Roman"/>
        </w:rPr>
        <w:t xml:space="preserve"> i </w:t>
      </w:r>
      <w:r w:rsidR="001A6B3C" w:rsidRPr="00215A1D">
        <w:rPr>
          <w:rFonts w:ascii="Times New Roman" w:hAnsi="Times New Roman" w:cs="Times New Roman"/>
        </w:rPr>
        <w:t>sprzedawców ora</w:t>
      </w:r>
      <w:r w:rsidR="001D0628">
        <w:rPr>
          <w:rFonts w:ascii="Times New Roman" w:hAnsi="Times New Roman" w:cs="Times New Roman"/>
        </w:rPr>
        <w:t>z </w:t>
      </w:r>
      <w:r w:rsidR="001A6B3C" w:rsidRPr="00215A1D">
        <w:rPr>
          <w:rFonts w:ascii="Times New Roman" w:hAnsi="Times New Roman" w:cs="Times New Roman"/>
        </w:rPr>
        <w:t xml:space="preserve">odbiorców końcowych pozwoli uniknąć powielania struktur dostępowych łączących każdego sprzedawcę odrębnie </w:t>
      </w:r>
      <w:r w:rsidR="001D0628">
        <w:rPr>
          <w:rFonts w:ascii="Times New Roman" w:hAnsi="Times New Roman" w:cs="Times New Roman"/>
        </w:rPr>
        <w:t>z </w:t>
      </w:r>
      <w:r w:rsidR="001A6B3C" w:rsidRPr="00215A1D">
        <w:rPr>
          <w:rFonts w:ascii="Times New Roman" w:hAnsi="Times New Roman" w:cs="Times New Roman"/>
        </w:rPr>
        <w:t xml:space="preserve">każdym </w:t>
      </w:r>
      <w:r w:rsidR="001D0628">
        <w:rPr>
          <w:rFonts w:ascii="Times New Roman" w:hAnsi="Times New Roman" w:cs="Times New Roman"/>
        </w:rPr>
        <w:t>z </w:t>
      </w:r>
      <w:r w:rsidR="001A6B3C" w:rsidRPr="00215A1D">
        <w:rPr>
          <w:rFonts w:ascii="Times New Roman" w:hAnsi="Times New Roman" w:cs="Times New Roman"/>
        </w:rPr>
        <w:t>operatorów systemów dystrybucyjnych elektroenergetycznych ora</w:t>
      </w:r>
      <w:r w:rsidR="001D0628">
        <w:rPr>
          <w:rFonts w:ascii="Times New Roman" w:hAnsi="Times New Roman" w:cs="Times New Roman"/>
        </w:rPr>
        <w:t>z </w:t>
      </w:r>
      <w:r w:rsidR="001A6B3C" w:rsidRPr="00215A1D">
        <w:rPr>
          <w:rFonts w:ascii="Times New Roman" w:hAnsi="Times New Roman" w:cs="Times New Roman"/>
        </w:rPr>
        <w:t xml:space="preserve">tworzenia skomplikowanych struktur w tym zakresie. Jak wynika </w:t>
      </w:r>
      <w:r w:rsidR="001D0628">
        <w:rPr>
          <w:rFonts w:ascii="Times New Roman" w:hAnsi="Times New Roman" w:cs="Times New Roman"/>
        </w:rPr>
        <w:t>z </w:t>
      </w:r>
      <w:r w:rsidR="001A6B3C" w:rsidRPr="00215A1D">
        <w:rPr>
          <w:rFonts w:ascii="Times New Roman" w:hAnsi="Times New Roman" w:cs="Times New Roman"/>
        </w:rPr>
        <w:t>licznych anali</w:t>
      </w:r>
      <w:r w:rsidR="001D0628">
        <w:rPr>
          <w:rFonts w:ascii="Times New Roman" w:hAnsi="Times New Roman" w:cs="Times New Roman"/>
        </w:rPr>
        <w:t>z </w:t>
      </w:r>
      <w:r w:rsidR="001A6B3C" w:rsidRPr="00215A1D">
        <w:rPr>
          <w:rFonts w:ascii="Times New Roman" w:hAnsi="Times New Roman" w:cs="Times New Roman"/>
        </w:rPr>
        <w:t xml:space="preserve">jest to najbardziej racjonalne rozwiązanie zarówno </w:t>
      </w:r>
      <w:r w:rsidR="001D0628">
        <w:rPr>
          <w:rFonts w:ascii="Times New Roman" w:hAnsi="Times New Roman" w:cs="Times New Roman"/>
        </w:rPr>
        <w:t>z </w:t>
      </w:r>
      <w:r w:rsidR="001A6B3C" w:rsidRPr="00215A1D">
        <w:rPr>
          <w:rFonts w:ascii="Times New Roman" w:hAnsi="Times New Roman" w:cs="Times New Roman"/>
        </w:rPr>
        <w:t>technicznego jak</w:t>
      </w:r>
      <w:r w:rsidR="001D0628">
        <w:rPr>
          <w:rFonts w:ascii="Times New Roman" w:hAnsi="Times New Roman" w:cs="Times New Roman"/>
        </w:rPr>
        <w:t xml:space="preserve"> i z </w:t>
      </w:r>
      <w:r w:rsidR="001A6B3C" w:rsidRPr="00215A1D">
        <w:rPr>
          <w:rFonts w:ascii="Times New Roman" w:hAnsi="Times New Roman" w:cs="Times New Roman"/>
        </w:rPr>
        <w:t xml:space="preserve">ekonomicznego punktu widzenia. </w:t>
      </w:r>
    </w:p>
    <w:p w14:paraId="4BBB4190" w14:textId="77777777" w:rsidR="001A6B3C"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1A6B3C" w:rsidRPr="00215A1D">
        <w:rPr>
          <w:rFonts w:ascii="Times New Roman" w:hAnsi="Times New Roman" w:cs="Times New Roman"/>
        </w:rPr>
        <w:t>Spośród szczegółowych argumentów przemawiających na rzec</w:t>
      </w:r>
      <w:r w:rsidR="001D0628">
        <w:rPr>
          <w:rFonts w:ascii="Times New Roman" w:hAnsi="Times New Roman" w:cs="Times New Roman"/>
        </w:rPr>
        <w:t>z </w:t>
      </w:r>
      <w:r w:rsidR="001A6B3C" w:rsidRPr="00215A1D">
        <w:rPr>
          <w:rFonts w:ascii="Times New Roman" w:hAnsi="Times New Roman" w:cs="Times New Roman"/>
        </w:rPr>
        <w:t>funkcjonowania na terytorium Polski jednego operatora informacji rynku energii należy przytoczyć następujące:</w:t>
      </w:r>
    </w:p>
    <w:p w14:paraId="69CF1EB5" w14:textId="77777777" w:rsidR="001A6B3C" w:rsidRPr="00215A1D" w:rsidRDefault="001A6B3C" w:rsidP="00215A1D">
      <w:pPr>
        <w:pStyle w:val="USTustnpkodeksu"/>
        <w:numPr>
          <w:ilvl w:val="2"/>
          <w:numId w:val="78"/>
        </w:numPr>
        <w:ind w:left="426"/>
        <w:rPr>
          <w:rFonts w:ascii="Times New Roman" w:hAnsi="Times New Roman" w:cs="Times New Roman"/>
        </w:rPr>
      </w:pPr>
      <w:r w:rsidRPr="00215A1D">
        <w:rPr>
          <w:rFonts w:ascii="Times New Roman" w:hAnsi="Times New Roman" w:cs="Times New Roman"/>
        </w:rPr>
        <w:t>Jeden podmiot gwarantuje najniższe koszty dostępu uczestników rynku do danych, infrastruktury, funkcjonowania</w:t>
      </w:r>
      <w:r w:rsidR="001D0628">
        <w:rPr>
          <w:rFonts w:ascii="Times New Roman" w:hAnsi="Times New Roman" w:cs="Times New Roman"/>
        </w:rPr>
        <w:t xml:space="preserve"> i </w:t>
      </w:r>
      <w:r w:rsidRPr="00215A1D">
        <w:rPr>
          <w:rFonts w:ascii="Times New Roman" w:hAnsi="Times New Roman" w:cs="Times New Roman"/>
        </w:rPr>
        <w:t>utrzymania systemu elektroenergetycznego;</w:t>
      </w:r>
    </w:p>
    <w:p w14:paraId="49D9E716" w14:textId="77777777" w:rsidR="001A6B3C" w:rsidRPr="00215A1D" w:rsidRDefault="001A6B3C" w:rsidP="00215A1D">
      <w:pPr>
        <w:pStyle w:val="USTustnpkodeksu"/>
        <w:numPr>
          <w:ilvl w:val="2"/>
          <w:numId w:val="78"/>
        </w:numPr>
        <w:ind w:left="426"/>
        <w:rPr>
          <w:rFonts w:ascii="Times New Roman" w:hAnsi="Times New Roman" w:cs="Times New Roman"/>
        </w:rPr>
      </w:pPr>
      <w:r w:rsidRPr="00215A1D">
        <w:rPr>
          <w:rFonts w:ascii="Times New Roman" w:hAnsi="Times New Roman" w:cs="Times New Roman"/>
        </w:rPr>
        <w:t>Standaryzacja zasad przy wprowadzaniu nowych funkcji systemu, w przypadku jednego podmiotu, pozwoli znacznie ograniczyć koszty funkcjonowania systemu;</w:t>
      </w:r>
    </w:p>
    <w:p w14:paraId="47830EF5" w14:textId="77777777" w:rsidR="001A6B3C" w:rsidRPr="00215A1D" w:rsidRDefault="001A6B3C" w:rsidP="00215A1D">
      <w:pPr>
        <w:pStyle w:val="USTustnpkodeksu"/>
        <w:numPr>
          <w:ilvl w:val="2"/>
          <w:numId w:val="78"/>
        </w:numPr>
        <w:ind w:left="426"/>
        <w:rPr>
          <w:rFonts w:ascii="Times New Roman" w:hAnsi="Times New Roman" w:cs="Times New Roman"/>
        </w:rPr>
      </w:pPr>
      <w:r w:rsidRPr="00215A1D">
        <w:rPr>
          <w:rFonts w:ascii="Times New Roman" w:hAnsi="Times New Roman" w:cs="Times New Roman"/>
        </w:rPr>
        <w:t>Operator informacji rynku energii będzie podmiotem nadzorowanym bezpośrednio prze</w:t>
      </w:r>
      <w:r w:rsidR="001D0628">
        <w:rPr>
          <w:rFonts w:ascii="Times New Roman" w:hAnsi="Times New Roman" w:cs="Times New Roman"/>
        </w:rPr>
        <w:t>z </w:t>
      </w:r>
      <w:r w:rsidRPr="00215A1D">
        <w:rPr>
          <w:rFonts w:ascii="Times New Roman" w:hAnsi="Times New Roman" w:cs="Times New Roman"/>
        </w:rPr>
        <w:t>instytucje regulujące</w:t>
      </w:r>
      <w:r w:rsidR="001D0628">
        <w:rPr>
          <w:rFonts w:ascii="Times New Roman" w:hAnsi="Times New Roman" w:cs="Times New Roman"/>
        </w:rPr>
        <w:t xml:space="preserve"> i </w:t>
      </w:r>
      <w:r w:rsidRPr="00215A1D">
        <w:rPr>
          <w:rFonts w:ascii="Times New Roman" w:hAnsi="Times New Roman" w:cs="Times New Roman"/>
        </w:rPr>
        <w:t>nadzorujące rynek energii elektrycznej w Polsce ora</w:t>
      </w:r>
      <w:r w:rsidR="001D0628">
        <w:rPr>
          <w:rFonts w:ascii="Times New Roman" w:hAnsi="Times New Roman" w:cs="Times New Roman"/>
        </w:rPr>
        <w:t>z </w:t>
      </w:r>
      <w:r w:rsidRPr="00215A1D">
        <w:rPr>
          <w:rFonts w:ascii="Times New Roman" w:hAnsi="Times New Roman" w:cs="Times New Roman"/>
        </w:rPr>
        <w:t>niezależnym od innych uczestników rynku;</w:t>
      </w:r>
    </w:p>
    <w:p w14:paraId="09E1B04A" w14:textId="77777777" w:rsidR="001A6B3C" w:rsidRPr="00215A1D" w:rsidRDefault="001A6B3C" w:rsidP="00215A1D">
      <w:pPr>
        <w:pStyle w:val="USTustnpkodeksu"/>
        <w:numPr>
          <w:ilvl w:val="2"/>
          <w:numId w:val="78"/>
        </w:numPr>
        <w:ind w:left="426"/>
        <w:rPr>
          <w:rFonts w:ascii="Times New Roman" w:hAnsi="Times New Roman" w:cs="Times New Roman"/>
        </w:rPr>
      </w:pPr>
      <w:r w:rsidRPr="00215A1D">
        <w:rPr>
          <w:rFonts w:ascii="Times New Roman" w:hAnsi="Times New Roman" w:cs="Times New Roman"/>
        </w:rPr>
        <w:lastRenderedPageBreak/>
        <w:t>Jeden, niezależny od operatorów systemu dystrybucyjnego</w:t>
      </w:r>
      <w:r w:rsidR="001D0628">
        <w:rPr>
          <w:rFonts w:ascii="Times New Roman" w:hAnsi="Times New Roman" w:cs="Times New Roman"/>
        </w:rPr>
        <w:t xml:space="preserve"> i </w:t>
      </w:r>
      <w:r w:rsidRPr="00215A1D">
        <w:rPr>
          <w:rFonts w:ascii="Times New Roman" w:hAnsi="Times New Roman" w:cs="Times New Roman"/>
        </w:rPr>
        <w:t xml:space="preserve">sprzedawców </w:t>
      </w:r>
      <w:r w:rsidR="00F03EF8" w:rsidRPr="00215A1D">
        <w:rPr>
          <w:rFonts w:ascii="Times New Roman" w:hAnsi="Times New Roman" w:cs="Times New Roman"/>
        </w:rPr>
        <w:t xml:space="preserve">operator informacji rynku energii </w:t>
      </w:r>
      <w:r w:rsidRPr="00215A1D">
        <w:rPr>
          <w:rFonts w:ascii="Times New Roman" w:hAnsi="Times New Roman" w:cs="Times New Roman"/>
        </w:rPr>
        <w:t>wyeliminuje bariery wejścia/wyjścia dla małych przedsiębiorstw, w tym sprzedawców, firm ESCO ora</w:t>
      </w:r>
      <w:r w:rsidR="001D0628">
        <w:rPr>
          <w:rFonts w:ascii="Times New Roman" w:hAnsi="Times New Roman" w:cs="Times New Roman"/>
        </w:rPr>
        <w:t>z </w:t>
      </w:r>
      <w:r w:rsidRPr="00215A1D">
        <w:rPr>
          <w:rFonts w:ascii="Times New Roman" w:hAnsi="Times New Roman" w:cs="Times New Roman"/>
        </w:rPr>
        <w:t>agregatorów;</w:t>
      </w:r>
    </w:p>
    <w:p w14:paraId="3234ADD9" w14:textId="77777777" w:rsidR="001A6B3C" w:rsidRPr="00215A1D" w:rsidRDefault="001A6B3C" w:rsidP="00215A1D">
      <w:pPr>
        <w:pStyle w:val="USTustnpkodeksu"/>
        <w:numPr>
          <w:ilvl w:val="2"/>
          <w:numId w:val="78"/>
        </w:numPr>
        <w:ind w:left="426"/>
        <w:rPr>
          <w:rFonts w:ascii="Times New Roman" w:hAnsi="Times New Roman" w:cs="Times New Roman"/>
        </w:rPr>
      </w:pPr>
      <w:r w:rsidRPr="00215A1D">
        <w:rPr>
          <w:rFonts w:ascii="Times New Roman" w:hAnsi="Times New Roman" w:cs="Times New Roman"/>
        </w:rPr>
        <w:t xml:space="preserve">Jeden </w:t>
      </w:r>
      <w:r w:rsidR="00F03EF8" w:rsidRPr="00215A1D">
        <w:rPr>
          <w:rFonts w:ascii="Times New Roman" w:hAnsi="Times New Roman" w:cs="Times New Roman"/>
        </w:rPr>
        <w:t>operator informacji rynku energii</w:t>
      </w:r>
      <w:r w:rsidRPr="00215A1D">
        <w:rPr>
          <w:rFonts w:ascii="Times New Roman" w:hAnsi="Times New Roman" w:cs="Times New Roman"/>
        </w:rPr>
        <w:t>, jako podmiot przeznaczony do obsługi rozliczeń pomiędzy prosumentem a sprzedawcami, ułatwia dostęp prosumentów do wielu sprzedawców. Tym samym przyczynia się do wprowadzenia konkurencyjnego rynku ora</w:t>
      </w:r>
      <w:r w:rsidR="001D0628">
        <w:rPr>
          <w:rFonts w:ascii="Times New Roman" w:hAnsi="Times New Roman" w:cs="Times New Roman"/>
        </w:rPr>
        <w:t>z </w:t>
      </w:r>
      <w:r w:rsidRPr="00215A1D">
        <w:rPr>
          <w:rFonts w:ascii="Times New Roman" w:hAnsi="Times New Roman" w:cs="Times New Roman"/>
        </w:rPr>
        <w:t>uzyskania korzystniejszych dla prosumentów cen energii elektrycznej;</w:t>
      </w:r>
    </w:p>
    <w:p w14:paraId="29FE22B1" w14:textId="77777777" w:rsidR="001A6B3C" w:rsidRPr="00215A1D" w:rsidRDefault="001A6B3C" w:rsidP="00215A1D">
      <w:pPr>
        <w:pStyle w:val="USTustnpkodeksu"/>
        <w:numPr>
          <w:ilvl w:val="2"/>
          <w:numId w:val="78"/>
        </w:numPr>
        <w:ind w:left="426"/>
        <w:rPr>
          <w:rFonts w:ascii="Times New Roman" w:hAnsi="Times New Roman" w:cs="Times New Roman"/>
        </w:rPr>
      </w:pPr>
      <w:r w:rsidRPr="00215A1D">
        <w:rPr>
          <w:rFonts w:ascii="Times New Roman" w:hAnsi="Times New Roman" w:cs="Times New Roman"/>
        </w:rPr>
        <w:t xml:space="preserve">Jedna centralna baza </w:t>
      </w:r>
      <w:r w:rsidR="00F03EF8" w:rsidRPr="00215A1D">
        <w:rPr>
          <w:rFonts w:ascii="Times New Roman" w:hAnsi="Times New Roman" w:cs="Times New Roman"/>
        </w:rPr>
        <w:t xml:space="preserve">informacji rynku energii </w:t>
      </w:r>
      <w:r w:rsidRPr="00215A1D">
        <w:rPr>
          <w:rFonts w:ascii="Times New Roman" w:hAnsi="Times New Roman" w:cs="Times New Roman"/>
        </w:rPr>
        <w:t>umożliwi zdalne sterowanie prze</w:t>
      </w:r>
      <w:r w:rsidR="001D0628">
        <w:rPr>
          <w:rFonts w:ascii="Times New Roman" w:hAnsi="Times New Roman" w:cs="Times New Roman"/>
        </w:rPr>
        <w:t>z </w:t>
      </w:r>
      <w:r w:rsidRPr="00215A1D">
        <w:rPr>
          <w:rFonts w:ascii="Times New Roman" w:hAnsi="Times New Roman" w:cs="Times New Roman"/>
        </w:rPr>
        <w:t>operatora systemu przesyłowego całością generacji rozproszonej poprze</w:t>
      </w:r>
      <w:r w:rsidR="001D0628">
        <w:rPr>
          <w:rFonts w:ascii="Times New Roman" w:hAnsi="Times New Roman" w:cs="Times New Roman"/>
        </w:rPr>
        <w:t>z </w:t>
      </w:r>
      <w:r w:rsidRPr="00215A1D">
        <w:rPr>
          <w:rFonts w:ascii="Times New Roman" w:hAnsi="Times New Roman" w:cs="Times New Roman"/>
        </w:rPr>
        <w:t>dostęp do aktualnej</w:t>
      </w:r>
      <w:r w:rsidR="001D0628">
        <w:rPr>
          <w:rFonts w:ascii="Times New Roman" w:hAnsi="Times New Roman" w:cs="Times New Roman"/>
        </w:rPr>
        <w:t xml:space="preserve"> i </w:t>
      </w:r>
      <w:r w:rsidRPr="00215A1D">
        <w:rPr>
          <w:rFonts w:ascii="Times New Roman" w:hAnsi="Times New Roman" w:cs="Times New Roman"/>
        </w:rPr>
        <w:t>pełnej bazy danych tych wytwórców;</w:t>
      </w:r>
    </w:p>
    <w:p w14:paraId="1585B75F" w14:textId="77777777" w:rsidR="001A6B3C" w:rsidRPr="00215A1D" w:rsidRDefault="001A6B3C" w:rsidP="00215A1D">
      <w:pPr>
        <w:pStyle w:val="USTustnpkodeksu"/>
        <w:numPr>
          <w:ilvl w:val="2"/>
          <w:numId w:val="78"/>
        </w:numPr>
        <w:ind w:left="426"/>
        <w:rPr>
          <w:rFonts w:ascii="Times New Roman" w:hAnsi="Times New Roman" w:cs="Times New Roman"/>
        </w:rPr>
      </w:pPr>
      <w:r w:rsidRPr="00215A1D">
        <w:rPr>
          <w:rFonts w:ascii="Times New Roman" w:hAnsi="Times New Roman" w:cs="Times New Roman"/>
        </w:rPr>
        <w:t xml:space="preserve">Zaproponowane w projekcie założeń rozwiązanie jest jedynym które gwarantuje ciągłość dostępu odbiorcy do swoich danych historycznych, niezależnie od liczby wcześniej zmienionych sprzedawców. Doświadczenie </w:t>
      </w:r>
      <w:r w:rsidR="001D0628">
        <w:rPr>
          <w:rFonts w:ascii="Times New Roman" w:hAnsi="Times New Roman" w:cs="Times New Roman"/>
        </w:rPr>
        <w:t>z </w:t>
      </w:r>
      <w:r w:rsidRPr="00215A1D">
        <w:rPr>
          <w:rFonts w:ascii="Times New Roman" w:hAnsi="Times New Roman" w:cs="Times New Roman"/>
        </w:rPr>
        <w:t>innych branż wskazuje na likwidację konta użytkownika wra</w:t>
      </w:r>
      <w:r w:rsidR="001D0628">
        <w:rPr>
          <w:rFonts w:ascii="Times New Roman" w:hAnsi="Times New Roman" w:cs="Times New Roman"/>
        </w:rPr>
        <w:t>z z </w:t>
      </w:r>
      <w:r w:rsidRPr="00215A1D">
        <w:rPr>
          <w:rFonts w:ascii="Times New Roman" w:hAnsi="Times New Roman" w:cs="Times New Roman"/>
        </w:rPr>
        <w:t xml:space="preserve">umieszczonymi w nim historycznymi danymi po zakończeniu umowy; </w:t>
      </w:r>
    </w:p>
    <w:p w14:paraId="45D86D89" w14:textId="77777777" w:rsidR="001A6B3C" w:rsidRPr="00215A1D" w:rsidRDefault="001A6B3C" w:rsidP="00215A1D">
      <w:pPr>
        <w:pStyle w:val="USTustnpkodeksu"/>
        <w:numPr>
          <w:ilvl w:val="2"/>
          <w:numId w:val="78"/>
        </w:numPr>
        <w:ind w:left="426"/>
        <w:rPr>
          <w:rFonts w:ascii="Times New Roman" w:hAnsi="Times New Roman" w:cs="Times New Roman"/>
        </w:rPr>
      </w:pPr>
      <w:r w:rsidRPr="00215A1D">
        <w:rPr>
          <w:rFonts w:ascii="Times New Roman" w:hAnsi="Times New Roman" w:cs="Times New Roman"/>
        </w:rPr>
        <w:t>O</w:t>
      </w:r>
      <w:r w:rsidR="00F03EF8" w:rsidRPr="00215A1D">
        <w:rPr>
          <w:rFonts w:ascii="Times New Roman" w:hAnsi="Times New Roman" w:cs="Times New Roman"/>
        </w:rPr>
        <w:t xml:space="preserve">perator informacji rynku energii </w:t>
      </w:r>
      <w:r w:rsidRPr="00215A1D">
        <w:rPr>
          <w:rFonts w:ascii="Times New Roman" w:hAnsi="Times New Roman" w:cs="Times New Roman"/>
        </w:rPr>
        <w:t>stanowi gwarancję standaryzacji technologicznej w komunikacji między uczestnikami rynku ora</w:t>
      </w:r>
      <w:r w:rsidR="001D0628">
        <w:rPr>
          <w:rFonts w:ascii="Times New Roman" w:hAnsi="Times New Roman" w:cs="Times New Roman"/>
        </w:rPr>
        <w:t>z </w:t>
      </w:r>
      <w:r w:rsidRPr="00215A1D">
        <w:rPr>
          <w:rFonts w:ascii="Times New Roman" w:hAnsi="Times New Roman" w:cs="Times New Roman"/>
        </w:rPr>
        <w:t>trwałości rozwiązania, szybkości</w:t>
      </w:r>
      <w:r w:rsidR="001D0628">
        <w:rPr>
          <w:rFonts w:ascii="Times New Roman" w:hAnsi="Times New Roman" w:cs="Times New Roman"/>
        </w:rPr>
        <w:t xml:space="preserve"> i </w:t>
      </w:r>
      <w:r w:rsidRPr="00215A1D">
        <w:rPr>
          <w:rFonts w:ascii="Times New Roman" w:hAnsi="Times New Roman" w:cs="Times New Roman"/>
        </w:rPr>
        <w:t>bezpieczeństwa przesyłanych danych, a także przejrzystości podziału realizowanych zadań prze</w:t>
      </w:r>
      <w:r w:rsidR="001D0628">
        <w:rPr>
          <w:rFonts w:ascii="Times New Roman" w:hAnsi="Times New Roman" w:cs="Times New Roman"/>
        </w:rPr>
        <w:t>z </w:t>
      </w:r>
      <w:r w:rsidRPr="00215A1D">
        <w:rPr>
          <w:rFonts w:ascii="Times New Roman" w:hAnsi="Times New Roman" w:cs="Times New Roman"/>
        </w:rPr>
        <w:t>poszczególnych uczestników rynku energii elektrycznej, co szczególnie istotne znaczenie będzie miało np. w przypadku wystąpienia awarii w systemie;</w:t>
      </w:r>
    </w:p>
    <w:p w14:paraId="1AEEF930" w14:textId="77777777" w:rsidR="001A6B3C" w:rsidRPr="00215A1D" w:rsidRDefault="00F03EF8" w:rsidP="00215A1D">
      <w:pPr>
        <w:pStyle w:val="USTustnpkodeksu"/>
        <w:numPr>
          <w:ilvl w:val="2"/>
          <w:numId w:val="78"/>
        </w:numPr>
        <w:ind w:left="426"/>
        <w:rPr>
          <w:rFonts w:ascii="Times New Roman" w:hAnsi="Times New Roman" w:cs="Times New Roman"/>
        </w:rPr>
      </w:pPr>
      <w:r w:rsidRPr="00215A1D">
        <w:rPr>
          <w:rFonts w:ascii="Times New Roman" w:hAnsi="Times New Roman" w:cs="Times New Roman"/>
        </w:rPr>
        <w:t xml:space="preserve">Proponowane rozwiązanie </w:t>
      </w:r>
      <w:r w:rsidR="001A6B3C" w:rsidRPr="00215A1D">
        <w:rPr>
          <w:rFonts w:ascii="Times New Roman" w:hAnsi="Times New Roman" w:cs="Times New Roman"/>
        </w:rPr>
        <w:t>eliminuje ryzyko zastosowania technologii korzystnych tylko dla jednego podmiotu, ale niespełniających wymagań uniwersalności zastosowania w skali kraju ora</w:t>
      </w:r>
      <w:r w:rsidR="001D0628">
        <w:rPr>
          <w:rFonts w:ascii="Times New Roman" w:hAnsi="Times New Roman" w:cs="Times New Roman"/>
        </w:rPr>
        <w:t>z </w:t>
      </w:r>
      <w:r w:rsidR="001A6B3C" w:rsidRPr="00215A1D">
        <w:rPr>
          <w:rFonts w:ascii="Times New Roman" w:hAnsi="Times New Roman" w:cs="Times New Roman"/>
        </w:rPr>
        <w:t>barierę technologiczną</w:t>
      </w:r>
      <w:r w:rsidR="001D0628">
        <w:rPr>
          <w:rFonts w:ascii="Times New Roman" w:hAnsi="Times New Roman" w:cs="Times New Roman"/>
        </w:rPr>
        <w:t xml:space="preserve"> i </w:t>
      </w:r>
      <w:r w:rsidR="001A6B3C" w:rsidRPr="00215A1D">
        <w:rPr>
          <w:rFonts w:ascii="Times New Roman" w:hAnsi="Times New Roman" w:cs="Times New Roman"/>
        </w:rPr>
        <w:t>kosztową dla małego lub średniego sprzedawcy obsługującego odbiorców na terenie całego kraju (ze względu na różnych operatorów systemu dystrybucyjnego);</w:t>
      </w:r>
    </w:p>
    <w:p w14:paraId="5CDA66CD" w14:textId="77777777" w:rsidR="001A6B3C" w:rsidRPr="00215A1D" w:rsidRDefault="001A6B3C" w:rsidP="00215A1D">
      <w:pPr>
        <w:pStyle w:val="USTustnpkodeksu"/>
        <w:numPr>
          <w:ilvl w:val="2"/>
          <w:numId w:val="78"/>
        </w:numPr>
        <w:ind w:left="426"/>
        <w:rPr>
          <w:rFonts w:ascii="Times New Roman" w:hAnsi="Times New Roman" w:cs="Times New Roman"/>
        </w:rPr>
      </w:pPr>
      <w:r w:rsidRPr="00215A1D">
        <w:rPr>
          <w:rFonts w:ascii="Times New Roman" w:hAnsi="Times New Roman" w:cs="Times New Roman"/>
        </w:rPr>
        <w:t xml:space="preserve">Wprowadzenie jednego </w:t>
      </w:r>
      <w:r w:rsidR="00F03EF8" w:rsidRPr="00215A1D">
        <w:rPr>
          <w:rFonts w:ascii="Times New Roman" w:hAnsi="Times New Roman" w:cs="Times New Roman"/>
        </w:rPr>
        <w:t xml:space="preserve">operatora informacji rynku energii </w:t>
      </w:r>
      <w:r w:rsidRPr="00215A1D">
        <w:rPr>
          <w:rFonts w:ascii="Times New Roman" w:hAnsi="Times New Roman" w:cs="Times New Roman"/>
        </w:rPr>
        <w:t xml:space="preserve">spowoduje znaczne uproszczenie schematu komunikacji pomiędzy uczestnikami rynku energii elektrycznej co bezpośrednio wpłynie na poprawienie bezpieczeństwa danych pomiarowych m.in. ze względu na zdecydowanie mniejszą ilość występowania komunikacji </w:t>
      </w:r>
      <w:r w:rsidR="001D0628">
        <w:rPr>
          <w:rFonts w:ascii="Times New Roman" w:hAnsi="Times New Roman" w:cs="Times New Roman"/>
        </w:rPr>
        <w:t>z </w:t>
      </w:r>
      <w:r w:rsidRPr="00215A1D">
        <w:rPr>
          <w:rFonts w:ascii="Times New Roman" w:hAnsi="Times New Roman" w:cs="Times New Roman"/>
        </w:rPr>
        <w:t>danymi pomiarowymi, ograniczając do minimum miejsca potencjalnych „wycieków” tych danych;</w:t>
      </w:r>
    </w:p>
    <w:p w14:paraId="41A6A170" w14:textId="77777777" w:rsidR="001A6B3C" w:rsidRPr="00EF6F97" w:rsidRDefault="001A6B3C" w:rsidP="00215A1D">
      <w:pPr>
        <w:pStyle w:val="USTustnpkodeksu"/>
        <w:numPr>
          <w:ilvl w:val="2"/>
          <w:numId w:val="78"/>
        </w:numPr>
        <w:ind w:left="426"/>
        <w:rPr>
          <w:rFonts w:ascii="Times New Roman" w:hAnsi="Times New Roman" w:cs="Times New Roman"/>
          <w:szCs w:val="24"/>
        </w:rPr>
      </w:pPr>
      <w:r w:rsidRPr="00215A1D">
        <w:rPr>
          <w:rFonts w:ascii="Times New Roman" w:hAnsi="Times New Roman" w:cs="Times New Roman"/>
        </w:rPr>
        <w:t xml:space="preserve">Ze względu na duże znaczenie </w:t>
      </w:r>
      <w:r w:rsidR="00F03EF8" w:rsidRPr="00215A1D">
        <w:rPr>
          <w:rFonts w:ascii="Times New Roman" w:hAnsi="Times New Roman" w:cs="Times New Roman"/>
        </w:rPr>
        <w:t xml:space="preserve">informacji rynku energii, w tym </w:t>
      </w:r>
      <w:r w:rsidRPr="00215A1D">
        <w:rPr>
          <w:rFonts w:ascii="Times New Roman" w:hAnsi="Times New Roman" w:cs="Times New Roman"/>
        </w:rPr>
        <w:t xml:space="preserve">danych pomiarowych bardzo ważną </w:t>
      </w:r>
      <w:r w:rsidRPr="00EF6F97">
        <w:rPr>
          <w:rFonts w:ascii="Times New Roman" w:hAnsi="Times New Roman" w:cs="Times New Roman"/>
          <w:szCs w:val="24"/>
        </w:rPr>
        <w:t xml:space="preserve">rolę będzie odgrywała kontrola poprawności przetwarzania tych danych. Jeden </w:t>
      </w:r>
      <w:r w:rsidR="00F03EF8" w:rsidRPr="00EF6F97">
        <w:rPr>
          <w:rFonts w:ascii="Times New Roman" w:hAnsi="Times New Roman" w:cs="Times New Roman"/>
          <w:szCs w:val="24"/>
        </w:rPr>
        <w:t xml:space="preserve">operator informacji rynku energii </w:t>
      </w:r>
      <w:r w:rsidRPr="00EF6F97">
        <w:rPr>
          <w:rFonts w:ascii="Times New Roman" w:hAnsi="Times New Roman" w:cs="Times New Roman"/>
          <w:szCs w:val="24"/>
        </w:rPr>
        <w:t>zdecydowania upraszcza realizację tej funkcji.</w:t>
      </w:r>
    </w:p>
    <w:p w14:paraId="308C0CCC" w14:textId="1E8ACAF2" w:rsidR="001A6B3C" w:rsidRPr="00215A1D" w:rsidRDefault="00EF6F97" w:rsidP="00EF6F97">
      <w:pPr>
        <w:pStyle w:val="USTustnpkodeksu"/>
        <w:rPr>
          <w:rFonts w:ascii="Times New Roman" w:hAnsi="Times New Roman" w:cs="Times New Roman"/>
          <w:u w:val="single"/>
        </w:rPr>
      </w:pPr>
      <w:r w:rsidRPr="00EF6F97">
        <w:rPr>
          <w:rFonts w:ascii="Times New Roman" w:hAnsi="Times New Roman" w:cs="Times New Roman"/>
          <w:szCs w:val="24"/>
        </w:rPr>
        <w:lastRenderedPageBreak/>
        <w:tab/>
      </w:r>
      <w:r w:rsidR="001A6B3C" w:rsidRPr="00EF6F97">
        <w:rPr>
          <w:rFonts w:ascii="Times New Roman" w:hAnsi="Times New Roman" w:cs="Times New Roman"/>
          <w:szCs w:val="24"/>
        </w:rPr>
        <w:t>W projekcie ustawy wskazuje się, że zadania operatora</w:t>
      </w:r>
      <w:r w:rsidR="001A6B3C" w:rsidRPr="00215A1D">
        <w:rPr>
          <w:rFonts w:ascii="Times New Roman" w:hAnsi="Times New Roman" w:cs="Times New Roman"/>
        </w:rPr>
        <w:t xml:space="preserve"> informacji </w:t>
      </w:r>
      <w:r w:rsidR="00F03EF8" w:rsidRPr="00215A1D">
        <w:rPr>
          <w:rFonts w:ascii="Times New Roman" w:hAnsi="Times New Roman" w:cs="Times New Roman"/>
        </w:rPr>
        <w:t xml:space="preserve">rynku energii </w:t>
      </w:r>
      <w:r w:rsidR="001A6B3C" w:rsidRPr="00215A1D">
        <w:rPr>
          <w:rFonts w:ascii="Times New Roman" w:hAnsi="Times New Roman" w:cs="Times New Roman"/>
        </w:rPr>
        <w:t>wykonywać będzie operator systemu przesyłowego elektroenergetycznego, bowiem podmiot wykonujący zadania operatora informacji</w:t>
      </w:r>
      <w:r w:rsidR="00F03EF8" w:rsidRPr="00215A1D">
        <w:rPr>
          <w:rFonts w:ascii="Times New Roman" w:hAnsi="Times New Roman" w:cs="Times New Roman"/>
        </w:rPr>
        <w:t xml:space="preserve"> rynku energii </w:t>
      </w:r>
      <w:r w:rsidR="001A6B3C" w:rsidRPr="00215A1D">
        <w:rPr>
          <w:rFonts w:ascii="Times New Roman" w:hAnsi="Times New Roman" w:cs="Times New Roman"/>
        </w:rPr>
        <w:t>(OI</w:t>
      </w:r>
      <w:r w:rsidR="00F03EF8" w:rsidRPr="00215A1D">
        <w:rPr>
          <w:rFonts w:ascii="Times New Roman" w:hAnsi="Times New Roman" w:cs="Times New Roman"/>
        </w:rPr>
        <w:t>RE</w:t>
      </w:r>
      <w:r w:rsidR="001A6B3C" w:rsidRPr="00215A1D">
        <w:rPr>
          <w:rFonts w:ascii="Times New Roman" w:hAnsi="Times New Roman" w:cs="Times New Roman"/>
        </w:rPr>
        <w:t>) powinien posiadać formę prawną zapewniającą niezależność od innych uczestników rynku energii, w szczególności</w:t>
      </w:r>
      <w:r>
        <w:rPr>
          <w:rFonts w:ascii="Times New Roman" w:hAnsi="Times New Roman" w:cs="Times New Roman"/>
        </w:rPr>
        <w:t xml:space="preserve"> </w:t>
      </w:r>
      <w:r w:rsidR="001A6B3C" w:rsidRPr="00215A1D">
        <w:rPr>
          <w:rFonts w:ascii="Times New Roman" w:hAnsi="Times New Roman" w:cs="Times New Roman"/>
        </w:rPr>
        <w:t>sprzedawców</w:t>
      </w:r>
      <w:r w:rsidR="001D0628">
        <w:rPr>
          <w:rFonts w:ascii="Times New Roman" w:hAnsi="Times New Roman" w:cs="Times New Roman"/>
        </w:rPr>
        <w:t xml:space="preserve"> i </w:t>
      </w:r>
      <w:r w:rsidR="001A6B3C" w:rsidRPr="00215A1D">
        <w:rPr>
          <w:rFonts w:ascii="Times New Roman" w:hAnsi="Times New Roman" w:cs="Times New Roman"/>
        </w:rPr>
        <w:t>dystrybutorów energii elektrycznej. Umiejscowienie OI</w:t>
      </w:r>
      <w:r w:rsidR="00F03EF8" w:rsidRPr="00215A1D">
        <w:rPr>
          <w:rFonts w:ascii="Times New Roman" w:hAnsi="Times New Roman" w:cs="Times New Roman"/>
        </w:rPr>
        <w:t>RE</w:t>
      </w:r>
      <w:r w:rsidR="001A6B3C" w:rsidRPr="00215A1D">
        <w:rPr>
          <w:rFonts w:ascii="Times New Roman" w:hAnsi="Times New Roman" w:cs="Times New Roman"/>
        </w:rPr>
        <w:t xml:space="preserve"> powinno gwarantować </w:t>
      </w:r>
      <w:r w:rsidR="001D0628">
        <w:rPr>
          <w:rFonts w:ascii="Times New Roman" w:hAnsi="Times New Roman" w:cs="Times New Roman"/>
        </w:rPr>
        <w:t>z </w:t>
      </w:r>
      <w:r w:rsidR="001A6B3C" w:rsidRPr="00215A1D">
        <w:rPr>
          <w:rFonts w:ascii="Times New Roman" w:hAnsi="Times New Roman" w:cs="Times New Roman"/>
        </w:rPr>
        <w:t xml:space="preserve">jednej strony skuteczny nadzór nad jego działalnością, a </w:t>
      </w:r>
      <w:r w:rsidR="001D0628">
        <w:rPr>
          <w:rFonts w:ascii="Times New Roman" w:hAnsi="Times New Roman" w:cs="Times New Roman"/>
        </w:rPr>
        <w:t>z </w:t>
      </w:r>
      <w:r w:rsidR="001A6B3C" w:rsidRPr="00215A1D">
        <w:rPr>
          <w:rFonts w:ascii="Times New Roman" w:hAnsi="Times New Roman" w:cs="Times New Roman"/>
        </w:rPr>
        <w:t xml:space="preserve">drugiej dawać rękojmę sprawnego zarządzania procesem budowy a następnie utrzymania systemu </w:t>
      </w:r>
      <w:r w:rsidR="00B077B9">
        <w:rPr>
          <w:rFonts w:ascii="Times New Roman" w:hAnsi="Times New Roman" w:cs="Times New Roman"/>
        </w:rPr>
        <w:t>informacyjnego</w:t>
      </w:r>
      <w:r w:rsidR="001A6B3C" w:rsidRPr="00215A1D">
        <w:rPr>
          <w:rFonts w:ascii="Times New Roman" w:hAnsi="Times New Roman" w:cs="Times New Roman"/>
        </w:rPr>
        <w:t xml:space="preserve">. Obecnie w wielu państwach w Europie nie został przesądzony model repozytorium danych pomiarowych. W tych, w których to uczyniono widać wyraźne tendencje </w:t>
      </w:r>
      <w:r w:rsidR="00F03EF8" w:rsidRPr="00215A1D">
        <w:rPr>
          <w:rFonts w:ascii="Times New Roman" w:hAnsi="Times New Roman" w:cs="Times New Roman"/>
        </w:rPr>
        <w:t>do</w:t>
      </w:r>
      <w:r w:rsidR="001A6B3C" w:rsidRPr="00215A1D">
        <w:rPr>
          <w:rFonts w:ascii="Times New Roman" w:hAnsi="Times New Roman" w:cs="Times New Roman"/>
        </w:rPr>
        <w:t xml:space="preserve"> powierzeniu tych zadań operatorowi systemu przesyłowego elektroenergetycznego lub ew. spółce zależnej od tego operatora (Finlandia czy Norwegia). </w:t>
      </w:r>
      <w:r w:rsidR="00D975AF" w:rsidRPr="00215A1D">
        <w:rPr>
          <w:rFonts w:ascii="Times New Roman" w:hAnsi="Times New Roman" w:cs="Times New Roman"/>
        </w:rPr>
        <w:t xml:space="preserve">Dodatkowo, należy zaznaczyć, że zgodnie </w:t>
      </w:r>
      <w:r w:rsidR="001D0628">
        <w:rPr>
          <w:rFonts w:ascii="Times New Roman" w:hAnsi="Times New Roman" w:cs="Times New Roman"/>
        </w:rPr>
        <w:t>z </w:t>
      </w:r>
      <w:r w:rsidR="00D975AF" w:rsidRPr="00215A1D">
        <w:rPr>
          <w:rFonts w:ascii="Times New Roman" w:hAnsi="Times New Roman" w:cs="Times New Roman"/>
        </w:rPr>
        <w:t xml:space="preserve">art. 40 ust. 8 dyrektywy 944/2019: Art. 40 dyrektywy: </w:t>
      </w:r>
      <w:r w:rsidR="00D975AF" w:rsidRPr="00215A1D">
        <w:rPr>
          <w:rFonts w:ascii="Times New Roman" w:hAnsi="Times New Roman" w:cs="Times New Roman"/>
          <w:i/>
        </w:rPr>
        <w:t>Państwa członkowskie lub wyznaczone prze</w:t>
      </w:r>
      <w:r w:rsidR="001D0628">
        <w:rPr>
          <w:rFonts w:ascii="Times New Roman" w:hAnsi="Times New Roman" w:cs="Times New Roman"/>
          <w:i/>
        </w:rPr>
        <w:t>z </w:t>
      </w:r>
      <w:r w:rsidR="00D975AF" w:rsidRPr="00215A1D">
        <w:rPr>
          <w:rFonts w:ascii="Times New Roman" w:hAnsi="Times New Roman" w:cs="Times New Roman"/>
          <w:i/>
        </w:rPr>
        <w:t>nie właściwe organy mogą zezwolić operatorom systemów przesyłowych na wykonywanie czynności innych niż przewidziane w niniejszej dyrektywie</w:t>
      </w:r>
      <w:r w:rsidR="001D0628">
        <w:rPr>
          <w:rFonts w:ascii="Times New Roman" w:hAnsi="Times New Roman" w:cs="Times New Roman"/>
          <w:i/>
        </w:rPr>
        <w:t xml:space="preserve"> i </w:t>
      </w:r>
      <w:r w:rsidR="00D975AF" w:rsidRPr="00215A1D">
        <w:rPr>
          <w:rFonts w:ascii="Times New Roman" w:hAnsi="Times New Roman" w:cs="Times New Roman"/>
          <w:i/>
        </w:rPr>
        <w:t xml:space="preserve">w rozporządzeniu (UE) 2019/943, jeżeli działania te są niezbędne, by operatorzy systemów przesyłowych wypełnili obowiązki wynikające </w:t>
      </w:r>
      <w:r w:rsidR="001D0628">
        <w:rPr>
          <w:rFonts w:ascii="Times New Roman" w:hAnsi="Times New Roman" w:cs="Times New Roman"/>
          <w:i/>
        </w:rPr>
        <w:t>z </w:t>
      </w:r>
      <w:r w:rsidR="00D975AF" w:rsidRPr="00215A1D">
        <w:rPr>
          <w:rFonts w:ascii="Times New Roman" w:hAnsi="Times New Roman" w:cs="Times New Roman"/>
          <w:i/>
        </w:rPr>
        <w:t xml:space="preserve">niniejszej dyrektywy lub </w:t>
      </w:r>
      <w:r w:rsidR="001D0628">
        <w:rPr>
          <w:rFonts w:ascii="Times New Roman" w:hAnsi="Times New Roman" w:cs="Times New Roman"/>
          <w:i/>
        </w:rPr>
        <w:t>z </w:t>
      </w:r>
      <w:r w:rsidR="00D975AF" w:rsidRPr="00215A1D">
        <w:rPr>
          <w:rFonts w:ascii="Times New Roman" w:hAnsi="Times New Roman" w:cs="Times New Roman"/>
          <w:i/>
        </w:rPr>
        <w:t xml:space="preserve">rozporządzenia (UE) 2019/943, pod warunkiem że organ regulacyjny ocenił konieczność zastosowania takiego odstępstwa. </w:t>
      </w:r>
      <w:r w:rsidR="00D975AF" w:rsidRPr="00215A1D">
        <w:rPr>
          <w:rFonts w:ascii="Times New Roman" w:hAnsi="Times New Roman" w:cs="Times New Roman"/>
          <w:i/>
          <w:u w:val="single"/>
        </w:rPr>
        <w:t>Niniejszy ustęp pozostaje be</w:t>
      </w:r>
      <w:r w:rsidR="001D0628">
        <w:rPr>
          <w:rFonts w:ascii="Times New Roman" w:hAnsi="Times New Roman" w:cs="Times New Roman"/>
          <w:i/>
          <w:u w:val="single"/>
        </w:rPr>
        <w:t>z </w:t>
      </w:r>
      <w:r w:rsidR="00D975AF" w:rsidRPr="00215A1D">
        <w:rPr>
          <w:rFonts w:ascii="Times New Roman" w:hAnsi="Times New Roman" w:cs="Times New Roman"/>
          <w:i/>
          <w:u w:val="single"/>
        </w:rPr>
        <w:t>uszczerbku dla prawa operatorów systemów przesyłowych do bycia właścicielem, tworzenia lub obsługi sieci innych niż sieci elektroenergetyczne, lub zarządzania nimi, jeżeli państwo członkowskie lub wyznaczony właściwy organ przyznały takie prawo.</w:t>
      </w:r>
    </w:p>
    <w:p w14:paraId="07D3B00D" w14:textId="77777777" w:rsidR="001A6B3C"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1A6B3C" w:rsidRPr="00215A1D">
        <w:rPr>
          <w:rFonts w:ascii="Times New Roman" w:hAnsi="Times New Roman" w:cs="Times New Roman"/>
        </w:rPr>
        <w:t>Dodatkowo, opróc</w:t>
      </w:r>
      <w:r w:rsidR="001D0628">
        <w:rPr>
          <w:rFonts w:ascii="Times New Roman" w:hAnsi="Times New Roman" w:cs="Times New Roman"/>
        </w:rPr>
        <w:t>z </w:t>
      </w:r>
      <w:r w:rsidR="001A6B3C" w:rsidRPr="00215A1D">
        <w:rPr>
          <w:rFonts w:ascii="Times New Roman" w:hAnsi="Times New Roman" w:cs="Times New Roman"/>
        </w:rPr>
        <w:t>ww. argumentów za powierzeniem pełnienia funkcji OI</w:t>
      </w:r>
      <w:r w:rsidR="00F03EF8" w:rsidRPr="00215A1D">
        <w:rPr>
          <w:rFonts w:ascii="Times New Roman" w:hAnsi="Times New Roman" w:cs="Times New Roman"/>
        </w:rPr>
        <w:t>RE</w:t>
      </w:r>
      <w:r w:rsidR="001A6B3C" w:rsidRPr="00215A1D">
        <w:rPr>
          <w:rFonts w:ascii="Times New Roman" w:hAnsi="Times New Roman" w:cs="Times New Roman"/>
        </w:rPr>
        <w:t xml:space="preserve"> operatorowi systemu przesyłowego elektroenergetycznego przemawiają argumenty o charakterze ekonomicznym</w:t>
      </w:r>
      <w:r w:rsidR="00F03EF8" w:rsidRPr="00215A1D">
        <w:rPr>
          <w:rFonts w:ascii="Times New Roman" w:hAnsi="Times New Roman" w:cs="Times New Roman"/>
        </w:rPr>
        <w:t>,</w:t>
      </w:r>
      <w:r w:rsidR="001A6B3C" w:rsidRPr="00215A1D">
        <w:rPr>
          <w:rFonts w:ascii="Times New Roman" w:hAnsi="Times New Roman" w:cs="Times New Roman"/>
        </w:rPr>
        <w:t xml:space="preserve"> jak brak konieczności powołania nowego podmiotu czy posiadanie gotowych rozwiązań gwarantujących przetwarzanie </w:t>
      </w:r>
      <w:r w:rsidR="00F03EF8" w:rsidRPr="00215A1D">
        <w:rPr>
          <w:rFonts w:ascii="Times New Roman" w:hAnsi="Times New Roman" w:cs="Times New Roman"/>
        </w:rPr>
        <w:t xml:space="preserve">informacji rynku energii </w:t>
      </w:r>
      <w:r w:rsidR="001A6B3C" w:rsidRPr="00215A1D">
        <w:rPr>
          <w:rFonts w:ascii="Times New Roman" w:hAnsi="Times New Roman" w:cs="Times New Roman"/>
        </w:rPr>
        <w:t>przy zachowaniu jak najwyższych standardów bezpieczeństwa.</w:t>
      </w:r>
    </w:p>
    <w:p w14:paraId="5F159034" w14:textId="77777777" w:rsidR="00271648" w:rsidRPr="00EF6F97" w:rsidRDefault="00271648" w:rsidP="00EF6F97">
      <w:pPr>
        <w:pStyle w:val="Default"/>
        <w:spacing w:line="360" w:lineRule="auto"/>
        <w:jc w:val="both"/>
        <w:rPr>
          <w:rFonts w:ascii="Times New Roman" w:hAnsi="Times New Roman" w:cs="Times New Roman"/>
        </w:rPr>
      </w:pPr>
      <w:r w:rsidRPr="00EF6F97">
        <w:rPr>
          <w:rFonts w:ascii="Times New Roman" w:hAnsi="Times New Roman" w:cs="Times New Roman"/>
        </w:rPr>
        <w:t xml:space="preserve">Zbieżne stanowisko </w:t>
      </w:r>
      <w:r w:rsidR="001D0628">
        <w:rPr>
          <w:rFonts w:ascii="Times New Roman" w:hAnsi="Times New Roman" w:cs="Times New Roman"/>
        </w:rPr>
        <w:t>z </w:t>
      </w:r>
      <w:r w:rsidRPr="00EF6F97">
        <w:rPr>
          <w:rFonts w:ascii="Times New Roman" w:hAnsi="Times New Roman" w:cs="Times New Roman"/>
        </w:rPr>
        <w:t>ww. opiniami przedstawił też Prezes URE w stanowisku pt. „</w:t>
      </w:r>
      <w:r w:rsidRPr="00EF6F97">
        <w:rPr>
          <w:rFonts w:ascii="Times New Roman" w:hAnsi="Times New Roman" w:cs="Times New Roman"/>
          <w:bCs/>
        </w:rPr>
        <w:t xml:space="preserve">Koncepcja dotycząca modelu rynku opomiarowania w Polsce, ze szczególnym uwzględnieniem wymagań” </w:t>
      </w:r>
      <w:r w:rsidR="001D0628">
        <w:rPr>
          <w:rFonts w:ascii="Times New Roman" w:hAnsi="Times New Roman" w:cs="Times New Roman"/>
          <w:bCs/>
        </w:rPr>
        <w:t>z </w:t>
      </w:r>
      <w:r w:rsidRPr="00EF6F97">
        <w:rPr>
          <w:rFonts w:ascii="Times New Roman" w:hAnsi="Times New Roman" w:cs="Times New Roman"/>
          <w:bCs/>
        </w:rPr>
        <w:t>dnia 9 maja 2012 r</w:t>
      </w:r>
      <w:r w:rsidRPr="00EF6F97">
        <w:rPr>
          <w:rStyle w:val="Odwoanieprzypisudolnego"/>
          <w:rFonts w:ascii="Times New Roman" w:hAnsi="Times New Roman" w:cs="Times New Roman"/>
          <w:bCs/>
        </w:rPr>
        <w:footnoteReference w:id="5"/>
      </w:r>
      <w:r w:rsidRPr="00EF6F97">
        <w:rPr>
          <w:rFonts w:ascii="Times New Roman" w:hAnsi="Times New Roman" w:cs="Times New Roman"/>
          <w:bCs/>
        </w:rPr>
        <w:t xml:space="preserve">. </w:t>
      </w:r>
    </w:p>
    <w:p w14:paraId="5949FE8B" w14:textId="4D98684D" w:rsidR="001A6B3C"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F03EF8" w:rsidRPr="00215A1D">
        <w:rPr>
          <w:rFonts w:ascii="Times New Roman" w:hAnsi="Times New Roman" w:cs="Times New Roman"/>
        </w:rPr>
        <w:t>Przepis art. 11z ust. 1 nakłada obowiązek na użytkowników systemu elektroenergetycznego realizacji procesów rynku energii elektrycznej wyłącznie za pośrednictwem centr</w:t>
      </w:r>
      <w:r w:rsidR="007A55BB" w:rsidRPr="00215A1D">
        <w:rPr>
          <w:rFonts w:ascii="Times New Roman" w:hAnsi="Times New Roman" w:cs="Times New Roman"/>
        </w:rPr>
        <w:t xml:space="preserve">alnego systemu informacji rynku energii. </w:t>
      </w:r>
      <w:r w:rsidR="00A0542F" w:rsidRPr="00215A1D">
        <w:rPr>
          <w:rFonts w:ascii="Times New Roman" w:hAnsi="Times New Roman" w:cs="Times New Roman"/>
        </w:rPr>
        <w:t xml:space="preserve">Ust. 2 natomiast dotyczy </w:t>
      </w:r>
      <w:r w:rsidR="00A0542F" w:rsidRPr="00215A1D">
        <w:rPr>
          <w:rFonts w:ascii="Times New Roman" w:hAnsi="Times New Roman" w:cs="Times New Roman"/>
        </w:rPr>
        <w:lastRenderedPageBreak/>
        <w:t>możliwości wymiany innych informacji prze</w:t>
      </w:r>
      <w:r w:rsidR="001D0628">
        <w:rPr>
          <w:rFonts w:ascii="Times New Roman" w:hAnsi="Times New Roman" w:cs="Times New Roman"/>
        </w:rPr>
        <w:t>z </w:t>
      </w:r>
      <w:r w:rsidR="00A0542F" w:rsidRPr="00215A1D">
        <w:rPr>
          <w:rFonts w:ascii="Times New Roman" w:hAnsi="Times New Roman" w:cs="Times New Roman"/>
        </w:rPr>
        <w:t xml:space="preserve">CSIRE. </w:t>
      </w:r>
      <w:r w:rsidR="00997743" w:rsidRPr="00215A1D">
        <w:rPr>
          <w:rFonts w:ascii="Times New Roman" w:hAnsi="Times New Roman" w:cs="Times New Roman"/>
        </w:rPr>
        <w:t>Przepis</w:t>
      </w:r>
      <w:r w:rsidR="00057BA7" w:rsidRPr="00215A1D">
        <w:rPr>
          <w:rFonts w:ascii="Times New Roman" w:hAnsi="Times New Roman" w:cs="Times New Roman"/>
        </w:rPr>
        <w:t>y ust. 1</w:t>
      </w:r>
      <w:r w:rsidR="001D0628">
        <w:rPr>
          <w:rFonts w:ascii="Times New Roman" w:hAnsi="Times New Roman" w:cs="Times New Roman"/>
        </w:rPr>
        <w:t xml:space="preserve"> i </w:t>
      </w:r>
      <w:r w:rsidR="00057BA7" w:rsidRPr="00215A1D">
        <w:rPr>
          <w:rFonts w:ascii="Times New Roman" w:hAnsi="Times New Roman" w:cs="Times New Roman"/>
        </w:rPr>
        <w:t>2</w:t>
      </w:r>
      <w:r w:rsidR="00997743" w:rsidRPr="00215A1D">
        <w:rPr>
          <w:rFonts w:ascii="Times New Roman" w:hAnsi="Times New Roman" w:cs="Times New Roman"/>
        </w:rPr>
        <w:t>zaczn</w:t>
      </w:r>
      <w:r w:rsidR="00057BA7" w:rsidRPr="00215A1D">
        <w:rPr>
          <w:rFonts w:ascii="Times New Roman" w:hAnsi="Times New Roman" w:cs="Times New Roman"/>
        </w:rPr>
        <w:t>ą</w:t>
      </w:r>
      <w:r w:rsidR="00997743" w:rsidRPr="00215A1D">
        <w:rPr>
          <w:rFonts w:ascii="Times New Roman" w:hAnsi="Times New Roman" w:cs="Times New Roman"/>
        </w:rPr>
        <w:t xml:space="preserve"> obowiązywać po wdrożeniu CSIRE. </w:t>
      </w:r>
    </w:p>
    <w:p w14:paraId="06B70AAB" w14:textId="6AE62943" w:rsidR="00997743"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057BA7" w:rsidRPr="00215A1D">
        <w:rPr>
          <w:rFonts w:ascii="Times New Roman" w:hAnsi="Times New Roman" w:cs="Times New Roman"/>
        </w:rPr>
        <w:t>P</w:t>
      </w:r>
      <w:r w:rsidR="00997743" w:rsidRPr="00215A1D">
        <w:rPr>
          <w:rFonts w:ascii="Times New Roman" w:hAnsi="Times New Roman" w:cs="Times New Roman"/>
        </w:rPr>
        <w:t xml:space="preserve">rzepisy art. 11z </w:t>
      </w:r>
      <w:r w:rsidR="00057BA7" w:rsidRPr="00215A1D">
        <w:rPr>
          <w:rFonts w:ascii="Times New Roman" w:hAnsi="Times New Roman" w:cs="Times New Roman"/>
        </w:rPr>
        <w:t>ust. 3</w:t>
      </w:r>
      <w:r w:rsidR="001D0628">
        <w:rPr>
          <w:rFonts w:ascii="Times New Roman" w:hAnsi="Times New Roman" w:cs="Times New Roman"/>
        </w:rPr>
        <w:t xml:space="preserve"> i </w:t>
      </w:r>
      <w:r w:rsidR="00057BA7" w:rsidRPr="00215A1D">
        <w:rPr>
          <w:rFonts w:ascii="Times New Roman" w:hAnsi="Times New Roman" w:cs="Times New Roman"/>
        </w:rPr>
        <w:t xml:space="preserve">4 </w:t>
      </w:r>
      <w:r w:rsidR="00A0542F" w:rsidRPr="00215A1D">
        <w:rPr>
          <w:rFonts w:ascii="Times New Roman" w:hAnsi="Times New Roman" w:cs="Times New Roman"/>
        </w:rPr>
        <w:t>określają</w:t>
      </w:r>
      <w:r>
        <w:rPr>
          <w:rFonts w:ascii="Times New Roman" w:hAnsi="Times New Roman" w:cs="Times New Roman"/>
        </w:rPr>
        <w:t xml:space="preserve"> </w:t>
      </w:r>
      <w:r w:rsidR="00997743" w:rsidRPr="00215A1D">
        <w:rPr>
          <w:rFonts w:ascii="Times New Roman" w:hAnsi="Times New Roman" w:cs="Times New Roman"/>
        </w:rPr>
        <w:t>tryb aktualizacji a także zawartoś</w:t>
      </w:r>
      <w:r w:rsidR="00A0542F" w:rsidRPr="00215A1D">
        <w:rPr>
          <w:rFonts w:ascii="Times New Roman" w:hAnsi="Times New Roman" w:cs="Times New Roman"/>
        </w:rPr>
        <w:t>ć</w:t>
      </w:r>
      <w:r w:rsidR="00997743" w:rsidRPr="00215A1D">
        <w:rPr>
          <w:rFonts w:ascii="Times New Roman" w:hAnsi="Times New Roman" w:cs="Times New Roman"/>
        </w:rPr>
        <w:t xml:space="preserve"> standardów wymiany informacji CSIRE.</w:t>
      </w:r>
    </w:p>
    <w:p w14:paraId="3720F260" w14:textId="4DBB72E7" w:rsidR="00997743"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997743" w:rsidRPr="00215A1D">
        <w:rPr>
          <w:rFonts w:ascii="Times New Roman" w:hAnsi="Times New Roman" w:cs="Times New Roman"/>
        </w:rPr>
        <w:t>Przepisy art. 11z</w:t>
      </w:r>
      <w:r w:rsidR="00810D8B">
        <w:rPr>
          <w:rFonts w:ascii="Times New Roman" w:hAnsi="Times New Roman" w:cs="Times New Roman"/>
        </w:rPr>
        <w:t>a</w:t>
      </w:r>
      <w:r w:rsidR="00997743" w:rsidRPr="00215A1D">
        <w:rPr>
          <w:rFonts w:ascii="Times New Roman" w:hAnsi="Times New Roman" w:cs="Times New Roman"/>
        </w:rPr>
        <w:t xml:space="preserve"> dotyczą zasad korzystania</w:t>
      </w:r>
      <w:r w:rsidR="001D0628">
        <w:rPr>
          <w:rFonts w:ascii="Times New Roman" w:hAnsi="Times New Roman" w:cs="Times New Roman"/>
        </w:rPr>
        <w:t xml:space="preserve"> i </w:t>
      </w:r>
      <w:r w:rsidR="00997743" w:rsidRPr="00215A1D">
        <w:rPr>
          <w:rFonts w:ascii="Times New Roman" w:hAnsi="Times New Roman" w:cs="Times New Roman"/>
        </w:rPr>
        <w:t>zasad dostępu do informacji udostępnianych prze</w:t>
      </w:r>
      <w:r w:rsidR="001D0628">
        <w:rPr>
          <w:rFonts w:ascii="Times New Roman" w:hAnsi="Times New Roman" w:cs="Times New Roman"/>
        </w:rPr>
        <w:t>z </w:t>
      </w:r>
      <w:r w:rsidR="00997743" w:rsidRPr="00215A1D">
        <w:rPr>
          <w:rFonts w:ascii="Times New Roman" w:hAnsi="Times New Roman" w:cs="Times New Roman"/>
        </w:rPr>
        <w:t>CSIRE,</w:t>
      </w:r>
      <w:r>
        <w:rPr>
          <w:rFonts w:ascii="Times New Roman" w:hAnsi="Times New Roman" w:cs="Times New Roman"/>
        </w:rPr>
        <w:t xml:space="preserve"> </w:t>
      </w:r>
      <w:r w:rsidR="00997743" w:rsidRPr="00215A1D">
        <w:rPr>
          <w:rFonts w:ascii="Times New Roman" w:hAnsi="Times New Roman" w:cs="Times New Roman"/>
        </w:rPr>
        <w:t xml:space="preserve">a także wymagań odnośnie współpracy </w:t>
      </w:r>
      <w:r w:rsidR="001D0628">
        <w:rPr>
          <w:rFonts w:ascii="Times New Roman" w:hAnsi="Times New Roman" w:cs="Times New Roman"/>
        </w:rPr>
        <w:t>z </w:t>
      </w:r>
      <w:r w:rsidR="00997743" w:rsidRPr="00215A1D">
        <w:rPr>
          <w:rFonts w:ascii="Times New Roman" w:hAnsi="Times New Roman" w:cs="Times New Roman"/>
        </w:rPr>
        <w:t xml:space="preserve">CSIRE systemów </w:t>
      </w:r>
      <w:r w:rsidR="00B077B9">
        <w:rPr>
          <w:rFonts w:ascii="Times New Roman" w:hAnsi="Times New Roman" w:cs="Times New Roman"/>
        </w:rPr>
        <w:t>informacyjnych</w:t>
      </w:r>
      <w:r w:rsidR="00B077B9" w:rsidRPr="00215A1D">
        <w:rPr>
          <w:rFonts w:ascii="Times New Roman" w:hAnsi="Times New Roman" w:cs="Times New Roman"/>
        </w:rPr>
        <w:t xml:space="preserve"> </w:t>
      </w:r>
      <w:r w:rsidR="00997743" w:rsidRPr="00215A1D">
        <w:rPr>
          <w:rFonts w:ascii="Times New Roman" w:hAnsi="Times New Roman" w:cs="Times New Roman"/>
        </w:rPr>
        <w:t>użytkowników systemu.</w:t>
      </w:r>
      <w:r w:rsidR="006B4C7A" w:rsidRPr="00215A1D">
        <w:rPr>
          <w:rFonts w:ascii="Times New Roman" w:hAnsi="Times New Roman" w:cs="Times New Roman"/>
        </w:rPr>
        <w:t xml:space="preserve"> Przepisy ust. 1 powinien wejść w życie po wdrożeniu CSIRE</w:t>
      </w:r>
      <w:r w:rsidR="00A0542F" w:rsidRPr="00215A1D">
        <w:rPr>
          <w:rFonts w:ascii="Times New Roman" w:hAnsi="Times New Roman" w:cs="Times New Roman"/>
        </w:rPr>
        <w:t>.</w:t>
      </w:r>
      <w:r w:rsidR="006B4C7A" w:rsidRPr="00215A1D">
        <w:rPr>
          <w:rFonts w:ascii="Times New Roman" w:hAnsi="Times New Roman" w:cs="Times New Roman"/>
        </w:rPr>
        <w:t xml:space="preserve"> </w:t>
      </w:r>
    </w:p>
    <w:p w14:paraId="05FF25D2" w14:textId="2B33EFC5" w:rsidR="009A1099"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W projekcie ustawy uregulowano </w:t>
      </w:r>
      <w:r w:rsidR="00997743" w:rsidRPr="00215A1D">
        <w:rPr>
          <w:rFonts w:ascii="Times New Roman" w:hAnsi="Times New Roman" w:cs="Times New Roman"/>
        </w:rPr>
        <w:t>w art. 11z</w:t>
      </w:r>
      <w:r w:rsidR="00810D8B">
        <w:rPr>
          <w:rFonts w:ascii="Times New Roman" w:hAnsi="Times New Roman" w:cs="Times New Roman"/>
        </w:rPr>
        <w:t>b</w:t>
      </w:r>
      <w:r w:rsidR="00997743" w:rsidRPr="00215A1D">
        <w:rPr>
          <w:rFonts w:ascii="Times New Roman" w:hAnsi="Times New Roman" w:cs="Times New Roman"/>
        </w:rPr>
        <w:t xml:space="preserve"> </w:t>
      </w:r>
      <w:r w:rsidR="009A1099" w:rsidRPr="00215A1D">
        <w:rPr>
          <w:rFonts w:ascii="Times New Roman" w:hAnsi="Times New Roman" w:cs="Times New Roman"/>
        </w:rPr>
        <w:t>obowiązki operatorów systemów elektroenergetycznych ora</w:t>
      </w:r>
      <w:r w:rsidR="001D0628">
        <w:rPr>
          <w:rFonts w:ascii="Times New Roman" w:hAnsi="Times New Roman" w:cs="Times New Roman"/>
        </w:rPr>
        <w:t>z </w:t>
      </w:r>
      <w:r w:rsidR="009A1099" w:rsidRPr="00215A1D">
        <w:rPr>
          <w:rFonts w:ascii="Times New Roman" w:hAnsi="Times New Roman" w:cs="Times New Roman"/>
        </w:rPr>
        <w:t>przedsiębiorstw energetycznych zajmujących się obrotem energią elektryczn</w:t>
      </w:r>
      <w:r w:rsidR="008D39DF" w:rsidRPr="00215A1D">
        <w:rPr>
          <w:rFonts w:ascii="Times New Roman" w:hAnsi="Times New Roman" w:cs="Times New Roman"/>
        </w:rPr>
        <w:t>ą</w:t>
      </w:r>
      <w:r w:rsidR="009A1099" w:rsidRPr="00215A1D">
        <w:rPr>
          <w:rFonts w:ascii="Times New Roman" w:hAnsi="Times New Roman" w:cs="Times New Roman"/>
        </w:rPr>
        <w:t xml:space="preserve"> względem operatora informacji </w:t>
      </w:r>
      <w:r w:rsidR="00997743" w:rsidRPr="00215A1D">
        <w:rPr>
          <w:rFonts w:ascii="Times New Roman" w:hAnsi="Times New Roman" w:cs="Times New Roman"/>
        </w:rPr>
        <w:t xml:space="preserve">rynku energii </w:t>
      </w:r>
      <w:r w:rsidR="009A1099" w:rsidRPr="00215A1D">
        <w:rPr>
          <w:rFonts w:ascii="Times New Roman" w:hAnsi="Times New Roman" w:cs="Times New Roman"/>
        </w:rPr>
        <w:t>w zakresie przekazywania</w:t>
      </w:r>
      <w:r>
        <w:rPr>
          <w:rFonts w:ascii="Times New Roman" w:hAnsi="Times New Roman" w:cs="Times New Roman"/>
        </w:rPr>
        <w:t xml:space="preserve"> </w:t>
      </w:r>
      <w:r w:rsidR="009A1099" w:rsidRPr="00215A1D">
        <w:rPr>
          <w:rFonts w:ascii="Times New Roman" w:hAnsi="Times New Roman" w:cs="Times New Roman"/>
        </w:rPr>
        <w:t xml:space="preserve">informacji </w:t>
      </w:r>
      <w:r w:rsidR="00997743" w:rsidRPr="00215A1D">
        <w:rPr>
          <w:rFonts w:ascii="Times New Roman" w:hAnsi="Times New Roman" w:cs="Times New Roman"/>
        </w:rPr>
        <w:t xml:space="preserve">rynku energii, w tym danych </w:t>
      </w:r>
      <w:r w:rsidR="009A1099" w:rsidRPr="00215A1D">
        <w:rPr>
          <w:rFonts w:ascii="Times New Roman" w:hAnsi="Times New Roman" w:cs="Times New Roman"/>
        </w:rPr>
        <w:t xml:space="preserve">pomiarowych </w:t>
      </w:r>
      <w:r w:rsidR="008D39DF" w:rsidRPr="00215A1D">
        <w:rPr>
          <w:rFonts w:ascii="Times New Roman" w:hAnsi="Times New Roman" w:cs="Times New Roman"/>
        </w:rPr>
        <w:t xml:space="preserve">do centralnego systemu informacji rynku energii </w:t>
      </w:r>
      <w:r w:rsidR="009A1099" w:rsidRPr="00215A1D">
        <w:rPr>
          <w:rFonts w:ascii="Times New Roman" w:hAnsi="Times New Roman" w:cs="Times New Roman"/>
        </w:rPr>
        <w:t>m.in. w celu prawidłowego przyporządkowania poszczególnych zdarzeń</w:t>
      </w:r>
      <w:r w:rsidR="001D0628">
        <w:rPr>
          <w:rFonts w:ascii="Times New Roman" w:hAnsi="Times New Roman" w:cs="Times New Roman"/>
        </w:rPr>
        <w:t xml:space="preserve"> i </w:t>
      </w:r>
      <w:r w:rsidR="009A1099" w:rsidRPr="00215A1D">
        <w:rPr>
          <w:rFonts w:ascii="Times New Roman" w:hAnsi="Times New Roman" w:cs="Times New Roman"/>
        </w:rPr>
        <w:t xml:space="preserve">informacji </w:t>
      </w:r>
      <w:r w:rsidR="00C94C9C" w:rsidRPr="00215A1D">
        <w:rPr>
          <w:rFonts w:ascii="Times New Roman" w:hAnsi="Times New Roman" w:cs="Times New Roman"/>
        </w:rPr>
        <w:t>rynku energii</w:t>
      </w:r>
      <w:r w:rsidR="009A1099" w:rsidRPr="00215A1D">
        <w:rPr>
          <w:rFonts w:ascii="Times New Roman" w:hAnsi="Times New Roman" w:cs="Times New Roman"/>
        </w:rPr>
        <w:t xml:space="preserve"> do poszczególnych odbiorców</w:t>
      </w:r>
      <w:r w:rsidR="008D39DF" w:rsidRPr="00215A1D">
        <w:rPr>
          <w:rFonts w:ascii="Times New Roman" w:hAnsi="Times New Roman" w:cs="Times New Roman"/>
        </w:rPr>
        <w:t xml:space="preserve"> a także zapewniania właściwych informacji do rozliczeń na rynku energii elektrycznej</w:t>
      </w:r>
      <w:r w:rsidR="009A1099" w:rsidRPr="00215A1D">
        <w:rPr>
          <w:rFonts w:ascii="Times New Roman" w:hAnsi="Times New Roman" w:cs="Times New Roman"/>
        </w:rPr>
        <w:t xml:space="preserve">. </w:t>
      </w:r>
    </w:p>
    <w:p w14:paraId="285A8DB5" w14:textId="77777777" w:rsidR="00257AB3"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DC0E40" w:rsidRPr="00215A1D">
        <w:rPr>
          <w:rFonts w:ascii="Times New Roman" w:hAnsi="Times New Roman" w:cs="Times New Roman"/>
        </w:rPr>
        <w:t>Sprzedawca energii elektrycznej, o</w:t>
      </w:r>
      <w:r w:rsidR="00257AB3" w:rsidRPr="00215A1D">
        <w:rPr>
          <w:rFonts w:ascii="Times New Roman" w:hAnsi="Times New Roman" w:cs="Times New Roman"/>
        </w:rPr>
        <w:t>perator systemu dystrybucyjnego elektroenergetycznego</w:t>
      </w:r>
      <w:r w:rsidR="00DC0E40" w:rsidRPr="00215A1D">
        <w:rPr>
          <w:rFonts w:ascii="Times New Roman" w:hAnsi="Times New Roman" w:cs="Times New Roman"/>
        </w:rPr>
        <w:t xml:space="preserve">, </w:t>
      </w:r>
      <w:r w:rsidR="00257AB3" w:rsidRPr="00215A1D">
        <w:rPr>
          <w:rFonts w:ascii="Times New Roman" w:hAnsi="Times New Roman" w:cs="Times New Roman"/>
        </w:rPr>
        <w:t xml:space="preserve">operator systemu przesyłowego elektroenergetycznego </w:t>
      </w:r>
      <w:r w:rsidR="00DC0E40" w:rsidRPr="00215A1D">
        <w:rPr>
          <w:rFonts w:ascii="Times New Roman" w:hAnsi="Times New Roman" w:cs="Times New Roman"/>
        </w:rPr>
        <w:t>ora</w:t>
      </w:r>
      <w:r w:rsidR="001D0628">
        <w:rPr>
          <w:rFonts w:ascii="Times New Roman" w:hAnsi="Times New Roman" w:cs="Times New Roman"/>
        </w:rPr>
        <w:t>z </w:t>
      </w:r>
      <w:r w:rsidR="00DC0E40" w:rsidRPr="00215A1D">
        <w:rPr>
          <w:rFonts w:ascii="Times New Roman" w:hAnsi="Times New Roman" w:cs="Times New Roman"/>
        </w:rPr>
        <w:t xml:space="preserve">operatora ogólnodostępnej stacji ładowania </w:t>
      </w:r>
      <w:r w:rsidR="00257AB3" w:rsidRPr="00215A1D">
        <w:rPr>
          <w:rFonts w:ascii="Times New Roman" w:hAnsi="Times New Roman" w:cs="Times New Roman"/>
        </w:rPr>
        <w:t xml:space="preserve">będą mogli </w:t>
      </w:r>
      <w:r w:rsidR="00DC0E40" w:rsidRPr="00215A1D">
        <w:rPr>
          <w:rFonts w:ascii="Times New Roman" w:hAnsi="Times New Roman" w:cs="Times New Roman"/>
        </w:rPr>
        <w:t>prowadzić własny rejestr odbiorców lub punktów pomiarowych, przechowywać informacje rynku energii ora</w:t>
      </w:r>
      <w:r w:rsidR="001D0628">
        <w:rPr>
          <w:rFonts w:ascii="Times New Roman" w:hAnsi="Times New Roman" w:cs="Times New Roman"/>
        </w:rPr>
        <w:t>z </w:t>
      </w:r>
      <w:r w:rsidR="00DC0E40" w:rsidRPr="00215A1D">
        <w:rPr>
          <w:rFonts w:ascii="Times New Roman" w:hAnsi="Times New Roman" w:cs="Times New Roman"/>
        </w:rPr>
        <w:t>prz</w:t>
      </w:r>
      <w:r w:rsidR="00257AB3" w:rsidRPr="00215A1D">
        <w:rPr>
          <w:rFonts w:ascii="Times New Roman" w:hAnsi="Times New Roman" w:cs="Times New Roman"/>
        </w:rPr>
        <w:t xml:space="preserve">etwarzać </w:t>
      </w:r>
      <w:r w:rsidR="00DC0E40" w:rsidRPr="00215A1D">
        <w:rPr>
          <w:rFonts w:ascii="Times New Roman" w:hAnsi="Times New Roman" w:cs="Times New Roman"/>
        </w:rPr>
        <w:t xml:space="preserve">je w celu wykonywania obowiązków ustawowych, jednakże </w:t>
      </w:r>
      <w:r w:rsidR="001D0628">
        <w:rPr>
          <w:rFonts w:ascii="Times New Roman" w:hAnsi="Times New Roman" w:cs="Times New Roman"/>
        </w:rPr>
        <w:t>z </w:t>
      </w:r>
      <w:r w:rsidR="00DC0E40" w:rsidRPr="00215A1D">
        <w:rPr>
          <w:rFonts w:ascii="Times New Roman" w:hAnsi="Times New Roman" w:cs="Times New Roman"/>
        </w:rPr>
        <w:t>wyłączeniem prowadzenia rozliczeń za dostarczoną energię lub usługi.</w:t>
      </w:r>
      <w:r w:rsidR="006B4C7A" w:rsidRPr="00215A1D">
        <w:rPr>
          <w:rFonts w:ascii="Times New Roman" w:hAnsi="Times New Roman" w:cs="Times New Roman"/>
        </w:rPr>
        <w:t xml:space="preserve"> </w:t>
      </w:r>
      <w:r w:rsidR="001D0628">
        <w:rPr>
          <w:rFonts w:ascii="Times New Roman" w:hAnsi="Times New Roman" w:cs="Times New Roman"/>
        </w:rPr>
        <w:t>Z </w:t>
      </w:r>
      <w:r w:rsidR="006B4C7A" w:rsidRPr="00215A1D">
        <w:rPr>
          <w:rFonts w:ascii="Times New Roman" w:hAnsi="Times New Roman" w:cs="Times New Roman"/>
        </w:rPr>
        <w:t xml:space="preserve">wyłączeniem ust. 5, przepisy wejdą w życie po wdrożeniu CSIRE. </w:t>
      </w:r>
    </w:p>
    <w:p w14:paraId="34FB16DF" w14:textId="028228F8" w:rsidR="008D39DF"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8D39DF" w:rsidRPr="00215A1D">
        <w:rPr>
          <w:rFonts w:ascii="Times New Roman" w:hAnsi="Times New Roman" w:cs="Times New Roman"/>
        </w:rPr>
        <w:t>W ustawie w art. 11z</w:t>
      </w:r>
      <w:r w:rsidR="00810D8B">
        <w:rPr>
          <w:rFonts w:ascii="Times New Roman" w:hAnsi="Times New Roman" w:cs="Times New Roman"/>
        </w:rPr>
        <w:t>c</w:t>
      </w:r>
      <w:r w:rsidR="008D39DF" w:rsidRPr="00215A1D">
        <w:rPr>
          <w:rFonts w:ascii="Times New Roman" w:hAnsi="Times New Roman" w:cs="Times New Roman"/>
        </w:rPr>
        <w:t xml:space="preserve"> określono zamknięty katalog podmiotów, którym mogą być przekazywane informacje rynku energii be</w:t>
      </w:r>
      <w:r w:rsidR="001D0628">
        <w:rPr>
          <w:rFonts w:ascii="Times New Roman" w:hAnsi="Times New Roman" w:cs="Times New Roman"/>
        </w:rPr>
        <w:t>z </w:t>
      </w:r>
      <w:r w:rsidR="008D39DF" w:rsidRPr="00215A1D">
        <w:rPr>
          <w:rFonts w:ascii="Times New Roman" w:hAnsi="Times New Roman" w:cs="Times New Roman"/>
        </w:rPr>
        <w:t xml:space="preserve">prawa do ich dalszego udostępniania. Podobnie uczyniono </w:t>
      </w:r>
      <w:r w:rsidR="001D0628">
        <w:rPr>
          <w:rFonts w:ascii="Times New Roman" w:hAnsi="Times New Roman" w:cs="Times New Roman"/>
        </w:rPr>
        <w:t>z </w:t>
      </w:r>
      <w:r w:rsidR="008D39DF" w:rsidRPr="00215A1D">
        <w:rPr>
          <w:rFonts w:ascii="Times New Roman" w:hAnsi="Times New Roman" w:cs="Times New Roman"/>
        </w:rPr>
        <w:t>określeniem celu przetwarzania danych pomiarowych.</w:t>
      </w:r>
      <w:r w:rsidR="001D0628">
        <w:rPr>
          <w:rFonts w:ascii="Times New Roman" w:hAnsi="Times New Roman" w:cs="Times New Roman"/>
        </w:rPr>
        <w:t xml:space="preserve"> </w:t>
      </w:r>
      <w:r w:rsidR="00E50C5E">
        <w:rPr>
          <w:rFonts w:ascii="Times New Roman" w:hAnsi="Times New Roman" w:cs="Times New Roman"/>
        </w:rPr>
        <w:t>I</w:t>
      </w:r>
      <w:r w:rsidR="001D0628">
        <w:rPr>
          <w:rFonts w:ascii="Times New Roman" w:hAnsi="Times New Roman" w:cs="Times New Roman"/>
        </w:rPr>
        <w:t> </w:t>
      </w:r>
      <w:r w:rsidR="008D39DF" w:rsidRPr="00215A1D">
        <w:rPr>
          <w:rFonts w:ascii="Times New Roman" w:hAnsi="Times New Roman" w:cs="Times New Roman"/>
        </w:rPr>
        <w:t xml:space="preserve">tak dane pomiarowe będą mogły być przetwarzane wyłącznie w celu: </w:t>
      </w:r>
    </w:p>
    <w:p w14:paraId="1FA932BE"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 xml:space="preserve">zawarcia, realizacji, zmiany lub ustalenia treści umowy </w:t>
      </w:r>
      <w:r w:rsidR="001D0628">
        <w:rPr>
          <w:rFonts w:ascii="Times New Roman" w:hAnsi="Times New Roman" w:cs="Times New Roman"/>
        </w:rPr>
        <w:t>z </w:t>
      </w:r>
      <w:r w:rsidRPr="00215A1D">
        <w:rPr>
          <w:rFonts w:ascii="Times New Roman" w:hAnsi="Times New Roman" w:cs="Times New Roman"/>
        </w:rPr>
        <w:t>użytkownikiem systemu elektroenergetycznego w zakresie dostarczania energii elektrycznej;</w:t>
      </w:r>
    </w:p>
    <w:p w14:paraId="390C72AC"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 xml:space="preserve">realizacji obowiązków wynikających </w:t>
      </w:r>
      <w:r w:rsidR="001D0628">
        <w:rPr>
          <w:rFonts w:ascii="Times New Roman" w:hAnsi="Times New Roman" w:cs="Times New Roman"/>
        </w:rPr>
        <w:t>z </w:t>
      </w:r>
      <w:r w:rsidRPr="00215A1D">
        <w:rPr>
          <w:rFonts w:ascii="Times New Roman" w:hAnsi="Times New Roman" w:cs="Times New Roman"/>
        </w:rPr>
        <w:t>udziału w rynku mocy;</w:t>
      </w:r>
    </w:p>
    <w:p w14:paraId="2D980D8C"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dokonywania rozliczeń za sprzedaż energii elektrycznej lub usług przesyłania lub dystrybucji energii elektrycznej;</w:t>
      </w:r>
    </w:p>
    <w:p w14:paraId="3D4C7E43"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realizacji</w:t>
      </w:r>
      <w:r w:rsidR="001D0628">
        <w:rPr>
          <w:rFonts w:ascii="Times New Roman" w:hAnsi="Times New Roman" w:cs="Times New Roman"/>
        </w:rPr>
        <w:t xml:space="preserve"> i </w:t>
      </w:r>
      <w:r w:rsidRPr="00215A1D">
        <w:rPr>
          <w:rFonts w:ascii="Times New Roman" w:hAnsi="Times New Roman" w:cs="Times New Roman"/>
        </w:rPr>
        <w:t>rozliczeń umów dotyczących świadczenia usług systemowych;</w:t>
      </w:r>
    </w:p>
    <w:p w14:paraId="3A94B857"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zapewnienia bezpieczeństwa pracy sieci elektroenergetycznej;</w:t>
      </w:r>
    </w:p>
    <w:p w14:paraId="7670BFF0"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wykrywania nieprawidłowości w poborze energii elektrycznej;</w:t>
      </w:r>
    </w:p>
    <w:p w14:paraId="5E804E53"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lastRenderedPageBreak/>
        <w:t xml:space="preserve">dokonywania rozliczeń za energię elektryczną w punkcie ładowania ogólnodostępnej stacji ładowania; </w:t>
      </w:r>
    </w:p>
    <w:p w14:paraId="7B49B4F8"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anali</w:t>
      </w:r>
      <w:r w:rsidR="001D0628">
        <w:rPr>
          <w:rFonts w:ascii="Times New Roman" w:hAnsi="Times New Roman" w:cs="Times New Roman"/>
        </w:rPr>
        <w:t>z </w:t>
      </w:r>
      <w:r w:rsidRPr="00215A1D">
        <w:rPr>
          <w:rFonts w:ascii="Times New Roman" w:hAnsi="Times New Roman" w:cs="Times New Roman"/>
        </w:rPr>
        <w:t>statystycznych;</w:t>
      </w:r>
    </w:p>
    <w:p w14:paraId="55B080BC"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ustalenia, dochodzenia lub obrony roszczeń;</w:t>
      </w:r>
    </w:p>
    <w:p w14:paraId="6F4782D6"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rozliczeń podmiotów odpowiedzialnych za bilansowanie handlowe;</w:t>
      </w:r>
    </w:p>
    <w:p w14:paraId="25734414"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 xml:space="preserve">realizacji innych obowiązków wynikających </w:t>
      </w:r>
      <w:r w:rsidR="001D0628">
        <w:rPr>
          <w:rFonts w:ascii="Times New Roman" w:hAnsi="Times New Roman" w:cs="Times New Roman"/>
        </w:rPr>
        <w:t>z </w:t>
      </w:r>
      <w:r w:rsidRPr="00215A1D">
        <w:rPr>
          <w:rFonts w:ascii="Times New Roman" w:hAnsi="Times New Roman" w:cs="Times New Roman"/>
        </w:rPr>
        <w:t>przepisów odrębnych.</w:t>
      </w:r>
    </w:p>
    <w:p w14:paraId="52078250" w14:textId="77777777" w:rsidR="00E7466D"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E7466D" w:rsidRPr="00215A1D">
        <w:rPr>
          <w:rFonts w:ascii="Times New Roman" w:hAnsi="Times New Roman" w:cs="Times New Roman"/>
        </w:rPr>
        <w:t xml:space="preserve">Ponadto określono katalogi podmiotów uprawnionych do dostępu do danych zagregowanych. </w:t>
      </w:r>
      <w:r w:rsidR="008D39DF" w:rsidRPr="00215A1D">
        <w:rPr>
          <w:rFonts w:ascii="Times New Roman" w:hAnsi="Times New Roman" w:cs="Times New Roman"/>
        </w:rPr>
        <w:t xml:space="preserve">Precyzyjne uregulowanie zasad dostępu do </w:t>
      </w:r>
      <w:r w:rsidR="00E7466D" w:rsidRPr="00215A1D">
        <w:rPr>
          <w:rFonts w:ascii="Times New Roman" w:hAnsi="Times New Roman" w:cs="Times New Roman"/>
        </w:rPr>
        <w:t xml:space="preserve">informacji rynku energii, w tym </w:t>
      </w:r>
      <w:r w:rsidR="008D39DF" w:rsidRPr="00215A1D">
        <w:rPr>
          <w:rFonts w:ascii="Times New Roman" w:hAnsi="Times New Roman" w:cs="Times New Roman"/>
        </w:rPr>
        <w:t>danych pomiarowych ma na celu, niezależnie od pozostałych rozwiązań przewidzianych w projekcie ustawy,</w:t>
      </w:r>
      <w:r>
        <w:rPr>
          <w:rFonts w:ascii="Times New Roman" w:hAnsi="Times New Roman" w:cs="Times New Roman"/>
        </w:rPr>
        <w:t xml:space="preserve"> </w:t>
      </w:r>
      <w:r w:rsidR="008D39DF" w:rsidRPr="00215A1D">
        <w:rPr>
          <w:rFonts w:ascii="Times New Roman" w:hAnsi="Times New Roman" w:cs="Times New Roman"/>
        </w:rPr>
        <w:t>zapewnienie bezpieczeństwa wymiany tych danych, w szczególności danych osobowych.</w:t>
      </w:r>
    </w:p>
    <w:p w14:paraId="051F291B" w14:textId="77777777" w:rsidR="006B4C7A"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E7466D" w:rsidRPr="00215A1D">
        <w:rPr>
          <w:rFonts w:ascii="Times New Roman" w:hAnsi="Times New Roman" w:cs="Times New Roman"/>
        </w:rPr>
        <w:t>Zastrzeżono, że dostęp</w:t>
      </w:r>
      <w:r>
        <w:rPr>
          <w:rFonts w:ascii="Times New Roman" w:hAnsi="Times New Roman" w:cs="Times New Roman"/>
        </w:rPr>
        <w:t xml:space="preserve"> </w:t>
      </w:r>
      <w:r w:rsidR="00E7466D" w:rsidRPr="00215A1D">
        <w:rPr>
          <w:rFonts w:ascii="Times New Roman" w:hAnsi="Times New Roman" w:cs="Times New Roman"/>
        </w:rPr>
        <w:t>uprawnionych użytkowników do CSIRE odbywa się w postaci elektronicznej</w:t>
      </w:r>
      <w:r w:rsidR="001D0628">
        <w:rPr>
          <w:rFonts w:ascii="Times New Roman" w:hAnsi="Times New Roman" w:cs="Times New Roman"/>
        </w:rPr>
        <w:t xml:space="preserve"> i </w:t>
      </w:r>
      <w:r w:rsidR="00E7466D" w:rsidRPr="00215A1D">
        <w:rPr>
          <w:rFonts w:ascii="Times New Roman" w:hAnsi="Times New Roman" w:cs="Times New Roman"/>
        </w:rPr>
        <w:t>jest nieodpłatny.</w:t>
      </w:r>
      <w:r>
        <w:rPr>
          <w:rFonts w:ascii="Times New Roman" w:hAnsi="Times New Roman" w:cs="Times New Roman"/>
        </w:rPr>
        <w:t xml:space="preserve">  </w:t>
      </w:r>
    </w:p>
    <w:p w14:paraId="1778B5D2" w14:textId="566A61BF" w:rsidR="008D39DF"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6B4C7A" w:rsidRPr="00215A1D">
        <w:rPr>
          <w:rFonts w:ascii="Times New Roman" w:hAnsi="Times New Roman" w:cs="Times New Roman"/>
        </w:rPr>
        <w:t>Przepisy art. 11z</w:t>
      </w:r>
      <w:r w:rsidR="00810D8B">
        <w:rPr>
          <w:rFonts w:ascii="Times New Roman" w:hAnsi="Times New Roman" w:cs="Times New Roman"/>
        </w:rPr>
        <w:t>c</w:t>
      </w:r>
      <w:r w:rsidR="006B4C7A" w:rsidRPr="00215A1D">
        <w:rPr>
          <w:rFonts w:ascii="Times New Roman" w:hAnsi="Times New Roman" w:cs="Times New Roman"/>
        </w:rPr>
        <w:t xml:space="preserve"> wejdą w życie po wdrożeniu CSIRE.</w:t>
      </w:r>
      <w:r>
        <w:rPr>
          <w:rFonts w:ascii="Times New Roman" w:hAnsi="Times New Roman" w:cs="Times New Roman"/>
        </w:rPr>
        <w:t xml:space="preserve">   </w:t>
      </w:r>
    </w:p>
    <w:p w14:paraId="0CE3F7EF" w14:textId="102FC569" w:rsidR="00DC0E40"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Zobowiązano </w:t>
      </w:r>
      <w:r w:rsidR="00E7466D" w:rsidRPr="00215A1D">
        <w:rPr>
          <w:rFonts w:ascii="Times New Roman" w:hAnsi="Times New Roman" w:cs="Times New Roman"/>
        </w:rPr>
        <w:t>podmioty uprawnione do dostępu do informacji rynku energii (art. 11z</w:t>
      </w:r>
      <w:r w:rsidR="00810D8B">
        <w:rPr>
          <w:rFonts w:ascii="Times New Roman" w:hAnsi="Times New Roman" w:cs="Times New Roman"/>
        </w:rPr>
        <w:t>d</w:t>
      </w:r>
      <w:r w:rsidR="00E7466D" w:rsidRPr="00215A1D">
        <w:rPr>
          <w:rFonts w:ascii="Times New Roman" w:hAnsi="Times New Roman" w:cs="Times New Roman"/>
        </w:rPr>
        <w:t xml:space="preserve">) </w:t>
      </w:r>
      <w:r w:rsidR="009A1099" w:rsidRPr="00215A1D">
        <w:rPr>
          <w:rFonts w:ascii="Times New Roman" w:hAnsi="Times New Roman" w:cs="Times New Roman"/>
        </w:rPr>
        <w:t>do stosowania środków technicznych</w:t>
      </w:r>
      <w:r w:rsidR="001D0628">
        <w:rPr>
          <w:rFonts w:ascii="Times New Roman" w:hAnsi="Times New Roman" w:cs="Times New Roman"/>
        </w:rPr>
        <w:t xml:space="preserve"> i </w:t>
      </w:r>
      <w:r w:rsidR="009A1099" w:rsidRPr="00215A1D">
        <w:rPr>
          <w:rFonts w:ascii="Times New Roman" w:hAnsi="Times New Roman" w:cs="Times New Roman"/>
        </w:rPr>
        <w:t xml:space="preserve">organizacyjnych zapewniających ochronę przetwarzanych informacji </w:t>
      </w:r>
      <w:r w:rsidR="00E7466D" w:rsidRPr="00215A1D">
        <w:rPr>
          <w:rFonts w:ascii="Times New Roman" w:hAnsi="Times New Roman" w:cs="Times New Roman"/>
        </w:rPr>
        <w:t>rynku energii</w:t>
      </w:r>
      <w:r w:rsidR="009A1099" w:rsidRPr="00215A1D">
        <w:rPr>
          <w:rFonts w:ascii="Times New Roman" w:hAnsi="Times New Roman" w:cs="Times New Roman"/>
        </w:rPr>
        <w:t>,.</w:t>
      </w:r>
      <w:r w:rsidR="001D0628">
        <w:rPr>
          <w:rFonts w:ascii="Times New Roman" w:hAnsi="Times New Roman" w:cs="Times New Roman"/>
        </w:rPr>
        <w:t xml:space="preserve"> </w:t>
      </w:r>
      <w:r w:rsidR="00810D8B">
        <w:rPr>
          <w:rFonts w:ascii="Times New Roman" w:hAnsi="Times New Roman" w:cs="Times New Roman"/>
        </w:rPr>
        <w:t>I</w:t>
      </w:r>
      <w:r w:rsidR="001D0628">
        <w:rPr>
          <w:rFonts w:ascii="Times New Roman" w:hAnsi="Times New Roman" w:cs="Times New Roman"/>
        </w:rPr>
        <w:t> </w:t>
      </w:r>
      <w:r w:rsidR="00DC0E40" w:rsidRPr="00215A1D">
        <w:rPr>
          <w:rFonts w:ascii="Times New Roman" w:hAnsi="Times New Roman" w:cs="Times New Roman"/>
        </w:rPr>
        <w:t>tak, podmioty te, odpowiednio do wykonywanych zadań, są zobowiązane do:</w:t>
      </w:r>
      <w:r w:rsidR="00810D8B">
        <w:rPr>
          <w:rFonts w:ascii="Times New Roman" w:hAnsi="Times New Roman" w:cs="Times New Roman"/>
        </w:rPr>
        <w:t>.</w:t>
      </w:r>
    </w:p>
    <w:p w14:paraId="20AB399C" w14:textId="77777777" w:rsidR="00DC0E40" w:rsidRPr="00215A1D" w:rsidRDefault="00DC0E40" w:rsidP="00215A1D">
      <w:pPr>
        <w:pStyle w:val="USTustnpkodeksu"/>
        <w:numPr>
          <w:ilvl w:val="0"/>
          <w:numId w:val="83"/>
        </w:numPr>
        <w:ind w:left="567" w:hanging="341"/>
        <w:rPr>
          <w:rFonts w:ascii="Times New Roman" w:hAnsi="Times New Roman" w:cs="Times New Roman"/>
        </w:rPr>
      </w:pPr>
      <w:r w:rsidRPr="00215A1D">
        <w:rPr>
          <w:rFonts w:ascii="Times New Roman" w:hAnsi="Times New Roman" w:cs="Times New Roman"/>
        </w:rPr>
        <w:t>ustalania warunków</w:t>
      </w:r>
      <w:r w:rsidR="001D0628">
        <w:rPr>
          <w:rFonts w:ascii="Times New Roman" w:hAnsi="Times New Roman" w:cs="Times New Roman"/>
        </w:rPr>
        <w:t xml:space="preserve"> i </w:t>
      </w:r>
      <w:r w:rsidRPr="00215A1D">
        <w:rPr>
          <w:rFonts w:ascii="Times New Roman" w:hAnsi="Times New Roman" w:cs="Times New Roman"/>
        </w:rPr>
        <w:t xml:space="preserve">sposobu przydzielania uprawnień do dostępu do </w:t>
      </w:r>
      <w:r w:rsidR="002A15C1" w:rsidRPr="00215A1D">
        <w:rPr>
          <w:rFonts w:ascii="Times New Roman" w:hAnsi="Times New Roman" w:cs="Times New Roman"/>
        </w:rPr>
        <w:t>informacji rynku energii</w:t>
      </w:r>
      <w:r w:rsidRPr="00215A1D">
        <w:rPr>
          <w:rFonts w:ascii="Times New Roman" w:hAnsi="Times New Roman" w:cs="Times New Roman"/>
        </w:rPr>
        <w:t>;</w:t>
      </w:r>
    </w:p>
    <w:p w14:paraId="63CDC879" w14:textId="77777777" w:rsidR="00DC0E40" w:rsidRPr="00215A1D" w:rsidRDefault="00DC0E40" w:rsidP="00215A1D">
      <w:pPr>
        <w:pStyle w:val="USTustnpkodeksu"/>
        <w:numPr>
          <w:ilvl w:val="0"/>
          <w:numId w:val="83"/>
        </w:numPr>
        <w:ind w:left="567" w:hanging="341"/>
        <w:rPr>
          <w:rFonts w:ascii="Times New Roman" w:hAnsi="Times New Roman" w:cs="Times New Roman"/>
        </w:rPr>
      </w:pPr>
      <w:r w:rsidRPr="00215A1D">
        <w:rPr>
          <w:rFonts w:ascii="Times New Roman" w:hAnsi="Times New Roman" w:cs="Times New Roman"/>
        </w:rPr>
        <w:t>zapewnienia właściwej ochrony informacji rynku energii;</w:t>
      </w:r>
    </w:p>
    <w:p w14:paraId="135DE293" w14:textId="77777777" w:rsidR="00DC0E40" w:rsidRPr="00215A1D" w:rsidRDefault="00DC0E40" w:rsidP="00215A1D">
      <w:pPr>
        <w:pStyle w:val="USTustnpkodeksu"/>
        <w:numPr>
          <w:ilvl w:val="0"/>
          <w:numId w:val="83"/>
        </w:numPr>
        <w:ind w:left="567" w:hanging="341"/>
        <w:rPr>
          <w:rFonts w:ascii="Times New Roman" w:hAnsi="Times New Roman" w:cs="Times New Roman"/>
        </w:rPr>
      </w:pPr>
      <w:r w:rsidRPr="00215A1D">
        <w:rPr>
          <w:rFonts w:ascii="Times New Roman" w:hAnsi="Times New Roman" w:cs="Times New Roman"/>
        </w:rPr>
        <w:t xml:space="preserve">stosowania szablonu oceny skutków w zakresie ochrony </w:t>
      </w:r>
      <w:r w:rsidR="002A15C1" w:rsidRPr="00215A1D">
        <w:rPr>
          <w:rFonts w:ascii="Times New Roman" w:hAnsi="Times New Roman" w:cs="Times New Roman"/>
        </w:rPr>
        <w:t>informacji rynku energii.</w:t>
      </w:r>
    </w:p>
    <w:p w14:paraId="2109954B" w14:textId="53CB5022" w:rsidR="00CE2D80" w:rsidRPr="00215A1D" w:rsidRDefault="00B077B9" w:rsidP="00CE2D80">
      <w:pPr>
        <w:pStyle w:val="USTustnpkodeksu"/>
        <w:rPr>
          <w:rFonts w:ascii="Times New Roman" w:hAnsi="Times New Roman" w:cs="Times New Roman"/>
        </w:rPr>
      </w:pPr>
      <w:r>
        <w:rPr>
          <w:rFonts w:ascii="Times New Roman" w:hAnsi="Times New Roman" w:cs="Times New Roman"/>
        </w:rPr>
        <w:t>Projekt ustawy ma na celu również pełne zapewnienie</w:t>
      </w:r>
      <w:r w:rsidR="00CE2D80">
        <w:rPr>
          <w:rFonts w:ascii="Times New Roman" w:hAnsi="Times New Roman" w:cs="Times New Roman"/>
        </w:rPr>
        <w:t xml:space="preserve"> że </w:t>
      </w:r>
      <w:r w:rsidR="00CE2D80" w:rsidRPr="00CE2D80">
        <w:rPr>
          <w:rFonts w:ascii="Times New Roman" w:hAnsi="Times New Roman" w:cs="Times New Roman"/>
        </w:rPr>
        <w:t>wszyscy uczestnicy CSIRE są zobo</w:t>
      </w:r>
      <w:r w:rsidR="00CE2D80">
        <w:rPr>
          <w:rFonts w:ascii="Times New Roman" w:hAnsi="Times New Roman" w:cs="Times New Roman"/>
        </w:rPr>
        <w:t xml:space="preserve">wiązani do </w:t>
      </w:r>
      <w:r w:rsidR="00CE2D80" w:rsidRPr="00CE2D80">
        <w:rPr>
          <w:rFonts w:ascii="Times New Roman" w:hAnsi="Times New Roman" w:cs="Times New Roman"/>
        </w:rPr>
        <w:t xml:space="preserve">stosowania </w:t>
      </w:r>
      <w:r w:rsidR="00CE2D80">
        <w:rPr>
          <w:rFonts w:ascii="Times New Roman" w:hAnsi="Times New Roman" w:cs="Times New Roman"/>
        </w:rPr>
        <w:t xml:space="preserve">ustawy </w:t>
      </w:r>
      <w:r w:rsidR="00CE2D80" w:rsidRPr="00CE2D80">
        <w:rPr>
          <w:rFonts w:ascii="Times New Roman" w:hAnsi="Times New Roman" w:cs="Times New Roman"/>
        </w:rPr>
        <w:t xml:space="preserve"> z dnia 5 lipca 2018 r. o krajowy</w:t>
      </w:r>
      <w:r w:rsidR="00CE2D80">
        <w:rPr>
          <w:rFonts w:ascii="Times New Roman" w:hAnsi="Times New Roman" w:cs="Times New Roman"/>
        </w:rPr>
        <w:t xml:space="preserve">m systemie cyberbezpieczeństwa </w:t>
      </w:r>
    </w:p>
    <w:p w14:paraId="1508A37A" w14:textId="39CE0D0E" w:rsidR="006B4C7A"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6B4C7A" w:rsidRPr="00215A1D">
        <w:rPr>
          <w:rFonts w:ascii="Times New Roman" w:hAnsi="Times New Roman" w:cs="Times New Roman"/>
        </w:rPr>
        <w:t>Przepisy art. 11z</w:t>
      </w:r>
      <w:r w:rsidR="00810D8B">
        <w:rPr>
          <w:rFonts w:ascii="Times New Roman" w:hAnsi="Times New Roman" w:cs="Times New Roman"/>
        </w:rPr>
        <w:t>d</w:t>
      </w:r>
      <w:r w:rsidR="006B4C7A" w:rsidRPr="00215A1D">
        <w:rPr>
          <w:rFonts w:ascii="Times New Roman" w:hAnsi="Times New Roman" w:cs="Times New Roman"/>
        </w:rPr>
        <w:t xml:space="preserve"> wejdą w życie po wdrożeniu CSIRE.</w:t>
      </w:r>
    </w:p>
    <w:p w14:paraId="07744934" w14:textId="30D7B0B9" w:rsidR="00E7466D"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E7466D" w:rsidRPr="00215A1D">
        <w:rPr>
          <w:rFonts w:ascii="Times New Roman" w:hAnsi="Times New Roman" w:cs="Times New Roman"/>
        </w:rPr>
        <w:t>W art. 11z</w:t>
      </w:r>
      <w:r w:rsidR="00810D8B">
        <w:rPr>
          <w:rFonts w:ascii="Times New Roman" w:hAnsi="Times New Roman" w:cs="Times New Roman"/>
        </w:rPr>
        <w:t>e</w:t>
      </w:r>
      <w:r w:rsidR="00E7466D" w:rsidRPr="00215A1D">
        <w:rPr>
          <w:rFonts w:ascii="Times New Roman" w:hAnsi="Times New Roman" w:cs="Times New Roman"/>
        </w:rPr>
        <w:t xml:space="preserve"> proponuje się przyjąć </w:t>
      </w:r>
      <w:r w:rsidR="00F52319" w:rsidRPr="00215A1D">
        <w:rPr>
          <w:rFonts w:ascii="Times New Roman" w:hAnsi="Times New Roman" w:cs="Times New Roman"/>
        </w:rPr>
        <w:t>zasadę</w:t>
      </w:r>
      <w:r w:rsidR="00E7466D" w:rsidRPr="00215A1D">
        <w:rPr>
          <w:rFonts w:ascii="Times New Roman" w:hAnsi="Times New Roman" w:cs="Times New Roman"/>
        </w:rPr>
        <w:t xml:space="preserve"> współadministrowania informacjami rynku energii, stanowiącymi dane osobowe. Współadministratorami będę: operator systemu dystrybucyjnego lub przesyłowego, sprzedawca energii elektrycznej ora</w:t>
      </w:r>
      <w:r w:rsidR="001D0628">
        <w:rPr>
          <w:rFonts w:ascii="Times New Roman" w:hAnsi="Times New Roman" w:cs="Times New Roman"/>
        </w:rPr>
        <w:t>z </w:t>
      </w:r>
      <w:r w:rsidR="00E7466D" w:rsidRPr="00215A1D">
        <w:rPr>
          <w:rFonts w:ascii="Times New Roman" w:hAnsi="Times New Roman" w:cs="Times New Roman"/>
        </w:rPr>
        <w:t xml:space="preserve">operator informacji rynku energii. </w:t>
      </w:r>
    </w:p>
    <w:p w14:paraId="1329071E" w14:textId="77777777" w:rsidR="001C02F8" w:rsidRPr="00EF6F97" w:rsidRDefault="00EF6F97"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52319" w:rsidRPr="00EF6F97">
        <w:rPr>
          <w:rFonts w:ascii="Times New Roman" w:hAnsi="Times New Roman" w:cs="Times New Roman"/>
          <w:sz w:val="24"/>
          <w:szCs w:val="24"/>
        </w:rPr>
        <w:t>Wejście w życie przepisów rozporządzenia Parlamentu Europejskiego</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 xml:space="preserve">Rady (UE) 2016/679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dnia 27 kwietnia 2016</w:t>
      </w:r>
      <w:r w:rsidR="001D0628">
        <w:rPr>
          <w:rFonts w:ascii="Times New Roman" w:hAnsi="Times New Roman" w:cs="Times New Roman"/>
          <w:sz w:val="24"/>
          <w:szCs w:val="24"/>
        </w:rPr>
        <w:t> r.</w:t>
      </w:r>
      <w:r w:rsidR="00F52319" w:rsidRPr="00EF6F97">
        <w:rPr>
          <w:rFonts w:ascii="Times New Roman" w:hAnsi="Times New Roman" w:cs="Times New Roman"/>
          <w:sz w:val="24"/>
          <w:szCs w:val="24"/>
        </w:rPr>
        <w:t xml:space="preserve"> w sprawie ochrony osób fizycznych w związku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przetwarzaniem danych osobowych</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w sprawie swobodnego przepływu takich danych ora</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 xml:space="preserve">uchylenia dyrektywy 95/46/WE (ogólne rozporządzenie o ochronie danych osobowych </w:t>
      </w:r>
      <w:r w:rsidR="00F52319" w:rsidRPr="00EF6F97">
        <w:rPr>
          <w:rFonts w:ascii="Times New Roman" w:hAnsi="Times New Roman" w:cs="Times New Roman"/>
          <w:sz w:val="24"/>
          <w:szCs w:val="24"/>
        </w:rPr>
        <w:lastRenderedPageBreak/>
        <w:t>dalej określane jako RODO) stanowi, że podmioty, w zakresie w jakim przetwarzają dane pomiarowe stanowiące dane osobowe, będą ich administratorami w rozumieniu rozporządzenia 2016/679</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 xml:space="preserve">w związku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tym posiadają szereg obowiązków, międ</w:t>
      </w:r>
      <w:r w:rsidR="001C02F8" w:rsidRPr="00EF6F97">
        <w:rPr>
          <w:rFonts w:ascii="Times New Roman" w:hAnsi="Times New Roman" w:cs="Times New Roman"/>
          <w:sz w:val="24"/>
          <w:szCs w:val="24"/>
        </w:rPr>
        <w:t>zy innymi obowiązek informacyjny o którym mowa w art. 13</w:t>
      </w:r>
      <w:r w:rsidR="001D0628">
        <w:rPr>
          <w:rFonts w:ascii="Times New Roman" w:hAnsi="Times New Roman" w:cs="Times New Roman"/>
          <w:sz w:val="24"/>
          <w:szCs w:val="24"/>
        </w:rPr>
        <w:t xml:space="preserve"> i </w:t>
      </w:r>
      <w:r w:rsidR="001C02F8" w:rsidRPr="00EF6F97">
        <w:rPr>
          <w:rFonts w:ascii="Times New Roman" w:hAnsi="Times New Roman" w:cs="Times New Roman"/>
          <w:sz w:val="24"/>
          <w:szCs w:val="24"/>
        </w:rPr>
        <w:t xml:space="preserve">14 RODO. Jednocześnie RODO wprowadza w art. 26 pojęcie współadministrowania danymi osobowymi. </w:t>
      </w:r>
    </w:p>
    <w:p w14:paraId="2802B85B" w14:textId="77777777" w:rsidR="00F41194"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F41194" w:rsidRPr="00215A1D">
        <w:rPr>
          <w:rFonts w:ascii="Times New Roman" w:hAnsi="Times New Roman" w:cs="Times New Roman"/>
        </w:rPr>
        <w:t>Operator systemu dystrybucyjnego elektroenergetycznego, operator systemu przesyłowego elektroenergetycznego ora</w:t>
      </w:r>
      <w:r w:rsidR="001D0628">
        <w:rPr>
          <w:rFonts w:ascii="Times New Roman" w:hAnsi="Times New Roman" w:cs="Times New Roman"/>
        </w:rPr>
        <w:t>z </w:t>
      </w:r>
      <w:r w:rsidR="00F41194" w:rsidRPr="00215A1D">
        <w:rPr>
          <w:rFonts w:ascii="Times New Roman" w:hAnsi="Times New Roman" w:cs="Times New Roman"/>
        </w:rPr>
        <w:t xml:space="preserve">sprzedawca energii elektrycznej zostaną zobowiązani do informowania odbiorców końcowych będących osobami fizycznymi, </w:t>
      </w:r>
      <w:r w:rsidR="001D0628">
        <w:rPr>
          <w:rFonts w:ascii="Times New Roman" w:hAnsi="Times New Roman" w:cs="Times New Roman"/>
        </w:rPr>
        <w:t>z </w:t>
      </w:r>
      <w:r w:rsidR="00F41194" w:rsidRPr="00215A1D">
        <w:rPr>
          <w:rFonts w:ascii="Times New Roman" w:hAnsi="Times New Roman" w:cs="Times New Roman"/>
        </w:rPr>
        <w:t>którymi mają zawarte umowy o dostarczanie energii elektrycznej, o zakresie</w:t>
      </w:r>
      <w:r w:rsidR="001D0628">
        <w:rPr>
          <w:rFonts w:ascii="Times New Roman" w:hAnsi="Times New Roman" w:cs="Times New Roman"/>
        </w:rPr>
        <w:t xml:space="preserve"> i </w:t>
      </w:r>
      <w:r w:rsidR="00F41194" w:rsidRPr="00215A1D">
        <w:rPr>
          <w:rFonts w:ascii="Times New Roman" w:hAnsi="Times New Roman" w:cs="Times New Roman"/>
        </w:rPr>
        <w:t>celu wykorzystywania danych osobowych ora</w:t>
      </w:r>
      <w:r w:rsidR="001D0628">
        <w:rPr>
          <w:rFonts w:ascii="Times New Roman" w:hAnsi="Times New Roman" w:cs="Times New Roman"/>
        </w:rPr>
        <w:t>z </w:t>
      </w:r>
      <w:r w:rsidR="00F41194" w:rsidRPr="00215A1D">
        <w:rPr>
          <w:rFonts w:ascii="Times New Roman" w:hAnsi="Times New Roman" w:cs="Times New Roman"/>
        </w:rPr>
        <w:t>o prawie wglądu do tych danych. Sprzedawca energii elektrycznej będzie dodatkowo zobowiązany do poinformowania odbiorców końcowych będących osobami fizycznymi o zakresie</w:t>
      </w:r>
      <w:r w:rsidR="001D0628">
        <w:rPr>
          <w:rFonts w:ascii="Times New Roman" w:hAnsi="Times New Roman" w:cs="Times New Roman"/>
        </w:rPr>
        <w:t xml:space="preserve"> i </w:t>
      </w:r>
      <w:r w:rsidR="00F41194" w:rsidRPr="00215A1D">
        <w:rPr>
          <w:rFonts w:ascii="Times New Roman" w:hAnsi="Times New Roman" w:cs="Times New Roman"/>
        </w:rPr>
        <w:t>celu przetwarzania danym pomiarowych prze</w:t>
      </w:r>
      <w:r w:rsidR="001D0628">
        <w:rPr>
          <w:rFonts w:ascii="Times New Roman" w:hAnsi="Times New Roman" w:cs="Times New Roman"/>
        </w:rPr>
        <w:t>z </w:t>
      </w:r>
      <w:r w:rsidR="00F41194" w:rsidRPr="00215A1D">
        <w:rPr>
          <w:rFonts w:ascii="Times New Roman" w:hAnsi="Times New Roman" w:cs="Times New Roman"/>
        </w:rPr>
        <w:t>operatora informacji rynku energii ora</w:t>
      </w:r>
      <w:r w:rsidR="001D0628">
        <w:rPr>
          <w:rFonts w:ascii="Times New Roman" w:hAnsi="Times New Roman" w:cs="Times New Roman"/>
        </w:rPr>
        <w:t>z </w:t>
      </w:r>
      <w:r w:rsidR="00F41194" w:rsidRPr="00215A1D">
        <w:rPr>
          <w:rFonts w:ascii="Times New Roman" w:hAnsi="Times New Roman" w:cs="Times New Roman"/>
        </w:rPr>
        <w:t xml:space="preserve">o prawie wglądu do danych osobowych dotyczących tych odbiorców. Powyższe jest uzasadnione tym, że operator informacji rynku energii nie posiada relacji umownej </w:t>
      </w:r>
      <w:r w:rsidR="001D0628">
        <w:rPr>
          <w:rFonts w:ascii="Times New Roman" w:hAnsi="Times New Roman" w:cs="Times New Roman"/>
        </w:rPr>
        <w:t>z </w:t>
      </w:r>
      <w:r w:rsidR="00F41194" w:rsidRPr="00215A1D">
        <w:rPr>
          <w:rFonts w:ascii="Times New Roman" w:hAnsi="Times New Roman" w:cs="Times New Roman"/>
        </w:rPr>
        <w:t>odbiorcą energii elektrycznej, tymczasem sprzedawca ją posiada.</w:t>
      </w:r>
    </w:p>
    <w:p w14:paraId="0B674637" w14:textId="5DA36C7E" w:rsidR="00F52319" w:rsidRPr="00EF6F97" w:rsidRDefault="00EF6F97"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52319" w:rsidRPr="00EF6F97">
        <w:rPr>
          <w:rFonts w:ascii="Times New Roman" w:hAnsi="Times New Roman" w:cs="Times New Roman"/>
          <w:sz w:val="24"/>
          <w:szCs w:val="24"/>
        </w:rPr>
        <w:t>Zasada współadministrowania informacjami w CSIRE pozwoli zminimalizować koszty ponoszone prze</w:t>
      </w:r>
      <w:r w:rsidR="001D0628">
        <w:rPr>
          <w:rFonts w:ascii="Times New Roman" w:hAnsi="Times New Roman" w:cs="Times New Roman"/>
          <w:sz w:val="24"/>
          <w:szCs w:val="24"/>
        </w:rPr>
        <w:t>z </w:t>
      </w:r>
      <w:r w:rsidR="001C02F8" w:rsidRPr="00EF6F97">
        <w:rPr>
          <w:rFonts w:ascii="Times New Roman" w:hAnsi="Times New Roman" w:cs="Times New Roman"/>
          <w:sz w:val="24"/>
          <w:szCs w:val="24"/>
        </w:rPr>
        <w:t xml:space="preserve">poszczególnych administratorów a tym samym przenoszone później na </w:t>
      </w:r>
      <w:r w:rsidR="00F52319" w:rsidRPr="00EF6F97">
        <w:rPr>
          <w:rFonts w:ascii="Times New Roman" w:hAnsi="Times New Roman" w:cs="Times New Roman"/>
          <w:sz w:val="24"/>
          <w:szCs w:val="24"/>
        </w:rPr>
        <w:t>odbiorców</w:t>
      </w:r>
      <w:r w:rsidR="00F41194" w:rsidRPr="00EF6F97">
        <w:rPr>
          <w:rFonts w:ascii="Times New Roman" w:hAnsi="Times New Roman" w:cs="Times New Roman"/>
          <w:sz w:val="24"/>
          <w:szCs w:val="24"/>
        </w:rPr>
        <w:t xml:space="preserve"> końcowych</w:t>
      </w:r>
      <w:r w:rsidR="00F52319" w:rsidRPr="00EF6F97">
        <w:rPr>
          <w:rFonts w:ascii="Times New Roman" w:hAnsi="Times New Roman" w:cs="Times New Roman"/>
          <w:sz w:val="24"/>
          <w:szCs w:val="24"/>
        </w:rPr>
        <w:t>, w szczególności poprze</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 xml:space="preserve">uniknięcie podwójnych </w:t>
      </w:r>
      <w:r w:rsidR="001C02F8" w:rsidRPr="00EF6F97">
        <w:rPr>
          <w:rFonts w:ascii="Times New Roman" w:hAnsi="Times New Roman" w:cs="Times New Roman"/>
          <w:sz w:val="24"/>
          <w:szCs w:val="24"/>
        </w:rPr>
        <w:t xml:space="preserve">lub potrójnych </w:t>
      </w:r>
      <w:r w:rsidR="00F52319" w:rsidRPr="00EF6F97">
        <w:rPr>
          <w:rFonts w:ascii="Times New Roman" w:hAnsi="Times New Roman" w:cs="Times New Roman"/>
          <w:sz w:val="24"/>
          <w:szCs w:val="24"/>
        </w:rPr>
        <w:t xml:space="preserve">kosztów związanych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 xml:space="preserve">realizacją obowiązku informacyjnego. Zgodnie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 xml:space="preserve">przepisami, </w:t>
      </w:r>
      <w:r w:rsidR="001C02F8" w:rsidRPr="00EF6F97">
        <w:rPr>
          <w:rFonts w:ascii="Times New Roman" w:hAnsi="Times New Roman" w:cs="Times New Roman"/>
          <w:sz w:val="24"/>
          <w:szCs w:val="24"/>
        </w:rPr>
        <w:t>operatorzy systemów dystrybucyjnych elektroenergetycznych</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 xml:space="preserve">sprzedawcy </w:t>
      </w:r>
      <w:r w:rsidR="001C02F8" w:rsidRPr="00EF6F97">
        <w:rPr>
          <w:rFonts w:ascii="Times New Roman" w:hAnsi="Times New Roman" w:cs="Times New Roman"/>
          <w:sz w:val="24"/>
          <w:szCs w:val="24"/>
        </w:rPr>
        <w:t xml:space="preserve">energii elektrycznej </w:t>
      </w:r>
      <w:r w:rsidR="00F52319" w:rsidRPr="00EF6F97">
        <w:rPr>
          <w:rFonts w:ascii="Times New Roman" w:hAnsi="Times New Roman" w:cs="Times New Roman"/>
          <w:sz w:val="24"/>
          <w:szCs w:val="24"/>
        </w:rPr>
        <w:t xml:space="preserve">realizując dodatkowy cel przetwarzania danych jakim jest </w:t>
      </w:r>
      <w:r w:rsidR="001C02F8" w:rsidRPr="00EF6F97">
        <w:rPr>
          <w:rFonts w:ascii="Times New Roman" w:hAnsi="Times New Roman" w:cs="Times New Roman"/>
          <w:sz w:val="24"/>
          <w:szCs w:val="24"/>
        </w:rPr>
        <w:t>operator informacji rynku energii</w:t>
      </w:r>
      <w:r w:rsidR="00F52319" w:rsidRPr="00EF6F97">
        <w:rPr>
          <w:rFonts w:ascii="Times New Roman" w:hAnsi="Times New Roman" w:cs="Times New Roman"/>
          <w:sz w:val="24"/>
          <w:szCs w:val="24"/>
        </w:rPr>
        <w:t>, zobowiązani są do jego ponownego wykonania. Koncepcja współadministrowania pozwala uniknąć dublowania kosztów – zamiast dwóch informacji od PSE</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od sprzedawcy (bądź trzech w przypadku odrębnych umów dystrybucyjnych), odbiorca końcowy może otrzymać jedną. Ustawa precyzuje kto ten obowiązek wykona w imieniu pozostałych</w:t>
      </w:r>
      <w:r w:rsidR="001C02F8" w:rsidRPr="00EF6F97">
        <w:rPr>
          <w:rFonts w:ascii="Times New Roman" w:hAnsi="Times New Roman" w:cs="Times New Roman"/>
          <w:sz w:val="24"/>
          <w:szCs w:val="24"/>
        </w:rPr>
        <w:t xml:space="preserve"> współadministratorów</w:t>
      </w:r>
      <w:r w:rsidR="00F52319" w:rsidRPr="00EF6F97">
        <w:rPr>
          <w:rFonts w:ascii="Times New Roman" w:hAnsi="Times New Roman" w:cs="Times New Roman"/>
          <w:sz w:val="24"/>
          <w:szCs w:val="24"/>
        </w:rPr>
        <w:t>. Koszty realizacji takiego jednokrotnego obowiązku szacuje się na ok 20 mln zł.</w:t>
      </w:r>
      <w:r>
        <w:rPr>
          <w:rFonts w:ascii="Times New Roman" w:hAnsi="Times New Roman" w:cs="Times New Roman"/>
          <w:sz w:val="24"/>
          <w:szCs w:val="24"/>
        </w:rPr>
        <w:t xml:space="preserve"> </w:t>
      </w:r>
      <w:r w:rsidR="00F41194" w:rsidRPr="00EF6F97">
        <w:rPr>
          <w:rFonts w:ascii="Times New Roman" w:hAnsi="Times New Roman" w:cs="Times New Roman"/>
          <w:sz w:val="24"/>
          <w:szCs w:val="24"/>
        </w:rPr>
        <w:t>Przepis art. 11z</w:t>
      </w:r>
      <w:r w:rsidR="00810D8B">
        <w:rPr>
          <w:rFonts w:ascii="Times New Roman" w:hAnsi="Times New Roman" w:cs="Times New Roman"/>
          <w:sz w:val="24"/>
          <w:szCs w:val="24"/>
        </w:rPr>
        <w:t>e</w:t>
      </w:r>
      <w:r w:rsidR="00F41194" w:rsidRPr="00EF6F97">
        <w:rPr>
          <w:rFonts w:ascii="Times New Roman" w:hAnsi="Times New Roman" w:cs="Times New Roman"/>
          <w:sz w:val="24"/>
          <w:szCs w:val="24"/>
        </w:rPr>
        <w:t xml:space="preserve"> ust. 6 określa sposób rozliczeń kosztów realizacji obowiązku informacyjnego. </w:t>
      </w:r>
    </w:p>
    <w:p w14:paraId="13FD6694" w14:textId="77777777" w:rsidR="00F52319" w:rsidRPr="00EF6F97" w:rsidRDefault="00EF6F97"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52319" w:rsidRPr="00EF6F97">
        <w:rPr>
          <w:rFonts w:ascii="Times New Roman" w:hAnsi="Times New Roman" w:cs="Times New Roman"/>
          <w:sz w:val="24"/>
          <w:szCs w:val="24"/>
        </w:rPr>
        <w:t>Uczestnicy rynku będą pozyskiwać/udostępniać dane osobowe prze</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obecną infrastrukturę sprzedażową</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 xml:space="preserve">dystrybucyjną. Przy tych procesach sprzedawcy </w:t>
      </w:r>
      <w:r w:rsidR="001C02F8" w:rsidRPr="00EF6F97">
        <w:rPr>
          <w:rFonts w:ascii="Times New Roman" w:hAnsi="Times New Roman" w:cs="Times New Roman"/>
          <w:sz w:val="24"/>
          <w:szCs w:val="24"/>
        </w:rPr>
        <w:t>energii elektrycznej</w:t>
      </w:r>
      <w:r w:rsidR="001D0628">
        <w:rPr>
          <w:rFonts w:ascii="Times New Roman" w:hAnsi="Times New Roman" w:cs="Times New Roman"/>
          <w:sz w:val="24"/>
          <w:szCs w:val="24"/>
        </w:rPr>
        <w:t xml:space="preserve"> i </w:t>
      </w:r>
      <w:r w:rsidR="001C02F8" w:rsidRPr="00EF6F97">
        <w:rPr>
          <w:rFonts w:ascii="Times New Roman" w:hAnsi="Times New Roman" w:cs="Times New Roman"/>
          <w:sz w:val="24"/>
          <w:szCs w:val="24"/>
        </w:rPr>
        <w:t xml:space="preserve">operatorzy systemów dystrybucyjnych elektroenergetycznych </w:t>
      </w:r>
      <w:r w:rsidR="00F52319" w:rsidRPr="00EF6F97">
        <w:rPr>
          <w:rFonts w:ascii="Times New Roman" w:hAnsi="Times New Roman" w:cs="Times New Roman"/>
          <w:sz w:val="24"/>
          <w:szCs w:val="24"/>
        </w:rPr>
        <w:t>realizują już obowiązki informacyjne</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 xml:space="preserve">inne obowiązki wynikające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RODO w ramach przetwarzania danych do własnych celów. Są również pierwszym punktem kontaktowym dla odbiorc</w:t>
      </w:r>
      <w:r w:rsidR="001C02F8" w:rsidRPr="00EF6F97">
        <w:rPr>
          <w:rFonts w:ascii="Times New Roman" w:hAnsi="Times New Roman" w:cs="Times New Roman"/>
          <w:sz w:val="24"/>
          <w:szCs w:val="24"/>
        </w:rPr>
        <w:t xml:space="preserve">y końcowego. Celem ustawowym operatora informacji rynku energii </w:t>
      </w:r>
      <w:r w:rsidR="00F52319" w:rsidRPr="00EF6F97">
        <w:rPr>
          <w:rFonts w:ascii="Times New Roman" w:hAnsi="Times New Roman" w:cs="Times New Roman"/>
          <w:sz w:val="24"/>
          <w:szCs w:val="24"/>
        </w:rPr>
        <w:t>nie była nig</w:t>
      </w:r>
      <w:r w:rsidR="001C02F8" w:rsidRPr="00EF6F97">
        <w:rPr>
          <w:rFonts w:ascii="Times New Roman" w:hAnsi="Times New Roman" w:cs="Times New Roman"/>
          <w:sz w:val="24"/>
          <w:szCs w:val="24"/>
        </w:rPr>
        <w:t xml:space="preserve">dy obsługa </w:t>
      </w:r>
      <w:r w:rsidR="001C02F8" w:rsidRPr="00EF6F97">
        <w:rPr>
          <w:rFonts w:ascii="Times New Roman" w:hAnsi="Times New Roman" w:cs="Times New Roman"/>
          <w:sz w:val="24"/>
          <w:szCs w:val="24"/>
        </w:rPr>
        <w:lastRenderedPageBreak/>
        <w:t xml:space="preserve">odbiorcy końcowego a ponadto </w:t>
      </w:r>
      <w:r w:rsidR="00F52319" w:rsidRPr="00EF6F97">
        <w:rPr>
          <w:rFonts w:ascii="Times New Roman" w:hAnsi="Times New Roman" w:cs="Times New Roman"/>
          <w:sz w:val="24"/>
          <w:szCs w:val="24"/>
        </w:rPr>
        <w:t xml:space="preserve">nie jest </w:t>
      </w:r>
      <w:r w:rsidR="001C02F8" w:rsidRPr="00EF6F97">
        <w:rPr>
          <w:rFonts w:ascii="Times New Roman" w:hAnsi="Times New Roman" w:cs="Times New Roman"/>
          <w:sz w:val="24"/>
          <w:szCs w:val="24"/>
        </w:rPr>
        <w:t xml:space="preserve">on </w:t>
      </w:r>
      <w:r w:rsidR="00F52319" w:rsidRPr="00EF6F97">
        <w:rPr>
          <w:rFonts w:ascii="Times New Roman" w:hAnsi="Times New Roman" w:cs="Times New Roman"/>
          <w:sz w:val="24"/>
          <w:szCs w:val="24"/>
        </w:rPr>
        <w:t xml:space="preserve">stroną umów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 xml:space="preserve">osobami fizycznymi. Osobna administracja wiązałaby się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 xml:space="preserve">koniecznością budowy po stronie </w:t>
      </w:r>
      <w:r w:rsidR="001C02F8" w:rsidRPr="00EF6F97">
        <w:rPr>
          <w:rFonts w:ascii="Times New Roman" w:hAnsi="Times New Roman" w:cs="Times New Roman"/>
          <w:sz w:val="24"/>
          <w:szCs w:val="24"/>
        </w:rPr>
        <w:t xml:space="preserve">operatora informacji rynku energii </w:t>
      </w:r>
      <w:r w:rsidR="00F52319" w:rsidRPr="00EF6F97">
        <w:rPr>
          <w:rFonts w:ascii="Times New Roman" w:hAnsi="Times New Roman" w:cs="Times New Roman"/>
          <w:sz w:val="24"/>
          <w:szCs w:val="24"/>
        </w:rPr>
        <w:t xml:space="preserve">odrębnej infrastruktury dla obsługi odbiorcy końcowego w celu realizacji praw podmiotów danych, a w tym również koniecznością ich bieżącego uaktualniania, co wiązałoby się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do</w:t>
      </w:r>
      <w:r w:rsidR="00F41194" w:rsidRPr="00EF6F97">
        <w:rPr>
          <w:rFonts w:ascii="Times New Roman" w:hAnsi="Times New Roman" w:cs="Times New Roman"/>
          <w:sz w:val="24"/>
          <w:szCs w:val="24"/>
        </w:rPr>
        <w:t>datkowymi kosztami.</w:t>
      </w:r>
      <w:r w:rsidR="00F52319" w:rsidRPr="00EF6F97">
        <w:rPr>
          <w:rFonts w:ascii="Times New Roman" w:hAnsi="Times New Roman" w:cs="Times New Roman"/>
          <w:sz w:val="24"/>
          <w:szCs w:val="24"/>
        </w:rPr>
        <w:t xml:space="preserve"> </w:t>
      </w:r>
    </w:p>
    <w:p w14:paraId="7B54F0E3" w14:textId="77777777" w:rsidR="00F52319" w:rsidRPr="00EF6F97" w:rsidRDefault="00EF6F97" w:rsidP="00EF6F9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52319" w:rsidRPr="00EF6F97">
        <w:rPr>
          <w:rFonts w:ascii="Times New Roman" w:hAnsi="Times New Roman" w:cs="Times New Roman"/>
          <w:sz w:val="24"/>
          <w:szCs w:val="24"/>
        </w:rPr>
        <w:t>Współadministrowanie pozwala na jasne przypisanie odpowiedzialności za poszczególne obowiązki w jego ramach. Pozwala to podzielić się obowiązkami, co zmniejsza pracochłonność przyjętego rozwiązania w jego implementacji (dodatkowe etaty). Dodatkowo nie wprowadza zamieszania dla klienta końcowego w zakresie punktu kontaktowego – jest to transparentne</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przejrzyste dla odbiorcy końcowego.</w:t>
      </w:r>
    </w:p>
    <w:p w14:paraId="04AA2C5B" w14:textId="77777777" w:rsidR="003B7CFB" w:rsidRPr="00EF6F97" w:rsidRDefault="00EF6F97"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3B7CFB" w:rsidRPr="00EF6F97">
        <w:rPr>
          <w:rFonts w:ascii="Times New Roman" w:hAnsi="Times New Roman" w:cs="Times New Roman"/>
          <w:sz w:val="24"/>
          <w:szCs w:val="24"/>
        </w:rPr>
        <w:t xml:space="preserve">Dodatkowo, wprowadzono przepis, zgodnie </w:t>
      </w:r>
      <w:r w:rsidR="001D0628">
        <w:rPr>
          <w:rFonts w:ascii="Times New Roman" w:hAnsi="Times New Roman" w:cs="Times New Roman"/>
          <w:sz w:val="24"/>
          <w:szCs w:val="24"/>
        </w:rPr>
        <w:t>z </w:t>
      </w:r>
      <w:r w:rsidR="003B7CFB" w:rsidRPr="00EF6F97">
        <w:rPr>
          <w:rFonts w:ascii="Times New Roman" w:hAnsi="Times New Roman" w:cs="Times New Roman"/>
          <w:sz w:val="24"/>
          <w:szCs w:val="24"/>
        </w:rPr>
        <w:t>którym w przypadku złożenia prze</w:t>
      </w:r>
      <w:r w:rsidR="001D0628">
        <w:rPr>
          <w:rFonts w:ascii="Times New Roman" w:hAnsi="Times New Roman" w:cs="Times New Roman"/>
          <w:sz w:val="24"/>
          <w:szCs w:val="24"/>
        </w:rPr>
        <w:t>z </w:t>
      </w:r>
      <w:r w:rsidR="003B7CFB" w:rsidRPr="00EF6F97">
        <w:rPr>
          <w:rFonts w:ascii="Times New Roman" w:hAnsi="Times New Roman" w:cs="Times New Roman"/>
          <w:sz w:val="24"/>
          <w:szCs w:val="24"/>
        </w:rPr>
        <w:t>użytkownika systemu będącego osobą fizyczną, wniosku o realizację uprawnienia o którym mowa w art. 15 ust. 3 rozporządzenia 2016/679 w formie papierowej, zakres danych dostarczanych w kopii danych osobowych, zawiera dane pomiarowe zsumowane do okresów nie krótszych niż dobowe. Niniejszy przepis nie pozbawia prawa odbiorcy do złożenia wniosku o udostępnienie danych pomiarowych za krótsze okresy czasu w formie elektronicznej. Ma on jedynie na celu eliminacje sytuacji, w której na żądanie odbiorcy współadministrator zobowiązany były do wydrukowania wielu arkuszy papierów, co nie pozostałoby be</w:t>
      </w:r>
      <w:r w:rsidR="001D0628">
        <w:rPr>
          <w:rFonts w:ascii="Times New Roman" w:hAnsi="Times New Roman" w:cs="Times New Roman"/>
          <w:sz w:val="24"/>
          <w:szCs w:val="24"/>
        </w:rPr>
        <w:t>z </w:t>
      </w:r>
      <w:r w:rsidR="003B7CFB" w:rsidRPr="00EF6F97">
        <w:rPr>
          <w:rFonts w:ascii="Times New Roman" w:hAnsi="Times New Roman" w:cs="Times New Roman"/>
          <w:sz w:val="24"/>
          <w:szCs w:val="24"/>
        </w:rPr>
        <w:t>wpływu na koszty ponoszone prze</w:t>
      </w:r>
      <w:r w:rsidR="001D0628">
        <w:rPr>
          <w:rFonts w:ascii="Times New Roman" w:hAnsi="Times New Roman" w:cs="Times New Roman"/>
          <w:sz w:val="24"/>
          <w:szCs w:val="24"/>
        </w:rPr>
        <w:t>z </w:t>
      </w:r>
      <w:r w:rsidR="003B7CFB" w:rsidRPr="00EF6F97">
        <w:rPr>
          <w:rFonts w:ascii="Times New Roman" w:hAnsi="Times New Roman" w:cs="Times New Roman"/>
          <w:sz w:val="24"/>
          <w:szCs w:val="24"/>
        </w:rPr>
        <w:t>użytkowników systemu</w:t>
      </w:r>
      <w:r w:rsidR="008324B7" w:rsidRPr="00EF6F97">
        <w:rPr>
          <w:rFonts w:ascii="Times New Roman" w:hAnsi="Times New Roman" w:cs="Times New Roman"/>
          <w:sz w:val="24"/>
          <w:szCs w:val="24"/>
        </w:rPr>
        <w:t>.</w:t>
      </w:r>
    </w:p>
    <w:p w14:paraId="0F744427" w14:textId="6185FBF5" w:rsidR="006B4C7A"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6B4C7A" w:rsidRPr="00215A1D">
        <w:rPr>
          <w:rFonts w:ascii="Times New Roman" w:hAnsi="Times New Roman" w:cs="Times New Roman"/>
        </w:rPr>
        <w:t>Przepisy art. 11z</w:t>
      </w:r>
      <w:r w:rsidR="00810D8B">
        <w:rPr>
          <w:rFonts w:ascii="Times New Roman" w:hAnsi="Times New Roman" w:cs="Times New Roman"/>
        </w:rPr>
        <w:t xml:space="preserve">e </w:t>
      </w:r>
      <w:r w:rsidR="006B4C7A" w:rsidRPr="00215A1D">
        <w:rPr>
          <w:rFonts w:ascii="Times New Roman" w:hAnsi="Times New Roman" w:cs="Times New Roman"/>
        </w:rPr>
        <w:t>wejdą w życie po wdrożeniu CSIRE.</w:t>
      </w:r>
    </w:p>
    <w:p w14:paraId="7A673C45" w14:textId="77777777" w:rsidR="00A166BB" w:rsidRPr="00EF6F97" w:rsidRDefault="00EF6F97" w:rsidP="00EF6F97">
      <w:pPr>
        <w:pStyle w:val="USTustnpkodeksu"/>
        <w:rPr>
          <w:rFonts w:ascii="Times New Roman" w:hAnsi="Times New Roman" w:cs="Times New Roman"/>
          <w:szCs w:val="24"/>
        </w:rPr>
      </w:pPr>
      <w:r w:rsidRPr="00EF6F97">
        <w:rPr>
          <w:rFonts w:ascii="Times New Roman" w:hAnsi="Times New Roman" w:cs="Times New Roman"/>
          <w:szCs w:val="24"/>
        </w:rPr>
        <w:tab/>
      </w:r>
      <w:r w:rsidR="009A1099" w:rsidRPr="00EF6F97">
        <w:rPr>
          <w:rFonts w:ascii="Times New Roman" w:hAnsi="Times New Roman" w:cs="Times New Roman"/>
          <w:szCs w:val="24"/>
        </w:rPr>
        <w:t xml:space="preserve">Operator informacji </w:t>
      </w:r>
      <w:r w:rsidR="00C94C9C" w:rsidRPr="00EF6F97">
        <w:rPr>
          <w:rFonts w:ascii="Times New Roman" w:hAnsi="Times New Roman" w:cs="Times New Roman"/>
          <w:szCs w:val="24"/>
        </w:rPr>
        <w:t xml:space="preserve">rynku energii </w:t>
      </w:r>
      <w:r w:rsidR="009A1099" w:rsidRPr="00EF6F97">
        <w:rPr>
          <w:rFonts w:ascii="Times New Roman" w:hAnsi="Times New Roman" w:cs="Times New Roman"/>
          <w:szCs w:val="24"/>
        </w:rPr>
        <w:t xml:space="preserve">będzie przechowywał </w:t>
      </w:r>
      <w:r w:rsidR="00E7466D" w:rsidRPr="00EF6F97">
        <w:rPr>
          <w:rFonts w:ascii="Times New Roman" w:hAnsi="Times New Roman" w:cs="Times New Roman"/>
          <w:szCs w:val="24"/>
        </w:rPr>
        <w:t xml:space="preserve">w CSIRE jednostkowe </w:t>
      </w:r>
      <w:r w:rsidR="009A1099" w:rsidRPr="00EF6F97">
        <w:rPr>
          <w:rFonts w:ascii="Times New Roman" w:hAnsi="Times New Roman" w:cs="Times New Roman"/>
          <w:szCs w:val="24"/>
        </w:rPr>
        <w:t>dane pomiarowe prze</w:t>
      </w:r>
      <w:r w:rsidR="001D0628">
        <w:rPr>
          <w:rFonts w:ascii="Times New Roman" w:hAnsi="Times New Roman" w:cs="Times New Roman"/>
          <w:szCs w:val="24"/>
        </w:rPr>
        <w:t>z </w:t>
      </w:r>
      <w:r w:rsidR="009A1099" w:rsidRPr="00EF6F97">
        <w:rPr>
          <w:rFonts w:ascii="Times New Roman" w:hAnsi="Times New Roman" w:cs="Times New Roman"/>
          <w:szCs w:val="24"/>
        </w:rPr>
        <w:t xml:space="preserve">okres </w:t>
      </w:r>
      <w:r w:rsidR="00E7466D" w:rsidRPr="00EF6F97">
        <w:rPr>
          <w:rFonts w:ascii="Times New Roman" w:hAnsi="Times New Roman" w:cs="Times New Roman"/>
          <w:szCs w:val="24"/>
        </w:rPr>
        <w:t>7</w:t>
      </w:r>
      <w:r w:rsidR="009A1099" w:rsidRPr="00EF6F97">
        <w:rPr>
          <w:rFonts w:ascii="Times New Roman" w:hAnsi="Times New Roman" w:cs="Times New Roman"/>
          <w:szCs w:val="24"/>
        </w:rPr>
        <w:t xml:space="preserve"> lat </w:t>
      </w:r>
      <w:r w:rsidR="00E7466D" w:rsidRPr="00EF6F97">
        <w:rPr>
          <w:rFonts w:ascii="Times New Roman" w:hAnsi="Times New Roman" w:cs="Times New Roman"/>
          <w:szCs w:val="24"/>
        </w:rPr>
        <w:t xml:space="preserve">od dnia, w którym dane te zostały przekazane do CSIRE a po upływie tego czasu dane to będą anonimizowane. </w:t>
      </w:r>
    </w:p>
    <w:p w14:paraId="6580146E" w14:textId="77777777" w:rsidR="00A166BB" w:rsidRPr="00EF6F97" w:rsidRDefault="00EF6F97" w:rsidP="00EF6F97">
      <w:pPr>
        <w:widowControl/>
        <w:autoSpaceDE/>
        <w:autoSpaceDN/>
        <w:adjustRightInd/>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B4C7A" w:rsidRPr="00EF6F97">
        <w:rPr>
          <w:rFonts w:ascii="Times New Roman" w:hAnsi="Times New Roman" w:cs="Times New Roman"/>
          <w:sz w:val="24"/>
          <w:szCs w:val="24"/>
        </w:rPr>
        <w:t xml:space="preserve">Wskazany wyżej termin </w:t>
      </w:r>
      <w:r w:rsidR="00A166BB" w:rsidRPr="00EF6F97">
        <w:rPr>
          <w:rFonts w:ascii="Times New Roman" w:hAnsi="Times New Roman" w:cs="Times New Roman"/>
          <w:sz w:val="24"/>
          <w:szCs w:val="24"/>
        </w:rPr>
        <w:t xml:space="preserve">wynika ze sposobu liczenia terminów przedawnienia określonych w </w:t>
      </w:r>
      <w:r w:rsidR="006B4C7A" w:rsidRPr="00EF6F97">
        <w:rPr>
          <w:rFonts w:ascii="Times New Roman" w:hAnsi="Times New Roman" w:cs="Times New Roman"/>
          <w:sz w:val="24"/>
          <w:szCs w:val="24"/>
        </w:rPr>
        <w:t>Kodeksie cywilnym</w:t>
      </w:r>
      <w:r w:rsidR="00A166BB" w:rsidRPr="00EF6F97">
        <w:rPr>
          <w:rFonts w:ascii="Times New Roman" w:hAnsi="Times New Roman" w:cs="Times New Roman"/>
          <w:sz w:val="24"/>
          <w:szCs w:val="24"/>
        </w:rPr>
        <w:t xml:space="preserve">, które przypadają zawsze po 6 latach na ostatni dzień roku. Celem uniknięcia sytuacji, w której system musiałby anonimizować w ciągu jednego dnia (na przełomie roku) wszystkie dane, które uległy przedawnieniu, wprowadzony został okres 7 lat. </w:t>
      </w:r>
      <w:r w:rsidR="00037F92" w:rsidRPr="00EF6F97">
        <w:rPr>
          <w:rFonts w:ascii="Times New Roman" w:hAnsi="Times New Roman" w:cs="Times New Roman"/>
          <w:sz w:val="24"/>
          <w:szCs w:val="24"/>
        </w:rPr>
        <w:t xml:space="preserve">Zapewni </w:t>
      </w:r>
      <w:r w:rsidR="006B4C7A" w:rsidRPr="00EF6F97">
        <w:rPr>
          <w:rFonts w:ascii="Times New Roman" w:hAnsi="Times New Roman" w:cs="Times New Roman"/>
          <w:sz w:val="24"/>
          <w:szCs w:val="24"/>
        </w:rPr>
        <w:t>to korzyści w postaci u</w:t>
      </w:r>
      <w:r w:rsidR="00A166BB" w:rsidRPr="00EF6F97">
        <w:rPr>
          <w:rFonts w:ascii="Times New Roman" w:hAnsi="Times New Roman" w:cs="Times New Roman"/>
          <w:sz w:val="24"/>
          <w:szCs w:val="24"/>
        </w:rPr>
        <w:t>nika</w:t>
      </w:r>
      <w:r w:rsidR="006B4C7A" w:rsidRPr="00EF6F97">
        <w:rPr>
          <w:rFonts w:ascii="Times New Roman" w:hAnsi="Times New Roman" w:cs="Times New Roman"/>
          <w:sz w:val="24"/>
          <w:szCs w:val="24"/>
        </w:rPr>
        <w:t>nia problemów</w:t>
      </w:r>
      <w:r w:rsidR="00A166BB" w:rsidRPr="00EF6F97">
        <w:rPr>
          <w:rFonts w:ascii="Times New Roman" w:hAnsi="Times New Roman" w:cs="Times New Roman"/>
          <w:sz w:val="24"/>
          <w:szCs w:val="24"/>
        </w:rPr>
        <w:t xml:space="preserve"> technicznych związanych </w:t>
      </w:r>
      <w:r w:rsidR="001D0628">
        <w:rPr>
          <w:rFonts w:ascii="Times New Roman" w:hAnsi="Times New Roman" w:cs="Times New Roman"/>
          <w:sz w:val="24"/>
          <w:szCs w:val="24"/>
        </w:rPr>
        <w:t>z </w:t>
      </w:r>
      <w:r w:rsidR="00A166BB" w:rsidRPr="00EF6F97">
        <w:rPr>
          <w:rFonts w:ascii="Times New Roman" w:hAnsi="Times New Roman" w:cs="Times New Roman"/>
          <w:sz w:val="24"/>
          <w:szCs w:val="24"/>
        </w:rPr>
        <w:t>jednoczesną anonimizacją dużego wolumenu danych (milionów rekordów) – dane będą anonimizowane sukcesywnie</w:t>
      </w:r>
      <w:r w:rsidR="00037F92" w:rsidRPr="00EF6F97">
        <w:rPr>
          <w:rFonts w:ascii="Times New Roman" w:hAnsi="Times New Roman" w:cs="Times New Roman"/>
          <w:sz w:val="24"/>
          <w:szCs w:val="24"/>
        </w:rPr>
        <w:t xml:space="preserve"> a ponadto d</w:t>
      </w:r>
      <w:r w:rsidR="00A166BB" w:rsidRPr="00EF6F97">
        <w:rPr>
          <w:rFonts w:ascii="Times New Roman" w:hAnsi="Times New Roman" w:cs="Times New Roman"/>
          <w:sz w:val="24"/>
          <w:szCs w:val="24"/>
        </w:rPr>
        <w:t>aje to margines czasu dla obsługi roszczeń – np. w sytuacji, gdy podmiot zgłosiłby roszczenie „w ostatniej chwili</w:t>
      </w:r>
      <w:r w:rsidR="00037F92" w:rsidRPr="00EF6F97">
        <w:rPr>
          <w:rFonts w:ascii="Times New Roman" w:hAnsi="Times New Roman" w:cs="Times New Roman"/>
          <w:sz w:val="24"/>
          <w:szCs w:val="24"/>
        </w:rPr>
        <w:t>”, o czym operator informacji rynku energii</w:t>
      </w:r>
      <w:r w:rsidR="00A166BB" w:rsidRPr="00EF6F97">
        <w:rPr>
          <w:rFonts w:ascii="Times New Roman" w:hAnsi="Times New Roman" w:cs="Times New Roman"/>
          <w:sz w:val="24"/>
          <w:szCs w:val="24"/>
        </w:rPr>
        <w:t xml:space="preserve"> zostałby poinformowany już po anonimizacji</w:t>
      </w:r>
      <w:r w:rsidR="00037F92" w:rsidRPr="00EF6F97">
        <w:rPr>
          <w:rFonts w:ascii="Times New Roman" w:hAnsi="Times New Roman" w:cs="Times New Roman"/>
          <w:sz w:val="24"/>
          <w:szCs w:val="24"/>
        </w:rPr>
        <w:t xml:space="preserve">. Jednoczesna anonimizacja ogromnych wolumentów danych skutkowałaby koniecznością zapewnienia wysoce nadmiarowych mocy </w:t>
      </w:r>
      <w:r w:rsidR="00037F92" w:rsidRPr="00EF6F97">
        <w:rPr>
          <w:rFonts w:ascii="Times New Roman" w:hAnsi="Times New Roman" w:cs="Times New Roman"/>
          <w:sz w:val="24"/>
          <w:szCs w:val="24"/>
        </w:rPr>
        <w:lastRenderedPageBreak/>
        <w:t>przetwarzania, co spowodowałoby większe koszty operatora informacji rynku energii a tym samym większe koszty ponoszone prze</w:t>
      </w:r>
      <w:r w:rsidR="001D0628">
        <w:rPr>
          <w:rFonts w:ascii="Times New Roman" w:hAnsi="Times New Roman" w:cs="Times New Roman"/>
          <w:sz w:val="24"/>
          <w:szCs w:val="24"/>
        </w:rPr>
        <w:t>z </w:t>
      </w:r>
      <w:r w:rsidR="00037F92" w:rsidRPr="00EF6F97">
        <w:rPr>
          <w:rFonts w:ascii="Times New Roman" w:hAnsi="Times New Roman" w:cs="Times New Roman"/>
          <w:sz w:val="24"/>
          <w:szCs w:val="24"/>
        </w:rPr>
        <w:t xml:space="preserve">odbiorców. </w:t>
      </w:r>
    </w:p>
    <w:p w14:paraId="7D9CB96B" w14:textId="6C1FCC34" w:rsidR="00037F92" w:rsidRPr="00EF6F97" w:rsidRDefault="00EF6F97" w:rsidP="00EF6F97">
      <w:pPr>
        <w:pStyle w:val="USTustnpkodeksu"/>
        <w:rPr>
          <w:rFonts w:ascii="Times New Roman" w:hAnsi="Times New Roman" w:cs="Times New Roman"/>
          <w:szCs w:val="24"/>
        </w:rPr>
      </w:pPr>
      <w:r w:rsidRPr="00EF6F97">
        <w:rPr>
          <w:rFonts w:ascii="Times New Roman" w:hAnsi="Times New Roman" w:cs="Times New Roman"/>
          <w:szCs w:val="24"/>
        </w:rPr>
        <w:tab/>
      </w:r>
      <w:r w:rsidR="00037F92" w:rsidRPr="00215A1D">
        <w:rPr>
          <w:rFonts w:ascii="Times New Roman" w:hAnsi="Times New Roman" w:cs="Times New Roman"/>
        </w:rPr>
        <w:t>Przepisy art. 11z</w:t>
      </w:r>
      <w:r w:rsidR="00810D8B">
        <w:rPr>
          <w:rFonts w:ascii="Times New Roman" w:hAnsi="Times New Roman" w:cs="Times New Roman"/>
        </w:rPr>
        <w:t>f</w:t>
      </w:r>
      <w:r w:rsidR="00037F92" w:rsidRPr="00215A1D">
        <w:rPr>
          <w:rFonts w:ascii="Times New Roman" w:hAnsi="Times New Roman" w:cs="Times New Roman"/>
        </w:rPr>
        <w:t xml:space="preserve"> wejdą w życie po wdrożeniu CSIRE.</w:t>
      </w:r>
      <w:r w:rsidR="00037F92" w:rsidRPr="00EF6F97">
        <w:rPr>
          <w:rFonts w:ascii="Times New Roman" w:hAnsi="Times New Roman" w:cs="Times New Roman"/>
          <w:szCs w:val="24"/>
        </w:rPr>
        <w:t xml:space="preserve"> </w:t>
      </w:r>
    </w:p>
    <w:p w14:paraId="00822893" w14:textId="1AE9DDCE" w:rsidR="00037F92" w:rsidRPr="00215A1D" w:rsidRDefault="00EF6F97" w:rsidP="00EF6F97">
      <w:pPr>
        <w:pStyle w:val="USTustnpkodeksu"/>
        <w:rPr>
          <w:rFonts w:ascii="Times New Roman" w:hAnsi="Times New Roman" w:cs="Times New Roman"/>
        </w:rPr>
      </w:pPr>
      <w:r>
        <w:rPr>
          <w:rFonts w:ascii="Times New Roman" w:hAnsi="Times New Roman" w:cs="Times New Roman"/>
        </w:rPr>
        <w:tab/>
      </w:r>
      <w:r w:rsidR="00257AB3" w:rsidRPr="00215A1D">
        <w:rPr>
          <w:rFonts w:ascii="Times New Roman" w:hAnsi="Times New Roman" w:cs="Times New Roman"/>
        </w:rPr>
        <w:t>Proponuje się w art. 11z</w:t>
      </w:r>
      <w:r w:rsidR="00810D8B">
        <w:rPr>
          <w:rFonts w:ascii="Times New Roman" w:hAnsi="Times New Roman" w:cs="Times New Roman"/>
        </w:rPr>
        <w:t>g</w:t>
      </w:r>
      <w:r w:rsidR="00257AB3" w:rsidRPr="00215A1D">
        <w:rPr>
          <w:rFonts w:ascii="Times New Roman" w:hAnsi="Times New Roman" w:cs="Times New Roman"/>
        </w:rPr>
        <w:t xml:space="preserve"> przepisy regulujące zagadnienie relacji umownych związanych </w:t>
      </w:r>
      <w:r w:rsidR="001D0628">
        <w:rPr>
          <w:rFonts w:ascii="Times New Roman" w:hAnsi="Times New Roman" w:cs="Times New Roman"/>
        </w:rPr>
        <w:t>z </w:t>
      </w:r>
      <w:r w:rsidR="00257AB3" w:rsidRPr="00215A1D">
        <w:rPr>
          <w:rFonts w:ascii="Times New Roman" w:hAnsi="Times New Roman" w:cs="Times New Roman"/>
        </w:rPr>
        <w:t xml:space="preserve">korzystaniem </w:t>
      </w:r>
      <w:r w:rsidR="001D0628">
        <w:rPr>
          <w:rFonts w:ascii="Times New Roman" w:hAnsi="Times New Roman" w:cs="Times New Roman"/>
        </w:rPr>
        <w:t>z </w:t>
      </w:r>
      <w:r w:rsidR="00257AB3" w:rsidRPr="00215A1D">
        <w:rPr>
          <w:rFonts w:ascii="Times New Roman" w:hAnsi="Times New Roman" w:cs="Times New Roman"/>
        </w:rPr>
        <w:t xml:space="preserve">centralnego systemu informacji rynku energii m.in. na potrzeby realizacji procesów rynku energii. Potrzeba zawarcia takich umów, przewidzianych do zawarcia w formie elektronicznej, </w:t>
      </w:r>
      <w:r w:rsidR="001D0628">
        <w:rPr>
          <w:rFonts w:ascii="Times New Roman" w:hAnsi="Times New Roman" w:cs="Times New Roman"/>
        </w:rPr>
        <w:t>z </w:t>
      </w:r>
      <w:r w:rsidR="00257AB3" w:rsidRPr="00215A1D">
        <w:rPr>
          <w:rFonts w:ascii="Times New Roman" w:hAnsi="Times New Roman" w:cs="Times New Roman"/>
        </w:rPr>
        <w:t xml:space="preserve">użytkownikami CSIRE wynika </w:t>
      </w:r>
      <w:r w:rsidR="001D0628">
        <w:rPr>
          <w:rFonts w:ascii="Times New Roman" w:hAnsi="Times New Roman" w:cs="Times New Roman"/>
        </w:rPr>
        <w:t>z </w:t>
      </w:r>
      <w:r w:rsidR="00257AB3" w:rsidRPr="00215A1D">
        <w:rPr>
          <w:rFonts w:ascii="Times New Roman" w:hAnsi="Times New Roman" w:cs="Times New Roman"/>
        </w:rPr>
        <w:t>konieczności doprecyzowania obowiązków użytkowników systemu poprze</w:t>
      </w:r>
      <w:r w:rsidR="001D0628">
        <w:rPr>
          <w:rFonts w:ascii="Times New Roman" w:hAnsi="Times New Roman" w:cs="Times New Roman"/>
        </w:rPr>
        <w:t>z </w:t>
      </w:r>
      <w:r w:rsidR="00257AB3" w:rsidRPr="00215A1D">
        <w:rPr>
          <w:rFonts w:ascii="Times New Roman" w:hAnsi="Times New Roman" w:cs="Times New Roman"/>
        </w:rPr>
        <w:t>użycie wzorca zatwierdzonego prze</w:t>
      </w:r>
      <w:r w:rsidR="001D0628">
        <w:rPr>
          <w:rFonts w:ascii="Times New Roman" w:hAnsi="Times New Roman" w:cs="Times New Roman"/>
        </w:rPr>
        <w:t>z </w:t>
      </w:r>
      <w:r w:rsidR="00257AB3" w:rsidRPr="00215A1D">
        <w:rPr>
          <w:rFonts w:ascii="Times New Roman" w:hAnsi="Times New Roman" w:cs="Times New Roman"/>
        </w:rPr>
        <w:t>Prezesa URE.</w:t>
      </w:r>
    </w:p>
    <w:p w14:paraId="1C5B35B1" w14:textId="18EEE581" w:rsidR="009A1099"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037F92" w:rsidRPr="00215A1D">
        <w:rPr>
          <w:rFonts w:ascii="Times New Roman" w:hAnsi="Times New Roman" w:cs="Times New Roman"/>
        </w:rPr>
        <w:t>Przepisy art. 11z</w:t>
      </w:r>
      <w:r w:rsidR="00810D8B">
        <w:rPr>
          <w:rFonts w:ascii="Times New Roman" w:hAnsi="Times New Roman" w:cs="Times New Roman"/>
        </w:rPr>
        <w:t>g</w:t>
      </w:r>
      <w:r w:rsidR="00037F92" w:rsidRPr="00215A1D">
        <w:rPr>
          <w:rFonts w:ascii="Times New Roman" w:hAnsi="Times New Roman" w:cs="Times New Roman"/>
        </w:rPr>
        <w:t xml:space="preserve"> wejdą w życie w terminie 30 miesięcy od wejścia w życie ustawy.</w:t>
      </w:r>
    </w:p>
    <w:p w14:paraId="72279A2B" w14:textId="1FE74C26" w:rsidR="009A1099"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Projekt ustawy </w:t>
      </w:r>
      <w:r w:rsidR="00514FF9" w:rsidRPr="00215A1D">
        <w:rPr>
          <w:rFonts w:ascii="Times New Roman" w:hAnsi="Times New Roman" w:cs="Times New Roman"/>
        </w:rPr>
        <w:t>w art. 11z</w:t>
      </w:r>
      <w:r w:rsidR="00810D8B">
        <w:rPr>
          <w:rFonts w:ascii="Times New Roman" w:hAnsi="Times New Roman" w:cs="Times New Roman"/>
        </w:rPr>
        <w:t>h</w:t>
      </w:r>
      <w:r w:rsidR="00514FF9" w:rsidRPr="00215A1D">
        <w:rPr>
          <w:rFonts w:ascii="Times New Roman" w:hAnsi="Times New Roman" w:cs="Times New Roman"/>
        </w:rPr>
        <w:t xml:space="preserve"> </w:t>
      </w:r>
      <w:r w:rsidR="009A1099" w:rsidRPr="00215A1D">
        <w:rPr>
          <w:rFonts w:ascii="Times New Roman" w:hAnsi="Times New Roman" w:cs="Times New Roman"/>
        </w:rPr>
        <w:t>będzie określał zakres rozporządzenia wykonawczego</w:t>
      </w:r>
      <w:r w:rsidR="00514FF9" w:rsidRPr="00215A1D">
        <w:rPr>
          <w:rFonts w:ascii="Times New Roman" w:hAnsi="Times New Roman" w:cs="Times New Roman"/>
        </w:rPr>
        <w:t xml:space="preserve"> dotyczącego centralnego systemu informacji rynku energii, obejmujący</w:t>
      </w:r>
      <w:r w:rsidR="009A1099" w:rsidRPr="00215A1D">
        <w:rPr>
          <w:rFonts w:ascii="Times New Roman" w:hAnsi="Times New Roman" w:cs="Times New Roman"/>
        </w:rPr>
        <w:t>:</w:t>
      </w:r>
    </w:p>
    <w:p w14:paraId="74526B47" w14:textId="77777777" w:rsidR="00514FF9" w:rsidRPr="00215A1D" w:rsidRDefault="00514FF9" w:rsidP="00215A1D">
      <w:pPr>
        <w:pStyle w:val="ZPKTzmpktartykuempunktem"/>
        <w:numPr>
          <w:ilvl w:val="0"/>
          <w:numId w:val="92"/>
        </w:numPr>
        <w:rPr>
          <w:rFonts w:ascii="Times New Roman" w:hAnsi="Times New Roman" w:cs="Times New Roman"/>
        </w:rPr>
      </w:pPr>
      <w:r w:rsidRPr="00215A1D">
        <w:rPr>
          <w:rFonts w:ascii="Times New Roman" w:hAnsi="Times New Roman" w:cs="Times New Roman"/>
        </w:rPr>
        <w:t>wyka</w:t>
      </w:r>
      <w:r w:rsidR="001D0628">
        <w:rPr>
          <w:rFonts w:ascii="Times New Roman" w:hAnsi="Times New Roman" w:cs="Times New Roman"/>
        </w:rPr>
        <w:t>z </w:t>
      </w:r>
      <w:r w:rsidRPr="00215A1D">
        <w:rPr>
          <w:rFonts w:ascii="Times New Roman" w:hAnsi="Times New Roman" w:cs="Times New Roman"/>
        </w:rPr>
        <w:t>procesów rynku energii elektrycznej realizowanych za pośrednictwem centralnego systemu informacji rynku energii;</w:t>
      </w:r>
    </w:p>
    <w:p w14:paraId="18EA6A92" w14:textId="77777777" w:rsidR="00514FF9" w:rsidRPr="00215A1D" w:rsidRDefault="00514FF9" w:rsidP="00215A1D">
      <w:pPr>
        <w:pStyle w:val="ZPKTzmpktartykuempunktem"/>
        <w:numPr>
          <w:ilvl w:val="0"/>
          <w:numId w:val="92"/>
        </w:numPr>
        <w:rPr>
          <w:rFonts w:ascii="Times New Roman" w:hAnsi="Times New Roman" w:cs="Times New Roman"/>
        </w:rPr>
      </w:pPr>
      <w:r w:rsidRPr="00215A1D">
        <w:rPr>
          <w:rFonts w:ascii="Times New Roman" w:hAnsi="Times New Roman" w:cs="Times New Roman"/>
        </w:rPr>
        <w:t xml:space="preserve">wytyczne dotyczące realizacji procesów, o których mowa w </w:t>
      </w:r>
      <w:r w:rsidR="001D0628">
        <w:rPr>
          <w:rFonts w:ascii="Times New Roman" w:hAnsi="Times New Roman" w:cs="Times New Roman"/>
        </w:rPr>
        <w:t>pkt</w:t>
      </w:r>
      <w:r w:rsidRPr="00215A1D">
        <w:rPr>
          <w:rFonts w:ascii="Times New Roman" w:hAnsi="Times New Roman" w:cs="Times New Roman"/>
        </w:rPr>
        <w:t xml:space="preserve"> 1; </w:t>
      </w:r>
    </w:p>
    <w:p w14:paraId="74072C8A" w14:textId="77777777" w:rsidR="00514FF9" w:rsidRPr="00215A1D" w:rsidRDefault="00514FF9" w:rsidP="00215A1D">
      <w:pPr>
        <w:pStyle w:val="ZPKTzmpktartykuempunktem"/>
        <w:numPr>
          <w:ilvl w:val="0"/>
          <w:numId w:val="92"/>
        </w:numPr>
        <w:rPr>
          <w:rFonts w:ascii="Times New Roman" w:hAnsi="Times New Roman" w:cs="Times New Roman"/>
        </w:rPr>
      </w:pPr>
      <w:r w:rsidRPr="00215A1D">
        <w:rPr>
          <w:rFonts w:ascii="Times New Roman" w:hAnsi="Times New Roman" w:cs="Times New Roman"/>
        </w:rPr>
        <w:t>zakres</w:t>
      </w:r>
      <w:r w:rsidR="001D0628">
        <w:rPr>
          <w:rFonts w:ascii="Times New Roman" w:hAnsi="Times New Roman" w:cs="Times New Roman"/>
        </w:rPr>
        <w:t xml:space="preserve"> i </w:t>
      </w:r>
      <w:r w:rsidRPr="00215A1D">
        <w:rPr>
          <w:rFonts w:ascii="Times New Roman" w:hAnsi="Times New Roman" w:cs="Times New Roman"/>
        </w:rPr>
        <w:t>zasady wysyłania poleceń do licznika zdalnego odczytu za pośrednictwem centralnego systemu informacji rynku energii;</w:t>
      </w:r>
    </w:p>
    <w:p w14:paraId="5244B19A" w14:textId="77777777" w:rsidR="00514FF9" w:rsidRPr="00215A1D" w:rsidRDefault="00514FF9" w:rsidP="00215A1D">
      <w:pPr>
        <w:pStyle w:val="ZPKTzmpktartykuempunktem"/>
        <w:numPr>
          <w:ilvl w:val="0"/>
          <w:numId w:val="92"/>
        </w:numPr>
        <w:rPr>
          <w:rFonts w:ascii="Times New Roman" w:hAnsi="Times New Roman" w:cs="Times New Roman"/>
        </w:rPr>
      </w:pPr>
      <w:r w:rsidRPr="00215A1D">
        <w:rPr>
          <w:rFonts w:ascii="Times New Roman" w:hAnsi="Times New Roman" w:cs="Times New Roman"/>
        </w:rPr>
        <w:t>wymagania dotyczące bezpieczeństwa centralnego systemu informacji rynku energii;</w:t>
      </w:r>
    </w:p>
    <w:p w14:paraId="305E4A5F" w14:textId="77777777" w:rsidR="00514FF9" w:rsidRPr="00215A1D" w:rsidRDefault="00514FF9" w:rsidP="00215A1D">
      <w:pPr>
        <w:pStyle w:val="ZPKTzmpktartykuempunktem"/>
        <w:numPr>
          <w:ilvl w:val="0"/>
          <w:numId w:val="92"/>
        </w:numPr>
        <w:rPr>
          <w:rFonts w:ascii="Times New Roman" w:hAnsi="Times New Roman" w:cs="Times New Roman"/>
        </w:rPr>
      </w:pPr>
      <w:r w:rsidRPr="00215A1D">
        <w:rPr>
          <w:rFonts w:ascii="Times New Roman" w:hAnsi="Times New Roman" w:cs="Times New Roman"/>
        </w:rPr>
        <w:t>wytyczne w zakresie zapewnienia poprawności</w:t>
      </w:r>
      <w:r w:rsidR="001D0628">
        <w:rPr>
          <w:rFonts w:ascii="Times New Roman" w:hAnsi="Times New Roman" w:cs="Times New Roman"/>
        </w:rPr>
        <w:t xml:space="preserve"> i </w:t>
      </w:r>
      <w:r w:rsidRPr="00215A1D">
        <w:rPr>
          <w:rFonts w:ascii="Times New Roman" w:hAnsi="Times New Roman" w:cs="Times New Roman"/>
        </w:rPr>
        <w:t>kompletności informacji rynku energii ora</w:t>
      </w:r>
      <w:r w:rsidR="001D0628">
        <w:rPr>
          <w:rFonts w:ascii="Times New Roman" w:hAnsi="Times New Roman" w:cs="Times New Roman"/>
        </w:rPr>
        <w:t>z </w:t>
      </w:r>
      <w:r w:rsidRPr="00215A1D">
        <w:rPr>
          <w:rFonts w:ascii="Times New Roman" w:hAnsi="Times New Roman" w:cs="Times New Roman"/>
        </w:rPr>
        <w:t>ich weryfikacji;</w:t>
      </w:r>
    </w:p>
    <w:p w14:paraId="2C57E7CB" w14:textId="07610FD2" w:rsidR="00514FF9" w:rsidRPr="00215A1D" w:rsidRDefault="00514FF9" w:rsidP="00215A1D">
      <w:pPr>
        <w:pStyle w:val="ZPKTzmpktartykuempunktem"/>
        <w:numPr>
          <w:ilvl w:val="0"/>
          <w:numId w:val="92"/>
        </w:numPr>
        <w:rPr>
          <w:rFonts w:ascii="Times New Roman" w:hAnsi="Times New Roman" w:cs="Times New Roman"/>
        </w:rPr>
      </w:pPr>
      <w:r w:rsidRPr="00215A1D">
        <w:rPr>
          <w:rFonts w:ascii="Times New Roman" w:hAnsi="Times New Roman" w:cs="Times New Roman"/>
        </w:rPr>
        <w:t>sposób wyznaczania stawki ryczałtowej, ora</w:t>
      </w:r>
      <w:r w:rsidR="001D0628">
        <w:rPr>
          <w:rFonts w:ascii="Times New Roman" w:hAnsi="Times New Roman" w:cs="Times New Roman"/>
        </w:rPr>
        <w:t>z </w:t>
      </w:r>
      <w:r w:rsidRPr="00215A1D">
        <w:rPr>
          <w:rFonts w:ascii="Times New Roman" w:hAnsi="Times New Roman" w:cs="Times New Roman"/>
        </w:rPr>
        <w:t>sposób dokonywania rozliczeń kosztów, o których mowa w art. 11z</w:t>
      </w:r>
      <w:r w:rsidR="00810D8B">
        <w:rPr>
          <w:rFonts w:ascii="Times New Roman" w:hAnsi="Times New Roman" w:cs="Times New Roman"/>
        </w:rPr>
        <w:t>e</w:t>
      </w:r>
      <w:r w:rsidRPr="00215A1D">
        <w:rPr>
          <w:rFonts w:ascii="Times New Roman" w:hAnsi="Times New Roman" w:cs="Times New Roman"/>
        </w:rPr>
        <w:t xml:space="preserve"> ust. 6;</w:t>
      </w:r>
    </w:p>
    <w:p w14:paraId="436422F3" w14:textId="77777777" w:rsidR="00514FF9" w:rsidRPr="00215A1D" w:rsidRDefault="00514FF9" w:rsidP="00EF6F97">
      <w:pPr>
        <w:pStyle w:val="ZPKTzmpktartykuempunktem"/>
        <w:rPr>
          <w:rFonts w:ascii="Times New Roman" w:hAnsi="Times New Roman" w:cs="Times New Roman"/>
        </w:rPr>
      </w:pPr>
      <w:r w:rsidRPr="00215A1D">
        <w:rPr>
          <w:rFonts w:ascii="Times New Roman" w:hAnsi="Times New Roman" w:cs="Times New Roman"/>
        </w:rPr>
        <w:t>7) wzór szablonu oceny skutków w zakresie ochrony danych pomiarowych.</w:t>
      </w:r>
    </w:p>
    <w:p w14:paraId="739D93B3" w14:textId="77777777" w:rsidR="009A1099" w:rsidRPr="00215A1D" w:rsidRDefault="005859BF" w:rsidP="00EF6F97">
      <w:pPr>
        <w:pStyle w:val="USTustnpkodeksu"/>
        <w:ind w:firstLine="0"/>
        <w:rPr>
          <w:rFonts w:ascii="Times New Roman" w:hAnsi="Times New Roman" w:cs="Times New Roman"/>
        </w:rPr>
      </w:pPr>
      <w:r w:rsidRPr="00215A1D">
        <w:rPr>
          <w:rFonts w:ascii="Times New Roman" w:hAnsi="Times New Roman" w:cs="Times New Roman"/>
        </w:rPr>
        <w:t>1</w:t>
      </w:r>
      <w:r w:rsidR="00D24A41">
        <w:rPr>
          <w:rFonts w:ascii="Times New Roman" w:hAnsi="Times New Roman" w:cs="Times New Roman"/>
        </w:rPr>
        <w:t>7</w:t>
      </w:r>
      <w:r w:rsidR="00A65E2D" w:rsidRPr="00215A1D">
        <w:rPr>
          <w:rFonts w:ascii="Times New Roman" w:hAnsi="Times New Roman" w:cs="Times New Roman"/>
        </w:rPr>
        <w:t xml:space="preserve">. </w:t>
      </w:r>
      <w:r w:rsidR="00EE6A04" w:rsidRPr="00215A1D">
        <w:rPr>
          <w:rFonts w:ascii="Times New Roman" w:hAnsi="Times New Roman" w:cs="Times New Roman"/>
        </w:rPr>
        <w:t>5</w:t>
      </w:r>
      <w:r w:rsidR="009A1099" w:rsidRPr="00215A1D">
        <w:rPr>
          <w:rFonts w:ascii="Times New Roman" w:hAnsi="Times New Roman" w:cs="Times New Roman"/>
        </w:rPr>
        <w:t>. Przepisy zmieniające:</w:t>
      </w:r>
    </w:p>
    <w:p w14:paraId="7F38288B" w14:textId="77777777" w:rsidR="009A1099" w:rsidRPr="00215A1D" w:rsidRDefault="009A1099" w:rsidP="00EF6F97">
      <w:pPr>
        <w:pStyle w:val="USTustnpkodeksu"/>
        <w:rPr>
          <w:rFonts w:ascii="Times New Roman" w:hAnsi="Times New Roman" w:cs="Times New Roman"/>
        </w:rPr>
      </w:pPr>
      <w:r w:rsidRPr="00215A1D">
        <w:rPr>
          <w:rFonts w:ascii="Times New Roman" w:hAnsi="Times New Roman" w:cs="Times New Roman"/>
        </w:rPr>
        <w:t>Projekt ustawy przewiduje zmiany w:</w:t>
      </w:r>
    </w:p>
    <w:p w14:paraId="287859B4" w14:textId="77777777" w:rsidR="009A1099" w:rsidRPr="00215A1D" w:rsidRDefault="009A1099" w:rsidP="00215A1D">
      <w:pPr>
        <w:pStyle w:val="USTustnpkodeksu"/>
        <w:numPr>
          <w:ilvl w:val="0"/>
          <w:numId w:val="90"/>
        </w:numPr>
        <w:rPr>
          <w:rFonts w:ascii="Times New Roman" w:hAnsi="Times New Roman" w:cs="Times New Roman"/>
        </w:rPr>
      </w:pPr>
      <w:r w:rsidRPr="00215A1D">
        <w:rPr>
          <w:rFonts w:ascii="Times New Roman" w:hAnsi="Times New Roman" w:cs="Times New Roman"/>
        </w:rPr>
        <w:t xml:space="preserve">ustawie </w:t>
      </w:r>
      <w:r w:rsidR="001D0628">
        <w:rPr>
          <w:rFonts w:ascii="Times New Roman" w:hAnsi="Times New Roman" w:cs="Times New Roman"/>
        </w:rPr>
        <w:t>z </w:t>
      </w:r>
      <w:r w:rsidRPr="00215A1D">
        <w:rPr>
          <w:rFonts w:ascii="Times New Roman" w:hAnsi="Times New Roman" w:cs="Times New Roman"/>
        </w:rPr>
        <w:t>dnia 20 lutego 2015</w:t>
      </w:r>
      <w:r w:rsidR="001D0628">
        <w:rPr>
          <w:rFonts w:ascii="Times New Roman" w:hAnsi="Times New Roman" w:cs="Times New Roman"/>
        </w:rPr>
        <w:t> r.</w:t>
      </w:r>
      <w:r w:rsidRPr="00215A1D">
        <w:rPr>
          <w:rFonts w:ascii="Times New Roman" w:hAnsi="Times New Roman" w:cs="Times New Roman"/>
        </w:rPr>
        <w:t xml:space="preserve"> o odnawialnych źródłach energii;</w:t>
      </w:r>
    </w:p>
    <w:p w14:paraId="2C1615F3" w14:textId="77777777" w:rsidR="009A1099" w:rsidRPr="00215A1D" w:rsidRDefault="009A1099" w:rsidP="00215A1D">
      <w:pPr>
        <w:pStyle w:val="USTustnpkodeksu"/>
        <w:numPr>
          <w:ilvl w:val="0"/>
          <w:numId w:val="90"/>
        </w:numPr>
        <w:rPr>
          <w:rFonts w:ascii="Times New Roman" w:hAnsi="Times New Roman" w:cs="Times New Roman"/>
        </w:rPr>
      </w:pPr>
      <w:r w:rsidRPr="00215A1D">
        <w:rPr>
          <w:rFonts w:ascii="Times New Roman" w:hAnsi="Times New Roman" w:cs="Times New Roman"/>
        </w:rPr>
        <w:t xml:space="preserve">ustawie </w:t>
      </w:r>
      <w:r w:rsidR="001D0628">
        <w:rPr>
          <w:rFonts w:ascii="Times New Roman" w:hAnsi="Times New Roman" w:cs="Times New Roman"/>
        </w:rPr>
        <w:t>z </w:t>
      </w:r>
      <w:r w:rsidRPr="00215A1D">
        <w:rPr>
          <w:rFonts w:ascii="Times New Roman" w:hAnsi="Times New Roman" w:cs="Times New Roman"/>
        </w:rPr>
        <w:t>dnia 8 grudnia 2017</w:t>
      </w:r>
      <w:r w:rsidR="001D0628">
        <w:rPr>
          <w:rFonts w:ascii="Times New Roman" w:hAnsi="Times New Roman" w:cs="Times New Roman"/>
        </w:rPr>
        <w:t> r.</w:t>
      </w:r>
      <w:r w:rsidRPr="00215A1D">
        <w:rPr>
          <w:rFonts w:ascii="Times New Roman" w:hAnsi="Times New Roman" w:cs="Times New Roman"/>
        </w:rPr>
        <w:t xml:space="preserve"> o rynku mocy;</w:t>
      </w:r>
    </w:p>
    <w:p w14:paraId="6654D0A9" w14:textId="77777777" w:rsidR="009A1099" w:rsidRPr="00215A1D" w:rsidRDefault="009A1099" w:rsidP="00215A1D">
      <w:pPr>
        <w:pStyle w:val="USTustnpkodeksu"/>
        <w:numPr>
          <w:ilvl w:val="0"/>
          <w:numId w:val="90"/>
        </w:numPr>
        <w:rPr>
          <w:rFonts w:ascii="Times New Roman" w:hAnsi="Times New Roman" w:cs="Times New Roman"/>
        </w:rPr>
      </w:pPr>
      <w:r w:rsidRPr="00215A1D">
        <w:rPr>
          <w:rFonts w:ascii="Times New Roman" w:hAnsi="Times New Roman" w:cs="Times New Roman"/>
        </w:rPr>
        <w:t xml:space="preserve">ustawie </w:t>
      </w:r>
      <w:r w:rsidR="001D0628">
        <w:rPr>
          <w:rFonts w:ascii="Times New Roman" w:hAnsi="Times New Roman" w:cs="Times New Roman"/>
        </w:rPr>
        <w:t>z </w:t>
      </w:r>
      <w:r w:rsidRPr="00215A1D">
        <w:rPr>
          <w:rFonts w:ascii="Times New Roman" w:hAnsi="Times New Roman" w:cs="Times New Roman"/>
        </w:rPr>
        <w:t>dnia 11 stycznia 2018</w:t>
      </w:r>
      <w:r w:rsidR="001D0628">
        <w:rPr>
          <w:rFonts w:ascii="Times New Roman" w:hAnsi="Times New Roman" w:cs="Times New Roman"/>
        </w:rPr>
        <w:t> r.</w:t>
      </w:r>
      <w:r w:rsidRPr="00215A1D">
        <w:rPr>
          <w:rFonts w:ascii="Times New Roman" w:hAnsi="Times New Roman" w:cs="Times New Roman"/>
        </w:rPr>
        <w:t xml:space="preserve"> o elektromobilności</w:t>
      </w:r>
      <w:r w:rsidR="001D0628">
        <w:rPr>
          <w:rFonts w:ascii="Times New Roman" w:hAnsi="Times New Roman" w:cs="Times New Roman"/>
        </w:rPr>
        <w:t xml:space="preserve"> i </w:t>
      </w:r>
      <w:r w:rsidRPr="00215A1D">
        <w:rPr>
          <w:rFonts w:ascii="Times New Roman" w:hAnsi="Times New Roman" w:cs="Times New Roman"/>
        </w:rPr>
        <w:t>paliwach alternatywnych</w:t>
      </w:r>
    </w:p>
    <w:p w14:paraId="5ED5C4E0" w14:textId="77777777" w:rsidR="009A1099" w:rsidRPr="00215A1D" w:rsidRDefault="009A1099" w:rsidP="00EF6F97">
      <w:pPr>
        <w:pStyle w:val="USTustnpkodeksu"/>
        <w:rPr>
          <w:rFonts w:ascii="Times New Roman" w:hAnsi="Times New Roman" w:cs="Times New Roman"/>
        </w:rPr>
      </w:pPr>
      <w:r w:rsidRPr="00215A1D">
        <w:rPr>
          <w:rFonts w:ascii="Times New Roman" w:hAnsi="Times New Roman" w:cs="Times New Roman"/>
        </w:rPr>
        <w:t>- dostosowujące do zmian w ustawie - Prawo energetyczne.</w:t>
      </w:r>
    </w:p>
    <w:p w14:paraId="49EEAB47" w14:textId="77777777" w:rsidR="003966D7" w:rsidRPr="00215A1D" w:rsidRDefault="003966D7" w:rsidP="00EF6F97">
      <w:pPr>
        <w:pStyle w:val="USTustnpkodeksu"/>
        <w:ind w:firstLine="709"/>
        <w:rPr>
          <w:rFonts w:ascii="Times New Roman" w:hAnsi="Times New Roman" w:cs="Times New Roman"/>
        </w:rPr>
      </w:pPr>
      <w:r w:rsidRPr="00215A1D">
        <w:rPr>
          <w:rFonts w:ascii="Times New Roman" w:hAnsi="Times New Roman" w:cs="Times New Roman"/>
        </w:rPr>
        <w:t xml:space="preserve">Dodatkowo, w ustawie </w:t>
      </w:r>
      <w:r w:rsidR="001D0628">
        <w:rPr>
          <w:rFonts w:ascii="Times New Roman" w:hAnsi="Times New Roman" w:cs="Times New Roman"/>
        </w:rPr>
        <w:t>z </w:t>
      </w:r>
      <w:r w:rsidRPr="00215A1D">
        <w:rPr>
          <w:rFonts w:ascii="Times New Roman" w:hAnsi="Times New Roman" w:cs="Times New Roman"/>
        </w:rPr>
        <w:t>dnia 8 grudnia 2017</w:t>
      </w:r>
      <w:r w:rsidR="001D0628">
        <w:rPr>
          <w:rFonts w:ascii="Times New Roman" w:hAnsi="Times New Roman" w:cs="Times New Roman"/>
        </w:rPr>
        <w:t> r.</w:t>
      </w:r>
      <w:r w:rsidRPr="00215A1D">
        <w:rPr>
          <w:rFonts w:ascii="Times New Roman" w:hAnsi="Times New Roman" w:cs="Times New Roman"/>
        </w:rPr>
        <w:t xml:space="preserve"> o rynku mocy wprowadza się zmiany ograniczające obowiązek instalacji liczników zdalnego odczytu u odbiorców końcowych w grupie C1x. Obecnie obowiązująca ustawa nakłada obowiązek zainstalowania ok. 1,35 mln liczników w tej grupie do 30.09.2020</w:t>
      </w:r>
      <w:r w:rsidR="001D0628">
        <w:rPr>
          <w:rFonts w:ascii="Times New Roman" w:hAnsi="Times New Roman" w:cs="Times New Roman"/>
        </w:rPr>
        <w:t> r.</w:t>
      </w:r>
      <w:r w:rsidRPr="00215A1D">
        <w:rPr>
          <w:rFonts w:ascii="Times New Roman" w:hAnsi="Times New Roman" w:cs="Times New Roman"/>
        </w:rPr>
        <w:t xml:space="preserve"> co będzie kosztowało, zgodnie </w:t>
      </w:r>
      <w:r w:rsidR="001D0628">
        <w:rPr>
          <w:rFonts w:ascii="Times New Roman" w:hAnsi="Times New Roman" w:cs="Times New Roman"/>
        </w:rPr>
        <w:t>z </w:t>
      </w:r>
      <w:r w:rsidRPr="00215A1D">
        <w:rPr>
          <w:rFonts w:ascii="Times New Roman" w:hAnsi="Times New Roman" w:cs="Times New Roman"/>
        </w:rPr>
        <w:t>szacunkami Polskiego Towarzystwa Przesyłu</w:t>
      </w:r>
      <w:r w:rsidR="001D0628">
        <w:rPr>
          <w:rFonts w:ascii="Times New Roman" w:hAnsi="Times New Roman" w:cs="Times New Roman"/>
        </w:rPr>
        <w:t xml:space="preserve"> i </w:t>
      </w:r>
      <w:r w:rsidRPr="00215A1D">
        <w:rPr>
          <w:rFonts w:ascii="Times New Roman" w:hAnsi="Times New Roman" w:cs="Times New Roman"/>
        </w:rPr>
        <w:t xml:space="preserve">Rozdziału Energii Elektrycznej, ok. 900 mln zł. W projekcie ustawy </w:t>
      </w:r>
      <w:r w:rsidRPr="00215A1D">
        <w:rPr>
          <w:rFonts w:ascii="Times New Roman" w:hAnsi="Times New Roman" w:cs="Times New Roman"/>
        </w:rPr>
        <w:lastRenderedPageBreak/>
        <w:t>proponuje się</w:t>
      </w:r>
      <w:r w:rsidR="00A8567E" w:rsidRPr="00215A1D">
        <w:rPr>
          <w:rFonts w:ascii="Times New Roman" w:hAnsi="Times New Roman" w:cs="Times New Roman"/>
        </w:rPr>
        <w:t>,</w:t>
      </w:r>
      <w:r w:rsidRPr="00215A1D">
        <w:rPr>
          <w:rFonts w:ascii="Times New Roman" w:hAnsi="Times New Roman" w:cs="Times New Roman"/>
        </w:rPr>
        <w:t xml:space="preserve"> aby odbiorcy grupy C1x o mocy umownej mniejszej lub równej 16kW byli rozliczani na takich samych zasadach jak odbiorcy grupy G (gospodarstwa domowe), co w konsekwencji doprowadzi do ograniczenia tego obowiązku do </w:t>
      </w:r>
      <w:r w:rsidR="00604DA8" w:rsidRPr="00215A1D">
        <w:rPr>
          <w:rFonts w:ascii="Times New Roman" w:hAnsi="Times New Roman" w:cs="Times New Roman"/>
        </w:rPr>
        <w:t>ok. 320</w:t>
      </w:r>
      <w:r w:rsidRPr="00215A1D">
        <w:rPr>
          <w:rFonts w:ascii="Times New Roman" w:hAnsi="Times New Roman" w:cs="Times New Roman"/>
        </w:rPr>
        <w:t xml:space="preserve"> tys. liczników (ok. 20 % obowiązku pierwotnie zakładanego prze</w:t>
      </w:r>
      <w:r w:rsidR="001D0628">
        <w:rPr>
          <w:rFonts w:ascii="Times New Roman" w:hAnsi="Times New Roman" w:cs="Times New Roman"/>
        </w:rPr>
        <w:t>z </w:t>
      </w:r>
      <w:r w:rsidRPr="00215A1D">
        <w:rPr>
          <w:rFonts w:ascii="Times New Roman" w:hAnsi="Times New Roman" w:cs="Times New Roman"/>
        </w:rPr>
        <w:t>ustawę o rynku mocy). Zdecydowana większość odbiorców grupy G tj. gospodarstwa domowe, posiada moc umowną mniejszą lub równą 16kW. Zasadnym jest zatem przyjęcie rozwiązania</w:t>
      </w:r>
      <w:r w:rsidR="00604DA8" w:rsidRPr="00215A1D">
        <w:rPr>
          <w:rFonts w:ascii="Times New Roman" w:hAnsi="Times New Roman" w:cs="Times New Roman"/>
        </w:rPr>
        <w:t>,</w:t>
      </w:r>
      <w:r w:rsidRPr="00215A1D">
        <w:rPr>
          <w:rFonts w:ascii="Times New Roman" w:hAnsi="Times New Roman" w:cs="Times New Roman"/>
        </w:rPr>
        <w:t xml:space="preserve"> w którym odbiorcy grupy C1x o mocy umownej do 16 kW byliby rozliczani w taki sam sposób jak odbiorcy grupy G. Należy podkreślić, że tego typu odbiorcy charakteryzują się niewielkim średniorocznym zużyciem energii elektrycznej. Wprowadzenie takiego rozwiązania w znaczący sposób zmniejszy ilość liczników odbiorców grupy C1x podlegających wymianie na liczniki </w:t>
      </w:r>
      <w:r w:rsidR="001D0628">
        <w:rPr>
          <w:rFonts w:ascii="Times New Roman" w:hAnsi="Times New Roman" w:cs="Times New Roman"/>
        </w:rPr>
        <w:t>z </w:t>
      </w:r>
      <w:r w:rsidRPr="00215A1D">
        <w:rPr>
          <w:rFonts w:ascii="Times New Roman" w:hAnsi="Times New Roman" w:cs="Times New Roman"/>
        </w:rPr>
        <w:t>transmisją danych ora</w:t>
      </w:r>
      <w:r w:rsidR="001D0628">
        <w:rPr>
          <w:rFonts w:ascii="Times New Roman" w:hAnsi="Times New Roman" w:cs="Times New Roman"/>
        </w:rPr>
        <w:t>z </w:t>
      </w:r>
      <w:r w:rsidRPr="00215A1D">
        <w:rPr>
          <w:rFonts w:ascii="Times New Roman" w:hAnsi="Times New Roman" w:cs="Times New Roman"/>
        </w:rPr>
        <w:t xml:space="preserve">zmniejszy wynikające stąd koszty – ilość liczników </w:t>
      </w:r>
      <w:r w:rsidR="001D0628">
        <w:rPr>
          <w:rFonts w:ascii="Times New Roman" w:hAnsi="Times New Roman" w:cs="Times New Roman"/>
        </w:rPr>
        <w:t>z </w:t>
      </w:r>
      <w:r w:rsidRPr="00215A1D">
        <w:rPr>
          <w:rFonts w:ascii="Times New Roman" w:hAnsi="Times New Roman" w:cs="Times New Roman"/>
        </w:rPr>
        <w:t xml:space="preserve">ok </w:t>
      </w:r>
      <w:r w:rsidR="00604DA8" w:rsidRPr="00215A1D">
        <w:rPr>
          <w:rFonts w:ascii="Times New Roman" w:hAnsi="Times New Roman" w:cs="Times New Roman"/>
        </w:rPr>
        <w:t>1,35 mln spadnie do ok. 320 tys.</w:t>
      </w:r>
      <w:r w:rsidRPr="00215A1D">
        <w:rPr>
          <w:rFonts w:ascii="Times New Roman" w:hAnsi="Times New Roman" w:cs="Times New Roman"/>
        </w:rPr>
        <w:t xml:space="preserve"> szt., a koszty </w:t>
      </w:r>
      <w:r w:rsidR="001D0628">
        <w:rPr>
          <w:rFonts w:ascii="Times New Roman" w:hAnsi="Times New Roman" w:cs="Times New Roman"/>
        </w:rPr>
        <w:t>z </w:t>
      </w:r>
      <w:r w:rsidRPr="00215A1D">
        <w:rPr>
          <w:rFonts w:ascii="Times New Roman" w:hAnsi="Times New Roman" w:cs="Times New Roman"/>
        </w:rPr>
        <w:t>ok. 900 mln zł zostaną obniżone do ok. 220 mln.</w:t>
      </w:r>
      <w:r w:rsidR="00604DA8" w:rsidRPr="00215A1D">
        <w:rPr>
          <w:rFonts w:ascii="Times New Roman" w:hAnsi="Times New Roman" w:cs="Times New Roman"/>
        </w:rPr>
        <w:t xml:space="preserve"> </w:t>
      </w:r>
      <w:r w:rsidRPr="00215A1D">
        <w:rPr>
          <w:rFonts w:ascii="Times New Roman" w:hAnsi="Times New Roman" w:cs="Times New Roman"/>
        </w:rPr>
        <w:t>W grupie C1x średniorocznie wymianie legalizacyjnej podlega w Polsce ok. 130 tys. liczn</w:t>
      </w:r>
      <w:r w:rsidR="00604DA8" w:rsidRPr="00215A1D">
        <w:rPr>
          <w:rFonts w:ascii="Times New Roman" w:hAnsi="Times New Roman" w:cs="Times New Roman"/>
        </w:rPr>
        <w:t>ików – dostosowanie do ustawy o rynku mocy</w:t>
      </w:r>
      <w:r w:rsidRPr="00215A1D">
        <w:rPr>
          <w:rFonts w:ascii="Times New Roman" w:hAnsi="Times New Roman" w:cs="Times New Roman"/>
        </w:rPr>
        <w:t xml:space="preserve"> będzie wymagało wymiany ok. 1,35 mln liczników w ciągu około 15 miesięcy – przy założeniu, że liczniki ora</w:t>
      </w:r>
      <w:r w:rsidR="001D0628">
        <w:rPr>
          <w:rFonts w:ascii="Times New Roman" w:hAnsi="Times New Roman" w:cs="Times New Roman"/>
        </w:rPr>
        <w:t>z </w:t>
      </w:r>
      <w:r w:rsidRPr="00215A1D">
        <w:rPr>
          <w:rFonts w:ascii="Times New Roman" w:hAnsi="Times New Roman" w:cs="Times New Roman"/>
        </w:rPr>
        <w:t>modemy transmisyjne będą dostępne w wymaganej ilości od połowy 2019</w:t>
      </w:r>
      <w:r w:rsidR="001D0628">
        <w:rPr>
          <w:rFonts w:ascii="Times New Roman" w:hAnsi="Times New Roman" w:cs="Times New Roman"/>
        </w:rPr>
        <w:t> r.</w:t>
      </w:r>
      <w:r w:rsidRPr="00215A1D">
        <w:rPr>
          <w:rFonts w:ascii="Times New Roman" w:hAnsi="Times New Roman" w:cs="Times New Roman"/>
        </w:rPr>
        <w:t xml:space="preserve"> (zakładany termin dostaw pierwszych liczników po rozstrzygnięciu przetargów). </w:t>
      </w:r>
    </w:p>
    <w:p w14:paraId="642D9DD4" w14:textId="77777777" w:rsidR="009A1099" w:rsidRPr="00215A1D" w:rsidRDefault="00EF6F97" w:rsidP="00EF6F97">
      <w:pPr>
        <w:pStyle w:val="USTustnpkodeksu"/>
        <w:ind w:firstLine="0"/>
        <w:rPr>
          <w:rFonts w:ascii="Times New Roman" w:hAnsi="Times New Roman" w:cs="Times New Roman"/>
        </w:rPr>
      </w:pPr>
      <w:r>
        <w:rPr>
          <w:rFonts w:ascii="Times New Roman" w:hAnsi="Times New Roman" w:cs="Times New Roman"/>
        </w:rPr>
        <w:tab/>
      </w:r>
      <w:r w:rsidR="00D24A41">
        <w:rPr>
          <w:rFonts w:ascii="Times New Roman" w:hAnsi="Times New Roman" w:cs="Times New Roman"/>
        </w:rPr>
        <w:t>17</w:t>
      </w:r>
      <w:r w:rsidR="00A65E2D" w:rsidRPr="00215A1D">
        <w:rPr>
          <w:rFonts w:ascii="Times New Roman" w:hAnsi="Times New Roman" w:cs="Times New Roman"/>
        </w:rPr>
        <w:t>.</w:t>
      </w:r>
      <w:r w:rsidR="00EE6A04" w:rsidRPr="00215A1D">
        <w:rPr>
          <w:rFonts w:ascii="Times New Roman" w:hAnsi="Times New Roman" w:cs="Times New Roman"/>
        </w:rPr>
        <w:t>6</w:t>
      </w:r>
      <w:r w:rsidR="009A1099" w:rsidRPr="00215A1D">
        <w:rPr>
          <w:rFonts w:ascii="Times New Roman" w:hAnsi="Times New Roman" w:cs="Times New Roman"/>
        </w:rPr>
        <w:t>. Przepisy przejściowe:</w:t>
      </w:r>
    </w:p>
    <w:p w14:paraId="450CC274" w14:textId="77777777" w:rsidR="009A1099" w:rsidRPr="00215A1D" w:rsidRDefault="00EF6F97" w:rsidP="00EF6F97">
      <w:pPr>
        <w:pStyle w:val="PKTpunkt"/>
        <w:rPr>
          <w:rFonts w:ascii="Times New Roman" w:hAnsi="Times New Roman" w:cs="Times New Roman"/>
        </w:rPr>
      </w:pPr>
      <w:r>
        <w:rPr>
          <w:rFonts w:ascii="Times New Roman" w:hAnsi="Times New Roman" w:cs="Times New Roman"/>
        </w:rPr>
        <w:tab/>
      </w:r>
      <w:r w:rsidR="009A1099" w:rsidRPr="00215A1D">
        <w:rPr>
          <w:rFonts w:ascii="Times New Roman" w:hAnsi="Times New Roman" w:cs="Times New Roman"/>
        </w:rPr>
        <w:t>Proponuje się, aby:</w:t>
      </w:r>
    </w:p>
    <w:p w14:paraId="158CC053" w14:textId="77777777" w:rsidR="009C2C5E" w:rsidRPr="00215A1D" w:rsidRDefault="009C2C5E" w:rsidP="00215A1D">
      <w:pPr>
        <w:pStyle w:val="PKTpunkt"/>
        <w:numPr>
          <w:ilvl w:val="0"/>
          <w:numId w:val="88"/>
        </w:numPr>
        <w:rPr>
          <w:rFonts w:ascii="Times New Roman" w:hAnsi="Times New Roman" w:cs="Times New Roman"/>
        </w:rPr>
      </w:pPr>
      <w:r w:rsidRPr="00215A1D">
        <w:rPr>
          <w:rFonts w:ascii="Times New Roman" w:hAnsi="Times New Roman" w:cs="Times New Roman"/>
        </w:rPr>
        <w:t xml:space="preserve">Operator systemu przesyłowego elektroenergetycznego opublikował na swojej stronie internetowej standardy wymiany informacji centralnego systemu </w:t>
      </w:r>
      <w:r w:rsidR="00F8706F" w:rsidRPr="00215A1D">
        <w:rPr>
          <w:rFonts w:ascii="Times New Roman" w:hAnsi="Times New Roman" w:cs="Times New Roman"/>
        </w:rPr>
        <w:t xml:space="preserve">informacji </w:t>
      </w:r>
      <w:r w:rsidRPr="00215A1D">
        <w:rPr>
          <w:rFonts w:ascii="Times New Roman" w:hAnsi="Times New Roman" w:cs="Times New Roman"/>
        </w:rPr>
        <w:t>rynku energii w terminie 12 miesięcy od dnia wejścia w życie niniejszej ustawy.</w:t>
      </w:r>
    </w:p>
    <w:p w14:paraId="53BADE02" w14:textId="77777777" w:rsidR="009A1099" w:rsidRPr="00215A1D" w:rsidRDefault="009A1099" w:rsidP="00215A1D">
      <w:pPr>
        <w:pStyle w:val="PKTpunkt"/>
        <w:numPr>
          <w:ilvl w:val="0"/>
          <w:numId w:val="88"/>
        </w:numPr>
        <w:rPr>
          <w:rFonts w:ascii="Times New Roman" w:hAnsi="Times New Roman" w:cs="Times New Roman"/>
        </w:rPr>
      </w:pPr>
      <w:r w:rsidRPr="00215A1D">
        <w:rPr>
          <w:rFonts w:ascii="Times New Roman" w:hAnsi="Times New Roman" w:cs="Times New Roman"/>
        </w:rPr>
        <w:t xml:space="preserve">Operator systemu przesyłowego elektroenergetycznego utworzył centralny system informacji </w:t>
      </w:r>
      <w:r w:rsidR="00514FF9" w:rsidRPr="00215A1D">
        <w:rPr>
          <w:rFonts w:ascii="Times New Roman" w:hAnsi="Times New Roman" w:cs="Times New Roman"/>
        </w:rPr>
        <w:t xml:space="preserve">rynku energii </w:t>
      </w:r>
      <w:r w:rsidRPr="00215A1D">
        <w:rPr>
          <w:rFonts w:ascii="Times New Roman" w:hAnsi="Times New Roman" w:cs="Times New Roman"/>
        </w:rPr>
        <w:t>w</w:t>
      </w:r>
      <w:r w:rsidR="00EF6F97">
        <w:rPr>
          <w:rFonts w:ascii="Times New Roman" w:hAnsi="Times New Roman" w:cs="Times New Roman"/>
        </w:rPr>
        <w:t xml:space="preserve"> </w:t>
      </w:r>
      <w:r w:rsidRPr="00215A1D">
        <w:rPr>
          <w:rFonts w:ascii="Times New Roman" w:hAnsi="Times New Roman" w:cs="Times New Roman"/>
        </w:rPr>
        <w:t>terminie 36 miesięcy od dnia wejścia w życie niniejszej ustawy;</w:t>
      </w:r>
    </w:p>
    <w:p w14:paraId="42E3D2DC" w14:textId="77777777" w:rsidR="00A5339F" w:rsidRPr="00215A1D" w:rsidRDefault="00A5339F" w:rsidP="00215A1D">
      <w:pPr>
        <w:pStyle w:val="ARTartustawynprozporzdzenia"/>
        <w:numPr>
          <w:ilvl w:val="0"/>
          <w:numId w:val="88"/>
        </w:numPr>
        <w:spacing w:before="0"/>
        <w:rPr>
          <w:rFonts w:ascii="Times New Roman" w:hAnsi="Times New Roman" w:cs="Times New Roman"/>
        </w:rPr>
      </w:pPr>
      <w:r w:rsidRPr="00215A1D">
        <w:rPr>
          <w:rFonts w:ascii="Times New Roman" w:hAnsi="Times New Roman" w:cs="Times New Roman"/>
        </w:rPr>
        <w:t>Operatorzy systemów dystrybucyjnych elektroenergetycznych</w:t>
      </w:r>
      <w:r w:rsidR="00A166BB" w:rsidRPr="00215A1D">
        <w:rPr>
          <w:rFonts w:ascii="Times New Roman" w:hAnsi="Times New Roman" w:cs="Times New Roman"/>
        </w:rPr>
        <w:t xml:space="preserve">, </w:t>
      </w:r>
      <w:r w:rsidR="00C0170C" w:rsidRPr="00215A1D">
        <w:rPr>
          <w:rFonts w:ascii="Times New Roman" w:hAnsi="Times New Roman" w:cs="Times New Roman"/>
        </w:rPr>
        <w:t>operator systemu przesyłowego elektroenergetycznego</w:t>
      </w:r>
      <w:r w:rsidR="001D0628">
        <w:rPr>
          <w:rFonts w:ascii="Times New Roman" w:hAnsi="Times New Roman" w:cs="Times New Roman"/>
        </w:rPr>
        <w:t xml:space="preserve"> i </w:t>
      </w:r>
      <w:r w:rsidR="00A166BB" w:rsidRPr="00215A1D">
        <w:rPr>
          <w:rFonts w:ascii="Times New Roman" w:hAnsi="Times New Roman" w:cs="Times New Roman"/>
        </w:rPr>
        <w:t xml:space="preserve">operatorzy ogólnodostępnych stacji ładowania </w:t>
      </w:r>
      <w:r w:rsidR="009C2C5E" w:rsidRPr="00215A1D">
        <w:rPr>
          <w:rFonts w:ascii="Times New Roman" w:hAnsi="Times New Roman" w:cs="Times New Roman"/>
        </w:rPr>
        <w:t xml:space="preserve">nadali kody punktom pomiarowym, </w:t>
      </w:r>
      <w:r w:rsidRPr="00215A1D">
        <w:rPr>
          <w:rFonts w:ascii="Times New Roman" w:hAnsi="Times New Roman" w:cs="Times New Roman"/>
        </w:rPr>
        <w:t>, każdy dla swojej sieci</w:t>
      </w:r>
      <w:r w:rsidR="00A166BB" w:rsidRPr="00215A1D">
        <w:rPr>
          <w:rFonts w:ascii="Times New Roman" w:hAnsi="Times New Roman" w:cs="Times New Roman"/>
        </w:rPr>
        <w:t>, instalacji lub urządzenia</w:t>
      </w:r>
      <w:r w:rsidRPr="00215A1D">
        <w:rPr>
          <w:rFonts w:ascii="Times New Roman" w:hAnsi="Times New Roman" w:cs="Times New Roman"/>
        </w:rPr>
        <w:t>, zgodnie ze standardem GS1, w terminie 24 miesięcy od dnia wejścia w życie niniejszej ustawy.</w:t>
      </w:r>
    </w:p>
    <w:p w14:paraId="391D1D7C" w14:textId="77777777" w:rsidR="009A1099" w:rsidRPr="00215A1D" w:rsidRDefault="009A1099" w:rsidP="00215A1D">
      <w:pPr>
        <w:pStyle w:val="PKTpunkt"/>
        <w:numPr>
          <w:ilvl w:val="0"/>
          <w:numId w:val="88"/>
        </w:numPr>
        <w:rPr>
          <w:rFonts w:ascii="Times New Roman" w:hAnsi="Times New Roman" w:cs="Times New Roman"/>
        </w:rPr>
      </w:pPr>
      <w:r w:rsidRPr="00215A1D">
        <w:rPr>
          <w:rFonts w:ascii="Times New Roman" w:hAnsi="Times New Roman" w:cs="Times New Roman"/>
        </w:rPr>
        <w:t xml:space="preserve">Operatorzy systemów dystrybucyjnych elektroenergetycznych przekazali operatorowi systemu przesyłowego elektroenergetycznego w postaci elektronicznej za pośrednictwem centralnego systemu informacji </w:t>
      </w:r>
      <w:r w:rsidR="00F8706F" w:rsidRPr="00215A1D">
        <w:rPr>
          <w:rFonts w:ascii="Times New Roman" w:hAnsi="Times New Roman" w:cs="Times New Roman"/>
        </w:rPr>
        <w:t>rynku energii</w:t>
      </w:r>
      <w:r w:rsidR="00EF6F97">
        <w:rPr>
          <w:rFonts w:ascii="Times New Roman" w:hAnsi="Times New Roman" w:cs="Times New Roman"/>
        </w:rPr>
        <w:t xml:space="preserve"> </w:t>
      </w:r>
      <w:r w:rsidRPr="00215A1D">
        <w:rPr>
          <w:rFonts w:ascii="Times New Roman" w:hAnsi="Times New Roman" w:cs="Times New Roman"/>
        </w:rPr>
        <w:t>informacje o punktach pomiarowych w terminie 30 miesięcy od dnia wejścia w życie niniejszej ustawy</w:t>
      </w:r>
      <w:r w:rsidR="00A5339F" w:rsidRPr="00215A1D">
        <w:rPr>
          <w:rFonts w:ascii="Times New Roman" w:hAnsi="Times New Roman" w:cs="Times New Roman"/>
        </w:rPr>
        <w:t>.</w:t>
      </w:r>
      <w:r w:rsidR="00F8706F" w:rsidRPr="00215A1D">
        <w:rPr>
          <w:rFonts w:ascii="Times New Roman" w:hAnsi="Times New Roman" w:cs="Times New Roman"/>
        </w:rPr>
        <w:t xml:space="preserve"> </w:t>
      </w:r>
      <w:r w:rsidR="00F8706F" w:rsidRPr="00215A1D">
        <w:rPr>
          <w:rFonts w:ascii="Times New Roman" w:hAnsi="Times New Roman" w:cs="Times New Roman"/>
        </w:rPr>
        <w:lastRenderedPageBreak/>
        <w:t>Informacje o punktach pomiarowych będą spełniać wymagania określone w standardach wymiany informacji centralnego systemu informacji rynku energii</w:t>
      </w:r>
    </w:p>
    <w:p w14:paraId="2D00F68A" w14:textId="31A89FBD" w:rsidR="00A5339F" w:rsidRPr="00215A1D" w:rsidRDefault="00A5339F" w:rsidP="00215A1D">
      <w:pPr>
        <w:pStyle w:val="ARTartustawynprozporzdzenia"/>
        <w:numPr>
          <w:ilvl w:val="0"/>
          <w:numId w:val="88"/>
        </w:numPr>
        <w:spacing w:before="0"/>
        <w:rPr>
          <w:rFonts w:ascii="Times New Roman" w:hAnsi="Times New Roman" w:cs="Times New Roman"/>
        </w:rPr>
      </w:pPr>
      <w:r w:rsidRPr="00215A1D">
        <w:rPr>
          <w:rFonts w:ascii="Times New Roman" w:hAnsi="Times New Roman" w:cs="Times New Roman"/>
        </w:rPr>
        <w:t>Użytkownicy systemu, o których mowa w art. 11z</w:t>
      </w:r>
      <w:r w:rsidR="00810D8B">
        <w:rPr>
          <w:rFonts w:ascii="Times New Roman" w:hAnsi="Times New Roman" w:cs="Times New Roman"/>
        </w:rPr>
        <w:t>g</w:t>
      </w:r>
      <w:r w:rsidRPr="00215A1D">
        <w:rPr>
          <w:rFonts w:ascii="Times New Roman" w:hAnsi="Times New Roman" w:cs="Times New Roman"/>
        </w:rPr>
        <w:t xml:space="preserve"> ust. 1 ustawy zmienianej w art. 1 w brzmieniu nadanym niniejszą ustawą zawarli umowę, o której mowa w tym przepisie w terminie 30 miesięcy od dnia wejścia w życie niniejszej ustawy.</w:t>
      </w:r>
    </w:p>
    <w:p w14:paraId="18FED378" w14:textId="77777777" w:rsidR="00930817" w:rsidRPr="00215A1D" w:rsidRDefault="00EF6F97" w:rsidP="00EF6F97">
      <w:pPr>
        <w:pStyle w:val="PKTpunkt"/>
        <w:ind w:left="0" w:firstLine="0"/>
        <w:rPr>
          <w:rFonts w:ascii="Times New Roman" w:hAnsi="Times New Roman" w:cs="Times New Roman"/>
        </w:rPr>
      </w:pPr>
      <w:r>
        <w:rPr>
          <w:rFonts w:ascii="Times New Roman" w:hAnsi="Times New Roman" w:cs="Times New Roman"/>
        </w:rPr>
        <w:tab/>
      </w:r>
      <w:r w:rsidR="00930817" w:rsidRPr="00215A1D">
        <w:rPr>
          <w:rFonts w:ascii="Times New Roman" w:hAnsi="Times New Roman" w:cs="Times New Roman"/>
        </w:rPr>
        <w:t xml:space="preserve">Przedstawiony powyżej harmonogram utworzenia centralnego systemu informacji rynku energii wynika </w:t>
      </w:r>
      <w:r w:rsidR="001D0628">
        <w:rPr>
          <w:rFonts w:ascii="Times New Roman" w:hAnsi="Times New Roman" w:cs="Times New Roman"/>
        </w:rPr>
        <w:t>z </w:t>
      </w:r>
      <w:r w:rsidR="00930817" w:rsidRPr="00215A1D">
        <w:rPr>
          <w:rFonts w:ascii="Times New Roman" w:hAnsi="Times New Roman" w:cs="Times New Roman"/>
        </w:rPr>
        <w:t>faktu, iż konieczne będzie:</w:t>
      </w:r>
    </w:p>
    <w:p w14:paraId="03035314" w14:textId="77777777" w:rsidR="00930817" w:rsidRPr="00215A1D" w:rsidRDefault="00930817" w:rsidP="00215A1D">
      <w:pPr>
        <w:pStyle w:val="PKTpunkt"/>
        <w:numPr>
          <w:ilvl w:val="0"/>
          <w:numId w:val="86"/>
        </w:numPr>
        <w:rPr>
          <w:rFonts w:ascii="Times New Roman" w:hAnsi="Times New Roman" w:cs="Times New Roman"/>
        </w:rPr>
      </w:pPr>
      <w:r w:rsidRPr="00215A1D">
        <w:rPr>
          <w:rFonts w:ascii="Times New Roman" w:hAnsi="Times New Roman" w:cs="Times New Roman"/>
        </w:rPr>
        <w:t>opracowanie standardów wymiany informacji rynku energii elektrycznej określających sposób realizacji podstawowych procesów rynku energii elektrycznej obsługiwanych prze</w:t>
      </w:r>
      <w:r w:rsidR="001D0628">
        <w:rPr>
          <w:rFonts w:ascii="Times New Roman" w:hAnsi="Times New Roman" w:cs="Times New Roman"/>
        </w:rPr>
        <w:t>z </w:t>
      </w:r>
      <w:r w:rsidRPr="00215A1D">
        <w:rPr>
          <w:rFonts w:ascii="Times New Roman" w:hAnsi="Times New Roman" w:cs="Times New Roman"/>
        </w:rPr>
        <w:t>CSIRE</w:t>
      </w:r>
    </w:p>
    <w:p w14:paraId="3196C763" w14:textId="2D04F532" w:rsidR="00930817" w:rsidRPr="00215A1D" w:rsidRDefault="00930817" w:rsidP="00215A1D">
      <w:pPr>
        <w:pStyle w:val="PKTpunkt"/>
        <w:numPr>
          <w:ilvl w:val="0"/>
          <w:numId w:val="86"/>
        </w:numPr>
        <w:rPr>
          <w:rFonts w:ascii="Times New Roman" w:hAnsi="Times New Roman" w:cs="Times New Roman"/>
        </w:rPr>
      </w:pPr>
      <w:r w:rsidRPr="00215A1D">
        <w:rPr>
          <w:rFonts w:ascii="Times New Roman" w:hAnsi="Times New Roman" w:cs="Times New Roman"/>
        </w:rPr>
        <w:t>opracowanie wymagań do specyfikacji istotnych warunków zamówienia, która będzie podstawą przygotowania postępowania przetargowego na zakup</w:t>
      </w:r>
      <w:r w:rsidR="001D0628">
        <w:rPr>
          <w:rFonts w:ascii="Times New Roman" w:hAnsi="Times New Roman" w:cs="Times New Roman"/>
        </w:rPr>
        <w:t xml:space="preserve"> i </w:t>
      </w:r>
      <w:r w:rsidRPr="00215A1D">
        <w:rPr>
          <w:rFonts w:ascii="Times New Roman" w:hAnsi="Times New Roman" w:cs="Times New Roman"/>
        </w:rPr>
        <w:t xml:space="preserve">wdrożenie systemu </w:t>
      </w:r>
      <w:r w:rsidR="00B077B9">
        <w:rPr>
          <w:rFonts w:ascii="Times New Roman" w:hAnsi="Times New Roman" w:cs="Times New Roman"/>
        </w:rPr>
        <w:t>informacyjnego</w:t>
      </w:r>
      <w:r w:rsidR="00B077B9" w:rsidRPr="00215A1D">
        <w:rPr>
          <w:rFonts w:ascii="Times New Roman" w:hAnsi="Times New Roman" w:cs="Times New Roman"/>
        </w:rPr>
        <w:t xml:space="preserve"> </w:t>
      </w:r>
      <w:r w:rsidRPr="00215A1D">
        <w:rPr>
          <w:rFonts w:ascii="Times New Roman" w:hAnsi="Times New Roman" w:cs="Times New Roman"/>
        </w:rPr>
        <w:t>o funkcjonalnościach wymaganych w opracowanych uprzednio standardach wymiany informacji rynku energii,</w:t>
      </w:r>
    </w:p>
    <w:p w14:paraId="006BDF63" w14:textId="77777777" w:rsidR="00930817" w:rsidRPr="00215A1D" w:rsidRDefault="00930817" w:rsidP="00215A1D">
      <w:pPr>
        <w:pStyle w:val="PKTpunkt"/>
        <w:numPr>
          <w:ilvl w:val="0"/>
          <w:numId w:val="86"/>
        </w:numPr>
        <w:rPr>
          <w:rFonts w:ascii="Times New Roman" w:hAnsi="Times New Roman" w:cs="Times New Roman"/>
        </w:rPr>
      </w:pPr>
      <w:r w:rsidRPr="00215A1D">
        <w:rPr>
          <w:rFonts w:ascii="Times New Roman" w:hAnsi="Times New Roman" w:cs="Times New Roman"/>
        </w:rPr>
        <w:t xml:space="preserve">przeprowadzenie postępowania przetargowego </w:t>
      </w:r>
    </w:p>
    <w:p w14:paraId="456588D8" w14:textId="323F4958" w:rsidR="00930817" w:rsidRPr="00215A1D" w:rsidRDefault="00930817" w:rsidP="00215A1D">
      <w:pPr>
        <w:pStyle w:val="PKTpunkt"/>
        <w:numPr>
          <w:ilvl w:val="0"/>
          <w:numId w:val="86"/>
        </w:numPr>
        <w:rPr>
          <w:rFonts w:ascii="Times New Roman" w:hAnsi="Times New Roman" w:cs="Times New Roman"/>
        </w:rPr>
      </w:pPr>
      <w:r w:rsidRPr="00215A1D">
        <w:rPr>
          <w:rFonts w:ascii="Times New Roman" w:hAnsi="Times New Roman" w:cs="Times New Roman"/>
        </w:rPr>
        <w:t xml:space="preserve">wdrożenie systemu </w:t>
      </w:r>
      <w:r w:rsidR="00B077B9">
        <w:rPr>
          <w:rFonts w:ascii="Times New Roman" w:hAnsi="Times New Roman" w:cs="Times New Roman"/>
        </w:rPr>
        <w:t>informacyjnego</w:t>
      </w:r>
      <w:r w:rsidR="00B077B9" w:rsidRPr="00215A1D">
        <w:rPr>
          <w:rFonts w:ascii="Times New Roman" w:hAnsi="Times New Roman" w:cs="Times New Roman"/>
        </w:rPr>
        <w:t xml:space="preserve"> </w:t>
      </w:r>
      <w:r w:rsidRPr="00215A1D">
        <w:rPr>
          <w:rFonts w:ascii="Times New Roman" w:hAnsi="Times New Roman" w:cs="Times New Roman"/>
        </w:rPr>
        <w:t xml:space="preserve">realizującego funkcje CSIRE </w:t>
      </w:r>
    </w:p>
    <w:p w14:paraId="633FA2EE" w14:textId="77777777" w:rsidR="009C2C5E" w:rsidRPr="00215A1D" w:rsidRDefault="009C2C5E" w:rsidP="00215A1D">
      <w:pPr>
        <w:pStyle w:val="PKTpunkt"/>
        <w:numPr>
          <w:ilvl w:val="0"/>
          <w:numId w:val="86"/>
        </w:numPr>
        <w:rPr>
          <w:rFonts w:ascii="Times New Roman" w:hAnsi="Times New Roman" w:cs="Times New Roman"/>
        </w:rPr>
      </w:pPr>
      <w:r w:rsidRPr="00215A1D">
        <w:rPr>
          <w:rFonts w:ascii="Times New Roman" w:hAnsi="Times New Roman" w:cs="Times New Roman"/>
        </w:rPr>
        <w:t>przeprowadzenie inicjalnego zasilenia CSIRE informacjami rynku energii</w:t>
      </w:r>
    </w:p>
    <w:p w14:paraId="1B5A6F50" w14:textId="77777777" w:rsidR="009C2C5E" w:rsidRPr="00215A1D" w:rsidRDefault="009C2C5E" w:rsidP="00215A1D">
      <w:pPr>
        <w:pStyle w:val="PKTpunkt"/>
        <w:numPr>
          <w:ilvl w:val="0"/>
          <w:numId w:val="86"/>
        </w:numPr>
        <w:rPr>
          <w:rFonts w:ascii="Times New Roman" w:hAnsi="Times New Roman" w:cs="Times New Roman"/>
        </w:rPr>
      </w:pPr>
      <w:r w:rsidRPr="00215A1D">
        <w:rPr>
          <w:rFonts w:ascii="Times New Roman" w:hAnsi="Times New Roman" w:cs="Times New Roman"/>
        </w:rPr>
        <w:t>zawarcie stosownych umów pomiędzy OIRE, a użytkownikami systemu</w:t>
      </w:r>
    </w:p>
    <w:p w14:paraId="776D0449" w14:textId="77777777" w:rsidR="00C0170C" w:rsidRPr="00215A1D" w:rsidRDefault="00C0170C" w:rsidP="00215A1D">
      <w:pPr>
        <w:pStyle w:val="PKTpunkt"/>
        <w:numPr>
          <w:ilvl w:val="0"/>
          <w:numId w:val="86"/>
        </w:numPr>
        <w:rPr>
          <w:rFonts w:ascii="Times New Roman" w:hAnsi="Times New Roman" w:cs="Times New Roman"/>
        </w:rPr>
      </w:pPr>
      <w:r w:rsidRPr="00215A1D">
        <w:rPr>
          <w:rFonts w:ascii="Times New Roman" w:hAnsi="Times New Roman" w:cs="Times New Roman"/>
        </w:rPr>
        <w:t>przeprowadzenie migracji danych</w:t>
      </w:r>
    </w:p>
    <w:p w14:paraId="2C4A5583" w14:textId="40ED8811" w:rsidR="00930817" w:rsidRPr="00215A1D" w:rsidRDefault="00930817" w:rsidP="00215A1D">
      <w:pPr>
        <w:pStyle w:val="PKTpunkt"/>
        <w:numPr>
          <w:ilvl w:val="0"/>
          <w:numId w:val="86"/>
        </w:numPr>
        <w:rPr>
          <w:rFonts w:ascii="Times New Roman" w:hAnsi="Times New Roman" w:cs="Times New Roman"/>
        </w:rPr>
      </w:pPr>
      <w:r w:rsidRPr="00215A1D">
        <w:rPr>
          <w:rFonts w:ascii="Times New Roman" w:hAnsi="Times New Roman" w:cs="Times New Roman"/>
        </w:rPr>
        <w:t xml:space="preserve">przeprowadzenie testów wdrożonego centralnego systemu informacji rynku energii, wynikających </w:t>
      </w:r>
      <w:r w:rsidR="001D0628">
        <w:rPr>
          <w:rFonts w:ascii="Times New Roman" w:hAnsi="Times New Roman" w:cs="Times New Roman"/>
        </w:rPr>
        <w:t>z </w:t>
      </w:r>
      <w:r w:rsidRPr="00215A1D">
        <w:rPr>
          <w:rFonts w:ascii="Times New Roman" w:hAnsi="Times New Roman" w:cs="Times New Roman"/>
        </w:rPr>
        <w:t xml:space="preserve">potrzeby zapewnienia właściwej współpracy </w:t>
      </w:r>
      <w:r w:rsidR="001D0628">
        <w:rPr>
          <w:rFonts w:ascii="Times New Roman" w:hAnsi="Times New Roman" w:cs="Times New Roman"/>
        </w:rPr>
        <w:t>z </w:t>
      </w:r>
      <w:r w:rsidRPr="00215A1D">
        <w:rPr>
          <w:rFonts w:ascii="Times New Roman" w:hAnsi="Times New Roman" w:cs="Times New Roman"/>
        </w:rPr>
        <w:t xml:space="preserve">systemami </w:t>
      </w:r>
      <w:r w:rsidR="00B077B9">
        <w:rPr>
          <w:rFonts w:ascii="Times New Roman" w:hAnsi="Times New Roman" w:cs="Times New Roman"/>
        </w:rPr>
        <w:t>informacyjnymi</w:t>
      </w:r>
      <w:r w:rsidR="00B077B9" w:rsidRPr="00215A1D">
        <w:rPr>
          <w:rFonts w:ascii="Times New Roman" w:hAnsi="Times New Roman" w:cs="Times New Roman"/>
        </w:rPr>
        <w:t xml:space="preserve"> </w:t>
      </w:r>
      <w:r w:rsidRPr="00215A1D">
        <w:rPr>
          <w:rFonts w:ascii="Times New Roman" w:hAnsi="Times New Roman" w:cs="Times New Roman"/>
        </w:rPr>
        <w:t xml:space="preserve">kluczowych użytkowników systemu elektroenergetycznego. </w:t>
      </w:r>
    </w:p>
    <w:p w14:paraId="3ABF5922" w14:textId="0578463F" w:rsidR="00EE6A04" w:rsidRPr="00215A1D" w:rsidRDefault="00930817" w:rsidP="00215A1D">
      <w:pPr>
        <w:pStyle w:val="ARTartustawynprozporzdzenia"/>
        <w:spacing w:before="0"/>
        <w:ind w:firstLine="0"/>
        <w:rPr>
          <w:rFonts w:ascii="Times New Roman" w:hAnsi="Times New Roman" w:cs="Times New Roman"/>
        </w:rPr>
      </w:pPr>
      <w:r w:rsidRPr="00215A1D">
        <w:rPr>
          <w:rFonts w:ascii="Times New Roman" w:hAnsi="Times New Roman" w:cs="Times New Roman"/>
        </w:rPr>
        <w:t xml:space="preserve">Należy jednocześnie podkreślić, że równolegle </w:t>
      </w:r>
      <w:r w:rsidR="001D0628">
        <w:rPr>
          <w:rFonts w:ascii="Times New Roman" w:hAnsi="Times New Roman" w:cs="Times New Roman"/>
        </w:rPr>
        <w:t>z </w:t>
      </w:r>
      <w:r w:rsidRPr="00215A1D">
        <w:rPr>
          <w:rFonts w:ascii="Times New Roman" w:hAnsi="Times New Roman" w:cs="Times New Roman"/>
        </w:rPr>
        <w:t xml:space="preserve">wdrożeniem CSIRE kluczowi użytkownicy systemu elektroenergetycznego muszą dokonać dostosowania swoich systemów </w:t>
      </w:r>
      <w:r w:rsidR="00B077B9">
        <w:rPr>
          <w:rFonts w:ascii="Times New Roman" w:hAnsi="Times New Roman" w:cs="Times New Roman"/>
        </w:rPr>
        <w:t>informacyjnych</w:t>
      </w:r>
      <w:r w:rsidR="00B077B9" w:rsidRPr="00215A1D">
        <w:rPr>
          <w:rFonts w:ascii="Times New Roman" w:hAnsi="Times New Roman" w:cs="Times New Roman"/>
        </w:rPr>
        <w:t xml:space="preserve"> </w:t>
      </w:r>
      <w:r w:rsidRPr="00215A1D">
        <w:rPr>
          <w:rFonts w:ascii="Times New Roman" w:hAnsi="Times New Roman" w:cs="Times New Roman"/>
        </w:rPr>
        <w:t xml:space="preserve">do wymagań wynikających </w:t>
      </w:r>
      <w:r w:rsidR="001D0628">
        <w:rPr>
          <w:rFonts w:ascii="Times New Roman" w:hAnsi="Times New Roman" w:cs="Times New Roman"/>
        </w:rPr>
        <w:t>z </w:t>
      </w:r>
      <w:r w:rsidRPr="00215A1D">
        <w:rPr>
          <w:rFonts w:ascii="Times New Roman" w:hAnsi="Times New Roman" w:cs="Times New Roman"/>
        </w:rPr>
        <w:t>opracowanych</w:t>
      </w:r>
      <w:r w:rsidR="001D0628">
        <w:rPr>
          <w:rFonts w:ascii="Times New Roman" w:hAnsi="Times New Roman" w:cs="Times New Roman"/>
        </w:rPr>
        <w:t xml:space="preserve"> i </w:t>
      </w:r>
      <w:r w:rsidRPr="00215A1D">
        <w:rPr>
          <w:rFonts w:ascii="Times New Roman" w:hAnsi="Times New Roman" w:cs="Times New Roman"/>
        </w:rPr>
        <w:t>opublikowanych prze</w:t>
      </w:r>
      <w:r w:rsidR="001D0628">
        <w:rPr>
          <w:rFonts w:ascii="Times New Roman" w:hAnsi="Times New Roman" w:cs="Times New Roman"/>
        </w:rPr>
        <w:t>z </w:t>
      </w:r>
      <w:r w:rsidRPr="00215A1D">
        <w:rPr>
          <w:rFonts w:ascii="Times New Roman" w:hAnsi="Times New Roman" w:cs="Times New Roman"/>
        </w:rPr>
        <w:t>PSE S.A. standardów wymiany informacji rynku energii elektrycznej ora</w:t>
      </w:r>
      <w:r w:rsidR="001D0628">
        <w:rPr>
          <w:rFonts w:ascii="Times New Roman" w:hAnsi="Times New Roman" w:cs="Times New Roman"/>
        </w:rPr>
        <w:t>z </w:t>
      </w:r>
      <w:r w:rsidRPr="00215A1D">
        <w:rPr>
          <w:rFonts w:ascii="Times New Roman" w:hAnsi="Times New Roman" w:cs="Times New Roman"/>
        </w:rPr>
        <w:t xml:space="preserve">do wymagań technicznych związanych ze współpracy tych systemów </w:t>
      </w:r>
      <w:r w:rsidR="00B077B9">
        <w:rPr>
          <w:rFonts w:ascii="Times New Roman" w:hAnsi="Times New Roman" w:cs="Times New Roman"/>
        </w:rPr>
        <w:t>informacyjnych</w:t>
      </w:r>
      <w:r w:rsidR="00B077B9" w:rsidRPr="00215A1D">
        <w:rPr>
          <w:rFonts w:ascii="Times New Roman" w:hAnsi="Times New Roman" w:cs="Times New Roman"/>
        </w:rPr>
        <w:t xml:space="preserve"> </w:t>
      </w:r>
      <w:r w:rsidR="001D0628">
        <w:rPr>
          <w:rFonts w:ascii="Times New Roman" w:hAnsi="Times New Roman" w:cs="Times New Roman"/>
        </w:rPr>
        <w:t>z </w:t>
      </w:r>
      <w:r w:rsidRPr="00215A1D">
        <w:rPr>
          <w:rFonts w:ascii="Times New Roman" w:hAnsi="Times New Roman" w:cs="Times New Roman"/>
        </w:rPr>
        <w:t xml:space="preserve">CSIRE. </w:t>
      </w:r>
    </w:p>
    <w:p w14:paraId="59CB3F52" w14:textId="722B8B77" w:rsidR="00AF1196" w:rsidRPr="00215A1D" w:rsidRDefault="00630A72" w:rsidP="00215A1D">
      <w:pPr>
        <w:pStyle w:val="ARTartustawynprozporzdzenia"/>
        <w:spacing w:before="0"/>
        <w:ind w:firstLine="0"/>
        <w:rPr>
          <w:rFonts w:ascii="Times New Roman" w:hAnsi="Times New Roman" w:cs="Times New Roman"/>
        </w:rPr>
      </w:pPr>
      <w:r w:rsidRPr="00215A1D">
        <w:rPr>
          <w:rFonts w:ascii="Times New Roman" w:hAnsi="Times New Roman" w:cs="Times New Roman"/>
        </w:rPr>
        <w:t>Ocenia się, że pomimo planowanego</w:t>
      </w:r>
      <w:r w:rsidR="00EF6F97">
        <w:rPr>
          <w:rFonts w:ascii="Times New Roman" w:hAnsi="Times New Roman" w:cs="Times New Roman"/>
        </w:rPr>
        <w:t xml:space="preserve"> </w:t>
      </w:r>
      <w:r w:rsidRPr="00215A1D">
        <w:rPr>
          <w:rFonts w:ascii="Times New Roman" w:hAnsi="Times New Roman" w:cs="Times New Roman"/>
        </w:rPr>
        <w:t xml:space="preserve">zrealizowania części prac koncepcyjnych przed wejściem w życie ustawy </w:t>
      </w:r>
      <w:r w:rsidR="00BD1376" w:rsidRPr="00215A1D">
        <w:rPr>
          <w:rFonts w:ascii="Times New Roman" w:hAnsi="Times New Roman" w:cs="Times New Roman"/>
        </w:rPr>
        <w:t xml:space="preserve">m.in. </w:t>
      </w:r>
      <w:r w:rsidRPr="00215A1D">
        <w:rPr>
          <w:rFonts w:ascii="Times New Roman" w:hAnsi="Times New Roman" w:cs="Times New Roman"/>
        </w:rPr>
        <w:t>w oparciu o opracowane prze</w:t>
      </w:r>
      <w:r w:rsidR="001D0628">
        <w:rPr>
          <w:rFonts w:ascii="Times New Roman" w:hAnsi="Times New Roman" w:cs="Times New Roman"/>
        </w:rPr>
        <w:t>z </w:t>
      </w:r>
      <w:r w:rsidRPr="00215A1D">
        <w:rPr>
          <w:rFonts w:ascii="Times New Roman" w:hAnsi="Times New Roman" w:cs="Times New Roman"/>
        </w:rPr>
        <w:t>PTPiREE w ubiegłych latach standardy wymiany informacji (</w:t>
      </w:r>
      <w:hyperlink r:id="rId15" w:history="1">
        <w:r w:rsidRPr="00215A1D">
          <w:rPr>
            <w:rStyle w:val="Hipercze"/>
            <w:rFonts w:ascii="Times New Roman" w:hAnsi="Times New Roman" w:cs="Times New Roman"/>
          </w:rPr>
          <w:t>http://www.cswi.ptpiree.pl/aktualnosci</w:t>
        </w:r>
      </w:hyperlink>
      <w:r w:rsidRPr="00215A1D">
        <w:rPr>
          <w:rFonts w:ascii="Times New Roman" w:hAnsi="Times New Roman" w:cs="Times New Roman"/>
        </w:rPr>
        <w:t>)</w:t>
      </w:r>
      <w:r w:rsidR="00BD1376" w:rsidRPr="00215A1D">
        <w:rPr>
          <w:rFonts w:ascii="Times New Roman" w:hAnsi="Times New Roman" w:cs="Times New Roman"/>
        </w:rPr>
        <w:t xml:space="preserve"> minimalny czas na zapewnienie funkcjonowania CSIRE</w:t>
      </w:r>
      <w:r w:rsidR="001D0628">
        <w:rPr>
          <w:rFonts w:ascii="Times New Roman" w:hAnsi="Times New Roman" w:cs="Times New Roman"/>
        </w:rPr>
        <w:t xml:space="preserve"> i </w:t>
      </w:r>
      <w:r w:rsidR="00BD1376" w:rsidRPr="00215A1D">
        <w:rPr>
          <w:rFonts w:ascii="Times New Roman" w:hAnsi="Times New Roman" w:cs="Times New Roman"/>
        </w:rPr>
        <w:t xml:space="preserve">współpracujących systemów </w:t>
      </w:r>
      <w:r w:rsidR="00B077B9">
        <w:rPr>
          <w:rFonts w:ascii="Times New Roman" w:hAnsi="Times New Roman" w:cs="Times New Roman"/>
        </w:rPr>
        <w:t>informacyjnych</w:t>
      </w:r>
      <w:r w:rsidR="00B077B9" w:rsidRPr="00215A1D">
        <w:rPr>
          <w:rFonts w:ascii="Times New Roman" w:hAnsi="Times New Roman" w:cs="Times New Roman"/>
        </w:rPr>
        <w:t xml:space="preserve"> </w:t>
      </w:r>
      <w:r w:rsidR="00BD1376" w:rsidRPr="00215A1D">
        <w:rPr>
          <w:rFonts w:ascii="Times New Roman" w:hAnsi="Times New Roman" w:cs="Times New Roman"/>
        </w:rPr>
        <w:t xml:space="preserve">użytkowników systemu to 36 miesięcy. </w:t>
      </w:r>
    </w:p>
    <w:p w14:paraId="6549220D" w14:textId="77777777" w:rsidR="000C0060" w:rsidRPr="00215A1D" w:rsidRDefault="000C0060" w:rsidP="00215A1D">
      <w:pPr>
        <w:pStyle w:val="ARTartustawynprozporzdzenia"/>
        <w:spacing w:before="0"/>
        <w:ind w:firstLine="0"/>
        <w:rPr>
          <w:rFonts w:ascii="Times New Roman" w:hAnsi="Times New Roman" w:cs="Times New Roman"/>
        </w:rPr>
      </w:pPr>
    </w:p>
    <w:p w14:paraId="41AC30D4" w14:textId="77777777" w:rsidR="000C0060" w:rsidRPr="00215A1D" w:rsidRDefault="00EF6F97" w:rsidP="00215A1D">
      <w:pPr>
        <w:pStyle w:val="ARTartustawynprozporzdzenia"/>
        <w:spacing w:before="0"/>
        <w:ind w:firstLine="0"/>
        <w:rPr>
          <w:rFonts w:ascii="Times New Roman" w:hAnsi="Times New Roman" w:cs="Times New Roman"/>
        </w:rPr>
      </w:pPr>
      <w:r>
        <w:rPr>
          <w:rFonts w:ascii="Times New Roman" w:hAnsi="Times New Roman" w:cs="Times New Roman"/>
        </w:rPr>
        <w:lastRenderedPageBreak/>
        <w:tab/>
      </w:r>
      <w:r w:rsidR="00D24A41">
        <w:rPr>
          <w:rFonts w:ascii="Times New Roman" w:hAnsi="Times New Roman" w:cs="Times New Roman"/>
        </w:rPr>
        <w:t>Ad. 18</w:t>
      </w:r>
      <w:r w:rsidR="000C0060" w:rsidRPr="00215A1D">
        <w:rPr>
          <w:rFonts w:ascii="Times New Roman" w:hAnsi="Times New Roman" w:cs="Times New Roman"/>
        </w:rPr>
        <w:t>. Projekt zakłada rozszerzenie uprawnienia Prezesa URE do wglądu do ksiąg rachunkowych ora</w:t>
      </w:r>
      <w:r w:rsidR="001D0628">
        <w:rPr>
          <w:rFonts w:ascii="Times New Roman" w:hAnsi="Times New Roman" w:cs="Times New Roman"/>
        </w:rPr>
        <w:t>z </w:t>
      </w:r>
      <w:r w:rsidR="000C0060" w:rsidRPr="00215A1D">
        <w:rPr>
          <w:rFonts w:ascii="Times New Roman" w:hAnsi="Times New Roman" w:cs="Times New Roman"/>
        </w:rPr>
        <w:t>żądania przedstawienia informacji dotyczącej wykonywania działalność gospodarczej – poprze</w:t>
      </w:r>
      <w:r w:rsidR="001D0628">
        <w:rPr>
          <w:rFonts w:ascii="Times New Roman" w:hAnsi="Times New Roman" w:cs="Times New Roman"/>
        </w:rPr>
        <w:t>z </w:t>
      </w:r>
      <w:r w:rsidR="000C0060" w:rsidRPr="00215A1D">
        <w:rPr>
          <w:rFonts w:ascii="Times New Roman" w:hAnsi="Times New Roman" w:cs="Times New Roman"/>
        </w:rPr>
        <w:t xml:space="preserve">realizowane tego uprawnienia nie tylko wobec przedsiębiorstw energetycznych, ale także podmiotów przywożących. Celem tego przepisu jest umożliwienie Prezesowi URE skutecznego wypełnienia obowiązku </w:t>
      </w:r>
      <w:r w:rsidR="001D0628">
        <w:rPr>
          <w:rFonts w:ascii="Times New Roman" w:hAnsi="Times New Roman" w:cs="Times New Roman"/>
        </w:rPr>
        <w:t>z </w:t>
      </w:r>
      <w:r w:rsidR="000C0060" w:rsidRPr="00215A1D">
        <w:rPr>
          <w:rFonts w:ascii="Times New Roman" w:hAnsi="Times New Roman" w:cs="Times New Roman"/>
        </w:rPr>
        <w:t xml:space="preserve">art. 23 ust. 21b ustawy tj. kontrolowania przedsiębiorstwa energetycznego lub podmiotu przywożącego na zasadach określonych w ustawie. W projektowanym art. 32b ustawy, w ust. 1 pkt 1 wprowadza się pojęcie „przestępstwo mające związek </w:t>
      </w:r>
      <w:r w:rsidR="001D0628">
        <w:rPr>
          <w:rFonts w:ascii="Times New Roman" w:hAnsi="Times New Roman" w:cs="Times New Roman"/>
        </w:rPr>
        <w:t>z </w:t>
      </w:r>
      <w:r w:rsidR="000C0060" w:rsidRPr="00215A1D">
        <w:rPr>
          <w:rFonts w:ascii="Times New Roman" w:hAnsi="Times New Roman" w:cs="Times New Roman"/>
        </w:rPr>
        <w:t xml:space="preserve">prowadzoną działalnością gospodarczą”, które jest zakresowo szersze niż ustawowe pojęcie „przestępstwo mające związek </w:t>
      </w:r>
      <w:r w:rsidR="001D0628">
        <w:rPr>
          <w:rFonts w:ascii="Times New Roman" w:hAnsi="Times New Roman" w:cs="Times New Roman"/>
        </w:rPr>
        <w:t>z </w:t>
      </w:r>
      <w:r w:rsidR="000C0060" w:rsidRPr="00215A1D">
        <w:rPr>
          <w:rFonts w:ascii="Times New Roman" w:hAnsi="Times New Roman" w:cs="Times New Roman"/>
        </w:rPr>
        <w:t xml:space="preserve">przedmiotem działalności gospodarczej określonej ustawą”, w którym zawierają się wyłącznie przestępstwa mające związek </w:t>
      </w:r>
      <w:r w:rsidR="001D0628">
        <w:rPr>
          <w:rFonts w:ascii="Times New Roman" w:hAnsi="Times New Roman" w:cs="Times New Roman"/>
        </w:rPr>
        <w:t>z </w:t>
      </w:r>
      <w:r w:rsidR="000C0060" w:rsidRPr="00215A1D">
        <w:rPr>
          <w:rFonts w:ascii="Times New Roman" w:hAnsi="Times New Roman" w:cs="Times New Roman"/>
        </w:rPr>
        <w:t>prowadzoną działalnością gospodarczą w zakresie wytwarzania, przetwarzania, magazynowania, przesyłania, dystrybucji paliw albo energii lub obrotu nimi albo przesyłania dwutlenku węgla. Ponadto, przepis ten w dodanym pkt 3 wprowadza dodatkową przesłankę rękojmi prawidłowego wykonywania działalności gospodarczej objętej wpisem do rejestru, która obejmie swoim zakresem również przypadki, gdy podmiot ubiegający się o wpis dopuszczał się innych przestępstw, nie tylko gospodarczych, które powodują, że w ocenie Prezesa URE podmiot ten może nieprawidłowo wykonywać działalność objętą obowiązkowi wpisu do rejestru.</w:t>
      </w:r>
    </w:p>
    <w:p w14:paraId="05DA0245"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Natomiast w projektowanym art. 32b ust. 2, rozciąga się wymogi określone w ust. 1 pkt 1 na osoby uprawnione do reprezentowania wnioskodawców we wskazanych w przepisie przypadkach.</w:t>
      </w:r>
    </w:p>
    <w:p w14:paraId="1795CEF6" w14:textId="41C2ABC4"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Zmiana ma celu zaostrzenie wymogów, jakie musi spełniać podmiot składający wniosek o wpis do rejestru podmiotów przywożących, co powinno sprzyjać ograniczeniu udziału nieuczciwych podmiotów w</w:t>
      </w:r>
      <w:r>
        <w:rPr>
          <w:rFonts w:ascii="Times New Roman" w:hAnsi="Times New Roman" w:cs="Times New Roman"/>
        </w:rPr>
        <w:t xml:space="preserve"> </w:t>
      </w:r>
      <w:r w:rsidR="000C0060" w:rsidRPr="00215A1D">
        <w:rPr>
          <w:rFonts w:ascii="Times New Roman" w:hAnsi="Times New Roman" w:cs="Times New Roman"/>
        </w:rPr>
        <w:t>obszarze przywozu paliw ciekłych</w:t>
      </w:r>
      <w:r w:rsidR="00AD6598">
        <w:rPr>
          <w:rFonts w:ascii="Times New Roman" w:hAnsi="Times New Roman" w:cs="Times New Roman"/>
        </w:rPr>
        <w:t>.</w:t>
      </w:r>
    </w:p>
    <w:p w14:paraId="69316830" w14:textId="7D5B3D88"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W konsekwencji zmiana może wpłynąć pozytywnie na ograniczanie nieprawidłowości na rynku paliw ciekłych</w:t>
      </w:r>
      <w:r w:rsidR="00AD6598">
        <w:rPr>
          <w:rFonts w:ascii="Times New Roman" w:hAnsi="Times New Roman" w:cs="Times New Roman"/>
        </w:rPr>
        <w:t xml:space="preserve"> </w:t>
      </w:r>
      <w:r w:rsidR="000C0060" w:rsidRPr="00215A1D">
        <w:rPr>
          <w:rFonts w:ascii="Times New Roman" w:hAnsi="Times New Roman" w:cs="Times New Roman"/>
        </w:rPr>
        <w:t>ora</w:t>
      </w:r>
      <w:r w:rsidR="001D0628">
        <w:rPr>
          <w:rFonts w:ascii="Times New Roman" w:hAnsi="Times New Roman" w:cs="Times New Roman"/>
        </w:rPr>
        <w:t>z </w:t>
      </w:r>
      <w:r w:rsidR="000C0060" w:rsidRPr="00215A1D">
        <w:rPr>
          <w:rFonts w:ascii="Times New Roman" w:hAnsi="Times New Roman" w:cs="Times New Roman"/>
        </w:rPr>
        <w:t>wzmocnić uczciwą konkurencję podmiotów gospodarczych.</w:t>
      </w:r>
    </w:p>
    <w:p w14:paraId="2776FBD1"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Poprze</w:t>
      </w:r>
      <w:r w:rsidR="001D0628">
        <w:rPr>
          <w:rFonts w:ascii="Times New Roman" w:hAnsi="Times New Roman" w:cs="Times New Roman"/>
        </w:rPr>
        <w:t>z </w:t>
      </w:r>
      <w:r w:rsidR="000C0060" w:rsidRPr="00215A1D">
        <w:rPr>
          <w:rFonts w:ascii="Times New Roman" w:hAnsi="Times New Roman" w:cs="Times New Roman"/>
        </w:rPr>
        <w:t xml:space="preserve">uchylenie przepisu art. 32c ust. 6 Prezes URE będzie uprawniony do merytorycznej oceny wniosku o wpis do rejestru do podmiotów przywożących. Ma to zapobiegać zidentyfikowanemu problemowi wpisywania do tego rejestru podmiotów, które prawdopodobnie nie są podmiotami przywożącymi (np. przewoźnicy), a wniosek złożyły </w:t>
      </w:r>
      <w:r w:rsidR="001D0628">
        <w:rPr>
          <w:rFonts w:ascii="Times New Roman" w:hAnsi="Times New Roman" w:cs="Times New Roman"/>
        </w:rPr>
        <w:t>z </w:t>
      </w:r>
      <w:r w:rsidR="000C0060" w:rsidRPr="00215A1D">
        <w:rPr>
          <w:rFonts w:ascii="Times New Roman" w:hAnsi="Times New Roman" w:cs="Times New Roman"/>
        </w:rPr>
        <w:t>ostrożności lub braku zrozumienia przepisów. Przepis ten powinien równocześnie poprawić jakość sprawozdawczości na podstawie art. 43d</w:t>
      </w:r>
      <w:r w:rsidR="001D0628">
        <w:rPr>
          <w:rFonts w:ascii="Times New Roman" w:hAnsi="Times New Roman" w:cs="Times New Roman"/>
        </w:rPr>
        <w:t xml:space="preserve"> i </w:t>
      </w:r>
      <w:r w:rsidR="000C0060" w:rsidRPr="00215A1D">
        <w:rPr>
          <w:rFonts w:ascii="Times New Roman" w:hAnsi="Times New Roman" w:cs="Times New Roman"/>
        </w:rPr>
        <w:t xml:space="preserve">43e ustawy. Ponadto, w związku </w:t>
      </w:r>
      <w:r w:rsidR="001D0628">
        <w:rPr>
          <w:rFonts w:ascii="Times New Roman" w:hAnsi="Times New Roman" w:cs="Times New Roman"/>
        </w:rPr>
        <w:t>z </w:t>
      </w:r>
      <w:r w:rsidR="000C0060" w:rsidRPr="00215A1D">
        <w:rPr>
          <w:rFonts w:ascii="Times New Roman" w:hAnsi="Times New Roman" w:cs="Times New Roman"/>
        </w:rPr>
        <w:t xml:space="preserve">możliwością przeprowadzenia postępowania dowodowego w zakresie wpisu do rejestru, </w:t>
      </w:r>
      <w:r w:rsidR="000C0060" w:rsidRPr="00215A1D">
        <w:rPr>
          <w:rFonts w:ascii="Times New Roman" w:hAnsi="Times New Roman" w:cs="Times New Roman"/>
        </w:rPr>
        <w:lastRenderedPageBreak/>
        <w:t>należy zmienić obecny termin 7 dni na dokonanie wpisu prze</w:t>
      </w:r>
      <w:r w:rsidR="001D0628">
        <w:rPr>
          <w:rFonts w:ascii="Times New Roman" w:hAnsi="Times New Roman" w:cs="Times New Roman"/>
        </w:rPr>
        <w:t>z </w:t>
      </w:r>
      <w:r w:rsidR="000C0060" w:rsidRPr="00215A1D">
        <w:rPr>
          <w:rFonts w:ascii="Times New Roman" w:hAnsi="Times New Roman" w:cs="Times New Roman"/>
        </w:rPr>
        <w:t xml:space="preserve">Prezesa URE. W tym zakresie obowiązywać będą terminy wskazane na załatwienie sprawy </w:t>
      </w:r>
      <w:r w:rsidR="001D0628">
        <w:rPr>
          <w:rFonts w:ascii="Times New Roman" w:hAnsi="Times New Roman" w:cs="Times New Roman"/>
        </w:rPr>
        <w:t>z </w:t>
      </w:r>
      <w:r w:rsidR="000C0060" w:rsidRPr="00215A1D">
        <w:rPr>
          <w:rFonts w:ascii="Times New Roman" w:hAnsi="Times New Roman" w:cs="Times New Roman"/>
        </w:rPr>
        <w:t xml:space="preserve">art. 35 k.p.a. </w:t>
      </w:r>
    </w:p>
    <w:p w14:paraId="1AA73681"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Kolejna zmiana, która obejmuje rejestr podmiotów przywożących, dotyczy art. 32d ust. 3. Proponuje się w niej, aby Prezes URE mógł </w:t>
      </w:r>
      <w:r w:rsidR="001D0628">
        <w:rPr>
          <w:rFonts w:ascii="Times New Roman" w:hAnsi="Times New Roman" w:cs="Times New Roman"/>
        </w:rPr>
        <w:t>z </w:t>
      </w:r>
      <w:r w:rsidR="000C0060" w:rsidRPr="00215A1D">
        <w:rPr>
          <w:rFonts w:ascii="Times New Roman" w:hAnsi="Times New Roman" w:cs="Times New Roman"/>
        </w:rPr>
        <w:t xml:space="preserve">urzędu wykreślić podmiot </w:t>
      </w:r>
      <w:r w:rsidR="001D0628">
        <w:rPr>
          <w:rFonts w:ascii="Times New Roman" w:hAnsi="Times New Roman" w:cs="Times New Roman"/>
        </w:rPr>
        <w:t>z </w:t>
      </w:r>
      <w:r w:rsidR="000C0060" w:rsidRPr="00215A1D">
        <w:rPr>
          <w:rFonts w:ascii="Times New Roman" w:hAnsi="Times New Roman" w:cs="Times New Roman"/>
        </w:rPr>
        <w:t xml:space="preserve">rejestru w przypadku ignorowania ustawowego obowiązku składania sprawozdań, o których mowa w art. 43d ustawy. Brak realizacji tego obowiązku może wynikać zarówno </w:t>
      </w:r>
      <w:r w:rsidR="001D0628">
        <w:rPr>
          <w:rFonts w:ascii="Times New Roman" w:hAnsi="Times New Roman" w:cs="Times New Roman"/>
        </w:rPr>
        <w:t>z </w:t>
      </w:r>
      <w:r w:rsidR="000C0060" w:rsidRPr="00215A1D">
        <w:rPr>
          <w:rFonts w:ascii="Times New Roman" w:hAnsi="Times New Roman" w:cs="Times New Roman"/>
        </w:rPr>
        <w:t>niewystarczająco wysokiej sankcji pieniężnej, jak</w:t>
      </w:r>
      <w:r w:rsidR="001D0628">
        <w:rPr>
          <w:rFonts w:ascii="Times New Roman" w:hAnsi="Times New Roman" w:cs="Times New Roman"/>
        </w:rPr>
        <w:t xml:space="preserve"> i z </w:t>
      </w:r>
      <w:r w:rsidR="000C0060" w:rsidRPr="00215A1D">
        <w:rPr>
          <w:rFonts w:ascii="Times New Roman" w:hAnsi="Times New Roman" w:cs="Times New Roman"/>
        </w:rPr>
        <w:t xml:space="preserve">trudnością </w:t>
      </w:r>
      <w:r w:rsidR="001D0628">
        <w:rPr>
          <w:rFonts w:ascii="Times New Roman" w:hAnsi="Times New Roman" w:cs="Times New Roman"/>
        </w:rPr>
        <w:t>z </w:t>
      </w:r>
      <w:r w:rsidR="000C0060" w:rsidRPr="00215A1D">
        <w:rPr>
          <w:rFonts w:ascii="Times New Roman" w:hAnsi="Times New Roman" w:cs="Times New Roman"/>
        </w:rPr>
        <w:t xml:space="preserve">jego wyegzekwowaniem w przypadku przedsiębiorstw </w:t>
      </w:r>
      <w:r w:rsidR="001D0628">
        <w:rPr>
          <w:rFonts w:ascii="Times New Roman" w:hAnsi="Times New Roman" w:cs="Times New Roman"/>
        </w:rPr>
        <w:t>z </w:t>
      </w:r>
      <w:r w:rsidR="000C0060" w:rsidRPr="00215A1D">
        <w:rPr>
          <w:rFonts w:ascii="Times New Roman" w:hAnsi="Times New Roman" w:cs="Times New Roman"/>
        </w:rPr>
        <w:t xml:space="preserve">siedziba poza terytorium RP. Przedsiębiorstwa te, nie składając sprawozdań, jednocześnie uniemożliwiają Prezesowi URE realizację dyspozycji art. 32d ust. 3 ustawy, nakazującej mu wykreślenie </w:t>
      </w:r>
      <w:r w:rsidR="001D0628">
        <w:rPr>
          <w:rFonts w:ascii="Times New Roman" w:hAnsi="Times New Roman" w:cs="Times New Roman"/>
        </w:rPr>
        <w:t>z </w:t>
      </w:r>
      <w:r w:rsidR="000C0060" w:rsidRPr="00215A1D">
        <w:rPr>
          <w:rFonts w:ascii="Times New Roman" w:hAnsi="Times New Roman" w:cs="Times New Roman"/>
        </w:rPr>
        <w:t>rejestru podmiotów przywożących podmiotów, które prze</w:t>
      </w:r>
      <w:r w:rsidR="001D0628">
        <w:rPr>
          <w:rFonts w:ascii="Times New Roman" w:hAnsi="Times New Roman" w:cs="Times New Roman"/>
        </w:rPr>
        <w:t>z </w:t>
      </w:r>
      <w:r w:rsidR="000C0060" w:rsidRPr="00215A1D">
        <w:rPr>
          <w:rFonts w:ascii="Times New Roman" w:hAnsi="Times New Roman" w:cs="Times New Roman"/>
        </w:rPr>
        <w:t xml:space="preserve">sześć kolejnych miesięcy nie dokonają przywozu paliw ciekłych. Projektowana regulacja pozwoli uporządkować rejestr podmiotów przywożących, eliminując podmioty, które </w:t>
      </w:r>
      <w:r w:rsidR="001D0628">
        <w:rPr>
          <w:rFonts w:ascii="Times New Roman" w:hAnsi="Times New Roman" w:cs="Times New Roman"/>
        </w:rPr>
        <w:t>z </w:t>
      </w:r>
      <w:r w:rsidR="000C0060" w:rsidRPr="00215A1D">
        <w:rPr>
          <w:rFonts w:ascii="Times New Roman" w:hAnsi="Times New Roman" w:cs="Times New Roman"/>
        </w:rPr>
        <w:t>różnych przyczyn ustawicznie naruszają obowiązek sprawozdawczy.</w:t>
      </w:r>
    </w:p>
    <w:p w14:paraId="1BE2A179"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Projektowana zmiana w art. 33 ust. 3 pkt 7 pozostaje w związku </w:t>
      </w:r>
      <w:r w:rsidR="001D0628">
        <w:rPr>
          <w:rFonts w:ascii="Times New Roman" w:hAnsi="Times New Roman" w:cs="Times New Roman"/>
        </w:rPr>
        <w:t>z </w:t>
      </w:r>
      <w:r w:rsidR="000C0060" w:rsidRPr="00215A1D">
        <w:rPr>
          <w:rFonts w:ascii="Times New Roman" w:hAnsi="Times New Roman" w:cs="Times New Roman"/>
        </w:rPr>
        <w:t xml:space="preserve">projektowanym art. 32b ust. 1 pkt 1 ustawy. Analogicznie wprowadza w przepisie pojęcie „przestępstwo mające związek </w:t>
      </w:r>
      <w:r w:rsidR="001D0628">
        <w:rPr>
          <w:rFonts w:ascii="Times New Roman" w:hAnsi="Times New Roman" w:cs="Times New Roman"/>
        </w:rPr>
        <w:t>z </w:t>
      </w:r>
      <w:r w:rsidR="000C0060" w:rsidRPr="00215A1D">
        <w:rPr>
          <w:rFonts w:ascii="Times New Roman" w:hAnsi="Times New Roman" w:cs="Times New Roman"/>
        </w:rPr>
        <w:t>prowadzoną działalnością gospodarczą.</w:t>
      </w:r>
      <w:r w:rsidR="00E50C5E">
        <w:rPr>
          <w:rFonts w:ascii="Times New Roman" w:hAnsi="Times New Roman" w:cs="Times New Roman"/>
        </w:rPr>
        <w:t xml:space="preserve"> </w:t>
      </w:r>
      <w:r w:rsidR="000C0060" w:rsidRPr="00215A1D">
        <w:rPr>
          <w:rFonts w:ascii="Times New Roman" w:hAnsi="Times New Roman" w:cs="Times New Roman"/>
        </w:rPr>
        <w:t>Przepis ten dotyczyć będzie koncesji na wykonywanie działalności gospodarczej w zakresie paliw ciekłych</w:t>
      </w:r>
      <w:r w:rsidR="001D0628">
        <w:rPr>
          <w:rFonts w:ascii="Times New Roman" w:hAnsi="Times New Roman" w:cs="Times New Roman"/>
        </w:rPr>
        <w:t xml:space="preserve"> i </w:t>
      </w:r>
      <w:r w:rsidR="000C0060" w:rsidRPr="00215A1D">
        <w:rPr>
          <w:rFonts w:ascii="Times New Roman" w:hAnsi="Times New Roman" w:cs="Times New Roman"/>
        </w:rPr>
        <w:t>będzie miał charakter regulacji szczególnej w stosunku do art. 33 ust. 3 pkt 6. Regulacja ma na celu wzmocnienie kompetencji Prezesa URE jako regulatora rynku paliw ciekłych. Może wpłynąć pozytywnie na ograniczanie nieprawidłowości na tym rynku</w:t>
      </w:r>
      <w:r w:rsidR="001D0628">
        <w:rPr>
          <w:rFonts w:ascii="Times New Roman" w:hAnsi="Times New Roman" w:cs="Times New Roman"/>
        </w:rPr>
        <w:t xml:space="preserve"> i </w:t>
      </w:r>
      <w:r w:rsidR="000C0060" w:rsidRPr="00215A1D">
        <w:rPr>
          <w:rFonts w:ascii="Times New Roman" w:hAnsi="Times New Roman" w:cs="Times New Roman"/>
        </w:rPr>
        <w:t>wzmocnić uczciwą konkurencję podmiotów gospodarczych.</w:t>
      </w:r>
    </w:p>
    <w:p w14:paraId="605951AF"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Projektowany przepis art. 33 ust. 3d wprowadza podstawę prawną do odmowy udzielenia koncesji w zakresie paliw ciekłych prze</w:t>
      </w:r>
      <w:r w:rsidR="001D0628">
        <w:rPr>
          <w:rFonts w:ascii="Times New Roman" w:hAnsi="Times New Roman" w:cs="Times New Roman"/>
        </w:rPr>
        <w:t>z </w:t>
      </w:r>
      <w:r w:rsidR="000C0060" w:rsidRPr="00215A1D">
        <w:rPr>
          <w:rFonts w:ascii="Times New Roman" w:hAnsi="Times New Roman" w:cs="Times New Roman"/>
        </w:rPr>
        <w:t>Prezesa URE wnioskodawcy, który nie daje rękojmi prawidłowego wykonywania tej działalności.</w:t>
      </w:r>
    </w:p>
    <w:p w14:paraId="5D9F7F4A"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Regulacja odwołuje się do brzmienia art. 50 pkt 2 nieobowiązującej ustawy </w:t>
      </w:r>
      <w:r w:rsidR="001D0628">
        <w:rPr>
          <w:rFonts w:ascii="Times New Roman" w:hAnsi="Times New Roman" w:cs="Times New Roman"/>
        </w:rPr>
        <w:t>z </w:t>
      </w:r>
      <w:r w:rsidR="000C0060" w:rsidRPr="00215A1D">
        <w:rPr>
          <w:rFonts w:ascii="Times New Roman" w:hAnsi="Times New Roman" w:cs="Times New Roman"/>
        </w:rPr>
        <w:t>dnia 2 lipca 2004</w:t>
      </w:r>
      <w:r w:rsidR="001D0628">
        <w:rPr>
          <w:rFonts w:ascii="Times New Roman" w:hAnsi="Times New Roman" w:cs="Times New Roman"/>
        </w:rPr>
        <w:t> r.</w:t>
      </w:r>
      <w:r w:rsidR="000C0060" w:rsidRPr="00215A1D">
        <w:rPr>
          <w:rFonts w:ascii="Times New Roman" w:hAnsi="Times New Roman" w:cs="Times New Roman"/>
        </w:rPr>
        <w:t xml:space="preserve"> o swobodzie działalności gospodarczej (Dz. U. </w:t>
      </w:r>
      <w:r w:rsidR="001D0628">
        <w:rPr>
          <w:rFonts w:ascii="Times New Roman" w:hAnsi="Times New Roman" w:cs="Times New Roman"/>
        </w:rPr>
        <w:t>z </w:t>
      </w:r>
      <w:r w:rsidR="000C0060" w:rsidRPr="00215A1D">
        <w:rPr>
          <w:rFonts w:ascii="Times New Roman" w:hAnsi="Times New Roman" w:cs="Times New Roman"/>
        </w:rPr>
        <w:t>2016</w:t>
      </w:r>
      <w:r w:rsidR="001D0628">
        <w:rPr>
          <w:rFonts w:ascii="Times New Roman" w:hAnsi="Times New Roman" w:cs="Times New Roman"/>
        </w:rPr>
        <w:t> r.</w:t>
      </w:r>
      <w:r w:rsidR="000C0060" w:rsidRPr="00215A1D">
        <w:rPr>
          <w:rFonts w:ascii="Times New Roman" w:hAnsi="Times New Roman" w:cs="Times New Roman"/>
        </w:rPr>
        <w:t xml:space="preserve"> poz. 1829, </w:t>
      </w:r>
      <w:r w:rsidR="001D0628">
        <w:rPr>
          <w:rFonts w:ascii="Times New Roman" w:hAnsi="Times New Roman" w:cs="Times New Roman"/>
        </w:rPr>
        <w:t>z </w:t>
      </w:r>
      <w:r w:rsidR="000C0060" w:rsidRPr="00215A1D">
        <w:rPr>
          <w:rFonts w:ascii="Times New Roman" w:hAnsi="Times New Roman" w:cs="Times New Roman"/>
        </w:rPr>
        <w:t xml:space="preserve">późn. zm.). Zgodnie </w:t>
      </w:r>
      <w:r w:rsidR="001D0628">
        <w:rPr>
          <w:rFonts w:ascii="Times New Roman" w:hAnsi="Times New Roman" w:cs="Times New Roman"/>
        </w:rPr>
        <w:t>z </w:t>
      </w:r>
      <w:r w:rsidR="000C0060" w:rsidRPr="00215A1D">
        <w:rPr>
          <w:rFonts w:ascii="Times New Roman" w:hAnsi="Times New Roman" w:cs="Times New Roman"/>
        </w:rPr>
        <w:t xml:space="preserve">wcześniej utrwalonym orzecznictwem sądowym, brak dawania rękojmi prawidłowego wykonywania działalności objętej koncesją mógł stanowić samodzielną podstawę do odmowy udzielenia koncesji (wyrok Sądu Apelacyjnego w Warszawie </w:t>
      </w:r>
      <w:r w:rsidR="001D0628">
        <w:rPr>
          <w:rFonts w:ascii="Times New Roman" w:hAnsi="Times New Roman" w:cs="Times New Roman"/>
        </w:rPr>
        <w:t>z </w:t>
      </w:r>
      <w:r w:rsidR="000C0060" w:rsidRPr="00215A1D">
        <w:rPr>
          <w:rFonts w:ascii="Times New Roman" w:hAnsi="Times New Roman" w:cs="Times New Roman"/>
        </w:rPr>
        <w:t>dnia 2 kwietnia 2008</w:t>
      </w:r>
      <w:r w:rsidR="001D0628">
        <w:rPr>
          <w:rFonts w:ascii="Times New Roman" w:hAnsi="Times New Roman" w:cs="Times New Roman"/>
        </w:rPr>
        <w:t> r.</w:t>
      </w:r>
      <w:r w:rsidR="000C0060" w:rsidRPr="00215A1D">
        <w:rPr>
          <w:rFonts w:ascii="Times New Roman" w:hAnsi="Times New Roman" w:cs="Times New Roman"/>
        </w:rPr>
        <w:t xml:space="preserve">, sygn. akt VI ACa 1230/07). Wyrokiem </w:t>
      </w:r>
      <w:r w:rsidR="001D0628">
        <w:rPr>
          <w:rFonts w:ascii="Times New Roman" w:hAnsi="Times New Roman" w:cs="Times New Roman"/>
        </w:rPr>
        <w:t>z </w:t>
      </w:r>
      <w:r w:rsidR="000C0060" w:rsidRPr="00215A1D">
        <w:rPr>
          <w:rFonts w:ascii="Times New Roman" w:hAnsi="Times New Roman" w:cs="Times New Roman"/>
        </w:rPr>
        <w:t>dnia 9 lutego 2017</w:t>
      </w:r>
      <w:r w:rsidR="001D0628">
        <w:rPr>
          <w:rFonts w:ascii="Times New Roman" w:hAnsi="Times New Roman" w:cs="Times New Roman"/>
        </w:rPr>
        <w:t> r.</w:t>
      </w:r>
      <w:r w:rsidR="000C0060" w:rsidRPr="00215A1D">
        <w:rPr>
          <w:rFonts w:ascii="Times New Roman" w:hAnsi="Times New Roman" w:cs="Times New Roman"/>
        </w:rPr>
        <w:t xml:space="preserve"> Sąd Najwyższy (sygn. akt III SK 71/15), przedstawił odmienny pogląd, zgodnie </w:t>
      </w:r>
      <w:r w:rsidR="001D0628">
        <w:rPr>
          <w:rFonts w:ascii="Times New Roman" w:hAnsi="Times New Roman" w:cs="Times New Roman"/>
        </w:rPr>
        <w:t>z </w:t>
      </w:r>
      <w:r w:rsidR="000C0060" w:rsidRPr="00215A1D">
        <w:rPr>
          <w:rFonts w:ascii="Times New Roman" w:hAnsi="Times New Roman" w:cs="Times New Roman"/>
        </w:rPr>
        <w:t xml:space="preserve">którym badanie w postępowaniu koncesyjnym okoliczności wskazanych w treści art. 50 pkt 2 usdg nie może prowadzić do odmowy udzielenia koncesji, ponieważ nie mieści się w katalogu przesłanek upoważniających organ koncesyjny do wydania takiej decyzji. Dawanie rękojmi prawidłowego </w:t>
      </w:r>
      <w:r w:rsidR="000C0060" w:rsidRPr="00215A1D">
        <w:rPr>
          <w:rFonts w:ascii="Times New Roman" w:hAnsi="Times New Roman" w:cs="Times New Roman"/>
        </w:rPr>
        <w:lastRenderedPageBreak/>
        <w:t xml:space="preserve">wykonywania działalności objętej koncesją, jako warunek jej udzielenia, musiałoby być przewidziane w przepisach innych ustaw. Tymczasem art. 33 Prawa energetycznego nie zawiera takiej przyczyny odmowy udzielenia koncesji. </w:t>
      </w:r>
    </w:p>
    <w:p w14:paraId="4AE3161F"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Zaproponowany przepis ma na celu przywrócenie Prezesowi URE uprawnień, jakie przewidywały wcześniej obowiązujące przepisy ora</w:t>
      </w:r>
      <w:r w:rsidR="001D0628">
        <w:rPr>
          <w:rFonts w:ascii="Times New Roman" w:hAnsi="Times New Roman" w:cs="Times New Roman"/>
        </w:rPr>
        <w:t>z </w:t>
      </w:r>
      <w:r w:rsidR="000C0060" w:rsidRPr="00215A1D">
        <w:rPr>
          <w:rFonts w:ascii="Times New Roman" w:hAnsi="Times New Roman" w:cs="Times New Roman"/>
        </w:rPr>
        <w:t xml:space="preserve">linia orzecznicza. Regulacja ma na celu wzmocnienie kompetencji Prezesa URE jako regulatora rynku paliw ciekłych. Pozwoli nie dopuścić do działalności koncesjonowanej w zakresie paliw ciekłych podmioty, co do których istnieją uzasadnione okoliczności, że nie będą prawidłowo wykonywać działalności gospodarczej objętej koncesją. W oparciu o projektowany przepis, Prezes URE będzie uprawniony do odmowy udzielenia koncesji m.in. przedsiębiorcom ukaranym za przestępstwa nie mające związku </w:t>
      </w:r>
      <w:r w:rsidR="001D0628">
        <w:rPr>
          <w:rFonts w:ascii="Times New Roman" w:hAnsi="Times New Roman" w:cs="Times New Roman"/>
        </w:rPr>
        <w:t>z </w:t>
      </w:r>
      <w:r w:rsidR="000C0060" w:rsidRPr="00215A1D">
        <w:rPr>
          <w:rFonts w:ascii="Times New Roman" w:hAnsi="Times New Roman" w:cs="Times New Roman"/>
        </w:rPr>
        <w:t xml:space="preserve">prowadzoną działalnością gospodarczą, a świadczące o braku dawania rękojmi prawidłowego wykonywania działalności objętej koncesją (np. przestępstwa </w:t>
      </w:r>
      <w:r w:rsidR="001D0628">
        <w:rPr>
          <w:rFonts w:ascii="Times New Roman" w:hAnsi="Times New Roman" w:cs="Times New Roman"/>
        </w:rPr>
        <w:t>z </w:t>
      </w:r>
      <w:r w:rsidR="000C0060" w:rsidRPr="00215A1D">
        <w:rPr>
          <w:rFonts w:ascii="Times New Roman" w:hAnsi="Times New Roman" w:cs="Times New Roman"/>
        </w:rPr>
        <w:t>winy umyślnej popełnionych w krótkim czasie przeciwko porządkowi publicznemu, bezpieczeństwu w komunikacji ora</w:t>
      </w:r>
      <w:r w:rsidR="001D0628">
        <w:rPr>
          <w:rFonts w:ascii="Times New Roman" w:hAnsi="Times New Roman" w:cs="Times New Roman"/>
        </w:rPr>
        <w:t>z </w:t>
      </w:r>
      <w:r w:rsidR="000C0060" w:rsidRPr="00215A1D">
        <w:rPr>
          <w:rFonts w:ascii="Times New Roman" w:hAnsi="Times New Roman" w:cs="Times New Roman"/>
        </w:rPr>
        <w:t>mieniu – wyrok Sądu Ochrony Konkurencji</w:t>
      </w:r>
      <w:r w:rsidR="001D0628">
        <w:rPr>
          <w:rFonts w:ascii="Times New Roman" w:hAnsi="Times New Roman" w:cs="Times New Roman"/>
        </w:rPr>
        <w:t xml:space="preserve"> i </w:t>
      </w:r>
      <w:r w:rsidR="000C0060" w:rsidRPr="00215A1D">
        <w:rPr>
          <w:rFonts w:ascii="Times New Roman" w:hAnsi="Times New Roman" w:cs="Times New Roman"/>
        </w:rPr>
        <w:t xml:space="preserve">Konsumentów </w:t>
      </w:r>
      <w:r w:rsidR="001D0628">
        <w:rPr>
          <w:rFonts w:ascii="Times New Roman" w:hAnsi="Times New Roman" w:cs="Times New Roman"/>
        </w:rPr>
        <w:t>z </w:t>
      </w:r>
      <w:r w:rsidR="000C0060" w:rsidRPr="00215A1D">
        <w:rPr>
          <w:rFonts w:ascii="Times New Roman" w:hAnsi="Times New Roman" w:cs="Times New Roman"/>
        </w:rPr>
        <w:t>dnia 14 grudnia 2006</w:t>
      </w:r>
      <w:r w:rsidR="001D0628">
        <w:rPr>
          <w:rFonts w:ascii="Times New Roman" w:hAnsi="Times New Roman" w:cs="Times New Roman"/>
        </w:rPr>
        <w:t> r.</w:t>
      </w:r>
      <w:r w:rsidR="000C0060" w:rsidRPr="00215A1D">
        <w:rPr>
          <w:rFonts w:ascii="Times New Roman" w:hAnsi="Times New Roman" w:cs="Times New Roman"/>
        </w:rPr>
        <w:t xml:space="preserve">, sygn. akt XVII AmE 104/05), przestępstwa </w:t>
      </w:r>
      <w:r w:rsidR="001D0628">
        <w:rPr>
          <w:rFonts w:ascii="Times New Roman" w:hAnsi="Times New Roman" w:cs="Times New Roman"/>
        </w:rPr>
        <w:t>z </w:t>
      </w:r>
      <w:r w:rsidR="000C0060" w:rsidRPr="00215A1D">
        <w:rPr>
          <w:rFonts w:ascii="Times New Roman" w:hAnsi="Times New Roman" w:cs="Times New Roman"/>
        </w:rPr>
        <w:t>winy umyślnej przeciwko mieniu ora</w:t>
      </w:r>
      <w:r w:rsidR="001D0628">
        <w:rPr>
          <w:rFonts w:ascii="Times New Roman" w:hAnsi="Times New Roman" w:cs="Times New Roman"/>
        </w:rPr>
        <w:t>z </w:t>
      </w:r>
      <w:r w:rsidR="000C0060" w:rsidRPr="00215A1D">
        <w:rPr>
          <w:rFonts w:ascii="Times New Roman" w:hAnsi="Times New Roman" w:cs="Times New Roman"/>
        </w:rPr>
        <w:t>przeciwko wiarygodności dokumentów – wyrok Sądu Ochrony Konkurencji</w:t>
      </w:r>
      <w:r w:rsidR="001D0628">
        <w:rPr>
          <w:rFonts w:ascii="Times New Roman" w:hAnsi="Times New Roman" w:cs="Times New Roman"/>
        </w:rPr>
        <w:t xml:space="preserve"> i </w:t>
      </w:r>
      <w:r w:rsidR="000C0060" w:rsidRPr="00215A1D">
        <w:rPr>
          <w:rFonts w:ascii="Times New Roman" w:hAnsi="Times New Roman" w:cs="Times New Roman"/>
        </w:rPr>
        <w:t xml:space="preserve">Konsumentów </w:t>
      </w:r>
      <w:r w:rsidR="001D0628">
        <w:rPr>
          <w:rFonts w:ascii="Times New Roman" w:hAnsi="Times New Roman" w:cs="Times New Roman"/>
        </w:rPr>
        <w:t>z </w:t>
      </w:r>
      <w:r w:rsidR="000C0060" w:rsidRPr="00215A1D">
        <w:rPr>
          <w:rFonts w:ascii="Times New Roman" w:hAnsi="Times New Roman" w:cs="Times New Roman"/>
        </w:rPr>
        <w:t>dnia 5 października 2006</w:t>
      </w:r>
      <w:r w:rsidR="001D0628">
        <w:rPr>
          <w:rFonts w:ascii="Times New Roman" w:hAnsi="Times New Roman" w:cs="Times New Roman"/>
        </w:rPr>
        <w:t> r.</w:t>
      </w:r>
      <w:r w:rsidR="000C0060" w:rsidRPr="00215A1D">
        <w:rPr>
          <w:rFonts w:ascii="Times New Roman" w:hAnsi="Times New Roman" w:cs="Times New Roman"/>
        </w:rPr>
        <w:t>, sygn. akt XVII AmE 2/06). W konsekwencji, regulacja może także doprowadzić do wzmocnienia uczciwej konkurencji podmiotów gospodarczych na rynku paliw ciekłych.</w:t>
      </w:r>
    </w:p>
    <w:p w14:paraId="04D46DBF"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Zaproponowane brzmienie przepisu art. 34 ust. 5 ustawy przewiduje doprecyzowanie, że ogólna kompetencja Prezesa URE do żądania od przedsiębiorstwa energetycznego, któremu została udzielona koncesja, informacji w sprawie opłaty koncesyjnej w zakresie podstaw ora</w:t>
      </w:r>
      <w:r w:rsidR="001D0628">
        <w:rPr>
          <w:rFonts w:ascii="Times New Roman" w:hAnsi="Times New Roman" w:cs="Times New Roman"/>
        </w:rPr>
        <w:t>z </w:t>
      </w:r>
      <w:r w:rsidR="000C0060" w:rsidRPr="00215A1D">
        <w:rPr>
          <w:rFonts w:ascii="Times New Roman" w:hAnsi="Times New Roman" w:cs="Times New Roman"/>
        </w:rPr>
        <w:t>prawidłowości jej obliczania, obejmuje także informację o operacjach gospodarczych potwierdzających wysokość osiągniętego przychodu ora</w:t>
      </w:r>
      <w:r w:rsidR="001D0628">
        <w:rPr>
          <w:rFonts w:ascii="Times New Roman" w:hAnsi="Times New Roman" w:cs="Times New Roman"/>
        </w:rPr>
        <w:t>z </w:t>
      </w:r>
      <w:r w:rsidR="000C0060" w:rsidRPr="00215A1D">
        <w:rPr>
          <w:rFonts w:ascii="Times New Roman" w:hAnsi="Times New Roman" w:cs="Times New Roman"/>
        </w:rPr>
        <w:t xml:space="preserve">o wysokości przychodu </w:t>
      </w:r>
      <w:r w:rsidR="001D0628">
        <w:rPr>
          <w:rFonts w:ascii="Times New Roman" w:hAnsi="Times New Roman" w:cs="Times New Roman"/>
        </w:rPr>
        <w:t>z </w:t>
      </w:r>
      <w:r w:rsidR="000C0060" w:rsidRPr="00215A1D">
        <w:rPr>
          <w:rFonts w:ascii="Times New Roman" w:hAnsi="Times New Roman" w:cs="Times New Roman"/>
        </w:rPr>
        <w:t>działalności koncesjonowanej, a także wartości współczynnika zastosowanego do obliczenia opłaty koncesyjnej.</w:t>
      </w:r>
    </w:p>
    <w:p w14:paraId="6482DAA1"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Projektowany art. 35a umożliwi Prezesowi URE, przed wydaniem decyzji w sprawie udzielenia koncesji, wezwanie wnioskodawcy do uzupełnienia dokumentacji poświadczającej, że spełnia on warunki do wykonywania określonej działalności gospodarczej ora</w:t>
      </w:r>
      <w:r w:rsidR="001D0628">
        <w:rPr>
          <w:rFonts w:ascii="Times New Roman" w:hAnsi="Times New Roman" w:cs="Times New Roman"/>
        </w:rPr>
        <w:t>z </w:t>
      </w:r>
      <w:r w:rsidR="000C0060" w:rsidRPr="00215A1D">
        <w:rPr>
          <w:rFonts w:ascii="Times New Roman" w:hAnsi="Times New Roman" w:cs="Times New Roman"/>
        </w:rPr>
        <w:t>sprawdzenie faktów podanych we wniosku w celu stwierdzenia, czy przedsiębiorca spełnia warunki wykonywania działalności gospodarczej objętej koncesją ora</w:t>
      </w:r>
      <w:r w:rsidR="001D0628">
        <w:rPr>
          <w:rFonts w:ascii="Times New Roman" w:hAnsi="Times New Roman" w:cs="Times New Roman"/>
        </w:rPr>
        <w:t>z </w:t>
      </w:r>
      <w:r w:rsidR="000C0060" w:rsidRPr="00215A1D">
        <w:rPr>
          <w:rFonts w:ascii="Times New Roman" w:hAnsi="Times New Roman" w:cs="Times New Roman"/>
        </w:rPr>
        <w:t>czy daje rękojmie prawidłowego jej wykonywania.</w:t>
      </w:r>
    </w:p>
    <w:p w14:paraId="0B0A2CB5"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W dodanym art. 37a wprowadza się dodatkowe obowiązki informacyjne w przypadku zmian w strukturze kapitału spółek prowadzących działalność w zakresie wytwarzania paliw </w:t>
      </w:r>
      <w:r w:rsidR="000C0060" w:rsidRPr="00215A1D">
        <w:rPr>
          <w:rFonts w:ascii="Times New Roman" w:hAnsi="Times New Roman" w:cs="Times New Roman"/>
        </w:rPr>
        <w:lastRenderedPageBreak/>
        <w:t>ciekłych, obrotu paliwami ciekłymi ora</w:t>
      </w:r>
      <w:r w:rsidR="001D0628">
        <w:rPr>
          <w:rFonts w:ascii="Times New Roman" w:hAnsi="Times New Roman" w:cs="Times New Roman"/>
        </w:rPr>
        <w:t>z </w:t>
      </w:r>
      <w:r w:rsidR="000C0060" w:rsidRPr="00215A1D">
        <w:rPr>
          <w:rFonts w:ascii="Times New Roman" w:hAnsi="Times New Roman" w:cs="Times New Roman"/>
        </w:rPr>
        <w:t xml:space="preserve">obrotu paliwami ciekłymi </w:t>
      </w:r>
      <w:r w:rsidR="001D0628">
        <w:rPr>
          <w:rFonts w:ascii="Times New Roman" w:hAnsi="Times New Roman" w:cs="Times New Roman"/>
        </w:rPr>
        <w:t>z </w:t>
      </w:r>
      <w:r w:rsidR="000C0060" w:rsidRPr="00215A1D">
        <w:rPr>
          <w:rFonts w:ascii="Times New Roman" w:hAnsi="Times New Roman" w:cs="Times New Roman"/>
        </w:rPr>
        <w:t xml:space="preserve">zagranicą, które wzorowane są na rozwiązaniach przyjętych w ustawie </w:t>
      </w:r>
      <w:r w:rsidR="001D0628">
        <w:rPr>
          <w:rFonts w:ascii="Times New Roman" w:hAnsi="Times New Roman" w:cs="Times New Roman"/>
        </w:rPr>
        <w:t>z </w:t>
      </w:r>
      <w:r w:rsidR="000C0060" w:rsidRPr="00215A1D">
        <w:rPr>
          <w:rFonts w:ascii="Times New Roman" w:hAnsi="Times New Roman" w:cs="Times New Roman"/>
        </w:rPr>
        <w:t>dnia 19 listopada 2009</w:t>
      </w:r>
      <w:r w:rsidR="001D0628">
        <w:rPr>
          <w:rFonts w:ascii="Times New Roman" w:hAnsi="Times New Roman" w:cs="Times New Roman"/>
        </w:rPr>
        <w:t> r.</w:t>
      </w:r>
      <w:r w:rsidR="000C0060" w:rsidRPr="00215A1D">
        <w:rPr>
          <w:rFonts w:ascii="Times New Roman" w:hAnsi="Times New Roman" w:cs="Times New Roman"/>
        </w:rPr>
        <w:t xml:space="preserve"> o grach hazardowych. Celem tej regulacji jest ograniczenie zasygnalizowanych prze</w:t>
      </w:r>
      <w:r w:rsidR="001D0628">
        <w:rPr>
          <w:rFonts w:ascii="Times New Roman" w:hAnsi="Times New Roman" w:cs="Times New Roman"/>
        </w:rPr>
        <w:t>z </w:t>
      </w:r>
      <w:r w:rsidR="000C0060" w:rsidRPr="00215A1D">
        <w:rPr>
          <w:rFonts w:ascii="Times New Roman" w:hAnsi="Times New Roman" w:cs="Times New Roman"/>
        </w:rPr>
        <w:t>Prezesa URE negatywnych skutków, które niekiedy towarzyszą praktyce sprzedaży udziałów lub akcji przedsiębiorstw, którym została udzielone wymienione wyżej koncesje. Do skutków tych należą m.in. zaniedbywanie obowiązków informacyjnych, a niekiedy także realizacja prze</w:t>
      </w:r>
      <w:r w:rsidR="001D0628">
        <w:rPr>
          <w:rFonts w:ascii="Times New Roman" w:hAnsi="Times New Roman" w:cs="Times New Roman"/>
        </w:rPr>
        <w:t>z </w:t>
      </w:r>
      <w:r w:rsidR="000C0060" w:rsidRPr="00215A1D">
        <w:rPr>
          <w:rFonts w:ascii="Times New Roman" w:hAnsi="Times New Roman" w:cs="Times New Roman"/>
        </w:rPr>
        <w:t>te spółki działań w szarej strefie. Projektowana regulacja ma również doprowadzić do zwiększenia możliwości identyfikowania potencjalnych nieprawidłowości w działaniu spółek kapitałowych na rynku paliw ciekłych prze</w:t>
      </w:r>
      <w:r w:rsidR="001D0628">
        <w:rPr>
          <w:rFonts w:ascii="Times New Roman" w:hAnsi="Times New Roman" w:cs="Times New Roman"/>
        </w:rPr>
        <w:t>z </w:t>
      </w:r>
      <w:r w:rsidR="000C0060" w:rsidRPr="00215A1D">
        <w:rPr>
          <w:rFonts w:ascii="Times New Roman" w:hAnsi="Times New Roman" w:cs="Times New Roman"/>
        </w:rPr>
        <w:t xml:space="preserve">Prezesa URE jako organu sprawującemu nadzór nad tym rynkiem, zgodnie </w:t>
      </w:r>
      <w:r w:rsidR="001D0628">
        <w:rPr>
          <w:rFonts w:ascii="Times New Roman" w:hAnsi="Times New Roman" w:cs="Times New Roman"/>
        </w:rPr>
        <w:t>z </w:t>
      </w:r>
      <w:r w:rsidR="000C0060" w:rsidRPr="00215A1D">
        <w:rPr>
          <w:rFonts w:ascii="Times New Roman" w:hAnsi="Times New Roman" w:cs="Times New Roman"/>
        </w:rPr>
        <w:t>art. 23 ust. 1 ustawy. Ponadto, regulacja ma na celu monitorowanie przekształceń własnościowych spółek w celu identyfikowania zjawiska faktycznemu handlu koncesjami poprze</w:t>
      </w:r>
      <w:r w:rsidR="001D0628">
        <w:rPr>
          <w:rFonts w:ascii="Times New Roman" w:hAnsi="Times New Roman" w:cs="Times New Roman"/>
        </w:rPr>
        <w:t>z </w:t>
      </w:r>
      <w:r w:rsidR="000C0060" w:rsidRPr="00215A1D">
        <w:rPr>
          <w:rFonts w:ascii="Times New Roman" w:hAnsi="Times New Roman" w:cs="Times New Roman"/>
        </w:rPr>
        <w:t>nabycie spółek posiadających już koncesję prze</w:t>
      </w:r>
      <w:r w:rsidR="001D0628">
        <w:rPr>
          <w:rFonts w:ascii="Times New Roman" w:hAnsi="Times New Roman" w:cs="Times New Roman"/>
        </w:rPr>
        <w:t>z </w:t>
      </w:r>
      <w:r w:rsidR="000C0060" w:rsidRPr="00215A1D">
        <w:rPr>
          <w:rFonts w:ascii="Times New Roman" w:hAnsi="Times New Roman" w:cs="Times New Roman"/>
        </w:rPr>
        <w:t>inne podmioty. Projekt wprowadza również przepisy karnoadministracyjne za naruszenie obowiązku sprawozdawczego (art. 56 ust. 1 pkt 53 ora</w:t>
      </w:r>
      <w:r w:rsidR="001D0628">
        <w:rPr>
          <w:rFonts w:ascii="Times New Roman" w:hAnsi="Times New Roman" w:cs="Times New Roman"/>
        </w:rPr>
        <w:t>z </w:t>
      </w:r>
      <w:r w:rsidR="000C0060" w:rsidRPr="00215A1D">
        <w:rPr>
          <w:rFonts w:ascii="Times New Roman" w:hAnsi="Times New Roman" w:cs="Times New Roman"/>
        </w:rPr>
        <w:t>art. 56 ust. 2g pkt 9).</w:t>
      </w:r>
    </w:p>
    <w:p w14:paraId="2061C38B"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Projektowany art. 41 ust. 4 pkt 5 wprowadza możliwość cofnięcia prze</w:t>
      </w:r>
      <w:r w:rsidR="001D0628">
        <w:rPr>
          <w:rFonts w:ascii="Times New Roman" w:hAnsi="Times New Roman" w:cs="Times New Roman"/>
        </w:rPr>
        <w:t>z </w:t>
      </w:r>
      <w:r w:rsidR="000C0060" w:rsidRPr="00215A1D">
        <w:rPr>
          <w:rFonts w:ascii="Times New Roman" w:hAnsi="Times New Roman" w:cs="Times New Roman"/>
        </w:rPr>
        <w:t xml:space="preserve">Prezesa URE koncesji lub zmiany jej zakresu w przypadku, gdy przedsiębiorstwo energetyczne przestania dawać rękojmię prawidłowego wykonywania działalności w zakresie paliw ciekłych. Regulacja jest związana </w:t>
      </w:r>
      <w:r w:rsidR="001D0628">
        <w:rPr>
          <w:rFonts w:ascii="Times New Roman" w:hAnsi="Times New Roman" w:cs="Times New Roman"/>
        </w:rPr>
        <w:t>z </w:t>
      </w:r>
      <w:r w:rsidR="000C0060" w:rsidRPr="00215A1D">
        <w:rPr>
          <w:rFonts w:ascii="Times New Roman" w:hAnsi="Times New Roman" w:cs="Times New Roman"/>
        </w:rPr>
        <w:t>projektowanym przepisem art. 33 ust. 3d wprowadzającym podstawę prawną do odmowy udzielenia koncesji w zakresie paliw ciekłych prze</w:t>
      </w:r>
      <w:r w:rsidR="001D0628">
        <w:rPr>
          <w:rFonts w:ascii="Times New Roman" w:hAnsi="Times New Roman" w:cs="Times New Roman"/>
        </w:rPr>
        <w:t>z </w:t>
      </w:r>
      <w:r w:rsidR="000C0060" w:rsidRPr="00215A1D">
        <w:rPr>
          <w:rFonts w:ascii="Times New Roman" w:hAnsi="Times New Roman" w:cs="Times New Roman"/>
        </w:rPr>
        <w:t>Prezesa URE wnioskodawcy, który nie daje rękojmi prawidłowego wykonywania działalności objętej koncesją.</w:t>
      </w:r>
    </w:p>
    <w:p w14:paraId="61977047" w14:textId="77777777" w:rsidR="000C0060" w:rsidRPr="00215A1D" w:rsidRDefault="000C0060" w:rsidP="00215A1D">
      <w:pPr>
        <w:pStyle w:val="ARTartustawynprozporzdzenia"/>
        <w:spacing w:before="0"/>
        <w:rPr>
          <w:rFonts w:ascii="Times New Roman" w:hAnsi="Times New Roman" w:cs="Times New Roman"/>
        </w:rPr>
      </w:pPr>
      <w:r w:rsidRPr="00215A1D">
        <w:rPr>
          <w:rFonts w:ascii="Times New Roman" w:hAnsi="Times New Roman" w:cs="Times New Roman"/>
        </w:rPr>
        <w:tab/>
        <w:t xml:space="preserve">W art. 41 ust. 4 pkt 6-8 uzupełniono przesłanki cofnięcia koncesji o przesłanki, które związane są </w:t>
      </w:r>
      <w:r w:rsidR="001D0628">
        <w:rPr>
          <w:rFonts w:ascii="Times New Roman" w:hAnsi="Times New Roman" w:cs="Times New Roman"/>
        </w:rPr>
        <w:t>z </w:t>
      </w:r>
      <w:r w:rsidRPr="00215A1D">
        <w:rPr>
          <w:rFonts w:ascii="Times New Roman" w:hAnsi="Times New Roman" w:cs="Times New Roman"/>
        </w:rPr>
        <w:t>nowymi zasadami składania zabezpieczenia majątkowego w projektowanym art. 38 ustawy – Prawo energetyczne.</w:t>
      </w:r>
    </w:p>
    <w:p w14:paraId="09BB4A42"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Projekt wprowadza także nowy przepis art. 42b, który stanowi, że koncesja na obrót paliwami ciekłymi wygasa, jeżeli przedsiębiorstwo energetyczne, w zakresie udzielonej koncesji, nie dokona obrotu paliwami </w:t>
      </w:r>
      <w:r w:rsidR="001D0628">
        <w:rPr>
          <w:rFonts w:ascii="Times New Roman" w:hAnsi="Times New Roman" w:cs="Times New Roman"/>
        </w:rPr>
        <w:t>z </w:t>
      </w:r>
      <w:r w:rsidR="000C0060" w:rsidRPr="00215A1D">
        <w:rPr>
          <w:rFonts w:ascii="Times New Roman" w:hAnsi="Times New Roman" w:cs="Times New Roman"/>
        </w:rPr>
        <w:t>zagranicą prze</w:t>
      </w:r>
      <w:r w:rsidR="001D0628">
        <w:rPr>
          <w:rFonts w:ascii="Times New Roman" w:hAnsi="Times New Roman" w:cs="Times New Roman"/>
        </w:rPr>
        <w:t>z </w:t>
      </w:r>
      <w:r w:rsidR="000C0060" w:rsidRPr="00215A1D">
        <w:rPr>
          <w:rFonts w:ascii="Times New Roman" w:hAnsi="Times New Roman" w:cs="Times New Roman"/>
        </w:rPr>
        <w:t xml:space="preserve">kolejne następujące po sobie 12 miesięcy. Zmiana ta ma na celu ograniczenie nieprawidłowości na rynku paliw ciekłych, które są związane </w:t>
      </w:r>
      <w:r w:rsidR="001D0628">
        <w:rPr>
          <w:rFonts w:ascii="Times New Roman" w:hAnsi="Times New Roman" w:cs="Times New Roman"/>
        </w:rPr>
        <w:t>z </w:t>
      </w:r>
      <w:r w:rsidR="000C0060" w:rsidRPr="00215A1D">
        <w:rPr>
          <w:rFonts w:ascii="Times New Roman" w:hAnsi="Times New Roman" w:cs="Times New Roman"/>
        </w:rPr>
        <w:t xml:space="preserve">tzw. „martwymi koncesjami”. </w:t>
      </w:r>
    </w:p>
    <w:p w14:paraId="711C801E" w14:textId="77777777" w:rsidR="000C0060" w:rsidRPr="00215A1D" w:rsidRDefault="000C0060" w:rsidP="00215A1D">
      <w:pPr>
        <w:pStyle w:val="ARTartustawynprozporzdzenia"/>
        <w:spacing w:before="0"/>
        <w:rPr>
          <w:rFonts w:ascii="Times New Roman" w:hAnsi="Times New Roman" w:cs="Times New Roman"/>
        </w:rPr>
      </w:pPr>
    </w:p>
    <w:p w14:paraId="6D6BFD4D" w14:textId="77777777" w:rsidR="000C0060" w:rsidRPr="00215A1D" w:rsidRDefault="00EF6F97" w:rsidP="00215A1D">
      <w:pPr>
        <w:pStyle w:val="ARTartustawynprozporzdzenia"/>
        <w:spacing w:before="0"/>
        <w:ind w:firstLine="0"/>
        <w:rPr>
          <w:rFonts w:ascii="Times New Roman" w:hAnsi="Times New Roman" w:cs="Times New Roman"/>
        </w:rPr>
      </w:pPr>
      <w:r>
        <w:rPr>
          <w:rFonts w:ascii="Times New Roman" w:hAnsi="Times New Roman" w:cs="Times New Roman"/>
        </w:rPr>
        <w:tab/>
      </w:r>
      <w:r w:rsidR="00D24A41">
        <w:rPr>
          <w:rFonts w:ascii="Times New Roman" w:hAnsi="Times New Roman" w:cs="Times New Roman"/>
        </w:rPr>
        <w:t>Ad. 19</w:t>
      </w:r>
      <w:r w:rsidR="000C0060" w:rsidRPr="00215A1D">
        <w:rPr>
          <w:rFonts w:ascii="Times New Roman" w:hAnsi="Times New Roman" w:cs="Times New Roman"/>
        </w:rPr>
        <w:t>. Projekt wprowadza następujące zmiany, które maja na celu doprecyzowanie brzmienia obecnych przepisów, które wywołują rozbieżności interpretacyjnym, lub usunięcia luk prawnych.</w:t>
      </w:r>
    </w:p>
    <w:p w14:paraId="62E15D4B" w14:textId="77777777" w:rsidR="000C0060" w:rsidRDefault="000C0060" w:rsidP="00215A1D">
      <w:pPr>
        <w:pStyle w:val="ARTartustawynprozporzdzenia"/>
        <w:spacing w:before="0"/>
        <w:rPr>
          <w:rFonts w:ascii="Times New Roman" w:hAnsi="Times New Roman" w:cs="Times New Roman"/>
        </w:rPr>
      </w:pPr>
      <w:r w:rsidRPr="00215A1D">
        <w:rPr>
          <w:rFonts w:ascii="Times New Roman" w:hAnsi="Times New Roman" w:cs="Times New Roman"/>
        </w:rPr>
        <w:t xml:space="preserve">Projekt rozszerza definicję przedsiębiorstwa energetycznego w art. 3 pkt 12 o działalność w zakresie przeładunku paliw ciekłych. Działalność ta podlega obowiązkowi koncesyjnemu na </w:t>
      </w:r>
      <w:r w:rsidRPr="00215A1D">
        <w:rPr>
          <w:rFonts w:ascii="Times New Roman" w:hAnsi="Times New Roman" w:cs="Times New Roman"/>
        </w:rPr>
        <w:lastRenderedPageBreak/>
        <w:t>podstawie art. 32 ust. 1 pkt 2 ustawy, co uzasadnia uzupełnienie definicji przedsiębiorstwa energetycznego o przeładunek paliw ciekłych.</w:t>
      </w:r>
    </w:p>
    <w:p w14:paraId="7AC4FCDB" w14:textId="77777777" w:rsidR="007041EF" w:rsidRPr="00215A1D" w:rsidRDefault="007041EF" w:rsidP="007041EF">
      <w:pPr>
        <w:pStyle w:val="ARTartustawynprozporzdzenia"/>
        <w:spacing w:before="0"/>
        <w:ind w:firstLine="709"/>
        <w:rPr>
          <w:rFonts w:ascii="Times New Roman" w:hAnsi="Times New Roman" w:cs="Times New Roman"/>
        </w:rPr>
      </w:pPr>
      <w:r w:rsidRPr="007041EF">
        <w:rPr>
          <w:rFonts w:ascii="Times New Roman" w:hAnsi="Times New Roman" w:cs="Times New Roman"/>
        </w:rPr>
        <w:t>Proponuje się uchylenie art. 23 ust. 2 pkt 21a jako przepisu martwego. Zgodnie z art. 30 ustawy z dnia 11 lipca 2014 r. o zmianie ustawy – Prawo ochrony środowiska oraz niektórych innych ustaw (Dz. U. poz. 1101), składanie wniosków o zastosowanie drugiej zasady łączenia, o której mowa w art. 157a ust. 2 pkt 2 ustawy – Prawo ochrony środowiska, a tym samym występowanie do Prezesa URE z wnioskiem o opinię - było możliwe przez 12 miesięcy od dnia wejścia w życie ustawy o zmianie ustawy – Prawo ochrony środowiska oraz niektórych innych ustaw, tj. do września 2015 r.</w:t>
      </w:r>
    </w:p>
    <w:p w14:paraId="72254C00"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W związku </w:t>
      </w:r>
      <w:r w:rsidR="001D0628">
        <w:rPr>
          <w:rFonts w:ascii="Times New Roman" w:hAnsi="Times New Roman" w:cs="Times New Roman"/>
        </w:rPr>
        <w:t>z </w:t>
      </w:r>
      <w:r w:rsidR="000C0060" w:rsidRPr="00215A1D">
        <w:rPr>
          <w:rFonts w:ascii="Times New Roman" w:hAnsi="Times New Roman" w:cs="Times New Roman"/>
        </w:rPr>
        <w:t xml:space="preserve">brakiem bezpośredniego wskazania w art. 23r ust. 3 Prezesa URE jako organu, który jest uprawniony do przeprowadzania przewidzianych w tym przepisie kontroli, mimo że uprawnienie takie jest funkcjonalnie związane </w:t>
      </w:r>
      <w:r w:rsidR="001D0628">
        <w:rPr>
          <w:rFonts w:ascii="Times New Roman" w:hAnsi="Times New Roman" w:cs="Times New Roman"/>
        </w:rPr>
        <w:t>z </w:t>
      </w:r>
      <w:r w:rsidR="000C0060" w:rsidRPr="00215A1D">
        <w:rPr>
          <w:rFonts w:ascii="Times New Roman" w:hAnsi="Times New Roman" w:cs="Times New Roman"/>
        </w:rPr>
        <w:t>kompetencjami Prezesa URE, które zostały wskazane w art. 23r ust. 1, należy odpowiednio uzupełnić przepis w ust. 3 poprze</w:t>
      </w:r>
      <w:r w:rsidR="001D0628">
        <w:rPr>
          <w:rFonts w:ascii="Times New Roman" w:hAnsi="Times New Roman" w:cs="Times New Roman"/>
        </w:rPr>
        <w:t>z </w:t>
      </w:r>
      <w:r w:rsidR="000C0060" w:rsidRPr="00215A1D">
        <w:rPr>
          <w:rFonts w:ascii="Times New Roman" w:hAnsi="Times New Roman" w:cs="Times New Roman"/>
        </w:rPr>
        <w:t>dodanie Prezesa URE do zbioru organów uprawnionych w tym przepisie, ponieważ uprawnienia do kontroli organu administracji powinno być wskazane w sposób precyzyjny</w:t>
      </w:r>
      <w:r w:rsidR="001D0628">
        <w:rPr>
          <w:rFonts w:ascii="Times New Roman" w:hAnsi="Times New Roman" w:cs="Times New Roman"/>
        </w:rPr>
        <w:t xml:space="preserve"> i </w:t>
      </w:r>
      <w:r w:rsidR="000C0060" w:rsidRPr="00215A1D">
        <w:rPr>
          <w:rFonts w:ascii="Times New Roman" w:hAnsi="Times New Roman" w:cs="Times New Roman"/>
        </w:rPr>
        <w:t>nie powinno budzić wątpliwości interpretacyjnych. Jednocześnie, wprowadzono przepis karnoadministracyjny za utrudnianie lub uniemożliwianie kontroli ora</w:t>
      </w:r>
      <w:r w:rsidR="001D0628">
        <w:rPr>
          <w:rFonts w:ascii="Times New Roman" w:hAnsi="Times New Roman" w:cs="Times New Roman"/>
        </w:rPr>
        <w:t>z </w:t>
      </w:r>
      <w:r w:rsidR="000C0060" w:rsidRPr="00215A1D">
        <w:rPr>
          <w:rFonts w:ascii="Times New Roman" w:hAnsi="Times New Roman" w:cs="Times New Roman"/>
        </w:rPr>
        <w:t>określono wysokość kary (art. 56</w:t>
      </w:r>
      <w:r>
        <w:rPr>
          <w:rFonts w:ascii="Times New Roman" w:hAnsi="Times New Roman" w:cs="Times New Roman"/>
        </w:rPr>
        <w:t xml:space="preserve"> </w:t>
      </w:r>
      <w:r w:rsidR="000C0060" w:rsidRPr="00215A1D">
        <w:rPr>
          <w:rFonts w:ascii="Times New Roman" w:hAnsi="Times New Roman" w:cs="Times New Roman"/>
        </w:rPr>
        <w:t>ust. 1 pkt 52 ora</w:t>
      </w:r>
      <w:r w:rsidR="001D0628">
        <w:rPr>
          <w:rFonts w:ascii="Times New Roman" w:hAnsi="Times New Roman" w:cs="Times New Roman"/>
        </w:rPr>
        <w:t>z </w:t>
      </w:r>
      <w:r w:rsidR="000C0060" w:rsidRPr="00215A1D">
        <w:rPr>
          <w:rFonts w:ascii="Times New Roman" w:hAnsi="Times New Roman" w:cs="Times New Roman"/>
        </w:rPr>
        <w:t>ust. 2h pkt 9).</w:t>
      </w:r>
    </w:p>
    <w:p w14:paraId="1BE19250"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Projektowana zmiana w art. 32d ust. 5 doprecyzowuje, że zwolnieniu </w:t>
      </w:r>
      <w:r w:rsidR="001D0628">
        <w:rPr>
          <w:rFonts w:ascii="Times New Roman" w:hAnsi="Times New Roman" w:cs="Times New Roman"/>
        </w:rPr>
        <w:t>z </w:t>
      </w:r>
      <w:r w:rsidR="000C0060" w:rsidRPr="00215A1D">
        <w:rPr>
          <w:rFonts w:ascii="Times New Roman" w:hAnsi="Times New Roman" w:cs="Times New Roman"/>
        </w:rPr>
        <w:t xml:space="preserve">opłaty skarbowej podlega także wykreślenie </w:t>
      </w:r>
      <w:r w:rsidR="001D0628">
        <w:rPr>
          <w:rFonts w:ascii="Times New Roman" w:hAnsi="Times New Roman" w:cs="Times New Roman"/>
        </w:rPr>
        <w:t>z </w:t>
      </w:r>
      <w:r w:rsidR="000C0060" w:rsidRPr="00215A1D">
        <w:rPr>
          <w:rFonts w:ascii="Times New Roman" w:hAnsi="Times New Roman" w:cs="Times New Roman"/>
        </w:rPr>
        <w:t>rejestru podmiotów przywożących.</w:t>
      </w:r>
    </w:p>
    <w:p w14:paraId="37B6D9B6" w14:textId="77777777" w:rsidR="000C0060" w:rsidRPr="00215A1D" w:rsidRDefault="00EF6F97" w:rsidP="004A019D">
      <w:pPr>
        <w:pStyle w:val="ARTartustawynprozporzdzenia"/>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W projekcie proponuje się zmienić brzmienie definicji sieci gazociągów kopalnianych, rozszerzając ją o gazociągi zbudowanych</w:t>
      </w:r>
      <w:r w:rsidR="001D0628">
        <w:rPr>
          <w:rFonts w:ascii="Times New Roman" w:hAnsi="Times New Roman" w:cs="Times New Roman"/>
        </w:rPr>
        <w:t xml:space="preserve"> i </w:t>
      </w:r>
      <w:r w:rsidR="000C0060" w:rsidRPr="00215A1D">
        <w:rPr>
          <w:rFonts w:ascii="Times New Roman" w:hAnsi="Times New Roman" w:cs="Times New Roman"/>
        </w:rPr>
        <w:t>eksploatowanych w ramach przedsięwzięcia polegającego na wydobywaniu ropy naftowej lub gazu ziemnego ze złóż. Projektowana zmiana ma na celu uzupełnienie implementacji do polskiego porządku prawnego kompletnej definicji tych gazociągów przewidzianej w przepisach dyrektywy Parlamentu Europejskiego</w:t>
      </w:r>
      <w:r w:rsidR="001D0628">
        <w:rPr>
          <w:rFonts w:ascii="Times New Roman" w:hAnsi="Times New Roman" w:cs="Times New Roman"/>
        </w:rPr>
        <w:t xml:space="preserve"> i </w:t>
      </w:r>
      <w:r w:rsidR="000C0060" w:rsidRPr="00215A1D">
        <w:rPr>
          <w:rFonts w:ascii="Times New Roman" w:hAnsi="Times New Roman" w:cs="Times New Roman"/>
        </w:rPr>
        <w:t xml:space="preserve">Rady 2009/73/WE </w:t>
      </w:r>
      <w:r w:rsidR="001D0628">
        <w:rPr>
          <w:rFonts w:ascii="Times New Roman" w:hAnsi="Times New Roman" w:cs="Times New Roman"/>
        </w:rPr>
        <w:t>z </w:t>
      </w:r>
      <w:r w:rsidR="000C0060" w:rsidRPr="00215A1D">
        <w:rPr>
          <w:rFonts w:ascii="Times New Roman" w:hAnsi="Times New Roman" w:cs="Times New Roman"/>
        </w:rPr>
        <w:t>dnia 13 lipca 2009</w:t>
      </w:r>
      <w:r w:rsidR="001D0628">
        <w:rPr>
          <w:rFonts w:ascii="Times New Roman" w:hAnsi="Times New Roman" w:cs="Times New Roman"/>
        </w:rPr>
        <w:t> r.</w:t>
      </w:r>
      <w:r w:rsidR="000C0060" w:rsidRPr="00215A1D">
        <w:rPr>
          <w:rFonts w:ascii="Times New Roman" w:hAnsi="Times New Roman" w:cs="Times New Roman"/>
        </w:rPr>
        <w:t xml:space="preserve"> dotyczącej wspólnych zasad rynku wewnętrznego gazu ziemnego</w:t>
      </w:r>
      <w:r w:rsidR="001D0628">
        <w:rPr>
          <w:rFonts w:ascii="Times New Roman" w:hAnsi="Times New Roman" w:cs="Times New Roman"/>
        </w:rPr>
        <w:t xml:space="preserve"> i </w:t>
      </w:r>
      <w:r w:rsidR="000C0060" w:rsidRPr="00215A1D">
        <w:rPr>
          <w:rFonts w:ascii="Times New Roman" w:hAnsi="Times New Roman" w:cs="Times New Roman"/>
        </w:rPr>
        <w:t>uchylającej dyrektywę 2003/55/WE.</w:t>
      </w:r>
      <w:r w:rsidR="004A019D">
        <w:rPr>
          <w:rFonts w:ascii="Times New Roman" w:hAnsi="Times New Roman" w:cs="Times New Roman"/>
        </w:rPr>
        <w:t xml:space="preserve"> W przedmiotowej definicji, inaczej aniżeli w definicji zawartej w ww. dyrektywie, użyto </w:t>
      </w:r>
      <w:r w:rsidR="004A019D" w:rsidRPr="004A019D">
        <w:rPr>
          <w:rFonts w:ascii="Times New Roman" w:hAnsi="Times New Roman" w:cs="Times New Roman"/>
        </w:rPr>
        <w:t>spójnika „i”</w:t>
      </w:r>
      <w:r w:rsidR="004A019D">
        <w:rPr>
          <w:rFonts w:ascii="Times New Roman" w:hAnsi="Times New Roman" w:cs="Times New Roman"/>
        </w:rPr>
        <w:t xml:space="preserve"> zamiast „lub” bowiem </w:t>
      </w:r>
      <w:r w:rsidR="004A019D" w:rsidRPr="004A019D">
        <w:rPr>
          <w:rFonts w:ascii="Times New Roman" w:hAnsi="Times New Roman" w:cs="Times New Roman"/>
        </w:rPr>
        <w:t xml:space="preserve">wykładnia celowościowa przemawia na rzecz użycia </w:t>
      </w:r>
      <w:r w:rsidR="004A019D">
        <w:rPr>
          <w:rFonts w:ascii="Times New Roman" w:hAnsi="Times New Roman" w:cs="Times New Roman"/>
        </w:rPr>
        <w:t>koniunkcji, gdyż</w:t>
      </w:r>
      <w:r w:rsidR="004A019D" w:rsidRPr="004A019D">
        <w:rPr>
          <w:rFonts w:ascii="Times New Roman" w:hAnsi="Times New Roman" w:cs="Times New Roman"/>
        </w:rPr>
        <w:t xml:space="preserve"> zasada dostępu powinna być zapewniona dla gazociągów eksploatowanych a nie tylko wybudowanych. </w:t>
      </w:r>
      <w:r w:rsidR="004A019D">
        <w:rPr>
          <w:rFonts w:ascii="Times New Roman" w:hAnsi="Times New Roman" w:cs="Times New Roman"/>
        </w:rPr>
        <w:t>Tak więc p</w:t>
      </w:r>
      <w:r w:rsidR="004A019D" w:rsidRPr="004A019D">
        <w:rPr>
          <w:rFonts w:ascii="Times New Roman" w:hAnsi="Times New Roman" w:cs="Times New Roman"/>
        </w:rPr>
        <w:t xml:space="preserve">rzedmiotowa propozycja definicji </w:t>
      </w:r>
      <w:r w:rsidR="004A019D">
        <w:rPr>
          <w:rFonts w:ascii="Times New Roman" w:hAnsi="Times New Roman" w:cs="Times New Roman"/>
        </w:rPr>
        <w:t xml:space="preserve">pozwala w najpełniejszy sposób zrealizować cel </w:t>
      </w:r>
      <w:r w:rsidR="004A019D" w:rsidRPr="004A019D">
        <w:rPr>
          <w:rFonts w:ascii="Times New Roman" w:hAnsi="Times New Roman" w:cs="Times New Roman"/>
        </w:rPr>
        <w:t xml:space="preserve">dyrektywy i służy wykonaniu zasady TPA (dostępu strony trzeciej) określonej w art. 34 dyrektywy </w:t>
      </w:r>
      <w:r w:rsidR="004A019D" w:rsidRPr="004A019D">
        <w:rPr>
          <w:rFonts w:ascii="Times New Roman" w:hAnsi="Times New Roman" w:cs="Times New Roman"/>
        </w:rPr>
        <w:lastRenderedPageBreak/>
        <w:t>Parlamentu Europejskiego i Rady 2009/73/WE z dnia 13 lipca 2009 r. dotyczącej wspólnych zasad rynku wewnętrznego gazu ziemnego i uchylającej dyrektywę 2003/55/WE.</w:t>
      </w:r>
    </w:p>
    <w:p w14:paraId="7CCADC00"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Celem wprowadzonych rozwiązań jest wdrożenie mechanizmów umożliwiających przekwalifikowanie infrastruktury gazowej, dotychczas eksploatowanej jako pozasystemowa, na element majątku sieciowego wchodzącego w skład systemu eksploatowanego prze</w:t>
      </w:r>
      <w:r w:rsidR="001D0628">
        <w:rPr>
          <w:rFonts w:ascii="Times New Roman" w:hAnsi="Times New Roman" w:cs="Times New Roman"/>
        </w:rPr>
        <w:t>z </w:t>
      </w:r>
      <w:r w:rsidR="000C0060" w:rsidRPr="00215A1D">
        <w:rPr>
          <w:rFonts w:ascii="Times New Roman" w:hAnsi="Times New Roman" w:cs="Times New Roman"/>
        </w:rPr>
        <w:t xml:space="preserve">operatora systemu dystrybucyjnego. Dzięki nowym rozwiązaniom możliwe będzie przekwalifikowanie infrastruktury w sposób zorganizowany, </w:t>
      </w:r>
      <w:r w:rsidR="001D0628">
        <w:rPr>
          <w:rFonts w:ascii="Times New Roman" w:hAnsi="Times New Roman" w:cs="Times New Roman"/>
        </w:rPr>
        <w:t>z </w:t>
      </w:r>
      <w:r w:rsidR="000C0060" w:rsidRPr="00215A1D">
        <w:rPr>
          <w:rFonts w:ascii="Times New Roman" w:hAnsi="Times New Roman" w:cs="Times New Roman"/>
        </w:rPr>
        <w:t>uwzględnieniem dbałości o interes odbiorców ora</w:t>
      </w:r>
      <w:r w:rsidR="001D0628">
        <w:rPr>
          <w:rFonts w:ascii="Times New Roman" w:hAnsi="Times New Roman" w:cs="Times New Roman"/>
        </w:rPr>
        <w:t>z </w:t>
      </w:r>
      <w:r w:rsidR="000C0060" w:rsidRPr="00215A1D">
        <w:rPr>
          <w:rFonts w:ascii="Times New Roman" w:hAnsi="Times New Roman" w:cs="Times New Roman"/>
        </w:rPr>
        <w:t>przy pełnej kontroli Prezesa Urzędu Regulacji Energetyki.</w:t>
      </w:r>
      <w:r>
        <w:rPr>
          <w:rFonts w:ascii="Times New Roman" w:hAnsi="Times New Roman" w:cs="Times New Roman"/>
        </w:rPr>
        <w:t xml:space="preserve"> </w:t>
      </w:r>
      <w:r w:rsidR="000C0060" w:rsidRPr="00215A1D">
        <w:rPr>
          <w:rFonts w:ascii="Times New Roman" w:hAnsi="Times New Roman" w:cs="Times New Roman"/>
        </w:rPr>
        <w:t xml:space="preserve">W szczególności przewidziano generalną sukcesję umów </w:t>
      </w:r>
      <w:r w:rsidR="001D0628">
        <w:rPr>
          <w:rFonts w:ascii="Times New Roman" w:hAnsi="Times New Roman" w:cs="Times New Roman"/>
        </w:rPr>
        <w:t>z </w:t>
      </w:r>
      <w:r w:rsidR="000C0060" w:rsidRPr="00215A1D">
        <w:rPr>
          <w:rFonts w:ascii="Times New Roman" w:hAnsi="Times New Roman" w:cs="Times New Roman"/>
        </w:rPr>
        <w:t>odbiorcami, która ma zapewnić odpowiedni poziom ochrony konsumentów gazu ora</w:t>
      </w:r>
      <w:r w:rsidR="001D0628">
        <w:rPr>
          <w:rFonts w:ascii="Times New Roman" w:hAnsi="Times New Roman" w:cs="Times New Roman"/>
        </w:rPr>
        <w:t>z </w:t>
      </w:r>
      <w:r w:rsidR="000C0060" w:rsidRPr="00215A1D">
        <w:rPr>
          <w:rFonts w:ascii="Times New Roman" w:hAnsi="Times New Roman" w:cs="Times New Roman"/>
        </w:rPr>
        <w:t>uregulowano proces przenoszenia infrastruktury w zarządzanie prze</w:t>
      </w:r>
      <w:r w:rsidR="001D0628">
        <w:rPr>
          <w:rFonts w:ascii="Times New Roman" w:hAnsi="Times New Roman" w:cs="Times New Roman"/>
        </w:rPr>
        <w:t>z </w:t>
      </w:r>
      <w:r w:rsidR="000C0060" w:rsidRPr="00215A1D">
        <w:rPr>
          <w:rFonts w:ascii="Times New Roman" w:hAnsi="Times New Roman" w:cs="Times New Roman"/>
        </w:rPr>
        <w:t>operatora systemu dystrybucyjnego.</w:t>
      </w:r>
    </w:p>
    <w:p w14:paraId="0D66F7BF" w14:textId="077DD1A9"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Jednocześnie w związku ze zmianą definicji sieci gazociągów kopalnianych przewidziany został okres przejściowy, w którym przedsiębiorstwa dostosują się do projektowanych rozwiązań.</w:t>
      </w:r>
      <w:r w:rsidR="00FE3F4D">
        <w:rPr>
          <w:rFonts w:ascii="Times New Roman" w:hAnsi="Times New Roman" w:cs="Times New Roman"/>
        </w:rPr>
        <w:t xml:space="preserve"> </w:t>
      </w:r>
      <w:r w:rsidR="00FE3F4D" w:rsidRPr="00FE3F4D">
        <w:rPr>
          <w:rFonts w:ascii="Times New Roman" w:hAnsi="Times New Roman" w:cs="Times New Roman"/>
        </w:rPr>
        <w:t>Ponadto, w związku z przewidzianą w projekcie możliwością zmiany przeznaczenia gazociągu bezpośredniego lub sieci gazociągów kopalnianych na sieci dystrybucyjne gazowe, zasadne jest rozważ</w:t>
      </w:r>
      <w:r w:rsidR="00FE3F4D">
        <w:rPr>
          <w:rFonts w:ascii="Times New Roman" w:hAnsi="Times New Roman" w:cs="Times New Roman"/>
        </w:rPr>
        <w:t>e</w:t>
      </w:r>
      <w:r w:rsidR="00FE3F4D" w:rsidRPr="00FE3F4D">
        <w:rPr>
          <w:rFonts w:ascii="Times New Roman" w:hAnsi="Times New Roman" w:cs="Times New Roman"/>
        </w:rPr>
        <w:t>nie konieczności dostosowania przepisów wykonawczych określających szczegółowe warunki funkcjonowania systemu gazowego oraz szczegółowe zasady kształtowania i kalkulacji taryf dla paliw gazowych.</w:t>
      </w:r>
    </w:p>
    <w:p w14:paraId="423B04B9"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W projektowanym art. 56 ust. 3a doprecyzowuje się zasady wymierzania kar w przypadku, gdy podmiot nie osiągnął przychodu </w:t>
      </w:r>
      <w:r w:rsidR="001D0628">
        <w:rPr>
          <w:rFonts w:ascii="Times New Roman" w:hAnsi="Times New Roman" w:cs="Times New Roman"/>
        </w:rPr>
        <w:t>z </w:t>
      </w:r>
      <w:r w:rsidR="000C0060" w:rsidRPr="00215A1D">
        <w:rPr>
          <w:rFonts w:ascii="Times New Roman" w:hAnsi="Times New Roman" w:cs="Times New Roman"/>
        </w:rPr>
        <w:t>działalności koncesjonowanej, ora</w:t>
      </w:r>
      <w:r w:rsidR="001D0628">
        <w:rPr>
          <w:rFonts w:ascii="Times New Roman" w:hAnsi="Times New Roman" w:cs="Times New Roman"/>
        </w:rPr>
        <w:t>z </w:t>
      </w:r>
      <w:r w:rsidR="000C0060" w:rsidRPr="00215A1D">
        <w:rPr>
          <w:rFonts w:ascii="Times New Roman" w:hAnsi="Times New Roman" w:cs="Times New Roman"/>
        </w:rPr>
        <w:t xml:space="preserve">wprowadza się minimalną wysokość kary w kwocie 2000 zł lub 10 000 zł, w celu zagwarantowania, że wymierzona kara spełni swój cel również w przypadku, gdy podmiot osiągnie zerowy lub niski przychód </w:t>
      </w:r>
      <w:r w:rsidR="001D0628">
        <w:rPr>
          <w:rFonts w:ascii="Times New Roman" w:hAnsi="Times New Roman" w:cs="Times New Roman"/>
        </w:rPr>
        <w:t>z </w:t>
      </w:r>
      <w:r w:rsidR="000C0060" w:rsidRPr="00215A1D">
        <w:rPr>
          <w:rFonts w:ascii="Times New Roman" w:hAnsi="Times New Roman" w:cs="Times New Roman"/>
        </w:rPr>
        <w:t>działalności koncesjonowanej.</w:t>
      </w:r>
    </w:p>
    <w:p w14:paraId="6D30F8BB" w14:textId="77777777" w:rsidR="006B7133"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6B7133" w:rsidRPr="00215A1D">
        <w:rPr>
          <w:rFonts w:ascii="Times New Roman" w:hAnsi="Times New Roman" w:cs="Times New Roman"/>
        </w:rPr>
        <w:t>Nowelizacja art. 57g ma na celu rozszerzenie stosowania sankcji karnej na inne nośniki energii takie jak paliwa gazowe, energia elektryczna ora</w:t>
      </w:r>
      <w:r w:rsidR="001D0628">
        <w:rPr>
          <w:rFonts w:ascii="Times New Roman" w:hAnsi="Times New Roman" w:cs="Times New Roman"/>
        </w:rPr>
        <w:t>z </w:t>
      </w:r>
      <w:r w:rsidR="006B7133" w:rsidRPr="00215A1D">
        <w:rPr>
          <w:rFonts w:ascii="Times New Roman" w:hAnsi="Times New Roman" w:cs="Times New Roman"/>
        </w:rPr>
        <w:t>ciepło ze względu na konieczność równego traktowania naruszeń obowiązków ciążących na wszystkich przedsiębiorstwach energetycznych. Ministerstwu była sygnalizowana kwestia, nie znajdującego w niczym uzasadnienia, różnicowania sytuacji podmiotów dopuszczających się tego samego rodzaju zabronionych zachowań.</w:t>
      </w:r>
    </w:p>
    <w:p w14:paraId="0AC321BC"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W przepisie epizodycznym projektowanego art. 62 ustawy – Prawo energetyczne wprowadza się jednorazowy obowiązek dla przedsiębiorstwa energetycznego, które wykonuje działalność polegającą na wytwarzaniu paliw ciekłych, magazynowaniu lub przeładunku paliw ciekłych, przesyłaniu lub dystrybucji paliw ciekłych, obrocie paliwami ciekłymi, w tym obrocie nimi </w:t>
      </w:r>
      <w:r w:rsidR="001D0628">
        <w:rPr>
          <w:rFonts w:ascii="Times New Roman" w:hAnsi="Times New Roman" w:cs="Times New Roman"/>
        </w:rPr>
        <w:t>z </w:t>
      </w:r>
      <w:r w:rsidR="000C0060" w:rsidRPr="00215A1D">
        <w:rPr>
          <w:rFonts w:ascii="Times New Roman" w:hAnsi="Times New Roman" w:cs="Times New Roman"/>
        </w:rPr>
        <w:t xml:space="preserve">zagranicą, a także podmiot przywożący, które nie wykonały obowiązku, o którym mowa </w:t>
      </w:r>
      <w:r w:rsidR="000C0060" w:rsidRPr="00215A1D">
        <w:rPr>
          <w:rFonts w:ascii="Times New Roman" w:hAnsi="Times New Roman" w:cs="Times New Roman"/>
        </w:rPr>
        <w:lastRenderedPageBreak/>
        <w:t>w art. 31 ust. 1</w:t>
      </w:r>
      <w:r w:rsidR="001D0628">
        <w:rPr>
          <w:rFonts w:ascii="Times New Roman" w:hAnsi="Times New Roman" w:cs="Times New Roman"/>
        </w:rPr>
        <w:t xml:space="preserve"> i </w:t>
      </w:r>
      <w:r w:rsidR="000C0060" w:rsidRPr="00215A1D">
        <w:rPr>
          <w:rFonts w:ascii="Times New Roman" w:hAnsi="Times New Roman" w:cs="Times New Roman"/>
        </w:rPr>
        <w:t xml:space="preserve">2 ustawy </w:t>
      </w:r>
      <w:r w:rsidR="001D0628">
        <w:rPr>
          <w:rFonts w:ascii="Times New Roman" w:hAnsi="Times New Roman" w:cs="Times New Roman"/>
        </w:rPr>
        <w:t>z </w:t>
      </w:r>
      <w:r w:rsidR="000C0060" w:rsidRPr="00215A1D">
        <w:rPr>
          <w:rFonts w:ascii="Times New Roman" w:hAnsi="Times New Roman" w:cs="Times New Roman"/>
        </w:rPr>
        <w:t>dnia 22 lipca 2016</w:t>
      </w:r>
      <w:r w:rsidR="001D0628">
        <w:rPr>
          <w:rFonts w:ascii="Times New Roman" w:hAnsi="Times New Roman" w:cs="Times New Roman"/>
        </w:rPr>
        <w:t> r.</w:t>
      </w:r>
      <w:r w:rsidR="000C0060" w:rsidRPr="00215A1D">
        <w:rPr>
          <w:rFonts w:ascii="Times New Roman" w:hAnsi="Times New Roman" w:cs="Times New Roman"/>
        </w:rPr>
        <w:t xml:space="preserve"> o zmianie ustawy – Prawo energetyczne ora</w:t>
      </w:r>
      <w:r w:rsidR="001D0628">
        <w:rPr>
          <w:rFonts w:ascii="Times New Roman" w:hAnsi="Times New Roman" w:cs="Times New Roman"/>
        </w:rPr>
        <w:t>z </w:t>
      </w:r>
      <w:r w:rsidR="000C0060" w:rsidRPr="00215A1D">
        <w:rPr>
          <w:rFonts w:ascii="Times New Roman" w:hAnsi="Times New Roman" w:cs="Times New Roman"/>
        </w:rPr>
        <w:t xml:space="preserve">niektórych innych ustaw (Dz. U. </w:t>
      </w:r>
      <w:r w:rsidR="001D0628">
        <w:rPr>
          <w:rFonts w:ascii="Times New Roman" w:hAnsi="Times New Roman" w:cs="Times New Roman"/>
        </w:rPr>
        <w:t>z </w:t>
      </w:r>
      <w:r w:rsidR="000C0060" w:rsidRPr="00215A1D">
        <w:rPr>
          <w:rFonts w:ascii="Times New Roman" w:hAnsi="Times New Roman" w:cs="Times New Roman"/>
        </w:rPr>
        <w:t>2016</w:t>
      </w:r>
      <w:r w:rsidR="001D0628">
        <w:rPr>
          <w:rFonts w:ascii="Times New Roman" w:hAnsi="Times New Roman" w:cs="Times New Roman"/>
        </w:rPr>
        <w:t> r.</w:t>
      </w:r>
      <w:r w:rsidR="000C0060" w:rsidRPr="00215A1D">
        <w:rPr>
          <w:rFonts w:ascii="Times New Roman" w:hAnsi="Times New Roman" w:cs="Times New Roman"/>
        </w:rPr>
        <w:t xml:space="preserve"> poz. 1165). Obowiązek ten dotyczył zgłaszania do Prezesa URE pierwszej informacji o infrastrukturze paliw ciekłych w związku </w:t>
      </w:r>
      <w:r w:rsidR="001D0628">
        <w:rPr>
          <w:rFonts w:ascii="Times New Roman" w:hAnsi="Times New Roman" w:cs="Times New Roman"/>
        </w:rPr>
        <w:t>z </w:t>
      </w:r>
      <w:r w:rsidR="000C0060" w:rsidRPr="00215A1D">
        <w:rPr>
          <w:rFonts w:ascii="Times New Roman" w:hAnsi="Times New Roman" w:cs="Times New Roman"/>
        </w:rPr>
        <w:t>wejściem w życie nowych przepisów. Ustawa ta nie wprowadziła jednak przepisów karnoadministracyjnych za naruszenie tego obowiązku.</w:t>
      </w:r>
    </w:p>
    <w:p w14:paraId="7AF1F040" w14:textId="77777777" w:rsidR="0098717B" w:rsidRPr="00215A1D" w:rsidRDefault="00EF6F97" w:rsidP="00215A1D">
      <w:pPr>
        <w:pStyle w:val="ARTartustawynprozporzdzenia"/>
        <w:spacing w:before="0"/>
        <w:ind w:firstLin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W celu usunięcia ww. luki prawnej, wprowadzono regulację epizodyczną skierowaną do adresatów określonych w art. 31 ust. 1</w:t>
      </w:r>
      <w:r w:rsidR="001D0628">
        <w:rPr>
          <w:rFonts w:ascii="Times New Roman" w:hAnsi="Times New Roman" w:cs="Times New Roman"/>
        </w:rPr>
        <w:t xml:space="preserve"> i </w:t>
      </w:r>
      <w:r w:rsidR="000C0060" w:rsidRPr="00215A1D">
        <w:rPr>
          <w:rFonts w:ascii="Times New Roman" w:hAnsi="Times New Roman" w:cs="Times New Roman"/>
        </w:rPr>
        <w:t xml:space="preserve">2 ustawy </w:t>
      </w:r>
      <w:r w:rsidR="001D0628">
        <w:rPr>
          <w:rFonts w:ascii="Times New Roman" w:hAnsi="Times New Roman" w:cs="Times New Roman"/>
        </w:rPr>
        <w:t>z </w:t>
      </w:r>
      <w:r w:rsidR="000C0060" w:rsidRPr="00215A1D">
        <w:rPr>
          <w:rFonts w:ascii="Times New Roman" w:hAnsi="Times New Roman" w:cs="Times New Roman"/>
        </w:rPr>
        <w:t>dnia 22 lipca 2016</w:t>
      </w:r>
      <w:r w:rsidR="001D0628">
        <w:rPr>
          <w:rFonts w:ascii="Times New Roman" w:hAnsi="Times New Roman" w:cs="Times New Roman"/>
        </w:rPr>
        <w:t> r.</w:t>
      </w:r>
      <w:r w:rsidR="000C0060" w:rsidRPr="00215A1D">
        <w:rPr>
          <w:rFonts w:ascii="Times New Roman" w:hAnsi="Times New Roman" w:cs="Times New Roman"/>
        </w:rPr>
        <w:t xml:space="preserve"> o zmianie ustawy – Prawo energetyczne ora</w:t>
      </w:r>
      <w:r w:rsidR="001D0628">
        <w:rPr>
          <w:rFonts w:ascii="Times New Roman" w:hAnsi="Times New Roman" w:cs="Times New Roman"/>
        </w:rPr>
        <w:t>z </w:t>
      </w:r>
      <w:r w:rsidR="000C0060" w:rsidRPr="00215A1D">
        <w:rPr>
          <w:rFonts w:ascii="Times New Roman" w:hAnsi="Times New Roman" w:cs="Times New Roman"/>
        </w:rPr>
        <w:t>niektórych innych ustaw, która umożliwia Prezesowi URE egzekwowanie wykonania określonego w tej ustawie obowiązku.</w:t>
      </w:r>
    </w:p>
    <w:p w14:paraId="2E9AC7FA" w14:textId="77777777" w:rsidR="0098717B"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98717B" w:rsidRPr="00215A1D">
        <w:rPr>
          <w:rFonts w:ascii="Times New Roman" w:hAnsi="Times New Roman" w:cs="Times New Roman"/>
        </w:rPr>
        <w:t xml:space="preserve">Proponowany nowy ustęp 2aa w art. 9c ma na celu umożliwienie operatorowi systemu przesyłowego elektroenergetycznego dokonywania odsprzedaży nadwyżki energii elektrycznej zakupionej w celu pokrywania strat sieciowych w związku </w:t>
      </w:r>
      <w:r w:rsidR="001D0628">
        <w:rPr>
          <w:rFonts w:ascii="Times New Roman" w:hAnsi="Times New Roman" w:cs="Times New Roman"/>
        </w:rPr>
        <w:t>z </w:t>
      </w:r>
      <w:r w:rsidR="0098717B" w:rsidRPr="00215A1D">
        <w:rPr>
          <w:rFonts w:ascii="Times New Roman" w:hAnsi="Times New Roman" w:cs="Times New Roman"/>
        </w:rPr>
        <w:t>aktualizacją prognozy zapotrzebowania na tę energię, pod warunkiem dokonywania tych czynności jedynie za pośrednictwem przejrzystych</w:t>
      </w:r>
      <w:r w:rsidR="001D0628">
        <w:rPr>
          <w:rFonts w:ascii="Times New Roman" w:hAnsi="Times New Roman" w:cs="Times New Roman"/>
        </w:rPr>
        <w:t xml:space="preserve"> i </w:t>
      </w:r>
      <w:r w:rsidR="0098717B" w:rsidRPr="00215A1D">
        <w:rPr>
          <w:rFonts w:ascii="Times New Roman" w:hAnsi="Times New Roman" w:cs="Times New Roman"/>
        </w:rPr>
        <w:t>niedyskryminacyjnych procedur udostępnianych prze</w:t>
      </w:r>
      <w:r w:rsidR="001D0628">
        <w:rPr>
          <w:rFonts w:ascii="Times New Roman" w:hAnsi="Times New Roman" w:cs="Times New Roman"/>
        </w:rPr>
        <w:t>z </w:t>
      </w:r>
      <w:r w:rsidR="0098717B" w:rsidRPr="00215A1D">
        <w:rPr>
          <w:rFonts w:ascii="Times New Roman" w:hAnsi="Times New Roman" w:cs="Times New Roman"/>
        </w:rPr>
        <w:t>giełdę towarową, rynek regulowany, zorganizowaną platformę obrotu lub w ramach jednolitego łączenia rynków. Brak takiej możliwości, w przypadku zmiany zapotrzebowania na energię na pokrycie strat sieciowych, spowoduje konieczność wprowadzenia</w:t>
      </w:r>
      <w:r w:rsidR="001D0628">
        <w:rPr>
          <w:rFonts w:ascii="Times New Roman" w:hAnsi="Times New Roman" w:cs="Times New Roman"/>
        </w:rPr>
        <w:t xml:space="preserve"> i </w:t>
      </w:r>
      <w:r w:rsidR="0098717B" w:rsidRPr="00215A1D">
        <w:rPr>
          <w:rFonts w:ascii="Times New Roman" w:hAnsi="Times New Roman" w:cs="Times New Roman"/>
        </w:rPr>
        <w:t>rozliczania nadwyżki tej energii na rynku bilansującym, który co do zasady jest mechanizmem bilansowania technicznego.</w:t>
      </w:r>
    </w:p>
    <w:p w14:paraId="02F69E10" w14:textId="77777777" w:rsidR="0098717B"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98717B" w:rsidRPr="00215A1D">
        <w:rPr>
          <w:rFonts w:ascii="Times New Roman" w:hAnsi="Times New Roman" w:cs="Times New Roman"/>
        </w:rPr>
        <w:t>Projektowana zmiana nie narusza zakazu prowadzenia działalności w zakresie obrotu energią elektryczną prze</w:t>
      </w:r>
      <w:r w:rsidR="001D0628">
        <w:rPr>
          <w:rFonts w:ascii="Times New Roman" w:hAnsi="Times New Roman" w:cs="Times New Roman"/>
        </w:rPr>
        <w:t>z </w:t>
      </w:r>
      <w:r w:rsidR="0098717B" w:rsidRPr="00215A1D">
        <w:rPr>
          <w:rFonts w:ascii="Times New Roman" w:hAnsi="Times New Roman" w:cs="Times New Roman"/>
        </w:rPr>
        <w:t xml:space="preserve">operatora systemu przesyłowego elektroenergetycznego. Możliwość odsprzedaży jest ograniczona wyłącznie do nadwyżki energii elektrycznej zakupionej na potrzeby pokrywania strat sieciowych – a więc możliwość taka nie dotyczy energii elektrycznej zakupionej </w:t>
      </w:r>
      <w:r w:rsidR="001D0628">
        <w:rPr>
          <w:rFonts w:ascii="Times New Roman" w:hAnsi="Times New Roman" w:cs="Times New Roman"/>
        </w:rPr>
        <w:t>z </w:t>
      </w:r>
      <w:r w:rsidR="0098717B" w:rsidRPr="00215A1D">
        <w:rPr>
          <w:rFonts w:ascii="Times New Roman" w:hAnsi="Times New Roman" w:cs="Times New Roman"/>
        </w:rPr>
        <w:t>uprzednio powziętym zamiarem jej odsprzedaży. Proponowana zmiana dotyczyć będzie tylko</w:t>
      </w:r>
      <w:r w:rsidR="001D0628">
        <w:rPr>
          <w:rFonts w:ascii="Times New Roman" w:hAnsi="Times New Roman" w:cs="Times New Roman"/>
        </w:rPr>
        <w:t xml:space="preserve"> i </w:t>
      </w:r>
      <w:r w:rsidR="0098717B" w:rsidRPr="00215A1D">
        <w:rPr>
          <w:rFonts w:ascii="Times New Roman" w:hAnsi="Times New Roman" w:cs="Times New Roman"/>
        </w:rPr>
        <w:t>wyłącznie sytuacji gdy nadwyżka energii elektrycznej powstała w wyniku obiektywnych przesłanek, przede wszystkim w przypadku aktualizacji prognozy strat sieciowych. W celu zapewnienia dodatkowej przejrzystości transakcji odsprzedaży,</w:t>
      </w:r>
      <w:r>
        <w:rPr>
          <w:rFonts w:ascii="Times New Roman" w:hAnsi="Times New Roman" w:cs="Times New Roman"/>
        </w:rPr>
        <w:t xml:space="preserve"> </w:t>
      </w:r>
      <w:r w:rsidR="0098717B" w:rsidRPr="00215A1D">
        <w:rPr>
          <w:rFonts w:ascii="Times New Roman" w:hAnsi="Times New Roman" w:cs="Times New Roman"/>
        </w:rPr>
        <w:t>będą one zawierane wyłącznie na giełdzie towarowej, rynku regulowanym, zorganizowanej platformie obrotu lub w ramach jednolitego łączenia rynków.</w:t>
      </w:r>
    </w:p>
    <w:p w14:paraId="4A1A6FED" w14:textId="77777777" w:rsidR="0098717B"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98717B" w:rsidRPr="00215A1D">
        <w:rPr>
          <w:rFonts w:ascii="Times New Roman" w:hAnsi="Times New Roman" w:cs="Times New Roman"/>
        </w:rPr>
        <w:t>Obowiązująca jeszcze dyrektywa 2009/72/WE , której implementacji służył (między innymi) zmieniany przepis określała jedynie zasady zakupu energii elektrycznej na pokrycie strat sieciowych. Nowa dyrektywa 2019/944</w:t>
      </w:r>
      <w:r>
        <w:rPr>
          <w:rFonts w:ascii="Times New Roman" w:hAnsi="Times New Roman" w:cs="Times New Roman"/>
        </w:rPr>
        <w:t xml:space="preserve"> </w:t>
      </w:r>
      <w:r w:rsidR="0098717B" w:rsidRPr="00215A1D">
        <w:rPr>
          <w:rFonts w:ascii="Times New Roman" w:hAnsi="Times New Roman" w:cs="Times New Roman"/>
        </w:rPr>
        <w:t>ora</w:t>
      </w:r>
      <w:r w:rsidR="001D0628">
        <w:rPr>
          <w:rFonts w:ascii="Times New Roman" w:hAnsi="Times New Roman" w:cs="Times New Roman"/>
        </w:rPr>
        <w:t>z </w:t>
      </w:r>
      <w:r w:rsidR="0098717B" w:rsidRPr="00215A1D">
        <w:rPr>
          <w:rFonts w:ascii="Times New Roman" w:hAnsi="Times New Roman" w:cs="Times New Roman"/>
        </w:rPr>
        <w:t>rozporządzenie 2019/943</w:t>
      </w:r>
      <w:r>
        <w:rPr>
          <w:rFonts w:ascii="Times New Roman" w:hAnsi="Times New Roman" w:cs="Times New Roman"/>
        </w:rPr>
        <w:t xml:space="preserve"> </w:t>
      </w:r>
      <w:r w:rsidR="0098717B" w:rsidRPr="00215A1D">
        <w:rPr>
          <w:rFonts w:ascii="Times New Roman" w:hAnsi="Times New Roman" w:cs="Times New Roman"/>
        </w:rPr>
        <w:t xml:space="preserve">nie regulują ani zagadnienia zakupu, ani odsprzedaży nadwyżek energii elektrycznej zakupionej na potrzeby strat sieciowych. Powyższe nie stoi jednak na przeszkodzie temu, by państwa członkowskie </w:t>
      </w:r>
      <w:r w:rsidR="0098717B" w:rsidRPr="00215A1D">
        <w:rPr>
          <w:rFonts w:ascii="Times New Roman" w:hAnsi="Times New Roman" w:cs="Times New Roman"/>
        </w:rPr>
        <w:lastRenderedPageBreak/>
        <w:t>wprowadziły dodatkowe ograniczenia, jeżeli służą one realizacji celów dyrektywy (zob. wyrok Essent</w:t>
      </w:r>
      <w:r w:rsidR="001D0628">
        <w:rPr>
          <w:rFonts w:ascii="Times New Roman" w:hAnsi="Times New Roman" w:cs="Times New Roman"/>
        </w:rPr>
        <w:t xml:space="preserve"> i </w:t>
      </w:r>
      <w:r w:rsidR="0098717B" w:rsidRPr="00215A1D">
        <w:rPr>
          <w:rFonts w:ascii="Times New Roman" w:hAnsi="Times New Roman" w:cs="Times New Roman"/>
        </w:rPr>
        <w:t>in., C-105/12 do C-107/12, EU:C:2013:677, pkt 64</w:t>
      </w:r>
      <w:r w:rsidR="001D0628">
        <w:rPr>
          <w:rFonts w:ascii="Times New Roman" w:hAnsi="Times New Roman" w:cs="Times New Roman"/>
        </w:rPr>
        <w:t xml:space="preserve"> i </w:t>
      </w:r>
      <w:r w:rsidR="0098717B" w:rsidRPr="00215A1D">
        <w:rPr>
          <w:rFonts w:ascii="Times New Roman" w:hAnsi="Times New Roman" w:cs="Times New Roman"/>
        </w:rPr>
        <w:t>65). W przypadku zmienianego przepisu</w:t>
      </w:r>
      <w:r>
        <w:rPr>
          <w:rFonts w:ascii="Times New Roman" w:hAnsi="Times New Roman" w:cs="Times New Roman"/>
        </w:rPr>
        <w:t xml:space="preserve"> </w:t>
      </w:r>
      <w:r w:rsidR="0098717B" w:rsidRPr="00215A1D">
        <w:rPr>
          <w:rFonts w:ascii="Times New Roman" w:hAnsi="Times New Roman" w:cs="Times New Roman"/>
        </w:rPr>
        <w:t>takim celem jest zapewnienie przejrzystości</w:t>
      </w:r>
      <w:r w:rsidR="001D0628">
        <w:rPr>
          <w:rFonts w:ascii="Times New Roman" w:hAnsi="Times New Roman" w:cs="Times New Roman"/>
        </w:rPr>
        <w:t xml:space="preserve"> i </w:t>
      </w:r>
      <w:r w:rsidR="0098717B" w:rsidRPr="00215A1D">
        <w:rPr>
          <w:rFonts w:ascii="Times New Roman" w:hAnsi="Times New Roman" w:cs="Times New Roman"/>
        </w:rPr>
        <w:t xml:space="preserve">konkurencyjności na rynkach energii elektrycznej. </w:t>
      </w:r>
    </w:p>
    <w:p w14:paraId="04525D36" w14:textId="6FA28227" w:rsidR="00DB0148" w:rsidRDefault="00EF6F97">
      <w:pPr>
        <w:pStyle w:val="ARTartustawynprozporzdzenia"/>
        <w:spacing w:before="0"/>
        <w:ind w:firstLine="0"/>
        <w:rPr>
          <w:rFonts w:ascii="Times New Roman" w:hAnsi="Times New Roman" w:cs="Times New Roman"/>
        </w:rPr>
      </w:pPr>
      <w:r>
        <w:rPr>
          <w:rFonts w:ascii="Times New Roman" w:hAnsi="Times New Roman" w:cs="Times New Roman"/>
        </w:rPr>
        <w:tab/>
      </w:r>
      <w:r w:rsidR="0098717B" w:rsidRPr="00215A1D">
        <w:rPr>
          <w:rFonts w:ascii="Times New Roman" w:hAnsi="Times New Roman" w:cs="Times New Roman"/>
        </w:rPr>
        <w:t>Analogiczne rozwiązania zostały wdrożone w wielu państwach członkowskich Unii Europejskiej, w których za realizację zakupu energii elektrycznej na potrzeby pokrycia strat sieciowych odpowiada operator systemu przesyłowego, w tym Austrii, Chorwacji, Francji, Niemczech, Rumunii</w:t>
      </w:r>
      <w:r w:rsidR="001D0628">
        <w:rPr>
          <w:rFonts w:ascii="Times New Roman" w:hAnsi="Times New Roman" w:cs="Times New Roman"/>
        </w:rPr>
        <w:t xml:space="preserve"> i </w:t>
      </w:r>
      <w:r w:rsidR="0098717B" w:rsidRPr="00215A1D">
        <w:rPr>
          <w:rFonts w:ascii="Times New Roman" w:hAnsi="Times New Roman" w:cs="Times New Roman"/>
        </w:rPr>
        <w:t>Słowenii.</w:t>
      </w:r>
      <w:r w:rsidR="00222469" w:rsidRPr="00222469">
        <w:rPr>
          <w:rFonts w:ascii="Times New Roman" w:hAnsi="Times New Roman" w:cs="Times New Roman"/>
        </w:rPr>
        <w:tab/>
      </w:r>
    </w:p>
    <w:p w14:paraId="626EE8B4" w14:textId="74B52FC9" w:rsidR="003B7594" w:rsidRDefault="003B7594">
      <w:pPr>
        <w:pStyle w:val="ARTartustawynprozporzdzenia"/>
        <w:spacing w:before="0"/>
        <w:ind w:firstLine="0"/>
        <w:rPr>
          <w:rFonts w:ascii="Times New Roman" w:hAnsi="Times New Roman" w:cs="Times New Roman"/>
        </w:rPr>
      </w:pPr>
    </w:p>
    <w:p w14:paraId="3D77C6DA" w14:textId="5B42E29A" w:rsidR="00341F9D" w:rsidRPr="00215A1D" w:rsidRDefault="00EF6F97" w:rsidP="00215A1D">
      <w:pPr>
        <w:pStyle w:val="ARTartustawynprozporzdzenia"/>
        <w:spacing w:before="0"/>
        <w:ind w:firstLine="0"/>
        <w:rPr>
          <w:rFonts w:ascii="Times New Roman" w:hAnsi="Times New Roman" w:cs="Times New Roman"/>
        </w:rPr>
      </w:pPr>
      <w:r>
        <w:rPr>
          <w:rFonts w:ascii="Times New Roman" w:hAnsi="Times New Roman" w:cs="Times New Roman"/>
        </w:rPr>
        <w:tab/>
      </w:r>
      <w:r w:rsidR="00D24A41">
        <w:rPr>
          <w:rFonts w:ascii="Times New Roman" w:hAnsi="Times New Roman" w:cs="Times New Roman"/>
        </w:rPr>
        <w:t>Ad. 20</w:t>
      </w:r>
      <w:r w:rsidR="0065641E" w:rsidRPr="00215A1D">
        <w:rPr>
          <w:rFonts w:ascii="Times New Roman" w:hAnsi="Times New Roman" w:cs="Times New Roman"/>
        </w:rPr>
        <w:t xml:space="preserve">. </w:t>
      </w:r>
      <w:r w:rsidR="00341F9D" w:rsidRPr="00215A1D">
        <w:rPr>
          <w:rFonts w:ascii="Times New Roman" w:hAnsi="Times New Roman" w:cs="Times New Roman"/>
        </w:rPr>
        <w:t xml:space="preserve">Zmiana przepisów epizodycznych w ustawie </w:t>
      </w:r>
      <w:r w:rsidR="001D0628">
        <w:rPr>
          <w:rFonts w:ascii="Times New Roman" w:hAnsi="Times New Roman" w:cs="Times New Roman"/>
        </w:rPr>
        <w:t>z </w:t>
      </w:r>
      <w:r w:rsidR="00341F9D" w:rsidRPr="00215A1D">
        <w:rPr>
          <w:rFonts w:ascii="Times New Roman" w:hAnsi="Times New Roman" w:cs="Times New Roman"/>
        </w:rPr>
        <w:t>dnia 11 maja 2001</w:t>
      </w:r>
      <w:r w:rsidR="001D0628">
        <w:rPr>
          <w:rFonts w:ascii="Times New Roman" w:hAnsi="Times New Roman" w:cs="Times New Roman"/>
        </w:rPr>
        <w:t> r.</w:t>
      </w:r>
      <w:r w:rsidR="00341F9D" w:rsidRPr="00215A1D">
        <w:rPr>
          <w:rFonts w:ascii="Times New Roman" w:hAnsi="Times New Roman" w:cs="Times New Roman"/>
        </w:rPr>
        <w:t xml:space="preserve"> - Prawo o miarach (Dz. U. </w:t>
      </w:r>
      <w:r w:rsidR="001D0628">
        <w:rPr>
          <w:rFonts w:ascii="Times New Roman" w:hAnsi="Times New Roman" w:cs="Times New Roman"/>
        </w:rPr>
        <w:t>z </w:t>
      </w:r>
      <w:r w:rsidR="00341F9D" w:rsidRPr="00215A1D">
        <w:rPr>
          <w:rFonts w:ascii="Times New Roman" w:hAnsi="Times New Roman" w:cs="Times New Roman"/>
        </w:rPr>
        <w:t>2020</w:t>
      </w:r>
      <w:r w:rsidR="001D0628">
        <w:rPr>
          <w:rFonts w:ascii="Times New Roman" w:hAnsi="Times New Roman" w:cs="Times New Roman"/>
        </w:rPr>
        <w:t> r.</w:t>
      </w:r>
      <w:r w:rsidR="00341F9D" w:rsidRPr="00215A1D">
        <w:rPr>
          <w:rFonts w:ascii="Times New Roman" w:hAnsi="Times New Roman" w:cs="Times New Roman"/>
        </w:rPr>
        <w:t xml:space="preserve"> poz. 140, 285</w:t>
      </w:r>
      <w:r w:rsidR="001D0628">
        <w:rPr>
          <w:rFonts w:ascii="Times New Roman" w:hAnsi="Times New Roman" w:cs="Times New Roman"/>
        </w:rPr>
        <w:t xml:space="preserve"> i </w:t>
      </w:r>
      <w:r w:rsidR="00341F9D" w:rsidRPr="00215A1D">
        <w:rPr>
          <w:rFonts w:ascii="Times New Roman" w:hAnsi="Times New Roman" w:cs="Times New Roman"/>
        </w:rPr>
        <w:t>568), dotyczy dodania obok już wprowadzonego poprzednią nowelizacją,</w:t>
      </w:r>
      <w:r>
        <w:rPr>
          <w:rFonts w:ascii="Times New Roman" w:hAnsi="Times New Roman" w:cs="Times New Roman"/>
        </w:rPr>
        <w:t xml:space="preserve"> </w:t>
      </w:r>
      <w:r w:rsidR="00341F9D" w:rsidRPr="00215A1D">
        <w:rPr>
          <w:rFonts w:ascii="Times New Roman" w:hAnsi="Times New Roman" w:cs="Times New Roman"/>
        </w:rPr>
        <w:t>nowego okresu odraczania terminu dokonania legalizacji ponownej</w:t>
      </w:r>
      <w:r w:rsidR="001D0628">
        <w:rPr>
          <w:rFonts w:ascii="Times New Roman" w:hAnsi="Times New Roman" w:cs="Times New Roman"/>
        </w:rPr>
        <w:t xml:space="preserve"> i </w:t>
      </w:r>
      <w:r w:rsidR="00341F9D" w:rsidRPr="00215A1D">
        <w:rPr>
          <w:rFonts w:ascii="Times New Roman" w:hAnsi="Times New Roman" w:cs="Times New Roman"/>
        </w:rPr>
        <w:t>zezwalania na dalsze użytkowanie przyrządów pomiarowych wobec których dokonano takiego odroczenia prze</w:t>
      </w:r>
      <w:r w:rsidR="001D0628">
        <w:rPr>
          <w:rFonts w:ascii="Times New Roman" w:hAnsi="Times New Roman" w:cs="Times New Roman"/>
        </w:rPr>
        <w:t>z </w:t>
      </w:r>
      <w:r w:rsidR="00341F9D" w:rsidRPr="00215A1D">
        <w:rPr>
          <w:rFonts w:ascii="Times New Roman" w:hAnsi="Times New Roman" w:cs="Times New Roman"/>
        </w:rPr>
        <w:t>okres nie dłuższy niż 12 miesięcy. Okres do 6 lub 12 miesięcy wyznaczany będzie mógł być w zależności od sposobu wyrażania ważności okresu legalizacji, liczonej w miesiącach lub latach. Dodano również możliwość odraczania legalizacji ponownej wobec przyrządów pomiarowych, wprowadzonych do obrotu lub użytkowania po dokonaniu oceny zgodności. Obecnie obowiązująca regulacja nie zaspokaja w pełni potrzeb rynku, gdyż wiele grup przyrządów pomiarowych nowo produkowanych ora</w:t>
      </w:r>
      <w:r w:rsidR="001D0628">
        <w:rPr>
          <w:rFonts w:ascii="Times New Roman" w:hAnsi="Times New Roman" w:cs="Times New Roman"/>
        </w:rPr>
        <w:t>z </w:t>
      </w:r>
      <w:r w:rsidR="00341F9D" w:rsidRPr="00215A1D">
        <w:rPr>
          <w:rFonts w:ascii="Times New Roman" w:hAnsi="Times New Roman" w:cs="Times New Roman"/>
        </w:rPr>
        <w:t xml:space="preserve">użytkowanych, zostało wprowadzonych na rynek po dokonaniu oceny zgodności. Aktualnie rozwiązany jest problem wykonywania legalizacji ponownej (art. 26c ustawy Prawo o miarach), który nie uwzględnia przyrządów pomiarowych wprowadzonych do obrotu lub użytkowania po dokonaniu oceny zgodności. Sama zaś ocena zgodności jest, w odróżnieniu od wcześniej występującego zatwierdzenia typu, inną formą wprowadzania na rynek przyrządów pomiarowych. Przepisy w tej materii powinny więc być spójne, a wszystkie przyrządy pomiarowe powinny podlegać tym samym regulacjom. </w:t>
      </w:r>
    </w:p>
    <w:p w14:paraId="371465C6" w14:textId="77777777" w:rsidR="00341F9D"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341F9D" w:rsidRPr="00215A1D">
        <w:rPr>
          <w:rFonts w:ascii="Times New Roman" w:hAnsi="Times New Roman" w:cs="Times New Roman"/>
        </w:rPr>
        <w:t>Nowa redakcja zapisów art. 26c rozwiązuje zidentyfikowany problem przeprowadzania, w warunkach epidemii, legalizacji ponownej przyrządów pomiarowych szczególnie ważnych dla polskiej gospodarki ze względu na ich znaczenia dla funkcjonowania infrastruktury krytycznej państwa ora</w:t>
      </w:r>
      <w:r w:rsidR="001D0628">
        <w:rPr>
          <w:rFonts w:ascii="Times New Roman" w:hAnsi="Times New Roman" w:cs="Times New Roman"/>
        </w:rPr>
        <w:t>z </w:t>
      </w:r>
      <w:r w:rsidR="00341F9D" w:rsidRPr="00215A1D">
        <w:rPr>
          <w:rFonts w:ascii="Times New Roman" w:hAnsi="Times New Roman" w:cs="Times New Roman"/>
        </w:rPr>
        <w:t>przyrządów pomiarowych, w szczególności wykorzystywane w użytkowaniu wszystkich rodzajów mediów. Przyrządy te użytkowane są w masowej skali tj.: gazomierzy, liczników energii elektrycznej, wodomierzy, ciepłomierzy ora</w:t>
      </w:r>
      <w:r w:rsidR="001D0628">
        <w:rPr>
          <w:rFonts w:ascii="Times New Roman" w:hAnsi="Times New Roman" w:cs="Times New Roman"/>
        </w:rPr>
        <w:t>z </w:t>
      </w:r>
      <w:r w:rsidR="00341F9D" w:rsidRPr="00215A1D">
        <w:rPr>
          <w:rFonts w:ascii="Times New Roman" w:hAnsi="Times New Roman" w:cs="Times New Roman"/>
        </w:rPr>
        <w:t xml:space="preserve">ich podzespołów, a ich demontaż aktualnie, w związku </w:t>
      </w:r>
      <w:r w:rsidR="001D0628">
        <w:rPr>
          <w:rFonts w:ascii="Times New Roman" w:hAnsi="Times New Roman" w:cs="Times New Roman"/>
        </w:rPr>
        <w:t>z </w:t>
      </w:r>
      <w:r w:rsidR="00341F9D" w:rsidRPr="00215A1D">
        <w:rPr>
          <w:rFonts w:ascii="Times New Roman" w:hAnsi="Times New Roman" w:cs="Times New Roman"/>
        </w:rPr>
        <w:t xml:space="preserve">ograniczeniami wynikającymi </w:t>
      </w:r>
      <w:r w:rsidR="001D0628">
        <w:rPr>
          <w:rFonts w:ascii="Times New Roman" w:hAnsi="Times New Roman" w:cs="Times New Roman"/>
        </w:rPr>
        <w:t>z </w:t>
      </w:r>
      <w:r w:rsidR="00341F9D" w:rsidRPr="00215A1D">
        <w:rPr>
          <w:rFonts w:ascii="Times New Roman" w:hAnsi="Times New Roman" w:cs="Times New Roman"/>
        </w:rPr>
        <w:t xml:space="preserve">zasad ochrony w okresie pandemii, w celu wykonania legalizacji ponownej nie jest możliwy lub znacznie </w:t>
      </w:r>
      <w:r w:rsidR="00341F9D" w:rsidRPr="00215A1D">
        <w:rPr>
          <w:rFonts w:ascii="Times New Roman" w:hAnsi="Times New Roman" w:cs="Times New Roman"/>
        </w:rPr>
        <w:lastRenderedPageBreak/>
        <w:t>utrudniony. Utrudnienia</w:t>
      </w:r>
      <w:r w:rsidR="001D0628">
        <w:rPr>
          <w:rFonts w:ascii="Times New Roman" w:hAnsi="Times New Roman" w:cs="Times New Roman"/>
        </w:rPr>
        <w:t xml:space="preserve"> i </w:t>
      </w:r>
      <w:r w:rsidR="00341F9D" w:rsidRPr="00215A1D">
        <w:rPr>
          <w:rFonts w:ascii="Times New Roman" w:hAnsi="Times New Roman" w:cs="Times New Roman"/>
        </w:rPr>
        <w:t xml:space="preserve">ograniczenia związane są na przykład </w:t>
      </w:r>
      <w:r w:rsidR="001D0628">
        <w:rPr>
          <w:rFonts w:ascii="Times New Roman" w:hAnsi="Times New Roman" w:cs="Times New Roman"/>
        </w:rPr>
        <w:t>z </w:t>
      </w:r>
      <w:r w:rsidR="00341F9D" w:rsidRPr="00215A1D">
        <w:rPr>
          <w:rFonts w:ascii="Times New Roman" w:hAnsi="Times New Roman" w:cs="Times New Roman"/>
        </w:rPr>
        <w:t>odmową wstępu do mieszkań</w:t>
      </w:r>
      <w:r w:rsidR="001D0628">
        <w:rPr>
          <w:rFonts w:ascii="Times New Roman" w:hAnsi="Times New Roman" w:cs="Times New Roman"/>
        </w:rPr>
        <w:t xml:space="preserve"> i </w:t>
      </w:r>
      <w:r w:rsidR="00341F9D" w:rsidRPr="00215A1D">
        <w:rPr>
          <w:rFonts w:ascii="Times New Roman" w:hAnsi="Times New Roman" w:cs="Times New Roman"/>
        </w:rPr>
        <w:t>domów przedstawicieli podmiotów odpowiedzialnych za demontaż przyrządów pomiarowych.</w:t>
      </w:r>
    </w:p>
    <w:p w14:paraId="249128D6" w14:textId="77777777" w:rsidR="00341F9D" w:rsidRPr="00EF6F97"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341F9D" w:rsidRPr="00215A1D">
        <w:rPr>
          <w:rFonts w:ascii="Times New Roman" w:hAnsi="Times New Roman" w:cs="Times New Roman"/>
        </w:rPr>
        <w:t xml:space="preserve">Ponadto, biorąc pod uwagę treść art. 8k ust. 3 ustawy </w:t>
      </w:r>
      <w:r w:rsidR="001D0628">
        <w:rPr>
          <w:rFonts w:ascii="Times New Roman" w:hAnsi="Times New Roman" w:cs="Times New Roman"/>
        </w:rPr>
        <w:t>z </w:t>
      </w:r>
      <w:r w:rsidR="00341F9D" w:rsidRPr="00215A1D">
        <w:rPr>
          <w:rFonts w:ascii="Times New Roman" w:hAnsi="Times New Roman" w:cs="Times New Roman"/>
        </w:rPr>
        <w:t>dnia 11 maja 2001</w:t>
      </w:r>
      <w:r w:rsidR="001D0628">
        <w:rPr>
          <w:rFonts w:ascii="Times New Roman" w:hAnsi="Times New Roman" w:cs="Times New Roman"/>
        </w:rPr>
        <w:t> r.</w:t>
      </w:r>
      <w:r w:rsidR="00341F9D" w:rsidRPr="00215A1D">
        <w:rPr>
          <w:rFonts w:ascii="Times New Roman" w:hAnsi="Times New Roman" w:cs="Times New Roman"/>
        </w:rPr>
        <w:t xml:space="preserve"> – Prawo o miarach (Dz.</w:t>
      </w:r>
      <w:r>
        <w:rPr>
          <w:rFonts w:ascii="Times New Roman" w:hAnsi="Times New Roman" w:cs="Times New Roman"/>
        </w:rPr>
        <w:t xml:space="preserve"> </w:t>
      </w:r>
      <w:r w:rsidR="00341F9D" w:rsidRPr="00215A1D">
        <w:rPr>
          <w:rFonts w:ascii="Times New Roman" w:hAnsi="Times New Roman" w:cs="Times New Roman"/>
        </w:rPr>
        <w:t>U.</w:t>
      </w:r>
      <w:r>
        <w:rPr>
          <w:rFonts w:ascii="Times New Roman" w:hAnsi="Times New Roman" w:cs="Times New Roman"/>
        </w:rPr>
        <w:t xml:space="preserve"> </w:t>
      </w:r>
      <w:r w:rsidR="001D0628">
        <w:rPr>
          <w:rFonts w:ascii="Times New Roman" w:hAnsi="Times New Roman" w:cs="Times New Roman"/>
        </w:rPr>
        <w:t>z </w:t>
      </w:r>
      <w:r>
        <w:rPr>
          <w:rFonts w:ascii="Times New Roman" w:hAnsi="Times New Roman" w:cs="Times New Roman"/>
        </w:rPr>
        <w:t xml:space="preserve"> </w:t>
      </w:r>
      <w:r w:rsidR="00341F9D" w:rsidRPr="00215A1D">
        <w:rPr>
          <w:rFonts w:ascii="Times New Roman" w:hAnsi="Times New Roman" w:cs="Times New Roman"/>
        </w:rPr>
        <w:t>2020</w:t>
      </w:r>
      <w:r w:rsidR="001D0628">
        <w:rPr>
          <w:rFonts w:ascii="Times New Roman" w:hAnsi="Times New Roman" w:cs="Times New Roman"/>
        </w:rPr>
        <w:t> r.</w:t>
      </w:r>
      <w:r w:rsidR="00341F9D" w:rsidRPr="00215A1D">
        <w:rPr>
          <w:rFonts w:ascii="Times New Roman" w:hAnsi="Times New Roman" w:cs="Times New Roman"/>
        </w:rPr>
        <w:t xml:space="preserve"> poz. 140, 285</w:t>
      </w:r>
      <w:r w:rsidR="001D0628">
        <w:rPr>
          <w:rFonts w:ascii="Times New Roman" w:hAnsi="Times New Roman" w:cs="Times New Roman"/>
        </w:rPr>
        <w:t xml:space="preserve"> i </w:t>
      </w:r>
      <w:r w:rsidR="00341F9D" w:rsidRPr="00215A1D">
        <w:rPr>
          <w:rFonts w:ascii="Times New Roman" w:hAnsi="Times New Roman" w:cs="Times New Roman"/>
        </w:rPr>
        <w:t xml:space="preserve">568), zgodnie </w:t>
      </w:r>
      <w:r w:rsidR="001D0628">
        <w:rPr>
          <w:rFonts w:ascii="Times New Roman" w:hAnsi="Times New Roman" w:cs="Times New Roman"/>
        </w:rPr>
        <w:t>z </w:t>
      </w:r>
      <w:r w:rsidR="00341F9D" w:rsidRPr="00215A1D">
        <w:rPr>
          <w:rFonts w:ascii="Times New Roman" w:hAnsi="Times New Roman" w:cs="Times New Roman"/>
        </w:rPr>
        <w:t>którym termin na zgłoszenie po ra</w:t>
      </w:r>
      <w:r w:rsidR="001D0628">
        <w:rPr>
          <w:rFonts w:ascii="Times New Roman" w:hAnsi="Times New Roman" w:cs="Times New Roman"/>
        </w:rPr>
        <w:t>z </w:t>
      </w:r>
      <w:r w:rsidR="00341F9D" w:rsidRPr="00215A1D">
        <w:rPr>
          <w:rFonts w:ascii="Times New Roman" w:hAnsi="Times New Roman" w:cs="Times New Roman"/>
        </w:rPr>
        <w:t>pierwszy do legalizacji ponownej przyrządu pomiarowego wprowadzonego do obrotu lub użytkowania po dokonaniu oceny zgodności liczy się do pierwszego dnia grudnia roku, którego oznaczenie zostało naniesione na przyrządzie podczas dokonywania tej oceny, dojdzie do skumulowania demontażu</w:t>
      </w:r>
      <w:r w:rsidR="001D0628">
        <w:rPr>
          <w:rFonts w:ascii="Times New Roman" w:hAnsi="Times New Roman" w:cs="Times New Roman"/>
        </w:rPr>
        <w:t xml:space="preserve"> i </w:t>
      </w:r>
      <w:r w:rsidR="00341F9D" w:rsidRPr="00215A1D">
        <w:rPr>
          <w:rFonts w:ascii="Times New Roman" w:hAnsi="Times New Roman" w:cs="Times New Roman"/>
        </w:rPr>
        <w:t xml:space="preserve">instalacji w bardzo krótkim okresie czasu ze względu na wielomiesięczny przestój w realizacji tych działań. Wiąże się to </w:t>
      </w:r>
      <w:r w:rsidR="001D0628">
        <w:rPr>
          <w:rFonts w:ascii="Times New Roman" w:hAnsi="Times New Roman" w:cs="Times New Roman"/>
        </w:rPr>
        <w:t>z </w:t>
      </w:r>
      <w:r w:rsidR="00341F9D" w:rsidRPr="00215A1D">
        <w:rPr>
          <w:rFonts w:ascii="Times New Roman" w:hAnsi="Times New Roman" w:cs="Times New Roman"/>
        </w:rPr>
        <w:t xml:space="preserve">tym, że przedsiębiorstwa, w szczególności te odpowiedzialne za przyrządy pomiarowe mające zastosowanie na szeroką skalę jak np. liczniki energii elektrycznej, rozkładają w czasie, zgodnie </w:t>
      </w:r>
      <w:r w:rsidR="001D0628">
        <w:rPr>
          <w:rFonts w:ascii="Times New Roman" w:hAnsi="Times New Roman" w:cs="Times New Roman"/>
        </w:rPr>
        <w:t>z </w:t>
      </w:r>
      <w:r w:rsidR="00341F9D" w:rsidRPr="00215A1D">
        <w:rPr>
          <w:rFonts w:ascii="Times New Roman" w:hAnsi="Times New Roman" w:cs="Times New Roman"/>
        </w:rPr>
        <w:t>wcześniej określonym harmonogramem, demontaż</w:t>
      </w:r>
      <w:r w:rsidR="001D0628">
        <w:rPr>
          <w:rFonts w:ascii="Times New Roman" w:hAnsi="Times New Roman" w:cs="Times New Roman"/>
        </w:rPr>
        <w:t xml:space="preserve"> i </w:t>
      </w:r>
      <w:r w:rsidR="00341F9D" w:rsidRPr="00215A1D">
        <w:rPr>
          <w:rFonts w:ascii="Times New Roman" w:hAnsi="Times New Roman" w:cs="Times New Roman"/>
        </w:rPr>
        <w:t xml:space="preserve">instalację przyrządów pomiarowych, zarówno ze względów możliwości fizycznych na wykonanie tych czynności jak również ekonomicznych, kierując się przesłanką jak najmniejszego obciążenia kosztami odbiorców końcowych. Na marginesie należy zaznaczyć, że koszty związane </w:t>
      </w:r>
      <w:r w:rsidR="001D0628">
        <w:rPr>
          <w:rFonts w:ascii="Times New Roman" w:hAnsi="Times New Roman" w:cs="Times New Roman"/>
        </w:rPr>
        <w:t>z </w:t>
      </w:r>
      <w:r w:rsidR="00341F9D" w:rsidRPr="00EF6F97">
        <w:rPr>
          <w:rFonts w:ascii="Times New Roman" w:hAnsi="Times New Roman" w:cs="Times New Roman"/>
        </w:rPr>
        <w:t>kupnem</w:t>
      </w:r>
      <w:r w:rsidR="001D0628">
        <w:rPr>
          <w:rFonts w:ascii="Times New Roman" w:hAnsi="Times New Roman" w:cs="Times New Roman"/>
        </w:rPr>
        <w:t xml:space="preserve"> i </w:t>
      </w:r>
      <w:r w:rsidR="00341F9D" w:rsidRPr="00EF6F97">
        <w:rPr>
          <w:rFonts w:ascii="Times New Roman" w:hAnsi="Times New Roman" w:cs="Times New Roman"/>
        </w:rPr>
        <w:t>instalacją albo demontażem liczników energii elektrycznej stanowią koszty uzasadnione, które poprze</w:t>
      </w:r>
      <w:r w:rsidR="001D0628">
        <w:rPr>
          <w:rFonts w:ascii="Times New Roman" w:hAnsi="Times New Roman" w:cs="Times New Roman"/>
        </w:rPr>
        <w:t>z </w:t>
      </w:r>
      <w:r w:rsidR="00341F9D" w:rsidRPr="00EF6F97">
        <w:rPr>
          <w:rFonts w:ascii="Times New Roman" w:hAnsi="Times New Roman" w:cs="Times New Roman"/>
        </w:rPr>
        <w:t>taryfę przedsiębiorstwa energetycznego zajmującego się dystrybucja energii elektrycznej przenoszone są na odbiorcę końcowego. Co więcej koszty te muszą być uzasadnione aby taryfa takiego przedsiębiorstwa została zatwierdzona prze</w:t>
      </w:r>
      <w:r w:rsidR="001D0628">
        <w:rPr>
          <w:rFonts w:ascii="Times New Roman" w:hAnsi="Times New Roman" w:cs="Times New Roman"/>
        </w:rPr>
        <w:t>z </w:t>
      </w:r>
      <w:r w:rsidR="00341F9D" w:rsidRPr="00EF6F97">
        <w:rPr>
          <w:rFonts w:ascii="Times New Roman" w:hAnsi="Times New Roman" w:cs="Times New Roman"/>
        </w:rPr>
        <w:t>regulatora.</w:t>
      </w:r>
    </w:p>
    <w:p w14:paraId="6FD84D4A" w14:textId="77777777" w:rsidR="00341F9D" w:rsidRPr="00EF6F97"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341F9D" w:rsidRPr="00EF6F97">
        <w:rPr>
          <w:rFonts w:ascii="Times New Roman" w:hAnsi="Times New Roman" w:cs="Times New Roman"/>
        </w:rPr>
        <w:t xml:space="preserve">W praktyce postulowane rozwiązania legislacyjne umożliwiają złożenie, do końca 2020 roku, wniosków o odroczenie legalizacji. W związku </w:t>
      </w:r>
      <w:r w:rsidR="001D0628">
        <w:rPr>
          <w:rFonts w:ascii="Times New Roman" w:hAnsi="Times New Roman" w:cs="Times New Roman"/>
        </w:rPr>
        <w:t>z </w:t>
      </w:r>
      <w:r w:rsidR="00341F9D" w:rsidRPr="00EF6F97">
        <w:rPr>
          <w:rFonts w:ascii="Times New Roman" w:hAnsi="Times New Roman" w:cs="Times New Roman"/>
        </w:rPr>
        <w:t>odroczeniem terminów, legalizacja ponowna wykonywana będzie w okresie do 6 lub 12 miesięcy od pierwszego dnia upływu okresu ważności legalizacji przyrządu albo terminu, w którym przyrząd powinien być zgłoszony po ra</w:t>
      </w:r>
      <w:r w:rsidR="001D0628">
        <w:rPr>
          <w:rFonts w:ascii="Times New Roman" w:hAnsi="Times New Roman" w:cs="Times New Roman"/>
        </w:rPr>
        <w:t>z </w:t>
      </w:r>
      <w:r w:rsidR="00341F9D" w:rsidRPr="00EF6F97">
        <w:rPr>
          <w:rFonts w:ascii="Times New Roman" w:hAnsi="Times New Roman" w:cs="Times New Roman"/>
        </w:rPr>
        <w:t xml:space="preserve">pierwszy do legalizacji ponownej po dokonaniu oceny zgodności. </w:t>
      </w:r>
    </w:p>
    <w:p w14:paraId="581A0EE3" w14:textId="77777777" w:rsidR="00341F9D" w:rsidRPr="00EF6F97"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341F9D" w:rsidRPr="00EF6F97">
        <w:rPr>
          <w:rFonts w:ascii="Times New Roman" w:hAnsi="Times New Roman" w:cs="Times New Roman"/>
        </w:rPr>
        <w:t>W nowym brzmieniu dodano również zapis, który wskazuje, iż wniosek o odroczenie legalizacji można złożyć tylko do jednego organu administracji miar. Przepis ten eliminuje możliwość składania tego samego wniosku do wielu organów administracji miar.</w:t>
      </w:r>
      <w:r>
        <w:rPr>
          <w:rFonts w:ascii="Times New Roman" w:hAnsi="Times New Roman" w:cs="Times New Roman"/>
        </w:rPr>
        <w:t xml:space="preserve"> </w:t>
      </w:r>
    </w:p>
    <w:p w14:paraId="7AB9EFCE" w14:textId="77777777" w:rsidR="00341F9D" w:rsidRPr="00EF6F97"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341F9D" w:rsidRPr="00EF6F97">
        <w:rPr>
          <w:rFonts w:ascii="Times New Roman" w:hAnsi="Times New Roman" w:cs="Times New Roman"/>
        </w:rPr>
        <w:t xml:space="preserve">Wprowadzono również zapis zgodnie, </w:t>
      </w:r>
      <w:r w:rsidR="001D0628">
        <w:rPr>
          <w:rFonts w:ascii="Times New Roman" w:hAnsi="Times New Roman" w:cs="Times New Roman"/>
        </w:rPr>
        <w:t>z </w:t>
      </w:r>
      <w:r w:rsidR="00341F9D" w:rsidRPr="00EF6F97">
        <w:rPr>
          <w:rFonts w:ascii="Times New Roman" w:hAnsi="Times New Roman" w:cs="Times New Roman"/>
        </w:rPr>
        <w:t>którym do wniosku o odroczenie legalizacji dołączana będzie klauzula dotycząca odpowiedzialności karnej za składanie fałszywego oświadczenia.</w:t>
      </w:r>
    </w:p>
    <w:p w14:paraId="4A31ADC4" w14:textId="77777777" w:rsidR="00341F9D" w:rsidRPr="00EF6F97"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341F9D" w:rsidRPr="00EF6F97">
        <w:rPr>
          <w:rFonts w:ascii="Times New Roman" w:hAnsi="Times New Roman" w:cs="Times New Roman"/>
        </w:rPr>
        <w:t>W celu zachowania bezpieczeństwa wniosek o odroczenie terminu dokonania legalizacji ponownej ora</w:t>
      </w:r>
      <w:r w:rsidR="001D0628">
        <w:rPr>
          <w:rFonts w:ascii="Times New Roman" w:hAnsi="Times New Roman" w:cs="Times New Roman"/>
        </w:rPr>
        <w:t>z </w:t>
      </w:r>
      <w:r w:rsidR="00341F9D" w:rsidRPr="00EF6F97">
        <w:rPr>
          <w:rFonts w:ascii="Times New Roman" w:hAnsi="Times New Roman" w:cs="Times New Roman"/>
        </w:rPr>
        <w:t xml:space="preserve">oświadczenie, iż od dnia dokonania ostatniej legalizacji albo przeprowadzenia oceny zgodności, nie wprowadzono zmian dotyczących konstrukcji, </w:t>
      </w:r>
      <w:r w:rsidR="00341F9D" w:rsidRPr="00EF6F97">
        <w:rPr>
          <w:rFonts w:ascii="Times New Roman" w:hAnsi="Times New Roman" w:cs="Times New Roman"/>
        </w:rPr>
        <w:lastRenderedPageBreak/>
        <w:t>wykonania</w:t>
      </w:r>
      <w:r w:rsidR="001D0628">
        <w:rPr>
          <w:rFonts w:ascii="Times New Roman" w:hAnsi="Times New Roman" w:cs="Times New Roman"/>
        </w:rPr>
        <w:t xml:space="preserve"> i </w:t>
      </w:r>
      <w:r w:rsidR="00341F9D" w:rsidRPr="00EF6F97">
        <w:rPr>
          <w:rFonts w:ascii="Times New Roman" w:hAnsi="Times New Roman" w:cs="Times New Roman"/>
        </w:rPr>
        <w:t>warunków właściwego stosowania przyrządu pomiarowego</w:t>
      </w:r>
      <w:r w:rsidR="001D0628">
        <w:rPr>
          <w:rFonts w:ascii="Times New Roman" w:hAnsi="Times New Roman" w:cs="Times New Roman"/>
        </w:rPr>
        <w:t xml:space="preserve"> i </w:t>
      </w:r>
      <w:r w:rsidR="00341F9D" w:rsidRPr="00EF6F97">
        <w:rPr>
          <w:rFonts w:ascii="Times New Roman" w:hAnsi="Times New Roman" w:cs="Times New Roman"/>
        </w:rPr>
        <w:t>że spełnia on wymagania, w szczególności w zakresie charakterystyk metrologicznych oraz, że jego dalsze użytkowanie, w ocenie wnioskodawcy, nie stwarza zagrożenia dla wymaganej dokładności pomiarów, a także dla życia lub zdrowia ludzkiego ora</w:t>
      </w:r>
      <w:r w:rsidR="001D0628">
        <w:rPr>
          <w:rFonts w:ascii="Times New Roman" w:hAnsi="Times New Roman" w:cs="Times New Roman"/>
        </w:rPr>
        <w:t>z </w:t>
      </w:r>
      <w:r w:rsidR="00341F9D" w:rsidRPr="00EF6F97">
        <w:rPr>
          <w:rFonts w:ascii="Times New Roman" w:hAnsi="Times New Roman" w:cs="Times New Roman"/>
        </w:rPr>
        <w:t>mienia</w:t>
      </w:r>
      <w:r w:rsidR="001D0628">
        <w:rPr>
          <w:rFonts w:ascii="Times New Roman" w:hAnsi="Times New Roman" w:cs="Times New Roman"/>
        </w:rPr>
        <w:t xml:space="preserve"> i </w:t>
      </w:r>
      <w:r w:rsidR="00341F9D" w:rsidRPr="00EF6F97">
        <w:rPr>
          <w:rFonts w:ascii="Times New Roman" w:hAnsi="Times New Roman" w:cs="Times New Roman"/>
        </w:rPr>
        <w:t xml:space="preserve">środowiska, będą mogły zostać złożone tylko do jednego organu administracji miar pisemnie lub za pomocą środków komunikacji elektronicznej w rozumieniu art. 2 pkt 5 ustawy </w:t>
      </w:r>
      <w:r w:rsidR="001D0628">
        <w:rPr>
          <w:rFonts w:ascii="Times New Roman" w:hAnsi="Times New Roman" w:cs="Times New Roman"/>
        </w:rPr>
        <w:t>z </w:t>
      </w:r>
      <w:r w:rsidR="00341F9D" w:rsidRPr="00EF6F97">
        <w:rPr>
          <w:rFonts w:ascii="Times New Roman" w:hAnsi="Times New Roman" w:cs="Times New Roman"/>
        </w:rPr>
        <w:t>dnia 18 lipca 2002</w:t>
      </w:r>
      <w:r w:rsidR="001D0628">
        <w:rPr>
          <w:rFonts w:ascii="Times New Roman" w:hAnsi="Times New Roman" w:cs="Times New Roman"/>
        </w:rPr>
        <w:t> r.</w:t>
      </w:r>
      <w:r w:rsidR="00341F9D" w:rsidRPr="00EF6F97">
        <w:rPr>
          <w:rFonts w:ascii="Times New Roman" w:hAnsi="Times New Roman" w:cs="Times New Roman"/>
        </w:rPr>
        <w:t xml:space="preserve"> o świadczeniu usług drogą elektroniczną (Dz. U. </w:t>
      </w:r>
      <w:r w:rsidR="001D0628">
        <w:rPr>
          <w:rFonts w:ascii="Times New Roman" w:hAnsi="Times New Roman" w:cs="Times New Roman"/>
        </w:rPr>
        <w:t>z </w:t>
      </w:r>
      <w:r w:rsidR="00341F9D" w:rsidRPr="00EF6F97">
        <w:rPr>
          <w:rFonts w:ascii="Times New Roman" w:hAnsi="Times New Roman" w:cs="Times New Roman"/>
        </w:rPr>
        <w:t>2020</w:t>
      </w:r>
      <w:r w:rsidR="001D0628">
        <w:rPr>
          <w:rFonts w:ascii="Times New Roman" w:hAnsi="Times New Roman" w:cs="Times New Roman"/>
        </w:rPr>
        <w:t> r.</w:t>
      </w:r>
      <w:r w:rsidR="00341F9D" w:rsidRPr="00EF6F97">
        <w:rPr>
          <w:rFonts w:ascii="Times New Roman" w:hAnsi="Times New Roman" w:cs="Times New Roman"/>
        </w:rPr>
        <w:t xml:space="preserve"> poz. 344). Obowiązek złożenia ww. oświadczenia podyktowany jest </w:t>
      </w:r>
      <w:r w:rsidR="001D0628">
        <w:rPr>
          <w:rFonts w:ascii="Times New Roman" w:hAnsi="Times New Roman" w:cs="Times New Roman"/>
        </w:rPr>
        <w:t>z </w:t>
      </w:r>
      <w:r w:rsidR="00341F9D" w:rsidRPr="00EF6F97">
        <w:rPr>
          <w:rFonts w:ascii="Times New Roman" w:hAnsi="Times New Roman" w:cs="Times New Roman"/>
        </w:rPr>
        <w:t xml:space="preserve">kolei potrzebą zapewnienia dokładności pomiarów – jedną </w:t>
      </w:r>
      <w:r w:rsidR="001D0628">
        <w:rPr>
          <w:rFonts w:ascii="Times New Roman" w:hAnsi="Times New Roman" w:cs="Times New Roman"/>
        </w:rPr>
        <w:t>z </w:t>
      </w:r>
      <w:r w:rsidR="00341F9D" w:rsidRPr="00EF6F97">
        <w:rPr>
          <w:rFonts w:ascii="Times New Roman" w:hAnsi="Times New Roman" w:cs="Times New Roman"/>
        </w:rPr>
        <w:t xml:space="preserve">podstawowych zasad wyrażonych w ustawie </w:t>
      </w:r>
      <w:r w:rsidR="001D0628">
        <w:rPr>
          <w:rFonts w:ascii="Times New Roman" w:hAnsi="Times New Roman" w:cs="Times New Roman"/>
        </w:rPr>
        <w:t>z </w:t>
      </w:r>
      <w:r w:rsidR="00341F9D" w:rsidRPr="00EF6F97">
        <w:rPr>
          <w:rFonts w:ascii="Times New Roman" w:hAnsi="Times New Roman" w:cs="Times New Roman"/>
        </w:rPr>
        <w:t>dnia 11 maja 2001</w:t>
      </w:r>
      <w:r w:rsidR="001D0628">
        <w:rPr>
          <w:rFonts w:ascii="Times New Roman" w:hAnsi="Times New Roman" w:cs="Times New Roman"/>
        </w:rPr>
        <w:t> r.</w:t>
      </w:r>
      <w:r w:rsidR="00341F9D" w:rsidRPr="00EF6F97">
        <w:rPr>
          <w:rFonts w:ascii="Times New Roman" w:hAnsi="Times New Roman" w:cs="Times New Roman"/>
        </w:rPr>
        <w:t xml:space="preserve"> - Prawo o miarach (Dz. U. </w:t>
      </w:r>
      <w:r w:rsidR="001D0628">
        <w:rPr>
          <w:rFonts w:ascii="Times New Roman" w:hAnsi="Times New Roman" w:cs="Times New Roman"/>
        </w:rPr>
        <w:t>z </w:t>
      </w:r>
      <w:r w:rsidR="00341F9D" w:rsidRPr="00EF6F97">
        <w:rPr>
          <w:rFonts w:ascii="Times New Roman" w:hAnsi="Times New Roman" w:cs="Times New Roman"/>
        </w:rPr>
        <w:t>2020</w:t>
      </w:r>
      <w:r w:rsidR="001D0628">
        <w:rPr>
          <w:rFonts w:ascii="Times New Roman" w:hAnsi="Times New Roman" w:cs="Times New Roman"/>
        </w:rPr>
        <w:t> r.</w:t>
      </w:r>
      <w:r w:rsidR="00341F9D" w:rsidRPr="00EF6F97">
        <w:rPr>
          <w:rFonts w:ascii="Times New Roman" w:hAnsi="Times New Roman" w:cs="Times New Roman"/>
        </w:rPr>
        <w:t xml:space="preserve"> poz. 140, 285</w:t>
      </w:r>
      <w:r w:rsidR="001D0628">
        <w:rPr>
          <w:rFonts w:ascii="Times New Roman" w:hAnsi="Times New Roman" w:cs="Times New Roman"/>
        </w:rPr>
        <w:t xml:space="preserve"> i </w:t>
      </w:r>
      <w:r w:rsidR="00341F9D" w:rsidRPr="00EF6F97">
        <w:rPr>
          <w:rFonts w:ascii="Times New Roman" w:hAnsi="Times New Roman" w:cs="Times New Roman"/>
        </w:rPr>
        <w:t>568). Dodatkowo, oświadczenie, o którym mowa powyżej, będzie składane pod rygorem odpowiedzialności karnej co jest powszechnie stosowanym zabiegiem w prawie. W celu usunięcia pojawiających się wątpliwości interpretacyjnych dookreślono, że odroczenie terminu dokonania legalizacji ponownej</w:t>
      </w:r>
      <w:r w:rsidR="001D0628">
        <w:rPr>
          <w:rFonts w:ascii="Times New Roman" w:hAnsi="Times New Roman" w:cs="Times New Roman"/>
        </w:rPr>
        <w:t xml:space="preserve"> i </w:t>
      </w:r>
      <w:r w:rsidR="00341F9D" w:rsidRPr="00EF6F97">
        <w:rPr>
          <w:rFonts w:ascii="Times New Roman" w:hAnsi="Times New Roman" w:cs="Times New Roman"/>
        </w:rPr>
        <w:t>zezwolenie na dalsze użytkowanie na warunkach określonych w projekcie następuje w drodze decyzji administracyjnej, wydanej w terminie 30 dni od dnia złożenia wniosku, a za czynności wydania takiej decyzji nie pobiera się opłaty. Odroczenie</w:t>
      </w:r>
      <w:r w:rsidR="001D0628">
        <w:rPr>
          <w:rFonts w:ascii="Times New Roman" w:hAnsi="Times New Roman" w:cs="Times New Roman"/>
        </w:rPr>
        <w:t xml:space="preserve"> i </w:t>
      </w:r>
      <w:r w:rsidR="00341F9D" w:rsidRPr="00EF6F97">
        <w:rPr>
          <w:rFonts w:ascii="Times New Roman" w:hAnsi="Times New Roman" w:cs="Times New Roman"/>
        </w:rPr>
        <w:t>zezwolenie na dalsze użytkowanie będzie liczone są od pierwszego dnia upływu okresu ważności legalizacji przyrządu albo terminu, w którym przyrząd powinien być zgłoszony po ra</w:t>
      </w:r>
      <w:r w:rsidR="001D0628">
        <w:rPr>
          <w:rFonts w:ascii="Times New Roman" w:hAnsi="Times New Roman" w:cs="Times New Roman"/>
        </w:rPr>
        <w:t>z </w:t>
      </w:r>
      <w:r w:rsidR="00341F9D" w:rsidRPr="00EF6F97">
        <w:rPr>
          <w:rFonts w:ascii="Times New Roman" w:hAnsi="Times New Roman" w:cs="Times New Roman"/>
        </w:rPr>
        <w:t>pierwszy do legalizacji ponownej po dokonaniu oceny zgodności. Niniejszy zabieg pozwoli na równe traktowanie przedsiębiorców w zaistniałych okolicznościach ora</w:t>
      </w:r>
      <w:r w:rsidR="001D0628">
        <w:rPr>
          <w:rFonts w:ascii="Times New Roman" w:hAnsi="Times New Roman" w:cs="Times New Roman"/>
        </w:rPr>
        <w:t>z </w:t>
      </w:r>
      <w:r w:rsidR="00341F9D" w:rsidRPr="00EF6F97">
        <w:rPr>
          <w:rFonts w:ascii="Times New Roman" w:hAnsi="Times New Roman" w:cs="Times New Roman"/>
        </w:rPr>
        <w:t xml:space="preserve">stanowi wypełnienie zasady, zgodnie </w:t>
      </w:r>
      <w:r w:rsidR="001D0628">
        <w:rPr>
          <w:rFonts w:ascii="Times New Roman" w:hAnsi="Times New Roman" w:cs="Times New Roman"/>
        </w:rPr>
        <w:t>z </w:t>
      </w:r>
      <w:r w:rsidR="00341F9D" w:rsidRPr="00EF6F97">
        <w:rPr>
          <w:rFonts w:ascii="Times New Roman" w:hAnsi="Times New Roman" w:cs="Times New Roman"/>
        </w:rPr>
        <w:t>którą legalizacja dotyczy indywidualnych przyrządów pomiarowych</w:t>
      </w:r>
      <w:r w:rsidR="001D0628">
        <w:rPr>
          <w:rFonts w:ascii="Times New Roman" w:hAnsi="Times New Roman" w:cs="Times New Roman"/>
        </w:rPr>
        <w:t xml:space="preserve"> i </w:t>
      </w:r>
      <w:r w:rsidR="00341F9D" w:rsidRPr="00EF6F97">
        <w:rPr>
          <w:rFonts w:ascii="Times New Roman" w:hAnsi="Times New Roman" w:cs="Times New Roman"/>
        </w:rPr>
        <w:t>ich okresów.</w:t>
      </w:r>
    </w:p>
    <w:p w14:paraId="77EE4E19" w14:textId="6A9FAC80" w:rsidR="00DB0148" w:rsidRDefault="00EF6F97" w:rsidP="001C092A">
      <w:pPr>
        <w:pStyle w:val="ARTartustawynprozporzdzenia"/>
        <w:spacing w:before="0"/>
        <w:rPr>
          <w:rFonts w:ascii="Times New Roman" w:hAnsi="Times New Roman" w:cs="Times New Roman"/>
        </w:rPr>
      </w:pPr>
      <w:r>
        <w:rPr>
          <w:rFonts w:ascii="Times New Roman" w:hAnsi="Times New Roman" w:cs="Times New Roman"/>
        </w:rPr>
        <w:tab/>
      </w:r>
      <w:r w:rsidR="00CD674B">
        <w:rPr>
          <w:rFonts w:ascii="Times New Roman" w:hAnsi="Times New Roman" w:cs="Times New Roman"/>
        </w:rPr>
        <w:t xml:space="preserve">Przepisy </w:t>
      </w:r>
      <w:r w:rsidR="00341F9D" w:rsidRPr="00EF6F97">
        <w:rPr>
          <w:rFonts w:ascii="Times New Roman" w:hAnsi="Times New Roman" w:cs="Times New Roman"/>
        </w:rPr>
        <w:t>dotycząc</w:t>
      </w:r>
      <w:r w:rsidR="00CD674B">
        <w:rPr>
          <w:rFonts w:ascii="Times New Roman" w:hAnsi="Times New Roman" w:cs="Times New Roman"/>
        </w:rPr>
        <w:t>e</w:t>
      </w:r>
      <w:r w:rsidR="00341F9D" w:rsidRPr="00EF6F97">
        <w:rPr>
          <w:rFonts w:ascii="Times New Roman" w:hAnsi="Times New Roman" w:cs="Times New Roman"/>
        </w:rPr>
        <w:t xml:space="preserve"> decyzji administracyjnej związan</w:t>
      </w:r>
      <w:r w:rsidR="00CD674B">
        <w:rPr>
          <w:rFonts w:ascii="Times New Roman" w:hAnsi="Times New Roman" w:cs="Times New Roman"/>
        </w:rPr>
        <w:t>e</w:t>
      </w:r>
      <w:r w:rsidR="00341F9D" w:rsidRPr="00EF6F97">
        <w:rPr>
          <w:rFonts w:ascii="Times New Roman" w:hAnsi="Times New Roman" w:cs="Times New Roman"/>
        </w:rPr>
        <w:t xml:space="preserve"> ze zwolnieniem </w:t>
      </w:r>
      <w:r w:rsidR="001D0628">
        <w:rPr>
          <w:rFonts w:ascii="Times New Roman" w:hAnsi="Times New Roman" w:cs="Times New Roman"/>
        </w:rPr>
        <w:t>z </w:t>
      </w:r>
      <w:r w:rsidR="00341F9D" w:rsidRPr="00EF6F97">
        <w:rPr>
          <w:rFonts w:ascii="Times New Roman" w:hAnsi="Times New Roman" w:cs="Times New Roman"/>
        </w:rPr>
        <w:t>opłat w jednoznaczny sposób wskazują, iż decyzja administracyjna wydawana jest be</w:t>
      </w:r>
      <w:r w:rsidR="001D0628">
        <w:rPr>
          <w:rFonts w:ascii="Times New Roman" w:hAnsi="Times New Roman" w:cs="Times New Roman"/>
        </w:rPr>
        <w:t>z</w:t>
      </w:r>
      <w:r w:rsidR="00D75ED4">
        <w:rPr>
          <w:rFonts w:ascii="Times New Roman" w:hAnsi="Times New Roman" w:cs="Times New Roman"/>
        </w:rPr>
        <w:t xml:space="preserve"> ponoszenia</w:t>
      </w:r>
      <w:r w:rsidR="001D0628">
        <w:rPr>
          <w:rFonts w:ascii="Times New Roman" w:hAnsi="Times New Roman" w:cs="Times New Roman"/>
        </w:rPr>
        <w:t> </w:t>
      </w:r>
      <w:r w:rsidR="00341F9D" w:rsidRPr="00EF6F97">
        <w:rPr>
          <w:rFonts w:ascii="Times New Roman" w:hAnsi="Times New Roman" w:cs="Times New Roman"/>
        </w:rPr>
        <w:t>opłat. Regulacja ta nie ma wpływu na późniejsze pobieranie opłat za wykonanie legalizacji ponownej.</w:t>
      </w:r>
    </w:p>
    <w:p w14:paraId="35754315" w14:textId="77777777" w:rsidR="00DB0148" w:rsidRDefault="00DB0148" w:rsidP="001C092A">
      <w:pPr>
        <w:pStyle w:val="ARTartustawynprozporzdzenia"/>
        <w:spacing w:before="0"/>
        <w:rPr>
          <w:rFonts w:ascii="Times New Roman" w:hAnsi="Times New Roman" w:cs="Times New Roman"/>
        </w:rPr>
      </w:pPr>
    </w:p>
    <w:p w14:paraId="7F7758DA" w14:textId="0C3702DB" w:rsidR="00DB0148" w:rsidRPr="00DB0148" w:rsidRDefault="00DB0148" w:rsidP="001C092A">
      <w:pPr>
        <w:pStyle w:val="ARTartustawynprozporzdzenia"/>
        <w:spacing w:before="0"/>
        <w:rPr>
          <w:rFonts w:ascii="Times New Roman" w:hAnsi="Times New Roman" w:cs="Times New Roman"/>
        </w:rPr>
      </w:pPr>
      <w:r>
        <w:rPr>
          <w:rFonts w:ascii="Times New Roman" w:hAnsi="Times New Roman" w:cs="Times New Roman"/>
        </w:rPr>
        <w:t xml:space="preserve">Ad. 21. </w:t>
      </w:r>
      <w:r w:rsidRPr="00DB0148">
        <w:rPr>
          <w:rFonts w:ascii="Times New Roman" w:hAnsi="Times New Roman" w:cs="Times New Roman"/>
        </w:rPr>
        <w:t>Projekt wprowadza zmiany w ustawie z dnia 14 grudnia 2018 r. o promowaniu energii elektrycznej z wysokosprawnej kogeneracji (Dz. U. z 2020 r. poz. 250 i 843). Przyjęcie proponowanych zmian usprawni i uczyni bardziej przejrzystym i spójnym z odrębnymi przepisami, proces dopuszczenia do aukcji lub naboru, co powinno przełożyć się na wzrost liczby ofert inwestorów na premię kogeneracyjną i premię kogeneracyjną indywidualną, a tym samym na realizację celów ustawy.</w:t>
      </w:r>
    </w:p>
    <w:p w14:paraId="20989577" w14:textId="77777777" w:rsidR="00DB0148" w:rsidRPr="00DB0148" w:rsidRDefault="00DB0148" w:rsidP="00DB0148">
      <w:pPr>
        <w:pStyle w:val="ARTartustawynprozporzdzenia"/>
        <w:rPr>
          <w:rFonts w:ascii="Times New Roman" w:hAnsi="Times New Roman" w:cs="Times New Roman"/>
        </w:rPr>
      </w:pPr>
      <w:r w:rsidRPr="00DB0148">
        <w:rPr>
          <w:rFonts w:ascii="Times New Roman" w:hAnsi="Times New Roman" w:cs="Times New Roman"/>
        </w:rPr>
        <w:lastRenderedPageBreak/>
        <w:t>Proponowane zmiany nie są sprzeczne z postanowieniami Decyzji Komisji Europejskiej w sprawie SA.51192 (2019/N) dotyczącej zatwierdzenia polskiego mechanizmu wsparcia energii elektrycznej z wysokosprawnej kogeneracji, toteż nie podlegają zgłoszeniu i ocenie Komisji Europejskiej pod kątem zgodności z warunkami dopuszczalności pomocy publicznej, określonymi w przepisach unijnych.</w:t>
      </w:r>
    </w:p>
    <w:p w14:paraId="27B371FC" w14:textId="08DF948B" w:rsidR="00DB0148" w:rsidRPr="00EF6F97" w:rsidRDefault="00DB0148" w:rsidP="001C092A">
      <w:pPr>
        <w:pStyle w:val="ARTartustawynprozporzdzenia"/>
        <w:rPr>
          <w:rFonts w:ascii="Times New Roman" w:hAnsi="Times New Roman" w:cs="Times New Roman"/>
        </w:rPr>
      </w:pPr>
      <w:r w:rsidRPr="00DB0148">
        <w:rPr>
          <w:rFonts w:ascii="Times New Roman" w:hAnsi="Times New Roman" w:cs="Times New Roman"/>
        </w:rPr>
        <w:t>Proponowane przepisy nie zmieniają zasad udzielania wsparcia dla energii elektrycznej z wysokosprawnej kogeneracji, nie wpływają na zmianę prognozowanych kosztów obowiązującego mechanizmu wsparcia i nie powodują wzrostu obciążeń odbiorców energii elektrycznej i ciepła. Jednocześnie pozwolą zoptymalizować koszty przygotowania inwestycji u inwestorów, zwiększyć przejrzystość regulacji i ograniczą ryzyka, które mogą spowodować niezrealizowanie założeń, co do celów i efektów modernizacji polskiego sektora ciepłowniczego i przekształcania systemów w efektywne systemy ciepłownicze.</w:t>
      </w:r>
      <w:r>
        <w:rPr>
          <w:rFonts w:ascii="Times New Roman" w:hAnsi="Times New Roman" w:cs="Times New Roman"/>
        </w:rPr>
        <w:t xml:space="preserve"> </w:t>
      </w:r>
      <w:r w:rsidRPr="00DB0148">
        <w:rPr>
          <w:rFonts w:ascii="Times New Roman" w:hAnsi="Times New Roman" w:cs="Times New Roman"/>
        </w:rPr>
        <w:t>Celowi temu służy również możliwość zastosowania zmienionych przepisów już w naborze ogłoszonym w 2020 r., co powinno przyczynić się do lepszego wykorzystania środków zaplanowanych na promowanie energii elektrycznej z wysokosprawnej kogeneracji.</w:t>
      </w:r>
    </w:p>
    <w:p w14:paraId="4118E4B3" w14:textId="77777777" w:rsidR="00085870" w:rsidRPr="00EF6F97" w:rsidRDefault="008D4F44"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085870" w:rsidRPr="00EF6F97">
        <w:rPr>
          <w:rFonts w:ascii="Times New Roman" w:hAnsi="Times New Roman" w:cs="Times New Roman"/>
          <w:sz w:val="24"/>
          <w:szCs w:val="24"/>
        </w:rPr>
        <w:t xml:space="preserve">Projekt jest zgodny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prawem Unii Europejskiej.</w:t>
      </w:r>
    </w:p>
    <w:p w14:paraId="730A7E2B" w14:textId="77777777" w:rsidR="00085870" w:rsidRPr="00EF6F97" w:rsidRDefault="008D4F44"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085870" w:rsidRPr="00EF6F97">
        <w:rPr>
          <w:rFonts w:ascii="Times New Roman" w:hAnsi="Times New Roman" w:cs="Times New Roman"/>
          <w:sz w:val="24"/>
          <w:szCs w:val="24"/>
        </w:rPr>
        <w:t xml:space="preserve">Projekt ustawy nie zawiera przepisów technicznych w rozumieniu przepisów rozporządzenia Rady Ministrów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dnia 23 grudnia 2002</w:t>
      </w:r>
      <w:r w:rsidR="001D0628">
        <w:rPr>
          <w:rFonts w:ascii="Times New Roman" w:hAnsi="Times New Roman" w:cs="Times New Roman"/>
          <w:sz w:val="24"/>
          <w:szCs w:val="24"/>
        </w:rPr>
        <w:t> r.</w:t>
      </w:r>
      <w:r w:rsidR="00085870" w:rsidRPr="00EF6F97">
        <w:rPr>
          <w:rFonts w:ascii="Times New Roman" w:hAnsi="Times New Roman" w:cs="Times New Roman"/>
          <w:sz w:val="24"/>
          <w:szCs w:val="24"/>
        </w:rPr>
        <w:t xml:space="preserve"> w sprawie funkcjonowania krajowego systemu notyfikacji norm</w:t>
      </w:r>
      <w:r w:rsidR="001D0628">
        <w:rPr>
          <w:rFonts w:ascii="Times New Roman" w:hAnsi="Times New Roman" w:cs="Times New Roman"/>
          <w:sz w:val="24"/>
          <w:szCs w:val="24"/>
        </w:rPr>
        <w:t xml:space="preserve"> i </w:t>
      </w:r>
      <w:r w:rsidR="00085870" w:rsidRPr="00EF6F97">
        <w:rPr>
          <w:rFonts w:ascii="Times New Roman" w:hAnsi="Times New Roman" w:cs="Times New Roman"/>
          <w:sz w:val="24"/>
          <w:szCs w:val="24"/>
        </w:rPr>
        <w:t>aktów prawnych (Dz. U. Nr 239 poz. 2039 ora</w:t>
      </w:r>
      <w:r w:rsidR="001D0628">
        <w:rPr>
          <w:rFonts w:ascii="Times New Roman" w:hAnsi="Times New Roman" w:cs="Times New Roman"/>
          <w:sz w:val="24"/>
          <w:szCs w:val="24"/>
        </w:rPr>
        <w:t>z z </w:t>
      </w:r>
      <w:r w:rsidR="00085870" w:rsidRPr="00EF6F97">
        <w:rPr>
          <w:rFonts w:ascii="Times New Roman" w:hAnsi="Times New Roman" w:cs="Times New Roman"/>
          <w:sz w:val="24"/>
          <w:szCs w:val="24"/>
        </w:rPr>
        <w:t>2004</w:t>
      </w:r>
      <w:r w:rsidR="001D0628">
        <w:rPr>
          <w:rFonts w:ascii="Times New Roman" w:hAnsi="Times New Roman" w:cs="Times New Roman"/>
          <w:sz w:val="24"/>
          <w:szCs w:val="24"/>
        </w:rPr>
        <w:t> r.</w:t>
      </w:r>
      <w:r w:rsidR="00085870" w:rsidRPr="00EF6F97">
        <w:rPr>
          <w:rFonts w:ascii="Times New Roman" w:hAnsi="Times New Roman" w:cs="Times New Roman"/>
          <w:sz w:val="24"/>
          <w:szCs w:val="24"/>
        </w:rPr>
        <w:t xml:space="preserve"> Nr 65 poz. 597)</w:t>
      </w:r>
      <w:r w:rsidR="001D0628">
        <w:rPr>
          <w:rFonts w:ascii="Times New Roman" w:hAnsi="Times New Roman" w:cs="Times New Roman"/>
          <w:sz w:val="24"/>
          <w:szCs w:val="24"/>
        </w:rPr>
        <w:t xml:space="preserve"> i </w:t>
      </w:r>
      <w:r w:rsidR="00085870" w:rsidRPr="00EF6F97">
        <w:rPr>
          <w:rFonts w:ascii="Times New Roman" w:hAnsi="Times New Roman" w:cs="Times New Roman"/>
          <w:sz w:val="24"/>
          <w:szCs w:val="24"/>
        </w:rPr>
        <w:t xml:space="preserve">w związku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tym nie podlega w tym zakresie notyfikacji Komisji Europejskiej.</w:t>
      </w:r>
    </w:p>
    <w:p w14:paraId="74971AF9" w14:textId="77777777" w:rsidR="00085870" w:rsidRPr="00EF6F97" w:rsidRDefault="008D4F44"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085870" w:rsidRPr="00EF6F97">
        <w:rPr>
          <w:rFonts w:ascii="Times New Roman" w:hAnsi="Times New Roman" w:cs="Times New Roman"/>
          <w:sz w:val="24"/>
          <w:szCs w:val="24"/>
        </w:rPr>
        <w:t xml:space="preserve">Zgodnie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 xml:space="preserve">art. 5 ustawy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dnia 7 lipca 2005</w:t>
      </w:r>
      <w:r w:rsidR="001D0628">
        <w:rPr>
          <w:rFonts w:ascii="Times New Roman" w:hAnsi="Times New Roman" w:cs="Times New Roman"/>
          <w:sz w:val="24"/>
          <w:szCs w:val="24"/>
        </w:rPr>
        <w:t> r.</w:t>
      </w:r>
      <w:r w:rsidR="00085870" w:rsidRPr="00EF6F97">
        <w:rPr>
          <w:rFonts w:ascii="Times New Roman" w:hAnsi="Times New Roman" w:cs="Times New Roman"/>
          <w:sz w:val="24"/>
          <w:szCs w:val="24"/>
        </w:rPr>
        <w:t xml:space="preserve"> o działalności lobbingowej w procesie stanowienia prawa (Dz. U.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2017 poz. 248), p</w:t>
      </w:r>
      <w:r w:rsidR="00215A1D">
        <w:rPr>
          <w:rFonts w:ascii="Times New Roman" w:hAnsi="Times New Roman" w:cs="Times New Roman"/>
          <w:sz w:val="24"/>
          <w:szCs w:val="24"/>
        </w:rPr>
        <w:t>rojekt został</w:t>
      </w:r>
      <w:r w:rsidR="00085870" w:rsidRPr="00EF6F97">
        <w:rPr>
          <w:rFonts w:ascii="Times New Roman" w:hAnsi="Times New Roman" w:cs="Times New Roman"/>
          <w:sz w:val="24"/>
          <w:szCs w:val="24"/>
        </w:rPr>
        <w:t xml:space="preserve"> umieszczony w Biuletynie Informacji Publicznej Rządowego Centrum Legislacji</w:t>
      </w:r>
      <w:r w:rsidR="00215A1D">
        <w:rPr>
          <w:rFonts w:ascii="Times New Roman" w:hAnsi="Times New Roman" w:cs="Times New Roman"/>
          <w:sz w:val="24"/>
          <w:szCs w:val="24"/>
        </w:rPr>
        <w:t xml:space="preserve"> oraz </w:t>
      </w:r>
      <w:r w:rsidR="00085870" w:rsidRPr="00EF6F97">
        <w:rPr>
          <w:rFonts w:ascii="Times New Roman" w:hAnsi="Times New Roman" w:cs="Times New Roman"/>
          <w:sz w:val="24"/>
          <w:szCs w:val="24"/>
        </w:rPr>
        <w:t>przekazany do uzgodnień międzyresortowych</w:t>
      </w:r>
      <w:r w:rsidR="00215A1D">
        <w:rPr>
          <w:rFonts w:ascii="Times New Roman" w:hAnsi="Times New Roman" w:cs="Times New Roman"/>
          <w:sz w:val="24"/>
          <w:szCs w:val="24"/>
        </w:rPr>
        <w:t xml:space="preserve"> i konsultacji publicznych w październiku 2018 r</w:t>
      </w:r>
      <w:r w:rsidR="00085870" w:rsidRPr="00EF6F97">
        <w:rPr>
          <w:rFonts w:ascii="Times New Roman" w:hAnsi="Times New Roman" w:cs="Times New Roman"/>
          <w:sz w:val="24"/>
          <w:szCs w:val="24"/>
        </w:rPr>
        <w:t xml:space="preserve">. </w:t>
      </w:r>
    </w:p>
    <w:p w14:paraId="63F2BD43" w14:textId="77777777" w:rsidR="00F1576E" w:rsidRPr="00EF6F97" w:rsidRDefault="008D4F44"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085870" w:rsidRPr="00EF6F97">
        <w:rPr>
          <w:rFonts w:ascii="Times New Roman" w:hAnsi="Times New Roman" w:cs="Times New Roman"/>
          <w:sz w:val="24"/>
          <w:szCs w:val="24"/>
        </w:rPr>
        <w:t xml:space="preserve">Projekt </w:t>
      </w:r>
      <w:r w:rsidR="00AF3458" w:rsidRPr="00EF6F97">
        <w:rPr>
          <w:rFonts w:ascii="Times New Roman" w:hAnsi="Times New Roman" w:cs="Times New Roman"/>
          <w:sz w:val="24"/>
          <w:szCs w:val="24"/>
        </w:rPr>
        <w:t>ustawy</w:t>
      </w:r>
      <w:r w:rsidR="00085870" w:rsidRPr="00EF6F97">
        <w:rPr>
          <w:rFonts w:ascii="Times New Roman" w:hAnsi="Times New Roman" w:cs="Times New Roman"/>
          <w:sz w:val="24"/>
          <w:szCs w:val="24"/>
        </w:rPr>
        <w:t xml:space="preserve"> nie wymaga przedstawienia organom</w:t>
      </w:r>
      <w:r w:rsidR="001D0628">
        <w:rPr>
          <w:rFonts w:ascii="Times New Roman" w:hAnsi="Times New Roman" w:cs="Times New Roman"/>
          <w:sz w:val="24"/>
          <w:szCs w:val="24"/>
        </w:rPr>
        <w:t xml:space="preserve"> i </w:t>
      </w:r>
      <w:r w:rsidR="00085870" w:rsidRPr="00EF6F97">
        <w:rPr>
          <w:rFonts w:ascii="Times New Roman" w:hAnsi="Times New Roman" w:cs="Times New Roman"/>
          <w:sz w:val="24"/>
          <w:szCs w:val="24"/>
        </w:rPr>
        <w:t xml:space="preserve">instytucjom Unii Europejskiej, w tym Europejskiemu Bankowi Centralnemu, w celu uzyskania opinii, dokonania powiadomienia, konsultacji albo uzgodnienia, zgodnie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 xml:space="preserve">§ 27 ust 4 uchwały nr 190 Rady Ministrów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dnia 29 października 2013</w:t>
      </w:r>
      <w:r w:rsidR="001D0628">
        <w:rPr>
          <w:rFonts w:ascii="Times New Roman" w:hAnsi="Times New Roman" w:cs="Times New Roman"/>
          <w:sz w:val="24"/>
          <w:szCs w:val="24"/>
        </w:rPr>
        <w:t> r.</w:t>
      </w:r>
      <w:r w:rsidR="00085870" w:rsidRPr="00EF6F97">
        <w:rPr>
          <w:rFonts w:ascii="Times New Roman" w:hAnsi="Times New Roman" w:cs="Times New Roman"/>
          <w:sz w:val="24"/>
          <w:szCs w:val="24"/>
        </w:rPr>
        <w:t xml:space="preserve"> - Regulamin pracy Rady Ministrów (M.P.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2016</w:t>
      </w:r>
      <w:r w:rsidR="001D0628">
        <w:rPr>
          <w:rFonts w:ascii="Times New Roman" w:hAnsi="Times New Roman" w:cs="Times New Roman"/>
          <w:sz w:val="24"/>
          <w:szCs w:val="24"/>
        </w:rPr>
        <w:t> r.</w:t>
      </w:r>
      <w:r w:rsidR="00085870" w:rsidRPr="00EF6F97">
        <w:rPr>
          <w:rFonts w:ascii="Times New Roman" w:hAnsi="Times New Roman" w:cs="Times New Roman"/>
          <w:sz w:val="24"/>
          <w:szCs w:val="24"/>
        </w:rPr>
        <w:t xml:space="preserve"> poz. 1006</w:t>
      </w:r>
      <w:r w:rsidR="001D0628">
        <w:rPr>
          <w:rFonts w:ascii="Times New Roman" w:hAnsi="Times New Roman" w:cs="Times New Roman"/>
          <w:sz w:val="24"/>
          <w:szCs w:val="24"/>
        </w:rPr>
        <w:t xml:space="preserve"> i </w:t>
      </w:r>
      <w:r w:rsidR="00085870" w:rsidRPr="00EF6F97">
        <w:rPr>
          <w:rFonts w:ascii="Times New Roman" w:hAnsi="Times New Roman" w:cs="Times New Roman"/>
          <w:sz w:val="24"/>
          <w:szCs w:val="24"/>
        </w:rPr>
        <w:t>1204).</w:t>
      </w:r>
    </w:p>
    <w:sectPr w:rsidR="00F1576E" w:rsidRPr="00EF6F97" w:rsidSect="006F259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8D43D" w14:textId="77777777" w:rsidR="000B442C" w:rsidRDefault="000B442C" w:rsidP="00377EAC">
      <w:r>
        <w:separator/>
      </w:r>
    </w:p>
  </w:endnote>
  <w:endnote w:type="continuationSeparator" w:id="0">
    <w:p w14:paraId="1C87E7D0" w14:textId="77777777" w:rsidR="000B442C" w:rsidRDefault="000B442C" w:rsidP="0037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EYInterstate Light">
    <w:altName w:val="Times New Roman"/>
    <w:charset w:val="EE"/>
    <w:family w:val="auto"/>
    <w:pitch w:val="variable"/>
    <w:sig w:usb0="00000001" w:usb1="5000206A" w:usb2="00000000" w:usb3="00000000" w:csb0="0000009F" w:csb1="00000000"/>
  </w:font>
  <w:font w:name="timekst podstawowy)">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F9FF" w14:textId="17404A97" w:rsidR="005557FE" w:rsidRDefault="005557FE">
    <w:pPr>
      <w:pStyle w:val="Stopka"/>
      <w:jc w:val="center"/>
    </w:pPr>
    <w:r>
      <w:rPr>
        <w:noProof/>
      </w:rPr>
      <w:fldChar w:fldCharType="begin"/>
    </w:r>
    <w:r>
      <w:rPr>
        <w:noProof/>
      </w:rPr>
      <w:instrText>PAGE   \* MERGEFORMAT</w:instrText>
    </w:r>
    <w:r>
      <w:rPr>
        <w:noProof/>
      </w:rPr>
      <w:fldChar w:fldCharType="separate"/>
    </w:r>
    <w:r>
      <w:rPr>
        <w:noProof/>
      </w:rPr>
      <w:t>20</w:t>
    </w:r>
    <w:r>
      <w:rPr>
        <w:noProof/>
      </w:rPr>
      <w:fldChar w:fldCharType="end"/>
    </w:r>
  </w:p>
  <w:p w14:paraId="130EB270" w14:textId="77777777" w:rsidR="005557FE" w:rsidRDefault="005557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79EE" w14:textId="43EED71A" w:rsidR="005557FE" w:rsidRDefault="005557FE">
    <w:pPr>
      <w:pStyle w:val="Stopka"/>
      <w:jc w:val="center"/>
    </w:pPr>
    <w:r>
      <w:rPr>
        <w:noProof/>
      </w:rPr>
      <w:fldChar w:fldCharType="begin"/>
    </w:r>
    <w:r>
      <w:rPr>
        <w:noProof/>
      </w:rPr>
      <w:instrText>PAGE   \* MERGEFORMAT</w:instrText>
    </w:r>
    <w:r>
      <w:rPr>
        <w:noProof/>
      </w:rPr>
      <w:fldChar w:fldCharType="separate"/>
    </w:r>
    <w:r>
      <w:rPr>
        <w:noProof/>
      </w:rPr>
      <w:t>29</w:t>
    </w:r>
    <w:r>
      <w:rPr>
        <w:noProof/>
      </w:rPr>
      <w:fldChar w:fldCharType="end"/>
    </w:r>
  </w:p>
  <w:p w14:paraId="726D8A88" w14:textId="77777777" w:rsidR="005557FE" w:rsidRDefault="005557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E6904" w14:textId="77777777" w:rsidR="000B442C" w:rsidRDefault="000B442C" w:rsidP="00377EAC">
      <w:r>
        <w:separator/>
      </w:r>
    </w:p>
  </w:footnote>
  <w:footnote w:type="continuationSeparator" w:id="0">
    <w:p w14:paraId="45F429C8" w14:textId="77777777" w:rsidR="000B442C" w:rsidRDefault="000B442C" w:rsidP="00377EAC">
      <w:r>
        <w:continuationSeparator/>
      </w:r>
    </w:p>
  </w:footnote>
  <w:footnote w:id="1">
    <w:p w14:paraId="14651A94" w14:textId="77777777" w:rsidR="005557FE" w:rsidRPr="00EC63F6" w:rsidRDefault="005557FE" w:rsidP="0097130C">
      <w:pPr>
        <w:pStyle w:val="Tekstprzypisudolnego"/>
        <w:rPr>
          <w:rFonts w:ascii="EYInterstate Light" w:hAnsi="EYInterstate Light"/>
        </w:rPr>
      </w:pPr>
      <w:r w:rsidRPr="00EC63F6">
        <w:rPr>
          <w:rStyle w:val="Odwoanieprzypisudolnego"/>
          <w:rFonts w:ascii="EYInterstate Light" w:hAnsi="EYInterstate Light"/>
        </w:rPr>
        <w:footnoteRef/>
      </w:r>
      <w:r w:rsidRPr="00EC63F6">
        <w:rPr>
          <w:rFonts w:ascii="EYInterstate Light" w:hAnsi="EYInterstate Light"/>
        </w:rPr>
        <w:t xml:space="preserve"> </w:t>
      </w:r>
      <w:hyperlink r:id="rId1" w:history="1">
        <w:r w:rsidRPr="00EC63F6">
          <w:rPr>
            <w:rStyle w:val="Hipercze"/>
            <w:rFonts w:ascii="EYInterstate Light" w:hAnsi="EYInterstate Light"/>
          </w:rPr>
          <w:t>https://bip.ure.gov.pl/bip/rejestry-i-bazy/operatorzy-systemow-el/787,Operatorzy-systemow-elektroenergetycznych-dane-adresowe-i-obszary-dzialania.html</w:t>
        </w:r>
      </w:hyperlink>
      <w:r w:rsidRPr="00EC63F6">
        <w:rPr>
          <w:rFonts w:ascii="EYInterstate Light" w:hAnsi="EYInterstate Light"/>
        </w:rPr>
        <w:t xml:space="preserve"> </w:t>
      </w:r>
    </w:p>
  </w:footnote>
  <w:footnote w:id="2">
    <w:p w14:paraId="05B96A66" w14:textId="77777777" w:rsidR="005557FE" w:rsidRPr="00D55610" w:rsidRDefault="005557FE" w:rsidP="0097130C">
      <w:pPr>
        <w:pStyle w:val="Tekstprzypisudolnego"/>
        <w:rPr>
          <w:rFonts w:ascii="Times New Roman" w:hAnsi="Times New Roman"/>
        </w:rPr>
      </w:pPr>
      <w:r w:rsidRPr="00D55610">
        <w:rPr>
          <w:rStyle w:val="Odwoanieprzypisudolnego"/>
          <w:rFonts w:ascii="Times New Roman" w:hAnsi="Times New Roman"/>
        </w:rPr>
        <w:footnoteRef/>
      </w:r>
      <w:r w:rsidRPr="00D55610">
        <w:rPr>
          <w:rFonts w:ascii="Times New Roman" w:hAnsi="Times New Roman"/>
        </w:rPr>
        <w:t xml:space="preserve"> </w:t>
      </w:r>
      <w:hyperlink r:id="rId2" w:history="1">
        <w:r w:rsidRPr="00D55610">
          <w:rPr>
            <w:rStyle w:val="Hipercze"/>
            <w:rFonts w:ascii="Times New Roman" w:hAnsi="Times New Roman"/>
          </w:rPr>
          <w:t>http://www.senat.gov.pl/prace/komisje-senackie/przebieg,6946,1.html</w:t>
        </w:r>
      </w:hyperlink>
      <w:r w:rsidRPr="00D55610">
        <w:rPr>
          <w:rFonts w:ascii="Times New Roman" w:hAnsi="Times New Roman"/>
        </w:rPr>
        <w:t xml:space="preserve"> </w:t>
      </w:r>
    </w:p>
  </w:footnote>
  <w:footnote w:id="3">
    <w:p w14:paraId="35337B3C" w14:textId="77777777" w:rsidR="005557FE" w:rsidRPr="00577A55" w:rsidRDefault="005557FE" w:rsidP="005D3849">
      <w:pPr>
        <w:pStyle w:val="Tekstprzypisudolnego"/>
        <w:rPr>
          <w:rFonts w:ascii="Times New Roman" w:hAnsi="Times New Roman"/>
          <w:lang w:val="en-US"/>
        </w:rPr>
      </w:pPr>
      <w:r w:rsidRPr="00577A55">
        <w:rPr>
          <w:rStyle w:val="Odwoanieprzypisudolnego"/>
          <w:rFonts w:ascii="Times New Roman" w:hAnsi="Times New Roman"/>
        </w:rPr>
        <w:footnoteRef/>
      </w:r>
      <w:r w:rsidRPr="00577A55">
        <w:rPr>
          <w:rFonts w:ascii="Times New Roman" w:hAnsi="Times New Roman"/>
          <w:lang w:val="en-US"/>
        </w:rPr>
        <w:t xml:space="preserve"> </w:t>
      </w:r>
      <w:r w:rsidRPr="00577A55">
        <w:rPr>
          <w:rFonts w:ascii="Times New Roman" w:hAnsi="Times New Roman"/>
          <w:i/>
          <w:lang w:val="en-US"/>
        </w:rPr>
        <w:t>Electric Storage Participation in Markets Operated by Regional Transmission Organizations and Independent System Operators, Order No. 841, 162 FERC 61,127 (2018)</w:t>
      </w:r>
      <w:r>
        <w:rPr>
          <w:rFonts w:ascii="Times New Roman" w:hAnsi="Times New Roman"/>
          <w:i/>
          <w:lang w:val="en-US"/>
        </w:rPr>
        <w:t xml:space="preserve"> </w:t>
      </w:r>
      <w:r w:rsidRPr="00577A55">
        <w:rPr>
          <w:rFonts w:ascii="Times New Roman" w:hAnsi="Times New Roman"/>
          <w:lang w:val="en-US"/>
        </w:rPr>
        <w:t xml:space="preserve">ferc.gov/whats-new/comm-meet/2018/021518/E-1.pdf </w:t>
      </w:r>
    </w:p>
  </w:footnote>
  <w:footnote w:id="4">
    <w:p w14:paraId="130B7EC6" w14:textId="77777777" w:rsidR="005557FE" w:rsidRDefault="005557FE">
      <w:pPr>
        <w:pStyle w:val="Tekstprzypisudolnego"/>
      </w:pPr>
      <w:r>
        <w:rPr>
          <w:rStyle w:val="Odwoanieprzypisudolnego"/>
        </w:rPr>
        <w:footnoteRef/>
      </w:r>
      <w:r>
        <w:t xml:space="preserve"> Wyniki certyfikacji ogólnej przeprowadzone przez PSE S.A. wskazują na zgłoszenie jako planowanych 20 projektów magazynów energii elektrycznej o łącznej mocy 5623 MW, co nie wydaje się realne, biorąc pod uwagę znacznie mniejszy zakres inwestycji w magazyny energii elektrycznej w najbardziej zaawansowanych i zasobnych stanach/krajach (np. Kalifornia, Australia). </w:t>
      </w:r>
    </w:p>
    <w:p w14:paraId="3B0B1A77" w14:textId="77777777" w:rsidR="005557FE" w:rsidRDefault="000B442C">
      <w:pPr>
        <w:pStyle w:val="Tekstprzypisudolnego"/>
      </w:pPr>
      <w:hyperlink r:id="rId3" w:history="1">
        <w:r w:rsidR="005557FE">
          <w:rPr>
            <w:rStyle w:val="Hipercze"/>
          </w:rPr>
          <w:t>https://www.pse.pl/aktualnosci-rynku-mocy/-/asset_publisher/XaFia9l65YKy/content/rynek-mocy-w-liczbach-certyfikacja-ogolna-20-2?safeargs=696e686572697452656469726563743d66616c73652672656469726563743d68747470732533412532462532467777772e7073652e706c253246616b7475616c6e6f7363692d72796e6b752d6d6f6379253346705f705f69642533443130315f494e5354414e43455f5861466961396c3635594b79253236705f705f6c6966656379636c6525334430253236705f705f73746174652533446e6f726d616c253236705f705f6d6f646525334476696577253236705f705f636f6c5f6964253344636f6c756d6e2d32253236705f705f636f6c5f636f756e7425334431</w:t>
        </w:r>
      </w:hyperlink>
    </w:p>
  </w:footnote>
  <w:footnote w:id="5">
    <w:p w14:paraId="34032B56" w14:textId="77777777" w:rsidR="005557FE" w:rsidRDefault="005557FE" w:rsidP="00271648">
      <w:pPr>
        <w:pStyle w:val="Tekstprzypisudolnego"/>
      </w:pPr>
      <w:r>
        <w:rPr>
          <w:rStyle w:val="Odwoanieprzypisudolnego"/>
        </w:rPr>
        <w:footnoteRef/>
      </w:r>
      <w:r>
        <w:t xml:space="preserve"> </w:t>
      </w:r>
      <w:hyperlink r:id="rId4" w:history="1">
        <w:r w:rsidRPr="004448B9">
          <w:rPr>
            <w:rStyle w:val="Hipercze"/>
          </w:rPr>
          <w:t>http://www.ure.gov.pl/pl/urzad/informacje-ogolne/aktualnosci/4638,Stanowisko-Regulatora-w-sprawie-Operatora-Informacji-Pomiarowej.html?search=7789464507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03C5" w14:textId="77777777" w:rsidR="005557FE" w:rsidRPr="00EA2468" w:rsidRDefault="005557FE" w:rsidP="005D3849">
    <w:pPr>
      <w:tabs>
        <w:tab w:val="left" w:pos="3064"/>
        <w:tab w:val="right" w:pos="14570"/>
      </w:tabs>
      <w:jc w:val="right"/>
      <w:rPr>
        <w:rFonts w:ascii="timekst podstawowy)" w:hAnsi="timekst podstawowy)"/>
      </w:rPr>
    </w:pPr>
    <w:r>
      <w:rPr>
        <w:rFonts w:ascii="timekst podstawowy)" w:hAnsi="timekst podstawowy)"/>
      </w:rPr>
      <w:tab/>
    </w:r>
  </w:p>
  <w:p w14:paraId="04A75B5C" w14:textId="77777777" w:rsidR="005557FE" w:rsidRDefault="005557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A82"/>
    <w:multiLevelType w:val="hybridMultilevel"/>
    <w:tmpl w:val="74AA0EF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6E4E7D"/>
    <w:multiLevelType w:val="hybridMultilevel"/>
    <w:tmpl w:val="0F84C134"/>
    <w:lvl w:ilvl="0" w:tplc="08388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D57FA"/>
    <w:multiLevelType w:val="hybridMultilevel"/>
    <w:tmpl w:val="3B42B3B4"/>
    <w:lvl w:ilvl="0" w:tplc="1A28D01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050D71B6"/>
    <w:multiLevelType w:val="hybridMultilevel"/>
    <w:tmpl w:val="2C48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35025A"/>
    <w:multiLevelType w:val="hybridMultilevel"/>
    <w:tmpl w:val="93827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02A69"/>
    <w:multiLevelType w:val="hybridMultilevel"/>
    <w:tmpl w:val="96E2F51A"/>
    <w:lvl w:ilvl="0" w:tplc="55AAADE0">
      <w:start w:val="1"/>
      <w:numFmt w:val="bullet"/>
      <w:lvlText w:val="–"/>
      <w:lvlJc w:val="left"/>
      <w:pPr>
        <w:ind w:left="720" w:hanging="360"/>
      </w:pPr>
      <w:rPr>
        <w:rFonts w:ascii="Vrinda" w:hAnsi="Vrind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8849D9"/>
    <w:multiLevelType w:val="hybridMultilevel"/>
    <w:tmpl w:val="4EC2C666"/>
    <w:lvl w:ilvl="0" w:tplc="46907B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AF0888"/>
    <w:multiLevelType w:val="hybridMultilevel"/>
    <w:tmpl w:val="3D2AC2A6"/>
    <w:lvl w:ilvl="0" w:tplc="EC620EF8">
      <w:start w:val="1"/>
      <w:numFmt w:val="decimal"/>
      <w:lvlText w:val="%1)"/>
      <w:lvlJc w:val="left"/>
      <w:pPr>
        <w:ind w:left="833" w:hanging="465"/>
      </w:pPr>
      <w:rPr>
        <w:rFonts w:hint="default"/>
        <w:b w:val="0"/>
      </w:rPr>
    </w:lvl>
    <w:lvl w:ilvl="1" w:tplc="04150019">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8" w15:restartNumberingAfterBreak="0">
    <w:nsid w:val="07B564D2"/>
    <w:multiLevelType w:val="hybridMultilevel"/>
    <w:tmpl w:val="10F2646E"/>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006292"/>
    <w:multiLevelType w:val="hybridMultilevel"/>
    <w:tmpl w:val="75D62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3B23D3"/>
    <w:multiLevelType w:val="hybridMultilevel"/>
    <w:tmpl w:val="2AA8E6D4"/>
    <w:lvl w:ilvl="0" w:tplc="7AC8EAAE">
      <w:start w:val="1"/>
      <w:numFmt w:val="decimal"/>
      <w:lvlText w:val="%1)"/>
      <w:lvlJc w:val="left"/>
      <w:pPr>
        <w:ind w:left="138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1" w15:restartNumberingAfterBreak="0">
    <w:nsid w:val="0AE2446C"/>
    <w:multiLevelType w:val="hybridMultilevel"/>
    <w:tmpl w:val="3F04E0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6D26"/>
    <w:multiLevelType w:val="hybridMultilevel"/>
    <w:tmpl w:val="3CDC322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0CF25208"/>
    <w:multiLevelType w:val="hybridMultilevel"/>
    <w:tmpl w:val="870E95A8"/>
    <w:lvl w:ilvl="0" w:tplc="B00668B0">
      <w:start w:val="1"/>
      <w:numFmt w:val="decimal"/>
      <w:lvlText w:val="%1)"/>
      <w:lvlJc w:val="left"/>
      <w:pPr>
        <w:tabs>
          <w:tab w:val="num" w:pos="1421"/>
        </w:tabs>
        <w:ind w:left="1421" w:hanging="570"/>
      </w:pPr>
      <w:rPr>
        <w:rFonts w:cs="Times New Roman" w:hint="default"/>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4" w15:restartNumberingAfterBreak="0">
    <w:nsid w:val="0DC44ED7"/>
    <w:multiLevelType w:val="hybridMultilevel"/>
    <w:tmpl w:val="BA98E88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E74C51"/>
    <w:multiLevelType w:val="hybridMultilevel"/>
    <w:tmpl w:val="2206BE8A"/>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F841C2"/>
    <w:multiLevelType w:val="hybridMultilevel"/>
    <w:tmpl w:val="EC2298B6"/>
    <w:lvl w:ilvl="0" w:tplc="3EBCFDAC">
      <w:start w:val="1"/>
      <w:numFmt w:val="decimal"/>
      <w:lvlText w:val="%1)"/>
      <w:lvlJc w:val="left"/>
      <w:pPr>
        <w:ind w:left="1845" w:hanging="825"/>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7" w15:restartNumberingAfterBreak="0">
    <w:nsid w:val="10094F67"/>
    <w:multiLevelType w:val="hybridMultilevel"/>
    <w:tmpl w:val="F4C4AA58"/>
    <w:lvl w:ilvl="0" w:tplc="55AAADE0">
      <w:start w:val="1"/>
      <w:numFmt w:val="bullet"/>
      <w:lvlText w:val="–"/>
      <w:lvlJc w:val="left"/>
      <w:pPr>
        <w:ind w:left="1230" w:hanging="360"/>
      </w:pPr>
      <w:rPr>
        <w:rFonts w:ascii="Vrinda" w:hAnsi="Vrinda"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8" w15:restartNumberingAfterBreak="0">
    <w:nsid w:val="1273094B"/>
    <w:multiLevelType w:val="hybridMultilevel"/>
    <w:tmpl w:val="B1ACA45C"/>
    <w:lvl w:ilvl="0" w:tplc="3EBCFDAC">
      <w:start w:val="1"/>
      <w:numFmt w:val="decimal"/>
      <w:lvlText w:val="%1)"/>
      <w:lvlJc w:val="left"/>
      <w:pPr>
        <w:ind w:left="1335" w:hanging="825"/>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15:restartNumberingAfterBreak="0">
    <w:nsid w:val="129F0442"/>
    <w:multiLevelType w:val="hybridMultilevel"/>
    <w:tmpl w:val="F4C4B53E"/>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38126D"/>
    <w:multiLevelType w:val="hybridMultilevel"/>
    <w:tmpl w:val="292E31CA"/>
    <w:lvl w:ilvl="0" w:tplc="3EBCFDAC">
      <w:start w:val="1"/>
      <w:numFmt w:val="decimal"/>
      <w:lvlText w:val="%1)"/>
      <w:lvlJc w:val="left"/>
      <w:pPr>
        <w:ind w:left="1845" w:hanging="825"/>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1" w15:restartNumberingAfterBreak="0">
    <w:nsid w:val="143316B2"/>
    <w:multiLevelType w:val="hybridMultilevel"/>
    <w:tmpl w:val="D112410C"/>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7E3A0F"/>
    <w:multiLevelType w:val="hybridMultilevel"/>
    <w:tmpl w:val="2B443342"/>
    <w:lvl w:ilvl="0" w:tplc="01F6B4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EC28E1"/>
    <w:multiLevelType w:val="hybridMultilevel"/>
    <w:tmpl w:val="1AC8F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C503DA"/>
    <w:multiLevelType w:val="hybridMultilevel"/>
    <w:tmpl w:val="E81E61C0"/>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5" w15:restartNumberingAfterBreak="0">
    <w:nsid w:val="17F7043D"/>
    <w:multiLevelType w:val="hybridMultilevel"/>
    <w:tmpl w:val="6F1E4F2C"/>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1E15BB"/>
    <w:multiLevelType w:val="hybridMultilevel"/>
    <w:tmpl w:val="B3CC407C"/>
    <w:lvl w:ilvl="0" w:tplc="7AC8EAAE">
      <w:start w:val="1"/>
      <w:numFmt w:val="decimal"/>
      <w:lvlText w:val="%1)"/>
      <w:lvlJc w:val="left"/>
      <w:pPr>
        <w:ind w:left="138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7" w15:restartNumberingAfterBreak="0">
    <w:nsid w:val="1BC91AE8"/>
    <w:multiLevelType w:val="hybridMultilevel"/>
    <w:tmpl w:val="D4C89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810506"/>
    <w:multiLevelType w:val="hybridMultilevel"/>
    <w:tmpl w:val="5880797E"/>
    <w:lvl w:ilvl="0" w:tplc="04150011">
      <w:start w:val="1"/>
      <w:numFmt w:val="decimal"/>
      <w:lvlText w:val="%1)"/>
      <w:lvlJc w:val="left"/>
      <w:pPr>
        <w:ind w:left="720" w:hanging="360"/>
      </w:pPr>
      <w:rPr>
        <w:rFonts w:hint="default"/>
      </w:rPr>
    </w:lvl>
    <w:lvl w:ilvl="1" w:tplc="07C6AEE2">
      <w:start w:val="1"/>
      <w:numFmt w:val="decimal"/>
      <w:lvlText w:val="%2."/>
      <w:lvlJc w:val="left"/>
      <w:pPr>
        <w:ind w:left="1440" w:hanging="360"/>
      </w:pPr>
      <w:rPr>
        <w:rFonts w:hint="default"/>
      </w:rPr>
    </w:lvl>
    <w:lvl w:ilvl="2" w:tplc="0E80C4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D21DEA"/>
    <w:multiLevelType w:val="hybridMultilevel"/>
    <w:tmpl w:val="837A65D4"/>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2972865"/>
    <w:multiLevelType w:val="hybridMultilevel"/>
    <w:tmpl w:val="AFE2000E"/>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1" w15:restartNumberingAfterBreak="0">
    <w:nsid w:val="24CA0C8C"/>
    <w:multiLevelType w:val="hybridMultilevel"/>
    <w:tmpl w:val="29061D0E"/>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107B7D"/>
    <w:multiLevelType w:val="hybridMultilevel"/>
    <w:tmpl w:val="110C36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78C646C"/>
    <w:multiLevelType w:val="hybridMultilevel"/>
    <w:tmpl w:val="91E0BB16"/>
    <w:lvl w:ilvl="0" w:tplc="1A28D014">
      <w:start w:val="1"/>
      <w:numFmt w:val="decimal"/>
      <w:lvlText w:val="%1)"/>
      <w:lvlJc w:val="left"/>
      <w:pPr>
        <w:ind w:left="138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4" w15:restartNumberingAfterBreak="0">
    <w:nsid w:val="27F50ADB"/>
    <w:multiLevelType w:val="hybridMultilevel"/>
    <w:tmpl w:val="760ACF88"/>
    <w:lvl w:ilvl="0" w:tplc="7AC8EAA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5" w15:restartNumberingAfterBreak="0">
    <w:nsid w:val="28347A78"/>
    <w:multiLevelType w:val="hybridMultilevel"/>
    <w:tmpl w:val="A74A30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BA510B0"/>
    <w:multiLevelType w:val="hybridMultilevel"/>
    <w:tmpl w:val="BE5C4258"/>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D80C1C"/>
    <w:multiLevelType w:val="hybridMultilevel"/>
    <w:tmpl w:val="5BBC9F44"/>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C3554D"/>
    <w:multiLevelType w:val="hybridMultilevel"/>
    <w:tmpl w:val="5C1893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154DE"/>
    <w:multiLevelType w:val="hybridMultilevel"/>
    <w:tmpl w:val="16FE4F6C"/>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222CA6"/>
    <w:multiLevelType w:val="hybridMultilevel"/>
    <w:tmpl w:val="6E845F3E"/>
    <w:lvl w:ilvl="0" w:tplc="3EBCFDAC">
      <w:start w:val="1"/>
      <w:numFmt w:val="decimal"/>
      <w:lvlText w:val="%1)"/>
      <w:lvlJc w:val="left"/>
      <w:pPr>
        <w:ind w:left="1335" w:hanging="825"/>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1" w15:restartNumberingAfterBreak="0">
    <w:nsid w:val="34A854EB"/>
    <w:multiLevelType w:val="hybridMultilevel"/>
    <w:tmpl w:val="01F8C8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5F1BBD"/>
    <w:multiLevelType w:val="hybridMultilevel"/>
    <w:tmpl w:val="27B22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5A203C"/>
    <w:multiLevelType w:val="hybridMultilevel"/>
    <w:tmpl w:val="A1C2126E"/>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89731ED"/>
    <w:multiLevelType w:val="hybridMultilevel"/>
    <w:tmpl w:val="2C62F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752CB5"/>
    <w:multiLevelType w:val="hybridMultilevel"/>
    <w:tmpl w:val="C2909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F9309A"/>
    <w:multiLevelType w:val="hybridMultilevel"/>
    <w:tmpl w:val="9EA465CA"/>
    <w:lvl w:ilvl="0" w:tplc="04150011">
      <w:start w:val="1"/>
      <w:numFmt w:val="decimal"/>
      <w:lvlText w:val="%1)"/>
      <w:lvlJc w:val="left"/>
      <w:pPr>
        <w:ind w:left="1741" w:hanging="360"/>
      </w:pPr>
      <w:rPr>
        <w:rFonts w:hint="default"/>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47" w15:restartNumberingAfterBreak="0">
    <w:nsid w:val="40AB184F"/>
    <w:multiLevelType w:val="hybridMultilevel"/>
    <w:tmpl w:val="9D86B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081BD8"/>
    <w:multiLevelType w:val="multilevel"/>
    <w:tmpl w:val="C54A3F48"/>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14372DE"/>
    <w:multiLevelType w:val="hybridMultilevel"/>
    <w:tmpl w:val="EC42407A"/>
    <w:lvl w:ilvl="0" w:tplc="3EBCFDAC">
      <w:start w:val="1"/>
      <w:numFmt w:val="decimal"/>
      <w:lvlText w:val="%1)"/>
      <w:lvlJc w:val="left"/>
      <w:pPr>
        <w:ind w:left="1335" w:hanging="8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466E44"/>
    <w:multiLevelType w:val="hybridMultilevel"/>
    <w:tmpl w:val="F410990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1" w15:restartNumberingAfterBreak="0">
    <w:nsid w:val="419068C2"/>
    <w:multiLevelType w:val="hybridMultilevel"/>
    <w:tmpl w:val="53C8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100A9F"/>
    <w:multiLevelType w:val="hybridMultilevel"/>
    <w:tmpl w:val="CE6C8422"/>
    <w:lvl w:ilvl="0" w:tplc="A524EE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31D6BC4"/>
    <w:multiLevelType w:val="hybridMultilevel"/>
    <w:tmpl w:val="96D8551A"/>
    <w:lvl w:ilvl="0" w:tplc="619E6F6E">
      <w:start w:val="1"/>
      <w:numFmt w:val="decimal"/>
      <w:lvlText w:val="%1)"/>
      <w:lvlJc w:val="left"/>
      <w:pPr>
        <w:tabs>
          <w:tab w:val="num" w:pos="720"/>
        </w:tabs>
        <w:ind w:left="720" w:hanging="360"/>
      </w:pPr>
      <w:rPr>
        <w:rFonts w:hint="default"/>
      </w:rPr>
    </w:lvl>
    <w:lvl w:ilvl="1" w:tplc="43FA54D8">
      <w:start w:val="1"/>
      <w:numFmt w:val="decimal"/>
      <w:lvlText w:val="%2."/>
      <w:lvlJc w:val="left"/>
      <w:pPr>
        <w:tabs>
          <w:tab w:val="num" w:pos="1440"/>
        </w:tabs>
        <w:ind w:left="1440" w:hanging="360"/>
      </w:pPr>
      <w:rPr>
        <w:rFonts w:hint="default"/>
        <w:u w:val="singl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4AF2CA6"/>
    <w:multiLevelType w:val="hybridMultilevel"/>
    <w:tmpl w:val="3BFCAB70"/>
    <w:lvl w:ilvl="0" w:tplc="55AAADE0">
      <w:start w:val="1"/>
      <w:numFmt w:val="bullet"/>
      <w:lvlText w:val="–"/>
      <w:lvlJc w:val="left"/>
      <w:pPr>
        <w:ind w:left="1230" w:hanging="360"/>
      </w:pPr>
      <w:rPr>
        <w:rFonts w:ascii="Vrinda" w:hAnsi="Vrinda" w:hint="default"/>
      </w:rPr>
    </w:lvl>
    <w:lvl w:ilvl="1" w:tplc="04150003" w:tentative="1">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55" w15:restartNumberingAfterBreak="0">
    <w:nsid w:val="45E40FF0"/>
    <w:multiLevelType w:val="hybridMultilevel"/>
    <w:tmpl w:val="45F2C7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605673A"/>
    <w:multiLevelType w:val="hybridMultilevel"/>
    <w:tmpl w:val="EE96B980"/>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55AAADE0">
      <w:start w:val="1"/>
      <w:numFmt w:val="bullet"/>
      <w:lvlText w:val="–"/>
      <w:lvlJc w:val="left"/>
      <w:pPr>
        <w:ind w:left="2160" w:hanging="360"/>
      </w:pPr>
      <w:rPr>
        <w:rFonts w:ascii="Vrinda" w:hAnsi="Vrind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6E75664"/>
    <w:multiLevelType w:val="hybridMultilevel"/>
    <w:tmpl w:val="A066E732"/>
    <w:lvl w:ilvl="0" w:tplc="ED98A7A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8" w15:restartNumberingAfterBreak="0">
    <w:nsid w:val="492A17FA"/>
    <w:multiLevelType w:val="hybridMultilevel"/>
    <w:tmpl w:val="F2D46E98"/>
    <w:lvl w:ilvl="0" w:tplc="55AAADE0">
      <w:start w:val="1"/>
      <w:numFmt w:val="bullet"/>
      <w:lvlText w:val="–"/>
      <w:lvlJc w:val="left"/>
      <w:pPr>
        <w:ind w:left="1230" w:hanging="360"/>
      </w:pPr>
      <w:rPr>
        <w:rFonts w:ascii="Vrinda" w:hAnsi="Vrinda" w:hint="default"/>
      </w:rPr>
    </w:lvl>
    <w:lvl w:ilvl="1" w:tplc="04150003" w:tentative="1">
      <w:start w:val="1"/>
      <w:numFmt w:val="bullet"/>
      <w:lvlText w:val="o"/>
      <w:lvlJc w:val="left"/>
      <w:pPr>
        <w:ind w:left="1950" w:hanging="360"/>
      </w:pPr>
      <w:rPr>
        <w:rFonts w:ascii="Courier New" w:hAnsi="Courier New" w:cs="Courier New" w:hint="default"/>
      </w:rPr>
    </w:lvl>
    <w:lvl w:ilvl="2" w:tplc="55AAADE0">
      <w:start w:val="1"/>
      <w:numFmt w:val="bullet"/>
      <w:lvlText w:val="–"/>
      <w:lvlJc w:val="left"/>
      <w:pPr>
        <w:ind w:left="2670" w:hanging="360"/>
      </w:pPr>
      <w:rPr>
        <w:rFonts w:ascii="Vrinda" w:hAnsi="Vrinda"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59" w15:restartNumberingAfterBreak="0">
    <w:nsid w:val="4AB25DDB"/>
    <w:multiLevelType w:val="hybridMultilevel"/>
    <w:tmpl w:val="02EEC9EA"/>
    <w:lvl w:ilvl="0" w:tplc="2A903296">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0" w15:restartNumberingAfterBreak="0">
    <w:nsid w:val="4ABB24BF"/>
    <w:multiLevelType w:val="hybridMultilevel"/>
    <w:tmpl w:val="10167654"/>
    <w:lvl w:ilvl="0" w:tplc="04150011">
      <w:start w:val="1"/>
      <w:numFmt w:val="decimal"/>
      <w:lvlText w:val="%1)"/>
      <w:lvlJc w:val="left"/>
      <w:pPr>
        <w:ind w:left="727" w:hanging="360"/>
      </w:pPr>
      <w:rPr>
        <w:rFonts w:hint="default"/>
        <w:b w:val="0"/>
      </w:rPr>
    </w:lvl>
    <w:lvl w:ilvl="1" w:tplc="04150019">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61" w15:restartNumberingAfterBreak="0">
    <w:nsid w:val="4C773AFC"/>
    <w:multiLevelType w:val="hybridMultilevel"/>
    <w:tmpl w:val="36B40BF6"/>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DB84FFB"/>
    <w:multiLevelType w:val="hybridMultilevel"/>
    <w:tmpl w:val="28804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203F8F"/>
    <w:multiLevelType w:val="hybridMultilevel"/>
    <w:tmpl w:val="9D622300"/>
    <w:lvl w:ilvl="0" w:tplc="04150011">
      <w:start w:val="1"/>
      <w:numFmt w:val="decimal"/>
      <w:lvlText w:val="%1)"/>
      <w:lvlJc w:val="left"/>
      <w:pPr>
        <w:ind w:left="720" w:hanging="360"/>
      </w:pPr>
    </w:lvl>
    <w:lvl w:ilvl="1" w:tplc="D924BD9C">
      <w:start w:val="1"/>
      <w:numFmt w:val="lowerLetter"/>
      <w:lvlText w:val="%2)"/>
      <w:lvlJc w:val="left"/>
      <w:pPr>
        <w:ind w:left="1440" w:hanging="360"/>
      </w:pPr>
      <w:rPr>
        <w:rFonts w:hint="default"/>
      </w:rPr>
    </w:lvl>
    <w:lvl w:ilvl="2" w:tplc="D5EA0E36">
      <w:start w:val="2"/>
      <w:numFmt w:val="bullet"/>
      <w:lvlText w:val="•"/>
      <w:lvlJc w:val="left"/>
      <w:pPr>
        <w:ind w:left="2685" w:hanging="705"/>
      </w:pPr>
      <w:rPr>
        <w:rFonts w:ascii="Times New Roman" w:eastAsia="Times New Roman" w:hAnsi="Times New Roman" w:cs="Times New Roman" w:hint="default"/>
      </w:rPr>
    </w:lvl>
    <w:lvl w:ilvl="3" w:tplc="11625E30">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7E4972"/>
    <w:multiLevelType w:val="hybridMultilevel"/>
    <w:tmpl w:val="BDCE1E10"/>
    <w:lvl w:ilvl="0" w:tplc="875C6D9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65" w15:restartNumberingAfterBreak="0">
    <w:nsid w:val="501C13E3"/>
    <w:multiLevelType w:val="hybridMultilevel"/>
    <w:tmpl w:val="305A6632"/>
    <w:lvl w:ilvl="0" w:tplc="BD8C236C">
      <w:start w:val="1"/>
      <w:numFmt w:val="decimal"/>
      <w:lvlText w:val="%1)"/>
      <w:lvlJc w:val="left"/>
      <w:pPr>
        <w:ind w:left="1020" w:hanging="360"/>
      </w:pPr>
      <w:rPr>
        <w:rFonts w:cs="Times New Roman"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6" w15:restartNumberingAfterBreak="0">
    <w:nsid w:val="5215492A"/>
    <w:multiLevelType w:val="hybridMultilevel"/>
    <w:tmpl w:val="BE486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F6742C"/>
    <w:multiLevelType w:val="hybridMultilevel"/>
    <w:tmpl w:val="41969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9153EF"/>
    <w:multiLevelType w:val="hybridMultilevel"/>
    <w:tmpl w:val="58F62760"/>
    <w:lvl w:ilvl="0" w:tplc="1A28D01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9" w15:restartNumberingAfterBreak="0">
    <w:nsid w:val="56BB0DE3"/>
    <w:multiLevelType w:val="hybridMultilevel"/>
    <w:tmpl w:val="BDEC79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7AE7867"/>
    <w:multiLevelType w:val="hybridMultilevel"/>
    <w:tmpl w:val="C76AE92E"/>
    <w:lvl w:ilvl="0" w:tplc="55AAADE0">
      <w:start w:val="1"/>
      <w:numFmt w:val="bullet"/>
      <w:lvlText w:val="–"/>
      <w:lvlJc w:val="left"/>
      <w:pPr>
        <w:ind w:left="1230" w:hanging="360"/>
      </w:pPr>
      <w:rPr>
        <w:rFonts w:ascii="Vrinda" w:hAnsi="Vrinda"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1" w15:restartNumberingAfterBreak="0">
    <w:nsid w:val="591C5B9A"/>
    <w:multiLevelType w:val="hybridMultilevel"/>
    <w:tmpl w:val="C458EDB0"/>
    <w:lvl w:ilvl="0" w:tplc="08388DCA">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2" w15:restartNumberingAfterBreak="0">
    <w:nsid w:val="5BD675C7"/>
    <w:multiLevelType w:val="hybridMultilevel"/>
    <w:tmpl w:val="2CD07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FF5D81"/>
    <w:multiLevelType w:val="hybridMultilevel"/>
    <w:tmpl w:val="FBD6F2B6"/>
    <w:lvl w:ilvl="0" w:tplc="7AC8EAAE">
      <w:start w:val="1"/>
      <w:numFmt w:val="decimal"/>
      <w:lvlText w:val="%1)"/>
      <w:lvlJc w:val="left"/>
      <w:pPr>
        <w:ind w:left="870" w:hanging="360"/>
      </w:pPr>
      <w:rPr>
        <w:rFonts w:hint="default"/>
      </w:rPr>
    </w:lvl>
    <w:lvl w:ilvl="1" w:tplc="B3264E58">
      <w:start w:val="1"/>
      <w:numFmt w:val="lowerLetter"/>
      <w:lvlText w:val="%2)"/>
      <w:lvlJc w:val="left"/>
      <w:pPr>
        <w:ind w:left="1590" w:hanging="360"/>
      </w:pPr>
      <w:rPr>
        <w:rFonts w:hint="default"/>
      </w:r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4" w15:restartNumberingAfterBreak="0">
    <w:nsid w:val="5E313BD9"/>
    <w:multiLevelType w:val="hybridMultilevel"/>
    <w:tmpl w:val="3E327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BA1F43"/>
    <w:multiLevelType w:val="hybridMultilevel"/>
    <w:tmpl w:val="001A60B8"/>
    <w:lvl w:ilvl="0" w:tplc="B00668B0">
      <w:start w:val="1"/>
      <w:numFmt w:val="decimal"/>
      <w:lvlText w:val="%1)"/>
      <w:lvlJc w:val="left"/>
      <w:pPr>
        <w:tabs>
          <w:tab w:val="num" w:pos="1639"/>
        </w:tabs>
        <w:ind w:left="1639" w:hanging="57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60CB04D9"/>
    <w:multiLevelType w:val="hybridMultilevel"/>
    <w:tmpl w:val="35508844"/>
    <w:lvl w:ilvl="0" w:tplc="7AC8EAA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7" w15:restartNumberingAfterBreak="0">
    <w:nsid w:val="64931718"/>
    <w:multiLevelType w:val="hybridMultilevel"/>
    <w:tmpl w:val="45DED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8D2BCD"/>
    <w:multiLevelType w:val="hybridMultilevel"/>
    <w:tmpl w:val="448C2E6A"/>
    <w:lvl w:ilvl="0" w:tplc="55AAADE0">
      <w:start w:val="1"/>
      <w:numFmt w:val="bullet"/>
      <w:lvlText w:val="–"/>
      <w:lvlJc w:val="left"/>
      <w:pPr>
        <w:ind w:left="2160" w:hanging="360"/>
      </w:pPr>
      <w:rPr>
        <w:rFonts w:ascii="Vrinda" w:hAnsi="Vrind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15:restartNumberingAfterBreak="0">
    <w:nsid w:val="668E16CA"/>
    <w:multiLevelType w:val="hybridMultilevel"/>
    <w:tmpl w:val="EFB82F70"/>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9B7CBF"/>
    <w:multiLevelType w:val="hybridMultilevel"/>
    <w:tmpl w:val="070E1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C65127"/>
    <w:multiLevelType w:val="hybridMultilevel"/>
    <w:tmpl w:val="F34AE8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6430E8"/>
    <w:multiLevelType w:val="hybridMultilevel"/>
    <w:tmpl w:val="F4AC107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1023931"/>
    <w:multiLevelType w:val="hybridMultilevel"/>
    <w:tmpl w:val="AC443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B26254"/>
    <w:multiLevelType w:val="hybridMultilevel"/>
    <w:tmpl w:val="5BC2B6F6"/>
    <w:lvl w:ilvl="0" w:tplc="7AC8EAA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5" w15:restartNumberingAfterBreak="0">
    <w:nsid w:val="73F97092"/>
    <w:multiLevelType w:val="hybridMultilevel"/>
    <w:tmpl w:val="D5605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F64C07"/>
    <w:multiLevelType w:val="hybridMultilevel"/>
    <w:tmpl w:val="BAF4C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7568F6"/>
    <w:multiLevelType w:val="hybridMultilevel"/>
    <w:tmpl w:val="E57C52CA"/>
    <w:lvl w:ilvl="0" w:tplc="55AAADE0">
      <w:start w:val="1"/>
      <w:numFmt w:val="bullet"/>
      <w:lvlText w:val="–"/>
      <w:lvlJc w:val="left"/>
      <w:pPr>
        <w:ind w:left="1230" w:hanging="360"/>
      </w:pPr>
      <w:rPr>
        <w:rFonts w:ascii="Vrinda" w:hAnsi="Vrinda"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88" w15:restartNumberingAfterBreak="0">
    <w:nsid w:val="78AF3497"/>
    <w:multiLevelType w:val="hybridMultilevel"/>
    <w:tmpl w:val="88BC11B2"/>
    <w:lvl w:ilvl="0" w:tplc="04150011">
      <w:start w:val="1"/>
      <w:numFmt w:val="decimal"/>
      <w:lvlText w:val="%1)"/>
      <w:lvlJc w:val="left"/>
      <w:pPr>
        <w:ind w:left="720" w:hanging="360"/>
      </w:pPr>
    </w:lvl>
    <w:lvl w:ilvl="1" w:tplc="43A20E78">
      <w:start w:val="1"/>
      <w:numFmt w:val="decimal"/>
      <w:lvlText w:val="%2)"/>
      <w:lvlJc w:val="left"/>
      <w:pPr>
        <w:ind w:left="1980" w:hanging="9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5A42F6"/>
    <w:multiLevelType w:val="hybridMultilevel"/>
    <w:tmpl w:val="148A5E02"/>
    <w:lvl w:ilvl="0" w:tplc="7AC8EAAE">
      <w:start w:val="1"/>
      <w:numFmt w:val="decimal"/>
      <w:lvlText w:val="%1)"/>
      <w:lvlJc w:val="left"/>
      <w:pPr>
        <w:ind w:left="8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493661"/>
    <w:multiLevelType w:val="hybridMultilevel"/>
    <w:tmpl w:val="0DB05882"/>
    <w:lvl w:ilvl="0" w:tplc="0EB2230C">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D600DA7"/>
    <w:multiLevelType w:val="hybridMultilevel"/>
    <w:tmpl w:val="03B2004C"/>
    <w:lvl w:ilvl="0" w:tplc="7AC8EAAE">
      <w:start w:val="1"/>
      <w:numFmt w:val="decimal"/>
      <w:lvlText w:val="%1)"/>
      <w:lvlJc w:val="left"/>
      <w:pPr>
        <w:ind w:left="138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53"/>
  </w:num>
  <w:num w:numId="2">
    <w:abstractNumId w:val="60"/>
  </w:num>
  <w:num w:numId="3">
    <w:abstractNumId w:val="65"/>
  </w:num>
  <w:num w:numId="4">
    <w:abstractNumId w:val="59"/>
  </w:num>
  <w:num w:numId="5">
    <w:abstractNumId w:val="64"/>
  </w:num>
  <w:num w:numId="6">
    <w:abstractNumId w:val="13"/>
  </w:num>
  <w:num w:numId="7">
    <w:abstractNumId w:val="75"/>
  </w:num>
  <w:num w:numId="8">
    <w:abstractNumId w:val="0"/>
  </w:num>
  <w:num w:numId="9">
    <w:abstractNumId w:val="7"/>
  </w:num>
  <w:num w:numId="10">
    <w:abstractNumId w:val="52"/>
  </w:num>
  <w:num w:numId="11">
    <w:abstractNumId w:val="90"/>
  </w:num>
  <w:num w:numId="12">
    <w:abstractNumId w:val="48"/>
  </w:num>
  <w:num w:numId="13">
    <w:abstractNumId w:val="22"/>
  </w:num>
  <w:num w:numId="14">
    <w:abstractNumId w:val="35"/>
  </w:num>
  <w:num w:numId="15">
    <w:abstractNumId w:val="3"/>
  </w:num>
  <w:num w:numId="16">
    <w:abstractNumId w:val="55"/>
  </w:num>
  <w:num w:numId="17">
    <w:abstractNumId w:val="6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8"/>
  </w:num>
  <w:num w:numId="21">
    <w:abstractNumId w:val="27"/>
  </w:num>
  <w:num w:numId="22">
    <w:abstractNumId w:val="47"/>
  </w:num>
  <w:num w:numId="23">
    <w:abstractNumId w:val="6"/>
  </w:num>
  <w:num w:numId="24">
    <w:abstractNumId w:val="63"/>
  </w:num>
  <w:num w:numId="25">
    <w:abstractNumId w:val="72"/>
  </w:num>
  <w:num w:numId="26">
    <w:abstractNumId w:val="11"/>
  </w:num>
  <w:num w:numId="27">
    <w:abstractNumId w:val="81"/>
  </w:num>
  <w:num w:numId="28">
    <w:abstractNumId w:val="61"/>
  </w:num>
  <w:num w:numId="29">
    <w:abstractNumId w:val="39"/>
  </w:num>
  <w:num w:numId="30">
    <w:abstractNumId w:val="78"/>
  </w:num>
  <w:num w:numId="31">
    <w:abstractNumId w:val="9"/>
  </w:num>
  <w:num w:numId="32">
    <w:abstractNumId w:val="50"/>
  </w:num>
  <w:num w:numId="33">
    <w:abstractNumId w:val="83"/>
  </w:num>
  <w:num w:numId="34">
    <w:abstractNumId w:val="80"/>
  </w:num>
  <w:num w:numId="35">
    <w:abstractNumId w:val="66"/>
  </w:num>
  <w:num w:numId="36">
    <w:abstractNumId w:val="4"/>
  </w:num>
  <w:num w:numId="37">
    <w:abstractNumId w:val="25"/>
  </w:num>
  <w:num w:numId="38">
    <w:abstractNumId w:val="36"/>
  </w:num>
  <w:num w:numId="39">
    <w:abstractNumId w:val="79"/>
  </w:num>
  <w:num w:numId="40">
    <w:abstractNumId w:val="31"/>
  </w:num>
  <w:num w:numId="41">
    <w:abstractNumId w:val="77"/>
  </w:num>
  <w:num w:numId="42">
    <w:abstractNumId w:val="74"/>
  </w:num>
  <w:num w:numId="43">
    <w:abstractNumId w:val="29"/>
  </w:num>
  <w:num w:numId="44">
    <w:abstractNumId w:val="37"/>
  </w:num>
  <w:num w:numId="45">
    <w:abstractNumId w:val="8"/>
  </w:num>
  <w:num w:numId="46">
    <w:abstractNumId w:val="21"/>
  </w:num>
  <w:num w:numId="47">
    <w:abstractNumId w:val="56"/>
  </w:num>
  <w:num w:numId="48">
    <w:abstractNumId w:val="41"/>
  </w:num>
  <w:num w:numId="49">
    <w:abstractNumId w:val="14"/>
  </w:num>
  <w:num w:numId="50">
    <w:abstractNumId w:val="62"/>
  </w:num>
  <w:num w:numId="51">
    <w:abstractNumId w:val="42"/>
  </w:num>
  <w:num w:numId="52">
    <w:abstractNumId w:val="23"/>
  </w:num>
  <w:num w:numId="53">
    <w:abstractNumId w:val="38"/>
  </w:num>
  <w:num w:numId="54">
    <w:abstractNumId w:val="24"/>
  </w:num>
  <w:num w:numId="55">
    <w:abstractNumId w:val="86"/>
  </w:num>
  <w:num w:numId="56">
    <w:abstractNumId w:val="44"/>
  </w:num>
  <w:num w:numId="57">
    <w:abstractNumId w:val="85"/>
  </w:num>
  <w:num w:numId="58">
    <w:abstractNumId w:val="28"/>
  </w:num>
  <w:num w:numId="59">
    <w:abstractNumId w:val="51"/>
  </w:num>
  <w:num w:numId="60">
    <w:abstractNumId w:val="67"/>
  </w:num>
  <w:num w:numId="61">
    <w:abstractNumId w:val="45"/>
  </w:num>
  <w:num w:numId="62">
    <w:abstractNumId w:val="15"/>
  </w:num>
  <w:num w:numId="63">
    <w:abstractNumId w:val="5"/>
  </w:num>
  <w:num w:numId="64">
    <w:abstractNumId w:val="87"/>
  </w:num>
  <w:num w:numId="65">
    <w:abstractNumId w:val="70"/>
  </w:num>
  <w:num w:numId="66">
    <w:abstractNumId w:val="17"/>
  </w:num>
  <w:num w:numId="67">
    <w:abstractNumId w:val="82"/>
  </w:num>
  <w:num w:numId="68">
    <w:abstractNumId w:val="12"/>
  </w:num>
  <w:num w:numId="69">
    <w:abstractNumId w:val="46"/>
  </w:num>
  <w:num w:numId="70">
    <w:abstractNumId w:val="76"/>
  </w:num>
  <w:num w:numId="71">
    <w:abstractNumId w:val="91"/>
  </w:num>
  <w:num w:numId="72">
    <w:abstractNumId w:val="73"/>
  </w:num>
  <w:num w:numId="73">
    <w:abstractNumId w:val="26"/>
  </w:num>
  <w:num w:numId="74">
    <w:abstractNumId w:val="34"/>
  </w:num>
  <w:num w:numId="75">
    <w:abstractNumId w:val="10"/>
  </w:num>
  <w:num w:numId="76">
    <w:abstractNumId w:val="84"/>
  </w:num>
  <w:num w:numId="77">
    <w:abstractNumId w:val="54"/>
  </w:num>
  <w:num w:numId="78">
    <w:abstractNumId w:val="58"/>
  </w:num>
  <w:num w:numId="79">
    <w:abstractNumId w:val="30"/>
  </w:num>
  <w:num w:numId="80">
    <w:abstractNumId w:val="40"/>
  </w:num>
  <w:num w:numId="81">
    <w:abstractNumId w:val="16"/>
  </w:num>
  <w:num w:numId="82">
    <w:abstractNumId w:val="18"/>
  </w:num>
  <w:num w:numId="83">
    <w:abstractNumId w:val="49"/>
  </w:num>
  <w:num w:numId="84">
    <w:abstractNumId w:val="20"/>
  </w:num>
  <w:num w:numId="85">
    <w:abstractNumId w:val="57"/>
  </w:num>
  <w:num w:numId="86">
    <w:abstractNumId w:val="43"/>
  </w:num>
  <w:num w:numId="87">
    <w:abstractNumId w:val="89"/>
  </w:num>
  <w:num w:numId="88">
    <w:abstractNumId w:val="1"/>
  </w:num>
  <w:num w:numId="89">
    <w:abstractNumId w:val="71"/>
  </w:num>
  <w:num w:numId="90">
    <w:abstractNumId w:val="2"/>
  </w:num>
  <w:num w:numId="91">
    <w:abstractNumId w:val="33"/>
  </w:num>
  <w:num w:numId="92">
    <w:abstractNumId w:val="6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AE1"/>
    <w:rsid w:val="0001271E"/>
    <w:rsid w:val="00012E24"/>
    <w:rsid w:val="00013A56"/>
    <w:rsid w:val="00025850"/>
    <w:rsid w:val="00026572"/>
    <w:rsid w:val="00032DC8"/>
    <w:rsid w:val="0003327D"/>
    <w:rsid w:val="00036638"/>
    <w:rsid w:val="00037F92"/>
    <w:rsid w:val="00057BA7"/>
    <w:rsid w:val="0006346B"/>
    <w:rsid w:val="000653BF"/>
    <w:rsid w:val="000721B2"/>
    <w:rsid w:val="000770F7"/>
    <w:rsid w:val="00085870"/>
    <w:rsid w:val="00091572"/>
    <w:rsid w:val="000937D0"/>
    <w:rsid w:val="000A128D"/>
    <w:rsid w:val="000A38CE"/>
    <w:rsid w:val="000B442C"/>
    <w:rsid w:val="000C0060"/>
    <w:rsid w:val="000C0C31"/>
    <w:rsid w:val="000C4B5E"/>
    <w:rsid w:val="000C64B3"/>
    <w:rsid w:val="000E38B9"/>
    <w:rsid w:val="000E5708"/>
    <w:rsid w:val="000F040F"/>
    <w:rsid w:val="000F111F"/>
    <w:rsid w:val="000F4042"/>
    <w:rsid w:val="001117FD"/>
    <w:rsid w:val="001127E9"/>
    <w:rsid w:val="00112DB1"/>
    <w:rsid w:val="00114EC4"/>
    <w:rsid w:val="00117FBD"/>
    <w:rsid w:val="00122F15"/>
    <w:rsid w:val="00127DFB"/>
    <w:rsid w:val="00131455"/>
    <w:rsid w:val="00141291"/>
    <w:rsid w:val="00150B08"/>
    <w:rsid w:val="001520CF"/>
    <w:rsid w:val="00154F38"/>
    <w:rsid w:val="00155FBC"/>
    <w:rsid w:val="00161011"/>
    <w:rsid w:val="00172458"/>
    <w:rsid w:val="00173903"/>
    <w:rsid w:val="00180FE8"/>
    <w:rsid w:val="00193079"/>
    <w:rsid w:val="0019543D"/>
    <w:rsid w:val="001963DF"/>
    <w:rsid w:val="00196716"/>
    <w:rsid w:val="001970B8"/>
    <w:rsid w:val="001A6B3C"/>
    <w:rsid w:val="001B00B6"/>
    <w:rsid w:val="001C02F8"/>
    <w:rsid w:val="001C092A"/>
    <w:rsid w:val="001C2DE6"/>
    <w:rsid w:val="001C41C0"/>
    <w:rsid w:val="001D0628"/>
    <w:rsid w:val="001E3CCC"/>
    <w:rsid w:val="001F2587"/>
    <w:rsid w:val="00207992"/>
    <w:rsid w:val="00211759"/>
    <w:rsid w:val="00215A1D"/>
    <w:rsid w:val="00216B16"/>
    <w:rsid w:val="00222469"/>
    <w:rsid w:val="002259AD"/>
    <w:rsid w:val="00225AD9"/>
    <w:rsid w:val="00236391"/>
    <w:rsid w:val="002371C4"/>
    <w:rsid w:val="00244C08"/>
    <w:rsid w:val="00245B40"/>
    <w:rsid w:val="002524F7"/>
    <w:rsid w:val="002533ED"/>
    <w:rsid w:val="00255CF2"/>
    <w:rsid w:val="00257AB3"/>
    <w:rsid w:val="00261C27"/>
    <w:rsid w:val="002648FF"/>
    <w:rsid w:val="00266DE9"/>
    <w:rsid w:val="00267666"/>
    <w:rsid w:val="00271648"/>
    <w:rsid w:val="00275EB0"/>
    <w:rsid w:val="0028315D"/>
    <w:rsid w:val="00292F3A"/>
    <w:rsid w:val="00296AE8"/>
    <w:rsid w:val="002A15C1"/>
    <w:rsid w:val="002C068B"/>
    <w:rsid w:val="002C20F4"/>
    <w:rsid w:val="002C6541"/>
    <w:rsid w:val="002E4653"/>
    <w:rsid w:val="002F7586"/>
    <w:rsid w:val="002F7BB5"/>
    <w:rsid w:val="00306D56"/>
    <w:rsid w:val="00310368"/>
    <w:rsid w:val="0031416F"/>
    <w:rsid w:val="0031660F"/>
    <w:rsid w:val="00321358"/>
    <w:rsid w:val="00322617"/>
    <w:rsid w:val="00341F9D"/>
    <w:rsid w:val="00351ECC"/>
    <w:rsid w:val="00354FAB"/>
    <w:rsid w:val="003560C4"/>
    <w:rsid w:val="00357A30"/>
    <w:rsid w:val="00360DD7"/>
    <w:rsid w:val="00363C38"/>
    <w:rsid w:val="00364AF5"/>
    <w:rsid w:val="003670AB"/>
    <w:rsid w:val="00372981"/>
    <w:rsid w:val="00374EF3"/>
    <w:rsid w:val="00377EAC"/>
    <w:rsid w:val="003810F7"/>
    <w:rsid w:val="003835E1"/>
    <w:rsid w:val="003853B0"/>
    <w:rsid w:val="00385491"/>
    <w:rsid w:val="00385524"/>
    <w:rsid w:val="00391539"/>
    <w:rsid w:val="003938F2"/>
    <w:rsid w:val="003966D7"/>
    <w:rsid w:val="00397E3C"/>
    <w:rsid w:val="003B7594"/>
    <w:rsid w:val="003B7BD2"/>
    <w:rsid w:val="003B7CFB"/>
    <w:rsid w:val="003C0401"/>
    <w:rsid w:val="003C60C1"/>
    <w:rsid w:val="003D0342"/>
    <w:rsid w:val="003D62FD"/>
    <w:rsid w:val="003E48C5"/>
    <w:rsid w:val="003E6DE8"/>
    <w:rsid w:val="00404078"/>
    <w:rsid w:val="00405041"/>
    <w:rsid w:val="00407418"/>
    <w:rsid w:val="00424DA5"/>
    <w:rsid w:val="00430319"/>
    <w:rsid w:val="0044062C"/>
    <w:rsid w:val="00444CBD"/>
    <w:rsid w:val="00444DA5"/>
    <w:rsid w:val="004471F3"/>
    <w:rsid w:val="00452194"/>
    <w:rsid w:val="00452E53"/>
    <w:rsid w:val="00456109"/>
    <w:rsid w:val="00457B28"/>
    <w:rsid w:val="004614CC"/>
    <w:rsid w:val="00465D05"/>
    <w:rsid w:val="00471EC6"/>
    <w:rsid w:val="00473144"/>
    <w:rsid w:val="00473641"/>
    <w:rsid w:val="004755DC"/>
    <w:rsid w:val="00485874"/>
    <w:rsid w:val="004A019D"/>
    <w:rsid w:val="004A654C"/>
    <w:rsid w:val="004B1604"/>
    <w:rsid w:val="004B2E7F"/>
    <w:rsid w:val="004D00B7"/>
    <w:rsid w:val="004D2802"/>
    <w:rsid w:val="004D2FFB"/>
    <w:rsid w:val="004E0D73"/>
    <w:rsid w:val="004E2823"/>
    <w:rsid w:val="004E459B"/>
    <w:rsid w:val="004F7473"/>
    <w:rsid w:val="00501EBA"/>
    <w:rsid w:val="0050796C"/>
    <w:rsid w:val="00514E74"/>
    <w:rsid w:val="00514FF9"/>
    <w:rsid w:val="00517494"/>
    <w:rsid w:val="00522DCF"/>
    <w:rsid w:val="005260EE"/>
    <w:rsid w:val="00531055"/>
    <w:rsid w:val="0053461A"/>
    <w:rsid w:val="00535010"/>
    <w:rsid w:val="005374FE"/>
    <w:rsid w:val="00540D8A"/>
    <w:rsid w:val="0054167B"/>
    <w:rsid w:val="0055060D"/>
    <w:rsid w:val="00551173"/>
    <w:rsid w:val="00551F15"/>
    <w:rsid w:val="00553818"/>
    <w:rsid w:val="005557FE"/>
    <w:rsid w:val="00564850"/>
    <w:rsid w:val="005859BF"/>
    <w:rsid w:val="005870DA"/>
    <w:rsid w:val="0059638D"/>
    <w:rsid w:val="00596885"/>
    <w:rsid w:val="005A44C5"/>
    <w:rsid w:val="005C0F4A"/>
    <w:rsid w:val="005C3FB7"/>
    <w:rsid w:val="005C696A"/>
    <w:rsid w:val="005D3849"/>
    <w:rsid w:val="005D7ADC"/>
    <w:rsid w:val="005F6F7F"/>
    <w:rsid w:val="00603227"/>
    <w:rsid w:val="00604DA8"/>
    <w:rsid w:val="006228AB"/>
    <w:rsid w:val="00624CAA"/>
    <w:rsid w:val="00625B02"/>
    <w:rsid w:val="006265D4"/>
    <w:rsid w:val="00630A72"/>
    <w:rsid w:val="006326C1"/>
    <w:rsid w:val="00634DCE"/>
    <w:rsid w:val="006440FF"/>
    <w:rsid w:val="00645C7B"/>
    <w:rsid w:val="00646221"/>
    <w:rsid w:val="0065591B"/>
    <w:rsid w:val="0065641E"/>
    <w:rsid w:val="006607B7"/>
    <w:rsid w:val="00661DB4"/>
    <w:rsid w:val="00665C47"/>
    <w:rsid w:val="006714D8"/>
    <w:rsid w:val="00675679"/>
    <w:rsid w:val="00681C86"/>
    <w:rsid w:val="006851D0"/>
    <w:rsid w:val="00695DE8"/>
    <w:rsid w:val="006B06C9"/>
    <w:rsid w:val="006B0F3B"/>
    <w:rsid w:val="006B297D"/>
    <w:rsid w:val="006B4C7A"/>
    <w:rsid w:val="006B7133"/>
    <w:rsid w:val="006C0F5A"/>
    <w:rsid w:val="006C4234"/>
    <w:rsid w:val="006D30EA"/>
    <w:rsid w:val="006D44F3"/>
    <w:rsid w:val="006E1AEF"/>
    <w:rsid w:val="006E5528"/>
    <w:rsid w:val="006E552E"/>
    <w:rsid w:val="006F0C38"/>
    <w:rsid w:val="006F2593"/>
    <w:rsid w:val="006F4FCE"/>
    <w:rsid w:val="006F5599"/>
    <w:rsid w:val="00703991"/>
    <w:rsid w:val="007041EF"/>
    <w:rsid w:val="00707978"/>
    <w:rsid w:val="00712ADC"/>
    <w:rsid w:val="00713C87"/>
    <w:rsid w:val="0072328A"/>
    <w:rsid w:val="00732D48"/>
    <w:rsid w:val="00736325"/>
    <w:rsid w:val="00745479"/>
    <w:rsid w:val="00746FA9"/>
    <w:rsid w:val="00765693"/>
    <w:rsid w:val="0076671F"/>
    <w:rsid w:val="00770679"/>
    <w:rsid w:val="00783533"/>
    <w:rsid w:val="00793A1B"/>
    <w:rsid w:val="007953FE"/>
    <w:rsid w:val="0079779C"/>
    <w:rsid w:val="007A0BFA"/>
    <w:rsid w:val="007A4643"/>
    <w:rsid w:val="007A55BB"/>
    <w:rsid w:val="007A5883"/>
    <w:rsid w:val="007B4677"/>
    <w:rsid w:val="007C0858"/>
    <w:rsid w:val="007C7CA1"/>
    <w:rsid w:val="007D3DB8"/>
    <w:rsid w:val="007D3EE2"/>
    <w:rsid w:val="007E4B81"/>
    <w:rsid w:val="007F5E38"/>
    <w:rsid w:val="00801AE1"/>
    <w:rsid w:val="0080324E"/>
    <w:rsid w:val="00805011"/>
    <w:rsid w:val="008068FE"/>
    <w:rsid w:val="00810D8B"/>
    <w:rsid w:val="00814987"/>
    <w:rsid w:val="0082098E"/>
    <w:rsid w:val="00820F1F"/>
    <w:rsid w:val="008232A8"/>
    <w:rsid w:val="008324B7"/>
    <w:rsid w:val="008352B2"/>
    <w:rsid w:val="008424DE"/>
    <w:rsid w:val="008608AC"/>
    <w:rsid w:val="00866AEE"/>
    <w:rsid w:val="008670E7"/>
    <w:rsid w:val="00876793"/>
    <w:rsid w:val="00880D81"/>
    <w:rsid w:val="00891A75"/>
    <w:rsid w:val="00892E01"/>
    <w:rsid w:val="0089737F"/>
    <w:rsid w:val="008B4905"/>
    <w:rsid w:val="008B4A71"/>
    <w:rsid w:val="008B66CA"/>
    <w:rsid w:val="008C3AA5"/>
    <w:rsid w:val="008C4EB7"/>
    <w:rsid w:val="008D39DF"/>
    <w:rsid w:val="008D4F44"/>
    <w:rsid w:val="008D629D"/>
    <w:rsid w:val="008E0113"/>
    <w:rsid w:val="008E1B7A"/>
    <w:rsid w:val="008E4C53"/>
    <w:rsid w:val="008F7BFE"/>
    <w:rsid w:val="00907B8D"/>
    <w:rsid w:val="0092455F"/>
    <w:rsid w:val="00930817"/>
    <w:rsid w:val="00930D82"/>
    <w:rsid w:val="00932801"/>
    <w:rsid w:val="00932C1E"/>
    <w:rsid w:val="00935366"/>
    <w:rsid w:val="00941021"/>
    <w:rsid w:val="00942C98"/>
    <w:rsid w:val="00943A0D"/>
    <w:rsid w:val="00946EE6"/>
    <w:rsid w:val="00952076"/>
    <w:rsid w:val="00956630"/>
    <w:rsid w:val="00964F9B"/>
    <w:rsid w:val="009679B5"/>
    <w:rsid w:val="0097130C"/>
    <w:rsid w:val="00973F71"/>
    <w:rsid w:val="009750D1"/>
    <w:rsid w:val="00984B0F"/>
    <w:rsid w:val="0098717B"/>
    <w:rsid w:val="009908F5"/>
    <w:rsid w:val="009943AF"/>
    <w:rsid w:val="00997743"/>
    <w:rsid w:val="009A0461"/>
    <w:rsid w:val="009A1099"/>
    <w:rsid w:val="009A1CFD"/>
    <w:rsid w:val="009A282B"/>
    <w:rsid w:val="009A3C27"/>
    <w:rsid w:val="009B21D6"/>
    <w:rsid w:val="009B24C3"/>
    <w:rsid w:val="009C0A17"/>
    <w:rsid w:val="009C2680"/>
    <w:rsid w:val="009C2C5E"/>
    <w:rsid w:val="009D27A5"/>
    <w:rsid w:val="009D3060"/>
    <w:rsid w:val="009D3534"/>
    <w:rsid w:val="009E482E"/>
    <w:rsid w:val="009E4D81"/>
    <w:rsid w:val="009F245A"/>
    <w:rsid w:val="009F3D5A"/>
    <w:rsid w:val="00A00414"/>
    <w:rsid w:val="00A0542F"/>
    <w:rsid w:val="00A1095D"/>
    <w:rsid w:val="00A166BB"/>
    <w:rsid w:val="00A21AB8"/>
    <w:rsid w:val="00A223C3"/>
    <w:rsid w:val="00A2575F"/>
    <w:rsid w:val="00A26478"/>
    <w:rsid w:val="00A36528"/>
    <w:rsid w:val="00A40AA9"/>
    <w:rsid w:val="00A41A65"/>
    <w:rsid w:val="00A47788"/>
    <w:rsid w:val="00A5339F"/>
    <w:rsid w:val="00A64316"/>
    <w:rsid w:val="00A65E2D"/>
    <w:rsid w:val="00A67B2D"/>
    <w:rsid w:val="00A76B79"/>
    <w:rsid w:val="00A84F2A"/>
    <w:rsid w:val="00A8567E"/>
    <w:rsid w:val="00A90B74"/>
    <w:rsid w:val="00A91F44"/>
    <w:rsid w:val="00AA10B5"/>
    <w:rsid w:val="00AA434E"/>
    <w:rsid w:val="00AB3B7A"/>
    <w:rsid w:val="00AC25F5"/>
    <w:rsid w:val="00AD40C6"/>
    <w:rsid w:val="00AD41DE"/>
    <w:rsid w:val="00AD422A"/>
    <w:rsid w:val="00AD6598"/>
    <w:rsid w:val="00AD7018"/>
    <w:rsid w:val="00AE688C"/>
    <w:rsid w:val="00AF1196"/>
    <w:rsid w:val="00AF3458"/>
    <w:rsid w:val="00AF7C2A"/>
    <w:rsid w:val="00B03034"/>
    <w:rsid w:val="00B04ACE"/>
    <w:rsid w:val="00B06651"/>
    <w:rsid w:val="00B077B9"/>
    <w:rsid w:val="00B12942"/>
    <w:rsid w:val="00B16EDE"/>
    <w:rsid w:val="00B23EBF"/>
    <w:rsid w:val="00B25FE4"/>
    <w:rsid w:val="00B353EC"/>
    <w:rsid w:val="00B37D68"/>
    <w:rsid w:val="00B50CAA"/>
    <w:rsid w:val="00B52F70"/>
    <w:rsid w:val="00B6175B"/>
    <w:rsid w:val="00B720CD"/>
    <w:rsid w:val="00B767D8"/>
    <w:rsid w:val="00B855AB"/>
    <w:rsid w:val="00B8631C"/>
    <w:rsid w:val="00B91A50"/>
    <w:rsid w:val="00B96BC8"/>
    <w:rsid w:val="00BA7311"/>
    <w:rsid w:val="00BB11D3"/>
    <w:rsid w:val="00BB1EA2"/>
    <w:rsid w:val="00BC1F66"/>
    <w:rsid w:val="00BC71A8"/>
    <w:rsid w:val="00BD010C"/>
    <w:rsid w:val="00BD1376"/>
    <w:rsid w:val="00BD2E7C"/>
    <w:rsid w:val="00BE449A"/>
    <w:rsid w:val="00BE666F"/>
    <w:rsid w:val="00BF36D4"/>
    <w:rsid w:val="00BF421A"/>
    <w:rsid w:val="00BF6F8B"/>
    <w:rsid w:val="00C00ECA"/>
    <w:rsid w:val="00C0170C"/>
    <w:rsid w:val="00C10C29"/>
    <w:rsid w:val="00C146D2"/>
    <w:rsid w:val="00C154EC"/>
    <w:rsid w:val="00C163AA"/>
    <w:rsid w:val="00C33B05"/>
    <w:rsid w:val="00C370CF"/>
    <w:rsid w:val="00C425E7"/>
    <w:rsid w:val="00C44398"/>
    <w:rsid w:val="00C4523B"/>
    <w:rsid w:val="00C45A1E"/>
    <w:rsid w:val="00C777A5"/>
    <w:rsid w:val="00C82FC8"/>
    <w:rsid w:val="00C87142"/>
    <w:rsid w:val="00C93B52"/>
    <w:rsid w:val="00C94C9C"/>
    <w:rsid w:val="00C96863"/>
    <w:rsid w:val="00CB37FB"/>
    <w:rsid w:val="00CB5761"/>
    <w:rsid w:val="00CC5F44"/>
    <w:rsid w:val="00CD166A"/>
    <w:rsid w:val="00CD674B"/>
    <w:rsid w:val="00CE2D80"/>
    <w:rsid w:val="00CE6C58"/>
    <w:rsid w:val="00CF1DF5"/>
    <w:rsid w:val="00CF6623"/>
    <w:rsid w:val="00CF666D"/>
    <w:rsid w:val="00D03FA8"/>
    <w:rsid w:val="00D0483F"/>
    <w:rsid w:val="00D15AA8"/>
    <w:rsid w:val="00D20DB5"/>
    <w:rsid w:val="00D23DFB"/>
    <w:rsid w:val="00D24A41"/>
    <w:rsid w:val="00D36719"/>
    <w:rsid w:val="00D41851"/>
    <w:rsid w:val="00D5115E"/>
    <w:rsid w:val="00D55610"/>
    <w:rsid w:val="00D617BE"/>
    <w:rsid w:val="00D61F0B"/>
    <w:rsid w:val="00D719A0"/>
    <w:rsid w:val="00D7302F"/>
    <w:rsid w:val="00D74EEF"/>
    <w:rsid w:val="00D75ED4"/>
    <w:rsid w:val="00D814C5"/>
    <w:rsid w:val="00D81B39"/>
    <w:rsid w:val="00D82EDD"/>
    <w:rsid w:val="00D975AF"/>
    <w:rsid w:val="00DA4F86"/>
    <w:rsid w:val="00DA6A30"/>
    <w:rsid w:val="00DB0148"/>
    <w:rsid w:val="00DC08EB"/>
    <w:rsid w:val="00DC0E40"/>
    <w:rsid w:val="00DC2C22"/>
    <w:rsid w:val="00DD13CB"/>
    <w:rsid w:val="00DD4D1B"/>
    <w:rsid w:val="00DE0FEF"/>
    <w:rsid w:val="00DF215C"/>
    <w:rsid w:val="00E11115"/>
    <w:rsid w:val="00E16797"/>
    <w:rsid w:val="00E17DA7"/>
    <w:rsid w:val="00E2221D"/>
    <w:rsid w:val="00E237C5"/>
    <w:rsid w:val="00E2499B"/>
    <w:rsid w:val="00E32654"/>
    <w:rsid w:val="00E346E4"/>
    <w:rsid w:val="00E37F76"/>
    <w:rsid w:val="00E435CA"/>
    <w:rsid w:val="00E4542E"/>
    <w:rsid w:val="00E45C0D"/>
    <w:rsid w:val="00E46073"/>
    <w:rsid w:val="00E5096F"/>
    <w:rsid w:val="00E50C5E"/>
    <w:rsid w:val="00E52CF7"/>
    <w:rsid w:val="00E54F83"/>
    <w:rsid w:val="00E577E0"/>
    <w:rsid w:val="00E70B10"/>
    <w:rsid w:val="00E72C4A"/>
    <w:rsid w:val="00E7466D"/>
    <w:rsid w:val="00E85AD1"/>
    <w:rsid w:val="00E9108B"/>
    <w:rsid w:val="00E91116"/>
    <w:rsid w:val="00EA3F9B"/>
    <w:rsid w:val="00EA68DF"/>
    <w:rsid w:val="00EA6B6D"/>
    <w:rsid w:val="00EC5D63"/>
    <w:rsid w:val="00ED15CF"/>
    <w:rsid w:val="00ED70FC"/>
    <w:rsid w:val="00EE6A04"/>
    <w:rsid w:val="00EF2ACF"/>
    <w:rsid w:val="00EF6F97"/>
    <w:rsid w:val="00F014D3"/>
    <w:rsid w:val="00F021B8"/>
    <w:rsid w:val="00F03EF8"/>
    <w:rsid w:val="00F1576E"/>
    <w:rsid w:val="00F17363"/>
    <w:rsid w:val="00F20691"/>
    <w:rsid w:val="00F23FE4"/>
    <w:rsid w:val="00F3728B"/>
    <w:rsid w:val="00F3785E"/>
    <w:rsid w:val="00F41194"/>
    <w:rsid w:val="00F44FCB"/>
    <w:rsid w:val="00F5055A"/>
    <w:rsid w:val="00F52319"/>
    <w:rsid w:val="00F57EBE"/>
    <w:rsid w:val="00F71EAD"/>
    <w:rsid w:val="00F72330"/>
    <w:rsid w:val="00F80615"/>
    <w:rsid w:val="00F8310D"/>
    <w:rsid w:val="00F84CD8"/>
    <w:rsid w:val="00F8551F"/>
    <w:rsid w:val="00F86AB1"/>
    <w:rsid w:val="00F8706F"/>
    <w:rsid w:val="00F909E9"/>
    <w:rsid w:val="00FA6E5D"/>
    <w:rsid w:val="00FB225C"/>
    <w:rsid w:val="00FB4C05"/>
    <w:rsid w:val="00FC0980"/>
    <w:rsid w:val="00FD212D"/>
    <w:rsid w:val="00FD5BC7"/>
    <w:rsid w:val="00FE10F9"/>
    <w:rsid w:val="00FE3F4D"/>
    <w:rsid w:val="00FE6018"/>
    <w:rsid w:val="00FF172C"/>
    <w:rsid w:val="00FF3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FDCE2"/>
  <w15:docId w15:val="{8071A009-8A6A-4161-A4C6-88591355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1AE1"/>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1">
    <w:name w:val="tabulatory1"/>
    <w:basedOn w:val="Domylnaczcionkaakapitu"/>
    <w:rsid w:val="00801AE1"/>
  </w:style>
  <w:style w:type="character" w:customStyle="1" w:styleId="akapitustep1">
    <w:name w:val="akapitustep1"/>
    <w:rsid w:val="00801AE1"/>
  </w:style>
  <w:style w:type="character" w:customStyle="1" w:styleId="htytul1">
    <w:name w:val="htytul1"/>
    <w:rsid w:val="00801AE1"/>
    <w:rPr>
      <w:b/>
      <w:bCs/>
      <w:sz w:val="27"/>
      <w:szCs w:val="27"/>
    </w:rPr>
  </w:style>
  <w:style w:type="paragraph" w:styleId="Tekstpodstawowywcity3">
    <w:name w:val="Body Text Indent 3"/>
    <w:basedOn w:val="Normalny"/>
    <w:rsid w:val="00F1576E"/>
    <w:pPr>
      <w:widowControl/>
      <w:autoSpaceDE/>
      <w:autoSpaceDN/>
      <w:adjustRightInd/>
      <w:spacing w:after="120"/>
      <w:ind w:left="283" w:right="-360"/>
    </w:pPr>
    <w:rPr>
      <w:rFonts w:ascii="Times New Roman" w:hAnsi="Times New Roman" w:cs="Times New Roman"/>
      <w:sz w:val="16"/>
      <w:szCs w:val="16"/>
    </w:rPr>
  </w:style>
  <w:style w:type="paragraph" w:customStyle="1" w:styleId="ust2art">
    <w:name w:val="ust2 art"/>
    <w:basedOn w:val="Normalny"/>
    <w:rsid w:val="00275EB0"/>
    <w:pPr>
      <w:widowControl/>
      <w:overflowPunct w:val="0"/>
      <w:spacing w:before="60" w:after="60"/>
      <w:jc w:val="both"/>
      <w:textAlignment w:val="baseline"/>
      <w:outlineLvl w:val="4"/>
    </w:pPr>
    <w:rPr>
      <w:rFonts w:ascii="Times New Roman" w:hAnsi="Times New Roman" w:cs="Times New Roman"/>
      <w:sz w:val="24"/>
    </w:rPr>
  </w:style>
  <w:style w:type="character" w:styleId="Odwoanieprzypisukocowego">
    <w:name w:val="endnote reference"/>
    <w:semiHidden/>
    <w:rsid w:val="00131455"/>
    <w:rPr>
      <w:vertAlign w:val="superscript"/>
    </w:rPr>
  </w:style>
  <w:style w:type="character" w:styleId="Hipercze">
    <w:name w:val="Hyperlink"/>
    <w:rsid w:val="008608AC"/>
    <w:rPr>
      <w:color w:val="0563C1"/>
      <w:u w:val="single"/>
    </w:rPr>
  </w:style>
  <w:style w:type="paragraph" w:styleId="Nagwek">
    <w:name w:val="header"/>
    <w:basedOn w:val="Normalny"/>
    <w:link w:val="NagwekZnak"/>
    <w:uiPriority w:val="99"/>
    <w:rsid w:val="00377EAC"/>
    <w:pPr>
      <w:tabs>
        <w:tab w:val="center" w:pos="4536"/>
        <w:tab w:val="right" w:pos="9072"/>
      </w:tabs>
    </w:pPr>
  </w:style>
  <w:style w:type="character" w:customStyle="1" w:styleId="NagwekZnak">
    <w:name w:val="Nagłówek Znak"/>
    <w:link w:val="Nagwek"/>
    <w:uiPriority w:val="99"/>
    <w:rsid w:val="00377EAC"/>
    <w:rPr>
      <w:rFonts w:ascii="Arial" w:hAnsi="Arial" w:cs="Arial"/>
    </w:rPr>
  </w:style>
  <w:style w:type="paragraph" w:styleId="Stopka">
    <w:name w:val="footer"/>
    <w:basedOn w:val="Normalny"/>
    <w:link w:val="StopkaZnak"/>
    <w:uiPriority w:val="99"/>
    <w:rsid w:val="00377EAC"/>
    <w:pPr>
      <w:tabs>
        <w:tab w:val="center" w:pos="4536"/>
        <w:tab w:val="right" w:pos="9072"/>
      </w:tabs>
    </w:pPr>
  </w:style>
  <w:style w:type="character" w:customStyle="1" w:styleId="StopkaZnak">
    <w:name w:val="Stopka Znak"/>
    <w:link w:val="Stopka"/>
    <w:uiPriority w:val="99"/>
    <w:rsid w:val="00377EAC"/>
    <w:rPr>
      <w:rFonts w:ascii="Arial" w:hAnsi="Arial" w:cs="Arial"/>
    </w:rPr>
  </w:style>
  <w:style w:type="paragraph" w:styleId="Tekstdymka">
    <w:name w:val="Balloon Text"/>
    <w:basedOn w:val="Normalny"/>
    <w:link w:val="TekstdymkaZnak"/>
    <w:rsid w:val="00B52F70"/>
    <w:rPr>
      <w:rFonts w:ascii="Segoe UI" w:hAnsi="Segoe UI" w:cs="Segoe UI"/>
      <w:sz w:val="18"/>
      <w:szCs w:val="18"/>
    </w:rPr>
  </w:style>
  <w:style w:type="character" w:customStyle="1" w:styleId="TekstdymkaZnak">
    <w:name w:val="Tekst dymka Znak"/>
    <w:link w:val="Tekstdymka"/>
    <w:rsid w:val="00B52F70"/>
    <w:rPr>
      <w:rFonts w:ascii="Segoe UI" w:hAnsi="Segoe UI" w:cs="Segoe UI"/>
      <w:sz w:val="18"/>
      <w:szCs w:val="18"/>
    </w:rPr>
  </w:style>
  <w:style w:type="paragraph" w:styleId="Akapitzlist">
    <w:name w:val="List Paragraph"/>
    <w:basedOn w:val="Normalny"/>
    <w:link w:val="AkapitzlistZnak"/>
    <w:uiPriority w:val="34"/>
    <w:qFormat/>
    <w:rsid w:val="00D719A0"/>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unhideWhenUsed/>
    <w:rsid w:val="00D719A0"/>
    <w:pPr>
      <w:widowControl/>
      <w:autoSpaceDE/>
      <w:autoSpaceDN/>
      <w:adjustRightInd/>
    </w:pPr>
    <w:rPr>
      <w:rFonts w:ascii="Calibri" w:eastAsia="Calibri" w:hAnsi="Calibri" w:cs="Times New Roman"/>
      <w:lang w:eastAsia="en-US"/>
    </w:rPr>
  </w:style>
  <w:style w:type="character" w:customStyle="1" w:styleId="TekstprzypisudolnegoZnak">
    <w:name w:val="Tekst przypisu dolnego Znak"/>
    <w:link w:val="Tekstprzypisudolnego"/>
    <w:uiPriority w:val="99"/>
    <w:rsid w:val="00D719A0"/>
    <w:rPr>
      <w:rFonts w:ascii="Calibri" w:eastAsia="Calibri" w:hAnsi="Calibri"/>
      <w:lang w:eastAsia="en-US"/>
    </w:rPr>
  </w:style>
  <w:style w:type="character" w:styleId="Odwoanieprzypisudolnego">
    <w:name w:val="footnote reference"/>
    <w:uiPriority w:val="99"/>
    <w:unhideWhenUsed/>
    <w:rsid w:val="00D719A0"/>
    <w:rPr>
      <w:vertAlign w:val="superscript"/>
    </w:rPr>
  </w:style>
  <w:style w:type="character" w:customStyle="1" w:styleId="AkapitzlistZnak">
    <w:name w:val="Akapit z listą Znak"/>
    <w:link w:val="Akapitzlist"/>
    <w:uiPriority w:val="34"/>
    <w:rsid w:val="00D719A0"/>
    <w:rPr>
      <w:rFonts w:ascii="Calibri" w:eastAsia="Calibri" w:hAnsi="Calibri"/>
      <w:sz w:val="22"/>
      <w:szCs w:val="22"/>
      <w:lang w:eastAsia="en-US"/>
    </w:rPr>
  </w:style>
  <w:style w:type="table" w:styleId="Tabela-Siatka">
    <w:name w:val="Table Grid"/>
    <w:basedOn w:val="Standardowy"/>
    <w:uiPriority w:val="39"/>
    <w:rsid w:val="00D719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36325"/>
  </w:style>
  <w:style w:type="character" w:customStyle="1" w:styleId="TekstprzypisukocowegoZnak">
    <w:name w:val="Tekst przypisu końcowego Znak"/>
    <w:link w:val="Tekstprzypisukocowego"/>
    <w:rsid w:val="00736325"/>
    <w:rPr>
      <w:rFonts w:ascii="Arial" w:hAnsi="Arial" w:cs="Arial"/>
    </w:rPr>
  </w:style>
  <w:style w:type="paragraph" w:styleId="NormalnyWeb">
    <w:name w:val="Normal (Web)"/>
    <w:basedOn w:val="Normalny"/>
    <w:uiPriority w:val="99"/>
    <w:unhideWhenUsed/>
    <w:rsid w:val="005D3849"/>
    <w:pPr>
      <w:widowControl/>
      <w:autoSpaceDE/>
      <w:autoSpaceDN/>
      <w:adjustRightInd/>
      <w:spacing w:before="100" w:beforeAutospacing="1" w:after="100" w:afterAutospacing="1"/>
    </w:pPr>
    <w:rPr>
      <w:rFonts w:ascii="Times New Roman" w:hAnsi="Times New Roman" w:cs="Times New Roman"/>
      <w:sz w:val="24"/>
      <w:szCs w:val="24"/>
    </w:rPr>
  </w:style>
  <w:style w:type="character" w:styleId="Pogrubienie">
    <w:name w:val="Strong"/>
    <w:uiPriority w:val="22"/>
    <w:qFormat/>
    <w:rsid w:val="005D3849"/>
    <w:rPr>
      <w:b/>
      <w:bCs/>
    </w:rPr>
  </w:style>
  <w:style w:type="paragraph" w:customStyle="1" w:styleId="Default">
    <w:name w:val="Default"/>
    <w:rsid w:val="005D3849"/>
    <w:pPr>
      <w:autoSpaceDE w:val="0"/>
      <w:autoSpaceDN w:val="0"/>
      <w:adjustRightInd w:val="0"/>
    </w:pPr>
    <w:rPr>
      <w:rFonts w:ascii="Calibri" w:eastAsia="Calibri" w:hAnsi="Calibri" w:cs="Calibri"/>
      <w:color w:val="000000"/>
      <w:sz w:val="24"/>
      <w:szCs w:val="24"/>
      <w:lang w:eastAsia="en-US"/>
    </w:rPr>
  </w:style>
  <w:style w:type="paragraph" w:customStyle="1" w:styleId="ARTartustawynprozporzdzenia">
    <w:name w:val="ART(§) – art. ustawy (§ np. rozporządzenia)"/>
    <w:uiPriority w:val="99"/>
    <w:qFormat/>
    <w:rsid w:val="009A1099"/>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USTustnpkodeksu">
    <w:name w:val="UST(§) – ust. (§ np. kodeksu)"/>
    <w:basedOn w:val="ARTartustawynprozporzdzenia"/>
    <w:uiPriority w:val="12"/>
    <w:qFormat/>
    <w:rsid w:val="009A1099"/>
    <w:pPr>
      <w:spacing w:before="0"/>
    </w:pPr>
    <w:rPr>
      <w:bCs/>
    </w:rPr>
  </w:style>
  <w:style w:type="paragraph" w:customStyle="1" w:styleId="PKTpunkt">
    <w:name w:val="PKT – punkt"/>
    <w:uiPriority w:val="13"/>
    <w:qFormat/>
    <w:rsid w:val="009A1099"/>
    <w:pPr>
      <w:spacing w:line="360" w:lineRule="auto"/>
      <w:ind w:left="510" w:hanging="510"/>
      <w:jc w:val="both"/>
    </w:pPr>
    <w:rPr>
      <w:rFonts w:ascii="Times" w:hAnsi="Times" w:cs="Arial"/>
      <w:bCs/>
      <w:sz w:val="24"/>
    </w:rPr>
  </w:style>
  <w:style w:type="paragraph" w:customStyle="1" w:styleId="TYTDZOZNoznaczenietytuulubdziau">
    <w:name w:val="TYT(DZ)_OZN – oznaczenie tytułu lub działu"/>
    <w:next w:val="Normalny"/>
    <w:uiPriority w:val="9"/>
    <w:qFormat/>
    <w:rsid w:val="009A1099"/>
    <w:pPr>
      <w:keepNext/>
      <w:spacing w:before="120" w:line="360" w:lineRule="auto"/>
      <w:jc w:val="center"/>
    </w:pPr>
    <w:rPr>
      <w:rFonts w:ascii="Times" w:hAnsi="Times" w:cs="Arial"/>
      <w:bCs/>
      <w:caps/>
      <w:kern w:val="24"/>
      <w:sz w:val="24"/>
      <w:szCs w:val="24"/>
    </w:rPr>
  </w:style>
  <w:style w:type="character" w:customStyle="1" w:styleId="IGindeksgrny">
    <w:name w:val="_IG_ – indeks górny"/>
    <w:uiPriority w:val="2"/>
    <w:qFormat/>
    <w:rsid w:val="009A1099"/>
    <w:rPr>
      <w:b w:val="0"/>
      <w:i w:val="0"/>
      <w:vanish w:val="0"/>
      <w:spacing w:val="0"/>
      <w:vertAlign w:val="superscript"/>
    </w:rPr>
  </w:style>
  <w:style w:type="character" w:customStyle="1" w:styleId="Ppogrubienie">
    <w:name w:val="_P_ – pogrubienie"/>
    <w:uiPriority w:val="1"/>
    <w:qFormat/>
    <w:rsid w:val="009A1099"/>
    <w:rPr>
      <w:b/>
    </w:rPr>
  </w:style>
  <w:style w:type="character" w:styleId="UyteHipercze">
    <w:name w:val="FollowedHyperlink"/>
    <w:rsid w:val="00444DA5"/>
    <w:rPr>
      <w:color w:val="954F72"/>
      <w:u w:val="single"/>
    </w:rPr>
  </w:style>
  <w:style w:type="character" w:styleId="Odwoaniedokomentarza">
    <w:name w:val="annotation reference"/>
    <w:rsid w:val="00E346E4"/>
    <w:rPr>
      <w:sz w:val="16"/>
      <w:szCs w:val="16"/>
    </w:rPr>
  </w:style>
  <w:style w:type="paragraph" w:styleId="Tekstkomentarza">
    <w:name w:val="annotation text"/>
    <w:basedOn w:val="Normalny"/>
    <w:link w:val="TekstkomentarzaZnak"/>
    <w:rsid w:val="00E346E4"/>
  </w:style>
  <w:style w:type="character" w:customStyle="1" w:styleId="TekstkomentarzaZnak">
    <w:name w:val="Tekst komentarza Znak"/>
    <w:link w:val="Tekstkomentarza"/>
    <w:rsid w:val="00E346E4"/>
    <w:rPr>
      <w:rFonts w:ascii="Arial" w:hAnsi="Arial" w:cs="Arial"/>
      <w:lang w:val="pl-PL" w:eastAsia="pl-PL"/>
    </w:rPr>
  </w:style>
  <w:style w:type="paragraph" w:styleId="Tematkomentarza">
    <w:name w:val="annotation subject"/>
    <w:basedOn w:val="Tekstkomentarza"/>
    <w:next w:val="Tekstkomentarza"/>
    <w:link w:val="TematkomentarzaZnak"/>
    <w:rsid w:val="00E346E4"/>
    <w:rPr>
      <w:b/>
      <w:bCs/>
    </w:rPr>
  </w:style>
  <w:style w:type="character" w:customStyle="1" w:styleId="TematkomentarzaZnak">
    <w:name w:val="Temat komentarza Znak"/>
    <w:link w:val="Tematkomentarza"/>
    <w:rsid w:val="00E346E4"/>
    <w:rPr>
      <w:rFonts w:ascii="Arial" w:hAnsi="Arial" w:cs="Arial"/>
      <w:b/>
      <w:bCs/>
      <w:lang w:val="pl-PL" w:eastAsia="pl-PL"/>
    </w:rPr>
  </w:style>
  <w:style w:type="paragraph" w:customStyle="1" w:styleId="ZLITPKTzmpktliter">
    <w:name w:val="Z_LIT/PKT – zm. pkt literą"/>
    <w:basedOn w:val="PKTpunkt"/>
    <w:uiPriority w:val="47"/>
    <w:qFormat/>
    <w:rsid w:val="00292F3A"/>
    <w:pPr>
      <w:ind w:left="1497"/>
    </w:pPr>
  </w:style>
  <w:style w:type="paragraph" w:customStyle="1" w:styleId="ZARTzmartartykuempunktem">
    <w:name w:val="Z/ART(§) – zm. art. (§) artykułem (punktem)"/>
    <w:basedOn w:val="ARTartustawynprozporzdzenia"/>
    <w:uiPriority w:val="99"/>
    <w:qFormat/>
    <w:rsid w:val="00A2575F"/>
    <w:pPr>
      <w:spacing w:before="0"/>
      <w:ind w:left="510"/>
    </w:pPr>
  </w:style>
  <w:style w:type="paragraph" w:customStyle="1" w:styleId="ZLITwPKTzmlitwpktartykuempunktem">
    <w:name w:val="Z/LIT_w_PKT – zm. lit. w pkt artykułem (punktem)"/>
    <w:basedOn w:val="Normalny"/>
    <w:uiPriority w:val="32"/>
    <w:qFormat/>
    <w:rsid w:val="00267666"/>
    <w:pPr>
      <w:widowControl/>
      <w:autoSpaceDE/>
      <w:autoSpaceDN/>
      <w:adjustRightInd/>
      <w:spacing w:line="360" w:lineRule="auto"/>
      <w:ind w:left="1497" w:hanging="476"/>
      <w:jc w:val="both"/>
    </w:pPr>
    <w:rPr>
      <w:rFonts w:ascii="Times" w:hAnsi="Times"/>
      <w:bCs/>
      <w:sz w:val="24"/>
    </w:rPr>
  </w:style>
  <w:style w:type="paragraph" w:customStyle="1" w:styleId="ZPKTzmpktartykuempunktem">
    <w:name w:val="Z/PKT – zm. pkt artykułem (punktem)"/>
    <w:basedOn w:val="PKTpunkt"/>
    <w:uiPriority w:val="31"/>
    <w:qFormat/>
    <w:rsid w:val="00267666"/>
    <w:pPr>
      <w:ind w:left="1020"/>
    </w:pPr>
  </w:style>
  <w:style w:type="paragraph" w:customStyle="1" w:styleId="ZUSTzmustartykuempunktem">
    <w:name w:val="Z/UST(§) – zm. ust. (§) artykułem (punktem)"/>
    <w:basedOn w:val="ZARTzmartartykuempunktem"/>
    <w:uiPriority w:val="30"/>
    <w:qFormat/>
    <w:rsid w:val="00FC0980"/>
  </w:style>
  <w:style w:type="paragraph" w:customStyle="1" w:styleId="ZTIRzmtirartykuempunktem">
    <w:name w:val="Z/TIR – zm. tir. artykułem (punktem)"/>
    <w:basedOn w:val="Normalny"/>
    <w:next w:val="Normalny"/>
    <w:uiPriority w:val="33"/>
    <w:qFormat/>
    <w:rsid w:val="00770679"/>
    <w:pPr>
      <w:widowControl/>
      <w:autoSpaceDE/>
      <w:autoSpaceDN/>
      <w:adjustRightInd/>
      <w:spacing w:line="360" w:lineRule="auto"/>
      <w:ind w:left="907" w:hanging="397"/>
      <w:jc w:val="both"/>
    </w:pPr>
    <w:rPr>
      <w:rFonts w:ascii="Times" w:hAnsi="Times"/>
      <w:bCs/>
      <w:sz w:val="24"/>
    </w:rPr>
  </w:style>
  <w:style w:type="paragraph" w:customStyle="1" w:styleId="ZLITLITwPKTzmlitwpktliter">
    <w:name w:val="Z_LIT/LIT_w_PKT – zm. lit. w pkt literą"/>
    <w:basedOn w:val="Normalny"/>
    <w:uiPriority w:val="48"/>
    <w:qFormat/>
    <w:rsid w:val="00E2499B"/>
    <w:pPr>
      <w:widowControl/>
      <w:autoSpaceDE/>
      <w:autoSpaceDN/>
      <w:adjustRightInd/>
      <w:spacing w:line="360" w:lineRule="auto"/>
      <w:ind w:left="1973" w:hanging="476"/>
      <w:jc w:val="both"/>
    </w:pPr>
    <w:rPr>
      <w:rFonts w:ascii="Times" w:hAnsi="Times"/>
      <w:bCs/>
      <w:sz w:val="24"/>
    </w:rPr>
  </w:style>
  <w:style w:type="paragraph" w:styleId="Poprawka">
    <w:name w:val="Revision"/>
    <w:hidden/>
    <w:uiPriority w:val="99"/>
    <w:semiHidden/>
    <w:rsid w:val="00D20DB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11541">
      <w:bodyDiv w:val="1"/>
      <w:marLeft w:val="0"/>
      <w:marRight w:val="0"/>
      <w:marTop w:val="0"/>
      <w:marBottom w:val="0"/>
      <w:divBdr>
        <w:top w:val="none" w:sz="0" w:space="0" w:color="auto"/>
        <w:left w:val="none" w:sz="0" w:space="0" w:color="auto"/>
        <w:bottom w:val="none" w:sz="0" w:space="0" w:color="auto"/>
        <w:right w:val="none" w:sz="0" w:space="0" w:color="auto"/>
      </w:divBdr>
    </w:div>
    <w:div w:id="917904601">
      <w:bodyDiv w:val="1"/>
      <w:marLeft w:val="0"/>
      <w:marRight w:val="0"/>
      <w:marTop w:val="0"/>
      <w:marBottom w:val="0"/>
      <w:divBdr>
        <w:top w:val="none" w:sz="0" w:space="0" w:color="auto"/>
        <w:left w:val="none" w:sz="0" w:space="0" w:color="auto"/>
        <w:bottom w:val="none" w:sz="0" w:space="0" w:color="auto"/>
        <w:right w:val="none" w:sz="0" w:space="0" w:color="auto"/>
      </w:divBdr>
    </w:div>
    <w:div w:id="10653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rgystorageexchange.org/proje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swi.ptpiree.pl/aktualnosc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s.jrc.ec.europa.eu/smart-metering-deployment-european-un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se.pl/aktualnosci-rynku-mocy/-/asset_publisher/XaFia9l65YKy/content/rynek-mocy-w-liczbach-certyfikacja-ogolna-20-2?safeargs=696e686572697452656469726563743d66616c73652672656469726563743d68747470732533412532462532467777772e7073652e706c253246616b7475616c6e6f7363692d72796e6b752d6d6f6379253346705f705f69642533443130315f494e5354414e43455f5861466961396c3635594b79253236705f705f6c6966656379636c6525334430253236705f705f73746174652533446e6f726d616c253236705f705f6d6f646525334476696577253236705f705f636f6c5f6964253344636f6c756d6e2d32253236705f705f636f6c5f636f756e7425334431" TargetMode="External"/><Relationship Id="rId2" Type="http://schemas.openxmlformats.org/officeDocument/2006/relationships/hyperlink" Target="http://www.senat.gov.pl/prace/komisje-senackie/przebieg,6946,1.html" TargetMode="External"/><Relationship Id="rId1" Type="http://schemas.openxmlformats.org/officeDocument/2006/relationships/hyperlink" Target="https://bip.ure.gov.pl/bip/rejestry-i-bazy/operatorzy-systemow-el/787,Operatorzy-systemow-elektroenergetycznych-dane-adresowe-i-obszary-dzialania.html" TargetMode="External"/><Relationship Id="rId4" Type="http://schemas.openxmlformats.org/officeDocument/2006/relationships/hyperlink" Target="http://www.ure.gov.pl/pl/urzad/informacje-ogolne/aktualnosci/4638,Stanowisko-Regulatora-w-sprawie-Operatora-Informacji-Pomiarowej.html?search=778946450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82F1-A7FF-431B-891C-461EEEAC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88</Pages>
  <Words>30823</Words>
  <Characters>184938</Characters>
  <Application>Microsoft Office Word</Application>
  <DocSecurity>0</DocSecurity>
  <Lines>1541</Lines>
  <Paragraphs>430</Paragraphs>
  <ScaleCrop>false</ScaleCrop>
  <HeadingPairs>
    <vt:vector size="2" baseType="variant">
      <vt:variant>
        <vt:lpstr>Tytuł</vt:lpstr>
      </vt:variant>
      <vt:variant>
        <vt:i4>1</vt:i4>
      </vt:variant>
    </vt:vector>
  </HeadingPairs>
  <TitlesOfParts>
    <vt:vector size="1" baseType="lpstr">
      <vt:lpstr>Dział X</vt:lpstr>
    </vt:vector>
  </TitlesOfParts>
  <Company>Ministerstwo Gospodarki</Company>
  <LinksUpToDate>false</LinksUpToDate>
  <CharactersWithSpaces>215331</CharactersWithSpaces>
  <SharedDoc>false</SharedDoc>
  <HLinks>
    <vt:vector size="42" baseType="variant">
      <vt:variant>
        <vt:i4>2818172</vt:i4>
      </vt:variant>
      <vt:variant>
        <vt:i4>6</vt:i4>
      </vt:variant>
      <vt:variant>
        <vt:i4>0</vt:i4>
      </vt:variant>
      <vt:variant>
        <vt:i4>5</vt:i4>
      </vt:variant>
      <vt:variant>
        <vt:lpwstr>http://www.cswi.ptpiree.pl/aktualnosci</vt:lpwstr>
      </vt:variant>
      <vt:variant>
        <vt:lpwstr/>
      </vt:variant>
      <vt:variant>
        <vt:i4>6029399</vt:i4>
      </vt:variant>
      <vt:variant>
        <vt:i4>3</vt:i4>
      </vt:variant>
      <vt:variant>
        <vt:i4>0</vt:i4>
      </vt:variant>
      <vt:variant>
        <vt:i4>5</vt:i4>
      </vt:variant>
      <vt:variant>
        <vt:lpwstr>https://ses.jrc.ec.europa.eu/smart-metering-deployment-european-union</vt:lpwstr>
      </vt:variant>
      <vt:variant>
        <vt:lpwstr/>
      </vt:variant>
      <vt:variant>
        <vt:i4>3604514</vt:i4>
      </vt:variant>
      <vt:variant>
        <vt:i4>0</vt:i4>
      </vt:variant>
      <vt:variant>
        <vt:i4>0</vt:i4>
      </vt:variant>
      <vt:variant>
        <vt:i4>5</vt:i4>
      </vt:variant>
      <vt:variant>
        <vt:lpwstr>https://www.energystorageexchange.org/projects</vt:lpwstr>
      </vt:variant>
      <vt:variant>
        <vt:lpwstr/>
      </vt:variant>
      <vt:variant>
        <vt:i4>5111890</vt:i4>
      </vt:variant>
      <vt:variant>
        <vt:i4>9</vt:i4>
      </vt:variant>
      <vt:variant>
        <vt:i4>0</vt:i4>
      </vt:variant>
      <vt:variant>
        <vt:i4>5</vt:i4>
      </vt:variant>
      <vt:variant>
        <vt:lpwstr>http://www.ure.gov.pl/pl/urzad/informacje-ogolne/aktualnosci/4638,Stanowisko-Regulatora-w-sprawie-Operatora-Informacji-Pomiarowej.html?search=7789464507</vt:lpwstr>
      </vt:variant>
      <vt:variant>
        <vt:lpwstr/>
      </vt:variant>
      <vt:variant>
        <vt:i4>5636149</vt:i4>
      </vt:variant>
      <vt:variant>
        <vt:i4>6</vt:i4>
      </vt:variant>
      <vt:variant>
        <vt:i4>0</vt:i4>
      </vt:variant>
      <vt:variant>
        <vt:i4>5</vt:i4>
      </vt:variant>
      <vt:variant>
        <vt:lpwstr>https://www.pse.pl/aktualnosci-rynku-mocy/-/asset_publisher/XaFia9l65YKy/content/rynek-mocy-w-liczbach-certyfikacja-ogolna-20-2?safeargs=696e686572697452656469726563743d66616c73652672656469726563743d68747470732533412532462532467777772e7073652e706c253246616b7475616c6e6f7363692d72796e6b752d6d6f6379253346705f705f69642533443130315f494e5354414e43455f5861466961396c3635594b79253236705f705f6c6966656379636c6525334430253236705f705f73746174652533446e6f726d616c253236705f705f6d6f646525334476696577253236705f705f636f6c5f6964253344636f6c756d6e2d32253236705f705f636f6c5f636f756e7425334431</vt:lpwstr>
      </vt:variant>
      <vt:variant>
        <vt:lpwstr/>
      </vt:variant>
      <vt:variant>
        <vt:i4>6488166</vt:i4>
      </vt:variant>
      <vt:variant>
        <vt:i4>3</vt:i4>
      </vt:variant>
      <vt:variant>
        <vt:i4>0</vt:i4>
      </vt:variant>
      <vt:variant>
        <vt:i4>5</vt:i4>
      </vt:variant>
      <vt:variant>
        <vt:lpwstr>http://www.senat.gov.pl/prace/komisje-senackie/przebieg,6946,1.html</vt:lpwstr>
      </vt:variant>
      <vt:variant>
        <vt:lpwstr/>
      </vt:variant>
      <vt:variant>
        <vt:i4>2097201</vt:i4>
      </vt:variant>
      <vt:variant>
        <vt:i4>0</vt:i4>
      </vt:variant>
      <vt:variant>
        <vt:i4>0</vt:i4>
      </vt:variant>
      <vt:variant>
        <vt:i4>5</vt:i4>
      </vt:variant>
      <vt:variant>
        <vt:lpwstr>https://bip.ure.gov.pl/bip/rejestry-i-bazy/operatorzy-systemow-el/787,Operatorzy-systemow-elektroenergetycznych-dane-adresowe-i-obszary-dzialania.html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X</dc:title>
  <dc:subject/>
  <dc:creator>Bartuszek Łukasz</dc:creator>
  <cp:keywords/>
  <cp:lastModifiedBy>PIKUS Paweł</cp:lastModifiedBy>
  <cp:revision>8</cp:revision>
  <cp:lastPrinted>2019-05-08T06:53:00Z</cp:lastPrinted>
  <dcterms:created xsi:type="dcterms:W3CDTF">2020-08-27T13:20:00Z</dcterms:created>
  <dcterms:modified xsi:type="dcterms:W3CDTF">2020-09-10T17:56:00Z</dcterms:modified>
</cp:coreProperties>
</file>