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6" w:rsidRDefault="00A41CF6" w:rsidP="00A41CF6">
      <w:pPr>
        <w:pStyle w:val="OZNRODZAKTUtznustawalubrozporzdzenieiorganwydajcy"/>
      </w:pPr>
      <w:bookmarkStart w:id="0" w:name="_GoBack"/>
      <w:bookmarkEnd w:id="0"/>
      <w:r>
        <w:t>uzasadnienie</w:t>
      </w:r>
    </w:p>
    <w:p w:rsidR="00A41CF6" w:rsidRDefault="005B516D" w:rsidP="00EF2E46">
      <w:pPr>
        <w:pStyle w:val="NIEARTTEKSTtekstnieartykuowanynppodstprawnarozplubpreambua"/>
      </w:pPr>
      <w:r>
        <w:t>Projektowane rozporządzenie stanowi wykonanie upoważnienia ustawowego zawartego w art. 82 ust. 7 ustawy z dnia 29 lipca 2005 r. o ofercie publicznej i warunkach wprowadzania instrumentów finansowych do zorganizowanego systemu obrotu oraz o spółkach publicznych (Dz. U. z 2019 r. poz. 623, z późn. zm.)</w:t>
      </w:r>
      <w:r w:rsidR="0009776C">
        <w:t xml:space="preserve">, zwanej dalej </w:t>
      </w:r>
      <w:r w:rsidR="0009776C" w:rsidRPr="00BE0469">
        <w:t>„</w:t>
      </w:r>
      <w:r w:rsidR="0009776C">
        <w:t>ustawą o ofercie publicznej</w:t>
      </w:r>
      <w:r w:rsidR="0009776C" w:rsidRPr="00BE0469">
        <w:t>”</w:t>
      </w:r>
      <w:r>
        <w:t>. Zgodnie z tym przepisem minister właściwy do spraw instytucji finansowych określi szczegółowy sposób ogłaszania informacji o zamiarze nabycia akc</w:t>
      </w:r>
      <w:r w:rsidR="00EF2E46">
        <w:t>ji w drodze przymusowego wykupu</w:t>
      </w:r>
      <w:r w:rsidR="00EF2E46">
        <w:br/>
      </w:r>
      <w:r>
        <w:t>i szczegółowe warunki nabywania akcji, uwzględniając konieczność zapewnienia zbywcom możliwości właściwej oceny warunków nabywania akcji w drodze przymusowego wykupu oraz konieczność ukształtowania tych warunków przy zapewnieniu zr</w:t>
      </w:r>
      <w:r w:rsidR="002F4EA1">
        <w:t>ównania uprawnień zbywców akcji.</w:t>
      </w:r>
    </w:p>
    <w:p w:rsidR="0009776C" w:rsidRPr="0009776C" w:rsidRDefault="0009776C" w:rsidP="00EF2E46">
      <w:pPr>
        <w:pStyle w:val="NIEARTTEKSTtekstnieartykuowanynppodstprawnarozplubpreambua"/>
      </w:pPr>
      <w:r>
        <w:t>Na podstawie art. 82 ust. 7 ustawy o ofercie publicznej zostało wydane rozporządzenie Ministra Finansów z dnia 14 listopada 2005 r. w sprawie na</w:t>
      </w:r>
      <w:r w:rsidR="00EF2E46">
        <w:t>bywania akcji spółki publicznej</w:t>
      </w:r>
      <w:r w:rsidR="00EF2E46">
        <w:br/>
      </w:r>
      <w:r>
        <w:t xml:space="preserve">w drodze przymusowego wykupu (Dz. U. poz. 1948), zwane dalej </w:t>
      </w:r>
      <w:r w:rsidRPr="00BE0469">
        <w:t>„</w:t>
      </w:r>
      <w:r>
        <w:t>uchylanym rozporządzeniem</w:t>
      </w:r>
      <w:r w:rsidRPr="00BE0469">
        <w:t>”</w:t>
      </w:r>
      <w:r>
        <w:t xml:space="preserve">. </w:t>
      </w:r>
      <w:r w:rsidR="00B310AF">
        <w:t>Projektodawca nie zdecydował się przy tym na nowelizację tego rozporządzenia, a na wydanie nowego rozporządzenia. Wynika to z szerokiego zakresu zmian wprowadzanych projektowanym rozporządzeniem w stosunku do uchylanego rozporządzenia. Ewentualna nowelizacja uchylanego rozporządzenia objęłaby zdecydowaną większość jego przepisów i uczyniłaby ten akt prawny mało czytelnym. Z tego powodu bardziej adekwatne wydaje się wydanie nowego rozporządzenia.</w:t>
      </w:r>
    </w:p>
    <w:p w:rsidR="005B516D" w:rsidRDefault="005B516D" w:rsidP="00EF2E46">
      <w:pPr>
        <w:pStyle w:val="NIEARTTEKSTtekstnieartykuowanynppodstprawnarozplubpreambua"/>
      </w:pPr>
      <w:r>
        <w:t xml:space="preserve">Podstawowym celem projektowanego rozporządzenia jest dostosowanie przepisów </w:t>
      </w:r>
      <w:r w:rsidR="0015665E">
        <w:t>regulujących sposób nabywania akcji spółki publicznej w drodze przymusowego wykupu</w:t>
      </w:r>
      <w:r w:rsidR="0015665E">
        <w:br/>
      </w:r>
      <w:r>
        <w:t>do zmian związanych z powszechną dematerializacją akcji. Na podstawie ustawy</w:t>
      </w:r>
      <w:r w:rsidR="0015665E">
        <w:t xml:space="preserve"> z dnia</w:t>
      </w:r>
      <w:r w:rsidR="0015665E">
        <w:br/>
      </w:r>
      <w:r>
        <w:t xml:space="preserve">30 sierpnia 2019 r. o zmianie ustawy – Kodeks spółek handlowych oraz niektórych innych ustaw (Dz. U. poz. 1798, z późn. zm.), z dniem 1 marca 2021 r. </w:t>
      </w:r>
      <w:r w:rsidR="0009776C">
        <w:t>wszystkie dokumenty akcji utracą moc, a stan posiadania akcjonariuszy spółek, których akcje miały wcześniej formę dokumentu, będzie ustalany w oparciu o zapisy w rejestrach akcjonariuszy, prowadzonych przez podmioty uprawnione do prowadzenia rachunków papierów wartościowych.</w:t>
      </w:r>
    </w:p>
    <w:p w:rsidR="0009776C" w:rsidRDefault="00B310AF" w:rsidP="00EF2E46">
      <w:pPr>
        <w:pStyle w:val="NIEARTTEKSTtekstnieartykuowanynppodstprawnarozplubpreambua"/>
      </w:pPr>
      <w:r>
        <w:t xml:space="preserve">Ponadto projektowane rozporządzenie zawiera </w:t>
      </w:r>
      <w:r w:rsidR="00EF2E46">
        <w:t>zmiany związane z wprowadzeniem</w:t>
      </w:r>
      <w:r w:rsidR="00EF2E46">
        <w:br/>
      </w:r>
      <w:r>
        <w:t>w ustawie o ofercie publicznej nowych zasad ustalania minimalnej ceny wykupu akcji wprowadzonych do alternatywnego systemu obrotu.</w:t>
      </w:r>
    </w:p>
    <w:p w:rsidR="00B310AF" w:rsidRDefault="00B310AF" w:rsidP="00EF2E46">
      <w:pPr>
        <w:pStyle w:val="NIEARTTEKSTtekstnieartykuowanynppodstprawnarozplubpreambua"/>
      </w:pPr>
      <w:r>
        <w:lastRenderedPageBreak/>
        <w:t>Ostatnią grupą zmian wprowadzanych projektowanym rozporządzeniem są zmiany związane z postępem technologicznym i zmianą zwyczajów panujących w obrocie gospodarczym od 2005 r., tj. od dnia wejścia w życie uchylanego rozporządzenia.</w:t>
      </w:r>
    </w:p>
    <w:p w:rsidR="00B310AF" w:rsidRDefault="00B310AF" w:rsidP="00EF2E46">
      <w:pPr>
        <w:pStyle w:val="NIEARTTEKSTtekstnieartykuowanynppodstprawnarozplubpreambua"/>
      </w:pPr>
      <w:r>
        <w:t>Ze względu na zasadnicze podobieństwo regulacji</w:t>
      </w:r>
      <w:r w:rsidR="00EF2E46">
        <w:t xml:space="preserve"> prawnych zawartych</w:t>
      </w:r>
      <w:r w:rsidR="00EF2E46">
        <w:br/>
      </w:r>
      <w:r>
        <w:t>w projektowanym rozporządzeniu oraz w uchylanym rozporządzeniu, szczegółowe omówienie przepisów projektowanego rozporządzenia nastąpi przez porównanie projektowanych rozwiązań z odpowiednimi przepisami uchylanego rozporządzenia.</w:t>
      </w:r>
    </w:p>
    <w:p w:rsidR="00B310AF" w:rsidRDefault="00B310AF" w:rsidP="00EF2E46">
      <w:pPr>
        <w:pStyle w:val="NIEARTTEKSTtekstnieartykuowanynppodstprawnarozplubpreambua"/>
      </w:pPr>
      <w:r w:rsidRPr="00EF2E46">
        <w:rPr>
          <w:rStyle w:val="Ppogrubienie"/>
        </w:rPr>
        <w:t>§ 1 projektowanego rozporządzenia</w:t>
      </w:r>
      <w:r>
        <w:t xml:space="preserve"> stanowi ogólne określenie </w:t>
      </w:r>
      <w:r w:rsidR="00EF2E46">
        <w:t>przedmiotu regulacji</w:t>
      </w:r>
      <w:r w:rsidR="00EF2E46">
        <w:br/>
      </w:r>
      <w:r w:rsidR="00A60279">
        <w:t>i stanowi powtórzenie § 1 uchylanego rozporządzenia.</w:t>
      </w:r>
    </w:p>
    <w:p w:rsidR="00A60279" w:rsidRDefault="00A60279" w:rsidP="00EF2E46">
      <w:pPr>
        <w:pStyle w:val="NIEARTTEKSTtekstnieartykuowanynppodstprawnarozplubpreambua"/>
      </w:pPr>
      <w:r>
        <w:t xml:space="preserve">W </w:t>
      </w:r>
      <w:r w:rsidRPr="00EF2E46">
        <w:rPr>
          <w:rStyle w:val="Ppogrubienie"/>
        </w:rPr>
        <w:t>§ 2 projektu</w:t>
      </w:r>
      <w:r>
        <w:t xml:space="preserve"> zawarto słowniczek po</w:t>
      </w:r>
      <w:r w:rsidR="00EF2E46">
        <w:t>jęć używanych w rozporządzeniu.</w:t>
      </w:r>
      <w:r w:rsidR="00EF2E46">
        <w:br/>
      </w:r>
      <w:r>
        <w:t xml:space="preserve">W porównaniu z uchylanym rozporządzeniem, zrezygnowano z wprowadzania skrótowego określenia </w:t>
      </w:r>
      <w:r w:rsidRPr="00BE0469">
        <w:t>„</w:t>
      </w:r>
      <w:r>
        <w:t>Kodeksu spółek handlowych</w:t>
      </w:r>
      <w:r w:rsidRPr="00BE0469">
        <w:t>”</w:t>
      </w:r>
      <w:r>
        <w:t xml:space="preserve">, ponieważ odniesienia do tej ustawy nie pojawiają się w tekście projektowanego rozporządzenia. </w:t>
      </w:r>
      <w:r w:rsidR="00756BDA">
        <w:t xml:space="preserve">Nie definiuje się również „Krajowego Depozytu”, ponieważ znaczenie tego skrótu zostało już określone w ustawie o ofercie publicznej. </w:t>
      </w:r>
      <w:r>
        <w:t>Ponadto pojęcia zdefiniowane w słowniczku zostały uszeregowane alfabetycznie, aby zachować zgodność z zasadami techniki prawodawczej.</w:t>
      </w:r>
    </w:p>
    <w:p w:rsidR="00A60279" w:rsidRDefault="00A60279" w:rsidP="00EF2E46">
      <w:pPr>
        <w:pStyle w:val="NIEARTTEKSTtekstnieartykuowanynppodstprawnarozplubpreambua"/>
      </w:pPr>
      <w:r w:rsidRPr="00EF2E46">
        <w:rPr>
          <w:rStyle w:val="Ppogrubienie"/>
        </w:rPr>
        <w:t>§ 3 projektowanego rozporządzenia</w:t>
      </w:r>
      <w:r>
        <w:t xml:space="preserve"> określa zasady ogłaszania </w:t>
      </w:r>
      <w:r w:rsidRPr="00B24081">
        <w:t>zam</w:t>
      </w:r>
      <w:r>
        <w:t>iaru nabycia akcji w drodze przy</w:t>
      </w:r>
      <w:r w:rsidRPr="00B24081">
        <w:t>musowego wykupu</w:t>
      </w:r>
      <w:r>
        <w:t xml:space="preserve">. W </w:t>
      </w:r>
      <w:r w:rsidRPr="00EF2E46">
        <w:rPr>
          <w:rStyle w:val="Ppogrubienie"/>
        </w:rPr>
        <w:t>ust. 1 pkt 4</w:t>
      </w:r>
      <w:r>
        <w:t xml:space="preserve"> zrezygnowano z konieczności podawania </w:t>
      </w:r>
      <w:r w:rsidR="007305C5">
        <w:t xml:space="preserve">numeru faksu podmiotu pośredniczącego </w:t>
      </w:r>
      <w:r>
        <w:t>w informacji na temat przymusowego wykupu</w:t>
      </w:r>
      <w:r w:rsidR="00EF2E46">
        <w:t>,</w:t>
      </w:r>
      <w:r w:rsidR="00EF2E46">
        <w:br/>
      </w:r>
      <w:r>
        <w:t>ze względu na wyjście tych urządzeń z powszechnego użycia.</w:t>
      </w:r>
    </w:p>
    <w:p w:rsidR="007305C5" w:rsidRDefault="007305C5" w:rsidP="00EF2E46">
      <w:pPr>
        <w:pStyle w:val="NIEARTTEKSTtekstnieartykuowanynppodstprawnarozplubpreambua"/>
      </w:pPr>
      <w:r w:rsidRPr="00EF2E46">
        <w:rPr>
          <w:rStyle w:val="Ppogrubienie"/>
        </w:rPr>
        <w:t>§ 3 ust. 1 pkt 9</w:t>
      </w:r>
      <w:r>
        <w:t xml:space="preserve"> zobowiązuje podmiot pośred</w:t>
      </w:r>
      <w:r w:rsidR="00EF2E46">
        <w:t>niczący do podania w informacji</w:t>
      </w:r>
      <w:r w:rsidR="00EF2E46">
        <w:br/>
      </w:r>
      <w:r>
        <w:t xml:space="preserve">o przymusowym wykupie minimalnej ceny wykupu akcji, ustalonej zgodnie z zasadami przewidzianymi na poziomie ustawowym. W związku z tym, że z dniem 30 listopada 2019 r. weszła w życie ustawa z dnia 15 października 2019 r. o zmianie ustawy o </w:t>
      </w:r>
      <w:r w:rsidR="00EF2E46">
        <w:t>ofercie publicznej</w:t>
      </w:r>
      <w:r w:rsidR="00EF2E46">
        <w:br/>
      </w:r>
      <w:r>
        <w:t>i warunkach wprowadzania instrumentów finansowych do zorganizowanego systemu obrotu oraz o spółkach publicznych (Dz. U. poz. 2217, z późn. zm.), która wprowadziła nowe zasady ustalania minimalnej ceny wykupu akcji wprowadzonych do alternatywnego systemu obrotu, przepis § 3 ust. 1 pkt 9 został doprecyzowany przez wskazanie, że dotyczy on jedynie wykupu akcji dopuszczonych do obrotu na rynku regulowanym. Art.</w:t>
      </w:r>
      <w:r w:rsidR="00EF2E46">
        <w:t xml:space="preserve"> 79 ust. 1–3 ustawy</w:t>
      </w:r>
      <w:r w:rsidR="00EF2E46">
        <w:br/>
      </w:r>
      <w:r>
        <w:t>o ofercie publicznej określają bowiem obecnie zasady ustalania minimalnej ceny wykupu wyłącznie w odniesieniu do akcji dopuszczonych do obrotu na rynku regulowanym. Z</w:t>
      </w:r>
      <w:r w:rsidR="00EF2E46">
        <w:t xml:space="preserve"> kolei</w:t>
      </w:r>
      <w:r w:rsidR="00EF2E46">
        <w:br/>
      </w:r>
      <w:r>
        <w:t xml:space="preserve">w odniesieniu do akcji wprowadzonych do alternatywnego systemu obrotu, </w:t>
      </w:r>
      <w:r w:rsidRPr="00EF2E46">
        <w:rPr>
          <w:rStyle w:val="Ppogrubienie"/>
        </w:rPr>
        <w:t xml:space="preserve">§ 3 ust. 1 pkt 10 </w:t>
      </w:r>
      <w:r w:rsidRPr="00EF2E46">
        <w:rPr>
          <w:rStyle w:val="Ppogrubienie"/>
        </w:rPr>
        <w:lastRenderedPageBreak/>
        <w:t>projektowanego rozporządzenia</w:t>
      </w:r>
      <w:r>
        <w:t xml:space="preserve"> odsyła do regulujących ten przypadek art. 91 ust. 6–8 ustawy o ofercie publicznej.</w:t>
      </w:r>
    </w:p>
    <w:p w:rsidR="007305C5" w:rsidRDefault="007305C5" w:rsidP="00EF2E46">
      <w:pPr>
        <w:pStyle w:val="NIEARTTEKSTtekstnieartykuowanynppodstprawnarozplubpreambua"/>
      </w:pPr>
      <w:r w:rsidRPr="00EF2E46">
        <w:rPr>
          <w:rStyle w:val="Ppogrubienie"/>
        </w:rPr>
        <w:t>§ 3 ust. 1 pkt 16</w:t>
      </w:r>
      <w:r>
        <w:t xml:space="preserve">, będący odpowiednikiem § 3 ust. 1 pkt 15 uchylanego rozporządzenia, </w:t>
      </w:r>
      <w:r w:rsidR="00017FBE">
        <w:t>zmodyfikowano tak, aby odnosił się on ogólnie do akcji, a nie do akcji zdematerializowanych. Z dniem 1 marca 2021 r. wszystkie akcje będą bowiem miały formę zdematerializowaną, a więc nie jest zasadne wskazywanie tego faktu</w:t>
      </w:r>
      <w:r w:rsidR="00017FBE" w:rsidRPr="00017FBE">
        <w:t xml:space="preserve"> </w:t>
      </w:r>
      <w:r w:rsidR="00017FBE">
        <w:t>wprost w przepisie.</w:t>
      </w:r>
    </w:p>
    <w:p w:rsidR="00017FBE" w:rsidRDefault="00017FBE" w:rsidP="00EF2E46">
      <w:pPr>
        <w:pStyle w:val="NIEARTTEKSTtekstnieartykuowanynppodstprawnarozplubpreambua"/>
      </w:pPr>
      <w:r>
        <w:t xml:space="preserve">Na podstawie </w:t>
      </w:r>
      <w:r w:rsidRPr="00EF2E46">
        <w:rPr>
          <w:rStyle w:val="Ppogrubienie"/>
        </w:rPr>
        <w:t>§ 3 ust. 1 pkt 18 projektowanego rozporządzenia</w:t>
      </w:r>
      <w:r>
        <w:t xml:space="preserve"> </w:t>
      </w:r>
      <w:r w:rsidR="00EF2E46">
        <w:t>w informacji</w:t>
      </w:r>
      <w:r w:rsidR="00EF2E46">
        <w:br/>
      </w:r>
      <w:r>
        <w:t>o przymusowym wykupie nie będzie konieczne zawarcie wzmianki</w:t>
      </w:r>
      <w:r w:rsidRPr="00017FBE">
        <w:t xml:space="preserve"> </w:t>
      </w:r>
      <w:r>
        <w:t xml:space="preserve">o złożeniu w podmiocie pośredniczącym </w:t>
      </w:r>
      <w:r w:rsidRPr="005E6F83">
        <w:t xml:space="preserve">dokumentów akcji albo zaświadczeń wydanych na </w:t>
      </w:r>
      <w:r w:rsidR="00EF2E46">
        <w:t>dowód złożenia akcji</w:t>
      </w:r>
      <w:r w:rsidR="00EF2E46">
        <w:br/>
      </w:r>
      <w:r w:rsidRPr="005E6F83">
        <w:t>u notariusza, w banku lub firmie inwestycyjnej</w:t>
      </w:r>
      <w:r>
        <w:t>. Ma to związek z powszechną dematerializacją akcji.</w:t>
      </w:r>
    </w:p>
    <w:p w:rsidR="00017FBE" w:rsidRDefault="00017FBE" w:rsidP="00EF2E46">
      <w:pPr>
        <w:pStyle w:val="NIEARTTEKSTtekstnieartykuowanynppodstprawnarozplubpreambua"/>
      </w:pPr>
      <w:r w:rsidRPr="00EF2E46">
        <w:rPr>
          <w:rStyle w:val="Ppogrubienie"/>
        </w:rPr>
        <w:t>§ 4 projektowanego rozporządzenia</w:t>
      </w:r>
      <w:r>
        <w:t xml:space="preserve">, będący odpowiednikiem </w:t>
      </w:r>
      <w:r w:rsidR="00C964BE">
        <w:t xml:space="preserve">tej samej jednostki redakcyjnej uchylanego rozporządzenia, szczegółowo reguluje tryb postępowania związanego z przymusowym wykupem akcji mających formę zdematerializowaną. </w:t>
      </w:r>
      <w:r w:rsidR="00EF2E46">
        <w:t>W związku</w:t>
      </w:r>
      <w:r w:rsidR="00EF2E46">
        <w:br/>
      </w:r>
      <w:r w:rsidR="00C964BE">
        <w:t>z powszechną dematerializacją akcji przepis ten odnosi się ogólnie do akcji, a nie do akcji zdematerializowanych.</w:t>
      </w:r>
    </w:p>
    <w:p w:rsidR="00C964BE" w:rsidRDefault="00C964BE" w:rsidP="00EF2E46">
      <w:pPr>
        <w:pStyle w:val="NIEARTTEKSTtekstnieartykuowanynppodstprawnarozplubpreambua"/>
      </w:pPr>
      <w:r w:rsidRPr="00EF2E46">
        <w:rPr>
          <w:rStyle w:val="Ppogrubienie"/>
        </w:rPr>
        <w:t>§ 5 projektowanego rozporządzenia</w:t>
      </w:r>
      <w:r>
        <w:t xml:space="preserve"> jest odpowiednikiem § 6 uchylanego rozporządzenia i dotyczy sposobu zapłaty ceny wykupu. Jednocześnie, ze względu na coraz bardziej powszechne odchodzenie w obrocie gospodarczym od płatności w formie gotówkowej, przepis § 6 ust. 1 przewiduje możliwość zapłaty ceny wykupu jedynie </w:t>
      </w:r>
      <w:r w:rsidRPr="00B24081">
        <w:t>przelewem, na rachunek bankow</w:t>
      </w:r>
      <w:r>
        <w:t>y wskazany przez właściciela ak</w:t>
      </w:r>
      <w:r w:rsidRPr="00B24081">
        <w:t>cji objętych przymusowym wykupem</w:t>
      </w:r>
      <w:r>
        <w:t>.</w:t>
      </w:r>
    </w:p>
    <w:p w:rsidR="00C964BE" w:rsidRDefault="00C964BE" w:rsidP="00EF2E46">
      <w:pPr>
        <w:pStyle w:val="NIEARTTEKSTtekstnieartykuowanynppodstprawnarozplubpreambua"/>
      </w:pPr>
      <w:r w:rsidRPr="00EF2E46">
        <w:rPr>
          <w:rStyle w:val="Ppogrubienie"/>
        </w:rPr>
        <w:t>§ 6</w:t>
      </w:r>
      <w:r>
        <w:t xml:space="preserve"> przewiduje utratę mocy </w:t>
      </w:r>
      <w:r w:rsidR="00DB53AC">
        <w:t xml:space="preserve">obowiązującej </w:t>
      </w:r>
      <w:r>
        <w:t>uchylanego rozporządzenia.</w:t>
      </w:r>
    </w:p>
    <w:p w:rsidR="00C964BE" w:rsidRDefault="00C964BE" w:rsidP="00EF2E46">
      <w:pPr>
        <w:pStyle w:val="NIEARTTEKSTtekstnieartykuowanynppodstprawnarozplubpreambua"/>
      </w:pPr>
      <w:r w:rsidRPr="00EF2E46">
        <w:rPr>
          <w:rStyle w:val="Ppogrubienie"/>
        </w:rPr>
        <w:t>§ 7</w:t>
      </w:r>
      <w:r>
        <w:t xml:space="preserve"> określa termin wejścia w życie projektowanego rozporządzenia na dzień 1 marca 2021 r. Termin ten jest zbieżny z terminem wejścia w życie przepisów ustawy </w:t>
      </w:r>
      <w:r w:rsidR="00EF2E46">
        <w:t>z dnia</w:t>
      </w:r>
      <w:r w:rsidR="00EF2E46">
        <w:br/>
      </w:r>
      <w:r>
        <w:t>30 sierpnia 2019 r. o zmianie ustawy – Kodeks spółek handlowych oraz niektórych innych ustaw, przewidujących dematerializację akcji.</w:t>
      </w:r>
    </w:p>
    <w:p w:rsidR="00C964BE" w:rsidRDefault="00C964BE" w:rsidP="00EF2E46">
      <w:pPr>
        <w:pStyle w:val="NIEARTTEKSTtekstnieartykuowanynppodstprawnarozplubpreambua"/>
      </w:pPr>
      <w:r>
        <w:t xml:space="preserve">Projektowane rozporządzenie nie zawiera dotychczasowego przepisu § 3 ust. 1 pkt 16 uchylanego rozporządzenia. Przepis ten zobowiązywał do podania informacji o </w:t>
      </w:r>
      <w:r w:rsidR="00EF2E46">
        <w:t>miejscu</w:t>
      </w:r>
      <w:r w:rsidR="00EF2E46">
        <w:br/>
      </w:r>
      <w:r>
        <w:t xml:space="preserve">i terminie wydawania dokumentów akcji objętych przymusowym wykupem. W obecnym </w:t>
      </w:r>
      <w:r>
        <w:lastRenderedPageBreak/>
        <w:t>stanie prawnym akcje objęte przymusowym wykupem będą przenoszone w drodze dokonania odpowiedniego zapisu na rachunku papierów wartościowych.</w:t>
      </w:r>
    </w:p>
    <w:p w:rsidR="00C964BE" w:rsidRDefault="00C964BE" w:rsidP="00EF2E46">
      <w:pPr>
        <w:pStyle w:val="NIEARTTEKSTtekstnieartykuowanynppodstprawnarozplubpreambua"/>
      </w:pPr>
      <w:r>
        <w:t>Projektowane rozporządzenie nie zawiera także dotychczasowych przepisów § 5 i § 7–9 uchylanego rozporządzenia. Przepisy te szczegóło</w:t>
      </w:r>
      <w:r w:rsidR="00EF2E46">
        <w:t>wo regulowały tryb postępowania</w:t>
      </w:r>
      <w:r w:rsidR="00EF2E46">
        <w:br/>
      </w:r>
      <w:r>
        <w:t>w przypadku wykupu akcji mających formę dokumentu.</w:t>
      </w:r>
      <w:r w:rsidR="00EF2E46">
        <w:t xml:space="preserve"> Regulowanie tego przypadku nie jest więc konieczne w obecnym stanie prawnym.</w:t>
      </w:r>
    </w:p>
    <w:p w:rsidR="00C964BE" w:rsidRPr="000E7339" w:rsidRDefault="00C964BE" w:rsidP="00EF2E46">
      <w:pPr>
        <w:pStyle w:val="NIEARTTEKSTtekstnieartykuowanynppodstprawnarozplubpreambua"/>
      </w:pPr>
      <w:r w:rsidRPr="000E7339">
        <w:t>Projekt rozporządzenia nie będzie miał wpływu na działalność małych i średnich przedsiębiorców.</w:t>
      </w:r>
    </w:p>
    <w:p w:rsidR="00C964BE" w:rsidRPr="000E7339" w:rsidRDefault="00C964BE" w:rsidP="00EF2E46">
      <w:pPr>
        <w:pStyle w:val="NIEARTTEKSTtekstnieartykuowanynppodstprawnarozplubpreambua"/>
      </w:pPr>
      <w:r w:rsidRPr="000E7339">
        <w:t>Zawarte w projekcie regulacje nie stanowią przepisów technicznych w rozumieniu rozporządzenia Rady Ministrów z dnia 23 grudnia 2002 r. w sprawie sposobu funkcjonowania krajowego systemu notyfikacji norm i ak</w:t>
      </w:r>
      <w:r w:rsidR="00EF2E46">
        <w:t>tów prawnych (Dz. U. poz. 2039,</w:t>
      </w:r>
      <w:r w:rsidR="00EF2E46">
        <w:br/>
      </w:r>
      <w:r w:rsidRPr="000E7339">
        <w:t>z późn. zm.), dlatego też projekt rozporządzenia nie podlega procedurze notyfikacji.</w:t>
      </w:r>
    </w:p>
    <w:p w:rsidR="00C964BE" w:rsidRPr="000E7339" w:rsidRDefault="00C964BE" w:rsidP="00EF2E46">
      <w:pPr>
        <w:pStyle w:val="NIEARTTEKSTtekstnieartykuowanynppodstprawnarozplubpreambua"/>
      </w:pPr>
      <w:r w:rsidRPr="000E7339">
        <w:t>Projektowane rozporządzenie nie wymaga przedstawiania organom i instytucjom Unii Europejskiej w celu uzyskania opinii, dokonania powiadomienia, konsultacji albo uzgodnienia. W szczególności, zgodnie z art. 2 ust. 1 decyzji Rady 98/4</w:t>
      </w:r>
      <w:r w:rsidR="00EF2E46">
        <w:t>15/WE z dnia</w:t>
      </w:r>
      <w:r w:rsidR="00EF2E46">
        <w:br/>
      </w:r>
      <w:r w:rsidRPr="000E7339">
        <w:t>29 czerwca 1998 r. w sprawie konsultacji Europejskiego Banku Centralnego udzielanych władzom krajowym w sprawie projektów przepi</w:t>
      </w:r>
      <w:r w:rsidR="00EF2E46">
        <w:t>sów prawnych (Dz. Urz. WE L 189</w:t>
      </w:r>
      <w:r w:rsidR="00EF2E46">
        <w:br/>
      </w:r>
      <w:r w:rsidRPr="000E7339">
        <w:t>z 03.07.1998, str. 42), projekt rozporządzenia nie podlega konsultacji z Europejskim Bankiem Centralnym.</w:t>
      </w:r>
    </w:p>
    <w:p w:rsidR="00C964BE" w:rsidRPr="000E7339" w:rsidRDefault="00C964BE" w:rsidP="00EF2E46">
      <w:pPr>
        <w:pStyle w:val="NIEARTTEKSTtekstnieartykuowanynppodstprawnarozplubpreambua"/>
      </w:pPr>
      <w:r w:rsidRPr="000E7339">
        <w:t>Stosownie do art. 4 ustawy z dnia 7 lipca 2005 r. o działalności lobbingowej w procesie stanowienia prawa (Dz. U. z 2017 r. poz. 248) projekt został zamieszczony w wykazie prac legislacyjnych Ministra Finansów.</w:t>
      </w:r>
    </w:p>
    <w:p w:rsidR="00C964BE" w:rsidRPr="000E7339" w:rsidRDefault="00C964BE" w:rsidP="00EF2E46">
      <w:pPr>
        <w:pStyle w:val="NIEARTTEKSTtekstnieartykuowanynppodstprawnarozplubpreambua"/>
      </w:pPr>
      <w:r w:rsidRPr="000E7339">
        <w:t>Zgodnie z art. 5 ustawy z dnia 7 lipca 2005 r. o działalności lobbingowej w procesie stanowienia prawa oraz §</w:t>
      </w:r>
      <w:r>
        <w:t> </w:t>
      </w:r>
      <w:r w:rsidRPr="000E7339">
        <w:t>52 uchwały nr 190 Rady Ministrów z dnia 29 października 2013 r. – Reg</w:t>
      </w:r>
      <w:r w:rsidR="00DB53AC">
        <w:t>ulamin pracy Rady Ministrów (M.</w:t>
      </w:r>
      <w:r w:rsidRPr="000E7339">
        <w:t>P. z 2016 r. poz. 1006, z późn. zm.) projekt rozporządzenia został udostępniony w Biuletynie Informacji Publicznej na stronie podmiotowej Rządowego Centrum Legislacji w serwisie Rządowy Proces Legislacyjny.</w:t>
      </w:r>
    </w:p>
    <w:p w:rsidR="00C964BE" w:rsidRPr="005B516D" w:rsidRDefault="00C964BE" w:rsidP="00EF2E46">
      <w:pPr>
        <w:pStyle w:val="NIEARTTEKSTtekstnieartykuowanynppodstprawnarozplubpreambua"/>
      </w:pPr>
      <w:r w:rsidRPr="000E7339">
        <w:t>Projekt rozporządzenia jest zgodny z prawem Unii Europejskiej.</w:t>
      </w:r>
    </w:p>
    <w:sectPr w:rsidR="00C964BE" w:rsidRPr="005B516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64" w:rsidRDefault="000A4864">
      <w:r>
        <w:separator/>
      </w:r>
    </w:p>
  </w:endnote>
  <w:endnote w:type="continuationSeparator" w:id="0">
    <w:p w:rsidR="000A4864" w:rsidRDefault="000A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64" w:rsidRDefault="000A4864">
      <w:r>
        <w:separator/>
      </w:r>
    </w:p>
  </w:footnote>
  <w:footnote w:type="continuationSeparator" w:id="0">
    <w:p w:rsidR="000A4864" w:rsidRDefault="000A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0C6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F6"/>
    <w:rsid w:val="000012DA"/>
    <w:rsid w:val="0000246E"/>
    <w:rsid w:val="00003862"/>
    <w:rsid w:val="00012A35"/>
    <w:rsid w:val="00016099"/>
    <w:rsid w:val="00017DC2"/>
    <w:rsid w:val="00017FBE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76C"/>
    <w:rsid w:val="000A1296"/>
    <w:rsid w:val="000A1C27"/>
    <w:rsid w:val="000A1DAD"/>
    <w:rsid w:val="000A2649"/>
    <w:rsid w:val="000A323B"/>
    <w:rsid w:val="000A486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5E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52E"/>
    <w:rsid w:val="002A0C6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EA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94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16D"/>
    <w:rsid w:val="005B713E"/>
    <w:rsid w:val="005C03B6"/>
    <w:rsid w:val="005C348E"/>
    <w:rsid w:val="005C68E1"/>
    <w:rsid w:val="005C7286"/>
    <w:rsid w:val="005D3763"/>
    <w:rsid w:val="005D55E1"/>
    <w:rsid w:val="005E19F7"/>
    <w:rsid w:val="005E4F04"/>
    <w:rsid w:val="005E62C2"/>
    <w:rsid w:val="005E6C71"/>
    <w:rsid w:val="005E7522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5C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BDA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CF6"/>
    <w:rsid w:val="00A437E1"/>
    <w:rsid w:val="00A4685E"/>
    <w:rsid w:val="00A50CD4"/>
    <w:rsid w:val="00A51191"/>
    <w:rsid w:val="00A56D62"/>
    <w:rsid w:val="00A56F07"/>
    <w:rsid w:val="00A5762C"/>
    <w:rsid w:val="00A600FC"/>
    <w:rsid w:val="00A60279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359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0A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4B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3AC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E4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5B6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EC20E-86BA-478C-952E-074C796A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FM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691FC-A9DA-472C-B2E5-2E1D376A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Kącki Jakub</dc:creator>
  <cp:lastModifiedBy>KGHM</cp:lastModifiedBy>
  <cp:revision>2</cp:revision>
  <cp:lastPrinted>2012-04-23T06:39:00Z</cp:lastPrinted>
  <dcterms:created xsi:type="dcterms:W3CDTF">2020-10-27T08:28:00Z</dcterms:created>
  <dcterms:modified xsi:type="dcterms:W3CDTF">2020-10-27T08:28:00Z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