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8B1B" w14:textId="588164C0" w:rsidR="0049226B" w:rsidRPr="00DE18D9" w:rsidRDefault="0049226B" w:rsidP="0002234F">
      <w:pPr>
        <w:pStyle w:val="OZNPROJEKTUwskazaniedatylubwersjiprojektu"/>
      </w:pPr>
      <w:bookmarkStart w:id="0" w:name="_GoBack"/>
      <w:bookmarkEnd w:id="0"/>
      <w:r w:rsidRPr="00DE18D9">
        <w:t>Projekt</w:t>
      </w:r>
      <w:r>
        <w:t xml:space="preserve"> z dnia</w:t>
      </w:r>
      <w:r w:rsidRPr="00DE18D9">
        <w:t xml:space="preserve"> </w:t>
      </w:r>
      <w:r w:rsidR="00375CF3">
        <w:t>19</w:t>
      </w:r>
      <w:r w:rsidR="003F5A06">
        <w:t xml:space="preserve"> października</w:t>
      </w:r>
      <w:r w:rsidR="003F5A06" w:rsidRPr="00DE18D9">
        <w:t xml:space="preserve"> </w:t>
      </w:r>
      <w:r w:rsidRPr="00DE18D9">
        <w:t>2020 r.</w:t>
      </w:r>
    </w:p>
    <w:p w14:paraId="4FFB46FA" w14:textId="77777777" w:rsidR="0049226B" w:rsidRPr="00DE18D9" w:rsidRDefault="0049226B" w:rsidP="0049226B">
      <w:pPr>
        <w:pStyle w:val="OZNRODZAKTUtznustawalubrozporzdzenieiorganwydajcy"/>
      </w:pPr>
      <w:r w:rsidRPr="00DE18D9">
        <w:t>USTAWA</w:t>
      </w:r>
    </w:p>
    <w:p w14:paraId="75DEB930" w14:textId="77777777" w:rsidR="0049226B" w:rsidRPr="0049226B" w:rsidRDefault="0049226B" w:rsidP="0049226B">
      <w:pPr>
        <w:pStyle w:val="DATAAKTUdatauchwalenialubwydaniaaktu"/>
      </w:pPr>
      <w:r w:rsidRPr="0049226B">
        <w:t>z dnia</w:t>
      </w:r>
    </w:p>
    <w:p w14:paraId="7C735481" w14:textId="77777777" w:rsidR="0049226B" w:rsidRPr="0049226B" w:rsidRDefault="0049226B" w:rsidP="0049226B">
      <w:pPr>
        <w:pStyle w:val="TYTUAKTUprzedmiotregulacjiustawylubrozporzdzenia"/>
      </w:pPr>
      <w:r w:rsidRPr="0049226B">
        <w:t>o zmianie ustawy o obrocie instrumentami finansowymi oraz niektórych innych ustaw</w:t>
      </w:r>
      <w:r w:rsidR="00182D8B">
        <w:rPr>
          <w:rStyle w:val="Odwoanieprzypisudolnego"/>
        </w:rPr>
        <w:footnoteReference w:customMarkFollows="1" w:id="1"/>
        <w:t>1)</w:t>
      </w:r>
      <w:r w:rsidR="00B83FFB">
        <w:rPr>
          <w:rStyle w:val="Odwoanieprzypisudolnego"/>
        </w:rPr>
        <w:footnoteReference w:customMarkFollows="1" w:id="2"/>
        <w:t>2)</w:t>
      </w:r>
    </w:p>
    <w:p w14:paraId="6F7DD29F" w14:textId="6E3E2DA8" w:rsidR="0049226B" w:rsidRPr="0049226B" w:rsidRDefault="00164E24" w:rsidP="00527EB5">
      <w:pPr>
        <w:pStyle w:val="ARTartustawynprozporzdzenia"/>
      </w:pPr>
      <w:r>
        <w:rPr>
          <w:rStyle w:val="Ppogrubienie"/>
        </w:rPr>
        <w:t xml:space="preserve">Art. </w:t>
      </w:r>
      <w:r w:rsidR="0049226B" w:rsidRPr="0049226B">
        <w:rPr>
          <w:rStyle w:val="Ppogrubienie"/>
        </w:rPr>
        <w:t>1.</w:t>
      </w:r>
      <w:r>
        <w:t xml:space="preserve"> </w:t>
      </w:r>
      <w:r w:rsidR="0049226B" w:rsidRPr="0049226B">
        <w:t>W</w:t>
      </w:r>
      <w:r>
        <w:t xml:space="preserve"> </w:t>
      </w:r>
      <w:hyperlink r:id="rId9" w:anchor="hiperlinkText.rpc?hiperlink=type=tresc:nro=Powszechny.1980468:ver=6&amp;full=1" w:tgtFrame="_parent" w:history="1">
        <w:r w:rsidR="0049226B" w:rsidRPr="0049226B">
          <w:t>ustawie</w:t>
        </w:r>
      </w:hyperlink>
      <w:r>
        <w:t xml:space="preserve"> </w:t>
      </w:r>
      <w:r w:rsidR="0049226B" w:rsidRPr="0049226B">
        <w:t>z dnia 29 lipca 2005 r. o obrocie instrumentami finansowymi (Dz. U. z 2020 r. poz. 89</w:t>
      </w:r>
      <w:r w:rsidR="00770E63">
        <w:t xml:space="preserve">, </w:t>
      </w:r>
      <w:r w:rsidR="0049226B" w:rsidRPr="0049226B">
        <w:t>284</w:t>
      </w:r>
      <w:r w:rsidR="008F5A71">
        <w:t>, 288</w:t>
      </w:r>
      <w:r w:rsidR="00770E63">
        <w:t xml:space="preserve"> i 568</w:t>
      </w:r>
      <w:r w:rsidR="0049226B" w:rsidRPr="0049226B">
        <w:t>) wprowadza się następujące zmiany:</w:t>
      </w:r>
    </w:p>
    <w:p w14:paraId="4905FE0B" w14:textId="77777777" w:rsidR="0049226B" w:rsidRPr="0049226B" w:rsidRDefault="00164E24" w:rsidP="0049226B">
      <w:pPr>
        <w:pStyle w:val="PKTpunkt"/>
      </w:pPr>
      <w:r>
        <w:t>1)</w:t>
      </w:r>
      <w:r>
        <w:tab/>
      </w:r>
      <w:r w:rsidR="0049226B" w:rsidRPr="0049226B">
        <w:t>w art. 3 po pkt 4z dodaje się pkt 4za w brzmieniu:</w:t>
      </w:r>
    </w:p>
    <w:p w14:paraId="05EFD593" w14:textId="5FA03EC5" w:rsidR="0049226B" w:rsidRPr="0049226B" w:rsidRDefault="00AB2C0E" w:rsidP="00527EB5">
      <w:pPr>
        <w:pStyle w:val="ZPKTzmpktartykuempunktem"/>
      </w:pPr>
      <w:r>
        <w:t>„4za)</w:t>
      </w:r>
      <w:r>
        <w:tab/>
      </w:r>
      <w:r w:rsidR="0049226B" w:rsidRPr="0049226B">
        <w:t xml:space="preserve">rozporządzeniu </w:t>
      </w:r>
      <w:r w:rsidR="00182D8B">
        <w:t>2019/2033</w:t>
      </w:r>
      <w:r w:rsidR="0049226B" w:rsidRPr="0049226B">
        <w:t xml:space="preserve"> – rozumie się przez to rozporządzenie Parlamentu Europejskiego i Rady (UE) 2019/2033 z dnia 27 listopada 2019 r. w sprawie wymogów ostrożnościowych dla firm inwestycyjnych oraz zmieniające rozporządzenia (UE) nr 1093/2010, (UE) nr 575/2013, (UE) nr 600/2014 i (UE) nr 806/2014 (Dz. Urz. UE L 314 z 05.12.2019, str. 1</w:t>
      </w:r>
      <w:r w:rsidR="00FA3383">
        <w:t>, z późn. zm.</w:t>
      </w:r>
      <w:r w:rsidR="00CA3D25">
        <w:rPr>
          <w:rStyle w:val="Odwoanieprzypisudolnego"/>
        </w:rPr>
        <w:footnoteReference w:customMarkFollows="1" w:id="3"/>
        <w:t>3)</w:t>
      </w:r>
      <w:r w:rsidR="0049226B" w:rsidRPr="0049226B">
        <w:t>);”;</w:t>
      </w:r>
    </w:p>
    <w:p w14:paraId="5CE11941" w14:textId="77777777" w:rsidR="0049226B" w:rsidRPr="0049226B" w:rsidRDefault="00164E24" w:rsidP="0049226B">
      <w:pPr>
        <w:pStyle w:val="PKTpunkt"/>
      </w:pPr>
      <w:r>
        <w:t>2)</w:t>
      </w:r>
      <w:r>
        <w:tab/>
      </w:r>
      <w:r w:rsidR="0049226B" w:rsidRPr="0049226B">
        <w:t>w art. 13b ust. 1 otrzymuje brzmienie:</w:t>
      </w:r>
    </w:p>
    <w:p w14:paraId="4292BCF0" w14:textId="77777777" w:rsidR="0049226B" w:rsidRDefault="0049226B" w:rsidP="009E5726">
      <w:pPr>
        <w:pStyle w:val="ZUSTzmustartykuempunktem"/>
      </w:pPr>
      <w:r w:rsidRPr="0049226B">
        <w:t xml:space="preserve">„1. Komisja przyjmuje zgłoszenia naruszeń lub potencjalnych naruszeń przepisów ustawy, rozporządzenia 575/2013, rozporządzenia 909/2014, rozporządzenia 600/2014 oraz rozporządzenia </w:t>
      </w:r>
      <w:r w:rsidR="00182D8B">
        <w:t>2019/2033</w:t>
      </w:r>
      <w:r w:rsidRPr="0049226B">
        <w:t>.”;</w:t>
      </w:r>
      <w:r w:rsidR="0072074E">
        <w:t xml:space="preserve"> </w:t>
      </w:r>
    </w:p>
    <w:p w14:paraId="1267135D" w14:textId="67E412F2" w:rsidR="00223502" w:rsidRPr="00223502" w:rsidRDefault="00AB2C0E" w:rsidP="00804C7C">
      <w:pPr>
        <w:pStyle w:val="PKTpunkt"/>
      </w:pPr>
      <w:r>
        <w:t>3)</w:t>
      </w:r>
      <w:r w:rsidR="00223502">
        <w:tab/>
      </w:r>
      <w:r w:rsidR="00223502" w:rsidRPr="00223502">
        <w:t>po art. 69i dodaje się art. 69j w brzmieniu:</w:t>
      </w:r>
    </w:p>
    <w:p w14:paraId="175E97E7" w14:textId="73684669" w:rsidR="00223502" w:rsidRPr="008F6158" w:rsidRDefault="00223502" w:rsidP="00804C7C">
      <w:pPr>
        <w:pStyle w:val="ZARTzmartartykuempunktem"/>
      </w:pPr>
      <w:r w:rsidRPr="0049226B">
        <w:t>„</w:t>
      </w:r>
      <w:r w:rsidR="00AB2C0E">
        <w:t xml:space="preserve">Art. </w:t>
      </w:r>
      <w:r>
        <w:t xml:space="preserve">69j. Dom maklerski </w:t>
      </w:r>
      <w:r w:rsidRPr="008F6158">
        <w:t>wykonujący czynności określone</w:t>
      </w:r>
      <w:r w:rsidR="00AE27A5">
        <w:t xml:space="preserve"> </w:t>
      </w:r>
      <w:r w:rsidRPr="008F6158">
        <w:t>w art. 69 ust. 2 pkt 3 lub 7, z wyłączeniem</w:t>
      </w:r>
      <w:r>
        <w:t xml:space="preserve"> domu maklerskiego</w:t>
      </w:r>
      <w:r w:rsidRPr="008F6158">
        <w:t xml:space="preserve">, który wykonuje takie czynności wyłącznie w odniesieniu do towarów i uprawnień do emisji, funduszy inwestycyjnych i zakładów ubezpieczeń, </w:t>
      </w:r>
      <w:r>
        <w:t xml:space="preserve">występuje do Komisji z wnioskiem o wydanie zezwolenia na prowadzenie </w:t>
      </w:r>
      <w:r>
        <w:lastRenderedPageBreak/>
        <w:t xml:space="preserve">działalności, o którym mowa w art. 36 </w:t>
      </w:r>
      <w:r w:rsidRPr="00FA2D45">
        <w:t>ustaw</w:t>
      </w:r>
      <w:r>
        <w:t>y</w:t>
      </w:r>
      <w:r w:rsidRPr="00FA2D45">
        <w:t xml:space="preserve"> z dnia 29 sierpnia 1997 r. – Prawo bankowe (Dz. U. z 2019 r. poz. 2357 oraz z 2020 r. poz. 284, 288</w:t>
      </w:r>
      <w:r w:rsidR="00495FE7">
        <w:t>,</w:t>
      </w:r>
      <w:r w:rsidRPr="00FA2D45">
        <w:t xml:space="preserve"> 321</w:t>
      </w:r>
      <w:r w:rsidR="002325E5">
        <w:t>,</w:t>
      </w:r>
      <w:r w:rsidR="00495FE7">
        <w:t xml:space="preserve"> 1086</w:t>
      </w:r>
      <w:r w:rsidR="002325E5">
        <w:t xml:space="preserve"> i 1639</w:t>
      </w:r>
      <w:r w:rsidRPr="00FA2D45">
        <w:t>)</w:t>
      </w:r>
      <w:r>
        <w:t>,</w:t>
      </w:r>
      <w:r w:rsidR="00C457EA">
        <w:t xml:space="preserve"> jeżeli</w:t>
      </w:r>
      <w:r w:rsidRPr="008F6158">
        <w:t>:</w:t>
      </w:r>
    </w:p>
    <w:p w14:paraId="22F6267A" w14:textId="4305D09C" w:rsidR="00223502" w:rsidRPr="008F6158" w:rsidRDefault="008A3613" w:rsidP="008A3613">
      <w:pPr>
        <w:pStyle w:val="ZPKTzmpktartykuempunktem"/>
      </w:pPr>
      <w:r>
        <w:t>1)</w:t>
      </w:r>
      <w:r w:rsidR="00223502">
        <w:tab/>
      </w:r>
      <w:r w:rsidR="00223502" w:rsidRPr="008F6158">
        <w:t>wartość aktywów</w:t>
      </w:r>
      <w:r w:rsidR="003738BE">
        <w:t xml:space="preserve"> domu maklerskiego</w:t>
      </w:r>
      <w:r w:rsidR="00223502" w:rsidRPr="008F6158">
        <w:t>, a w przypadku gdy jest</w:t>
      </w:r>
      <w:r w:rsidR="002A597A">
        <w:t xml:space="preserve"> on</w:t>
      </w:r>
      <w:r w:rsidR="00AE27A5">
        <w:t xml:space="preserve"> </w:t>
      </w:r>
      <w:r w:rsidR="00223502" w:rsidRPr="008F6158">
        <w:t>podmiotem dominującym, który sporządza skonsolidowane sprawozdanie finansowe</w:t>
      </w:r>
      <w:r w:rsidR="002E3DD2">
        <w:t>,</w:t>
      </w:r>
      <w:r w:rsidR="00223502" w:rsidRPr="008F6158">
        <w:t xml:space="preserve"> wartość </w:t>
      </w:r>
      <w:r w:rsidR="002E3DD2">
        <w:t xml:space="preserve">jego </w:t>
      </w:r>
      <w:r w:rsidR="00223502" w:rsidRPr="008F6158">
        <w:t xml:space="preserve">skonsolidowanych aktywów wynosi </w:t>
      </w:r>
      <w:r w:rsidR="002E3DD2">
        <w:t>co najmniej 30 000 000 000 euro</w:t>
      </w:r>
      <w:r w:rsidR="00F31B61">
        <w:t>,</w:t>
      </w:r>
      <w:r w:rsidR="002E3DD2">
        <w:t xml:space="preserve"> lub</w:t>
      </w:r>
    </w:p>
    <w:p w14:paraId="582EDA94" w14:textId="0DBCE2EE" w:rsidR="00223502" w:rsidRPr="008F6158" w:rsidRDefault="008A3613" w:rsidP="008A3613">
      <w:pPr>
        <w:pStyle w:val="ZPKTzmpktartykuempunktem"/>
      </w:pPr>
      <w:r>
        <w:t>2)</w:t>
      </w:r>
      <w:r w:rsidR="00223502">
        <w:tab/>
      </w:r>
      <w:r w:rsidR="003738BE">
        <w:t>dom maklerski</w:t>
      </w:r>
      <w:r w:rsidR="00223502" w:rsidRPr="008F6158">
        <w:t xml:space="preserve"> należy do grupy,</w:t>
      </w:r>
      <w:r w:rsidR="00545B78">
        <w:t xml:space="preserve"> o której mowa w art. 4 ust. 1 pkt 138 rozporządzenia 575/2013,</w:t>
      </w:r>
      <w:r w:rsidR="00223502" w:rsidRPr="008F6158">
        <w:t xml:space="preserve"> której łączna wartość aktywów wynikająca z bilansu skonsolidowanego wynosi co najmniej 30 000 000 000 euro, jeżeli podmioty należące do </w:t>
      </w:r>
      <w:r w:rsidR="008A1C5C">
        <w:t xml:space="preserve">tej </w:t>
      </w:r>
      <w:r w:rsidR="00223502" w:rsidRPr="008F6158">
        <w:t>grupy prowadzą działalność maklerską obejmującą co najmniej jedną z czynności, o których mowa w art. 69 ust. 2 pkt 3 lub 7</w:t>
      </w:r>
      <w:r w:rsidR="004B30F9">
        <w:t>,</w:t>
      </w:r>
      <w:r w:rsidR="00223502" w:rsidRPr="008F6158">
        <w:t xml:space="preserve"> i wartość aktywów każdego podmiotu należącego do </w:t>
      </w:r>
      <w:r w:rsidR="008A1C5C">
        <w:t xml:space="preserve">tej </w:t>
      </w:r>
      <w:r w:rsidR="00223502" w:rsidRPr="008F6158">
        <w:t>grupy jest niższa niż 30 000 000 000 euro,</w:t>
      </w:r>
      <w:r w:rsidR="00F31B61">
        <w:t xml:space="preserve"> lub</w:t>
      </w:r>
    </w:p>
    <w:p w14:paraId="18844BD1" w14:textId="2205BC18" w:rsidR="00223502" w:rsidRPr="0049226B" w:rsidRDefault="008A3613" w:rsidP="008A3613">
      <w:pPr>
        <w:pStyle w:val="ZPKTzmpktartykuempunktem"/>
      </w:pPr>
      <w:r>
        <w:t>3)</w:t>
      </w:r>
      <w:r w:rsidR="00223502">
        <w:tab/>
      </w:r>
      <w:r w:rsidR="00223502" w:rsidRPr="008F6158">
        <w:t xml:space="preserve">łączna wartość </w:t>
      </w:r>
      <w:r w:rsidR="00F31B61">
        <w:t xml:space="preserve">jego </w:t>
      </w:r>
      <w:r w:rsidR="00223502" w:rsidRPr="008F6158">
        <w:t xml:space="preserve">aktywów jest niższa niż 30 000 000 000 euro, </w:t>
      </w:r>
      <w:r w:rsidR="00D020D0">
        <w:t xml:space="preserve">jeżeli </w:t>
      </w:r>
      <w:r w:rsidR="00223502" w:rsidRPr="008F6158">
        <w:t xml:space="preserve">należy </w:t>
      </w:r>
      <w:r w:rsidR="00D020D0">
        <w:t xml:space="preserve">on </w:t>
      </w:r>
      <w:r w:rsidR="00223502" w:rsidRPr="008F6158">
        <w:t>do grupy,</w:t>
      </w:r>
      <w:r w:rsidR="00545B78">
        <w:t xml:space="preserve"> o której mowa w </w:t>
      </w:r>
      <w:r w:rsidR="00545B78" w:rsidRPr="00545B78">
        <w:t>art. 4 ust. 1 pkt 138 rozporządzenia 575/2013</w:t>
      </w:r>
      <w:r w:rsidR="00545B78">
        <w:t>,</w:t>
      </w:r>
      <w:r w:rsidR="00545B78" w:rsidRPr="00545B78">
        <w:t xml:space="preserve"> </w:t>
      </w:r>
      <w:r w:rsidR="00BB2362">
        <w:t>w</w:t>
      </w:r>
      <w:r w:rsidR="00223502" w:rsidRPr="008F6158">
        <w:t xml:space="preserve"> której łączna wartość aktywów podmiotów należących do </w:t>
      </w:r>
      <w:r w:rsidR="002C11AD">
        <w:t>tej grupy</w:t>
      </w:r>
      <w:r w:rsidR="00450E6A">
        <w:t>,</w:t>
      </w:r>
      <w:r w:rsidR="00223502" w:rsidRPr="008F6158">
        <w:t xml:space="preserve"> które prowadzą działalność maklerską obejmującą co najmniej jedną z czynności, o których mowa w art. 69 ust. 2 pkt 3 lub 7, wynikająca z bilansu skonsolidowanego wynosi co najmniej 30 000 000 000 euro i Komisja wyraziła na to zgodę.</w:t>
      </w:r>
      <w:r w:rsidR="00223502" w:rsidRPr="0049226B">
        <w:t>”;</w:t>
      </w:r>
    </w:p>
    <w:p w14:paraId="265D418E" w14:textId="5AAC60DD" w:rsidR="0049226B" w:rsidRPr="0049226B" w:rsidRDefault="006E6BE0" w:rsidP="0049226B">
      <w:pPr>
        <w:pStyle w:val="PKTpunkt"/>
      </w:pPr>
      <w:r>
        <w:t>4</w:t>
      </w:r>
      <w:r w:rsidR="00164E24">
        <w:t>)</w:t>
      </w:r>
      <w:r w:rsidR="00164E24">
        <w:tab/>
      </w:r>
      <w:r w:rsidR="0049226B" w:rsidRPr="0049226B">
        <w:t xml:space="preserve">w art. 82 </w:t>
      </w:r>
      <w:r w:rsidR="00B74B11">
        <w:t xml:space="preserve">w </w:t>
      </w:r>
      <w:r w:rsidR="0049226B" w:rsidRPr="0049226B">
        <w:t>ust. 1</w:t>
      </w:r>
      <w:r w:rsidR="000B562C">
        <w:t xml:space="preserve"> </w:t>
      </w:r>
      <w:r w:rsidR="0049226B" w:rsidRPr="0049226B">
        <w:t>pkt 2 otrzymuje brzmienie:</w:t>
      </w:r>
    </w:p>
    <w:p w14:paraId="62A8BA01" w14:textId="4D04DF57" w:rsidR="0049226B" w:rsidRPr="0049226B" w:rsidRDefault="00AA4EC1" w:rsidP="000B562C">
      <w:pPr>
        <w:pStyle w:val="ZPKTzmpktartykuempunktem"/>
      </w:pPr>
      <w:r>
        <w:t>„2)</w:t>
      </w:r>
      <w:r>
        <w:tab/>
      </w:r>
      <w:r w:rsidR="0049226B" w:rsidRPr="0049226B">
        <w:t xml:space="preserve">oświadczenia członków zarządu albo wspólników lub komplementariuszy w spółce osobowej, rady nadzorczej, komisji rewizyjnej, o ile jest ustanowiona, jak również innych osób, które odpowiadają za rozpoczęcie przez wnioskodawcę działalności maklerskiej lub będą nią kierować, z wyłączeniem wspólników oraz komplementariuszy w przypadku domu maklerskiego działającego w formie spółki osobowej, którym nie przysługuje prawo prowadzenia spraw spółki lub jej reprezentowania zgodnie z przepisami ustawy z dnia 15 września 2000 r. </w:t>
      </w:r>
      <w:r>
        <w:t>‒</w:t>
      </w:r>
      <w:r w:rsidR="0049226B" w:rsidRPr="0049226B">
        <w:t xml:space="preserve"> Kodeks spółek handlowych, że nie były uznane prawomocnym orzeczeniem za winne popełnienia przestępstwa skarbowego, przestępstwa przeciwko wiarygodności dokumentów, mieniu, obrotowi gospodarczemu, obrotowi pieniędzmi i papierami wartościowymi, przestępstw lub wykroczeń określonych w art. 305, art. 307 lub art. 308 ustawy z dnia 30 czerwca 2000 r. </w:t>
      </w:r>
      <w:r>
        <w:t>‒</w:t>
      </w:r>
      <w:r w:rsidR="0049226B" w:rsidRPr="0049226B">
        <w:t xml:space="preserve"> Prawo własności przemysłowej, przestępstwa określonego w ustawach, o których mowa w art. 1 ust. 2 ustawy z dnia 21 lipca 2006 r. o nadzorze nad rynkiem finansowym, przestępstwa stanowiącego naruszenie równoważnych przepisów obowiązujących w innych państwach </w:t>
      </w:r>
      <w:r w:rsidR="0049226B" w:rsidRPr="0049226B">
        <w:lastRenderedPageBreak/>
        <w:t>członkowskich oraz że w okresie 3 lat poprzedzających dzień złożenia wniosku nie zostały ukarane w trybie administracyjnym przez właściwy organ nadzoru innego państwa członkowskiego za naruszenie przepisów wdrażających dyrektywę Parlamentu Europejskiego i Rady 2013/36/UE z dnia 26 czerwca 2013 r. w sprawie warunków dopuszczenia instytucji kredytowych do działalności oraz nadzoru ostrożnościowego nad instytucjami kredytowymi, zmieniającą dyrektywę 2002/87/WE i uchylającą dyrektywy 2006/48/WE oraz 2006/49/WE</w:t>
      </w:r>
      <w:r w:rsidR="0004570D">
        <w:t xml:space="preserve"> </w:t>
      </w:r>
      <w:r w:rsidR="00AF0B34" w:rsidRPr="00AF0B34">
        <w:t xml:space="preserve">(Dz. Urz. UE L 176 z 27.06.2013, str. 338, </w:t>
      </w:r>
      <w:r w:rsidR="00E02CF4">
        <w:t>z późn. zm.</w:t>
      </w:r>
      <w:r w:rsidR="00CA3D25">
        <w:rPr>
          <w:rStyle w:val="Odwoanieprzypisudolnego"/>
        </w:rPr>
        <w:footnoteReference w:customMarkFollows="1" w:id="4"/>
        <w:t>4)</w:t>
      </w:r>
      <w:r w:rsidR="00AF0B34" w:rsidRPr="00AF0B34">
        <w:t>)</w:t>
      </w:r>
      <w:r w:rsidR="008C02EF">
        <w:t>,</w:t>
      </w:r>
      <w:r w:rsidR="0049226B" w:rsidRPr="0049226B">
        <w:t xml:space="preserve"> przepisów rozporządzenia 575/2013, przepisów wdrażających dyrektywę Parlamentu Europejskiego i Rady (UE) 2019/2034 z dnia 27 listopada 2019 r. w sprawie nadzoru ostrożnościowego nad firmami inwestycyjnymi oraz zmieniając</w:t>
      </w:r>
      <w:r w:rsidR="0019314E">
        <w:t>ej</w:t>
      </w:r>
      <w:r w:rsidR="0049226B" w:rsidRPr="0049226B">
        <w:t xml:space="preserve"> dyrektywy 2002/87/WE, 2009/65/WE, 2011/61/UE, 2013/36/UE, 2014/59/UE i 2014/65/UE </w:t>
      </w:r>
      <w:r w:rsidR="00881D8E" w:rsidRPr="00881D8E">
        <w:t>(Dz. Urz. UE L 314 z 05.12.2019, str. 64</w:t>
      </w:r>
      <w:r w:rsidR="00E02CF4">
        <w:t>, z późn. zm.</w:t>
      </w:r>
      <w:r w:rsidR="00CA3D25">
        <w:rPr>
          <w:rStyle w:val="Odwoanieprzypisudolnego"/>
        </w:rPr>
        <w:footnoteReference w:customMarkFollows="1" w:id="5"/>
        <w:t>5)</w:t>
      </w:r>
      <w:r w:rsidR="00881D8E" w:rsidRPr="00881D8E">
        <w:t>)</w:t>
      </w:r>
      <w:r w:rsidR="0004570D" w:rsidRPr="0033056F">
        <w:t xml:space="preserve"> </w:t>
      </w:r>
      <w:r w:rsidR="0049226B" w:rsidRPr="0049226B">
        <w:t xml:space="preserve">lub przepisów rozporządzenia </w:t>
      </w:r>
      <w:r w:rsidR="00182D8B">
        <w:t>2019/2033</w:t>
      </w:r>
      <w:r w:rsidR="0049226B" w:rsidRPr="0049226B">
        <w:t>;”;</w:t>
      </w:r>
    </w:p>
    <w:p w14:paraId="7DF494E5" w14:textId="220CD55B" w:rsidR="0049226B" w:rsidRPr="0049226B" w:rsidRDefault="006E6BE0" w:rsidP="0049226B">
      <w:pPr>
        <w:pStyle w:val="PKTpunkt"/>
      </w:pPr>
      <w:r>
        <w:t>5</w:t>
      </w:r>
      <w:r w:rsidR="00164E24">
        <w:t>)</w:t>
      </w:r>
      <w:r w:rsidR="00164E24">
        <w:tab/>
      </w:r>
      <w:r w:rsidR="0049226B" w:rsidRPr="0049226B">
        <w:t>w art. 83a:</w:t>
      </w:r>
    </w:p>
    <w:p w14:paraId="2B0121E9" w14:textId="77777777" w:rsidR="0049226B" w:rsidRPr="0049226B" w:rsidRDefault="00164E24" w:rsidP="0049226B">
      <w:pPr>
        <w:pStyle w:val="LITlitera"/>
      </w:pPr>
      <w:r>
        <w:t>a)</w:t>
      </w:r>
      <w:r>
        <w:tab/>
      </w:r>
      <w:r w:rsidR="0049226B" w:rsidRPr="0049226B">
        <w:t>ust. 5 otrzymuje brzmienie:</w:t>
      </w:r>
    </w:p>
    <w:p w14:paraId="657E9FEA" w14:textId="3AAF4810" w:rsidR="00D87804" w:rsidRPr="0049226B" w:rsidRDefault="00D87804" w:rsidP="00D87804">
      <w:pPr>
        <w:pStyle w:val="ZLITUSTzmustliter"/>
      </w:pPr>
      <w:r w:rsidRPr="0049226B">
        <w:t xml:space="preserve">„5. Firma inwestycyjna zarządza ryzykiem w swojej działalności, </w:t>
      </w:r>
      <w:r>
        <w:t xml:space="preserve">w tym </w:t>
      </w:r>
      <w:r w:rsidR="008C02EF">
        <w:t xml:space="preserve">stosuje </w:t>
      </w:r>
      <w:r>
        <w:t>przepisy w zakresie</w:t>
      </w:r>
      <w:r w:rsidRPr="0049226B">
        <w:t xml:space="preserve"> zarządzania ryzykiem, o który</w:t>
      </w:r>
      <w:r>
        <w:t>ch</w:t>
      </w:r>
      <w:r w:rsidRPr="0049226B">
        <w:t xml:space="preserve"> mowa w oddziale 2a.”;</w:t>
      </w:r>
    </w:p>
    <w:p w14:paraId="677DB437" w14:textId="147E6DF1" w:rsidR="0049226B" w:rsidRDefault="0049226B" w:rsidP="00527EB5">
      <w:pPr>
        <w:pStyle w:val="LITlitera"/>
      </w:pPr>
      <w:r w:rsidRPr="0049226B">
        <w:t>b)</w:t>
      </w:r>
      <w:r w:rsidR="00164E24">
        <w:tab/>
      </w:r>
      <w:r w:rsidRPr="0049226B">
        <w:t>uchyla się ust. 6;</w:t>
      </w:r>
    </w:p>
    <w:p w14:paraId="5C77882E" w14:textId="514C7DF5" w:rsidR="00114FCC" w:rsidRDefault="006E6BE0" w:rsidP="000D15B3">
      <w:pPr>
        <w:pStyle w:val="PKTpunkt"/>
      </w:pPr>
      <w:r>
        <w:t>6</w:t>
      </w:r>
      <w:r w:rsidR="00775F84">
        <w:t>)</w:t>
      </w:r>
      <w:r w:rsidR="00DA78F4">
        <w:tab/>
      </w:r>
      <w:r w:rsidR="00775F84">
        <w:t>w art. 89 w ust</w:t>
      </w:r>
      <w:r w:rsidR="001548FB">
        <w:t>.</w:t>
      </w:r>
      <w:r w:rsidR="00775F84">
        <w:t xml:space="preserve"> 1 w pkt 3 kropkę zastępuje się średnikiem i dodaje się pkt 4 w brzmieniu: </w:t>
      </w:r>
    </w:p>
    <w:p w14:paraId="70B0439F" w14:textId="2E3D379A" w:rsidR="00775F84" w:rsidRPr="0049226B" w:rsidRDefault="00775F84" w:rsidP="00804C7C">
      <w:pPr>
        <w:pStyle w:val="ZPKTzmpktartykuempunktem"/>
      </w:pPr>
      <w:r>
        <w:t>,,4</w:t>
      </w:r>
      <w:r w:rsidR="00EF73B9">
        <w:t>)</w:t>
      </w:r>
      <w:r w:rsidR="00DA78F4">
        <w:tab/>
      </w:r>
      <w:r w:rsidR="00EF73B9">
        <w:t>z dniem rozpoczęcia działalności</w:t>
      </w:r>
      <w:r w:rsidR="00A81149">
        <w:t>, o której mowa w art.</w:t>
      </w:r>
      <w:r w:rsidR="00525054">
        <w:t xml:space="preserve"> 36 ustawy z dnia 29 sierpnia 1997 r. </w:t>
      </w:r>
      <w:r w:rsidR="00AE27A5">
        <w:t>–</w:t>
      </w:r>
      <w:r w:rsidR="0049575A">
        <w:t xml:space="preserve"> </w:t>
      </w:r>
      <w:r w:rsidR="00525054">
        <w:t>Prawo bankowe</w:t>
      </w:r>
      <w:r w:rsidR="004B6DBD">
        <w:t>.</w:t>
      </w:r>
      <w:r w:rsidR="004B6DBD" w:rsidRPr="0049226B">
        <w:t>”</w:t>
      </w:r>
      <w:r w:rsidR="004B6DBD">
        <w:t>;</w:t>
      </w:r>
    </w:p>
    <w:p w14:paraId="03846850" w14:textId="1CF260AA" w:rsidR="0049226B" w:rsidRDefault="006E6BE0" w:rsidP="00AB2C0E">
      <w:pPr>
        <w:pStyle w:val="PKTpunkt"/>
      </w:pPr>
      <w:r>
        <w:t>7</w:t>
      </w:r>
      <w:r w:rsidR="0049226B" w:rsidRPr="0049226B">
        <w:t>)</w:t>
      </w:r>
      <w:r w:rsidR="00164E24">
        <w:tab/>
      </w:r>
      <w:r w:rsidR="008C02EF">
        <w:t xml:space="preserve">w </w:t>
      </w:r>
      <w:r w:rsidR="0049226B" w:rsidRPr="0049226B">
        <w:t xml:space="preserve">art. 93b </w:t>
      </w:r>
      <w:r w:rsidR="008C02EF">
        <w:t>po wy</w:t>
      </w:r>
      <w:r w:rsidR="00E558EE">
        <w:t>razach „rozporządzenia 2017/565</w:t>
      </w:r>
      <w:r w:rsidR="008C02EF">
        <w:t>” dodaje się wyrazy „rozporządzenia 2019/2033”</w:t>
      </w:r>
      <w:r w:rsidR="00527EB5">
        <w:t>;</w:t>
      </w:r>
    </w:p>
    <w:p w14:paraId="09A272C6" w14:textId="319EDCB9" w:rsidR="001E6788" w:rsidRPr="001E6788" w:rsidRDefault="006E6BE0" w:rsidP="00E558EE">
      <w:pPr>
        <w:pStyle w:val="PKTpunkt"/>
      </w:pPr>
      <w:r>
        <w:t>8</w:t>
      </w:r>
      <w:r w:rsidR="001E6788" w:rsidRPr="00F43681">
        <w:t>)</w:t>
      </w:r>
      <w:r w:rsidR="00DA78F4">
        <w:tab/>
      </w:r>
      <w:r w:rsidR="001E6788" w:rsidRPr="00F43681">
        <w:t>art. 97</w:t>
      </w:r>
      <w:r w:rsidR="001E6788" w:rsidRPr="001E6788">
        <w:t xml:space="preserve"> otrzymuje brzmienie: </w:t>
      </w:r>
    </w:p>
    <w:p w14:paraId="3819C1C3" w14:textId="390D94E7" w:rsidR="001E6788" w:rsidRPr="0049226B" w:rsidRDefault="00DA78F4" w:rsidP="00527EB5">
      <w:pPr>
        <w:pStyle w:val="ZARTzmartartykuempunktem"/>
      </w:pPr>
      <w:r w:rsidRPr="0049226B">
        <w:t>„</w:t>
      </w:r>
      <w:r>
        <w:t xml:space="preserve">Art. </w:t>
      </w:r>
      <w:r w:rsidR="001E6788">
        <w:t xml:space="preserve">97. </w:t>
      </w:r>
      <w:r w:rsidR="001E6788" w:rsidRPr="00F43681">
        <w:t>Struktura kapitału założycielskiego dom</w:t>
      </w:r>
      <w:r w:rsidR="001E6788">
        <w:t>u</w:t>
      </w:r>
      <w:r w:rsidR="001E6788" w:rsidRPr="00F43681">
        <w:t xml:space="preserve"> maklerskiego jest zgodna z art. 9 rozporządzenia 2019</w:t>
      </w:r>
      <w:r w:rsidR="001E6788">
        <w:t>/2033</w:t>
      </w:r>
      <w:r w:rsidR="00B62FC3">
        <w:t>.</w:t>
      </w:r>
      <w:r w:rsidRPr="0049226B">
        <w:t>”</w:t>
      </w:r>
      <w:r w:rsidR="00B62FC3">
        <w:t>;</w:t>
      </w:r>
    </w:p>
    <w:p w14:paraId="4F2B39A5" w14:textId="3686803F" w:rsidR="0049226B" w:rsidRPr="0049226B" w:rsidRDefault="006E6BE0" w:rsidP="0049226B">
      <w:pPr>
        <w:pStyle w:val="PKTpunkt"/>
      </w:pPr>
      <w:r>
        <w:t>9</w:t>
      </w:r>
      <w:r w:rsidR="00164E24">
        <w:t>)</w:t>
      </w:r>
      <w:r w:rsidR="00164E24">
        <w:tab/>
      </w:r>
      <w:r w:rsidR="0049226B" w:rsidRPr="0049226B">
        <w:t>w art. 98:</w:t>
      </w:r>
    </w:p>
    <w:p w14:paraId="484F46AF" w14:textId="340F51AC" w:rsidR="0049226B" w:rsidRPr="0049226B" w:rsidRDefault="00164E24" w:rsidP="0049226B">
      <w:pPr>
        <w:pStyle w:val="LITlitera"/>
      </w:pPr>
      <w:r>
        <w:t>a)</w:t>
      </w:r>
      <w:r>
        <w:tab/>
      </w:r>
      <w:r w:rsidR="0049226B" w:rsidRPr="0049226B">
        <w:t>ust. 1</w:t>
      </w:r>
      <w:r w:rsidR="002A15F6">
        <w:t>–</w:t>
      </w:r>
      <w:r w:rsidR="0049226B" w:rsidRPr="0049226B">
        <w:t>3 otrzymują brzmienie:</w:t>
      </w:r>
    </w:p>
    <w:p w14:paraId="245775F4" w14:textId="259CDA68" w:rsidR="0049226B" w:rsidRPr="0049226B" w:rsidRDefault="0049226B" w:rsidP="00356291">
      <w:pPr>
        <w:pStyle w:val="ZLITUSTzmustliter"/>
      </w:pPr>
      <w:r w:rsidRPr="0049226B">
        <w:lastRenderedPageBreak/>
        <w:t>„1. Kapitał założycielski domu maklerskiego na prowadzenie działalności maklerskiej wynosi co najmniej równowartość w złotych 150 000 euro.</w:t>
      </w:r>
    </w:p>
    <w:p w14:paraId="4A54C4F7" w14:textId="0EC9042A" w:rsidR="0049226B" w:rsidRPr="0049226B" w:rsidRDefault="0049226B" w:rsidP="00356291">
      <w:pPr>
        <w:pStyle w:val="ZLITUSTzmustliter"/>
      </w:pPr>
      <w:r w:rsidRPr="0049226B">
        <w:t xml:space="preserve">2. W przypadku gdy dom maklerski nie prowadzi działalności, o której mowa </w:t>
      </w:r>
      <w:bookmarkStart w:id="1" w:name="_Hlk44064626"/>
      <w:r w:rsidR="000C3533">
        <w:t xml:space="preserve">w </w:t>
      </w:r>
      <w:r w:rsidR="000C3533" w:rsidRPr="0048546C">
        <w:t xml:space="preserve">art. 69 ust. </w:t>
      </w:r>
      <w:r w:rsidR="000C3533">
        <w:t>2</w:t>
      </w:r>
      <w:r w:rsidR="000C3533" w:rsidRPr="0048546C">
        <w:t xml:space="preserve"> pkt </w:t>
      </w:r>
      <w:r w:rsidR="000C3533">
        <w:t>8</w:t>
      </w:r>
      <w:bookmarkEnd w:id="1"/>
      <w:r w:rsidR="000C3533">
        <w:t xml:space="preserve"> lub </w:t>
      </w:r>
      <w:r w:rsidRPr="0049226B">
        <w:t>w art. 69 ust. 4 pkt 1, kapitał założycielski wynosi co najmniej równowartość w złotych 75 000 euro.</w:t>
      </w:r>
    </w:p>
    <w:p w14:paraId="311521D5" w14:textId="77777777" w:rsidR="0049226B" w:rsidRPr="0049226B" w:rsidRDefault="0049226B" w:rsidP="00356291">
      <w:pPr>
        <w:pStyle w:val="ZLITUSTzmustliter"/>
      </w:pPr>
      <w:r w:rsidRPr="0049226B">
        <w:t>3. W przypadku gdy dom maklerski prowadzi działalność, o której mowa w art. 69 ust. 2 pkt 3, 7 lub 9, kapitał założycielski wynosi co najmniej równow</w:t>
      </w:r>
      <w:r w:rsidR="009E5726">
        <w:t>artość w złotych 750 000 euro.”,</w:t>
      </w:r>
    </w:p>
    <w:p w14:paraId="12BFA3A6" w14:textId="2AE54D20" w:rsidR="0049226B" w:rsidRPr="0049226B" w:rsidRDefault="00164E24" w:rsidP="0049226B">
      <w:pPr>
        <w:pStyle w:val="LITlitera"/>
      </w:pPr>
      <w:r>
        <w:t>b)</w:t>
      </w:r>
      <w:r>
        <w:tab/>
      </w:r>
      <w:r w:rsidR="0049226B" w:rsidRPr="0049226B">
        <w:t>uchyla si</w:t>
      </w:r>
      <w:r w:rsidR="009E5726">
        <w:t>ę</w:t>
      </w:r>
      <w:r w:rsidR="00B74B11" w:rsidRPr="00B74B11">
        <w:t xml:space="preserve"> </w:t>
      </w:r>
      <w:r w:rsidR="00B74B11" w:rsidRPr="0049226B">
        <w:t>ust. 4</w:t>
      </w:r>
      <w:r w:rsidR="009E5726">
        <w:t>,</w:t>
      </w:r>
    </w:p>
    <w:p w14:paraId="5CF5E4C7" w14:textId="77777777" w:rsidR="0004570D" w:rsidRDefault="0049226B" w:rsidP="00527EB5">
      <w:pPr>
        <w:pStyle w:val="LITlitera"/>
      </w:pPr>
      <w:r w:rsidRPr="0049226B">
        <w:t>c)</w:t>
      </w:r>
      <w:r w:rsidR="00164E24">
        <w:tab/>
      </w:r>
      <w:r w:rsidR="0004570D">
        <w:t>uchyla się ust. 8</w:t>
      </w:r>
      <w:r w:rsidR="0004570D" w:rsidRPr="0033056F">
        <w:t>–</w:t>
      </w:r>
      <w:r w:rsidR="0004570D">
        <w:t>9b,</w:t>
      </w:r>
    </w:p>
    <w:p w14:paraId="60569F73" w14:textId="2D8BEAF4" w:rsidR="008214D4" w:rsidRDefault="008214D4" w:rsidP="008214D4">
      <w:pPr>
        <w:pStyle w:val="LITlitera"/>
      </w:pPr>
      <w:r>
        <w:t>d)</w:t>
      </w:r>
      <w:r>
        <w:tab/>
      </w:r>
      <w:r w:rsidR="007A288E">
        <w:t xml:space="preserve">w </w:t>
      </w:r>
      <w:r>
        <w:t xml:space="preserve">ust. 10 </w:t>
      </w:r>
      <w:r w:rsidR="007A288E">
        <w:t>wyrazy „ust. 1</w:t>
      </w:r>
      <w:r w:rsidR="007A288E" w:rsidRPr="0033056F">
        <w:t>–</w:t>
      </w:r>
      <w:r w:rsidR="007A288E">
        <w:t>4” zastępuje się wyrazami „ust. 1</w:t>
      </w:r>
      <w:r w:rsidR="007A288E" w:rsidRPr="0033056F">
        <w:t>–</w:t>
      </w:r>
      <w:r w:rsidR="007A288E">
        <w:t>3”,</w:t>
      </w:r>
    </w:p>
    <w:p w14:paraId="62994118" w14:textId="71472781" w:rsidR="0049226B" w:rsidRPr="0049226B" w:rsidRDefault="008214D4" w:rsidP="00527EB5">
      <w:pPr>
        <w:pStyle w:val="LITlitera"/>
      </w:pPr>
      <w:r>
        <w:t>e</w:t>
      </w:r>
      <w:r w:rsidR="0004570D">
        <w:t>)</w:t>
      </w:r>
      <w:r w:rsidR="0004570D">
        <w:tab/>
      </w:r>
      <w:r w:rsidR="0049226B" w:rsidRPr="0049226B">
        <w:t>uchyla się</w:t>
      </w:r>
      <w:r w:rsidR="00B74B11" w:rsidRPr="00B74B11">
        <w:t xml:space="preserve"> </w:t>
      </w:r>
      <w:r w:rsidR="00B74B11" w:rsidRPr="0049226B">
        <w:t>ust. 11</w:t>
      </w:r>
      <w:r w:rsidR="0049226B" w:rsidRPr="0049226B">
        <w:t>;</w:t>
      </w:r>
    </w:p>
    <w:p w14:paraId="71E53543" w14:textId="3C3F6C17" w:rsidR="0049226B" w:rsidRPr="0049226B" w:rsidRDefault="006E6BE0" w:rsidP="00AB2C0E">
      <w:pPr>
        <w:pStyle w:val="PKTpunkt"/>
      </w:pPr>
      <w:r>
        <w:t>10</w:t>
      </w:r>
      <w:r w:rsidR="0049226B" w:rsidRPr="0049226B">
        <w:t>)</w:t>
      </w:r>
      <w:r w:rsidR="00164E24">
        <w:tab/>
      </w:r>
      <w:r w:rsidR="0049226B" w:rsidRPr="0049226B">
        <w:t xml:space="preserve">w art. 100 </w:t>
      </w:r>
      <w:r w:rsidR="007E2369">
        <w:t xml:space="preserve">w </w:t>
      </w:r>
      <w:r w:rsidR="0049226B" w:rsidRPr="0049226B">
        <w:t xml:space="preserve">ust. 3b </w:t>
      </w:r>
      <w:r w:rsidR="007E2369">
        <w:t xml:space="preserve">wyrazy „oraz rozporządzenia 575/2013” zastępuje się wyrazami „i </w:t>
      </w:r>
      <w:r w:rsidR="007E2369" w:rsidRPr="0049226B">
        <w:t xml:space="preserve">rozporządzenia </w:t>
      </w:r>
      <w:r w:rsidR="007E2369">
        <w:t>2019/2033</w:t>
      </w:r>
      <w:r w:rsidR="007E2369" w:rsidRPr="0049226B">
        <w:t xml:space="preserve"> lub</w:t>
      </w:r>
      <w:r w:rsidR="007E2369" w:rsidRPr="00ED0E8E">
        <w:t xml:space="preserve"> </w:t>
      </w:r>
      <w:r w:rsidR="007E2369" w:rsidRPr="0049226B">
        <w:t>rozporządzenia 575/2013</w:t>
      </w:r>
      <w:r w:rsidR="007E2369">
        <w:t xml:space="preserve"> </w:t>
      </w:r>
      <w:r w:rsidR="007E2369" w:rsidRPr="0049226B">
        <w:t>w przypadku, o</w:t>
      </w:r>
      <w:r w:rsidR="007E2369">
        <w:t xml:space="preserve"> którym mowa w art. 110a ust. 7</w:t>
      </w:r>
      <w:r w:rsidR="007E2369" w:rsidRPr="0049226B">
        <w:t>”</w:t>
      </w:r>
      <w:r w:rsidR="007E2369">
        <w:t>;</w:t>
      </w:r>
      <w:r w:rsidR="007E2369" w:rsidRPr="0049226B" w:rsidDel="007E2369">
        <w:t xml:space="preserve"> </w:t>
      </w:r>
    </w:p>
    <w:p w14:paraId="01393C56" w14:textId="5B94C78C" w:rsidR="0049226B" w:rsidRPr="0049226B" w:rsidRDefault="006E6BE0" w:rsidP="0049226B">
      <w:pPr>
        <w:pStyle w:val="PKTpunkt"/>
      </w:pPr>
      <w:r>
        <w:t>11</w:t>
      </w:r>
      <w:r w:rsidR="00164E24">
        <w:t>)</w:t>
      </w:r>
      <w:r w:rsidR="00164E24">
        <w:tab/>
      </w:r>
      <w:r w:rsidR="0049226B" w:rsidRPr="0049226B">
        <w:t>w art. 103:</w:t>
      </w:r>
    </w:p>
    <w:p w14:paraId="0BCC5F6D" w14:textId="77777777" w:rsidR="0049226B" w:rsidRPr="0049226B" w:rsidRDefault="0049226B" w:rsidP="0049226B">
      <w:pPr>
        <w:pStyle w:val="LITlitera"/>
      </w:pPr>
      <w:r w:rsidRPr="0049226B">
        <w:t>a)</w:t>
      </w:r>
      <w:r w:rsidR="00164E24">
        <w:tab/>
      </w:r>
      <w:r w:rsidRPr="0049226B">
        <w:t xml:space="preserve">w ust. 1e </w:t>
      </w:r>
      <w:r w:rsidR="009E5726">
        <w:t xml:space="preserve">w </w:t>
      </w:r>
      <w:r w:rsidRPr="0049226B">
        <w:t>pkt 2 lit</w:t>
      </w:r>
      <w:r w:rsidR="009E5726">
        <w:t>.</w:t>
      </w:r>
      <w:r w:rsidRPr="0049226B">
        <w:t xml:space="preserve"> b otrzymuje brzmienie:</w:t>
      </w:r>
    </w:p>
    <w:p w14:paraId="3A758435" w14:textId="1D36429D" w:rsidR="0049226B" w:rsidRPr="0049226B" w:rsidRDefault="00A96D9F" w:rsidP="009E5726">
      <w:pPr>
        <w:pStyle w:val="ZLITLITzmlitliter"/>
      </w:pPr>
      <w:r>
        <w:t>„b)</w:t>
      </w:r>
      <w:r>
        <w:tab/>
      </w:r>
      <w:r w:rsidR="0049226B" w:rsidRPr="0049226B">
        <w:t xml:space="preserve">w których dom maklerski posiada znaczny pakiet akcji, o którym mowa w art. 4 ust. 1 pkt 47 rozporządzenia </w:t>
      </w:r>
      <w:r w:rsidR="00182D8B">
        <w:t>2019/2033</w:t>
      </w:r>
      <w:r w:rsidR="0049226B" w:rsidRPr="0049226B">
        <w:t>.”</w:t>
      </w:r>
      <w:r w:rsidR="009E5726">
        <w:t>,</w:t>
      </w:r>
    </w:p>
    <w:p w14:paraId="495DBFA8" w14:textId="77777777" w:rsidR="0049226B" w:rsidRPr="0049226B" w:rsidRDefault="00164E24" w:rsidP="0049226B">
      <w:pPr>
        <w:pStyle w:val="LITlitera"/>
      </w:pPr>
      <w:r>
        <w:t>b)</w:t>
      </w:r>
      <w:r>
        <w:tab/>
      </w:r>
      <w:r w:rsidR="0049226B" w:rsidRPr="0049226B">
        <w:t>ust. 3 otrzymuje brzmienie:</w:t>
      </w:r>
    </w:p>
    <w:p w14:paraId="2C8E5C76" w14:textId="406C7C8F" w:rsidR="0049226B" w:rsidRPr="0049226B" w:rsidRDefault="0049226B" w:rsidP="00356291">
      <w:pPr>
        <w:pStyle w:val="ZLITUSTzmustliter"/>
      </w:pPr>
      <w:r w:rsidRPr="0049226B">
        <w:t>„3. Przepisy ust. 1</w:t>
      </w:r>
      <w:r w:rsidR="00ED0E8E" w:rsidRPr="0049226B">
        <w:t>–</w:t>
      </w:r>
      <w:r w:rsidRPr="0049226B">
        <w:t xml:space="preserve">1h stosuje się również do inwestycyjnej spółki holdingowej oraz finansowej spółki holdingowej o działalności mieszanej, o których mowa w art. 4 ust. 1 pkt </w:t>
      </w:r>
      <w:r w:rsidR="00003C41" w:rsidRPr="0049226B">
        <w:t>23 i 40</w:t>
      </w:r>
      <w:r w:rsidR="00AE27A5">
        <w:t xml:space="preserve"> </w:t>
      </w:r>
      <w:r w:rsidRPr="0049226B">
        <w:t xml:space="preserve">rozporządzenia </w:t>
      </w:r>
      <w:r w:rsidR="00182D8B">
        <w:t>2019/2033</w:t>
      </w:r>
      <w:r w:rsidRPr="0049226B">
        <w:t>, o ile spółka ta jest podmiotem dominu</w:t>
      </w:r>
      <w:r w:rsidR="009E5726">
        <w:t>jącym wobec domu maklerskiego.”,</w:t>
      </w:r>
    </w:p>
    <w:p w14:paraId="6C7DD8D5" w14:textId="77777777" w:rsidR="0049226B" w:rsidRPr="0049226B" w:rsidRDefault="00164E24" w:rsidP="00527EB5">
      <w:pPr>
        <w:pStyle w:val="LITlitera"/>
      </w:pPr>
      <w:r>
        <w:t>c)</w:t>
      </w:r>
      <w:r>
        <w:tab/>
      </w:r>
      <w:r w:rsidR="0049226B" w:rsidRPr="0049226B">
        <w:t>uchyla się</w:t>
      </w:r>
      <w:r w:rsidR="00B74B11" w:rsidRPr="00B74B11">
        <w:t xml:space="preserve"> </w:t>
      </w:r>
      <w:r w:rsidR="00B74B11" w:rsidRPr="0049226B">
        <w:t>ust. 4 i 5</w:t>
      </w:r>
      <w:r w:rsidR="0049226B" w:rsidRPr="0049226B">
        <w:t>;</w:t>
      </w:r>
    </w:p>
    <w:p w14:paraId="32F44589" w14:textId="32CD5166" w:rsidR="0049226B" w:rsidRPr="0049226B" w:rsidRDefault="006E6BE0" w:rsidP="00527EB5">
      <w:pPr>
        <w:pStyle w:val="PKTpunkt"/>
      </w:pPr>
      <w:r>
        <w:t>12</w:t>
      </w:r>
      <w:r w:rsidR="00003C41">
        <w:t>)</w:t>
      </w:r>
      <w:r w:rsidR="00164E24">
        <w:tab/>
      </w:r>
      <w:r w:rsidR="00003C41">
        <w:t>uchyla się</w:t>
      </w:r>
      <w:r w:rsidR="00B74B11" w:rsidRPr="00B74B11">
        <w:t xml:space="preserve"> </w:t>
      </w:r>
      <w:r w:rsidR="00B74B11">
        <w:t>art. 103a</w:t>
      </w:r>
      <w:r w:rsidR="00003C41">
        <w:t>;</w:t>
      </w:r>
      <w:r w:rsidR="00AE27A5">
        <w:t xml:space="preserve"> </w:t>
      </w:r>
    </w:p>
    <w:p w14:paraId="601C70CF" w14:textId="08BA12C3" w:rsidR="0049226B" w:rsidRPr="0049226B" w:rsidRDefault="006E6BE0" w:rsidP="0049226B">
      <w:pPr>
        <w:pStyle w:val="PKTpunkt"/>
      </w:pPr>
      <w:r>
        <w:t>13</w:t>
      </w:r>
      <w:r w:rsidR="00164E24">
        <w:t>)</w:t>
      </w:r>
      <w:r w:rsidR="00164E24">
        <w:tab/>
      </w:r>
      <w:r w:rsidR="0049226B" w:rsidRPr="0049226B">
        <w:t>w art. 110a:</w:t>
      </w:r>
    </w:p>
    <w:p w14:paraId="3E209F73" w14:textId="77777777" w:rsidR="0049226B" w:rsidRPr="0049226B" w:rsidRDefault="00164E24" w:rsidP="0049226B">
      <w:pPr>
        <w:pStyle w:val="LITlitera"/>
      </w:pPr>
      <w:r>
        <w:t>a)</w:t>
      </w:r>
      <w:r>
        <w:tab/>
      </w:r>
      <w:r w:rsidR="0049226B" w:rsidRPr="0049226B">
        <w:t>w ust. 1:</w:t>
      </w:r>
    </w:p>
    <w:p w14:paraId="0491C7FC" w14:textId="26F9359A" w:rsidR="0049226B" w:rsidRPr="0049226B" w:rsidRDefault="00164E24" w:rsidP="0049226B">
      <w:pPr>
        <w:pStyle w:val="TIRtiret"/>
      </w:pPr>
      <w:r>
        <w:t>–</w:t>
      </w:r>
      <w:r>
        <w:tab/>
      </w:r>
      <w:r w:rsidR="00660B5C">
        <w:t>uchyla się pkt 1–3,</w:t>
      </w:r>
    </w:p>
    <w:p w14:paraId="67B1D3C7" w14:textId="77777777" w:rsidR="0049226B" w:rsidRPr="0049226B" w:rsidRDefault="00164E24" w:rsidP="0049226B">
      <w:pPr>
        <w:pStyle w:val="TIRtiret"/>
      </w:pPr>
      <w:r>
        <w:t>–</w:t>
      </w:r>
      <w:r>
        <w:tab/>
      </w:r>
      <w:r w:rsidR="0049226B" w:rsidRPr="0049226B">
        <w:t>pkt 4 otrzymuje brzmienie:</w:t>
      </w:r>
    </w:p>
    <w:p w14:paraId="2C167334" w14:textId="67D96440" w:rsidR="0049226B" w:rsidRPr="0049226B" w:rsidRDefault="00164E24" w:rsidP="009E5726">
      <w:pPr>
        <w:pStyle w:val="ZTIRPKTzmpkttiret"/>
      </w:pPr>
      <w:r>
        <w:t>„4)</w:t>
      </w:r>
      <w:r>
        <w:tab/>
      </w:r>
      <w:r w:rsidR="0049226B" w:rsidRPr="0049226B">
        <w:t xml:space="preserve">domu maklerskim </w:t>
      </w:r>
      <w:r w:rsidR="00ED0E8E" w:rsidRPr="0049226B">
        <w:t>–</w:t>
      </w:r>
      <w:r w:rsidR="0049226B" w:rsidRPr="0049226B">
        <w:t xml:space="preserve"> rozumie się przez to dom maklerski, o którym mowa w art. 95 ust. 1, niebędący małą i niepowiązaną wzajemnie firmą inwestycyjną w rozumieniu art. 12 ust. 1 rozporządzenia </w:t>
      </w:r>
      <w:r w:rsidR="00182D8B">
        <w:t>2019/2033</w:t>
      </w:r>
      <w:r w:rsidR="0049226B" w:rsidRPr="0049226B">
        <w:t>;”</w:t>
      </w:r>
      <w:r w:rsidR="00660B5C">
        <w:t>,</w:t>
      </w:r>
    </w:p>
    <w:p w14:paraId="744E59AB" w14:textId="77777777" w:rsidR="0049226B" w:rsidRPr="0049226B" w:rsidRDefault="002A15F6" w:rsidP="0049226B">
      <w:pPr>
        <w:pStyle w:val="TIRtiret"/>
      </w:pPr>
      <w:r>
        <w:lastRenderedPageBreak/>
        <w:t>–</w:t>
      </w:r>
      <w:r w:rsidR="00164E24">
        <w:tab/>
      </w:r>
      <w:r w:rsidR="0049226B" w:rsidRPr="0049226B">
        <w:t>pkt 6 otrzymuje brzmienie:</w:t>
      </w:r>
    </w:p>
    <w:p w14:paraId="7CD2F5C5" w14:textId="77777777" w:rsidR="0049226B" w:rsidRPr="0049226B" w:rsidRDefault="0049226B" w:rsidP="009E5726">
      <w:pPr>
        <w:pStyle w:val="ZTIRPKTzmpkttiret"/>
      </w:pPr>
      <w:r w:rsidRPr="0049226B">
        <w:t>„6)</w:t>
      </w:r>
      <w:r w:rsidR="009A59D7">
        <w:tab/>
      </w:r>
      <w:r w:rsidRPr="0049226B">
        <w:t xml:space="preserve">finansowej spółce holdingowej o działalności mieszanej – </w:t>
      </w:r>
      <w:r w:rsidR="005429CF" w:rsidRPr="005429CF">
        <w:t>rozumie się przez to finansową spółkę holdingową o działalności mieszanej, o której mowa w art. 4 ust. 1</w:t>
      </w:r>
      <w:r w:rsidR="001D6056">
        <w:t xml:space="preserve"> </w:t>
      </w:r>
      <w:r w:rsidR="005429CF" w:rsidRPr="005429CF">
        <w:t>pkt 40 rozporządzenia 2019/2033;”</w:t>
      </w:r>
      <w:r w:rsidR="009E5726">
        <w:t>,</w:t>
      </w:r>
    </w:p>
    <w:p w14:paraId="442B8220" w14:textId="77777777" w:rsidR="0049226B" w:rsidRPr="0049226B" w:rsidRDefault="009A59D7" w:rsidP="0049226B">
      <w:pPr>
        <w:pStyle w:val="TIRtiret"/>
      </w:pPr>
      <w:r>
        <w:t>–</w:t>
      </w:r>
      <w:r>
        <w:tab/>
      </w:r>
      <w:r w:rsidR="009E5726">
        <w:t>uchyla się pkt 7,</w:t>
      </w:r>
    </w:p>
    <w:p w14:paraId="542BCD55" w14:textId="77777777" w:rsidR="0049226B" w:rsidRPr="0049226B" w:rsidRDefault="009A59D7" w:rsidP="0049226B">
      <w:pPr>
        <w:pStyle w:val="TIRtiret"/>
      </w:pPr>
      <w:r>
        <w:t>–</w:t>
      </w:r>
      <w:r>
        <w:tab/>
      </w:r>
      <w:r w:rsidR="0049226B" w:rsidRPr="0049226B">
        <w:t>pkt 8 otrzymuje brzmienie:</w:t>
      </w:r>
    </w:p>
    <w:p w14:paraId="2F710933" w14:textId="77777777" w:rsidR="0049226B" w:rsidRPr="0049226B" w:rsidRDefault="0049226B" w:rsidP="009E5726">
      <w:pPr>
        <w:pStyle w:val="ZTIRPKTzmpkttiret"/>
      </w:pPr>
      <w:r w:rsidRPr="0049226B">
        <w:t>„8)</w:t>
      </w:r>
      <w:r w:rsidR="009A59D7">
        <w:tab/>
      </w:r>
      <w:r w:rsidRPr="0049226B">
        <w:t xml:space="preserve">instytucji finansowej – rozumie się przez to instytucję finansową, o której mowa w art. 4 ust. 1 pkt 14 rozporządzenia </w:t>
      </w:r>
      <w:r w:rsidR="00182D8B">
        <w:t>2019/2033</w:t>
      </w:r>
      <w:r w:rsidR="009E5726">
        <w:t>;”,</w:t>
      </w:r>
    </w:p>
    <w:p w14:paraId="1E7AC2C5" w14:textId="77777777" w:rsidR="0049226B" w:rsidRPr="0049226B" w:rsidRDefault="009A59D7" w:rsidP="0049226B">
      <w:pPr>
        <w:pStyle w:val="TIRtiret"/>
      </w:pPr>
      <w:r>
        <w:t>–</w:t>
      </w:r>
      <w:r>
        <w:tab/>
        <w:t>pkt 10</w:t>
      </w:r>
      <w:r w:rsidR="002A15F6">
        <w:t>–</w:t>
      </w:r>
      <w:r w:rsidR="0049226B" w:rsidRPr="0049226B">
        <w:t>13 otrzymują brzmienie:</w:t>
      </w:r>
    </w:p>
    <w:p w14:paraId="668EBFDA" w14:textId="77777777" w:rsidR="0049226B" w:rsidRPr="0049226B" w:rsidRDefault="0049226B" w:rsidP="009E5726">
      <w:pPr>
        <w:pStyle w:val="ZTIRPKTzmpkttiret"/>
      </w:pPr>
      <w:r w:rsidRPr="0049226B">
        <w:t>„10)</w:t>
      </w:r>
      <w:r w:rsidR="009A59D7">
        <w:tab/>
      </w:r>
      <w:r w:rsidRPr="0049226B">
        <w:t>podmiocie dominującym – rozumie się przez to przedsiębiorstwo dominujące, o którym mowa w art. 4 ust. 1 pkt 32 dyrektywy 2014/65/UE, jak również podmiot uznany przez Komisję za dominujący zgodnie z ust. 2;</w:t>
      </w:r>
    </w:p>
    <w:p w14:paraId="0D63088E" w14:textId="77777777" w:rsidR="0049226B" w:rsidRPr="0049226B" w:rsidRDefault="009A59D7" w:rsidP="009E5726">
      <w:pPr>
        <w:pStyle w:val="ZTIRPKTzmpkttiret"/>
      </w:pPr>
      <w:r>
        <w:t>11)</w:t>
      </w:r>
      <w:r>
        <w:tab/>
      </w:r>
      <w:r w:rsidR="0049226B" w:rsidRPr="0049226B">
        <w:t>podmiocie zależnym – rozumie się przez to przedsiębiorstwo zależne, o którym mowa w art. 4 ust. 1 pkt 33 dyrektywy 2014/65/UE;</w:t>
      </w:r>
    </w:p>
    <w:p w14:paraId="2B4BFAD1" w14:textId="77777777" w:rsidR="0049226B" w:rsidRPr="0049226B" w:rsidRDefault="009A59D7" w:rsidP="009E5726">
      <w:pPr>
        <w:pStyle w:val="ZTIRPKTzmpkttiret"/>
      </w:pPr>
      <w:r>
        <w:t>12)</w:t>
      </w:r>
      <w:r>
        <w:tab/>
      </w:r>
      <w:r w:rsidR="0049226B" w:rsidRPr="0049226B">
        <w:t>holding</w:t>
      </w:r>
      <w:r w:rsidR="00D93572">
        <w:t>u</w:t>
      </w:r>
      <w:r w:rsidR="0049226B" w:rsidRPr="0049226B">
        <w:t xml:space="preserve"> mieszany</w:t>
      </w:r>
      <w:r w:rsidR="00D93572">
        <w:t>m</w:t>
      </w:r>
      <w:r w:rsidR="0049226B" w:rsidRPr="0049226B">
        <w:t xml:space="preserve"> </w:t>
      </w:r>
      <w:r w:rsidRPr="0049226B">
        <w:t xml:space="preserve">– </w:t>
      </w:r>
      <w:r w:rsidR="0049226B" w:rsidRPr="0049226B">
        <w:t xml:space="preserve">rozumie się przez to podmiot dominujący niebędący finansową spółką holdingową, inwestycyjną spółką holdingową, instytucją kredytową, firmą inwestycyjną ani finansową spółką holdingową o działalności mieszanej w rozumieniu dyrektywy 2002/87/WE, do której podmiotów zależnych należy co najmniej jedna firma inwestycyjna; </w:t>
      </w:r>
    </w:p>
    <w:p w14:paraId="1CE1E57E" w14:textId="3B3608F1" w:rsidR="0049226B" w:rsidRPr="0049226B" w:rsidRDefault="009A59D7" w:rsidP="009E5726">
      <w:pPr>
        <w:pStyle w:val="ZTIRPKTzmpkttiret"/>
      </w:pPr>
      <w:r>
        <w:t>13)</w:t>
      </w:r>
      <w:r>
        <w:tab/>
      </w:r>
      <w:r w:rsidR="0049226B" w:rsidRPr="0049226B">
        <w:t>bliskich powiązaniach – rozumie się przez to bliskie powiązania, o których mowa w art. 4 ust. 1 pkt 35 dyrektywy 2014/65/UE;</w:t>
      </w:r>
      <w:r w:rsidR="009B09F3" w:rsidRPr="0049226B">
        <w:t>”</w:t>
      </w:r>
      <w:r w:rsidR="009B09F3">
        <w:t>,</w:t>
      </w:r>
    </w:p>
    <w:p w14:paraId="212DC3C7" w14:textId="77777777" w:rsidR="0049226B" w:rsidRPr="0049226B" w:rsidRDefault="009A59D7" w:rsidP="0049226B">
      <w:pPr>
        <w:pStyle w:val="TIRtiret"/>
      </w:pPr>
      <w:r>
        <w:t>–</w:t>
      </w:r>
      <w:r>
        <w:tab/>
      </w:r>
      <w:r w:rsidR="009B09F3">
        <w:t>uchyla się pkt 14,</w:t>
      </w:r>
    </w:p>
    <w:p w14:paraId="73BC7B30" w14:textId="77777777" w:rsidR="0049226B" w:rsidRPr="0049226B" w:rsidRDefault="009A59D7" w:rsidP="0049226B">
      <w:pPr>
        <w:pStyle w:val="TIRtiret"/>
      </w:pPr>
      <w:r>
        <w:t>–</w:t>
      </w:r>
      <w:r>
        <w:tab/>
      </w:r>
      <w:r w:rsidR="0049226B" w:rsidRPr="0049226B">
        <w:t>pkt 15 otrzymuje brzmienie:</w:t>
      </w:r>
    </w:p>
    <w:p w14:paraId="20CECEBC" w14:textId="19E7C9BD" w:rsidR="0049226B" w:rsidRPr="0049226B" w:rsidRDefault="0049226B" w:rsidP="009B09F3">
      <w:pPr>
        <w:pStyle w:val="ZTIRPKTzmpkttiret"/>
      </w:pPr>
      <w:r w:rsidRPr="0049226B">
        <w:t>„15)</w:t>
      </w:r>
      <w:r w:rsidR="009A59D7">
        <w:tab/>
      </w:r>
      <w:r w:rsidRPr="0049226B">
        <w:t xml:space="preserve">unijnej dominującej finansowej spółce holdingowej o działalności mieszanej </w:t>
      </w:r>
      <w:r w:rsidR="00A963F1" w:rsidRPr="0049226B">
        <w:t>–</w:t>
      </w:r>
      <w:r w:rsidRPr="0049226B">
        <w:t xml:space="preserve"> rozumie się przez to unijną dominującą finansową spółkę holdingową o działalności mieszanej, o której mowa w art. 4 ust. 1 pkt 58 rozporządzenia </w:t>
      </w:r>
      <w:r w:rsidR="00182D8B">
        <w:t>2019/2033</w:t>
      </w:r>
      <w:r w:rsidRPr="0049226B">
        <w:t>;”</w:t>
      </w:r>
      <w:r w:rsidR="009B09F3">
        <w:t>,</w:t>
      </w:r>
    </w:p>
    <w:p w14:paraId="38DDC429" w14:textId="77777777" w:rsidR="0049226B" w:rsidRPr="0049226B" w:rsidRDefault="009A59D7" w:rsidP="0049226B">
      <w:pPr>
        <w:pStyle w:val="TIRtiret"/>
      </w:pPr>
      <w:r>
        <w:t>–</w:t>
      </w:r>
      <w:r>
        <w:tab/>
      </w:r>
      <w:r w:rsidR="009B09F3">
        <w:t>uchyla się pkt 16,</w:t>
      </w:r>
    </w:p>
    <w:p w14:paraId="2EBB25C6" w14:textId="77777777" w:rsidR="0049226B" w:rsidRPr="0049226B" w:rsidRDefault="009A59D7" w:rsidP="0049226B">
      <w:pPr>
        <w:pStyle w:val="TIRtiret"/>
      </w:pPr>
      <w:r>
        <w:t>–</w:t>
      </w:r>
      <w:r>
        <w:tab/>
      </w:r>
      <w:r w:rsidR="0049226B" w:rsidRPr="0049226B">
        <w:t>pkt 17 otrzymuje brzmienie:</w:t>
      </w:r>
    </w:p>
    <w:p w14:paraId="5CA4DE57" w14:textId="6C330D02" w:rsidR="0049226B" w:rsidRPr="0049226B" w:rsidRDefault="0049226B" w:rsidP="009B09F3">
      <w:pPr>
        <w:pStyle w:val="ZTIRPKTzmpkttiret"/>
      </w:pPr>
      <w:r w:rsidRPr="0049226B">
        <w:t>„17)</w:t>
      </w:r>
      <w:r w:rsidR="009A59D7">
        <w:tab/>
      </w:r>
      <w:r w:rsidRPr="0049226B">
        <w:t xml:space="preserve">zagranicznej firmie inwestycyjnej </w:t>
      </w:r>
      <w:r w:rsidR="00A963F1" w:rsidRPr="0049226B">
        <w:t>–</w:t>
      </w:r>
      <w:r w:rsidRPr="0049226B">
        <w:t xml:space="preserve"> rozumie się przez to firmę inwestycyjną, o której mowa w art. 4 ust. 1 pkt 1 dyrektywy 2014/65/UE, z siedzibą </w:t>
      </w:r>
      <w:r w:rsidR="009B09F3">
        <w:t>w innym państwie członkowskim;”,</w:t>
      </w:r>
    </w:p>
    <w:p w14:paraId="3BF29F66" w14:textId="7D86EC26" w:rsidR="0049226B" w:rsidRPr="0049226B" w:rsidRDefault="009A59D7" w:rsidP="0049226B">
      <w:pPr>
        <w:pStyle w:val="TIRtiret"/>
      </w:pPr>
      <w:r>
        <w:lastRenderedPageBreak/>
        <w:t>–</w:t>
      </w:r>
      <w:r>
        <w:tab/>
      </w:r>
      <w:r w:rsidR="0049226B" w:rsidRPr="0049226B">
        <w:t>po pkt 17 dodaje się pkt 18</w:t>
      </w:r>
      <w:r w:rsidR="00F34FF6" w:rsidRPr="0049226B">
        <w:t>–</w:t>
      </w:r>
      <w:r w:rsidR="0049226B" w:rsidRPr="0049226B">
        <w:t>26 w brzmieniu:</w:t>
      </w:r>
    </w:p>
    <w:p w14:paraId="65D9E631" w14:textId="5159CD42" w:rsidR="0049226B" w:rsidRPr="0049226B" w:rsidRDefault="0049226B" w:rsidP="009B09F3">
      <w:pPr>
        <w:pStyle w:val="ZTIRPKTzmpkttiret"/>
      </w:pPr>
      <w:r w:rsidRPr="0049226B">
        <w:t>„18)</w:t>
      </w:r>
      <w:r w:rsidR="009A59D7">
        <w:tab/>
      </w:r>
      <w:r w:rsidRPr="0049226B">
        <w:t>przedsiębiorstwie usług pomocniczych – rozumie się przez to przedsiębiorstwo</w:t>
      </w:r>
      <w:r w:rsidR="007363DC">
        <w:t xml:space="preserve"> usług pomocniczych</w:t>
      </w:r>
      <w:r w:rsidRPr="0049226B">
        <w:t>,</w:t>
      </w:r>
      <w:r w:rsidR="007363DC">
        <w:t xml:space="preserve"> o którym mowa w art. 4 ust. 1 pkt 1 rozporządzenia 2019/2033;</w:t>
      </w:r>
    </w:p>
    <w:p w14:paraId="7360D358" w14:textId="77777777" w:rsidR="0049226B" w:rsidRPr="0049226B" w:rsidRDefault="009A59D7" w:rsidP="009B09F3">
      <w:pPr>
        <w:pStyle w:val="ZTIRPKTzmpkttiret"/>
      </w:pPr>
      <w:r>
        <w:t>19)</w:t>
      </w:r>
      <w:r>
        <w:tab/>
      </w:r>
      <w:r w:rsidR="0049226B" w:rsidRPr="0049226B">
        <w:t>podmiocie prowadzącym handel towarami i uprawnieniami do emisji – rozumie się przez to podmiot prowadzący handel towarami i uprawnieniami do emisji, o którym mowa w art. 4 ust. 1 pkt 150 rozporządzenia 575/2013;</w:t>
      </w:r>
    </w:p>
    <w:p w14:paraId="6498C63C" w14:textId="77777777" w:rsidR="0049226B" w:rsidRPr="0049226B" w:rsidRDefault="009A59D7" w:rsidP="009B09F3">
      <w:pPr>
        <w:pStyle w:val="ZTIRPKTzmpkttiret"/>
      </w:pPr>
      <w:r>
        <w:t>20)</w:t>
      </w:r>
      <w:r>
        <w:tab/>
      </w:r>
      <w:r w:rsidR="0049226B" w:rsidRPr="0049226B">
        <w:t>zgodności z grupowym testem kapitałowym – rozumie się przez to zachowanie przez jednostkę dominującą w grupie firm inwestycyjnych zgodności z wymogami</w:t>
      </w:r>
      <w:r w:rsidR="00002952">
        <w:t>, o których mowa w</w:t>
      </w:r>
      <w:r w:rsidR="0049226B" w:rsidRPr="0049226B">
        <w:t xml:space="preserve"> art. 8 rozporządzenia </w:t>
      </w:r>
      <w:r w:rsidR="00182D8B">
        <w:t>2019/2033</w:t>
      </w:r>
      <w:r w:rsidR="0049226B" w:rsidRPr="0049226B">
        <w:t>;</w:t>
      </w:r>
    </w:p>
    <w:p w14:paraId="53F9E1F5" w14:textId="7D243B4F" w:rsidR="0049226B" w:rsidRPr="0049226B" w:rsidRDefault="009A59D7" w:rsidP="009B09F3">
      <w:pPr>
        <w:pStyle w:val="ZTIRPKTzmpkttiret"/>
      </w:pPr>
      <w:r>
        <w:t>21)</w:t>
      </w:r>
      <w:r>
        <w:tab/>
      </w:r>
      <w:r w:rsidR="0049226B" w:rsidRPr="0049226B">
        <w:t>instrumentach pochodnych – rozumie się przez to instrumenty pochodne</w:t>
      </w:r>
      <w:r w:rsidR="00002952">
        <w:t>, o których mowa</w:t>
      </w:r>
      <w:r w:rsidR="0049226B" w:rsidRPr="0049226B">
        <w:t xml:space="preserve"> w art. 2 ust. 1 pkt 29 rozporządzenia 600/2014;</w:t>
      </w:r>
    </w:p>
    <w:p w14:paraId="345E5F01" w14:textId="720439D6" w:rsidR="0049226B" w:rsidRPr="0049226B" w:rsidRDefault="009A59D7" w:rsidP="009B09F3">
      <w:pPr>
        <w:pStyle w:val="ZTIRPKTzmpkttiret"/>
      </w:pPr>
      <w:r>
        <w:t>22)</w:t>
      </w:r>
      <w:r>
        <w:tab/>
      </w:r>
      <w:r w:rsidR="0049226B" w:rsidRPr="0049226B">
        <w:t>polityce wynagrodzeń neutralnej pod względem płci – rozumie się przez to politykę wynagrodzeń neutralną pod względem płci, o której mowa w art. 3 ust. 1 pkt 65 dyrektywy 2013/36/UE;</w:t>
      </w:r>
    </w:p>
    <w:p w14:paraId="236F6B87" w14:textId="77777777" w:rsidR="0049226B" w:rsidRPr="0049226B" w:rsidRDefault="009A59D7" w:rsidP="009B09F3">
      <w:pPr>
        <w:pStyle w:val="ZTIRPKTzmpkttiret"/>
      </w:pPr>
      <w:r>
        <w:t>23)</w:t>
      </w:r>
      <w:r>
        <w:tab/>
        <w:t xml:space="preserve">na zasadzie skonsolidowanej </w:t>
      </w:r>
      <w:r w:rsidRPr="0049226B">
        <w:t>–</w:t>
      </w:r>
      <w:r w:rsidR="0049226B" w:rsidRPr="0049226B">
        <w:t xml:space="preserve"> rozumie się przez to pojęcie na zasadzie skonsolidowanej, o której mowa w art. 4 ust. 1 pkt 12 rozporządzenia </w:t>
      </w:r>
      <w:r w:rsidR="00182D8B">
        <w:t>2019/2033</w:t>
      </w:r>
      <w:r w:rsidR="0049226B" w:rsidRPr="0049226B">
        <w:t>;</w:t>
      </w:r>
    </w:p>
    <w:p w14:paraId="047CDC6F" w14:textId="77777777" w:rsidR="0049226B" w:rsidRPr="0049226B" w:rsidRDefault="009A59D7" w:rsidP="009B09F3">
      <w:pPr>
        <w:pStyle w:val="ZTIRPKTzmpkttiret"/>
      </w:pPr>
      <w:r>
        <w:t>24)</w:t>
      </w:r>
      <w:r>
        <w:tab/>
      </w:r>
      <w:r w:rsidR="0049226B" w:rsidRPr="0049226B">
        <w:t xml:space="preserve">grupie firm inwestycyjnych – rozumie się przez to grupę firm inwestycyjnych, o których mowa w art. 4 ust. 1 pkt 25 rozporządzenia </w:t>
      </w:r>
      <w:r w:rsidR="00182D8B">
        <w:t>2019/2033</w:t>
      </w:r>
      <w:r w:rsidR="0049226B" w:rsidRPr="0049226B">
        <w:t>, w skład której wchodzi dom maklerski i co najmniej jedna zagraniczna firma inwestycyjna;</w:t>
      </w:r>
    </w:p>
    <w:p w14:paraId="45213F41" w14:textId="77777777" w:rsidR="0049226B" w:rsidRPr="0049226B" w:rsidRDefault="009A59D7" w:rsidP="009B09F3">
      <w:pPr>
        <w:pStyle w:val="ZTIRPKTzmpkttiret"/>
      </w:pPr>
      <w:r>
        <w:t>25)</w:t>
      </w:r>
      <w:r>
        <w:tab/>
      </w:r>
      <w:r w:rsidR="0049226B" w:rsidRPr="0049226B">
        <w:t xml:space="preserve">unijnej dominującej firmie inwestycyjnej – rozumie się przez to unijną dominującą firmę inwestycyjną, o której mowa w art. 4 ust. 1 pkt 56 rozporządzenia </w:t>
      </w:r>
      <w:r w:rsidR="00182D8B">
        <w:t>2019/2033</w:t>
      </w:r>
      <w:r w:rsidR="0049226B" w:rsidRPr="0049226B">
        <w:t>;</w:t>
      </w:r>
    </w:p>
    <w:p w14:paraId="27846B8B" w14:textId="272BB590" w:rsidR="0049226B" w:rsidRPr="0049226B" w:rsidRDefault="009A59D7" w:rsidP="009B09F3">
      <w:pPr>
        <w:pStyle w:val="ZTIRPKTzmpkttiret"/>
      </w:pPr>
      <w:r>
        <w:t>26)</w:t>
      </w:r>
      <w:r>
        <w:tab/>
      </w:r>
      <w:r w:rsidR="0049226B" w:rsidRPr="0049226B">
        <w:t xml:space="preserve">unijnej dominującej inwestycyjnej spółce holdingowej – rozumie się przez to unijną dominującą inwestycyjną spółkę holdingową, o której mowa w art. 4 ust. 1 pkt 57 rozporządzenia </w:t>
      </w:r>
      <w:r w:rsidR="00182D8B">
        <w:t>2019/2033</w:t>
      </w:r>
      <w:r w:rsidR="009B09F3">
        <w:t>.”,</w:t>
      </w:r>
    </w:p>
    <w:p w14:paraId="1E1E7F8D" w14:textId="357F352E" w:rsidR="0049226B" w:rsidRPr="0049226B" w:rsidRDefault="009A59D7" w:rsidP="0049226B">
      <w:pPr>
        <w:pStyle w:val="LITlitera"/>
      </w:pPr>
      <w:r>
        <w:t>b)</w:t>
      </w:r>
      <w:r>
        <w:tab/>
      </w:r>
      <w:r w:rsidR="0049226B" w:rsidRPr="0049226B">
        <w:t>po ust. 2 dodaje się ust. 3–</w:t>
      </w:r>
      <w:r w:rsidR="009035D9">
        <w:t>10</w:t>
      </w:r>
      <w:r w:rsidR="009035D9" w:rsidRPr="0049226B">
        <w:t xml:space="preserve"> </w:t>
      </w:r>
      <w:r w:rsidR="0049226B" w:rsidRPr="0049226B">
        <w:t>w brzmieniu:</w:t>
      </w:r>
    </w:p>
    <w:p w14:paraId="131005B7" w14:textId="08E93356" w:rsidR="0049226B" w:rsidRPr="0049226B" w:rsidRDefault="0049226B" w:rsidP="00B26CF8">
      <w:pPr>
        <w:pStyle w:val="ZLITUSTzmustliter"/>
      </w:pPr>
      <w:r w:rsidRPr="0049226B">
        <w:t xml:space="preserve">„3. W przypadku </w:t>
      </w:r>
      <w:r w:rsidR="00002952">
        <w:t xml:space="preserve">gdy posiadane przez dom maklerski </w:t>
      </w:r>
      <w:r w:rsidRPr="0049226B">
        <w:t>zezwolenie na działalność maklerską obejmuje</w:t>
      </w:r>
      <w:r w:rsidR="00AE27A5">
        <w:t xml:space="preserve"> </w:t>
      </w:r>
      <w:r w:rsidRPr="0049226B">
        <w:t xml:space="preserve">co najmniej jedną z czynności, o których mowa w </w:t>
      </w:r>
      <w:r w:rsidRPr="0049226B">
        <w:lastRenderedPageBreak/>
        <w:t>art. 69 ust. 2 pkt 3 lub 7</w:t>
      </w:r>
      <w:r w:rsidR="00B3006A">
        <w:t>,</w:t>
      </w:r>
      <w:r w:rsidRPr="0049226B">
        <w:t xml:space="preserve"> i którego całkowita wartość skonsolidowanych aktywów obliczona jako średnia z ostatnich 12 miesięcy jest równa </w:t>
      </w:r>
      <w:r w:rsidR="00002952" w:rsidRPr="0049226B">
        <w:t>równowartoś</w:t>
      </w:r>
      <w:r w:rsidR="00002952">
        <w:t xml:space="preserve">ci </w:t>
      </w:r>
      <w:r w:rsidR="00002952" w:rsidRPr="0049226B">
        <w:t xml:space="preserve">5 </w:t>
      </w:r>
      <w:r w:rsidR="00002952">
        <w:t>000 000 000 euro</w:t>
      </w:r>
      <w:r w:rsidR="00002952" w:rsidRPr="0049226B">
        <w:t xml:space="preserve"> </w:t>
      </w:r>
      <w:r w:rsidRPr="0049226B">
        <w:t xml:space="preserve">lub przekracza </w:t>
      </w:r>
      <w:r w:rsidR="00002952">
        <w:t xml:space="preserve">tę wartość, </w:t>
      </w:r>
      <w:r w:rsidRPr="0049226B">
        <w:t xml:space="preserve">oraz </w:t>
      </w:r>
      <w:r w:rsidR="00002952">
        <w:t xml:space="preserve">jest </w:t>
      </w:r>
      <w:r w:rsidRPr="0049226B">
        <w:t>spełniony co najmniej jeden z warunków:</w:t>
      </w:r>
    </w:p>
    <w:p w14:paraId="68B7E783" w14:textId="6224C91B" w:rsidR="0049226B" w:rsidRPr="0049226B" w:rsidRDefault="009A59D7" w:rsidP="000A3AF1">
      <w:pPr>
        <w:pStyle w:val="ZLITPKTzmpktliter"/>
      </w:pPr>
      <w:r>
        <w:t>1)</w:t>
      </w:r>
      <w:r w:rsidR="00804C7C">
        <w:tab/>
      </w:r>
      <w:r w:rsidR="0049226B" w:rsidRPr="0049226B">
        <w:t xml:space="preserve">dom maklerski </w:t>
      </w:r>
      <w:r w:rsidR="00AB0A5F">
        <w:t xml:space="preserve">wykonuje </w:t>
      </w:r>
      <w:r w:rsidR="0049226B" w:rsidRPr="0049226B">
        <w:t xml:space="preserve">te rodzaje </w:t>
      </w:r>
      <w:r w:rsidR="00AB0A5F">
        <w:t xml:space="preserve">czynności </w:t>
      </w:r>
      <w:r w:rsidR="0049226B" w:rsidRPr="0049226B">
        <w:t xml:space="preserve">na taką skalę, że </w:t>
      </w:r>
      <w:r w:rsidR="009C2151">
        <w:t xml:space="preserve">upadłość </w:t>
      </w:r>
      <w:r w:rsidR="0049226B" w:rsidRPr="0049226B">
        <w:t>lub trudności</w:t>
      </w:r>
      <w:r w:rsidR="009C2151">
        <w:t xml:space="preserve"> finansowe</w:t>
      </w:r>
      <w:r w:rsidR="0049226B" w:rsidRPr="0049226B">
        <w:t xml:space="preserve"> tego domu mogłyby prowadzić do ryzyka systemowego</w:t>
      </w:r>
      <w:r w:rsidR="00002952">
        <w:t>,</w:t>
      </w:r>
    </w:p>
    <w:p w14:paraId="723988F8" w14:textId="25113FFD" w:rsidR="0049226B" w:rsidRPr="0049226B" w:rsidRDefault="0049226B" w:rsidP="000A3AF1">
      <w:pPr>
        <w:pStyle w:val="ZLITPKTzmpktliter"/>
      </w:pPr>
      <w:r w:rsidRPr="0049226B">
        <w:t>2)</w:t>
      </w:r>
      <w:r w:rsidR="000A3AF1">
        <w:tab/>
      </w:r>
      <w:r w:rsidRPr="0049226B">
        <w:t>dom maklerski jest członkiem rozliczającym</w:t>
      </w:r>
      <w:r w:rsidR="00002952">
        <w:t xml:space="preserve">, o którym mowa </w:t>
      </w:r>
      <w:r w:rsidRPr="0049226B">
        <w:t xml:space="preserve">w art. 4 ust. 1 pkt 3 rozporządzenia </w:t>
      </w:r>
      <w:r w:rsidR="00182D8B">
        <w:t>2019/2033</w:t>
      </w:r>
      <w:r w:rsidR="00002952">
        <w:t>,</w:t>
      </w:r>
    </w:p>
    <w:p w14:paraId="24488004" w14:textId="21D09F42" w:rsidR="0049226B" w:rsidRPr="0049226B" w:rsidRDefault="0049226B" w:rsidP="000A3AF1">
      <w:pPr>
        <w:pStyle w:val="ZLITPKTzmpktliter"/>
      </w:pPr>
      <w:r w:rsidRPr="0049226B">
        <w:t>3)</w:t>
      </w:r>
      <w:r w:rsidR="00804C7C">
        <w:tab/>
      </w:r>
      <w:r w:rsidRPr="0049226B">
        <w:t xml:space="preserve">Komisja uzna to za uzasadnione </w:t>
      </w:r>
      <w:r w:rsidR="00A937B7">
        <w:t xml:space="preserve">ze względu na </w:t>
      </w:r>
      <w:r w:rsidRPr="0049226B">
        <w:t>wielkoś</w:t>
      </w:r>
      <w:r w:rsidR="00A937B7">
        <w:t>ć</w:t>
      </w:r>
      <w:r w:rsidRPr="0049226B">
        <w:t>, charakter, skal</w:t>
      </w:r>
      <w:r w:rsidR="00A937B7">
        <w:t>ę</w:t>
      </w:r>
      <w:r w:rsidRPr="0049226B">
        <w:t xml:space="preserve"> i złożonoś</w:t>
      </w:r>
      <w:r w:rsidR="00A937B7">
        <w:t>ć</w:t>
      </w:r>
      <w:r w:rsidR="00804C7C">
        <w:t xml:space="preserve"> </w:t>
      </w:r>
      <w:r w:rsidRPr="0049226B">
        <w:t>działań domu maklerskiego, z uwzględnieniem zasady proporcjonalności oraz mając na uwadze znaczenie domu maklerskiego dla gospodarki Unii Europejskiej lub gospodarki Rzeczypospolitej Polskiej, znaczenie działalności transgranicznej domu maklerskiego lub wzajemne powiązania domu maklerskiego z systemem finansowym</w:t>
      </w:r>
    </w:p>
    <w:p w14:paraId="0C63DEEA" w14:textId="77777777" w:rsidR="0049226B" w:rsidRPr="0049226B" w:rsidRDefault="009A59D7" w:rsidP="000A3AF1">
      <w:pPr>
        <w:pStyle w:val="ZLITCZWSPPKTzmczciwsppktliter"/>
      </w:pPr>
      <w:r w:rsidRPr="0049226B">
        <w:t>–</w:t>
      </w:r>
      <w:r w:rsidR="0049226B" w:rsidRPr="0049226B">
        <w:t xml:space="preserve"> Komisja może</w:t>
      </w:r>
      <w:r w:rsidR="00003C41">
        <w:t>, w drodze decyzji,</w:t>
      </w:r>
      <w:r w:rsidR="0049226B" w:rsidRPr="0049226B">
        <w:t xml:space="preserve"> zezwolić na stosowanie przez ten dom maklerski przepisów rozporządzenia 575/2013</w:t>
      </w:r>
      <w:r w:rsidR="00002952">
        <w:t>,</w:t>
      </w:r>
      <w:r w:rsidR="0049226B" w:rsidRPr="0049226B">
        <w:t xml:space="preserve"> zgodnie z art. 1 ust. 2 akapit pierwszy lit. c rozporządzenia </w:t>
      </w:r>
      <w:r w:rsidR="00182D8B">
        <w:t>2019/2033</w:t>
      </w:r>
      <w:r w:rsidR="0049226B" w:rsidRPr="0049226B">
        <w:t>.</w:t>
      </w:r>
    </w:p>
    <w:p w14:paraId="2C116F80" w14:textId="0BB9212E" w:rsidR="00812BE3" w:rsidRDefault="0049226B" w:rsidP="004F08EF">
      <w:pPr>
        <w:pStyle w:val="ZLITUSTzmustliter"/>
      </w:pPr>
      <w:r w:rsidRPr="0049226B">
        <w:t xml:space="preserve">4. Komisja </w:t>
      </w:r>
      <w:r w:rsidR="00A54263">
        <w:t xml:space="preserve">odmawia udzielenia </w:t>
      </w:r>
      <w:r w:rsidRPr="0049226B">
        <w:t xml:space="preserve">zezwolenia, o którym mowa w ust. </w:t>
      </w:r>
      <w:r w:rsidR="00003C41">
        <w:t>3</w:t>
      </w:r>
      <w:r w:rsidRPr="0049226B">
        <w:t>, domowi maklerskiemu, który wykonuje</w:t>
      </w:r>
      <w:r w:rsidR="00AE27A5">
        <w:t xml:space="preserve"> </w:t>
      </w:r>
      <w:r w:rsidRPr="0049226B">
        <w:t xml:space="preserve">czynności, o których mowa w art. 69 ust. 2 pkt 3, w zakresie instrumentów finansowych, o których mowa w art. 2 ust. 1 pkt 2 lit. j, lub </w:t>
      </w:r>
      <w:r w:rsidR="00910BDB">
        <w:t xml:space="preserve">na własny rachunek </w:t>
      </w:r>
      <w:r w:rsidRPr="0049226B">
        <w:t xml:space="preserve">prowadzi działalność w zakresie </w:t>
      </w:r>
      <w:r w:rsidR="0095635D">
        <w:t>obrotu towarami giełdowymi,</w:t>
      </w:r>
      <w:r w:rsidR="00804C7C">
        <w:t xml:space="preserve"> </w:t>
      </w:r>
      <w:r w:rsidRPr="0049226B">
        <w:t>o których mowa w art. 2 pkt 2 ustawy z dnia 26 października 2000 r. o giełdach towarowych.</w:t>
      </w:r>
    </w:p>
    <w:p w14:paraId="33EF5CFD" w14:textId="706F0621" w:rsidR="00812BE3" w:rsidRDefault="00812BE3" w:rsidP="00B26CF8">
      <w:pPr>
        <w:pStyle w:val="ZLITUSTzmustliter"/>
      </w:pPr>
      <w:r w:rsidRPr="0049226B">
        <w:t xml:space="preserve">5. </w:t>
      </w:r>
      <w:r w:rsidR="007A288E">
        <w:t xml:space="preserve">Komisja uchyla decyzję, o której mowa w ust. 3, bez zgody domu maklerskiego, w przypadku gdy </w:t>
      </w:r>
      <w:r w:rsidR="007A288E" w:rsidRPr="0049226B">
        <w:t xml:space="preserve">całkowita wartość skonsolidowanych aktywów obliczona jako średnia z ostatnich 12 miesięcy jest </w:t>
      </w:r>
      <w:r w:rsidR="007A288E">
        <w:t>niższa niż</w:t>
      </w:r>
      <w:r w:rsidR="007A288E" w:rsidRPr="0049226B">
        <w:t xml:space="preserve"> </w:t>
      </w:r>
      <w:r w:rsidR="007A288E">
        <w:t xml:space="preserve">wartość wskazana w </w:t>
      </w:r>
      <w:r w:rsidR="00375CF3">
        <w:t>ust. 3</w:t>
      </w:r>
      <w:r w:rsidR="007A288E" w:rsidRPr="00375CF3">
        <w:t>.</w:t>
      </w:r>
    </w:p>
    <w:p w14:paraId="00CF2770" w14:textId="5B06FDC5" w:rsidR="0049226B" w:rsidRDefault="00A10D17" w:rsidP="00B26CF8">
      <w:pPr>
        <w:pStyle w:val="ZLITUSTzmustliter"/>
      </w:pPr>
      <w:r>
        <w:t>6. Decyzja, o której mowa w ust. 3, wygasa</w:t>
      </w:r>
      <w:r w:rsidR="00804C7C">
        <w:t xml:space="preserve"> </w:t>
      </w:r>
      <w:r w:rsidR="0049226B" w:rsidRPr="0049226B">
        <w:t xml:space="preserve">w przypadku </w:t>
      </w:r>
      <w:r>
        <w:t xml:space="preserve">gdy </w:t>
      </w:r>
      <w:r w:rsidRPr="0049226B">
        <w:t xml:space="preserve">całkowita wartość skonsolidowanych aktywów </w:t>
      </w:r>
      <w:r>
        <w:t xml:space="preserve">domu maklerskiego </w:t>
      </w:r>
      <w:r w:rsidRPr="0049226B">
        <w:t xml:space="preserve">obliczona jako średnia z ostatnich 12 miesięcy </w:t>
      </w:r>
      <w:r w:rsidR="00910BDB">
        <w:t xml:space="preserve">jest niższa niż </w:t>
      </w:r>
      <w:r w:rsidRPr="0049226B">
        <w:t>równowartoś</w:t>
      </w:r>
      <w:r w:rsidR="00910BDB">
        <w:t xml:space="preserve">ć </w:t>
      </w:r>
      <w:r w:rsidRPr="0049226B">
        <w:t xml:space="preserve">5 </w:t>
      </w:r>
      <w:r>
        <w:t>000 000 000 euro.</w:t>
      </w:r>
    </w:p>
    <w:p w14:paraId="7E79E0C2" w14:textId="7E5F4636" w:rsidR="00CD60E1" w:rsidRPr="0049226B" w:rsidRDefault="00C25709" w:rsidP="00B26CF8">
      <w:pPr>
        <w:pStyle w:val="ZLITUSTzmustliter"/>
      </w:pPr>
      <w:r>
        <w:t>7</w:t>
      </w:r>
      <w:r w:rsidR="00CD60E1">
        <w:t>. Komisja stwierdza wygaśnięcie decyzji, o której mowa w ust. 3, w drodze decyzji.</w:t>
      </w:r>
    </w:p>
    <w:p w14:paraId="373DAB32" w14:textId="281575B6" w:rsidR="009035D9" w:rsidRDefault="00C25709" w:rsidP="00334A28">
      <w:pPr>
        <w:pStyle w:val="ZLITUSTzmustliter"/>
      </w:pPr>
      <w:r>
        <w:lastRenderedPageBreak/>
        <w:t>8</w:t>
      </w:r>
      <w:r w:rsidR="0049226B" w:rsidRPr="0049226B">
        <w:t xml:space="preserve">. </w:t>
      </w:r>
      <w:r w:rsidR="00003C41" w:rsidRPr="008741ED">
        <w:t>Komisja</w:t>
      </w:r>
      <w:r w:rsidR="00003C41">
        <w:t xml:space="preserve"> niezwłocznie</w:t>
      </w:r>
      <w:r w:rsidR="00003C41" w:rsidRPr="008741ED">
        <w:t xml:space="preserve"> informuje Europejski Urząd Nadzoru Bankowego o wydaniu</w:t>
      </w:r>
      <w:r w:rsidR="00A10D17">
        <w:t>,</w:t>
      </w:r>
      <w:r w:rsidR="00DE6C35">
        <w:t xml:space="preserve"> uchyleniu</w:t>
      </w:r>
      <w:r w:rsidR="00003C41" w:rsidRPr="008741ED">
        <w:t xml:space="preserve"> </w:t>
      </w:r>
      <w:r w:rsidR="00A10D17">
        <w:t xml:space="preserve">i wygaśnięciu </w:t>
      </w:r>
      <w:r w:rsidR="00003C41" w:rsidRPr="008741ED">
        <w:t>decyzji, o któr</w:t>
      </w:r>
      <w:r w:rsidR="00A10D17">
        <w:t>ej</w:t>
      </w:r>
      <w:r w:rsidR="00003C41" w:rsidRPr="008741ED">
        <w:t xml:space="preserve"> mowa w ust.</w:t>
      </w:r>
      <w:r w:rsidR="00003C41">
        <w:t xml:space="preserve"> 3.</w:t>
      </w:r>
    </w:p>
    <w:p w14:paraId="2F291086" w14:textId="52A32F08" w:rsidR="00C25709" w:rsidRDefault="00C25709" w:rsidP="00334A28">
      <w:pPr>
        <w:pStyle w:val="ZLITUSTzmustliter"/>
      </w:pPr>
      <w:r>
        <w:t>9</w:t>
      </w:r>
      <w:r w:rsidR="0049226B" w:rsidRPr="00D511A0">
        <w:t xml:space="preserve">. W przypadkach, o których mowa w ust. 3 oraz w art. 1 ust. 2 lit. a lub b </w:t>
      </w:r>
      <w:r w:rsidR="00375CF3">
        <w:t>oraz</w:t>
      </w:r>
      <w:r w:rsidR="004643EE" w:rsidRPr="00334A28">
        <w:t xml:space="preserve"> </w:t>
      </w:r>
      <w:r w:rsidR="0049226B" w:rsidRPr="00334A28">
        <w:t>ust. 5 rozporządzenia</w:t>
      </w:r>
      <w:r w:rsidR="00003C41" w:rsidRPr="00334A28">
        <w:t xml:space="preserve"> </w:t>
      </w:r>
      <w:r w:rsidR="00182D8B" w:rsidRPr="00334A28">
        <w:t>2019/2033</w:t>
      </w:r>
      <w:r w:rsidR="00334A28" w:rsidRPr="00334A28">
        <w:t xml:space="preserve">, </w:t>
      </w:r>
      <w:r w:rsidR="0049226B" w:rsidRPr="00334A28">
        <w:t>domy maklerskie spełniają wymogi określone w rozporządzeni</w:t>
      </w:r>
      <w:r w:rsidR="0049226B" w:rsidRPr="00D511A0">
        <w:t xml:space="preserve">u 575/2013 oraz stosuje się do nich odpowiednio przepisy </w:t>
      </w:r>
      <w:r w:rsidR="0049226B" w:rsidRPr="00334A28">
        <w:t xml:space="preserve">ustawy z </w:t>
      </w:r>
      <w:r w:rsidR="007D53EB" w:rsidRPr="00334A28">
        <w:t>dnia 29 sierpnia 1997 r. – Prawo bankowe</w:t>
      </w:r>
      <w:r w:rsidR="000A3AF1">
        <w:t>.</w:t>
      </w:r>
    </w:p>
    <w:p w14:paraId="1FAC64C1" w14:textId="592922A2" w:rsidR="0049226B" w:rsidRPr="00334A28" w:rsidRDefault="00C25709">
      <w:pPr>
        <w:pStyle w:val="ZLITUSTzmustliter"/>
      </w:pPr>
      <w:r>
        <w:t>10</w:t>
      </w:r>
      <w:r w:rsidRPr="00C25709">
        <w:t>. Równowartość w złotych kwoty w walucie obcej oblicza się według średniego kursu tej waluty ogłoszonego przez Narodowy Bank Polski w dniu bilansowym, na który zostało sporządzone ostatnie zbadane sprawozdanie finansowe za rok obrotowy.</w:t>
      </w:r>
      <w:r>
        <w:t>”</w:t>
      </w:r>
      <w:r w:rsidR="0049226B" w:rsidRPr="00334A28">
        <w:t>;</w:t>
      </w:r>
    </w:p>
    <w:p w14:paraId="33A1F52A" w14:textId="5C1977F0" w:rsidR="0049226B" w:rsidRPr="0049226B" w:rsidRDefault="006E6BE0" w:rsidP="0049226B">
      <w:pPr>
        <w:pStyle w:val="PKTpunkt"/>
      </w:pPr>
      <w:r w:rsidRPr="0049226B">
        <w:t>1</w:t>
      </w:r>
      <w:r>
        <w:t>4</w:t>
      </w:r>
      <w:r w:rsidR="0049226B" w:rsidRPr="0049226B">
        <w:t>)</w:t>
      </w:r>
      <w:r w:rsidR="009A59D7">
        <w:tab/>
      </w:r>
      <w:r w:rsidR="0049226B" w:rsidRPr="0049226B">
        <w:t>po art. 110a dodaje się art. 110aa w brzmieniu:</w:t>
      </w:r>
    </w:p>
    <w:p w14:paraId="674716CF" w14:textId="4FEF908C" w:rsidR="0049226B" w:rsidRPr="0049226B" w:rsidRDefault="0049226B" w:rsidP="00FE780C">
      <w:pPr>
        <w:pStyle w:val="ZARTzmartartykuempunktem"/>
      </w:pPr>
      <w:r w:rsidRPr="0049226B">
        <w:t>„Art. 110aa. 1</w:t>
      </w:r>
      <w:r w:rsidR="009E250B">
        <w:t xml:space="preserve">. </w:t>
      </w:r>
      <w:r w:rsidR="007A288E">
        <w:t xml:space="preserve">Przepisy niniejszego oddziału stosuje się do domu maklerskiego </w:t>
      </w:r>
      <w:r w:rsidRPr="0049226B">
        <w:t xml:space="preserve">na </w:t>
      </w:r>
      <w:r w:rsidR="009A452F">
        <w:t>poziomie jednostkowym</w:t>
      </w:r>
      <w:r w:rsidRPr="0049226B">
        <w:t>.</w:t>
      </w:r>
    </w:p>
    <w:p w14:paraId="2D42F923" w14:textId="3211C71A" w:rsidR="0049226B" w:rsidRPr="001F3F7D" w:rsidRDefault="0049226B" w:rsidP="001F3F7D">
      <w:pPr>
        <w:pStyle w:val="ZUSTzmustartykuempunktem"/>
      </w:pPr>
      <w:r w:rsidRPr="0049226B">
        <w:t xml:space="preserve">2. W przypadku </w:t>
      </w:r>
      <w:r w:rsidRPr="001F3F7D">
        <w:t xml:space="preserve">udzielenia przez Komisję zezwolenia, o którym mowa w art. 8 ust. 1 lub 4 rozporządzenia </w:t>
      </w:r>
      <w:r w:rsidR="00182D8B" w:rsidRPr="001F3F7D">
        <w:t>2019/2033</w:t>
      </w:r>
      <w:r w:rsidRPr="001F3F7D">
        <w:t xml:space="preserve">, </w:t>
      </w:r>
      <w:r w:rsidR="009E250B" w:rsidRPr="001F3F7D">
        <w:t xml:space="preserve">do </w:t>
      </w:r>
      <w:r w:rsidRPr="001F3F7D">
        <w:t>dom</w:t>
      </w:r>
      <w:r w:rsidR="009E250B" w:rsidRPr="001F3F7D">
        <w:t>u</w:t>
      </w:r>
      <w:r w:rsidRPr="001F3F7D">
        <w:t xml:space="preserve"> maklerski</w:t>
      </w:r>
      <w:r w:rsidR="009E250B" w:rsidRPr="001F3F7D">
        <w:t>ego</w:t>
      </w:r>
      <w:r w:rsidRPr="001F3F7D">
        <w:t xml:space="preserve"> objęty grupowym testem kapitałowym </w:t>
      </w:r>
      <w:r w:rsidR="004F4F79" w:rsidRPr="001F3F7D">
        <w:t xml:space="preserve">stosuje </w:t>
      </w:r>
      <w:r w:rsidR="009E250B" w:rsidRPr="001F3F7D">
        <w:t xml:space="preserve">się </w:t>
      </w:r>
      <w:r w:rsidRPr="001F3F7D">
        <w:t xml:space="preserve">przepisy niniejszego oddziału na </w:t>
      </w:r>
      <w:r w:rsidR="009A452F" w:rsidRPr="001F3F7D">
        <w:t>poziomie jednostkowym</w:t>
      </w:r>
      <w:r w:rsidRPr="001F3F7D">
        <w:t>.</w:t>
      </w:r>
    </w:p>
    <w:p w14:paraId="7D5C89CE" w14:textId="5950371F" w:rsidR="0049226B" w:rsidRPr="001F3F7D" w:rsidRDefault="0049226B" w:rsidP="001F3F7D">
      <w:pPr>
        <w:pStyle w:val="ZUSTzmustartykuempunktem"/>
      </w:pPr>
      <w:r w:rsidRPr="001F3F7D">
        <w:t xml:space="preserve">3. </w:t>
      </w:r>
      <w:r w:rsidR="009E250B" w:rsidRPr="001F3F7D">
        <w:t>Do d</w:t>
      </w:r>
      <w:r w:rsidR="00611AD4" w:rsidRPr="001F3F7D">
        <w:t>om</w:t>
      </w:r>
      <w:r w:rsidR="009E250B" w:rsidRPr="001F3F7D">
        <w:t>u</w:t>
      </w:r>
      <w:r w:rsidR="00611AD4" w:rsidRPr="001F3F7D">
        <w:t xml:space="preserve"> maklerski</w:t>
      </w:r>
      <w:r w:rsidR="009E250B" w:rsidRPr="001F3F7D">
        <w:t>ego</w:t>
      </w:r>
      <w:r w:rsidRPr="001F3F7D">
        <w:t xml:space="preserve"> objęt</w:t>
      </w:r>
      <w:r w:rsidR="009E250B" w:rsidRPr="001F3F7D">
        <w:t>ego</w:t>
      </w:r>
      <w:r w:rsidRPr="001F3F7D">
        <w:t xml:space="preserve"> konsolidacją ostrożnościową zgodnie z art. 7 rozporządzenia </w:t>
      </w:r>
      <w:r w:rsidR="00182D8B" w:rsidRPr="001F3F7D">
        <w:t>2019/2033</w:t>
      </w:r>
      <w:r w:rsidRPr="001F3F7D">
        <w:t xml:space="preserve"> </w:t>
      </w:r>
      <w:r w:rsidR="004F4F79" w:rsidRPr="001F3F7D">
        <w:t xml:space="preserve">stosuje </w:t>
      </w:r>
      <w:r w:rsidR="009E250B" w:rsidRPr="001F3F7D">
        <w:t xml:space="preserve">się </w:t>
      </w:r>
      <w:r w:rsidRPr="001F3F7D">
        <w:t xml:space="preserve">przepisy niniejszego oddziału na </w:t>
      </w:r>
      <w:r w:rsidR="009A452F" w:rsidRPr="001F3F7D">
        <w:t xml:space="preserve">poziomie </w:t>
      </w:r>
      <w:r w:rsidRPr="001F3F7D">
        <w:t>jednostkow</w:t>
      </w:r>
      <w:r w:rsidR="009A452F" w:rsidRPr="001F3F7D">
        <w:t>ym</w:t>
      </w:r>
      <w:r w:rsidRPr="001F3F7D">
        <w:t xml:space="preserve"> i skonsolidowan</w:t>
      </w:r>
      <w:r w:rsidR="009A452F" w:rsidRPr="001F3F7D">
        <w:t>ym</w:t>
      </w:r>
      <w:r w:rsidRPr="001F3F7D">
        <w:t xml:space="preserve">. </w:t>
      </w:r>
      <w:r w:rsidR="00090390" w:rsidRPr="001F3F7D">
        <w:t xml:space="preserve">W przypadku </w:t>
      </w:r>
      <w:r w:rsidR="00E250D1" w:rsidRPr="001F3F7D">
        <w:t>gdy podmiot dominujący w Unii Europejskiej może wykazać Komisji, że stosowanie niniejszego oddziału jest niezgodne z prawem państwa trzeciego, w którym podmiot zależny ma siedzibę</w:t>
      </w:r>
      <w:r w:rsidR="00340A54" w:rsidRPr="001F3F7D">
        <w:t xml:space="preserve">, </w:t>
      </w:r>
      <w:r w:rsidR="00375CF3">
        <w:t xml:space="preserve">oraz </w:t>
      </w:r>
      <w:r w:rsidR="00340A54" w:rsidRPr="00375CF3">
        <w:t>do podmiotu zależnego</w:t>
      </w:r>
      <w:r w:rsidR="003A6634" w:rsidRPr="00375CF3">
        <w:t>, który</w:t>
      </w:r>
      <w:r w:rsidR="00340A54" w:rsidRPr="00375CF3">
        <w:t xml:space="preserve"> ma siedzibę w państwie trzecim</w:t>
      </w:r>
      <w:r w:rsidR="00A53473" w:rsidRPr="00375CF3">
        <w:t>,</w:t>
      </w:r>
      <w:r w:rsidR="00E250D1" w:rsidRPr="00375CF3">
        <w:t xml:space="preserve"> </w:t>
      </w:r>
      <w:r w:rsidR="00340A54" w:rsidRPr="00375CF3">
        <w:t>do domu maklerskiego nie stosuje się</w:t>
      </w:r>
      <w:r w:rsidR="00340A54" w:rsidRPr="001F3F7D">
        <w:t xml:space="preserve"> </w:t>
      </w:r>
      <w:r w:rsidR="00BE034E" w:rsidRPr="001F3F7D">
        <w:t>przepisów niniejszego oddziału</w:t>
      </w:r>
      <w:r w:rsidR="00804C7C" w:rsidRPr="001F3F7D">
        <w:t xml:space="preserve"> </w:t>
      </w:r>
      <w:r w:rsidR="00090390" w:rsidRPr="001F3F7D">
        <w:t xml:space="preserve">na </w:t>
      </w:r>
      <w:r w:rsidR="00670E8B" w:rsidRPr="001F3F7D">
        <w:t xml:space="preserve">poziomie </w:t>
      </w:r>
      <w:r w:rsidR="00090390" w:rsidRPr="001F3F7D">
        <w:t>skonsolidowan</w:t>
      </w:r>
      <w:r w:rsidR="00670E8B" w:rsidRPr="001F3F7D">
        <w:t>ym</w:t>
      </w:r>
      <w:r w:rsidR="003A6634" w:rsidRPr="001F3F7D">
        <w:t xml:space="preserve"> </w:t>
      </w:r>
      <w:r w:rsidR="00A53473" w:rsidRPr="001F3F7D">
        <w:t xml:space="preserve">w zakresie </w:t>
      </w:r>
      <w:r w:rsidR="00CE13C3" w:rsidRPr="001F3F7D">
        <w:t xml:space="preserve">tego </w:t>
      </w:r>
      <w:r w:rsidR="003A6634" w:rsidRPr="001F3F7D">
        <w:t>podmiotu zależnego.</w:t>
      </w:r>
    </w:p>
    <w:p w14:paraId="621F98B9" w14:textId="7CBE5F13" w:rsidR="0049226B" w:rsidRPr="001F3F7D" w:rsidRDefault="0049226B" w:rsidP="001F3F7D">
      <w:pPr>
        <w:pStyle w:val="ZUSTzmustartykuempunktem"/>
      </w:pPr>
      <w:r w:rsidRPr="001F3F7D">
        <w:t xml:space="preserve">4. Komisja obejmuje </w:t>
      </w:r>
      <w:r w:rsidR="00090390" w:rsidRPr="001F3F7D">
        <w:t xml:space="preserve">nadzorem nad zgodnością z grupowym testem kapitałowym </w:t>
      </w:r>
      <w:r w:rsidRPr="001F3F7D">
        <w:t>inwestycyjną spółkę holdingową i finansową spółkę holdingową o działalności mieszanej, wchodzące w skład grupy, do której należy dom maklerski.</w:t>
      </w:r>
    </w:p>
    <w:p w14:paraId="7132D8D5" w14:textId="78CC986A" w:rsidR="0049226B" w:rsidRPr="001F3F7D" w:rsidRDefault="0049226B" w:rsidP="001F3F7D">
      <w:pPr>
        <w:pStyle w:val="ZUSTzmustartykuempunktem"/>
      </w:pPr>
      <w:r w:rsidRPr="001F3F7D">
        <w:t xml:space="preserve">5. </w:t>
      </w:r>
      <w:r w:rsidR="00090390" w:rsidRPr="001F3F7D">
        <w:t xml:space="preserve">Jeżeli </w:t>
      </w:r>
      <w:r w:rsidRPr="001F3F7D">
        <w:t>dom maklerski nie spełnia</w:t>
      </w:r>
      <w:r w:rsidR="00804C7C" w:rsidRPr="001F3F7D">
        <w:t xml:space="preserve"> </w:t>
      </w:r>
      <w:r w:rsidRPr="001F3F7D">
        <w:t xml:space="preserve">warunków określonych w art. 12 ust. 1 rozporządzenia </w:t>
      </w:r>
      <w:r w:rsidR="00182D8B" w:rsidRPr="001F3F7D">
        <w:t>2019/2033</w:t>
      </w:r>
      <w:r w:rsidRPr="001F3F7D">
        <w:t xml:space="preserve"> </w:t>
      </w:r>
      <w:r w:rsidR="00090390" w:rsidRPr="001F3F7D">
        <w:t xml:space="preserve">niezwłocznie </w:t>
      </w:r>
      <w:r w:rsidRPr="001F3F7D">
        <w:t>powiadamia o tym Komisję</w:t>
      </w:r>
      <w:r w:rsidR="00090390" w:rsidRPr="001F3F7D">
        <w:t>. W takim przypadku, w terminie</w:t>
      </w:r>
      <w:r w:rsidR="00804C7C" w:rsidRPr="001F3F7D">
        <w:t xml:space="preserve"> </w:t>
      </w:r>
      <w:r w:rsidRPr="001F3F7D">
        <w:t xml:space="preserve">12 miesięcy od dnia, w którym </w:t>
      </w:r>
      <w:r w:rsidR="001F3F7D" w:rsidRPr="001F3F7D">
        <w:t>przestał spełniać te warunki</w:t>
      </w:r>
      <w:r w:rsidRPr="001F3F7D">
        <w:t>, zapewnia zgodność</w:t>
      </w:r>
      <w:r w:rsidR="004D0CA7" w:rsidRPr="001F3F7D">
        <w:t xml:space="preserve"> prowadzonej działalności z przepisami niniejszego oddziału</w:t>
      </w:r>
      <w:r w:rsidR="007132A4" w:rsidRPr="001F3F7D">
        <w:t>.</w:t>
      </w:r>
      <w:r w:rsidRPr="001F3F7D">
        <w:t xml:space="preserve"> </w:t>
      </w:r>
    </w:p>
    <w:p w14:paraId="46B5453C" w14:textId="670D2EEB" w:rsidR="0049226B" w:rsidRPr="001F3F7D" w:rsidRDefault="0049226B" w:rsidP="001F3F7D">
      <w:pPr>
        <w:pStyle w:val="ZUSTzmustartykuempunktem"/>
      </w:pPr>
      <w:r w:rsidRPr="001F3F7D">
        <w:lastRenderedPageBreak/>
        <w:t>6. W przypadku, o którym mowa w ust. 5, dom maklerski stosuje przepisy art. 110v do wynagrodzenia przyznanego za rok obrotowy następujący po roku obrotowym, w którym</w:t>
      </w:r>
      <w:r w:rsidR="00C35D67" w:rsidRPr="001F3F7D">
        <w:t xml:space="preserve"> przestał spełniać warunki określone</w:t>
      </w:r>
      <w:r w:rsidRPr="001F3F7D">
        <w:t xml:space="preserve"> w art. 12 ust. 1 rozporządzenia </w:t>
      </w:r>
      <w:r w:rsidR="00182D8B" w:rsidRPr="001F3F7D">
        <w:t>2019/2033</w:t>
      </w:r>
      <w:r w:rsidRPr="001F3F7D">
        <w:t>.</w:t>
      </w:r>
    </w:p>
    <w:p w14:paraId="332DF154" w14:textId="703C0295" w:rsidR="0049226B" w:rsidRPr="0049226B" w:rsidRDefault="0049226B" w:rsidP="001F3F7D">
      <w:pPr>
        <w:pStyle w:val="ZUSTzmustartykuempunktem"/>
      </w:pPr>
      <w:r w:rsidRPr="001F3F7D">
        <w:t xml:space="preserve">7. W przypadku gdy dom maklerski, </w:t>
      </w:r>
      <w:r w:rsidR="00090390" w:rsidRPr="001F3F7D">
        <w:t xml:space="preserve">o którym mowa w ust. 5, </w:t>
      </w:r>
      <w:r w:rsidRPr="001F3F7D">
        <w:t>spełni</w:t>
      </w:r>
      <w:r w:rsidR="00090390" w:rsidRPr="001F3F7D">
        <w:t xml:space="preserve"> warunki określone w art. 12 ust. 1 rozporządzenia 2019/2033 </w:t>
      </w:r>
      <w:r w:rsidRPr="001F3F7D">
        <w:t>przepis</w:t>
      </w:r>
      <w:r w:rsidR="00D633E4" w:rsidRPr="001F3F7D">
        <w:t xml:space="preserve">ów niniejszego oddziału nie stosuje się </w:t>
      </w:r>
      <w:r w:rsidRPr="001F3F7D">
        <w:t>do tego domu maklerskiego po upływie sześciu miesięcy od dnia, w którym warunki te zostały ponownie spełnione</w:t>
      </w:r>
      <w:r w:rsidRPr="0049226B">
        <w:t xml:space="preserve">, </w:t>
      </w:r>
      <w:r w:rsidR="00743D60">
        <w:t xml:space="preserve">o ile </w:t>
      </w:r>
      <w:r w:rsidRPr="0049226B">
        <w:t xml:space="preserve">spełniał </w:t>
      </w:r>
      <w:r w:rsidR="00743D60">
        <w:t xml:space="preserve">on te </w:t>
      </w:r>
      <w:r w:rsidRPr="0049226B">
        <w:t xml:space="preserve">warunki nieprzerwanie przez cały ten okres </w:t>
      </w:r>
      <w:r w:rsidR="00743D60">
        <w:t xml:space="preserve">i </w:t>
      </w:r>
      <w:r w:rsidRPr="0049226B">
        <w:t>powiadomił Komisję</w:t>
      </w:r>
      <w:r w:rsidR="00D633E4">
        <w:t xml:space="preserve"> o ponownym spełnieniu tych warunków.</w:t>
      </w:r>
      <w:r w:rsidRPr="0049226B">
        <w:t>”;</w:t>
      </w:r>
    </w:p>
    <w:p w14:paraId="048FF7E4" w14:textId="23219DC4" w:rsidR="0049226B" w:rsidRPr="0049226B" w:rsidRDefault="006E6BE0" w:rsidP="0049226B">
      <w:pPr>
        <w:pStyle w:val="PKTpunkt"/>
      </w:pPr>
      <w:r>
        <w:t>15</w:t>
      </w:r>
      <w:r w:rsidR="009A59D7">
        <w:t>)</w:t>
      </w:r>
      <w:r w:rsidR="009A59D7">
        <w:tab/>
      </w:r>
      <w:r w:rsidR="0049226B" w:rsidRPr="0049226B">
        <w:t>w art. 110b:</w:t>
      </w:r>
    </w:p>
    <w:p w14:paraId="2225872C" w14:textId="77777777" w:rsidR="0049226B" w:rsidRPr="0049226B" w:rsidRDefault="009A59D7" w:rsidP="0049226B">
      <w:pPr>
        <w:pStyle w:val="LITlitera"/>
      </w:pPr>
      <w:r>
        <w:t>a)</w:t>
      </w:r>
      <w:r>
        <w:tab/>
      </w:r>
      <w:r w:rsidR="0049226B" w:rsidRPr="0049226B">
        <w:t>w ust. 1:</w:t>
      </w:r>
    </w:p>
    <w:p w14:paraId="14BF764F" w14:textId="77777777" w:rsidR="0049226B" w:rsidRPr="0049226B" w:rsidRDefault="00511C72" w:rsidP="0049226B">
      <w:pPr>
        <w:pStyle w:val="TIRtiret"/>
      </w:pPr>
      <w:r w:rsidRPr="0049226B">
        <w:t>–</w:t>
      </w:r>
      <w:r w:rsidR="009A59D7">
        <w:tab/>
      </w:r>
      <w:r w:rsidR="0049226B" w:rsidRPr="0049226B">
        <w:t>pkt 2 otrzymuje brzmienie:</w:t>
      </w:r>
    </w:p>
    <w:p w14:paraId="102A6794" w14:textId="77777777" w:rsidR="0049226B" w:rsidRPr="0049226B" w:rsidRDefault="0049226B" w:rsidP="009B09F3">
      <w:pPr>
        <w:pStyle w:val="ZTIRPKTzmpkttiret"/>
      </w:pPr>
      <w:r w:rsidRPr="0049226B">
        <w:t>„2)</w:t>
      </w:r>
      <w:r w:rsidR="009A59D7">
        <w:tab/>
      </w:r>
      <w:r w:rsidRPr="0049226B">
        <w:t xml:space="preserve">skuteczne procedury w celu identyfikacji ryzyka, na które jest lub może być narażony lub </w:t>
      </w:r>
      <w:r w:rsidR="00743D60">
        <w:t xml:space="preserve">ryzyka, </w:t>
      </w:r>
      <w:r w:rsidRPr="0049226B">
        <w:t>które stwarza lub mógłby stwarzać dla innych, jego szacowania i monitorowania, a t</w:t>
      </w:r>
      <w:r w:rsidR="009B09F3">
        <w:t>akże zarządzania tym ryzykiem;”,</w:t>
      </w:r>
    </w:p>
    <w:p w14:paraId="45D4590E" w14:textId="1FC52737" w:rsidR="0049226B" w:rsidRPr="0049226B" w:rsidRDefault="00511C72" w:rsidP="0049226B">
      <w:pPr>
        <w:pStyle w:val="TIRtiret"/>
      </w:pPr>
      <w:r w:rsidRPr="0049226B">
        <w:t>–</w:t>
      </w:r>
      <w:r w:rsidR="009A59D7">
        <w:tab/>
      </w:r>
      <w:r w:rsidR="0049226B" w:rsidRPr="0049226B">
        <w:t xml:space="preserve">w pkt 3 kropkę zastępuje się średnikiem i dodaje się pkt 4 </w:t>
      </w:r>
      <w:r w:rsidR="00743D60">
        <w:t xml:space="preserve">i </w:t>
      </w:r>
      <w:r w:rsidR="0049226B" w:rsidRPr="0049226B">
        <w:t>5 w brzmieniu:</w:t>
      </w:r>
    </w:p>
    <w:p w14:paraId="7E694214" w14:textId="57770B82" w:rsidR="0049226B" w:rsidRPr="0049226B" w:rsidRDefault="0049226B" w:rsidP="009B09F3">
      <w:pPr>
        <w:pStyle w:val="ZTIRPKTzmpkttiret"/>
      </w:pPr>
      <w:r w:rsidRPr="0049226B">
        <w:t>„4)</w:t>
      </w:r>
      <w:r w:rsidR="009A59D7">
        <w:tab/>
      </w:r>
      <w:r w:rsidRPr="0049226B">
        <w:t xml:space="preserve">mechanizmy </w:t>
      </w:r>
      <w:r w:rsidR="00670E8B">
        <w:t>kontroli</w:t>
      </w:r>
      <w:r w:rsidR="00670E8B" w:rsidRPr="0049226B">
        <w:t xml:space="preserve"> </w:t>
      </w:r>
      <w:r w:rsidRPr="0049226B">
        <w:t xml:space="preserve">zgodności </w:t>
      </w:r>
      <w:r w:rsidR="00670E8B">
        <w:t>działania domu maklerskiego z przepisami prawa</w:t>
      </w:r>
      <w:r w:rsidRPr="0049226B">
        <w:t xml:space="preserve">, kontroli wewnętrznej i audytu wewnętrznego, w tym </w:t>
      </w:r>
      <w:r w:rsidR="00B96B6E">
        <w:t>regulacje wewnętrzne</w:t>
      </w:r>
      <w:r w:rsidRPr="0049226B">
        <w:t xml:space="preserve"> i księgowe;</w:t>
      </w:r>
    </w:p>
    <w:p w14:paraId="2718EADC" w14:textId="088E9882" w:rsidR="0049226B" w:rsidRPr="0049226B" w:rsidRDefault="009A59D7" w:rsidP="009B09F3">
      <w:pPr>
        <w:pStyle w:val="ZTIRPKTzmpkttiret"/>
      </w:pPr>
      <w:r>
        <w:t>5)</w:t>
      </w:r>
      <w:r>
        <w:tab/>
      </w:r>
      <w:r w:rsidR="0049226B" w:rsidRPr="0049226B">
        <w:t>polityk</w:t>
      </w:r>
      <w:r w:rsidR="00670E8B">
        <w:t>a</w:t>
      </w:r>
      <w:r w:rsidR="0049226B" w:rsidRPr="0049226B">
        <w:t xml:space="preserve"> wynagrodzeń, </w:t>
      </w:r>
      <w:r w:rsidR="00670E8B" w:rsidRPr="0049226B">
        <w:t>któr</w:t>
      </w:r>
      <w:r w:rsidR="00670E8B">
        <w:t>a</w:t>
      </w:r>
      <w:r w:rsidR="00670E8B" w:rsidRPr="0049226B">
        <w:t xml:space="preserve"> </w:t>
      </w:r>
      <w:r w:rsidR="00670E8B">
        <w:t>jest</w:t>
      </w:r>
      <w:r w:rsidR="00670E8B" w:rsidRPr="0049226B">
        <w:t xml:space="preserve"> zgodn</w:t>
      </w:r>
      <w:r w:rsidR="00670E8B">
        <w:t>a</w:t>
      </w:r>
      <w:r w:rsidR="00670E8B" w:rsidRPr="0049226B">
        <w:t xml:space="preserve"> </w:t>
      </w:r>
      <w:r w:rsidR="0049226B" w:rsidRPr="0049226B">
        <w:t>z zasadami należytego i skutecznego zarządzania ryzykiem oraz sprzyja</w:t>
      </w:r>
      <w:r w:rsidR="009B09F3">
        <w:t xml:space="preserve"> takiemu zarządzaniu ryzykiem.”,</w:t>
      </w:r>
    </w:p>
    <w:p w14:paraId="01F6BB7D" w14:textId="77777777" w:rsidR="0049226B" w:rsidRPr="0049226B" w:rsidRDefault="009A59D7" w:rsidP="0049226B">
      <w:pPr>
        <w:pStyle w:val="LITlitera"/>
      </w:pPr>
      <w:r>
        <w:t>b)</w:t>
      </w:r>
      <w:r>
        <w:tab/>
      </w:r>
      <w:r w:rsidR="0049226B" w:rsidRPr="0049226B">
        <w:t>ust. 3 otrzymuje brzmienie:</w:t>
      </w:r>
    </w:p>
    <w:p w14:paraId="71835B69" w14:textId="7FFBB1E9" w:rsidR="0049226B" w:rsidRPr="0049226B" w:rsidRDefault="0049226B" w:rsidP="00511C72">
      <w:pPr>
        <w:pStyle w:val="ZLITUSTzmustliter"/>
      </w:pPr>
      <w:r w:rsidRPr="0049226B">
        <w:t xml:space="preserve">„3. Dom maklerski, którego </w:t>
      </w:r>
      <w:r w:rsidR="00381A54">
        <w:t xml:space="preserve">średnia </w:t>
      </w:r>
      <w:r w:rsidRPr="0049226B">
        <w:t xml:space="preserve">wartość aktywów bilansowych i pozabilansowych jest wyższa niż równowartość 100 </w:t>
      </w:r>
      <w:r w:rsidR="009A59D7">
        <w:t>000 000</w:t>
      </w:r>
      <w:r w:rsidR="009A59D7" w:rsidRPr="0049226B">
        <w:t xml:space="preserve"> </w:t>
      </w:r>
      <w:r w:rsidR="00743D60">
        <w:t xml:space="preserve">euro </w:t>
      </w:r>
      <w:r w:rsidRPr="0049226B">
        <w:t>w czteroletnim okresie bezpośrednio poprzedzającym dany rok obrotowy, ustanawia komitet do spraw ryzyka. Zadaniem komitetu jest wspieranie zarządu domu maklerskiego w zakresie zarządzania ryzykiem.”;</w:t>
      </w:r>
    </w:p>
    <w:p w14:paraId="5756C368" w14:textId="4373DC58" w:rsidR="0049226B" w:rsidRPr="0049226B" w:rsidRDefault="006E6BE0" w:rsidP="0049226B">
      <w:pPr>
        <w:pStyle w:val="PKTpunkt"/>
      </w:pPr>
      <w:r w:rsidRPr="0049226B">
        <w:t>1</w:t>
      </w:r>
      <w:r>
        <w:t>6</w:t>
      </w:r>
      <w:r w:rsidR="0049226B" w:rsidRPr="0049226B">
        <w:t>)</w:t>
      </w:r>
      <w:r w:rsidR="009A59D7">
        <w:tab/>
      </w:r>
      <w:r w:rsidR="0049226B" w:rsidRPr="0049226B">
        <w:t>w art. 110c:</w:t>
      </w:r>
    </w:p>
    <w:p w14:paraId="36934BB7" w14:textId="16A30037" w:rsidR="0049226B" w:rsidRPr="0049226B" w:rsidRDefault="0049226B" w:rsidP="0049226B">
      <w:pPr>
        <w:pStyle w:val="LITlitera"/>
      </w:pPr>
      <w:r w:rsidRPr="0049226B">
        <w:t>a)</w:t>
      </w:r>
      <w:r w:rsidR="009A59D7">
        <w:tab/>
      </w:r>
      <w:r w:rsidR="00670E8B">
        <w:t xml:space="preserve">w </w:t>
      </w:r>
      <w:r w:rsidRPr="0049226B">
        <w:t xml:space="preserve">ust. 1 </w:t>
      </w:r>
      <w:r w:rsidR="00670E8B">
        <w:t>dodaje się zdani</w:t>
      </w:r>
      <w:r w:rsidR="001F3F7D">
        <w:t xml:space="preserve">e drugie i trzecie </w:t>
      </w:r>
      <w:r w:rsidR="00670E8B">
        <w:t>w brzmieniu</w:t>
      </w:r>
      <w:r w:rsidRPr="0049226B">
        <w:t xml:space="preserve">: </w:t>
      </w:r>
    </w:p>
    <w:p w14:paraId="4BCC8AA4" w14:textId="489AD534" w:rsidR="0049226B" w:rsidRPr="0049226B" w:rsidRDefault="0049226B" w:rsidP="00511C72">
      <w:pPr>
        <w:pStyle w:val="ZLITUSTzmustliter"/>
      </w:pPr>
      <w:r w:rsidRPr="0049226B">
        <w:t>„System zarządzania ryzykiem w domu maklerskim uwzględnia otoczenie makroekonomiczne oraz cykl koniunkturalny domu maklerskiego.</w:t>
      </w:r>
      <w:r w:rsidR="00AE27A5">
        <w:t xml:space="preserve"> </w:t>
      </w:r>
      <w:r w:rsidRPr="0049226B">
        <w:t>Zarząd domu maklerskiego poświęca wystarczająco dużo czasu na zapewnienie prawidłowego działania systemu zarządzania ryzykiem.”</w:t>
      </w:r>
      <w:r w:rsidR="009B09F3">
        <w:t>,</w:t>
      </w:r>
    </w:p>
    <w:p w14:paraId="00EF8348" w14:textId="360BB26A" w:rsidR="0049226B" w:rsidRPr="0049226B" w:rsidRDefault="009A59D7" w:rsidP="0049226B">
      <w:pPr>
        <w:pStyle w:val="LITlitera"/>
      </w:pPr>
      <w:r>
        <w:lastRenderedPageBreak/>
        <w:t>b)</w:t>
      </w:r>
      <w:r>
        <w:tab/>
      </w:r>
      <w:r w:rsidR="0049226B" w:rsidRPr="0049226B">
        <w:t xml:space="preserve">w ust. 2 w pkt 3 kropkę zastępuje się </w:t>
      </w:r>
      <w:r w:rsidR="001F3F7D">
        <w:t>średnikiem</w:t>
      </w:r>
      <w:r w:rsidR="009B09F3">
        <w:t xml:space="preserve"> i dodaje się pkt 4</w:t>
      </w:r>
      <w:r w:rsidR="00743D60">
        <w:t xml:space="preserve"> i </w:t>
      </w:r>
      <w:r w:rsidR="0049226B" w:rsidRPr="0049226B">
        <w:t>5 w brzmieniu:</w:t>
      </w:r>
    </w:p>
    <w:p w14:paraId="7F8C227D" w14:textId="77777777" w:rsidR="0049226B" w:rsidRPr="0049226B" w:rsidRDefault="0049226B" w:rsidP="00511C72">
      <w:pPr>
        <w:pStyle w:val="ZLITPKTzmpktliter"/>
      </w:pPr>
      <w:r w:rsidRPr="0049226B">
        <w:t>„4)</w:t>
      </w:r>
      <w:r w:rsidR="009A59D7">
        <w:tab/>
      </w:r>
      <w:r w:rsidRPr="0049226B">
        <w:t>zapewnia przeprowadzanie okresowych przeglądów strategii, o których mowa w pkt 2;</w:t>
      </w:r>
    </w:p>
    <w:p w14:paraId="3E14249A" w14:textId="77777777" w:rsidR="0049226B" w:rsidRDefault="009A59D7" w:rsidP="00511C72">
      <w:pPr>
        <w:pStyle w:val="ZLITPKTzmpktliter"/>
      </w:pPr>
      <w:r>
        <w:t>5)</w:t>
      </w:r>
      <w:r>
        <w:tab/>
      </w:r>
      <w:r w:rsidR="0049226B" w:rsidRPr="0049226B">
        <w:t>zapewnia odpowiednie zasoby, niezbędne do prawidłowego funkcjonowania systemu zarządzania ryzykiem.”</w:t>
      </w:r>
      <w:r w:rsidR="009B09F3">
        <w:t>,</w:t>
      </w:r>
    </w:p>
    <w:p w14:paraId="25CCEB75" w14:textId="0540B893" w:rsidR="00455832" w:rsidRPr="00455832" w:rsidRDefault="00455832" w:rsidP="00455832">
      <w:pPr>
        <w:pStyle w:val="LITlitera"/>
      </w:pPr>
      <w:r w:rsidRPr="00455832">
        <w:t>c)</w:t>
      </w:r>
      <w:r w:rsidR="00DA78F4">
        <w:tab/>
      </w:r>
      <w:r w:rsidRPr="00455832">
        <w:t>ust. 3 i 4 otrzymuj</w:t>
      </w:r>
      <w:r w:rsidR="00A15978">
        <w:t>ą</w:t>
      </w:r>
      <w:r w:rsidRPr="00455832">
        <w:t xml:space="preserve"> brzmienie:</w:t>
      </w:r>
    </w:p>
    <w:p w14:paraId="4171B43B" w14:textId="77777777" w:rsidR="00455832" w:rsidRPr="0049226B" w:rsidRDefault="00455832" w:rsidP="00804C7C">
      <w:pPr>
        <w:pStyle w:val="ZLITUSTzmustliter"/>
      </w:pPr>
      <w:r w:rsidRPr="00455832">
        <w:t>„3. Rada nadzorcza domu maklerskiego sprawuje nadzór nad wypełnianiem przez zarząd obowiązków, o których mowa w ust. 1 i 2, oraz ocenia adekwatność i skuteczność przyjętych rozwiązań, w tym zatwierdza</w:t>
      </w:r>
      <w:r w:rsidR="00950897">
        <w:t xml:space="preserve"> akceptowalny ogólny poziom ryzyka</w:t>
      </w:r>
      <w:r w:rsidRPr="00455832">
        <w:t xml:space="preserve"> </w:t>
      </w:r>
      <w:r w:rsidR="00950897" w:rsidRPr="00950897">
        <w:t>domu maklerskiego</w:t>
      </w:r>
      <w:r w:rsidRPr="00455832">
        <w:t>.</w:t>
      </w:r>
    </w:p>
    <w:p w14:paraId="36CFEED6" w14:textId="06127895" w:rsidR="0049226B" w:rsidRPr="0049226B" w:rsidRDefault="009A59D7" w:rsidP="004F08EF">
      <w:pPr>
        <w:pStyle w:val="ZLITUSTzmustliter"/>
      </w:pPr>
      <w:r>
        <w:t xml:space="preserve">4. </w:t>
      </w:r>
      <w:r w:rsidR="0049226B" w:rsidRPr="0049226B">
        <w:t xml:space="preserve">Rada nadzorcza domu maklerskiego oraz komitet do spraw ryzyka, jeżeli został powołany, ma prawo dostępu do informacji dotyczących ryzyka związanego z działalnością domu maklerskiego, w szczególności </w:t>
      </w:r>
      <w:r w:rsidR="00000215">
        <w:t>może</w:t>
      </w:r>
      <w:r w:rsidR="00804C7C">
        <w:t xml:space="preserve"> </w:t>
      </w:r>
      <w:r w:rsidR="0049226B" w:rsidRPr="0049226B">
        <w:t>żądać informacji od osób wykonujących w domu maklerskim funkcje w zakresie zarządzania ryzykiem oraz wyjaśnień od ekspertów zewnętrznych świadczących usługi w zakresie zarządzania ryzykiem na rzecz domu maklerskiego.”;</w:t>
      </w:r>
    </w:p>
    <w:p w14:paraId="620A55F7" w14:textId="76DEBAE6" w:rsidR="0049226B" w:rsidRPr="0049226B" w:rsidRDefault="006E6BE0" w:rsidP="00511C72">
      <w:pPr>
        <w:pStyle w:val="PKTpunkt"/>
      </w:pPr>
      <w:r>
        <w:t>17</w:t>
      </w:r>
      <w:r w:rsidR="009A59D7">
        <w:t>)</w:t>
      </w:r>
      <w:r w:rsidR="009A59D7">
        <w:tab/>
      </w:r>
      <w:r w:rsidR="0049226B" w:rsidRPr="0049226B">
        <w:t>uchyla się</w:t>
      </w:r>
      <w:r w:rsidR="004250CF" w:rsidRPr="004250CF">
        <w:t xml:space="preserve"> </w:t>
      </w:r>
      <w:r w:rsidR="004250CF" w:rsidRPr="0049226B">
        <w:t>art. 110ca i art. 110cb</w:t>
      </w:r>
      <w:r w:rsidR="0049226B" w:rsidRPr="0049226B">
        <w:t>;</w:t>
      </w:r>
    </w:p>
    <w:p w14:paraId="4190D6D9" w14:textId="10D6EE24" w:rsidR="0049226B" w:rsidRPr="0049226B" w:rsidRDefault="006E6BE0" w:rsidP="0049226B">
      <w:pPr>
        <w:pStyle w:val="PKTpunkt"/>
      </w:pPr>
      <w:r>
        <w:t>18</w:t>
      </w:r>
      <w:r w:rsidR="009A59D7">
        <w:t>)</w:t>
      </w:r>
      <w:r w:rsidR="009A59D7">
        <w:tab/>
      </w:r>
      <w:r w:rsidR="0049226B" w:rsidRPr="0049226B">
        <w:t>art. 110d otrzymuje brzmienie:</w:t>
      </w:r>
    </w:p>
    <w:p w14:paraId="6C8F0ECF" w14:textId="77777777" w:rsidR="00000215" w:rsidRPr="004F08EF" w:rsidRDefault="0049226B" w:rsidP="004F08EF">
      <w:pPr>
        <w:pStyle w:val="ZARTzmartartykuempunktem"/>
      </w:pPr>
      <w:r w:rsidRPr="0049226B">
        <w:t xml:space="preserve">„Art. </w:t>
      </w:r>
      <w:r w:rsidRPr="004F08EF">
        <w:t>110d</w:t>
      </w:r>
      <w:r w:rsidR="00DB614E" w:rsidRPr="004F08EF">
        <w:t>.</w:t>
      </w:r>
      <w:r w:rsidRPr="004F08EF">
        <w:t xml:space="preserve"> Na potrzeby stosowania</w:t>
      </w:r>
      <w:r w:rsidR="00000215" w:rsidRPr="004F08EF">
        <w:t>:</w:t>
      </w:r>
    </w:p>
    <w:p w14:paraId="4737FC15" w14:textId="7B3FF843" w:rsidR="00000215" w:rsidRPr="004F08EF" w:rsidRDefault="00000215" w:rsidP="000F15DD">
      <w:pPr>
        <w:pStyle w:val="ZPKTzmpktartykuempunktem"/>
      </w:pPr>
      <w:r w:rsidRPr="004F08EF">
        <w:t>1)</w:t>
      </w:r>
      <w:r w:rsidR="00DA78F4" w:rsidRPr="004F08EF">
        <w:tab/>
      </w:r>
      <w:r w:rsidR="0049226B" w:rsidRPr="004F08EF">
        <w:t xml:space="preserve">rozporządzenia </w:t>
      </w:r>
      <w:r w:rsidR="00182D8B" w:rsidRPr="004F08EF">
        <w:t>2019/2033</w:t>
      </w:r>
      <w:r w:rsidRPr="004F08EF">
        <w:t xml:space="preserve"> zarząd domu maklerskiego uznaje się za organ zarządzający w rozumieniu art. 4 ust. 1 pkt 39 rozporządzenia 2019/2033,</w:t>
      </w:r>
    </w:p>
    <w:p w14:paraId="49CE8639" w14:textId="04FC3B53" w:rsidR="00000215" w:rsidRPr="004F08EF" w:rsidRDefault="00000215" w:rsidP="000F15DD">
      <w:pPr>
        <w:pStyle w:val="ZPKTzmpktartykuempunktem"/>
      </w:pPr>
      <w:r w:rsidRPr="004F08EF">
        <w:t>2)</w:t>
      </w:r>
      <w:r w:rsidR="00DA78F4" w:rsidRPr="004F08EF">
        <w:tab/>
      </w:r>
      <w:r w:rsidR="0049226B" w:rsidRPr="004F08EF">
        <w:t xml:space="preserve">rozporządzenia 575/2013, </w:t>
      </w:r>
      <w:r w:rsidRPr="004F08EF">
        <w:t xml:space="preserve">w przypadku, o którym mowa w art. 110a ust. 7, zarząd domu maklerskiego uznaje się za organ zarządzający </w:t>
      </w:r>
      <w:r w:rsidR="0049226B" w:rsidRPr="004F08EF">
        <w:t>w rozumieniu art. 4 ust. 1 pkt 9 rozporządzenia 575/2013</w:t>
      </w:r>
    </w:p>
    <w:p w14:paraId="13001552" w14:textId="5331F1C2" w:rsidR="0049226B" w:rsidRPr="0049226B" w:rsidRDefault="00AE27A5" w:rsidP="000F15DD">
      <w:pPr>
        <w:pStyle w:val="ZCZWSPPKTzmczciwsppktartykuempunktem"/>
      </w:pPr>
      <w:r>
        <w:t>–</w:t>
      </w:r>
      <w:r w:rsidR="00000215" w:rsidRPr="004F08EF">
        <w:t xml:space="preserve"> </w:t>
      </w:r>
      <w:r w:rsidR="0049226B" w:rsidRPr="004F08EF">
        <w:t>chyba że przepisy odrębne stanowią</w:t>
      </w:r>
      <w:r w:rsidR="0049226B" w:rsidRPr="0049226B">
        <w:t xml:space="preserve"> inaczej.”</w:t>
      </w:r>
      <w:r w:rsidR="00511C72">
        <w:t>;</w:t>
      </w:r>
    </w:p>
    <w:p w14:paraId="053EB1C0" w14:textId="1A2E7E94" w:rsidR="0049226B" w:rsidRPr="0049226B" w:rsidRDefault="006E6BE0" w:rsidP="0049226B">
      <w:pPr>
        <w:pStyle w:val="PKTpunkt"/>
      </w:pPr>
      <w:r w:rsidRPr="0049226B">
        <w:t>1</w:t>
      </w:r>
      <w:r>
        <w:t>9</w:t>
      </w:r>
      <w:r w:rsidR="0049226B" w:rsidRPr="0049226B">
        <w:t>)</w:t>
      </w:r>
      <w:r w:rsidR="009A59D7">
        <w:tab/>
      </w:r>
      <w:r w:rsidR="0049226B" w:rsidRPr="0049226B">
        <w:t>w art. 110e:</w:t>
      </w:r>
    </w:p>
    <w:p w14:paraId="5135C6C0" w14:textId="77777777" w:rsidR="0049226B" w:rsidRPr="0049226B" w:rsidRDefault="009A59D7" w:rsidP="0049226B">
      <w:pPr>
        <w:pStyle w:val="LITlitera"/>
      </w:pPr>
      <w:r>
        <w:t>a)</w:t>
      </w:r>
      <w:r>
        <w:tab/>
      </w:r>
      <w:r w:rsidR="0049226B" w:rsidRPr="0049226B">
        <w:t>ust. 1 otrzymuje brzmienie:</w:t>
      </w:r>
    </w:p>
    <w:p w14:paraId="17168FD7" w14:textId="5B164AAE" w:rsidR="0049226B" w:rsidRPr="0049226B" w:rsidRDefault="0049226B" w:rsidP="00511C72">
      <w:pPr>
        <w:pStyle w:val="ZLITUSTzmustliter"/>
      </w:pPr>
      <w:r w:rsidRPr="0049226B">
        <w:t xml:space="preserve">„1. Dom maklerski dokonuje oszacowania kapitału wewnętrznego i aktywów płynnych. Kapitał wewnętrzny i aktywa płynne powinny zostać oszacowane w wysokości, rodzaju i strukturze zapewniających pokrycie istotnych zidentyfikowanych rodzajów i skali ryzyka, które dom maklerski </w:t>
      </w:r>
      <w:r w:rsidR="00042115">
        <w:t xml:space="preserve">stwarza lub mógłby stwarzać dla innych </w:t>
      </w:r>
      <w:r w:rsidRPr="0049226B">
        <w:t xml:space="preserve">oraz na które jest lub może być narażony. Dom maklerski </w:t>
      </w:r>
      <w:r w:rsidRPr="0049226B">
        <w:lastRenderedPageBreak/>
        <w:t>opracowuje i wdraża rozwiązania, strategie i procedury służące do oszacowania i utrzymywania kapitału wewnętrznego i aktywów płynnych.”</w:t>
      </w:r>
      <w:r w:rsidR="009B09F3">
        <w:t>,</w:t>
      </w:r>
    </w:p>
    <w:p w14:paraId="5798E7A5" w14:textId="77777777" w:rsidR="0049226B" w:rsidRPr="0049226B" w:rsidRDefault="009A59D7" w:rsidP="0049226B">
      <w:pPr>
        <w:pStyle w:val="LITlitera"/>
      </w:pPr>
      <w:r>
        <w:t>b)</w:t>
      </w:r>
      <w:r>
        <w:tab/>
      </w:r>
      <w:r w:rsidR="0049226B" w:rsidRPr="0049226B">
        <w:t>po ust. 1 dodaje się ust. 1a w brzmieniu:</w:t>
      </w:r>
    </w:p>
    <w:p w14:paraId="1FFB9C28" w14:textId="0B4A2D70" w:rsidR="0049226B" w:rsidRPr="0049226B" w:rsidRDefault="0049226B" w:rsidP="00511C72">
      <w:pPr>
        <w:pStyle w:val="ZLITUSTzmustliter"/>
      </w:pPr>
      <w:r w:rsidRPr="0049226B">
        <w:t xml:space="preserve">„1a. Rozwiązania, strategie i procedury, o których mowa w ust. 1, </w:t>
      </w:r>
      <w:r w:rsidR="00000215">
        <w:t>są</w:t>
      </w:r>
      <w:r w:rsidR="00AE27A5">
        <w:t xml:space="preserve"> </w:t>
      </w:r>
      <w:r w:rsidRPr="0049226B">
        <w:t>odpowiednie</w:t>
      </w:r>
      <w:r w:rsidR="000D22B4">
        <w:t>, skuteczne, kompletne</w:t>
      </w:r>
      <w:r w:rsidRPr="0049226B">
        <w:t xml:space="preserve"> i proporcjonalne do charakteru, skali i złożoności działalności danego domu maklerskiego. </w:t>
      </w:r>
      <w:r w:rsidR="004E3BD2">
        <w:t xml:space="preserve">Dom maklerski poddaje je </w:t>
      </w:r>
      <w:r w:rsidRPr="0049226B">
        <w:t>regu</w:t>
      </w:r>
      <w:r w:rsidR="009B09F3">
        <w:t>larnym przeglądom wewnętrznym.”,</w:t>
      </w:r>
    </w:p>
    <w:p w14:paraId="12A25DA3" w14:textId="77777777" w:rsidR="0049226B" w:rsidRPr="0049226B" w:rsidRDefault="009A59D7" w:rsidP="0049226B">
      <w:pPr>
        <w:pStyle w:val="LITlitera"/>
      </w:pPr>
      <w:r>
        <w:t>c)</w:t>
      </w:r>
      <w:r>
        <w:tab/>
      </w:r>
      <w:r w:rsidR="0049226B" w:rsidRPr="0049226B">
        <w:t>ust. 2 otrzymuje brzmienie:</w:t>
      </w:r>
    </w:p>
    <w:p w14:paraId="79EEE50B" w14:textId="77777777" w:rsidR="00000215" w:rsidRDefault="009A59D7" w:rsidP="00511C72">
      <w:pPr>
        <w:pStyle w:val="ZLITUSTzmustliter"/>
      </w:pPr>
      <w:r>
        <w:t xml:space="preserve">„2. </w:t>
      </w:r>
      <w:r w:rsidR="0049226B" w:rsidRPr="0049226B">
        <w:t>Dom maklerski utrzymuje w każdym czasie</w:t>
      </w:r>
      <w:r w:rsidR="00000215">
        <w:t>:</w:t>
      </w:r>
    </w:p>
    <w:p w14:paraId="5CD5C4FD" w14:textId="166D8C99" w:rsidR="00000215" w:rsidRDefault="00000215" w:rsidP="000F15DD">
      <w:pPr>
        <w:pStyle w:val="ZLITPKTzmpktliter"/>
      </w:pPr>
      <w:r>
        <w:t>1)</w:t>
      </w:r>
      <w:r w:rsidR="000F15DD">
        <w:tab/>
      </w:r>
      <w:r w:rsidR="0049226B" w:rsidRPr="0049226B">
        <w:t xml:space="preserve">poziom funduszy własnych, o których mowa w art. 9 rozporządzenia </w:t>
      </w:r>
      <w:r w:rsidR="00182D8B">
        <w:t>2019/2033</w:t>
      </w:r>
      <w:r w:rsidR="0049226B" w:rsidRPr="0049226B">
        <w:t>, na poziomie nie niższym niż poziom kapitału wewnętrznego</w:t>
      </w:r>
      <w:r>
        <w:t>;</w:t>
      </w:r>
    </w:p>
    <w:p w14:paraId="0FF310A1" w14:textId="34A6B332" w:rsidR="0049226B" w:rsidRPr="0049226B" w:rsidRDefault="00000215" w:rsidP="000F15DD">
      <w:pPr>
        <w:pStyle w:val="ZLITPKTzmpktliter"/>
      </w:pPr>
      <w:r>
        <w:t>2)</w:t>
      </w:r>
      <w:r w:rsidR="000F15DD">
        <w:tab/>
      </w:r>
      <w:r w:rsidR="0049226B" w:rsidRPr="0049226B">
        <w:t>aktywa płyn</w:t>
      </w:r>
      <w:r w:rsidR="009B09F3">
        <w:t xml:space="preserve">ne </w:t>
      </w:r>
      <w:r w:rsidR="00F5471D">
        <w:t xml:space="preserve">na poziomie nie niższym niż </w:t>
      </w:r>
      <w:r w:rsidR="009B09F3">
        <w:t>oszacowane zgodnie z ust. 1</w:t>
      </w:r>
      <w:r>
        <w:t>.</w:t>
      </w:r>
      <w:r w:rsidR="009B09F3">
        <w:t>”,</w:t>
      </w:r>
    </w:p>
    <w:p w14:paraId="7AD1A77B" w14:textId="554F43B7" w:rsidR="0049226B" w:rsidRPr="0049226B" w:rsidRDefault="009A59D7" w:rsidP="00511C72">
      <w:pPr>
        <w:pStyle w:val="LITlitera"/>
      </w:pPr>
      <w:r>
        <w:t>d)</w:t>
      </w:r>
      <w:r>
        <w:tab/>
      </w:r>
      <w:r w:rsidR="0004570D">
        <w:t xml:space="preserve">uchyla się </w:t>
      </w:r>
      <w:r w:rsidR="0049226B" w:rsidRPr="0049226B">
        <w:t>ust. 3–5;</w:t>
      </w:r>
    </w:p>
    <w:p w14:paraId="58132653" w14:textId="086F5E89" w:rsidR="0049226B" w:rsidRPr="0049226B" w:rsidRDefault="006E6BE0" w:rsidP="0049226B">
      <w:pPr>
        <w:pStyle w:val="PKTpunkt"/>
      </w:pPr>
      <w:r>
        <w:t>20</w:t>
      </w:r>
      <w:r w:rsidR="009A59D7">
        <w:t>)</w:t>
      </w:r>
      <w:r w:rsidR="009A59D7">
        <w:tab/>
      </w:r>
      <w:r w:rsidR="0049226B" w:rsidRPr="0049226B">
        <w:t>art. 110f otrzymuje brzmienie:</w:t>
      </w:r>
    </w:p>
    <w:p w14:paraId="71B215BE" w14:textId="70DC786E" w:rsidR="0049226B" w:rsidRPr="0049226B" w:rsidRDefault="0049226B" w:rsidP="00732070">
      <w:pPr>
        <w:pStyle w:val="ZARTzmartartykuempunktem"/>
      </w:pPr>
      <w:r w:rsidRPr="0049226B">
        <w:t xml:space="preserve">„Art. 110f. 1. W przypadku gdy dom maklerski prowadzi działalność na terytorium innego państwa członkowskiego, w zakresie określonym w niniejszym oddziale oraz rozporządzeniu </w:t>
      </w:r>
      <w:r w:rsidR="00182D8B">
        <w:t>2019/2033</w:t>
      </w:r>
      <w:r w:rsidRPr="0049226B">
        <w:t xml:space="preserve"> nadzór nad działalnością </w:t>
      </w:r>
      <w:r w:rsidR="00000215">
        <w:t xml:space="preserve">tego </w:t>
      </w:r>
      <w:r w:rsidRPr="0049226B">
        <w:t xml:space="preserve">domu maklerskiego sprawuje Komisja. Sprawując nadzór Komisja uwzględnia potencjalny wpływ swoich decyzji na stabilność systemów finansowych w innych państwach członkowskich, a także w Unii Europejskiej, w szczególności w sytuacjach nadzwyczajnych. </w:t>
      </w:r>
    </w:p>
    <w:p w14:paraId="57F900D3" w14:textId="77777777" w:rsidR="0049226B" w:rsidRPr="0049226B" w:rsidRDefault="0049226B" w:rsidP="000F15DD">
      <w:pPr>
        <w:pStyle w:val="ZUSTzmustartykuempunktem"/>
      </w:pPr>
      <w:r w:rsidRPr="0049226B">
        <w:t xml:space="preserve">2. W przypadku, o którym </w:t>
      </w:r>
      <w:r w:rsidR="00D913A1">
        <w:t>m</w:t>
      </w:r>
      <w:r w:rsidRPr="0049226B">
        <w:t xml:space="preserve">owa w ust. 1, Komisja </w:t>
      </w:r>
      <w:r w:rsidR="003C28AB">
        <w:t>i</w:t>
      </w:r>
      <w:r w:rsidRPr="0049226B">
        <w:t xml:space="preserve"> </w:t>
      </w:r>
      <w:r w:rsidR="003C28AB" w:rsidRPr="0049226B">
        <w:t>właściw</w:t>
      </w:r>
      <w:r w:rsidR="003C28AB">
        <w:t>e</w:t>
      </w:r>
      <w:r w:rsidR="003C28AB" w:rsidRPr="0049226B">
        <w:t xml:space="preserve"> organ</w:t>
      </w:r>
      <w:r w:rsidR="003C28AB">
        <w:t>y</w:t>
      </w:r>
      <w:r w:rsidR="003C28AB" w:rsidRPr="0049226B">
        <w:t xml:space="preserve"> </w:t>
      </w:r>
      <w:r w:rsidRPr="0049226B">
        <w:t xml:space="preserve">nadzoru z innych państw członkowskich, na terytorium których dom maklerski prowadzi działalność, </w:t>
      </w:r>
      <w:r w:rsidR="003C28AB" w:rsidRPr="0049226B">
        <w:t>zwan</w:t>
      </w:r>
      <w:r w:rsidR="003C28AB">
        <w:t>e</w:t>
      </w:r>
      <w:r w:rsidR="003C28AB" w:rsidRPr="0049226B">
        <w:t xml:space="preserve"> </w:t>
      </w:r>
      <w:r w:rsidRPr="0049226B">
        <w:t>dalej „właściwym</w:t>
      </w:r>
      <w:r w:rsidR="003C28AB">
        <w:t>i</w:t>
      </w:r>
      <w:r w:rsidRPr="0049226B">
        <w:t xml:space="preserve"> </w:t>
      </w:r>
      <w:r w:rsidR="003C28AB" w:rsidRPr="0049226B">
        <w:t>organ</w:t>
      </w:r>
      <w:r w:rsidR="003C28AB">
        <w:t>ami</w:t>
      </w:r>
      <w:r w:rsidR="003C28AB" w:rsidRPr="0049226B">
        <w:t xml:space="preserve"> </w:t>
      </w:r>
      <w:r w:rsidRPr="0049226B">
        <w:t xml:space="preserve">przyjmującego państwa członkowskiego”, w zakresie niezbędnym do wykonywania obowiązków określonych w niniejszym oddziale oraz rozporządzeniu </w:t>
      </w:r>
      <w:r w:rsidR="00182D8B">
        <w:t>2019/2033</w:t>
      </w:r>
      <w:r w:rsidRPr="0049226B">
        <w:t xml:space="preserve">, </w:t>
      </w:r>
      <w:r w:rsidR="003C28AB">
        <w:t xml:space="preserve">niezwłocznie przekazują sobie wzajemnie niezbędne informacje, </w:t>
      </w:r>
      <w:r w:rsidRPr="0049226B">
        <w:t xml:space="preserve">w szczególności </w:t>
      </w:r>
      <w:r w:rsidR="003C28AB">
        <w:t>dotyczące</w:t>
      </w:r>
      <w:r w:rsidRPr="0049226B">
        <w:t>:</w:t>
      </w:r>
    </w:p>
    <w:p w14:paraId="06A18096" w14:textId="77777777" w:rsidR="0049226B" w:rsidRPr="0049226B" w:rsidRDefault="009A59D7" w:rsidP="000F15DD">
      <w:pPr>
        <w:pStyle w:val="ZPKTzmpktartykuempunktem"/>
      </w:pPr>
      <w:r>
        <w:t>1)</w:t>
      </w:r>
      <w:r>
        <w:tab/>
      </w:r>
      <w:r w:rsidR="0049226B" w:rsidRPr="0049226B">
        <w:t>struktury zarządzania i własności w domu maklerskim;</w:t>
      </w:r>
    </w:p>
    <w:p w14:paraId="7CCEBD7A" w14:textId="3EE08136" w:rsidR="0049226B" w:rsidRPr="0049226B" w:rsidRDefault="009A59D7" w:rsidP="000F15DD">
      <w:pPr>
        <w:pStyle w:val="ZPKTzmpktartykuempunktem"/>
      </w:pPr>
      <w:r>
        <w:t>2)</w:t>
      </w:r>
      <w:r>
        <w:tab/>
      </w:r>
      <w:r w:rsidR="0049226B" w:rsidRPr="0049226B">
        <w:t xml:space="preserve">spełniania </w:t>
      </w:r>
      <w:r w:rsidR="00000215" w:rsidRPr="0049226B">
        <w:t xml:space="preserve">przez dom maklerski </w:t>
      </w:r>
      <w:r w:rsidR="0049226B" w:rsidRPr="0049226B">
        <w:t>wymogów w zakresie funduszy własnych;</w:t>
      </w:r>
    </w:p>
    <w:p w14:paraId="2247D9FF" w14:textId="45C9B9B3" w:rsidR="0049226B" w:rsidRPr="0049226B" w:rsidRDefault="009A59D7" w:rsidP="000F15DD">
      <w:pPr>
        <w:pStyle w:val="ZPKTzmpktartykuempunktem"/>
      </w:pPr>
      <w:r>
        <w:t>3)</w:t>
      </w:r>
      <w:r>
        <w:tab/>
      </w:r>
      <w:r w:rsidR="0049226B" w:rsidRPr="0049226B">
        <w:t>spełniania wymogów dotyczących ryzyka koncentracji i wymogów płynności w domu maklerskim;</w:t>
      </w:r>
    </w:p>
    <w:p w14:paraId="3982DC09" w14:textId="66E5F3FF" w:rsidR="0049226B" w:rsidRPr="0049226B" w:rsidRDefault="009A59D7" w:rsidP="000F15DD">
      <w:pPr>
        <w:pStyle w:val="ZPKTzmpktartykuempunktem"/>
      </w:pPr>
      <w:r>
        <w:t>4)</w:t>
      </w:r>
      <w:r>
        <w:tab/>
      </w:r>
      <w:r w:rsidR="0049226B" w:rsidRPr="0049226B">
        <w:t xml:space="preserve">procedur administracyjnych i księgowych oraz mechanizmów kontroli wewnętrznej, nadzoru zgodności działalności z prawem </w:t>
      </w:r>
      <w:r w:rsidR="00DB1DD8">
        <w:t xml:space="preserve">oraz </w:t>
      </w:r>
      <w:r w:rsidR="0049226B" w:rsidRPr="0049226B">
        <w:t>audytu wewnętrznego w dom</w:t>
      </w:r>
      <w:r w:rsidR="00000215">
        <w:t>u</w:t>
      </w:r>
      <w:r w:rsidR="0049226B" w:rsidRPr="0049226B">
        <w:t xml:space="preserve"> maklerskim;</w:t>
      </w:r>
    </w:p>
    <w:p w14:paraId="6C401B49" w14:textId="77777777" w:rsidR="0049226B" w:rsidRPr="0049226B" w:rsidRDefault="009A59D7" w:rsidP="000F15DD">
      <w:pPr>
        <w:pStyle w:val="ZPKTzmpktartykuempunktem"/>
      </w:pPr>
      <w:r>
        <w:lastRenderedPageBreak/>
        <w:t>5)</w:t>
      </w:r>
      <w:r>
        <w:tab/>
      </w:r>
      <w:r w:rsidR="0049226B" w:rsidRPr="0049226B">
        <w:t>innych istotnych czynników, które mogą wpływać na ryzyko stwarzane przez dom maklerski.</w:t>
      </w:r>
    </w:p>
    <w:p w14:paraId="7263AD70" w14:textId="1ECE7407" w:rsidR="0049226B" w:rsidRPr="0049226B" w:rsidRDefault="0049226B" w:rsidP="000F15DD">
      <w:pPr>
        <w:pStyle w:val="ZUSTzmustartykuempunktem"/>
      </w:pPr>
      <w:r w:rsidRPr="0049226B">
        <w:t>3. W przypadku ustalenia przez Komisję, że działalność domu maklerskiego może powodować zagrożenie ochrony klientów lub stabilności systemu finansowego w przyjmującym państwie członkowskim, Komisja niezwłocznie powiadamia właściwy organ przyjmującego państwa członkowskiego.</w:t>
      </w:r>
    </w:p>
    <w:p w14:paraId="75018D82" w14:textId="33E94E6A" w:rsidR="0049226B" w:rsidRPr="0049226B" w:rsidRDefault="0049226B" w:rsidP="000F15DD">
      <w:pPr>
        <w:pStyle w:val="ZUSTzmustartykuempunktem"/>
      </w:pPr>
      <w:r w:rsidRPr="0049226B">
        <w:t xml:space="preserve">4. W przypadku otrzymania od właściwego organu przyjmującego państwa członkowskiego informacji </w:t>
      </w:r>
      <w:r w:rsidR="006872FC">
        <w:t xml:space="preserve">o </w:t>
      </w:r>
      <w:r w:rsidRPr="0049226B">
        <w:t>działalności domu maklerskiego na terytorium tego państwa członkowskiego, Komisja wykorzystuje te informacje w zakresie nadzoru sprawowanego nad domem maklerskim</w:t>
      </w:r>
      <w:r w:rsidR="006872FC">
        <w:t>,</w:t>
      </w:r>
      <w:r w:rsidR="00AE27A5">
        <w:t xml:space="preserve"> </w:t>
      </w:r>
      <w:r w:rsidRPr="0049226B">
        <w:t>w szczególności</w:t>
      </w:r>
      <w:r w:rsidR="006872FC">
        <w:t xml:space="preserve"> w celu uniknięcia </w:t>
      </w:r>
      <w:r w:rsidRPr="0049226B">
        <w:t>zagrożenia ochrony klientów lub stabilności systemu finansowego w przyjmującym państwie członkowskim. Na wniosek właściwego organu przyjmującego państwa członkowskiego Komisja wyjaśnia, w jaki sposób uwzględniła informacje pozyskane do tego organu.</w:t>
      </w:r>
    </w:p>
    <w:p w14:paraId="579E9CC0" w14:textId="6A173EEF" w:rsidR="0049226B" w:rsidRPr="0049226B" w:rsidRDefault="0049226B" w:rsidP="000F15DD">
      <w:pPr>
        <w:pStyle w:val="ZUSTzmustartykuempunktem"/>
      </w:pPr>
      <w:r w:rsidRPr="0049226B">
        <w:t xml:space="preserve">5. W przypadku gdy właściwy organ przyjmującego państwa członkowskiego nie współpracuje z Komisją, Komisja może skierować informację w tym zakresie do Europejskiego Urzędu Nadzoru Bankowego. Komisja może także skierować </w:t>
      </w:r>
      <w:r w:rsidR="006872FC">
        <w:t xml:space="preserve">taką </w:t>
      </w:r>
      <w:r w:rsidRPr="0049226B">
        <w:t xml:space="preserve">informację, jeżeli właściwy organ przyjmującego państwa członkowskiego podjął wobec domu maklerskiego działania, z którymi Komisja </w:t>
      </w:r>
      <w:r w:rsidR="00B909E8">
        <w:t>nie wyraziła zgody.</w:t>
      </w:r>
    </w:p>
    <w:p w14:paraId="7AF05A92" w14:textId="76F207D3" w:rsidR="0049226B" w:rsidRPr="0049226B" w:rsidRDefault="0049226B" w:rsidP="000F15DD">
      <w:pPr>
        <w:pStyle w:val="ZUSTzmustartykuempunktem"/>
      </w:pPr>
      <w:r w:rsidRPr="0049226B">
        <w:t xml:space="preserve">6. W przypadku gdy </w:t>
      </w:r>
      <w:r w:rsidR="006872FC" w:rsidRPr="0049226B">
        <w:t xml:space="preserve">zagraniczna firma inwestycyjna prowadzi działalność </w:t>
      </w:r>
      <w:r w:rsidRPr="0049226B">
        <w:t xml:space="preserve">na terytorium Rzeczypospolitej Polskiej, Komisja współpracuje z właściwymi organami państwa członkowskiego pochodzenia tej zagranicznej firmy inwestycyjnej, które sprawują nad zagraniczną firmą inwestycyjną nadzór w zakresie odpowiadającym niniejszemu oddziałowi oraz rozporządzenia </w:t>
      </w:r>
      <w:r w:rsidR="00182D8B">
        <w:t>2019/2033</w:t>
      </w:r>
      <w:r w:rsidRPr="0049226B">
        <w:t>, zwane dalej „właściwym organem państwa członkowskiego pochodzenia”, w szczególności może zwracać się o informacje dotyczące zagranicznej firmy inwestycyjnej</w:t>
      </w:r>
      <w:r w:rsidR="006872FC">
        <w:t xml:space="preserve"> określone </w:t>
      </w:r>
      <w:r w:rsidRPr="0049226B">
        <w:t xml:space="preserve">w ust. 2. </w:t>
      </w:r>
    </w:p>
    <w:p w14:paraId="71CF97A9" w14:textId="53943419" w:rsidR="0049226B" w:rsidRPr="0049226B" w:rsidRDefault="0049226B" w:rsidP="000F15DD">
      <w:pPr>
        <w:pStyle w:val="ZUSTzmustartykuempunktem"/>
      </w:pPr>
      <w:r w:rsidRPr="0049226B">
        <w:t>7. W przypadku gdy działalność zagranicznej firmy inwestycyjnej na terytorium Rzeczypospolitej Polskiej stwarza zagrożenie dla klientów mających siedzibę, miejsce zamieszkania lub przebywających na terytorium Rzeczypospolitej Polskiej</w:t>
      </w:r>
      <w:r w:rsidR="00795E0E">
        <w:t>,</w:t>
      </w:r>
      <w:r w:rsidRPr="0049226B">
        <w:t xml:space="preserve"> lub dla stabilności systemu finansowego w Rzeczypospolitej Polskiej, Komisja </w:t>
      </w:r>
      <w:r w:rsidR="00A1405B">
        <w:t>niezwłocznie</w:t>
      </w:r>
      <w:r w:rsidR="00A1405B" w:rsidRPr="0049226B">
        <w:t xml:space="preserve"> przekaz</w:t>
      </w:r>
      <w:r w:rsidR="00A1405B">
        <w:t>uje</w:t>
      </w:r>
      <w:r w:rsidR="00A1405B" w:rsidRPr="0049226B">
        <w:t xml:space="preserve"> </w:t>
      </w:r>
      <w:r w:rsidRPr="0049226B">
        <w:t>odpowiednie informacje</w:t>
      </w:r>
      <w:r w:rsidR="00294F25">
        <w:t xml:space="preserve">, </w:t>
      </w:r>
      <w:r w:rsidR="00294F25" w:rsidRPr="00294F25">
        <w:t>w zakresie niezbędnym do wykonywania obowiązków określonych w niniejszym oddziale oraz rozporządzeniu 2019/2033</w:t>
      </w:r>
      <w:r w:rsidR="00294F25">
        <w:t>,</w:t>
      </w:r>
      <w:r w:rsidRPr="0049226B">
        <w:t xml:space="preserve"> właściwemu organowi państwa członkowskiego pochodzenia i </w:t>
      </w:r>
      <w:r w:rsidR="00652BFE">
        <w:t xml:space="preserve">może </w:t>
      </w:r>
      <w:r w:rsidRPr="0049226B">
        <w:t>zwr</w:t>
      </w:r>
      <w:r w:rsidR="00652BFE">
        <w:t xml:space="preserve">ócić </w:t>
      </w:r>
      <w:r w:rsidRPr="0049226B">
        <w:t xml:space="preserve">się do tego organu o podjęcie właściwych działań w celu zapobieżenia tym zagrożeniom. Komisja </w:t>
      </w:r>
      <w:r w:rsidRPr="0049226B">
        <w:lastRenderedPageBreak/>
        <w:t xml:space="preserve">może zwrócić się jednocześnie o przekazanie informacji o działaniach podjętych przez właściwy organ państwa członkowskiego pochodzenia. Jeżeli Komisja uzna działania podjęte przez właściwy organ państwa członkowskiego pochodzenia za nieskuteczne, po powiadomieniu tego organu, Europejskiego Urzędu Nadzoru Bankowego oraz Europejskiego Urzędu Nadzoru Giełd i Papierów Wartościowych, Komisja może podjąć działania </w:t>
      </w:r>
      <w:r w:rsidR="006872FC">
        <w:t>w celu ochrony</w:t>
      </w:r>
      <w:r w:rsidR="00804C7C">
        <w:t xml:space="preserve"> </w:t>
      </w:r>
      <w:r w:rsidRPr="0049226B">
        <w:t>klientów, na rzecz których świadczone są usługi, lub stabilnoś</w:t>
      </w:r>
      <w:r w:rsidR="006872FC">
        <w:t xml:space="preserve">ci </w:t>
      </w:r>
      <w:r w:rsidRPr="0049226B">
        <w:t xml:space="preserve">systemu finansowego. Komisja może także skierować </w:t>
      </w:r>
      <w:r w:rsidR="007D0F89">
        <w:t xml:space="preserve">informację o </w:t>
      </w:r>
      <w:r w:rsidRPr="0049226B">
        <w:t>niewystarczającej współpracy ze strony właściwego organu państwa członkowskiego pochodzenia do Europejskiego Urzędu Nadzoru Bankowego.</w:t>
      </w:r>
    </w:p>
    <w:p w14:paraId="43FA1BB7" w14:textId="77777777" w:rsidR="0049226B" w:rsidRPr="0049226B" w:rsidRDefault="0049226B" w:rsidP="000F15DD">
      <w:pPr>
        <w:pStyle w:val="ZUSTzmustartykuempunktem"/>
      </w:pPr>
      <w:r w:rsidRPr="0049226B">
        <w:t xml:space="preserve">8. Do celów oceny spełnienia warunku, o którym mowa w art. 23 ust. 1 akapit pierwszy lit. c rozporządzenia </w:t>
      </w:r>
      <w:r w:rsidR="00182D8B">
        <w:t>2019/2033</w:t>
      </w:r>
      <w:r w:rsidRPr="0049226B">
        <w:t>, Komisja może zwrócić się do właściwego organu państwa członkowskiego pochodzenia członka rozliczającego</w:t>
      </w:r>
      <w:r w:rsidR="005A6B7F">
        <w:t xml:space="preserve"> w rozumieniu art. 2 pkt 14 rozporządzenia 648/2012,</w:t>
      </w:r>
      <w:r w:rsidRPr="0049226B">
        <w:t xml:space="preserve"> o przekazanie informacji dotyczących modelu i parametrów dotyczących depozytu zabezpieczającego, wykorzystywanych do obliczania wymogu dotyczącego tego depozytu dla domu maklerskiego nadzorowanego przez Komisję.”</w:t>
      </w:r>
      <w:r w:rsidR="00511C72">
        <w:t>;</w:t>
      </w:r>
    </w:p>
    <w:p w14:paraId="6D0615EB" w14:textId="338A593B" w:rsidR="0049226B" w:rsidRPr="0049226B" w:rsidRDefault="006E6BE0" w:rsidP="0049226B">
      <w:pPr>
        <w:pStyle w:val="PKTpunkt"/>
      </w:pPr>
      <w:r>
        <w:t>21</w:t>
      </w:r>
      <w:r w:rsidR="009A59D7">
        <w:t>)</w:t>
      </w:r>
      <w:r w:rsidR="009A59D7">
        <w:tab/>
      </w:r>
      <w:r w:rsidR="0049226B" w:rsidRPr="0049226B">
        <w:t>w art. 110g:</w:t>
      </w:r>
    </w:p>
    <w:p w14:paraId="1D83BB6E" w14:textId="77777777" w:rsidR="0049226B" w:rsidRPr="0049226B" w:rsidRDefault="009A59D7" w:rsidP="0049226B">
      <w:pPr>
        <w:pStyle w:val="LITlitera"/>
      </w:pPr>
      <w:r>
        <w:t>a)</w:t>
      </w:r>
      <w:r>
        <w:tab/>
      </w:r>
      <w:r w:rsidR="009B09F3">
        <w:t>uchyla się</w:t>
      </w:r>
      <w:r w:rsidR="004250CF" w:rsidRPr="004250CF">
        <w:t xml:space="preserve"> </w:t>
      </w:r>
      <w:r w:rsidR="004250CF">
        <w:t>ust. 1 i 2</w:t>
      </w:r>
      <w:r w:rsidR="009B09F3">
        <w:t>,</w:t>
      </w:r>
    </w:p>
    <w:p w14:paraId="61BA2388" w14:textId="4D40712F" w:rsidR="0049226B" w:rsidRPr="0049226B" w:rsidRDefault="009A59D7" w:rsidP="0049226B">
      <w:pPr>
        <w:pStyle w:val="LITlitera"/>
      </w:pPr>
      <w:r>
        <w:t>b)</w:t>
      </w:r>
      <w:r>
        <w:tab/>
        <w:t>ust. 3–</w:t>
      </w:r>
      <w:r w:rsidR="0049226B" w:rsidRPr="0049226B">
        <w:t>9 otrzymuj</w:t>
      </w:r>
      <w:r w:rsidR="006872FC">
        <w:t>ą</w:t>
      </w:r>
      <w:r w:rsidR="0049226B" w:rsidRPr="0049226B">
        <w:t xml:space="preserve"> brzmienie:</w:t>
      </w:r>
    </w:p>
    <w:p w14:paraId="3CF1F791" w14:textId="3C4305EB" w:rsidR="0049226B" w:rsidRPr="0049226B" w:rsidRDefault="0049226B" w:rsidP="00511C72">
      <w:pPr>
        <w:pStyle w:val="ZLITUSTzmustliter"/>
      </w:pPr>
      <w:r w:rsidRPr="0049226B">
        <w:t>„3. W przypadku gdy dom maklerski jest unijną dominującą firmą inwestycyjną Komisja sprawuje nad grupą firm inwestycyjnych nadzór na zasadzie skonsolidowanej lub nadzór nad zgodnością z grupowym testem kapitałowym.</w:t>
      </w:r>
    </w:p>
    <w:p w14:paraId="29B34361" w14:textId="1CF06B50" w:rsidR="0049226B" w:rsidRPr="0049226B" w:rsidRDefault="0049226B" w:rsidP="00511C72">
      <w:pPr>
        <w:pStyle w:val="ZLITUSTzmustliter"/>
      </w:pPr>
      <w:r w:rsidRPr="0049226B">
        <w:t>4. W przypadku gdy podmiot dominujący domu maklerskiego jest unijną dominującą inwestycyjną spółką holdingową lub unijną dominującą finansową spółką holdingową o działalności mieszanej, Komisja sprawuje nad grupą firm inwestycyjnych nadzór na zasadzie skonsolidowanej lub nadzór nad zgodnością z grupowym testem kapitałowym.</w:t>
      </w:r>
    </w:p>
    <w:p w14:paraId="5D2CA193" w14:textId="282F161F" w:rsidR="0049226B" w:rsidRPr="0049226B" w:rsidRDefault="0049226B" w:rsidP="00511C72">
      <w:pPr>
        <w:pStyle w:val="ZLITUSTzmustliter"/>
      </w:pPr>
      <w:r w:rsidRPr="0049226B">
        <w:t>5. W przypadku gdy</w:t>
      </w:r>
      <w:r w:rsidR="00C329E6">
        <w:t xml:space="preserve"> podmiotem dominującym wobec domu maklerskiego i zagranicznej firmy inwestycyjnej jest ta sama</w:t>
      </w:r>
      <w:r w:rsidRPr="0049226B">
        <w:t xml:space="preserve"> unijn</w:t>
      </w:r>
      <w:r w:rsidR="00C329E6">
        <w:t>a</w:t>
      </w:r>
      <w:r w:rsidRPr="0049226B">
        <w:t xml:space="preserve"> dominując</w:t>
      </w:r>
      <w:r w:rsidR="00C329E6">
        <w:t>a</w:t>
      </w:r>
      <w:r w:rsidRPr="0049226B">
        <w:t xml:space="preserve"> inwestycyjn</w:t>
      </w:r>
      <w:r w:rsidR="00C329E6">
        <w:t>a</w:t>
      </w:r>
      <w:r w:rsidRPr="0049226B">
        <w:t xml:space="preserve"> spółk</w:t>
      </w:r>
      <w:r w:rsidR="00C329E6">
        <w:t>a</w:t>
      </w:r>
      <w:r w:rsidRPr="0049226B">
        <w:t xml:space="preserve"> holdingow</w:t>
      </w:r>
      <w:r w:rsidR="00C329E6">
        <w:t>a</w:t>
      </w:r>
      <w:r w:rsidRPr="0049226B">
        <w:t xml:space="preserve"> lub t</w:t>
      </w:r>
      <w:r w:rsidR="00C329E6">
        <w:t>a</w:t>
      </w:r>
      <w:r w:rsidRPr="0049226B">
        <w:t xml:space="preserve"> sam</w:t>
      </w:r>
      <w:r w:rsidR="00C329E6">
        <w:t>a</w:t>
      </w:r>
      <w:r w:rsidRPr="0049226B">
        <w:t xml:space="preserve"> unijn</w:t>
      </w:r>
      <w:r w:rsidR="00C329E6">
        <w:t>a</w:t>
      </w:r>
      <w:r w:rsidRPr="0049226B">
        <w:t xml:space="preserve"> dominując</w:t>
      </w:r>
      <w:r w:rsidR="00C329E6">
        <w:t>a</w:t>
      </w:r>
      <w:r w:rsidRPr="0049226B">
        <w:t xml:space="preserve"> finansow</w:t>
      </w:r>
      <w:r w:rsidR="00C329E6">
        <w:t>a</w:t>
      </w:r>
      <w:r w:rsidRPr="0049226B">
        <w:t xml:space="preserve"> spółk</w:t>
      </w:r>
      <w:r w:rsidR="00C329E6">
        <w:t>a</w:t>
      </w:r>
      <w:r w:rsidRPr="0049226B">
        <w:t xml:space="preserve"> holdingow</w:t>
      </w:r>
      <w:r w:rsidR="00C329E6">
        <w:t>a</w:t>
      </w:r>
      <w:r w:rsidRPr="0049226B">
        <w:t xml:space="preserve"> o działalności mieszanej Komisja sprawuje nad grupą firm inwestycyjnych nadzór na zasadzie skonsolidowanej lub nadzór nad zgodnością z grupowym testem kapitałowym, jeżeli inwestycyjna spółka holdingowa lub finansowa spółka </w:t>
      </w:r>
      <w:r w:rsidRPr="0049226B">
        <w:lastRenderedPageBreak/>
        <w:t>holdingowa o działalności mieszanej ma siedzibę na terytorium Rzeczypospolitej Polskiej.</w:t>
      </w:r>
    </w:p>
    <w:p w14:paraId="143F6D3B" w14:textId="7B521B16" w:rsidR="0049226B" w:rsidRPr="0049226B" w:rsidRDefault="0049226B" w:rsidP="00511C72">
      <w:pPr>
        <w:pStyle w:val="ZLITUSTzmustliter"/>
      </w:pPr>
      <w:r w:rsidRPr="0049226B">
        <w:t>6. W przypadku gdy podmiot</w:t>
      </w:r>
      <w:r w:rsidR="005D21E5">
        <w:t xml:space="preserve">ami </w:t>
      </w:r>
      <w:r w:rsidRPr="0049226B">
        <w:t>dominując</w:t>
      </w:r>
      <w:r w:rsidR="005D21E5">
        <w:t>ymi</w:t>
      </w:r>
      <w:r w:rsidR="00804C7C">
        <w:t xml:space="preserve"> </w:t>
      </w:r>
      <w:r w:rsidRPr="0049226B">
        <w:t xml:space="preserve">wobec domu maklerskiego oraz zagranicznej firmy inwestycyjnej </w:t>
      </w:r>
      <w:r w:rsidR="005D21E5">
        <w:t xml:space="preserve">są </w:t>
      </w:r>
      <w:r w:rsidRPr="0049226B">
        <w:t>co najmniej dwie inwestycyjne spółki holdingowe lub finansowe spółki holdingowe o działalności mieszanej, których siedziby znajdują się na terytorium Rzeczypospolitej Polskiej oraz w innym państwie członkowskim, a w każdym z tych państw członkowskich znajduje się dom maklerski lub zagraniczna firma inwestycyjna, Komisja sprawuje nad grupą firm inwestycyjnych nadzór na zasadzie skonsolidowanej lub nadzór nad zgodnością z grupowym testem kapitałowym, jeżeli dom maklerski ma największą sumę bilansową</w:t>
      </w:r>
      <w:r w:rsidR="00BB6CEF">
        <w:t xml:space="preserve"> ze wszystkich </w:t>
      </w:r>
      <w:r w:rsidR="007567A5">
        <w:t>firm inwestycyjnych w grupie firm inwestycyjnych</w:t>
      </w:r>
      <w:r w:rsidRPr="0049226B">
        <w:t>.</w:t>
      </w:r>
    </w:p>
    <w:p w14:paraId="604E2854" w14:textId="1A5A0605" w:rsidR="0049226B" w:rsidRPr="0049226B" w:rsidRDefault="0049226B" w:rsidP="00511C72">
      <w:pPr>
        <w:pStyle w:val="ZLITUSTzmustliter"/>
      </w:pPr>
      <w:r w:rsidRPr="0049226B">
        <w:t xml:space="preserve">7. W przypadku gdy </w:t>
      </w:r>
      <w:r w:rsidR="005D21E5">
        <w:t xml:space="preserve">podmiotem dominującym </w:t>
      </w:r>
      <w:r w:rsidRPr="0049226B">
        <w:t>dom</w:t>
      </w:r>
      <w:r w:rsidR="005D21E5">
        <w:t xml:space="preserve">u </w:t>
      </w:r>
      <w:r w:rsidRPr="0049226B">
        <w:t>maklerski</w:t>
      </w:r>
      <w:r w:rsidR="005D21E5">
        <w:t xml:space="preserve">ego </w:t>
      </w:r>
      <w:r w:rsidRPr="0049226B">
        <w:t>i zagraniczn</w:t>
      </w:r>
      <w:r w:rsidR="005D21E5">
        <w:t xml:space="preserve">ej </w:t>
      </w:r>
      <w:r w:rsidRPr="0049226B">
        <w:t>firm</w:t>
      </w:r>
      <w:r w:rsidR="00804C7C">
        <w:t>y</w:t>
      </w:r>
      <w:r w:rsidRPr="0049226B">
        <w:t xml:space="preserve"> inwestycyjn</w:t>
      </w:r>
      <w:r w:rsidR="005D21E5">
        <w:t xml:space="preserve">ej jest ta </w:t>
      </w:r>
      <w:r w:rsidRPr="0049226B">
        <w:t>sam</w:t>
      </w:r>
      <w:r w:rsidR="005D21E5">
        <w:t>a</w:t>
      </w:r>
      <w:r w:rsidRPr="0049226B">
        <w:t xml:space="preserve"> unijn</w:t>
      </w:r>
      <w:r w:rsidR="005D21E5">
        <w:t>a</w:t>
      </w:r>
      <w:r w:rsidRPr="0049226B">
        <w:t xml:space="preserve"> inwestycyjn</w:t>
      </w:r>
      <w:r w:rsidR="005D21E5">
        <w:t>a</w:t>
      </w:r>
      <w:r w:rsidRPr="0049226B">
        <w:t xml:space="preserve"> spółk</w:t>
      </w:r>
      <w:r w:rsidR="005D21E5">
        <w:t>a</w:t>
      </w:r>
      <w:r w:rsidRPr="0049226B">
        <w:t xml:space="preserve"> holdingow</w:t>
      </w:r>
      <w:r w:rsidR="005D21E5">
        <w:t>a</w:t>
      </w:r>
      <w:r w:rsidRPr="0049226B">
        <w:t xml:space="preserve"> lub </w:t>
      </w:r>
      <w:r w:rsidR="005D21E5">
        <w:t xml:space="preserve">ta </w:t>
      </w:r>
      <w:r w:rsidRPr="0049226B">
        <w:t>sam</w:t>
      </w:r>
      <w:r w:rsidR="005D21E5">
        <w:t>a</w:t>
      </w:r>
      <w:r w:rsidRPr="0049226B">
        <w:t xml:space="preserve"> unijn</w:t>
      </w:r>
      <w:r w:rsidR="005D21E5">
        <w:t>a</w:t>
      </w:r>
      <w:r w:rsidRPr="0049226B">
        <w:t xml:space="preserve"> finansow</w:t>
      </w:r>
      <w:r w:rsidR="005D21E5">
        <w:t>a</w:t>
      </w:r>
      <w:r w:rsidRPr="0049226B">
        <w:t xml:space="preserve"> spółk</w:t>
      </w:r>
      <w:r w:rsidR="005D21E5">
        <w:t>a</w:t>
      </w:r>
      <w:r w:rsidRPr="0049226B">
        <w:t xml:space="preserve"> holdingow</w:t>
      </w:r>
      <w:r w:rsidR="005D21E5">
        <w:t>a</w:t>
      </w:r>
      <w:r w:rsidRPr="0049226B">
        <w:t xml:space="preserve"> o działalności mieszanej</w:t>
      </w:r>
      <w:r w:rsidR="005D21E5">
        <w:t xml:space="preserve"> i jednocześnie </w:t>
      </w:r>
      <w:r w:rsidRPr="0049226B">
        <w:t>ta inwestycyjna spółka holdingowa lub finansowa spółka holdingowa o działalności mieszanej ma siedzibę w państwie członkowskim innym niż Rzeczypospolita Polska i państwo pochodzenia zagranicznej firmy inwestycyjnej, Komisja sprawuje nad grupą firm inwestycyjnych nadzór na zasadzie skonsolidowanej lub nadzór nad zgodnością z grupowym testem kapitałowym, jeżeli dom maklerski ma największą sumę bilansową</w:t>
      </w:r>
      <w:r w:rsidR="00721CD7" w:rsidRPr="00721CD7">
        <w:t xml:space="preserve"> </w:t>
      </w:r>
      <w:r w:rsidR="00721CD7">
        <w:t>ze wszystkich firm inwestycyjnych w grupie firm inwestycyjnych</w:t>
      </w:r>
      <w:r w:rsidRPr="0049226B">
        <w:t>.</w:t>
      </w:r>
    </w:p>
    <w:p w14:paraId="316E0BB0" w14:textId="3601E7A2" w:rsidR="0049226B" w:rsidRPr="0049226B" w:rsidRDefault="0049226B" w:rsidP="00511C72">
      <w:pPr>
        <w:pStyle w:val="ZLITUSTzmustliter"/>
      </w:pPr>
      <w:r w:rsidRPr="0049226B">
        <w:t>8. Komisja i właściwy organ nadzoru nad zagraniczną firmą inwestycyjną mogą uzgodnić, w drodze porozumienia, odstąpienie od kryteriów określonych w ust. 5</w:t>
      </w:r>
      <w:r w:rsidR="00F11C29">
        <w:t>‒</w:t>
      </w:r>
      <w:r w:rsidRPr="0049226B">
        <w:t xml:space="preserve">7, </w:t>
      </w:r>
      <w:r w:rsidR="00A61B60">
        <w:t xml:space="preserve">jeżeli ich </w:t>
      </w:r>
      <w:r w:rsidRPr="0049226B">
        <w:t xml:space="preserve">zastosowanie </w:t>
      </w:r>
      <w:r w:rsidR="00A61B60">
        <w:t>jest</w:t>
      </w:r>
      <w:r w:rsidRPr="0049226B">
        <w:t xml:space="preserve"> niewłaściwe ze względu na specyfikę domu maklerskiego lub zagranicznej firmy inwestycyjnej i istotność ich działalności w poszczególnych państwach członkowskich oraz ustalić, że Komisja albo właściwy organ nadzoru będzie sprawować nadzór na zasadzie skonsolidowanej lub nadzór nad zgodnością z grupowym testem kapitałowym nad grupą firm inwestycyjnych. W takim przypadku Komisja</w:t>
      </w:r>
      <w:r w:rsidR="00A61B60">
        <w:t>,</w:t>
      </w:r>
      <w:r w:rsidRPr="0049226B">
        <w:t xml:space="preserve"> przed zawarciem porozumienia</w:t>
      </w:r>
      <w:r w:rsidR="00A61B60">
        <w:t>,</w:t>
      </w:r>
      <w:r w:rsidRPr="0049226B">
        <w:t xml:space="preserve"> umożliwia wyrażenie opinii </w:t>
      </w:r>
      <w:r w:rsidR="00864EDC">
        <w:t xml:space="preserve">przez </w:t>
      </w:r>
      <w:r w:rsidR="00864EDC" w:rsidRPr="0049226B">
        <w:t>odpowiedni</w:t>
      </w:r>
      <w:r w:rsidR="00864EDC">
        <w:t>ą</w:t>
      </w:r>
      <w:r w:rsidR="00864EDC" w:rsidRPr="0049226B">
        <w:t xml:space="preserve"> unijn</w:t>
      </w:r>
      <w:r w:rsidR="00864EDC">
        <w:t>ą</w:t>
      </w:r>
      <w:r w:rsidR="00864EDC" w:rsidRPr="0049226B">
        <w:t xml:space="preserve"> dominując</w:t>
      </w:r>
      <w:r w:rsidR="00864EDC">
        <w:t>ą</w:t>
      </w:r>
      <w:r w:rsidR="00864EDC" w:rsidRPr="0049226B">
        <w:t xml:space="preserve"> inwestycyjn</w:t>
      </w:r>
      <w:r w:rsidR="00864EDC">
        <w:t>ą</w:t>
      </w:r>
      <w:r w:rsidR="00864EDC" w:rsidRPr="0049226B">
        <w:t xml:space="preserve"> spół</w:t>
      </w:r>
      <w:r w:rsidR="00864EDC">
        <w:t>kę</w:t>
      </w:r>
      <w:r w:rsidR="00864EDC" w:rsidRPr="0049226B">
        <w:t xml:space="preserve"> holdingow</w:t>
      </w:r>
      <w:r w:rsidR="00864EDC">
        <w:t>ą</w:t>
      </w:r>
      <w:r w:rsidR="00864EDC" w:rsidRPr="0049226B">
        <w:t>, unijn</w:t>
      </w:r>
      <w:r w:rsidR="00864EDC">
        <w:t>ą</w:t>
      </w:r>
      <w:r w:rsidR="00864EDC" w:rsidRPr="0049226B">
        <w:t xml:space="preserve"> dominując</w:t>
      </w:r>
      <w:r w:rsidR="00864EDC">
        <w:t>ą</w:t>
      </w:r>
      <w:r w:rsidR="00864EDC" w:rsidRPr="0049226B">
        <w:t xml:space="preserve"> finansow</w:t>
      </w:r>
      <w:r w:rsidR="00864EDC">
        <w:t>ą</w:t>
      </w:r>
      <w:r w:rsidR="00864EDC" w:rsidRPr="0049226B">
        <w:t xml:space="preserve"> spół</w:t>
      </w:r>
      <w:r w:rsidR="00864EDC">
        <w:t>kę</w:t>
      </w:r>
      <w:r w:rsidR="00864EDC" w:rsidRPr="0049226B">
        <w:t xml:space="preserve"> holdingow</w:t>
      </w:r>
      <w:r w:rsidR="00864EDC">
        <w:t>ą</w:t>
      </w:r>
      <w:r w:rsidR="00864EDC" w:rsidRPr="0049226B">
        <w:t xml:space="preserve"> o działalności mieszanej lub dom maklerski albo zagraniczn</w:t>
      </w:r>
      <w:r w:rsidR="00864EDC">
        <w:t>ą</w:t>
      </w:r>
      <w:r w:rsidR="00864EDC" w:rsidRPr="0049226B">
        <w:t xml:space="preserve"> firm</w:t>
      </w:r>
      <w:r w:rsidR="00864EDC">
        <w:t>ę</w:t>
      </w:r>
      <w:r w:rsidR="00864EDC" w:rsidRPr="0049226B">
        <w:t xml:space="preserve"> inwestycyjn</w:t>
      </w:r>
      <w:r w:rsidR="00864EDC">
        <w:t xml:space="preserve">ą </w:t>
      </w:r>
      <w:r w:rsidRPr="0049226B">
        <w:t xml:space="preserve">o największej sumie bilansowej, </w:t>
      </w:r>
      <w:r w:rsidRPr="0049226B">
        <w:lastRenderedPageBreak/>
        <w:t xml:space="preserve">chyba że </w:t>
      </w:r>
      <w:r w:rsidR="00A61B60">
        <w:t xml:space="preserve">taka </w:t>
      </w:r>
      <w:r w:rsidRPr="0049226B">
        <w:t>opinia została wyrażona wobec właściwego organu nadzoru z innego państwa członkowskiego.</w:t>
      </w:r>
    </w:p>
    <w:p w14:paraId="65C32B5D" w14:textId="1AFC76EC" w:rsidR="0049226B" w:rsidRPr="0049226B" w:rsidRDefault="009A59D7" w:rsidP="00732070">
      <w:pPr>
        <w:pStyle w:val="ZLITUSTzmustliter"/>
      </w:pPr>
      <w:r>
        <w:t xml:space="preserve">9. </w:t>
      </w:r>
      <w:r w:rsidR="0049226B" w:rsidRPr="0049226B">
        <w:t>Komisja powiadamia Komisję Europejską i Europejski Urząd Nadzoru Bankowego</w:t>
      </w:r>
      <w:r w:rsidR="00A61B60" w:rsidRPr="00A61B60">
        <w:t xml:space="preserve"> </w:t>
      </w:r>
      <w:r w:rsidR="00A61B60">
        <w:t>o</w:t>
      </w:r>
      <w:r w:rsidR="00A61B60" w:rsidRPr="0049226B">
        <w:t xml:space="preserve"> zawarciu porozumienia, o którym mowa w ust. 8</w:t>
      </w:r>
      <w:r w:rsidR="0049226B" w:rsidRPr="0049226B">
        <w:t>.”;</w:t>
      </w:r>
    </w:p>
    <w:p w14:paraId="0B63731E" w14:textId="5D8DED65" w:rsidR="0049226B" w:rsidRPr="0049226B" w:rsidRDefault="006E6BE0" w:rsidP="0049226B">
      <w:pPr>
        <w:pStyle w:val="PKTpunkt"/>
      </w:pPr>
      <w:r>
        <w:t>22</w:t>
      </w:r>
      <w:r w:rsidR="009A59D7">
        <w:t>)</w:t>
      </w:r>
      <w:r w:rsidR="009A59D7">
        <w:tab/>
      </w:r>
      <w:r w:rsidR="0049226B" w:rsidRPr="0049226B">
        <w:t>uchyla się</w:t>
      </w:r>
      <w:r w:rsidR="001A2849" w:rsidRPr="001A2849">
        <w:t xml:space="preserve"> </w:t>
      </w:r>
      <w:r w:rsidR="001A2849" w:rsidRPr="0049226B">
        <w:t>art. 110h</w:t>
      </w:r>
      <w:r w:rsidR="0049226B" w:rsidRPr="0049226B">
        <w:t>;</w:t>
      </w:r>
    </w:p>
    <w:p w14:paraId="014401B2" w14:textId="28D9280A" w:rsidR="0049226B" w:rsidRPr="0049226B" w:rsidRDefault="006E6BE0" w:rsidP="0049226B">
      <w:pPr>
        <w:pStyle w:val="PKTpunkt"/>
      </w:pPr>
      <w:r>
        <w:t>23</w:t>
      </w:r>
      <w:r w:rsidR="009A59D7">
        <w:t>)</w:t>
      </w:r>
      <w:r w:rsidR="009A59D7">
        <w:tab/>
      </w:r>
      <w:r w:rsidR="0049226B" w:rsidRPr="0049226B">
        <w:t>art. 110i</w:t>
      </w:r>
      <w:r w:rsidR="00A61B60">
        <w:t>‒</w:t>
      </w:r>
      <w:r w:rsidR="001A2849">
        <w:t>110k</w:t>
      </w:r>
      <w:r w:rsidR="0049226B" w:rsidRPr="0049226B">
        <w:t xml:space="preserve"> </w:t>
      </w:r>
      <w:r w:rsidR="001A2849" w:rsidRPr="0049226B">
        <w:t>otrzymuj</w:t>
      </w:r>
      <w:r w:rsidR="001A2849">
        <w:t>ą</w:t>
      </w:r>
      <w:r w:rsidR="001A2849" w:rsidRPr="0049226B">
        <w:t xml:space="preserve"> </w:t>
      </w:r>
      <w:r w:rsidR="0049226B" w:rsidRPr="0049226B">
        <w:t>brzmienie:</w:t>
      </w:r>
    </w:p>
    <w:p w14:paraId="2901BB32" w14:textId="0CDFEC8E" w:rsidR="0049226B" w:rsidRPr="0049226B" w:rsidRDefault="0049226B" w:rsidP="00732070">
      <w:pPr>
        <w:pStyle w:val="ZARTzmartartykuempunktem"/>
      </w:pPr>
      <w:r w:rsidRPr="0049226B">
        <w:t>„Art. 110i. W przypadku wystąpienia sytuacji nadzwyczajnej, w tym określonej w art. 18 rozporządzenia 1093/2010, lub wystąpienia niekorzystnych zmian na rynkach, potencjalnie zagrażających płynności na rynku i stabilności systemu finansowego państwa członkowskiego pochodzenia zagranicznej firmy inwestycyjnej należącej do tej samej grupy</w:t>
      </w:r>
      <w:r w:rsidR="00926A52">
        <w:t xml:space="preserve"> firm inwestycyjnych</w:t>
      </w:r>
      <w:r w:rsidRPr="0049226B">
        <w:t xml:space="preserve"> co dom maklerski Komisja, sprawując nadzór na zasadzie skonsolidowanej lub nadzór nad zgodnością z grupowym testem kapitałowym, zawiadamia o tym niezwłocznie Europejski Urząd Nadzoru Bankowego, Europejską Radę do spraw Ryzyka Systemowego i właściwy organ nadzoru nad zagraniczną firmą inwestycyjną</w:t>
      </w:r>
      <w:r w:rsidR="00A61B60">
        <w:t xml:space="preserve"> i </w:t>
      </w:r>
      <w:r w:rsidRPr="0049226B">
        <w:t>przekazuje im informacje niezbędne do realizacji ich zadań.</w:t>
      </w:r>
    </w:p>
    <w:p w14:paraId="4277231D" w14:textId="0EF51C07" w:rsidR="0049226B" w:rsidRPr="0049226B" w:rsidRDefault="0049226B" w:rsidP="00732070">
      <w:pPr>
        <w:pStyle w:val="ZARTzmartartykuempunktem"/>
      </w:pPr>
      <w:r w:rsidRPr="0049226B">
        <w:t xml:space="preserve">Art. 110j. 1. W przypadku gdy Komisja sprawuje nad grupą firm inwestycyjnych nadzór na zasadzie skonsolidowanej lub nadzór nad zgodnością z grupowym testem kapitałowym może ustanowić kolegium złożone z właściwych organów nadzoru, zwane dalej </w:t>
      </w:r>
      <w:r w:rsidR="000F15DD">
        <w:t>„kolegium”</w:t>
      </w:r>
      <w:r w:rsidRPr="0049226B">
        <w:t xml:space="preserve">, w celu ułatwienia wykonywania zadań w zakresie koordynacji i współpracy Komisji i właściwych organów nadzoru nad zagranicznymi firmami inwestycyjnymi, a także zapewnienia koordynacji i współpracy z właściwymi organami nadzoru z państw trzecich, w szczególności gdy jest to konieczne do celów stosowania art. 23 ust. 1 akapit pierwszy lit. c i art. 23 ust. 2 rozporządzenia </w:t>
      </w:r>
      <w:r w:rsidR="00182D8B">
        <w:t>2019/2033</w:t>
      </w:r>
      <w:r w:rsidRPr="0049226B">
        <w:t xml:space="preserve">, </w:t>
      </w:r>
      <w:r w:rsidR="00A61B60">
        <w:t xml:space="preserve">w celu umożliwienia </w:t>
      </w:r>
      <w:r w:rsidRPr="0049226B">
        <w:t>dokonywa</w:t>
      </w:r>
      <w:r w:rsidR="00A61B60">
        <w:t xml:space="preserve">nia </w:t>
      </w:r>
      <w:r w:rsidRPr="0049226B">
        <w:t>wymiany i aktualizacji stosownych informacji na temat modelu dotyczącego depozytu zabezpieczającego z właściwymi organami nadzoru kwalifikujących się kontrahentów centralnych. Prawo udziału w kolegium przysługuje także Europejskiemu Urzędowi Nadzoru Bankowego.</w:t>
      </w:r>
    </w:p>
    <w:p w14:paraId="6F8AEC7B" w14:textId="06C78503" w:rsidR="0049226B" w:rsidRPr="0049226B" w:rsidRDefault="009A59D7" w:rsidP="000F15DD">
      <w:pPr>
        <w:pStyle w:val="ZUSTzmustartykuempunktem"/>
      </w:pPr>
      <w:r>
        <w:t xml:space="preserve">2. </w:t>
      </w:r>
      <w:r w:rsidR="0049226B" w:rsidRPr="0049226B">
        <w:t xml:space="preserve">W skład kolegium </w:t>
      </w:r>
      <w:r w:rsidR="0029058E">
        <w:t xml:space="preserve">wchodzą </w:t>
      </w:r>
      <w:r w:rsidR="0049226B" w:rsidRPr="0049226B">
        <w:t>właściwe organy nadzoru sprawujące nadzór nad podmiotami zależnymi od domu maklerskiego, unijnej dominującej inwestycyjnej spółki holdingowej lub unijnej dominującej finansowej spółki holdingowej o działalności mieszanej. W uzasadnionych przypadkach w skład kolegium mogą wchodzić także właściwe organy nadzoru z państw trzecich, jeżeli podmiot z państwa trzeciego wchodzi w skład grupy</w:t>
      </w:r>
      <w:r w:rsidR="00B873B1">
        <w:t xml:space="preserve"> firm inwestycyjnych</w:t>
      </w:r>
      <w:r w:rsidR="0049226B" w:rsidRPr="0049226B">
        <w:t xml:space="preserve">, a </w:t>
      </w:r>
      <w:r w:rsidR="00A61B60">
        <w:t xml:space="preserve">jednocześnie </w:t>
      </w:r>
      <w:r w:rsidR="0049226B" w:rsidRPr="0049226B">
        <w:t xml:space="preserve">w tym państwie trzecim obowiązują </w:t>
      </w:r>
      <w:r w:rsidR="0049226B" w:rsidRPr="0049226B">
        <w:lastRenderedPageBreak/>
        <w:t>przepisy dotyczące zachowania tajemnicy zawodowej</w:t>
      </w:r>
      <w:r w:rsidR="00A61B60">
        <w:t>, które,</w:t>
      </w:r>
      <w:r w:rsidR="0049226B" w:rsidRPr="0049226B">
        <w:t xml:space="preserve"> w opinii Komisji</w:t>
      </w:r>
      <w:r w:rsidR="00A61B60">
        <w:t xml:space="preserve">, są </w:t>
      </w:r>
      <w:r w:rsidR="0049226B" w:rsidRPr="0049226B">
        <w:t xml:space="preserve">równoważne </w:t>
      </w:r>
      <w:r w:rsidR="00A61B60">
        <w:t xml:space="preserve">z </w:t>
      </w:r>
      <w:r w:rsidR="0049226B" w:rsidRPr="0049226B">
        <w:t>zasad</w:t>
      </w:r>
      <w:r w:rsidR="00A61B60">
        <w:t xml:space="preserve">ami </w:t>
      </w:r>
      <w:r w:rsidR="0049226B" w:rsidRPr="0049226B">
        <w:t>określonym</w:t>
      </w:r>
      <w:r w:rsidR="00FA641D">
        <w:t>i</w:t>
      </w:r>
      <w:r w:rsidR="0049226B" w:rsidRPr="0049226B">
        <w:t xml:space="preserve"> </w:t>
      </w:r>
      <w:r w:rsidR="00B873B1">
        <w:t xml:space="preserve">w dziale VI niniejszej ustawy, </w:t>
      </w:r>
      <w:r w:rsidR="0049226B" w:rsidRPr="0049226B">
        <w:t xml:space="preserve">a w opinii wszystkich właściwych organów nadzoru z innych państw członkowskich </w:t>
      </w:r>
      <w:r w:rsidR="00F11C29">
        <w:t xml:space="preserve">‒ </w:t>
      </w:r>
      <w:r w:rsidR="00A61B60">
        <w:t xml:space="preserve">z </w:t>
      </w:r>
      <w:r w:rsidR="0049226B" w:rsidRPr="0049226B">
        <w:t>zasad</w:t>
      </w:r>
      <w:r w:rsidR="00A61B60">
        <w:t>a</w:t>
      </w:r>
      <w:r w:rsidR="0049226B" w:rsidRPr="0049226B">
        <w:t>m</w:t>
      </w:r>
      <w:r w:rsidR="00A61B60">
        <w:t>i</w:t>
      </w:r>
      <w:r w:rsidR="0049226B" w:rsidRPr="0049226B">
        <w:t xml:space="preserve"> wynikającym</w:t>
      </w:r>
      <w:r w:rsidR="00A61B60">
        <w:t>i</w:t>
      </w:r>
      <w:r w:rsidR="0049226B" w:rsidRPr="0049226B">
        <w:t xml:space="preserve"> z ich równoważnych przepisów prawa.</w:t>
      </w:r>
    </w:p>
    <w:p w14:paraId="3F9F2438" w14:textId="3B53C9CB" w:rsidR="0049226B" w:rsidRPr="0049226B" w:rsidRDefault="0049226B" w:rsidP="000F15DD">
      <w:pPr>
        <w:pStyle w:val="ZUSTzmustartykuempunktem"/>
      </w:pPr>
      <w:r w:rsidRPr="0049226B">
        <w:t xml:space="preserve">3. W uzasadnionych przypadkach Komisja może ustanowić kolegium </w:t>
      </w:r>
      <w:r w:rsidR="00A61B60">
        <w:t xml:space="preserve">także </w:t>
      </w:r>
      <w:r w:rsidRPr="0049226B">
        <w:t xml:space="preserve">w przypadku gdy podmioty zależne domu maklerskiego, unijnej dominującej inwestycyjnej spółki holdingowej lub unijnej dominującej finansowej spółki holdingowej o działalności mieszanej </w:t>
      </w:r>
      <w:r w:rsidR="00A4529E">
        <w:t xml:space="preserve">mają siedzibę </w:t>
      </w:r>
      <w:r w:rsidRPr="0049226B">
        <w:t>w państwie trzecim.</w:t>
      </w:r>
    </w:p>
    <w:p w14:paraId="573D43CC" w14:textId="187147AA" w:rsidR="0049226B" w:rsidRPr="0049226B" w:rsidRDefault="0049226B" w:rsidP="000F15DD">
      <w:pPr>
        <w:pStyle w:val="ZUSTzmustartykuempunktem"/>
      </w:pPr>
      <w:r w:rsidRPr="0049226B">
        <w:t xml:space="preserve">4. Ustanowienie i określenie zasad funkcjonowania kolegium </w:t>
      </w:r>
      <w:r w:rsidR="00AE43A4">
        <w:t xml:space="preserve">następuje </w:t>
      </w:r>
      <w:r w:rsidRPr="0049226B">
        <w:t>na podstawie porozumienia zawartego z właściwymi organami nadzoru. Jeżeli właściwy organ nadzoru nad zagraniczną firmą inwestycyjną odmawia zawarcia porozumienia, Komisja może zwrócić się o pomoc do Europejskiego Urzędu Nadzoru Bankowego zgodnie z art. 19 rozporządzenia 1093/2010.</w:t>
      </w:r>
    </w:p>
    <w:p w14:paraId="645EBF93" w14:textId="77777777" w:rsidR="0049226B" w:rsidRPr="0049226B" w:rsidRDefault="0049226B" w:rsidP="000F15DD">
      <w:pPr>
        <w:pStyle w:val="ZUSTzmustartykuempunktem"/>
      </w:pPr>
      <w:r w:rsidRPr="0049226B">
        <w:t>5. Kolegium umożliwia wykonywanie następujących zadań:</w:t>
      </w:r>
    </w:p>
    <w:p w14:paraId="21E85BC5" w14:textId="77777777" w:rsidR="0049226B" w:rsidRPr="0049226B" w:rsidRDefault="0049226B" w:rsidP="000F15DD">
      <w:pPr>
        <w:pStyle w:val="ZPKTzmpktartykuempunktem"/>
      </w:pPr>
      <w:r w:rsidRPr="0049226B">
        <w:t>1)</w:t>
      </w:r>
      <w:r w:rsidR="003E5110">
        <w:tab/>
      </w:r>
      <w:r w:rsidRPr="0049226B">
        <w:t>wymianę informacji, o której mowa w art. 110i;</w:t>
      </w:r>
    </w:p>
    <w:p w14:paraId="6A156796" w14:textId="131CA2C7" w:rsidR="0049226B" w:rsidRPr="0049226B" w:rsidRDefault="003E5110" w:rsidP="000F15DD">
      <w:pPr>
        <w:pStyle w:val="ZPKTzmpktartykuempunktem"/>
      </w:pPr>
      <w:r>
        <w:t>2)</w:t>
      </w:r>
      <w:r>
        <w:tab/>
      </w:r>
      <w:r w:rsidR="0049226B" w:rsidRPr="0049226B">
        <w:t>koordynowanie wniosków o udzielenie informacji</w:t>
      </w:r>
      <w:r w:rsidR="00395550">
        <w:t>,</w:t>
      </w:r>
      <w:r w:rsidR="0049226B" w:rsidRPr="0049226B">
        <w:t xml:space="preserve"> w przypadku gdy jest to niezbędne </w:t>
      </w:r>
      <w:r w:rsidR="00D84187">
        <w:t>dla</w:t>
      </w:r>
      <w:r w:rsidR="0049226B" w:rsidRPr="0049226B">
        <w:t xml:space="preserve"> ułatwienia nadzoru na zasadzie skonsolidowanej, zgodnie z art. 7 rozporządzenia </w:t>
      </w:r>
      <w:r w:rsidR="00182D8B">
        <w:t>2019/2033</w:t>
      </w:r>
      <w:r w:rsidR="0049226B" w:rsidRPr="0049226B">
        <w:t>;</w:t>
      </w:r>
    </w:p>
    <w:p w14:paraId="5233C939" w14:textId="4C2A18CA" w:rsidR="0049226B" w:rsidRPr="0049226B" w:rsidRDefault="003E5110" w:rsidP="000F15DD">
      <w:pPr>
        <w:pStyle w:val="ZPKTzmpktartykuempunktem"/>
      </w:pPr>
      <w:r>
        <w:t>3)</w:t>
      </w:r>
      <w:r>
        <w:tab/>
      </w:r>
      <w:r w:rsidR="0049226B" w:rsidRPr="0049226B">
        <w:t>koordynowanie wniosków o udzielenie informacji</w:t>
      </w:r>
      <w:r w:rsidR="00856220">
        <w:t>,</w:t>
      </w:r>
      <w:r w:rsidR="0049226B" w:rsidRPr="0049226B">
        <w:t xml:space="preserve"> w przypadkach gdy większa liczba właściwych organów nadzoru wchodzących w skład kolegium </w:t>
      </w:r>
      <w:r w:rsidR="00545D63">
        <w:t xml:space="preserve">zwraca </w:t>
      </w:r>
      <w:r w:rsidR="0049226B" w:rsidRPr="0049226B">
        <w:t>się do właściwego organu nadzoru państwa członkowskiego pochodzenia członka rozliczającego albo do właściwego organu nadzoru państwa członkowskiego pochodzenia kwalifikującego się kontrahenta centralnego o informacje</w:t>
      </w:r>
      <w:r w:rsidR="00D84187">
        <w:t xml:space="preserve"> o</w:t>
      </w:r>
      <w:r w:rsidR="0049226B" w:rsidRPr="0049226B">
        <w:t xml:space="preserve"> modelu i parametr</w:t>
      </w:r>
      <w:r w:rsidR="00D84187">
        <w:t xml:space="preserve">ach </w:t>
      </w:r>
      <w:r w:rsidR="0049226B" w:rsidRPr="0049226B">
        <w:t>dotyczących depozytu zabezpieczającego stosowanych do obliczania wymogu dotyczącego tego depozytu dla domu maklerskiego lub zagranicznych firm inwestycyjnych należących do tej samej grupy co dom maklerski;</w:t>
      </w:r>
    </w:p>
    <w:p w14:paraId="27BB607B" w14:textId="77777777" w:rsidR="0049226B" w:rsidRPr="0049226B" w:rsidRDefault="003E5110" w:rsidP="000F15DD">
      <w:pPr>
        <w:pStyle w:val="ZPKTzmpktartykuempunktem"/>
      </w:pPr>
      <w:r>
        <w:t>4)</w:t>
      </w:r>
      <w:r>
        <w:tab/>
      </w:r>
      <w:r w:rsidR="0049226B" w:rsidRPr="0049226B">
        <w:t xml:space="preserve">wymianę informacji między wszystkimi właściwymi organami nadzoru oraz </w:t>
      </w:r>
      <w:r w:rsidR="00D84187" w:rsidRPr="0049226B">
        <w:t xml:space="preserve">wymianę informacji </w:t>
      </w:r>
      <w:r w:rsidR="0049226B" w:rsidRPr="0049226B">
        <w:t>z Europejskim Urzędem Nadzoru Bankowego zgodnie z art. 21 rozporządzenia 1093/2010, a także z Europejskim Urzędem Nadzoru Giełd i Papierów wartościowych zgodnie z art. 21 rozporządzenia 1095/2010;</w:t>
      </w:r>
    </w:p>
    <w:p w14:paraId="5A71212E" w14:textId="4CDBF1E2" w:rsidR="0049226B" w:rsidRPr="0049226B" w:rsidRDefault="003E5110" w:rsidP="000F15DD">
      <w:pPr>
        <w:pStyle w:val="ZPKTzmpktartykuempunktem"/>
      </w:pPr>
      <w:r>
        <w:t>5)</w:t>
      </w:r>
      <w:r>
        <w:tab/>
      </w:r>
      <w:r w:rsidR="0049226B" w:rsidRPr="0049226B">
        <w:t>osiągnięcie porozumienia</w:t>
      </w:r>
      <w:r w:rsidR="00D84187">
        <w:t xml:space="preserve"> </w:t>
      </w:r>
      <w:r w:rsidR="0049226B" w:rsidRPr="0049226B">
        <w:t>w odniesieniu do przekazywania zadań i obowiązków między właściwymi organami nadzoru na zasadzie dobrowolności;</w:t>
      </w:r>
    </w:p>
    <w:p w14:paraId="4112BB07" w14:textId="77777777" w:rsidR="0049226B" w:rsidRPr="0049226B" w:rsidRDefault="003E5110" w:rsidP="000F15DD">
      <w:pPr>
        <w:pStyle w:val="ZPKTzmpktartykuempunktem"/>
      </w:pPr>
      <w:r>
        <w:lastRenderedPageBreak/>
        <w:t>6)</w:t>
      </w:r>
      <w:r>
        <w:tab/>
      </w:r>
      <w:r w:rsidR="0049226B" w:rsidRPr="0049226B">
        <w:t>zwiększenia efektywności nadzoru poprzez dążenie do unikania zbędnego powielania wymogów nadzorczych.</w:t>
      </w:r>
    </w:p>
    <w:p w14:paraId="26219F6F" w14:textId="654EB0C9" w:rsidR="00B136B8" w:rsidRDefault="0049226B" w:rsidP="000F15DD">
      <w:pPr>
        <w:pStyle w:val="ZUSTzmustartykuempunktem"/>
      </w:pPr>
      <w:r w:rsidRPr="0049226B">
        <w:t>6. W przypadku ustanowienia kolegium przez Komisję</w:t>
      </w:r>
      <w:r w:rsidR="00D84187">
        <w:t xml:space="preserve"> </w:t>
      </w:r>
      <w:r w:rsidRPr="0049226B">
        <w:t xml:space="preserve">przewodniczy </w:t>
      </w:r>
      <w:r w:rsidR="00D84187">
        <w:t xml:space="preserve">ona </w:t>
      </w:r>
      <w:r w:rsidRPr="0049226B">
        <w:t>posiedzeniom kolegium i podejmuje decyzje. Komisja</w:t>
      </w:r>
      <w:r w:rsidR="00D84187">
        <w:t xml:space="preserve">, </w:t>
      </w:r>
      <w:r w:rsidRPr="0049226B">
        <w:t>z odpowiednim wyprzedzeniem</w:t>
      </w:r>
      <w:r w:rsidR="00D84187">
        <w:t>,</w:t>
      </w:r>
      <w:r w:rsidRPr="0049226B">
        <w:t xml:space="preserve"> informuje wszystkich członków kolegium o organizacji posiedzeń, kwestiach, które mają być przedmiotem dyskusji, </w:t>
      </w:r>
      <w:r w:rsidR="00B96B6E">
        <w:t xml:space="preserve">w tym </w:t>
      </w:r>
      <w:r w:rsidRPr="0049226B">
        <w:t>działaniach, których podjęcie należy rozważyć.</w:t>
      </w:r>
    </w:p>
    <w:p w14:paraId="069DC2CE" w14:textId="16E0F5AD" w:rsidR="0049226B" w:rsidRPr="0049226B" w:rsidRDefault="00B136B8" w:rsidP="000F15DD">
      <w:pPr>
        <w:pStyle w:val="ZUSTzmustartykuempunktem"/>
      </w:pPr>
      <w:r>
        <w:t xml:space="preserve">7. </w:t>
      </w:r>
      <w:r w:rsidR="0049226B" w:rsidRPr="0049226B">
        <w:t>Komisja informuje wszystkich członków kolegium organów nadzoru o decyzjach podjętych w trakcie tych posiedzeń lub zastosowanych środkach. Podejmując decyzje, Komisja uwzględnia zasadność działalności nadzorczej, która ma zostać zaplanowana lub podlegać koordynacji przez kolegium.</w:t>
      </w:r>
    </w:p>
    <w:p w14:paraId="6D470258" w14:textId="535F8F7A" w:rsidR="0049226B" w:rsidRPr="0049226B" w:rsidRDefault="00B136B8" w:rsidP="000F15DD">
      <w:pPr>
        <w:pStyle w:val="ZUSTzmustartykuempunktem"/>
      </w:pPr>
      <w:r>
        <w:t>8</w:t>
      </w:r>
      <w:r w:rsidR="0049226B" w:rsidRPr="0049226B">
        <w:t>. W przypadku gdy dom maklerski jest podmiotem zależnym w grupie, w której właściwy organ nadzoru z innego państwa członkowskiego sprawuje nadzór na zasadzie skonsolidowanej lub nadzór nad zgodnością z grupowym testem kapitałowym, Komisja może brać udział w kolegium powołanym przez</w:t>
      </w:r>
      <w:r w:rsidR="003B6E9B">
        <w:t xml:space="preserve"> ten właściwy</w:t>
      </w:r>
      <w:r w:rsidR="0049226B" w:rsidRPr="0049226B">
        <w:t xml:space="preserve"> organ nadzoru, zawrzeć odpowiednie porozumienie w zakresie ustanowienia i określenia zasad funkcjonowania kolegium, przekazywać i uzyskiwać informacje, zgłaszać wnioski, a w uzasadnionych przypadkach zwrócić się o pomoc do Europejskiego Urzędu Nadzoru Bankowego zgodnie z art. 19 rozporządzenia 1093/2010.</w:t>
      </w:r>
    </w:p>
    <w:p w14:paraId="5831DBEF" w14:textId="2A668783" w:rsidR="0049226B" w:rsidRPr="0049226B" w:rsidRDefault="0049226B" w:rsidP="00EC3638">
      <w:pPr>
        <w:pStyle w:val="ZARTzmartartykuempunktem"/>
      </w:pPr>
      <w:r w:rsidRPr="0049226B">
        <w:t xml:space="preserve">Art. 110k. 1. Komisja współpracuje z właściwymi organami nadzoru w zakresie sprawowanego nad grupą firm inwestycyjnych nadzoru na zasadzie skonsolidowanej lub nadzoru nad zgodnością z grupowym testem kapitałowym, w szczególności przekazuje </w:t>
      </w:r>
      <w:r w:rsidR="00D84187" w:rsidRPr="0049226B">
        <w:t xml:space="preserve">informacje niezbędne do wykonywania zadań nadzorczych </w:t>
      </w:r>
      <w:r w:rsidRPr="0049226B">
        <w:t>lub zwraca się do nich o</w:t>
      </w:r>
      <w:r w:rsidR="00DA78F4">
        <w:t xml:space="preserve"> </w:t>
      </w:r>
      <w:r w:rsidR="00D84187">
        <w:t xml:space="preserve">udostępnienie takich informacji. </w:t>
      </w:r>
    </w:p>
    <w:p w14:paraId="0BCF444E" w14:textId="14103070" w:rsidR="0049226B" w:rsidRPr="0049226B" w:rsidRDefault="00DA78F4" w:rsidP="003B6E9B">
      <w:pPr>
        <w:pStyle w:val="ZUSTzmustartykuempunktem"/>
      </w:pPr>
      <w:r>
        <w:t xml:space="preserve">2. </w:t>
      </w:r>
      <w:r w:rsidR="00D84187">
        <w:t>I</w:t>
      </w:r>
      <w:r w:rsidR="0049226B" w:rsidRPr="0049226B">
        <w:t>nformacje</w:t>
      </w:r>
      <w:r w:rsidR="00856220">
        <w:t xml:space="preserve">, </w:t>
      </w:r>
      <w:r w:rsidR="003B6E9B">
        <w:t>o</w:t>
      </w:r>
      <w:r w:rsidR="00856220">
        <w:t xml:space="preserve"> których mowa w ust. 1,</w:t>
      </w:r>
      <w:r w:rsidR="0049226B" w:rsidRPr="0049226B">
        <w:t xml:space="preserve"> mogą obejmować w szczególności</w:t>
      </w:r>
      <w:r w:rsidR="00856220">
        <w:t xml:space="preserve"> informacje o</w:t>
      </w:r>
      <w:r w:rsidR="0049226B" w:rsidRPr="0049226B">
        <w:t>:</w:t>
      </w:r>
    </w:p>
    <w:p w14:paraId="297C2E11" w14:textId="346BC9D4" w:rsidR="00F32BC9" w:rsidRDefault="003E5110" w:rsidP="003B6E9B">
      <w:pPr>
        <w:pStyle w:val="ZPKTzmpktartykuempunktem"/>
      </w:pPr>
      <w:r>
        <w:t>1)</w:t>
      </w:r>
      <w:r w:rsidR="00DA78F4">
        <w:tab/>
      </w:r>
      <w:r w:rsidR="004559BC" w:rsidRPr="0049226B">
        <w:t>struktur</w:t>
      </w:r>
      <w:r w:rsidR="00856220">
        <w:t>ze</w:t>
      </w:r>
      <w:r w:rsidR="004559BC">
        <w:t xml:space="preserve"> </w:t>
      </w:r>
      <w:r w:rsidR="00856220" w:rsidRPr="0049226B">
        <w:t>prawn</w:t>
      </w:r>
      <w:r w:rsidR="00856220">
        <w:t>ej</w:t>
      </w:r>
      <w:r w:rsidR="00856220" w:rsidRPr="0049226B">
        <w:t xml:space="preserve"> </w:t>
      </w:r>
      <w:r w:rsidR="0049226B" w:rsidRPr="0049226B">
        <w:t>grupy oraz jej struktur</w:t>
      </w:r>
      <w:r w:rsidR="004559BC">
        <w:t>ę</w:t>
      </w:r>
      <w:r w:rsidR="0049226B" w:rsidRPr="0049226B">
        <w:t xml:space="preserve"> zarządzania, w tym struktur</w:t>
      </w:r>
      <w:r w:rsidR="004559BC">
        <w:t>ę</w:t>
      </w:r>
      <w:r w:rsidR="0049226B" w:rsidRPr="0049226B">
        <w:t xml:space="preserve"> organizacyjn</w:t>
      </w:r>
      <w:r w:rsidR="004559BC">
        <w:t>ą</w:t>
      </w:r>
      <w:r w:rsidR="0049226B" w:rsidRPr="0049226B">
        <w:t>, w odniesieniu do</w:t>
      </w:r>
      <w:r w:rsidR="00F32BC9">
        <w:t>:</w:t>
      </w:r>
    </w:p>
    <w:p w14:paraId="1C0011D4" w14:textId="4C1EE87E" w:rsidR="00F32BC9" w:rsidRDefault="00F32BC9" w:rsidP="003B6E9B">
      <w:pPr>
        <w:pStyle w:val="ZLITwPKTzmlitwpktartykuempunktem"/>
      </w:pPr>
      <w:r>
        <w:t>a)</w:t>
      </w:r>
      <w:r w:rsidR="00DA78F4">
        <w:tab/>
      </w:r>
      <w:r w:rsidR="0049226B" w:rsidRPr="0049226B">
        <w:t>podmiotów objętych nadzorem</w:t>
      </w:r>
      <w:r w:rsidR="00856220">
        <w:t>,</w:t>
      </w:r>
    </w:p>
    <w:p w14:paraId="4C2D3EE2" w14:textId="5852B735" w:rsidR="00F32BC9" w:rsidRDefault="00F32BC9" w:rsidP="003B6E9B">
      <w:pPr>
        <w:pStyle w:val="ZLITwPKTzmlitwpktartykuempunktem"/>
      </w:pPr>
      <w:r>
        <w:t>b)</w:t>
      </w:r>
      <w:r w:rsidR="00DA78F4">
        <w:tab/>
      </w:r>
      <w:r w:rsidR="003B6E9B">
        <w:t>podmiotów nieobjętych nadzorem,</w:t>
      </w:r>
    </w:p>
    <w:p w14:paraId="7ED24C19" w14:textId="7C0EC9E7" w:rsidR="00F32BC9" w:rsidRDefault="004C32D1" w:rsidP="003B6E9B">
      <w:pPr>
        <w:pStyle w:val="ZLITwPKTzmlitwpktartykuempunktem"/>
      </w:pPr>
      <w:r>
        <w:t>c</w:t>
      </w:r>
      <w:r w:rsidR="00F32BC9">
        <w:t>)</w:t>
      </w:r>
      <w:r w:rsidR="00DA78F4">
        <w:tab/>
      </w:r>
      <w:r w:rsidR="0049226B" w:rsidRPr="0049226B">
        <w:t>istotnych oddziałów należących do grupy</w:t>
      </w:r>
      <w:r w:rsidR="00AF1423">
        <w:t xml:space="preserve"> firm inwestycyjnych</w:t>
      </w:r>
      <w:r w:rsidR="003B6E9B">
        <w:t>,</w:t>
      </w:r>
    </w:p>
    <w:p w14:paraId="64BE5FC7" w14:textId="349A169E" w:rsidR="00F32BC9" w:rsidRDefault="004C32D1" w:rsidP="003B6E9B">
      <w:pPr>
        <w:pStyle w:val="ZLITwPKTzmlitwpktartykuempunktem"/>
      </w:pPr>
      <w:r>
        <w:t>d</w:t>
      </w:r>
      <w:r w:rsidR="00F32BC9">
        <w:t>)</w:t>
      </w:r>
      <w:r w:rsidR="00DA78F4">
        <w:tab/>
      </w:r>
      <w:r w:rsidR="0049226B" w:rsidRPr="0049226B">
        <w:t>podmiotów dominujących</w:t>
      </w:r>
    </w:p>
    <w:p w14:paraId="766D4981" w14:textId="28507337" w:rsidR="00F32BC9" w:rsidRDefault="00AE27A5" w:rsidP="003B6E9B">
      <w:pPr>
        <w:pStyle w:val="ZCZWSPLITwPKTzmczciwsplitwpktartykuempunktem"/>
      </w:pPr>
      <w:r>
        <w:t xml:space="preserve">– </w:t>
      </w:r>
      <w:r w:rsidR="00F32BC9">
        <w:t xml:space="preserve">w zakresie, </w:t>
      </w:r>
      <w:r w:rsidR="00F32BC9" w:rsidRPr="0049226B">
        <w:t xml:space="preserve">o którym mowa w </w:t>
      </w:r>
      <w:r w:rsidR="00CB4600">
        <w:t xml:space="preserve">niniejszym oddziale </w:t>
      </w:r>
      <w:r w:rsidR="00F32BC9" w:rsidRPr="00F32BC9">
        <w:t>lub równoważnych przepisach obowiązujących w innym państwie członkowskim</w:t>
      </w:r>
      <w:r w:rsidR="00F32BC9">
        <w:t xml:space="preserve">; </w:t>
      </w:r>
    </w:p>
    <w:p w14:paraId="59A9CF80" w14:textId="55993098" w:rsidR="0049226B" w:rsidRPr="0049226B" w:rsidRDefault="00F32BC9" w:rsidP="003B6E9B">
      <w:pPr>
        <w:pStyle w:val="ZPKTzmpktartykuempunktem"/>
      </w:pPr>
      <w:r>
        <w:lastRenderedPageBreak/>
        <w:t>2)</w:t>
      </w:r>
      <w:r w:rsidR="00DA78F4">
        <w:tab/>
      </w:r>
      <w:r w:rsidR="0049226B" w:rsidRPr="0049226B">
        <w:t>właściw</w:t>
      </w:r>
      <w:r w:rsidR="00856220">
        <w:t>ych</w:t>
      </w:r>
      <w:r w:rsidR="00DA78F4">
        <w:t xml:space="preserve"> </w:t>
      </w:r>
      <w:r w:rsidR="0049226B" w:rsidRPr="0049226B">
        <w:t>organ</w:t>
      </w:r>
      <w:r w:rsidR="00856220">
        <w:t>ach</w:t>
      </w:r>
      <w:r w:rsidR="0049226B" w:rsidRPr="0049226B">
        <w:t xml:space="preserve"> dla podmiotów objętych nadzorem, o którym mowa w niniejszym oddziale lub równoważnych przepisach obowiązujących w innym państwie członkowskim, wchodzących w skład grupy firm inwestycyjnych;</w:t>
      </w:r>
    </w:p>
    <w:p w14:paraId="628A423B" w14:textId="7B18F69D" w:rsidR="0049226B" w:rsidRPr="0049226B" w:rsidRDefault="00F32BC9" w:rsidP="003B6E9B">
      <w:pPr>
        <w:pStyle w:val="ZPKTzmpktartykuempunktem"/>
      </w:pPr>
      <w:r>
        <w:t>3</w:t>
      </w:r>
      <w:r w:rsidR="003E5110">
        <w:t>)</w:t>
      </w:r>
      <w:r w:rsidR="003E5110">
        <w:tab/>
      </w:r>
      <w:r w:rsidR="00856220" w:rsidRPr="0049226B">
        <w:t>procedur</w:t>
      </w:r>
      <w:r w:rsidR="00856220">
        <w:t>ach</w:t>
      </w:r>
      <w:r w:rsidR="00856220" w:rsidRPr="0049226B">
        <w:t xml:space="preserve"> </w:t>
      </w:r>
      <w:r w:rsidR="0049226B" w:rsidRPr="0049226B">
        <w:t>gromadzenia informacji od podmiotów wchodzących w skład danej grupy firm inwestycyjnych oraz weryfikacji tych informacji;</w:t>
      </w:r>
    </w:p>
    <w:p w14:paraId="6D1BBE60" w14:textId="02A49B03" w:rsidR="0049226B" w:rsidRPr="0049226B" w:rsidRDefault="00F32BC9" w:rsidP="003B6E9B">
      <w:pPr>
        <w:pStyle w:val="ZPKTzmpktartykuempunktem"/>
      </w:pPr>
      <w:r>
        <w:t>4</w:t>
      </w:r>
      <w:r w:rsidR="003E5110">
        <w:t>)</w:t>
      </w:r>
      <w:r w:rsidR="003E5110">
        <w:tab/>
      </w:r>
      <w:r w:rsidR="0049226B" w:rsidRPr="0049226B">
        <w:t>niekorzystnych sytuacj</w:t>
      </w:r>
      <w:r w:rsidR="00856220">
        <w:t>ach</w:t>
      </w:r>
      <w:r w:rsidR="0049226B" w:rsidRPr="0049226B">
        <w:t xml:space="preserve"> w podmiotach wchodzących w skład grupy firm inwestycyjnych, mogących mieć poważny wpływ na dom maklerski lub zagraniczną firmę inwestycyjną wchodzące w skład grupy firm inwestycyjnych;</w:t>
      </w:r>
    </w:p>
    <w:p w14:paraId="5C636D1F" w14:textId="22E09A57" w:rsidR="0049226B" w:rsidRPr="0049226B" w:rsidRDefault="00F32BC9" w:rsidP="003B6E9B">
      <w:pPr>
        <w:pStyle w:val="ZPKTzmpktartykuempunktem"/>
      </w:pPr>
      <w:r>
        <w:t>5</w:t>
      </w:r>
      <w:r w:rsidR="003E5110">
        <w:t>)</w:t>
      </w:r>
      <w:r w:rsidR="003E5110">
        <w:tab/>
      </w:r>
      <w:r w:rsidR="006909E1" w:rsidRPr="0049226B">
        <w:t>sankcj</w:t>
      </w:r>
      <w:r w:rsidR="006909E1">
        <w:t>ach</w:t>
      </w:r>
      <w:r w:rsidR="006909E1" w:rsidRPr="0049226B">
        <w:t xml:space="preserve"> nałożon</w:t>
      </w:r>
      <w:r w:rsidR="006909E1">
        <w:t>ych</w:t>
      </w:r>
      <w:r w:rsidR="006909E1" w:rsidRPr="0049226B">
        <w:t xml:space="preserve"> </w:t>
      </w:r>
      <w:r w:rsidR="0049226B" w:rsidRPr="0049226B">
        <w:t xml:space="preserve">zgodnie z art. 167 w związku z naruszeniem przepisów niniejszego oddziału lub rozporządzenia </w:t>
      </w:r>
      <w:r w:rsidR="00182D8B">
        <w:t>2019/2033</w:t>
      </w:r>
      <w:r w:rsidR="006909E1">
        <w:t>,</w:t>
      </w:r>
      <w:r w:rsidR="0049226B" w:rsidRPr="0049226B">
        <w:t xml:space="preserve"> oraz środki nadzorcze podjęte przez Komisję zgodnie z przepisami niniejszego oddziału, jeżeli jest to istotne dla zadań nadzorczych sprawowanych przez właściwe organy nadzoru.</w:t>
      </w:r>
    </w:p>
    <w:p w14:paraId="6D5E2F07" w14:textId="77777777" w:rsidR="0049226B" w:rsidRPr="0049226B" w:rsidRDefault="0049226B" w:rsidP="003B6E9B">
      <w:pPr>
        <w:pStyle w:val="ZUSTzmustartykuempunktem"/>
      </w:pPr>
      <w:r w:rsidRPr="0049226B">
        <w:t>3. Komisja może powiadomić Europejski Urząd Nadzoru Bankowego o każdym przypadku, w którym:</w:t>
      </w:r>
    </w:p>
    <w:p w14:paraId="513F078B" w14:textId="1D8DCDA8" w:rsidR="0049226B" w:rsidRPr="0049226B" w:rsidRDefault="003E5110" w:rsidP="003B6E9B">
      <w:pPr>
        <w:pStyle w:val="ZPKTzmpktartykuempunktem"/>
      </w:pPr>
      <w:r>
        <w:t>1)</w:t>
      </w:r>
      <w:r>
        <w:tab/>
      </w:r>
      <w:r w:rsidR="0049226B" w:rsidRPr="0049226B">
        <w:t>właściwy organ nadzoru nad zagraniczną firmą inwestycyjną wchodzącą w skład grupy firm inwestycyjnych nie przekazał niezbędnych informacji;</w:t>
      </w:r>
    </w:p>
    <w:p w14:paraId="7A113DD4" w14:textId="77777777" w:rsidR="0049226B" w:rsidRPr="0049226B" w:rsidRDefault="003E5110" w:rsidP="003B6E9B">
      <w:pPr>
        <w:pStyle w:val="ZPKTzmpktartykuempunktem"/>
      </w:pPr>
      <w:r>
        <w:t>2)</w:t>
      </w:r>
      <w:r>
        <w:tab/>
      </w:r>
      <w:r w:rsidR="0049226B" w:rsidRPr="0049226B">
        <w:t xml:space="preserve">wniosek o współpracę, w szczególności dotyczący wymiany istotnych informacji, został odrzucony </w:t>
      </w:r>
      <w:r w:rsidR="0087376F">
        <w:t xml:space="preserve">przez właściwy organ nadzoru państwa członkowskiego </w:t>
      </w:r>
      <w:r w:rsidR="0049226B" w:rsidRPr="0049226B">
        <w:t>lub nie podjęto w jego sprawie żadnych działań w odpowiednim terminie.</w:t>
      </w:r>
    </w:p>
    <w:p w14:paraId="027DE229" w14:textId="6A140D20" w:rsidR="0049226B" w:rsidRPr="0049226B" w:rsidRDefault="0049226B" w:rsidP="003B6E9B">
      <w:pPr>
        <w:pStyle w:val="ZUSTzmustartykuempunktem"/>
      </w:pPr>
      <w:r w:rsidRPr="0049226B">
        <w:t>4. W przypadku gdy Komisja sprawuje nad grupą firm inwestycyjnych nadzór na zasadzie skonsolidowanej lub nadzór nad zgodnością z grupowym testem kapitałowym konsultuje się z właściwymi organami nadzoru nad zagranicznymi firmami inwestycyjnymi przed podjęciem decyzji, która może być istotna dla sprawowanego przez nie nadzoru, w sprawach:</w:t>
      </w:r>
    </w:p>
    <w:p w14:paraId="3259E0FD" w14:textId="217BD642" w:rsidR="0049226B" w:rsidRPr="0049226B" w:rsidRDefault="003E5110" w:rsidP="003B6E9B">
      <w:pPr>
        <w:pStyle w:val="ZPKTzmpktartykuempunktem"/>
      </w:pPr>
      <w:r>
        <w:t>1)</w:t>
      </w:r>
      <w:r>
        <w:tab/>
      </w:r>
      <w:r w:rsidR="0049226B" w:rsidRPr="0049226B">
        <w:t xml:space="preserve">zmian w strukturze akcjonariatu, strukturze organizacyjnej lub strukturze zarządzania zagranicznych firm inwestycyjnych wchodzących w skład grupy firm inwestycyjnych, </w:t>
      </w:r>
      <w:r w:rsidR="00B2484A">
        <w:t xml:space="preserve">w przypadku zmian </w:t>
      </w:r>
      <w:r w:rsidR="0049226B" w:rsidRPr="0049226B">
        <w:t>wymagają</w:t>
      </w:r>
      <w:r w:rsidR="00B2484A">
        <w:t>cych</w:t>
      </w:r>
      <w:r w:rsidR="0049226B" w:rsidRPr="0049226B">
        <w:t xml:space="preserve"> zatwierdzenia lub zezwolenia ze strony Komisji;</w:t>
      </w:r>
    </w:p>
    <w:p w14:paraId="3D191631" w14:textId="7A9931E8" w:rsidR="0049226B" w:rsidRPr="0049226B" w:rsidRDefault="003E5110" w:rsidP="003B6E9B">
      <w:pPr>
        <w:pStyle w:val="ZPKTzmpktartykuempunktem"/>
      </w:pPr>
      <w:r>
        <w:t>2)</w:t>
      </w:r>
      <w:r>
        <w:tab/>
      </w:r>
      <w:r w:rsidR="0049226B" w:rsidRPr="0049226B">
        <w:t>nałożenia na dom maklerski sankcji zgodnie z art. 167, w związku z naruszeniem przepisów niniejszego oddziału lub</w:t>
      </w:r>
      <w:r w:rsidR="0087376F">
        <w:t xml:space="preserve"> </w:t>
      </w:r>
      <w:r w:rsidR="0049226B" w:rsidRPr="0049226B">
        <w:t xml:space="preserve">rozporządzenia </w:t>
      </w:r>
      <w:r w:rsidR="00182D8B">
        <w:t>2019/2033</w:t>
      </w:r>
      <w:r w:rsidR="0049226B" w:rsidRPr="0049226B">
        <w:t>, lub nałożenia środka nadzorczego, o którym mowa w art. 110y ust. 3.</w:t>
      </w:r>
    </w:p>
    <w:p w14:paraId="06751CD6" w14:textId="77777777" w:rsidR="0049226B" w:rsidRPr="0049226B" w:rsidRDefault="0049226B" w:rsidP="003B6E9B">
      <w:pPr>
        <w:pStyle w:val="ZUSTzmustartykuempunktem"/>
      </w:pPr>
      <w:r w:rsidRPr="0049226B">
        <w:t xml:space="preserve">5. Komisja, sprawując nadzór nad domem maklerskim należącym do grupy firm inwestycyjnych, nad którą nadzór na zasadzie skonsolidowanej lub nadzór nad </w:t>
      </w:r>
      <w:r w:rsidRPr="0049226B">
        <w:lastRenderedPageBreak/>
        <w:t>zgodnością z grupowym testem kapitałowym sprawuje właściwy organ nadzoru z innego państwa członkowskiego, może zwrócić się do tego właściwego organu nadzoru o informacje w zakresie, o którym mowa w ust. 2, dotyczące zagranicznych firm inwestycyjnych wchodzących w skład grupy firm inwestycyjnych, do której należy dom maklerski.</w:t>
      </w:r>
    </w:p>
    <w:p w14:paraId="55DFF8B6" w14:textId="08129DD5" w:rsidR="0049226B" w:rsidRPr="0049226B" w:rsidRDefault="003E5110" w:rsidP="003B6E9B">
      <w:pPr>
        <w:pStyle w:val="ZUSTzmustartykuempunktem"/>
      </w:pPr>
      <w:r>
        <w:t xml:space="preserve">6. </w:t>
      </w:r>
      <w:r w:rsidR="0049226B" w:rsidRPr="0049226B">
        <w:t>Komisja, podejmując decyzję</w:t>
      </w:r>
      <w:r w:rsidR="00291976">
        <w:t>, o której mowa w ust. 4 pkt 2</w:t>
      </w:r>
      <w:r w:rsidR="0049226B" w:rsidRPr="0049226B">
        <w:t>, zwraca się o opinię do właściwego organu nadzoru sprawującego nad grupą firm inwestycyjnych nadzór na zasadzie skonsolidowanej lub nadzór nad zgodnością z grupowym testem kapitałowym, jeżeli nałożenie sankcji lub środka nadzorczego może mieć wpływ na prawidłowe wykonywanie zadań nadzorczych przez właściwy organ nadzoru sprawujący nadzór na zasadzie skonsolidowanej lub nadzór nad zgodnością z grupowym testem kapitałowym.</w:t>
      </w:r>
    </w:p>
    <w:p w14:paraId="2D16380F" w14:textId="5F2697AA" w:rsidR="003B6E9B" w:rsidRDefault="003E5110" w:rsidP="003B6E9B">
      <w:pPr>
        <w:pStyle w:val="ZUSTzmustartykuempunktem"/>
      </w:pPr>
      <w:r>
        <w:t xml:space="preserve">7. </w:t>
      </w:r>
      <w:r w:rsidR="0049226B" w:rsidRPr="0049226B">
        <w:t xml:space="preserve">Komisja może odstąpić od przeprowadzenia konsultacji z właściwym organem nadzoru, o których mowa w ust. 4, w przypadku gdy wydanie decyzji, o której mowa w ust. 4, </w:t>
      </w:r>
      <w:r w:rsidR="00E13758">
        <w:t xml:space="preserve">gdy </w:t>
      </w:r>
      <w:r w:rsidR="0049226B" w:rsidRPr="0049226B">
        <w:t>jest to niezbędne do zapewnienia wykonania tej decyzji</w:t>
      </w:r>
      <w:r w:rsidR="006909E1">
        <w:t>.</w:t>
      </w:r>
      <w:r w:rsidR="0049226B" w:rsidRPr="0049226B">
        <w:t xml:space="preserve"> W takim przypadku Komisja niezwłocznie informuje inne właściwe organy nadzoru o odstąpieniu od </w:t>
      </w:r>
      <w:r w:rsidR="006A57AD">
        <w:t xml:space="preserve">przeprowadzenia </w:t>
      </w:r>
      <w:r w:rsidR="0049226B" w:rsidRPr="0049226B">
        <w:t>konsultacji.</w:t>
      </w:r>
    </w:p>
    <w:p w14:paraId="3C08A6E9" w14:textId="48716F6A" w:rsidR="0049226B" w:rsidRPr="0049226B" w:rsidRDefault="0049226B" w:rsidP="003B6E9B">
      <w:pPr>
        <w:pStyle w:val="ZUSTzmustartykuempunktem"/>
      </w:pPr>
      <w:r w:rsidRPr="0049226B">
        <w:t>8. Komisja</w:t>
      </w:r>
      <w:r w:rsidR="006A57AD">
        <w:t xml:space="preserve"> </w:t>
      </w:r>
      <w:r w:rsidRPr="0049226B">
        <w:t>może zwrócić się do właściwych organów nadzoru o przeprowadzenie weryfikacji informacji dotyczących zagranicznej firmy inwestycyjnej, inwestycyjnej spółki holdingowej, finansowej spółki holdingowej o działalności mieszanej, instytucji finansowej, przedsiębiorstwa usług pomocniczych, holdingu mieszanego lub podmiotu zależnego, mających siedzibę w danym państwie członkowskim, w tym podmiotu zależnego będącego zakładem ubezpieczeń.</w:t>
      </w:r>
    </w:p>
    <w:p w14:paraId="32F805F9" w14:textId="77777777" w:rsidR="0049226B" w:rsidRPr="0049226B" w:rsidRDefault="003E5110" w:rsidP="003B6E9B">
      <w:pPr>
        <w:pStyle w:val="ZUSTzmustartykuempunktem"/>
      </w:pPr>
      <w:r>
        <w:t xml:space="preserve">9. </w:t>
      </w:r>
      <w:r w:rsidR="0049226B" w:rsidRPr="0049226B">
        <w:t>W przypadku, o którym mowa w ust. 8, Komisja może zwrócić się o umożliwienie Komisji lub jej upoważnionym przedstawicielom przeprowadzenia takiej weryfikacji.</w:t>
      </w:r>
    </w:p>
    <w:p w14:paraId="7009E650" w14:textId="6FB155E0" w:rsidR="0049226B" w:rsidRPr="0049226B" w:rsidRDefault="003E5110" w:rsidP="003B6E9B">
      <w:pPr>
        <w:pStyle w:val="ZUSTzmustartykuempunktem"/>
      </w:pPr>
      <w:r>
        <w:t xml:space="preserve">10. </w:t>
      </w:r>
      <w:r w:rsidR="0049226B" w:rsidRPr="0049226B">
        <w:t xml:space="preserve">Jeżeli Komisja otrzyma wniosek o przeprowadzenie weryfikacji od właściwego organu nadzoru z innego państwa członkowskiego, przeprowadza </w:t>
      </w:r>
      <w:r w:rsidR="006A57AD">
        <w:t>ją</w:t>
      </w:r>
      <w:r w:rsidR="00804C7C">
        <w:t xml:space="preserve"> </w:t>
      </w:r>
      <w:r w:rsidR="0049226B" w:rsidRPr="0049226B">
        <w:t>we własnym zakresie lub umożliwia jej przeprowadzenie przez właściwy organ nadzoru składający wniosek albo biegłego rewidenta lub firmę audytorską lub inny podmiot posiadający wiedzę specjalistyczną. Przepi</w:t>
      </w:r>
      <w:r w:rsidR="00451F76">
        <w:t>sy art. 25 ust. 3‒</w:t>
      </w:r>
      <w:r w:rsidR="0049226B" w:rsidRPr="0049226B">
        <w:t>7 ustawy o nadzorze stosuje się odpowiednio.”;</w:t>
      </w:r>
    </w:p>
    <w:p w14:paraId="46D5887E" w14:textId="4B9407A6" w:rsidR="0049226B" w:rsidRPr="0049226B" w:rsidRDefault="006E6BE0" w:rsidP="0049226B">
      <w:pPr>
        <w:pStyle w:val="PKTpunkt"/>
      </w:pPr>
      <w:r>
        <w:t>24</w:t>
      </w:r>
      <w:r w:rsidR="003E5110">
        <w:t>)</w:t>
      </w:r>
      <w:r w:rsidR="003E5110">
        <w:tab/>
      </w:r>
      <w:r w:rsidR="0049226B" w:rsidRPr="0049226B">
        <w:t>w art. 110l:</w:t>
      </w:r>
    </w:p>
    <w:p w14:paraId="08E22650" w14:textId="77777777" w:rsidR="0049226B" w:rsidRPr="0049226B" w:rsidRDefault="0049226B" w:rsidP="0049226B">
      <w:pPr>
        <w:pStyle w:val="LITlitera"/>
      </w:pPr>
      <w:r w:rsidRPr="0049226B">
        <w:t>a)</w:t>
      </w:r>
      <w:r w:rsidR="003E5110">
        <w:tab/>
      </w:r>
      <w:r w:rsidRPr="0049226B">
        <w:t>ust. 1 i 2 otrzymują brzmienie:</w:t>
      </w:r>
    </w:p>
    <w:p w14:paraId="66E48B0D" w14:textId="03F0AA58" w:rsidR="0049226B" w:rsidRPr="0049226B" w:rsidRDefault="0049226B" w:rsidP="00BC2880">
      <w:pPr>
        <w:pStyle w:val="ZLITUSTzmustliter"/>
      </w:pPr>
      <w:r w:rsidRPr="0049226B">
        <w:t xml:space="preserve">„1. Na żądanie Komisji lub jej upoważnionego przedstawiciela osoby uprawnione do reprezentowania podmiotu dominującego wobec domu maklerskiego </w:t>
      </w:r>
      <w:r w:rsidRPr="0049226B">
        <w:lastRenderedPageBreak/>
        <w:t>niezwłoczn</w:t>
      </w:r>
      <w:r w:rsidR="00A63CC8">
        <w:t xml:space="preserve">ie </w:t>
      </w:r>
      <w:r w:rsidRPr="0049226B">
        <w:t>sporządz</w:t>
      </w:r>
      <w:r w:rsidR="00A63CC8">
        <w:t xml:space="preserve">ają </w:t>
      </w:r>
      <w:r w:rsidRPr="0049226B">
        <w:t>i przekaz</w:t>
      </w:r>
      <w:r w:rsidR="00A63CC8">
        <w:t>ują</w:t>
      </w:r>
      <w:r w:rsidRPr="0049226B">
        <w:t>, na koszt tego podmiotu dominującego, kopi</w:t>
      </w:r>
      <w:r w:rsidR="00A63CC8">
        <w:t>e</w:t>
      </w:r>
      <w:r w:rsidRPr="0049226B">
        <w:t xml:space="preserve"> dokumentów i informacji oraz udziel</w:t>
      </w:r>
      <w:r w:rsidR="00A63CC8">
        <w:t xml:space="preserve">ają </w:t>
      </w:r>
      <w:r w:rsidRPr="0049226B">
        <w:t>wyjaśnień, w celu umożliwienia Komisji sprawowania nadzoru nad domem maklerskim.</w:t>
      </w:r>
    </w:p>
    <w:p w14:paraId="68B75034" w14:textId="027225D7" w:rsidR="0049226B" w:rsidRPr="0049226B" w:rsidRDefault="0049226B" w:rsidP="00BC2880">
      <w:pPr>
        <w:pStyle w:val="ZLITUSTzmustliter"/>
      </w:pPr>
      <w:r w:rsidRPr="0049226B">
        <w:t>2. Na żądanie Komisji lub jej upoważnionego przedstawiciela osoby uprawnione do reprezentowania inwestycyjnej spółki holdingowej, finansowej spółki holdingowej o działalności mieszanej oraz innych podmiotów wchodzących w skład grupy, do której należy dom maklerski, niezwłoczn</w:t>
      </w:r>
      <w:r w:rsidR="00A63CC8">
        <w:t>ie</w:t>
      </w:r>
      <w:r w:rsidRPr="0049226B">
        <w:t xml:space="preserve"> sporządz</w:t>
      </w:r>
      <w:r w:rsidR="00A63CC8">
        <w:t>ają</w:t>
      </w:r>
      <w:r w:rsidR="00804C7C">
        <w:t xml:space="preserve"> </w:t>
      </w:r>
      <w:r w:rsidRPr="0049226B">
        <w:t>i przekaz</w:t>
      </w:r>
      <w:r w:rsidR="00A63CC8">
        <w:t>ują</w:t>
      </w:r>
      <w:r w:rsidRPr="0049226B">
        <w:t>, na koszt tych spółek lub podmiotów, kopi</w:t>
      </w:r>
      <w:r w:rsidR="00A63CC8">
        <w:t>e</w:t>
      </w:r>
      <w:r w:rsidRPr="0049226B">
        <w:t xml:space="preserve"> dokumentów i informacji oraz udziel</w:t>
      </w:r>
      <w:r w:rsidR="00A63CC8">
        <w:t>ają</w:t>
      </w:r>
      <w:r w:rsidR="00804C7C">
        <w:t xml:space="preserve"> </w:t>
      </w:r>
      <w:r w:rsidRPr="0049226B">
        <w:t>wyjaśnień, w celu umożliwienia Komisji sprawowania nadzoru nad domem mak</w:t>
      </w:r>
      <w:r w:rsidR="00451F76">
        <w:t>lerskim.”,</w:t>
      </w:r>
    </w:p>
    <w:p w14:paraId="5B8CDCF7" w14:textId="77777777" w:rsidR="0049226B" w:rsidRPr="0049226B" w:rsidRDefault="003E5110" w:rsidP="0049226B">
      <w:pPr>
        <w:pStyle w:val="LITlitera"/>
      </w:pPr>
      <w:r>
        <w:t>b)</w:t>
      </w:r>
      <w:r>
        <w:tab/>
      </w:r>
      <w:r w:rsidR="0049226B" w:rsidRPr="0049226B">
        <w:t>uchyla się</w:t>
      </w:r>
      <w:r w:rsidR="001A2849" w:rsidRPr="001A2849">
        <w:t xml:space="preserve"> </w:t>
      </w:r>
      <w:r w:rsidR="001A2849" w:rsidRPr="0049226B">
        <w:t>ust. 3 i 4</w:t>
      </w:r>
      <w:r w:rsidR="0049226B" w:rsidRPr="0049226B">
        <w:t>;</w:t>
      </w:r>
    </w:p>
    <w:p w14:paraId="4605D628" w14:textId="6B6866DE" w:rsidR="0049226B" w:rsidRPr="0049226B" w:rsidRDefault="006E6BE0" w:rsidP="0049226B">
      <w:pPr>
        <w:pStyle w:val="PKTpunkt"/>
      </w:pPr>
      <w:r>
        <w:t>25</w:t>
      </w:r>
      <w:r w:rsidR="003E5110">
        <w:t>)</w:t>
      </w:r>
      <w:r w:rsidR="003E5110">
        <w:tab/>
      </w:r>
      <w:r w:rsidR="0049226B" w:rsidRPr="0049226B">
        <w:t>w art. 110m:</w:t>
      </w:r>
    </w:p>
    <w:p w14:paraId="68F5A1FB" w14:textId="77777777" w:rsidR="0049226B" w:rsidRPr="0049226B" w:rsidRDefault="003E5110" w:rsidP="0049226B">
      <w:pPr>
        <w:pStyle w:val="LITlitera"/>
      </w:pPr>
      <w:r>
        <w:t>a)</w:t>
      </w:r>
      <w:r>
        <w:tab/>
      </w:r>
      <w:r w:rsidR="0049226B" w:rsidRPr="0049226B">
        <w:t>ust. 1 i 2 otrzymują brzmienie:</w:t>
      </w:r>
    </w:p>
    <w:p w14:paraId="32541824" w14:textId="20BE1687" w:rsidR="0049226B" w:rsidRPr="0049226B" w:rsidRDefault="003E5110" w:rsidP="00BC2880">
      <w:pPr>
        <w:pStyle w:val="ZLITUSTzmustliter"/>
      </w:pPr>
      <w:r>
        <w:t xml:space="preserve">„1. </w:t>
      </w:r>
      <w:r w:rsidR="0049226B" w:rsidRPr="0049226B">
        <w:t>Na żądanie Komisji lub jej upoważnionego przedstawiciela, skierowane bezpośrednio lub za pośrednictwem domu maklerskiego, holding mieszany będący podmiotem dominującym wobec domu maklerskiego oraz podmioty zależne tego holdingu</w:t>
      </w:r>
      <w:r w:rsidR="00A63CC8">
        <w:t xml:space="preserve"> </w:t>
      </w:r>
      <w:r w:rsidR="0049226B" w:rsidRPr="0049226B">
        <w:t>przekaz</w:t>
      </w:r>
      <w:r w:rsidR="00A63CC8">
        <w:t>ują</w:t>
      </w:r>
      <w:r w:rsidR="0049226B" w:rsidRPr="0049226B">
        <w:t xml:space="preserve">, na własny koszt, </w:t>
      </w:r>
      <w:r w:rsidR="00950EC2" w:rsidRPr="0049226B">
        <w:t>niezbędne informacje do sprawowania nadzoru nad domem maklerskim</w:t>
      </w:r>
      <w:r w:rsidR="00950EC2">
        <w:t>,</w:t>
      </w:r>
      <w:r w:rsidR="008C23E1">
        <w:t xml:space="preserve"> </w:t>
      </w:r>
      <w:r w:rsidR="0049226B" w:rsidRPr="0049226B">
        <w:t xml:space="preserve">określone w </w:t>
      </w:r>
      <w:r w:rsidR="00A63CC8">
        <w:t xml:space="preserve">tym </w:t>
      </w:r>
      <w:r w:rsidR="0049226B" w:rsidRPr="0049226B">
        <w:t>żądaniu.</w:t>
      </w:r>
    </w:p>
    <w:p w14:paraId="5F2EDD84" w14:textId="252A820B" w:rsidR="0049226B" w:rsidRPr="0049226B" w:rsidRDefault="003E5110" w:rsidP="00BC2880">
      <w:pPr>
        <w:pStyle w:val="ZLITUSTzmustliter"/>
      </w:pPr>
      <w:r>
        <w:t xml:space="preserve">2. </w:t>
      </w:r>
      <w:r w:rsidR="0049226B" w:rsidRPr="0049226B">
        <w:t xml:space="preserve">Na żądanie Komisji lub jej upoważnionego przedstawiciela osoby uprawnione do reprezentowania holdingu mieszanego, o którym mowa w ust. 1, lub podmiotu zależnego od tego holdingu lub osoby wchodzące w skład statutowych organów tego holdingu lub </w:t>
      </w:r>
      <w:r w:rsidR="0005656C">
        <w:t xml:space="preserve">jego </w:t>
      </w:r>
      <w:r w:rsidR="0049226B" w:rsidRPr="0049226B">
        <w:t>podmiotu zależnego</w:t>
      </w:r>
      <w:r w:rsidR="00950EC2">
        <w:t>,</w:t>
      </w:r>
      <w:r w:rsidR="0049226B" w:rsidRPr="0049226B">
        <w:t xml:space="preserve"> niezwłoczn</w:t>
      </w:r>
      <w:r w:rsidR="00A63CC8">
        <w:t>ie</w:t>
      </w:r>
      <w:r w:rsidR="0049226B" w:rsidRPr="0049226B">
        <w:t xml:space="preserve"> sporządz</w:t>
      </w:r>
      <w:r w:rsidR="00A63CC8">
        <w:t>ają</w:t>
      </w:r>
      <w:r w:rsidR="00804C7C">
        <w:t xml:space="preserve"> </w:t>
      </w:r>
      <w:r w:rsidR="0049226B" w:rsidRPr="0049226B">
        <w:t>i przekaz</w:t>
      </w:r>
      <w:r w:rsidR="00A63CC8">
        <w:t>ują</w:t>
      </w:r>
      <w:r w:rsidR="0049226B" w:rsidRPr="0049226B">
        <w:t xml:space="preserve">, na koszt tego holdingu lub </w:t>
      </w:r>
      <w:r w:rsidR="0005656C">
        <w:t xml:space="preserve">jego </w:t>
      </w:r>
      <w:r w:rsidR="0049226B" w:rsidRPr="0049226B">
        <w:t>podmiotu zależnego kopi</w:t>
      </w:r>
      <w:r w:rsidR="00A63CC8">
        <w:t>e</w:t>
      </w:r>
      <w:r w:rsidR="0049226B" w:rsidRPr="0049226B">
        <w:t xml:space="preserve"> dokumentów i informacji</w:t>
      </w:r>
      <w:r w:rsidR="00950EC2">
        <w:t>,</w:t>
      </w:r>
      <w:r w:rsidR="0049226B" w:rsidRPr="0049226B">
        <w:t xml:space="preserve"> oraz udziel</w:t>
      </w:r>
      <w:r w:rsidR="00A63CC8">
        <w:t>ają</w:t>
      </w:r>
      <w:r w:rsidR="00804C7C">
        <w:t xml:space="preserve"> </w:t>
      </w:r>
      <w:r w:rsidR="0049226B" w:rsidRPr="0049226B">
        <w:t>wyjaśnień w celu umożliwienia Komisji sprawowania nadzoru nad domem maklerskim, będącym podmiotem zależny</w:t>
      </w:r>
      <w:r w:rsidR="00451F76">
        <w:t>m tego holdingu mieszanego.”,</w:t>
      </w:r>
    </w:p>
    <w:p w14:paraId="23F4F2E3" w14:textId="77777777" w:rsidR="0049226B" w:rsidRPr="0049226B" w:rsidRDefault="003E5110" w:rsidP="0049226B">
      <w:pPr>
        <w:pStyle w:val="LITlitera"/>
      </w:pPr>
      <w:r>
        <w:t>b)</w:t>
      </w:r>
      <w:r>
        <w:tab/>
      </w:r>
      <w:r w:rsidR="00451F76">
        <w:t>uchyla się</w:t>
      </w:r>
      <w:r w:rsidR="001A2849" w:rsidRPr="001A2849">
        <w:t xml:space="preserve"> </w:t>
      </w:r>
      <w:r w:rsidR="001A2849">
        <w:t>ust. 3</w:t>
      </w:r>
      <w:r w:rsidR="00451F76">
        <w:t>,</w:t>
      </w:r>
    </w:p>
    <w:p w14:paraId="0716B174" w14:textId="77777777" w:rsidR="0049226B" w:rsidRPr="0049226B" w:rsidRDefault="003E5110" w:rsidP="0049226B">
      <w:pPr>
        <w:pStyle w:val="LITlitera"/>
      </w:pPr>
      <w:r>
        <w:t>c)</w:t>
      </w:r>
      <w:r>
        <w:tab/>
      </w:r>
      <w:r w:rsidR="00451F76">
        <w:t>ust. 4</w:t>
      </w:r>
      <w:r w:rsidR="0049226B" w:rsidRPr="0049226B">
        <w:t>–6 otrzymują brzmienie:</w:t>
      </w:r>
    </w:p>
    <w:p w14:paraId="0CA27175" w14:textId="2B0BDD32" w:rsidR="0049226B" w:rsidRPr="0049226B" w:rsidRDefault="003E5110" w:rsidP="00BC2880">
      <w:pPr>
        <w:pStyle w:val="ZLITUSTzmustliter"/>
      </w:pPr>
      <w:r>
        <w:t xml:space="preserve">„4. </w:t>
      </w:r>
      <w:r w:rsidR="0049226B" w:rsidRPr="0049226B">
        <w:t>W przypadku gdy podmiot dominujący domu maklerskiego jest holdingiem mieszanym Komisja w ramach sprawowanego nadzoru monitor</w:t>
      </w:r>
      <w:r w:rsidR="00A63CC8">
        <w:t>uje</w:t>
      </w:r>
      <w:r w:rsidR="0049226B" w:rsidRPr="0049226B">
        <w:t xml:space="preserve"> transakcj</w:t>
      </w:r>
      <w:r w:rsidR="00A63CC8">
        <w:t>e</w:t>
      </w:r>
      <w:r w:rsidR="0049226B" w:rsidRPr="0049226B">
        <w:t xml:space="preserve"> dokonywan</w:t>
      </w:r>
      <w:r w:rsidR="00A63CC8">
        <w:t>e</w:t>
      </w:r>
      <w:r w:rsidR="0049226B" w:rsidRPr="0049226B">
        <w:t xml:space="preserve"> pomiędzy domem maklerskim a holdingiem mieszanym lub jego podmiotami zależnymi.</w:t>
      </w:r>
    </w:p>
    <w:p w14:paraId="4EE73F77" w14:textId="01319A0A" w:rsidR="0049226B" w:rsidRPr="0049226B" w:rsidRDefault="003E5110" w:rsidP="00BC2880">
      <w:pPr>
        <w:pStyle w:val="ZLITUSTzmustliter"/>
      </w:pPr>
      <w:r>
        <w:lastRenderedPageBreak/>
        <w:t xml:space="preserve">5. </w:t>
      </w:r>
      <w:r w:rsidR="0049226B" w:rsidRPr="0049226B">
        <w:t>Dom maklerski wprowadza procedury zarządzania ryzykiem, w tym procedury sprawozdawcze i księgowe, w celu identyfikacji, pomiaru, monitorowania i kontrolowania transakcji dokonywanych z jego podmiotem dominującym będącym holdingiem mieszanym i podmiotami zależnymi tego holdingu.</w:t>
      </w:r>
    </w:p>
    <w:p w14:paraId="187A8748" w14:textId="77777777" w:rsidR="0005656C" w:rsidRDefault="003E5110" w:rsidP="00BC2880">
      <w:pPr>
        <w:pStyle w:val="ZLITUSTzmustliter"/>
      </w:pPr>
      <w:r>
        <w:t xml:space="preserve">6. </w:t>
      </w:r>
      <w:r w:rsidR="0049226B" w:rsidRPr="0049226B">
        <w:t xml:space="preserve">Dom maklerski zgłasza Komisji każdą istotną transakcję z podmiotami, o których mowa w ust. 4. </w:t>
      </w:r>
    </w:p>
    <w:p w14:paraId="2FA4A0D6" w14:textId="77777777" w:rsidR="0049226B" w:rsidRPr="0049226B" w:rsidRDefault="004D1E65" w:rsidP="00BC2880">
      <w:pPr>
        <w:pStyle w:val="ZLITUSTzmustliter"/>
      </w:pPr>
      <w:r>
        <w:t xml:space="preserve">7. </w:t>
      </w:r>
      <w:r w:rsidR="0049226B" w:rsidRPr="0049226B">
        <w:t>Procedury, o których mowa w ust. 5, oraz istotne transakcje podlegają kontroli Komisji.”;</w:t>
      </w:r>
    </w:p>
    <w:p w14:paraId="59BAF6C0" w14:textId="5B3208C0" w:rsidR="0049226B" w:rsidRPr="0049226B" w:rsidRDefault="006E6BE0" w:rsidP="0049226B">
      <w:pPr>
        <w:pStyle w:val="PKTpunkt"/>
      </w:pPr>
      <w:r>
        <w:t>26</w:t>
      </w:r>
      <w:r w:rsidR="003E5110">
        <w:t>)</w:t>
      </w:r>
      <w:r w:rsidR="003E5110">
        <w:tab/>
      </w:r>
      <w:r w:rsidR="0049226B" w:rsidRPr="0049226B">
        <w:t>uchyla się</w:t>
      </w:r>
      <w:r w:rsidR="001A2849" w:rsidRPr="001A2849">
        <w:t xml:space="preserve"> </w:t>
      </w:r>
      <w:r w:rsidR="001A2849" w:rsidRPr="0049226B">
        <w:t>art. 110n</w:t>
      </w:r>
      <w:r w:rsidR="0049226B" w:rsidRPr="0049226B">
        <w:t>;</w:t>
      </w:r>
    </w:p>
    <w:p w14:paraId="749908C0" w14:textId="2CEC30E9" w:rsidR="0049226B" w:rsidRPr="0049226B" w:rsidRDefault="006E6BE0" w:rsidP="0049226B">
      <w:pPr>
        <w:pStyle w:val="PKTpunkt"/>
      </w:pPr>
      <w:r>
        <w:t>27</w:t>
      </w:r>
      <w:r w:rsidR="003E5110">
        <w:t>)</w:t>
      </w:r>
      <w:r w:rsidR="003E5110">
        <w:tab/>
      </w:r>
      <w:r w:rsidR="0049226B" w:rsidRPr="0049226B">
        <w:t>art. 110o</w:t>
      </w:r>
      <w:r w:rsidR="001A2849">
        <w:t xml:space="preserve"> i art. 110p</w:t>
      </w:r>
      <w:r w:rsidR="0049226B" w:rsidRPr="0049226B">
        <w:t xml:space="preserve"> </w:t>
      </w:r>
      <w:r w:rsidR="001A2849" w:rsidRPr="0049226B">
        <w:t>otrzymuj</w:t>
      </w:r>
      <w:r w:rsidR="001A2849">
        <w:t>ą</w:t>
      </w:r>
      <w:r w:rsidR="001A2849" w:rsidRPr="0049226B">
        <w:t xml:space="preserve"> </w:t>
      </w:r>
      <w:r w:rsidR="0049226B" w:rsidRPr="0049226B">
        <w:t>brzmienie:</w:t>
      </w:r>
    </w:p>
    <w:p w14:paraId="2DF1A842" w14:textId="6570F6D3" w:rsidR="0049226B" w:rsidRPr="0049226B" w:rsidRDefault="0049226B" w:rsidP="00BC2880">
      <w:pPr>
        <w:pStyle w:val="ZARTzmartartykuempunktem"/>
      </w:pPr>
      <w:r w:rsidRPr="0049226B">
        <w:t>„Art. 110o. 1. W przypadku gdy dom maklerski będący w grupie firm inwestycyjnych jest podmiotem zależnym podmiotu, który ma siedzibę w państwie trzecim</w:t>
      </w:r>
      <w:r w:rsidR="0005656C">
        <w:t>,</w:t>
      </w:r>
      <w:r w:rsidRPr="0049226B">
        <w:t xml:space="preserve"> i nie jest nad nim sprawowany przez Komisję nadzór na zasadzie skonsolidowanej lub nadzór nad zgodnością z grupowym testem kapitałowym, Komisja ocen</w:t>
      </w:r>
      <w:r w:rsidR="0005656C">
        <w:t>ia</w:t>
      </w:r>
      <w:r w:rsidRPr="0049226B">
        <w:t>, czy dom maklerski podlega nadzorowi na zasadzie skonsolidowanej lub nadzorowi nad zgodnością z grupowym testem kapitałowym</w:t>
      </w:r>
      <w:r w:rsidR="00950EC2">
        <w:t>,</w:t>
      </w:r>
      <w:r w:rsidRPr="0049226B">
        <w:t xml:space="preserve"> sprawowanemu przez organ nadzoru państwa trzeciego na zasad</w:t>
      </w:r>
      <w:r w:rsidR="0005656C">
        <w:t>ach</w:t>
      </w:r>
      <w:r w:rsidRPr="0049226B">
        <w:t xml:space="preserve"> równoważnych w stosunku do ustanowionych w przepisach niniejszego oddziału i części pierwszej rozporządzenia </w:t>
      </w:r>
      <w:r w:rsidR="00182D8B">
        <w:t>2019/2033</w:t>
      </w:r>
      <w:r w:rsidRPr="0049226B">
        <w:t>.</w:t>
      </w:r>
    </w:p>
    <w:p w14:paraId="2AD0C538" w14:textId="77268002" w:rsidR="0049226B" w:rsidRPr="0049226B" w:rsidRDefault="0049226B" w:rsidP="008503D5">
      <w:pPr>
        <w:pStyle w:val="ZUSTzmustartykuempunktem"/>
      </w:pPr>
      <w:r w:rsidRPr="0049226B">
        <w:t xml:space="preserve">2. W przypadku gdy ocena równoważności zasad, o której mowa w ust. 1, nie wykaże pełnej równoważności, Komisja może podjąć działania nadzorcze zmierzające do zapewnienia celów nadzoru zgodnie z art. 7 lub </w:t>
      </w:r>
      <w:r w:rsidR="00374EAC">
        <w:t xml:space="preserve">art. </w:t>
      </w:r>
      <w:r w:rsidRPr="0049226B">
        <w:t xml:space="preserve">8 rozporządzenia </w:t>
      </w:r>
      <w:r w:rsidR="00182D8B">
        <w:t>2019/2033</w:t>
      </w:r>
      <w:r w:rsidRPr="0049226B">
        <w:t>. Komisja podejmuje te działania jeżeli pełni rolę organu sprawującego nadzór na zasadzie skonsolidowanej lub nadzór nad zgodnością z grupowym testem kapitałowym zgodnie z przepisami niniejszego oddziału, gdyby</w:t>
      </w:r>
      <w:r w:rsidR="004747EB">
        <w:t xml:space="preserve"> </w:t>
      </w:r>
      <w:r w:rsidRPr="0049226B">
        <w:t xml:space="preserve">podmiot dominujący miał swoją siedzibę </w:t>
      </w:r>
      <w:r w:rsidR="001B20AC">
        <w:t>w państwie członkowskim</w:t>
      </w:r>
      <w:r w:rsidRPr="0049226B">
        <w:t>. Komisja podejmuje działania po konsultacji z właściwymi organami nadzoru nad pozostałymi firmami inwestycyjnymi w grupie firm inwestycyjnych. Komisja informuje Europejski Urząd Nadzoru Bankowego i Komisję Europejską o podjętych działaniach nadzorczych.</w:t>
      </w:r>
    </w:p>
    <w:p w14:paraId="262AB5A2" w14:textId="77777777" w:rsidR="0049226B" w:rsidRPr="0049226B" w:rsidRDefault="0049226B" w:rsidP="00BC2880">
      <w:pPr>
        <w:pStyle w:val="ZARTzmartartykuempunktem"/>
      </w:pPr>
      <w:r w:rsidRPr="0049226B">
        <w:t xml:space="preserve">3. W przypadku, o którym mowa w ust. 2, Komisja może, w drodze decyzji, nakazać domowi maklerskiemu podjęcie działań w celu zmiany struktury grupy kapitałowej w taki sposób, aby podmiotem dominującym wobec tego domu maklerskiego stała się inwestycyjna spółka holdingowa lub finansowa spółka holdingowa o działalności mieszanej, której siedziba znajduje się w państwie członkowskim, lub zastosować art. 7 </w:t>
      </w:r>
      <w:r w:rsidRPr="0049226B">
        <w:lastRenderedPageBreak/>
        <w:t xml:space="preserve">lub </w:t>
      </w:r>
      <w:r w:rsidR="00374EAC">
        <w:t xml:space="preserve">art. </w:t>
      </w:r>
      <w:r w:rsidRPr="0049226B">
        <w:t xml:space="preserve">8 rozporządzenia </w:t>
      </w:r>
      <w:r w:rsidR="00182D8B">
        <w:t>2019/2033</w:t>
      </w:r>
      <w:r w:rsidRPr="0049226B">
        <w:t xml:space="preserve"> do tej inwestycyjnej spółki holdingowej lub finansowej spółki holdingowej o działalności mieszanej.</w:t>
      </w:r>
    </w:p>
    <w:p w14:paraId="4F86DBD8" w14:textId="3772F12A" w:rsidR="0049226B" w:rsidRPr="0049226B" w:rsidRDefault="003E5110" w:rsidP="00BC2880">
      <w:pPr>
        <w:pStyle w:val="ZARTzmartartykuempunktem"/>
      </w:pPr>
      <w:r>
        <w:t xml:space="preserve">Art. 110p. </w:t>
      </w:r>
      <w:r w:rsidR="0049226B" w:rsidRPr="0049226B">
        <w:t>Dom maklerski dokumentuje systemy oraz procesy, o których mowa w przepisach niniejszego oddziału lub</w:t>
      </w:r>
      <w:r w:rsidR="00374EAC">
        <w:t xml:space="preserve"> </w:t>
      </w:r>
      <w:r w:rsidR="0049226B" w:rsidRPr="0049226B">
        <w:t xml:space="preserve">rozporządzenia </w:t>
      </w:r>
      <w:r w:rsidR="00182D8B">
        <w:t>2019/2033</w:t>
      </w:r>
      <w:r w:rsidR="0049226B" w:rsidRPr="0049226B">
        <w:t>, oraz rejestruje transakcje, w</w:t>
      </w:r>
      <w:r w:rsidR="00AE27A5">
        <w:t xml:space="preserve"> </w:t>
      </w:r>
      <w:r w:rsidR="0049226B" w:rsidRPr="0049226B">
        <w:t>sposób umożliwiający Komisji nadzór nad zgodnością działalności domu maklerskiego z tymi przepisami.”;</w:t>
      </w:r>
    </w:p>
    <w:p w14:paraId="03ACDF10" w14:textId="0708EF82" w:rsidR="0049226B" w:rsidRPr="0049226B" w:rsidRDefault="006E6BE0" w:rsidP="0049226B">
      <w:pPr>
        <w:pStyle w:val="PKTpunkt"/>
      </w:pPr>
      <w:r>
        <w:t>28</w:t>
      </w:r>
      <w:r w:rsidR="003E5110">
        <w:t>)</w:t>
      </w:r>
      <w:r w:rsidR="003E5110">
        <w:tab/>
      </w:r>
      <w:r w:rsidR="0049226B" w:rsidRPr="0049226B">
        <w:t xml:space="preserve">w art. 110r: </w:t>
      </w:r>
    </w:p>
    <w:p w14:paraId="19F62A61" w14:textId="77777777" w:rsidR="0049226B" w:rsidRPr="0049226B" w:rsidRDefault="0049226B" w:rsidP="0049226B">
      <w:pPr>
        <w:pStyle w:val="LITlitera"/>
      </w:pPr>
      <w:r w:rsidRPr="0049226B">
        <w:t>a)</w:t>
      </w:r>
      <w:r w:rsidR="003E5110">
        <w:tab/>
      </w:r>
      <w:r w:rsidRPr="0049226B">
        <w:t>ust. 1 otrzymuje brzmienie:</w:t>
      </w:r>
    </w:p>
    <w:p w14:paraId="13C47C3F" w14:textId="77777777" w:rsidR="0049226B" w:rsidRPr="0049226B" w:rsidRDefault="0049226B" w:rsidP="00BC2880">
      <w:pPr>
        <w:pStyle w:val="ZLITUSTzmustliter"/>
      </w:pPr>
      <w:r w:rsidRPr="0049226B">
        <w:t>„1.</w:t>
      </w:r>
      <w:r w:rsidR="003E5110">
        <w:t xml:space="preserve"> </w:t>
      </w:r>
      <w:r w:rsidRPr="0049226B">
        <w:t xml:space="preserve">Komisja dokonuje badania i oceny nadzorczej regulacji, strategii, procesów i mechanizmów wdrożonych przez dom maklerski w zakresie zarządzania ryzykiem, w tym w celu realizacji przepisów niniejszego oddziału i rozporządzenia </w:t>
      </w:r>
      <w:r w:rsidR="00182D8B">
        <w:t>2019/2033</w:t>
      </w:r>
      <w:r w:rsidR="00451F76">
        <w:t>.”,</w:t>
      </w:r>
    </w:p>
    <w:p w14:paraId="73DF286B" w14:textId="77777777" w:rsidR="0049226B" w:rsidRPr="0049226B" w:rsidRDefault="003E5110" w:rsidP="0049226B">
      <w:pPr>
        <w:pStyle w:val="LITlitera"/>
      </w:pPr>
      <w:r>
        <w:t>b)</w:t>
      </w:r>
      <w:r>
        <w:tab/>
      </w:r>
      <w:r w:rsidR="0049226B" w:rsidRPr="0049226B">
        <w:t>w ust. 2 pkt 2 otrzymuje brzmienie:</w:t>
      </w:r>
    </w:p>
    <w:p w14:paraId="531E7F2A" w14:textId="55E6B530" w:rsidR="0049226B" w:rsidRPr="0049226B" w:rsidRDefault="0049226B" w:rsidP="00BC2880">
      <w:pPr>
        <w:pStyle w:val="ZLITPKTzmpktliter"/>
      </w:pPr>
      <w:r w:rsidRPr="0049226B">
        <w:t>„2</w:t>
      </w:r>
      <w:r w:rsidR="00DA78F4" w:rsidRPr="0049226B">
        <w:t>)</w:t>
      </w:r>
      <w:r w:rsidR="00DA78F4">
        <w:tab/>
      </w:r>
      <w:r w:rsidRPr="0049226B">
        <w:t>jakie działalność domu maklerskiego stwarza dla innych</w:t>
      </w:r>
      <w:r w:rsidR="00C5216C">
        <w:t xml:space="preserve"> podmiotów rynku finansowego</w:t>
      </w:r>
      <w:r w:rsidRPr="0049226B">
        <w:t>;”</w:t>
      </w:r>
      <w:r w:rsidR="00451F76">
        <w:t>,</w:t>
      </w:r>
    </w:p>
    <w:p w14:paraId="5401567B" w14:textId="77777777" w:rsidR="0049226B" w:rsidRPr="0049226B" w:rsidRDefault="003E5110" w:rsidP="0049226B">
      <w:pPr>
        <w:pStyle w:val="LITlitera"/>
      </w:pPr>
      <w:r>
        <w:t>c)</w:t>
      </w:r>
      <w:r>
        <w:tab/>
      </w:r>
      <w:r w:rsidR="0049226B" w:rsidRPr="0049226B">
        <w:t>po ust. 2 dodaje się ust. 2a w brzmieniu:</w:t>
      </w:r>
    </w:p>
    <w:p w14:paraId="525F9FEC" w14:textId="16A17A90" w:rsidR="0049226B" w:rsidRPr="0049226B" w:rsidRDefault="0049226B" w:rsidP="00BC2880">
      <w:pPr>
        <w:pStyle w:val="ZLITUSTzmustliter"/>
      </w:pPr>
      <w:r w:rsidRPr="0049226B">
        <w:t xml:space="preserve">„2a. Komisja decyduje </w:t>
      </w:r>
      <w:r w:rsidR="005D242F">
        <w:t xml:space="preserve">o </w:t>
      </w:r>
      <w:r w:rsidRPr="0049226B">
        <w:t>przeprowadz</w:t>
      </w:r>
      <w:r w:rsidR="005D242F">
        <w:t xml:space="preserve">eniu </w:t>
      </w:r>
      <w:r w:rsidRPr="0049226B">
        <w:t>badani</w:t>
      </w:r>
      <w:r w:rsidR="005D242F">
        <w:t>a</w:t>
      </w:r>
      <w:r w:rsidRPr="0049226B">
        <w:t xml:space="preserve"> i ocen</w:t>
      </w:r>
      <w:r w:rsidR="005D242F">
        <w:t xml:space="preserve">y </w:t>
      </w:r>
      <w:r w:rsidRPr="0049226B">
        <w:t>nadzorcz</w:t>
      </w:r>
      <w:r w:rsidR="005D242F">
        <w:t>ej oraz ich formie</w:t>
      </w:r>
      <w:r w:rsidR="005E01A3">
        <w:t xml:space="preserve"> </w:t>
      </w:r>
      <w:r w:rsidRPr="0049226B">
        <w:t>w odniesieniu do dom</w:t>
      </w:r>
      <w:r w:rsidR="005D242F">
        <w:t>u</w:t>
      </w:r>
      <w:r w:rsidRPr="0049226B">
        <w:t xml:space="preserve"> maklerski</w:t>
      </w:r>
      <w:r w:rsidR="005D242F">
        <w:t>ego</w:t>
      </w:r>
      <w:r w:rsidRPr="0049226B">
        <w:t>, któr</w:t>
      </w:r>
      <w:r w:rsidR="005D242F">
        <w:t>y</w:t>
      </w:r>
      <w:r w:rsidRPr="0049226B">
        <w:t xml:space="preserve"> spełnia warunki </w:t>
      </w:r>
      <w:r w:rsidR="005D242F">
        <w:t xml:space="preserve">umożliwiające jego </w:t>
      </w:r>
      <w:r w:rsidRPr="0049226B">
        <w:t>do zakwalifikowania</w:t>
      </w:r>
      <w:r w:rsidR="00804C7C">
        <w:t xml:space="preserve"> </w:t>
      </w:r>
      <w:r w:rsidRPr="0049226B">
        <w:t>jako mał</w:t>
      </w:r>
      <w:r w:rsidR="005D242F">
        <w:t>a</w:t>
      </w:r>
      <w:r w:rsidRPr="0049226B">
        <w:t xml:space="preserve"> i niepowiązan</w:t>
      </w:r>
      <w:r w:rsidR="005D242F">
        <w:t>a</w:t>
      </w:r>
      <w:r w:rsidRPr="0049226B">
        <w:t xml:space="preserve"> wzajemnie firm</w:t>
      </w:r>
      <w:r w:rsidR="005D242F">
        <w:t>a</w:t>
      </w:r>
      <w:r w:rsidRPr="0049226B">
        <w:t xml:space="preserve"> inwestycyjn</w:t>
      </w:r>
      <w:r w:rsidR="005D242F">
        <w:t>a</w:t>
      </w:r>
      <w:r w:rsidRPr="0049226B">
        <w:t xml:space="preserve">, </w:t>
      </w:r>
      <w:r w:rsidR="005D242F">
        <w:t>o której mowa w</w:t>
      </w:r>
      <w:r w:rsidR="00804C7C">
        <w:t xml:space="preserve"> </w:t>
      </w:r>
      <w:r w:rsidRPr="0049226B">
        <w:t xml:space="preserve">art. 12 ust. 1 rozporządzenia </w:t>
      </w:r>
      <w:r w:rsidR="00182D8B">
        <w:t>2019/2033</w:t>
      </w:r>
      <w:r w:rsidR="00451F76">
        <w:t>.”,</w:t>
      </w:r>
    </w:p>
    <w:p w14:paraId="39870883" w14:textId="77777777" w:rsidR="0049226B" w:rsidRPr="0049226B" w:rsidRDefault="003E5110" w:rsidP="0049226B">
      <w:pPr>
        <w:pStyle w:val="LITlitera"/>
      </w:pPr>
      <w:r>
        <w:t>d)</w:t>
      </w:r>
      <w:r>
        <w:tab/>
      </w:r>
      <w:r w:rsidR="0049226B" w:rsidRPr="0049226B">
        <w:t>uchyla się</w:t>
      </w:r>
      <w:r w:rsidR="00285F7F" w:rsidRPr="00285F7F">
        <w:t xml:space="preserve"> </w:t>
      </w:r>
      <w:r w:rsidR="00285F7F" w:rsidRPr="0049226B">
        <w:t>ust. 3</w:t>
      </w:r>
      <w:r w:rsidR="00451F76">
        <w:t>,</w:t>
      </w:r>
    </w:p>
    <w:p w14:paraId="0C5E5306" w14:textId="77777777" w:rsidR="0049226B" w:rsidRPr="0049226B" w:rsidRDefault="003E5110" w:rsidP="0049226B">
      <w:pPr>
        <w:pStyle w:val="LITlitera"/>
      </w:pPr>
      <w:r>
        <w:t>e)</w:t>
      </w:r>
      <w:r>
        <w:tab/>
      </w:r>
      <w:r w:rsidR="0049226B" w:rsidRPr="0049226B">
        <w:t>ust. 5 otrzymuje brzmienie:</w:t>
      </w:r>
    </w:p>
    <w:p w14:paraId="19A3C0F5" w14:textId="5C458992" w:rsidR="0049226B" w:rsidRPr="0049226B" w:rsidRDefault="0049226B" w:rsidP="00BC2880">
      <w:pPr>
        <w:pStyle w:val="ZLITUSTzmustliter"/>
      </w:pPr>
      <w:r w:rsidRPr="0049226B">
        <w:t>„5.</w:t>
      </w:r>
      <w:r w:rsidR="003E5110">
        <w:t xml:space="preserve"> </w:t>
      </w:r>
      <w:r w:rsidRPr="0049226B">
        <w:t>Komisja zamieszcza na swojej stronie internetowej kryteria i metody stosowane w badaniu i ocenie nadzorczej domów maklerskich, a także informacje</w:t>
      </w:r>
      <w:r w:rsidR="00AE27A5">
        <w:t xml:space="preserve"> </w:t>
      </w:r>
      <w:r w:rsidR="008E2A4E">
        <w:t xml:space="preserve">jak domy maklerskie mają spełniać </w:t>
      </w:r>
      <w:r w:rsidRPr="0049226B">
        <w:t>wymog</w:t>
      </w:r>
      <w:r w:rsidR="008E2A4E">
        <w:t>i</w:t>
      </w:r>
      <w:r w:rsidRPr="0049226B">
        <w:t xml:space="preserve"> lub norm</w:t>
      </w:r>
      <w:r w:rsidR="008E2A4E">
        <w:t>y</w:t>
      </w:r>
      <w:r w:rsidRPr="0049226B">
        <w:t xml:space="preserve">, o których mowa w przepisach niniejszego oddziału lub rozporządzenia </w:t>
      </w:r>
      <w:r w:rsidR="00182D8B">
        <w:t>2019/2033</w:t>
      </w:r>
      <w:r w:rsidRPr="0049226B">
        <w:t>.”;</w:t>
      </w:r>
    </w:p>
    <w:p w14:paraId="3A2E3E30" w14:textId="2BEF6A64" w:rsidR="0049226B" w:rsidRPr="0049226B" w:rsidRDefault="006E6BE0" w:rsidP="0049226B">
      <w:pPr>
        <w:pStyle w:val="PKTpunkt"/>
      </w:pPr>
      <w:r>
        <w:t>29</w:t>
      </w:r>
      <w:r w:rsidR="0049226B" w:rsidRPr="0049226B">
        <w:t>)</w:t>
      </w:r>
      <w:r w:rsidR="003E5110">
        <w:tab/>
      </w:r>
      <w:r w:rsidR="0049226B" w:rsidRPr="0049226B">
        <w:t>uchyla się</w:t>
      </w:r>
      <w:r w:rsidR="00285F7F" w:rsidRPr="00285F7F">
        <w:t xml:space="preserve"> </w:t>
      </w:r>
      <w:r w:rsidR="00285F7F" w:rsidRPr="0049226B">
        <w:t>art. 110s i art. 110t</w:t>
      </w:r>
      <w:r w:rsidR="005D242F">
        <w:t xml:space="preserve">; </w:t>
      </w:r>
    </w:p>
    <w:p w14:paraId="1B148058" w14:textId="6BBD4077" w:rsidR="0049226B" w:rsidRPr="0049226B" w:rsidRDefault="006E6BE0" w:rsidP="0049226B">
      <w:pPr>
        <w:pStyle w:val="PKTpunkt"/>
      </w:pPr>
      <w:r>
        <w:t>30</w:t>
      </w:r>
      <w:r w:rsidR="003E5110">
        <w:t>)</w:t>
      </w:r>
      <w:r w:rsidR="003E5110">
        <w:tab/>
      </w:r>
      <w:r w:rsidR="0049226B" w:rsidRPr="0049226B">
        <w:t>w art. 110u ust. 1 otrzymuje brzmienie:</w:t>
      </w:r>
    </w:p>
    <w:p w14:paraId="7C8C7FB0" w14:textId="0F6567A9" w:rsidR="0049226B" w:rsidRPr="0049226B" w:rsidRDefault="003E5110" w:rsidP="00451F76">
      <w:pPr>
        <w:pStyle w:val="ZUSTzmustartykuempunktem"/>
      </w:pPr>
      <w:r>
        <w:t xml:space="preserve">„1. </w:t>
      </w:r>
      <w:r w:rsidR="0049226B" w:rsidRPr="0049226B">
        <w:t xml:space="preserve">W przypadku gdy dom maklerski stosuje do obliczania funduszy własnych metody, których zastosowanie wymaga zezwolenia Komisji zgodnie z art. 22 rozporządzenia </w:t>
      </w:r>
      <w:r w:rsidR="00182D8B">
        <w:t>2019/2033</w:t>
      </w:r>
      <w:r w:rsidR="0049226B" w:rsidRPr="0049226B">
        <w:t>, Komisja</w:t>
      </w:r>
      <w:r w:rsidR="005D242F">
        <w:t>, nie rzadziej niż</w:t>
      </w:r>
      <w:r w:rsidR="00804C7C">
        <w:t xml:space="preserve"> </w:t>
      </w:r>
      <w:r w:rsidR="0049226B" w:rsidRPr="0049226B">
        <w:t>raz na 3 lata</w:t>
      </w:r>
      <w:r w:rsidR="005D242F">
        <w:t>,</w:t>
      </w:r>
      <w:r w:rsidR="0049226B" w:rsidRPr="0049226B">
        <w:t xml:space="preserve"> weryfikuje </w:t>
      </w:r>
      <w:r w:rsidR="005D242F">
        <w:t>s</w:t>
      </w:r>
      <w:r w:rsidR="0049226B" w:rsidRPr="0049226B">
        <w:t>pełnianie przez dom maklerski warunków określonych dla uzyskania takiego zezwolenia.”;</w:t>
      </w:r>
    </w:p>
    <w:p w14:paraId="350B8D55" w14:textId="565EFA02" w:rsidR="00285F7F" w:rsidRPr="0049226B" w:rsidRDefault="006E6BE0" w:rsidP="00285F7F">
      <w:pPr>
        <w:pStyle w:val="PKTpunkt"/>
      </w:pPr>
      <w:r>
        <w:t>31</w:t>
      </w:r>
      <w:r w:rsidR="00285F7F">
        <w:t>)</w:t>
      </w:r>
      <w:r w:rsidR="00285F7F">
        <w:tab/>
      </w:r>
      <w:r w:rsidR="00285F7F" w:rsidRPr="0049226B">
        <w:t>w art. 110v:</w:t>
      </w:r>
    </w:p>
    <w:p w14:paraId="1739BC3D" w14:textId="77777777" w:rsidR="00285F7F" w:rsidRPr="0049226B" w:rsidRDefault="00285F7F" w:rsidP="00285F7F">
      <w:pPr>
        <w:pStyle w:val="LITlitera"/>
      </w:pPr>
      <w:r>
        <w:lastRenderedPageBreak/>
        <w:t>a)</w:t>
      </w:r>
      <w:r>
        <w:tab/>
      </w:r>
      <w:r w:rsidRPr="0049226B">
        <w:t xml:space="preserve">ust. 1 otrzymuje brzmienie: </w:t>
      </w:r>
    </w:p>
    <w:p w14:paraId="1CF73925" w14:textId="143FB25D" w:rsidR="00285F7F" w:rsidRPr="0049226B" w:rsidRDefault="00285F7F" w:rsidP="00285F7F">
      <w:pPr>
        <w:pStyle w:val="ZLITUSTzmustliter"/>
      </w:pPr>
      <w:r w:rsidRPr="0049226B">
        <w:t>„1. Dom maklerski sporządz</w:t>
      </w:r>
      <w:r w:rsidR="005D242F">
        <w:t>a</w:t>
      </w:r>
      <w:r w:rsidRPr="0049226B">
        <w:t xml:space="preserve"> i stos</w:t>
      </w:r>
      <w:r w:rsidR="005D242F">
        <w:t>uje</w:t>
      </w:r>
      <w:r w:rsidRPr="0049226B">
        <w:t xml:space="preserve"> politykę wynagrodzeń dla niektórych kategorii osób w domu maklerskim, obejmującą wynagrodzenia i uznaniowe świadczenia emerytalne, zwaną dalej </w:t>
      </w:r>
      <w:r w:rsidR="005E4020">
        <w:t>„</w:t>
      </w:r>
      <w:r w:rsidRPr="0049226B">
        <w:t>polityką wynagrodzeń</w:t>
      </w:r>
      <w:r w:rsidR="005E4020">
        <w:t>”</w:t>
      </w:r>
      <w:r w:rsidRPr="0049226B">
        <w:t>. Polityka wynagrodzeń w domu maklerskim jest polityką wynagrodze</w:t>
      </w:r>
      <w:r>
        <w:t>ń neutralną pod względem płci.”,</w:t>
      </w:r>
    </w:p>
    <w:p w14:paraId="5357F0C5" w14:textId="00BBAE55" w:rsidR="00285F7F" w:rsidRPr="0049226B" w:rsidRDefault="00285F7F" w:rsidP="00285F7F">
      <w:pPr>
        <w:pStyle w:val="LITlitera"/>
      </w:pPr>
      <w:r>
        <w:t>b)</w:t>
      </w:r>
      <w:r>
        <w:tab/>
      </w:r>
      <w:r w:rsidRPr="0049226B">
        <w:t>ust. 4 i 5 otrzymuj</w:t>
      </w:r>
      <w:r w:rsidR="005D242F">
        <w:t>ą</w:t>
      </w:r>
      <w:r w:rsidRPr="0049226B">
        <w:t xml:space="preserve"> brzmienie:</w:t>
      </w:r>
    </w:p>
    <w:p w14:paraId="6FBC9579" w14:textId="77777777" w:rsidR="00285F7F" w:rsidRPr="0049226B" w:rsidRDefault="00285F7F" w:rsidP="00285F7F">
      <w:pPr>
        <w:pStyle w:val="ZLITUSTzmustliter"/>
      </w:pPr>
      <w:r w:rsidRPr="0049226B">
        <w:t xml:space="preserve">„4. Komisja gromadzi i analizuje informacje publikowane przez domy maklerskie zgodnie z art. 51 akapit pierwszy lit. c i d rozporządzenia </w:t>
      </w:r>
      <w:r>
        <w:t>2019/2033</w:t>
      </w:r>
      <w:r w:rsidR="005D242F">
        <w:t>,</w:t>
      </w:r>
      <w:r w:rsidRPr="0049226B">
        <w:t xml:space="preserve"> a także informacje przekazywane przez domy maklerskie na temat zróżnicowania wynagrodzenia ze względu na płeć, w celu monitorowania tendencji i praktyk w zakresie polityki wynagrodzeń stosowanej przez domy maklerskie.</w:t>
      </w:r>
    </w:p>
    <w:p w14:paraId="30BF2FFB" w14:textId="3B1B9845" w:rsidR="00285F7F" w:rsidRPr="0049226B" w:rsidRDefault="00285F7F" w:rsidP="00285F7F">
      <w:pPr>
        <w:pStyle w:val="ZLITUSTzmustliter"/>
      </w:pPr>
      <w:r w:rsidRPr="0049226B">
        <w:t>5. Dom maklerski, w terminie do dnia 30 czerwca, przekazuje Komisji dane o liczbie osób określonych w ust. 1, których łączne wynagrodzenie w poprzednim roku wyniosło co najmniej</w:t>
      </w:r>
      <w:r>
        <w:t xml:space="preserve"> równowartość 1 000 </w:t>
      </w:r>
      <w:r w:rsidRPr="0049226B">
        <w:t>000 euro, wraz z informacjami dotyczącymi stanowisk zajmowanych przez te osoby i ich zakresu obowiązków oraz wartości głównych składników wynagrodzenia, przyznanych premii, nagród długookresowych oraz odprowadzonych składek emerytalnych</w:t>
      </w:r>
      <w:r>
        <w:t>.”,</w:t>
      </w:r>
    </w:p>
    <w:p w14:paraId="31A06EC0" w14:textId="77777777" w:rsidR="00285F7F" w:rsidRPr="0049226B" w:rsidRDefault="00285F7F" w:rsidP="00285F7F">
      <w:pPr>
        <w:pStyle w:val="LITlitera"/>
      </w:pPr>
      <w:r>
        <w:t>c)</w:t>
      </w:r>
      <w:r>
        <w:tab/>
      </w:r>
      <w:r w:rsidRPr="0049226B">
        <w:t>ust. 8 otrzymuje brzmienie:</w:t>
      </w:r>
    </w:p>
    <w:p w14:paraId="72C588EC" w14:textId="0CACDBE5" w:rsidR="00285F7F" w:rsidRPr="0049226B" w:rsidRDefault="00285F7F" w:rsidP="00285F7F">
      <w:pPr>
        <w:pStyle w:val="ZLITUSTzmustliter"/>
      </w:pPr>
      <w:r w:rsidRPr="0049226B">
        <w:t xml:space="preserve">„8. </w:t>
      </w:r>
      <w:r w:rsidRPr="00F70A2F">
        <w:t xml:space="preserve">Dom maklerski, którego średnia wartość aktywów bilansowych i pozabilansowych w czteroletnim okresie bezpośrednio poprzedzającym dany rok obrotowy jest wyższa niż równowartość 100 </w:t>
      </w:r>
      <w:r>
        <w:t>000 000</w:t>
      </w:r>
      <w:r w:rsidRPr="00F70A2F">
        <w:t xml:space="preserve"> </w:t>
      </w:r>
      <w:r>
        <w:t>euro</w:t>
      </w:r>
      <w:r w:rsidRPr="00F70A2F">
        <w:t xml:space="preserve">, </w:t>
      </w:r>
      <w:r w:rsidRPr="0049226B">
        <w:t xml:space="preserve">ustanawia </w:t>
      </w:r>
      <w:r w:rsidR="000753E3" w:rsidRPr="0049226B">
        <w:t xml:space="preserve">zrównoważony pod względem płci </w:t>
      </w:r>
      <w:r w:rsidRPr="0049226B">
        <w:t>komitet do spraw wynagrodzeń, w skład którego wchodzą członkowie rady nadzorczej domu maklerskiego.</w:t>
      </w:r>
      <w:r w:rsidR="00CE15D1" w:rsidRPr="00CE15D1">
        <w:t xml:space="preserve"> </w:t>
      </w:r>
      <w:r w:rsidR="00CE15D1" w:rsidRPr="00846898">
        <w:t>Komitet do spraw wynagrodzeń może być ustanawiany na poziomie grupy.</w:t>
      </w:r>
      <w:r w:rsidR="00CE15D1" w:rsidRPr="0049226B">
        <w:t>”</w:t>
      </w:r>
      <w:r w:rsidR="00CE15D1">
        <w:t>,</w:t>
      </w:r>
    </w:p>
    <w:p w14:paraId="1F22C963" w14:textId="5E7C97DD" w:rsidR="00285F7F" w:rsidRPr="0049226B" w:rsidRDefault="00285F7F" w:rsidP="00285F7F">
      <w:pPr>
        <w:pStyle w:val="LITlitera"/>
      </w:pPr>
      <w:r>
        <w:t>d)</w:t>
      </w:r>
      <w:r>
        <w:tab/>
      </w:r>
      <w:r w:rsidRPr="0049226B">
        <w:t>dodaje się ust. 9 w brzmieniu:</w:t>
      </w:r>
    </w:p>
    <w:p w14:paraId="149493FD" w14:textId="476271F3" w:rsidR="00BB5BA3" w:rsidRDefault="00285F7F" w:rsidP="005F197F">
      <w:pPr>
        <w:pStyle w:val="ZLITUSTzmustliter"/>
      </w:pPr>
      <w:r w:rsidRPr="0049226B">
        <w:t xml:space="preserve">„9. </w:t>
      </w:r>
      <w:r w:rsidR="000753E3">
        <w:t>K</w:t>
      </w:r>
      <w:r w:rsidRPr="0049226B">
        <w:t xml:space="preserve">omitet do spraw wynagrodzeń wspiera </w:t>
      </w:r>
      <w:r w:rsidR="000753E3" w:rsidRPr="0049226B">
        <w:t xml:space="preserve">zarząd domu maklerskiego </w:t>
      </w:r>
      <w:r w:rsidRPr="0049226B">
        <w:t>w przygotowaniu decyzji dotyczących wynagrodzeń zgodnie z polityką wynagrodzeń</w:t>
      </w:r>
      <w:r w:rsidR="000753E3">
        <w:t>,</w:t>
      </w:r>
      <w:r w:rsidR="00AE27A5">
        <w:t xml:space="preserve"> </w:t>
      </w:r>
      <w:r w:rsidR="000753E3">
        <w:t xml:space="preserve">biorąc </w:t>
      </w:r>
      <w:r w:rsidRPr="0049226B">
        <w:t>pod uwagę interes publiczny oraz długoterminowe interesy akcjonariuszy, udziałowców lub inwestorów domu maklerskiego oraz innych zainteresowanych stron związanych z domem.”;</w:t>
      </w:r>
    </w:p>
    <w:p w14:paraId="22FE0D28" w14:textId="14AA0468" w:rsidR="0049226B" w:rsidRPr="0049226B" w:rsidRDefault="006E6BE0" w:rsidP="0049226B">
      <w:pPr>
        <w:pStyle w:val="PKTpunkt"/>
      </w:pPr>
      <w:r>
        <w:t>32</w:t>
      </w:r>
      <w:r w:rsidR="0049226B" w:rsidRPr="0049226B">
        <w:t>)</w:t>
      </w:r>
      <w:r w:rsidR="003E5110">
        <w:tab/>
      </w:r>
      <w:r w:rsidR="0049226B" w:rsidRPr="0049226B">
        <w:t>w art. 110w:</w:t>
      </w:r>
    </w:p>
    <w:p w14:paraId="074B6C82" w14:textId="77777777" w:rsidR="0049226B" w:rsidRPr="0049226B" w:rsidRDefault="0049226B" w:rsidP="0049226B">
      <w:pPr>
        <w:pStyle w:val="LITlitera"/>
      </w:pPr>
      <w:r w:rsidRPr="0049226B">
        <w:t>a)</w:t>
      </w:r>
      <w:r w:rsidR="003E5110">
        <w:tab/>
      </w:r>
      <w:r w:rsidRPr="0049226B">
        <w:t>ust. 1 otrzymuje brzmienie:</w:t>
      </w:r>
    </w:p>
    <w:p w14:paraId="738E7ACF" w14:textId="5D8397C9" w:rsidR="0049226B" w:rsidRPr="0049226B" w:rsidRDefault="003E5110" w:rsidP="00BC2880">
      <w:pPr>
        <w:pStyle w:val="ZLITUSTzmustliter"/>
      </w:pPr>
      <w:r>
        <w:lastRenderedPageBreak/>
        <w:t xml:space="preserve">„1. </w:t>
      </w:r>
      <w:r w:rsidR="0049226B" w:rsidRPr="0049226B">
        <w:t>Dom maklerski</w:t>
      </w:r>
      <w:r w:rsidR="00E91E2A">
        <w:t xml:space="preserve"> posiadający </w:t>
      </w:r>
      <w:r w:rsidR="0049226B" w:rsidRPr="0049226B">
        <w:t>oddział lub podmiot zależny będący instytucją finansową w rozumieniu art. 4 ust. 1 pkt 26 rozporządzenia 575/2013 w innym państwie członkowskim lub w państwie trzecim podaje w sprawozdaniu z działalności jednostki, o którym mowa w ustawie z dnia 29 września 1994 r. o rachunkowości, w podziale na państwa członkowskie i państwa trzecie, dodatkowo:</w:t>
      </w:r>
    </w:p>
    <w:p w14:paraId="3C0A5142" w14:textId="1D24FD24" w:rsidR="0049226B" w:rsidRPr="0049226B" w:rsidRDefault="0049226B" w:rsidP="00494049">
      <w:pPr>
        <w:pStyle w:val="ZLITPKTzmpktliter"/>
      </w:pPr>
      <w:r w:rsidRPr="0049226B">
        <w:t>1)</w:t>
      </w:r>
      <w:r w:rsidRPr="0049226B">
        <w:tab/>
        <w:t>nazwę, charakter działalności i lokalizację geograficzną działalności każdego podmiotu zależnego i każdego oddziału;</w:t>
      </w:r>
    </w:p>
    <w:p w14:paraId="72DC26C4" w14:textId="2F101EA1" w:rsidR="0049226B" w:rsidRPr="0049226B" w:rsidRDefault="0049226B" w:rsidP="00494049">
      <w:pPr>
        <w:pStyle w:val="ZLITPKTzmpktliter"/>
      </w:pPr>
      <w:r w:rsidRPr="0049226B">
        <w:t>2)</w:t>
      </w:r>
      <w:r w:rsidRPr="0049226B">
        <w:tab/>
        <w:t>przychody w danym roku wykazane w sprawozdaniu finansowym;</w:t>
      </w:r>
    </w:p>
    <w:p w14:paraId="02C82C96" w14:textId="1873C415" w:rsidR="0049226B" w:rsidRPr="0049226B" w:rsidRDefault="0049226B" w:rsidP="00494049">
      <w:pPr>
        <w:pStyle w:val="ZLITPKTzmpktliter"/>
      </w:pPr>
      <w:r w:rsidRPr="0049226B">
        <w:t>3)</w:t>
      </w:r>
      <w:r w:rsidRPr="0049226B">
        <w:tab/>
        <w:t>liczbę pracowników w przeliczeniu na pełne etaty;</w:t>
      </w:r>
    </w:p>
    <w:p w14:paraId="546321E0" w14:textId="2C3618F2" w:rsidR="0049226B" w:rsidRPr="0049226B" w:rsidRDefault="0049226B" w:rsidP="00494049">
      <w:pPr>
        <w:pStyle w:val="ZLITPKTzmpktliter"/>
      </w:pPr>
      <w:r w:rsidRPr="0049226B">
        <w:t>4)</w:t>
      </w:r>
      <w:r w:rsidRPr="0049226B">
        <w:tab/>
        <w:t>zysk lub stratę przed opodatkowaniem;</w:t>
      </w:r>
    </w:p>
    <w:p w14:paraId="7A176EBB" w14:textId="3267C20C" w:rsidR="0049226B" w:rsidRPr="0049226B" w:rsidRDefault="0049226B" w:rsidP="00494049">
      <w:pPr>
        <w:pStyle w:val="ZLITPKTzmpktliter"/>
      </w:pPr>
      <w:r w:rsidRPr="0049226B">
        <w:t>5)</w:t>
      </w:r>
      <w:r w:rsidR="003E5110">
        <w:tab/>
      </w:r>
      <w:r w:rsidRPr="00375CF3">
        <w:t>podatek dochodowy;</w:t>
      </w:r>
    </w:p>
    <w:p w14:paraId="70000367" w14:textId="518C20CC" w:rsidR="0049226B" w:rsidRPr="0049226B" w:rsidRDefault="0049226B" w:rsidP="00494049">
      <w:pPr>
        <w:pStyle w:val="ZLITPKTzmpktliter"/>
      </w:pPr>
      <w:r w:rsidRPr="0049226B">
        <w:t>6)</w:t>
      </w:r>
      <w:r w:rsidR="003E5110">
        <w:tab/>
      </w:r>
      <w:r w:rsidRPr="0049226B">
        <w:t>otrzymane finansowe wsparcie pochodzące ze środków publicznych, w szczególności na podstawie ustawy z dnia 12 lutego 2009 r. o udzielaniu przez Skarb Państwa wsparcia instytucjom finansowym</w:t>
      </w:r>
      <w:r w:rsidR="00451F76">
        <w:t xml:space="preserve"> (Dz. U. z 2016 r. poz. 1436).”,</w:t>
      </w:r>
    </w:p>
    <w:p w14:paraId="4B8F6FD7" w14:textId="77777777" w:rsidR="0049226B" w:rsidRPr="0049226B" w:rsidRDefault="003E5110" w:rsidP="0049226B">
      <w:pPr>
        <w:pStyle w:val="LITlitera"/>
      </w:pPr>
      <w:r>
        <w:t>b)</w:t>
      </w:r>
      <w:r>
        <w:tab/>
      </w:r>
      <w:r w:rsidR="00451F76">
        <w:t>uchyla się</w:t>
      </w:r>
      <w:r w:rsidR="00285F7F" w:rsidRPr="00285F7F">
        <w:t xml:space="preserve"> </w:t>
      </w:r>
      <w:r w:rsidR="00285F7F">
        <w:t>ust. 2</w:t>
      </w:r>
      <w:r w:rsidR="00451F76">
        <w:t>,</w:t>
      </w:r>
    </w:p>
    <w:p w14:paraId="58C27AD3" w14:textId="77777777" w:rsidR="0049226B" w:rsidRPr="0049226B" w:rsidRDefault="003E5110" w:rsidP="0049226B">
      <w:pPr>
        <w:pStyle w:val="LITlitera"/>
      </w:pPr>
      <w:r>
        <w:t>c)</w:t>
      </w:r>
      <w:r>
        <w:tab/>
      </w:r>
      <w:r w:rsidR="0049226B" w:rsidRPr="0049226B">
        <w:t>ust. 3 otrzymuje brzmienie:</w:t>
      </w:r>
    </w:p>
    <w:p w14:paraId="37EEC3D3" w14:textId="77777777" w:rsidR="0049226B" w:rsidRPr="0049226B" w:rsidRDefault="003E5110" w:rsidP="00BC2880">
      <w:pPr>
        <w:pStyle w:val="ZLITUSTzmustliter"/>
      </w:pPr>
      <w:r>
        <w:t xml:space="preserve">„3. </w:t>
      </w:r>
      <w:r w:rsidR="0049226B" w:rsidRPr="0049226B">
        <w:t>Informacje, o których mowa w ust. 1, podlegają badaniu przez biegłego rewidenta.”</w:t>
      </w:r>
      <w:r w:rsidR="00451F76">
        <w:t>,</w:t>
      </w:r>
    </w:p>
    <w:p w14:paraId="5DDB40F4" w14:textId="1C62F43B" w:rsidR="0049226B" w:rsidRPr="0049226B" w:rsidRDefault="003E5110" w:rsidP="00BC2880">
      <w:pPr>
        <w:pStyle w:val="LITlitera"/>
      </w:pPr>
      <w:r>
        <w:t>d)</w:t>
      </w:r>
      <w:r>
        <w:tab/>
      </w:r>
      <w:r w:rsidR="0049226B" w:rsidRPr="0049226B">
        <w:t>ust. 6 i 7 otrzymuj</w:t>
      </w:r>
      <w:r w:rsidR="00857226">
        <w:t xml:space="preserve">ą </w:t>
      </w:r>
      <w:r w:rsidR="0049226B" w:rsidRPr="0049226B">
        <w:t>brzmienie</w:t>
      </w:r>
      <w:r w:rsidR="00BC2880">
        <w:t>:</w:t>
      </w:r>
    </w:p>
    <w:p w14:paraId="3F57BF89" w14:textId="6ACB9C50" w:rsidR="0049226B" w:rsidRPr="0049226B" w:rsidRDefault="003E5110" w:rsidP="00BC2880">
      <w:pPr>
        <w:pStyle w:val="ZLITUSTzmustliter"/>
      </w:pPr>
      <w:r>
        <w:t xml:space="preserve">„6. </w:t>
      </w:r>
      <w:r w:rsidR="0049226B" w:rsidRPr="0049226B">
        <w:t xml:space="preserve">Komisja może, w drodze decyzji, </w:t>
      </w:r>
      <w:r w:rsidR="00857226">
        <w:t xml:space="preserve">nakazać </w:t>
      </w:r>
      <w:r w:rsidR="0049226B" w:rsidRPr="0049226B">
        <w:t xml:space="preserve">domowi maklerskiemu lub domowi maklerskiemu, o którym mowa w art. 46 ust. 2 rozporządzenia </w:t>
      </w:r>
      <w:r w:rsidR="00182D8B">
        <w:t>2019/2033</w:t>
      </w:r>
      <w:r w:rsidR="0049226B" w:rsidRPr="0049226B">
        <w:t>, ogłaszanie:</w:t>
      </w:r>
    </w:p>
    <w:p w14:paraId="245BBE04" w14:textId="07D3152B" w:rsidR="0049226B" w:rsidRPr="0049226B" w:rsidRDefault="003E5110" w:rsidP="00494049">
      <w:pPr>
        <w:pStyle w:val="ZLITPKTzmpktliter"/>
      </w:pPr>
      <w:r>
        <w:t>1)</w:t>
      </w:r>
      <w:r>
        <w:tab/>
      </w:r>
      <w:r w:rsidR="0049226B" w:rsidRPr="0049226B">
        <w:t xml:space="preserve">częściej niż raz do roku informacji, o których mowa w art. 46 rozporządzenia </w:t>
      </w:r>
      <w:r w:rsidR="00182D8B">
        <w:t>2019/2033</w:t>
      </w:r>
      <w:r w:rsidR="0049226B" w:rsidRPr="0049226B">
        <w:t>, wraz z określeniem terminów ich ogłaszania;</w:t>
      </w:r>
    </w:p>
    <w:p w14:paraId="6E9571B9" w14:textId="47DFCB0B" w:rsidR="0049226B" w:rsidRPr="0049226B" w:rsidRDefault="0049226B" w:rsidP="00494049">
      <w:pPr>
        <w:pStyle w:val="ZLITPKTzmpktliter"/>
      </w:pPr>
      <w:r w:rsidRPr="0049226B">
        <w:t>2)</w:t>
      </w:r>
      <w:r w:rsidR="00DA78F4">
        <w:tab/>
      </w:r>
      <w:r w:rsidRPr="0049226B">
        <w:t xml:space="preserve">w sposób określony przez Komisję </w:t>
      </w:r>
      <w:r w:rsidR="00920AB7" w:rsidRPr="0049226B">
        <w:t>–</w:t>
      </w:r>
      <w:r w:rsidRPr="0049226B">
        <w:t xml:space="preserve"> informacji innych niż zamieszczone w sprawozdaniu finansowym.</w:t>
      </w:r>
    </w:p>
    <w:p w14:paraId="7638B0FA" w14:textId="40888F42" w:rsidR="0049226B" w:rsidRPr="0049226B" w:rsidRDefault="003E5110" w:rsidP="00BC2880">
      <w:pPr>
        <w:pStyle w:val="ZLITUSTzmustliter"/>
      </w:pPr>
      <w:r>
        <w:t xml:space="preserve">7. </w:t>
      </w:r>
      <w:r w:rsidR="0049226B" w:rsidRPr="0049226B">
        <w:t>Komisja może, w drodze decyzji, nakazać podmiotowi dominującemu wobec domu maklerskiego coroczne ogłaszanie</w:t>
      </w:r>
      <w:r w:rsidR="002E1DFC">
        <w:t>,</w:t>
      </w:r>
      <w:r w:rsidR="0049226B" w:rsidRPr="0049226B">
        <w:t xml:space="preserve"> w pełnym zakresie lub przez zamieszczenie odesłań do odpowiednich dostępnych publicznie dokumentów, informacji w zakresie opisu formy prawnej tego podmiotu oraz struktury zarządzania i struktury organizacyjnej grupy kapitałowej.”;</w:t>
      </w:r>
    </w:p>
    <w:p w14:paraId="77EA60E0" w14:textId="64701E72" w:rsidR="0049226B" w:rsidRPr="0049226B" w:rsidRDefault="006E6BE0" w:rsidP="00751C01">
      <w:pPr>
        <w:pStyle w:val="PKTpunkt"/>
      </w:pPr>
      <w:r w:rsidRPr="0049226B">
        <w:t>3</w:t>
      </w:r>
      <w:r>
        <w:t>3</w:t>
      </w:r>
      <w:r w:rsidR="0049226B" w:rsidRPr="0049226B">
        <w:t>)</w:t>
      </w:r>
      <w:r w:rsidR="003E5110">
        <w:tab/>
      </w:r>
      <w:r w:rsidR="0049226B" w:rsidRPr="0049226B">
        <w:t>w art. 110y:</w:t>
      </w:r>
    </w:p>
    <w:p w14:paraId="75936D87" w14:textId="77777777" w:rsidR="002E1DFC" w:rsidRDefault="0049226B" w:rsidP="00751C01">
      <w:pPr>
        <w:pStyle w:val="LITlitera"/>
      </w:pPr>
      <w:r w:rsidRPr="0049226B">
        <w:lastRenderedPageBreak/>
        <w:t>a)</w:t>
      </w:r>
      <w:r w:rsidR="003E5110">
        <w:tab/>
      </w:r>
      <w:r w:rsidR="002E1DFC">
        <w:t xml:space="preserve">w </w:t>
      </w:r>
      <w:r w:rsidRPr="0049226B">
        <w:t>ust. 1</w:t>
      </w:r>
      <w:r w:rsidR="002E1DFC">
        <w:t xml:space="preserve">: </w:t>
      </w:r>
    </w:p>
    <w:p w14:paraId="33DDD37F" w14:textId="11237529" w:rsidR="0049226B" w:rsidRPr="0049226B" w:rsidRDefault="00AE27A5" w:rsidP="00804C7C">
      <w:pPr>
        <w:pStyle w:val="TIRtiret"/>
      </w:pPr>
      <w:r>
        <w:t>–</w:t>
      </w:r>
      <w:r w:rsidR="00804C7C">
        <w:tab/>
      </w:r>
      <w:r w:rsidR="002E1DFC">
        <w:t>wprowadzenie do wyliczenia</w:t>
      </w:r>
      <w:r w:rsidR="0049226B" w:rsidRPr="0049226B">
        <w:t xml:space="preserve"> otrzymuje brzmienie:</w:t>
      </w:r>
    </w:p>
    <w:p w14:paraId="600787ED" w14:textId="728EB780" w:rsidR="0049226B" w:rsidRDefault="0049226B" w:rsidP="00804C7C">
      <w:pPr>
        <w:pStyle w:val="ZTIRUSTzmusttiret"/>
      </w:pPr>
      <w:r w:rsidRPr="0049226B">
        <w:t xml:space="preserve">„W przypadku naruszenia przez dom maklerski przepisów niniejszego oddziału lub rozporządzenia </w:t>
      </w:r>
      <w:r w:rsidR="00182D8B">
        <w:t>2019/2033</w:t>
      </w:r>
      <w:r w:rsidRPr="0049226B">
        <w:t xml:space="preserve"> oraz gdy zachodzi uzasadnione prawdopodobieństwo </w:t>
      </w:r>
      <w:r w:rsidR="002E1DFC">
        <w:t xml:space="preserve">ich </w:t>
      </w:r>
      <w:r w:rsidRPr="0049226B">
        <w:t>naruszenia przez dom maklerski w okresie kolejnych 12 miesięcy, Komisja może, w drodze decyzji:</w:t>
      </w:r>
      <w:r w:rsidR="002E1DFC">
        <w:t>",</w:t>
      </w:r>
    </w:p>
    <w:p w14:paraId="1BF6724E" w14:textId="3B82B64B" w:rsidR="002E1DFC" w:rsidRPr="0049226B" w:rsidRDefault="00AE27A5" w:rsidP="00804C7C">
      <w:pPr>
        <w:pStyle w:val="TIRtiret"/>
      </w:pPr>
      <w:r>
        <w:t>–</w:t>
      </w:r>
      <w:r w:rsidR="00804C7C">
        <w:tab/>
      </w:r>
      <w:r w:rsidR="001C3F7B">
        <w:t>pkt 1</w:t>
      </w:r>
      <w:r w:rsidR="00E02CF4">
        <w:t>–</w:t>
      </w:r>
      <w:r w:rsidR="001C3F7B">
        <w:t>6 otrzymują brzmienie:</w:t>
      </w:r>
    </w:p>
    <w:p w14:paraId="588BE0B1" w14:textId="649CA241" w:rsidR="0049226B" w:rsidRPr="0049226B" w:rsidRDefault="001C3F7B" w:rsidP="00804C7C">
      <w:pPr>
        <w:pStyle w:val="ZTIRPKTzmpkttiret"/>
      </w:pPr>
      <w:r w:rsidRPr="0049226B">
        <w:t>„</w:t>
      </w:r>
      <w:r w:rsidR="0049226B" w:rsidRPr="0049226B">
        <w:t>1)</w:t>
      </w:r>
      <w:r w:rsidR="00285F7F">
        <w:tab/>
      </w:r>
      <w:r w:rsidR="0049226B" w:rsidRPr="0049226B">
        <w:t>nakazać zmianę stosowanych rozwiązań, procedur, mechanizmów i strategii w zakresie systemu zarządzania ryzykiem oraz szacowania i utrzymywania kapitału wewnętrznego i aktywów płynnych;</w:t>
      </w:r>
    </w:p>
    <w:p w14:paraId="0937D5A6" w14:textId="4F29AB9A" w:rsidR="0049226B" w:rsidRPr="0049226B" w:rsidRDefault="0049226B" w:rsidP="00804C7C">
      <w:pPr>
        <w:pStyle w:val="ZTIRPKTzmpkttiret"/>
      </w:pPr>
      <w:r w:rsidRPr="0049226B">
        <w:t>2)</w:t>
      </w:r>
      <w:r w:rsidRPr="0049226B">
        <w:tab/>
        <w:t xml:space="preserve">nakazać sporządzenie </w:t>
      </w:r>
      <w:r w:rsidR="00D43947">
        <w:t xml:space="preserve">w ciągu 12 miesięcy </w:t>
      </w:r>
      <w:r w:rsidRPr="0049226B">
        <w:t>planu przywrócenia stanu zgodnego z przepisami prawa; w decyzji tej Komisja może wskazać termin realizacji tego planu;</w:t>
      </w:r>
    </w:p>
    <w:p w14:paraId="3E0BF1A2" w14:textId="0CA91B06" w:rsidR="0049226B" w:rsidRPr="0049226B" w:rsidRDefault="0049226B" w:rsidP="00804C7C">
      <w:pPr>
        <w:pStyle w:val="ZTIRPKTzmpkttiret"/>
      </w:pPr>
      <w:r w:rsidRPr="0049226B">
        <w:t>3)</w:t>
      </w:r>
      <w:r w:rsidRPr="0049226B">
        <w:tab/>
        <w:t>nakazać zastosowanie szczególnych zasad polityki w zakresie wyceny aktywów lub szczególnego kwalifikowania aktywów w zakresie wymogów dotyczących funduszy własnych;</w:t>
      </w:r>
    </w:p>
    <w:p w14:paraId="6B41B3C2" w14:textId="4E7E741E" w:rsidR="0049226B" w:rsidRPr="0049226B" w:rsidRDefault="0049226B" w:rsidP="00804C7C">
      <w:pPr>
        <w:pStyle w:val="ZTIRPKTzmpkttiret"/>
      </w:pPr>
      <w:r w:rsidRPr="0049226B">
        <w:t>4)</w:t>
      </w:r>
      <w:r w:rsidRPr="0049226B">
        <w:tab/>
        <w:t>nakazać ograniczenie zakresu prowadzonej przez dom maklerski działalności, w tym nakazać domowi maklerskiemu zbycie zorganizowanej części przedsiębiorstwa, która stanowi zagrożenie dla stabilności finansowej domu maklerskiego;</w:t>
      </w:r>
    </w:p>
    <w:p w14:paraId="529A067F" w14:textId="643992EA" w:rsidR="0049226B" w:rsidRPr="0049226B" w:rsidRDefault="0049226B" w:rsidP="00804C7C">
      <w:pPr>
        <w:pStyle w:val="ZTIRPKTzmpkttiret"/>
      </w:pPr>
      <w:r w:rsidRPr="0049226B">
        <w:t>5)</w:t>
      </w:r>
      <w:r w:rsidR="00285F7F">
        <w:tab/>
      </w:r>
      <w:r w:rsidRPr="0049226B">
        <w:t>nakazać ograniczenie ryzyka w prowadzonej działalności</w:t>
      </w:r>
      <w:r w:rsidR="00C5216C">
        <w:t>,</w:t>
      </w:r>
      <w:r w:rsidRPr="0049226B">
        <w:t xml:space="preserve"> </w:t>
      </w:r>
      <w:r w:rsidR="00C5216C">
        <w:t>w tym ryzyka powierzenia wykonywania czynności, o których mowa w art. 2 pkt 3 rozporządzenia 2017/565</w:t>
      </w:r>
      <w:r w:rsidRPr="0049226B">
        <w:t>;</w:t>
      </w:r>
    </w:p>
    <w:p w14:paraId="79F81B10" w14:textId="1F5BA4CB" w:rsidR="0049226B" w:rsidRPr="0049226B" w:rsidRDefault="0049226B" w:rsidP="00804C7C">
      <w:pPr>
        <w:pStyle w:val="ZTIRPKTzmpkttiret"/>
      </w:pPr>
      <w:r w:rsidRPr="0049226B">
        <w:t>6)</w:t>
      </w:r>
      <w:r w:rsidRPr="0049226B">
        <w:tab/>
        <w:t xml:space="preserve">nakazać ograniczenie wysokości zmiennego składnika wynagrodzenia, jako wyznaczonego procentu </w:t>
      </w:r>
      <w:r w:rsidR="008446E2">
        <w:t>przychodu netto</w:t>
      </w:r>
      <w:r w:rsidR="008446E2" w:rsidRPr="0049226B">
        <w:t xml:space="preserve"> </w:t>
      </w:r>
      <w:r w:rsidRPr="0049226B">
        <w:t>domu maklerskiego, w przypadku gdy jego utrzymanie w tej wysokości zagraża spełnianiu wymogów adekwatności kapitałowej;</w:t>
      </w:r>
      <w:r w:rsidR="001C3F7B">
        <w:t>”,</w:t>
      </w:r>
    </w:p>
    <w:p w14:paraId="4B9FE221" w14:textId="4D6D5AF9" w:rsidR="002F358A" w:rsidRDefault="00AE27A5" w:rsidP="00804C7C">
      <w:pPr>
        <w:pStyle w:val="TIRtiret"/>
      </w:pPr>
      <w:r>
        <w:t>–</w:t>
      </w:r>
      <w:r w:rsidR="00804C7C">
        <w:tab/>
      </w:r>
      <w:r w:rsidR="002F358A">
        <w:t>pkt 8 otrzymuje brzmienie:</w:t>
      </w:r>
    </w:p>
    <w:p w14:paraId="4FB2F93C" w14:textId="5835B488" w:rsidR="0049226B" w:rsidRPr="0049226B" w:rsidRDefault="002F358A" w:rsidP="00804C7C">
      <w:pPr>
        <w:pStyle w:val="ZTIRPKTzmpkttiret"/>
      </w:pPr>
      <w:r w:rsidRPr="0049226B">
        <w:t>„</w:t>
      </w:r>
      <w:r w:rsidR="0049226B" w:rsidRPr="0049226B">
        <w:t>8)</w:t>
      </w:r>
      <w:r w:rsidR="0049226B" w:rsidRPr="0049226B">
        <w:tab/>
        <w:t xml:space="preserve">ograniczyć wypłatę zysków lub zakazać wypłaty zysków akcjonariuszom, udziałowcom lub posiadaczom instrumentów dodatkowych zaliczonych zgodnie z przepisami części drugiej tytułu pierwszego rozdziału 3 rozporządzenia 575/2013 do kapitału dodatkowego Tier I domu </w:t>
      </w:r>
      <w:r w:rsidR="0049226B" w:rsidRPr="0049226B">
        <w:lastRenderedPageBreak/>
        <w:t>maklerskiego, w przypadku gdy takie ograniczenie lub taki zakaz nie stanowi niewykonania zobowiązania przez dom maklerski;</w:t>
      </w:r>
      <w:r>
        <w:t>”,</w:t>
      </w:r>
    </w:p>
    <w:p w14:paraId="2B61A603" w14:textId="0870533B" w:rsidR="00493228" w:rsidRPr="0049226B" w:rsidRDefault="00AE27A5" w:rsidP="00804C7C">
      <w:pPr>
        <w:pStyle w:val="TIRtiret"/>
      </w:pPr>
      <w:r>
        <w:t>–</w:t>
      </w:r>
      <w:r w:rsidR="00804C7C">
        <w:tab/>
      </w:r>
      <w:r w:rsidR="00493228">
        <w:t>po pkt 9 dodaje się pkt 10</w:t>
      </w:r>
      <w:r w:rsidR="00E02CF4">
        <w:t xml:space="preserve"> i </w:t>
      </w:r>
      <w:r w:rsidR="00493228">
        <w:t>11 w brzmieniu:</w:t>
      </w:r>
    </w:p>
    <w:p w14:paraId="5C2A7D42" w14:textId="69AABA1D" w:rsidR="0049226B" w:rsidRPr="0049226B" w:rsidRDefault="00493228" w:rsidP="00804C7C">
      <w:pPr>
        <w:pStyle w:val="ZTIRPKTzmpkttiret"/>
      </w:pPr>
      <w:r w:rsidRPr="0049226B">
        <w:t>„</w:t>
      </w:r>
      <w:r w:rsidR="003E5110">
        <w:t>10)</w:t>
      </w:r>
      <w:r w:rsidR="00285F7F">
        <w:tab/>
      </w:r>
      <w:r w:rsidR="0049226B" w:rsidRPr="0049226B">
        <w:t xml:space="preserve">nałożyć dodatkowe obowiązki sprawozdawcze lub zwiększyć częstotliwość sprawozdawczości w stosunku do obowiązków określonych w rozporządzeniu </w:t>
      </w:r>
      <w:r w:rsidR="00182D8B">
        <w:t>2019/2033</w:t>
      </w:r>
      <w:r w:rsidR="0049226B" w:rsidRPr="0049226B">
        <w:t>, w tym w zakresie sprawozdawczości dotyczącej pozycji kapitałowej i płynności</w:t>
      </w:r>
      <w:r w:rsidR="00355FE1">
        <w:t xml:space="preserve">, gdy jest to </w:t>
      </w:r>
      <w:r w:rsidR="00355FE1" w:rsidRPr="0049226B">
        <w:t>niezbędne dla celów sprawowanego nadzoru</w:t>
      </w:r>
      <w:r w:rsidR="00355FE1">
        <w:t xml:space="preserve"> i nie prowadzi do przekazywania</w:t>
      </w:r>
      <w:r w:rsidR="00AE27A5">
        <w:t xml:space="preserve"> </w:t>
      </w:r>
      <w:r w:rsidR="00355FE1">
        <w:t>danych</w:t>
      </w:r>
      <w:r w:rsidR="00AE27A5">
        <w:t xml:space="preserve"> </w:t>
      </w:r>
      <w:r w:rsidR="00355FE1">
        <w:t>tożsamych z danymi przekazywa</w:t>
      </w:r>
      <w:r>
        <w:t>nymi</w:t>
      </w:r>
      <w:r w:rsidR="00355FE1">
        <w:t xml:space="preserve"> na podstawie tego </w:t>
      </w:r>
      <w:r>
        <w:t>rozporządzenia</w:t>
      </w:r>
      <w:r w:rsidR="0049226B" w:rsidRPr="0049226B">
        <w:t>;</w:t>
      </w:r>
    </w:p>
    <w:p w14:paraId="65142158" w14:textId="7B1A07D0" w:rsidR="0049226B" w:rsidRPr="0049226B" w:rsidRDefault="0049226B" w:rsidP="00804C7C">
      <w:pPr>
        <w:pStyle w:val="ZTIRPKTzmpkttiret"/>
      </w:pPr>
      <w:r w:rsidRPr="0049226B">
        <w:t>11)</w:t>
      </w:r>
      <w:r w:rsidR="00285F7F">
        <w:tab/>
      </w:r>
      <w:r w:rsidRPr="0049226B">
        <w:t xml:space="preserve">nakazać ograniczenie ryzyka, na jakie </w:t>
      </w:r>
      <w:r w:rsidR="002E1DFC">
        <w:t xml:space="preserve">jest </w:t>
      </w:r>
      <w:r w:rsidRPr="0049226B">
        <w:t>narażone bezpieczeństwo sieci i systemów informacyjnych domu maklerskiego</w:t>
      </w:r>
      <w:r w:rsidR="00451F76">
        <w:t>.”,</w:t>
      </w:r>
    </w:p>
    <w:p w14:paraId="50501B0A" w14:textId="77777777" w:rsidR="0049226B" w:rsidRPr="0049226B" w:rsidRDefault="003E5110" w:rsidP="00751C01">
      <w:pPr>
        <w:pStyle w:val="LITlitera"/>
      </w:pPr>
      <w:r>
        <w:t>b)</w:t>
      </w:r>
      <w:r>
        <w:tab/>
      </w:r>
      <w:r w:rsidR="00451F76">
        <w:t>uchyla się</w:t>
      </w:r>
      <w:r w:rsidR="00285F7F" w:rsidRPr="00285F7F">
        <w:t xml:space="preserve"> </w:t>
      </w:r>
      <w:r w:rsidR="00285F7F">
        <w:t>ust. 2</w:t>
      </w:r>
      <w:r w:rsidR="00451F76">
        <w:t>,</w:t>
      </w:r>
    </w:p>
    <w:p w14:paraId="3828AC64" w14:textId="3E8466C4" w:rsidR="0049226B" w:rsidRPr="0049226B" w:rsidRDefault="00355FE1" w:rsidP="00751C01">
      <w:pPr>
        <w:pStyle w:val="LITlitera"/>
      </w:pPr>
      <w:r>
        <w:t>c</w:t>
      </w:r>
      <w:r w:rsidR="003E5110">
        <w:t>)</w:t>
      </w:r>
      <w:r w:rsidR="003E5110">
        <w:tab/>
      </w:r>
      <w:r w:rsidR="0049226B" w:rsidRPr="0049226B">
        <w:t>ust. 3 otrzymuje brzmienie:</w:t>
      </w:r>
    </w:p>
    <w:p w14:paraId="0B6A4C54" w14:textId="77777777" w:rsidR="0049226B" w:rsidRPr="0049226B" w:rsidRDefault="003E5110" w:rsidP="00B80030">
      <w:pPr>
        <w:pStyle w:val="ZLITUSTzmustliter"/>
      </w:pPr>
      <w:r>
        <w:t xml:space="preserve">„3. </w:t>
      </w:r>
      <w:r w:rsidR="0049226B" w:rsidRPr="0049226B">
        <w:t>W przypadku gdy z badania i oceny nadzorczej lub weryfikacji, o której mowa w art. 110u, wynika, że:</w:t>
      </w:r>
    </w:p>
    <w:p w14:paraId="07FED762" w14:textId="153EB84B" w:rsidR="0049226B" w:rsidRPr="0049226B" w:rsidRDefault="0049226B" w:rsidP="00494049">
      <w:pPr>
        <w:pStyle w:val="ZLITPKTzmpktliter"/>
      </w:pPr>
      <w:r w:rsidRPr="0049226B">
        <w:t>1)</w:t>
      </w:r>
      <w:r w:rsidR="003E5110">
        <w:tab/>
      </w:r>
      <w:r w:rsidRPr="0049226B">
        <w:t>dom maklerski jest narażony na ryzyk</w:t>
      </w:r>
      <w:r w:rsidR="00FF02C0">
        <w:t xml:space="preserve">o </w:t>
      </w:r>
      <w:r w:rsidRPr="0049226B">
        <w:t xml:space="preserve">lub stwarza </w:t>
      </w:r>
      <w:r w:rsidR="00650548">
        <w:t xml:space="preserve">istotne </w:t>
      </w:r>
      <w:r w:rsidRPr="0049226B">
        <w:t>ryzyk</w:t>
      </w:r>
      <w:r w:rsidR="00FF02C0">
        <w:t>o</w:t>
      </w:r>
      <w:r w:rsidR="00FF02C0" w:rsidRPr="005E6D7E">
        <w:t>,</w:t>
      </w:r>
      <w:r w:rsidR="00804C7C">
        <w:t xml:space="preserve"> </w:t>
      </w:r>
      <w:r w:rsidRPr="0049226B">
        <w:t xml:space="preserve">które nie </w:t>
      </w:r>
      <w:r w:rsidR="005B2C99">
        <w:t>zostało</w:t>
      </w:r>
      <w:r w:rsidRPr="0049226B">
        <w:t xml:space="preserve"> pokryte </w:t>
      </w:r>
      <w:r w:rsidR="00D46897" w:rsidRPr="00D46897">
        <w:t xml:space="preserve">w całości </w:t>
      </w:r>
      <w:r w:rsidRPr="0049226B">
        <w:t xml:space="preserve">lub </w:t>
      </w:r>
      <w:r w:rsidR="00355FE1">
        <w:t xml:space="preserve">pokryte </w:t>
      </w:r>
      <w:r w:rsidR="00D46897">
        <w:t>w</w:t>
      </w:r>
      <w:r w:rsidRPr="0049226B">
        <w:t xml:space="preserve"> niewystarczając</w:t>
      </w:r>
      <w:r w:rsidR="00D46897">
        <w:t xml:space="preserve">ym stopniu </w:t>
      </w:r>
      <w:r w:rsidRPr="0049226B">
        <w:t xml:space="preserve">wymogiem w zakresie funduszy własnych, </w:t>
      </w:r>
      <w:r w:rsidR="00355FE1">
        <w:t>w szczególności</w:t>
      </w:r>
      <w:r w:rsidR="00804C7C">
        <w:t xml:space="preserve"> </w:t>
      </w:r>
      <w:r w:rsidRPr="0049226B">
        <w:t>wymog</w:t>
      </w:r>
      <w:r w:rsidR="00BD3206">
        <w:t>iem</w:t>
      </w:r>
      <w:r w:rsidRPr="0049226B">
        <w:t xml:space="preserve"> opartym o współczynnik K, </w:t>
      </w:r>
      <w:r w:rsidR="00355FE1">
        <w:t>o którym mowa</w:t>
      </w:r>
      <w:r w:rsidRPr="0049226B">
        <w:t xml:space="preserve"> w części trzeciej lub czwartej rozporządzenia </w:t>
      </w:r>
      <w:r w:rsidR="00182D8B">
        <w:t>2019/2033</w:t>
      </w:r>
      <w:r w:rsidR="009E7B7B">
        <w:t>,</w:t>
      </w:r>
    </w:p>
    <w:p w14:paraId="56998C2A" w14:textId="3195D84A" w:rsidR="0049226B" w:rsidRPr="0049226B" w:rsidRDefault="0049226B" w:rsidP="00494049">
      <w:pPr>
        <w:pStyle w:val="ZLITPKTzmpktliter"/>
      </w:pPr>
      <w:r w:rsidRPr="0049226B">
        <w:t>2)</w:t>
      </w:r>
      <w:r w:rsidRPr="0049226B">
        <w:tab/>
        <w:t>dom maklerski nie spełnia wymogów określonych w art. 110b, art. 110c lub art. 110e a zastosowanie innych środków nadzorczych może nie zapewnić we właściwym stopniu i czasie przestrzegania wymogów</w:t>
      </w:r>
      <w:r w:rsidR="00C31FA0">
        <w:t xml:space="preserve"> określonych</w:t>
      </w:r>
      <w:r w:rsidR="00804C7C">
        <w:t xml:space="preserve"> </w:t>
      </w:r>
      <w:r w:rsidRPr="0049226B">
        <w:t xml:space="preserve">w przepisach niniejszego oddziału i przepisach rozporządzenia </w:t>
      </w:r>
      <w:r w:rsidR="00182D8B">
        <w:t>2019/2033</w:t>
      </w:r>
      <w:r w:rsidR="009E7B7B">
        <w:t>,</w:t>
      </w:r>
    </w:p>
    <w:p w14:paraId="5BA2FE9F" w14:textId="5C974F8B" w:rsidR="0049226B" w:rsidRPr="0049226B" w:rsidRDefault="0049226B" w:rsidP="00494049">
      <w:pPr>
        <w:pStyle w:val="ZLITPKTzmpktliter"/>
      </w:pPr>
      <w:r w:rsidRPr="0049226B">
        <w:t>3)</w:t>
      </w:r>
      <w:r w:rsidR="00285F7F">
        <w:tab/>
      </w:r>
      <w:r w:rsidRPr="0049226B">
        <w:t>korekty ostrożn</w:t>
      </w:r>
      <w:r w:rsidR="00C31FA0">
        <w:t>ej</w:t>
      </w:r>
      <w:r w:rsidRPr="0049226B">
        <w:t xml:space="preserve"> wycen</w:t>
      </w:r>
      <w:r w:rsidR="00C31FA0">
        <w:t>y</w:t>
      </w:r>
      <w:r w:rsidRPr="0049226B">
        <w:t xml:space="preserve"> portfela handlowego są niewystarczające, aby umożliwić domowi maklerskiemu, w normalnych warunkach rynkowych, sprzeda</w:t>
      </w:r>
      <w:r w:rsidR="00C31FA0">
        <w:t>ż</w:t>
      </w:r>
      <w:r w:rsidRPr="0049226B">
        <w:t xml:space="preserve"> lub zabezpieczenie w krótkim czasie jego pozycji</w:t>
      </w:r>
      <w:r w:rsidR="00EF55F0">
        <w:t xml:space="preserve"> instrumentów finansowych</w:t>
      </w:r>
      <w:r w:rsidRPr="0049226B">
        <w:t xml:space="preserve"> bez ponos</w:t>
      </w:r>
      <w:r w:rsidR="009E7B7B">
        <w:t xml:space="preserve">zenia </w:t>
      </w:r>
      <w:r w:rsidR="004D6272">
        <w:t>znaczących</w:t>
      </w:r>
      <w:r w:rsidR="00804C7C">
        <w:t xml:space="preserve"> </w:t>
      </w:r>
      <w:r w:rsidR="009E7B7B">
        <w:t>strat,</w:t>
      </w:r>
    </w:p>
    <w:p w14:paraId="170F1206" w14:textId="33D37E55" w:rsidR="0049226B" w:rsidRPr="0049226B" w:rsidRDefault="0049226B" w:rsidP="00494049">
      <w:pPr>
        <w:pStyle w:val="ZLITPKTzmpktliter"/>
      </w:pPr>
      <w:r w:rsidRPr="0049226B">
        <w:t>4)</w:t>
      </w:r>
      <w:r w:rsidRPr="0049226B">
        <w:tab/>
        <w:t xml:space="preserve">niespełnienie wymogów dotyczących uzyskania zezwolenia na stosowanie modeli wewnętrznych </w:t>
      </w:r>
      <w:r w:rsidR="00C31FA0">
        <w:t xml:space="preserve">może </w:t>
      </w:r>
      <w:r w:rsidRPr="0049226B">
        <w:t>doprowadzi</w:t>
      </w:r>
      <w:r w:rsidR="00C31FA0">
        <w:t>ć</w:t>
      </w:r>
      <w:r w:rsidRPr="0049226B">
        <w:t xml:space="preserve"> do nieadekwatnych poziomów kapitału lub</w:t>
      </w:r>
    </w:p>
    <w:p w14:paraId="3833381D" w14:textId="77777777" w:rsidR="00012468" w:rsidRDefault="0049226B" w:rsidP="00494049">
      <w:pPr>
        <w:pStyle w:val="ZLITPKTzmpktliter"/>
      </w:pPr>
      <w:r w:rsidRPr="00012468">
        <w:lastRenderedPageBreak/>
        <w:t>5)</w:t>
      </w:r>
      <w:r w:rsidR="00285F7F" w:rsidRPr="00012468">
        <w:tab/>
      </w:r>
      <w:r w:rsidR="003E5110" w:rsidRPr="00012468">
        <w:tab/>
      </w:r>
      <w:r w:rsidR="00012468" w:rsidRPr="00012468">
        <w:t>dom maklerski systematycznie uchyla się od osiągnięcia lub utrzymywania odpowiedniego poziomu i struktury funduszy własnych, niezb</w:t>
      </w:r>
      <w:r w:rsidR="00012468" w:rsidRPr="004530F0">
        <w:t>ędnego do spełnienia zaleceń w zakresie funduszy włas</w:t>
      </w:r>
      <w:r w:rsidR="00012468" w:rsidRPr="00012468">
        <w:t>nych, o których mowa w art. 110ya</w:t>
      </w:r>
    </w:p>
    <w:p w14:paraId="32BD7FEF" w14:textId="14EFD910" w:rsidR="0049226B" w:rsidRPr="0049226B" w:rsidRDefault="003E5110" w:rsidP="00494049">
      <w:pPr>
        <w:pStyle w:val="ZLITCZWSPPKTzmczciwsppktliter"/>
      </w:pPr>
      <w:r>
        <w:t xml:space="preserve">‒ </w:t>
      </w:r>
      <w:r w:rsidR="0049226B" w:rsidRPr="0049226B">
        <w:t xml:space="preserve">Komisja może, w drodze decyzji, </w:t>
      </w:r>
      <w:r w:rsidR="0067454E">
        <w:t xml:space="preserve">nakazać domowi maklerskiemu </w:t>
      </w:r>
      <w:r w:rsidR="008E1684">
        <w:t xml:space="preserve">posiadanie </w:t>
      </w:r>
      <w:r w:rsidR="0049226B" w:rsidRPr="0049226B">
        <w:t xml:space="preserve">funduszy własnych przewyższających wymogi określone w art. 11 rozporządzenia </w:t>
      </w:r>
      <w:r w:rsidR="00182D8B">
        <w:t>2019/2033</w:t>
      </w:r>
      <w:r w:rsidR="009E7B7B">
        <w:t>.”,</w:t>
      </w:r>
    </w:p>
    <w:p w14:paraId="2AE1B53D" w14:textId="5066FDB9" w:rsidR="0049226B" w:rsidRPr="0049226B" w:rsidRDefault="00F46D6A" w:rsidP="00751C01">
      <w:pPr>
        <w:pStyle w:val="LITlitera"/>
      </w:pPr>
      <w:r>
        <w:t>d</w:t>
      </w:r>
      <w:r w:rsidR="009E7B7B">
        <w:t>)</w:t>
      </w:r>
      <w:r w:rsidR="003E5110">
        <w:tab/>
      </w:r>
      <w:r w:rsidR="009E7B7B">
        <w:t>uchyla się</w:t>
      </w:r>
      <w:r w:rsidR="00285F7F" w:rsidRPr="00285F7F">
        <w:t xml:space="preserve"> </w:t>
      </w:r>
      <w:r w:rsidR="00285F7F">
        <w:t>ust. 4 i 5</w:t>
      </w:r>
      <w:r w:rsidR="009E7B7B">
        <w:t>,</w:t>
      </w:r>
    </w:p>
    <w:p w14:paraId="2FF2AE97" w14:textId="58C03CD0" w:rsidR="0049226B" w:rsidRPr="0049226B" w:rsidRDefault="00F46D6A" w:rsidP="00355FE1">
      <w:pPr>
        <w:pStyle w:val="LITlitera"/>
      </w:pPr>
      <w:r>
        <w:t>e</w:t>
      </w:r>
      <w:r w:rsidR="003E5110">
        <w:t>)</w:t>
      </w:r>
      <w:r w:rsidR="003E5110">
        <w:tab/>
      </w:r>
      <w:r w:rsidR="0049226B" w:rsidRPr="0049226B">
        <w:t>dodaje się ust. 6</w:t>
      </w:r>
      <w:r w:rsidR="00C31FA0">
        <w:t>‒</w:t>
      </w:r>
      <w:r w:rsidR="0049226B" w:rsidRPr="0049226B">
        <w:t>9 w brzmieniu:</w:t>
      </w:r>
    </w:p>
    <w:p w14:paraId="5D32EDD1" w14:textId="79553600" w:rsidR="0049226B" w:rsidRPr="0049226B" w:rsidRDefault="0049226B" w:rsidP="00B80030">
      <w:pPr>
        <w:pStyle w:val="ZLITUSTzmustliter"/>
      </w:pPr>
      <w:r w:rsidRPr="0049226B">
        <w:t>„6. W</w:t>
      </w:r>
      <w:r w:rsidR="002747B0">
        <w:t xml:space="preserve">ymogi w zakresie funduszy własnych, o których mowa w </w:t>
      </w:r>
      <w:r w:rsidRPr="0049226B">
        <w:t>ust. 3 pkt 1</w:t>
      </w:r>
      <w:r w:rsidR="00C31FA0">
        <w:t>,</w:t>
      </w:r>
      <w:r w:rsidR="00AE27A5">
        <w:t xml:space="preserve"> </w:t>
      </w:r>
      <w:r w:rsidR="002F035D">
        <w:t xml:space="preserve">nie są spełnione </w:t>
      </w:r>
      <w:r w:rsidRPr="0049226B">
        <w:t xml:space="preserve">w przypadku gdy poziomy, rodzaje i struktura kapitału wewnętrznego, który Komisja uznała za adekwatny na podstawie badania nadzorczego </w:t>
      </w:r>
      <w:r w:rsidR="002F035D">
        <w:t xml:space="preserve">i </w:t>
      </w:r>
      <w:r w:rsidRPr="0049226B">
        <w:t xml:space="preserve">oszacowania dokonanego przez dom maklerski zgodnie z art. 110e, są wyższe niż wymóg w zakresie funduszy własnych domu maklerskiego określony w części trzeciej lub czwartej rozporządzenia </w:t>
      </w:r>
      <w:r w:rsidR="00182D8B">
        <w:t>2019/2033</w:t>
      </w:r>
      <w:r w:rsidRPr="0049226B">
        <w:t xml:space="preserve">. Kapitał wewnętrzny uznany przez Komisję za adekwatny może obejmować ryzyka wyłączone z zakresu wymogu w zakresie funduszy własnych określonego w części trzeciej lub czwartej rozporządzenia </w:t>
      </w:r>
      <w:r w:rsidR="00182D8B">
        <w:t>2019/2033</w:t>
      </w:r>
      <w:r w:rsidRPr="0049226B">
        <w:t>.</w:t>
      </w:r>
    </w:p>
    <w:p w14:paraId="05DA5A33" w14:textId="4B39635B" w:rsidR="0049226B" w:rsidRPr="0049226B" w:rsidRDefault="0049226B" w:rsidP="00B80030">
      <w:pPr>
        <w:pStyle w:val="ZLITUSTzmustliter"/>
      </w:pPr>
      <w:r w:rsidRPr="0049226B">
        <w:t xml:space="preserve">7. Komisja </w:t>
      </w:r>
      <w:r w:rsidR="00727A7F">
        <w:t>może, w drodze decyzji, nakazać domowi maklerskiemu spełnianie wymogu dodatkowych funduszy własnych</w:t>
      </w:r>
      <w:r w:rsidR="00416822">
        <w:t xml:space="preserve"> </w:t>
      </w:r>
      <w:r w:rsidRPr="0049226B">
        <w:t xml:space="preserve">jako różnicę między kapitałem uznanym </w:t>
      </w:r>
      <w:r w:rsidR="00416822">
        <w:t xml:space="preserve">przez Komisję </w:t>
      </w:r>
      <w:r w:rsidRPr="0049226B">
        <w:t xml:space="preserve">za adekwatny a wymogiem w zakresie funduszy własnych określonym w części trzeciej lub czwartej rozporządzenia </w:t>
      </w:r>
      <w:r w:rsidR="00182D8B">
        <w:t>2019/2033</w:t>
      </w:r>
      <w:r w:rsidRPr="0049226B">
        <w:t xml:space="preserve">, </w:t>
      </w:r>
      <w:r w:rsidR="00416822">
        <w:t>jeżeli</w:t>
      </w:r>
      <w:r w:rsidRPr="0049226B">
        <w:t>:</w:t>
      </w:r>
    </w:p>
    <w:p w14:paraId="24C2FFE4" w14:textId="53A25FDD" w:rsidR="0049226B" w:rsidRPr="0049226B" w:rsidRDefault="003E5110" w:rsidP="00494049">
      <w:pPr>
        <w:pStyle w:val="ZLITPKTzmpktliter"/>
      </w:pPr>
      <w:r>
        <w:t>1)</w:t>
      </w:r>
      <w:r>
        <w:tab/>
      </w:r>
      <w:r w:rsidR="0049226B" w:rsidRPr="0049226B">
        <w:t xml:space="preserve">co najmniej </w:t>
      </w:r>
      <w:r w:rsidR="00727A7F">
        <w:t>75%</w:t>
      </w:r>
      <w:r w:rsidR="0049226B" w:rsidRPr="0049226B">
        <w:t xml:space="preserve"> wymogu w zakresie funduszy własnych </w:t>
      </w:r>
      <w:r w:rsidR="00727A7F">
        <w:t xml:space="preserve">stanowi </w:t>
      </w:r>
      <w:r w:rsidR="0049226B" w:rsidRPr="0049226B">
        <w:t>kapitał Tier I</w:t>
      </w:r>
      <w:r w:rsidR="00416822">
        <w:t>;</w:t>
      </w:r>
    </w:p>
    <w:p w14:paraId="67DF8B7E" w14:textId="17448B16" w:rsidR="0049226B" w:rsidRPr="0049226B" w:rsidRDefault="003E5110" w:rsidP="00494049">
      <w:pPr>
        <w:pStyle w:val="ZLITPKTzmpktliter"/>
      </w:pPr>
      <w:r>
        <w:t>2)</w:t>
      </w:r>
      <w:r w:rsidR="00285F7F">
        <w:tab/>
      </w:r>
      <w:r w:rsidR="0049226B" w:rsidRPr="0049226B">
        <w:t xml:space="preserve">co najmniej </w:t>
      </w:r>
      <w:r w:rsidR="00727A7F">
        <w:t>75%</w:t>
      </w:r>
      <w:r w:rsidR="0049226B" w:rsidRPr="0049226B">
        <w:t xml:space="preserve"> kapitału Tier I</w:t>
      </w:r>
      <w:r w:rsidR="00727A7F">
        <w:t>, o którym mowa w pkt 1,</w:t>
      </w:r>
      <w:r w:rsidR="0049226B" w:rsidRPr="0049226B">
        <w:t xml:space="preserve"> składa się z kapitału podstawowego Tier I</w:t>
      </w:r>
      <w:r w:rsidR="00416822">
        <w:t>;</w:t>
      </w:r>
    </w:p>
    <w:p w14:paraId="05F74D6C" w14:textId="3B9890C0" w:rsidR="0049226B" w:rsidRPr="0049226B" w:rsidRDefault="003E5110" w:rsidP="00494049">
      <w:pPr>
        <w:pStyle w:val="ZLITPKTzmpktliter"/>
      </w:pPr>
      <w:r>
        <w:t>3)</w:t>
      </w:r>
      <w:r w:rsidR="00285F7F">
        <w:tab/>
      </w:r>
      <w:r w:rsidR="00AF005B">
        <w:t>kapitał, o którym mowa w pkt 1 i 2</w:t>
      </w:r>
      <w:r w:rsidR="00416822">
        <w:t>,</w:t>
      </w:r>
      <w:r w:rsidR="0049226B" w:rsidRPr="0049226B">
        <w:t xml:space="preserve"> nie </w:t>
      </w:r>
      <w:r w:rsidR="00AF005B">
        <w:t>jest</w:t>
      </w:r>
      <w:r w:rsidR="0049226B" w:rsidRPr="0049226B">
        <w:t xml:space="preserve"> wykorzystywan</w:t>
      </w:r>
      <w:r w:rsidR="00AF005B">
        <w:t>y</w:t>
      </w:r>
      <w:r w:rsidR="0049226B" w:rsidRPr="0049226B">
        <w:t xml:space="preserve"> w celu spełnienia wymogów w zakresie funduszy własnych określonych w art. 11 ust. 1 lit. a, b </w:t>
      </w:r>
      <w:r w:rsidR="00313ED7">
        <w:t>i</w:t>
      </w:r>
      <w:r w:rsidR="00804C7C">
        <w:t xml:space="preserve"> </w:t>
      </w:r>
      <w:r w:rsidR="0049226B" w:rsidRPr="0049226B">
        <w:t xml:space="preserve">c rozporządzenia </w:t>
      </w:r>
      <w:r w:rsidR="00182D8B">
        <w:t>2019/2033</w:t>
      </w:r>
      <w:r w:rsidR="0049226B" w:rsidRPr="0049226B">
        <w:t>.</w:t>
      </w:r>
    </w:p>
    <w:p w14:paraId="7B61EA3E" w14:textId="3BF8D402" w:rsidR="0049226B" w:rsidRPr="0049226B" w:rsidRDefault="0049226B" w:rsidP="00B80030">
      <w:pPr>
        <w:pStyle w:val="ZLITUSTzmustliter"/>
      </w:pPr>
      <w:r w:rsidRPr="0049226B">
        <w:t xml:space="preserve">8. </w:t>
      </w:r>
      <w:r w:rsidR="00D43947">
        <w:t>Komisja</w:t>
      </w:r>
      <w:r w:rsidRPr="0049226B">
        <w:t xml:space="preserve"> </w:t>
      </w:r>
      <w:r w:rsidR="00D43947" w:rsidRPr="0049226B">
        <w:t>mo</w:t>
      </w:r>
      <w:r w:rsidR="00D43947">
        <w:t>że, w drodze decyzji,</w:t>
      </w:r>
      <w:r w:rsidR="00AE27A5">
        <w:t xml:space="preserve"> </w:t>
      </w:r>
      <w:r w:rsidRPr="0049226B">
        <w:t>nałożyć dodatkowy wymóg w zakresie funduszy własnych zgodnie z ust. 3</w:t>
      </w:r>
      <w:r w:rsidR="00416822">
        <w:t>,</w:t>
      </w:r>
      <w:r w:rsidRPr="0049226B">
        <w:t xml:space="preserve"> 6</w:t>
      </w:r>
      <w:r w:rsidR="00416822">
        <w:t xml:space="preserve"> i </w:t>
      </w:r>
      <w:r w:rsidRPr="0049226B">
        <w:t xml:space="preserve">7 na domy maklerskie, które spełniają warunki do zakwalifikowania się jako małe i niepowiązane wzajemnie firmy inwestycyjne, </w:t>
      </w:r>
      <w:r w:rsidR="00416822">
        <w:t>o których mowa</w:t>
      </w:r>
      <w:r w:rsidRPr="0049226B">
        <w:t xml:space="preserve"> w art. 12 ust. 1 rozporządzenia </w:t>
      </w:r>
      <w:r w:rsidR="00182D8B">
        <w:t>2019/2033</w:t>
      </w:r>
      <w:r w:rsidRPr="0049226B">
        <w:t xml:space="preserve">, na </w:t>
      </w:r>
      <w:r w:rsidRPr="0049226B">
        <w:lastRenderedPageBreak/>
        <w:t>podstawie oceny indywidualnych przypadków oraz w przypadku gdy Komisja uzna to za uzasadnione.</w:t>
      </w:r>
    </w:p>
    <w:p w14:paraId="76644DB2" w14:textId="5097E71A" w:rsidR="0049226B" w:rsidRPr="0049226B" w:rsidRDefault="0049226B" w:rsidP="00B80030">
      <w:pPr>
        <w:pStyle w:val="ZLITUSTzmustliter"/>
      </w:pPr>
      <w:r w:rsidRPr="0049226B">
        <w:t xml:space="preserve">9. </w:t>
      </w:r>
      <w:r w:rsidR="00AF005B" w:rsidRPr="0049226B">
        <w:t xml:space="preserve">Komisja informuje Bankowy Fundusz Gwarancyjny </w:t>
      </w:r>
      <w:r w:rsidR="00AF005B">
        <w:t xml:space="preserve">o nałożeniu </w:t>
      </w:r>
      <w:r w:rsidR="0061125A">
        <w:t xml:space="preserve">wymogów określonych w ust. 3 </w:t>
      </w:r>
      <w:r w:rsidR="00AF005B">
        <w:t xml:space="preserve">na dom maklerski, </w:t>
      </w:r>
      <w:r w:rsidRPr="0049226B">
        <w:t>o którym mowa w art. 98 ust. 3.”;</w:t>
      </w:r>
    </w:p>
    <w:p w14:paraId="0105AB91" w14:textId="6BFF8060" w:rsidR="0049226B" w:rsidRPr="0049226B" w:rsidRDefault="006E6BE0" w:rsidP="00751C01">
      <w:pPr>
        <w:pStyle w:val="PKTpunkt"/>
      </w:pPr>
      <w:r>
        <w:t>34</w:t>
      </w:r>
      <w:r w:rsidR="003E5110">
        <w:t>)</w:t>
      </w:r>
      <w:r w:rsidR="003E5110">
        <w:tab/>
      </w:r>
      <w:r w:rsidR="0049226B" w:rsidRPr="0049226B">
        <w:t>po art. 110y dodaje się art. 110ya i art. 110yb w brzmieniu:</w:t>
      </w:r>
    </w:p>
    <w:p w14:paraId="51937D91" w14:textId="79F956F3" w:rsidR="0049226B" w:rsidRPr="0049226B" w:rsidRDefault="0049226B" w:rsidP="00EC3638">
      <w:pPr>
        <w:pStyle w:val="ZARTzmartartykuempunktem"/>
      </w:pPr>
      <w:r w:rsidRPr="0049226B">
        <w:t xml:space="preserve">„Art. 110ya. 1. Komisja może, w drodze decyzji, </w:t>
      </w:r>
      <w:r w:rsidR="00DB5232">
        <w:t xml:space="preserve">nakazać </w:t>
      </w:r>
      <w:r w:rsidRPr="0049226B">
        <w:t>domowi maklerskiemu utrzymywanie funduszy własnych na poziomie, który Komisja uznaje za adekwatny</w:t>
      </w:r>
      <w:r w:rsidR="00F40580">
        <w:t xml:space="preserve"> </w:t>
      </w:r>
      <w:r w:rsidR="008C23E1">
        <w:t xml:space="preserve">dla </w:t>
      </w:r>
      <w:r w:rsidRPr="0049226B">
        <w:t xml:space="preserve">kapitału wewnętrznego domu maklerskiego, o którym mowa w art. 110e. </w:t>
      </w:r>
      <w:r w:rsidR="00DB5232">
        <w:t xml:space="preserve">Ustalona w ten sposób wysokość </w:t>
      </w:r>
      <w:r w:rsidR="0061125A">
        <w:t xml:space="preserve">funduszy własnych </w:t>
      </w:r>
      <w:r w:rsidRPr="0049226B">
        <w:t xml:space="preserve">może przewyższać wymogi określone w części trzeciej rozporządzenia </w:t>
      </w:r>
      <w:r w:rsidR="00182D8B">
        <w:t>2019/2033</w:t>
      </w:r>
      <w:r w:rsidRPr="0049226B">
        <w:t xml:space="preserve"> oraz dodatkowe wymogi nałożone zgodnie z art. 110y ust. 3. W decyzji Komisja określa termin </w:t>
      </w:r>
      <w:r w:rsidR="0061125A">
        <w:t xml:space="preserve">zwiększenia </w:t>
      </w:r>
      <w:r w:rsidRPr="0049226B">
        <w:t>funduszy własnych domu maklerskiego.</w:t>
      </w:r>
    </w:p>
    <w:p w14:paraId="2244FDBE" w14:textId="10521843" w:rsidR="0049226B" w:rsidRPr="0049226B" w:rsidRDefault="0049226B" w:rsidP="00494049">
      <w:pPr>
        <w:pStyle w:val="ZUSTzmustartykuempunktem"/>
      </w:pPr>
      <w:r w:rsidRPr="0049226B">
        <w:t>2. Komisja</w:t>
      </w:r>
      <w:r w:rsidR="0061125A">
        <w:t>, wydając decyzję,</w:t>
      </w:r>
      <w:r w:rsidRPr="0049226B">
        <w:t xml:space="preserve"> o któr</w:t>
      </w:r>
      <w:r w:rsidR="0061125A">
        <w:t xml:space="preserve">ej </w:t>
      </w:r>
      <w:r w:rsidRPr="0049226B">
        <w:t xml:space="preserve">mowa w ust. 1, </w:t>
      </w:r>
      <w:r w:rsidR="0061125A" w:rsidRPr="0049226B">
        <w:t>uwzględnia zasady proporcjonalności oraz wielkość, znaczenie systemowe, charakter, skalę i złożoność działalności domu maklerskiego</w:t>
      </w:r>
      <w:r w:rsidR="0061125A">
        <w:t xml:space="preserve">, biorąc pod uwagę konieczność </w:t>
      </w:r>
      <w:r w:rsidRPr="0049226B">
        <w:t xml:space="preserve">zapewnienia, aby cykliczne wahania koniunktury gospodarczej nie prowadziły do naruszenia wymogów kapitałowych lub nie zagrażały zdolności domu maklerskiego do likwidacji i zaprzestania działalności w uporządkowany sposób. </w:t>
      </w:r>
    </w:p>
    <w:p w14:paraId="4BC72DB3" w14:textId="4A3EF54E" w:rsidR="0049226B" w:rsidRPr="0049226B" w:rsidRDefault="0049226B" w:rsidP="00494049">
      <w:pPr>
        <w:pStyle w:val="ZUSTzmustartykuempunktem"/>
      </w:pPr>
      <w:r w:rsidRPr="0049226B">
        <w:t>3. Komisja informuje Bankowy Fundusz Gwarancyjny</w:t>
      </w:r>
      <w:r w:rsidR="0061125A" w:rsidRPr="0061125A">
        <w:t xml:space="preserve"> </w:t>
      </w:r>
      <w:r w:rsidR="0061125A" w:rsidRPr="0049226B">
        <w:t>o nałożeniu wymogów</w:t>
      </w:r>
      <w:r w:rsidR="0061125A">
        <w:t xml:space="preserve"> określonych </w:t>
      </w:r>
      <w:r w:rsidR="0061125A" w:rsidRPr="0049226B">
        <w:t>w ust. 1,</w:t>
      </w:r>
      <w:r w:rsidR="0061125A" w:rsidRPr="0061125A">
        <w:t xml:space="preserve"> </w:t>
      </w:r>
      <w:r w:rsidR="0061125A">
        <w:t xml:space="preserve">na </w:t>
      </w:r>
      <w:r w:rsidR="0061125A" w:rsidRPr="0049226B">
        <w:t>dom maklerski, o którym mowa w art. 98 ust. 3</w:t>
      </w:r>
      <w:r w:rsidRPr="0049226B">
        <w:t>.</w:t>
      </w:r>
    </w:p>
    <w:p w14:paraId="7D5B890E" w14:textId="57F6FAB1" w:rsidR="0049226B" w:rsidRPr="0049226B" w:rsidRDefault="0049226B" w:rsidP="000E54B0">
      <w:pPr>
        <w:pStyle w:val="ZARTzmartartykuempunktem"/>
      </w:pPr>
      <w:r w:rsidRPr="0049226B">
        <w:t xml:space="preserve">Art. 110yb. 1. Komisja może nałożyć wymogi, o których mowa w art. 110y ust. 1 pkt 9, </w:t>
      </w:r>
      <w:r w:rsidR="00447844">
        <w:t xml:space="preserve">jeżeli, </w:t>
      </w:r>
      <w:r w:rsidRPr="0049226B">
        <w:t xml:space="preserve">na podstawie badania i oceny nadzorczej lub weryfikacji, o której mowa w art. 110u, </w:t>
      </w:r>
      <w:r w:rsidR="0061125A">
        <w:t>stwierdzi</w:t>
      </w:r>
      <w:r w:rsidRPr="0049226B">
        <w:t>, że dom maklerski albo dom maklerski, spełnia</w:t>
      </w:r>
      <w:r w:rsidR="001F0C55">
        <w:t>jący</w:t>
      </w:r>
      <w:r w:rsidRPr="0049226B">
        <w:t xml:space="preserve"> warunki określone w art. 12 ust. 1 rozporządzenia </w:t>
      </w:r>
      <w:r w:rsidR="00182D8B">
        <w:t>2019/2033</w:t>
      </w:r>
      <w:r w:rsidR="001F0C55">
        <w:t xml:space="preserve"> i</w:t>
      </w:r>
      <w:r w:rsidR="00804C7C">
        <w:t xml:space="preserve"> </w:t>
      </w:r>
      <w:r w:rsidR="001F0C55">
        <w:t xml:space="preserve">nieposiadający </w:t>
      </w:r>
      <w:r w:rsidRPr="0049226B">
        <w:t xml:space="preserve">zwolnienia, o którym mowa w art. 43 ust. 1 akapit drugi </w:t>
      </w:r>
      <w:r w:rsidR="001F0C55">
        <w:t xml:space="preserve">tego </w:t>
      </w:r>
      <w:r w:rsidRPr="0049226B">
        <w:t>rozporządzenia</w:t>
      </w:r>
      <w:r w:rsidR="000E54B0">
        <w:t>:</w:t>
      </w:r>
    </w:p>
    <w:p w14:paraId="3BA5D898" w14:textId="25DF5242" w:rsidR="0049226B" w:rsidRPr="0049226B" w:rsidRDefault="003E5110" w:rsidP="00494049">
      <w:pPr>
        <w:pStyle w:val="ZPKTzmpktartykuempunktem"/>
      </w:pPr>
      <w:r>
        <w:t>1)</w:t>
      </w:r>
      <w:r>
        <w:tab/>
      </w:r>
      <w:r w:rsidR="0049226B" w:rsidRPr="0049226B">
        <w:t xml:space="preserve">jest narażony na </w:t>
      </w:r>
      <w:r w:rsidR="001F0C55">
        <w:t xml:space="preserve">istotne </w:t>
      </w:r>
      <w:r w:rsidR="0049226B" w:rsidRPr="0049226B">
        <w:t xml:space="preserve">ryzyko płynności </w:t>
      </w:r>
      <w:r w:rsidR="002152E1" w:rsidRPr="006704FC">
        <w:t xml:space="preserve">niepokryte w całości lub pokryte w niewystarczającym stopniu </w:t>
      </w:r>
      <w:r w:rsidR="0049226B" w:rsidRPr="0049226B">
        <w:t xml:space="preserve">wymogiem płynności określonym w części piątej rozporządzenia </w:t>
      </w:r>
      <w:r w:rsidR="00182D8B">
        <w:t>2019/2033</w:t>
      </w:r>
      <w:r w:rsidR="0049226B" w:rsidRPr="0049226B">
        <w:t xml:space="preserve"> lub</w:t>
      </w:r>
    </w:p>
    <w:p w14:paraId="64731875" w14:textId="78FD5813" w:rsidR="0049226B" w:rsidRPr="0049226B" w:rsidRDefault="003E5110" w:rsidP="00494049">
      <w:pPr>
        <w:pStyle w:val="ZPKTzmpktartykuempunktem"/>
      </w:pPr>
      <w:r>
        <w:t>2)</w:t>
      </w:r>
      <w:r>
        <w:tab/>
      </w:r>
      <w:r w:rsidR="0049226B" w:rsidRPr="0049226B">
        <w:t xml:space="preserve">nie spełnia wymogów określonych w art. 110b, art. 110c lub art. 110e a zastosowanie innych środków nadzorczych może nie zapewnić we właściwym stopniu i czasie przestrzegania wymogów płynności, o których mowa w przepisach niniejszego oddziału i przepisach rozporządzenia </w:t>
      </w:r>
      <w:r w:rsidR="00182D8B">
        <w:t>2019/2033</w:t>
      </w:r>
      <w:r w:rsidR="0049226B" w:rsidRPr="0049226B">
        <w:t>.</w:t>
      </w:r>
    </w:p>
    <w:p w14:paraId="2E7E2728" w14:textId="6E89B4B2" w:rsidR="0049226B" w:rsidRPr="0049226B" w:rsidRDefault="0049226B" w:rsidP="0080290A">
      <w:pPr>
        <w:pStyle w:val="ZUSTzmustartykuempunktem"/>
      </w:pPr>
      <w:r w:rsidRPr="0049226B">
        <w:lastRenderedPageBreak/>
        <w:t>2.</w:t>
      </w:r>
      <w:r w:rsidR="00BA3A0A">
        <w:t xml:space="preserve"> </w:t>
      </w:r>
      <w:r w:rsidR="001F0C55">
        <w:t>W</w:t>
      </w:r>
      <w:r w:rsidRPr="0049226B">
        <w:t>ymogi płynności</w:t>
      </w:r>
      <w:r w:rsidR="001F0C55">
        <w:t>, o których mowa w ust. 1 pkt 1, nie są spełnione</w:t>
      </w:r>
      <w:r w:rsidR="00AE27A5">
        <w:t xml:space="preserve"> </w:t>
      </w:r>
      <w:r w:rsidRPr="0049226B">
        <w:t xml:space="preserve">w przypadku gdy poziomy i rodzaje aktywów płynnych, które Komisja uznała za adekwatne na podstawie badania nadzorczego </w:t>
      </w:r>
      <w:r w:rsidR="001F0C55">
        <w:t xml:space="preserve">i </w:t>
      </w:r>
      <w:r w:rsidRPr="0049226B">
        <w:t xml:space="preserve">oszacowania dokonanego przez dom maklerski zgodnie z art. 110e, są wyższe niż wymóg płynności określony w części piątej rozporządzenia </w:t>
      </w:r>
      <w:r w:rsidR="00182D8B">
        <w:t>2019/2033</w:t>
      </w:r>
      <w:r w:rsidRPr="0049226B">
        <w:t xml:space="preserve">. </w:t>
      </w:r>
    </w:p>
    <w:p w14:paraId="38B0FD87" w14:textId="4EE4C42B" w:rsidR="0049226B" w:rsidRPr="0049226B" w:rsidRDefault="0049226B" w:rsidP="0080290A">
      <w:pPr>
        <w:pStyle w:val="ZUSTzmustartykuempunktem"/>
      </w:pPr>
      <w:r w:rsidRPr="0049226B">
        <w:t xml:space="preserve">3. Komisja określa wymogi w zakresie płynności, o których mowa w art. 110y ust. 1 pkt 9, jako różnicę między poziomem płynności uznawanym </w:t>
      </w:r>
      <w:r w:rsidR="00E72BA0">
        <w:t xml:space="preserve">przez Komisję </w:t>
      </w:r>
      <w:r w:rsidRPr="0049226B">
        <w:t xml:space="preserve">za adekwatny a wymogiem płynności określonym w części piątej rozporządzenia </w:t>
      </w:r>
      <w:r w:rsidR="00182D8B">
        <w:t>2019/2033</w:t>
      </w:r>
      <w:r w:rsidRPr="0049226B">
        <w:t xml:space="preserve">. Dom maklerski spełnia dodatkowe wymogi płynności przez utrzymywanie aktywów płynnych, o których mowa w art. 43 ust. 1 rozporządzenia </w:t>
      </w:r>
      <w:r w:rsidR="00182D8B">
        <w:t>2019/2033</w:t>
      </w:r>
      <w:r w:rsidR="00E72BA0">
        <w:t>,</w:t>
      </w:r>
      <w:r w:rsidR="00E72BA0" w:rsidRPr="00E72BA0">
        <w:t xml:space="preserve"> </w:t>
      </w:r>
      <w:r w:rsidR="00E72BA0" w:rsidRPr="0049226B">
        <w:t>w odpowiedniej wysokości</w:t>
      </w:r>
      <w:r w:rsidRPr="0049226B">
        <w:t>.”;</w:t>
      </w:r>
    </w:p>
    <w:p w14:paraId="78FAEF45" w14:textId="7085B6CF" w:rsidR="0049226B" w:rsidRPr="0049226B" w:rsidRDefault="006E6BE0" w:rsidP="00751C01">
      <w:pPr>
        <w:pStyle w:val="PKTpunkt"/>
      </w:pPr>
      <w:r>
        <w:t>35</w:t>
      </w:r>
      <w:r w:rsidR="0049226B" w:rsidRPr="0049226B">
        <w:t>)</w:t>
      </w:r>
      <w:r w:rsidR="003E5110">
        <w:tab/>
      </w:r>
      <w:r w:rsidR="0049226B" w:rsidRPr="0049226B">
        <w:t xml:space="preserve">w art. 110z: </w:t>
      </w:r>
    </w:p>
    <w:p w14:paraId="4DBA11FE" w14:textId="77777777" w:rsidR="0049226B" w:rsidRPr="0049226B" w:rsidRDefault="0049226B" w:rsidP="00751C01">
      <w:pPr>
        <w:pStyle w:val="LITlitera"/>
      </w:pPr>
      <w:r w:rsidRPr="0049226B">
        <w:t>a)</w:t>
      </w:r>
      <w:r w:rsidR="003E5110">
        <w:tab/>
      </w:r>
      <w:r w:rsidR="002757B6">
        <w:t xml:space="preserve">w </w:t>
      </w:r>
      <w:r w:rsidRPr="0049226B">
        <w:t>ust. 1 wprowadzenie do wyliczenia otrzymuje brzmienie:</w:t>
      </w:r>
    </w:p>
    <w:p w14:paraId="765114B6" w14:textId="29EFF435" w:rsidR="0049226B" w:rsidRPr="0049226B" w:rsidRDefault="0049226B" w:rsidP="00B80030">
      <w:pPr>
        <w:pStyle w:val="ZLITUSTzmustliter"/>
      </w:pPr>
      <w:r w:rsidRPr="0049226B">
        <w:t>„Komisja lub jej upoważniony przedstawiciel mogą żądać przekazania</w:t>
      </w:r>
      <w:r w:rsidR="00E72BA0">
        <w:t>,</w:t>
      </w:r>
      <w:r w:rsidR="00AE27A5">
        <w:t xml:space="preserve"> </w:t>
      </w:r>
      <w:r w:rsidRPr="0049226B">
        <w:t>jednorazowo lub z określoną częstotliwością</w:t>
      </w:r>
      <w:r w:rsidR="00E72BA0">
        <w:t>,</w:t>
      </w:r>
      <w:r w:rsidRPr="0049226B">
        <w:t xml:space="preserve"> informacji dotyczących spełniania obowiązków określonych przepisami niniejszego oddziału lub rozporządzenia </w:t>
      </w:r>
      <w:r w:rsidR="00182D8B">
        <w:t>2019/2033</w:t>
      </w:r>
      <w:r w:rsidRPr="0049226B">
        <w:t>, jeżeli są one niezbędne do wykonywania nadzoru, od:”</w:t>
      </w:r>
      <w:r w:rsidR="009E7B7B">
        <w:t>,</w:t>
      </w:r>
    </w:p>
    <w:p w14:paraId="1F948959" w14:textId="77777777" w:rsidR="0049226B" w:rsidRPr="0049226B" w:rsidRDefault="003E5110" w:rsidP="00751C01">
      <w:pPr>
        <w:pStyle w:val="LITlitera"/>
      </w:pPr>
      <w:r>
        <w:t>b)</w:t>
      </w:r>
      <w:r>
        <w:tab/>
      </w:r>
      <w:r w:rsidR="0049226B" w:rsidRPr="0049226B">
        <w:t>ust. 3 otrzymuje brzmienie:</w:t>
      </w:r>
    </w:p>
    <w:p w14:paraId="2065DF4B" w14:textId="18DC8E03" w:rsidR="0049226B" w:rsidRPr="0049226B" w:rsidRDefault="0049226B" w:rsidP="00B80030">
      <w:pPr>
        <w:pStyle w:val="ZLITUSTzmustliter"/>
      </w:pPr>
      <w:r w:rsidRPr="0049226B">
        <w:t>„3.</w:t>
      </w:r>
      <w:r w:rsidR="003E5110">
        <w:t xml:space="preserve"> </w:t>
      </w:r>
      <w:r w:rsidRPr="0049226B">
        <w:t>Na żądanie Komisji lub jej upoważnionego przedstawiciela osoby uprawnione do reprezentowania domu maklerskiego lub wchodzące w skład jego organów albo pozostające z domem maklerskim w stosunku pracy sporządza</w:t>
      </w:r>
      <w:r w:rsidR="00E72BA0">
        <w:t xml:space="preserve">ją </w:t>
      </w:r>
      <w:r w:rsidRPr="0049226B">
        <w:t>i przekaz</w:t>
      </w:r>
      <w:r w:rsidR="00E72BA0">
        <w:t>ują</w:t>
      </w:r>
      <w:r w:rsidRPr="0049226B">
        <w:t>, na koszt tego domu, dodatkow</w:t>
      </w:r>
      <w:r w:rsidR="00E72BA0">
        <w:t>e</w:t>
      </w:r>
      <w:r w:rsidRPr="0049226B">
        <w:t xml:space="preserve"> informacj</w:t>
      </w:r>
      <w:r w:rsidR="00E72BA0">
        <w:t>e</w:t>
      </w:r>
      <w:r w:rsidRPr="0049226B">
        <w:t xml:space="preserve"> sprawozdawcz</w:t>
      </w:r>
      <w:r w:rsidR="00E72BA0">
        <w:t>e</w:t>
      </w:r>
      <w:r w:rsidRPr="0049226B">
        <w:t xml:space="preserve">, niezwłocznie lub z określoną częstotliwością, w tym w zakresie sprawozdawczości dotyczącej sytuacji kapitałowej lub poziomu płynności, lub ujawniania innych informacji niezbędnych do wykonywania nadzoru w zakresie określonym przepisami niniejszego oddziału lub rozporządzenia </w:t>
      </w:r>
      <w:r w:rsidR="00182D8B">
        <w:t>2019/2033</w:t>
      </w:r>
      <w:r w:rsidRPr="0049226B">
        <w:t>.”;</w:t>
      </w:r>
    </w:p>
    <w:p w14:paraId="7F34106A" w14:textId="596943D2" w:rsidR="004530F0" w:rsidRPr="004530F0" w:rsidRDefault="006E6BE0" w:rsidP="006852A3">
      <w:pPr>
        <w:pStyle w:val="PKTpunkt"/>
      </w:pPr>
      <w:r>
        <w:t>36</w:t>
      </w:r>
      <w:r w:rsidR="003E5110">
        <w:t>)</w:t>
      </w:r>
      <w:r w:rsidR="003E5110">
        <w:tab/>
      </w:r>
      <w:r w:rsidR="004530F0" w:rsidRPr="004530F0">
        <w:t xml:space="preserve">w art. </w:t>
      </w:r>
      <w:r w:rsidR="004530F0" w:rsidRPr="006852A3">
        <w:t>110za</w:t>
      </w:r>
      <w:r w:rsidR="004530F0">
        <w:t>:</w:t>
      </w:r>
      <w:r w:rsidR="004530F0" w:rsidRPr="004530F0">
        <w:t xml:space="preserve"> </w:t>
      </w:r>
    </w:p>
    <w:p w14:paraId="0B66C05A" w14:textId="0F770D7B" w:rsidR="004530F0" w:rsidRPr="004530F0" w:rsidRDefault="004530F0" w:rsidP="00804C7C">
      <w:pPr>
        <w:pStyle w:val="LITlitera"/>
      </w:pPr>
      <w:r w:rsidRPr="004530F0">
        <w:t>a)</w:t>
      </w:r>
      <w:r w:rsidR="00AE27A5">
        <w:tab/>
      </w:r>
      <w:r w:rsidRPr="004530F0">
        <w:t>uchyla się ust. 1</w:t>
      </w:r>
      <w:r w:rsidR="00BA3A0A">
        <w:t>‒</w:t>
      </w:r>
      <w:r w:rsidRPr="004530F0">
        <w:t>3</w:t>
      </w:r>
      <w:r w:rsidR="002E428C">
        <w:t>;</w:t>
      </w:r>
    </w:p>
    <w:p w14:paraId="654363BE" w14:textId="2EB05969" w:rsidR="0049226B" w:rsidRPr="0049226B" w:rsidRDefault="004530F0" w:rsidP="00804C7C">
      <w:pPr>
        <w:pStyle w:val="LITlitera"/>
      </w:pPr>
      <w:r w:rsidRPr="004530F0">
        <w:t>b)</w:t>
      </w:r>
      <w:r w:rsidR="00AE27A5">
        <w:tab/>
      </w:r>
      <w:r w:rsidRPr="004530F0">
        <w:t>po ust. 3 dodaje się ust. 4 w brzmieniu:</w:t>
      </w:r>
    </w:p>
    <w:p w14:paraId="655657F2" w14:textId="622FADB9" w:rsidR="0049226B" w:rsidRDefault="0049226B" w:rsidP="000B60F0">
      <w:pPr>
        <w:pStyle w:val="ZLITUSTzmustliter"/>
      </w:pPr>
      <w:r w:rsidRPr="0049226B">
        <w:t>„4. Minister właściwy do spraw instytucji finansowych, po zasięgnięciu opinii Komisji, może określić, w drodze rozporządzenia</w:t>
      </w:r>
      <w:r w:rsidR="00E72BA0">
        <w:t>,</w:t>
      </w:r>
      <w:r w:rsidRPr="0049226B">
        <w:t xml:space="preserve"> ekspozycje podlegające wyłączeniu z zakresu stosowania art. 37 rozporządzenia </w:t>
      </w:r>
      <w:r w:rsidR="00182D8B">
        <w:t>2019/2033</w:t>
      </w:r>
      <w:r w:rsidRPr="0049226B">
        <w:t xml:space="preserve">, </w:t>
      </w:r>
      <w:r w:rsidR="004530F0">
        <w:t xml:space="preserve">mając na </w:t>
      </w:r>
      <w:r w:rsidR="004530F0">
        <w:lastRenderedPageBreak/>
        <w:t>uwadze</w:t>
      </w:r>
      <w:r w:rsidR="002E428C">
        <w:t xml:space="preserve"> </w:t>
      </w:r>
      <w:r w:rsidRPr="0049226B">
        <w:t>spełnienie warunków określonych w art. 41 ust. 2</w:t>
      </w:r>
      <w:r w:rsidR="002E428C">
        <w:t xml:space="preserve"> lit. b</w:t>
      </w:r>
      <w:r w:rsidRPr="0049226B">
        <w:t xml:space="preserve"> </w:t>
      </w:r>
      <w:r w:rsidR="00E72BA0">
        <w:t xml:space="preserve">tego </w:t>
      </w:r>
      <w:r w:rsidRPr="0049226B">
        <w:t>rozporządzenia.”;</w:t>
      </w:r>
    </w:p>
    <w:p w14:paraId="03B577D8" w14:textId="1ABDBCA2" w:rsidR="00AE27A5" w:rsidRPr="0049226B" w:rsidRDefault="00CB3647" w:rsidP="00CB3647">
      <w:pPr>
        <w:pStyle w:val="PKTpunkt"/>
      </w:pPr>
      <w:r>
        <w:t>37</w:t>
      </w:r>
      <w:r w:rsidR="006852A3" w:rsidRPr="006852A3">
        <w:t>)</w:t>
      </w:r>
      <w:r w:rsidR="00AE27A5">
        <w:tab/>
      </w:r>
      <w:r w:rsidR="006852A3" w:rsidRPr="006852A3">
        <w:t>w art. 110zi ust. 1 uchyla się pkt 14;</w:t>
      </w:r>
    </w:p>
    <w:p w14:paraId="63C33B09" w14:textId="4AC21DB0" w:rsidR="0049226B" w:rsidRPr="0049226B" w:rsidRDefault="006E6BE0" w:rsidP="00751C01">
      <w:pPr>
        <w:pStyle w:val="PKTpunkt"/>
      </w:pPr>
      <w:r>
        <w:t>3</w:t>
      </w:r>
      <w:r w:rsidR="00CB3647">
        <w:t>8</w:t>
      </w:r>
      <w:r w:rsidR="003E5110">
        <w:t>)</w:t>
      </w:r>
      <w:r w:rsidR="003E5110">
        <w:tab/>
      </w:r>
      <w:r w:rsidR="0049226B" w:rsidRPr="0049226B">
        <w:t>w art. 110zj w ust. 3:</w:t>
      </w:r>
    </w:p>
    <w:p w14:paraId="53BCB07E" w14:textId="77777777" w:rsidR="0049226B" w:rsidRPr="0049226B" w:rsidRDefault="003E5110" w:rsidP="00751C01">
      <w:pPr>
        <w:pStyle w:val="LITlitera"/>
      </w:pPr>
      <w:r>
        <w:t>a)</w:t>
      </w:r>
      <w:r>
        <w:tab/>
      </w:r>
      <w:r w:rsidR="0049226B" w:rsidRPr="0049226B">
        <w:t>pkt 10 otrzymuje brzmienie;</w:t>
      </w:r>
    </w:p>
    <w:p w14:paraId="08CBC504" w14:textId="77777777" w:rsidR="0049226B" w:rsidRPr="0049226B" w:rsidRDefault="003E5110" w:rsidP="00B80030">
      <w:pPr>
        <w:pStyle w:val="ZLITPKTzmpktliter"/>
      </w:pPr>
      <w:r>
        <w:t>„10)</w:t>
      </w:r>
      <w:r>
        <w:tab/>
      </w:r>
      <w:r w:rsidR="0049226B" w:rsidRPr="0049226B">
        <w:t xml:space="preserve">czynności, które należy podjąć w celu utrzymania odpowiedniego poziomu funduszy własnych domu maklerskiego lub przywrócenia poziomu funduszy własnych do wysokości wymaganej zgodnie z art. 110e oraz zgodnie z przepisami rozporządzenia </w:t>
      </w:r>
      <w:r w:rsidR="00182D8B">
        <w:t>2019/2033</w:t>
      </w:r>
      <w:r w:rsidR="0049226B" w:rsidRPr="0049226B">
        <w:t>;”,</w:t>
      </w:r>
    </w:p>
    <w:p w14:paraId="0C51EBDE" w14:textId="77777777" w:rsidR="0049226B" w:rsidRPr="0049226B" w:rsidRDefault="003E5110" w:rsidP="00751C01">
      <w:pPr>
        <w:pStyle w:val="LITlitera"/>
      </w:pPr>
      <w:r>
        <w:t>b)</w:t>
      </w:r>
      <w:r>
        <w:tab/>
      </w:r>
      <w:r w:rsidR="0049226B" w:rsidRPr="0049226B">
        <w:t>pkt</w:t>
      </w:r>
      <w:r w:rsidR="009E7B7B">
        <w:t xml:space="preserve"> 12</w:t>
      </w:r>
      <w:r w:rsidR="0049226B" w:rsidRPr="0049226B">
        <w:t xml:space="preserve"> otrzymuje brzmienie:</w:t>
      </w:r>
    </w:p>
    <w:p w14:paraId="3DD26D14" w14:textId="77777777" w:rsidR="0049226B" w:rsidRDefault="003E5110" w:rsidP="00B80030">
      <w:pPr>
        <w:pStyle w:val="ZLITPKTzmpktliter"/>
      </w:pPr>
      <w:r>
        <w:t>„12)</w:t>
      </w:r>
      <w:r>
        <w:tab/>
      </w:r>
      <w:r w:rsidR="0049226B" w:rsidRPr="0049226B">
        <w:t>uzgodnienia mające na celu ograniczenie ryzyka;”</w:t>
      </w:r>
      <w:r w:rsidR="00B80030">
        <w:t>;</w:t>
      </w:r>
    </w:p>
    <w:p w14:paraId="4CAF7267" w14:textId="70F40F7A" w:rsidR="006852A3" w:rsidRPr="006852A3" w:rsidRDefault="009D1756" w:rsidP="000B60F0">
      <w:pPr>
        <w:pStyle w:val="PKTpunkt"/>
      </w:pPr>
      <w:r>
        <w:t>3</w:t>
      </w:r>
      <w:r w:rsidR="00CB3647">
        <w:t>9</w:t>
      </w:r>
      <w:r w:rsidR="006852A3" w:rsidRPr="006852A3">
        <w:t>)</w:t>
      </w:r>
      <w:r w:rsidR="00AE27A5">
        <w:tab/>
      </w:r>
      <w:r w:rsidR="006852A3" w:rsidRPr="006852A3">
        <w:t>w art. 110zk uchyla się ust. 4;</w:t>
      </w:r>
    </w:p>
    <w:p w14:paraId="01C4C6F8" w14:textId="7F5AF0FB" w:rsidR="006852A3" w:rsidRPr="006852A3" w:rsidRDefault="00CB3647" w:rsidP="000B60F0">
      <w:pPr>
        <w:pStyle w:val="PKTpunkt"/>
      </w:pPr>
      <w:r>
        <w:t>40</w:t>
      </w:r>
      <w:r w:rsidR="006852A3" w:rsidRPr="006852A3">
        <w:t>)</w:t>
      </w:r>
      <w:r w:rsidR="00AE27A5">
        <w:tab/>
      </w:r>
      <w:r w:rsidR="006852A3" w:rsidRPr="006852A3">
        <w:t xml:space="preserve">w art. 110zl w ust. 2 wykreśla się na końcu wyrazy </w:t>
      </w:r>
      <w:r w:rsidR="005E4020">
        <w:t>„</w:t>
      </w:r>
      <w:r w:rsidR="006852A3" w:rsidRPr="006852A3">
        <w:t>i istotnych oddziałów</w:t>
      </w:r>
      <w:r w:rsidR="005E4020">
        <w:t>”</w:t>
      </w:r>
      <w:r w:rsidR="006852A3" w:rsidRPr="006852A3">
        <w:t>;</w:t>
      </w:r>
    </w:p>
    <w:p w14:paraId="7511BAA2" w14:textId="2F3C1F2F" w:rsidR="006852A3" w:rsidRPr="006852A3" w:rsidRDefault="009D1756" w:rsidP="000B60F0">
      <w:pPr>
        <w:pStyle w:val="PKTpunkt"/>
      </w:pPr>
      <w:r>
        <w:t>4</w:t>
      </w:r>
      <w:r w:rsidR="00CB3647">
        <w:t>1</w:t>
      </w:r>
      <w:r w:rsidR="006852A3" w:rsidRPr="006852A3">
        <w:t>)</w:t>
      </w:r>
      <w:r w:rsidR="00AE27A5">
        <w:tab/>
      </w:r>
      <w:r w:rsidR="006852A3" w:rsidRPr="006852A3">
        <w:t>w art. 110zm:</w:t>
      </w:r>
    </w:p>
    <w:p w14:paraId="4431CEF1" w14:textId="469C3973" w:rsidR="006852A3" w:rsidRPr="006852A3" w:rsidRDefault="000B60F0" w:rsidP="000B60F0">
      <w:pPr>
        <w:pStyle w:val="LITlitera"/>
      </w:pPr>
      <w:r>
        <w:t>a)</w:t>
      </w:r>
      <w:r>
        <w:tab/>
      </w:r>
      <w:r w:rsidR="006852A3" w:rsidRPr="006852A3">
        <w:t>w ust. 2 uchyla się pkt 2,</w:t>
      </w:r>
    </w:p>
    <w:p w14:paraId="45DCC84B" w14:textId="5EDBD46D" w:rsidR="006852A3" w:rsidRPr="006852A3" w:rsidRDefault="000B60F0" w:rsidP="000B60F0">
      <w:pPr>
        <w:pStyle w:val="LITlitera"/>
      </w:pPr>
      <w:r>
        <w:t>b)</w:t>
      </w:r>
      <w:r>
        <w:tab/>
      </w:r>
      <w:r w:rsidR="005E4020">
        <w:t xml:space="preserve">w </w:t>
      </w:r>
      <w:r w:rsidR="006852A3" w:rsidRPr="006852A3">
        <w:t>ust. 3 wprowadzenie do wyliczenia otrzymuje brzmienie:</w:t>
      </w:r>
    </w:p>
    <w:p w14:paraId="41FCCFCB" w14:textId="2C672035" w:rsidR="006852A3" w:rsidRPr="0049226B" w:rsidRDefault="006852A3" w:rsidP="000B60F0">
      <w:pPr>
        <w:pStyle w:val="ZLITUSTzmustliter"/>
      </w:pPr>
      <w:r w:rsidRPr="006852A3">
        <w:t>„3. Komisja dąży do osiągnięcia porozumienia z właściwymi organami nadzoru dla podmiotów zależnych wchodzących w skład grupy w zakresie:</w:t>
      </w:r>
      <w:r w:rsidR="00AE682E" w:rsidRPr="00AE682E">
        <w:t>”;</w:t>
      </w:r>
    </w:p>
    <w:p w14:paraId="1ABC83D4" w14:textId="7BAFF7D6" w:rsidR="0049226B" w:rsidRPr="0049226B" w:rsidRDefault="009D1756" w:rsidP="002168D3">
      <w:pPr>
        <w:pStyle w:val="PKTpunkt"/>
      </w:pPr>
      <w:r>
        <w:t>4</w:t>
      </w:r>
      <w:r w:rsidR="00CB3647">
        <w:t>2</w:t>
      </w:r>
      <w:r w:rsidR="003E5110">
        <w:t>)</w:t>
      </w:r>
      <w:r w:rsidR="003E5110">
        <w:tab/>
      </w:r>
      <w:r w:rsidR="0049226B" w:rsidRPr="0049226B">
        <w:t>w art. 110zt:</w:t>
      </w:r>
    </w:p>
    <w:p w14:paraId="4D1A10C4" w14:textId="77777777" w:rsidR="0049226B" w:rsidRPr="0049226B" w:rsidRDefault="0049226B" w:rsidP="002168D3">
      <w:pPr>
        <w:pStyle w:val="LITlitera"/>
      </w:pPr>
      <w:r w:rsidRPr="0049226B">
        <w:t>a)</w:t>
      </w:r>
      <w:r w:rsidR="003E5110">
        <w:tab/>
      </w:r>
      <w:r w:rsidRPr="0049226B">
        <w:t>pkt 7 otrzymuje brzmienie:</w:t>
      </w:r>
    </w:p>
    <w:p w14:paraId="7C02043E" w14:textId="77777777" w:rsidR="0049226B" w:rsidRPr="0049226B" w:rsidRDefault="003E5110" w:rsidP="00B80030">
      <w:pPr>
        <w:pStyle w:val="ZLITPKTzmpktliter"/>
      </w:pPr>
      <w:r>
        <w:t>„7)</w:t>
      </w:r>
      <w:r>
        <w:tab/>
      </w:r>
      <w:r w:rsidR="0049226B" w:rsidRPr="0049226B">
        <w:t>w momencie udzielania wsparcia finansowego dom maklerski udzielający wsparcia finansowego spełnia wymagania określone w oddziale 2a, przepisach wykonawczych wydanych na podstawie art. 110x oraz nałożone na dom maklerski dodatkowe wymogi, o których mowa w art. 110y ust. 1 pkt 9, a udzielenie wsparcia finansowego nie spowoduje naruszenia tych wymagań przez dom maklerski, chyba że zgody na to udzieli Komisja;</w:t>
      </w:r>
      <w:r w:rsidR="009E7B7B" w:rsidRPr="0049226B">
        <w:t>”</w:t>
      </w:r>
      <w:r w:rsidR="009E7B7B">
        <w:t>,</w:t>
      </w:r>
    </w:p>
    <w:p w14:paraId="7469C4F1" w14:textId="77777777" w:rsidR="0049226B" w:rsidRPr="0049226B" w:rsidRDefault="003E5110" w:rsidP="002168D3">
      <w:pPr>
        <w:pStyle w:val="LITlitera"/>
      </w:pPr>
      <w:r>
        <w:t>b)</w:t>
      </w:r>
      <w:r>
        <w:tab/>
      </w:r>
      <w:r w:rsidR="0049226B" w:rsidRPr="0049226B">
        <w:t>uchyla się</w:t>
      </w:r>
      <w:r w:rsidR="002757B6" w:rsidRPr="002757B6">
        <w:t xml:space="preserve"> </w:t>
      </w:r>
      <w:r w:rsidR="002757B6" w:rsidRPr="0049226B">
        <w:t>pkt 8</w:t>
      </w:r>
      <w:r w:rsidR="0049226B" w:rsidRPr="0049226B">
        <w:t>;</w:t>
      </w:r>
    </w:p>
    <w:p w14:paraId="18B54CA9" w14:textId="7AA5B124" w:rsidR="0049226B" w:rsidRPr="0049226B" w:rsidRDefault="009D1756" w:rsidP="002168D3">
      <w:pPr>
        <w:pStyle w:val="PKTpunkt"/>
      </w:pPr>
      <w:r>
        <w:t>4</w:t>
      </w:r>
      <w:r w:rsidR="00CB3647">
        <w:t>3</w:t>
      </w:r>
      <w:r w:rsidR="003E5110">
        <w:t>)</w:t>
      </w:r>
      <w:r w:rsidR="003E5110">
        <w:tab/>
      </w:r>
      <w:r w:rsidR="00185DDB">
        <w:t xml:space="preserve">w </w:t>
      </w:r>
      <w:r w:rsidR="0049226B" w:rsidRPr="0049226B">
        <w:t xml:space="preserve">art. 110zy </w:t>
      </w:r>
      <w:r w:rsidR="00185DDB">
        <w:t xml:space="preserve">zdanie pierwsze </w:t>
      </w:r>
      <w:r w:rsidR="0049226B" w:rsidRPr="0049226B">
        <w:t>otrzymuje brzmienie:</w:t>
      </w:r>
    </w:p>
    <w:p w14:paraId="7E4AB3A7" w14:textId="724E5D4D" w:rsidR="0049226B" w:rsidRPr="0049226B" w:rsidRDefault="003E5110" w:rsidP="00EC3638">
      <w:pPr>
        <w:pStyle w:val="ZARTzmartartykuempunktem"/>
      </w:pPr>
      <w:r>
        <w:t>„</w:t>
      </w:r>
      <w:r w:rsidR="0049226B" w:rsidRPr="0049226B">
        <w:t xml:space="preserve">Dom maklerski podaje do publicznej wiadomości, zgodnie z art. 46 rozporządzenia </w:t>
      </w:r>
      <w:r w:rsidR="00182D8B">
        <w:t>2019/2033</w:t>
      </w:r>
      <w:r w:rsidR="0049226B" w:rsidRPr="0049226B">
        <w:t>, informację, czy jest stroną umowy dotyczącej wsparcia finansowego w ramach grupy.</w:t>
      </w:r>
      <w:r w:rsidR="009E7B7B" w:rsidRPr="0049226B">
        <w:t>”</w:t>
      </w:r>
      <w:r w:rsidR="0049226B" w:rsidRPr="0049226B">
        <w:t>;</w:t>
      </w:r>
    </w:p>
    <w:p w14:paraId="12DAF9B8" w14:textId="590AF72D" w:rsidR="0049226B" w:rsidRPr="0049226B" w:rsidRDefault="006E6BE0" w:rsidP="002168D3">
      <w:pPr>
        <w:pStyle w:val="PKTpunkt"/>
      </w:pPr>
      <w:r>
        <w:t>4</w:t>
      </w:r>
      <w:r w:rsidR="00CB3647">
        <w:t>4</w:t>
      </w:r>
      <w:r w:rsidR="0049226B" w:rsidRPr="0049226B">
        <w:t>)</w:t>
      </w:r>
      <w:r w:rsidR="003E5110">
        <w:tab/>
      </w:r>
      <w:r w:rsidR="0049226B" w:rsidRPr="0049226B">
        <w:t>w art. 110zz:</w:t>
      </w:r>
    </w:p>
    <w:p w14:paraId="75AAB89E" w14:textId="77777777" w:rsidR="0049226B" w:rsidRPr="0049226B" w:rsidRDefault="003E5110" w:rsidP="002168D3">
      <w:pPr>
        <w:pStyle w:val="LITlitera"/>
      </w:pPr>
      <w:r>
        <w:t>a)</w:t>
      </w:r>
      <w:r>
        <w:tab/>
      </w:r>
      <w:r w:rsidR="0049226B" w:rsidRPr="0049226B">
        <w:t>w ust. 1 wprowadzenie do wyliczenia otrzymuje brzmienie:</w:t>
      </w:r>
    </w:p>
    <w:p w14:paraId="31798F1E" w14:textId="49D5F1BC" w:rsidR="0049226B" w:rsidRPr="0049226B" w:rsidRDefault="003E5110" w:rsidP="00B80030">
      <w:pPr>
        <w:pStyle w:val="ZLITUSTzmustliter"/>
      </w:pPr>
      <w:r>
        <w:lastRenderedPageBreak/>
        <w:t>„</w:t>
      </w:r>
      <w:r w:rsidR="0049226B" w:rsidRPr="0049226B">
        <w:t xml:space="preserve">Jeżeli ze względu na szybko pogarszającą się sytuację finansową domu maklerskiego, w tym pogarszającą się płynność, rosnącą wartość pożyczek zagrożonych udzielonych przez dom maklerski lub koncentrację ekspozycji, dom maklerski narusza albo z dużym prawdopodobieństwem naruszy przepisy art. 98, oddziału 2a, rozporządzenia </w:t>
      </w:r>
      <w:r w:rsidR="00182D8B">
        <w:t>2019/2033</w:t>
      </w:r>
      <w:r w:rsidR="0049226B" w:rsidRPr="0049226B">
        <w:t>, art. 3</w:t>
      </w:r>
      <w:r w:rsidR="009E7B7B">
        <w:t>‒7, art. 14‒</w:t>
      </w:r>
      <w:r w:rsidR="0049226B" w:rsidRPr="0049226B">
        <w:t>17, art. 24, art. 25 lub art. 26 rozporządzenia nr 600/2014, niezależnie od środków nadzorczych przewidzianych w art. 110y, Komisja, w drodze decyzji, może zastosować wobec domu maklerskiego następując</w:t>
      </w:r>
      <w:r w:rsidR="009E7B7B">
        <w:t>e środki wczesnej interwencji:”,</w:t>
      </w:r>
    </w:p>
    <w:p w14:paraId="1F744658" w14:textId="77777777" w:rsidR="0049226B" w:rsidRPr="0049226B" w:rsidRDefault="003E5110" w:rsidP="002168D3">
      <w:pPr>
        <w:pStyle w:val="LITlitera"/>
      </w:pPr>
      <w:r>
        <w:t>b)</w:t>
      </w:r>
      <w:r>
        <w:tab/>
      </w:r>
      <w:r w:rsidR="0049226B" w:rsidRPr="0049226B">
        <w:t>ust. 2 otrzymuje brzmienie:</w:t>
      </w:r>
    </w:p>
    <w:p w14:paraId="4ABB6CA5" w14:textId="77777777" w:rsidR="0049226B" w:rsidRPr="0049226B" w:rsidRDefault="003E5110" w:rsidP="00B80030">
      <w:pPr>
        <w:pStyle w:val="ZLITUSTzmustliter"/>
      </w:pPr>
      <w:r>
        <w:t xml:space="preserve">„2. </w:t>
      </w:r>
      <w:r w:rsidR="0049226B" w:rsidRPr="0049226B">
        <w:t xml:space="preserve">Przy ocenie sytuacji finansowej domu maklerskiego Komisja może brać pod uwagę w szczególności zachowanie przez dom maklerski wymogów funduszy własnych określonych w art. 9 ust. 1 rozporządzenia </w:t>
      </w:r>
      <w:r w:rsidR="00182D8B">
        <w:t>2019/2033</w:t>
      </w:r>
      <w:r w:rsidR="0049226B" w:rsidRPr="0049226B">
        <w:t>, powiększonych o 19 punktów procentowych.”;</w:t>
      </w:r>
    </w:p>
    <w:p w14:paraId="1343C525" w14:textId="28651FD2" w:rsidR="0049226B" w:rsidRPr="0049226B" w:rsidRDefault="009D1756" w:rsidP="002168D3">
      <w:pPr>
        <w:pStyle w:val="PKTpunkt"/>
      </w:pPr>
      <w:r>
        <w:t>4</w:t>
      </w:r>
      <w:r w:rsidR="00CB3647">
        <w:t>5</w:t>
      </w:r>
      <w:r w:rsidR="003E5110">
        <w:t>)</w:t>
      </w:r>
      <w:r w:rsidR="003E5110">
        <w:tab/>
      </w:r>
      <w:r w:rsidR="0049226B" w:rsidRPr="0049226B">
        <w:t xml:space="preserve">w art. 111 </w:t>
      </w:r>
      <w:r w:rsidR="009E7B7B">
        <w:t xml:space="preserve">w </w:t>
      </w:r>
      <w:r w:rsidR="0049226B" w:rsidRPr="0049226B">
        <w:t>ust. 2 pkt 3 otrzymuje brzmienie:</w:t>
      </w:r>
    </w:p>
    <w:p w14:paraId="29EECFB2" w14:textId="6426019B" w:rsidR="0049226B" w:rsidRPr="0049226B" w:rsidRDefault="003E5110" w:rsidP="00B80030">
      <w:pPr>
        <w:pStyle w:val="ZPKTzmpktartykuempunktem"/>
      </w:pPr>
      <w:r>
        <w:t>„3)</w:t>
      </w:r>
      <w:r>
        <w:tab/>
      </w:r>
      <w:r w:rsidR="0049226B" w:rsidRPr="0049226B">
        <w:t xml:space="preserve">oświadczenia członków zarządu, rady nadzorczej, komisji rewizyjnej, o ile jest ustanowiona, jak również innych osób, które odpowiadają za rozpoczęcie przez wnioskodawcę działalności maklerskiej lub będą nią kierować, że nie były uznane prawomocnym orzeczeniem za winne popełnienia przestępstwa skarbowego, przestępstwa przeciwko wiarygodności dokumentów, mieniu, obrotowi gospodarczemu, obrotowi pieniędzmi i papierami wartościowymi, przestępstw lub wykroczeń określonych w art. 305, art. 307 lub art. 308 ustawy z dnia 30 czerwca 2000 r. </w:t>
      </w:r>
      <w:r w:rsidR="00562CEC">
        <w:t>‒</w:t>
      </w:r>
      <w:r w:rsidR="0049226B" w:rsidRPr="0049226B">
        <w:t xml:space="preserve"> Prawo własności przemysłowej, przestępstwa określonego w ustawach, o których mowa w art. 1 ust. 2 ustawy z dnia 21 lipca 2006 r. o nadzorze nad rynkiem finansowym, przestępstwa stanowiącego naruszenie równoważnych przepisów obowiązujących w innych państwach członkowskich oraz że w okresie 3 lat poprzedzających dzień złożenia wniosku nie zostały ukarane w trybie administracyjnym przez właściwy organ nadzoru innego państwa członkowskiego za naruszenie przepisów wdrażających dyrektywę Parlamentu Europejskiego i Rady 2013/36/UE z dnia 26 czerwca 2013 r. w sprawie warunków dopuszczenia instytucji kredytowych do działalności oraz nadzoru ostrożnościowego nad instytucjami kredytowymi, zmieniającą dyrektywę 2002/87/WE i uchylającą dyrektywy 2006/48/WE oraz 2006/49/WE lub przepisów rozporządzenia 575/2013, przepisów wdrażających dyrektywę Parlamentu Europejskiego i Rady (UE) 2019/2034 z dnia </w:t>
      </w:r>
      <w:r w:rsidR="0049226B" w:rsidRPr="0049226B">
        <w:lastRenderedPageBreak/>
        <w:t xml:space="preserve">27 listopada 2019 r. w sprawie nadzoru ostrożnościowego nad firmami inwestycyjnymi oraz zmieniającą dyrektywy 2002/87/WE, 2009/65/WE, 2011/61/UE, 2013/36/UE, 2014/59/UE i 2014/65/UE lub przepisów rozporządzenia </w:t>
      </w:r>
      <w:r w:rsidR="00182D8B">
        <w:t>2019/2033</w:t>
      </w:r>
      <w:r w:rsidR="0049226B" w:rsidRPr="0049226B">
        <w:t>;”;</w:t>
      </w:r>
    </w:p>
    <w:p w14:paraId="49A29C6E" w14:textId="0DD3CDD8" w:rsidR="0049226B" w:rsidRPr="0049226B" w:rsidRDefault="006E6BE0" w:rsidP="002168D3">
      <w:pPr>
        <w:pStyle w:val="PKTpunkt"/>
      </w:pPr>
      <w:r>
        <w:t>4</w:t>
      </w:r>
      <w:r w:rsidR="00CB3647">
        <w:t>6</w:t>
      </w:r>
      <w:r w:rsidR="0049226B" w:rsidRPr="0049226B">
        <w:t>)</w:t>
      </w:r>
      <w:r w:rsidR="003E5110">
        <w:tab/>
      </w:r>
      <w:r w:rsidR="0049226B" w:rsidRPr="0049226B">
        <w:t>w art. 115:</w:t>
      </w:r>
    </w:p>
    <w:p w14:paraId="7E580DB6" w14:textId="77777777" w:rsidR="0049226B" w:rsidRPr="0049226B" w:rsidRDefault="0049226B" w:rsidP="002168D3">
      <w:pPr>
        <w:pStyle w:val="LITlitera"/>
      </w:pPr>
      <w:r w:rsidRPr="0049226B">
        <w:t>a)</w:t>
      </w:r>
      <w:r w:rsidR="003E5110">
        <w:tab/>
      </w:r>
      <w:r w:rsidR="009E7B7B">
        <w:t xml:space="preserve">w </w:t>
      </w:r>
      <w:r w:rsidRPr="0049226B">
        <w:t>ust. 4 pkt 2 otrzymuje brzmienie:</w:t>
      </w:r>
    </w:p>
    <w:p w14:paraId="1312F296" w14:textId="77777777" w:rsidR="0049226B" w:rsidRPr="0049226B" w:rsidRDefault="003E5110" w:rsidP="009E7B7B">
      <w:pPr>
        <w:pStyle w:val="ZLITPKTzmpktliter"/>
      </w:pPr>
      <w:r>
        <w:t>„2)</w:t>
      </w:r>
      <w:r>
        <w:tab/>
      </w:r>
      <w:r w:rsidR="0049226B" w:rsidRPr="0049226B">
        <w:t xml:space="preserve">podlegania przez zagraniczną osobę prawną w państwie jej siedziby wymogom w zakresie adekwatności kapitałowej równoważnym z wymogami określonymi w przepisach oddziału 2a i rozporządzenia </w:t>
      </w:r>
      <w:r w:rsidR="00182D8B">
        <w:t>2019/2033</w:t>
      </w:r>
      <w:r w:rsidR="009E7B7B">
        <w:t>;”,</w:t>
      </w:r>
    </w:p>
    <w:p w14:paraId="58F11485" w14:textId="4479D0CB" w:rsidR="0049226B" w:rsidRPr="0049226B" w:rsidRDefault="0049226B" w:rsidP="002168D3">
      <w:pPr>
        <w:pStyle w:val="LITlitera"/>
      </w:pPr>
      <w:r w:rsidRPr="0049226B">
        <w:t>b</w:t>
      </w:r>
      <w:r w:rsidR="003E5110">
        <w:t>)</w:t>
      </w:r>
      <w:r w:rsidR="003E5110">
        <w:tab/>
      </w:r>
      <w:r w:rsidR="009E7B7B">
        <w:t>dodaje się ust. 9–</w:t>
      </w:r>
      <w:r w:rsidR="009E7B7B" w:rsidRPr="0049226B">
        <w:t>1</w:t>
      </w:r>
      <w:r w:rsidR="009E7B7B">
        <w:t>1</w:t>
      </w:r>
      <w:r w:rsidR="009E7B7B" w:rsidRPr="0049226B">
        <w:t xml:space="preserve"> </w:t>
      </w:r>
      <w:r w:rsidRPr="0049226B">
        <w:t>w brzmieniu:</w:t>
      </w:r>
    </w:p>
    <w:p w14:paraId="33AD1CB7" w14:textId="104BC8ED" w:rsidR="0049226B" w:rsidRDefault="0049226B" w:rsidP="00B80030">
      <w:pPr>
        <w:pStyle w:val="ZLITUSTzmustliter"/>
      </w:pPr>
      <w:r w:rsidRPr="0049226B">
        <w:t>„9. Komisja</w:t>
      </w:r>
      <w:r w:rsidR="00D31D0F">
        <w:t>, corocznie,</w:t>
      </w:r>
      <w:r w:rsidRPr="0049226B">
        <w:t xml:space="preserve"> przekazuje Europejskiemu Urzędowi Nadzoru Giełd i Papierów Wartościowych listę zagranicznych osób prawnych, o których mowa w ust. 1. </w:t>
      </w:r>
    </w:p>
    <w:p w14:paraId="13336FA0" w14:textId="77777777" w:rsidR="008B78C7" w:rsidRDefault="008B78C7" w:rsidP="00B80030">
      <w:pPr>
        <w:pStyle w:val="ZLITUSTzmustliter"/>
      </w:pPr>
      <w:r w:rsidRPr="008B78C7">
        <w:t xml:space="preserve">10. </w:t>
      </w:r>
      <w:r w:rsidR="003B2944" w:rsidRPr="003B2944">
        <w:t>Komisja informuje Europejski Urząd Nadzoru Giełd i Papierów Wa</w:t>
      </w:r>
      <w:r w:rsidR="003B2944">
        <w:t>rtościowych, na jego wniosek, o</w:t>
      </w:r>
      <w:r w:rsidR="00A1515F">
        <w:t>:</w:t>
      </w:r>
    </w:p>
    <w:p w14:paraId="374E0A1E" w14:textId="2A31168D" w:rsidR="00A1515F" w:rsidRDefault="00FC3E8E" w:rsidP="00014325">
      <w:pPr>
        <w:pStyle w:val="ZLITPKTzmpktliter"/>
      </w:pPr>
      <w:r>
        <w:t>1)</w:t>
      </w:r>
      <w:r>
        <w:tab/>
      </w:r>
      <w:r w:rsidRPr="00FC3E8E">
        <w:t xml:space="preserve">wydanych zezwoleniach na </w:t>
      </w:r>
      <w:r>
        <w:t>prowadzenie działalności maklerskiej przez zagraniczną osobę prawną</w:t>
      </w:r>
      <w:r w:rsidRPr="00FC3E8E">
        <w:t xml:space="preserve"> oraz o zmianach tych zezwoleń;</w:t>
      </w:r>
    </w:p>
    <w:p w14:paraId="47E6F531" w14:textId="383AE582" w:rsidR="003B2944" w:rsidRPr="003B2944" w:rsidRDefault="003B2944" w:rsidP="00014325">
      <w:pPr>
        <w:pStyle w:val="ZLITPKTzmpktliter"/>
      </w:pPr>
      <w:r w:rsidRPr="003B2944">
        <w:t>2)</w:t>
      </w:r>
      <w:r w:rsidR="002757B6">
        <w:tab/>
      </w:r>
      <w:r w:rsidRPr="003B2944">
        <w:t>rodzaju wykonywanych czynności, zakresu i skali działalności prowadzonej przez oddział;</w:t>
      </w:r>
    </w:p>
    <w:p w14:paraId="02593FE8" w14:textId="46836E3D" w:rsidR="003B2944" w:rsidRDefault="003B2944" w:rsidP="00014325">
      <w:pPr>
        <w:pStyle w:val="ZLITPKTzmpktliter"/>
      </w:pPr>
      <w:r w:rsidRPr="003B2944">
        <w:t>3)</w:t>
      </w:r>
      <w:r w:rsidR="002757B6">
        <w:tab/>
      </w:r>
      <w:r w:rsidRPr="003B2944">
        <w:t>kwocie przychodów i całkowitych aktywów oddziału;</w:t>
      </w:r>
    </w:p>
    <w:p w14:paraId="34F5585C" w14:textId="3B28F4F9" w:rsidR="005731A1" w:rsidRPr="0049226B" w:rsidRDefault="005731A1" w:rsidP="00014325">
      <w:pPr>
        <w:pStyle w:val="ZLITPKTzmpktliter"/>
      </w:pPr>
      <w:r>
        <w:t>4)</w:t>
      </w:r>
      <w:r w:rsidR="003E5110">
        <w:tab/>
      </w:r>
      <w:r>
        <w:t xml:space="preserve">nazwie grupy </w:t>
      </w:r>
      <w:r w:rsidR="00434FD7">
        <w:t xml:space="preserve">kapitałowej </w:t>
      </w:r>
      <w:r>
        <w:t>z państwa trzeciego, do której należy zagraniczna osoba prawna.</w:t>
      </w:r>
    </w:p>
    <w:p w14:paraId="434B9A4A" w14:textId="41CEB293" w:rsidR="0049226B" w:rsidRPr="0049226B" w:rsidRDefault="009E7B7B" w:rsidP="00B80030">
      <w:pPr>
        <w:pStyle w:val="ZLITUSTzmustliter"/>
      </w:pPr>
      <w:r w:rsidRPr="0049226B">
        <w:t>1</w:t>
      </w:r>
      <w:r>
        <w:t>1</w:t>
      </w:r>
      <w:r w:rsidR="0049226B" w:rsidRPr="0049226B">
        <w:t>. Komisja współpracuje z zagraniczną osobą prawną, o której mowa w ust. 1, Europejskim Urzędem Nadzoru Giełd i Papierów Wartościowych oraz Europejskim Urzędem Nadzoru Bankowego.”;</w:t>
      </w:r>
    </w:p>
    <w:p w14:paraId="466AE3B2" w14:textId="5B44AED9" w:rsidR="0049226B" w:rsidRPr="0049226B" w:rsidRDefault="009D1756" w:rsidP="002168D3">
      <w:pPr>
        <w:pStyle w:val="PKTpunkt"/>
      </w:pPr>
      <w:r>
        <w:t>4</w:t>
      </w:r>
      <w:r w:rsidR="00CB3647">
        <w:t>7</w:t>
      </w:r>
      <w:r w:rsidR="0049226B" w:rsidRPr="0049226B">
        <w:t>)</w:t>
      </w:r>
      <w:r w:rsidR="003E5110">
        <w:tab/>
      </w:r>
      <w:r w:rsidR="0049226B" w:rsidRPr="0049226B">
        <w:t>w art. 115a ust. 1 i 2 otrzymuj</w:t>
      </w:r>
      <w:r w:rsidR="00442032">
        <w:t xml:space="preserve">ą </w:t>
      </w:r>
      <w:r w:rsidR="0049226B" w:rsidRPr="0049226B">
        <w:t>brzmienie:</w:t>
      </w:r>
    </w:p>
    <w:p w14:paraId="0DAE0333" w14:textId="77777777" w:rsidR="0049226B" w:rsidRPr="0049226B" w:rsidRDefault="0049226B" w:rsidP="001C41F3">
      <w:pPr>
        <w:pStyle w:val="ZUSTzmustartykuempunktem"/>
      </w:pPr>
      <w:r w:rsidRPr="0049226B">
        <w:t xml:space="preserve">„1. Nie stanowi działalności maklerskiej wymagającej uzyskania zezwolenia na jej prowadzenie lub świadczenie przez podmiot, mający miejsce zamieszkania lub siedzibę na terytorium państwa innego niż Rzeczpospolita Polska, usługi na rzecz klienta mającego siedzibę, miejsce zamieszkania lub przebywającego na terytorium Rzeczypospolitej Polskiej, jeżeli do rozpoczęcia świadczenia tej usługi doprowadził ze swojej wyłącznej inicjatywy ten klient. </w:t>
      </w:r>
    </w:p>
    <w:p w14:paraId="67BD85B4" w14:textId="3EC03961" w:rsidR="0049226B" w:rsidRPr="0049226B" w:rsidRDefault="0049226B" w:rsidP="001C41F3">
      <w:pPr>
        <w:pStyle w:val="ZUSTzmustartykuempunktem"/>
      </w:pPr>
      <w:r w:rsidRPr="0049226B">
        <w:lastRenderedPageBreak/>
        <w:t xml:space="preserve">2. Wyłączenie, o którym mowa w ust. 1, nie obejmuje proponowania klientowi przez podmiot </w:t>
      </w:r>
      <w:r w:rsidR="00CD7E91">
        <w:t xml:space="preserve">posiadający </w:t>
      </w:r>
      <w:r w:rsidR="00CD7E91" w:rsidRPr="0049226B">
        <w:t xml:space="preserve">miejsce zamieszkania lub siedzibę na terytorium państwa innego niż Rzeczpospolita Polska </w:t>
      </w:r>
      <w:r w:rsidRPr="0049226B">
        <w:t>ani przez podmiot lub osobę działając</w:t>
      </w:r>
      <w:r w:rsidR="00CD7E91">
        <w:t>ych</w:t>
      </w:r>
      <w:r w:rsidRPr="0049226B">
        <w:t xml:space="preserve"> </w:t>
      </w:r>
      <w:r w:rsidR="003B2944">
        <w:t xml:space="preserve">w </w:t>
      </w:r>
      <w:r w:rsidR="00CD7E91">
        <w:t xml:space="preserve">jego </w:t>
      </w:r>
      <w:r w:rsidRPr="0049226B">
        <w:t>imieniu lub blisk</w:t>
      </w:r>
      <w:r w:rsidR="00CD7E91">
        <w:t>o</w:t>
      </w:r>
      <w:r w:rsidR="00804C7C">
        <w:t xml:space="preserve"> </w:t>
      </w:r>
      <w:r w:rsidR="00CD7E91">
        <w:t xml:space="preserve">z nim </w:t>
      </w:r>
      <w:r w:rsidRPr="0049226B">
        <w:t>powiązan</w:t>
      </w:r>
      <w:r w:rsidR="00CD7E91">
        <w:t>ych</w:t>
      </w:r>
      <w:r w:rsidRPr="0049226B">
        <w:t xml:space="preserve"> usługi dotyczącej instrumentów finansowych innego rodzaju, niż będące przedmiotem usług świadczonych zgodnie z ust. 1, lub proponowania mu innych usług niż świadczone zgodnie z ust. 1.”;</w:t>
      </w:r>
    </w:p>
    <w:p w14:paraId="6CBF43D9" w14:textId="66D5B232" w:rsidR="0049226B" w:rsidRPr="0049226B" w:rsidRDefault="009D1756" w:rsidP="002168D3">
      <w:pPr>
        <w:pStyle w:val="PKTpunkt"/>
      </w:pPr>
      <w:r>
        <w:t>4</w:t>
      </w:r>
      <w:r w:rsidR="00CB3647">
        <w:t>8</w:t>
      </w:r>
      <w:r w:rsidR="00FB585D">
        <w:t>)</w:t>
      </w:r>
      <w:r w:rsidR="00FB585D">
        <w:tab/>
      </w:r>
      <w:r w:rsidR="0049226B" w:rsidRPr="0049226B">
        <w:t>po art. 115b dodaje się art. 115c w brzmieniu:</w:t>
      </w:r>
    </w:p>
    <w:p w14:paraId="009AC689" w14:textId="5C2A4926" w:rsidR="0049226B" w:rsidRPr="0049226B" w:rsidRDefault="0049226B" w:rsidP="00B80030">
      <w:pPr>
        <w:pStyle w:val="ZARTzmartartykuempunktem"/>
      </w:pPr>
      <w:r w:rsidRPr="0049226B">
        <w:t>„Art. 115c</w:t>
      </w:r>
      <w:r w:rsidR="00B80030" w:rsidRPr="00B80030">
        <w:t>.</w:t>
      </w:r>
      <w:r w:rsidRPr="0049226B">
        <w:t xml:space="preserve"> Zagraniczna osoba prawna, o której mowa w art. 115 ust. 1, przekazuje Komisji</w:t>
      </w:r>
      <w:r w:rsidR="00CD7E91">
        <w:t>,</w:t>
      </w:r>
      <w:r w:rsidR="00CD7E91" w:rsidRPr="00CD7E91">
        <w:t xml:space="preserve"> </w:t>
      </w:r>
      <w:r w:rsidR="00CD7E91" w:rsidRPr="0049226B">
        <w:t>corocznie</w:t>
      </w:r>
      <w:r w:rsidR="00CD7E91">
        <w:t>,</w:t>
      </w:r>
      <w:r w:rsidRPr="0049226B">
        <w:t xml:space="preserve"> informacje</w:t>
      </w:r>
      <w:r w:rsidR="00B815F8">
        <w:t xml:space="preserve"> o</w:t>
      </w:r>
      <w:r w:rsidRPr="0049226B">
        <w:t xml:space="preserve">: </w:t>
      </w:r>
    </w:p>
    <w:p w14:paraId="4CBF1C0F" w14:textId="04E23D5B" w:rsidR="0049226B" w:rsidRPr="0049226B" w:rsidRDefault="00FC3E8E" w:rsidP="00014325">
      <w:pPr>
        <w:pStyle w:val="ZPKTzmpktartykuempunktem"/>
      </w:pPr>
      <w:r>
        <w:t>1)</w:t>
      </w:r>
      <w:r w:rsidR="00FB585D">
        <w:tab/>
      </w:r>
      <w:r w:rsidR="0049226B" w:rsidRPr="0049226B">
        <w:t>skali i zakres</w:t>
      </w:r>
      <w:r w:rsidR="00CD7E91">
        <w:t>ie</w:t>
      </w:r>
      <w:r w:rsidR="0049226B" w:rsidRPr="0049226B">
        <w:t xml:space="preserve"> usług świadczonych i </w:t>
      </w:r>
      <w:r w:rsidR="004E4716">
        <w:t xml:space="preserve">czynnościach wykonywanych </w:t>
      </w:r>
      <w:r w:rsidR="0049226B" w:rsidRPr="0049226B">
        <w:t xml:space="preserve">przez </w:t>
      </w:r>
      <w:r w:rsidR="003B2944" w:rsidRPr="0049226B">
        <w:t>t</w:t>
      </w:r>
      <w:r w:rsidR="003B2944">
        <w:t>ę</w:t>
      </w:r>
      <w:r w:rsidR="003B2944" w:rsidRPr="0049226B">
        <w:t xml:space="preserve"> </w:t>
      </w:r>
      <w:r w:rsidR="0049226B" w:rsidRPr="0049226B">
        <w:t xml:space="preserve">osobę na terytorium Rzeczypospolitej Polskiej; </w:t>
      </w:r>
    </w:p>
    <w:p w14:paraId="5AA43E52" w14:textId="2D4AD3FE" w:rsidR="0049226B" w:rsidRPr="0049226B" w:rsidRDefault="00FC3E8E" w:rsidP="00014325">
      <w:pPr>
        <w:pStyle w:val="ZPKTzmpktartykuempunktem"/>
      </w:pPr>
      <w:r>
        <w:t>2)</w:t>
      </w:r>
      <w:r w:rsidR="00FB585D">
        <w:tab/>
      </w:r>
      <w:r w:rsidR="0049226B" w:rsidRPr="0049226B">
        <w:t>miesięczn</w:t>
      </w:r>
      <w:r w:rsidR="00CD7E91">
        <w:t>ych</w:t>
      </w:r>
      <w:r w:rsidR="00804C7C">
        <w:t xml:space="preserve"> </w:t>
      </w:r>
      <w:r w:rsidR="0049226B" w:rsidRPr="0049226B">
        <w:t>minimaln</w:t>
      </w:r>
      <w:r w:rsidR="00CD7E91">
        <w:t xml:space="preserve">ych, </w:t>
      </w:r>
      <w:r w:rsidR="0049226B" w:rsidRPr="0049226B">
        <w:t>średni</w:t>
      </w:r>
      <w:r w:rsidR="00CD7E91">
        <w:t>ch</w:t>
      </w:r>
      <w:r w:rsidR="00804C7C">
        <w:t xml:space="preserve"> </w:t>
      </w:r>
      <w:r w:rsidR="0049226B" w:rsidRPr="0049226B">
        <w:t>i maksymaln</w:t>
      </w:r>
      <w:r w:rsidR="00CD7E91">
        <w:t>ych</w:t>
      </w:r>
      <w:r w:rsidR="00804C7C">
        <w:t xml:space="preserve"> </w:t>
      </w:r>
      <w:r w:rsidR="0049226B" w:rsidRPr="0049226B">
        <w:t>ekspozycj</w:t>
      </w:r>
      <w:r w:rsidR="00CD7E91">
        <w:t xml:space="preserve">ach </w:t>
      </w:r>
      <w:r w:rsidR="0049226B" w:rsidRPr="0049226B">
        <w:t>wobec kontrahentów z Unii Europejskiej</w:t>
      </w:r>
      <w:r w:rsidR="00CD7E91">
        <w:t xml:space="preserve">, w przypadku gdy </w:t>
      </w:r>
      <w:r w:rsidR="00B815F8">
        <w:t xml:space="preserve">jej </w:t>
      </w:r>
      <w:r w:rsidR="00CD7E91" w:rsidRPr="0049226B">
        <w:t xml:space="preserve">działalność </w:t>
      </w:r>
      <w:r w:rsidR="00CD7E91">
        <w:t>o</w:t>
      </w:r>
      <w:r w:rsidR="00CD7E91" w:rsidRPr="0049226B">
        <w:t>bejmuje czynności, o których mowa w art. 69 ust. 2 pkt 3</w:t>
      </w:r>
      <w:r w:rsidR="00B815F8">
        <w:t>;</w:t>
      </w:r>
    </w:p>
    <w:p w14:paraId="69F7B10B" w14:textId="4163E3CC" w:rsidR="0049226B" w:rsidRPr="0049226B" w:rsidRDefault="00FC3E8E" w:rsidP="00014325">
      <w:pPr>
        <w:pStyle w:val="ZPKTzmpktartykuempunktem"/>
      </w:pPr>
      <w:r>
        <w:t>3)</w:t>
      </w:r>
      <w:r w:rsidR="00FB585D">
        <w:tab/>
      </w:r>
      <w:r w:rsidR="0049226B" w:rsidRPr="0049226B">
        <w:t>łącznej wartoś</w:t>
      </w:r>
      <w:r w:rsidR="00B27723">
        <w:t>ci</w:t>
      </w:r>
      <w:r w:rsidR="0049226B" w:rsidRPr="0049226B">
        <w:t xml:space="preserve"> instrumentów finansowych pochodzących od kontrahentów z Unii Europejskiej będących przedmiotem tych usług w okresie poprzednich 12 miesięcy</w:t>
      </w:r>
      <w:r w:rsidR="00B815F8">
        <w:t>, w przypadku gdy</w:t>
      </w:r>
      <w:r w:rsidR="00804C7C">
        <w:t xml:space="preserve"> </w:t>
      </w:r>
      <w:r w:rsidR="00B815F8">
        <w:t xml:space="preserve">jej </w:t>
      </w:r>
      <w:r w:rsidR="00B815F8" w:rsidRPr="0049226B">
        <w:t>działalność obejmuje usługi, o których mowa w art. 69 ust. 2 pkt. 6 lub 7</w:t>
      </w:r>
      <w:r w:rsidR="00014325">
        <w:t>;</w:t>
      </w:r>
    </w:p>
    <w:p w14:paraId="5E4FEA5B" w14:textId="5DF1868F" w:rsidR="0049226B" w:rsidRPr="0049226B" w:rsidRDefault="00FC3E8E" w:rsidP="00014325">
      <w:pPr>
        <w:pStyle w:val="ZPKTzmpktartykuempunktem"/>
      </w:pPr>
      <w:r>
        <w:t>4)</w:t>
      </w:r>
      <w:r w:rsidR="00FB585D">
        <w:tab/>
      </w:r>
      <w:r w:rsidR="0049226B" w:rsidRPr="0049226B">
        <w:t>obro</w:t>
      </w:r>
      <w:r w:rsidR="00B815F8">
        <w:t>cie</w:t>
      </w:r>
      <w:r w:rsidR="00804C7C">
        <w:t xml:space="preserve"> </w:t>
      </w:r>
      <w:r w:rsidR="0049226B" w:rsidRPr="0049226B">
        <w:t>i zbiorczej wartości aktywów odpowiadających usługom i działalności, o których mowa w lit. a;</w:t>
      </w:r>
    </w:p>
    <w:p w14:paraId="3ADE8C76" w14:textId="6B6409E9" w:rsidR="0049226B" w:rsidRPr="0049226B" w:rsidRDefault="005731A1" w:rsidP="00014325">
      <w:pPr>
        <w:pStyle w:val="ZPKTzmpktartykuempunktem"/>
      </w:pPr>
      <w:r>
        <w:t>5)</w:t>
      </w:r>
      <w:r w:rsidR="00FB585D">
        <w:tab/>
      </w:r>
      <w:r w:rsidR="00B815F8">
        <w:t xml:space="preserve">o </w:t>
      </w:r>
      <w:r w:rsidR="0049226B" w:rsidRPr="0049226B">
        <w:t>mechanizm</w:t>
      </w:r>
      <w:r w:rsidR="00B815F8">
        <w:t xml:space="preserve">ach </w:t>
      </w:r>
      <w:r w:rsidR="0049226B" w:rsidRPr="0049226B">
        <w:t xml:space="preserve">ochrony inwestorów dostępnych dla klientów oddziału, w tym praw tych klientów wynikających z systemu rekompensat dla inwestorów; </w:t>
      </w:r>
    </w:p>
    <w:p w14:paraId="06BF57D3" w14:textId="5077FDE4" w:rsidR="0049226B" w:rsidRPr="0049226B" w:rsidRDefault="005731A1" w:rsidP="00014325">
      <w:pPr>
        <w:pStyle w:val="ZPKTzmpktartykuempunktem"/>
      </w:pPr>
      <w:r>
        <w:t>6)</w:t>
      </w:r>
      <w:r w:rsidR="00FB585D">
        <w:tab/>
      </w:r>
      <w:r w:rsidR="0049226B" w:rsidRPr="0049226B">
        <w:t>polity</w:t>
      </w:r>
      <w:r w:rsidR="00B815F8">
        <w:t>ce</w:t>
      </w:r>
      <w:r w:rsidR="00804C7C">
        <w:t xml:space="preserve"> </w:t>
      </w:r>
      <w:r w:rsidR="0049226B" w:rsidRPr="0049226B">
        <w:t>i mechanizm</w:t>
      </w:r>
      <w:r w:rsidR="00B815F8">
        <w:t>ach</w:t>
      </w:r>
      <w:r w:rsidR="00804C7C">
        <w:t xml:space="preserve"> </w:t>
      </w:r>
      <w:r w:rsidR="0049226B" w:rsidRPr="0049226B">
        <w:t>zarządzania ryzykiem</w:t>
      </w:r>
      <w:r w:rsidR="00B815F8">
        <w:t>,</w:t>
      </w:r>
      <w:r w:rsidR="00AE27A5">
        <w:t xml:space="preserve"> </w:t>
      </w:r>
      <w:r w:rsidR="0049226B" w:rsidRPr="0049226B">
        <w:t xml:space="preserve">stosowanych przez oddział przy świadczeniu usług i prowadzeniu działalności, o których mowa w lit. a; </w:t>
      </w:r>
    </w:p>
    <w:p w14:paraId="7598DBAB" w14:textId="036387AB" w:rsidR="0049226B" w:rsidRPr="0049226B" w:rsidRDefault="005731A1" w:rsidP="00014325">
      <w:pPr>
        <w:pStyle w:val="ZPKTzmpktartykuempunktem"/>
      </w:pPr>
      <w:r>
        <w:t>7)</w:t>
      </w:r>
      <w:r w:rsidR="00FB585D">
        <w:tab/>
      </w:r>
      <w:r w:rsidR="0049226B" w:rsidRPr="0049226B">
        <w:t>zasad</w:t>
      </w:r>
      <w:r w:rsidR="00B815F8">
        <w:t xml:space="preserve">ach </w:t>
      </w:r>
      <w:r w:rsidR="0049226B" w:rsidRPr="0049226B">
        <w:t xml:space="preserve">zarządzania, w tym </w:t>
      </w:r>
      <w:r w:rsidR="00B815F8">
        <w:t xml:space="preserve">o </w:t>
      </w:r>
      <w:r w:rsidR="0049226B" w:rsidRPr="0049226B">
        <w:t>os</w:t>
      </w:r>
      <w:r w:rsidR="00B815F8">
        <w:t>obach</w:t>
      </w:r>
      <w:r w:rsidR="00804C7C">
        <w:t xml:space="preserve"> </w:t>
      </w:r>
      <w:r w:rsidR="0049226B" w:rsidRPr="0049226B">
        <w:t>pełniących najważniejsze funkcje w</w:t>
      </w:r>
      <w:r w:rsidR="00B815F8">
        <w:t xml:space="preserve"> jej</w:t>
      </w:r>
      <w:r w:rsidR="0049226B" w:rsidRPr="0049226B">
        <w:t xml:space="preserve"> działalności; </w:t>
      </w:r>
    </w:p>
    <w:p w14:paraId="04301ACC" w14:textId="2E56D6A9" w:rsidR="0049226B" w:rsidRPr="0049226B" w:rsidRDefault="005731A1" w:rsidP="00014325">
      <w:pPr>
        <w:pStyle w:val="ZPKTzmpktartykuempunktem"/>
      </w:pPr>
      <w:r>
        <w:t>8)</w:t>
      </w:r>
      <w:r w:rsidR="00FB585D">
        <w:tab/>
      </w:r>
      <w:r w:rsidR="00B815F8">
        <w:t xml:space="preserve">innych okolicznościach, </w:t>
      </w:r>
      <w:r w:rsidR="0049226B" w:rsidRPr="0049226B">
        <w:t>które właściwy organ uzna za niezbędne, aby umożliwić kompleksowe monitorowanie działalności oddziału.”;</w:t>
      </w:r>
    </w:p>
    <w:p w14:paraId="4480B856" w14:textId="4AD58271" w:rsidR="0049226B" w:rsidRPr="0049226B" w:rsidRDefault="009D1756" w:rsidP="002168D3">
      <w:pPr>
        <w:pStyle w:val="PKTpunkt"/>
      </w:pPr>
      <w:r>
        <w:t>4</w:t>
      </w:r>
      <w:r w:rsidR="00CB3647">
        <w:t>9</w:t>
      </w:r>
      <w:r w:rsidR="00FB585D">
        <w:t>)</w:t>
      </w:r>
      <w:r w:rsidR="00FB585D">
        <w:tab/>
      </w:r>
      <w:r w:rsidR="0049226B" w:rsidRPr="0049226B">
        <w:t xml:space="preserve">w art. 119 </w:t>
      </w:r>
      <w:r w:rsidR="001C41F3">
        <w:t xml:space="preserve">w </w:t>
      </w:r>
      <w:r w:rsidR="0049226B" w:rsidRPr="0049226B">
        <w:t>ust. 4 pkt 7 otrzymuje brzmienie:</w:t>
      </w:r>
    </w:p>
    <w:p w14:paraId="192C85E0" w14:textId="4921E1BD" w:rsidR="0049226B" w:rsidRPr="0049226B" w:rsidRDefault="00FB585D" w:rsidP="00B80030">
      <w:pPr>
        <w:pStyle w:val="ZPKTzmpktartykuempunktem"/>
      </w:pPr>
      <w:r>
        <w:t>„7)</w:t>
      </w:r>
      <w:r>
        <w:tab/>
      </w:r>
      <w:r w:rsidR="0049226B" w:rsidRPr="0049226B">
        <w:t xml:space="preserve">oświadczenia osób, które będą kierować działalnością objętą wnioskiem, o nieuznaniu prawomocnym orzeczeniem za winne popełnienia przestępstwa skarbowego, przestępstwa przeciwko wiarygodności dokumentów, mieniu, obrotowi gospodarczemu, obrotowi pieniędzmi i papierami wartościowymi, </w:t>
      </w:r>
      <w:r w:rsidR="0049226B" w:rsidRPr="0049226B">
        <w:lastRenderedPageBreak/>
        <w:t xml:space="preserve">przestępstw lub wykroczeń określonych w art. 305, art. 307 lub art. 308 ustawy z dnia 30 czerwca 2000 r. </w:t>
      </w:r>
      <w:r w:rsidR="00562CEC">
        <w:t>‒</w:t>
      </w:r>
      <w:r w:rsidR="0049226B" w:rsidRPr="0049226B">
        <w:t xml:space="preserve"> Prawo własności przemysłowej, przestępstwa określonego w ustawach, o których mowa w art. 1 ust. 2 ustawy z dnia 21 lipca 2006 r. o nadzorze nad rynkiem finansowym, oraz że w okresie 3 lat poprzedzających dzień złożenia wniosku nie zostały ukarane w trybie administracyjnym przez właściwy organ nadzoru za naruszenie przepisów wdrażających dyrektywę Parlamentu Europejskiego i Rady 2013/36/UE z dnia 26 czerwca 2013 r. w sprawie warunków dopuszczenia instytucji kredytowych do działalności oraz nadzoru ostrożnościowego nad instytucjami kredytowymi, zmieniającą dyrektywę 2002/87/WE i uchylającą dyrektywy 2006/48/WE oraz 2006/49/WE lub przepisów rozporządzenia 575/2013, przepisów wdrażających dyrektywę Parlamentu Europejskiego i Rady (UE) 2019/2034 z dnia 27 listopada 2019 r. w sprawie nadzoru ostrożnościowego nad firmami inwestycyjnymi oraz zmieniającą dyrektywy 2002/87/WE, 2009/65/WE, 2011/61/UE, 2013/36/UE, 2014/59/UE i 2014/65/UE lub przepisów rozporządzenia </w:t>
      </w:r>
      <w:r w:rsidR="00182D8B">
        <w:t>2019/2033</w:t>
      </w:r>
      <w:r w:rsidR="0049226B" w:rsidRPr="0049226B">
        <w:t>.”;</w:t>
      </w:r>
    </w:p>
    <w:p w14:paraId="5C18928D" w14:textId="29BBF04E" w:rsidR="0049226B" w:rsidRPr="0049226B" w:rsidRDefault="00CB3647" w:rsidP="002168D3">
      <w:pPr>
        <w:pStyle w:val="PKTpunkt"/>
      </w:pPr>
      <w:r>
        <w:t>50</w:t>
      </w:r>
      <w:r w:rsidR="0049226B" w:rsidRPr="00DE18D9">
        <w:t>)</w:t>
      </w:r>
      <w:r w:rsidR="00FB585D">
        <w:tab/>
      </w:r>
      <w:r w:rsidR="0049226B" w:rsidRPr="00DE18D9">
        <w:t>w art. 150</w:t>
      </w:r>
      <w:r w:rsidR="00B815F8">
        <w:t xml:space="preserve"> w ust. 1</w:t>
      </w:r>
      <w:r w:rsidR="0049226B" w:rsidRPr="00DE18D9">
        <w:t>:</w:t>
      </w:r>
    </w:p>
    <w:p w14:paraId="35BB238F" w14:textId="502124B4" w:rsidR="0049226B" w:rsidRPr="0049226B" w:rsidRDefault="00FB585D" w:rsidP="002168D3">
      <w:pPr>
        <w:pStyle w:val="LITlitera"/>
      </w:pPr>
      <w:r>
        <w:t>a)</w:t>
      </w:r>
      <w:r>
        <w:tab/>
      </w:r>
      <w:r w:rsidR="0049226B" w:rsidRPr="0049226B">
        <w:t>pkt 7a i 7b otrzymuj</w:t>
      </w:r>
      <w:r w:rsidR="00B815F8">
        <w:t>ą</w:t>
      </w:r>
      <w:r w:rsidR="0049226B" w:rsidRPr="0049226B">
        <w:t xml:space="preserve"> brzmienie:</w:t>
      </w:r>
    </w:p>
    <w:p w14:paraId="674FF3D9" w14:textId="1D8FEA18" w:rsidR="0049226B" w:rsidRPr="0049226B" w:rsidRDefault="00FB585D" w:rsidP="00804C7C">
      <w:pPr>
        <w:pStyle w:val="ZLITPKTzmpktliter"/>
      </w:pPr>
      <w:r>
        <w:t>„7a)</w:t>
      </w:r>
      <w:r>
        <w:tab/>
      </w:r>
      <w:r w:rsidR="0049226B" w:rsidRPr="0049226B">
        <w:t>przez dom maklerski podmiotowi podlegającemu w Rzeczypospolitej Polskiej lub w innym państwie członkowskim obowiązkom, o których mowa w przepisach działu IV rozdziału 1 oddziałów 2a i 2c</w:t>
      </w:r>
      <w:r w:rsidR="00B815F8">
        <w:t>,</w:t>
      </w:r>
      <w:r w:rsidR="0049226B" w:rsidRPr="0049226B">
        <w:t xml:space="preserve"> rozporządzenia </w:t>
      </w:r>
      <w:r w:rsidR="00182D8B">
        <w:t>2019/2033</w:t>
      </w:r>
      <w:r w:rsidR="0049226B" w:rsidRPr="0049226B">
        <w:t xml:space="preserve"> lub rozporządzenia 575/2013 w zakresie, w jakim jest to niezbędne do wykonania tych obowiązków;</w:t>
      </w:r>
    </w:p>
    <w:p w14:paraId="014AAFF1" w14:textId="77777777" w:rsidR="0049226B" w:rsidRPr="0049226B" w:rsidRDefault="00FB585D" w:rsidP="00804C7C">
      <w:pPr>
        <w:pStyle w:val="ZLITPKTzmpktliter"/>
      </w:pPr>
      <w:r>
        <w:t>7b)</w:t>
      </w:r>
      <w:r>
        <w:tab/>
      </w:r>
      <w:r w:rsidR="0049226B" w:rsidRPr="0049226B">
        <w:t>pomiędzy podmiotami zależnymi i dominującymi w grupie kapitałowej, do której należy dom maklerski, jeżeli informacje są objęte zakresem nadzoru na zasadzie skonsolidowanej lub nadzorem nad zgodnością z grupowym testem kapitałowym, o ile przekazanie tych informacji jest niezbędne do wykonania obowiązków, o których mowa w przepisach art. 110b, art. 110c, art. 110e, art. 110g ust. 2, art. 110m, art. 110p, art. 110q, art. 110v lub art. 110w oraz w przepisach dzia</w:t>
      </w:r>
      <w:r w:rsidR="00A07F52">
        <w:t>łu IV rozdziału 1 oddziału 2c;”,</w:t>
      </w:r>
    </w:p>
    <w:p w14:paraId="294C5771" w14:textId="77777777" w:rsidR="0049226B" w:rsidRPr="0049226B" w:rsidRDefault="00FB585D" w:rsidP="002168D3">
      <w:pPr>
        <w:pStyle w:val="LITlitera"/>
      </w:pPr>
      <w:r>
        <w:t>b)</w:t>
      </w:r>
      <w:r>
        <w:tab/>
      </w:r>
      <w:r w:rsidR="0049226B" w:rsidRPr="0049226B">
        <w:t>w pkt 14 uchyla się</w:t>
      </w:r>
      <w:r w:rsidR="002757B6" w:rsidRPr="002757B6">
        <w:t xml:space="preserve"> </w:t>
      </w:r>
      <w:r w:rsidR="002757B6" w:rsidRPr="0049226B">
        <w:t>lit. f</w:t>
      </w:r>
      <w:r w:rsidR="0049226B" w:rsidRPr="0049226B">
        <w:t>;</w:t>
      </w:r>
    </w:p>
    <w:p w14:paraId="70C347F1" w14:textId="2C1F432F" w:rsidR="0049226B" w:rsidRPr="0049226B" w:rsidRDefault="009D1756" w:rsidP="002168D3">
      <w:pPr>
        <w:pStyle w:val="PKTpunkt"/>
      </w:pPr>
      <w:r>
        <w:t>5</w:t>
      </w:r>
      <w:r w:rsidR="00CB3647">
        <w:t>1</w:t>
      </w:r>
      <w:r w:rsidR="00FB585D">
        <w:t>)</w:t>
      </w:r>
      <w:r w:rsidR="00FB585D">
        <w:tab/>
      </w:r>
      <w:r w:rsidR="0049226B" w:rsidRPr="0049226B">
        <w:t>w art. 162 ust. 1 otrzymuje brzmienie</w:t>
      </w:r>
      <w:r w:rsidR="009E262A">
        <w:t>:</w:t>
      </w:r>
    </w:p>
    <w:p w14:paraId="0EABCF3E" w14:textId="3271548E" w:rsidR="0049226B" w:rsidRPr="0049226B" w:rsidRDefault="0049226B" w:rsidP="00B815F8">
      <w:pPr>
        <w:pStyle w:val="ZUSTzmustartykuempunktem"/>
      </w:pPr>
      <w:r w:rsidRPr="0049226B">
        <w:t xml:space="preserve">„1. Udzielenie zezwolenia, pozwolenia lub zgody przewidzianych niniejszą ustawą, rozporządzeniem </w:t>
      </w:r>
      <w:r w:rsidR="00182D8B">
        <w:t>2019/2033</w:t>
      </w:r>
      <w:r w:rsidRPr="0049226B">
        <w:t xml:space="preserve"> lub rozporządzeniem 575/2013 </w:t>
      </w:r>
      <w:r w:rsidR="00562CEC">
        <w:t>‒</w:t>
      </w:r>
      <w:r w:rsidRPr="0049226B">
        <w:t xml:space="preserve"> w zakresie zezwoleń, </w:t>
      </w:r>
      <w:r w:rsidRPr="0049226B">
        <w:lastRenderedPageBreak/>
        <w:t>pozwoleń lub zgód udzielanych domom maklerskim, lub rozporządzeniem 648/2012 podlega opłacie w wysokości nie większej niż równowartość w złotych 4</w:t>
      </w:r>
      <w:r w:rsidR="005E4020">
        <w:t xml:space="preserve"> </w:t>
      </w:r>
      <w:r w:rsidRPr="0049226B">
        <w:t>500 euro.”;</w:t>
      </w:r>
    </w:p>
    <w:p w14:paraId="703A41EE" w14:textId="1B0234A8" w:rsidR="00FA783E" w:rsidRDefault="009D1756" w:rsidP="002168D3">
      <w:pPr>
        <w:pStyle w:val="PKTpunkt"/>
      </w:pPr>
      <w:r>
        <w:t>5</w:t>
      </w:r>
      <w:r w:rsidR="00CB3647">
        <w:t>2</w:t>
      </w:r>
      <w:r w:rsidR="00FB585D">
        <w:t>)</w:t>
      </w:r>
      <w:r w:rsidR="00FB585D">
        <w:tab/>
      </w:r>
      <w:r w:rsidR="0049226B" w:rsidRPr="0049226B">
        <w:t>w art. 167</w:t>
      </w:r>
      <w:r w:rsidR="00FA783E">
        <w:t>:</w:t>
      </w:r>
      <w:r w:rsidR="00A07F52">
        <w:t xml:space="preserve"> </w:t>
      </w:r>
    </w:p>
    <w:p w14:paraId="06004173" w14:textId="0109F2C1" w:rsidR="0049226B" w:rsidRPr="0049226B" w:rsidRDefault="00FA783E" w:rsidP="00804C7C">
      <w:pPr>
        <w:pStyle w:val="LITlitera"/>
      </w:pPr>
      <w:r>
        <w:t>a)</w:t>
      </w:r>
      <w:r w:rsidR="00AE27A5">
        <w:tab/>
      </w:r>
      <w:r w:rsidR="00A07F52">
        <w:t>w</w:t>
      </w:r>
      <w:r w:rsidR="0049226B" w:rsidRPr="0049226B">
        <w:t xml:space="preserve"> ust. 1 pkt 1 otrzymuje brzmienie:</w:t>
      </w:r>
    </w:p>
    <w:p w14:paraId="52DB812A" w14:textId="5CB15EE6" w:rsidR="00FA783E" w:rsidRDefault="00FB585D" w:rsidP="00804C7C">
      <w:pPr>
        <w:pStyle w:val="ZLITPKTzmpktliter"/>
      </w:pPr>
      <w:r>
        <w:t>„1)</w:t>
      </w:r>
      <w:r>
        <w:tab/>
      </w:r>
      <w:r w:rsidR="0049226B" w:rsidRPr="0049226B">
        <w:t xml:space="preserve">narusza przepisy ustawy lub innych ustaw mających zastosowanie do działalności firmy inwestycyjnej, w tym zasad i trybu jej wykonywania, przepisy wydane na ich podstawie lub przepisy rozporządzenia </w:t>
      </w:r>
      <w:r w:rsidR="00182D8B">
        <w:t>2019/2033</w:t>
      </w:r>
      <w:r w:rsidR="00562CEC">
        <w:t>,</w:t>
      </w:r>
      <w:r w:rsidR="0049226B" w:rsidRPr="0049226B">
        <w:t xml:space="preserve"> rozporządzenia 575/2013, rozporządzenia 596/2014, przepisy rozporządzenia 600/2014, przepisy rozporządzenia 1031/2010 lub inne bezpośrednio stosowane przepisy prawa Unii Europejskiej mające zastosowanie do działalności firmy inwestycyjnej;</w:t>
      </w:r>
      <w:r w:rsidR="004D1485" w:rsidRPr="004D1485">
        <w:t xml:space="preserve"> </w:t>
      </w:r>
      <w:r w:rsidR="004D1485" w:rsidRPr="0049226B">
        <w:t>”;</w:t>
      </w:r>
    </w:p>
    <w:p w14:paraId="49F6FE6D" w14:textId="1B928748" w:rsidR="00FA783E" w:rsidRDefault="00FA783E" w:rsidP="00804C7C">
      <w:pPr>
        <w:pStyle w:val="LITlitera"/>
      </w:pPr>
      <w:r>
        <w:t>b)</w:t>
      </w:r>
      <w:r w:rsidR="00AE27A5">
        <w:tab/>
      </w:r>
      <w:r>
        <w:t>w ust. 2 pkt 1 otrzymuje brzmienie:</w:t>
      </w:r>
    </w:p>
    <w:p w14:paraId="377E62DC" w14:textId="2CC1E390" w:rsidR="0049226B" w:rsidRPr="0049226B" w:rsidRDefault="004D1485" w:rsidP="00804C7C">
      <w:pPr>
        <w:pStyle w:val="ZLITPKTzmpktliter"/>
      </w:pPr>
      <w:r>
        <w:t>„</w:t>
      </w:r>
      <w:r w:rsidR="00FA783E">
        <w:t>1)</w:t>
      </w:r>
      <w:r w:rsidR="00AE27A5">
        <w:tab/>
      </w:r>
      <w:r w:rsidR="00FA783E" w:rsidRPr="00846898">
        <w:t xml:space="preserve">nałożyć na firmę inwestycyjną karę pieniężną do wysokości </w:t>
      </w:r>
      <w:r w:rsidR="00FA783E">
        <w:t>21 312 000</w:t>
      </w:r>
      <w:r w:rsidR="00FA783E" w:rsidRPr="00846898">
        <w:t xml:space="preserve"> zł albo do wysokości kwoty </w:t>
      </w:r>
      <w:r w:rsidR="00FA783E" w:rsidRPr="00FA783E">
        <w:t>stanowiącej</w:t>
      </w:r>
      <w:r w:rsidR="00FA783E" w:rsidRPr="00846898">
        <w:t xml:space="preserve"> równowartość 10% całkowitego rocznego przychodu wykazanego w ostatnim zbadanym sprawozdaniu finansowym za rok obrotowy, a w przypadku braku takiego sprawozdania karę pieniężną w wysokości do 10% prognozowanego przychodu w pierwszym roku działalności określonego w przedłożonej Komisji informacji finansowej, o której mowa w art. 5 lit. a rozporządzenia 2017/1943 – jeżeli przekracza ona </w:t>
      </w:r>
      <w:r w:rsidR="00FA783E">
        <w:t>21 312 000</w:t>
      </w:r>
      <w:r w:rsidR="00FA783E" w:rsidRPr="00846898">
        <w:t xml:space="preserve"> zł, albo</w:t>
      </w:r>
      <w:r w:rsidR="00FA783E" w:rsidRPr="0049226B">
        <w:t>;”;</w:t>
      </w:r>
    </w:p>
    <w:p w14:paraId="06A37428" w14:textId="3AE50282" w:rsidR="0049226B" w:rsidRPr="0049226B" w:rsidRDefault="009D1756" w:rsidP="002168D3">
      <w:pPr>
        <w:pStyle w:val="PKTpunkt"/>
      </w:pPr>
      <w:r>
        <w:t>5</w:t>
      </w:r>
      <w:r w:rsidR="00CB3647">
        <w:t>3</w:t>
      </w:r>
      <w:r w:rsidR="00FB585D">
        <w:t>)</w:t>
      </w:r>
      <w:r w:rsidR="00FB585D">
        <w:tab/>
      </w:r>
      <w:r w:rsidR="0049226B" w:rsidRPr="00DE18D9">
        <w:t>w art. 167a:</w:t>
      </w:r>
    </w:p>
    <w:p w14:paraId="47ABDB07" w14:textId="77777777" w:rsidR="0049226B" w:rsidRPr="0049226B" w:rsidRDefault="00FB585D" w:rsidP="002168D3">
      <w:pPr>
        <w:pStyle w:val="LITlitera"/>
      </w:pPr>
      <w:r>
        <w:t>a)</w:t>
      </w:r>
      <w:r>
        <w:tab/>
      </w:r>
      <w:r w:rsidR="0049226B" w:rsidRPr="0049226B">
        <w:t>ust. 1 otrzymuje brzmienie:</w:t>
      </w:r>
    </w:p>
    <w:p w14:paraId="26FE73BC" w14:textId="33F811AD" w:rsidR="0049226B" w:rsidRPr="0049226B" w:rsidRDefault="0049226B" w:rsidP="00650590">
      <w:pPr>
        <w:pStyle w:val="ZLITUSTzmustliter"/>
      </w:pPr>
      <w:r w:rsidRPr="0049226B">
        <w:t xml:space="preserve">„1. W przypadku gdy inwestycyjna spółka holdingowa, finansowa spółka holdingowa o działalności mieszanej lub holding mieszany naruszają przepisy ustawy, przepisy wydane na jej podstawie lub przepisy rozporządzenia </w:t>
      </w:r>
      <w:r w:rsidR="00182D8B">
        <w:t>2019/2033</w:t>
      </w:r>
      <w:r w:rsidRPr="0049226B">
        <w:t xml:space="preserve">, Komisja może nakazać tym podmiotom usunięcie stwierdzonych naruszeń lub przyczyn tych naruszeń lub nałożyć na te podmioty karę pieniężną w wysokości do 10% przychodu wykazanego w ostatnim zbadanym skonsolidowanym sprawozdaniu finansowym za rok obrotowy, a jeżeli ostatnie zbadane skonsolidowane sprawozdanie finansowe nie jest dostępne </w:t>
      </w:r>
      <w:r w:rsidR="00562CEC">
        <w:t>‒</w:t>
      </w:r>
      <w:r w:rsidRPr="0049226B">
        <w:t xml:space="preserve"> do wysokości </w:t>
      </w:r>
      <w:r w:rsidR="007B4774">
        <w:t>21 312 000</w:t>
      </w:r>
      <w:r w:rsidRPr="0049226B">
        <w:t xml:space="preserve"> zł, uwzględniając w szczególności wagę naruszenia, uprzednie naruszenia przepisów oraz sytu</w:t>
      </w:r>
      <w:r w:rsidR="00A07F52">
        <w:t>ację finansową tych podmiotów.”,</w:t>
      </w:r>
    </w:p>
    <w:p w14:paraId="0AAAC51F" w14:textId="77777777" w:rsidR="0049226B" w:rsidRPr="0049226B" w:rsidRDefault="00FB585D" w:rsidP="002168D3">
      <w:pPr>
        <w:pStyle w:val="LITlitera"/>
      </w:pPr>
      <w:r>
        <w:t>b)</w:t>
      </w:r>
      <w:r>
        <w:tab/>
      </w:r>
      <w:r w:rsidR="006530E7">
        <w:t xml:space="preserve">w </w:t>
      </w:r>
      <w:r w:rsidR="0049226B" w:rsidRPr="0049226B">
        <w:t xml:space="preserve">ust. 2b </w:t>
      </w:r>
      <w:r w:rsidR="006530E7">
        <w:t xml:space="preserve">zdanie pierwsze </w:t>
      </w:r>
      <w:r w:rsidR="0049226B" w:rsidRPr="0049226B">
        <w:t>otrzymuje brzmienie:</w:t>
      </w:r>
    </w:p>
    <w:p w14:paraId="5458F739" w14:textId="43F06015" w:rsidR="0049226B" w:rsidRPr="00DE18D9" w:rsidRDefault="0049226B" w:rsidP="00650590">
      <w:pPr>
        <w:pStyle w:val="ZLITUSTzmustliter"/>
      </w:pPr>
      <w:r w:rsidRPr="0049226B">
        <w:lastRenderedPageBreak/>
        <w:t>„W przypadku gdy jest możliwe ustalenie kwoty korzyści osiągniętej lub straty unikniętej przez inwestycyjną spółkę holdingową, finansową spółkę holdingową o działalności mieszanej lub holding mieszany w wyniku naruszenia, o którym mowa w ust. 1, zamiast kary, o której mowa w ust. 1, Komisja może nałożyć karę pieniężną w wysokości do dwukrotności kwoty osiągniętej korzyści lub unikniętej straty.</w:t>
      </w:r>
      <w:r w:rsidRPr="00DE18D9">
        <w:t>”;</w:t>
      </w:r>
    </w:p>
    <w:p w14:paraId="7411320D" w14:textId="0F3C41CB" w:rsidR="0049226B" w:rsidRPr="0049226B" w:rsidRDefault="009D1756" w:rsidP="002168D3">
      <w:pPr>
        <w:pStyle w:val="PKTpunkt"/>
      </w:pPr>
      <w:r>
        <w:t>5</w:t>
      </w:r>
      <w:r w:rsidR="00CB3647">
        <w:t>4</w:t>
      </w:r>
      <w:r w:rsidR="00FB585D">
        <w:t>)</w:t>
      </w:r>
      <w:r w:rsidR="00FB585D">
        <w:tab/>
      </w:r>
      <w:r w:rsidR="0049226B" w:rsidRPr="0049226B">
        <w:t>w art. 168a ust. 4 otrzymuje brzmienie:</w:t>
      </w:r>
    </w:p>
    <w:p w14:paraId="52BA0F96" w14:textId="19A5366A" w:rsidR="0049226B" w:rsidRPr="0049226B" w:rsidRDefault="00FB585D" w:rsidP="00A07F52">
      <w:pPr>
        <w:pStyle w:val="ZUSTzmustartykuempunktem"/>
      </w:pPr>
      <w:r>
        <w:t xml:space="preserve">„4. </w:t>
      </w:r>
      <w:r w:rsidR="0049226B" w:rsidRPr="0049226B">
        <w:t xml:space="preserve">W przypadku gdy naruszenia dokonane przez zagraniczną firmę inwestycyjną dotyczą przepisów działu IV rozdziału 1 oddziału 2a lub rozporządzenia </w:t>
      </w:r>
      <w:r w:rsidR="00182D8B">
        <w:t>2019/2033</w:t>
      </w:r>
      <w:r w:rsidR="0049226B" w:rsidRPr="0049226B">
        <w:t>, zastosowanie sankcji, o których mowa w ust. 2, następuje po poinformowaniu również Europejskiego Urzędu Nadzoru Bankowego</w:t>
      </w:r>
      <w:r w:rsidR="00C579D1">
        <w:t>.</w:t>
      </w:r>
      <w:r w:rsidR="0049226B" w:rsidRPr="0049226B">
        <w:t>”;</w:t>
      </w:r>
    </w:p>
    <w:p w14:paraId="46F4D8DD" w14:textId="5201A43D" w:rsidR="0049226B" w:rsidRPr="0049226B" w:rsidRDefault="009D1756" w:rsidP="005F197F">
      <w:pPr>
        <w:pStyle w:val="PKTpunkt"/>
        <w:ind w:left="0" w:firstLine="0"/>
      </w:pPr>
      <w:r>
        <w:t>5</w:t>
      </w:r>
      <w:r w:rsidR="00CB3647">
        <w:t>5</w:t>
      </w:r>
      <w:r w:rsidR="00FB585D">
        <w:t>)</w:t>
      </w:r>
      <w:r w:rsidR="00AE27A5">
        <w:tab/>
      </w:r>
      <w:r w:rsidR="00FB585D">
        <w:tab/>
      </w:r>
      <w:r w:rsidR="0049226B" w:rsidRPr="0049226B">
        <w:t>w art. 169b ust. 2 otrzymuje brzmienie:</w:t>
      </w:r>
    </w:p>
    <w:p w14:paraId="3A307B4A" w14:textId="667F7B42" w:rsidR="00A937B7" w:rsidRPr="0049226B" w:rsidRDefault="0049226B" w:rsidP="00A07F52">
      <w:pPr>
        <w:pStyle w:val="ZUSTzmustartykuempunktem"/>
      </w:pPr>
      <w:r w:rsidRPr="0049226B">
        <w:t>„2. Z zastrzeżeniem wymogów dotyczących ochrony tajemnicy zawodowej, o których mowa w art. 147, Komisja informuje Europejski Urząd Nadzoru Bankowego o sankcjach nałożonych w związku z naruszeniem przepisów działu IV rozdziału 1 oddziału 2a</w:t>
      </w:r>
      <w:r w:rsidR="006343D0">
        <w:t xml:space="preserve"> niniejszej ustawy</w:t>
      </w:r>
      <w:r w:rsidRPr="0049226B">
        <w:t xml:space="preserve">, rozporządzenia </w:t>
      </w:r>
      <w:r w:rsidR="00182D8B">
        <w:t>2019/2033</w:t>
      </w:r>
      <w:r w:rsidR="00AC756C">
        <w:t>,</w:t>
      </w:r>
      <w:r w:rsidRPr="0049226B">
        <w:t xml:space="preserve"> w przypadku, o którym mowa w art. 110a ust. 7</w:t>
      </w:r>
      <w:r w:rsidR="00640828">
        <w:t>, lub</w:t>
      </w:r>
      <w:r w:rsidRPr="0049226B">
        <w:t xml:space="preserve"> rozporządzenia 575/2013, a także o wniesionych środkach odwoławczych ora</w:t>
      </w:r>
      <w:r w:rsidR="00A07F52">
        <w:t>z o sposobie ich rozpatrzenia.”.</w:t>
      </w:r>
    </w:p>
    <w:p w14:paraId="3F7FD7B5" w14:textId="69E4EB6E" w:rsidR="008F6158" w:rsidRPr="008F6158" w:rsidRDefault="003377B9" w:rsidP="00804C7C">
      <w:pPr>
        <w:pStyle w:val="ARTartustawynprozporzdzenia"/>
      </w:pPr>
      <w:r>
        <w:rPr>
          <w:rStyle w:val="Ppogrubienie"/>
        </w:rPr>
        <w:t xml:space="preserve">Art. 2. </w:t>
      </w:r>
      <w:r>
        <w:t xml:space="preserve">W ustawie z dnia 29 sierpnia 1997 r. – Prawo bankowe (Dz. U. z 2019 r. poz. 2357 </w:t>
      </w:r>
      <w:r w:rsidRPr="000110D4">
        <w:t xml:space="preserve">oraz z 2020 r. </w:t>
      </w:r>
      <w:r>
        <w:t xml:space="preserve">poz. </w:t>
      </w:r>
      <w:r w:rsidRPr="000110D4">
        <w:t>284, 288</w:t>
      </w:r>
      <w:r w:rsidR="00D41E18">
        <w:t>,</w:t>
      </w:r>
      <w:r w:rsidRPr="000110D4">
        <w:t xml:space="preserve"> 321</w:t>
      </w:r>
      <w:r w:rsidR="002325E5">
        <w:t>,</w:t>
      </w:r>
      <w:r w:rsidR="00D41E18">
        <w:t xml:space="preserve"> 1086</w:t>
      </w:r>
      <w:r w:rsidR="002325E5">
        <w:t xml:space="preserve"> i 1639</w:t>
      </w:r>
      <w:r>
        <w:t>) wprowadza się następujące zmiany:</w:t>
      </w:r>
    </w:p>
    <w:p w14:paraId="445BBA4B" w14:textId="77777777" w:rsidR="00803B29" w:rsidRPr="0084074B" w:rsidRDefault="000661C6" w:rsidP="00803B29">
      <w:pPr>
        <w:pStyle w:val="PKTpunkt"/>
      </w:pPr>
      <w:r>
        <w:t>1</w:t>
      </w:r>
      <w:r w:rsidR="008F6158" w:rsidRPr="008F6158">
        <w:t>)</w:t>
      </w:r>
      <w:r w:rsidR="008F6158" w:rsidRPr="008F6158">
        <w:tab/>
      </w:r>
      <w:r w:rsidR="00803B29" w:rsidRPr="0084074B">
        <w:t>w art. 36:</w:t>
      </w:r>
    </w:p>
    <w:p w14:paraId="0E06B6A7" w14:textId="77777777" w:rsidR="00803B29" w:rsidRPr="0084074B" w:rsidRDefault="00803B29" w:rsidP="00803B29">
      <w:pPr>
        <w:pStyle w:val="LITlitera"/>
      </w:pPr>
      <w:r w:rsidRPr="0084074B">
        <w:t>a)</w:t>
      </w:r>
      <w:r w:rsidRPr="0084074B">
        <w:tab/>
        <w:t>ust. 1 i 2 otrzymują brzmienie:</w:t>
      </w:r>
    </w:p>
    <w:p w14:paraId="3299CB42" w14:textId="77777777" w:rsidR="00803B29" w:rsidRPr="0084074B" w:rsidRDefault="00803B29" w:rsidP="00803B29">
      <w:pPr>
        <w:pStyle w:val="ZLITUSTzmustliter"/>
      </w:pPr>
      <w:r w:rsidRPr="0084074B">
        <w:t>„1. Bank lub dom maklerski, o którym mowa w art. 69j ustawy z dnia 29 lipca 2005 r. o obrocie instrumentami finansowymi (Dz. U. z 2020 r. poz. 89, 284, 288 i 568) może rozpocząć działalność po uzyskaniu zezwolenia Komisji Nadzoru Finansowego.</w:t>
      </w:r>
    </w:p>
    <w:p w14:paraId="51176B5B" w14:textId="77777777" w:rsidR="00803B29" w:rsidRPr="0084074B" w:rsidRDefault="00803B29" w:rsidP="00803B29">
      <w:pPr>
        <w:pStyle w:val="ZLITUSTzmustliter"/>
      </w:pPr>
      <w:r w:rsidRPr="0084074B">
        <w:t xml:space="preserve">2. Z wnioskiem o wydanie zezwolenia na rozpoczęcie działalności bankowej występuje zarząd banku lub zarząd domu maklerskiego, o którym mowa w art. 69j ustawy z dnia 29 lipca 2005 r. o obrocie instrumentami finansowymi.”, </w:t>
      </w:r>
    </w:p>
    <w:p w14:paraId="0A7E6DBC" w14:textId="77777777" w:rsidR="00803B29" w:rsidRPr="0084074B" w:rsidRDefault="00803B29" w:rsidP="00803B29">
      <w:pPr>
        <w:pStyle w:val="LITlitera"/>
      </w:pPr>
      <w:r w:rsidRPr="0084074B">
        <w:t>b)</w:t>
      </w:r>
      <w:r w:rsidRPr="0084074B">
        <w:tab/>
        <w:t>w ust. 2a:</w:t>
      </w:r>
    </w:p>
    <w:p w14:paraId="2F447973" w14:textId="427BA728" w:rsidR="00803B29" w:rsidRPr="0084074B" w:rsidRDefault="00F721A9" w:rsidP="00A15978">
      <w:pPr>
        <w:pStyle w:val="TIRtiret"/>
      </w:pPr>
      <w:r w:rsidRPr="00F721A9">
        <w:t>–</w:t>
      </w:r>
      <w:r w:rsidR="00A15978">
        <w:tab/>
      </w:r>
      <w:r w:rsidR="00803B29" w:rsidRPr="00A15978">
        <w:t>pkt</w:t>
      </w:r>
      <w:r w:rsidR="00803B29" w:rsidRPr="0084074B">
        <w:t xml:space="preserve"> 1 i 2 otrzymują brzmienie:</w:t>
      </w:r>
    </w:p>
    <w:p w14:paraId="70F3F46F" w14:textId="77777777" w:rsidR="00803B29" w:rsidRPr="0084074B" w:rsidRDefault="00803B29" w:rsidP="00A15978">
      <w:pPr>
        <w:pStyle w:val="ZTIRPKTzmpkttiret"/>
      </w:pPr>
      <w:r w:rsidRPr="0084074B">
        <w:t>„1)</w:t>
      </w:r>
      <w:r w:rsidRPr="0084074B">
        <w:tab/>
        <w:t xml:space="preserve">dokumenty, o których mowa w art. 6 lit. c, f, h oraz i rozporządzenia delegowanego Komisji (UE) 2017/1943 z dnia 14 lipca 2016 r. uzupełniającego dyrektywę Parlamentu Europejskiego i Rady 2014/65/UE </w:t>
      </w:r>
      <w:r w:rsidRPr="0084074B">
        <w:lastRenderedPageBreak/>
        <w:t>w odniesieniu do regulacyjnych standardów technicznych dotyczących informacji i wymogów w zakresie udzielania zezwoleń firmom inwestycyjnym (Dz. Urz. UE L 276 z 26.10.2017, str. 4), odpowiadające zakresowi czynności, o których mowa w art. 69 ust. 2 pkt 1–7 ustawy z dnia 29 lipca 2005 r. o obrocie instrumentami finansowymi, które bank lub dom maklerski, o którym mowa w art. 69j ustawy z dnia 29 lipca 2005 r. o obrocie instrumentami finansowymi, zamierza wykonywać zgodnie z art. 70 ust. 2 tej ustawy;</w:t>
      </w:r>
    </w:p>
    <w:p w14:paraId="59F54759" w14:textId="77777777" w:rsidR="00803B29" w:rsidRPr="0084074B" w:rsidRDefault="00803B29" w:rsidP="00A15978">
      <w:pPr>
        <w:pStyle w:val="ZTIRPKTzmpkttiret"/>
      </w:pPr>
      <w:r w:rsidRPr="0084074B">
        <w:t>2)</w:t>
      </w:r>
      <w:r w:rsidRPr="0084074B">
        <w:tab/>
        <w:t>procedury oraz opis rozwiązań i systemów, o których mowa w art. 16 ust. 2 rozporządzenia 596/2014, w zakresie czynności, o których mowa w art. 69 ust. 2 pkt 1–7 ustawy z dnia 29 lipca 2005 r. o obrocie instrumentami finansowymi, które bank lub dom maklerski, o którym mowa w art. 69j ustawy z dnia 29 lipca 2005 r. o obrocie instrumentami finansowymi, zamierza wykonywać zgodnie z art. 70 ust. 2 tej ustawy;”,</w:t>
      </w:r>
    </w:p>
    <w:p w14:paraId="31BF1971" w14:textId="46614E52" w:rsidR="00803B29" w:rsidRPr="0084074B" w:rsidRDefault="00F721A9" w:rsidP="00A15978">
      <w:pPr>
        <w:pStyle w:val="TIRtiret"/>
      </w:pPr>
      <w:r w:rsidRPr="00F721A9">
        <w:t>–</w:t>
      </w:r>
      <w:r w:rsidR="00A15978">
        <w:tab/>
      </w:r>
      <w:r w:rsidR="00803B29" w:rsidRPr="0084074B">
        <w:t>dodaje się pkt 3 w brzmieniu:</w:t>
      </w:r>
    </w:p>
    <w:p w14:paraId="0B3FE46A" w14:textId="77777777" w:rsidR="00803B29" w:rsidRPr="0084074B" w:rsidRDefault="00803B29" w:rsidP="00A15978">
      <w:pPr>
        <w:pStyle w:val="ZTIRPKTzmpkttiret"/>
      </w:pPr>
      <w:r w:rsidRPr="0084074B">
        <w:t>„3)</w:t>
      </w:r>
      <w:r w:rsidRPr="0084074B">
        <w:tab/>
        <w:t>dokumenty i informacje określone w rozporządzeniu delegowanym Komisji wydanym na podstawie upoważnienia zawartego w art. 8a ust. 6 lit. a dyrektywy 2013/36/UE.”,</w:t>
      </w:r>
    </w:p>
    <w:p w14:paraId="2D2A5A40" w14:textId="77777777" w:rsidR="00803B29" w:rsidRPr="0084074B" w:rsidRDefault="00803B29" w:rsidP="00803B29">
      <w:pPr>
        <w:pStyle w:val="LITlitera"/>
      </w:pPr>
      <w:r w:rsidRPr="0084074B">
        <w:t>c)</w:t>
      </w:r>
      <w:r w:rsidRPr="0084074B">
        <w:tab/>
        <w:t>po ust. 2a dodaje się ust. 2b–2e w brzmieniu:</w:t>
      </w:r>
    </w:p>
    <w:p w14:paraId="4CD51560" w14:textId="77777777" w:rsidR="00803B29" w:rsidRPr="0084074B" w:rsidRDefault="00803B29" w:rsidP="00803B29">
      <w:pPr>
        <w:pStyle w:val="ZLITUSTzmustliter"/>
      </w:pPr>
      <w:r w:rsidRPr="0084074B">
        <w:t xml:space="preserve">„2b. Zarząd domu maklerskiego, o którym mowa w art. 69j ustawy z dnia 29 lipca 2005 r. o obrocie instrumentami finansowymi składa wniosek o wydanie zezwolenia na prowadzenie działalności nie później niż w dniu, w którym: </w:t>
      </w:r>
    </w:p>
    <w:p w14:paraId="25A1F2B2" w14:textId="77777777" w:rsidR="00803B29" w:rsidRPr="0084074B" w:rsidRDefault="00803B29" w:rsidP="00F721A9">
      <w:pPr>
        <w:pStyle w:val="ZLITPKTzmpktliter"/>
      </w:pPr>
      <w:r w:rsidRPr="0084074B">
        <w:t>1)</w:t>
      </w:r>
      <w:r w:rsidRPr="0084074B">
        <w:tab/>
        <w:t>średnia miesięczna wartość aktywów domu maklerskiego za ostatnich 12 miesięcy wynosi co najmniej 30 000 000 000 euro lub</w:t>
      </w:r>
    </w:p>
    <w:p w14:paraId="50E862F1" w14:textId="77777777" w:rsidR="00803B29" w:rsidRPr="0084074B" w:rsidRDefault="00803B29" w:rsidP="00F721A9">
      <w:pPr>
        <w:pStyle w:val="ZLITPKTzmpktliter"/>
      </w:pPr>
      <w:r w:rsidRPr="0084074B">
        <w:t>2)</w:t>
      </w:r>
      <w:r w:rsidRPr="0084074B">
        <w:tab/>
        <w:t>średnia miesięczna wartość aktywów domu maklerskiego za ostatnich 12 miesięcy wynikająca z bilansu skonsolidowanego podmiotów należących do tej samej grupy, wynosi co najmniej 30 000 000 000 euro, jeżeli podmioty należące do grupy prowadzą działalność maklerską obejmującą co najmniej jedną z czynności, o których mowa w art. 69 ust. 2 pkt 3 lub 7 ustawy z dnia 29 lipca 2005 r. o obrocie instrumentami finansowymi, i średnia miesięczna wartość aktywów każdego podmiotu należącego do grupy jest niższa niż 30 000 000 000 euro.</w:t>
      </w:r>
    </w:p>
    <w:p w14:paraId="7E288DF1" w14:textId="79FC1112" w:rsidR="00803B29" w:rsidRPr="0084074B" w:rsidRDefault="00803B29" w:rsidP="00803B29">
      <w:pPr>
        <w:pStyle w:val="ZLITUSTzmustliter"/>
      </w:pPr>
      <w:r w:rsidRPr="0084074B">
        <w:lastRenderedPageBreak/>
        <w:t xml:space="preserve">2c. Równowartość w euro aktywów, o których mowa w ust. </w:t>
      </w:r>
      <w:r>
        <w:t>2b</w:t>
      </w:r>
      <w:r w:rsidRPr="0084074B">
        <w:t>, oblicza się według średniego kursu euro ogłaszanego przez Narodowy Bank Polski, obowiązującego w dniu bilansowym, na który zostało sporządzone ostatnie zbadane sprawozdanie finansowe.</w:t>
      </w:r>
    </w:p>
    <w:p w14:paraId="74DA40F2" w14:textId="77777777" w:rsidR="00803B29" w:rsidRPr="0084074B" w:rsidRDefault="00803B29" w:rsidP="00803B29">
      <w:pPr>
        <w:pStyle w:val="ZLITUSTzmustliter"/>
      </w:pPr>
      <w:r w:rsidRPr="0084074B">
        <w:t xml:space="preserve">2d. Średnie miesięczne wartości aktywów, o których mowa w ust. 2b, oblicza się zgodnie z metodą obliczania wartości progowych, określoną w rozporządzeniu delegowanym Komisji wydanym na podstawie upoważnienia zawartego w art. 8a ust. 6 lit. b dyrektywy 2013/36/UE. </w:t>
      </w:r>
    </w:p>
    <w:p w14:paraId="73FA816B" w14:textId="77777777" w:rsidR="00803B29" w:rsidRPr="0084074B" w:rsidRDefault="00803B29" w:rsidP="00803B29">
      <w:pPr>
        <w:pStyle w:val="ZLITUSTzmustliter"/>
      </w:pPr>
      <w:r w:rsidRPr="0084074B">
        <w:t>2e. Dom maklerski, o którym mowa w art. 69j ustawy z dnia 29 lipca 2005 r. o obrocie instrumentami finansowymi, do czasu wydania przez Komisję Nadzoru Finansowego zezwolenia, o którym mowa w ust. 1, prowadzi działalność obejmującą wyłącznie zakres posiadanego zezwolenia na prowadzenie działalności maklerskiej, o którym mowa w art. 69 ustawy z dnia 29 lipca 2005 r. o obrocie instrumentami finansowymi.”,</w:t>
      </w:r>
    </w:p>
    <w:p w14:paraId="6C43C94C" w14:textId="77777777" w:rsidR="00803B29" w:rsidRPr="0084074B" w:rsidRDefault="00803B29" w:rsidP="00803B29">
      <w:pPr>
        <w:pStyle w:val="LITlitera"/>
      </w:pPr>
      <w:r w:rsidRPr="0084074B">
        <w:t>d)</w:t>
      </w:r>
      <w:r w:rsidRPr="0084074B">
        <w:tab/>
        <w:t>w ust. 3 wprowadzenie do wyliczenia otrzymuje brzmienie:</w:t>
      </w:r>
    </w:p>
    <w:p w14:paraId="7F8E6A4F" w14:textId="77777777" w:rsidR="00803B29" w:rsidRDefault="00803B29" w:rsidP="00803B29">
      <w:pPr>
        <w:pStyle w:val="ZLITUSTzmustliter"/>
      </w:pPr>
      <w:r w:rsidRPr="0084074B">
        <w:t>„Zezwolenie na rozpoczęcie przez bank lub dom maklerski, o którym mowa w art. 69j ustawy z dnia 29 lipca 2005 r. o obrocie instrumentami finansowymi, działalności wydaje się po stwierdzeniu, że bank lub dom maklerski, o którym mowa w art. 69j ustawy z dnia 29 lipca 2005 r. o obrocie instrumentami finansowymi:”;</w:t>
      </w:r>
    </w:p>
    <w:p w14:paraId="4D3B0A97" w14:textId="65C63421" w:rsidR="00836C1A" w:rsidRPr="000661C6" w:rsidRDefault="00A91932" w:rsidP="00804C7C">
      <w:pPr>
        <w:pStyle w:val="PKTpunkt"/>
      </w:pPr>
      <w:r>
        <w:t>2</w:t>
      </w:r>
      <w:r w:rsidR="00FB585D" w:rsidRPr="00836C1A">
        <w:t>)</w:t>
      </w:r>
      <w:r w:rsidR="00FB585D" w:rsidRPr="00836C1A">
        <w:tab/>
      </w:r>
      <w:r w:rsidR="00AE27A5">
        <w:t>w</w:t>
      </w:r>
      <w:r w:rsidR="00836C1A" w:rsidRPr="00836C1A">
        <w:t xml:space="preserve"> art. 141f:</w:t>
      </w:r>
    </w:p>
    <w:p w14:paraId="6D122BAD" w14:textId="217CBF03" w:rsidR="00836C1A" w:rsidRPr="00836C1A" w:rsidRDefault="00836C1A" w:rsidP="00836C1A">
      <w:pPr>
        <w:pStyle w:val="LITlitera"/>
      </w:pPr>
      <w:r w:rsidRPr="00836C1A">
        <w:t>a)</w:t>
      </w:r>
      <w:r w:rsidR="00AE27A5">
        <w:tab/>
      </w:r>
      <w:r w:rsidRPr="00836C1A">
        <w:t xml:space="preserve"> w ust. 6: </w:t>
      </w:r>
    </w:p>
    <w:p w14:paraId="6D229078" w14:textId="4A9BADA7" w:rsidR="00836C1A" w:rsidRPr="00836C1A" w:rsidRDefault="00836C1A" w:rsidP="00836C1A">
      <w:pPr>
        <w:pStyle w:val="TIRtiret"/>
      </w:pPr>
      <w:r w:rsidRPr="00836C1A">
        <w:t>–</w:t>
      </w:r>
      <w:r w:rsidR="00AE27A5">
        <w:tab/>
      </w:r>
      <w:r w:rsidRPr="00836C1A">
        <w:t xml:space="preserve">uchyla się pkt 1–3, </w:t>
      </w:r>
    </w:p>
    <w:p w14:paraId="620D38EA" w14:textId="2F0AAB66" w:rsidR="00836C1A" w:rsidRPr="00836C1A" w:rsidRDefault="00836C1A" w:rsidP="00836C1A">
      <w:pPr>
        <w:pStyle w:val="TIRtiret"/>
      </w:pPr>
      <w:r w:rsidRPr="00836C1A">
        <w:t>–</w:t>
      </w:r>
      <w:r w:rsidR="00AE27A5">
        <w:tab/>
      </w:r>
      <w:r w:rsidRPr="00836C1A">
        <w:t>po pkt 3 dodaje się pkt 3a w brzmieniu:</w:t>
      </w:r>
    </w:p>
    <w:p w14:paraId="304D4373" w14:textId="475E26EB" w:rsidR="00836C1A" w:rsidRPr="00836C1A" w:rsidRDefault="00836C1A" w:rsidP="00836C1A">
      <w:pPr>
        <w:pStyle w:val="ZTIRPKTzmpkttiret"/>
      </w:pPr>
      <w:r w:rsidRPr="00836C1A">
        <w:t>„3a)</w:t>
      </w:r>
      <w:r w:rsidR="00AE27A5">
        <w:tab/>
      </w:r>
      <w:r w:rsidRPr="00836C1A">
        <w:t>bank jest dominującą instytucją kredytową lub unijną dominującą instytucją kredytową;”,</w:t>
      </w:r>
    </w:p>
    <w:p w14:paraId="1F214F79" w14:textId="0552720A" w:rsidR="00836C1A" w:rsidRPr="00836C1A" w:rsidRDefault="00836C1A" w:rsidP="00836C1A">
      <w:pPr>
        <w:pStyle w:val="TIRtiret"/>
      </w:pPr>
      <w:r w:rsidRPr="00836C1A">
        <w:t>–</w:t>
      </w:r>
      <w:r w:rsidR="00AE27A5">
        <w:tab/>
      </w:r>
      <w:r w:rsidRPr="00836C1A">
        <w:t>pkt 4 otrzymuje brzmienie:</w:t>
      </w:r>
    </w:p>
    <w:p w14:paraId="5BF28D60" w14:textId="46EDA414" w:rsidR="00836C1A" w:rsidRPr="00836C1A" w:rsidRDefault="00836C1A" w:rsidP="00836C1A">
      <w:pPr>
        <w:pStyle w:val="ZTIRPKTzmpkttiret"/>
      </w:pPr>
      <w:r w:rsidRPr="00836C1A">
        <w:t>„4)</w:t>
      </w:r>
      <w:r w:rsidR="00AE27A5">
        <w:tab/>
      </w:r>
      <w:r w:rsidRPr="00836C1A">
        <w:t xml:space="preserve">podmiotami dominującymi wobec banku krajowego są dominujące firmy inwestycyjne lub unijne dominujące firmy inwestycyjne lub dominujące finansowe spółki holdingowe lub dominujące finansowe spółki holdingowe z państwa członkowskiego lub dominujące finansowe spółki holdingowe o działalności mieszanej lub dominujące finansowe spółki holdingowe o działalności mieszanej z państwa członkowskiego, lub unijne dominujące finansowe spółki holdingowe lub unijne dominujące finansowe spółki </w:t>
      </w:r>
      <w:r w:rsidRPr="00836C1A">
        <w:lastRenderedPageBreak/>
        <w:t>holdingowe z państwa członkowskiego lub unijne dominujące finansowe spółki holdingowe o działalności mieszanej lub unijne dominujące finansowe spółki holdingowe o działalności mieszanej z państwa członkowskiego, lub dominujące podmioty nieregulowane w rozumieniu art. 3 pkt 5 ustawy o nadzorze uzupełniającym, lub instytucje finansowe z siedzibą na terytorium Rzeczypospolitej Polskiej oraz w innych państwach członkowskich, jeżeli do grupy nie należy żadna instytucja kredytowa lub jeżeli bank krajowy ma większą sumę bilansową od jakiejkolwiek instytucji kredytowej z tej grupy;”,</w:t>
      </w:r>
    </w:p>
    <w:p w14:paraId="03269377" w14:textId="0D036B41" w:rsidR="00836C1A" w:rsidRPr="00836C1A" w:rsidRDefault="00836C1A" w:rsidP="00836C1A">
      <w:pPr>
        <w:pStyle w:val="TIRtiret"/>
      </w:pPr>
      <w:r w:rsidRPr="00836C1A">
        <w:t>–</w:t>
      </w:r>
      <w:r w:rsidR="00AE27A5">
        <w:tab/>
        <w:t>u</w:t>
      </w:r>
      <w:r w:rsidRPr="00836C1A">
        <w:t>chyla się pkt 5,</w:t>
      </w:r>
    </w:p>
    <w:p w14:paraId="79F3EBCF" w14:textId="59B6D382" w:rsidR="00836C1A" w:rsidRPr="00836C1A" w:rsidRDefault="00836C1A" w:rsidP="00836C1A">
      <w:pPr>
        <w:pStyle w:val="TIRtiret"/>
      </w:pPr>
      <w:r w:rsidRPr="00836C1A">
        <w:t>–</w:t>
      </w:r>
      <w:r w:rsidR="00AE27A5">
        <w:tab/>
      </w:r>
      <w:r w:rsidRPr="00836C1A">
        <w:t>dodaje się pkt 6 w brzmieniu:</w:t>
      </w:r>
    </w:p>
    <w:p w14:paraId="1DAA4B28" w14:textId="5D999896" w:rsidR="00836C1A" w:rsidRPr="00836C1A" w:rsidRDefault="00836C1A" w:rsidP="00836C1A">
      <w:pPr>
        <w:pStyle w:val="ZTIRPKTzmpkttiret"/>
      </w:pPr>
      <w:r w:rsidRPr="00836C1A">
        <w:t>„6)</w:t>
      </w:r>
      <w:r w:rsidR="00AE27A5">
        <w:tab/>
      </w:r>
      <w:r w:rsidRPr="00836C1A">
        <w:t>suma bilansowa banku lub banków należących do tej samej grupy jest większa od sumy bilansowej odpowiednio</w:t>
      </w:r>
      <w:r w:rsidR="00AE27A5">
        <w:t xml:space="preserve"> </w:t>
      </w:r>
      <w:r w:rsidRPr="00836C1A">
        <w:t>instytucji kredytowej lub instytucji kredytowych należących do tej samej grupy</w:t>
      </w:r>
      <w:r w:rsidR="00B53F33">
        <w:t xml:space="preserve">, do której należy </w:t>
      </w:r>
      <w:r w:rsidRPr="00836C1A">
        <w:t>ten bank lub te banki.”,</w:t>
      </w:r>
    </w:p>
    <w:p w14:paraId="2911F7C1" w14:textId="3A75EA37" w:rsidR="00836C1A" w:rsidRPr="00836C1A" w:rsidRDefault="00836C1A" w:rsidP="00836C1A">
      <w:pPr>
        <w:pStyle w:val="LITlitera"/>
      </w:pPr>
      <w:r w:rsidRPr="00836C1A">
        <w:t>b)</w:t>
      </w:r>
      <w:r w:rsidR="00AE27A5">
        <w:tab/>
      </w:r>
      <w:r w:rsidRPr="00836C1A">
        <w:t>ust. 7 otrzymuje brzmienie:</w:t>
      </w:r>
    </w:p>
    <w:p w14:paraId="554AD12D" w14:textId="1806E56F" w:rsidR="008F6158" w:rsidRPr="008F6158" w:rsidRDefault="00836C1A" w:rsidP="00804C7C">
      <w:pPr>
        <w:pStyle w:val="ZLITUSTzmustliter"/>
      </w:pPr>
      <w:r w:rsidRPr="00836C1A">
        <w:t>„7. W szczególnych przypadkach Komisja Nadzoru Finansowego może, w drodze porozumienia, uzgodnić z właściwymi władzami nadzorczymi, że kryteriów, o których mowa w ust. 6 pkt 3a–6, nie stosuje się</w:t>
      </w:r>
      <w:r w:rsidR="00B53F33">
        <w:t>,</w:t>
      </w:r>
      <w:r w:rsidRPr="00836C1A">
        <w:t xml:space="preserve"> w przypadku gdy są one niewłaściwe z uwagi na specyfikę banku, instytucji kredytowej, finansowej spółki holdingowej, finansowej spółki holdingowej z państwa członkowskiego, finansowej spółki holdingowej o działalności mieszanej i finansowej spółki holdingowej o działalności mieszanej z państwa członkowskiego lub względną istotność ich działalności w Rzeczypospolitej Polskiej albo innych państwach członkowskich.”</w:t>
      </w:r>
      <w:r w:rsidR="00AE27A5">
        <w:t>.</w:t>
      </w:r>
    </w:p>
    <w:p w14:paraId="022DB565" w14:textId="04509B5A" w:rsidR="00036F3D" w:rsidRPr="0049226B" w:rsidRDefault="00036F3D" w:rsidP="00036F3D">
      <w:pPr>
        <w:pStyle w:val="ARTartustawynprozporzdzenia"/>
      </w:pPr>
      <w:r w:rsidRPr="002168D3">
        <w:rPr>
          <w:rStyle w:val="Ppogrubienie"/>
        </w:rPr>
        <w:t xml:space="preserve">Art. </w:t>
      </w:r>
      <w:r>
        <w:rPr>
          <w:rStyle w:val="Ppogrubienie"/>
        </w:rPr>
        <w:t>3</w:t>
      </w:r>
      <w:r w:rsidRPr="002168D3">
        <w:rPr>
          <w:rStyle w:val="Ppogrubienie"/>
        </w:rPr>
        <w:t>.</w:t>
      </w:r>
      <w:r w:rsidRPr="0049226B">
        <w:t xml:space="preserve"> W ustawie z dnia 27 maja 2004 r. o funduszach inwestycyjnych i zarządzaniu alternatywnymi funduszami inwestycyjnymi (Dz. U. z 2020 r. poz. 95 i </w:t>
      </w:r>
      <w:r w:rsidR="00EC0299">
        <w:t>695</w:t>
      </w:r>
      <w:r w:rsidRPr="0049226B">
        <w:t xml:space="preserve">) </w:t>
      </w:r>
      <w:r w:rsidR="00587C7C">
        <w:t xml:space="preserve">w </w:t>
      </w:r>
      <w:r w:rsidRPr="0049226B">
        <w:t xml:space="preserve">art. 71 </w:t>
      </w:r>
      <w:r w:rsidR="00067861">
        <w:t xml:space="preserve">w </w:t>
      </w:r>
      <w:r w:rsidRPr="0049226B">
        <w:t>ust. 3</w:t>
      </w:r>
      <w:r w:rsidR="00067861">
        <w:t xml:space="preserve"> wyrazy „730 000 euro” zastępuje się wyrazami „750 000 euro”.</w:t>
      </w:r>
    </w:p>
    <w:p w14:paraId="1355F6DF" w14:textId="6E6C789D" w:rsidR="00036F3D" w:rsidRPr="0049226B" w:rsidRDefault="00036F3D" w:rsidP="00036F3D">
      <w:pPr>
        <w:pStyle w:val="ARTartustawynprozporzdzenia"/>
      </w:pPr>
      <w:r w:rsidRPr="002168D3">
        <w:rPr>
          <w:rStyle w:val="Ppogrubienie"/>
        </w:rPr>
        <w:t xml:space="preserve">Art. </w:t>
      </w:r>
      <w:r>
        <w:rPr>
          <w:rStyle w:val="Ppogrubienie"/>
        </w:rPr>
        <w:t>4</w:t>
      </w:r>
      <w:r w:rsidRPr="002168D3">
        <w:rPr>
          <w:rStyle w:val="Ppogrubienie"/>
        </w:rPr>
        <w:t>.</w:t>
      </w:r>
      <w:r w:rsidRPr="0049226B">
        <w:t xml:space="preserve"> W ustawie z dnia 29 lipca 2005 r. o nadzorze nad rynkiem kapitałowym (Dz. U. z </w:t>
      </w:r>
      <w:r w:rsidR="00495FE7" w:rsidRPr="0049226B">
        <w:t>20</w:t>
      </w:r>
      <w:r w:rsidR="00495FE7">
        <w:t>20</w:t>
      </w:r>
      <w:r w:rsidR="00495FE7" w:rsidRPr="0049226B">
        <w:t xml:space="preserve"> </w:t>
      </w:r>
      <w:r w:rsidRPr="0049226B">
        <w:t xml:space="preserve">r. poz. </w:t>
      </w:r>
      <w:r w:rsidR="00495FE7">
        <w:t>1400</w:t>
      </w:r>
      <w:r w:rsidRPr="0049226B">
        <w:t>) wprowadza się następujące zmiany:</w:t>
      </w:r>
    </w:p>
    <w:p w14:paraId="63EC7C69" w14:textId="77777777" w:rsidR="00036F3D" w:rsidRPr="0049226B" w:rsidRDefault="004A6B70" w:rsidP="00036F3D">
      <w:pPr>
        <w:pStyle w:val="PKTpunkt"/>
      </w:pPr>
      <w:r>
        <w:t>1)</w:t>
      </w:r>
      <w:r>
        <w:tab/>
      </w:r>
      <w:r w:rsidR="00036F3D" w:rsidRPr="0049226B">
        <w:t>w art. 2 po pkt 5</w:t>
      </w:r>
      <w:r w:rsidR="00640828">
        <w:t>j</w:t>
      </w:r>
      <w:r w:rsidR="00036F3D" w:rsidRPr="0049226B">
        <w:t xml:space="preserve"> dodaje się pkt 5</w:t>
      </w:r>
      <w:r w:rsidR="00640828">
        <w:t>k</w:t>
      </w:r>
      <w:r w:rsidR="00036F3D" w:rsidRPr="0049226B">
        <w:t xml:space="preserve"> w brzmieniu:</w:t>
      </w:r>
    </w:p>
    <w:p w14:paraId="026DB937" w14:textId="77777777" w:rsidR="00036F3D" w:rsidRPr="0049226B" w:rsidRDefault="00036F3D" w:rsidP="00036F3D">
      <w:pPr>
        <w:pStyle w:val="ZPKTzmpktartykuempunktem"/>
      </w:pPr>
      <w:r w:rsidRPr="0049226B">
        <w:t>„5</w:t>
      </w:r>
      <w:r w:rsidR="00640828">
        <w:t>k</w:t>
      </w:r>
      <w:r w:rsidR="004A6B70">
        <w:t>)</w:t>
      </w:r>
      <w:r w:rsidR="004A6B70">
        <w:tab/>
      </w:r>
      <w:r w:rsidRPr="0049226B">
        <w:t xml:space="preserve">rozporządzeniu </w:t>
      </w:r>
      <w:r>
        <w:t>2019/2033</w:t>
      </w:r>
      <w:r w:rsidRPr="0049226B">
        <w:t xml:space="preserve"> – rozumie się przez to rozporządzenie Parlamentu Europejskiego i Rady (UE) 2019/2033 z dnia 27 listopada 2019 r. w sprawie </w:t>
      </w:r>
      <w:r w:rsidRPr="0049226B">
        <w:lastRenderedPageBreak/>
        <w:t>wymogów ostrożnościowych dla firm inwestycyjnych oraz zmieniające rozporządzenia (UE) nr 1093/2010, (UE) nr 575/2013, (UE) nr 600/2014 i (UE) nr 806/2014 (Dz.U. UE L 314 z 05.12.2019, str. 1);”</w:t>
      </w:r>
      <w:r w:rsidR="00A07F52">
        <w:t>;</w:t>
      </w:r>
    </w:p>
    <w:p w14:paraId="46672A21" w14:textId="1782914C" w:rsidR="00036F3D" w:rsidRPr="0049226B" w:rsidRDefault="004A6B70" w:rsidP="00036F3D">
      <w:pPr>
        <w:pStyle w:val="PKTpunkt"/>
      </w:pPr>
      <w:r>
        <w:t>2)</w:t>
      </w:r>
      <w:r>
        <w:tab/>
      </w:r>
      <w:r w:rsidR="00587C7C">
        <w:t xml:space="preserve">w </w:t>
      </w:r>
      <w:r w:rsidR="00036F3D" w:rsidRPr="00DE18D9">
        <w:t xml:space="preserve">art. 3 </w:t>
      </w:r>
      <w:r w:rsidR="00067861">
        <w:t xml:space="preserve">w </w:t>
      </w:r>
      <w:r w:rsidR="00036F3D" w:rsidRPr="00DE18D9">
        <w:t xml:space="preserve">ust. 2 </w:t>
      </w:r>
      <w:r w:rsidR="00067861">
        <w:t>wyraz „oraz” zastępuje się przecinkiem, a po wyrazach „</w:t>
      </w:r>
      <w:r w:rsidR="00067861" w:rsidRPr="00067861">
        <w:t>rozporządzenia 2017/1129</w:t>
      </w:r>
      <w:r w:rsidR="00067861">
        <w:t>” dodaje się wyrazy w brzmieniu „</w:t>
      </w:r>
      <w:r w:rsidR="00067861" w:rsidRPr="00067861">
        <w:t>oraz rozporządzenia 2019/2033</w:t>
      </w:r>
      <w:r w:rsidR="00067861">
        <w:t>”;</w:t>
      </w:r>
    </w:p>
    <w:p w14:paraId="59FB7B62" w14:textId="77777777" w:rsidR="00036F3D" w:rsidRPr="0049226B" w:rsidRDefault="004A6B70" w:rsidP="00036F3D">
      <w:pPr>
        <w:pStyle w:val="PKTpunkt"/>
      </w:pPr>
      <w:r>
        <w:t>3)</w:t>
      </w:r>
      <w:r>
        <w:tab/>
      </w:r>
      <w:r w:rsidR="00036F3D" w:rsidRPr="0049226B">
        <w:t>w art. 5 pkt 18–20 otrzymują brzmienie:</w:t>
      </w:r>
    </w:p>
    <w:p w14:paraId="1FB93632" w14:textId="77777777" w:rsidR="00036F3D" w:rsidRPr="0049226B" w:rsidRDefault="004A6B70" w:rsidP="00036F3D">
      <w:pPr>
        <w:pStyle w:val="ZPKTzmpktartykuempunktem"/>
      </w:pPr>
      <w:r>
        <w:t>„18)</w:t>
      </w:r>
      <w:r>
        <w:tab/>
      </w:r>
      <w:r w:rsidR="00036F3D" w:rsidRPr="0049226B">
        <w:t xml:space="preserve">inwestycyjne spółki holdingowe w rozumieniu art. 4 ust. 1 pkt 23 rozporządzenia </w:t>
      </w:r>
      <w:r w:rsidR="00036F3D">
        <w:t>2019/2033</w:t>
      </w:r>
      <w:r w:rsidR="00036F3D" w:rsidRPr="0049226B">
        <w:t>, mające siedzibę na terytorium Rzeczypospolitej Polskiej,</w:t>
      </w:r>
    </w:p>
    <w:p w14:paraId="1F60DC9B" w14:textId="77777777" w:rsidR="00036F3D" w:rsidRPr="0049226B" w:rsidRDefault="004A6B70" w:rsidP="00036F3D">
      <w:pPr>
        <w:pStyle w:val="ZPKTzmpktartykuempunktem"/>
      </w:pPr>
      <w:r>
        <w:t>19)</w:t>
      </w:r>
      <w:r>
        <w:tab/>
      </w:r>
      <w:r w:rsidR="00036F3D" w:rsidRPr="0049226B">
        <w:t xml:space="preserve">finansowe spółki holdingowe o działalności mieszanej w rozumieniu art. 4 ust. 1 pkt 40 rozporządzenia </w:t>
      </w:r>
      <w:r w:rsidR="00036F3D">
        <w:t>2019/2033</w:t>
      </w:r>
      <w:r w:rsidR="00036F3D" w:rsidRPr="0049226B">
        <w:t>, mające siedzibę na terytorium Rzeczypospolitej Polskiej,</w:t>
      </w:r>
    </w:p>
    <w:p w14:paraId="61FBE1E0" w14:textId="77777777" w:rsidR="00036F3D" w:rsidRPr="0049226B" w:rsidRDefault="004A6B70" w:rsidP="00036F3D">
      <w:pPr>
        <w:pStyle w:val="ZPKTzmpktartykuempunktem"/>
      </w:pPr>
      <w:r>
        <w:t>20)</w:t>
      </w:r>
      <w:r>
        <w:tab/>
      </w:r>
      <w:r w:rsidR="00036F3D" w:rsidRPr="0049226B">
        <w:t>holdingi mieszane w rozumieniu art. 110a ust. 1 pkt 12 ustawy o obrocie instrumentami finansowymi, mające siedzibę na terytorium Rzeczypospolitej Polskiej,”;</w:t>
      </w:r>
    </w:p>
    <w:p w14:paraId="171537BA" w14:textId="41F0BF09" w:rsidR="00036F3D" w:rsidRPr="0049226B" w:rsidRDefault="004A6B70" w:rsidP="00036F3D">
      <w:pPr>
        <w:pStyle w:val="PKTpunkt"/>
      </w:pPr>
      <w:r>
        <w:t>4)</w:t>
      </w:r>
      <w:r>
        <w:tab/>
      </w:r>
      <w:r w:rsidR="00036F3D" w:rsidRPr="0049226B">
        <w:t xml:space="preserve">w art. 20 </w:t>
      </w:r>
      <w:r w:rsidR="00451EED">
        <w:t xml:space="preserve">w </w:t>
      </w:r>
      <w:r w:rsidR="00036F3D" w:rsidRPr="0049226B">
        <w:t xml:space="preserve">ust. 1 </w:t>
      </w:r>
      <w:r w:rsidR="00067861">
        <w:t xml:space="preserve">w </w:t>
      </w:r>
      <w:r w:rsidR="00036F3D" w:rsidRPr="0049226B">
        <w:t xml:space="preserve">pkt </w:t>
      </w:r>
      <w:r w:rsidR="00A07F52">
        <w:t xml:space="preserve">1 </w:t>
      </w:r>
      <w:r w:rsidR="00067861">
        <w:t>wyrazy „</w:t>
      </w:r>
      <w:r w:rsidR="00067861" w:rsidRPr="00067861">
        <w:t>rozporządzeniem 2017/1129</w:t>
      </w:r>
      <w:r w:rsidR="00067861">
        <w:t>” zastępuje się wyrazami „</w:t>
      </w:r>
      <w:r w:rsidR="00067861" w:rsidRPr="00067861">
        <w:t>rozporządzeniem 2019/2033</w:t>
      </w:r>
      <w:r w:rsidR="00067861">
        <w:t>”;</w:t>
      </w:r>
    </w:p>
    <w:p w14:paraId="531A5A6D" w14:textId="1693468B" w:rsidR="00036F3D" w:rsidRPr="0049226B" w:rsidRDefault="004A6B70" w:rsidP="00036F3D">
      <w:pPr>
        <w:pStyle w:val="PKTpunkt"/>
      </w:pPr>
      <w:r>
        <w:t>5)</w:t>
      </w:r>
      <w:r>
        <w:tab/>
      </w:r>
      <w:r w:rsidR="00036F3D" w:rsidRPr="0049226B">
        <w:t>w art. 21a</w:t>
      </w:r>
      <w:r w:rsidR="006C119F">
        <w:t xml:space="preserve"> w</w:t>
      </w:r>
      <w:r w:rsidR="00036F3D" w:rsidRPr="0049226B">
        <w:t xml:space="preserve"> pkt 5 </w:t>
      </w:r>
      <w:r w:rsidR="006C119F">
        <w:t>po wyrazach „zgodnie z” dodaje się wyrazy „</w:t>
      </w:r>
      <w:r w:rsidR="006C119F" w:rsidRPr="006C119F">
        <w:t>rozporządzeniem 2019/2033 albo z</w:t>
      </w:r>
      <w:r w:rsidR="006C119F">
        <w:t>”;</w:t>
      </w:r>
    </w:p>
    <w:p w14:paraId="223669FC" w14:textId="258FB134" w:rsidR="00036F3D" w:rsidRPr="0049226B" w:rsidRDefault="004A6B70" w:rsidP="00036F3D">
      <w:pPr>
        <w:pStyle w:val="PKTpunkt"/>
      </w:pPr>
      <w:r>
        <w:t>6)</w:t>
      </w:r>
      <w:r>
        <w:tab/>
      </w:r>
      <w:r w:rsidR="00036F3D" w:rsidRPr="00DE18D9">
        <w:t xml:space="preserve">art. 22a </w:t>
      </w:r>
      <w:r w:rsidR="006C119F">
        <w:t>po wyrazach „</w:t>
      </w:r>
      <w:r w:rsidR="006C119F" w:rsidRPr="006C119F">
        <w:t>Europejskiemu Urzędowi Nadzoru Giełd i Papierów Wartościowych</w:t>
      </w:r>
      <w:r w:rsidR="006C119F">
        <w:t>” dodaje się wyrazy „</w:t>
      </w:r>
      <w:r w:rsidR="006C119F" w:rsidRPr="006C119F">
        <w:t>oraz Europejskiemu Urzędowi Nadzoru Bankowego</w:t>
      </w:r>
      <w:r w:rsidR="006C119F">
        <w:t>”;</w:t>
      </w:r>
    </w:p>
    <w:p w14:paraId="5BEB0597" w14:textId="7ED4EED0" w:rsidR="00036F3D" w:rsidRPr="0049226B" w:rsidRDefault="004A6B70" w:rsidP="00036F3D">
      <w:pPr>
        <w:pStyle w:val="PKTpunkt"/>
      </w:pPr>
      <w:r>
        <w:t>7)</w:t>
      </w:r>
      <w:r>
        <w:tab/>
      </w:r>
      <w:r w:rsidR="00036F3D" w:rsidRPr="00DE18D9">
        <w:t>w art. 25</w:t>
      </w:r>
      <w:r w:rsidR="00B112D0" w:rsidRPr="00B112D0">
        <w:t xml:space="preserve"> </w:t>
      </w:r>
      <w:r w:rsidR="00153D8F">
        <w:t xml:space="preserve">w </w:t>
      </w:r>
      <w:r w:rsidR="00B112D0" w:rsidRPr="0049226B">
        <w:t xml:space="preserve">ust. 2b </w:t>
      </w:r>
      <w:r w:rsidR="00153D8F">
        <w:t>po wyrazach „o obrocie instrumentami finansowymi” dodaje się wyrazy „</w:t>
      </w:r>
      <w:r w:rsidR="00FA4A1B">
        <w:t xml:space="preserve">, </w:t>
      </w:r>
      <w:r w:rsidR="00153D8F" w:rsidRPr="00153D8F">
        <w:t>rozporządzenia 2019/2033</w:t>
      </w:r>
      <w:r w:rsidR="00153D8F">
        <w:t>”;</w:t>
      </w:r>
    </w:p>
    <w:p w14:paraId="0C68C8FA" w14:textId="77777777" w:rsidR="00036F3D" w:rsidRPr="0049226B" w:rsidRDefault="00036F3D" w:rsidP="00036F3D">
      <w:pPr>
        <w:pStyle w:val="PKTpunkt"/>
      </w:pPr>
      <w:r w:rsidRPr="0049226B">
        <w:t>8)</w:t>
      </w:r>
      <w:r w:rsidR="004A6B70">
        <w:tab/>
      </w:r>
      <w:r w:rsidRPr="0049226B">
        <w:t xml:space="preserve">w art. 26 </w:t>
      </w:r>
      <w:r w:rsidR="00270E9A">
        <w:t xml:space="preserve">w </w:t>
      </w:r>
      <w:r w:rsidRPr="0049226B">
        <w:t xml:space="preserve">ust. 3b </w:t>
      </w:r>
      <w:r w:rsidR="00270E9A">
        <w:t xml:space="preserve">zdanie pierwsze </w:t>
      </w:r>
      <w:r w:rsidRPr="0049226B">
        <w:t>otrzymuje brzmienie:</w:t>
      </w:r>
    </w:p>
    <w:p w14:paraId="2AF2E3E8" w14:textId="1E878E62" w:rsidR="00036F3D" w:rsidRPr="0049226B" w:rsidRDefault="004A6B70" w:rsidP="00C443AB">
      <w:pPr>
        <w:pStyle w:val="ZUSTzmustartykuempunktem"/>
      </w:pPr>
      <w:r>
        <w:t>„</w:t>
      </w:r>
      <w:r w:rsidR="00036F3D" w:rsidRPr="0049226B">
        <w:t>W zakresie niezbędnym do zweryfikowania informacji przekazanych Komisji na podstawie art. 110f, art. 110m lub art. 110z ust. 1 i 3 ustawy o obrocie instrumentami finansowymi Komisja lub jej upoważniony przedstawiciel mogą przeprowadzić kontrolę, o której mowa w ust. 1, w podmiotach, które przekazały informacje, także w przypadku gdy podmioty te mają siedzibę poza terytorium Rzeczypospolitej Polskiej.”;</w:t>
      </w:r>
    </w:p>
    <w:p w14:paraId="431E00E4" w14:textId="49DAA0F1" w:rsidR="00036F3D" w:rsidRPr="0049226B" w:rsidRDefault="004A6B70" w:rsidP="00036F3D">
      <w:pPr>
        <w:pStyle w:val="PKTpunkt"/>
      </w:pPr>
      <w:r>
        <w:t>9)</w:t>
      </w:r>
      <w:r>
        <w:tab/>
      </w:r>
      <w:r w:rsidR="00036F3D" w:rsidRPr="0049226B">
        <w:t>w art. 37</w:t>
      </w:r>
      <w:r w:rsidR="00270E9A">
        <w:t>a</w:t>
      </w:r>
      <w:r w:rsidR="00036F3D" w:rsidRPr="0049226B">
        <w:t xml:space="preserve"> </w:t>
      </w:r>
      <w:r w:rsidR="00153D8F">
        <w:t xml:space="preserve">w </w:t>
      </w:r>
      <w:r w:rsidR="00036F3D" w:rsidRPr="0049226B">
        <w:t xml:space="preserve">ust. 2 </w:t>
      </w:r>
      <w:r w:rsidR="00153D8F">
        <w:t>po wyrazach „w przepisach” dodaje się wyrazy „</w:t>
      </w:r>
      <w:r w:rsidR="00153D8F" w:rsidRPr="00153D8F">
        <w:t>rozporządzenia 2019/2033 lub</w:t>
      </w:r>
      <w:r w:rsidR="00153D8F">
        <w:t>”.</w:t>
      </w:r>
    </w:p>
    <w:p w14:paraId="4CE856BC" w14:textId="516E0BBC" w:rsidR="0049226B" w:rsidRPr="0049226B" w:rsidRDefault="0049226B" w:rsidP="002168D3">
      <w:pPr>
        <w:pStyle w:val="ARTartustawynprozporzdzenia"/>
      </w:pPr>
      <w:r w:rsidRPr="002168D3">
        <w:rPr>
          <w:rStyle w:val="Ppogrubienie"/>
        </w:rPr>
        <w:t xml:space="preserve">Art. </w:t>
      </w:r>
      <w:r w:rsidR="00A62331">
        <w:rPr>
          <w:rStyle w:val="Ppogrubienie"/>
        </w:rPr>
        <w:t>5</w:t>
      </w:r>
      <w:r w:rsidRPr="002168D3">
        <w:rPr>
          <w:rStyle w:val="Ppogrubienie"/>
        </w:rPr>
        <w:t>.</w:t>
      </w:r>
      <w:r w:rsidRPr="0049226B">
        <w:t xml:space="preserve"> W</w:t>
      </w:r>
      <w:r w:rsidR="004A6B70">
        <w:t xml:space="preserve"> </w:t>
      </w:r>
      <w:hyperlink r:id="rId10" w:anchor="hiperlinkText.rpc?hiperlink=type=tresc:nro=Powszechny.1980468:ver=6&amp;full=1" w:tgtFrame="_parent" w:history="1">
        <w:r w:rsidRPr="0049226B">
          <w:t>ustawie</w:t>
        </w:r>
      </w:hyperlink>
      <w:r w:rsidR="004A6B70">
        <w:t xml:space="preserve"> </w:t>
      </w:r>
      <w:r w:rsidRPr="0049226B">
        <w:t>z dnia 21 lipca 2006 r. o nadzorze nad rynkiem finansowym (Dz. U. z 2020 r. poz. 180</w:t>
      </w:r>
      <w:r w:rsidR="00C77094">
        <w:t xml:space="preserve">, </w:t>
      </w:r>
      <w:r w:rsidRPr="0049226B">
        <w:t>284</w:t>
      </w:r>
      <w:r w:rsidR="00C77094">
        <w:t>, 568 i 695</w:t>
      </w:r>
      <w:r w:rsidRPr="0049226B">
        <w:t>) wprowadza się następujące zmiany:</w:t>
      </w:r>
    </w:p>
    <w:p w14:paraId="0854468A" w14:textId="0420B6F9" w:rsidR="0049226B" w:rsidRPr="0049226B" w:rsidRDefault="004A6B70" w:rsidP="002168D3">
      <w:pPr>
        <w:pStyle w:val="PKTpunkt"/>
      </w:pPr>
      <w:r>
        <w:lastRenderedPageBreak/>
        <w:t>1)</w:t>
      </w:r>
      <w:r>
        <w:tab/>
      </w:r>
      <w:r w:rsidR="0049226B" w:rsidRPr="0049226B">
        <w:t xml:space="preserve">w art. 1 </w:t>
      </w:r>
      <w:r w:rsidR="00782F53">
        <w:t xml:space="preserve">w </w:t>
      </w:r>
      <w:r w:rsidR="0049226B" w:rsidRPr="0049226B">
        <w:t>ust. 2</w:t>
      </w:r>
      <w:r w:rsidR="0044028D">
        <w:t xml:space="preserve"> w</w:t>
      </w:r>
      <w:r w:rsidR="0049226B" w:rsidRPr="0049226B">
        <w:t xml:space="preserve"> pkt 4 </w:t>
      </w:r>
      <w:r w:rsidR="0044028D">
        <w:t>wyrazy „</w:t>
      </w:r>
      <w:r w:rsidR="0044028D" w:rsidRPr="0044028D">
        <w:t>oraz rozporządzenia Parlamentu Europejskiego i Rady (UE) 2017/1129 z dnia 14 czerwca 2017 r. w sprawie prospektu, który ma być publikowany w związku z ofertą publiczną papierów wartościowych lub dopuszczeniem ich do obrotu na rynku regulowanym oraz uchylenia dyrektywy 2003/71/WE (Dz. Urz. UE L 168 z 30.06.2017, str. 12)</w:t>
      </w:r>
      <w:r w:rsidR="0044028D">
        <w:t>” zastępuje się wyrazami „</w:t>
      </w:r>
      <w:r w:rsidR="0044028D" w:rsidRPr="0049226B">
        <w:t>rozporządzenia Parlamentu Europejskiego i Rady (UE) 2017/1129 z dnia 14 czerwca 2017 r. w sprawie prospektu, który ma być publikowany w związku z ofertą publiczną papierów wartościowych lub dopuszczeniem ich do obrotu na rynku regulowanym oraz uchylenia dyrektywy 2003/71/WE (Dz. Urz. UE L 168 z 30.06.2017, str. 12</w:t>
      </w:r>
      <w:r w:rsidR="0044028D">
        <w:t>, z późn. zm.</w:t>
      </w:r>
      <w:r w:rsidR="0044028D">
        <w:rPr>
          <w:rStyle w:val="Odwoanieprzypisudolnego"/>
        </w:rPr>
        <w:footnoteReference w:customMarkFollows="1" w:id="6"/>
        <w:t>11)</w:t>
      </w:r>
      <w:r w:rsidR="0044028D" w:rsidRPr="0049226B">
        <w:t>) oraz rozporządzenia Parlamentu Europejskiego i Rady (UE) 2019/2033 z dnia 27 listopada 2019 r. w sprawie wymogów ostrożnościowych dla firm inwestycyjnych oraz zmieniające rozporządzenia (UE) nr 1093/2010, (UE) nr 575/2013, (UE) nr 600/2014 i (UE) nr 806/2014 (Dz.U. UE L 314 z 05.12.2019, str. 1</w:t>
      </w:r>
      <w:r w:rsidR="0044028D">
        <w:t>, z późn. zm.</w:t>
      </w:r>
      <w:r w:rsidR="0044028D">
        <w:rPr>
          <w:rStyle w:val="Odwoanieprzypisudolnego"/>
        </w:rPr>
        <w:footnoteReference w:customMarkFollows="1" w:id="7"/>
        <w:t>12)</w:t>
      </w:r>
      <w:r w:rsidR="0044028D" w:rsidRPr="0049226B">
        <w:t xml:space="preserve">), zwanego dalej „rozporządzeniem </w:t>
      </w:r>
      <w:r w:rsidR="0044028D">
        <w:t>nr 2019/2033</w:t>
      </w:r>
      <w:r w:rsidR="0044028D" w:rsidRPr="0049226B">
        <w:t>”</w:t>
      </w:r>
      <w:r w:rsidR="0044028D">
        <w:t>;</w:t>
      </w:r>
    </w:p>
    <w:p w14:paraId="64361FDB" w14:textId="77777777" w:rsidR="00286426" w:rsidRPr="00286426" w:rsidRDefault="00286426" w:rsidP="00640828">
      <w:pPr>
        <w:pStyle w:val="PKTpunkt"/>
      </w:pPr>
      <w:r w:rsidRPr="00286426">
        <w:t>2)</w:t>
      </w:r>
      <w:r w:rsidR="004A6B70">
        <w:tab/>
      </w:r>
      <w:r w:rsidRPr="00286426">
        <w:t>art. 3a otrzymuje brzmienie:</w:t>
      </w:r>
    </w:p>
    <w:p w14:paraId="0B70EEC7" w14:textId="77777777" w:rsidR="00286426" w:rsidRPr="00286426" w:rsidRDefault="00286426" w:rsidP="00FA4A1B">
      <w:pPr>
        <w:pStyle w:val="ZARTzmartartykuempunktem"/>
      </w:pPr>
      <w:r w:rsidRPr="00286426">
        <w:t>„Art. 3a. Komisja jest właściwym organem w rozumieniu:</w:t>
      </w:r>
    </w:p>
    <w:p w14:paraId="0684F015" w14:textId="77777777" w:rsidR="00286426" w:rsidRPr="00286426" w:rsidRDefault="00286426" w:rsidP="00FA4A1B">
      <w:pPr>
        <w:pStyle w:val="ZPKTzmpktartykuempunktem"/>
      </w:pPr>
      <w:r w:rsidRPr="00286426">
        <w:t>„1)</w:t>
      </w:r>
      <w:r w:rsidR="00587C7C">
        <w:tab/>
      </w:r>
      <w:r w:rsidRPr="00286426">
        <w:t>art. 4 ust. 1 pkt 40 rozporządzenia nr 575/2013, z wyłączeniem:</w:t>
      </w:r>
    </w:p>
    <w:p w14:paraId="34FB1A6A" w14:textId="77777777" w:rsidR="00286426" w:rsidRPr="00286426" w:rsidRDefault="00286426" w:rsidP="00FA4A1B">
      <w:pPr>
        <w:pStyle w:val="ZLITwPKTzmlitwpktartykuempunktem"/>
      </w:pPr>
      <w:r w:rsidRPr="00286426">
        <w:t>a)</w:t>
      </w:r>
      <w:r w:rsidR="00164E24">
        <w:tab/>
      </w:r>
      <w:r w:rsidRPr="00286426">
        <w:t>wydawania aktów, o których mowa w art. 89 ust. 3, art. 124 ust. 2 , art. 164 ust. 5, art. 178, art. 284 ust. 4, art. 327 ust. 2, art. 395 ust. 1, art. 400 ust. 2 i 3, art. 412 ust. 5 zdanie drugie i art. 416 ust. 1 akapit drugi rozporządzenia nr 575/20</w:t>
      </w:r>
      <w:r w:rsidR="00075BB2">
        <w:t>13,</w:t>
      </w:r>
    </w:p>
    <w:p w14:paraId="2031249C" w14:textId="77777777" w:rsidR="00286426" w:rsidRPr="00286426" w:rsidRDefault="00286426" w:rsidP="00FA4A1B">
      <w:pPr>
        <w:pStyle w:val="ZLITwPKTzmlitwpktartykuempunktem"/>
      </w:pPr>
      <w:r w:rsidRPr="00286426">
        <w:t>b)</w:t>
      </w:r>
      <w:r w:rsidR="00587C7C">
        <w:tab/>
      </w:r>
      <w:r w:rsidRPr="00286426">
        <w:t xml:space="preserve">spraw, o których mowa w art. </w:t>
      </w:r>
      <w:r w:rsidR="00075BB2">
        <w:t>458 rozporządzenia nr 575/2013;</w:t>
      </w:r>
    </w:p>
    <w:p w14:paraId="18562ED2" w14:textId="77777777" w:rsidR="00286426" w:rsidRPr="0049226B" w:rsidRDefault="00286426" w:rsidP="00FA4A1B">
      <w:pPr>
        <w:pStyle w:val="ZPKTzmpktartykuempunktem"/>
      </w:pPr>
      <w:r w:rsidRPr="00286426">
        <w:t>2)</w:t>
      </w:r>
      <w:r w:rsidR="00587C7C">
        <w:tab/>
      </w:r>
      <w:r w:rsidRPr="00286426">
        <w:t xml:space="preserve">art. </w:t>
      </w:r>
      <w:r w:rsidR="00075BB2">
        <w:t>4 ust. 1 pkt 7</w:t>
      </w:r>
      <w:r w:rsidRPr="00286426">
        <w:t xml:space="preserve"> rozporządzenia nr 2019/2033.”</w:t>
      </w:r>
      <w:r w:rsidR="00164E24">
        <w:t>.</w:t>
      </w:r>
    </w:p>
    <w:p w14:paraId="3D4EDFF8" w14:textId="48A0BB7B" w:rsidR="000202D8" w:rsidRDefault="00A62331" w:rsidP="00B51566">
      <w:pPr>
        <w:pStyle w:val="ARTartustawynprozporzdzenia"/>
      </w:pPr>
      <w:r>
        <w:rPr>
          <w:rStyle w:val="Ppogrubienie"/>
        </w:rPr>
        <w:t>Art. 6.</w:t>
      </w:r>
      <w:r w:rsidR="00AE27A5">
        <w:rPr>
          <w:rStyle w:val="Ppogrubienie"/>
        </w:rPr>
        <w:t xml:space="preserve"> </w:t>
      </w:r>
      <w:r w:rsidR="000202D8" w:rsidRPr="000202D8">
        <w:t>W ustawie z dnia 10 czerwca 2016 r. o Bankowym Funduszu Gwarancyjnym, systemie gwarantowania depozytów oraz przymusowej restrukturyzacji (Dz. U. z 2020 r. poz. 842)</w:t>
      </w:r>
      <w:r w:rsidR="00761A0E">
        <w:t xml:space="preserve"> </w:t>
      </w:r>
      <w:r w:rsidR="00761A0E" w:rsidRPr="00761A0E">
        <w:t>wprowadza się następujące zmiany:</w:t>
      </w:r>
    </w:p>
    <w:p w14:paraId="15F2F0FB" w14:textId="6721ABD9" w:rsidR="00CD572B" w:rsidRDefault="00CD572B" w:rsidP="00804C7C">
      <w:pPr>
        <w:pStyle w:val="PKTpunkt"/>
      </w:pPr>
      <w:r>
        <w:t>1)</w:t>
      </w:r>
      <w:r w:rsidR="00AE27A5">
        <w:tab/>
      </w:r>
      <w:r>
        <w:t>w</w:t>
      </w:r>
      <w:r w:rsidR="005E4020">
        <w:t xml:space="preserve"> art. 2 pkt 27 uchyla się lit b;</w:t>
      </w:r>
    </w:p>
    <w:p w14:paraId="24139664" w14:textId="4E283018" w:rsidR="00EA6285" w:rsidRDefault="00EA6285" w:rsidP="00804C7C">
      <w:pPr>
        <w:pStyle w:val="PKTpunkt"/>
      </w:pPr>
      <w:r>
        <w:t>2)</w:t>
      </w:r>
      <w:r w:rsidR="00AE27A5">
        <w:tab/>
      </w:r>
      <w:r>
        <w:t>w art. 64 pkt 1 otrzymuje brzmienie:</w:t>
      </w:r>
    </w:p>
    <w:p w14:paraId="1E7D3F90" w14:textId="437CD94A" w:rsidR="00761A0E" w:rsidRDefault="00EA6285" w:rsidP="00FA4A1B">
      <w:pPr>
        <w:pStyle w:val="ZPKTzmpktartykuempunktem"/>
        <w:rPr>
          <w:rStyle w:val="Ppogrubienie"/>
          <w:bCs w:val="0"/>
        </w:rPr>
      </w:pPr>
      <w:r w:rsidRPr="00033860">
        <w:t>,,1)</w:t>
      </w:r>
      <w:r w:rsidR="00AE27A5">
        <w:tab/>
      </w:r>
      <w:r w:rsidR="00033860" w:rsidRPr="00033860">
        <w:t xml:space="preserve">instytucję kredytową lub firmę inwestycyjną, o której mowa w art. </w:t>
      </w:r>
      <w:r w:rsidR="00033860" w:rsidRPr="00C549A1">
        <w:t xml:space="preserve">4 ust. 1 pkt 22 rozporządzenia Rozporządzenie </w:t>
      </w:r>
      <w:r w:rsidR="00033860" w:rsidRPr="00033860">
        <w:t xml:space="preserve">Parlamentu Europejskiego i Rady (UE) 2019/2033 </w:t>
      </w:r>
      <w:r w:rsidR="00033860" w:rsidRPr="00033860">
        <w:lastRenderedPageBreak/>
        <w:t>z dnia 27 listopada 2019 r. w sprawie wymogów ostrożnościowych dla firm inwestycyjnych oraz zmieniające rozporządzenia (UE) nr 1093/2010, (UE) nr 575/2013, (UE) nr 600/2014 i (UE) nr 806/2014 (Dz.U. L 314 z 5.</w:t>
      </w:r>
      <w:r w:rsidR="00033860">
        <w:t>12.2019, s</w:t>
      </w:r>
      <w:r w:rsidR="00BA3A0A">
        <w:t>tr</w:t>
      </w:r>
      <w:r w:rsidR="00033860">
        <w:t>. 1) objęta wymogiem dotyczącym kapitału założycielskiego w wysokości 750 000 euro.</w:t>
      </w:r>
      <w:r w:rsidR="00033860" w:rsidRPr="00033860">
        <w:t>”.</w:t>
      </w:r>
    </w:p>
    <w:p w14:paraId="45FC4ADC" w14:textId="77777777" w:rsidR="00A62331" w:rsidRDefault="000202D8" w:rsidP="00B51566">
      <w:pPr>
        <w:pStyle w:val="ARTartustawynprozporzdzenia"/>
      </w:pPr>
      <w:r w:rsidRPr="000202D8">
        <w:rPr>
          <w:rStyle w:val="Ppogrubienie"/>
        </w:rPr>
        <w:t xml:space="preserve">Art. </w:t>
      </w:r>
      <w:r w:rsidR="00761A0E">
        <w:rPr>
          <w:rStyle w:val="Ppogrubienie"/>
        </w:rPr>
        <w:t>7</w:t>
      </w:r>
      <w:r>
        <w:rPr>
          <w:rStyle w:val="Ppogrubienie"/>
        </w:rPr>
        <w:t xml:space="preserve">. </w:t>
      </w:r>
      <w:r w:rsidR="00A62331" w:rsidRPr="00F64576">
        <w:t>W ustawie z dnia 5 sierpnia 2015 r. o nadzorze makroostrożnościowym nad systemem finansowym i zarządzaniu kryzysowym w systemie finansowym (Dz. U. z 2019 r. poz. 483</w:t>
      </w:r>
      <w:r w:rsidR="00C77094">
        <w:t xml:space="preserve"> oraz z 2020 r. poz. 695</w:t>
      </w:r>
      <w:r w:rsidR="00A62331" w:rsidRPr="00F64576">
        <w:t>) wprowadza się następujące zmiany:</w:t>
      </w:r>
    </w:p>
    <w:p w14:paraId="7AD0A1B3" w14:textId="3B5E4A1A" w:rsidR="00C443AB" w:rsidRPr="00C443AB" w:rsidRDefault="00C443AB" w:rsidP="00DC4D32">
      <w:pPr>
        <w:pStyle w:val="PKTpunkt"/>
      </w:pPr>
      <w:r>
        <w:t>1)</w:t>
      </w:r>
      <w:r>
        <w:tab/>
      </w:r>
      <w:r w:rsidRPr="00C443AB">
        <w:t xml:space="preserve">w art. </w:t>
      </w:r>
      <w:r w:rsidR="0083100B">
        <w:t>4</w:t>
      </w:r>
      <w:r w:rsidRPr="00C443AB">
        <w:t xml:space="preserve"> pkt 3 otrzymuje brzmienie:</w:t>
      </w:r>
    </w:p>
    <w:p w14:paraId="30D850AE" w14:textId="77777777" w:rsidR="00C443AB" w:rsidRPr="00C443AB" w:rsidRDefault="00C443AB" w:rsidP="00164E24">
      <w:pPr>
        <w:pStyle w:val="ZPKTzmpktartykuempunktem"/>
      </w:pPr>
      <w:r w:rsidRPr="00C443AB">
        <w:t>„3)</w:t>
      </w:r>
      <w:r w:rsidR="004A6B70">
        <w:tab/>
      </w:r>
      <w:r w:rsidRPr="00C443AB">
        <w:t>instytucji – rozumie się przez to instytucję, o której mowa w art. 4 ust. 1 pkt 3 rozporządzenia 575/2013, z wyłączeniem:</w:t>
      </w:r>
    </w:p>
    <w:p w14:paraId="759BF867" w14:textId="77777777" w:rsidR="00C443AB" w:rsidRPr="00C443AB" w:rsidRDefault="00C443AB" w:rsidP="00AC06F3">
      <w:pPr>
        <w:pStyle w:val="ZLITwPKTzmlitwpktartykuempunktem"/>
      </w:pPr>
      <w:r w:rsidRPr="00C443AB">
        <w:t>a)</w:t>
      </w:r>
      <w:r w:rsidRPr="00C443AB">
        <w:tab/>
        <w:t xml:space="preserve">Banku Gospodarstwa Krajowego, </w:t>
      </w:r>
    </w:p>
    <w:p w14:paraId="7B957569" w14:textId="77777777" w:rsidR="00C443AB" w:rsidRPr="00C443AB" w:rsidRDefault="00C443AB" w:rsidP="00AC06F3">
      <w:pPr>
        <w:pStyle w:val="ZLITwPKTzmlitwpktartykuempunktem"/>
      </w:pPr>
      <w:r w:rsidRPr="00C443AB">
        <w:t>b)</w:t>
      </w:r>
      <w:r w:rsidRPr="00C443AB">
        <w:tab/>
        <w:t>spółdzielczych kas oszczędnościowo-kredytowych,</w:t>
      </w:r>
    </w:p>
    <w:p w14:paraId="2FC62FDC" w14:textId="32FA3B20" w:rsidR="00C443AB" w:rsidRPr="00C443AB" w:rsidRDefault="00C443AB" w:rsidP="00AC06F3">
      <w:pPr>
        <w:pStyle w:val="ZLITwPKTzmlitwpktartykuempunktem"/>
      </w:pPr>
      <w:r w:rsidRPr="00C443AB">
        <w:t>c)</w:t>
      </w:r>
      <w:r w:rsidRPr="00C443AB">
        <w:tab/>
        <w:t>oddziałów instytucji kredytowych, o których mowa w art. 4 ust. 1 pkt 18 ustawy – Prawo bankowe (Dz. U. z 2019 r. poz. 2357 oraz z 2020 r. 284, 288</w:t>
      </w:r>
      <w:r w:rsidR="003B0BD4">
        <w:t xml:space="preserve">, </w:t>
      </w:r>
      <w:r w:rsidRPr="00C443AB">
        <w:t>321</w:t>
      </w:r>
      <w:r w:rsidR="00F95FD2">
        <w:t>,</w:t>
      </w:r>
      <w:r w:rsidR="003B0BD4">
        <w:t xml:space="preserve"> 1086</w:t>
      </w:r>
      <w:r w:rsidR="00F95FD2">
        <w:t xml:space="preserve"> i 1639</w:t>
      </w:r>
      <w:r w:rsidRPr="00C443AB">
        <w:t>);”</w:t>
      </w:r>
      <w:r w:rsidR="00164E24">
        <w:t>;</w:t>
      </w:r>
    </w:p>
    <w:p w14:paraId="2CACD84E" w14:textId="498D3D7A" w:rsidR="00C443AB" w:rsidRPr="00C443AB" w:rsidRDefault="00C443AB" w:rsidP="00DC4D32">
      <w:pPr>
        <w:pStyle w:val="PKTpunkt"/>
      </w:pPr>
      <w:r w:rsidRPr="00C443AB">
        <w:t>2)</w:t>
      </w:r>
      <w:r w:rsidR="004A6B70">
        <w:tab/>
      </w:r>
      <w:r w:rsidRPr="00C443AB">
        <w:t>uchyla się</w:t>
      </w:r>
      <w:r w:rsidR="00587C7C" w:rsidRPr="00587C7C">
        <w:t xml:space="preserve"> </w:t>
      </w:r>
      <w:r w:rsidR="00587C7C" w:rsidRPr="00C443AB">
        <w:t>art. 20</w:t>
      </w:r>
      <w:r w:rsidR="00456834">
        <w:t xml:space="preserve"> i </w:t>
      </w:r>
      <w:r w:rsidR="00587C7C" w:rsidRPr="00C443AB">
        <w:t>art. 22</w:t>
      </w:r>
      <w:r w:rsidR="00164E24">
        <w:t>.</w:t>
      </w:r>
    </w:p>
    <w:p w14:paraId="7DF2FBBA" w14:textId="27E5C322" w:rsidR="003F5932" w:rsidRDefault="003F5932" w:rsidP="003F5932">
      <w:pPr>
        <w:pStyle w:val="ARTartustawynprozporzdzenia"/>
      </w:pPr>
      <w:r w:rsidRPr="003F5932">
        <w:rPr>
          <w:rStyle w:val="Ppogrubienie"/>
        </w:rPr>
        <w:t xml:space="preserve">Art. </w:t>
      </w:r>
      <w:r w:rsidR="00761A0E">
        <w:rPr>
          <w:rStyle w:val="Ppogrubienie"/>
        </w:rPr>
        <w:t>8</w:t>
      </w:r>
      <w:r w:rsidRPr="003F5932">
        <w:rPr>
          <w:rStyle w:val="Ppogrubienie"/>
        </w:rPr>
        <w:t>.</w:t>
      </w:r>
      <w:r w:rsidRPr="003F5932">
        <w:t xml:space="preserve"> </w:t>
      </w:r>
      <w:r>
        <w:t xml:space="preserve">W ustawie </w:t>
      </w:r>
      <w:r w:rsidRPr="003F5932">
        <w:t>z dnia 11 września 2015 r. o działalności ubezpieczeniowej i reasekuracyjnej</w:t>
      </w:r>
      <w:r>
        <w:t xml:space="preserve"> (Dz. U. z 2020 r. poz. 895</w:t>
      </w:r>
      <w:r w:rsidR="00745354">
        <w:t xml:space="preserve"> i 1180</w:t>
      </w:r>
      <w:r>
        <w:t xml:space="preserve">) w art. 374 w ust. 10 wyrazy </w:t>
      </w:r>
      <w:r w:rsidRPr="00C443AB">
        <w:t>„</w:t>
      </w:r>
      <w:r w:rsidRPr="003F5932">
        <w:t>dyrektywy Parlamentu Europejskiego i Rady 2013/36/UE z dnia 26 czerwca 2013 r. w sprawie warunków dopuszczenia instytucji kredytowych do działalności oraz nadzoru ostrożnościowego nad instytucjami kredytowymi i firmami inwestycyjnymi, zmieniającej dyrektywę 2002/87/WE i uchylającej dyrektywy 2006/48/WE oraz 2006/49/WE</w:t>
      </w:r>
      <w:r w:rsidRPr="00C443AB">
        <w:t>”</w:t>
      </w:r>
      <w:r>
        <w:t xml:space="preserve"> zastępuje się wyrazami </w:t>
      </w:r>
      <w:r w:rsidRPr="00C443AB">
        <w:t>„</w:t>
      </w:r>
      <w:r w:rsidRPr="003F5932">
        <w:t>dyrektywy Parlamentu Europejskiego i Rady 2013/36/UE z dnia 26 czerwca 2013 r. w sprawie warunków dopuszczenia instytucji kredytowych do działalności oraz nadzoru ostrożnościowego nad instytucjami kredytowymi, zmieniającej dyrektywę 2002/87/WE i uchylającej dyrektywy 2006/48/WE oraz 2006/49/WE</w:t>
      </w:r>
      <w:r w:rsidRPr="00C443AB">
        <w:t>”</w:t>
      </w:r>
      <w:r>
        <w:t>.</w:t>
      </w:r>
    </w:p>
    <w:p w14:paraId="6DB01524" w14:textId="6EC1F1C1" w:rsidR="003F5932" w:rsidRPr="003F5932" w:rsidRDefault="003F5932" w:rsidP="003F5932">
      <w:pPr>
        <w:pStyle w:val="ARTartustawynprozporzdzenia"/>
      </w:pPr>
      <w:r w:rsidRPr="005F197F">
        <w:rPr>
          <w:rStyle w:val="Ppogrubienie"/>
        </w:rPr>
        <w:t xml:space="preserve">Art. </w:t>
      </w:r>
      <w:r w:rsidR="00761A0E">
        <w:rPr>
          <w:rStyle w:val="Ppogrubienie"/>
        </w:rPr>
        <w:t>9</w:t>
      </w:r>
      <w:r w:rsidRPr="005F197F">
        <w:rPr>
          <w:rStyle w:val="Ppogrubienie"/>
        </w:rPr>
        <w:t>.</w:t>
      </w:r>
      <w:r>
        <w:t xml:space="preserve"> W ustawie</w:t>
      </w:r>
      <w:r w:rsidR="00F727B7">
        <w:t xml:space="preserve"> z</w:t>
      </w:r>
      <w:r>
        <w:t xml:space="preserve"> </w:t>
      </w:r>
      <w:r w:rsidRPr="003F5932">
        <w:t>dnia 6 marca 2018 r.</w:t>
      </w:r>
      <w:r>
        <w:t xml:space="preserve"> </w:t>
      </w:r>
      <w:r w:rsidRPr="003F5932">
        <w:t>o zasadach uczestnictwa przedsiębiorców zagranicznych i innych osób zagranicznych w obrocie gospodarczym na terytorium Rzeczypospolitej Polskiej</w:t>
      </w:r>
      <w:r>
        <w:t xml:space="preserve"> (Dz. U. z </w:t>
      </w:r>
      <w:r w:rsidR="00745354">
        <w:t xml:space="preserve">2020 </w:t>
      </w:r>
      <w:r>
        <w:t xml:space="preserve">r. poz. </w:t>
      </w:r>
      <w:r w:rsidR="00745354">
        <w:t>1252</w:t>
      </w:r>
      <w:r>
        <w:t xml:space="preserve">) w art. 12 w ust. 3 w pkt 2 wyrazy </w:t>
      </w:r>
      <w:r w:rsidRPr="00C443AB">
        <w:t>„</w:t>
      </w:r>
      <w:r w:rsidRPr="003F5932">
        <w:t>dyrektywy</w:t>
      </w:r>
      <w:r>
        <w:t xml:space="preserve"> 2013/36/UE</w:t>
      </w:r>
      <w:r w:rsidRPr="003F5932">
        <w:t xml:space="preserve"> Parlamentu Europejskiego i Rady z dnia 26 czerwca 2013 r. w sprawie warunków dopuszczenia instytucji kredytowych do działalności oraz nadzoru </w:t>
      </w:r>
      <w:r w:rsidRPr="003F5932">
        <w:lastRenderedPageBreak/>
        <w:t>ostrożnościowego nad instytucjami kredytowymi i firmami inwestycyjnymi, zmieniającej dyrektywę 2002/87/WE i uchylającej dyrektywy 2006/48/WE oraz 2006/49/WE</w:t>
      </w:r>
      <w:r w:rsidRPr="00C443AB">
        <w:t>”</w:t>
      </w:r>
      <w:r>
        <w:t xml:space="preserve"> zastępuje się wyrazami </w:t>
      </w:r>
      <w:r w:rsidRPr="00C443AB">
        <w:t>„</w:t>
      </w:r>
      <w:r w:rsidRPr="003F5932">
        <w:t>dyrektywy Parlamentu Europejskiego i Rady 2013/36/UE z dnia 26 czerwca 2013 r. w sprawie warunków dopuszczenia instytucji kredytowych do działalności oraz nadzoru ostrożnościowego nad instytucjami kredytowymi, zmieniającej dyrektywę 2002/87/WE i uchylającej dyrektywy 2006/48/WE oraz 2006/49/WE</w:t>
      </w:r>
      <w:r w:rsidRPr="00C443AB">
        <w:t>”</w:t>
      </w:r>
      <w:r>
        <w:t>.</w:t>
      </w:r>
    </w:p>
    <w:p w14:paraId="1727E89D" w14:textId="14B56C72" w:rsidR="00DC4D32" w:rsidRPr="00DC4D32" w:rsidRDefault="00DC4D32" w:rsidP="00DC4D32">
      <w:pPr>
        <w:pStyle w:val="ARTartustawynprozporzdzenia"/>
      </w:pPr>
      <w:r w:rsidRPr="00DC4D32">
        <w:rPr>
          <w:rStyle w:val="Ppogrubienie"/>
        </w:rPr>
        <w:t xml:space="preserve">Art. </w:t>
      </w:r>
      <w:r w:rsidR="00761A0E">
        <w:rPr>
          <w:rStyle w:val="Ppogrubienie"/>
        </w:rPr>
        <w:t>10</w:t>
      </w:r>
      <w:r w:rsidRPr="00DC4D32">
        <w:rPr>
          <w:rStyle w:val="Ppogrubienie"/>
        </w:rPr>
        <w:t>.</w:t>
      </w:r>
      <w:r w:rsidRPr="00DC4D32">
        <w:t xml:space="preserve"> 1. </w:t>
      </w:r>
      <w:r w:rsidR="00212422">
        <w:t>Dom maklerski</w:t>
      </w:r>
      <w:r w:rsidRPr="00DC4D32">
        <w:t xml:space="preserve">, o którym mowa w art. </w:t>
      </w:r>
      <w:r w:rsidR="00197E81">
        <w:t xml:space="preserve">69j </w:t>
      </w:r>
      <w:r w:rsidR="00CD61A5">
        <w:t xml:space="preserve">ustawy zmienianej w art. </w:t>
      </w:r>
      <w:r w:rsidR="00197E81">
        <w:t>1</w:t>
      </w:r>
      <w:r w:rsidRPr="00DC4D32">
        <w:t xml:space="preserve">, </w:t>
      </w:r>
      <w:r w:rsidR="00C77094">
        <w:t>w brzmieniu nadanym niniejszą ustawą</w:t>
      </w:r>
      <w:r w:rsidR="00C77094" w:rsidRPr="00650548">
        <w:t xml:space="preserve">, </w:t>
      </w:r>
      <w:r w:rsidRPr="00650548">
        <w:t>który w dniu 24 grudnia 2019 r.</w:t>
      </w:r>
      <w:r w:rsidRPr="00DC4D32">
        <w:t xml:space="preserve"> prowadził działalność maklerską</w:t>
      </w:r>
      <w:r w:rsidR="00650548" w:rsidRPr="00650548">
        <w:rPr>
          <w:rFonts w:asciiTheme="minorHAnsi" w:eastAsiaTheme="minorHAnsi" w:hAnsiTheme="minorHAnsi" w:cstheme="minorBidi"/>
          <w:sz w:val="22"/>
          <w:szCs w:val="22"/>
          <w:lang w:val="en-US" w:eastAsia="en-US"/>
        </w:rPr>
        <w:t xml:space="preserve"> </w:t>
      </w:r>
      <w:r w:rsidR="00650548" w:rsidRPr="00650548">
        <w:rPr>
          <w:lang w:val="en-US"/>
        </w:rPr>
        <w:t>i po dniu wejścia w życie niniejszej ustawy nadal ją prowadzi</w:t>
      </w:r>
      <w:r w:rsidRPr="00DC4D32">
        <w:t xml:space="preserve">, występuje do Komisji Nadzoru Finansowego z wnioskiem o wydanie zezwolenia na prowadzenie działalności, o który mowa w art. 36 ust. </w:t>
      </w:r>
      <w:r w:rsidR="00470881">
        <w:t>2</w:t>
      </w:r>
      <w:r w:rsidRPr="00DC4D32">
        <w:t xml:space="preserve"> ustawy zmienianej w art. 2, w terminie </w:t>
      </w:r>
      <w:r w:rsidR="00F61C7F">
        <w:t>30 dni od dnia wejścia w życie ustawy</w:t>
      </w:r>
      <w:r w:rsidRPr="00DC4D32">
        <w:t>.</w:t>
      </w:r>
    </w:p>
    <w:p w14:paraId="71137D1D" w14:textId="1B96B8E6" w:rsidR="00DC4D32" w:rsidRDefault="00DC4D32" w:rsidP="00F448BA">
      <w:pPr>
        <w:pStyle w:val="USTustnpkodeksu"/>
        <w:rPr>
          <w:rStyle w:val="Ppogrubienie"/>
        </w:rPr>
      </w:pPr>
      <w:r w:rsidRPr="00DC4D32">
        <w:t>2.</w:t>
      </w:r>
      <w:r w:rsidRPr="00782E25">
        <w:t xml:space="preserve"> </w:t>
      </w:r>
      <w:r w:rsidR="00C77094">
        <w:t>W przypadku naruszenia terminu,</w:t>
      </w:r>
      <w:r w:rsidRPr="00782E25">
        <w:t xml:space="preserve"> o którym mowa w ust. 1,</w:t>
      </w:r>
      <w:r w:rsidR="00DD0948">
        <w:t xml:space="preserve"> Komisja Nadzoru Finansowego, w drodze decyzji, stwierdza wygaśnięcie zezwolenia na prowadzenie działalności maklerskiej. </w:t>
      </w:r>
    </w:p>
    <w:p w14:paraId="13B3B694" w14:textId="36992170" w:rsidR="0049226B" w:rsidRDefault="0049226B" w:rsidP="002168D3">
      <w:pPr>
        <w:pStyle w:val="ARTartustawynprozporzdzenia"/>
      </w:pPr>
      <w:r w:rsidRPr="002168D3">
        <w:rPr>
          <w:rStyle w:val="Ppogrubienie"/>
        </w:rPr>
        <w:t xml:space="preserve">Art. </w:t>
      </w:r>
      <w:r w:rsidR="00F727B7">
        <w:rPr>
          <w:rStyle w:val="Ppogrubienie"/>
        </w:rPr>
        <w:t>1</w:t>
      </w:r>
      <w:r w:rsidR="00761A0E">
        <w:rPr>
          <w:rStyle w:val="Ppogrubienie"/>
        </w:rPr>
        <w:t>1</w:t>
      </w:r>
      <w:r w:rsidRPr="002168D3">
        <w:rPr>
          <w:rStyle w:val="Ppogrubienie"/>
        </w:rPr>
        <w:t>.</w:t>
      </w:r>
      <w:r w:rsidRPr="0049226B">
        <w:t xml:space="preserve"> </w:t>
      </w:r>
      <w:r w:rsidRPr="005E6D7E">
        <w:t xml:space="preserve">Do czynów </w:t>
      </w:r>
      <w:r w:rsidR="005C2590" w:rsidRPr="0049226B">
        <w:t xml:space="preserve">skutkujących odpowiedzialnością na podstawie ustawy </w:t>
      </w:r>
      <w:r w:rsidR="005C2590">
        <w:t xml:space="preserve">zmienianej w art. 1, </w:t>
      </w:r>
      <w:r w:rsidRPr="005E6D7E">
        <w:t>popełnionych przed dniem wejścia w życie</w:t>
      </w:r>
      <w:r w:rsidRPr="0049226B">
        <w:t xml:space="preserve"> niniejszej ustawy</w:t>
      </w:r>
      <w:r w:rsidR="005C2590">
        <w:t>,</w:t>
      </w:r>
      <w:r w:rsidRPr="0049226B">
        <w:t xml:space="preserve"> stosuje się przepisy dotychczasowe</w:t>
      </w:r>
      <w:r w:rsidR="00A00DA6">
        <w:t>.</w:t>
      </w:r>
    </w:p>
    <w:p w14:paraId="706FF4C0" w14:textId="79333A23" w:rsidR="00261A16" w:rsidRDefault="00DC4D32" w:rsidP="002B3AB0">
      <w:pPr>
        <w:pStyle w:val="ARTartustawynprozporzdzenia"/>
      </w:pPr>
      <w:r w:rsidRPr="00DC4D32">
        <w:rPr>
          <w:rStyle w:val="Ppogrubienie"/>
        </w:rPr>
        <w:t xml:space="preserve">Art. </w:t>
      </w:r>
      <w:r w:rsidR="00F727B7">
        <w:rPr>
          <w:rStyle w:val="Ppogrubienie"/>
        </w:rPr>
        <w:t>1</w:t>
      </w:r>
      <w:r w:rsidR="00761A0E">
        <w:rPr>
          <w:rStyle w:val="Ppogrubienie"/>
        </w:rPr>
        <w:t>2</w:t>
      </w:r>
      <w:r w:rsidRPr="00DC4D32">
        <w:rPr>
          <w:rStyle w:val="Ppogrubienie"/>
        </w:rPr>
        <w:t>.</w:t>
      </w:r>
      <w:r w:rsidRPr="00DC4D32">
        <w:t xml:space="preserve"> Ustawa wchodzi w życie z dniem 26 czerwca 2021 r.</w:t>
      </w:r>
    </w:p>
    <w:p w14:paraId="447CD551" w14:textId="77777777" w:rsidR="009F70F1" w:rsidRDefault="009F70F1" w:rsidP="002B3AB0">
      <w:pPr>
        <w:pStyle w:val="ARTartustawynprozporzdzenia"/>
      </w:pPr>
    </w:p>
    <w:p w14:paraId="04105461" w14:textId="77777777" w:rsidR="009F70F1" w:rsidRDefault="009F70F1" w:rsidP="002B3AB0">
      <w:pPr>
        <w:pStyle w:val="ARTartustawynprozporzdzenia"/>
      </w:pPr>
    </w:p>
    <w:p w14:paraId="54AFE51A" w14:textId="77777777" w:rsidR="00AB67E2" w:rsidRPr="00AB67E2" w:rsidRDefault="009F70F1" w:rsidP="00AB67E2">
      <w:pPr>
        <w:pStyle w:val="OZNPARAFYADNOTACJE"/>
        <w:rPr>
          <w:sz w:val="24"/>
          <w:szCs w:val="24"/>
        </w:rPr>
      </w:pPr>
      <w:r w:rsidRPr="00AB67E2">
        <w:rPr>
          <w:sz w:val="24"/>
          <w:szCs w:val="24"/>
        </w:rPr>
        <w:t xml:space="preserve">ZA ZGODNOŚĆ POD WZGLĘDEM PRAWNYM, </w:t>
      </w:r>
    </w:p>
    <w:p w14:paraId="0DCD96D5" w14:textId="7AF5026A" w:rsidR="009F70F1" w:rsidRPr="00AB67E2" w:rsidRDefault="009F70F1" w:rsidP="00AB67E2">
      <w:pPr>
        <w:pStyle w:val="OZNPARAFYADNOTACJE"/>
        <w:rPr>
          <w:sz w:val="24"/>
          <w:szCs w:val="24"/>
        </w:rPr>
      </w:pPr>
      <w:r w:rsidRPr="00AB67E2">
        <w:rPr>
          <w:sz w:val="24"/>
          <w:szCs w:val="24"/>
        </w:rPr>
        <w:t>LEGISLACYJNYM I REDAKCYJNYM</w:t>
      </w:r>
    </w:p>
    <w:p w14:paraId="2320234D" w14:textId="77777777" w:rsidR="009F70F1" w:rsidRPr="00AB67E2" w:rsidRDefault="009F70F1" w:rsidP="00AB67E2">
      <w:pPr>
        <w:pStyle w:val="OZNPARAFYADNOTACJE"/>
        <w:rPr>
          <w:sz w:val="24"/>
          <w:szCs w:val="24"/>
        </w:rPr>
      </w:pPr>
      <w:r w:rsidRPr="00AB67E2">
        <w:rPr>
          <w:sz w:val="24"/>
          <w:szCs w:val="24"/>
        </w:rPr>
        <w:t>Aleksandra Ostapiuk</w:t>
      </w:r>
    </w:p>
    <w:p w14:paraId="246A92E6" w14:textId="77777777" w:rsidR="00AB67E2" w:rsidRPr="00AB67E2" w:rsidRDefault="009F70F1" w:rsidP="00AB67E2">
      <w:pPr>
        <w:pStyle w:val="OZNPARAFYADNOTACJE"/>
        <w:rPr>
          <w:sz w:val="24"/>
          <w:szCs w:val="24"/>
        </w:rPr>
      </w:pPr>
      <w:r w:rsidRPr="00AB67E2">
        <w:rPr>
          <w:sz w:val="24"/>
          <w:szCs w:val="24"/>
        </w:rPr>
        <w:t xml:space="preserve">Dyrektor Departamentu Prawnego </w:t>
      </w:r>
    </w:p>
    <w:p w14:paraId="22F7041C" w14:textId="279234BC" w:rsidR="009F70F1" w:rsidRPr="00AB67E2" w:rsidRDefault="009F70F1" w:rsidP="00AB67E2">
      <w:pPr>
        <w:pStyle w:val="OZNPARAFYADNOTACJE"/>
        <w:rPr>
          <w:sz w:val="24"/>
          <w:szCs w:val="24"/>
        </w:rPr>
      </w:pPr>
      <w:r w:rsidRPr="00AB67E2">
        <w:rPr>
          <w:sz w:val="24"/>
          <w:szCs w:val="24"/>
        </w:rPr>
        <w:t>w Ministerstwie Finansów</w:t>
      </w:r>
    </w:p>
    <w:p w14:paraId="7965766B" w14:textId="77777777" w:rsidR="009F70F1" w:rsidRPr="00AB67E2" w:rsidRDefault="009F70F1" w:rsidP="00AB67E2">
      <w:pPr>
        <w:pStyle w:val="OZNPARAFYADNOTACJE"/>
        <w:rPr>
          <w:sz w:val="24"/>
          <w:szCs w:val="24"/>
        </w:rPr>
      </w:pPr>
      <w:r w:rsidRPr="00AB67E2">
        <w:rPr>
          <w:sz w:val="24"/>
          <w:szCs w:val="24"/>
        </w:rPr>
        <w:t>/- podpisano kwalifikowanym podpisem elektronicznym/</w:t>
      </w:r>
    </w:p>
    <w:p w14:paraId="2E62D0A3" w14:textId="77777777" w:rsidR="009F70F1" w:rsidRPr="00AB67E2" w:rsidRDefault="009F70F1" w:rsidP="00AB67E2">
      <w:pPr>
        <w:pStyle w:val="OZNPARAFYADNOTACJE"/>
      </w:pPr>
    </w:p>
    <w:p w14:paraId="1FEACD2A" w14:textId="77777777" w:rsidR="009F70F1" w:rsidRPr="001975D0" w:rsidRDefault="009F70F1" w:rsidP="002B3AB0">
      <w:pPr>
        <w:pStyle w:val="ARTartustawynprozporzdzenia"/>
      </w:pPr>
    </w:p>
    <w:sectPr w:rsidR="009F70F1" w:rsidRPr="001975D0" w:rsidSect="001A7F15">
      <w:headerReference w:type="default" r:id="rId11"/>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3EE2" w14:textId="77777777" w:rsidR="007C5825" w:rsidRDefault="007C5825">
      <w:r>
        <w:separator/>
      </w:r>
    </w:p>
  </w:endnote>
  <w:endnote w:type="continuationSeparator" w:id="0">
    <w:p w14:paraId="3EC0E12A" w14:textId="77777777" w:rsidR="007C5825" w:rsidRDefault="007C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0E365" w14:textId="77777777" w:rsidR="007C5825" w:rsidRDefault="007C5825">
      <w:r>
        <w:separator/>
      </w:r>
    </w:p>
  </w:footnote>
  <w:footnote w:type="continuationSeparator" w:id="0">
    <w:p w14:paraId="5EF3F90B" w14:textId="77777777" w:rsidR="007C5825" w:rsidRDefault="007C5825">
      <w:r>
        <w:continuationSeparator/>
      </w:r>
    </w:p>
  </w:footnote>
  <w:footnote w:id="1">
    <w:p w14:paraId="2FD6951E" w14:textId="77777777" w:rsidR="00375CF3" w:rsidRDefault="00375CF3" w:rsidP="00182D8B">
      <w:pPr>
        <w:pStyle w:val="ODNONIKtreodnonika"/>
      </w:pPr>
      <w:r>
        <w:rPr>
          <w:rStyle w:val="Odwoanieprzypisudolnego"/>
        </w:rPr>
        <w:t>1)</w:t>
      </w:r>
      <w:r>
        <w:tab/>
      </w:r>
      <w:r w:rsidRPr="002F5B77">
        <w:t>Niniejsza ust</w:t>
      </w:r>
      <w:r>
        <w:t xml:space="preserve">awa w zakresie swojej regulacji wdraża dyrektywę </w:t>
      </w:r>
      <w:r w:rsidRPr="00B42735">
        <w:t xml:space="preserve">Parlamentu Europejskiego i Rady </w:t>
      </w:r>
      <w:r>
        <w:t xml:space="preserve">(UE) 2019/2034 </w:t>
      </w:r>
      <w:r w:rsidRPr="00B42735">
        <w:t>z dnia</w:t>
      </w:r>
      <w:r>
        <w:t xml:space="preserve"> 27 listopada 2019 r. </w:t>
      </w:r>
      <w:r w:rsidRPr="00182D8B">
        <w:t>w sprawie nadzoru ostrożnościowego nad firmami inwestycyjnymi oraz zmieniająca dyrektywy 2002/87/WE, 2009/65/WE, 2011/61/UE, 2013/36/UE, 2014/59/UE i 2014/65/UE</w:t>
      </w:r>
      <w:r>
        <w:t xml:space="preserve"> (Dz. Urz. UE L 314 z 05.12.2019, str. 64 oraz Dz</w:t>
      </w:r>
      <w:r w:rsidRPr="0072074E">
        <w:t>.</w:t>
      </w:r>
      <w:r>
        <w:t xml:space="preserve"> </w:t>
      </w:r>
      <w:r w:rsidRPr="0072074E">
        <w:t>U</w:t>
      </w:r>
      <w:r>
        <w:t>rz</w:t>
      </w:r>
      <w:r w:rsidRPr="0072074E">
        <w:t>.</w:t>
      </w:r>
      <w:r>
        <w:t xml:space="preserve"> UE L 195/20 z 19.06.2020, str. 120).</w:t>
      </w:r>
    </w:p>
  </w:footnote>
  <w:footnote w:id="2">
    <w:p w14:paraId="562370F8" w14:textId="784360A4" w:rsidR="00375CF3" w:rsidRDefault="00375CF3" w:rsidP="003F5932">
      <w:pPr>
        <w:pStyle w:val="ODNONIKtreodnonika"/>
      </w:pPr>
      <w:r>
        <w:rPr>
          <w:rStyle w:val="Odwoanieprzypisudolnego"/>
        </w:rPr>
        <w:t>2)</w:t>
      </w:r>
      <w:r>
        <w:tab/>
        <w:t xml:space="preserve">Niniejszą ustawą zmienia się ustawy: ustawę </w:t>
      </w:r>
      <w:r w:rsidRPr="003377B9">
        <w:t>z dnia 29 sierpnia 1997 r. – Prawo bankowe</w:t>
      </w:r>
      <w:r>
        <w:t>, ustawę</w:t>
      </w:r>
      <w:r w:rsidRPr="003377B9">
        <w:t xml:space="preserve"> z dnia 27 maja 2004 r. o funduszach inwestycyjnych i zarządzaniu alternatywnymi funduszami inwestycyjnymi</w:t>
      </w:r>
      <w:r>
        <w:t xml:space="preserve">, ustawę </w:t>
      </w:r>
      <w:r w:rsidRPr="003377B9">
        <w:t>z dnia 29 lipca 2005 r. o nadzorze nad rynkiem kapitałowym</w:t>
      </w:r>
      <w:r>
        <w:t>,</w:t>
      </w:r>
      <w:r w:rsidRPr="003377B9">
        <w:t xml:space="preserve"> </w:t>
      </w:r>
      <w:r>
        <w:t xml:space="preserve">ustawę </w:t>
      </w:r>
      <w:r w:rsidRPr="003377B9">
        <w:t>z dnia 21 lipca 2006 r. o nadzorze nad rynkiem finansowym</w:t>
      </w:r>
      <w:r>
        <w:t>,</w:t>
      </w:r>
      <w:r w:rsidRPr="007574E6">
        <w:t xml:space="preserve"> </w:t>
      </w:r>
      <w:r>
        <w:t>ustawę</w:t>
      </w:r>
      <w:r w:rsidRPr="000202D8">
        <w:t xml:space="preserve"> z dnia 10 czerwca 2016 r. o Bankowym Funduszu Gwarancyjnym, systemie gwarantowania depozytów or</w:t>
      </w:r>
      <w:r>
        <w:t>az przymusowej restrukturyzacji, ustawę z dnia 5 sierpnia 2015 r.</w:t>
      </w:r>
      <w:r w:rsidRPr="00B83FFB">
        <w:t xml:space="preserve"> o nadzorze makroostrożnościowym nad systemem finansowym i zarządzaniu kryzysowym w systemie finansowym</w:t>
      </w:r>
      <w:r>
        <w:t xml:space="preserve">, ustawę z dnia 11 września 2015 r. </w:t>
      </w:r>
      <w:r w:rsidRPr="003F5932">
        <w:t>o działalności ubezpieczeniowej i reasekuracyjnej</w:t>
      </w:r>
      <w:r>
        <w:t xml:space="preserve"> oraz ustawę z </w:t>
      </w:r>
      <w:r w:rsidRPr="003F5932">
        <w:t>dnia 6 marca 2018 r.</w:t>
      </w:r>
      <w:r>
        <w:t xml:space="preserve"> </w:t>
      </w:r>
      <w:r w:rsidRPr="003F5932">
        <w:t>o zasadach uczestnictwa przedsiębiorców zagranicznych i innych osób zagranicznych w obrocie gospodarczym na terytorium Rzeczypospolitej Polskiej</w:t>
      </w:r>
      <w:r>
        <w:t>.</w:t>
      </w:r>
    </w:p>
  </w:footnote>
  <w:footnote w:id="3">
    <w:p w14:paraId="5D2EAB5E" w14:textId="42EA7FE1" w:rsidR="00375CF3" w:rsidRDefault="00375CF3" w:rsidP="0019269B">
      <w:pPr>
        <w:pStyle w:val="ODNONIKtreodnonika"/>
      </w:pPr>
      <w:r>
        <w:rPr>
          <w:rStyle w:val="Odwoanieprzypisudolnego"/>
        </w:rPr>
        <w:t>3)</w:t>
      </w:r>
      <w:r>
        <w:tab/>
        <w:t>Zmiana</w:t>
      </w:r>
      <w:r w:rsidRPr="00CA3D25">
        <w:t xml:space="preserve"> wym</w:t>
      </w:r>
      <w:r>
        <w:t>ienionego rozporządzenia została ogłoszona</w:t>
      </w:r>
      <w:r w:rsidRPr="00CA3D25">
        <w:t xml:space="preserve"> w</w:t>
      </w:r>
      <w:r>
        <w:t xml:space="preserve"> Dz. Urz. UE L 20/26 z 24.01.2020, str. 26.</w:t>
      </w:r>
    </w:p>
  </w:footnote>
  <w:footnote w:id="4">
    <w:p w14:paraId="6011A49C" w14:textId="49B8CBC2" w:rsidR="00375CF3" w:rsidRDefault="00375CF3" w:rsidP="00CA3D25">
      <w:pPr>
        <w:pStyle w:val="ODNONIKtreodnonika"/>
      </w:pPr>
      <w:r>
        <w:rPr>
          <w:rStyle w:val="Odwoanieprzypisudolnego"/>
        </w:rPr>
        <w:t>4)</w:t>
      </w:r>
      <w:r>
        <w:tab/>
      </w:r>
      <w:r w:rsidRPr="00454480">
        <w:t>Zmiany wymienionego rozporządzenia zostały ogłoszone</w:t>
      </w:r>
      <w:r>
        <w:t xml:space="preserve"> w </w:t>
      </w:r>
      <w:r w:rsidRPr="00454480">
        <w:t>Dz. Urz. UE L 208 z 02.08.2013, str. 73, Dz. Urz. UE L 60 z 28.02.2014, str. 34, Dz. Urz. UE L 173 z 12.06.2014, str. 190, Dz. Urz. UE L 337 z 23.12.2015, str. 35 oraz Dz. Urz. UE L 20 z 25.01.2017, str. 1</w:t>
      </w:r>
      <w:r>
        <w:t>.</w:t>
      </w:r>
    </w:p>
  </w:footnote>
  <w:footnote w:id="5">
    <w:p w14:paraId="5701ADC2" w14:textId="353EEA8C" w:rsidR="00375CF3" w:rsidRDefault="00375CF3" w:rsidP="00CA3D25">
      <w:pPr>
        <w:pStyle w:val="ODNONIKtreodnonika"/>
      </w:pPr>
      <w:r>
        <w:rPr>
          <w:rStyle w:val="Odwoanieprzypisudolnego"/>
        </w:rPr>
        <w:t>5)</w:t>
      </w:r>
      <w:r>
        <w:tab/>
      </w:r>
      <w:r w:rsidRPr="00454480">
        <w:t>Zmian</w:t>
      </w:r>
      <w:r>
        <w:t>a</w:t>
      </w:r>
      <w:r w:rsidRPr="00454480">
        <w:t xml:space="preserve"> wymienionego rozporządzenia został</w:t>
      </w:r>
      <w:r>
        <w:t>a</w:t>
      </w:r>
      <w:r w:rsidRPr="00454480">
        <w:t xml:space="preserve"> ogłoszon</w:t>
      </w:r>
      <w:r>
        <w:t xml:space="preserve">a w </w:t>
      </w:r>
      <w:r w:rsidRPr="00881D8E">
        <w:t>Dz. Urz. UE L 195/20 z 19.06.2020, str. 120</w:t>
      </w:r>
      <w:r>
        <w:t>.</w:t>
      </w:r>
    </w:p>
  </w:footnote>
  <w:footnote w:id="6">
    <w:p w14:paraId="1088C778" w14:textId="77777777" w:rsidR="00375CF3" w:rsidRDefault="00375CF3" w:rsidP="0044028D">
      <w:pPr>
        <w:pStyle w:val="ODNONIKtreodnonika"/>
      </w:pPr>
      <w:r>
        <w:rPr>
          <w:rStyle w:val="Odwoanieprzypisudolnego"/>
        </w:rPr>
        <w:t>11)</w:t>
      </w:r>
      <w:r>
        <w:tab/>
      </w:r>
      <w:r w:rsidRPr="00441A56">
        <w:t>Zmian</w:t>
      </w:r>
      <w:r>
        <w:t>a</w:t>
      </w:r>
      <w:r w:rsidRPr="00441A56">
        <w:t xml:space="preserve"> wymienionego rozporządzenia został</w:t>
      </w:r>
      <w:r>
        <w:t>a</w:t>
      </w:r>
      <w:r w:rsidRPr="00441A56">
        <w:t xml:space="preserve"> ogłoszon</w:t>
      </w:r>
      <w:r>
        <w:t>a</w:t>
      </w:r>
      <w:r w:rsidRPr="00441A56">
        <w:t xml:space="preserve"> w</w:t>
      </w:r>
      <w:r>
        <w:t xml:space="preserve"> </w:t>
      </w:r>
      <w:r w:rsidRPr="00B36513">
        <w:t>Dz. Urz. UE L 320 z 11.12.2019</w:t>
      </w:r>
      <w:r>
        <w:t>,</w:t>
      </w:r>
      <w:r w:rsidRPr="00B36513">
        <w:t xml:space="preserve"> str. 1</w:t>
      </w:r>
      <w:r>
        <w:t>.</w:t>
      </w:r>
    </w:p>
  </w:footnote>
  <w:footnote w:id="7">
    <w:p w14:paraId="6A58F4F9" w14:textId="77777777" w:rsidR="00375CF3" w:rsidRDefault="00375CF3" w:rsidP="0044028D">
      <w:pPr>
        <w:pStyle w:val="ODNONIKtreodnonika"/>
      </w:pPr>
      <w:r>
        <w:rPr>
          <w:rStyle w:val="Odwoanieprzypisudolnego"/>
        </w:rPr>
        <w:t>12)</w:t>
      </w:r>
      <w:r>
        <w:tab/>
      </w:r>
      <w:r w:rsidRPr="00441A56">
        <w:t>Zmian</w:t>
      </w:r>
      <w:r>
        <w:t>a</w:t>
      </w:r>
      <w:r w:rsidRPr="00441A56">
        <w:t xml:space="preserve"> wym</w:t>
      </w:r>
      <w:r>
        <w:t>ienionego rozporządzenia została ogłoszona</w:t>
      </w:r>
      <w:r w:rsidRPr="00441A56">
        <w:t xml:space="preserve"> w</w:t>
      </w:r>
      <w:r>
        <w:t xml:space="preserve"> </w:t>
      </w:r>
      <w:r w:rsidRPr="00B36513">
        <w:t>Dz. Urz. UE L 20/26 z 24.01.2020, str. 26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6172" w14:textId="77777777" w:rsidR="00375CF3" w:rsidRPr="00B371CC" w:rsidRDefault="00375CF3" w:rsidP="00B371CC">
    <w:pPr>
      <w:pStyle w:val="Nagwek"/>
      <w:jc w:val="center"/>
    </w:pPr>
    <w:r>
      <w:t xml:space="preserve">– </w:t>
    </w:r>
    <w:r>
      <w:fldChar w:fldCharType="begin"/>
    </w:r>
    <w:r>
      <w:instrText xml:space="preserve"> PAGE  \* MERGEFORMAT </w:instrText>
    </w:r>
    <w:r>
      <w:fldChar w:fldCharType="separate"/>
    </w:r>
    <w:r w:rsidR="00B26A2B">
      <w:rPr>
        <w:noProof/>
      </w:rPr>
      <w:t>20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6BA1ED4"/>
    <w:multiLevelType w:val="hybridMultilevel"/>
    <w:tmpl w:val="3224DE08"/>
    <w:lvl w:ilvl="0" w:tplc="7A8CC086">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7131A2"/>
    <w:multiLevelType w:val="hybridMultilevel"/>
    <w:tmpl w:val="964A3EA6"/>
    <w:lvl w:ilvl="0" w:tplc="F1F276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206F0E"/>
    <w:multiLevelType w:val="hybridMultilevel"/>
    <w:tmpl w:val="814A8C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8"/>
  </w:num>
  <w:num w:numId="6">
    <w:abstractNumId w:val="34"/>
  </w:num>
  <w:num w:numId="7">
    <w:abstractNumId w:val="38"/>
  </w:num>
  <w:num w:numId="8">
    <w:abstractNumId w:val="34"/>
  </w:num>
  <w:num w:numId="9">
    <w:abstractNumId w:val="38"/>
  </w:num>
  <w:num w:numId="10">
    <w:abstractNumId w:val="34"/>
  </w:num>
  <w:num w:numId="11">
    <w:abstractNumId w:val="14"/>
  </w:num>
  <w:num w:numId="12">
    <w:abstractNumId w:val="10"/>
  </w:num>
  <w:num w:numId="13">
    <w:abstractNumId w:val="16"/>
  </w:num>
  <w:num w:numId="14">
    <w:abstractNumId w:val="27"/>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6"/>
  </w:num>
  <w:num w:numId="29">
    <w:abstractNumId w:val="39"/>
  </w:num>
  <w:num w:numId="30">
    <w:abstractNumId w:val="35"/>
  </w:num>
  <w:num w:numId="31">
    <w:abstractNumId w:val="20"/>
  </w:num>
  <w:num w:numId="32">
    <w:abstractNumId w:val="11"/>
  </w:num>
  <w:num w:numId="33">
    <w:abstractNumId w:val="32"/>
  </w:num>
  <w:num w:numId="34">
    <w:abstractNumId w:val="21"/>
  </w:num>
  <w:num w:numId="35">
    <w:abstractNumId w:val="18"/>
  </w:num>
  <w:num w:numId="36">
    <w:abstractNumId w:val="23"/>
  </w:num>
  <w:num w:numId="37">
    <w:abstractNumId w:val="28"/>
  </w:num>
  <w:num w:numId="38">
    <w:abstractNumId w:val="25"/>
  </w:num>
  <w:num w:numId="39">
    <w:abstractNumId w:val="13"/>
  </w:num>
  <w:num w:numId="40">
    <w:abstractNumId w:val="31"/>
  </w:num>
  <w:num w:numId="41">
    <w:abstractNumId w:val="30"/>
  </w:num>
  <w:num w:numId="42">
    <w:abstractNumId w:val="22"/>
  </w:num>
  <w:num w:numId="43">
    <w:abstractNumId w:val="37"/>
  </w:num>
  <w:num w:numId="44">
    <w:abstractNumId w:val="12"/>
  </w:num>
  <w:num w:numId="45">
    <w:abstractNumId w:val="33"/>
  </w:num>
  <w:num w:numId="46">
    <w:abstractNumId w:val="2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40"/>
    <w:rsid w:val="00000215"/>
    <w:rsid w:val="000008CA"/>
    <w:rsid w:val="000012DA"/>
    <w:rsid w:val="00001BFB"/>
    <w:rsid w:val="0000246E"/>
    <w:rsid w:val="00002952"/>
    <w:rsid w:val="00003862"/>
    <w:rsid w:val="00003C41"/>
    <w:rsid w:val="0000526D"/>
    <w:rsid w:val="00012468"/>
    <w:rsid w:val="00012A35"/>
    <w:rsid w:val="00014325"/>
    <w:rsid w:val="00016099"/>
    <w:rsid w:val="000169C9"/>
    <w:rsid w:val="00016CA1"/>
    <w:rsid w:val="00017DC2"/>
    <w:rsid w:val="000202D8"/>
    <w:rsid w:val="00021522"/>
    <w:rsid w:val="0002234F"/>
    <w:rsid w:val="000229AB"/>
    <w:rsid w:val="000229F1"/>
    <w:rsid w:val="00023471"/>
    <w:rsid w:val="00023F13"/>
    <w:rsid w:val="00024A9D"/>
    <w:rsid w:val="00030634"/>
    <w:rsid w:val="000319C1"/>
    <w:rsid w:val="00031A8B"/>
    <w:rsid w:val="00031BCA"/>
    <w:rsid w:val="000330FA"/>
    <w:rsid w:val="0003362F"/>
    <w:rsid w:val="00033860"/>
    <w:rsid w:val="00035504"/>
    <w:rsid w:val="00036B63"/>
    <w:rsid w:val="00036F3D"/>
    <w:rsid w:val="00037E1A"/>
    <w:rsid w:val="00042115"/>
    <w:rsid w:val="00042706"/>
    <w:rsid w:val="00042F0D"/>
    <w:rsid w:val="00043495"/>
    <w:rsid w:val="00043E0B"/>
    <w:rsid w:val="0004404B"/>
    <w:rsid w:val="0004570D"/>
    <w:rsid w:val="00046A75"/>
    <w:rsid w:val="00047312"/>
    <w:rsid w:val="000508BD"/>
    <w:rsid w:val="000517AB"/>
    <w:rsid w:val="0005339C"/>
    <w:rsid w:val="0005571B"/>
    <w:rsid w:val="0005656C"/>
    <w:rsid w:val="00057AB3"/>
    <w:rsid w:val="00060076"/>
    <w:rsid w:val="00060432"/>
    <w:rsid w:val="00060D87"/>
    <w:rsid w:val="000615A5"/>
    <w:rsid w:val="00064E4C"/>
    <w:rsid w:val="000661C6"/>
    <w:rsid w:val="0006661A"/>
    <w:rsid w:val="00066901"/>
    <w:rsid w:val="00067861"/>
    <w:rsid w:val="00067F38"/>
    <w:rsid w:val="00071BEE"/>
    <w:rsid w:val="00072225"/>
    <w:rsid w:val="000736CD"/>
    <w:rsid w:val="0007533B"/>
    <w:rsid w:val="000753E3"/>
    <w:rsid w:val="0007545D"/>
    <w:rsid w:val="00075BB2"/>
    <w:rsid w:val="000760BF"/>
    <w:rsid w:val="0007613E"/>
    <w:rsid w:val="00076BFC"/>
    <w:rsid w:val="000814A7"/>
    <w:rsid w:val="0008557B"/>
    <w:rsid w:val="00085CE7"/>
    <w:rsid w:val="00085FCA"/>
    <w:rsid w:val="00090390"/>
    <w:rsid w:val="000906EE"/>
    <w:rsid w:val="00090886"/>
    <w:rsid w:val="00091BA2"/>
    <w:rsid w:val="000923C9"/>
    <w:rsid w:val="0009284B"/>
    <w:rsid w:val="00093C4E"/>
    <w:rsid w:val="000944EF"/>
    <w:rsid w:val="00096CF5"/>
    <w:rsid w:val="00096DF1"/>
    <w:rsid w:val="0009732D"/>
    <w:rsid w:val="000973F0"/>
    <w:rsid w:val="000A1296"/>
    <w:rsid w:val="000A1347"/>
    <w:rsid w:val="000A1C27"/>
    <w:rsid w:val="000A1DAD"/>
    <w:rsid w:val="000A2649"/>
    <w:rsid w:val="000A323B"/>
    <w:rsid w:val="000A3AF1"/>
    <w:rsid w:val="000B1455"/>
    <w:rsid w:val="000B1D86"/>
    <w:rsid w:val="000B2145"/>
    <w:rsid w:val="000B298D"/>
    <w:rsid w:val="000B562C"/>
    <w:rsid w:val="000B5B2D"/>
    <w:rsid w:val="000B5DCE"/>
    <w:rsid w:val="000B60F0"/>
    <w:rsid w:val="000C05BA"/>
    <w:rsid w:val="000C0E8F"/>
    <w:rsid w:val="000C3533"/>
    <w:rsid w:val="000C374D"/>
    <w:rsid w:val="000C4BC4"/>
    <w:rsid w:val="000D0110"/>
    <w:rsid w:val="000D15B3"/>
    <w:rsid w:val="000D22B4"/>
    <w:rsid w:val="000D2468"/>
    <w:rsid w:val="000D318A"/>
    <w:rsid w:val="000D4B85"/>
    <w:rsid w:val="000D5762"/>
    <w:rsid w:val="000D6173"/>
    <w:rsid w:val="000D6F83"/>
    <w:rsid w:val="000E25CC"/>
    <w:rsid w:val="000E3694"/>
    <w:rsid w:val="000E490F"/>
    <w:rsid w:val="000E54B0"/>
    <w:rsid w:val="000E6241"/>
    <w:rsid w:val="000F15DD"/>
    <w:rsid w:val="000F2BE3"/>
    <w:rsid w:val="000F3922"/>
    <w:rsid w:val="000F3D0D"/>
    <w:rsid w:val="000F42C7"/>
    <w:rsid w:val="000F6ED4"/>
    <w:rsid w:val="000F7A6E"/>
    <w:rsid w:val="001042BA"/>
    <w:rsid w:val="0010564D"/>
    <w:rsid w:val="00106D03"/>
    <w:rsid w:val="00110465"/>
    <w:rsid w:val="00110628"/>
    <w:rsid w:val="001113B3"/>
    <w:rsid w:val="0011245A"/>
    <w:rsid w:val="001126B2"/>
    <w:rsid w:val="0011493E"/>
    <w:rsid w:val="00114FCC"/>
    <w:rsid w:val="00115B72"/>
    <w:rsid w:val="001209EC"/>
    <w:rsid w:val="00120A9E"/>
    <w:rsid w:val="00123B95"/>
    <w:rsid w:val="001248EC"/>
    <w:rsid w:val="00124AEE"/>
    <w:rsid w:val="00125A9C"/>
    <w:rsid w:val="001270A2"/>
    <w:rsid w:val="00127692"/>
    <w:rsid w:val="00131237"/>
    <w:rsid w:val="001329AC"/>
    <w:rsid w:val="0013364A"/>
    <w:rsid w:val="00134CA0"/>
    <w:rsid w:val="0014022E"/>
    <w:rsid w:val="0014026F"/>
    <w:rsid w:val="001422E9"/>
    <w:rsid w:val="00143C0A"/>
    <w:rsid w:val="00147554"/>
    <w:rsid w:val="00147A47"/>
    <w:rsid w:val="00147AA1"/>
    <w:rsid w:val="001520CF"/>
    <w:rsid w:val="0015231B"/>
    <w:rsid w:val="00153D8F"/>
    <w:rsid w:val="001548FB"/>
    <w:rsid w:val="0015667C"/>
    <w:rsid w:val="00157110"/>
    <w:rsid w:val="0015742A"/>
    <w:rsid w:val="00157DA1"/>
    <w:rsid w:val="00163147"/>
    <w:rsid w:val="00164855"/>
    <w:rsid w:val="00164C57"/>
    <w:rsid w:val="00164C9D"/>
    <w:rsid w:val="00164E24"/>
    <w:rsid w:val="00170AC1"/>
    <w:rsid w:val="00172F7A"/>
    <w:rsid w:val="00173150"/>
    <w:rsid w:val="00173390"/>
    <w:rsid w:val="001736F0"/>
    <w:rsid w:val="00173BB3"/>
    <w:rsid w:val="001740D0"/>
    <w:rsid w:val="00174F2C"/>
    <w:rsid w:val="00180F2A"/>
    <w:rsid w:val="00182D8B"/>
    <w:rsid w:val="001846EF"/>
    <w:rsid w:val="00184B91"/>
    <w:rsid w:val="00184D4A"/>
    <w:rsid w:val="00185DDB"/>
    <w:rsid w:val="00186EC1"/>
    <w:rsid w:val="00191E1F"/>
    <w:rsid w:val="0019206D"/>
    <w:rsid w:val="0019269B"/>
    <w:rsid w:val="0019314E"/>
    <w:rsid w:val="0019473B"/>
    <w:rsid w:val="001952B1"/>
    <w:rsid w:val="00196E39"/>
    <w:rsid w:val="001975D0"/>
    <w:rsid w:val="00197649"/>
    <w:rsid w:val="00197E81"/>
    <w:rsid w:val="001A01FB"/>
    <w:rsid w:val="001A10E9"/>
    <w:rsid w:val="001A183D"/>
    <w:rsid w:val="001A2849"/>
    <w:rsid w:val="001A2B65"/>
    <w:rsid w:val="001A3CD3"/>
    <w:rsid w:val="001A5BEF"/>
    <w:rsid w:val="001A7F15"/>
    <w:rsid w:val="001B20AC"/>
    <w:rsid w:val="001B342E"/>
    <w:rsid w:val="001B38AA"/>
    <w:rsid w:val="001B5D4E"/>
    <w:rsid w:val="001B79C5"/>
    <w:rsid w:val="001C1832"/>
    <w:rsid w:val="001C188C"/>
    <w:rsid w:val="001C24B4"/>
    <w:rsid w:val="001C2B6A"/>
    <w:rsid w:val="001C3F7B"/>
    <w:rsid w:val="001C41F3"/>
    <w:rsid w:val="001C4DD7"/>
    <w:rsid w:val="001C542C"/>
    <w:rsid w:val="001C5BB8"/>
    <w:rsid w:val="001D1783"/>
    <w:rsid w:val="001D53CD"/>
    <w:rsid w:val="001D55A3"/>
    <w:rsid w:val="001D5AF5"/>
    <w:rsid w:val="001D6056"/>
    <w:rsid w:val="001D7BC5"/>
    <w:rsid w:val="001D7CF7"/>
    <w:rsid w:val="001E1E73"/>
    <w:rsid w:val="001E315B"/>
    <w:rsid w:val="001E4E0C"/>
    <w:rsid w:val="001E526D"/>
    <w:rsid w:val="001E5655"/>
    <w:rsid w:val="001E566E"/>
    <w:rsid w:val="001E6788"/>
    <w:rsid w:val="001E7490"/>
    <w:rsid w:val="001F0C55"/>
    <w:rsid w:val="001F0CDD"/>
    <w:rsid w:val="001F1832"/>
    <w:rsid w:val="001F19A8"/>
    <w:rsid w:val="001F220F"/>
    <w:rsid w:val="001F25B3"/>
    <w:rsid w:val="001F3F7D"/>
    <w:rsid w:val="001F6616"/>
    <w:rsid w:val="00200CCA"/>
    <w:rsid w:val="00202BD4"/>
    <w:rsid w:val="00204A97"/>
    <w:rsid w:val="00205781"/>
    <w:rsid w:val="00210BD2"/>
    <w:rsid w:val="002114EF"/>
    <w:rsid w:val="00212422"/>
    <w:rsid w:val="002152E1"/>
    <w:rsid w:val="002166AD"/>
    <w:rsid w:val="002168D3"/>
    <w:rsid w:val="002176E1"/>
    <w:rsid w:val="00217871"/>
    <w:rsid w:val="00221ED8"/>
    <w:rsid w:val="002231EA"/>
    <w:rsid w:val="00223502"/>
    <w:rsid w:val="00223FDF"/>
    <w:rsid w:val="002279C0"/>
    <w:rsid w:val="002325E5"/>
    <w:rsid w:val="002351C3"/>
    <w:rsid w:val="00235E25"/>
    <w:rsid w:val="0023727E"/>
    <w:rsid w:val="00242081"/>
    <w:rsid w:val="00243777"/>
    <w:rsid w:val="002441CD"/>
    <w:rsid w:val="002446FF"/>
    <w:rsid w:val="002501A3"/>
    <w:rsid w:val="0025166C"/>
    <w:rsid w:val="00251BFD"/>
    <w:rsid w:val="002555D4"/>
    <w:rsid w:val="00261A16"/>
    <w:rsid w:val="00263522"/>
    <w:rsid w:val="00264EC6"/>
    <w:rsid w:val="00270E9A"/>
    <w:rsid w:val="00271013"/>
    <w:rsid w:val="00271069"/>
    <w:rsid w:val="0027184E"/>
    <w:rsid w:val="00272C36"/>
    <w:rsid w:val="0027332F"/>
    <w:rsid w:val="00273FE4"/>
    <w:rsid w:val="002747B0"/>
    <w:rsid w:val="002757B6"/>
    <w:rsid w:val="002765B4"/>
    <w:rsid w:val="00276A94"/>
    <w:rsid w:val="002822C9"/>
    <w:rsid w:val="00285F7F"/>
    <w:rsid w:val="00286426"/>
    <w:rsid w:val="0029058E"/>
    <w:rsid w:val="00291976"/>
    <w:rsid w:val="002935A1"/>
    <w:rsid w:val="0029405D"/>
    <w:rsid w:val="00294F25"/>
    <w:rsid w:val="00294FA6"/>
    <w:rsid w:val="00295A6F"/>
    <w:rsid w:val="0029723F"/>
    <w:rsid w:val="002A1035"/>
    <w:rsid w:val="002A15F6"/>
    <w:rsid w:val="002A20C4"/>
    <w:rsid w:val="002A570F"/>
    <w:rsid w:val="002A58C6"/>
    <w:rsid w:val="002A597A"/>
    <w:rsid w:val="002A7292"/>
    <w:rsid w:val="002A7358"/>
    <w:rsid w:val="002A7902"/>
    <w:rsid w:val="002B0F6B"/>
    <w:rsid w:val="002B23B8"/>
    <w:rsid w:val="002B252E"/>
    <w:rsid w:val="002B3AB0"/>
    <w:rsid w:val="002B4429"/>
    <w:rsid w:val="002B44FC"/>
    <w:rsid w:val="002B68A6"/>
    <w:rsid w:val="002B7FAF"/>
    <w:rsid w:val="002C11AD"/>
    <w:rsid w:val="002C1C57"/>
    <w:rsid w:val="002C2ED6"/>
    <w:rsid w:val="002D0C4F"/>
    <w:rsid w:val="002D1364"/>
    <w:rsid w:val="002D16A6"/>
    <w:rsid w:val="002D382F"/>
    <w:rsid w:val="002D4D30"/>
    <w:rsid w:val="002D5000"/>
    <w:rsid w:val="002D598D"/>
    <w:rsid w:val="002D7188"/>
    <w:rsid w:val="002E1DE3"/>
    <w:rsid w:val="002E1DFC"/>
    <w:rsid w:val="002E2AB6"/>
    <w:rsid w:val="002E3DD2"/>
    <w:rsid w:val="002E3F34"/>
    <w:rsid w:val="002E428C"/>
    <w:rsid w:val="002E5F79"/>
    <w:rsid w:val="002E64FA"/>
    <w:rsid w:val="002F035D"/>
    <w:rsid w:val="002F0A00"/>
    <w:rsid w:val="002F0CFA"/>
    <w:rsid w:val="002F2272"/>
    <w:rsid w:val="002F22A5"/>
    <w:rsid w:val="002F358A"/>
    <w:rsid w:val="002F5B11"/>
    <w:rsid w:val="002F669F"/>
    <w:rsid w:val="002F6CE2"/>
    <w:rsid w:val="002F74D0"/>
    <w:rsid w:val="00301C97"/>
    <w:rsid w:val="0031004C"/>
    <w:rsid w:val="003105F6"/>
    <w:rsid w:val="00311297"/>
    <w:rsid w:val="003113BE"/>
    <w:rsid w:val="003122CA"/>
    <w:rsid w:val="003123CD"/>
    <w:rsid w:val="00313ED7"/>
    <w:rsid w:val="003140B7"/>
    <w:rsid w:val="003148FD"/>
    <w:rsid w:val="00320A9E"/>
    <w:rsid w:val="00321080"/>
    <w:rsid w:val="0032159D"/>
    <w:rsid w:val="00321C2E"/>
    <w:rsid w:val="00322043"/>
    <w:rsid w:val="00322D45"/>
    <w:rsid w:val="00323158"/>
    <w:rsid w:val="00323FA3"/>
    <w:rsid w:val="0032569A"/>
    <w:rsid w:val="00325A1F"/>
    <w:rsid w:val="003268F9"/>
    <w:rsid w:val="00327529"/>
    <w:rsid w:val="00330BAF"/>
    <w:rsid w:val="00331F1D"/>
    <w:rsid w:val="00334A28"/>
    <w:rsid w:val="00334E3A"/>
    <w:rsid w:val="00335940"/>
    <w:rsid w:val="003361DD"/>
    <w:rsid w:val="003377B9"/>
    <w:rsid w:val="00337CB8"/>
    <w:rsid w:val="00340A54"/>
    <w:rsid w:val="00341A6A"/>
    <w:rsid w:val="0034249B"/>
    <w:rsid w:val="00345B9C"/>
    <w:rsid w:val="00345FD6"/>
    <w:rsid w:val="00347EEB"/>
    <w:rsid w:val="00352DAE"/>
    <w:rsid w:val="003544A7"/>
    <w:rsid w:val="00354EB9"/>
    <w:rsid w:val="00355FE1"/>
    <w:rsid w:val="00356291"/>
    <w:rsid w:val="003602AE"/>
    <w:rsid w:val="00360929"/>
    <w:rsid w:val="003637F6"/>
    <w:rsid w:val="003647D5"/>
    <w:rsid w:val="00365AD1"/>
    <w:rsid w:val="003674B0"/>
    <w:rsid w:val="003738BE"/>
    <w:rsid w:val="00374EAC"/>
    <w:rsid w:val="00375CF3"/>
    <w:rsid w:val="0037727C"/>
    <w:rsid w:val="00377E70"/>
    <w:rsid w:val="00380904"/>
    <w:rsid w:val="00381A54"/>
    <w:rsid w:val="003823EE"/>
    <w:rsid w:val="00382960"/>
    <w:rsid w:val="003846F7"/>
    <w:rsid w:val="003851ED"/>
    <w:rsid w:val="00385B39"/>
    <w:rsid w:val="00386785"/>
    <w:rsid w:val="00386CB0"/>
    <w:rsid w:val="00390E89"/>
    <w:rsid w:val="00391B1A"/>
    <w:rsid w:val="00392D76"/>
    <w:rsid w:val="00394423"/>
    <w:rsid w:val="00395550"/>
    <w:rsid w:val="00396942"/>
    <w:rsid w:val="00396B49"/>
    <w:rsid w:val="00396E3E"/>
    <w:rsid w:val="003A08F1"/>
    <w:rsid w:val="003A2DFB"/>
    <w:rsid w:val="003A306E"/>
    <w:rsid w:val="003A3CBA"/>
    <w:rsid w:val="003A446D"/>
    <w:rsid w:val="003A60DC"/>
    <w:rsid w:val="003A6634"/>
    <w:rsid w:val="003A6A46"/>
    <w:rsid w:val="003A7A63"/>
    <w:rsid w:val="003B000C"/>
    <w:rsid w:val="003B0BD4"/>
    <w:rsid w:val="003B0F1D"/>
    <w:rsid w:val="003B2944"/>
    <w:rsid w:val="003B4A57"/>
    <w:rsid w:val="003B6E9B"/>
    <w:rsid w:val="003C0AD9"/>
    <w:rsid w:val="003C0E97"/>
    <w:rsid w:val="003C0ED0"/>
    <w:rsid w:val="003C1D49"/>
    <w:rsid w:val="003C28AB"/>
    <w:rsid w:val="003C35C4"/>
    <w:rsid w:val="003D12C2"/>
    <w:rsid w:val="003D31B9"/>
    <w:rsid w:val="003D3867"/>
    <w:rsid w:val="003E0D1A"/>
    <w:rsid w:val="003E2DA3"/>
    <w:rsid w:val="003E4F56"/>
    <w:rsid w:val="003E5110"/>
    <w:rsid w:val="003E53DB"/>
    <w:rsid w:val="003E686F"/>
    <w:rsid w:val="003F020D"/>
    <w:rsid w:val="003F03D9"/>
    <w:rsid w:val="003F1686"/>
    <w:rsid w:val="003F2FBE"/>
    <w:rsid w:val="003F318D"/>
    <w:rsid w:val="003F5932"/>
    <w:rsid w:val="003F5A06"/>
    <w:rsid w:val="003F5BAE"/>
    <w:rsid w:val="003F66FE"/>
    <w:rsid w:val="003F6ED7"/>
    <w:rsid w:val="00401242"/>
    <w:rsid w:val="00401C84"/>
    <w:rsid w:val="00403210"/>
    <w:rsid w:val="004035BB"/>
    <w:rsid w:val="004035EB"/>
    <w:rsid w:val="00406478"/>
    <w:rsid w:val="004066FB"/>
    <w:rsid w:val="00407332"/>
    <w:rsid w:val="00407828"/>
    <w:rsid w:val="004079B3"/>
    <w:rsid w:val="004115AE"/>
    <w:rsid w:val="00413D8E"/>
    <w:rsid w:val="004140F2"/>
    <w:rsid w:val="004158B4"/>
    <w:rsid w:val="00416822"/>
    <w:rsid w:val="00417B22"/>
    <w:rsid w:val="00421085"/>
    <w:rsid w:val="0042465E"/>
    <w:rsid w:val="00424DF7"/>
    <w:rsid w:val="004250CF"/>
    <w:rsid w:val="00431A85"/>
    <w:rsid w:val="00432B76"/>
    <w:rsid w:val="00434A13"/>
    <w:rsid w:val="00434D01"/>
    <w:rsid w:val="00434FD7"/>
    <w:rsid w:val="00435D26"/>
    <w:rsid w:val="00436AD9"/>
    <w:rsid w:val="00437B6B"/>
    <w:rsid w:val="0044028D"/>
    <w:rsid w:val="00440C99"/>
    <w:rsid w:val="0044175C"/>
    <w:rsid w:val="00441A56"/>
    <w:rsid w:val="00441DD0"/>
    <w:rsid w:val="00442032"/>
    <w:rsid w:val="00445F4D"/>
    <w:rsid w:val="00447844"/>
    <w:rsid w:val="00447BA2"/>
    <w:rsid w:val="004504C0"/>
    <w:rsid w:val="00450E6A"/>
    <w:rsid w:val="00451EED"/>
    <w:rsid w:val="00451F76"/>
    <w:rsid w:val="004530F0"/>
    <w:rsid w:val="00454480"/>
    <w:rsid w:val="004548E6"/>
    <w:rsid w:val="004550FB"/>
    <w:rsid w:val="00455832"/>
    <w:rsid w:val="004559BC"/>
    <w:rsid w:val="00456834"/>
    <w:rsid w:val="0046111A"/>
    <w:rsid w:val="00462946"/>
    <w:rsid w:val="00463F43"/>
    <w:rsid w:val="004643EE"/>
    <w:rsid w:val="00464B94"/>
    <w:rsid w:val="004653A8"/>
    <w:rsid w:val="00465A0B"/>
    <w:rsid w:val="004669D5"/>
    <w:rsid w:val="004675FD"/>
    <w:rsid w:val="0047077C"/>
    <w:rsid w:val="00470881"/>
    <w:rsid w:val="00470B05"/>
    <w:rsid w:val="00470F88"/>
    <w:rsid w:val="00471A3D"/>
    <w:rsid w:val="0047207C"/>
    <w:rsid w:val="00472CD6"/>
    <w:rsid w:val="004747EB"/>
    <w:rsid w:val="00474E3C"/>
    <w:rsid w:val="00480A58"/>
    <w:rsid w:val="00482151"/>
    <w:rsid w:val="004830DB"/>
    <w:rsid w:val="00485FAD"/>
    <w:rsid w:val="00487AED"/>
    <w:rsid w:val="00491EDF"/>
    <w:rsid w:val="0049226B"/>
    <w:rsid w:val="00492A3F"/>
    <w:rsid w:val="00493228"/>
    <w:rsid w:val="00494049"/>
    <w:rsid w:val="00494F62"/>
    <w:rsid w:val="0049575A"/>
    <w:rsid w:val="00495FE7"/>
    <w:rsid w:val="004A2001"/>
    <w:rsid w:val="004A3322"/>
    <w:rsid w:val="004A3590"/>
    <w:rsid w:val="004A6B70"/>
    <w:rsid w:val="004B00A7"/>
    <w:rsid w:val="004B25E2"/>
    <w:rsid w:val="004B29AE"/>
    <w:rsid w:val="004B30F9"/>
    <w:rsid w:val="004B34D7"/>
    <w:rsid w:val="004B5037"/>
    <w:rsid w:val="004B5B2F"/>
    <w:rsid w:val="004B626A"/>
    <w:rsid w:val="004B660E"/>
    <w:rsid w:val="004B6DBD"/>
    <w:rsid w:val="004C05BD"/>
    <w:rsid w:val="004C0D17"/>
    <w:rsid w:val="004C2962"/>
    <w:rsid w:val="004C32D1"/>
    <w:rsid w:val="004C3B06"/>
    <w:rsid w:val="004C3F97"/>
    <w:rsid w:val="004C7EE7"/>
    <w:rsid w:val="004D0CA7"/>
    <w:rsid w:val="004D1485"/>
    <w:rsid w:val="004D17B5"/>
    <w:rsid w:val="004D1E65"/>
    <w:rsid w:val="004D2DEE"/>
    <w:rsid w:val="004D2E1F"/>
    <w:rsid w:val="004D620B"/>
    <w:rsid w:val="004D6272"/>
    <w:rsid w:val="004D7FD9"/>
    <w:rsid w:val="004E08FA"/>
    <w:rsid w:val="004E1324"/>
    <w:rsid w:val="004E19A5"/>
    <w:rsid w:val="004E37E5"/>
    <w:rsid w:val="004E3977"/>
    <w:rsid w:val="004E3BD2"/>
    <w:rsid w:val="004E3FDB"/>
    <w:rsid w:val="004E462C"/>
    <w:rsid w:val="004E4716"/>
    <w:rsid w:val="004E577C"/>
    <w:rsid w:val="004E686C"/>
    <w:rsid w:val="004F08EF"/>
    <w:rsid w:val="004F1F4A"/>
    <w:rsid w:val="004F296D"/>
    <w:rsid w:val="004F4F79"/>
    <w:rsid w:val="004F508B"/>
    <w:rsid w:val="004F695F"/>
    <w:rsid w:val="004F6CA4"/>
    <w:rsid w:val="00500752"/>
    <w:rsid w:val="00500BD9"/>
    <w:rsid w:val="00501A50"/>
    <w:rsid w:val="00501FB3"/>
    <w:rsid w:val="0050222D"/>
    <w:rsid w:val="00503AF3"/>
    <w:rsid w:val="0050696D"/>
    <w:rsid w:val="0051094B"/>
    <w:rsid w:val="00510B65"/>
    <w:rsid w:val="005110D7"/>
    <w:rsid w:val="00511C72"/>
    <w:rsid w:val="00511D99"/>
    <w:rsid w:val="00511EF8"/>
    <w:rsid w:val="005128D3"/>
    <w:rsid w:val="00513E7D"/>
    <w:rsid w:val="005147E8"/>
    <w:rsid w:val="005158F2"/>
    <w:rsid w:val="00515B32"/>
    <w:rsid w:val="00522BCD"/>
    <w:rsid w:val="005249FD"/>
    <w:rsid w:val="00525054"/>
    <w:rsid w:val="00526DFC"/>
    <w:rsid w:val="00526F43"/>
    <w:rsid w:val="00527651"/>
    <w:rsid w:val="00527EB5"/>
    <w:rsid w:val="00535EB0"/>
    <w:rsid w:val="005363AB"/>
    <w:rsid w:val="00540A3A"/>
    <w:rsid w:val="005429CF"/>
    <w:rsid w:val="00544EF4"/>
    <w:rsid w:val="00545B78"/>
    <w:rsid w:val="00545D63"/>
    <w:rsid w:val="00545E53"/>
    <w:rsid w:val="005479D9"/>
    <w:rsid w:val="005505F3"/>
    <w:rsid w:val="005506B9"/>
    <w:rsid w:val="005510C8"/>
    <w:rsid w:val="005572BD"/>
    <w:rsid w:val="00557891"/>
    <w:rsid w:val="00557A12"/>
    <w:rsid w:val="00560AC7"/>
    <w:rsid w:val="00561AFB"/>
    <w:rsid w:val="00561FA8"/>
    <w:rsid w:val="00562CEC"/>
    <w:rsid w:val="005635ED"/>
    <w:rsid w:val="00565253"/>
    <w:rsid w:val="00567AED"/>
    <w:rsid w:val="00570191"/>
    <w:rsid w:val="00570570"/>
    <w:rsid w:val="0057066F"/>
    <w:rsid w:val="00572512"/>
    <w:rsid w:val="005731A1"/>
    <w:rsid w:val="00573EE6"/>
    <w:rsid w:val="005751FB"/>
    <w:rsid w:val="0057547F"/>
    <w:rsid w:val="005754EE"/>
    <w:rsid w:val="0057617E"/>
    <w:rsid w:val="00576497"/>
    <w:rsid w:val="00576DC3"/>
    <w:rsid w:val="00577A62"/>
    <w:rsid w:val="00582DAC"/>
    <w:rsid w:val="005835E7"/>
    <w:rsid w:val="0058397F"/>
    <w:rsid w:val="00583BF8"/>
    <w:rsid w:val="0058478B"/>
    <w:rsid w:val="00585F33"/>
    <w:rsid w:val="0058777C"/>
    <w:rsid w:val="00587A35"/>
    <w:rsid w:val="00587C7C"/>
    <w:rsid w:val="00591124"/>
    <w:rsid w:val="00596A04"/>
    <w:rsid w:val="00597024"/>
    <w:rsid w:val="005A0274"/>
    <w:rsid w:val="005A095C"/>
    <w:rsid w:val="005A49A2"/>
    <w:rsid w:val="005A669D"/>
    <w:rsid w:val="005A6B7F"/>
    <w:rsid w:val="005A75D8"/>
    <w:rsid w:val="005B0B2F"/>
    <w:rsid w:val="005B2B4B"/>
    <w:rsid w:val="005B2C99"/>
    <w:rsid w:val="005B54E5"/>
    <w:rsid w:val="005B6CD8"/>
    <w:rsid w:val="005B713E"/>
    <w:rsid w:val="005C03B6"/>
    <w:rsid w:val="005C2590"/>
    <w:rsid w:val="005C348E"/>
    <w:rsid w:val="005C68E1"/>
    <w:rsid w:val="005D1E8F"/>
    <w:rsid w:val="005D21E5"/>
    <w:rsid w:val="005D242F"/>
    <w:rsid w:val="005D286E"/>
    <w:rsid w:val="005D3763"/>
    <w:rsid w:val="005D55E1"/>
    <w:rsid w:val="005E01A3"/>
    <w:rsid w:val="005E19F7"/>
    <w:rsid w:val="005E4020"/>
    <w:rsid w:val="005E4F04"/>
    <w:rsid w:val="005E62C2"/>
    <w:rsid w:val="005E6C71"/>
    <w:rsid w:val="005E6D7E"/>
    <w:rsid w:val="005F0963"/>
    <w:rsid w:val="005F197F"/>
    <w:rsid w:val="005F1D7B"/>
    <w:rsid w:val="005F21B2"/>
    <w:rsid w:val="005F2824"/>
    <w:rsid w:val="005F2EBA"/>
    <w:rsid w:val="005F35ED"/>
    <w:rsid w:val="005F3EA0"/>
    <w:rsid w:val="005F4F1D"/>
    <w:rsid w:val="005F7812"/>
    <w:rsid w:val="005F7A88"/>
    <w:rsid w:val="005F7D35"/>
    <w:rsid w:val="00603A1A"/>
    <w:rsid w:val="006046D5"/>
    <w:rsid w:val="00605935"/>
    <w:rsid w:val="00607A93"/>
    <w:rsid w:val="00607AF1"/>
    <w:rsid w:val="00610C08"/>
    <w:rsid w:val="0061125A"/>
    <w:rsid w:val="00611AD4"/>
    <w:rsid w:val="00611F74"/>
    <w:rsid w:val="00615772"/>
    <w:rsid w:val="00621256"/>
    <w:rsid w:val="0062185D"/>
    <w:rsid w:val="00621FCC"/>
    <w:rsid w:val="00622E4B"/>
    <w:rsid w:val="006261F1"/>
    <w:rsid w:val="00626AEC"/>
    <w:rsid w:val="00630BA7"/>
    <w:rsid w:val="006333DA"/>
    <w:rsid w:val="00634391"/>
    <w:rsid w:val="006343D0"/>
    <w:rsid w:val="00635134"/>
    <w:rsid w:val="006356E2"/>
    <w:rsid w:val="00640828"/>
    <w:rsid w:val="00642A65"/>
    <w:rsid w:val="00642ACC"/>
    <w:rsid w:val="00645DCE"/>
    <w:rsid w:val="006465AC"/>
    <w:rsid w:val="006465BF"/>
    <w:rsid w:val="0064712C"/>
    <w:rsid w:val="00650548"/>
    <w:rsid w:val="00650590"/>
    <w:rsid w:val="00652BFE"/>
    <w:rsid w:val="006530E7"/>
    <w:rsid w:val="00653B22"/>
    <w:rsid w:val="00655061"/>
    <w:rsid w:val="0065735D"/>
    <w:rsid w:val="00657BF4"/>
    <w:rsid w:val="006603FB"/>
    <w:rsid w:val="006608DF"/>
    <w:rsid w:val="00660B5C"/>
    <w:rsid w:val="006612BE"/>
    <w:rsid w:val="006623AC"/>
    <w:rsid w:val="006633B8"/>
    <w:rsid w:val="00665ABF"/>
    <w:rsid w:val="00665D4A"/>
    <w:rsid w:val="006678AF"/>
    <w:rsid w:val="006701EF"/>
    <w:rsid w:val="00670E8B"/>
    <w:rsid w:val="00673BA5"/>
    <w:rsid w:val="0067454E"/>
    <w:rsid w:val="00677699"/>
    <w:rsid w:val="00680058"/>
    <w:rsid w:val="00681F9F"/>
    <w:rsid w:val="006840EA"/>
    <w:rsid w:val="006844E2"/>
    <w:rsid w:val="00685267"/>
    <w:rsid w:val="006852A3"/>
    <w:rsid w:val="00686AFE"/>
    <w:rsid w:val="006872AE"/>
    <w:rsid w:val="006872FC"/>
    <w:rsid w:val="00690082"/>
    <w:rsid w:val="00690252"/>
    <w:rsid w:val="006909E1"/>
    <w:rsid w:val="00693C12"/>
    <w:rsid w:val="006946BB"/>
    <w:rsid w:val="006969FA"/>
    <w:rsid w:val="006A2B11"/>
    <w:rsid w:val="006A35D5"/>
    <w:rsid w:val="006A57AD"/>
    <w:rsid w:val="006A748A"/>
    <w:rsid w:val="006B4B25"/>
    <w:rsid w:val="006C119F"/>
    <w:rsid w:val="006C165C"/>
    <w:rsid w:val="006C419E"/>
    <w:rsid w:val="006C4A31"/>
    <w:rsid w:val="006C5AC2"/>
    <w:rsid w:val="006C6AFB"/>
    <w:rsid w:val="006D2735"/>
    <w:rsid w:val="006D40F1"/>
    <w:rsid w:val="006D45B2"/>
    <w:rsid w:val="006D60AE"/>
    <w:rsid w:val="006D610B"/>
    <w:rsid w:val="006E0FCC"/>
    <w:rsid w:val="006E1E96"/>
    <w:rsid w:val="006E5E21"/>
    <w:rsid w:val="006E6BE0"/>
    <w:rsid w:val="006F2648"/>
    <w:rsid w:val="006F2F10"/>
    <w:rsid w:val="006F482B"/>
    <w:rsid w:val="006F6311"/>
    <w:rsid w:val="00701952"/>
    <w:rsid w:val="00702556"/>
    <w:rsid w:val="0070277E"/>
    <w:rsid w:val="00702F87"/>
    <w:rsid w:val="00704156"/>
    <w:rsid w:val="00705DD5"/>
    <w:rsid w:val="00706590"/>
    <w:rsid w:val="00706657"/>
    <w:rsid w:val="007069FC"/>
    <w:rsid w:val="00711221"/>
    <w:rsid w:val="00712675"/>
    <w:rsid w:val="007132A4"/>
    <w:rsid w:val="00713808"/>
    <w:rsid w:val="00713902"/>
    <w:rsid w:val="007142CC"/>
    <w:rsid w:val="007151B6"/>
    <w:rsid w:val="0071520D"/>
    <w:rsid w:val="00715EDB"/>
    <w:rsid w:val="007160D5"/>
    <w:rsid w:val="007163FB"/>
    <w:rsid w:val="00717C2E"/>
    <w:rsid w:val="007204FA"/>
    <w:rsid w:val="0072074E"/>
    <w:rsid w:val="007213B3"/>
    <w:rsid w:val="00721CD7"/>
    <w:rsid w:val="00721DAA"/>
    <w:rsid w:val="0072457F"/>
    <w:rsid w:val="00725406"/>
    <w:rsid w:val="0072621B"/>
    <w:rsid w:val="00727224"/>
    <w:rsid w:val="00727A7F"/>
    <w:rsid w:val="00730555"/>
    <w:rsid w:val="007312CC"/>
    <w:rsid w:val="00732070"/>
    <w:rsid w:val="00733095"/>
    <w:rsid w:val="00733B42"/>
    <w:rsid w:val="007363DC"/>
    <w:rsid w:val="00736A64"/>
    <w:rsid w:val="00737F6A"/>
    <w:rsid w:val="007410B6"/>
    <w:rsid w:val="00741B6F"/>
    <w:rsid w:val="00743D60"/>
    <w:rsid w:val="00744C6F"/>
    <w:rsid w:val="00745354"/>
    <w:rsid w:val="007457F6"/>
    <w:rsid w:val="00745ABB"/>
    <w:rsid w:val="00746E38"/>
    <w:rsid w:val="00747CD5"/>
    <w:rsid w:val="00750738"/>
    <w:rsid w:val="007508D6"/>
    <w:rsid w:val="00751C01"/>
    <w:rsid w:val="00753B51"/>
    <w:rsid w:val="0075414D"/>
    <w:rsid w:val="00754CEF"/>
    <w:rsid w:val="00755604"/>
    <w:rsid w:val="00756629"/>
    <w:rsid w:val="0075673C"/>
    <w:rsid w:val="007567A5"/>
    <w:rsid w:val="007573DB"/>
    <w:rsid w:val="007574E6"/>
    <w:rsid w:val="007575D2"/>
    <w:rsid w:val="00757B4F"/>
    <w:rsid w:val="00757B6A"/>
    <w:rsid w:val="007610E0"/>
    <w:rsid w:val="00761A0E"/>
    <w:rsid w:val="00761ED2"/>
    <w:rsid w:val="007621AA"/>
    <w:rsid w:val="0076260A"/>
    <w:rsid w:val="00762F31"/>
    <w:rsid w:val="00763994"/>
    <w:rsid w:val="0076477B"/>
    <w:rsid w:val="00764A67"/>
    <w:rsid w:val="00770532"/>
    <w:rsid w:val="00770E63"/>
    <w:rsid w:val="00770F6B"/>
    <w:rsid w:val="00771315"/>
    <w:rsid w:val="00771883"/>
    <w:rsid w:val="00775F84"/>
    <w:rsid w:val="00776DC2"/>
    <w:rsid w:val="00776DD4"/>
    <w:rsid w:val="007779DC"/>
    <w:rsid w:val="00780122"/>
    <w:rsid w:val="0078214B"/>
    <w:rsid w:val="00782F53"/>
    <w:rsid w:val="0078498A"/>
    <w:rsid w:val="007850D4"/>
    <w:rsid w:val="00787069"/>
    <w:rsid w:val="007878FE"/>
    <w:rsid w:val="00790D3A"/>
    <w:rsid w:val="00792207"/>
    <w:rsid w:val="00792B64"/>
    <w:rsid w:val="00792E29"/>
    <w:rsid w:val="00793203"/>
    <w:rsid w:val="0079379A"/>
    <w:rsid w:val="00794953"/>
    <w:rsid w:val="00795E0E"/>
    <w:rsid w:val="00796AEA"/>
    <w:rsid w:val="00797899"/>
    <w:rsid w:val="007A07C4"/>
    <w:rsid w:val="007A1515"/>
    <w:rsid w:val="007A1F2F"/>
    <w:rsid w:val="007A288E"/>
    <w:rsid w:val="007A2A5C"/>
    <w:rsid w:val="007A4329"/>
    <w:rsid w:val="007A5150"/>
    <w:rsid w:val="007A5373"/>
    <w:rsid w:val="007A67BF"/>
    <w:rsid w:val="007A789F"/>
    <w:rsid w:val="007B4774"/>
    <w:rsid w:val="007B647A"/>
    <w:rsid w:val="007B75BC"/>
    <w:rsid w:val="007C0BD6"/>
    <w:rsid w:val="007C16E2"/>
    <w:rsid w:val="007C3806"/>
    <w:rsid w:val="007C4AB4"/>
    <w:rsid w:val="007C5825"/>
    <w:rsid w:val="007C5BB7"/>
    <w:rsid w:val="007D07D5"/>
    <w:rsid w:val="007D0F89"/>
    <w:rsid w:val="007D1C64"/>
    <w:rsid w:val="007D32DD"/>
    <w:rsid w:val="007D337A"/>
    <w:rsid w:val="007D53EB"/>
    <w:rsid w:val="007D6DCE"/>
    <w:rsid w:val="007D70D8"/>
    <w:rsid w:val="007D72C4"/>
    <w:rsid w:val="007E2369"/>
    <w:rsid w:val="007E2CFE"/>
    <w:rsid w:val="007E3A26"/>
    <w:rsid w:val="007E59C9"/>
    <w:rsid w:val="007E5C86"/>
    <w:rsid w:val="007F0072"/>
    <w:rsid w:val="007F0A04"/>
    <w:rsid w:val="007F1C57"/>
    <w:rsid w:val="007F2EB6"/>
    <w:rsid w:val="007F54C3"/>
    <w:rsid w:val="0080113E"/>
    <w:rsid w:val="0080197C"/>
    <w:rsid w:val="0080290A"/>
    <w:rsid w:val="00802949"/>
    <w:rsid w:val="0080301E"/>
    <w:rsid w:val="0080365F"/>
    <w:rsid w:val="00803B29"/>
    <w:rsid w:val="00804C7C"/>
    <w:rsid w:val="008060CB"/>
    <w:rsid w:val="00806BFB"/>
    <w:rsid w:val="00807078"/>
    <w:rsid w:val="0081147D"/>
    <w:rsid w:val="00812BE3"/>
    <w:rsid w:val="00812BE5"/>
    <w:rsid w:val="00812E2C"/>
    <w:rsid w:val="00817429"/>
    <w:rsid w:val="008214D4"/>
    <w:rsid w:val="00821514"/>
    <w:rsid w:val="00821E0C"/>
    <w:rsid w:val="00821E35"/>
    <w:rsid w:val="00824591"/>
    <w:rsid w:val="00824740"/>
    <w:rsid w:val="00824AED"/>
    <w:rsid w:val="00827820"/>
    <w:rsid w:val="0083100B"/>
    <w:rsid w:val="00831B8B"/>
    <w:rsid w:val="0083405D"/>
    <w:rsid w:val="008352D4"/>
    <w:rsid w:val="00836C1A"/>
    <w:rsid w:val="00836DB9"/>
    <w:rsid w:val="00837C67"/>
    <w:rsid w:val="008415B0"/>
    <w:rsid w:val="00842028"/>
    <w:rsid w:val="008436B8"/>
    <w:rsid w:val="008446E2"/>
    <w:rsid w:val="008460B6"/>
    <w:rsid w:val="008503D5"/>
    <w:rsid w:val="00850C9D"/>
    <w:rsid w:val="00852B59"/>
    <w:rsid w:val="008545BB"/>
    <w:rsid w:val="00856220"/>
    <w:rsid w:val="00856272"/>
    <w:rsid w:val="008563FF"/>
    <w:rsid w:val="00857226"/>
    <w:rsid w:val="0086018B"/>
    <w:rsid w:val="008611DD"/>
    <w:rsid w:val="008620DE"/>
    <w:rsid w:val="00864EDC"/>
    <w:rsid w:val="008657C9"/>
    <w:rsid w:val="00866867"/>
    <w:rsid w:val="00872257"/>
    <w:rsid w:val="0087376F"/>
    <w:rsid w:val="008745FB"/>
    <w:rsid w:val="0087525E"/>
    <w:rsid w:val="008753E6"/>
    <w:rsid w:val="00876008"/>
    <w:rsid w:val="0087738C"/>
    <w:rsid w:val="00880083"/>
    <w:rsid w:val="008802AF"/>
    <w:rsid w:val="00881926"/>
    <w:rsid w:val="00881D8E"/>
    <w:rsid w:val="0088318F"/>
    <w:rsid w:val="0088331D"/>
    <w:rsid w:val="00884CC1"/>
    <w:rsid w:val="008852B0"/>
    <w:rsid w:val="00885AE7"/>
    <w:rsid w:val="00885C87"/>
    <w:rsid w:val="00886B60"/>
    <w:rsid w:val="00887889"/>
    <w:rsid w:val="00891C29"/>
    <w:rsid w:val="008920FF"/>
    <w:rsid w:val="008926E8"/>
    <w:rsid w:val="00894F19"/>
    <w:rsid w:val="00896A10"/>
    <w:rsid w:val="008971B5"/>
    <w:rsid w:val="008A11D6"/>
    <w:rsid w:val="008A1C5C"/>
    <w:rsid w:val="008A3613"/>
    <w:rsid w:val="008A5D26"/>
    <w:rsid w:val="008A6499"/>
    <w:rsid w:val="008A6B13"/>
    <w:rsid w:val="008A6ECB"/>
    <w:rsid w:val="008A7E39"/>
    <w:rsid w:val="008B0BF9"/>
    <w:rsid w:val="008B2866"/>
    <w:rsid w:val="008B371A"/>
    <w:rsid w:val="008B3859"/>
    <w:rsid w:val="008B3BA0"/>
    <w:rsid w:val="008B436D"/>
    <w:rsid w:val="008B4E49"/>
    <w:rsid w:val="008B5ED4"/>
    <w:rsid w:val="008B70A8"/>
    <w:rsid w:val="008B7712"/>
    <w:rsid w:val="008B78C7"/>
    <w:rsid w:val="008B7B26"/>
    <w:rsid w:val="008C02EF"/>
    <w:rsid w:val="008C23E1"/>
    <w:rsid w:val="008C3244"/>
    <w:rsid w:val="008C3524"/>
    <w:rsid w:val="008C4061"/>
    <w:rsid w:val="008C4229"/>
    <w:rsid w:val="008C5BE0"/>
    <w:rsid w:val="008C7233"/>
    <w:rsid w:val="008C7591"/>
    <w:rsid w:val="008D2434"/>
    <w:rsid w:val="008D4DB9"/>
    <w:rsid w:val="008E1684"/>
    <w:rsid w:val="008E171D"/>
    <w:rsid w:val="008E1BEE"/>
    <w:rsid w:val="008E1C21"/>
    <w:rsid w:val="008E2785"/>
    <w:rsid w:val="008E2A4E"/>
    <w:rsid w:val="008E2A58"/>
    <w:rsid w:val="008E78A3"/>
    <w:rsid w:val="008F0654"/>
    <w:rsid w:val="008F06CB"/>
    <w:rsid w:val="008F1C40"/>
    <w:rsid w:val="008F2E83"/>
    <w:rsid w:val="008F3758"/>
    <w:rsid w:val="008F5A71"/>
    <w:rsid w:val="008F612A"/>
    <w:rsid w:val="008F6158"/>
    <w:rsid w:val="0090293D"/>
    <w:rsid w:val="009034DE"/>
    <w:rsid w:val="009035D9"/>
    <w:rsid w:val="00905396"/>
    <w:rsid w:val="0090605D"/>
    <w:rsid w:val="00906419"/>
    <w:rsid w:val="0090799E"/>
    <w:rsid w:val="00910BDB"/>
    <w:rsid w:val="00912889"/>
    <w:rsid w:val="00913A42"/>
    <w:rsid w:val="00914167"/>
    <w:rsid w:val="009143DB"/>
    <w:rsid w:val="00915065"/>
    <w:rsid w:val="00916894"/>
    <w:rsid w:val="00917CE5"/>
    <w:rsid w:val="009206A4"/>
    <w:rsid w:val="00920AB7"/>
    <w:rsid w:val="009217C0"/>
    <w:rsid w:val="00921CF3"/>
    <w:rsid w:val="00925241"/>
    <w:rsid w:val="00925CEC"/>
    <w:rsid w:val="00926A3F"/>
    <w:rsid w:val="00926A52"/>
    <w:rsid w:val="0092794E"/>
    <w:rsid w:val="00930D30"/>
    <w:rsid w:val="009332A2"/>
    <w:rsid w:val="00933C49"/>
    <w:rsid w:val="00934173"/>
    <w:rsid w:val="00937598"/>
    <w:rsid w:val="0093790B"/>
    <w:rsid w:val="00940EEB"/>
    <w:rsid w:val="00943751"/>
    <w:rsid w:val="00946DD0"/>
    <w:rsid w:val="009503C4"/>
    <w:rsid w:val="00950897"/>
    <w:rsid w:val="009509E6"/>
    <w:rsid w:val="00950EC2"/>
    <w:rsid w:val="00950F48"/>
    <w:rsid w:val="00951DAE"/>
    <w:rsid w:val="00952018"/>
    <w:rsid w:val="00952800"/>
    <w:rsid w:val="0095300D"/>
    <w:rsid w:val="00953B27"/>
    <w:rsid w:val="00954BBA"/>
    <w:rsid w:val="0095635D"/>
    <w:rsid w:val="009567CB"/>
    <w:rsid w:val="00956812"/>
    <w:rsid w:val="0095719A"/>
    <w:rsid w:val="00961264"/>
    <w:rsid w:val="009623E9"/>
    <w:rsid w:val="00963D20"/>
    <w:rsid w:val="00963EEB"/>
    <w:rsid w:val="009648BC"/>
    <w:rsid w:val="00964C2F"/>
    <w:rsid w:val="00965F88"/>
    <w:rsid w:val="0096630F"/>
    <w:rsid w:val="00973C7A"/>
    <w:rsid w:val="00974E22"/>
    <w:rsid w:val="009844D5"/>
    <w:rsid w:val="00984E03"/>
    <w:rsid w:val="00987E85"/>
    <w:rsid w:val="009931A8"/>
    <w:rsid w:val="00993B41"/>
    <w:rsid w:val="009A0D12"/>
    <w:rsid w:val="009A1987"/>
    <w:rsid w:val="009A1C91"/>
    <w:rsid w:val="009A2BEE"/>
    <w:rsid w:val="009A3837"/>
    <w:rsid w:val="009A452F"/>
    <w:rsid w:val="009A5289"/>
    <w:rsid w:val="009A5321"/>
    <w:rsid w:val="009A59D7"/>
    <w:rsid w:val="009A7A53"/>
    <w:rsid w:val="009A7C8F"/>
    <w:rsid w:val="009B0402"/>
    <w:rsid w:val="009B09F3"/>
    <w:rsid w:val="009B0B75"/>
    <w:rsid w:val="009B16DF"/>
    <w:rsid w:val="009B4CB2"/>
    <w:rsid w:val="009B4D11"/>
    <w:rsid w:val="009B5C2F"/>
    <w:rsid w:val="009B6701"/>
    <w:rsid w:val="009B6EF7"/>
    <w:rsid w:val="009B7000"/>
    <w:rsid w:val="009B739C"/>
    <w:rsid w:val="009C04EC"/>
    <w:rsid w:val="009C2151"/>
    <w:rsid w:val="009C2794"/>
    <w:rsid w:val="009C328C"/>
    <w:rsid w:val="009C4444"/>
    <w:rsid w:val="009C6004"/>
    <w:rsid w:val="009C79AD"/>
    <w:rsid w:val="009C7CA6"/>
    <w:rsid w:val="009D1756"/>
    <w:rsid w:val="009D3316"/>
    <w:rsid w:val="009D4352"/>
    <w:rsid w:val="009D55AA"/>
    <w:rsid w:val="009E250B"/>
    <w:rsid w:val="009E262A"/>
    <w:rsid w:val="009E3905"/>
    <w:rsid w:val="009E3ACD"/>
    <w:rsid w:val="009E3E77"/>
    <w:rsid w:val="009E3FAB"/>
    <w:rsid w:val="009E5726"/>
    <w:rsid w:val="009E5B3F"/>
    <w:rsid w:val="009E71D4"/>
    <w:rsid w:val="009E79A3"/>
    <w:rsid w:val="009E7B7B"/>
    <w:rsid w:val="009E7D90"/>
    <w:rsid w:val="009F1AB0"/>
    <w:rsid w:val="009F21B3"/>
    <w:rsid w:val="009F492A"/>
    <w:rsid w:val="009F501D"/>
    <w:rsid w:val="009F5A29"/>
    <w:rsid w:val="009F5A9A"/>
    <w:rsid w:val="009F70F1"/>
    <w:rsid w:val="00A00DA6"/>
    <w:rsid w:val="00A01B20"/>
    <w:rsid w:val="00A039D5"/>
    <w:rsid w:val="00A046AD"/>
    <w:rsid w:val="00A066F1"/>
    <w:rsid w:val="00A079C1"/>
    <w:rsid w:val="00A07F52"/>
    <w:rsid w:val="00A07F93"/>
    <w:rsid w:val="00A105DC"/>
    <w:rsid w:val="00A10D17"/>
    <w:rsid w:val="00A12520"/>
    <w:rsid w:val="00A130FD"/>
    <w:rsid w:val="00A13220"/>
    <w:rsid w:val="00A13D6D"/>
    <w:rsid w:val="00A1405B"/>
    <w:rsid w:val="00A14769"/>
    <w:rsid w:val="00A1515F"/>
    <w:rsid w:val="00A15978"/>
    <w:rsid w:val="00A16151"/>
    <w:rsid w:val="00A16EC6"/>
    <w:rsid w:val="00A17BE3"/>
    <w:rsid w:val="00A17C06"/>
    <w:rsid w:val="00A2126E"/>
    <w:rsid w:val="00A21706"/>
    <w:rsid w:val="00A22261"/>
    <w:rsid w:val="00A24FCC"/>
    <w:rsid w:val="00A26467"/>
    <w:rsid w:val="00A26A90"/>
    <w:rsid w:val="00A26B27"/>
    <w:rsid w:val="00A30E4F"/>
    <w:rsid w:val="00A32253"/>
    <w:rsid w:val="00A3310E"/>
    <w:rsid w:val="00A333A0"/>
    <w:rsid w:val="00A3549D"/>
    <w:rsid w:val="00A3696E"/>
    <w:rsid w:val="00A37B5B"/>
    <w:rsid w:val="00A37E70"/>
    <w:rsid w:val="00A437E1"/>
    <w:rsid w:val="00A4529E"/>
    <w:rsid w:val="00A4685E"/>
    <w:rsid w:val="00A50CD4"/>
    <w:rsid w:val="00A51191"/>
    <w:rsid w:val="00A53473"/>
    <w:rsid w:val="00A54263"/>
    <w:rsid w:val="00A56D62"/>
    <w:rsid w:val="00A56F07"/>
    <w:rsid w:val="00A57272"/>
    <w:rsid w:val="00A5762C"/>
    <w:rsid w:val="00A600FC"/>
    <w:rsid w:val="00A60BCA"/>
    <w:rsid w:val="00A61B60"/>
    <w:rsid w:val="00A62331"/>
    <w:rsid w:val="00A638DA"/>
    <w:rsid w:val="00A63CC8"/>
    <w:rsid w:val="00A65B41"/>
    <w:rsid w:val="00A65E00"/>
    <w:rsid w:val="00A66A78"/>
    <w:rsid w:val="00A729CD"/>
    <w:rsid w:val="00A7436E"/>
    <w:rsid w:val="00A74E96"/>
    <w:rsid w:val="00A75A8E"/>
    <w:rsid w:val="00A81149"/>
    <w:rsid w:val="00A81861"/>
    <w:rsid w:val="00A824DD"/>
    <w:rsid w:val="00A83676"/>
    <w:rsid w:val="00A83B7B"/>
    <w:rsid w:val="00A83D12"/>
    <w:rsid w:val="00A84274"/>
    <w:rsid w:val="00A849A7"/>
    <w:rsid w:val="00A850F3"/>
    <w:rsid w:val="00A8625F"/>
    <w:rsid w:val="00A864E3"/>
    <w:rsid w:val="00A91932"/>
    <w:rsid w:val="00A937B7"/>
    <w:rsid w:val="00A94574"/>
    <w:rsid w:val="00A94595"/>
    <w:rsid w:val="00A95936"/>
    <w:rsid w:val="00A96265"/>
    <w:rsid w:val="00A963F1"/>
    <w:rsid w:val="00A96D9F"/>
    <w:rsid w:val="00A97084"/>
    <w:rsid w:val="00AA1C2C"/>
    <w:rsid w:val="00AA35F6"/>
    <w:rsid w:val="00AA3A81"/>
    <w:rsid w:val="00AA4D62"/>
    <w:rsid w:val="00AA4EC1"/>
    <w:rsid w:val="00AA579A"/>
    <w:rsid w:val="00AA667C"/>
    <w:rsid w:val="00AA6E91"/>
    <w:rsid w:val="00AA7439"/>
    <w:rsid w:val="00AB026D"/>
    <w:rsid w:val="00AB047E"/>
    <w:rsid w:val="00AB0A5F"/>
    <w:rsid w:val="00AB0B0A"/>
    <w:rsid w:val="00AB0BB7"/>
    <w:rsid w:val="00AB0D70"/>
    <w:rsid w:val="00AB22C6"/>
    <w:rsid w:val="00AB2AD0"/>
    <w:rsid w:val="00AB2C0E"/>
    <w:rsid w:val="00AB3E17"/>
    <w:rsid w:val="00AB67E2"/>
    <w:rsid w:val="00AB67FC"/>
    <w:rsid w:val="00AC00F2"/>
    <w:rsid w:val="00AC06F3"/>
    <w:rsid w:val="00AC25E0"/>
    <w:rsid w:val="00AC31B5"/>
    <w:rsid w:val="00AC4EA1"/>
    <w:rsid w:val="00AC5381"/>
    <w:rsid w:val="00AC5920"/>
    <w:rsid w:val="00AC756C"/>
    <w:rsid w:val="00AD0E65"/>
    <w:rsid w:val="00AD2BF2"/>
    <w:rsid w:val="00AD2FE6"/>
    <w:rsid w:val="00AD41D4"/>
    <w:rsid w:val="00AD4E90"/>
    <w:rsid w:val="00AD5422"/>
    <w:rsid w:val="00AD68F2"/>
    <w:rsid w:val="00AE27A5"/>
    <w:rsid w:val="00AE2FBC"/>
    <w:rsid w:val="00AE4179"/>
    <w:rsid w:val="00AE43A4"/>
    <w:rsid w:val="00AE4425"/>
    <w:rsid w:val="00AE4FBE"/>
    <w:rsid w:val="00AE650F"/>
    <w:rsid w:val="00AE6555"/>
    <w:rsid w:val="00AE682E"/>
    <w:rsid w:val="00AE683A"/>
    <w:rsid w:val="00AE7D16"/>
    <w:rsid w:val="00AF005B"/>
    <w:rsid w:val="00AF0B34"/>
    <w:rsid w:val="00AF1423"/>
    <w:rsid w:val="00AF46BF"/>
    <w:rsid w:val="00AF4CAA"/>
    <w:rsid w:val="00AF571A"/>
    <w:rsid w:val="00AF60A0"/>
    <w:rsid w:val="00AF67FC"/>
    <w:rsid w:val="00AF7DF5"/>
    <w:rsid w:val="00B00039"/>
    <w:rsid w:val="00B002B2"/>
    <w:rsid w:val="00B006E5"/>
    <w:rsid w:val="00B024C2"/>
    <w:rsid w:val="00B02714"/>
    <w:rsid w:val="00B07700"/>
    <w:rsid w:val="00B112D0"/>
    <w:rsid w:val="00B136B8"/>
    <w:rsid w:val="00B13921"/>
    <w:rsid w:val="00B1528C"/>
    <w:rsid w:val="00B16ACD"/>
    <w:rsid w:val="00B21487"/>
    <w:rsid w:val="00B232D1"/>
    <w:rsid w:val="00B2484A"/>
    <w:rsid w:val="00B24DB5"/>
    <w:rsid w:val="00B269D8"/>
    <w:rsid w:val="00B26A2B"/>
    <w:rsid w:val="00B26CF8"/>
    <w:rsid w:val="00B27723"/>
    <w:rsid w:val="00B3006A"/>
    <w:rsid w:val="00B31F9E"/>
    <w:rsid w:val="00B3268F"/>
    <w:rsid w:val="00B32C2C"/>
    <w:rsid w:val="00B33A1A"/>
    <w:rsid w:val="00B33E6C"/>
    <w:rsid w:val="00B36513"/>
    <w:rsid w:val="00B371CC"/>
    <w:rsid w:val="00B41CD9"/>
    <w:rsid w:val="00B427E6"/>
    <w:rsid w:val="00B428A6"/>
    <w:rsid w:val="00B43E1F"/>
    <w:rsid w:val="00B45FBC"/>
    <w:rsid w:val="00B51566"/>
    <w:rsid w:val="00B516A1"/>
    <w:rsid w:val="00B51A7D"/>
    <w:rsid w:val="00B535C2"/>
    <w:rsid w:val="00B53F33"/>
    <w:rsid w:val="00B55544"/>
    <w:rsid w:val="00B56DBA"/>
    <w:rsid w:val="00B6041E"/>
    <w:rsid w:val="00B6165C"/>
    <w:rsid w:val="00B61CDC"/>
    <w:rsid w:val="00B62FC3"/>
    <w:rsid w:val="00B63AC0"/>
    <w:rsid w:val="00B642FC"/>
    <w:rsid w:val="00B64D26"/>
    <w:rsid w:val="00B64FBB"/>
    <w:rsid w:val="00B65D03"/>
    <w:rsid w:val="00B66F86"/>
    <w:rsid w:val="00B702C1"/>
    <w:rsid w:val="00B70E22"/>
    <w:rsid w:val="00B74B11"/>
    <w:rsid w:val="00B762FE"/>
    <w:rsid w:val="00B774CB"/>
    <w:rsid w:val="00B777BB"/>
    <w:rsid w:val="00B80030"/>
    <w:rsid w:val="00B80402"/>
    <w:rsid w:val="00B80B9A"/>
    <w:rsid w:val="00B815F8"/>
    <w:rsid w:val="00B830B7"/>
    <w:rsid w:val="00B83FFB"/>
    <w:rsid w:val="00B848EA"/>
    <w:rsid w:val="00B84B2B"/>
    <w:rsid w:val="00B87391"/>
    <w:rsid w:val="00B873B1"/>
    <w:rsid w:val="00B90500"/>
    <w:rsid w:val="00B909E8"/>
    <w:rsid w:val="00B9176C"/>
    <w:rsid w:val="00B92AAB"/>
    <w:rsid w:val="00B935A4"/>
    <w:rsid w:val="00B96B6E"/>
    <w:rsid w:val="00BA0C94"/>
    <w:rsid w:val="00BA3A0A"/>
    <w:rsid w:val="00BA4DA2"/>
    <w:rsid w:val="00BA561A"/>
    <w:rsid w:val="00BA6F6D"/>
    <w:rsid w:val="00BB0DC6"/>
    <w:rsid w:val="00BB15E4"/>
    <w:rsid w:val="00BB1E19"/>
    <w:rsid w:val="00BB21D1"/>
    <w:rsid w:val="00BB2362"/>
    <w:rsid w:val="00BB32F2"/>
    <w:rsid w:val="00BB4338"/>
    <w:rsid w:val="00BB4719"/>
    <w:rsid w:val="00BB5BA3"/>
    <w:rsid w:val="00BB5D32"/>
    <w:rsid w:val="00BB5FAC"/>
    <w:rsid w:val="00BB6C0E"/>
    <w:rsid w:val="00BB6CEF"/>
    <w:rsid w:val="00BB7B38"/>
    <w:rsid w:val="00BB7E5C"/>
    <w:rsid w:val="00BC11E5"/>
    <w:rsid w:val="00BC2880"/>
    <w:rsid w:val="00BC4BC6"/>
    <w:rsid w:val="00BC52FD"/>
    <w:rsid w:val="00BC6E62"/>
    <w:rsid w:val="00BC7443"/>
    <w:rsid w:val="00BD0648"/>
    <w:rsid w:val="00BD0B10"/>
    <w:rsid w:val="00BD1040"/>
    <w:rsid w:val="00BD3206"/>
    <w:rsid w:val="00BD34AA"/>
    <w:rsid w:val="00BE034E"/>
    <w:rsid w:val="00BE0C44"/>
    <w:rsid w:val="00BE1B8B"/>
    <w:rsid w:val="00BE24A6"/>
    <w:rsid w:val="00BE2A18"/>
    <w:rsid w:val="00BE2A42"/>
    <w:rsid w:val="00BE2C01"/>
    <w:rsid w:val="00BE41EC"/>
    <w:rsid w:val="00BE5055"/>
    <w:rsid w:val="00BE56FB"/>
    <w:rsid w:val="00BF0F2F"/>
    <w:rsid w:val="00BF314D"/>
    <w:rsid w:val="00BF3DDE"/>
    <w:rsid w:val="00BF6589"/>
    <w:rsid w:val="00BF6BFC"/>
    <w:rsid w:val="00BF6F7F"/>
    <w:rsid w:val="00C00647"/>
    <w:rsid w:val="00C02764"/>
    <w:rsid w:val="00C04CEF"/>
    <w:rsid w:val="00C04D26"/>
    <w:rsid w:val="00C0662F"/>
    <w:rsid w:val="00C068EE"/>
    <w:rsid w:val="00C11943"/>
    <w:rsid w:val="00C12E96"/>
    <w:rsid w:val="00C1363C"/>
    <w:rsid w:val="00C14763"/>
    <w:rsid w:val="00C15038"/>
    <w:rsid w:val="00C16141"/>
    <w:rsid w:val="00C2363F"/>
    <w:rsid w:val="00C236C8"/>
    <w:rsid w:val="00C248A2"/>
    <w:rsid w:val="00C25709"/>
    <w:rsid w:val="00C260B1"/>
    <w:rsid w:val="00C26E56"/>
    <w:rsid w:val="00C26F54"/>
    <w:rsid w:val="00C31406"/>
    <w:rsid w:val="00C31FA0"/>
    <w:rsid w:val="00C329E6"/>
    <w:rsid w:val="00C35386"/>
    <w:rsid w:val="00C35D67"/>
    <w:rsid w:val="00C37194"/>
    <w:rsid w:val="00C401E6"/>
    <w:rsid w:val="00C40637"/>
    <w:rsid w:val="00C40F6C"/>
    <w:rsid w:val="00C427AB"/>
    <w:rsid w:val="00C443AB"/>
    <w:rsid w:val="00C44426"/>
    <w:rsid w:val="00C445F3"/>
    <w:rsid w:val="00C451F4"/>
    <w:rsid w:val="00C457EA"/>
    <w:rsid w:val="00C45EB1"/>
    <w:rsid w:val="00C5216C"/>
    <w:rsid w:val="00C540A2"/>
    <w:rsid w:val="00C549A1"/>
    <w:rsid w:val="00C54A3A"/>
    <w:rsid w:val="00C55566"/>
    <w:rsid w:val="00C56448"/>
    <w:rsid w:val="00C57598"/>
    <w:rsid w:val="00C579D1"/>
    <w:rsid w:val="00C62A5D"/>
    <w:rsid w:val="00C6588D"/>
    <w:rsid w:val="00C667BE"/>
    <w:rsid w:val="00C6766B"/>
    <w:rsid w:val="00C7115D"/>
    <w:rsid w:val="00C72223"/>
    <w:rsid w:val="00C747B4"/>
    <w:rsid w:val="00C76417"/>
    <w:rsid w:val="00C76D80"/>
    <w:rsid w:val="00C77094"/>
    <w:rsid w:val="00C7726F"/>
    <w:rsid w:val="00C77932"/>
    <w:rsid w:val="00C81E3B"/>
    <w:rsid w:val="00C821AD"/>
    <w:rsid w:val="00C823DA"/>
    <w:rsid w:val="00C8259F"/>
    <w:rsid w:val="00C82746"/>
    <w:rsid w:val="00C8312F"/>
    <w:rsid w:val="00C84C47"/>
    <w:rsid w:val="00C858A4"/>
    <w:rsid w:val="00C86230"/>
    <w:rsid w:val="00C86AFA"/>
    <w:rsid w:val="00C97E31"/>
    <w:rsid w:val="00CA0283"/>
    <w:rsid w:val="00CA0C98"/>
    <w:rsid w:val="00CA3D25"/>
    <w:rsid w:val="00CB18D0"/>
    <w:rsid w:val="00CB1C8A"/>
    <w:rsid w:val="00CB24F5"/>
    <w:rsid w:val="00CB2663"/>
    <w:rsid w:val="00CB2C1C"/>
    <w:rsid w:val="00CB3647"/>
    <w:rsid w:val="00CB3BBE"/>
    <w:rsid w:val="00CB4600"/>
    <w:rsid w:val="00CB59E9"/>
    <w:rsid w:val="00CC0D6A"/>
    <w:rsid w:val="00CC2768"/>
    <w:rsid w:val="00CC3831"/>
    <w:rsid w:val="00CC3E3D"/>
    <w:rsid w:val="00CC45BB"/>
    <w:rsid w:val="00CC519B"/>
    <w:rsid w:val="00CD12C1"/>
    <w:rsid w:val="00CD214E"/>
    <w:rsid w:val="00CD46FA"/>
    <w:rsid w:val="00CD572B"/>
    <w:rsid w:val="00CD5973"/>
    <w:rsid w:val="00CD60E1"/>
    <w:rsid w:val="00CD61A5"/>
    <w:rsid w:val="00CD7E91"/>
    <w:rsid w:val="00CE13C3"/>
    <w:rsid w:val="00CE15D1"/>
    <w:rsid w:val="00CE31A6"/>
    <w:rsid w:val="00CE72BE"/>
    <w:rsid w:val="00CF0777"/>
    <w:rsid w:val="00CF09AA"/>
    <w:rsid w:val="00CF1144"/>
    <w:rsid w:val="00CF1A10"/>
    <w:rsid w:val="00CF2634"/>
    <w:rsid w:val="00CF4813"/>
    <w:rsid w:val="00CF5233"/>
    <w:rsid w:val="00D020D0"/>
    <w:rsid w:val="00D029B8"/>
    <w:rsid w:val="00D02F23"/>
    <w:rsid w:val="00D02F60"/>
    <w:rsid w:val="00D0464E"/>
    <w:rsid w:val="00D04A96"/>
    <w:rsid w:val="00D056C2"/>
    <w:rsid w:val="00D05E3D"/>
    <w:rsid w:val="00D07A7B"/>
    <w:rsid w:val="00D10E06"/>
    <w:rsid w:val="00D14AEE"/>
    <w:rsid w:val="00D15197"/>
    <w:rsid w:val="00D16820"/>
    <w:rsid w:val="00D169C8"/>
    <w:rsid w:val="00D16DBA"/>
    <w:rsid w:val="00D1793F"/>
    <w:rsid w:val="00D22AF5"/>
    <w:rsid w:val="00D235EA"/>
    <w:rsid w:val="00D247A9"/>
    <w:rsid w:val="00D26E29"/>
    <w:rsid w:val="00D31D0F"/>
    <w:rsid w:val="00D32721"/>
    <w:rsid w:val="00D328DC"/>
    <w:rsid w:val="00D33387"/>
    <w:rsid w:val="00D34B3C"/>
    <w:rsid w:val="00D402FB"/>
    <w:rsid w:val="00D40DF0"/>
    <w:rsid w:val="00D41E18"/>
    <w:rsid w:val="00D42C69"/>
    <w:rsid w:val="00D43947"/>
    <w:rsid w:val="00D46897"/>
    <w:rsid w:val="00D475C1"/>
    <w:rsid w:val="00D47D7A"/>
    <w:rsid w:val="00D50ABD"/>
    <w:rsid w:val="00D511A0"/>
    <w:rsid w:val="00D55290"/>
    <w:rsid w:val="00D57791"/>
    <w:rsid w:val="00D6046A"/>
    <w:rsid w:val="00D62870"/>
    <w:rsid w:val="00D633E4"/>
    <w:rsid w:val="00D655D9"/>
    <w:rsid w:val="00D65872"/>
    <w:rsid w:val="00D6672E"/>
    <w:rsid w:val="00D67309"/>
    <w:rsid w:val="00D676F3"/>
    <w:rsid w:val="00D70EF5"/>
    <w:rsid w:val="00D71024"/>
    <w:rsid w:val="00D71A25"/>
    <w:rsid w:val="00D71FCF"/>
    <w:rsid w:val="00D72A54"/>
    <w:rsid w:val="00D72CC1"/>
    <w:rsid w:val="00D76EC9"/>
    <w:rsid w:val="00D80E7D"/>
    <w:rsid w:val="00D81397"/>
    <w:rsid w:val="00D83215"/>
    <w:rsid w:val="00D84187"/>
    <w:rsid w:val="00D848B9"/>
    <w:rsid w:val="00D86E0B"/>
    <w:rsid w:val="00D87804"/>
    <w:rsid w:val="00D87872"/>
    <w:rsid w:val="00D90E69"/>
    <w:rsid w:val="00D91368"/>
    <w:rsid w:val="00D913A1"/>
    <w:rsid w:val="00D915BD"/>
    <w:rsid w:val="00D93106"/>
    <w:rsid w:val="00D933E9"/>
    <w:rsid w:val="00D93572"/>
    <w:rsid w:val="00D93C9E"/>
    <w:rsid w:val="00D94956"/>
    <w:rsid w:val="00D9505D"/>
    <w:rsid w:val="00D953D0"/>
    <w:rsid w:val="00D959F5"/>
    <w:rsid w:val="00D96884"/>
    <w:rsid w:val="00DA3FDD"/>
    <w:rsid w:val="00DA5A85"/>
    <w:rsid w:val="00DA7017"/>
    <w:rsid w:val="00DA7028"/>
    <w:rsid w:val="00DA78F4"/>
    <w:rsid w:val="00DB1AD2"/>
    <w:rsid w:val="00DB1DD8"/>
    <w:rsid w:val="00DB2B58"/>
    <w:rsid w:val="00DB5206"/>
    <w:rsid w:val="00DB5232"/>
    <w:rsid w:val="00DB5FAB"/>
    <w:rsid w:val="00DB614E"/>
    <w:rsid w:val="00DB6276"/>
    <w:rsid w:val="00DB63F5"/>
    <w:rsid w:val="00DC18FE"/>
    <w:rsid w:val="00DC1C6B"/>
    <w:rsid w:val="00DC2C2E"/>
    <w:rsid w:val="00DC3176"/>
    <w:rsid w:val="00DC4AF0"/>
    <w:rsid w:val="00DC4D32"/>
    <w:rsid w:val="00DC7886"/>
    <w:rsid w:val="00DD0948"/>
    <w:rsid w:val="00DD0CF2"/>
    <w:rsid w:val="00DD6CC2"/>
    <w:rsid w:val="00DE1554"/>
    <w:rsid w:val="00DE2901"/>
    <w:rsid w:val="00DE58CB"/>
    <w:rsid w:val="00DE590F"/>
    <w:rsid w:val="00DE6C35"/>
    <w:rsid w:val="00DE7C2B"/>
    <w:rsid w:val="00DE7DC1"/>
    <w:rsid w:val="00DF3F7E"/>
    <w:rsid w:val="00DF60A8"/>
    <w:rsid w:val="00DF7648"/>
    <w:rsid w:val="00E00E29"/>
    <w:rsid w:val="00E0181A"/>
    <w:rsid w:val="00E02BAB"/>
    <w:rsid w:val="00E02CF4"/>
    <w:rsid w:val="00E04CEB"/>
    <w:rsid w:val="00E060BC"/>
    <w:rsid w:val="00E11420"/>
    <w:rsid w:val="00E118D9"/>
    <w:rsid w:val="00E130BD"/>
    <w:rsid w:val="00E132FB"/>
    <w:rsid w:val="00E13758"/>
    <w:rsid w:val="00E13D00"/>
    <w:rsid w:val="00E170B7"/>
    <w:rsid w:val="00E172CA"/>
    <w:rsid w:val="00E177DD"/>
    <w:rsid w:val="00E20900"/>
    <w:rsid w:val="00E20ABE"/>
    <w:rsid w:val="00E20C7F"/>
    <w:rsid w:val="00E21F60"/>
    <w:rsid w:val="00E2396E"/>
    <w:rsid w:val="00E23B8E"/>
    <w:rsid w:val="00E24728"/>
    <w:rsid w:val="00E250D1"/>
    <w:rsid w:val="00E276AC"/>
    <w:rsid w:val="00E305E3"/>
    <w:rsid w:val="00E34A35"/>
    <w:rsid w:val="00E37C2F"/>
    <w:rsid w:val="00E41A7C"/>
    <w:rsid w:val="00E41C28"/>
    <w:rsid w:val="00E442C8"/>
    <w:rsid w:val="00E46308"/>
    <w:rsid w:val="00E51E17"/>
    <w:rsid w:val="00E52DAB"/>
    <w:rsid w:val="00E539B0"/>
    <w:rsid w:val="00E54B52"/>
    <w:rsid w:val="00E558EE"/>
    <w:rsid w:val="00E55994"/>
    <w:rsid w:val="00E60606"/>
    <w:rsid w:val="00E60C66"/>
    <w:rsid w:val="00E6164D"/>
    <w:rsid w:val="00E618C9"/>
    <w:rsid w:val="00E62774"/>
    <w:rsid w:val="00E62B65"/>
    <w:rsid w:val="00E62E16"/>
    <w:rsid w:val="00E6307C"/>
    <w:rsid w:val="00E636FA"/>
    <w:rsid w:val="00E63BB4"/>
    <w:rsid w:val="00E66C50"/>
    <w:rsid w:val="00E671E2"/>
    <w:rsid w:val="00E679D3"/>
    <w:rsid w:val="00E71208"/>
    <w:rsid w:val="00E71444"/>
    <w:rsid w:val="00E71C91"/>
    <w:rsid w:val="00E72089"/>
    <w:rsid w:val="00E720A1"/>
    <w:rsid w:val="00E72BA0"/>
    <w:rsid w:val="00E75DDA"/>
    <w:rsid w:val="00E773E8"/>
    <w:rsid w:val="00E82B45"/>
    <w:rsid w:val="00E83ADD"/>
    <w:rsid w:val="00E84B85"/>
    <w:rsid w:val="00E84F38"/>
    <w:rsid w:val="00E85623"/>
    <w:rsid w:val="00E87441"/>
    <w:rsid w:val="00E91E2A"/>
    <w:rsid w:val="00E91FAE"/>
    <w:rsid w:val="00E9318F"/>
    <w:rsid w:val="00E94A2C"/>
    <w:rsid w:val="00E954CD"/>
    <w:rsid w:val="00E96E3F"/>
    <w:rsid w:val="00E9797E"/>
    <w:rsid w:val="00EA1498"/>
    <w:rsid w:val="00EA270C"/>
    <w:rsid w:val="00EA3467"/>
    <w:rsid w:val="00EA4974"/>
    <w:rsid w:val="00EA532E"/>
    <w:rsid w:val="00EA6285"/>
    <w:rsid w:val="00EB06D9"/>
    <w:rsid w:val="00EB192B"/>
    <w:rsid w:val="00EB19ED"/>
    <w:rsid w:val="00EB1CAB"/>
    <w:rsid w:val="00EB6F69"/>
    <w:rsid w:val="00EB7053"/>
    <w:rsid w:val="00EC0299"/>
    <w:rsid w:val="00EC04C6"/>
    <w:rsid w:val="00EC0F5A"/>
    <w:rsid w:val="00EC3638"/>
    <w:rsid w:val="00EC4265"/>
    <w:rsid w:val="00EC4CEB"/>
    <w:rsid w:val="00EC659E"/>
    <w:rsid w:val="00ED09AC"/>
    <w:rsid w:val="00ED0E8E"/>
    <w:rsid w:val="00ED2072"/>
    <w:rsid w:val="00ED2AE0"/>
    <w:rsid w:val="00ED5553"/>
    <w:rsid w:val="00ED5E36"/>
    <w:rsid w:val="00ED6961"/>
    <w:rsid w:val="00EE0C5A"/>
    <w:rsid w:val="00EE3EF5"/>
    <w:rsid w:val="00EF0B96"/>
    <w:rsid w:val="00EF3486"/>
    <w:rsid w:val="00EF47AF"/>
    <w:rsid w:val="00EF53B6"/>
    <w:rsid w:val="00EF55F0"/>
    <w:rsid w:val="00EF73B9"/>
    <w:rsid w:val="00F00B73"/>
    <w:rsid w:val="00F10345"/>
    <w:rsid w:val="00F115CA"/>
    <w:rsid w:val="00F11C29"/>
    <w:rsid w:val="00F14817"/>
    <w:rsid w:val="00F14EBA"/>
    <w:rsid w:val="00F1510F"/>
    <w:rsid w:val="00F1533A"/>
    <w:rsid w:val="00F15E5A"/>
    <w:rsid w:val="00F1767E"/>
    <w:rsid w:val="00F17F0A"/>
    <w:rsid w:val="00F212C8"/>
    <w:rsid w:val="00F2668F"/>
    <w:rsid w:val="00F26982"/>
    <w:rsid w:val="00F2742F"/>
    <w:rsid w:val="00F2753B"/>
    <w:rsid w:val="00F30C23"/>
    <w:rsid w:val="00F31B61"/>
    <w:rsid w:val="00F32BC9"/>
    <w:rsid w:val="00F33F8B"/>
    <w:rsid w:val="00F340B2"/>
    <w:rsid w:val="00F34FF6"/>
    <w:rsid w:val="00F4028C"/>
    <w:rsid w:val="00F40580"/>
    <w:rsid w:val="00F40E59"/>
    <w:rsid w:val="00F428A0"/>
    <w:rsid w:val="00F43390"/>
    <w:rsid w:val="00F443B2"/>
    <w:rsid w:val="00F44878"/>
    <w:rsid w:val="00F448BA"/>
    <w:rsid w:val="00F458D8"/>
    <w:rsid w:val="00F46D6A"/>
    <w:rsid w:val="00F50237"/>
    <w:rsid w:val="00F53596"/>
    <w:rsid w:val="00F5471D"/>
    <w:rsid w:val="00F55BA8"/>
    <w:rsid w:val="00F55DB1"/>
    <w:rsid w:val="00F56ACA"/>
    <w:rsid w:val="00F600FE"/>
    <w:rsid w:val="00F61140"/>
    <w:rsid w:val="00F61C7F"/>
    <w:rsid w:val="00F62E4D"/>
    <w:rsid w:val="00F657DC"/>
    <w:rsid w:val="00F66B34"/>
    <w:rsid w:val="00F675B9"/>
    <w:rsid w:val="00F70A2F"/>
    <w:rsid w:val="00F711C9"/>
    <w:rsid w:val="00F711F7"/>
    <w:rsid w:val="00F7135F"/>
    <w:rsid w:val="00F721A9"/>
    <w:rsid w:val="00F727B7"/>
    <w:rsid w:val="00F740AD"/>
    <w:rsid w:val="00F74C59"/>
    <w:rsid w:val="00F75C3A"/>
    <w:rsid w:val="00F7626D"/>
    <w:rsid w:val="00F80C0F"/>
    <w:rsid w:val="00F82530"/>
    <w:rsid w:val="00F82E30"/>
    <w:rsid w:val="00F831CB"/>
    <w:rsid w:val="00F848A3"/>
    <w:rsid w:val="00F84ACF"/>
    <w:rsid w:val="00F85742"/>
    <w:rsid w:val="00F85BF8"/>
    <w:rsid w:val="00F871CE"/>
    <w:rsid w:val="00F87802"/>
    <w:rsid w:val="00F917EE"/>
    <w:rsid w:val="00F92C0A"/>
    <w:rsid w:val="00F9415B"/>
    <w:rsid w:val="00F95FD2"/>
    <w:rsid w:val="00FA1293"/>
    <w:rsid w:val="00FA13C2"/>
    <w:rsid w:val="00FA3383"/>
    <w:rsid w:val="00FA4A1B"/>
    <w:rsid w:val="00FA641D"/>
    <w:rsid w:val="00FA6D44"/>
    <w:rsid w:val="00FA783E"/>
    <w:rsid w:val="00FA7F91"/>
    <w:rsid w:val="00FB121C"/>
    <w:rsid w:val="00FB1CDD"/>
    <w:rsid w:val="00FB1FBF"/>
    <w:rsid w:val="00FB2C2F"/>
    <w:rsid w:val="00FB2C66"/>
    <w:rsid w:val="00FB305C"/>
    <w:rsid w:val="00FB585D"/>
    <w:rsid w:val="00FC2E1A"/>
    <w:rsid w:val="00FC2E3D"/>
    <w:rsid w:val="00FC3BDE"/>
    <w:rsid w:val="00FC3E8E"/>
    <w:rsid w:val="00FD0D34"/>
    <w:rsid w:val="00FD1DBE"/>
    <w:rsid w:val="00FD25A7"/>
    <w:rsid w:val="00FD27B6"/>
    <w:rsid w:val="00FD3689"/>
    <w:rsid w:val="00FD42A3"/>
    <w:rsid w:val="00FD5120"/>
    <w:rsid w:val="00FD7468"/>
    <w:rsid w:val="00FD7933"/>
    <w:rsid w:val="00FD7CE0"/>
    <w:rsid w:val="00FE0B3B"/>
    <w:rsid w:val="00FE1BE2"/>
    <w:rsid w:val="00FE730A"/>
    <w:rsid w:val="00FE780C"/>
    <w:rsid w:val="00FF02C0"/>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EC81D"/>
  <w15:docId w15:val="{9039BC82-3B0E-4020-BDBF-D8C8ED78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140"/>
    <w:pPr>
      <w:spacing w:after="160" w:line="259" w:lineRule="auto"/>
    </w:pPr>
    <w:rPr>
      <w:rFonts w:asciiTheme="minorHAnsi" w:eastAsiaTheme="minorHAnsi" w:hAnsiTheme="minorHAnsi" w:cstheme="minorBidi"/>
      <w:sz w:val="22"/>
      <w:szCs w:val="22"/>
      <w:lang w:val="en-US"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OZNAKA OPOMBE,FZ,number,SUPERS,Footnote Reference Superscript,BVI fnr,Footnote symbol,Footnote,(Footnote Reference),Footnote reference number,note TESI,EN Footnote Reference,Voetnootverwijzing,Times 10 Point,Exposant 3 Point"/>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4"/>
    <w:qFormat/>
    <w:rsid w:val="006A748A"/>
    <w:pPr>
      <w:ind w:left="987"/>
    </w:pPr>
  </w:style>
  <w:style w:type="paragraph" w:customStyle="1" w:styleId="ZLITPKTzmpktliter">
    <w:name w:val="Z_LIT/PKT – zm. pkt literą"/>
    <w:basedOn w:val="PKTpunkt"/>
    <w:uiPriority w:val="45"/>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24"/>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NormalnyWeb">
    <w:name w:val="Normal (Web)"/>
    <w:basedOn w:val="Normalny"/>
    <w:uiPriority w:val="99"/>
    <w:unhideWhenUsed/>
    <w:rsid w:val="00C97E31"/>
    <w:rPr>
      <w:rFonts w:ascii="Times New Roman" w:hAnsi="Times New Roman" w:cs="Times New Roman"/>
      <w:sz w:val="24"/>
      <w:szCs w:val="24"/>
    </w:rPr>
  </w:style>
  <w:style w:type="paragraph" w:styleId="Akapitzlist">
    <w:name w:val="List Paragraph"/>
    <w:basedOn w:val="Normalny"/>
    <w:uiPriority w:val="34"/>
    <w:qFormat/>
    <w:rsid w:val="0049226B"/>
    <w:pPr>
      <w:spacing w:after="200" w:line="276" w:lineRule="auto"/>
      <w:ind w:left="720"/>
      <w:contextualSpacing/>
    </w:pPr>
    <w:rPr>
      <w:rFonts w:ascii="Calibri" w:eastAsia="Times New Roman" w:hAnsi="Calibri" w:cs="Times New Roman"/>
      <w:lang w:val="pl-PL"/>
    </w:rPr>
  </w:style>
  <w:style w:type="character" w:styleId="Hipercze">
    <w:name w:val="Hyperlink"/>
    <w:basedOn w:val="Domylnaczcionkaakapitu"/>
    <w:uiPriority w:val="99"/>
    <w:unhideWhenUsed/>
    <w:rsid w:val="0049226B"/>
    <w:rPr>
      <w:rFonts w:cs="Times New Roman"/>
      <w:color w:val="0000FF"/>
      <w:u w:val="single"/>
    </w:rPr>
  </w:style>
  <w:style w:type="paragraph" w:styleId="Poprawka">
    <w:name w:val="Revision"/>
    <w:hidden/>
    <w:uiPriority w:val="99"/>
    <w:semiHidden/>
    <w:rsid w:val="004F08EF"/>
    <w:pPr>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397">
      <w:bodyDiv w:val="1"/>
      <w:marLeft w:val="0"/>
      <w:marRight w:val="0"/>
      <w:marTop w:val="0"/>
      <w:marBottom w:val="0"/>
      <w:divBdr>
        <w:top w:val="none" w:sz="0" w:space="0" w:color="auto"/>
        <w:left w:val="none" w:sz="0" w:space="0" w:color="auto"/>
        <w:bottom w:val="none" w:sz="0" w:space="0" w:color="auto"/>
        <w:right w:val="none" w:sz="0" w:space="0" w:color="auto"/>
      </w:divBdr>
    </w:div>
    <w:div w:id="56440251">
      <w:bodyDiv w:val="1"/>
      <w:marLeft w:val="0"/>
      <w:marRight w:val="0"/>
      <w:marTop w:val="0"/>
      <w:marBottom w:val="0"/>
      <w:divBdr>
        <w:top w:val="none" w:sz="0" w:space="0" w:color="auto"/>
        <w:left w:val="none" w:sz="0" w:space="0" w:color="auto"/>
        <w:bottom w:val="none" w:sz="0" w:space="0" w:color="auto"/>
        <w:right w:val="none" w:sz="0" w:space="0" w:color="auto"/>
      </w:divBdr>
    </w:div>
    <w:div w:id="103307769">
      <w:bodyDiv w:val="1"/>
      <w:marLeft w:val="0"/>
      <w:marRight w:val="0"/>
      <w:marTop w:val="0"/>
      <w:marBottom w:val="0"/>
      <w:divBdr>
        <w:top w:val="none" w:sz="0" w:space="0" w:color="auto"/>
        <w:left w:val="none" w:sz="0" w:space="0" w:color="auto"/>
        <w:bottom w:val="none" w:sz="0" w:space="0" w:color="auto"/>
        <w:right w:val="none" w:sz="0" w:space="0" w:color="auto"/>
      </w:divBdr>
    </w:div>
    <w:div w:id="158080188">
      <w:bodyDiv w:val="1"/>
      <w:marLeft w:val="0"/>
      <w:marRight w:val="0"/>
      <w:marTop w:val="0"/>
      <w:marBottom w:val="0"/>
      <w:divBdr>
        <w:top w:val="none" w:sz="0" w:space="0" w:color="auto"/>
        <w:left w:val="none" w:sz="0" w:space="0" w:color="auto"/>
        <w:bottom w:val="none" w:sz="0" w:space="0" w:color="auto"/>
        <w:right w:val="none" w:sz="0" w:space="0" w:color="auto"/>
      </w:divBdr>
    </w:div>
    <w:div w:id="225528924">
      <w:bodyDiv w:val="1"/>
      <w:marLeft w:val="0"/>
      <w:marRight w:val="0"/>
      <w:marTop w:val="0"/>
      <w:marBottom w:val="0"/>
      <w:divBdr>
        <w:top w:val="none" w:sz="0" w:space="0" w:color="auto"/>
        <w:left w:val="none" w:sz="0" w:space="0" w:color="auto"/>
        <w:bottom w:val="none" w:sz="0" w:space="0" w:color="auto"/>
        <w:right w:val="none" w:sz="0" w:space="0" w:color="auto"/>
      </w:divBdr>
      <w:divsChild>
        <w:div w:id="2008482112">
          <w:marLeft w:val="0"/>
          <w:marRight w:val="0"/>
          <w:marTop w:val="0"/>
          <w:marBottom w:val="0"/>
          <w:divBdr>
            <w:top w:val="none" w:sz="0" w:space="0" w:color="auto"/>
            <w:left w:val="none" w:sz="0" w:space="0" w:color="auto"/>
            <w:bottom w:val="none" w:sz="0" w:space="0" w:color="auto"/>
            <w:right w:val="none" w:sz="0" w:space="0" w:color="auto"/>
          </w:divBdr>
        </w:div>
      </w:divsChild>
    </w:div>
    <w:div w:id="396980449">
      <w:bodyDiv w:val="1"/>
      <w:marLeft w:val="0"/>
      <w:marRight w:val="0"/>
      <w:marTop w:val="0"/>
      <w:marBottom w:val="0"/>
      <w:divBdr>
        <w:top w:val="none" w:sz="0" w:space="0" w:color="auto"/>
        <w:left w:val="none" w:sz="0" w:space="0" w:color="auto"/>
        <w:bottom w:val="none" w:sz="0" w:space="0" w:color="auto"/>
        <w:right w:val="none" w:sz="0" w:space="0" w:color="auto"/>
      </w:divBdr>
    </w:div>
    <w:div w:id="569731668">
      <w:bodyDiv w:val="1"/>
      <w:marLeft w:val="0"/>
      <w:marRight w:val="0"/>
      <w:marTop w:val="0"/>
      <w:marBottom w:val="0"/>
      <w:divBdr>
        <w:top w:val="none" w:sz="0" w:space="0" w:color="auto"/>
        <w:left w:val="none" w:sz="0" w:space="0" w:color="auto"/>
        <w:bottom w:val="none" w:sz="0" w:space="0" w:color="auto"/>
        <w:right w:val="none" w:sz="0" w:space="0" w:color="auto"/>
      </w:divBdr>
    </w:div>
    <w:div w:id="1036662244">
      <w:bodyDiv w:val="1"/>
      <w:marLeft w:val="0"/>
      <w:marRight w:val="0"/>
      <w:marTop w:val="0"/>
      <w:marBottom w:val="0"/>
      <w:divBdr>
        <w:top w:val="none" w:sz="0" w:space="0" w:color="auto"/>
        <w:left w:val="none" w:sz="0" w:space="0" w:color="auto"/>
        <w:bottom w:val="none" w:sz="0" w:space="0" w:color="auto"/>
        <w:right w:val="none" w:sz="0" w:space="0" w:color="auto"/>
      </w:divBdr>
    </w:div>
    <w:div w:id="1048258424">
      <w:bodyDiv w:val="1"/>
      <w:marLeft w:val="0"/>
      <w:marRight w:val="0"/>
      <w:marTop w:val="0"/>
      <w:marBottom w:val="0"/>
      <w:divBdr>
        <w:top w:val="none" w:sz="0" w:space="0" w:color="auto"/>
        <w:left w:val="none" w:sz="0" w:space="0" w:color="auto"/>
        <w:bottom w:val="none" w:sz="0" w:space="0" w:color="auto"/>
        <w:right w:val="none" w:sz="0" w:space="0" w:color="auto"/>
      </w:divBdr>
    </w:div>
    <w:div w:id="1477796463">
      <w:bodyDiv w:val="1"/>
      <w:marLeft w:val="0"/>
      <w:marRight w:val="0"/>
      <w:marTop w:val="0"/>
      <w:marBottom w:val="0"/>
      <w:divBdr>
        <w:top w:val="none" w:sz="0" w:space="0" w:color="auto"/>
        <w:left w:val="none" w:sz="0" w:space="0" w:color="auto"/>
        <w:bottom w:val="none" w:sz="0" w:space="0" w:color="auto"/>
        <w:right w:val="none" w:sz="0" w:space="0" w:color="auto"/>
      </w:divBdr>
    </w:div>
    <w:div w:id="1760444829">
      <w:bodyDiv w:val="1"/>
      <w:marLeft w:val="0"/>
      <w:marRight w:val="0"/>
      <w:marTop w:val="0"/>
      <w:marBottom w:val="0"/>
      <w:divBdr>
        <w:top w:val="none" w:sz="0" w:space="0" w:color="auto"/>
        <w:left w:val="none" w:sz="0" w:space="0" w:color="auto"/>
        <w:bottom w:val="none" w:sz="0" w:space="0" w:color="auto"/>
        <w:right w:val="none" w:sz="0" w:space="0" w:color="auto"/>
      </w:divBdr>
    </w:div>
    <w:div w:id="1763143017">
      <w:bodyDiv w:val="1"/>
      <w:marLeft w:val="0"/>
      <w:marRight w:val="0"/>
      <w:marTop w:val="0"/>
      <w:marBottom w:val="0"/>
      <w:divBdr>
        <w:top w:val="none" w:sz="0" w:space="0" w:color="auto"/>
        <w:left w:val="none" w:sz="0" w:space="0" w:color="auto"/>
        <w:bottom w:val="none" w:sz="0" w:space="0" w:color="auto"/>
        <w:right w:val="none" w:sz="0" w:space="0" w:color="auto"/>
      </w:divBdr>
    </w:div>
    <w:div w:id="1869024898">
      <w:bodyDiv w:val="1"/>
      <w:marLeft w:val="0"/>
      <w:marRight w:val="0"/>
      <w:marTop w:val="0"/>
      <w:marBottom w:val="0"/>
      <w:divBdr>
        <w:top w:val="none" w:sz="0" w:space="0" w:color="auto"/>
        <w:left w:val="none" w:sz="0" w:space="0" w:color="auto"/>
        <w:bottom w:val="none" w:sz="0" w:space="0" w:color="auto"/>
        <w:right w:val="none" w:sz="0" w:space="0" w:color="auto"/>
      </w:divBdr>
      <w:divsChild>
        <w:div w:id="588393538">
          <w:marLeft w:val="0"/>
          <w:marRight w:val="0"/>
          <w:marTop w:val="0"/>
          <w:marBottom w:val="0"/>
          <w:divBdr>
            <w:top w:val="none" w:sz="0" w:space="0" w:color="auto"/>
            <w:left w:val="none" w:sz="0" w:space="0" w:color="auto"/>
            <w:bottom w:val="none" w:sz="0" w:space="0" w:color="auto"/>
            <w:right w:val="none" w:sz="0" w:space="0" w:color="auto"/>
          </w:divBdr>
        </w:div>
      </w:divsChild>
    </w:div>
    <w:div w:id="1879736225">
      <w:bodyDiv w:val="1"/>
      <w:marLeft w:val="0"/>
      <w:marRight w:val="0"/>
      <w:marTop w:val="0"/>
      <w:marBottom w:val="0"/>
      <w:divBdr>
        <w:top w:val="none" w:sz="0" w:space="0" w:color="auto"/>
        <w:left w:val="none" w:sz="0" w:space="0" w:color="auto"/>
        <w:bottom w:val="none" w:sz="0" w:space="0" w:color="auto"/>
        <w:right w:val="none" w:sz="0" w:space="0" w:color="auto"/>
      </w:divBdr>
    </w:div>
    <w:div w:id="1906450496">
      <w:bodyDiv w:val="1"/>
      <w:marLeft w:val="0"/>
      <w:marRight w:val="0"/>
      <w:marTop w:val="0"/>
      <w:marBottom w:val="0"/>
      <w:divBdr>
        <w:top w:val="none" w:sz="0" w:space="0" w:color="auto"/>
        <w:left w:val="none" w:sz="0" w:space="0" w:color="auto"/>
        <w:bottom w:val="none" w:sz="0" w:space="0" w:color="auto"/>
        <w:right w:val="none" w:sz="0" w:space="0" w:color="auto"/>
      </w:divBdr>
      <w:divsChild>
        <w:div w:id="344940830">
          <w:marLeft w:val="0"/>
          <w:marRight w:val="0"/>
          <w:marTop w:val="0"/>
          <w:marBottom w:val="0"/>
          <w:divBdr>
            <w:top w:val="none" w:sz="0" w:space="0" w:color="auto"/>
            <w:left w:val="none" w:sz="0" w:space="0" w:color="auto"/>
            <w:bottom w:val="none" w:sz="0" w:space="0" w:color="auto"/>
            <w:right w:val="none" w:sz="0" w:space="0" w:color="auto"/>
          </w:divBdr>
        </w:div>
      </w:divsChild>
    </w:div>
    <w:div w:id="1935284243">
      <w:bodyDiv w:val="1"/>
      <w:marLeft w:val="0"/>
      <w:marRight w:val="0"/>
      <w:marTop w:val="0"/>
      <w:marBottom w:val="0"/>
      <w:divBdr>
        <w:top w:val="none" w:sz="0" w:space="0" w:color="auto"/>
        <w:left w:val="none" w:sz="0" w:space="0" w:color="auto"/>
        <w:bottom w:val="none" w:sz="0" w:space="0" w:color="auto"/>
        <w:right w:val="none" w:sz="0" w:space="0" w:color="auto"/>
      </w:divBdr>
    </w:div>
    <w:div w:id="2085105752">
      <w:bodyDiv w:val="1"/>
      <w:marLeft w:val="0"/>
      <w:marRight w:val="0"/>
      <w:marTop w:val="0"/>
      <w:marBottom w:val="0"/>
      <w:divBdr>
        <w:top w:val="none" w:sz="0" w:space="0" w:color="auto"/>
        <w:left w:val="none" w:sz="0" w:space="0" w:color="auto"/>
        <w:bottom w:val="none" w:sz="0" w:space="0" w:color="auto"/>
        <w:right w:val="none" w:sz="0" w:space="0" w:color="auto"/>
      </w:divBdr>
      <w:divsChild>
        <w:div w:id="319235535">
          <w:marLeft w:val="0"/>
          <w:marRight w:val="0"/>
          <w:marTop w:val="0"/>
          <w:marBottom w:val="0"/>
          <w:divBdr>
            <w:top w:val="none" w:sz="0" w:space="0" w:color="auto"/>
            <w:left w:val="none" w:sz="0" w:space="0" w:color="auto"/>
            <w:bottom w:val="none" w:sz="0" w:space="0" w:color="auto"/>
            <w:right w:val="none" w:sz="0" w:space="0" w:color="auto"/>
          </w:divBdr>
          <w:divsChild>
            <w:div w:id="1181238944">
              <w:marLeft w:val="0"/>
              <w:marRight w:val="0"/>
              <w:marTop w:val="0"/>
              <w:marBottom w:val="0"/>
              <w:divBdr>
                <w:top w:val="none" w:sz="0" w:space="0" w:color="auto"/>
                <w:left w:val="none" w:sz="0" w:space="0" w:color="auto"/>
                <w:bottom w:val="none" w:sz="0" w:space="0" w:color="auto"/>
                <w:right w:val="none" w:sz="0" w:space="0" w:color="auto"/>
              </w:divBdr>
            </w:div>
          </w:divsChild>
        </w:div>
        <w:div w:id="105078554">
          <w:marLeft w:val="0"/>
          <w:marRight w:val="0"/>
          <w:marTop w:val="0"/>
          <w:marBottom w:val="0"/>
          <w:divBdr>
            <w:top w:val="none" w:sz="0" w:space="0" w:color="auto"/>
            <w:left w:val="none" w:sz="0" w:space="0" w:color="auto"/>
            <w:bottom w:val="none" w:sz="0" w:space="0" w:color="auto"/>
            <w:right w:val="none" w:sz="0" w:space="0" w:color="auto"/>
          </w:divBdr>
          <w:divsChild>
            <w:div w:id="195703168">
              <w:marLeft w:val="0"/>
              <w:marRight w:val="0"/>
              <w:marTop w:val="0"/>
              <w:marBottom w:val="0"/>
              <w:divBdr>
                <w:top w:val="none" w:sz="0" w:space="0" w:color="auto"/>
                <w:left w:val="none" w:sz="0" w:space="0" w:color="auto"/>
                <w:bottom w:val="none" w:sz="0" w:space="0" w:color="auto"/>
                <w:right w:val="none" w:sz="0" w:space="0" w:color="auto"/>
              </w:divBdr>
            </w:div>
          </w:divsChild>
        </w:div>
        <w:div w:id="1104618435">
          <w:marLeft w:val="0"/>
          <w:marRight w:val="0"/>
          <w:marTop w:val="0"/>
          <w:marBottom w:val="0"/>
          <w:divBdr>
            <w:top w:val="none" w:sz="0" w:space="0" w:color="auto"/>
            <w:left w:val="none" w:sz="0" w:space="0" w:color="auto"/>
            <w:bottom w:val="none" w:sz="0" w:space="0" w:color="auto"/>
            <w:right w:val="none" w:sz="0" w:space="0" w:color="auto"/>
          </w:divBdr>
          <w:divsChild>
            <w:div w:id="2912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ex-test/lex/index.rpc" TargetMode="External"/><Relationship Id="rId4" Type="http://schemas.openxmlformats.org/officeDocument/2006/relationships/styles" Target="styles.xml"/><Relationship Id="rId9" Type="http://schemas.openxmlformats.org/officeDocument/2006/relationships/hyperlink" Target="http://lex-test/lex/index.rp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LMB\Desktop\ESAs%20implementacja\szablon%20aktu%20prawnego\Nowe\Szablon%20aktu%20prawnego%204_0%20&#8212;%20kopia.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2206D8-CB27-41DC-8E9D-5E4FDD5A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 — kopia</Template>
  <TotalTime>0</TotalTime>
  <Pages>43</Pages>
  <Words>12607</Words>
  <Characters>75643</Characters>
  <Application>Microsoft Office Word</Application>
  <DocSecurity>0</DocSecurity>
  <Lines>630</Lines>
  <Paragraphs>176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Beczek Magdalena</dc:creator>
  <cp:lastModifiedBy>KGHM</cp:lastModifiedBy>
  <cp:revision>2</cp:revision>
  <cp:lastPrinted>2020-03-12T12:17:00Z</cp:lastPrinted>
  <dcterms:created xsi:type="dcterms:W3CDTF">2020-10-28T12:52:00Z</dcterms:created>
  <dcterms:modified xsi:type="dcterms:W3CDTF">2020-10-28T12:52:00Z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