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10EFB" w14:textId="77777777" w:rsidR="009E0B71" w:rsidRPr="008E7FF1" w:rsidRDefault="009E0B71" w:rsidP="008E7FF1">
      <w:pPr>
        <w:shd w:val="clear" w:color="auto" w:fill="FFFFFF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E7FF1">
        <w:rPr>
          <w:rFonts w:ascii="Times New Roman" w:hAnsi="Times New Roman"/>
          <w:b/>
          <w:bCs/>
          <w:sz w:val="24"/>
          <w:szCs w:val="24"/>
          <w:lang w:eastAsia="pl-PL"/>
        </w:rPr>
        <w:t>UZASADNIENIE</w:t>
      </w:r>
    </w:p>
    <w:p w14:paraId="33F876B2" w14:textId="77777777" w:rsidR="009E0B71" w:rsidRPr="008E7FF1" w:rsidRDefault="009E0B71" w:rsidP="00C1644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FF1">
        <w:rPr>
          <w:rFonts w:ascii="Times New Roman" w:hAnsi="Times New Roman"/>
          <w:sz w:val="24"/>
          <w:szCs w:val="24"/>
          <w:lang w:eastAsia="pl-PL"/>
        </w:rPr>
        <w:t xml:space="preserve">Projekt rozporządzenia stanowi wykonanie upoważnienia zawartego w art. 11 ust. 1 ustawy z dnia 7 lipca 1994 r. </w:t>
      </w:r>
      <w:r w:rsidR="00CF2146">
        <w:rPr>
          <w:rFonts w:ascii="Times New Roman" w:hAnsi="Times New Roman"/>
          <w:sz w:val="24"/>
          <w:szCs w:val="24"/>
          <w:lang w:eastAsia="pl-PL"/>
        </w:rPr>
        <w:t>–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10280">
        <w:rPr>
          <w:rFonts w:ascii="Times New Roman" w:hAnsi="Times New Roman"/>
          <w:iCs/>
          <w:sz w:val="24"/>
          <w:szCs w:val="24"/>
          <w:lang w:eastAsia="pl-PL"/>
        </w:rPr>
        <w:t>Prawo budowlane</w:t>
      </w:r>
      <w:r w:rsidRPr="008E7F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8E7FF1">
        <w:rPr>
          <w:rFonts w:ascii="Times New Roman" w:hAnsi="Times New Roman"/>
          <w:sz w:val="24"/>
          <w:szCs w:val="24"/>
          <w:lang w:eastAsia="pl-PL"/>
        </w:rPr>
        <w:t>(Dz. U. z 20</w:t>
      </w:r>
      <w:r w:rsidR="00412C02" w:rsidRPr="008E7FF1">
        <w:rPr>
          <w:rFonts w:ascii="Times New Roman" w:hAnsi="Times New Roman"/>
          <w:sz w:val="24"/>
          <w:szCs w:val="24"/>
          <w:lang w:eastAsia="pl-PL"/>
        </w:rPr>
        <w:t>20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5607ED" w:rsidRPr="008E7FF1">
        <w:rPr>
          <w:rFonts w:ascii="Times New Roman" w:hAnsi="Times New Roman"/>
          <w:sz w:val="24"/>
          <w:szCs w:val="24"/>
          <w:lang w:eastAsia="pl-PL"/>
        </w:rPr>
        <w:t>1</w:t>
      </w:r>
      <w:r w:rsidR="00412C02" w:rsidRPr="00FE26EF">
        <w:rPr>
          <w:rFonts w:ascii="Times New Roman" w:hAnsi="Times New Roman"/>
          <w:sz w:val="24"/>
          <w:szCs w:val="24"/>
          <w:lang w:eastAsia="pl-PL"/>
        </w:rPr>
        <w:t>33</w:t>
      </w:r>
      <w:r w:rsidR="00CF2146">
        <w:rPr>
          <w:rFonts w:ascii="Times New Roman" w:hAnsi="Times New Roman"/>
          <w:sz w:val="24"/>
          <w:szCs w:val="24"/>
          <w:lang w:eastAsia="pl-PL"/>
        </w:rPr>
        <w:t>3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), zgodnie z którym </w:t>
      </w:r>
      <w:r w:rsidR="00FB5458" w:rsidRPr="008E7FF1">
        <w:rPr>
          <w:rFonts w:ascii="Times New Roman" w:hAnsi="Times New Roman"/>
          <w:sz w:val="24"/>
          <w:szCs w:val="24"/>
          <w:lang w:eastAsia="pl-PL"/>
        </w:rPr>
        <w:t>m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inister </w:t>
      </w:r>
      <w:r w:rsidR="00FB5458" w:rsidRPr="008E7FF1">
        <w:rPr>
          <w:rFonts w:ascii="Times New Roman" w:hAnsi="Times New Roman"/>
          <w:sz w:val="24"/>
          <w:szCs w:val="24"/>
          <w:lang w:eastAsia="pl-PL"/>
        </w:rPr>
        <w:t>właściwy do spraw z</w:t>
      </w:r>
      <w:r w:rsidRPr="008E7FF1">
        <w:rPr>
          <w:rFonts w:ascii="Times New Roman" w:hAnsi="Times New Roman"/>
          <w:sz w:val="24"/>
          <w:szCs w:val="24"/>
          <w:lang w:eastAsia="pl-PL"/>
        </w:rPr>
        <w:t>drowia określi</w:t>
      </w:r>
      <w:r w:rsidR="00FB5458" w:rsidRPr="008E7FF1">
        <w:rPr>
          <w:rFonts w:ascii="Times New Roman" w:hAnsi="Times New Roman"/>
          <w:sz w:val="24"/>
          <w:szCs w:val="24"/>
          <w:lang w:eastAsia="pl-PL"/>
        </w:rPr>
        <w:t>,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w drodze rozporządzenia</w:t>
      </w:r>
      <w:r w:rsidR="00FB5458" w:rsidRPr="008E7FF1">
        <w:rPr>
          <w:rFonts w:ascii="Times New Roman" w:hAnsi="Times New Roman"/>
          <w:sz w:val="24"/>
          <w:szCs w:val="24"/>
          <w:lang w:eastAsia="pl-PL"/>
        </w:rPr>
        <w:t>,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dopuszczalne stężenia i natężenia czynników szkodliwych dla zdrowia, wydzielanych przez materiały budowlane, urządzenia i elementy wyposażenia w pomieszczeniach na pobyt ludzi. </w:t>
      </w:r>
    </w:p>
    <w:p w14:paraId="5DEE5764" w14:textId="77777777" w:rsidR="009E0B71" w:rsidRPr="008E7FF1" w:rsidRDefault="009E0B71" w:rsidP="00C16441">
      <w:pPr>
        <w:shd w:val="clear" w:color="auto" w:fill="FFFFFF"/>
        <w:spacing w:after="0" w:line="36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FF1">
        <w:rPr>
          <w:rFonts w:ascii="Times New Roman" w:hAnsi="Times New Roman"/>
          <w:sz w:val="24"/>
          <w:szCs w:val="24"/>
          <w:lang w:eastAsia="pl-PL"/>
        </w:rPr>
        <w:t>Projektowane rozporządzenie było poprzedzone zarządzeniem Ministra Zdrowia i Opieki Społecznej z dnia 12 marca 1996 r. w sprawie dopuszczalnych stężeń i natężeń czynników szkodliwych dla zdrowia, wydzielanych przez materiały budowlane, urządzenia i elementy wyposażenia w pomieszczeniach przeznaczonych na pobyt ludzi (M.P. poz. 231)</w:t>
      </w:r>
      <w:r w:rsidR="009F73DD" w:rsidRPr="008E7FF1">
        <w:rPr>
          <w:rFonts w:ascii="Times New Roman" w:hAnsi="Times New Roman"/>
          <w:sz w:val="24"/>
          <w:szCs w:val="24"/>
          <w:lang w:eastAsia="pl-PL"/>
        </w:rPr>
        <w:t>, zwane dalej „zarządzeniem”</w:t>
      </w:r>
      <w:r w:rsidR="00236C4E" w:rsidRPr="008E7FF1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BA5426">
        <w:rPr>
          <w:rFonts w:ascii="Times New Roman" w:hAnsi="Times New Roman"/>
          <w:sz w:val="24"/>
          <w:szCs w:val="24"/>
          <w:lang w:eastAsia="pl-PL"/>
        </w:rPr>
        <w:t xml:space="preserve">które </w:t>
      </w:r>
      <w:r w:rsidR="00EF2AAB">
        <w:rPr>
          <w:rFonts w:ascii="Times New Roman" w:hAnsi="Times New Roman"/>
          <w:sz w:val="24"/>
          <w:szCs w:val="24"/>
          <w:lang w:eastAsia="pl-PL"/>
        </w:rPr>
        <w:t>s</w:t>
      </w:r>
      <w:r w:rsidR="00BA5426" w:rsidRPr="00BA5426">
        <w:rPr>
          <w:rFonts w:ascii="Times New Roman" w:hAnsi="Times New Roman"/>
          <w:sz w:val="24"/>
          <w:szCs w:val="24"/>
          <w:lang w:eastAsia="pl-PL"/>
        </w:rPr>
        <w:t xml:space="preserve">tosownie do art. 93 ust. 2 </w:t>
      </w:r>
      <w:r w:rsidR="00EF2AAB">
        <w:rPr>
          <w:rFonts w:ascii="Times New Roman" w:hAnsi="Times New Roman"/>
          <w:sz w:val="24"/>
          <w:szCs w:val="24"/>
          <w:lang w:eastAsia="pl-PL"/>
        </w:rPr>
        <w:t xml:space="preserve">zdanie drugie </w:t>
      </w:r>
      <w:r w:rsidR="00BA5426" w:rsidRPr="00BA5426">
        <w:rPr>
          <w:rFonts w:ascii="Times New Roman" w:hAnsi="Times New Roman"/>
          <w:sz w:val="24"/>
          <w:szCs w:val="24"/>
          <w:lang w:eastAsia="pl-PL"/>
        </w:rPr>
        <w:t xml:space="preserve">Konstytucji </w:t>
      </w:r>
      <w:r w:rsidR="00EF2AAB">
        <w:rPr>
          <w:rFonts w:ascii="Times New Roman" w:hAnsi="Times New Roman"/>
          <w:sz w:val="24"/>
          <w:szCs w:val="24"/>
          <w:lang w:eastAsia="pl-PL"/>
        </w:rPr>
        <w:t xml:space="preserve">Rzeczypospolitej Polskiej </w:t>
      </w:r>
      <w:r w:rsidR="00BA5426" w:rsidRPr="00BA5426">
        <w:rPr>
          <w:rFonts w:ascii="Times New Roman" w:hAnsi="Times New Roman"/>
          <w:sz w:val="24"/>
          <w:szCs w:val="24"/>
          <w:lang w:eastAsia="pl-PL"/>
        </w:rPr>
        <w:t>nie mo</w:t>
      </w:r>
      <w:r w:rsidR="00EF2AAB">
        <w:rPr>
          <w:rFonts w:ascii="Times New Roman" w:hAnsi="Times New Roman"/>
          <w:sz w:val="24"/>
          <w:szCs w:val="24"/>
          <w:lang w:eastAsia="pl-PL"/>
        </w:rPr>
        <w:t>że</w:t>
      </w:r>
      <w:r w:rsidR="00BA5426" w:rsidRPr="00BA5426">
        <w:rPr>
          <w:rFonts w:ascii="Times New Roman" w:hAnsi="Times New Roman"/>
          <w:sz w:val="24"/>
          <w:szCs w:val="24"/>
          <w:lang w:eastAsia="pl-PL"/>
        </w:rPr>
        <w:t xml:space="preserve"> stanowić podstawy decyzji wobec obywateli, osób prawnych oraz innych podmiotów</w:t>
      </w:r>
      <w:r w:rsidR="00EF2AAB">
        <w:rPr>
          <w:rFonts w:ascii="Times New Roman" w:hAnsi="Times New Roman"/>
          <w:sz w:val="24"/>
          <w:szCs w:val="24"/>
          <w:lang w:eastAsia="pl-PL"/>
        </w:rPr>
        <w:t>.</w:t>
      </w:r>
    </w:p>
    <w:p w14:paraId="1B9B712B" w14:textId="3407795E" w:rsidR="006003DF" w:rsidRPr="008E7FF1" w:rsidRDefault="009E0B71" w:rsidP="00C16441">
      <w:pPr>
        <w:shd w:val="clear" w:color="auto" w:fill="FFFFFF"/>
        <w:spacing w:after="0" w:line="36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FF1">
        <w:rPr>
          <w:rFonts w:ascii="Times New Roman" w:hAnsi="Times New Roman"/>
          <w:sz w:val="24"/>
          <w:szCs w:val="24"/>
          <w:lang w:eastAsia="pl-PL"/>
        </w:rPr>
        <w:t xml:space="preserve">W przedmiotowym projekcie </w:t>
      </w:r>
      <w:r w:rsidR="006003DF" w:rsidRPr="008E7FF1">
        <w:rPr>
          <w:rFonts w:ascii="Times New Roman" w:hAnsi="Times New Roman"/>
          <w:sz w:val="24"/>
          <w:szCs w:val="24"/>
          <w:lang w:eastAsia="pl-PL"/>
        </w:rPr>
        <w:t xml:space="preserve">rozporządzenia </w:t>
      </w:r>
      <w:r w:rsidR="00452EA8" w:rsidRPr="008E7FF1">
        <w:rPr>
          <w:rFonts w:ascii="Times New Roman" w:hAnsi="Times New Roman"/>
          <w:sz w:val="24"/>
          <w:szCs w:val="24"/>
          <w:lang w:eastAsia="pl-PL"/>
        </w:rPr>
        <w:t>utrzymano podział pomieszczeń na dwie</w:t>
      </w:r>
      <w:r w:rsidR="00AB5C5F" w:rsidRPr="008E7FF1">
        <w:rPr>
          <w:rFonts w:ascii="Times New Roman" w:hAnsi="Times New Roman"/>
          <w:sz w:val="24"/>
          <w:szCs w:val="24"/>
          <w:lang w:eastAsia="pl-PL"/>
        </w:rPr>
        <w:t xml:space="preserve"> kategorie, tj. A i B, </w:t>
      </w:r>
      <w:r w:rsidR="00452EA8" w:rsidRPr="008E7FF1">
        <w:rPr>
          <w:rFonts w:ascii="Times New Roman" w:hAnsi="Times New Roman"/>
          <w:sz w:val="24"/>
          <w:szCs w:val="24"/>
          <w:lang w:eastAsia="pl-PL"/>
        </w:rPr>
        <w:t>jednakże definiując je w sposób odmienny niż w zarządzeniu. P</w:t>
      </w:r>
      <w:r w:rsidR="006003DF" w:rsidRPr="008E7FF1">
        <w:rPr>
          <w:rFonts w:ascii="Times New Roman" w:hAnsi="Times New Roman"/>
          <w:sz w:val="24"/>
          <w:szCs w:val="24"/>
          <w:lang w:eastAsia="pl-PL"/>
        </w:rPr>
        <w:t>omieszczeni</w:t>
      </w:r>
      <w:r w:rsidR="00AB5C5F" w:rsidRPr="008E7FF1">
        <w:rPr>
          <w:rFonts w:ascii="Times New Roman" w:hAnsi="Times New Roman"/>
          <w:sz w:val="24"/>
          <w:szCs w:val="24"/>
          <w:lang w:eastAsia="pl-PL"/>
        </w:rPr>
        <w:t>a</w:t>
      </w:r>
      <w:r w:rsidR="00452EA8" w:rsidRPr="008E7F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003DF" w:rsidRPr="008E7FF1">
        <w:rPr>
          <w:rFonts w:ascii="Times New Roman" w:hAnsi="Times New Roman"/>
          <w:sz w:val="24"/>
          <w:szCs w:val="24"/>
          <w:lang w:eastAsia="pl-PL"/>
        </w:rPr>
        <w:t>przeznaczone na pobyt ludzi</w:t>
      </w:r>
      <w:r w:rsidR="00452EA8" w:rsidRPr="008E7FF1">
        <w:rPr>
          <w:rFonts w:ascii="Times New Roman" w:hAnsi="Times New Roman"/>
          <w:sz w:val="24"/>
          <w:szCs w:val="24"/>
          <w:lang w:eastAsia="pl-PL"/>
        </w:rPr>
        <w:t xml:space="preserve"> zdefiniowano</w:t>
      </w:r>
      <w:r w:rsidR="006003DF" w:rsidRPr="008E7FF1">
        <w:rPr>
          <w:rFonts w:ascii="Times New Roman" w:hAnsi="Times New Roman"/>
          <w:sz w:val="24"/>
          <w:szCs w:val="24"/>
          <w:lang w:eastAsia="pl-PL"/>
        </w:rPr>
        <w:t xml:space="preserve"> jako: </w:t>
      </w:r>
    </w:p>
    <w:p w14:paraId="3551504B" w14:textId="77777777" w:rsidR="006003DF" w:rsidRPr="00410280" w:rsidRDefault="006003DF" w:rsidP="00410280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right="6"/>
        <w:jc w:val="both"/>
        <w:rPr>
          <w:lang w:eastAsia="pl-PL"/>
        </w:rPr>
      </w:pPr>
      <w:r w:rsidRPr="00410280">
        <w:rPr>
          <w:lang w:eastAsia="pl-PL"/>
        </w:rPr>
        <w:t xml:space="preserve">pomieszczenia przeznaczone na stały pobyt ludzi, w których przebywanie tych samych osób w ciągu doby trwa dłużej niż 4 </w:t>
      </w:r>
      <w:r w:rsidR="00FB5458" w:rsidRPr="00410280">
        <w:rPr>
          <w:lang w:eastAsia="pl-PL"/>
        </w:rPr>
        <w:t>godziny</w:t>
      </w:r>
      <w:r w:rsidR="00F23BC5">
        <w:rPr>
          <w:lang w:eastAsia="pl-PL"/>
        </w:rPr>
        <w:t xml:space="preserve"> –</w:t>
      </w:r>
      <w:r w:rsidR="00FB5458" w:rsidRPr="00EE2788">
        <w:rPr>
          <w:lang w:eastAsia="pl-PL"/>
        </w:rPr>
        <w:t xml:space="preserve"> </w:t>
      </w:r>
      <w:r w:rsidRPr="00410280">
        <w:rPr>
          <w:lang w:eastAsia="pl-PL"/>
        </w:rPr>
        <w:t>pomieszczenia kategorii A;</w:t>
      </w:r>
    </w:p>
    <w:p w14:paraId="0B8226A4" w14:textId="77777777" w:rsidR="006003DF" w:rsidRPr="00410280" w:rsidRDefault="006003DF" w:rsidP="00410280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right="6"/>
        <w:jc w:val="both"/>
        <w:rPr>
          <w:lang w:eastAsia="pl-PL"/>
        </w:rPr>
      </w:pPr>
      <w:r w:rsidRPr="00410280">
        <w:rPr>
          <w:lang w:eastAsia="pl-PL"/>
        </w:rPr>
        <w:t>pomieszczenia przeznaczone na czasowy pobyt ludzi, w których przebywanie tych samych osób w ciągu doby trwa do 4 godzin włącznie</w:t>
      </w:r>
      <w:r w:rsidR="00F23BC5">
        <w:rPr>
          <w:lang w:eastAsia="pl-PL"/>
        </w:rPr>
        <w:t xml:space="preserve"> –</w:t>
      </w:r>
      <w:r w:rsidR="00FB5458" w:rsidRPr="00EE2788">
        <w:rPr>
          <w:lang w:eastAsia="pl-PL"/>
        </w:rPr>
        <w:t xml:space="preserve"> </w:t>
      </w:r>
      <w:r w:rsidRPr="00410280">
        <w:rPr>
          <w:lang w:eastAsia="pl-PL"/>
        </w:rPr>
        <w:t>pomieszczenia kategorii B.</w:t>
      </w:r>
    </w:p>
    <w:p w14:paraId="1B110971" w14:textId="254CA8BC" w:rsidR="00452EA8" w:rsidRPr="008E7FF1" w:rsidRDefault="00E076D1" w:rsidP="00C16441">
      <w:pPr>
        <w:shd w:val="clear" w:color="auto" w:fill="FFFFFF"/>
        <w:spacing w:after="0" w:line="360" w:lineRule="auto"/>
        <w:ind w:left="45" w:right="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FF1">
        <w:rPr>
          <w:rFonts w:ascii="Times New Roman" w:hAnsi="Times New Roman"/>
          <w:sz w:val="24"/>
          <w:szCs w:val="24"/>
          <w:lang w:eastAsia="pl-PL"/>
        </w:rPr>
        <w:tab/>
      </w:r>
      <w:r w:rsidR="00452EA8" w:rsidRPr="008E7FF1">
        <w:rPr>
          <w:rFonts w:ascii="Times New Roman" w:hAnsi="Times New Roman"/>
          <w:sz w:val="24"/>
          <w:szCs w:val="24"/>
          <w:lang w:eastAsia="pl-PL"/>
        </w:rPr>
        <w:t xml:space="preserve">Przyjęty w projekcie rozporządzenia podział na pomieszczenia kategorii A i B jest skorelowany z definicją pomieszczeń przeznaczonych na pobyt ludzi wskazaną w </w:t>
      </w:r>
      <w:r w:rsidR="003168B8" w:rsidRPr="008E7FF1">
        <w:rPr>
          <w:rFonts w:ascii="Times New Roman" w:hAnsi="Times New Roman"/>
          <w:sz w:val="24"/>
          <w:szCs w:val="24"/>
          <w:lang w:eastAsia="pl-PL"/>
        </w:rPr>
        <w:t xml:space="preserve">przepisach wydanych na podstawie </w:t>
      </w:r>
      <w:r w:rsidR="00F12EE8" w:rsidRPr="00F23500">
        <w:rPr>
          <w:rFonts w:ascii="Times New Roman" w:hAnsi="Times New Roman"/>
          <w:sz w:val="24"/>
          <w:szCs w:val="24"/>
        </w:rPr>
        <w:t>art. 7 ust. 2 pkt 1</w:t>
      </w:r>
      <w:r w:rsidR="003168B8" w:rsidRPr="00F23500">
        <w:rPr>
          <w:rFonts w:ascii="Times New Roman" w:hAnsi="Times New Roman"/>
          <w:color w:val="000000"/>
          <w:sz w:val="24"/>
          <w:szCs w:val="24"/>
        </w:rPr>
        <w:t xml:space="preserve"> ustawy z dnia 7 lipca 1994 r. </w:t>
      </w:r>
      <w:r w:rsidR="00F12EE8">
        <w:rPr>
          <w:rFonts w:ascii="Times New Roman" w:hAnsi="Times New Roman"/>
          <w:color w:val="000000"/>
          <w:sz w:val="24"/>
          <w:szCs w:val="24"/>
        </w:rPr>
        <w:t>–</w:t>
      </w:r>
      <w:r w:rsidR="003168B8" w:rsidRPr="00F23500">
        <w:rPr>
          <w:rFonts w:ascii="Times New Roman" w:hAnsi="Times New Roman"/>
          <w:color w:val="000000"/>
          <w:sz w:val="24"/>
          <w:szCs w:val="24"/>
        </w:rPr>
        <w:t xml:space="preserve"> Prawo budowlane</w:t>
      </w:r>
      <w:r w:rsidR="00F12EE8">
        <w:rPr>
          <w:rFonts w:ascii="Times New Roman" w:hAnsi="Times New Roman"/>
          <w:color w:val="000000"/>
          <w:sz w:val="24"/>
          <w:szCs w:val="24"/>
        </w:rPr>
        <w:t>, tj.</w:t>
      </w:r>
      <w:r w:rsidR="00574381">
        <w:rPr>
          <w:rFonts w:ascii="Times New Roman" w:hAnsi="Times New Roman"/>
          <w:color w:val="000000"/>
          <w:sz w:val="24"/>
          <w:szCs w:val="24"/>
        </w:rPr>
        <w:t> </w:t>
      </w:r>
      <w:r w:rsidR="00F12EE8">
        <w:rPr>
          <w:rFonts w:ascii="Times New Roman" w:hAnsi="Times New Roman"/>
          <w:color w:val="000000"/>
          <w:sz w:val="24"/>
          <w:szCs w:val="24"/>
        </w:rPr>
        <w:t>w</w:t>
      </w:r>
      <w:r w:rsidR="003168B8" w:rsidRPr="00F23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EA8" w:rsidRPr="008E7FF1">
        <w:rPr>
          <w:rFonts w:ascii="Times New Roman" w:hAnsi="Times New Roman"/>
          <w:sz w:val="24"/>
          <w:szCs w:val="24"/>
          <w:lang w:eastAsia="pl-PL"/>
        </w:rPr>
        <w:t>rozporządzeniu Ministra Infrastruktury z dnia 12 kwietnia 2002 r. w sprawie warunków technicznych, jakim powinny odpowiadać budynki i ich usytuowanie (</w:t>
      </w:r>
      <w:r w:rsidR="00AB5C5F" w:rsidRPr="008E7FF1">
        <w:rPr>
          <w:rFonts w:ascii="Times New Roman" w:hAnsi="Times New Roman"/>
          <w:sz w:val="24"/>
          <w:szCs w:val="24"/>
          <w:lang w:eastAsia="pl-PL"/>
        </w:rPr>
        <w:t>Dz.</w:t>
      </w:r>
      <w:r w:rsidR="003168B8" w:rsidRPr="008E7F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B5C5F" w:rsidRPr="008E7FF1">
        <w:rPr>
          <w:rFonts w:ascii="Times New Roman" w:hAnsi="Times New Roman"/>
          <w:sz w:val="24"/>
          <w:szCs w:val="24"/>
          <w:lang w:eastAsia="pl-PL"/>
        </w:rPr>
        <w:t>U. z 2019 r. poz.</w:t>
      </w:r>
      <w:r w:rsidR="00574381">
        <w:rPr>
          <w:rFonts w:ascii="Times New Roman" w:hAnsi="Times New Roman"/>
          <w:sz w:val="24"/>
          <w:szCs w:val="24"/>
          <w:lang w:eastAsia="pl-PL"/>
        </w:rPr>
        <w:t> </w:t>
      </w:r>
      <w:r w:rsidR="00AB5C5F" w:rsidRPr="008E7FF1">
        <w:rPr>
          <w:rFonts w:ascii="Times New Roman" w:hAnsi="Times New Roman"/>
          <w:sz w:val="24"/>
          <w:szCs w:val="24"/>
          <w:lang w:eastAsia="pl-PL"/>
        </w:rPr>
        <w:t>1065</w:t>
      </w:r>
      <w:r w:rsidR="009B42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F35AE">
        <w:rPr>
          <w:rFonts w:ascii="Times New Roman" w:hAnsi="Times New Roman"/>
          <w:sz w:val="24"/>
          <w:szCs w:val="24"/>
          <w:lang w:eastAsia="pl-PL"/>
        </w:rPr>
        <w:t>oraz</w:t>
      </w:r>
      <w:r w:rsidR="009B4256">
        <w:rPr>
          <w:rFonts w:ascii="Times New Roman" w:hAnsi="Times New Roman"/>
          <w:sz w:val="24"/>
          <w:szCs w:val="24"/>
          <w:lang w:eastAsia="pl-PL"/>
        </w:rPr>
        <w:t xml:space="preserve"> z 2020 r. poz. 1608</w:t>
      </w:r>
      <w:r w:rsidR="00AB5C5F" w:rsidRPr="008E7FF1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14:paraId="77A3FFCD" w14:textId="715B6DE1" w:rsidR="00AB5C5F" w:rsidRPr="008E7FF1" w:rsidRDefault="00AB5C5F" w:rsidP="00C16441">
      <w:pPr>
        <w:shd w:val="clear" w:color="auto" w:fill="FFFFFF"/>
        <w:spacing w:after="0" w:line="360" w:lineRule="auto"/>
        <w:ind w:left="45" w:right="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FF1">
        <w:rPr>
          <w:rFonts w:ascii="Times New Roman" w:hAnsi="Times New Roman"/>
          <w:sz w:val="24"/>
          <w:szCs w:val="24"/>
          <w:lang w:eastAsia="pl-PL"/>
        </w:rPr>
        <w:tab/>
        <w:t>Wprowadzona zmiana pozwala w precyzyjny sposób ustalić</w:t>
      </w:r>
      <w:r w:rsidR="00F12EE8">
        <w:rPr>
          <w:rFonts w:ascii="Times New Roman" w:hAnsi="Times New Roman"/>
          <w:sz w:val="24"/>
          <w:szCs w:val="24"/>
          <w:lang w:eastAsia="pl-PL"/>
        </w:rPr>
        <w:t>,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jakie parametry ma spełniać powietrze </w:t>
      </w:r>
      <w:r w:rsidR="00F753CA" w:rsidRPr="008E7FF1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8E7FF1">
        <w:rPr>
          <w:rFonts w:ascii="Times New Roman" w:hAnsi="Times New Roman"/>
          <w:sz w:val="24"/>
          <w:szCs w:val="24"/>
          <w:lang w:eastAsia="pl-PL"/>
        </w:rPr>
        <w:t>pomieszczeniach przeznaczon</w:t>
      </w:r>
      <w:r w:rsidR="00F12EE8">
        <w:rPr>
          <w:rFonts w:ascii="Times New Roman" w:hAnsi="Times New Roman"/>
          <w:sz w:val="24"/>
          <w:szCs w:val="24"/>
          <w:lang w:eastAsia="pl-PL"/>
        </w:rPr>
        <w:t>ych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na pobyt ludzi</w:t>
      </w:r>
      <w:r w:rsidR="00F12EE8">
        <w:rPr>
          <w:rFonts w:ascii="Times New Roman" w:hAnsi="Times New Roman"/>
          <w:sz w:val="24"/>
          <w:szCs w:val="24"/>
          <w:lang w:eastAsia="pl-PL"/>
        </w:rPr>
        <w:t>,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bez względu </w:t>
      </w:r>
      <w:r w:rsidR="00F12EE8">
        <w:rPr>
          <w:rFonts w:ascii="Times New Roman" w:hAnsi="Times New Roman"/>
          <w:sz w:val="24"/>
          <w:szCs w:val="24"/>
          <w:lang w:eastAsia="pl-PL"/>
        </w:rPr>
        <w:t xml:space="preserve">na to, </w:t>
      </w:r>
      <w:r w:rsidRPr="008E7FF1">
        <w:rPr>
          <w:rFonts w:ascii="Times New Roman" w:hAnsi="Times New Roman"/>
          <w:sz w:val="24"/>
          <w:szCs w:val="24"/>
          <w:lang w:eastAsia="pl-PL"/>
        </w:rPr>
        <w:t>czy jest to</w:t>
      </w:r>
      <w:r w:rsidR="009E3A2B">
        <w:rPr>
          <w:rFonts w:ascii="Times New Roman" w:hAnsi="Times New Roman"/>
          <w:sz w:val="24"/>
          <w:szCs w:val="24"/>
          <w:lang w:eastAsia="pl-PL"/>
        </w:rPr>
        <w:t>,</w:t>
      </w:r>
      <w:r w:rsidR="00C07FF5" w:rsidRPr="008E7FF1">
        <w:rPr>
          <w:rFonts w:ascii="Times New Roman" w:hAnsi="Times New Roman"/>
          <w:sz w:val="24"/>
          <w:szCs w:val="24"/>
          <w:lang w:eastAsia="pl-PL"/>
        </w:rPr>
        <w:t xml:space="preserve"> np.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budynek mieszkalny, </w:t>
      </w:r>
      <w:r w:rsidR="00C07FF5" w:rsidRPr="008E7FF1">
        <w:rPr>
          <w:rFonts w:ascii="Times New Roman" w:hAnsi="Times New Roman"/>
          <w:sz w:val="24"/>
          <w:szCs w:val="24"/>
          <w:lang w:eastAsia="pl-PL"/>
        </w:rPr>
        <w:t xml:space="preserve">budynek </w:t>
      </w:r>
      <w:r w:rsidRPr="008E7FF1">
        <w:rPr>
          <w:rFonts w:ascii="Times New Roman" w:hAnsi="Times New Roman"/>
          <w:sz w:val="24"/>
          <w:szCs w:val="24"/>
          <w:lang w:eastAsia="pl-PL"/>
        </w:rPr>
        <w:t>zamieszkania zbiorowego</w:t>
      </w:r>
      <w:r w:rsidR="009E3A2B">
        <w:rPr>
          <w:rFonts w:ascii="Times New Roman" w:hAnsi="Times New Roman"/>
          <w:sz w:val="24"/>
          <w:szCs w:val="24"/>
          <w:lang w:eastAsia="pl-PL"/>
        </w:rPr>
        <w:t>,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czy </w:t>
      </w:r>
      <w:r w:rsidR="00C07FF5" w:rsidRPr="008E7FF1">
        <w:rPr>
          <w:rFonts w:ascii="Times New Roman" w:hAnsi="Times New Roman"/>
          <w:sz w:val="24"/>
          <w:szCs w:val="24"/>
          <w:lang w:eastAsia="pl-PL"/>
        </w:rPr>
        <w:t xml:space="preserve">budynek </w:t>
      </w:r>
      <w:r w:rsidRPr="008E7FF1">
        <w:rPr>
          <w:rFonts w:ascii="Times New Roman" w:hAnsi="Times New Roman"/>
          <w:sz w:val="24"/>
          <w:szCs w:val="24"/>
          <w:lang w:eastAsia="pl-PL"/>
        </w:rPr>
        <w:t>użyteczności publicznej</w:t>
      </w:r>
      <w:r w:rsidR="00F753CA" w:rsidRPr="008E7FF1">
        <w:rPr>
          <w:rFonts w:ascii="Times New Roman" w:hAnsi="Times New Roman"/>
          <w:sz w:val="24"/>
          <w:szCs w:val="24"/>
          <w:lang w:eastAsia="pl-PL"/>
        </w:rPr>
        <w:t>.</w:t>
      </w:r>
    </w:p>
    <w:p w14:paraId="69994DD0" w14:textId="5916448C" w:rsidR="009E0B71" w:rsidRPr="008E7FF1" w:rsidRDefault="009E0B71" w:rsidP="00C16441">
      <w:pPr>
        <w:shd w:val="clear" w:color="auto" w:fill="FFFFFF"/>
        <w:spacing w:after="0" w:line="360" w:lineRule="auto"/>
        <w:ind w:left="11" w:right="34"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7FF1">
        <w:rPr>
          <w:rFonts w:ascii="Times New Roman" w:hAnsi="Times New Roman"/>
          <w:sz w:val="24"/>
          <w:szCs w:val="24"/>
          <w:lang w:eastAsia="pl-PL"/>
        </w:rPr>
        <w:t>W określaniu dopuszczalnych stężeń dla poszczególnych substancji wykorzystano kryteria zdrowotne zawarte w zaleceniach WHO dla jakości powietrza (</w:t>
      </w:r>
      <w:r w:rsidRPr="00791CAC">
        <w:rPr>
          <w:rFonts w:ascii="Times New Roman" w:hAnsi="Times New Roman"/>
          <w:i/>
          <w:sz w:val="24"/>
          <w:szCs w:val="24"/>
          <w:lang w:eastAsia="pl-PL"/>
        </w:rPr>
        <w:t>Air Quality Guidelines for Europe</w:t>
      </w:r>
      <w:r w:rsidRPr="008E7FF1">
        <w:rPr>
          <w:rFonts w:ascii="Times New Roman" w:hAnsi="Times New Roman"/>
          <w:sz w:val="24"/>
          <w:szCs w:val="24"/>
          <w:lang w:eastAsia="pl-PL"/>
        </w:rPr>
        <w:t>, 2000)</w:t>
      </w:r>
      <w:r w:rsidR="00F12EE8">
        <w:rPr>
          <w:rFonts w:ascii="Times New Roman" w:hAnsi="Times New Roman"/>
          <w:sz w:val="24"/>
          <w:szCs w:val="24"/>
          <w:lang w:eastAsia="pl-PL"/>
        </w:rPr>
        <w:t>.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Dla substancji rakotwórczych zakwalifikowanych przez </w:t>
      </w:r>
      <w:r w:rsidR="002A770D">
        <w:rPr>
          <w:rFonts w:ascii="Times New Roman" w:hAnsi="Times New Roman"/>
          <w:sz w:val="24"/>
          <w:szCs w:val="24"/>
          <w:lang w:eastAsia="pl-PL"/>
        </w:rPr>
        <w:t xml:space="preserve">agencję </w:t>
      </w:r>
      <w:r w:rsidR="002A770D" w:rsidRPr="002A770D">
        <w:rPr>
          <w:rFonts w:ascii="Times New Roman" w:hAnsi="Times New Roman"/>
          <w:sz w:val="24"/>
          <w:szCs w:val="24"/>
          <w:lang w:eastAsia="pl-PL"/>
        </w:rPr>
        <w:t xml:space="preserve">wyspecjalizowaną </w:t>
      </w:r>
      <w:r w:rsidR="002A770D">
        <w:rPr>
          <w:rFonts w:ascii="Times New Roman" w:hAnsi="Times New Roman"/>
          <w:sz w:val="24"/>
          <w:szCs w:val="24"/>
          <w:lang w:eastAsia="pl-PL"/>
        </w:rPr>
        <w:t xml:space="preserve">WHO, tj. </w:t>
      </w:r>
      <w:r w:rsidR="002A770D" w:rsidRPr="002A770D">
        <w:rPr>
          <w:rFonts w:ascii="Times New Roman" w:hAnsi="Times New Roman"/>
          <w:sz w:val="24"/>
          <w:szCs w:val="24"/>
          <w:lang w:eastAsia="pl-PL"/>
        </w:rPr>
        <w:t>Międzynarodową Agencję Badań nad Rakiem (</w:t>
      </w:r>
      <w:r w:rsidR="002A770D" w:rsidRPr="008E7FF1">
        <w:rPr>
          <w:rFonts w:ascii="Times New Roman" w:hAnsi="Times New Roman"/>
          <w:sz w:val="24"/>
          <w:szCs w:val="24"/>
          <w:lang w:eastAsia="pl-PL"/>
        </w:rPr>
        <w:t xml:space="preserve">IARC </w:t>
      </w:r>
      <w:r w:rsidR="002A770D">
        <w:rPr>
          <w:rFonts w:ascii="Times New Roman" w:hAnsi="Times New Roman"/>
          <w:sz w:val="24"/>
          <w:szCs w:val="24"/>
          <w:lang w:eastAsia="pl-PL"/>
        </w:rPr>
        <w:t>–</w:t>
      </w:r>
      <w:r w:rsidR="002A770D" w:rsidRPr="002A77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A770D" w:rsidRPr="002A770D">
        <w:rPr>
          <w:rFonts w:ascii="Times New Roman" w:hAnsi="Times New Roman"/>
          <w:sz w:val="24"/>
          <w:szCs w:val="24"/>
          <w:lang w:eastAsia="pl-PL"/>
        </w:rPr>
        <w:lastRenderedPageBreak/>
        <w:t>International Agency for Research on Cancer</w:t>
      </w:r>
      <w:r w:rsidR="002A770D">
        <w:rPr>
          <w:rFonts w:ascii="Times New Roman" w:hAnsi="Times New Roman"/>
          <w:sz w:val="24"/>
          <w:szCs w:val="24"/>
          <w:lang w:eastAsia="pl-PL"/>
        </w:rPr>
        <w:t>)</w:t>
      </w:r>
      <w:r w:rsidR="002A770D" w:rsidRPr="002A77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do grupy 1 i </w:t>
      </w:r>
      <w:r w:rsidR="00FC0255">
        <w:rPr>
          <w:rFonts w:ascii="Times New Roman" w:hAnsi="Times New Roman"/>
          <w:sz w:val="24"/>
          <w:szCs w:val="24"/>
          <w:lang w:eastAsia="pl-PL"/>
        </w:rPr>
        <w:t>2</w:t>
      </w:r>
      <w:r w:rsidRPr="008E7FF1">
        <w:rPr>
          <w:rFonts w:ascii="Times New Roman" w:hAnsi="Times New Roman"/>
          <w:sz w:val="24"/>
          <w:szCs w:val="24"/>
          <w:lang w:eastAsia="pl-PL"/>
        </w:rPr>
        <w:t xml:space="preserve"> oceniano całościowe ryzyko nowotworowe. </w:t>
      </w:r>
    </w:p>
    <w:p w14:paraId="394B0598" w14:textId="77777777" w:rsidR="00F753CA" w:rsidRPr="008E7FF1" w:rsidRDefault="006401F9" w:rsidP="00C1644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8E7FF1">
        <w:rPr>
          <w:rFonts w:ascii="Times New Roman" w:hAnsi="Times New Roman"/>
          <w:sz w:val="24"/>
          <w:szCs w:val="24"/>
          <w:lang w:eastAsia="pl-PL"/>
        </w:rPr>
        <w:t xml:space="preserve">W projekcie rozporządzenia </w:t>
      </w:r>
      <w:r w:rsidR="00F753CA" w:rsidRPr="008E7FF1">
        <w:rPr>
          <w:rFonts w:ascii="Times New Roman" w:hAnsi="Times New Roman"/>
          <w:sz w:val="24"/>
          <w:szCs w:val="24"/>
          <w:lang w:eastAsia="pl-PL"/>
        </w:rPr>
        <w:t>w</w:t>
      </w:r>
      <w:r w:rsidR="00F753CA" w:rsidRPr="008E7F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stosunku do dopuszczalnych stężeń substancji chemicznych szkodliwych dla zdrowia w powietrzu pomieszczeń kategorii A i B substancji określonych </w:t>
      </w:r>
      <w:r w:rsidR="007F6E7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dotychczas </w:t>
      </w:r>
      <w:r w:rsidR="00F753CA" w:rsidRPr="008E7F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załączniku nr 1 </w:t>
      </w:r>
      <w:r w:rsidR="003168B8" w:rsidRPr="008E7F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="00F753CA" w:rsidRPr="008E7FF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zarządzenia wprowadzono następujące zmiany: </w:t>
      </w:r>
    </w:p>
    <w:p w14:paraId="0E227AAE" w14:textId="77777777" w:rsidR="006B2959" w:rsidRPr="00410280" w:rsidRDefault="00F753CA" w:rsidP="00F23500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 w:rsidRPr="00410280">
        <w:rPr>
          <w:color w:val="000000" w:themeColor="text1"/>
          <w:lang w:eastAsia="pl-PL"/>
        </w:rPr>
        <w:t>u</w:t>
      </w:r>
      <w:r w:rsidR="00AB3311" w:rsidRPr="00410280">
        <w:rPr>
          <w:color w:val="000000" w:themeColor="text1"/>
          <w:lang w:eastAsia="pl-PL"/>
        </w:rPr>
        <w:t>zupełniono dopuszczalne stężania czynników szkodliwych dla zdrowia wydzielanych przez materiały budowlane, urządzenia i elementy wyposażenia w pomieszczeniach przeznaczonych na pobyt ludzi</w:t>
      </w:r>
      <w:r w:rsidR="00201505" w:rsidRPr="00410280">
        <w:rPr>
          <w:color w:val="000000" w:themeColor="text1"/>
          <w:lang w:eastAsia="pl-PL"/>
        </w:rPr>
        <w:t>:</w:t>
      </w:r>
    </w:p>
    <w:p w14:paraId="5BC90C3F" w14:textId="0CD8187B" w:rsidR="00A14E5A" w:rsidRPr="008E7FF1" w:rsidRDefault="007F6E76" w:rsidP="00C16441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a</w:t>
      </w:r>
      <w:r w:rsidR="0029617F" w:rsidRPr="008E7FF1">
        <w:rPr>
          <w:color w:val="000000" w:themeColor="text1"/>
          <w:lang w:eastAsia="pl-PL"/>
        </w:rPr>
        <w:t>lkilobenzeny C9-C12</w:t>
      </w:r>
      <w:r w:rsidR="00A14E5A" w:rsidRPr="008E7FF1">
        <w:rPr>
          <w:color w:val="000000" w:themeColor="text1"/>
          <w:lang w:eastAsia="pl-PL"/>
        </w:rPr>
        <w:t>,</w:t>
      </w:r>
      <w:r w:rsidR="00050BF1" w:rsidRPr="008E7FF1">
        <w:rPr>
          <w:color w:val="000000" w:themeColor="text1"/>
          <w:lang w:eastAsia="pl-PL"/>
        </w:rPr>
        <w:t xml:space="preserve"> </w:t>
      </w:r>
      <w:r w:rsidR="0029617F" w:rsidRPr="008E7FF1">
        <w:rPr>
          <w:color w:val="000000" w:themeColor="text1"/>
          <w:lang w:eastAsia="pl-PL"/>
        </w:rPr>
        <w:t>2-</w:t>
      </w:r>
      <w:r>
        <w:rPr>
          <w:color w:val="000000" w:themeColor="text1"/>
          <w:lang w:eastAsia="pl-PL"/>
        </w:rPr>
        <w:t>e</w:t>
      </w:r>
      <w:r w:rsidR="0029617F" w:rsidRPr="008E7FF1">
        <w:rPr>
          <w:color w:val="000000" w:themeColor="text1"/>
          <w:lang w:eastAsia="pl-PL"/>
        </w:rPr>
        <w:t>tyloheksanol</w:t>
      </w:r>
      <w:r w:rsidR="00A14E5A" w:rsidRPr="008E7FF1">
        <w:rPr>
          <w:color w:val="000000" w:themeColor="text1"/>
          <w:lang w:eastAsia="pl-PL"/>
        </w:rPr>
        <w:t xml:space="preserve">, </w:t>
      </w:r>
      <w:r w:rsidR="005F70A9">
        <w:rPr>
          <w:color w:val="000000" w:themeColor="text1"/>
          <w:lang w:eastAsia="pl-PL"/>
        </w:rPr>
        <w:t>2-</w:t>
      </w:r>
      <w:r>
        <w:rPr>
          <w:color w:val="000000" w:themeColor="text1"/>
          <w:lang w:eastAsia="pl-PL"/>
        </w:rPr>
        <w:t>f</w:t>
      </w:r>
      <w:r w:rsidR="0029617F" w:rsidRPr="008E7FF1">
        <w:rPr>
          <w:color w:val="000000" w:themeColor="text1"/>
          <w:lang w:eastAsia="pl-PL"/>
        </w:rPr>
        <w:t>enoksyetanol</w:t>
      </w:r>
      <w:r w:rsidR="00A14E5A" w:rsidRPr="008E7FF1">
        <w:rPr>
          <w:color w:val="000000" w:themeColor="text1"/>
          <w:lang w:eastAsia="pl-PL"/>
        </w:rPr>
        <w:t>,</w:t>
      </w:r>
      <w:r w:rsidR="0029617F" w:rsidRPr="008E7FF1"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t>f</w:t>
      </w:r>
      <w:r w:rsidR="0029617F" w:rsidRPr="008E7FF1">
        <w:rPr>
          <w:color w:val="000000" w:themeColor="text1"/>
          <w:lang w:eastAsia="pl-PL"/>
        </w:rPr>
        <w:t>urfural</w:t>
      </w:r>
      <w:r w:rsidR="00A14E5A" w:rsidRPr="008E7FF1">
        <w:rPr>
          <w:color w:val="000000" w:themeColor="text1"/>
          <w:lang w:eastAsia="pl-PL"/>
        </w:rPr>
        <w:t xml:space="preserve">, </w:t>
      </w:r>
      <w:r>
        <w:rPr>
          <w:color w:val="000000" w:themeColor="text1"/>
          <w:lang w:eastAsia="pl-PL"/>
        </w:rPr>
        <w:t>k</w:t>
      </w:r>
      <w:r w:rsidR="0029617F" w:rsidRPr="008E7FF1">
        <w:rPr>
          <w:color w:val="000000" w:themeColor="text1"/>
          <w:lang w:eastAsia="pl-PL"/>
        </w:rPr>
        <w:t xml:space="preserve">eton izobutylowo-metylowy </w:t>
      </w:r>
      <w:r w:rsidR="00AA6486">
        <w:rPr>
          <w:color w:val="000000" w:themeColor="text1"/>
          <w:lang w:eastAsia="pl-PL"/>
        </w:rPr>
        <w:t>–</w:t>
      </w:r>
      <w:r w:rsidR="0078229F" w:rsidRPr="008E7FF1">
        <w:rPr>
          <w:color w:val="000000" w:themeColor="text1"/>
          <w:lang w:eastAsia="pl-PL"/>
        </w:rPr>
        <w:t xml:space="preserve"> </w:t>
      </w:r>
      <w:r w:rsidR="006B6038">
        <w:rPr>
          <w:color w:val="000000" w:themeColor="text1"/>
          <w:lang w:eastAsia="pl-PL"/>
        </w:rPr>
        <w:t xml:space="preserve">na podstawie rekomendacji </w:t>
      </w:r>
      <w:r w:rsidR="00A14E5A" w:rsidRPr="008E7FF1">
        <w:rPr>
          <w:color w:val="000000" w:themeColor="text1"/>
          <w:lang w:eastAsia="pl-PL"/>
        </w:rPr>
        <w:t>Instytut</w:t>
      </w:r>
      <w:r w:rsidR="006B6038">
        <w:rPr>
          <w:color w:val="000000" w:themeColor="text1"/>
          <w:lang w:eastAsia="pl-PL"/>
        </w:rPr>
        <w:t>u</w:t>
      </w:r>
      <w:r w:rsidR="00A14E5A" w:rsidRPr="008E7FF1">
        <w:rPr>
          <w:color w:val="000000" w:themeColor="text1"/>
          <w:lang w:eastAsia="pl-PL"/>
        </w:rPr>
        <w:t xml:space="preserve"> Techniki Budowlanej</w:t>
      </w:r>
      <w:r w:rsidR="00045F6A" w:rsidRPr="008E7FF1">
        <w:rPr>
          <w:color w:val="000000" w:themeColor="text1"/>
          <w:lang w:eastAsia="pl-PL"/>
        </w:rPr>
        <w:t xml:space="preserve"> </w:t>
      </w:r>
      <w:r w:rsidR="006B6038">
        <w:rPr>
          <w:color w:val="000000" w:themeColor="text1"/>
          <w:lang w:eastAsia="pl-PL"/>
        </w:rPr>
        <w:t>wskazanej w</w:t>
      </w:r>
      <w:r w:rsidR="00F738A7">
        <w:rPr>
          <w:color w:val="000000" w:themeColor="text1"/>
          <w:lang w:eastAsia="pl-PL"/>
        </w:rPr>
        <w:t> </w:t>
      </w:r>
      <w:r w:rsidR="006B6038">
        <w:rPr>
          <w:color w:val="000000" w:themeColor="text1"/>
          <w:lang w:eastAsia="pl-PL"/>
        </w:rPr>
        <w:t>oparciu o o</w:t>
      </w:r>
      <w:r w:rsidR="00A14E5A" w:rsidRPr="008E7FF1">
        <w:rPr>
          <w:color w:val="000000" w:themeColor="text1"/>
          <w:lang w:eastAsia="pl-PL"/>
        </w:rPr>
        <w:t>bowiązując</w:t>
      </w:r>
      <w:r w:rsidR="006B6038">
        <w:rPr>
          <w:color w:val="000000" w:themeColor="text1"/>
          <w:lang w:eastAsia="pl-PL"/>
        </w:rPr>
        <w:t>e</w:t>
      </w:r>
      <w:r w:rsidR="00A14E5A" w:rsidRPr="008E7FF1">
        <w:rPr>
          <w:color w:val="000000" w:themeColor="text1"/>
          <w:lang w:eastAsia="pl-PL"/>
        </w:rPr>
        <w:t xml:space="preserve"> regulacj</w:t>
      </w:r>
      <w:r w:rsidR="006B6038">
        <w:rPr>
          <w:color w:val="000000" w:themeColor="text1"/>
          <w:lang w:eastAsia="pl-PL"/>
        </w:rPr>
        <w:t xml:space="preserve">e </w:t>
      </w:r>
      <w:r w:rsidR="00A14E5A" w:rsidRPr="008E7FF1">
        <w:rPr>
          <w:color w:val="000000" w:themeColor="text1"/>
          <w:lang w:eastAsia="pl-PL"/>
        </w:rPr>
        <w:t>państw europejskich</w:t>
      </w:r>
      <w:r w:rsidR="00F866F5" w:rsidRPr="008E7FF1">
        <w:rPr>
          <w:color w:val="000000" w:themeColor="text1"/>
          <w:lang w:eastAsia="pl-PL"/>
        </w:rPr>
        <w:t xml:space="preserve"> (</w:t>
      </w:r>
      <w:r w:rsidR="00AA6486" w:rsidRPr="00AA6486">
        <w:rPr>
          <w:color w:val="000000" w:themeColor="text1"/>
          <w:lang w:eastAsia="pl-PL"/>
        </w:rPr>
        <w:t xml:space="preserve">Wielka Brytania </w:t>
      </w:r>
      <w:r w:rsidR="00AA6486">
        <w:rPr>
          <w:color w:val="000000" w:themeColor="text1"/>
          <w:lang w:eastAsia="pl-PL"/>
        </w:rPr>
        <w:t xml:space="preserve">– </w:t>
      </w:r>
      <w:r w:rsidR="006401F9" w:rsidRPr="008E7FF1">
        <w:rPr>
          <w:color w:val="000000" w:themeColor="text1"/>
          <w:lang w:eastAsia="pl-PL"/>
        </w:rPr>
        <w:t>Wytyczne 2019</w:t>
      </w:r>
      <w:r w:rsidR="006F6C32">
        <w:rPr>
          <w:color w:val="000000" w:themeColor="text1"/>
          <w:lang w:eastAsia="pl-PL"/>
        </w:rPr>
        <w:t>:</w:t>
      </w:r>
      <w:r w:rsidR="006401F9" w:rsidRPr="008E7FF1">
        <w:rPr>
          <w:color w:val="000000" w:themeColor="text1"/>
          <w:lang w:eastAsia="pl-PL"/>
        </w:rPr>
        <w:t xml:space="preserve"> Indoor Air Quality Guidelines for selected Volatile Organic Compounds (VOCs) in the UK</w:t>
      </w:r>
      <w:r w:rsidR="00910146">
        <w:rPr>
          <w:color w:val="000000" w:themeColor="text1"/>
          <w:lang w:eastAsia="pl-PL"/>
        </w:rPr>
        <w:t>;</w:t>
      </w:r>
      <w:r w:rsidR="006401F9" w:rsidRPr="008E7FF1">
        <w:rPr>
          <w:color w:val="000000" w:themeColor="text1"/>
          <w:lang w:eastAsia="pl-PL"/>
        </w:rPr>
        <w:t xml:space="preserve"> </w:t>
      </w:r>
      <w:r w:rsidR="00910146">
        <w:rPr>
          <w:color w:val="000000" w:themeColor="text1"/>
          <w:lang w:eastAsia="pl-PL"/>
        </w:rPr>
        <w:t xml:space="preserve">Niemcy – </w:t>
      </w:r>
      <w:r w:rsidR="006401F9" w:rsidRPr="008E7FF1">
        <w:rPr>
          <w:color w:val="000000" w:themeColor="text1"/>
          <w:lang w:eastAsia="pl-PL"/>
        </w:rPr>
        <w:t>Wytyczne Ad-hoc Working Group</w:t>
      </w:r>
      <w:r w:rsidR="00910146">
        <w:rPr>
          <w:color w:val="000000" w:themeColor="text1"/>
          <w:lang w:eastAsia="pl-PL"/>
        </w:rPr>
        <w:t>:</w:t>
      </w:r>
      <w:r w:rsidR="006401F9" w:rsidRPr="008E7FF1">
        <w:rPr>
          <w:color w:val="000000" w:themeColor="text1"/>
          <w:lang w:eastAsia="pl-PL"/>
        </w:rPr>
        <w:t xml:space="preserve"> German Committeeon Indoor Guide Values</w:t>
      </w:r>
      <w:r w:rsidR="00F866F5" w:rsidRPr="008E7FF1">
        <w:rPr>
          <w:color w:val="000000" w:themeColor="text1"/>
          <w:lang w:eastAsia="pl-PL"/>
        </w:rPr>
        <w:t>)</w:t>
      </w:r>
      <w:r w:rsidR="00AF046B">
        <w:rPr>
          <w:color w:val="000000" w:themeColor="text1"/>
          <w:lang w:eastAsia="pl-PL"/>
        </w:rPr>
        <w:t xml:space="preserve"> oraz</w:t>
      </w:r>
      <w:r w:rsidR="00A14E5A" w:rsidRPr="008E7FF1">
        <w:rPr>
          <w:color w:val="000000" w:themeColor="text1"/>
          <w:lang w:eastAsia="pl-PL"/>
        </w:rPr>
        <w:t xml:space="preserve"> zaleceniaWHO</w:t>
      </w:r>
      <w:r w:rsidR="00F866F5" w:rsidRPr="008E7FF1">
        <w:rPr>
          <w:color w:val="000000" w:themeColor="text1"/>
          <w:lang w:eastAsia="pl-PL"/>
        </w:rPr>
        <w:t xml:space="preserve"> </w:t>
      </w:r>
      <w:r w:rsidR="00AA6486">
        <w:rPr>
          <w:color w:val="000000" w:themeColor="text1"/>
          <w:lang w:eastAsia="pl-PL"/>
        </w:rPr>
        <w:t xml:space="preserve">– </w:t>
      </w:r>
      <w:r w:rsidR="00201505" w:rsidRPr="008E7FF1">
        <w:rPr>
          <w:color w:val="000000" w:themeColor="text1"/>
        </w:rPr>
        <w:t xml:space="preserve">WHO </w:t>
      </w:r>
      <w:r w:rsidR="0080599C">
        <w:rPr>
          <w:color w:val="000000" w:themeColor="text1"/>
        </w:rPr>
        <w:t>G</w:t>
      </w:r>
      <w:r w:rsidR="00201505" w:rsidRPr="008E7FF1">
        <w:rPr>
          <w:color w:val="000000" w:themeColor="text1"/>
        </w:rPr>
        <w:t>uidelines for indoor air quality: selected pollutants,</w:t>
      </w:r>
      <w:r w:rsidR="00787E7B" w:rsidRPr="00787E7B">
        <w:rPr>
          <w:color w:val="000000" w:themeColor="text1"/>
          <w:lang w:eastAsia="pl-PL"/>
        </w:rPr>
        <w:t xml:space="preserve"> </w:t>
      </w:r>
      <w:r w:rsidR="00787E7B" w:rsidRPr="008E7FF1">
        <w:rPr>
          <w:color w:val="000000" w:themeColor="text1"/>
          <w:lang w:eastAsia="pl-PL"/>
        </w:rPr>
        <w:t>Kopenhaga</w:t>
      </w:r>
      <w:r w:rsidR="00AA6486">
        <w:rPr>
          <w:color w:val="000000" w:themeColor="text1"/>
        </w:rPr>
        <w:t>, 2010</w:t>
      </w:r>
      <w:r w:rsidR="00AF046B">
        <w:rPr>
          <w:color w:val="000000" w:themeColor="text1"/>
        </w:rPr>
        <w:t>, a</w:t>
      </w:r>
      <w:r w:rsidR="00574381">
        <w:rPr>
          <w:color w:val="000000" w:themeColor="text1"/>
        </w:rPr>
        <w:t> </w:t>
      </w:r>
      <w:r w:rsidR="00AF046B">
        <w:rPr>
          <w:color w:val="000000" w:themeColor="text1"/>
        </w:rPr>
        <w:t xml:space="preserve">także </w:t>
      </w:r>
      <w:r w:rsidR="00A14E5A" w:rsidRPr="008E7FF1">
        <w:rPr>
          <w:color w:val="000000" w:themeColor="text1"/>
          <w:lang w:eastAsia="pl-PL"/>
        </w:rPr>
        <w:t>wieloletniego doświadczenia w zakresie opinii i</w:t>
      </w:r>
      <w:r w:rsidR="00F738A7">
        <w:rPr>
          <w:color w:val="000000" w:themeColor="text1"/>
          <w:lang w:eastAsia="pl-PL"/>
        </w:rPr>
        <w:t> </w:t>
      </w:r>
      <w:r w:rsidR="00A14E5A" w:rsidRPr="008E7FF1">
        <w:rPr>
          <w:color w:val="000000" w:themeColor="text1"/>
          <w:lang w:eastAsia="pl-PL"/>
        </w:rPr>
        <w:t>ekspertyz dotyczący</w:t>
      </w:r>
      <w:r w:rsidR="00F753CA" w:rsidRPr="008E7FF1">
        <w:rPr>
          <w:color w:val="000000" w:themeColor="text1"/>
          <w:lang w:eastAsia="pl-PL"/>
        </w:rPr>
        <w:t>ch badań powietrza wewnętrznego,</w:t>
      </w:r>
    </w:p>
    <w:p w14:paraId="4AE7BF14" w14:textId="77777777" w:rsidR="00045F6A" w:rsidRPr="008E7FF1" w:rsidRDefault="007F6E76" w:rsidP="006B6038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a</w:t>
      </w:r>
      <w:r w:rsidR="00045F6A" w:rsidRPr="008E7FF1">
        <w:rPr>
          <w:color w:val="000000" w:themeColor="text1"/>
          <w:lang w:eastAsia="pl-PL"/>
        </w:rPr>
        <w:t xml:space="preserve">lkohol benzylowy, </w:t>
      </w:r>
      <w:r>
        <w:rPr>
          <w:color w:val="000000" w:themeColor="text1"/>
          <w:lang w:eastAsia="pl-PL"/>
        </w:rPr>
        <w:t>a</w:t>
      </w:r>
      <w:r w:rsidR="00045F6A" w:rsidRPr="008E7FF1">
        <w:rPr>
          <w:color w:val="000000" w:themeColor="text1"/>
          <w:lang w:eastAsia="pl-PL"/>
        </w:rPr>
        <w:t xml:space="preserve">cetaldehyd </w:t>
      </w:r>
      <w:r w:rsidR="00AF046B">
        <w:rPr>
          <w:color w:val="000000" w:themeColor="text1"/>
          <w:lang w:eastAsia="pl-PL"/>
        </w:rPr>
        <w:t>–</w:t>
      </w:r>
      <w:r w:rsidR="00045F6A" w:rsidRPr="008E7FF1">
        <w:rPr>
          <w:color w:val="000000" w:themeColor="text1"/>
          <w:lang w:eastAsia="pl-PL"/>
        </w:rPr>
        <w:t xml:space="preserve"> </w:t>
      </w:r>
      <w:r w:rsidR="006B6038">
        <w:rPr>
          <w:color w:val="000000" w:themeColor="text1"/>
          <w:lang w:eastAsia="pl-PL"/>
        </w:rPr>
        <w:t xml:space="preserve">w oparciu o stanowisko </w:t>
      </w:r>
      <w:r w:rsidR="00045F6A" w:rsidRPr="008E7FF1">
        <w:rPr>
          <w:color w:val="000000" w:themeColor="text1"/>
          <w:lang w:eastAsia="pl-PL"/>
        </w:rPr>
        <w:t>Instytut</w:t>
      </w:r>
      <w:r w:rsidR="006B6038">
        <w:rPr>
          <w:color w:val="000000" w:themeColor="text1"/>
          <w:lang w:eastAsia="pl-PL"/>
        </w:rPr>
        <w:t>u</w:t>
      </w:r>
      <w:r w:rsidR="00045F6A" w:rsidRPr="008E7FF1">
        <w:rPr>
          <w:color w:val="000000" w:themeColor="text1"/>
          <w:lang w:eastAsia="pl-PL"/>
        </w:rPr>
        <w:t xml:space="preserve"> Techniki Budowlanej</w:t>
      </w:r>
      <w:r w:rsidR="006B6038">
        <w:rPr>
          <w:color w:val="000000" w:themeColor="text1"/>
          <w:lang w:eastAsia="pl-PL"/>
        </w:rPr>
        <w:t xml:space="preserve"> wskazane </w:t>
      </w:r>
      <w:r w:rsidR="00F866F5" w:rsidRPr="008E7FF1">
        <w:rPr>
          <w:color w:val="000000" w:themeColor="text1"/>
          <w:lang w:eastAsia="pl-PL"/>
        </w:rPr>
        <w:t xml:space="preserve">na podstawie </w:t>
      </w:r>
      <w:r w:rsidR="00D2035B">
        <w:rPr>
          <w:color w:val="000000" w:themeColor="text1"/>
          <w:lang w:eastAsia="pl-PL"/>
        </w:rPr>
        <w:t xml:space="preserve">rekomendacji </w:t>
      </w:r>
      <w:r w:rsidR="00F866F5" w:rsidRPr="00AF046B">
        <w:rPr>
          <w:color w:val="000000" w:themeColor="text1"/>
          <w:lang w:eastAsia="pl-PL"/>
        </w:rPr>
        <w:t>WHO</w:t>
      </w:r>
      <w:r w:rsidR="00AF046B" w:rsidRPr="00AF046B">
        <w:rPr>
          <w:color w:val="000000" w:themeColor="text1"/>
          <w:lang w:eastAsia="pl-PL"/>
        </w:rPr>
        <w:t>,</w:t>
      </w:r>
      <w:r w:rsidR="00AF046B" w:rsidRPr="00410280">
        <w:rPr>
          <w:color w:val="000000" w:themeColor="text1"/>
          <w:sz w:val="22"/>
          <w:szCs w:val="22"/>
          <w:lang w:eastAsia="en-US"/>
        </w:rPr>
        <w:t xml:space="preserve"> a </w:t>
      </w:r>
      <w:r w:rsidR="00AF046B" w:rsidRPr="00AF046B">
        <w:rPr>
          <w:color w:val="000000" w:themeColor="text1"/>
          <w:lang w:eastAsia="pl-PL"/>
        </w:rPr>
        <w:t>także na podstawie</w:t>
      </w:r>
      <w:r w:rsidR="00F866F5" w:rsidRPr="008E7FF1">
        <w:rPr>
          <w:color w:val="000000" w:themeColor="text1"/>
          <w:lang w:eastAsia="pl-PL"/>
        </w:rPr>
        <w:t xml:space="preserve"> wieloletniego doświadczenia w zakresie opinii i</w:t>
      </w:r>
      <w:r w:rsidR="00E076D1" w:rsidRPr="008E7FF1">
        <w:rPr>
          <w:color w:val="000000" w:themeColor="text1"/>
          <w:lang w:eastAsia="pl-PL"/>
        </w:rPr>
        <w:t xml:space="preserve"> </w:t>
      </w:r>
      <w:r w:rsidR="00D52BB8" w:rsidRPr="008E7FF1">
        <w:rPr>
          <w:color w:val="000000" w:themeColor="text1"/>
          <w:lang w:eastAsia="pl-PL"/>
        </w:rPr>
        <w:t>e</w:t>
      </w:r>
      <w:r w:rsidR="00F866F5" w:rsidRPr="008E7FF1">
        <w:rPr>
          <w:color w:val="000000" w:themeColor="text1"/>
          <w:lang w:eastAsia="pl-PL"/>
        </w:rPr>
        <w:t xml:space="preserve">kspertyz dotyczących badań powietrza wewnętrznego </w:t>
      </w:r>
      <w:r w:rsidR="00045F6A" w:rsidRPr="008E7FF1">
        <w:rPr>
          <w:color w:val="000000" w:themeColor="text1"/>
          <w:lang w:eastAsia="pl-PL"/>
        </w:rPr>
        <w:t>oraz</w:t>
      </w:r>
      <w:r w:rsidR="006B6038">
        <w:rPr>
          <w:color w:val="000000" w:themeColor="text1"/>
          <w:lang w:eastAsia="pl-PL"/>
        </w:rPr>
        <w:t xml:space="preserve"> stanowisko</w:t>
      </w:r>
      <w:r w:rsidR="00AF046B">
        <w:rPr>
          <w:color w:val="000000" w:themeColor="text1"/>
          <w:lang w:eastAsia="pl-PL"/>
        </w:rPr>
        <w:t xml:space="preserve"> </w:t>
      </w:r>
      <w:r w:rsidR="00045F6A" w:rsidRPr="008E7FF1">
        <w:rPr>
          <w:color w:val="000000" w:themeColor="text1"/>
          <w:lang w:eastAsia="pl-PL"/>
        </w:rPr>
        <w:t>Narodow</w:t>
      </w:r>
      <w:r w:rsidR="006B6038">
        <w:rPr>
          <w:color w:val="000000" w:themeColor="text1"/>
          <w:lang w:eastAsia="pl-PL"/>
        </w:rPr>
        <w:t>ego</w:t>
      </w:r>
      <w:r w:rsidR="00045F6A" w:rsidRPr="008E7FF1">
        <w:rPr>
          <w:color w:val="000000" w:themeColor="text1"/>
          <w:lang w:eastAsia="pl-PL"/>
        </w:rPr>
        <w:t xml:space="preserve"> Instytut</w:t>
      </w:r>
      <w:r w:rsidR="006B6038">
        <w:rPr>
          <w:color w:val="000000" w:themeColor="text1"/>
          <w:lang w:eastAsia="pl-PL"/>
        </w:rPr>
        <w:t>u</w:t>
      </w:r>
      <w:r w:rsidR="00045F6A" w:rsidRPr="008E7FF1">
        <w:rPr>
          <w:color w:val="000000" w:themeColor="text1"/>
          <w:lang w:eastAsia="pl-PL"/>
        </w:rPr>
        <w:t xml:space="preserve"> Zdrowia Publicznego </w:t>
      </w:r>
      <w:r w:rsidR="00AF046B">
        <w:rPr>
          <w:color w:val="000000" w:themeColor="text1"/>
          <w:lang w:eastAsia="pl-PL"/>
        </w:rPr>
        <w:t>–</w:t>
      </w:r>
      <w:r w:rsidR="00045F6A" w:rsidRPr="008E7FF1">
        <w:rPr>
          <w:color w:val="000000" w:themeColor="text1"/>
          <w:lang w:eastAsia="pl-PL"/>
        </w:rPr>
        <w:t xml:space="preserve"> Państwow</w:t>
      </w:r>
      <w:r w:rsidR="006B6038">
        <w:rPr>
          <w:color w:val="000000" w:themeColor="text1"/>
          <w:lang w:eastAsia="pl-PL"/>
        </w:rPr>
        <w:t>ego</w:t>
      </w:r>
      <w:r w:rsidR="00045F6A" w:rsidRPr="008E7FF1">
        <w:rPr>
          <w:color w:val="000000" w:themeColor="text1"/>
          <w:lang w:eastAsia="pl-PL"/>
        </w:rPr>
        <w:t xml:space="preserve"> Zakład</w:t>
      </w:r>
      <w:r w:rsidR="006B6038">
        <w:rPr>
          <w:color w:val="000000" w:themeColor="text1"/>
          <w:lang w:eastAsia="pl-PL"/>
        </w:rPr>
        <w:t>u</w:t>
      </w:r>
      <w:r w:rsidR="00045F6A" w:rsidRPr="008E7FF1">
        <w:rPr>
          <w:color w:val="000000" w:themeColor="text1"/>
          <w:lang w:eastAsia="pl-PL"/>
        </w:rPr>
        <w:t xml:space="preserve"> Higieny</w:t>
      </w:r>
      <w:r w:rsidR="00F753CA" w:rsidRPr="008E7FF1">
        <w:rPr>
          <w:color w:val="000000" w:themeColor="text1"/>
          <w:lang w:eastAsia="pl-PL"/>
        </w:rPr>
        <w:t>,</w:t>
      </w:r>
    </w:p>
    <w:p w14:paraId="379A3536" w14:textId="77777777" w:rsidR="00A631B4" w:rsidRPr="008E7FF1" w:rsidRDefault="007F6E76" w:rsidP="00C16441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t</w:t>
      </w:r>
      <w:r w:rsidR="00A631B4" w:rsidRPr="008E7FF1">
        <w:rPr>
          <w:color w:val="000000" w:themeColor="text1"/>
          <w:lang w:eastAsia="pl-PL"/>
        </w:rPr>
        <w:t xml:space="preserve">etrachloroetylen </w:t>
      </w:r>
      <w:r w:rsidR="00AF046B">
        <w:rPr>
          <w:color w:val="000000" w:themeColor="text1"/>
          <w:lang w:eastAsia="pl-PL"/>
        </w:rPr>
        <w:t>–</w:t>
      </w:r>
      <w:r w:rsidR="00A631B4" w:rsidRPr="008E7FF1">
        <w:rPr>
          <w:color w:val="000000" w:themeColor="text1"/>
          <w:lang w:eastAsia="pl-PL"/>
        </w:rPr>
        <w:t xml:space="preserve"> substancja powoduj</w:t>
      </w:r>
      <w:r w:rsidR="006B6038">
        <w:rPr>
          <w:color w:val="000000" w:themeColor="text1"/>
          <w:lang w:eastAsia="pl-PL"/>
        </w:rPr>
        <w:t>ąca</w:t>
      </w:r>
      <w:r w:rsidR="00A631B4" w:rsidRPr="008E7FF1">
        <w:rPr>
          <w:color w:val="000000" w:themeColor="text1"/>
          <w:lang w:eastAsia="pl-PL"/>
        </w:rPr>
        <w:t xml:space="preserve"> znaczące zanieczyszczenie powietrza w</w:t>
      </w:r>
      <w:r w:rsidR="00E076D1" w:rsidRPr="008E7FF1">
        <w:rPr>
          <w:color w:val="000000" w:themeColor="text1"/>
          <w:lang w:eastAsia="pl-PL"/>
        </w:rPr>
        <w:t> </w:t>
      </w:r>
      <w:r w:rsidR="00A631B4" w:rsidRPr="008E7FF1">
        <w:rPr>
          <w:color w:val="000000" w:themeColor="text1"/>
          <w:lang w:eastAsia="pl-PL"/>
        </w:rPr>
        <w:t>pomieszczeniach mieszkalnych w budynkach, w których mieszczą się pralnie chemiczne, także te pracujące w systemie zamkniętym (nie jest on hermetyczny, poza tym wymaga napełniania, wymiany środka czyszczącego, okresowego czyszczenia instalacji, itd.).</w:t>
      </w:r>
      <w:r w:rsidR="00AE5ED8">
        <w:rPr>
          <w:color w:val="000000" w:themeColor="text1"/>
          <w:lang w:eastAsia="pl-PL"/>
        </w:rPr>
        <w:t xml:space="preserve"> </w:t>
      </w:r>
      <w:r w:rsidR="00A631B4" w:rsidRPr="008E7FF1">
        <w:rPr>
          <w:color w:val="000000" w:themeColor="text1"/>
          <w:lang w:eastAsia="pl-PL"/>
        </w:rPr>
        <w:t>Tetrachloroet</w:t>
      </w:r>
      <w:r w:rsidR="008E68C2">
        <w:rPr>
          <w:color w:val="000000" w:themeColor="text1"/>
          <w:lang w:eastAsia="pl-PL"/>
        </w:rPr>
        <w:t>ylen</w:t>
      </w:r>
      <w:r w:rsidR="00A631B4" w:rsidRPr="008E7FF1">
        <w:rPr>
          <w:color w:val="000000" w:themeColor="text1"/>
          <w:lang w:eastAsia="pl-PL"/>
        </w:rPr>
        <w:t xml:space="preserve"> jest neurotoksyczny, u dzieci już w stężeniu 30 µg/m</w:t>
      </w:r>
      <w:r w:rsidR="00A631B4" w:rsidRPr="008E7FF1">
        <w:rPr>
          <w:color w:val="000000" w:themeColor="text1"/>
          <w:vertAlign w:val="superscript"/>
          <w:lang w:eastAsia="pl-PL"/>
        </w:rPr>
        <w:t>3</w:t>
      </w:r>
      <w:r w:rsidR="00A631B4" w:rsidRPr="008E7FF1">
        <w:rPr>
          <w:color w:val="000000" w:themeColor="text1"/>
          <w:lang w:eastAsia="pl-PL"/>
        </w:rPr>
        <w:t xml:space="preserve"> powoduje podwyższenie progu występowania tzw. wzrokowych potencjałów wywołanych (zmiana uchwytna wyłącznie w badaniach). Brak </w:t>
      </w:r>
      <w:r w:rsidR="00937CC1">
        <w:rPr>
          <w:color w:val="000000" w:themeColor="text1"/>
          <w:lang w:eastAsia="pl-PL"/>
        </w:rPr>
        <w:t>regulacji stwarza zagrożenie i brak możliwości reakcji</w:t>
      </w:r>
      <w:r w:rsidR="00A631B4" w:rsidRPr="008E7FF1">
        <w:rPr>
          <w:color w:val="000000" w:themeColor="text1"/>
          <w:lang w:eastAsia="pl-PL"/>
        </w:rPr>
        <w:t xml:space="preserve"> organ</w:t>
      </w:r>
      <w:r w:rsidR="006B6038">
        <w:rPr>
          <w:color w:val="000000" w:themeColor="text1"/>
          <w:lang w:eastAsia="pl-PL"/>
        </w:rPr>
        <w:t>ów</w:t>
      </w:r>
      <w:r w:rsidR="00A631B4" w:rsidRPr="008E7FF1">
        <w:rPr>
          <w:color w:val="000000" w:themeColor="text1"/>
          <w:lang w:eastAsia="pl-PL"/>
        </w:rPr>
        <w:t xml:space="preserve"> </w:t>
      </w:r>
      <w:r w:rsidR="00AF046B">
        <w:rPr>
          <w:color w:val="000000" w:themeColor="text1"/>
          <w:lang w:eastAsia="pl-PL"/>
        </w:rPr>
        <w:t xml:space="preserve">Państwowej </w:t>
      </w:r>
      <w:r w:rsidR="00A631B4" w:rsidRPr="008E7FF1">
        <w:rPr>
          <w:color w:val="000000" w:themeColor="text1"/>
          <w:lang w:eastAsia="pl-PL"/>
        </w:rPr>
        <w:t>Inspekcji Sanitarnej w</w:t>
      </w:r>
      <w:r w:rsidR="00574381">
        <w:rPr>
          <w:color w:val="000000" w:themeColor="text1"/>
          <w:lang w:eastAsia="pl-PL"/>
        </w:rPr>
        <w:t> </w:t>
      </w:r>
      <w:r w:rsidR="00A631B4" w:rsidRPr="008E7FF1">
        <w:rPr>
          <w:color w:val="000000" w:themeColor="text1"/>
          <w:lang w:eastAsia="pl-PL"/>
        </w:rPr>
        <w:t>przypadkach bardzo wysokich stężeń tetrachloroet</w:t>
      </w:r>
      <w:r w:rsidR="008E68C2">
        <w:rPr>
          <w:color w:val="000000" w:themeColor="text1"/>
          <w:lang w:eastAsia="pl-PL"/>
        </w:rPr>
        <w:t>ylen</w:t>
      </w:r>
      <w:r w:rsidR="00685A1C">
        <w:rPr>
          <w:color w:val="000000" w:themeColor="text1"/>
          <w:lang w:eastAsia="pl-PL"/>
        </w:rPr>
        <w:t>u</w:t>
      </w:r>
      <w:r w:rsidR="00A631B4" w:rsidRPr="008E7FF1">
        <w:rPr>
          <w:color w:val="000000" w:themeColor="text1"/>
          <w:lang w:eastAsia="pl-PL"/>
        </w:rPr>
        <w:t xml:space="preserve"> w</w:t>
      </w:r>
      <w:r w:rsidR="00E076D1" w:rsidRPr="008E7FF1">
        <w:rPr>
          <w:color w:val="000000" w:themeColor="text1"/>
          <w:lang w:eastAsia="pl-PL"/>
        </w:rPr>
        <w:t> </w:t>
      </w:r>
      <w:r w:rsidR="00A631B4" w:rsidRPr="008E7FF1">
        <w:rPr>
          <w:color w:val="000000" w:themeColor="text1"/>
          <w:lang w:eastAsia="pl-PL"/>
        </w:rPr>
        <w:t>powietrzu pomieszczeń</w:t>
      </w:r>
      <w:r w:rsidR="00814135">
        <w:rPr>
          <w:color w:val="000000" w:themeColor="text1"/>
          <w:lang w:eastAsia="pl-PL"/>
        </w:rPr>
        <w:t xml:space="preserve"> kategorii A</w:t>
      </w:r>
      <w:r w:rsidR="00A631B4" w:rsidRPr="008E7FF1">
        <w:rPr>
          <w:color w:val="000000" w:themeColor="text1"/>
          <w:lang w:eastAsia="pl-PL"/>
        </w:rPr>
        <w:t>, przekraczających nawet 5000 µg/m</w:t>
      </w:r>
      <w:r w:rsidR="00A631B4" w:rsidRPr="00DC5458">
        <w:rPr>
          <w:color w:val="000000" w:themeColor="text1"/>
          <w:vertAlign w:val="superscript"/>
          <w:lang w:eastAsia="pl-PL"/>
        </w:rPr>
        <w:t>3</w:t>
      </w:r>
      <w:r w:rsidR="00A631B4" w:rsidRPr="008E7FF1">
        <w:rPr>
          <w:color w:val="000000" w:themeColor="text1"/>
          <w:lang w:eastAsia="pl-PL"/>
        </w:rPr>
        <w:t>, które poza uciążliwością zapachową w</w:t>
      </w:r>
      <w:r w:rsidR="00574381">
        <w:rPr>
          <w:color w:val="000000" w:themeColor="text1"/>
          <w:lang w:eastAsia="pl-PL"/>
        </w:rPr>
        <w:t> </w:t>
      </w:r>
      <w:r w:rsidR="00A631B4" w:rsidRPr="008E7FF1">
        <w:rPr>
          <w:color w:val="000000" w:themeColor="text1"/>
          <w:lang w:eastAsia="pl-PL"/>
        </w:rPr>
        <w:t>warunkach długotrwałej lub powtarzającej się ekspozycji wiąż</w:t>
      </w:r>
      <w:r w:rsidR="00AF046B">
        <w:rPr>
          <w:color w:val="000000" w:themeColor="text1"/>
          <w:lang w:eastAsia="pl-PL"/>
        </w:rPr>
        <w:t>ą</w:t>
      </w:r>
      <w:r w:rsidR="00A631B4" w:rsidRPr="008E7FF1">
        <w:rPr>
          <w:color w:val="000000" w:themeColor="text1"/>
          <w:lang w:eastAsia="pl-PL"/>
        </w:rPr>
        <w:t xml:space="preserve"> się z istotnym ryzykiem dla zdrowia, zwłaszcza dzieci. Proponowana wartość najwyższego dopuszczalnego stężenia </w:t>
      </w:r>
      <w:r w:rsidR="00AF046B">
        <w:rPr>
          <w:color w:val="000000" w:themeColor="text1"/>
          <w:lang w:eastAsia="pl-PL"/>
        </w:rPr>
        <w:t>–</w:t>
      </w:r>
      <w:r w:rsidR="00A631B4" w:rsidRPr="008E7FF1">
        <w:rPr>
          <w:color w:val="000000" w:themeColor="text1"/>
          <w:lang w:eastAsia="pl-PL"/>
        </w:rPr>
        <w:t xml:space="preserve"> </w:t>
      </w:r>
      <w:r w:rsidR="00410280">
        <w:rPr>
          <w:color w:val="000000" w:themeColor="text1"/>
          <w:lang w:eastAsia="pl-PL"/>
        </w:rPr>
        <w:t>100</w:t>
      </w:r>
      <w:r w:rsidR="00410280" w:rsidRPr="008E7FF1">
        <w:rPr>
          <w:color w:val="000000" w:themeColor="text1"/>
          <w:lang w:eastAsia="pl-PL"/>
        </w:rPr>
        <w:t xml:space="preserve"> </w:t>
      </w:r>
      <w:r w:rsidR="00A631B4" w:rsidRPr="008E7FF1">
        <w:rPr>
          <w:color w:val="000000" w:themeColor="text1"/>
          <w:lang w:eastAsia="pl-PL"/>
        </w:rPr>
        <w:t>µg/m</w:t>
      </w:r>
      <w:r w:rsidR="00A631B4" w:rsidRPr="008E7FF1">
        <w:rPr>
          <w:color w:val="000000" w:themeColor="text1"/>
          <w:vertAlign w:val="superscript"/>
          <w:lang w:eastAsia="pl-PL"/>
        </w:rPr>
        <w:t>3</w:t>
      </w:r>
      <w:r w:rsidR="00F753CA" w:rsidRPr="008E7FF1">
        <w:rPr>
          <w:color w:val="000000" w:themeColor="text1"/>
          <w:lang w:eastAsia="pl-PL"/>
        </w:rPr>
        <w:t>,</w:t>
      </w:r>
    </w:p>
    <w:p w14:paraId="31F83561" w14:textId="12D44025" w:rsidR="008E0959" w:rsidRPr="00FC0255" w:rsidRDefault="007F6E76" w:rsidP="006D2F13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lang w:val="en-US" w:eastAsia="pl-PL"/>
        </w:rPr>
      </w:pPr>
      <w:r w:rsidRPr="006D2F13">
        <w:rPr>
          <w:color w:val="000000" w:themeColor="text1"/>
          <w:lang w:eastAsia="pl-PL"/>
        </w:rPr>
        <w:lastRenderedPageBreak/>
        <w:t>d</w:t>
      </w:r>
      <w:r w:rsidR="0078229F" w:rsidRPr="006D2F13">
        <w:rPr>
          <w:color w:val="000000" w:themeColor="text1"/>
          <w:lang w:eastAsia="pl-PL"/>
        </w:rPr>
        <w:t>ichlorometan</w:t>
      </w:r>
      <w:r w:rsidR="00AF046B" w:rsidRPr="006D2F13">
        <w:rPr>
          <w:color w:val="000000" w:themeColor="text1"/>
          <w:lang w:eastAsia="pl-PL"/>
        </w:rPr>
        <w:t>,</w:t>
      </w:r>
      <w:r w:rsidR="0078229F" w:rsidRPr="00262F0C">
        <w:rPr>
          <w:color w:val="000000" w:themeColor="text1"/>
          <w:lang w:eastAsia="pl-PL"/>
        </w:rPr>
        <w:t xml:space="preserve"> </w:t>
      </w:r>
      <w:r w:rsidRPr="00D0142B">
        <w:rPr>
          <w:color w:val="000000" w:themeColor="text1"/>
          <w:lang w:eastAsia="pl-PL"/>
        </w:rPr>
        <w:t>t</w:t>
      </w:r>
      <w:r w:rsidR="0078229F" w:rsidRPr="00D0142B">
        <w:rPr>
          <w:color w:val="000000" w:themeColor="text1"/>
          <w:lang w:eastAsia="pl-PL"/>
        </w:rPr>
        <w:t>erpeny dwupierścieniowe (</w:t>
      </w:r>
      <w:r w:rsidR="0078229F" w:rsidRPr="00D0142B">
        <w:rPr>
          <w:color w:val="000000" w:themeColor="text1"/>
          <w:lang w:eastAsia="pl-PL" w:bidi="pl-PL"/>
        </w:rPr>
        <w:t>lub α-pinen)</w:t>
      </w:r>
      <w:r w:rsidR="00567D6C" w:rsidRPr="002D752D">
        <w:rPr>
          <w:color w:val="000000" w:themeColor="text1"/>
          <w:lang w:eastAsia="pl-PL" w:bidi="pl-PL"/>
        </w:rPr>
        <w:t xml:space="preserve"> </w:t>
      </w:r>
      <w:r w:rsidR="00AF046B" w:rsidRPr="002D752D">
        <w:rPr>
          <w:color w:val="000000" w:themeColor="text1"/>
          <w:lang w:eastAsia="pl-PL" w:bidi="pl-PL"/>
        </w:rPr>
        <w:t>–</w:t>
      </w:r>
      <w:r w:rsidR="00567D6C" w:rsidRPr="002D752D">
        <w:rPr>
          <w:color w:val="000000" w:themeColor="text1"/>
          <w:lang w:eastAsia="pl-PL" w:bidi="pl-PL"/>
        </w:rPr>
        <w:t xml:space="preserve"> </w:t>
      </w:r>
      <w:r w:rsidR="006B6038" w:rsidRPr="002D752D">
        <w:rPr>
          <w:color w:val="000000" w:themeColor="text1"/>
          <w:lang w:eastAsia="pl-PL" w:bidi="pl-PL"/>
        </w:rPr>
        <w:t xml:space="preserve">na podstawie rekomendacji </w:t>
      </w:r>
      <w:r w:rsidR="00567D6C" w:rsidRPr="002D752D">
        <w:rPr>
          <w:color w:val="000000" w:themeColor="text1"/>
          <w:lang w:eastAsia="pl-PL" w:bidi="pl-PL"/>
        </w:rPr>
        <w:t>Narodow</w:t>
      </w:r>
      <w:r w:rsidR="006B6038" w:rsidRPr="002D752D">
        <w:rPr>
          <w:color w:val="000000" w:themeColor="text1"/>
          <w:lang w:eastAsia="pl-PL" w:bidi="pl-PL"/>
        </w:rPr>
        <w:t xml:space="preserve">ego </w:t>
      </w:r>
      <w:r w:rsidR="00567D6C" w:rsidRPr="002D752D">
        <w:rPr>
          <w:color w:val="000000" w:themeColor="text1"/>
          <w:lang w:eastAsia="pl-PL" w:bidi="pl-PL"/>
        </w:rPr>
        <w:t>Instytut</w:t>
      </w:r>
      <w:r w:rsidR="006B6038" w:rsidRPr="002D752D">
        <w:rPr>
          <w:color w:val="000000" w:themeColor="text1"/>
          <w:lang w:eastAsia="pl-PL" w:bidi="pl-PL"/>
        </w:rPr>
        <w:t>u</w:t>
      </w:r>
      <w:r w:rsidR="00567D6C" w:rsidRPr="002D752D">
        <w:rPr>
          <w:color w:val="000000" w:themeColor="text1"/>
          <w:lang w:eastAsia="pl-PL" w:bidi="pl-PL"/>
        </w:rPr>
        <w:t xml:space="preserve"> Zdrowia Publicznego </w:t>
      </w:r>
      <w:r w:rsidR="00AF046B" w:rsidRPr="002D752D">
        <w:rPr>
          <w:color w:val="000000" w:themeColor="text1"/>
          <w:lang w:eastAsia="pl-PL" w:bidi="pl-PL"/>
        </w:rPr>
        <w:t>–</w:t>
      </w:r>
      <w:r w:rsidR="006B6038" w:rsidRPr="002D752D">
        <w:rPr>
          <w:color w:val="000000" w:themeColor="text1"/>
          <w:lang w:eastAsia="pl-PL" w:bidi="pl-PL"/>
        </w:rPr>
        <w:t xml:space="preserve"> Państwowego</w:t>
      </w:r>
      <w:r w:rsidR="00567D6C" w:rsidRPr="002D752D">
        <w:rPr>
          <w:color w:val="000000" w:themeColor="text1"/>
          <w:lang w:eastAsia="pl-PL" w:bidi="pl-PL"/>
        </w:rPr>
        <w:t xml:space="preserve"> Zakład</w:t>
      </w:r>
      <w:r w:rsidR="006B6038" w:rsidRPr="002D752D">
        <w:rPr>
          <w:color w:val="000000" w:themeColor="text1"/>
          <w:lang w:eastAsia="pl-PL" w:bidi="pl-PL"/>
        </w:rPr>
        <w:t>u</w:t>
      </w:r>
      <w:r w:rsidR="00567D6C" w:rsidRPr="002D752D">
        <w:rPr>
          <w:color w:val="000000" w:themeColor="text1"/>
          <w:lang w:eastAsia="pl-PL" w:bidi="pl-PL"/>
        </w:rPr>
        <w:t xml:space="preserve"> Higieny</w:t>
      </w:r>
      <w:r w:rsidR="006B14C6" w:rsidRPr="002D752D">
        <w:rPr>
          <w:color w:val="000000" w:themeColor="text1"/>
          <w:lang w:eastAsia="pl-PL" w:bidi="pl-PL"/>
        </w:rPr>
        <w:t xml:space="preserve">. </w:t>
      </w:r>
      <w:r w:rsidR="006B14C6" w:rsidRPr="004C6410">
        <w:t>Głównymi skutkami działania dichlorometanu na człowieka są zaburzenia czynności ośrodkowego układu nerwowego i podwyższenie poziomu karboksyhemoglobiny we krwi. W przypadkach ostrych zatruć do głównych objawów należą: bóle i zawroty głowy, senność, otępienie, dreszcze, nudności, wymioty, biegunka, uczucie drętwienia i mrowienia w kończynach, a nawet utrata przytomności. Dichlorometan w postaci cieczy działa silnie drażniąco na skórę i oczy.</w:t>
      </w:r>
      <w:r w:rsidR="006B14C6" w:rsidRPr="004C6410">
        <w:rPr>
          <w:lang w:eastAsia="pl-PL"/>
        </w:rPr>
        <w:t xml:space="preserve"> </w:t>
      </w:r>
      <w:r w:rsidR="008352BE" w:rsidRPr="004C6410">
        <w:rPr>
          <w:lang w:eastAsia="pl-PL"/>
        </w:rPr>
        <w:t xml:space="preserve">Dichlorometan </w:t>
      </w:r>
      <w:r w:rsidR="00A02741" w:rsidRPr="004C6410">
        <w:rPr>
          <w:lang w:eastAsia="pl-PL"/>
        </w:rPr>
        <w:t>oddziałuje na człowieka również rakotwórczo i mutagennie</w:t>
      </w:r>
      <w:r w:rsidR="008352BE" w:rsidRPr="004C6410">
        <w:rPr>
          <w:lang w:eastAsia="pl-PL"/>
        </w:rPr>
        <w:t xml:space="preserve"> </w:t>
      </w:r>
      <w:r w:rsidR="006B14C6" w:rsidRPr="004C6410">
        <w:t>(</w:t>
      </w:r>
      <w:r w:rsidR="008352BE" w:rsidRPr="004C6410">
        <w:t>źródła:</w:t>
      </w:r>
      <w:r w:rsidR="008352BE" w:rsidRPr="006D2F13">
        <w:rPr>
          <w:i/>
        </w:rPr>
        <w:t xml:space="preserve"> </w:t>
      </w:r>
      <w:r w:rsidR="008352BE" w:rsidRPr="004C6410">
        <w:t xml:space="preserve">WHO – </w:t>
      </w:r>
      <w:r w:rsidR="008352BE" w:rsidRPr="006D2F13">
        <w:rPr>
          <w:i/>
          <w:iCs/>
        </w:rPr>
        <w:t>Air quality guidelines for Europe,</w:t>
      </w:r>
      <w:r w:rsidR="001668A8" w:rsidRPr="006D2F13">
        <w:rPr>
          <w:i/>
          <w:iCs/>
        </w:rPr>
        <w:t xml:space="preserve"> </w:t>
      </w:r>
      <w:r w:rsidR="001668A8" w:rsidRPr="006D2F13">
        <w:rPr>
          <w:iCs/>
        </w:rPr>
        <w:t>2000</w:t>
      </w:r>
      <w:r w:rsidR="008352BE" w:rsidRPr="00262F0C">
        <w:rPr>
          <w:i/>
          <w:iCs/>
        </w:rPr>
        <w:t xml:space="preserve"> </w:t>
      </w:r>
      <w:r w:rsidR="008352BE" w:rsidRPr="00791CAC">
        <w:rPr>
          <w:iCs/>
        </w:rPr>
        <w:t xml:space="preserve">oraz </w:t>
      </w:r>
      <w:r w:rsidR="006B14C6" w:rsidRPr="006D2F13">
        <w:rPr>
          <w:i/>
        </w:rPr>
        <w:t>„Dichlorometan. Dokumentacja dopuszczalnych wielkości narażenia zawodowego”</w:t>
      </w:r>
      <w:r w:rsidR="008352BE" w:rsidRPr="006D2F13">
        <w:rPr>
          <w:i/>
        </w:rPr>
        <w:t xml:space="preserve">, </w:t>
      </w:r>
      <w:r w:rsidR="006B14C6" w:rsidRPr="004C6410">
        <w:t>Małgorzata Kupczewska-Dobecka, Renata Soćko, Podst</w:t>
      </w:r>
      <w:r w:rsidR="0007349B">
        <w:t xml:space="preserve">awy i </w:t>
      </w:r>
      <w:r w:rsidR="006B14C6" w:rsidRPr="00FC0255">
        <w:t xml:space="preserve"> Metody Oceny Środowiska Pracy, Nr 1 (55), 2008</w:t>
      </w:r>
      <w:r w:rsidR="00A02741" w:rsidRPr="00FC0255">
        <w:t>, a</w:t>
      </w:r>
      <w:r w:rsidR="008352BE" w:rsidRPr="00FC0255">
        <w:t xml:space="preserve"> także </w:t>
      </w:r>
      <w:r w:rsidR="008E0959" w:rsidRPr="002D752D">
        <w:rPr>
          <w:color w:val="000000" w:themeColor="text1"/>
          <w:lang w:eastAsia="pl-PL"/>
        </w:rPr>
        <w:t xml:space="preserve">IARC (1987). </w:t>
      </w:r>
      <w:r w:rsidR="008E0959" w:rsidRPr="00FC0255">
        <w:rPr>
          <w:i/>
          <w:color w:val="000000" w:themeColor="text1"/>
          <w:lang w:val="en-US" w:eastAsia="pl-PL"/>
        </w:rPr>
        <w:t>Overall evaluations of carcinogenicity: an updating of IARC Monographs volumes 1 to 42</w:t>
      </w:r>
      <w:r w:rsidR="008E0959" w:rsidRPr="00FC0255">
        <w:rPr>
          <w:color w:val="000000" w:themeColor="text1"/>
          <w:lang w:val="en-US" w:eastAsia="pl-PL"/>
        </w:rPr>
        <w:t>. IARC</w:t>
      </w:r>
      <w:r w:rsidR="002D752D" w:rsidRPr="00FC0255">
        <w:rPr>
          <w:color w:val="000000" w:themeColor="text1"/>
          <w:lang w:val="en-US" w:eastAsia="pl-PL"/>
        </w:rPr>
        <w:t xml:space="preserve"> Monographs on the Evaluation of Carcinogenic Risk to Humans, </w:t>
      </w:r>
      <w:r w:rsidR="008E0959" w:rsidRPr="00FC0255">
        <w:rPr>
          <w:color w:val="000000" w:themeColor="text1"/>
          <w:lang w:val="en-US" w:eastAsia="pl-PL"/>
        </w:rPr>
        <w:t>Suppl</w:t>
      </w:r>
      <w:r w:rsidR="002D752D" w:rsidRPr="00FC0255">
        <w:rPr>
          <w:color w:val="000000" w:themeColor="text1"/>
          <w:lang w:val="en-US" w:eastAsia="pl-PL"/>
        </w:rPr>
        <w:t>ement</w:t>
      </w:r>
      <w:r w:rsidR="008E0959" w:rsidRPr="00FC0255">
        <w:rPr>
          <w:color w:val="000000" w:themeColor="text1"/>
          <w:lang w:val="en-US" w:eastAsia="pl-PL"/>
        </w:rPr>
        <w:t xml:space="preserve"> 7:1–440, </w:t>
      </w:r>
      <w:r w:rsidR="008E0959" w:rsidRPr="00FC0255">
        <w:rPr>
          <w:lang w:val="en-US" w:eastAsia="pl-PL"/>
        </w:rPr>
        <w:t>dostępny na:</w:t>
      </w:r>
      <w:r w:rsidR="008E0959" w:rsidRPr="00FC0255">
        <w:rPr>
          <w:u w:val="single"/>
          <w:lang w:val="en-US" w:eastAsia="pl-PL"/>
        </w:rPr>
        <w:t xml:space="preserve"> </w:t>
      </w:r>
      <w:hyperlink r:id="rId8" w:history="1">
        <w:r w:rsidR="008E0959" w:rsidRPr="00FC0255">
          <w:rPr>
            <w:rStyle w:val="Hipercze"/>
            <w:color w:val="auto"/>
            <w:u w:val="none"/>
            <w:lang w:val="en-US" w:eastAsia="pl-PL"/>
          </w:rPr>
          <w:t>http://monographs.iarc.fr/ENG/Monographs/suppl7/index.php</w:t>
        </w:r>
      </w:hyperlink>
      <w:r w:rsidR="008E0959" w:rsidRPr="00FC0255">
        <w:rPr>
          <w:color w:val="000000" w:themeColor="text1"/>
          <w:lang w:val="en-US" w:eastAsia="pl-PL"/>
        </w:rPr>
        <w:t xml:space="preserve"> oraz IARC (1999). </w:t>
      </w:r>
      <w:r w:rsidR="008E0959" w:rsidRPr="00FC0255">
        <w:rPr>
          <w:i/>
          <w:color w:val="000000" w:themeColor="text1"/>
          <w:lang w:val="en-US" w:eastAsia="pl-PL"/>
        </w:rPr>
        <w:t xml:space="preserve">Re-evaluation of some organic chemicals, hydrazine and hydrogen peroxide. </w:t>
      </w:r>
      <w:r w:rsidR="008E0959" w:rsidRPr="00FC0255">
        <w:rPr>
          <w:color w:val="000000" w:themeColor="text1"/>
          <w:lang w:val="en-US" w:eastAsia="pl-PL"/>
        </w:rPr>
        <w:t>IARC</w:t>
      </w:r>
      <w:r w:rsidR="002D752D" w:rsidRPr="00FC0255">
        <w:rPr>
          <w:color w:val="000000" w:themeColor="text1"/>
          <w:lang w:val="en-US" w:eastAsia="pl-PL"/>
        </w:rPr>
        <w:t xml:space="preserve"> </w:t>
      </w:r>
      <w:r w:rsidR="008E0959" w:rsidRPr="00FC0255">
        <w:rPr>
          <w:color w:val="000000" w:themeColor="text1"/>
          <w:lang w:val="en-US" w:eastAsia="pl-PL"/>
        </w:rPr>
        <w:t xml:space="preserve"> </w:t>
      </w:r>
      <w:r w:rsidR="002D752D" w:rsidRPr="00FC0255">
        <w:rPr>
          <w:color w:val="000000" w:themeColor="text1"/>
          <w:lang w:val="en-US" w:eastAsia="pl-PL"/>
        </w:rPr>
        <w:t>Monographs on the Evaluation of Carcinogenic Risk to Humans</w:t>
      </w:r>
      <w:r w:rsidR="008E0959" w:rsidRPr="00FC0255">
        <w:rPr>
          <w:color w:val="000000" w:themeColor="text1"/>
          <w:lang w:val="en-US" w:eastAsia="pl-PL"/>
        </w:rPr>
        <w:t xml:space="preserve">, 71:1–315, dostępny na: </w:t>
      </w:r>
      <w:hyperlink r:id="rId9" w:history="1">
        <w:r w:rsidR="002D752D" w:rsidRPr="00FC0255">
          <w:rPr>
            <w:rStyle w:val="Hipercze"/>
            <w:color w:val="auto"/>
            <w:u w:val="none"/>
            <w:lang w:val="en-US"/>
          </w:rPr>
          <w:t>http://monographs.iarc.fr/ENG/Monographs/vol71/index.php</w:t>
        </w:r>
      </w:hyperlink>
      <w:r w:rsidR="008E0959" w:rsidRPr="00FC0255">
        <w:rPr>
          <w:lang w:val="en-US" w:eastAsia="pl-PL"/>
        </w:rPr>
        <w:t>.</w:t>
      </w:r>
    </w:p>
    <w:p w14:paraId="09F9AD7A" w14:textId="1876858C" w:rsidR="008352BE" w:rsidRPr="004C6410" w:rsidRDefault="00132E32" w:rsidP="004C6410">
      <w:pPr>
        <w:pStyle w:val="Akapitzlist"/>
        <w:shd w:val="clear" w:color="auto" w:fill="FFFFFF"/>
        <w:spacing w:line="360" w:lineRule="auto"/>
        <w:jc w:val="both"/>
        <w:rPr>
          <w:lang w:val="en-US" w:eastAsia="pl-PL"/>
        </w:rPr>
      </w:pPr>
      <w:r w:rsidRPr="004C6410">
        <w:rPr>
          <w:lang w:val="en-US"/>
        </w:rPr>
        <w:t>Terpeny dwupierścieniowe, w tym alfa pinen jako wiodący związek w tej grupie</w:t>
      </w:r>
      <w:r w:rsidR="00413877" w:rsidRPr="004C6410">
        <w:rPr>
          <w:lang w:val="en-US"/>
        </w:rPr>
        <w:t>, w</w:t>
      </w:r>
      <w:r w:rsidR="00F738A7">
        <w:rPr>
          <w:lang w:val="en-US"/>
        </w:rPr>
        <w:t> </w:t>
      </w:r>
      <w:r w:rsidR="00413877" w:rsidRPr="004C6410">
        <w:rPr>
          <w:lang w:val="en-US"/>
        </w:rPr>
        <w:t>stężeniu uważanym za umiarkowany, wywołują u zdrowych osób uszkodzenie pęcherzyków płucnych (źródło: „American journal of industrial medicine”, Incorporating Environmental and Occupational Health, 1993, Vol</w:t>
      </w:r>
      <w:r w:rsidR="008E0959">
        <w:rPr>
          <w:lang w:val="en-US"/>
        </w:rPr>
        <w:t>ume</w:t>
      </w:r>
      <w:r w:rsidR="00413877" w:rsidRPr="004C6410">
        <w:rPr>
          <w:lang w:val="en-US"/>
        </w:rPr>
        <w:t xml:space="preserve"> 23, </w:t>
      </w:r>
      <w:r w:rsidR="00184EA0">
        <w:rPr>
          <w:lang w:val="en-US"/>
        </w:rPr>
        <w:t xml:space="preserve">str. </w:t>
      </w:r>
      <w:r w:rsidR="00413877" w:rsidRPr="004C6410">
        <w:rPr>
          <w:lang w:val="en-US"/>
        </w:rPr>
        <w:t>793</w:t>
      </w:r>
      <w:r w:rsidR="00184EA0">
        <w:rPr>
          <w:lang w:val="en-US"/>
        </w:rPr>
        <w:t>–</w:t>
      </w:r>
      <w:r w:rsidR="00413877" w:rsidRPr="004C6410">
        <w:rPr>
          <w:lang w:val="en-US"/>
        </w:rPr>
        <w:t>799)</w:t>
      </w:r>
      <w:r w:rsidR="005F70A9">
        <w:rPr>
          <w:lang w:val="en-US"/>
        </w:rPr>
        <w:t xml:space="preserve">, </w:t>
      </w:r>
    </w:p>
    <w:p w14:paraId="4A80D7CB" w14:textId="77777777" w:rsidR="0078229F" w:rsidRDefault="007F6E76" w:rsidP="000F3D9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m</w:t>
      </w:r>
      <w:r w:rsidR="0078229F" w:rsidRPr="008E7FF1">
        <w:rPr>
          <w:color w:val="000000" w:themeColor="text1"/>
          <w:lang w:eastAsia="pl-PL"/>
        </w:rPr>
        <w:t>etakrylan butylu</w:t>
      </w:r>
      <w:r w:rsidR="00045F6A" w:rsidRPr="008E7FF1">
        <w:rPr>
          <w:color w:val="000000" w:themeColor="text1"/>
          <w:lang w:eastAsia="pl-PL"/>
        </w:rPr>
        <w:t>,</w:t>
      </w:r>
      <w:r w:rsidR="0078229F" w:rsidRPr="008E7FF1"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t>m</w:t>
      </w:r>
      <w:r w:rsidR="0078229F" w:rsidRPr="008E7FF1">
        <w:rPr>
          <w:color w:val="000000" w:themeColor="text1"/>
          <w:lang w:eastAsia="pl-PL"/>
        </w:rPr>
        <w:t>etakrylan metylu</w:t>
      </w:r>
      <w:r w:rsidR="00045F6A" w:rsidRPr="008E7FF1">
        <w:rPr>
          <w:color w:val="000000" w:themeColor="text1"/>
          <w:lang w:eastAsia="pl-PL"/>
        </w:rPr>
        <w:t xml:space="preserve">, </w:t>
      </w:r>
      <w:r>
        <w:rPr>
          <w:color w:val="000000" w:themeColor="text1"/>
          <w:lang w:eastAsia="pl-PL"/>
        </w:rPr>
        <w:t>a</w:t>
      </w:r>
      <w:r w:rsidR="0078229F" w:rsidRPr="008E7FF1">
        <w:rPr>
          <w:color w:val="000000" w:themeColor="text1"/>
          <w:lang w:eastAsia="pl-PL"/>
        </w:rPr>
        <w:t>ceton</w:t>
      </w:r>
      <w:r w:rsidR="00045F6A" w:rsidRPr="008E7FF1">
        <w:rPr>
          <w:color w:val="000000" w:themeColor="text1"/>
          <w:lang w:eastAsia="pl-PL"/>
        </w:rPr>
        <w:t xml:space="preserve"> </w:t>
      </w:r>
      <w:r w:rsidR="00AF046B">
        <w:rPr>
          <w:color w:val="000000" w:themeColor="text1"/>
          <w:lang w:eastAsia="pl-PL"/>
        </w:rPr>
        <w:t>–</w:t>
      </w:r>
      <w:r w:rsidR="0078229F" w:rsidRPr="008E7FF1">
        <w:rPr>
          <w:color w:val="000000" w:themeColor="text1"/>
          <w:lang w:eastAsia="pl-PL"/>
        </w:rPr>
        <w:t xml:space="preserve"> </w:t>
      </w:r>
      <w:r w:rsidR="000F3D9E" w:rsidRPr="000F3D9E">
        <w:rPr>
          <w:color w:val="000000" w:themeColor="text1"/>
          <w:lang w:eastAsia="pl-PL"/>
        </w:rPr>
        <w:t xml:space="preserve">na podstawie rekomendacji </w:t>
      </w:r>
      <w:r w:rsidR="00045F6A" w:rsidRPr="008E7FF1">
        <w:rPr>
          <w:color w:val="000000" w:themeColor="text1"/>
          <w:lang w:eastAsia="pl-PL"/>
        </w:rPr>
        <w:t>Narodow</w:t>
      </w:r>
      <w:r w:rsidR="000F3D9E">
        <w:rPr>
          <w:color w:val="000000" w:themeColor="text1"/>
          <w:lang w:eastAsia="pl-PL"/>
        </w:rPr>
        <w:t>ego</w:t>
      </w:r>
      <w:r w:rsidR="00045F6A" w:rsidRPr="008E7FF1">
        <w:rPr>
          <w:color w:val="000000" w:themeColor="text1"/>
          <w:lang w:eastAsia="pl-PL"/>
        </w:rPr>
        <w:t xml:space="preserve"> Instytut</w:t>
      </w:r>
      <w:r w:rsidR="000F3D9E">
        <w:rPr>
          <w:color w:val="000000" w:themeColor="text1"/>
          <w:lang w:eastAsia="pl-PL"/>
        </w:rPr>
        <w:t>u</w:t>
      </w:r>
      <w:r w:rsidR="00045F6A" w:rsidRPr="008E7FF1">
        <w:rPr>
          <w:color w:val="000000" w:themeColor="text1"/>
          <w:lang w:eastAsia="pl-PL"/>
        </w:rPr>
        <w:t xml:space="preserve"> Zdrowia Publicznego </w:t>
      </w:r>
      <w:r w:rsidR="00AF046B">
        <w:rPr>
          <w:color w:val="000000" w:themeColor="text1"/>
          <w:lang w:eastAsia="pl-PL"/>
        </w:rPr>
        <w:t>–</w:t>
      </w:r>
      <w:r w:rsidR="00045F6A" w:rsidRPr="008E7FF1">
        <w:rPr>
          <w:color w:val="000000" w:themeColor="text1"/>
          <w:lang w:eastAsia="pl-PL"/>
        </w:rPr>
        <w:t xml:space="preserve"> Państwow</w:t>
      </w:r>
      <w:r w:rsidR="000F3D9E">
        <w:rPr>
          <w:color w:val="000000" w:themeColor="text1"/>
          <w:lang w:eastAsia="pl-PL"/>
        </w:rPr>
        <w:t>ego</w:t>
      </w:r>
      <w:r w:rsidR="00045F6A" w:rsidRPr="008E7FF1">
        <w:rPr>
          <w:color w:val="000000" w:themeColor="text1"/>
          <w:lang w:eastAsia="pl-PL"/>
        </w:rPr>
        <w:t xml:space="preserve"> Zakład</w:t>
      </w:r>
      <w:r w:rsidR="000F3D9E">
        <w:rPr>
          <w:color w:val="000000" w:themeColor="text1"/>
          <w:lang w:eastAsia="pl-PL"/>
        </w:rPr>
        <w:t>u</w:t>
      </w:r>
      <w:r w:rsidR="00045F6A" w:rsidRPr="008E7FF1">
        <w:rPr>
          <w:color w:val="000000" w:themeColor="text1"/>
          <w:lang w:eastAsia="pl-PL"/>
        </w:rPr>
        <w:t xml:space="preserve"> Higieny,</w:t>
      </w:r>
      <w:r w:rsidR="00045F6A" w:rsidRPr="008E7FF1">
        <w:rPr>
          <w:color w:val="000000" w:themeColor="text1"/>
        </w:rPr>
        <w:t xml:space="preserve"> </w:t>
      </w:r>
      <w:r w:rsidR="00045F6A" w:rsidRPr="008E7FF1">
        <w:rPr>
          <w:color w:val="000000" w:themeColor="text1"/>
          <w:lang w:eastAsia="pl-PL"/>
        </w:rPr>
        <w:t>ze względu na zastosowanie w</w:t>
      </w:r>
      <w:r w:rsidR="00E076D1" w:rsidRPr="008E7FF1">
        <w:rPr>
          <w:color w:val="000000" w:themeColor="text1"/>
          <w:lang w:eastAsia="pl-PL"/>
        </w:rPr>
        <w:t> </w:t>
      </w:r>
      <w:r w:rsidR="00045F6A" w:rsidRPr="008E7FF1">
        <w:rPr>
          <w:color w:val="000000" w:themeColor="text1"/>
          <w:lang w:eastAsia="pl-PL"/>
        </w:rPr>
        <w:t>klejach. Ponadto substancje te są wykorzystywane do stylizacji paznokci, powodując zanieczyszczenie powietrza w pomieszczeniach na pobyt ludzi w</w:t>
      </w:r>
      <w:r w:rsidR="00604B12" w:rsidRPr="008E7FF1">
        <w:rPr>
          <w:color w:val="000000" w:themeColor="text1"/>
          <w:lang w:eastAsia="pl-PL"/>
        </w:rPr>
        <w:t> </w:t>
      </w:r>
      <w:r w:rsidR="00045F6A" w:rsidRPr="008E7FF1">
        <w:rPr>
          <w:color w:val="000000" w:themeColor="text1"/>
          <w:lang w:eastAsia="pl-PL"/>
        </w:rPr>
        <w:t>budynkach, w których świadczone są tego rodzaju usługi kosmetyczne</w:t>
      </w:r>
      <w:r w:rsidR="00F753CA" w:rsidRPr="008E7FF1">
        <w:rPr>
          <w:color w:val="000000" w:themeColor="text1"/>
          <w:lang w:eastAsia="pl-PL"/>
        </w:rPr>
        <w:t>,</w:t>
      </w:r>
    </w:p>
    <w:p w14:paraId="4BE3629C" w14:textId="581DB5DA" w:rsidR="005F70A9" w:rsidRPr="00FC0255" w:rsidRDefault="007F6E76" w:rsidP="006D2F13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lang w:val="en-US"/>
        </w:rPr>
      </w:pPr>
      <w:r w:rsidRPr="00FC0255">
        <w:rPr>
          <w:color w:val="000000" w:themeColor="text1"/>
          <w:lang w:val="en-US" w:eastAsia="pl-PL"/>
        </w:rPr>
        <w:t>r</w:t>
      </w:r>
      <w:r w:rsidR="00A14E5A" w:rsidRPr="00FC0255">
        <w:rPr>
          <w:color w:val="000000" w:themeColor="text1"/>
          <w:lang w:val="en-US" w:eastAsia="pl-PL"/>
        </w:rPr>
        <w:t xml:space="preserve">adon </w:t>
      </w:r>
      <w:r w:rsidR="00AF046B" w:rsidRPr="00FC0255">
        <w:rPr>
          <w:color w:val="000000" w:themeColor="text1"/>
          <w:lang w:val="en-US" w:eastAsia="pl-PL"/>
        </w:rPr>
        <w:t>–</w:t>
      </w:r>
      <w:r w:rsidR="00A14E5A" w:rsidRPr="00FC0255">
        <w:rPr>
          <w:color w:val="000000" w:themeColor="text1"/>
          <w:lang w:val="en-US" w:eastAsia="pl-PL"/>
        </w:rPr>
        <w:t xml:space="preserve"> </w:t>
      </w:r>
      <w:r w:rsidR="000F3D9E" w:rsidRPr="00FC0255">
        <w:rPr>
          <w:color w:val="000000" w:themeColor="text1"/>
          <w:lang w:val="en-US" w:eastAsia="pl-PL"/>
        </w:rPr>
        <w:t xml:space="preserve">substancja uznana </w:t>
      </w:r>
      <w:r w:rsidR="000F3D9E" w:rsidRPr="00FC0255">
        <w:rPr>
          <w:color w:val="000000"/>
          <w:lang w:val="en-US"/>
        </w:rPr>
        <w:t xml:space="preserve">przez </w:t>
      </w:r>
      <w:r w:rsidR="000F3D9E" w:rsidRPr="00791CAC">
        <w:rPr>
          <w:color w:val="000000"/>
          <w:lang w:val="en-US"/>
        </w:rPr>
        <w:t>IARC</w:t>
      </w:r>
      <w:r w:rsidR="000F3D9E" w:rsidRPr="006D2F13">
        <w:rPr>
          <w:color w:val="000000"/>
          <w:lang w:val="en-US"/>
        </w:rPr>
        <w:t xml:space="preserve"> jako czynnik rakotwórczy klasy 1 </w:t>
      </w:r>
      <w:r w:rsidR="008E0959" w:rsidRPr="006D2F13">
        <w:rPr>
          <w:color w:val="000000"/>
          <w:lang w:val="en-US"/>
        </w:rPr>
        <w:t xml:space="preserve">(źródło: </w:t>
      </w:r>
      <w:r w:rsidR="008E0959" w:rsidRPr="00FC0255">
        <w:rPr>
          <w:color w:val="000000" w:themeColor="text1"/>
          <w:lang w:val="en-US" w:eastAsia="pl-PL"/>
        </w:rPr>
        <w:t>„</w:t>
      </w:r>
      <w:r w:rsidR="008E0959" w:rsidRPr="00FC0255">
        <w:rPr>
          <w:i/>
          <w:color w:val="000000" w:themeColor="text1"/>
          <w:lang w:val="en-US" w:eastAsia="pl-PL"/>
        </w:rPr>
        <w:t>Radiation”</w:t>
      </w:r>
      <w:r w:rsidR="008E0959" w:rsidRPr="00FC0255">
        <w:rPr>
          <w:color w:val="000000" w:themeColor="text1"/>
          <w:lang w:val="en-US" w:eastAsia="pl-PL"/>
        </w:rPr>
        <w:t>, Volume 100D, A Review of Human Carcinogens, IARC Monographs on the Evaluation of Carcinogenic Risk to Humans,</w:t>
      </w:r>
      <w:r w:rsidR="002D752D" w:rsidRPr="00FC0255">
        <w:rPr>
          <w:color w:val="000000" w:themeColor="text1"/>
          <w:lang w:val="en-US" w:eastAsia="pl-PL"/>
        </w:rPr>
        <w:t xml:space="preserve"> dostępny na: </w:t>
      </w:r>
      <w:r w:rsidR="008E0959" w:rsidRPr="00FC0255">
        <w:rPr>
          <w:color w:val="000000" w:themeColor="text1"/>
          <w:lang w:val="en-US" w:eastAsia="pl-PL"/>
        </w:rPr>
        <w:t xml:space="preserve"> </w:t>
      </w:r>
      <w:hyperlink r:id="rId10" w:history="1">
        <w:r w:rsidR="000F3D9E" w:rsidRPr="00FC0255">
          <w:rPr>
            <w:rStyle w:val="Hipercze"/>
            <w:color w:val="auto"/>
            <w:u w:val="none"/>
            <w:lang w:val="en-US"/>
          </w:rPr>
          <w:t>http://monographs.iarc.fr/ENG/Monographs/vol100D/mono100D.pdf</w:t>
        </w:r>
      </w:hyperlink>
      <w:r w:rsidR="000F3D9E" w:rsidRPr="00FC0255">
        <w:rPr>
          <w:lang w:val="en-US"/>
        </w:rPr>
        <w:t>)</w:t>
      </w:r>
      <w:r w:rsidR="000F3D9E" w:rsidRPr="00FC0255">
        <w:rPr>
          <w:lang w:val="en-US" w:eastAsia="pl-PL"/>
        </w:rPr>
        <w:t xml:space="preserve">. </w:t>
      </w:r>
    </w:p>
    <w:p w14:paraId="6D4AC8AB" w14:textId="75097718" w:rsidR="00853CDC" w:rsidRPr="00892E3C" w:rsidRDefault="000F3D9E" w:rsidP="004C6410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4C6410">
        <w:rPr>
          <w:lang w:eastAsia="pl-PL"/>
        </w:rPr>
        <w:t>O</w:t>
      </w:r>
      <w:r w:rsidR="00A14E5A" w:rsidRPr="004C6410">
        <w:rPr>
          <w:lang w:eastAsia="pl-PL"/>
        </w:rPr>
        <w:t xml:space="preserve">kreślając </w:t>
      </w:r>
      <w:r w:rsidRPr="004C6410">
        <w:rPr>
          <w:lang w:eastAsia="pl-PL"/>
        </w:rPr>
        <w:t xml:space="preserve">wartość stężenia radonu </w:t>
      </w:r>
      <w:r w:rsidR="00650B45" w:rsidRPr="004C6410">
        <w:rPr>
          <w:lang w:eastAsia="pl-PL"/>
        </w:rPr>
        <w:t>na poziomie 300 Bq/m</w:t>
      </w:r>
      <w:r w:rsidR="00650B45" w:rsidRPr="004C6410">
        <w:rPr>
          <w:vertAlign w:val="superscript"/>
          <w:lang w:eastAsia="pl-PL"/>
        </w:rPr>
        <w:t xml:space="preserve">3 </w:t>
      </w:r>
      <w:r w:rsidRPr="004C6410">
        <w:rPr>
          <w:lang w:eastAsia="pl-PL"/>
        </w:rPr>
        <w:t>wskazano</w:t>
      </w:r>
      <w:r>
        <w:rPr>
          <w:color w:val="000000" w:themeColor="text1"/>
          <w:lang w:eastAsia="pl-PL"/>
        </w:rPr>
        <w:t xml:space="preserve">, iż odnosi się ona do </w:t>
      </w:r>
      <w:r w:rsidR="00A14E5A" w:rsidRPr="00892E3C">
        <w:rPr>
          <w:color w:val="000000" w:themeColor="text1"/>
          <w:lang w:eastAsia="pl-PL"/>
        </w:rPr>
        <w:t>średnioroczne</w:t>
      </w:r>
      <w:r>
        <w:rPr>
          <w:color w:val="000000" w:themeColor="text1"/>
          <w:lang w:eastAsia="pl-PL"/>
        </w:rPr>
        <w:t>go stężenia</w:t>
      </w:r>
      <w:r w:rsidR="00650B45">
        <w:rPr>
          <w:color w:val="000000" w:themeColor="text1"/>
          <w:lang w:eastAsia="pl-PL"/>
        </w:rPr>
        <w:t xml:space="preserve"> radonu</w:t>
      </w:r>
      <w:r w:rsidR="006D2F13">
        <w:rPr>
          <w:color w:val="000000" w:themeColor="text1"/>
          <w:lang w:eastAsia="pl-PL"/>
        </w:rPr>
        <w:t>,</w:t>
      </w:r>
      <w:r>
        <w:rPr>
          <w:color w:val="000000" w:themeColor="text1"/>
          <w:lang w:eastAsia="pl-PL"/>
        </w:rPr>
        <w:t xml:space="preserve"> </w:t>
      </w:r>
      <w:r w:rsidR="00650B45">
        <w:rPr>
          <w:color w:val="000000" w:themeColor="text1"/>
          <w:lang w:eastAsia="pl-PL"/>
        </w:rPr>
        <w:t xml:space="preserve">tj. </w:t>
      </w:r>
      <w:r w:rsidR="00A14E5A" w:rsidRPr="00892E3C">
        <w:rPr>
          <w:color w:val="000000" w:themeColor="text1"/>
          <w:lang w:eastAsia="pl-PL"/>
        </w:rPr>
        <w:t>wartoś</w:t>
      </w:r>
      <w:r w:rsidR="006D2F13">
        <w:rPr>
          <w:color w:val="000000" w:themeColor="text1"/>
          <w:lang w:eastAsia="pl-PL"/>
        </w:rPr>
        <w:t>ci</w:t>
      </w:r>
      <w:r w:rsidR="00A14E5A" w:rsidRPr="00892E3C">
        <w:rPr>
          <w:color w:val="000000" w:themeColor="text1"/>
          <w:lang w:eastAsia="pl-PL"/>
        </w:rPr>
        <w:t xml:space="preserve"> stężenia radonu oszacowan</w:t>
      </w:r>
      <w:r w:rsidR="006D2F13">
        <w:rPr>
          <w:color w:val="000000" w:themeColor="text1"/>
          <w:lang w:eastAsia="pl-PL"/>
        </w:rPr>
        <w:t>ej</w:t>
      </w:r>
      <w:r w:rsidR="00A14E5A" w:rsidRPr="00892E3C">
        <w:rPr>
          <w:color w:val="000000" w:themeColor="text1"/>
          <w:lang w:eastAsia="pl-PL"/>
        </w:rPr>
        <w:t xml:space="preserve"> na </w:t>
      </w:r>
      <w:r w:rsidR="00A14E5A" w:rsidRPr="00892E3C">
        <w:rPr>
          <w:color w:val="000000" w:themeColor="text1"/>
          <w:lang w:eastAsia="pl-PL"/>
        </w:rPr>
        <w:lastRenderedPageBreak/>
        <w:t>podstawie pomiarów tego stężenia w okresie nie krótszym niż jeden miesiąc, odpowiadając</w:t>
      </w:r>
      <w:r w:rsidR="006D2F13">
        <w:rPr>
          <w:color w:val="000000" w:themeColor="text1"/>
          <w:lang w:eastAsia="pl-PL"/>
        </w:rPr>
        <w:t>ej</w:t>
      </w:r>
      <w:r w:rsidR="00A14E5A" w:rsidRPr="00892E3C">
        <w:rPr>
          <w:color w:val="000000" w:themeColor="text1"/>
          <w:lang w:eastAsia="pl-PL"/>
        </w:rPr>
        <w:t xml:space="preserve"> średniemu stężeniu radonu w powietrz</w:t>
      </w:r>
      <w:r w:rsidR="00650B45">
        <w:rPr>
          <w:color w:val="000000" w:themeColor="text1"/>
          <w:lang w:eastAsia="pl-PL"/>
        </w:rPr>
        <w:t>u w okresie roku kalendarzowego</w:t>
      </w:r>
      <w:r w:rsidR="00AF046B" w:rsidRPr="00892E3C">
        <w:rPr>
          <w:color w:val="000000" w:themeColor="text1"/>
          <w:lang w:eastAsia="pl-PL"/>
        </w:rPr>
        <w:t xml:space="preserve">, </w:t>
      </w:r>
      <w:r w:rsidR="00A14E5A" w:rsidRPr="00892E3C">
        <w:rPr>
          <w:color w:val="000000" w:themeColor="text1"/>
          <w:lang w:eastAsia="pl-PL"/>
        </w:rPr>
        <w:t xml:space="preserve">co jest spójne z ustawą z dnia 29 listopada 2000 r. </w:t>
      </w:r>
      <w:r w:rsidR="00EE2788" w:rsidRPr="00892E3C">
        <w:rPr>
          <w:color w:val="000000" w:themeColor="text1"/>
          <w:lang w:eastAsia="pl-PL"/>
        </w:rPr>
        <w:t xml:space="preserve">– </w:t>
      </w:r>
      <w:r w:rsidR="00A14E5A" w:rsidRPr="00892E3C">
        <w:rPr>
          <w:color w:val="000000" w:themeColor="text1"/>
          <w:lang w:eastAsia="pl-PL"/>
        </w:rPr>
        <w:t xml:space="preserve">Prawo atomowe (Dz. U. </w:t>
      </w:r>
      <w:r w:rsidR="00F753CA" w:rsidRPr="00892E3C">
        <w:rPr>
          <w:color w:val="000000" w:themeColor="text1"/>
          <w:lang w:eastAsia="pl-PL"/>
        </w:rPr>
        <w:t>z 2019 r. poz. 1792</w:t>
      </w:r>
      <w:r w:rsidR="00AF046B" w:rsidRPr="00892E3C">
        <w:rPr>
          <w:color w:val="000000" w:themeColor="text1"/>
          <w:lang w:eastAsia="pl-PL"/>
        </w:rPr>
        <w:t>,</w:t>
      </w:r>
      <w:r w:rsidR="00F753CA" w:rsidRPr="00892E3C">
        <w:rPr>
          <w:color w:val="000000" w:themeColor="text1"/>
          <w:lang w:eastAsia="pl-PL"/>
        </w:rPr>
        <w:t xml:space="preserve"> z późn.</w:t>
      </w:r>
      <w:r w:rsidR="00F23BC5" w:rsidRPr="00892E3C">
        <w:rPr>
          <w:color w:val="000000" w:themeColor="text1"/>
          <w:lang w:eastAsia="pl-PL"/>
        </w:rPr>
        <w:t xml:space="preserve"> </w:t>
      </w:r>
      <w:r w:rsidR="00F753CA" w:rsidRPr="00892E3C">
        <w:rPr>
          <w:color w:val="000000" w:themeColor="text1"/>
          <w:lang w:eastAsia="pl-PL"/>
        </w:rPr>
        <w:t>zm.)</w:t>
      </w:r>
      <w:r w:rsidR="00AE5ED8">
        <w:rPr>
          <w:color w:val="000000"/>
        </w:rPr>
        <w:t>,</w:t>
      </w:r>
    </w:p>
    <w:p w14:paraId="69014BB1" w14:textId="072ABA13" w:rsidR="005F70A9" w:rsidRDefault="007F6E76" w:rsidP="00C16441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a</w:t>
      </w:r>
      <w:r w:rsidR="00262EF6" w:rsidRPr="008E7FF1">
        <w:rPr>
          <w:color w:val="000000" w:themeColor="text1"/>
          <w:lang w:eastAsia="pl-PL"/>
        </w:rPr>
        <w:t xml:space="preserve">zbest </w:t>
      </w:r>
      <w:r w:rsidR="00952F8A">
        <w:rPr>
          <w:color w:val="000000" w:themeColor="text1"/>
          <w:lang w:eastAsia="pl-PL"/>
        </w:rPr>
        <w:t>–</w:t>
      </w:r>
      <w:r w:rsidR="00262EF6" w:rsidRPr="008E7FF1">
        <w:rPr>
          <w:color w:val="000000" w:themeColor="text1"/>
          <w:lang w:eastAsia="pl-PL"/>
        </w:rPr>
        <w:t xml:space="preserve"> </w:t>
      </w:r>
      <w:r w:rsidR="000F3D9E">
        <w:rPr>
          <w:color w:val="000000" w:themeColor="text1"/>
          <w:lang w:eastAsia="pl-PL"/>
        </w:rPr>
        <w:t xml:space="preserve">substancja wskazana z uwagi na występowanie </w:t>
      </w:r>
      <w:r w:rsidR="000F3D9E" w:rsidRPr="00AE5ED8">
        <w:rPr>
          <w:color w:val="000000" w:themeColor="text1"/>
        </w:rPr>
        <w:t>wyrob</w:t>
      </w:r>
      <w:r w:rsidR="000F3D9E">
        <w:rPr>
          <w:color w:val="000000" w:themeColor="text1"/>
        </w:rPr>
        <w:t>ów</w:t>
      </w:r>
      <w:r w:rsidR="000F3D9E" w:rsidRPr="00AE5ED8">
        <w:rPr>
          <w:color w:val="000000" w:themeColor="text1"/>
        </w:rPr>
        <w:t xml:space="preserve"> zawierający</w:t>
      </w:r>
      <w:r w:rsidR="000F3D9E">
        <w:rPr>
          <w:color w:val="000000" w:themeColor="text1"/>
        </w:rPr>
        <w:t xml:space="preserve">ch </w:t>
      </w:r>
      <w:r w:rsidR="000F3D9E" w:rsidRPr="00AE5ED8">
        <w:rPr>
          <w:color w:val="000000" w:themeColor="text1"/>
        </w:rPr>
        <w:t xml:space="preserve">azbest wbudowany w ściany budynków mieszkalnych i użyteczności publicznej, gdzie nie ma możliwości technicznych i ekonomicznych ich usunięcia. </w:t>
      </w:r>
      <w:r w:rsidR="000F3D9E">
        <w:rPr>
          <w:color w:val="000000" w:themeColor="text1"/>
        </w:rPr>
        <w:t xml:space="preserve">Konieczność dookreślenia stężenia azbestu wewnątrz budynków i/lub pomieszczeń została wskazana w </w:t>
      </w:r>
      <w:r w:rsidR="000F3D9E" w:rsidRPr="00892E3C">
        <w:rPr>
          <w:i/>
          <w:color w:val="000000" w:themeColor="text1"/>
        </w:rPr>
        <w:t>Programie Oczyszczania Kraju z Azbestu na lata 2009-2032</w:t>
      </w:r>
      <w:r w:rsidR="000F3D9E">
        <w:rPr>
          <w:color w:val="000000" w:themeColor="text1"/>
        </w:rPr>
        <w:t xml:space="preserve">, przyjętym uchwałami Rady Ministrów nr 122/2009 z dnia 14 lipca 2009 r. oraz nr 39/2010 z </w:t>
      </w:r>
      <w:r w:rsidR="005F70A9">
        <w:rPr>
          <w:color w:val="000000" w:themeColor="text1"/>
        </w:rPr>
        <w:t>dni</w:t>
      </w:r>
      <w:r w:rsidR="00197748">
        <w:rPr>
          <w:color w:val="000000" w:themeColor="text1"/>
        </w:rPr>
        <w:t>a</w:t>
      </w:r>
      <w:r w:rsidR="005F70A9">
        <w:rPr>
          <w:color w:val="000000" w:themeColor="text1"/>
        </w:rPr>
        <w:t xml:space="preserve"> </w:t>
      </w:r>
      <w:r w:rsidR="000F3D9E">
        <w:rPr>
          <w:color w:val="000000" w:themeColor="text1"/>
        </w:rPr>
        <w:t xml:space="preserve">15 marca 2010 r., którego głównym celem jest bezpieczne usunięcie i unieszkodliwienie wyrobów zawierających azbest do 2032 r. </w:t>
      </w:r>
    </w:p>
    <w:p w14:paraId="71C1C400" w14:textId="0D31232D" w:rsidR="00FD2A7B" w:rsidRDefault="000F3D9E" w:rsidP="004C6410">
      <w:pPr>
        <w:pStyle w:val="Akapitzlist"/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</w:rPr>
        <w:t>O</w:t>
      </w:r>
      <w:r w:rsidR="00262EF6" w:rsidRPr="008E7FF1">
        <w:rPr>
          <w:color w:val="000000" w:themeColor="text1"/>
          <w:lang w:eastAsia="pl-PL"/>
        </w:rPr>
        <w:t>ceniając wyniki pomiarów stężenia azbestu wewnątrz budynków i/lub pomieszczeń, za najwyższą akceptowalną wartość stanu higienicznego powietrza eksperci (m.in. z</w:t>
      </w:r>
      <w:r w:rsidR="00F738A7">
        <w:rPr>
          <w:color w:val="000000" w:themeColor="text1"/>
          <w:lang w:eastAsia="pl-PL"/>
        </w:rPr>
        <w:t> </w:t>
      </w:r>
      <w:r w:rsidR="00262EF6" w:rsidRPr="008E7FF1">
        <w:rPr>
          <w:color w:val="000000" w:themeColor="text1"/>
          <w:lang w:eastAsia="pl-PL"/>
        </w:rPr>
        <w:t>Instytutu Techniki Budowlanej) przyjmują 1000 wł/m</w:t>
      </w:r>
      <w:r w:rsidR="00262EF6" w:rsidRPr="008E7FF1">
        <w:rPr>
          <w:color w:val="000000" w:themeColor="text1"/>
          <w:vertAlign w:val="superscript"/>
          <w:lang w:eastAsia="pl-PL"/>
        </w:rPr>
        <w:t>3</w:t>
      </w:r>
      <w:r w:rsidR="00262EF6" w:rsidRPr="008E7FF1">
        <w:rPr>
          <w:color w:val="000000" w:themeColor="text1"/>
        </w:rPr>
        <w:t xml:space="preserve"> (w</w:t>
      </w:r>
      <w:r w:rsidR="00604B12" w:rsidRPr="008E7FF1">
        <w:rPr>
          <w:color w:val="000000" w:themeColor="text1"/>
        </w:rPr>
        <w:t> </w:t>
      </w:r>
      <w:r w:rsidR="00262EF6" w:rsidRPr="008E7FF1">
        <w:rPr>
          <w:color w:val="000000" w:themeColor="text1"/>
        </w:rPr>
        <w:t xml:space="preserve">przepisach różnych </w:t>
      </w:r>
      <w:r w:rsidR="005F70A9" w:rsidRPr="008E7FF1">
        <w:rPr>
          <w:color w:val="000000" w:themeColor="text1"/>
          <w:lang w:eastAsia="pl-PL"/>
        </w:rPr>
        <w:t xml:space="preserve">państw członkowskich </w:t>
      </w:r>
      <w:r w:rsidR="00262EF6" w:rsidRPr="008E7FF1">
        <w:rPr>
          <w:color w:val="000000" w:themeColor="text1"/>
        </w:rPr>
        <w:t>U</w:t>
      </w:r>
      <w:r w:rsidR="00655B53">
        <w:rPr>
          <w:color w:val="000000" w:themeColor="text1"/>
        </w:rPr>
        <w:t xml:space="preserve">nii </w:t>
      </w:r>
      <w:r w:rsidR="00262EF6" w:rsidRPr="008E7FF1">
        <w:rPr>
          <w:color w:val="000000" w:themeColor="text1"/>
        </w:rPr>
        <w:t>E</w:t>
      </w:r>
      <w:r w:rsidR="00655B53">
        <w:rPr>
          <w:color w:val="000000" w:themeColor="text1"/>
        </w:rPr>
        <w:t>uropejskiej</w:t>
      </w:r>
      <w:r w:rsidR="00262EF6" w:rsidRPr="008E7FF1">
        <w:rPr>
          <w:color w:val="000000" w:themeColor="text1"/>
        </w:rPr>
        <w:t xml:space="preserve"> są wartości na poziomie 500</w:t>
      </w:r>
      <w:r w:rsidR="00952F8A">
        <w:rPr>
          <w:color w:val="000000" w:themeColor="text1"/>
        </w:rPr>
        <w:t>–</w:t>
      </w:r>
      <w:r w:rsidR="00262EF6" w:rsidRPr="008E7FF1">
        <w:rPr>
          <w:color w:val="000000" w:themeColor="text1"/>
        </w:rPr>
        <w:t>1000 wł/m</w:t>
      </w:r>
      <w:r w:rsidR="00262EF6" w:rsidRPr="008E7FF1">
        <w:rPr>
          <w:color w:val="000000" w:themeColor="text1"/>
          <w:vertAlign w:val="superscript"/>
        </w:rPr>
        <w:t>3</w:t>
      </w:r>
      <w:r w:rsidR="00262EF6" w:rsidRPr="008E7FF1">
        <w:rPr>
          <w:color w:val="000000" w:themeColor="text1"/>
        </w:rPr>
        <w:t>)</w:t>
      </w:r>
      <w:r w:rsidR="00650B45">
        <w:rPr>
          <w:color w:val="000000" w:themeColor="text1"/>
        </w:rPr>
        <w:t>,</w:t>
      </w:r>
      <w:r w:rsidR="00A528C4">
        <w:rPr>
          <w:color w:val="000000" w:themeColor="text1"/>
        </w:rPr>
        <w:t xml:space="preserve"> </w:t>
      </w:r>
    </w:p>
    <w:p w14:paraId="31893A1F" w14:textId="311F38A2" w:rsidR="00E17DEF" w:rsidRPr="00E17DEF" w:rsidRDefault="00892E3C" w:rsidP="004C6410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AE5ED8">
        <w:rPr>
          <w:color w:val="000000" w:themeColor="text1"/>
          <w:lang w:eastAsia="pl-PL"/>
        </w:rPr>
        <w:t>g</w:t>
      </w:r>
      <w:r w:rsidR="0032456F" w:rsidRPr="00AE5ED8">
        <w:rPr>
          <w:color w:val="000000" w:themeColor="text1"/>
          <w:lang w:eastAsia="pl-PL"/>
        </w:rPr>
        <w:t xml:space="preserve">rzyby </w:t>
      </w:r>
      <w:r w:rsidR="00197748">
        <w:rPr>
          <w:color w:val="000000" w:themeColor="text1"/>
          <w:lang w:eastAsia="pl-PL"/>
        </w:rPr>
        <w:t>–</w:t>
      </w:r>
      <w:r w:rsidR="0032456F" w:rsidRPr="00AE5ED8">
        <w:rPr>
          <w:color w:val="000000" w:themeColor="text1"/>
          <w:lang w:eastAsia="pl-PL"/>
        </w:rPr>
        <w:t xml:space="preserve"> </w:t>
      </w:r>
      <w:r w:rsidR="0032456F" w:rsidRPr="00AE5ED8">
        <w:rPr>
          <w:lang w:eastAsia="pl-PL"/>
        </w:rPr>
        <w:t>w szczególności grzyby pleśniowe, wywołują zarówno ciężkie infekcje płuc, jak również mogą mieć kancerogenny, cytotoksyczny i neurotoksyczny wpływ na organizm człowieka (Anna Chróst Zakład Bakteriologii Narodowego Instytutu Zdrowia Publicznego – Państwowego Zakładu Higieny w Warszawie. Grzyby pleśniowe w środowisku człowieka – zagrożenie i skutki zdrowotne</w:t>
      </w:r>
      <w:r w:rsidR="0032456F" w:rsidRPr="00AE5ED8">
        <w:rPr>
          <w:i/>
          <w:lang w:eastAsia="pl-PL"/>
        </w:rPr>
        <w:t>. Kwartalnik „Medycyna Doświadczalna i Mikrobiologia”</w:t>
      </w:r>
      <w:r w:rsidR="0032456F" w:rsidRPr="00AE5ED8" w:rsidDel="00383DA7">
        <w:rPr>
          <w:i/>
          <w:lang w:eastAsia="pl-PL"/>
        </w:rPr>
        <w:t xml:space="preserve"> </w:t>
      </w:r>
      <w:r w:rsidR="00E17DEF">
        <w:rPr>
          <w:i/>
          <w:lang w:eastAsia="pl-PL"/>
        </w:rPr>
        <w:t>2016, 68: 135 – 150).</w:t>
      </w:r>
    </w:p>
    <w:p w14:paraId="7887967E" w14:textId="39A95905" w:rsidR="004C6410" w:rsidRDefault="0032456F" w:rsidP="00E17DEF">
      <w:pPr>
        <w:pStyle w:val="Akapitzlist"/>
        <w:shd w:val="clear" w:color="auto" w:fill="FFFFFF"/>
        <w:spacing w:line="360" w:lineRule="auto"/>
        <w:jc w:val="both"/>
      </w:pPr>
      <w:r w:rsidRPr="00892E3C">
        <w:rPr>
          <w:lang w:eastAsia="pl-PL"/>
        </w:rPr>
        <w:t>W projekcie rozporządzenia wskazano, ż</w:t>
      </w:r>
      <w:r w:rsidR="009E3A2B">
        <w:rPr>
          <w:lang w:eastAsia="pl-PL"/>
        </w:rPr>
        <w:t>e</w:t>
      </w:r>
      <w:r w:rsidRPr="00892E3C">
        <w:rPr>
          <w:lang w:eastAsia="pl-PL"/>
        </w:rPr>
        <w:t xml:space="preserve"> dopuszczalne stężenie grzybów nie może przekraczać dwukrotnego stężenia zarodników grzybów w powietrzu wewnętrznym w</w:t>
      </w:r>
      <w:r w:rsidR="00F738A7">
        <w:rPr>
          <w:lang w:eastAsia="pl-PL"/>
        </w:rPr>
        <w:t> </w:t>
      </w:r>
      <w:r w:rsidRPr="00892E3C">
        <w:rPr>
          <w:lang w:eastAsia="pl-PL"/>
        </w:rPr>
        <w:t xml:space="preserve">odniesieniu do stężenia zarodników grzybów w powietrzu atmosferycznym. Pomiary stężenia zarodników grzybów w powietrzu wewnątrz pomieszczenia przeznaczonego na pobyt ludzi oraz powietrzu atmosferycznym są wykonywane równolegle. Jak wskazano w </w:t>
      </w:r>
      <w:r w:rsidR="00870256">
        <w:rPr>
          <w:lang w:eastAsia="pl-PL"/>
        </w:rPr>
        <w:t xml:space="preserve">wyżej wymienionej </w:t>
      </w:r>
      <w:r w:rsidRPr="00892E3C">
        <w:rPr>
          <w:lang w:eastAsia="pl-PL"/>
        </w:rPr>
        <w:t xml:space="preserve"> publikacji kontakt z zarodnikami pleśni skutkuje pojawieniem się u</w:t>
      </w:r>
      <w:r w:rsidR="00F738A7">
        <w:rPr>
          <w:lang w:eastAsia="pl-PL"/>
        </w:rPr>
        <w:t> </w:t>
      </w:r>
      <w:r w:rsidRPr="00892E3C">
        <w:rPr>
          <w:lang w:eastAsia="pl-PL"/>
        </w:rPr>
        <w:t>narażonych osób reakcji alergicznych, obniżeniem odporności organizmu i występowaniem toksycznego zespołu określanego mianem „zespołu chorego budynku”.</w:t>
      </w:r>
      <w:r w:rsidRPr="00892E3C">
        <w:t xml:space="preserve"> </w:t>
      </w:r>
      <w:r w:rsidRPr="00892E3C">
        <w:rPr>
          <w:lang w:eastAsia="pl-PL"/>
        </w:rPr>
        <w:t>Najpowszechniej w zamkniętych pomieszczeniach występują grzyby z</w:t>
      </w:r>
      <w:r w:rsidR="00F738A7">
        <w:rPr>
          <w:lang w:eastAsia="pl-PL"/>
        </w:rPr>
        <w:t> </w:t>
      </w:r>
      <w:r w:rsidRPr="00892E3C">
        <w:rPr>
          <w:lang w:eastAsia="pl-PL"/>
        </w:rPr>
        <w:t xml:space="preserve">rodzaju Cladosporium, Penicillium, Alternaria i Aspergillus. W dalszej kolejności izolowane są gatunki z rodzaju Fusarium, Acremonium, Trichoderma, Botritis, Mucor, Scopulariopsis i Trichotecium. W zawilgoconych pomieszczeniach </w:t>
      </w:r>
      <w:r w:rsidRPr="00892E3C">
        <w:rPr>
          <w:lang w:eastAsia="pl-PL"/>
        </w:rPr>
        <w:lastRenderedPageBreak/>
        <w:t>dominują pleśnie z</w:t>
      </w:r>
      <w:r w:rsidR="00F738A7">
        <w:rPr>
          <w:lang w:eastAsia="pl-PL"/>
        </w:rPr>
        <w:t> </w:t>
      </w:r>
      <w:r w:rsidRPr="00892E3C">
        <w:rPr>
          <w:lang w:eastAsia="pl-PL"/>
        </w:rPr>
        <w:t>gatunku Stachybotrys chartarum o czarnym zabarwieniu grzybni.</w:t>
      </w:r>
      <w:r w:rsidRPr="00892E3C">
        <w:t xml:space="preserve"> </w:t>
      </w:r>
      <w:r w:rsidRPr="00892E3C">
        <w:rPr>
          <w:lang w:eastAsia="pl-PL"/>
        </w:rPr>
        <w:t>Kontakt z</w:t>
      </w:r>
      <w:r w:rsidR="00F738A7">
        <w:rPr>
          <w:lang w:eastAsia="pl-PL"/>
        </w:rPr>
        <w:t> </w:t>
      </w:r>
      <w:r w:rsidRPr="00892E3C">
        <w:rPr>
          <w:lang w:eastAsia="pl-PL"/>
        </w:rPr>
        <w:t>zarodnikami pleśni, szczególnie u osób z nadwrażliwością, może prowadzić do występowania reakcji alergicznych, charakteryzujących się zaczerwienieniem, obrzękiem i zapaleniem błon śluzowych oczu i nosa. Przy ciągłym narażeniu na alergeny grzybów może dojść do utrzymywania się objawów u osób już uczulonych, a</w:t>
      </w:r>
      <w:r w:rsidR="00F738A7">
        <w:rPr>
          <w:lang w:eastAsia="pl-PL"/>
        </w:rPr>
        <w:t> </w:t>
      </w:r>
      <w:r w:rsidRPr="00892E3C">
        <w:rPr>
          <w:lang w:eastAsia="pl-PL"/>
        </w:rPr>
        <w:t>w konsekwencji, do zaostrzenia stanów alergicznych i rozwinięcia astmy oskrzelowej, często prowadzącej do niewydolności oddechowej, a nawet śmierci.</w:t>
      </w:r>
      <w:r w:rsidRPr="00892E3C">
        <w:t xml:space="preserve"> </w:t>
      </w:r>
      <w:r w:rsidRPr="00892E3C">
        <w:rPr>
          <w:lang w:eastAsia="pl-PL"/>
        </w:rPr>
        <w:t xml:space="preserve">Niektóre z toksycznych metabolitów grzybowych </w:t>
      </w:r>
      <w:r w:rsidR="009E3A2B">
        <w:rPr>
          <w:lang w:eastAsia="pl-PL"/>
        </w:rPr>
        <w:t xml:space="preserve">są </w:t>
      </w:r>
      <w:r w:rsidRPr="00892E3C">
        <w:rPr>
          <w:lang w:eastAsia="pl-PL"/>
        </w:rPr>
        <w:t>uwalniane do powietrza pod postacią lotnych związków organicznych (VOC, ang.</w:t>
      </w:r>
      <w:r w:rsidRPr="004C6410">
        <w:rPr>
          <w:iCs/>
        </w:rPr>
        <w:t xml:space="preserve"> </w:t>
      </w:r>
      <w:r w:rsidRPr="004C6410">
        <w:rPr>
          <w:iCs/>
          <w:lang w:eastAsia="pl-PL"/>
        </w:rPr>
        <w:t>Volatile Organic Compounds</w:t>
      </w:r>
      <w:r w:rsidRPr="00892E3C">
        <w:rPr>
          <w:lang w:eastAsia="pl-PL"/>
        </w:rPr>
        <w:t>), o</w:t>
      </w:r>
      <w:r w:rsidR="00F738A7">
        <w:rPr>
          <w:lang w:eastAsia="pl-PL"/>
        </w:rPr>
        <w:t> </w:t>
      </w:r>
      <w:r w:rsidRPr="00892E3C">
        <w:rPr>
          <w:lang w:eastAsia="pl-PL"/>
        </w:rPr>
        <w:t>charakterze organicznych rozpuszczalników, głównie alkoholi, ketonów, węglowodorów i związków aromatycznych o nieprzyjemnym zapachu, wytwarzanych głównie przez grzyby z rodzaju Aspergillus i Penicillium. Związki te nawet w niskich stężeniach mogą działać drażniąco na błony śluzowe oczu i dróg oddechowych oraz prowadzić do ogólnego dyskomfortu psychicznego. W odpowiedzi na zatrucie metabolitami grzybów może dojść do opuchnięcia błon śluzowych, zwężenia mięśni oddechowych gładkich, rozszerzenia powierzchniowych naczyń krwionośnych, czy też do dezorientacji i zawrotów głowy w przypadku dłuższego narażenia.</w:t>
      </w:r>
      <w:r w:rsidR="00AE5ED8">
        <w:rPr>
          <w:lang w:eastAsia="pl-PL"/>
        </w:rPr>
        <w:t xml:space="preserve"> </w:t>
      </w:r>
      <w:r w:rsidRPr="00D96EBD">
        <w:t>Pomiary stężenia zarodników grzybów w powietrzu należy prowadzić metodami objętościowymi. Za metodę referencyjną uważa się pomiar z użyciem aspiratora zderzeniowego, zasysającego 100 l</w:t>
      </w:r>
      <w:r>
        <w:t xml:space="preserve">itrów powietrza na </w:t>
      </w:r>
      <w:r w:rsidRPr="00D96EBD">
        <w:t>min</w:t>
      </w:r>
      <w:r>
        <w:t>utę</w:t>
      </w:r>
      <w:r w:rsidRPr="00D96EBD">
        <w:t>, z użyciem podłoża agarowego MEA</w:t>
      </w:r>
      <w:r w:rsidR="00AB72EA">
        <w:t>,</w:t>
      </w:r>
    </w:p>
    <w:p w14:paraId="04A55ACF" w14:textId="47DFAB9F" w:rsidR="0032456F" w:rsidRDefault="001475B4" w:rsidP="004C6410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t>b</w:t>
      </w:r>
      <w:r w:rsidRPr="00D13326">
        <w:t>ezwodnik ftalowy</w:t>
      </w:r>
      <w:r>
        <w:t>, b</w:t>
      </w:r>
      <w:r w:rsidRPr="00D13326">
        <w:t>ezwodnik maleinowy</w:t>
      </w:r>
      <w:r>
        <w:t>, o</w:t>
      </w:r>
      <w:r w:rsidRPr="00D13326">
        <w:t>ctan metylu</w:t>
      </w:r>
      <w:r>
        <w:t>, o</w:t>
      </w:r>
      <w:r w:rsidRPr="00D13326">
        <w:t>ctan propylu</w:t>
      </w:r>
      <w:r>
        <w:t>, r</w:t>
      </w:r>
      <w:r w:rsidRPr="00D13326">
        <w:t>tęć</w:t>
      </w:r>
      <w:r>
        <w:t xml:space="preserve"> </w:t>
      </w:r>
      <w:r w:rsidR="00197748">
        <w:t>–</w:t>
      </w:r>
      <w:r w:rsidR="00AB72EA">
        <w:t xml:space="preserve"> d</w:t>
      </w:r>
      <w:r w:rsidR="00AB72EA" w:rsidRPr="00AB72EA">
        <w:t>odanie ww. substancji wynika z zaleceń WHO dla jakości powietrza (</w:t>
      </w:r>
      <w:r w:rsidR="00AB72EA" w:rsidRPr="00791CAC">
        <w:rPr>
          <w:i/>
        </w:rPr>
        <w:t>Air Quality Guidelines for Europe</w:t>
      </w:r>
      <w:r w:rsidR="00AB72EA" w:rsidRPr="00AB72EA">
        <w:t xml:space="preserve">, 2000). Dla substancji rakotwórczych zakwalifikowanych przez IARC do grupy 1 i </w:t>
      </w:r>
      <w:r w:rsidR="00A841A6">
        <w:t>2</w:t>
      </w:r>
      <w:r w:rsidR="00AB72EA" w:rsidRPr="00AB72EA">
        <w:t xml:space="preserve"> oceniano całościowe ryzyko nowotworowe</w:t>
      </w:r>
      <w:r w:rsidR="00AB72EA">
        <w:t>;</w:t>
      </w:r>
    </w:p>
    <w:p w14:paraId="56997490" w14:textId="77777777" w:rsidR="006B2959" w:rsidRPr="00410280" w:rsidRDefault="00F753CA" w:rsidP="00F23500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 w:rsidRPr="00410280">
        <w:rPr>
          <w:color w:val="000000" w:themeColor="text1"/>
          <w:lang w:eastAsia="pl-PL"/>
        </w:rPr>
        <w:t>z</w:t>
      </w:r>
      <w:r w:rsidR="006B2959" w:rsidRPr="00410280">
        <w:rPr>
          <w:color w:val="000000" w:themeColor="text1"/>
          <w:lang w:eastAsia="pl-PL"/>
        </w:rPr>
        <w:t>mieniono</w:t>
      </w:r>
      <w:r w:rsidR="00567D6C" w:rsidRPr="00410280">
        <w:rPr>
          <w:color w:val="000000" w:themeColor="text1"/>
          <w:lang w:eastAsia="pl-PL"/>
        </w:rPr>
        <w:t xml:space="preserve"> dopuszczalne stężenia poszczególnych substancji</w:t>
      </w:r>
      <w:r w:rsidR="00201505" w:rsidRPr="00410280">
        <w:rPr>
          <w:color w:val="000000" w:themeColor="text1"/>
          <w:lang w:eastAsia="pl-PL"/>
        </w:rPr>
        <w:t>:</w:t>
      </w:r>
    </w:p>
    <w:p w14:paraId="5819AF73" w14:textId="77777777" w:rsidR="0029617F" w:rsidRPr="008E7FF1" w:rsidRDefault="007F6E76" w:rsidP="00C1644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a</w:t>
      </w:r>
      <w:r w:rsidR="0062562D" w:rsidRPr="008E7FF1">
        <w:rPr>
          <w:color w:val="000000" w:themeColor="text1"/>
          <w:lang w:eastAsia="pl-PL"/>
        </w:rPr>
        <w:t>moniak</w:t>
      </w:r>
      <w:r w:rsidR="00952F8A">
        <w:rPr>
          <w:color w:val="000000" w:themeColor="text1"/>
          <w:lang w:eastAsia="pl-PL"/>
        </w:rPr>
        <w:t xml:space="preserve"> –</w:t>
      </w:r>
      <w:r w:rsidR="0062562D" w:rsidRPr="008E7FF1">
        <w:rPr>
          <w:color w:val="000000" w:themeColor="text1"/>
          <w:lang w:eastAsia="pl-PL"/>
        </w:rPr>
        <w:t xml:space="preserve"> z 300 µg/m</w:t>
      </w:r>
      <w:r w:rsidR="0062562D" w:rsidRPr="008E7FF1">
        <w:rPr>
          <w:color w:val="000000" w:themeColor="text1"/>
          <w:vertAlign w:val="superscript"/>
          <w:lang w:eastAsia="pl-PL"/>
        </w:rPr>
        <w:t>3</w:t>
      </w:r>
      <w:r w:rsidR="0062562D" w:rsidRPr="008E7FF1">
        <w:rPr>
          <w:color w:val="000000" w:themeColor="text1"/>
          <w:lang w:eastAsia="pl-PL"/>
        </w:rPr>
        <w:t xml:space="preserve"> dla pomieszczeń kategorii A na 100 µg/m</w:t>
      </w:r>
      <w:r w:rsidR="0062562D" w:rsidRPr="008E7FF1">
        <w:rPr>
          <w:color w:val="000000" w:themeColor="text1"/>
          <w:vertAlign w:val="superscript"/>
          <w:lang w:eastAsia="pl-PL"/>
        </w:rPr>
        <w:t>3</w:t>
      </w:r>
      <w:r w:rsidR="00E15F70">
        <w:rPr>
          <w:color w:val="000000" w:themeColor="text1"/>
          <w:lang w:eastAsia="pl-PL"/>
        </w:rPr>
        <w:t xml:space="preserve"> –</w:t>
      </w:r>
      <w:r w:rsidR="00CB7285" w:rsidRPr="008E7FF1">
        <w:rPr>
          <w:color w:val="000000" w:themeColor="text1"/>
          <w:lang w:eastAsia="pl-PL"/>
        </w:rPr>
        <w:t xml:space="preserve"> z</w:t>
      </w:r>
      <w:r w:rsidR="0062562D" w:rsidRPr="008E7FF1">
        <w:rPr>
          <w:color w:val="000000" w:themeColor="text1"/>
          <w:lang w:eastAsia="pl-PL"/>
        </w:rPr>
        <w:t xml:space="preserve">miany ze strony układu oddechowego w warunkach długotrwałego narażenia </w:t>
      </w:r>
      <w:r w:rsidR="00E15F70" w:rsidRPr="008E7FF1">
        <w:rPr>
          <w:color w:val="000000" w:themeColor="text1"/>
          <w:lang w:eastAsia="pl-PL"/>
        </w:rPr>
        <w:t xml:space="preserve">są </w:t>
      </w:r>
      <w:r w:rsidR="0062562D" w:rsidRPr="008E7FF1">
        <w:rPr>
          <w:color w:val="000000" w:themeColor="text1"/>
          <w:lang w:eastAsia="pl-PL"/>
        </w:rPr>
        <w:t>obserwowane począwszy od stężenia 70 µg/m</w:t>
      </w:r>
      <w:r w:rsidR="0062562D" w:rsidRPr="008E7FF1">
        <w:rPr>
          <w:color w:val="000000" w:themeColor="text1"/>
          <w:vertAlign w:val="superscript"/>
          <w:lang w:eastAsia="pl-PL"/>
        </w:rPr>
        <w:t>3</w:t>
      </w:r>
      <w:r w:rsidR="00F753CA" w:rsidRPr="008E7FF1">
        <w:rPr>
          <w:color w:val="000000" w:themeColor="text1"/>
          <w:lang w:eastAsia="pl-PL"/>
        </w:rPr>
        <w:t>,</w:t>
      </w:r>
      <w:r w:rsidR="0062562D" w:rsidRPr="008E7FF1">
        <w:rPr>
          <w:color w:val="000000" w:themeColor="text1"/>
          <w:lang w:eastAsia="pl-PL"/>
        </w:rPr>
        <w:t xml:space="preserve"> </w:t>
      </w:r>
    </w:p>
    <w:p w14:paraId="6C6CA145" w14:textId="77777777" w:rsidR="0062562D" w:rsidRPr="008E7FF1" w:rsidRDefault="007F6E76" w:rsidP="00C1644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b</w:t>
      </w:r>
      <w:r w:rsidR="0062562D" w:rsidRPr="008E7FF1">
        <w:rPr>
          <w:color w:val="000000" w:themeColor="text1"/>
          <w:lang w:eastAsia="pl-PL"/>
        </w:rPr>
        <w:t>enzen</w:t>
      </w:r>
      <w:r w:rsidR="0080599C">
        <w:rPr>
          <w:color w:val="000000" w:themeColor="text1"/>
          <w:lang w:eastAsia="pl-PL"/>
        </w:rPr>
        <w:t xml:space="preserve"> –</w:t>
      </w:r>
      <w:r w:rsidR="0062562D" w:rsidRPr="008E7FF1">
        <w:rPr>
          <w:color w:val="000000" w:themeColor="text1"/>
          <w:lang w:eastAsia="pl-PL"/>
        </w:rPr>
        <w:t xml:space="preserve"> </w:t>
      </w:r>
      <w:r w:rsidR="0064119F" w:rsidRPr="008E7FF1">
        <w:rPr>
          <w:color w:val="000000" w:themeColor="text1"/>
          <w:lang w:eastAsia="pl-PL"/>
        </w:rPr>
        <w:t>z 10 µg/m</w:t>
      </w:r>
      <w:r w:rsidR="0064119F" w:rsidRPr="008E7FF1">
        <w:rPr>
          <w:color w:val="000000" w:themeColor="text1"/>
          <w:vertAlign w:val="superscript"/>
          <w:lang w:eastAsia="pl-PL"/>
        </w:rPr>
        <w:t>3</w:t>
      </w:r>
      <w:r w:rsidR="0064119F" w:rsidRPr="008E7FF1">
        <w:rPr>
          <w:color w:val="000000" w:themeColor="text1"/>
          <w:lang w:eastAsia="pl-PL"/>
        </w:rPr>
        <w:t xml:space="preserve"> dla pomieszczeń kategorii A i 20 µg/m</w:t>
      </w:r>
      <w:r w:rsidR="0064119F" w:rsidRPr="008E7FF1">
        <w:rPr>
          <w:color w:val="000000" w:themeColor="text1"/>
          <w:vertAlign w:val="superscript"/>
          <w:lang w:eastAsia="pl-PL"/>
        </w:rPr>
        <w:t xml:space="preserve">3 </w:t>
      </w:r>
      <w:r w:rsidR="0064119F" w:rsidRPr="008E7FF1">
        <w:rPr>
          <w:color w:val="000000" w:themeColor="text1"/>
          <w:lang w:eastAsia="pl-PL"/>
        </w:rPr>
        <w:t>dla pomieszczeń kategorii B na odpowiednio 5 µg/m</w:t>
      </w:r>
      <w:r w:rsidR="0064119F" w:rsidRPr="008E7FF1">
        <w:rPr>
          <w:color w:val="000000" w:themeColor="text1"/>
          <w:vertAlign w:val="superscript"/>
          <w:lang w:eastAsia="pl-PL"/>
        </w:rPr>
        <w:t>3</w:t>
      </w:r>
      <w:r w:rsidR="0064119F" w:rsidRPr="008E7FF1">
        <w:rPr>
          <w:color w:val="000000" w:themeColor="text1"/>
          <w:lang w:eastAsia="pl-PL"/>
        </w:rPr>
        <w:t xml:space="preserve"> i 10 µg/m</w:t>
      </w:r>
      <w:r w:rsidR="0064119F" w:rsidRPr="008E7FF1">
        <w:rPr>
          <w:color w:val="000000" w:themeColor="text1"/>
          <w:vertAlign w:val="superscript"/>
          <w:lang w:eastAsia="pl-PL"/>
        </w:rPr>
        <w:t>3</w:t>
      </w:r>
      <w:r w:rsidR="0080599C">
        <w:rPr>
          <w:color w:val="000000" w:themeColor="text1"/>
          <w:lang w:eastAsia="pl-PL"/>
        </w:rPr>
        <w:t xml:space="preserve"> –</w:t>
      </w:r>
      <w:r w:rsidR="0064119F" w:rsidRPr="008E7FF1">
        <w:rPr>
          <w:color w:val="000000" w:themeColor="text1"/>
          <w:lang w:eastAsia="pl-PL"/>
        </w:rPr>
        <w:t xml:space="preserve"> substancja została zakwalifikowana jako rakotwórcz</w:t>
      </w:r>
      <w:r w:rsidR="003371F8">
        <w:rPr>
          <w:color w:val="000000" w:themeColor="text1"/>
          <w:lang w:eastAsia="pl-PL"/>
        </w:rPr>
        <w:t>a</w:t>
      </w:r>
      <w:r w:rsidR="0064119F" w:rsidRPr="008E7FF1">
        <w:rPr>
          <w:color w:val="000000" w:themeColor="text1"/>
          <w:lang w:eastAsia="pl-PL"/>
        </w:rPr>
        <w:t xml:space="preserve"> kategorii 1 A/B lub kategorii 2. Nadmierne stężenie benzenu w powietrzu pomieszczeń na poziomie 1,7 µg/m</w:t>
      </w:r>
      <w:r w:rsidR="0064119F" w:rsidRPr="008E7FF1">
        <w:rPr>
          <w:color w:val="000000" w:themeColor="text1"/>
          <w:vertAlign w:val="superscript"/>
          <w:lang w:eastAsia="pl-PL"/>
        </w:rPr>
        <w:t>3</w:t>
      </w:r>
      <w:r w:rsidR="0064119F" w:rsidRPr="008E7FF1">
        <w:rPr>
          <w:color w:val="000000" w:themeColor="text1"/>
          <w:lang w:eastAsia="pl-PL"/>
        </w:rPr>
        <w:t>(WHO Guidelines for indoor air quality</w:t>
      </w:r>
      <w:r w:rsidR="0080599C">
        <w:rPr>
          <w:color w:val="000000" w:themeColor="text1"/>
          <w:lang w:eastAsia="pl-PL"/>
        </w:rPr>
        <w:t>:</w:t>
      </w:r>
      <w:r w:rsidR="0064119F" w:rsidRPr="008E7FF1">
        <w:rPr>
          <w:color w:val="000000" w:themeColor="text1"/>
          <w:lang w:eastAsia="pl-PL"/>
        </w:rPr>
        <w:t xml:space="preserve"> selected pollutants, Kopenhaga, 2010) implikuje nadwyżkę całożyciowego ryzyka nowotworu złośliwego o</w:t>
      </w:r>
      <w:r w:rsidR="00E076D1" w:rsidRPr="008E7FF1">
        <w:rPr>
          <w:color w:val="000000" w:themeColor="text1"/>
          <w:lang w:eastAsia="pl-PL"/>
        </w:rPr>
        <w:t> </w:t>
      </w:r>
      <w:r w:rsidR="0064119F" w:rsidRPr="008E7FF1">
        <w:rPr>
          <w:color w:val="000000" w:themeColor="text1"/>
          <w:lang w:eastAsia="pl-PL"/>
        </w:rPr>
        <w:t xml:space="preserve">1/100 000. Benzen może przenikać do powietrza nie tylko z materiałów </w:t>
      </w:r>
      <w:r w:rsidR="0064119F" w:rsidRPr="008E7FF1">
        <w:rPr>
          <w:color w:val="000000" w:themeColor="text1"/>
          <w:lang w:eastAsia="pl-PL"/>
        </w:rPr>
        <w:lastRenderedPageBreak/>
        <w:t>budowlanych (z</w:t>
      </w:r>
      <w:r w:rsidR="00E076D1" w:rsidRPr="008E7FF1">
        <w:rPr>
          <w:color w:val="000000" w:themeColor="text1"/>
          <w:lang w:eastAsia="pl-PL"/>
        </w:rPr>
        <w:t> </w:t>
      </w:r>
      <w:r w:rsidR="0064119F" w:rsidRPr="008E7FF1">
        <w:rPr>
          <w:color w:val="000000" w:themeColor="text1"/>
          <w:lang w:eastAsia="pl-PL"/>
        </w:rPr>
        <w:t>których nie wszystkie podlegają ocenie higienicznej i spełniają wymóg ograniczenia zawartości benzenu w materiałac</w:t>
      </w:r>
      <w:r w:rsidR="00E076D1" w:rsidRPr="008E7FF1">
        <w:rPr>
          <w:color w:val="000000" w:themeColor="text1"/>
          <w:lang w:eastAsia="pl-PL"/>
        </w:rPr>
        <w:t>h budowlanych do 0,1% ic</w:t>
      </w:r>
      <w:r w:rsidR="00F753CA" w:rsidRPr="008E7FF1">
        <w:rPr>
          <w:color w:val="000000" w:themeColor="text1"/>
          <w:lang w:eastAsia="pl-PL"/>
        </w:rPr>
        <w:t>h masy),</w:t>
      </w:r>
    </w:p>
    <w:p w14:paraId="1E73D3BF" w14:textId="77777777" w:rsidR="0064119F" w:rsidRPr="008E7FF1" w:rsidRDefault="007F6E76" w:rsidP="00C1644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f</w:t>
      </w:r>
      <w:r w:rsidR="0064119F" w:rsidRPr="008E7FF1">
        <w:rPr>
          <w:color w:val="000000" w:themeColor="text1"/>
          <w:lang w:eastAsia="pl-PL"/>
        </w:rPr>
        <w:t>talan dibutylu</w:t>
      </w:r>
      <w:r w:rsidR="0080599C">
        <w:rPr>
          <w:color w:val="000000" w:themeColor="text1"/>
          <w:lang w:eastAsia="pl-PL"/>
        </w:rPr>
        <w:t xml:space="preserve"> –</w:t>
      </w:r>
      <w:r w:rsidR="00A046C4" w:rsidRPr="008E7FF1">
        <w:rPr>
          <w:color w:val="000000" w:themeColor="text1"/>
          <w:lang w:eastAsia="pl-PL"/>
        </w:rPr>
        <w:t xml:space="preserve"> z 100 µg/m</w:t>
      </w:r>
      <w:r w:rsidR="00A046C4" w:rsidRPr="008E7FF1">
        <w:rPr>
          <w:color w:val="000000" w:themeColor="text1"/>
          <w:vertAlign w:val="superscript"/>
          <w:lang w:eastAsia="pl-PL"/>
        </w:rPr>
        <w:t>3</w:t>
      </w:r>
      <w:r w:rsidR="00A046C4" w:rsidRPr="008E7FF1">
        <w:rPr>
          <w:color w:val="000000" w:themeColor="text1"/>
          <w:lang w:eastAsia="pl-PL"/>
        </w:rPr>
        <w:t xml:space="preserve"> dla pomieszczeń kategorii A i 150 µg/m</w:t>
      </w:r>
      <w:r w:rsidR="00A046C4" w:rsidRPr="008E7FF1">
        <w:rPr>
          <w:color w:val="000000" w:themeColor="text1"/>
          <w:vertAlign w:val="superscript"/>
          <w:lang w:eastAsia="pl-PL"/>
        </w:rPr>
        <w:t xml:space="preserve">3 </w:t>
      </w:r>
      <w:r w:rsidR="00A046C4" w:rsidRPr="008E7FF1">
        <w:rPr>
          <w:color w:val="000000" w:themeColor="text1"/>
          <w:lang w:eastAsia="pl-PL"/>
        </w:rPr>
        <w:t>dla pomieszczeń kategorii B na odpowiednio 20 µg/m</w:t>
      </w:r>
      <w:r w:rsidR="00A046C4" w:rsidRPr="008E7FF1">
        <w:rPr>
          <w:color w:val="000000" w:themeColor="text1"/>
          <w:vertAlign w:val="superscript"/>
          <w:lang w:eastAsia="pl-PL"/>
        </w:rPr>
        <w:t>3</w:t>
      </w:r>
      <w:r w:rsidR="00A046C4" w:rsidRPr="008E7FF1">
        <w:rPr>
          <w:color w:val="000000" w:themeColor="text1"/>
          <w:lang w:eastAsia="pl-PL"/>
        </w:rPr>
        <w:t xml:space="preserve"> i 50 µg/m</w:t>
      </w:r>
      <w:r w:rsidR="00A046C4" w:rsidRPr="008E7FF1">
        <w:rPr>
          <w:color w:val="000000" w:themeColor="text1"/>
          <w:vertAlign w:val="superscript"/>
          <w:lang w:eastAsia="pl-PL"/>
        </w:rPr>
        <w:t>3</w:t>
      </w:r>
      <w:r w:rsidR="0080599C">
        <w:rPr>
          <w:color w:val="000000" w:themeColor="text1"/>
          <w:lang w:eastAsia="pl-PL"/>
        </w:rPr>
        <w:t xml:space="preserve"> –</w:t>
      </w:r>
      <w:r w:rsidR="00A046C4" w:rsidRPr="008E7FF1">
        <w:rPr>
          <w:color w:val="000000" w:themeColor="text1"/>
          <w:lang w:eastAsia="pl-PL"/>
        </w:rPr>
        <w:t xml:space="preserve"> substancja została zakwalifikowana</w:t>
      </w:r>
      <w:r w:rsidR="00CB7285" w:rsidRPr="008E7FF1">
        <w:rPr>
          <w:color w:val="000000" w:themeColor="text1"/>
          <w:lang w:eastAsia="pl-PL"/>
        </w:rPr>
        <w:t xml:space="preserve"> jako rakotwórcza</w:t>
      </w:r>
      <w:r w:rsidR="00A046C4" w:rsidRPr="008E7FF1">
        <w:rPr>
          <w:color w:val="000000" w:themeColor="text1"/>
          <w:lang w:eastAsia="pl-PL"/>
        </w:rPr>
        <w:t xml:space="preserve"> kategorii 1 A/B lub kategorii 2</w:t>
      </w:r>
      <w:r w:rsidR="00F753CA" w:rsidRPr="008E7FF1">
        <w:rPr>
          <w:color w:val="000000" w:themeColor="text1"/>
          <w:lang w:eastAsia="pl-PL"/>
        </w:rPr>
        <w:t>,</w:t>
      </w:r>
    </w:p>
    <w:p w14:paraId="5C8F0DA4" w14:textId="77777777" w:rsidR="00567D6C" w:rsidRPr="008E7FF1" w:rsidRDefault="007F6E76" w:rsidP="0057438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n</w:t>
      </w:r>
      <w:r w:rsidR="00CB7285" w:rsidRPr="008E7FF1">
        <w:rPr>
          <w:color w:val="000000" w:themeColor="text1"/>
          <w:lang w:eastAsia="pl-PL"/>
        </w:rPr>
        <w:t>aftal</w:t>
      </w:r>
      <w:r w:rsidR="00393995">
        <w:rPr>
          <w:color w:val="000000" w:themeColor="text1"/>
          <w:lang w:eastAsia="pl-PL"/>
        </w:rPr>
        <w:t>e</w:t>
      </w:r>
      <w:r w:rsidR="00CB7285" w:rsidRPr="008E7FF1">
        <w:rPr>
          <w:color w:val="000000" w:themeColor="text1"/>
          <w:lang w:eastAsia="pl-PL"/>
        </w:rPr>
        <w:t>n i jego pochodne alkilo</w:t>
      </w:r>
      <w:r w:rsidR="00050BF1" w:rsidRPr="008E7FF1">
        <w:rPr>
          <w:color w:val="000000" w:themeColor="text1"/>
          <w:lang w:eastAsia="pl-PL"/>
        </w:rPr>
        <w:t>we</w:t>
      </w:r>
      <w:r w:rsidR="0080599C">
        <w:rPr>
          <w:color w:val="000000" w:themeColor="text1"/>
          <w:lang w:eastAsia="pl-PL"/>
        </w:rPr>
        <w:t xml:space="preserve"> </w:t>
      </w:r>
      <w:r w:rsidR="00393995">
        <w:rPr>
          <w:color w:val="000000" w:themeColor="text1"/>
          <w:lang w:eastAsia="pl-PL"/>
        </w:rPr>
        <w:t>–</w:t>
      </w:r>
      <w:r w:rsidR="00CB7285" w:rsidRPr="008E7FF1">
        <w:rPr>
          <w:color w:val="000000" w:themeColor="text1"/>
          <w:lang w:eastAsia="pl-PL"/>
        </w:rPr>
        <w:t xml:space="preserve"> </w:t>
      </w:r>
      <w:r w:rsidR="00045F6A" w:rsidRPr="008E7FF1">
        <w:rPr>
          <w:color w:val="000000" w:themeColor="text1"/>
          <w:lang w:eastAsia="pl-PL"/>
        </w:rPr>
        <w:t>z 100 µg/m</w:t>
      </w:r>
      <w:r w:rsidR="00045F6A" w:rsidRPr="008E7FF1">
        <w:rPr>
          <w:color w:val="000000" w:themeColor="text1"/>
          <w:vertAlign w:val="superscript"/>
          <w:lang w:eastAsia="pl-PL"/>
        </w:rPr>
        <w:t>3</w:t>
      </w:r>
      <w:r w:rsidR="00045F6A" w:rsidRPr="008E7FF1">
        <w:rPr>
          <w:color w:val="000000" w:themeColor="text1"/>
          <w:lang w:eastAsia="pl-PL"/>
        </w:rPr>
        <w:t xml:space="preserve"> dla pomieszczeń kategorii A i 150 µg/m</w:t>
      </w:r>
      <w:r w:rsidR="00045F6A" w:rsidRPr="008E7FF1">
        <w:rPr>
          <w:color w:val="000000" w:themeColor="text1"/>
          <w:vertAlign w:val="superscript"/>
          <w:lang w:eastAsia="pl-PL"/>
        </w:rPr>
        <w:t xml:space="preserve">3 </w:t>
      </w:r>
      <w:r w:rsidR="00045F6A" w:rsidRPr="008E7FF1">
        <w:rPr>
          <w:color w:val="000000" w:themeColor="text1"/>
          <w:lang w:eastAsia="pl-PL"/>
        </w:rPr>
        <w:t>dla pomieszczeń kategorii B na odpowiednio 10 µg/m</w:t>
      </w:r>
      <w:r w:rsidR="00045F6A" w:rsidRPr="008E7FF1">
        <w:rPr>
          <w:color w:val="000000" w:themeColor="text1"/>
          <w:vertAlign w:val="superscript"/>
          <w:lang w:eastAsia="pl-PL"/>
        </w:rPr>
        <w:t>3</w:t>
      </w:r>
      <w:r w:rsidR="00045F6A" w:rsidRPr="008E7FF1">
        <w:rPr>
          <w:color w:val="000000" w:themeColor="text1"/>
          <w:lang w:eastAsia="pl-PL"/>
        </w:rPr>
        <w:t xml:space="preserve"> i 15 µg/m</w:t>
      </w:r>
      <w:r w:rsidR="00045F6A" w:rsidRPr="008E7FF1">
        <w:rPr>
          <w:color w:val="000000" w:themeColor="text1"/>
          <w:vertAlign w:val="superscript"/>
          <w:lang w:eastAsia="pl-PL"/>
        </w:rPr>
        <w:t>3</w:t>
      </w:r>
      <w:r w:rsidR="00F866F5" w:rsidRPr="008E7FF1">
        <w:rPr>
          <w:color w:val="000000" w:themeColor="text1"/>
          <w:lang w:eastAsia="pl-PL"/>
        </w:rPr>
        <w:t xml:space="preserve">. </w:t>
      </w:r>
      <w:r w:rsidR="00567D6C" w:rsidRPr="008E7FF1">
        <w:rPr>
          <w:color w:val="000000" w:themeColor="text1"/>
          <w:lang w:eastAsia="pl-PL"/>
        </w:rPr>
        <w:t>Związek ten charakteryzuje się wysoką lotnością. Powoduje reakcję cytotoksyczno-zapalną w</w:t>
      </w:r>
      <w:r w:rsidR="00604B12" w:rsidRPr="008E7FF1">
        <w:rPr>
          <w:color w:val="000000" w:themeColor="text1"/>
          <w:lang w:eastAsia="pl-PL"/>
        </w:rPr>
        <w:t> </w:t>
      </w:r>
      <w:r w:rsidR="00567D6C" w:rsidRPr="008E7FF1">
        <w:rPr>
          <w:color w:val="000000" w:themeColor="text1"/>
          <w:lang w:eastAsia="pl-PL"/>
        </w:rPr>
        <w:t>obrębie błony śluzowej nosa, z cechami metaplazji nabłonka węchowego i</w:t>
      </w:r>
      <w:r w:rsidR="00604B12" w:rsidRPr="008E7FF1">
        <w:rPr>
          <w:color w:val="000000" w:themeColor="text1"/>
          <w:lang w:eastAsia="pl-PL"/>
        </w:rPr>
        <w:t> </w:t>
      </w:r>
      <w:r w:rsidR="00567D6C" w:rsidRPr="008E7FF1">
        <w:rPr>
          <w:color w:val="000000" w:themeColor="text1"/>
          <w:lang w:eastAsia="pl-PL"/>
        </w:rPr>
        <w:t>proliferacyjnymi procesami naprawczymi (efekt krytyczny), która w badaniach doświadczalnych na zwierzętach jest uchwytna począwszy od stężenia naftalenu w</w:t>
      </w:r>
      <w:r w:rsidR="00604B12" w:rsidRPr="008E7FF1">
        <w:rPr>
          <w:color w:val="000000" w:themeColor="text1"/>
          <w:lang w:eastAsia="pl-PL"/>
        </w:rPr>
        <w:t> </w:t>
      </w:r>
      <w:r w:rsidR="00567D6C" w:rsidRPr="008E7FF1">
        <w:rPr>
          <w:color w:val="000000" w:themeColor="text1"/>
          <w:lang w:eastAsia="pl-PL"/>
        </w:rPr>
        <w:t>powietrzu na poziomie 5</w:t>
      </w:r>
      <w:r w:rsidR="00E076D1" w:rsidRPr="008E7FF1">
        <w:rPr>
          <w:color w:val="000000" w:themeColor="text1"/>
          <w:lang w:eastAsia="pl-PL"/>
        </w:rPr>
        <w:t> </w:t>
      </w:r>
      <w:r w:rsidR="00567D6C" w:rsidRPr="008E7FF1">
        <w:rPr>
          <w:color w:val="000000" w:themeColor="text1"/>
          <w:lang w:eastAsia="pl-PL"/>
        </w:rPr>
        <w:t>mg/m</w:t>
      </w:r>
      <w:r w:rsidR="00567D6C" w:rsidRPr="00934D89">
        <w:rPr>
          <w:color w:val="000000" w:themeColor="text1"/>
          <w:vertAlign w:val="superscript"/>
          <w:lang w:eastAsia="pl-PL"/>
        </w:rPr>
        <w:t>3</w:t>
      </w:r>
      <w:r w:rsidR="00567D6C" w:rsidRPr="008E7FF1">
        <w:rPr>
          <w:color w:val="000000" w:themeColor="text1"/>
          <w:lang w:eastAsia="pl-PL"/>
        </w:rPr>
        <w:t>. Przy zastosowaniu czynników niepewności (przeliczenie czasu ekspozycji z</w:t>
      </w:r>
      <w:r w:rsidR="00E076D1" w:rsidRPr="008E7FF1">
        <w:rPr>
          <w:color w:val="000000" w:themeColor="text1"/>
          <w:lang w:eastAsia="pl-PL"/>
        </w:rPr>
        <w:t> </w:t>
      </w:r>
      <w:r w:rsidR="00567D6C" w:rsidRPr="008E7FF1">
        <w:rPr>
          <w:color w:val="000000" w:themeColor="text1"/>
          <w:lang w:eastAsia="pl-PL"/>
        </w:rPr>
        <w:t>kilkugodzinnej na całodobową, posłużenie się podczas badań szczurami ze szczepu mniej podanego na efekt toksyczny, różnice międzygatunkowe i</w:t>
      </w:r>
      <w:r w:rsidR="000C388C">
        <w:rPr>
          <w:color w:val="000000" w:themeColor="text1"/>
          <w:lang w:eastAsia="pl-PL"/>
        </w:rPr>
        <w:t> </w:t>
      </w:r>
      <w:r w:rsidR="00567D6C" w:rsidRPr="008E7FF1">
        <w:rPr>
          <w:color w:val="000000" w:themeColor="text1"/>
          <w:lang w:eastAsia="pl-PL"/>
        </w:rPr>
        <w:t>wewnątrzgatunkowe podatności na efekt toksyczny, niepełne dane dotyczące szkodliwości naftalenu dla dzieci) najwyższe akceptowalne stężenie naftalenu w</w:t>
      </w:r>
      <w:r w:rsidR="000C388C">
        <w:rPr>
          <w:color w:val="000000" w:themeColor="text1"/>
          <w:lang w:eastAsia="pl-PL"/>
        </w:rPr>
        <w:t> </w:t>
      </w:r>
      <w:r w:rsidR="00567D6C" w:rsidRPr="008E7FF1">
        <w:rPr>
          <w:color w:val="000000" w:themeColor="text1"/>
          <w:lang w:eastAsia="pl-PL"/>
        </w:rPr>
        <w:t>powietrzu pomieszczeń, określone na podstawie kryterium zdrowotnego wynosi 30</w:t>
      </w:r>
      <w:r w:rsidR="000C388C">
        <w:rPr>
          <w:color w:val="000000" w:themeColor="text1"/>
          <w:lang w:eastAsia="pl-PL"/>
        </w:rPr>
        <w:t> </w:t>
      </w:r>
      <w:r w:rsidR="00567D6C" w:rsidRPr="008E7FF1">
        <w:rPr>
          <w:color w:val="000000" w:themeColor="text1"/>
          <w:lang w:eastAsia="pl-PL"/>
        </w:rPr>
        <w:t>µg/m</w:t>
      </w:r>
      <w:r w:rsidR="00567D6C" w:rsidRPr="008E7FF1">
        <w:rPr>
          <w:color w:val="000000" w:themeColor="text1"/>
          <w:vertAlign w:val="superscript"/>
          <w:lang w:eastAsia="pl-PL"/>
        </w:rPr>
        <w:t>3</w:t>
      </w:r>
      <w:r w:rsidR="00567D6C" w:rsidRPr="008E7FF1">
        <w:rPr>
          <w:color w:val="000000" w:themeColor="text1"/>
          <w:lang w:eastAsia="pl-PL"/>
        </w:rPr>
        <w:t>. Jednak większość państw członkowskich U</w:t>
      </w:r>
      <w:r w:rsidR="00855A3B">
        <w:rPr>
          <w:color w:val="000000" w:themeColor="text1"/>
          <w:lang w:eastAsia="pl-PL"/>
        </w:rPr>
        <w:t xml:space="preserve">nii </w:t>
      </w:r>
      <w:r w:rsidR="00567D6C" w:rsidRPr="008E7FF1">
        <w:rPr>
          <w:color w:val="000000" w:themeColor="text1"/>
          <w:lang w:eastAsia="pl-PL"/>
        </w:rPr>
        <w:t>E</w:t>
      </w:r>
      <w:r w:rsidR="00855A3B">
        <w:rPr>
          <w:color w:val="000000" w:themeColor="text1"/>
          <w:lang w:eastAsia="pl-PL"/>
        </w:rPr>
        <w:t>uropejskiej</w:t>
      </w:r>
      <w:r w:rsidR="00567D6C" w:rsidRPr="008E7FF1">
        <w:rPr>
          <w:color w:val="000000" w:themeColor="text1"/>
          <w:lang w:eastAsia="pl-PL"/>
        </w:rPr>
        <w:t xml:space="preserve">, jak również WHO, kierując się zasadą ostrożności przyjęło w swoich regulacjach niższe wartości: Niemcy </w:t>
      </w:r>
      <w:r w:rsidR="00855A3B">
        <w:rPr>
          <w:color w:val="000000" w:themeColor="text1"/>
          <w:lang w:eastAsia="pl-PL"/>
        </w:rPr>
        <w:t>–</w:t>
      </w:r>
      <w:r w:rsidR="00567D6C" w:rsidRPr="008E7FF1">
        <w:rPr>
          <w:color w:val="000000" w:themeColor="text1"/>
          <w:lang w:eastAsia="pl-PL"/>
        </w:rPr>
        <w:t>10 µg/m</w:t>
      </w:r>
      <w:r w:rsidR="00567D6C" w:rsidRPr="008E7FF1">
        <w:rPr>
          <w:color w:val="000000" w:themeColor="text1"/>
          <w:vertAlign w:val="superscript"/>
          <w:lang w:eastAsia="pl-PL"/>
        </w:rPr>
        <w:t>3</w:t>
      </w:r>
      <w:r w:rsidR="00567D6C" w:rsidRPr="008E7FF1">
        <w:rPr>
          <w:color w:val="000000" w:themeColor="text1"/>
          <w:lang w:eastAsia="pl-PL"/>
        </w:rPr>
        <w:t xml:space="preserve"> (30 µg/m</w:t>
      </w:r>
      <w:r w:rsidR="00567D6C" w:rsidRPr="008E7FF1">
        <w:rPr>
          <w:color w:val="000000" w:themeColor="text1"/>
          <w:vertAlign w:val="superscript"/>
          <w:lang w:eastAsia="pl-PL"/>
        </w:rPr>
        <w:t>3</w:t>
      </w:r>
      <w:r w:rsidR="00567D6C" w:rsidRPr="008E7FF1">
        <w:rPr>
          <w:color w:val="000000" w:themeColor="text1"/>
          <w:lang w:eastAsia="pl-PL"/>
        </w:rPr>
        <w:t xml:space="preserve"> utrzymano jako wartość opartą na kryterium zdrowotnym); Holandia </w:t>
      </w:r>
      <w:r w:rsidR="00855A3B">
        <w:rPr>
          <w:color w:val="000000" w:themeColor="text1"/>
          <w:lang w:eastAsia="pl-PL"/>
        </w:rPr>
        <w:t>–</w:t>
      </w:r>
      <w:r w:rsidR="00567D6C" w:rsidRPr="008E7FF1">
        <w:rPr>
          <w:color w:val="000000" w:themeColor="text1"/>
          <w:lang w:eastAsia="pl-PL"/>
        </w:rPr>
        <w:t xml:space="preserve"> 25 µg/m</w:t>
      </w:r>
      <w:r w:rsidR="00567D6C" w:rsidRPr="008E7FF1">
        <w:rPr>
          <w:color w:val="000000" w:themeColor="text1"/>
          <w:vertAlign w:val="superscript"/>
          <w:lang w:eastAsia="pl-PL"/>
        </w:rPr>
        <w:t>3</w:t>
      </w:r>
      <w:r w:rsidR="00567D6C" w:rsidRPr="008E7FF1">
        <w:rPr>
          <w:color w:val="000000" w:themeColor="text1"/>
          <w:lang w:eastAsia="pl-PL"/>
        </w:rPr>
        <w:t xml:space="preserve">; Francja </w:t>
      </w:r>
      <w:r w:rsidR="00855A3B">
        <w:rPr>
          <w:color w:val="000000" w:themeColor="text1"/>
          <w:lang w:eastAsia="pl-PL"/>
        </w:rPr>
        <w:t>–</w:t>
      </w:r>
      <w:r w:rsidR="00567D6C" w:rsidRPr="008E7FF1">
        <w:rPr>
          <w:color w:val="000000" w:themeColor="text1"/>
          <w:lang w:eastAsia="pl-PL"/>
        </w:rPr>
        <w:t>10 µg/m</w:t>
      </w:r>
      <w:r w:rsidR="00567D6C" w:rsidRPr="008E7FF1">
        <w:rPr>
          <w:color w:val="000000" w:themeColor="text1"/>
          <w:vertAlign w:val="superscript"/>
          <w:lang w:eastAsia="pl-PL"/>
        </w:rPr>
        <w:t>3</w:t>
      </w:r>
      <w:r w:rsidR="00567D6C" w:rsidRPr="008E7FF1">
        <w:rPr>
          <w:color w:val="000000" w:themeColor="text1"/>
          <w:lang w:eastAsia="pl-PL"/>
        </w:rPr>
        <w:t xml:space="preserve">, Kanada </w:t>
      </w:r>
      <w:r w:rsidR="00855A3B">
        <w:rPr>
          <w:color w:val="000000" w:themeColor="text1"/>
          <w:lang w:eastAsia="pl-PL"/>
        </w:rPr>
        <w:t>–</w:t>
      </w:r>
      <w:r w:rsidR="00567D6C" w:rsidRPr="008E7FF1">
        <w:rPr>
          <w:color w:val="000000" w:themeColor="text1"/>
          <w:lang w:eastAsia="pl-PL"/>
        </w:rPr>
        <w:t>10 µg/m</w:t>
      </w:r>
      <w:r w:rsidR="00567D6C" w:rsidRPr="008E7FF1">
        <w:rPr>
          <w:color w:val="000000" w:themeColor="text1"/>
          <w:vertAlign w:val="superscript"/>
          <w:lang w:eastAsia="pl-PL"/>
        </w:rPr>
        <w:t>3</w:t>
      </w:r>
      <w:r w:rsidR="00567D6C" w:rsidRPr="008E7FF1">
        <w:rPr>
          <w:color w:val="000000" w:themeColor="text1"/>
          <w:lang w:eastAsia="pl-PL"/>
        </w:rPr>
        <w:t xml:space="preserve">, WHO </w:t>
      </w:r>
      <w:r w:rsidR="00855A3B">
        <w:rPr>
          <w:color w:val="000000" w:themeColor="text1"/>
          <w:lang w:eastAsia="pl-PL"/>
        </w:rPr>
        <w:t>–</w:t>
      </w:r>
      <w:r w:rsidR="00567D6C" w:rsidRPr="008E7FF1">
        <w:rPr>
          <w:color w:val="000000" w:themeColor="text1"/>
          <w:lang w:eastAsia="pl-PL"/>
        </w:rPr>
        <w:t xml:space="preserve"> 10 µg/m</w:t>
      </w:r>
      <w:r w:rsidR="00567D6C" w:rsidRPr="00AE5ED8">
        <w:rPr>
          <w:color w:val="000000" w:themeColor="text1"/>
          <w:vertAlign w:val="superscript"/>
          <w:lang w:eastAsia="pl-PL"/>
        </w:rPr>
        <w:t>3</w:t>
      </w:r>
      <w:r w:rsidR="00567D6C" w:rsidRPr="008E7FF1">
        <w:rPr>
          <w:color w:val="000000" w:themeColor="text1"/>
          <w:lang w:eastAsia="pl-PL"/>
        </w:rPr>
        <w:t>. Efektu tego dotychczas nie potwierdzono u ludzi. W U</w:t>
      </w:r>
      <w:r w:rsidR="00855A3B">
        <w:rPr>
          <w:color w:val="000000" w:themeColor="text1"/>
          <w:lang w:eastAsia="pl-PL"/>
        </w:rPr>
        <w:t xml:space="preserve">nii </w:t>
      </w:r>
      <w:r w:rsidR="00567D6C" w:rsidRPr="008E7FF1">
        <w:rPr>
          <w:color w:val="000000" w:themeColor="text1"/>
          <w:lang w:eastAsia="pl-PL"/>
        </w:rPr>
        <w:t>E</w:t>
      </w:r>
      <w:r w:rsidR="00855A3B">
        <w:rPr>
          <w:color w:val="000000" w:themeColor="text1"/>
          <w:lang w:eastAsia="pl-PL"/>
        </w:rPr>
        <w:t>uropejskiej</w:t>
      </w:r>
      <w:r w:rsidR="00567D6C" w:rsidRPr="008E7FF1">
        <w:rPr>
          <w:color w:val="000000" w:themeColor="text1"/>
          <w:lang w:eastAsia="pl-PL"/>
        </w:rPr>
        <w:t xml:space="preserve"> naftalen został uznany za substancję rakotwórczą kat</w:t>
      </w:r>
      <w:r w:rsidR="003371F8">
        <w:rPr>
          <w:color w:val="000000" w:themeColor="text1"/>
          <w:lang w:eastAsia="pl-PL"/>
        </w:rPr>
        <w:t>egorii</w:t>
      </w:r>
      <w:r w:rsidR="00567D6C" w:rsidRPr="008E7FF1">
        <w:rPr>
          <w:color w:val="000000" w:themeColor="text1"/>
          <w:lang w:eastAsia="pl-PL"/>
        </w:rPr>
        <w:t xml:space="preserve"> 2 (podejrzewane działanie rakotwórcze dla człowieka), analogicznie został zaklasyfikowany przez </w:t>
      </w:r>
      <w:r w:rsidR="00574381" w:rsidRPr="00574381">
        <w:rPr>
          <w:color w:val="000000" w:themeColor="text1"/>
          <w:lang w:eastAsia="pl-PL"/>
        </w:rPr>
        <w:t>Międzynarodow</w:t>
      </w:r>
      <w:r w:rsidR="00574381">
        <w:rPr>
          <w:color w:val="000000" w:themeColor="text1"/>
          <w:lang w:eastAsia="pl-PL"/>
        </w:rPr>
        <w:t>ą Agencję</w:t>
      </w:r>
      <w:r w:rsidR="00574381" w:rsidRPr="00574381">
        <w:rPr>
          <w:color w:val="000000" w:themeColor="text1"/>
          <w:lang w:eastAsia="pl-PL"/>
        </w:rPr>
        <w:t xml:space="preserve"> Badań nad Rakiem </w:t>
      </w:r>
      <w:r w:rsidR="00567D6C" w:rsidRPr="008E7FF1">
        <w:rPr>
          <w:color w:val="000000" w:themeColor="text1"/>
          <w:lang w:eastAsia="pl-PL"/>
        </w:rPr>
        <w:t>(możliwe działanie rakotwórcze dla człowieka, grupa 2B). Innym istotnym efektem toksycznym naftalenu jest niedokrwistość hemolityczna, na któr</w:t>
      </w:r>
      <w:r w:rsidR="00855A3B">
        <w:rPr>
          <w:color w:val="000000" w:themeColor="text1"/>
          <w:lang w:eastAsia="pl-PL"/>
        </w:rPr>
        <w:t>ą</w:t>
      </w:r>
      <w:r w:rsidR="00567D6C" w:rsidRPr="008E7FF1">
        <w:rPr>
          <w:color w:val="000000" w:themeColor="text1"/>
          <w:lang w:eastAsia="pl-PL"/>
        </w:rPr>
        <w:t xml:space="preserve"> narażone są w</w:t>
      </w:r>
      <w:r w:rsidR="00574381">
        <w:rPr>
          <w:color w:val="000000" w:themeColor="text1"/>
          <w:lang w:eastAsia="pl-PL"/>
        </w:rPr>
        <w:t> </w:t>
      </w:r>
      <w:r w:rsidR="00567D6C" w:rsidRPr="008E7FF1">
        <w:rPr>
          <w:color w:val="000000" w:themeColor="text1"/>
          <w:lang w:eastAsia="pl-PL"/>
        </w:rPr>
        <w:t>największym stopniu niemowlęta (niedojrzałe układy enzymatyczne metabolizujące naftalen) i osoby z</w:t>
      </w:r>
      <w:r w:rsidR="00574381">
        <w:rPr>
          <w:color w:val="000000" w:themeColor="text1"/>
          <w:lang w:eastAsia="pl-PL"/>
        </w:rPr>
        <w:t> </w:t>
      </w:r>
      <w:r w:rsidR="00567D6C" w:rsidRPr="008E7FF1">
        <w:rPr>
          <w:color w:val="000000" w:themeColor="text1"/>
          <w:lang w:eastAsia="pl-PL"/>
        </w:rPr>
        <w:t>genetycznie uwarunkowanym niedoborem dehydrogenazy glukozo-6-fosforanowej. Przyjmuje się, że wartości stężeń w powietrzu chroniące przed zmianami zapalnymi błony śluzowej górnych dróg oddechowych zapewniają ochronę także przed poten</w:t>
      </w:r>
      <w:r w:rsidR="00F753CA" w:rsidRPr="008E7FF1">
        <w:rPr>
          <w:color w:val="000000" w:themeColor="text1"/>
          <w:lang w:eastAsia="pl-PL"/>
        </w:rPr>
        <w:t>cjalnym działaniem rakotwórczym,</w:t>
      </w:r>
    </w:p>
    <w:p w14:paraId="770B42D0" w14:textId="130D1405" w:rsidR="00A046C4" w:rsidRPr="008E7FF1" w:rsidRDefault="007F6E76" w:rsidP="00C1644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p</w:t>
      </w:r>
      <w:r w:rsidR="00A046C4" w:rsidRPr="008E7FF1">
        <w:rPr>
          <w:color w:val="000000" w:themeColor="text1"/>
          <w:lang w:eastAsia="pl-PL"/>
        </w:rPr>
        <w:t>entachlorofenol</w:t>
      </w:r>
      <w:r w:rsidR="00756BA2" w:rsidRPr="008E7FF1">
        <w:rPr>
          <w:color w:val="000000" w:themeColor="text1"/>
          <w:lang w:eastAsia="pl-PL"/>
        </w:rPr>
        <w:t>,</w:t>
      </w:r>
      <w:r w:rsidR="00756BA2" w:rsidRPr="008E7FF1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="00756BA2" w:rsidRPr="008E7FF1">
        <w:rPr>
          <w:color w:val="000000" w:themeColor="text1"/>
          <w:lang w:eastAsia="pl-PL"/>
        </w:rPr>
        <w:t xml:space="preserve">talan dibutylu, </w:t>
      </w:r>
      <w:r>
        <w:rPr>
          <w:color w:val="000000" w:themeColor="text1"/>
          <w:lang w:eastAsia="pl-PL"/>
        </w:rPr>
        <w:t>t</w:t>
      </w:r>
      <w:r w:rsidR="00756BA2" w:rsidRPr="008E7FF1">
        <w:rPr>
          <w:color w:val="000000" w:themeColor="text1"/>
          <w:lang w:eastAsia="pl-PL"/>
        </w:rPr>
        <w:t xml:space="preserve">richloroetan, </w:t>
      </w:r>
      <w:r>
        <w:rPr>
          <w:color w:val="000000" w:themeColor="text1"/>
          <w:lang w:eastAsia="pl-PL"/>
        </w:rPr>
        <w:t>t</w:t>
      </w:r>
      <w:r w:rsidR="00756BA2" w:rsidRPr="008E7FF1">
        <w:rPr>
          <w:color w:val="000000" w:themeColor="text1"/>
          <w:lang w:eastAsia="pl-PL"/>
        </w:rPr>
        <w:t>richloroetylen</w:t>
      </w:r>
      <w:r w:rsidR="00855A3B">
        <w:rPr>
          <w:color w:val="000000" w:themeColor="text1"/>
          <w:lang w:eastAsia="pl-PL"/>
        </w:rPr>
        <w:t xml:space="preserve"> –</w:t>
      </w:r>
      <w:r w:rsidR="00A046C4" w:rsidRPr="008E7FF1">
        <w:rPr>
          <w:color w:val="000000" w:themeColor="text1"/>
          <w:lang w:eastAsia="pl-PL"/>
        </w:rPr>
        <w:t xml:space="preserve"> substancj</w:t>
      </w:r>
      <w:r w:rsidR="00E77D53">
        <w:rPr>
          <w:color w:val="000000" w:themeColor="text1"/>
          <w:lang w:eastAsia="pl-PL"/>
        </w:rPr>
        <w:t>e</w:t>
      </w:r>
      <w:r w:rsidR="00A046C4" w:rsidRPr="008E7FF1">
        <w:rPr>
          <w:color w:val="000000" w:themeColor="text1"/>
          <w:lang w:eastAsia="pl-PL"/>
        </w:rPr>
        <w:t xml:space="preserve"> </w:t>
      </w:r>
      <w:r w:rsidR="00AE5ED8">
        <w:rPr>
          <w:color w:val="000000" w:themeColor="text1"/>
          <w:lang w:eastAsia="pl-PL"/>
        </w:rPr>
        <w:t xml:space="preserve">te </w:t>
      </w:r>
      <w:r w:rsidR="00A046C4" w:rsidRPr="008E7FF1">
        <w:rPr>
          <w:color w:val="000000" w:themeColor="text1"/>
          <w:lang w:eastAsia="pl-PL"/>
        </w:rPr>
        <w:t>został</w:t>
      </w:r>
      <w:r w:rsidR="00F866F5" w:rsidRPr="008E7FF1">
        <w:rPr>
          <w:color w:val="000000" w:themeColor="text1"/>
          <w:lang w:eastAsia="pl-PL"/>
        </w:rPr>
        <w:t>y</w:t>
      </w:r>
      <w:r w:rsidR="00A046C4" w:rsidRPr="008E7FF1">
        <w:rPr>
          <w:color w:val="000000" w:themeColor="text1"/>
          <w:lang w:eastAsia="pl-PL"/>
        </w:rPr>
        <w:t xml:space="preserve"> zakwalifikowan</w:t>
      </w:r>
      <w:r w:rsidR="00E77D53">
        <w:rPr>
          <w:color w:val="000000" w:themeColor="text1"/>
          <w:lang w:eastAsia="pl-PL"/>
        </w:rPr>
        <w:t>e</w:t>
      </w:r>
      <w:r w:rsidR="00CB7285" w:rsidRPr="008E7FF1">
        <w:rPr>
          <w:color w:val="000000" w:themeColor="text1"/>
          <w:lang w:eastAsia="pl-PL"/>
        </w:rPr>
        <w:t xml:space="preserve"> jako rakotwórcz</w:t>
      </w:r>
      <w:r w:rsidR="00E77D53">
        <w:rPr>
          <w:color w:val="000000" w:themeColor="text1"/>
          <w:lang w:eastAsia="pl-PL"/>
        </w:rPr>
        <w:t>e</w:t>
      </w:r>
      <w:r w:rsidR="00A046C4" w:rsidRPr="008E7FF1">
        <w:rPr>
          <w:color w:val="000000" w:themeColor="text1"/>
          <w:lang w:eastAsia="pl-PL"/>
        </w:rPr>
        <w:t xml:space="preserve"> kategorii </w:t>
      </w:r>
      <w:r w:rsidR="006401F9" w:rsidRPr="008E7FF1">
        <w:rPr>
          <w:color w:val="000000" w:themeColor="text1"/>
          <w:lang w:eastAsia="pl-PL"/>
        </w:rPr>
        <w:t xml:space="preserve">1 </w:t>
      </w:r>
      <w:r w:rsidR="00A046C4" w:rsidRPr="008E7FF1">
        <w:rPr>
          <w:color w:val="000000" w:themeColor="text1"/>
          <w:lang w:eastAsia="pl-PL"/>
        </w:rPr>
        <w:t>A/B lub kategorii 2</w:t>
      </w:r>
      <w:r w:rsidR="00201505" w:rsidRPr="008E7FF1">
        <w:rPr>
          <w:color w:val="000000" w:themeColor="text1"/>
          <w:lang w:eastAsia="pl-PL"/>
        </w:rPr>
        <w:t xml:space="preserve"> </w:t>
      </w:r>
      <w:r w:rsidR="00262F0C">
        <w:rPr>
          <w:color w:val="000000" w:themeColor="text1"/>
          <w:lang w:eastAsia="pl-PL"/>
        </w:rPr>
        <w:t>–</w:t>
      </w:r>
      <w:r w:rsidR="005F70A9">
        <w:rPr>
          <w:color w:val="000000" w:themeColor="text1"/>
          <w:lang w:eastAsia="pl-PL"/>
        </w:rPr>
        <w:t xml:space="preserve"> </w:t>
      </w:r>
      <w:r w:rsidR="00855A3B">
        <w:rPr>
          <w:color w:val="000000" w:themeColor="text1"/>
          <w:lang w:eastAsia="pl-PL"/>
        </w:rPr>
        <w:t>r</w:t>
      </w:r>
      <w:r w:rsidR="00201505" w:rsidRPr="008E7FF1">
        <w:rPr>
          <w:color w:val="000000" w:themeColor="text1"/>
          <w:lang w:eastAsia="pl-PL"/>
        </w:rPr>
        <w:t xml:space="preserve">ozporządzenie </w:t>
      </w:r>
      <w:r w:rsidR="00201505" w:rsidRPr="008E7FF1">
        <w:rPr>
          <w:color w:val="000000" w:themeColor="text1"/>
          <w:lang w:eastAsia="pl-PL"/>
        </w:rPr>
        <w:lastRenderedPageBreak/>
        <w:t>(WE) nr 1907/2006 Parlamentu Europejskiego i Rady z dnia 18 grudnia 2006 r. w</w:t>
      </w:r>
      <w:r w:rsidR="00574381">
        <w:rPr>
          <w:color w:val="000000" w:themeColor="text1"/>
          <w:lang w:eastAsia="pl-PL"/>
        </w:rPr>
        <w:t> </w:t>
      </w:r>
      <w:r w:rsidR="00201505" w:rsidRPr="008E7FF1">
        <w:rPr>
          <w:color w:val="000000" w:themeColor="text1"/>
          <w:lang w:eastAsia="pl-PL"/>
        </w:rPr>
        <w:t>sprawie rejestracji, oceny, udzielania zezwoleń i stosowanych ograniczeń w zakresie chemikaliów (REACH) i utworzenia Europejskiej Agencji Chemikaliów, zmieniające dyrektywę 1999/45/WE oraz uchylające rozporządzenie Rady (EWG) nr 793/93 i</w:t>
      </w:r>
      <w:r w:rsidR="00D74065" w:rsidRPr="008E7FF1">
        <w:rPr>
          <w:color w:val="000000" w:themeColor="text1"/>
          <w:lang w:eastAsia="pl-PL"/>
        </w:rPr>
        <w:t> </w:t>
      </w:r>
      <w:r w:rsidR="00201505" w:rsidRPr="008E7FF1">
        <w:rPr>
          <w:color w:val="000000" w:themeColor="text1"/>
          <w:lang w:eastAsia="pl-PL"/>
        </w:rPr>
        <w:t>rozporządzenie Komisji (WE) nr 1488/94, jak również dyrektywę Rady 76/769/EWG i dyrektywy Komisji 91/155/EWG, 93/67/EWG, 93/105/WE i 2000/21/W</w:t>
      </w:r>
      <w:r w:rsidR="00855A3B">
        <w:rPr>
          <w:color w:val="000000" w:themeColor="text1"/>
          <w:lang w:eastAsia="pl-PL"/>
        </w:rPr>
        <w:t>E</w:t>
      </w:r>
      <w:r w:rsidR="00DB7C31" w:rsidRPr="00DB7C31">
        <w:rPr>
          <w:rFonts w:ascii="Calibri" w:hAnsi="Calibri"/>
          <w:sz w:val="22"/>
          <w:szCs w:val="22"/>
          <w:lang w:eastAsia="en-US"/>
        </w:rPr>
        <w:t xml:space="preserve"> </w:t>
      </w:r>
      <w:r w:rsidR="00DB7C31" w:rsidRPr="00DB7C31">
        <w:rPr>
          <w:color w:val="000000" w:themeColor="text1"/>
          <w:lang w:eastAsia="pl-PL"/>
        </w:rPr>
        <w:t>(Dz.</w:t>
      </w:r>
      <w:r w:rsidR="00DB7C31">
        <w:rPr>
          <w:color w:val="000000" w:themeColor="text1"/>
          <w:lang w:eastAsia="pl-PL"/>
        </w:rPr>
        <w:t xml:space="preserve"> </w:t>
      </w:r>
      <w:r w:rsidR="00DB7C31" w:rsidRPr="00DB7C31">
        <w:rPr>
          <w:color w:val="000000" w:themeColor="text1"/>
          <w:lang w:eastAsia="pl-PL"/>
        </w:rPr>
        <w:t xml:space="preserve">Urz. UE L 396 z 30.12.2006, </w:t>
      </w:r>
      <w:r w:rsidR="00F415F6" w:rsidRPr="00410280">
        <w:rPr>
          <w:color w:val="000000" w:themeColor="text1"/>
        </w:rPr>
        <w:t>str. 1</w:t>
      </w:r>
      <w:r w:rsidR="00DB7C31" w:rsidRPr="00DB7C31">
        <w:rPr>
          <w:color w:val="000000" w:themeColor="text1"/>
          <w:lang w:eastAsia="pl-PL"/>
        </w:rPr>
        <w:t>, z późn. zm.)</w:t>
      </w:r>
      <w:r w:rsidR="00F753CA" w:rsidRPr="008E7FF1">
        <w:rPr>
          <w:color w:val="000000" w:themeColor="text1"/>
          <w:lang w:eastAsia="pl-PL"/>
        </w:rPr>
        <w:t>;</w:t>
      </w:r>
    </w:p>
    <w:p w14:paraId="060F1788" w14:textId="77777777" w:rsidR="005F70A9" w:rsidRDefault="004B3E4A" w:rsidP="00410280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right="6"/>
        <w:jc w:val="both"/>
        <w:rPr>
          <w:bCs/>
          <w:color w:val="000000" w:themeColor="text1"/>
        </w:rPr>
      </w:pPr>
      <w:r w:rsidRPr="00410280">
        <w:rPr>
          <w:bCs/>
          <w:color w:val="000000" w:themeColor="text1"/>
        </w:rPr>
        <w:t>zmieniono (doprecyzowano) nazwy substancji, tj. naftalen na naftalen i jego pochodne alkilowe, dichlorobenzen na dichlorobenzen(</w:t>
      </w:r>
      <w:r w:rsidR="00262F0C">
        <w:rPr>
          <w:bCs/>
          <w:color w:val="000000" w:themeColor="text1"/>
        </w:rPr>
        <w:t>-</w:t>
      </w:r>
      <w:r w:rsidRPr="00410280">
        <w:rPr>
          <w:bCs/>
          <w:color w:val="000000" w:themeColor="text1"/>
        </w:rPr>
        <w:t xml:space="preserve">y), krezole na krezole </w:t>
      </w:r>
      <w:r w:rsidR="00855A3B">
        <w:rPr>
          <w:bCs/>
          <w:color w:val="000000" w:themeColor="text1"/>
        </w:rPr>
        <w:t>–</w:t>
      </w:r>
      <w:r w:rsidRPr="00410280">
        <w:rPr>
          <w:bCs/>
          <w:color w:val="000000" w:themeColor="text1"/>
        </w:rPr>
        <w:t xml:space="preserve"> mieszanina izomerów oraz ksylen na ksylen </w:t>
      </w:r>
      <w:r w:rsidR="00855A3B">
        <w:rPr>
          <w:bCs/>
          <w:color w:val="000000" w:themeColor="text1"/>
        </w:rPr>
        <w:t>–</w:t>
      </w:r>
      <w:r w:rsidRPr="00410280">
        <w:rPr>
          <w:bCs/>
          <w:color w:val="000000" w:themeColor="text1"/>
        </w:rPr>
        <w:t xml:space="preserve"> mieszanina izomerów. </w:t>
      </w:r>
    </w:p>
    <w:p w14:paraId="0C067A86" w14:textId="77C5AEBF" w:rsidR="00050963" w:rsidRPr="00410280" w:rsidRDefault="004B3E4A" w:rsidP="004C6410">
      <w:pPr>
        <w:pStyle w:val="Akapitzlist"/>
        <w:shd w:val="clear" w:color="auto" w:fill="FFFFFF"/>
        <w:spacing w:line="360" w:lineRule="auto"/>
        <w:ind w:left="360" w:right="6"/>
        <w:jc w:val="both"/>
        <w:rPr>
          <w:bCs/>
          <w:color w:val="000000" w:themeColor="text1"/>
        </w:rPr>
      </w:pPr>
      <w:r w:rsidRPr="00410280">
        <w:rPr>
          <w:bCs/>
          <w:color w:val="000000" w:themeColor="text1"/>
        </w:rPr>
        <w:t>Powyższe zmiany zostały wprowadz</w:t>
      </w:r>
      <w:r w:rsidR="00855A3B">
        <w:rPr>
          <w:bCs/>
          <w:color w:val="000000" w:themeColor="text1"/>
        </w:rPr>
        <w:t>one</w:t>
      </w:r>
      <w:r w:rsidRPr="00410280">
        <w:rPr>
          <w:bCs/>
          <w:color w:val="000000" w:themeColor="text1"/>
        </w:rPr>
        <w:t xml:space="preserve"> z</w:t>
      </w:r>
      <w:r w:rsidR="00574381">
        <w:rPr>
          <w:bCs/>
          <w:color w:val="000000" w:themeColor="text1"/>
        </w:rPr>
        <w:t> </w:t>
      </w:r>
      <w:r w:rsidRPr="00410280">
        <w:rPr>
          <w:bCs/>
          <w:color w:val="000000" w:themeColor="text1"/>
        </w:rPr>
        <w:t>uwagi na sygnalizowane przez Instytut Techniki Budowlanej problemy z</w:t>
      </w:r>
      <w:r w:rsidR="00D74065" w:rsidRPr="00410280">
        <w:rPr>
          <w:bCs/>
          <w:color w:val="000000" w:themeColor="text1"/>
        </w:rPr>
        <w:t> </w:t>
      </w:r>
      <w:r w:rsidRPr="00410280">
        <w:rPr>
          <w:bCs/>
          <w:color w:val="000000" w:themeColor="text1"/>
        </w:rPr>
        <w:t>zakwalifikowaniem pewnych związków do którejkolwiek z</w:t>
      </w:r>
      <w:r w:rsidR="00F738A7">
        <w:rPr>
          <w:bCs/>
          <w:color w:val="000000" w:themeColor="text1"/>
        </w:rPr>
        <w:t> </w:t>
      </w:r>
      <w:r w:rsidRPr="00410280">
        <w:rPr>
          <w:bCs/>
          <w:color w:val="000000" w:themeColor="text1"/>
        </w:rPr>
        <w:t>dotychczas istniejących pozycji.</w:t>
      </w:r>
    </w:p>
    <w:p w14:paraId="6F973068" w14:textId="5F87FB55" w:rsidR="0001102D" w:rsidRDefault="003168B8" w:rsidP="00AE5ED8">
      <w:pPr>
        <w:pStyle w:val="Teksttreci0"/>
        <w:spacing w:line="360" w:lineRule="auto"/>
        <w:ind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2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2F5751" w:rsidRPr="00F02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rojekt rozporządzenia nie określa w</w:t>
      </w:r>
      <w:r w:rsidR="002F5751" w:rsidRPr="008E7F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ykaz</w:t>
      </w:r>
      <w:r w:rsidR="002F5751" w:rsidRPr="00CF21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2F5751" w:rsidRPr="008E7F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substancji chemicznych i ich</w:t>
      </w:r>
      <w:r w:rsidR="0001102D" w:rsidRPr="008E7F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mieszanin, których zawartości </w:t>
      </w:r>
      <w:r w:rsidR="002F5751" w:rsidRPr="008E7F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materiałach budowlanych podlegają szczególnym ograniczeniom</w:t>
      </w:r>
      <w:r w:rsidR="002F5751" w:rsidRPr="00CF21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jak również </w:t>
      </w:r>
      <w:r w:rsidR="0001102D" w:rsidRPr="00CF21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dopuszczaln</w:t>
      </w:r>
      <w:r w:rsidR="00855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ych</w:t>
      </w:r>
      <w:r w:rsidR="0001102D" w:rsidRPr="00CF21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stęże</w:t>
      </w:r>
      <w:r w:rsidR="00855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ń</w:t>
      </w:r>
      <w:r w:rsidR="0001102D" w:rsidRPr="00CF21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naturalnych izotopów promieniotwórczych w materiałach budowlanych</w:t>
      </w:r>
      <w:r w:rsidR="00F753CA" w:rsidRPr="00F02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(załącznik</w:t>
      </w:r>
      <w:r w:rsidR="005F70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F753CA" w:rsidRPr="00F02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nr 2 i 3 </w:t>
      </w:r>
      <w:r w:rsidRPr="00F02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</w:t>
      </w:r>
      <w:r w:rsidR="00F753CA" w:rsidRPr="00F02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zarządzenia)</w:t>
      </w:r>
      <w:r w:rsidR="0001102D" w:rsidRPr="00F02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 uwagi na fakt, ż</w:t>
      </w:r>
      <w:r w:rsidR="009E3A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01102D" w:rsidRPr="00F02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kwestie te </w:t>
      </w:r>
      <w:r w:rsidR="002564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zostały uregulowane w przepisach</w:t>
      </w:r>
      <w:r w:rsidR="00E17DEF" w:rsidRPr="0085577D">
        <w:rPr>
          <w:rFonts w:ascii="Times New Roman" w:hAnsi="Times New Roman"/>
          <w:color w:val="000000" w:themeColor="text1"/>
          <w:sz w:val="24"/>
          <w:szCs w:val="24"/>
        </w:rPr>
        <w:t xml:space="preserve"> wydanych na </w:t>
      </w:r>
      <w:r w:rsidR="00E17DEF" w:rsidRPr="0085577D">
        <w:rPr>
          <w:rFonts w:ascii="Times New Roman" w:hAnsi="Times New Roman"/>
          <w:color w:val="000000"/>
          <w:sz w:val="24"/>
          <w:szCs w:val="24"/>
        </w:rPr>
        <w:t>podstawie </w:t>
      </w:r>
      <w:r w:rsidR="00E17DEF" w:rsidRPr="0085577D">
        <w:rPr>
          <w:rFonts w:ascii="Times New Roman" w:hAnsi="Times New Roman"/>
          <w:sz w:val="24"/>
          <w:szCs w:val="24"/>
        </w:rPr>
        <w:t>art. 6</w:t>
      </w:r>
      <w:r w:rsidR="00E17DEF" w:rsidRPr="0085577D">
        <w:rPr>
          <w:rFonts w:ascii="Times New Roman" w:hAnsi="Times New Roman"/>
          <w:color w:val="000000"/>
          <w:sz w:val="24"/>
          <w:szCs w:val="24"/>
        </w:rPr>
        <w:t> pkt 3 ustawy z dnia 29 listopada 2000</w:t>
      </w:r>
      <w:r w:rsidR="00F738A7">
        <w:rPr>
          <w:rFonts w:ascii="Times New Roman" w:hAnsi="Times New Roman"/>
          <w:color w:val="000000"/>
          <w:sz w:val="24"/>
          <w:szCs w:val="24"/>
        </w:rPr>
        <w:t> </w:t>
      </w:r>
      <w:r w:rsidR="00E17DEF" w:rsidRPr="0085577D">
        <w:rPr>
          <w:rFonts w:ascii="Times New Roman" w:hAnsi="Times New Roman"/>
          <w:color w:val="000000"/>
          <w:sz w:val="24"/>
          <w:szCs w:val="24"/>
        </w:rPr>
        <w:t xml:space="preserve">r. – Prawo atomowe, tj. w </w:t>
      </w:r>
      <w:r w:rsidR="00E17DEF" w:rsidRPr="0085577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E17DEF" w:rsidRPr="0085577D">
        <w:rPr>
          <w:rFonts w:ascii="Times New Roman" w:hAnsi="Times New Roman"/>
          <w:iCs/>
          <w:color w:val="000000" w:themeColor="text1"/>
          <w:sz w:val="24"/>
          <w:szCs w:val="24"/>
        </w:rPr>
        <w:t>ozporządzeniu Rady Ministrów z dnia 2 stycznia 2007 r. w sprawie wymagań dotyczących zawartości naturalnych izotopów promieniotwórczych potasu K-40, radu Ra-226 i toru Th-228 w surowcach i materiałach stosowanych w budynkach</w:t>
      </w:r>
      <w:r w:rsidR="00E17DEF" w:rsidRPr="00FE26E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przeznaczonych na pobyt ludzi i inwentarza żywego, a także w odpa</w:t>
      </w:r>
      <w:r w:rsidR="00E17DEF" w:rsidRPr="008E7FF1">
        <w:rPr>
          <w:rFonts w:ascii="Times New Roman" w:hAnsi="Times New Roman"/>
          <w:iCs/>
          <w:color w:val="000000" w:themeColor="text1"/>
          <w:sz w:val="24"/>
          <w:szCs w:val="24"/>
        </w:rPr>
        <w:t>dach przemysłowych stosowanych w budownictwie, oraz kontroli zawartości tych izotopów</w:t>
      </w:r>
      <w:r w:rsidR="009E3A2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17DEF" w:rsidRPr="008E7FF1">
        <w:rPr>
          <w:rFonts w:ascii="Times New Roman" w:hAnsi="Times New Roman"/>
          <w:iCs/>
          <w:color w:val="000000" w:themeColor="text1"/>
          <w:sz w:val="24"/>
          <w:szCs w:val="24"/>
        </w:rPr>
        <w:t>(Dz. U. poz. 29).</w:t>
      </w:r>
    </w:p>
    <w:p w14:paraId="3D5077E2" w14:textId="1C6A7952" w:rsidR="00AD4CBB" w:rsidRPr="0085577D" w:rsidRDefault="00EF1ACE" w:rsidP="00C16441">
      <w:pPr>
        <w:shd w:val="clear" w:color="auto" w:fill="FFFFFF"/>
        <w:spacing w:after="0" w:line="360" w:lineRule="auto"/>
        <w:ind w:right="6"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K</w:t>
      </w:r>
      <w:r w:rsidR="00222556" w:rsidRPr="008E7FF1">
        <w:rPr>
          <w:rFonts w:ascii="Times New Roman" w:hAnsi="Times New Roman"/>
          <w:bCs/>
          <w:color w:val="000000" w:themeColor="text1"/>
          <w:sz w:val="24"/>
          <w:szCs w:val="24"/>
        </w:rPr>
        <w:t>westie dotyczące wyrobów budowlanych są regulowane</w:t>
      </w:r>
      <w:r w:rsidR="00604B12" w:rsidRPr="008E7F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22556" w:rsidRPr="008E7FF1">
        <w:rPr>
          <w:rFonts w:ascii="Times New Roman" w:hAnsi="Times New Roman"/>
          <w:bCs/>
          <w:color w:val="000000" w:themeColor="text1"/>
          <w:sz w:val="24"/>
          <w:szCs w:val="24"/>
        </w:rPr>
        <w:t>na poziomie Unii Europejskiej</w:t>
      </w:r>
      <w:r w:rsidR="00F415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</w:t>
      </w:r>
      <w:r w:rsidR="00222556" w:rsidRPr="00410280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rozporządzeni</w:t>
      </w:r>
      <w:r w:rsidR="00F415F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u</w:t>
      </w:r>
      <w:r w:rsidR="00222556" w:rsidRPr="00410280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Parlamentu Europejskiego i Rady (UE) nr 305/2011 z dnia 9 marca 2011 r. ustanawiając</w:t>
      </w:r>
      <w:r w:rsidR="00F415F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ym</w:t>
      </w:r>
      <w:r w:rsidR="00222556" w:rsidRPr="00410280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zharmonizowane warunki wprowadzania do obrotu wyrobów budowlanych i</w:t>
      </w:r>
      <w:r w:rsidR="00E076D1" w:rsidRPr="00410280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 </w:t>
      </w:r>
      <w:r w:rsidR="00222556" w:rsidRPr="00410280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uchylając</w:t>
      </w:r>
      <w:r w:rsidR="00F415F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ym</w:t>
      </w:r>
      <w:r w:rsidR="00222556" w:rsidRPr="00410280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dyrektywę Rady 89/106/EWG</w:t>
      </w:r>
      <w:r w:rsidR="00F415F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AD4CB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(Dz. Urz. UE L 88 z 04.04.2011, str. 5, z późn. zm.)</w:t>
      </w:r>
      <w:r w:rsidR="00F415F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. </w:t>
      </w:r>
      <w:r w:rsidR="00F415F6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="00222556" w:rsidRPr="008E7F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Unii Europejskiej przyjęto </w:t>
      </w:r>
      <w:r w:rsidR="00AD4C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również </w:t>
      </w:r>
      <w:r w:rsidR="00222556" w:rsidRPr="008E7FF1">
        <w:rPr>
          <w:rFonts w:ascii="Times New Roman" w:hAnsi="Times New Roman"/>
          <w:bCs/>
          <w:color w:val="000000" w:themeColor="text1"/>
          <w:sz w:val="24"/>
          <w:szCs w:val="24"/>
        </w:rPr>
        <w:t>kompleksowe prawodawstwo w</w:t>
      </w:r>
      <w:r w:rsidR="00574381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222556" w:rsidRPr="008E7F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zakresie chemikaliów </w:t>
      </w:r>
      <w:r w:rsidR="00F415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</w:t>
      </w:r>
      <w:r w:rsidR="008702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szczególności </w:t>
      </w:r>
      <w:r w:rsidR="00F415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postaci </w:t>
      </w:r>
      <w:r w:rsidR="00F415F6" w:rsidRPr="00F415F6">
        <w:rPr>
          <w:rFonts w:ascii="Times New Roman" w:hAnsi="Times New Roman"/>
          <w:bCs/>
          <w:color w:val="000000" w:themeColor="text1"/>
          <w:sz w:val="24"/>
          <w:szCs w:val="24"/>
        </w:rPr>
        <w:t>rozporządzeni</w:t>
      </w:r>
      <w:r w:rsidR="00F415F6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F415F6" w:rsidRPr="00F415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(WE) nr 1907/2006 Parlamentu </w:t>
      </w:r>
      <w:r w:rsidR="00F415F6" w:rsidRPr="008557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Europejskiego i Rady z dnia 18 grudnia 2006 r. w sprawie rejestracji, oceny, udzielania zezwoleń i stosowanych ograniczeń w zakresie chemikaliów (REACH) i utworzenia Europejskiej Agencji Chemikaliów, zmieniającego dyrektywę 1999/45/WE oraz uchylającego rozporządzenie Rady (EWG) nr 793/93 i rozporządzenie Komisji (WE) nr 1488/94, jak również dyrektywę Rady 76/769/EWG i dyrektywy Komisji 91/155/EWG, 93/67/EWG, 93/105/WE </w:t>
      </w:r>
      <w:r w:rsidR="00F415F6" w:rsidRPr="0085577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i</w:t>
      </w:r>
      <w:r w:rsidR="00574381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F415F6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2000/21/WE</w:t>
      </w:r>
      <w:r w:rsidR="00E77D53">
        <w:rPr>
          <w:rFonts w:ascii="Times New Roman" w:hAnsi="Times New Roman"/>
          <w:bCs/>
          <w:color w:val="000000" w:themeColor="text1"/>
          <w:sz w:val="24"/>
          <w:szCs w:val="24"/>
        </w:rPr>
        <w:t>, a także</w:t>
      </w:r>
      <w:r w:rsidR="00222556" w:rsidRPr="008557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rozporządzeni</w:t>
      </w:r>
      <w:r w:rsidR="00F415F6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222556" w:rsidRPr="008557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Parlamentu Europejskiego i Rady (WE) nr</w:t>
      </w:r>
      <w:r w:rsidR="00E076D1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222556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1272/2008 z</w:t>
      </w:r>
      <w:r w:rsidR="00574381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222556" w:rsidRPr="008557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dnia 16 grudnia 2008 r. </w:t>
      </w:r>
      <w:r w:rsidR="00AD4CBB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w sprawie klasyfikacji, oznakowania i pakowania substancji i</w:t>
      </w:r>
      <w:r w:rsidR="00574381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AD4CBB" w:rsidRPr="008557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mieszanin, zmieniającego i uchylającego dyrektywy </w:t>
      </w:r>
      <w:r w:rsidR="00AD4CBB" w:rsidRPr="0085577D">
        <w:rPr>
          <w:rFonts w:ascii="Times New Roman" w:hAnsi="Times New Roman"/>
          <w:color w:val="000000" w:themeColor="text1"/>
          <w:sz w:val="24"/>
          <w:szCs w:val="24"/>
        </w:rPr>
        <w:t>67/548/EWG</w:t>
      </w:r>
      <w:r w:rsidR="00AD4CBB" w:rsidRPr="008557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</w:t>
      </w:r>
      <w:r w:rsidR="00AD4CBB" w:rsidRPr="0085577D">
        <w:rPr>
          <w:rFonts w:ascii="Times New Roman" w:hAnsi="Times New Roman"/>
          <w:color w:val="000000" w:themeColor="text1"/>
          <w:sz w:val="24"/>
          <w:szCs w:val="24"/>
        </w:rPr>
        <w:t>1999/45/WE</w:t>
      </w:r>
      <w:r w:rsidR="00AD4CBB" w:rsidRPr="008557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oraz zmieniającego rozporządzenie (WE) nr </w:t>
      </w:r>
      <w:r w:rsidR="00AD4CBB" w:rsidRPr="0085577D">
        <w:rPr>
          <w:rFonts w:ascii="Times New Roman" w:hAnsi="Times New Roman"/>
          <w:color w:val="000000" w:themeColor="text1"/>
          <w:sz w:val="24"/>
          <w:szCs w:val="24"/>
        </w:rPr>
        <w:t>1907/2006</w:t>
      </w:r>
      <w:r w:rsidR="00AD4CBB" w:rsidRPr="008557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(Dz. Urz. UE L 353 z 31.12.2008, </w:t>
      </w:r>
      <w:r w:rsidR="00AD4CBB" w:rsidRPr="0085577D">
        <w:rPr>
          <w:rFonts w:ascii="Times New Roman" w:hAnsi="Times New Roman"/>
          <w:color w:val="000000" w:themeColor="text1"/>
          <w:sz w:val="24"/>
          <w:szCs w:val="24"/>
        </w:rPr>
        <w:t>str. 1</w:t>
      </w:r>
      <w:r w:rsidR="00AD4CBB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, z</w:t>
      </w:r>
      <w:r w:rsidR="00574381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AD4CBB" w:rsidRPr="0085577D">
        <w:rPr>
          <w:rFonts w:ascii="Times New Roman" w:hAnsi="Times New Roman"/>
          <w:bCs/>
          <w:color w:val="000000" w:themeColor="text1"/>
          <w:sz w:val="24"/>
          <w:szCs w:val="24"/>
        </w:rPr>
        <w:t>późn. zm.).</w:t>
      </w:r>
    </w:p>
    <w:p w14:paraId="3E1707D6" w14:textId="72DCD019" w:rsidR="00007468" w:rsidRDefault="00007468" w:rsidP="004102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Zważywszy na wskazanie w projekcie rozporządzenia nowych substancji oraz obniżenie</w:t>
      </w:r>
      <w:r w:rsidRPr="000074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dopuszczalne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go</w:t>
      </w:r>
      <w:r w:rsidRPr="000074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stężenia poszczególnych substancji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stosunku do substancji wskazanych w zarządzeniu</w:t>
      </w:r>
      <w:r w:rsidR="008A497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(co o</w:t>
      </w:r>
      <w:r w:rsidR="007C055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pisano powyżej), uwzględniono 3-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miesięczne vacatio legis.</w:t>
      </w:r>
    </w:p>
    <w:p w14:paraId="31E03465" w14:textId="69926B63" w:rsidR="00F8009D" w:rsidRDefault="00F8009D" w:rsidP="004102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800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Przedmiotowy projekt rozporządzenia nie jest objęty zakresem prawa Unii Europejskiej.</w:t>
      </w:r>
    </w:p>
    <w:p w14:paraId="14947B74" w14:textId="77777777" w:rsidR="009A599B" w:rsidRPr="009A599B" w:rsidRDefault="009A599B" w:rsidP="007C055A">
      <w:pPr>
        <w:pStyle w:val="NIEARTTEKSTtekstnieartykuowanynppodstprawnarozplubpreambua"/>
        <w:spacing w:before="0"/>
        <w:ind w:firstLine="708"/>
        <w:rPr>
          <w:rFonts w:ascii="Times New Roman" w:hAnsi="Times New Roman"/>
          <w:color w:val="000000" w:themeColor="text1"/>
          <w:szCs w:val="24"/>
        </w:rPr>
      </w:pPr>
      <w:r w:rsidRPr="009A599B">
        <w:rPr>
          <w:rFonts w:ascii="Times New Roman" w:hAnsi="Times New Roman"/>
          <w:color w:val="000000" w:themeColor="text1"/>
          <w:szCs w:val="24"/>
        </w:rPr>
        <w:t>Projekt rozporządzenia podlega notyfikacji w rozumieniu przepisów rozporządzenia Rady Ministrów z dnia 23 grudnia 2002 r. w sprawie sposobu funkcjonowania krajowego systemu notyfikacji norm i aktów prawnych (Dz. U. poz. 2039, z późn. zm.).</w:t>
      </w:r>
    </w:p>
    <w:p w14:paraId="77DA6FFA" w14:textId="21935980" w:rsidR="006F5C2F" w:rsidRDefault="00D0142B" w:rsidP="007C055A">
      <w:pPr>
        <w:pStyle w:val="NIEARTTEKSTtekstnieartykuowanynppodstprawnarozplubpreambua"/>
        <w:spacing w:before="0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Ponadto, p</w:t>
      </w:r>
      <w:r w:rsidR="006F5C2F" w:rsidRPr="006F5C2F">
        <w:rPr>
          <w:rFonts w:ascii="Times New Roman" w:hAnsi="Times New Roman" w:cs="Times New Roman"/>
          <w:color w:val="000000" w:themeColor="text1"/>
          <w:szCs w:val="24"/>
        </w:rPr>
        <w:t>rojekt rozporządzenia nie wymaga przedstawienia właściwym organom i</w:t>
      </w:r>
      <w:r>
        <w:rPr>
          <w:rFonts w:ascii="Times New Roman" w:hAnsi="Times New Roman" w:cs="Times New Roman"/>
          <w:color w:val="000000" w:themeColor="text1"/>
          <w:szCs w:val="24"/>
        </w:rPr>
        <w:t> </w:t>
      </w:r>
      <w:r w:rsidR="006F5C2F" w:rsidRPr="006F5C2F">
        <w:rPr>
          <w:rFonts w:ascii="Times New Roman" w:hAnsi="Times New Roman" w:cs="Times New Roman"/>
          <w:color w:val="000000" w:themeColor="text1"/>
          <w:szCs w:val="24"/>
        </w:rPr>
        <w:t>instytucjom Unii Europejskiej, w tym Europejskiemu Bankowi Centralnemu, w celu uzyskania opinii, dokonania powiadomienia, konsultacji albo uzgodnienia.</w:t>
      </w:r>
    </w:p>
    <w:p w14:paraId="1F50DB66" w14:textId="1206AF80" w:rsidR="009F73DD" w:rsidRPr="008E7FF1" w:rsidRDefault="009F73DD" w:rsidP="007C055A">
      <w:pPr>
        <w:pStyle w:val="NIEARTTEKSTtekstnieartykuowanynppodstprawnarozplubpreambua"/>
        <w:spacing w:before="0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8E7FF1">
        <w:rPr>
          <w:rFonts w:ascii="Times New Roman" w:hAnsi="Times New Roman" w:cs="Times New Roman"/>
          <w:color w:val="000000" w:themeColor="text1"/>
          <w:szCs w:val="24"/>
        </w:rPr>
        <w:t>Jednocześnie należy wskazać, że nie ma możliwości podjęcia alternatywnych w stosunku do projektowanego rozporządzenia środków umożliwiających osiągnięcie zamierzonego celu.</w:t>
      </w:r>
    </w:p>
    <w:p w14:paraId="7BFD8BC0" w14:textId="0F1C7788" w:rsidR="008E7FF1" w:rsidRPr="00F23500" w:rsidRDefault="009F73DD" w:rsidP="007C055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3500">
        <w:rPr>
          <w:rFonts w:ascii="Times New Roman" w:hAnsi="Times New Roman"/>
          <w:color w:val="000000" w:themeColor="text1"/>
          <w:sz w:val="24"/>
          <w:szCs w:val="24"/>
        </w:rPr>
        <w:t xml:space="preserve">Projektowana regulacja </w:t>
      </w:r>
      <w:r w:rsidR="004107F9" w:rsidRPr="00F23500">
        <w:rPr>
          <w:rFonts w:ascii="Times New Roman" w:hAnsi="Times New Roman"/>
          <w:color w:val="000000" w:themeColor="text1"/>
          <w:sz w:val="24"/>
          <w:szCs w:val="24"/>
        </w:rPr>
        <w:t>nie powinna mieć wpływu na mikroprzedsiębiorców oraz małych i średnich przedsiębiorców z uwagi na fakt, ż</w:t>
      </w:r>
      <w:r w:rsidR="00CC324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107F9" w:rsidRPr="00F23500">
        <w:rPr>
          <w:rFonts w:ascii="Times New Roman" w:hAnsi="Times New Roman"/>
          <w:color w:val="000000" w:themeColor="text1"/>
          <w:sz w:val="24"/>
          <w:szCs w:val="24"/>
        </w:rPr>
        <w:t xml:space="preserve"> zgodnie z </w:t>
      </w:r>
      <w:r w:rsidR="008E7FF1" w:rsidRPr="00F23500">
        <w:rPr>
          <w:rFonts w:ascii="Times New Roman" w:hAnsi="Times New Roman"/>
          <w:color w:val="000000" w:themeColor="text1"/>
          <w:sz w:val="24"/>
          <w:szCs w:val="24"/>
        </w:rPr>
        <w:t xml:space="preserve">przepisami wydanymi na podstawie </w:t>
      </w:r>
      <w:r w:rsidR="00C16441" w:rsidRPr="00934D89">
        <w:rPr>
          <w:rFonts w:ascii="Times New Roman" w:hAnsi="Times New Roman"/>
          <w:sz w:val="24"/>
          <w:szCs w:val="24"/>
        </w:rPr>
        <w:t>art. 7 ust. 2 pkt 1</w:t>
      </w:r>
      <w:r w:rsidR="008E7FF1" w:rsidRPr="00934D89">
        <w:rPr>
          <w:rFonts w:ascii="Times New Roman" w:hAnsi="Times New Roman"/>
          <w:color w:val="000000"/>
          <w:sz w:val="24"/>
          <w:szCs w:val="24"/>
        </w:rPr>
        <w:t xml:space="preserve"> ustawy z dnia 7 lipca 1994 r. </w:t>
      </w:r>
      <w:r w:rsidR="00066A8F">
        <w:rPr>
          <w:rFonts w:ascii="Times New Roman" w:hAnsi="Times New Roman"/>
          <w:color w:val="000000"/>
          <w:sz w:val="24"/>
          <w:szCs w:val="24"/>
        </w:rPr>
        <w:t>–</w:t>
      </w:r>
      <w:r w:rsidR="008E7FF1" w:rsidRPr="00F23500">
        <w:rPr>
          <w:rFonts w:ascii="Times New Roman" w:hAnsi="Times New Roman"/>
          <w:color w:val="000000"/>
          <w:sz w:val="24"/>
          <w:szCs w:val="24"/>
        </w:rPr>
        <w:t xml:space="preserve"> Prawo budowlane</w:t>
      </w:r>
      <w:r w:rsidR="008E7FF1" w:rsidRPr="00F235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6A8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E7FF1" w:rsidRPr="00F235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26EF">
        <w:rPr>
          <w:rFonts w:ascii="Times New Roman" w:hAnsi="Times New Roman"/>
          <w:color w:val="000000" w:themeColor="text1"/>
          <w:sz w:val="24"/>
          <w:szCs w:val="24"/>
        </w:rPr>
        <w:t xml:space="preserve">vide: </w:t>
      </w:r>
      <w:r w:rsidR="008E7FF1" w:rsidRPr="00F23500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4107F9" w:rsidRPr="00F23500">
        <w:rPr>
          <w:rFonts w:ascii="Times New Roman" w:hAnsi="Times New Roman"/>
          <w:color w:val="000000" w:themeColor="text1"/>
          <w:sz w:val="24"/>
          <w:szCs w:val="24"/>
        </w:rPr>
        <w:t>309 rozporządzenia Ministra Infrastruktury z dnia 12 kwietnia 2002 r. w sprawie warunków technicznych, jakim powinny odpowiadać budynki i ich usytuowanie</w:t>
      </w:r>
      <w:r w:rsidR="00066A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107F9" w:rsidRPr="00F235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6A8F">
        <w:rPr>
          <w:rFonts w:ascii="Times New Roman" w:hAnsi="Times New Roman"/>
          <w:color w:val="000000"/>
          <w:sz w:val="24"/>
          <w:szCs w:val="24"/>
        </w:rPr>
        <w:t>b</w:t>
      </w:r>
      <w:r w:rsidR="008E7FF1" w:rsidRPr="00F23500">
        <w:rPr>
          <w:rFonts w:ascii="Times New Roman" w:hAnsi="Times New Roman"/>
          <w:color w:val="000000"/>
          <w:sz w:val="24"/>
          <w:szCs w:val="24"/>
        </w:rPr>
        <w:t>udynek powinien być zaprojektowany i</w:t>
      </w:r>
      <w:r w:rsidR="000C388C">
        <w:rPr>
          <w:rFonts w:ascii="Times New Roman" w:hAnsi="Times New Roman"/>
          <w:color w:val="000000"/>
          <w:sz w:val="24"/>
          <w:szCs w:val="24"/>
        </w:rPr>
        <w:t> </w:t>
      </w:r>
      <w:r w:rsidR="008E7FF1" w:rsidRPr="00F23500">
        <w:rPr>
          <w:rFonts w:ascii="Times New Roman" w:hAnsi="Times New Roman"/>
          <w:color w:val="000000"/>
          <w:sz w:val="24"/>
          <w:szCs w:val="24"/>
        </w:rPr>
        <w:t>wykonany z takich materiałów i wyrobów oraz w taki sposób, aby nie stanowił zagrożenia dla higieny i zdrowia użytkowników lub sąsiadów, w szczególności w</w:t>
      </w:r>
      <w:r w:rsidR="00EF1ACE">
        <w:rPr>
          <w:rFonts w:ascii="Times New Roman" w:hAnsi="Times New Roman"/>
          <w:color w:val="000000"/>
          <w:sz w:val="24"/>
          <w:szCs w:val="24"/>
        </w:rPr>
        <w:t> </w:t>
      </w:r>
      <w:r w:rsidR="008E7FF1" w:rsidRPr="00F23500">
        <w:rPr>
          <w:rFonts w:ascii="Times New Roman" w:hAnsi="Times New Roman"/>
          <w:color w:val="000000"/>
          <w:sz w:val="24"/>
          <w:szCs w:val="24"/>
        </w:rPr>
        <w:t>wyniku:</w:t>
      </w:r>
    </w:p>
    <w:p w14:paraId="48E751B1" w14:textId="77777777" w:rsidR="008E7FF1" w:rsidRPr="00F23500" w:rsidRDefault="008E7FF1" w:rsidP="00F23500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color w:val="000000"/>
        </w:rPr>
      </w:pPr>
      <w:r w:rsidRPr="00F23500">
        <w:rPr>
          <w:color w:val="000000"/>
        </w:rPr>
        <w:t>wydzielania się gazów toksycznych;</w:t>
      </w:r>
    </w:p>
    <w:p w14:paraId="6D35C066" w14:textId="77777777" w:rsidR="008E7FF1" w:rsidRPr="00F23500" w:rsidRDefault="008E7FF1" w:rsidP="00F23500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color w:val="000000"/>
        </w:rPr>
      </w:pPr>
      <w:r w:rsidRPr="00F23500">
        <w:rPr>
          <w:color w:val="000000"/>
        </w:rPr>
        <w:t>obecności szkodliwych pyłów lub gazów w powietrzu;</w:t>
      </w:r>
    </w:p>
    <w:p w14:paraId="422305BC" w14:textId="77777777" w:rsidR="008E7FF1" w:rsidRPr="00F23500" w:rsidRDefault="008E7FF1" w:rsidP="00F23500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color w:val="000000"/>
        </w:rPr>
      </w:pPr>
      <w:r w:rsidRPr="00F23500">
        <w:rPr>
          <w:color w:val="000000"/>
        </w:rPr>
        <w:t>niebezpiecznego promieniowania;</w:t>
      </w:r>
    </w:p>
    <w:p w14:paraId="549FE0BA" w14:textId="77777777" w:rsidR="008E7FF1" w:rsidRPr="00F23500" w:rsidRDefault="008E7FF1" w:rsidP="00F23500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color w:val="000000"/>
        </w:rPr>
      </w:pPr>
      <w:r w:rsidRPr="00F23500">
        <w:rPr>
          <w:color w:val="000000"/>
        </w:rPr>
        <w:t>zanieczyszczenia lub zatrucia wody lub gleby;</w:t>
      </w:r>
    </w:p>
    <w:p w14:paraId="147D1AD6" w14:textId="77777777" w:rsidR="008E7FF1" w:rsidRPr="00F23500" w:rsidRDefault="008E7FF1" w:rsidP="00F23500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color w:val="000000"/>
        </w:rPr>
      </w:pPr>
      <w:r w:rsidRPr="00F23500">
        <w:rPr>
          <w:color w:val="000000"/>
        </w:rPr>
        <w:t>nieprawidłowego usuwania dymu i spalin oraz nieczystości i odpadów w postaci stałej lub ciekłej;</w:t>
      </w:r>
    </w:p>
    <w:p w14:paraId="1E7B405D" w14:textId="77777777" w:rsidR="008E7FF1" w:rsidRPr="00F23500" w:rsidRDefault="008E7FF1" w:rsidP="00F23500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color w:val="000000"/>
        </w:rPr>
      </w:pPr>
      <w:r w:rsidRPr="00F23500">
        <w:rPr>
          <w:color w:val="000000"/>
        </w:rPr>
        <w:t>występowania wilgoci w elementach budowlanych lub na ich powierzchniach;</w:t>
      </w:r>
    </w:p>
    <w:p w14:paraId="7960E13C" w14:textId="77777777" w:rsidR="008E7FF1" w:rsidRPr="00F23500" w:rsidRDefault="008E7FF1" w:rsidP="00F23500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color w:val="000000"/>
        </w:rPr>
      </w:pPr>
      <w:r w:rsidRPr="00F23500">
        <w:rPr>
          <w:color w:val="000000"/>
        </w:rPr>
        <w:lastRenderedPageBreak/>
        <w:t>niekontrolowanej infiltracji powietrza zewnętrznego;</w:t>
      </w:r>
    </w:p>
    <w:p w14:paraId="14ADB682" w14:textId="77777777" w:rsidR="008E7FF1" w:rsidRPr="00F23500" w:rsidRDefault="008E7FF1" w:rsidP="00F23500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  <w:rPr>
          <w:color w:val="000000"/>
        </w:rPr>
      </w:pPr>
      <w:r w:rsidRPr="00F23500">
        <w:rPr>
          <w:color w:val="000000"/>
        </w:rPr>
        <w:t>przedostawania się gryzoni do wnętrza;</w:t>
      </w:r>
    </w:p>
    <w:p w14:paraId="673F4881" w14:textId="77777777" w:rsidR="00346406" w:rsidRPr="00C16441" w:rsidRDefault="008E7FF1" w:rsidP="00934D89">
      <w:pPr>
        <w:pStyle w:val="Akapitzlist"/>
        <w:numPr>
          <w:ilvl w:val="1"/>
          <w:numId w:val="15"/>
        </w:numPr>
        <w:spacing w:line="360" w:lineRule="auto"/>
        <w:ind w:left="426" w:hanging="426"/>
        <w:jc w:val="both"/>
      </w:pPr>
      <w:r w:rsidRPr="00F23500">
        <w:rPr>
          <w:color w:val="000000"/>
        </w:rPr>
        <w:t>ograniczenia nasłonecznienia i oświetlenia naturalnego.</w:t>
      </w:r>
    </w:p>
    <w:sectPr w:rsidR="00346406" w:rsidRPr="00C16441" w:rsidSect="003464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266B" w16cex:dateUtc="2020-09-18T10:2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07473" w14:textId="77777777" w:rsidR="00A46C7F" w:rsidRDefault="00A46C7F" w:rsidP="00737486">
      <w:pPr>
        <w:spacing w:after="0" w:line="240" w:lineRule="auto"/>
      </w:pPr>
      <w:r>
        <w:separator/>
      </w:r>
    </w:p>
  </w:endnote>
  <w:endnote w:type="continuationSeparator" w:id="0">
    <w:p w14:paraId="555CF5F0" w14:textId="77777777" w:rsidR="00A46C7F" w:rsidRDefault="00A46C7F" w:rsidP="0073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483208"/>
      <w:docPartObj>
        <w:docPartGallery w:val="Page Numbers (Bottom of Page)"/>
        <w:docPartUnique/>
      </w:docPartObj>
    </w:sdtPr>
    <w:sdtEndPr/>
    <w:sdtContent>
      <w:p w14:paraId="367EBC53" w14:textId="6E57D22A" w:rsidR="009D5F87" w:rsidRDefault="009D5F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147">
          <w:rPr>
            <w:noProof/>
          </w:rPr>
          <w:t>1</w:t>
        </w:r>
        <w:r>
          <w:fldChar w:fldCharType="end"/>
        </w:r>
      </w:p>
    </w:sdtContent>
  </w:sdt>
  <w:p w14:paraId="370B7EC4" w14:textId="77777777" w:rsidR="009D5F87" w:rsidRDefault="009D5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8E27" w14:textId="77777777" w:rsidR="00A46C7F" w:rsidRDefault="00A46C7F" w:rsidP="00737486">
      <w:pPr>
        <w:spacing w:after="0" w:line="240" w:lineRule="auto"/>
      </w:pPr>
      <w:r>
        <w:separator/>
      </w:r>
    </w:p>
  </w:footnote>
  <w:footnote w:type="continuationSeparator" w:id="0">
    <w:p w14:paraId="75726EBF" w14:textId="77777777" w:rsidR="00A46C7F" w:rsidRDefault="00A46C7F" w:rsidP="0073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C2D"/>
    <w:multiLevelType w:val="hybridMultilevel"/>
    <w:tmpl w:val="96F0DDD0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928D8"/>
    <w:multiLevelType w:val="hybridMultilevel"/>
    <w:tmpl w:val="D27C964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CD87F9F"/>
    <w:multiLevelType w:val="hybridMultilevel"/>
    <w:tmpl w:val="B284E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24DDD"/>
    <w:multiLevelType w:val="hybridMultilevel"/>
    <w:tmpl w:val="4A424280"/>
    <w:lvl w:ilvl="0" w:tplc="331E8B0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1156C97"/>
    <w:multiLevelType w:val="hybridMultilevel"/>
    <w:tmpl w:val="7BE09BA0"/>
    <w:lvl w:ilvl="0" w:tplc="331E8B0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97B15EC"/>
    <w:multiLevelType w:val="hybridMultilevel"/>
    <w:tmpl w:val="700AAE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F068D"/>
    <w:multiLevelType w:val="hybridMultilevel"/>
    <w:tmpl w:val="092AE770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04150019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2D107915"/>
    <w:multiLevelType w:val="hybridMultilevel"/>
    <w:tmpl w:val="370C1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F5B12"/>
    <w:multiLevelType w:val="hybridMultilevel"/>
    <w:tmpl w:val="3A0C5ADC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232358A"/>
    <w:multiLevelType w:val="hybridMultilevel"/>
    <w:tmpl w:val="616014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881F24"/>
    <w:multiLevelType w:val="multilevel"/>
    <w:tmpl w:val="CA62AE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0485D"/>
    <w:multiLevelType w:val="hybridMultilevel"/>
    <w:tmpl w:val="D6F03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EC3674"/>
    <w:multiLevelType w:val="hybridMultilevel"/>
    <w:tmpl w:val="F3A0F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BAF8AE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102C3"/>
    <w:multiLevelType w:val="hybridMultilevel"/>
    <w:tmpl w:val="4A424280"/>
    <w:lvl w:ilvl="0" w:tplc="331E8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E41DD0"/>
    <w:multiLevelType w:val="hybridMultilevel"/>
    <w:tmpl w:val="C1929124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04150011">
      <w:start w:val="1"/>
      <w:numFmt w:val="decimal"/>
      <w:lvlText w:val="%2)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6AAB6D31"/>
    <w:multiLevelType w:val="multilevel"/>
    <w:tmpl w:val="7EE0E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724D36"/>
    <w:multiLevelType w:val="multilevel"/>
    <w:tmpl w:val="AB44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3EE"/>
    <w:multiLevelType w:val="hybridMultilevel"/>
    <w:tmpl w:val="4FBC7656"/>
    <w:lvl w:ilvl="0" w:tplc="68CA741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E863634"/>
    <w:multiLevelType w:val="hybridMultilevel"/>
    <w:tmpl w:val="EF9CE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03309"/>
    <w:multiLevelType w:val="hybridMultilevel"/>
    <w:tmpl w:val="749CF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5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5F"/>
    <w:rsid w:val="00007468"/>
    <w:rsid w:val="0001102D"/>
    <w:rsid w:val="00017372"/>
    <w:rsid w:val="00032FE5"/>
    <w:rsid w:val="00045F6A"/>
    <w:rsid w:val="00050963"/>
    <w:rsid w:val="00050BF1"/>
    <w:rsid w:val="00066A8F"/>
    <w:rsid w:val="0007349B"/>
    <w:rsid w:val="0009057A"/>
    <w:rsid w:val="000C388C"/>
    <w:rsid w:val="000F3D9E"/>
    <w:rsid w:val="001039D8"/>
    <w:rsid w:val="0011265D"/>
    <w:rsid w:val="0012769B"/>
    <w:rsid w:val="0013142D"/>
    <w:rsid w:val="00132E32"/>
    <w:rsid w:val="001475B4"/>
    <w:rsid w:val="00152A61"/>
    <w:rsid w:val="001668A8"/>
    <w:rsid w:val="00175617"/>
    <w:rsid w:val="001832B5"/>
    <w:rsid w:val="0018424D"/>
    <w:rsid w:val="00184EA0"/>
    <w:rsid w:val="00191EBD"/>
    <w:rsid w:val="00197748"/>
    <w:rsid w:val="001F08CB"/>
    <w:rsid w:val="00201505"/>
    <w:rsid w:val="00205B99"/>
    <w:rsid w:val="00222556"/>
    <w:rsid w:val="00236C4E"/>
    <w:rsid w:val="00252EAE"/>
    <w:rsid w:val="00256494"/>
    <w:rsid w:val="00262D97"/>
    <w:rsid w:val="00262EF6"/>
    <w:rsid w:val="00262F0C"/>
    <w:rsid w:val="002713BD"/>
    <w:rsid w:val="0029617F"/>
    <w:rsid w:val="002A770D"/>
    <w:rsid w:val="002D06CF"/>
    <w:rsid w:val="002D752D"/>
    <w:rsid w:val="002E31DF"/>
    <w:rsid w:val="002F35AE"/>
    <w:rsid w:val="002F3CC4"/>
    <w:rsid w:val="002F5751"/>
    <w:rsid w:val="003168B8"/>
    <w:rsid w:val="00321147"/>
    <w:rsid w:val="00323667"/>
    <w:rsid w:val="0032456F"/>
    <w:rsid w:val="00335978"/>
    <w:rsid w:val="003371F8"/>
    <w:rsid w:val="00346406"/>
    <w:rsid w:val="0035509F"/>
    <w:rsid w:val="0037796F"/>
    <w:rsid w:val="00383DA7"/>
    <w:rsid w:val="00393995"/>
    <w:rsid w:val="003D1AA5"/>
    <w:rsid w:val="003D404A"/>
    <w:rsid w:val="003E6C27"/>
    <w:rsid w:val="003F3DA8"/>
    <w:rsid w:val="0040144A"/>
    <w:rsid w:val="004041FF"/>
    <w:rsid w:val="00410280"/>
    <w:rsid w:val="004107F9"/>
    <w:rsid w:val="00412C02"/>
    <w:rsid w:val="00413877"/>
    <w:rsid w:val="00452EA8"/>
    <w:rsid w:val="00493A99"/>
    <w:rsid w:val="004B3E4A"/>
    <w:rsid w:val="004C6410"/>
    <w:rsid w:val="004D19D1"/>
    <w:rsid w:val="004D3601"/>
    <w:rsid w:val="004F5978"/>
    <w:rsid w:val="004F59DD"/>
    <w:rsid w:val="00500798"/>
    <w:rsid w:val="005421A4"/>
    <w:rsid w:val="005607ED"/>
    <w:rsid w:val="00567D6C"/>
    <w:rsid w:val="00573C70"/>
    <w:rsid w:val="00574381"/>
    <w:rsid w:val="005D32C1"/>
    <w:rsid w:val="005E4388"/>
    <w:rsid w:val="005F404B"/>
    <w:rsid w:val="005F70A9"/>
    <w:rsid w:val="005F7650"/>
    <w:rsid w:val="006003DF"/>
    <w:rsid w:val="00604B12"/>
    <w:rsid w:val="00605366"/>
    <w:rsid w:val="00612F3D"/>
    <w:rsid w:val="00624A7C"/>
    <w:rsid w:val="0062562D"/>
    <w:rsid w:val="006401F9"/>
    <w:rsid w:val="0064119F"/>
    <w:rsid w:val="00642F97"/>
    <w:rsid w:val="006465BE"/>
    <w:rsid w:val="00650B45"/>
    <w:rsid w:val="006531A1"/>
    <w:rsid w:val="006537B6"/>
    <w:rsid w:val="00655B53"/>
    <w:rsid w:val="0067495E"/>
    <w:rsid w:val="00685A1C"/>
    <w:rsid w:val="006B14C6"/>
    <w:rsid w:val="006B2959"/>
    <w:rsid w:val="006B6038"/>
    <w:rsid w:val="006B70F3"/>
    <w:rsid w:val="006D2F13"/>
    <w:rsid w:val="006E0F0D"/>
    <w:rsid w:val="006F5982"/>
    <w:rsid w:val="006F5C2F"/>
    <w:rsid w:val="006F6C32"/>
    <w:rsid w:val="006F7561"/>
    <w:rsid w:val="00700FE9"/>
    <w:rsid w:val="007130A2"/>
    <w:rsid w:val="00721661"/>
    <w:rsid w:val="00737486"/>
    <w:rsid w:val="00751230"/>
    <w:rsid w:val="00756BA2"/>
    <w:rsid w:val="00777046"/>
    <w:rsid w:val="0078229F"/>
    <w:rsid w:val="00787E7B"/>
    <w:rsid w:val="00791CAC"/>
    <w:rsid w:val="007B0FF1"/>
    <w:rsid w:val="007C055A"/>
    <w:rsid w:val="007F6E76"/>
    <w:rsid w:val="007F7EFA"/>
    <w:rsid w:val="0080599C"/>
    <w:rsid w:val="008118EB"/>
    <w:rsid w:val="00814135"/>
    <w:rsid w:val="008352BE"/>
    <w:rsid w:val="0085082C"/>
    <w:rsid w:val="00851783"/>
    <w:rsid w:val="00853CDC"/>
    <w:rsid w:val="0085577D"/>
    <w:rsid w:val="00855A3B"/>
    <w:rsid w:val="00870256"/>
    <w:rsid w:val="0088432F"/>
    <w:rsid w:val="00892E3C"/>
    <w:rsid w:val="008A4972"/>
    <w:rsid w:val="008B7EFB"/>
    <w:rsid w:val="008E0959"/>
    <w:rsid w:val="008E68C2"/>
    <w:rsid w:val="008E7FF1"/>
    <w:rsid w:val="008F40BD"/>
    <w:rsid w:val="00910146"/>
    <w:rsid w:val="00934D89"/>
    <w:rsid w:val="00937CC1"/>
    <w:rsid w:val="00942CB2"/>
    <w:rsid w:val="00952044"/>
    <w:rsid w:val="00952F8A"/>
    <w:rsid w:val="00954ED0"/>
    <w:rsid w:val="0097665C"/>
    <w:rsid w:val="009871BF"/>
    <w:rsid w:val="009A599B"/>
    <w:rsid w:val="009A754B"/>
    <w:rsid w:val="009B4256"/>
    <w:rsid w:val="009D5F87"/>
    <w:rsid w:val="009E0B71"/>
    <w:rsid w:val="009E359B"/>
    <w:rsid w:val="009E3A2B"/>
    <w:rsid w:val="009E4D88"/>
    <w:rsid w:val="009E63C0"/>
    <w:rsid w:val="009F73DD"/>
    <w:rsid w:val="00A02741"/>
    <w:rsid w:val="00A046C4"/>
    <w:rsid w:val="00A11270"/>
    <w:rsid w:val="00A12C19"/>
    <w:rsid w:val="00A14E5A"/>
    <w:rsid w:val="00A30409"/>
    <w:rsid w:val="00A46C7F"/>
    <w:rsid w:val="00A507F8"/>
    <w:rsid w:val="00A528C4"/>
    <w:rsid w:val="00A631B4"/>
    <w:rsid w:val="00A841A6"/>
    <w:rsid w:val="00AA6486"/>
    <w:rsid w:val="00AB2D29"/>
    <w:rsid w:val="00AB3311"/>
    <w:rsid w:val="00AB5C5F"/>
    <w:rsid w:val="00AB72EA"/>
    <w:rsid w:val="00AD4CBB"/>
    <w:rsid w:val="00AE5ED8"/>
    <w:rsid w:val="00AF046B"/>
    <w:rsid w:val="00AF7C42"/>
    <w:rsid w:val="00B0556F"/>
    <w:rsid w:val="00B06092"/>
    <w:rsid w:val="00B35FC6"/>
    <w:rsid w:val="00B43706"/>
    <w:rsid w:val="00B44E47"/>
    <w:rsid w:val="00B540AC"/>
    <w:rsid w:val="00BA5426"/>
    <w:rsid w:val="00BF5BEB"/>
    <w:rsid w:val="00C07FF5"/>
    <w:rsid w:val="00C11971"/>
    <w:rsid w:val="00C16441"/>
    <w:rsid w:val="00C410AE"/>
    <w:rsid w:val="00CB704D"/>
    <w:rsid w:val="00CB7285"/>
    <w:rsid w:val="00CC112A"/>
    <w:rsid w:val="00CC324E"/>
    <w:rsid w:val="00CC758E"/>
    <w:rsid w:val="00CF2146"/>
    <w:rsid w:val="00D0142B"/>
    <w:rsid w:val="00D2035B"/>
    <w:rsid w:val="00D246E8"/>
    <w:rsid w:val="00D26BB3"/>
    <w:rsid w:val="00D33807"/>
    <w:rsid w:val="00D52BB8"/>
    <w:rsid w:val="00D52EA1"/>
    <w:rsid w:val="00D54B6D"/>
    <w:rsid w:val="00D619E8"/>
    <w:rsid w:val="00D63F88"/>
    <w:rsid w:val="00D74065"/>
    <w:rsid w:val="00D91C31"/>
    <w:rsid w:val="00D94C34"/>
    <w:rsid w:val="00DA3601"/>
    <w:rsid w:val="00DB7C31"/>
    <w:rsid w:val="00DC5458"/>
    <w:rsid w:val="00E076D1"/>
    <w:rsid w:val="00E15F70"/>
    <w:rsid w:val="00E17DEF"/>
    <w:rsid w:val="00E439DB"/>
    <w:rsid w:val="00E475F4"/>
    <w:rsid w:val="00E50822"/>
    <w:rsid w:val="00E56972"/>
    <w:rsid w:val="00E63B03"/>
    <w:rsid w:val="00E718A0"/>
    <w:rsid w:val="00E77D53"/>
    <w:rsid w:val="00E84BAA"/>
    <w:rsid w:val="00EB2C3C"/>
    <w:rsid w:val="00EE2788"/>
    <w:rsid w:val="00EF1ACE"/>
    <w:rsid w:val="00EF2AAB"/>
    <w:rsid w:val="00F02229"/>
    <w:rsid w:val="00F10806"/>
    <w:rsid w:val="00F12EE8"/>
    <w:rsid w:val="00F1589E"/>
    <w:rsid w:val="00F23500"/>
    <w:rsid w:val="00F23BC5"/>
    <w:rsid w:val="00F332E4"/>
    <w:rsid w:val="00F415F6"/>
    <w:rsid w:val="00F4577B"/>
    <w:rsid w:val="00F53A5F"/>
    <w:rsid w:val="00F738A7"/>
    <w:rsid w:val="00F753CA"/>
    <w:rsid w:val="00F8009D"/>
    <w:rsid w:val="00F865A6"/>
    <w:rsid w:val="00F866F5"/>
    <w:rsid w:val="00F92C6F"/>
    <w:rsid w:val="00FB5458"/>
    <w:rsid w:val="00FC0255"/>
    <w:rsid w:val="00FD2A7B"/>
    <w:rsid w:val="00FE26EF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28D4"/>
  <w15:docId w15:val="{DC4D9F2F-D714-4774-9010-EA52791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48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4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48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37486"/>
    <w:rPr>
      <w:vertAlign w:val="superscript"/>
    </w:rPr>
  </w:style>
  <w:style w:type="paragraph" w:customStyle="1" w:styleId="Default">
    <w:name w:val="Default"/>
    <w:rsid w:val="007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0B7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0B7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zeinternetowe">
    <w:name w:val="Łącze internetowe"/>
    <w:uiPriority w:val="99"/>
    <w:unhideWhenUsed/>
    <w:rsid w:val="008118E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118E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2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28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285"/>
    <w:rPr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F73D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2F5751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2F5751"/>
    <w:pPr>
      <w:widowControl w:val="0"/>
      <w:spacing w:after="0" w:line="266" w:lineRule="auto"/>
      <w:ind w:firstLine="20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6401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BD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F8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F87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45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45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abulatory">
    <w:name w:val="tabulatory"/>
    <w:basedOn w:val="Domylnaczcionkaakapitu"/>
    <w:rsid w:val="008E7FF1"/>
  </w:style>
  <w:style w:type="paragraph" w:styleId="Poprawka">
    <w:name w:val="Revision"/>
    <w:hidden/>
    <w:uiPriority w:val="99"/>
    <w:semiHidden/>
    <w:rsid w:val="00EE27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6F756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6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ographs.iarc.fr/ENG/Monographs/suppl7/index.php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nographs.iarc.fr/ENG/Monographs/vol100D/mono100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ographs.iarc.fr/ENG/Monographs/vol71/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ECF7-FB4F-4732-B7D0-5012A029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2958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achochol</dc:creator>
  <cp:lastModifiedBy>PR</cp:lastModifiedBy>
  <cp:revision>2</cp:revision>
  <cp:lastPrinted>2020-10-06T11:29:00Z</cp:lastPrinted>
  <dcterms:created xsi:type="dcterms:W3CDTF">2020-10-23T07:00:00Z</dcterms:created>
  <dcterms:modified xsi:type="dcterms:W3CDTF">2020-10-23T07:00:00Z</dcterms:modified>
</cp:coreProperties>
</file>