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BB18" w14:textId="625C5635" w:rsidR="00251734" w:rsidRPr="00B015E4" w:rsidRDefault="00705E50" w:rsidP="00BE4171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</w:t>
      </w:r>
      <w:r w:rsidR="00251734" w:rsidRPr="00B015E4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912F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15E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do rozporządzenia Ministra </w:t>
      </w:r>
    </w:p>
    <w:p w14:paraId="7E531A6D" w14:textId="37AB3536" w:rsidR="00B015E4" w:rsidRDefault="00BE4171" w:rsidP="002E63AB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Rozwoju</w:t>
      </w:r>
      <w:r w:rsidR="00B015E4" w:rsidRPr="00B015E4">
        <w:rPr>
          <w:rFonts w:ascii="Times New Roman" w:hAnsi="Times New Roman" w:cs="Times New Roman"/>
          <w:sz w:val="24"/>
          <w:szCs w:val="24"/>
          <w:lang w:val="pl-PL"/>
        </w:rPr>
        <w:t xml:space="preserve"> z dnia …….</w:t>
      </w:r>
      <w:r w:rsidR="00D3496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2FA1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B015E4" w:rsidRPr="00B015E4">
        <w:rPr>
          <w:rFonts w:ascii="Times New Roman" w:hAnsi="Times New Roman" w:cs="Times New Roman"/>
          <w:sz w:val="24"/>
          <w:szCs w:val="24"/>
          <w:lang w:val="pl-PL"/>
        </w:rPr>
        <w:t>poz. …..</w:t>
      </w:r>
      <w:r w:rsidR="00912FA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6D754EC" w14:textId="77777777" w:rsidR="00912FA1" w:rsidRDefault="00912FA1" w:rsidP="00251734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DE1D713" w14:textId="0B64183B" w:rsidR="00912FA1" w:rsidRPr="00B015E4" w:rsidRDefault="00912FA1" w:rsidP="00251734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2F6D2C2" w14:textId="4A9D3EFB" w:rsidR="00E763B8" w:rsidRDefault="00E763B8" w:rsidP="00912FA1">
      <w:pPr>
        <w:pStyle w:val="NIEARTTEKSTtekstnieartykuowanynppodstprawnarozplubpreambua"/>
        <w:ind w:firstLine="0"/>
        <w:jc w:val="center"/>
        <w:rPr>
          <w:b/>
        </w:rPr>
      </w:pPr>
      <w:r w:rsidRPr="00912FA1">
        <w:rPr>
          <w:b/>
        </w:rPr>
        <w:t>Dopuszczalne maksymalne wartości temperatur</w:t>
      </w:r>
      <w:r w:rsidR="00912FA1" w:rsidRPr="00912FA1">
        <w:rPr>
          <w:b/>
        </w:rPr>
        <w:t>y</w:t>
      </w:r>
      <w:r w:rsidRPr="00912FA1">
        <w:rPr>
          <w:b/>
        </w:rPr>
        <w:t xml:space="preserve"> kontrolnej i </w:t>
      </w:r>
      <w:r w:rsidR="00912FA1" w:rsidRPr="00912FA1">
        <w:rPr>
          <w:b/>
        </w:rPr>
        <w:t xml:space="preserve">temperatury </w:t>
      </w:r>
      <w:r w:rsidRPr="00912FA1">
        <w:rPr>
          <w:b/>
        </w:rPr>
        <w:t xml:space="preserve">krytycznej podczas </w:t>
      </w:r>
      <w:r w:rsidR="00912FA1" w:rsidRPr="00912FA1">
        <w:rPr>
          <w:b/>
        </w:rPr>
        <w:t>magazynowania i</w:t>
      </w:r>
      <w:r w:rsidRPr="00912FA1">
        <w:rPr>
          <w:b/>
        </w:rPr>
        <w:t xml:space="preserve"> transportu wewnątrzzakładowego nadtlenków</w:t>
      </w:r>
      <w:r w:rsidR="00812718">
        <w:rPr>
          <w:b/>
        </w:rPr>
        <w:t xml:space="preserve"> organicznych</w:t>
      </w:r>
      <w:r w:rsidR="00912FA1" w:rsidRPr="00912FA1">
        <w:rPr>
          <w:b/>
        </w:rPr>
        <w:t xml:space="preserve"> ustalone na podstawie </w:t>
      </w:r>
      <w:r w:rsidR="00085EBE">
        <w:rPr>
          <w:b/>
        </w:rPr>
        <w:t>temperatur ich samoprzyspieszającego się rozkładu</w:t>
      </w:r>
    </w:p>
    <w:p w14:paraId="1B3E548B" w14:textId="77777777" w:rsidR="00085EBE" w:rsidRPr="00150659" w:rsidRDefault="00085EBE" w:rsidP="00150659">
      <w:pPr>
        <w:pStyle w:val="ARTartustawynprozporzdzenia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9"/>
        <w:gridCol w:w="2299"/>
      </w:tblGrid>
      <w:tr w:rsidR="00EF7881" w14:paraId="0F7CA85E" w14:textId="77777777" w:rsidTr="00751CA0">
        <w:tc>
          <w:tcPr>
            <w:tcW w:w="2298" w:type="dxa"/>
          </w:tcPr>
          <w:p w14:paraId="6737A3AA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t>Rodzaj naczynia</w:t>
            </w:r>
          </w:p>
        </w:tc>
        <w:tc>
          <w:tcPr>
            <w:tcW w:w="2298" w:type="dxa"/>
          </w:tcPr>
          <w:p w14:paraId="5C8EA1E6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t>TSR</w:t>
            </w:r>
          </w:p>
        </w:tc>
        <w:tc>
          <w:tcPr>
            <w:tcW w:w="2299" w:type="dxa"/>
          </w:tcPr>
          <w:p w14:paraId="66E5D908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t>Temperatura kontrolna</w:t>
            </w:r>
          </w:p>
        </w:tc>
        <w:tc>
          <w:tcPr>
            <w:tcW w:w="2299" w:type="dxa"/>
          </w:tcPr>
          <w:p w14:paraId="1AC3F800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t>Temperatura krytyczna</w:t>
            </w:r>
          </w:p>
          <w:p w14:paraId="6B0DE7A5" w14:textId="77777777" w:rsidR="00EF7881" w:rsidRPr="00782547" w:rsidRDefault="00EF7881" w:rsidP="00751CA0">
            <w:pPr>
              <w:pStyle w:val="ARTartustawynprozporzdzenia"/>
            </w:pPr>
          </w:p>
        </w:tc>
      </w:tr>
      <w:tr w:rsidR="00EF7881" w14:paraId="179FCFD9" w14:textId="77777777" w:rsidTr="00751CA0">
        <w:tc>
          <w:tcPr>
            <w:tcW w:w="2298" w:type="dxa"/>
            <w:vMerge w:val="restart"/>
          </w:tcPr>
          <w:p w14:paraId="3C53E8B4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t>Pojedyncze opakowania i DPPL</w:t>
            </w:r>
          </w:p>
        </w:tc>
        <w:tc>
          <w:tcPr>
            <w:tcW w:w="2298" w:type="dxa"/>
          </w:tcPr>
          <w:p w14:paraId="7A1310F6" w14:textId="77777777" w:rsidR="00EF7881" w:rsidRPr="003B427C" w:rsidRDefault="00EF7881" w:rsidP="00751CA0">
            <w:pPr>
              <w:pStyle w:val="ARTartustawynprozporzdzenia"/>
              <w:ind w:firstLine="0"/>
              <w:rPr>
                <w:szCs w:val="24"/>
              </w:rPr>
            </w:pPr>
            <w:r w:rsidRPr="003B427C">
              <w:rPr>
                <w:szCs w:val="24"/>
              </w:rPr>
              <w:t>20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 w:rsidRPr="003B427C">
              <w:rPr>
                <w:szCs w:val="24"/>
              </w:rPr>
              <w:t>C lub mniej</w:t>
            </w:r>
          </w:p>
        </w:tc>
        <w:tc>
          <w:tcPr>
            <w:tcW w:w="2299" w:type="dxa"/>
          </w:tcPr>
          <w:p w14:paraId="487EA9D3" w14:textId="77777777" w:rsidR="00EF7881" w:rsidRDefault="00EF7881" w:rsidP="00751CA0">
            <w:pPr>
              <w:pStyle w:val="NIEARTTEKSTtekstnieartykuowanynppodstprawnarozplubpreambua"/>
              <w:ind w:firstLine="0"/>
            </w:pPr>
            <w:r w:rsidRPr="003B427C">
              <w:rPr>
                <w:szCs w:val="24"/>
              </w:rPr>
              <w:t>20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  <w:tc>
          <w:tcPr>
            <w:tcW w:w="2299" w:type="dxa"/>
          </w:tcPr>
          <w:p w14:paraId="3E45D241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1</w:t>
            </w:r>
            <w:r w:rsidRPr="003B427C">
              <w:rPr>
                <w:szCs w:val="24"/>
              </w:rPr>
              <w:t>0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</w:tr>
      <w:tr w:rsidR="00EF7881" w14:paraId="60E97261" w14:textId="77777777" w:rsidTr="00751CA0">
        <w:tc>
          <w:tcPr>
            <w:tcW w:w="2298" w:type="dxa"/>
            <w:vMerge/>
          </w:tcPr>
          <w:p w14:paraId="68F56F34" w14:textId="77777777" w:rsidR="00EF7881" w:rsidRDefault="00EF7881" w:rsidP="00751CA0">
            <w:pPr>
              <w:pStyle w:val="NIEARTTEKSTtekstnieartykuowanynppodstprawnarozplubpreambua"/>
              <w:ind w:firstLine="0"/>
            </w:pPr>
          </w:p>
        </w:tc>
        <w:tc>
          <w:tcPr>
            <w:tcW w:w="2298" w:type="dxa"/>
          </w:tcPr>
          <w:p w14:paraId="2AB800A6" w14:textId="77777777" w:rsidR="00EF7881" w:rsidRDefault="00EF7881" w:rsidP="00751CA0">
            <w:pPr>
              <w:pStyle w:val="NIEARTTEKSTtekstnieartykuowanynppodstprawnarozplubpreambua"/>
              <w:ind w:firstLine="0"/>
              <w:jc w:val="left"/>
            </w:pPr>
            <w:r>
              <w:rPr>
                <w:szCs w:val="24"/>
              </w:rPr>
              <w:t xml:space="preserve">powyżej </w:t>
            </w:r>
            <w:r w:rsidRPr="00077439">
              <w:rPr>
                <w:szCs w:val="24"/>
              </w:rPr>
              <w:t>20</w:t>
            </w:r>
            <w:r w:rsidRPr="00077439">
              <w:rPr>
                <w:szCs w:val="24"/>
                <w:vertAlign w:val="superscript"/>
              </w:rPr>
              <w:t>o</w:t>
            </w:r>
            <w:r w:rsidRPr="00077439">
              <w:rPr>
                <w:szCs w:val="24"/>
              </w:rPr>
              <w:t xml:space="preserve">C </w:t>
            </w:r>
            <w:r>
              <w:rPr>
                <w:szCs w:val="24"/>
              </w:rPr>
              <w:br/>
              <w:t>do 35</w:t>
            </w:r>
            <w:r w:rsidRPr="00077439">
              <w:rPr>
                <w:szCs w:val="24"/>
                <w:vertAlign w:val="superscript"/>
              </w:rPr>
              <w:t>o</w:t>
            </w:r>
            <w:r w:rsidRPr="00077439">
              <w:rPr>
                <w:szCs w:val="24"/>
              </w:rPr>
              <w:t>C</w:t>
            </w:r>
          </w:p>
        </w:tc>
        <w:tc>
          <w:tcPr>
            <w:tcW w:w="2299" w:type="dxa"/>
          </w:tcPr>
          <w:p w14:paraId="6FFDA337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15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  <w:tc>
          <w:tcPr>
            <w:tcW w:w="2299" w:type="dxa"/>
          </w:tcPr>
          <w:p w14:paraId="706B56AF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10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</w:tr>
      <w:tr w:rsidR="00EF7881" w14:paraId="0022D620" w14:textId="77777777" w:rsidTr="00751CA0">
        <w:tc>
          <w:tcPr>
            <w:tcW w:w="2298" w:type="dxa"/>
            <w:vMerge/>
          </w:tcPr>
          <w:p w14:paraId="76D5E859" w14:textId="77777777" w:rsidR="00EF7881" w:rsidRDefault="00EF7881" w:rsidP="00751CA0">
            <w:pPr>
              <w:pStyle w:val="NIEARTTEKSTtekstnieartykuowanynppodstprawnarozplubpreambua"/>
              <w:ind w:firstLine="0"/>
            </w:pPr>
          </w:p>
        </w:tc>
        <w:tc>
          <w:tcPr>
            <w:tcW w:w="2298" w:type="dxa"/>
          </w:tcPr>
          <w:p w14:paraId="073F9ADE" w14:textId="77777777" w:rsidR="00EF7881" w:rsidRDefault="00EF7881" w:rsidP="00751CA0">
            <w:pPr>
              <w:pStyle w:val="NIEARTTEKSTtekstnieartykuowanynppodstprawnarozplubpreambua"/>
              <w:ind w:firstLine="0"/>
              <w:jc w:val="left"/>
            </w:pPr>
            <w:r>
              <w:rPr>
                <w:szCs w:val="24"/>
              </w:rPr>
              <w:t>powyżej 35</w:t>
            </w:r>
            <w:r w:rsidRPr="00077439">
              <w:rPr>
                <w:szCs w:val="24"/>
                <w:vertAlign w:val="superscript"/>
              </w:rPr>
              <w:t>o</w:t>
            </w:r>
            <w:r w:rsidRPr="00077439">
              <w:rPr>
                <w:szCs w:val="24"/>
              </w:rPr>
              <w:t xml:space="preserve">C </w:t>
            </w:r>
          </w:p>
        </w:tc>
        <w:tc>
          <w:tcPr>
            <w:tcW w:w="2299" w:type="dxa"/>
          </w:tcPr>
          <w:p w14:paraId="2E24E5EE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1</w:t>
            </w:r>
            <w:r w:rsidRPr="003B427C">
              <w:rPr>
                <w:szCs w:val="24"/>
              </w:rPr>
              <w:t>0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  <w:tc>
          <w:tcPr>
            <w:tcW w:w="2299" w:type="dxa"/>
          </w:tcPr>
          <w:p w14:paraId="5895A68A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5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</w:tr>
      <w:tr w:rsidR="00EF7881" w14:paraId="0098D959" w14:textId="77777777" w:rsidTr="00751CA0">
        <w:tc>
          <w:tcPr>
            <w:tcW w:w="2298" w:type="dxa"/>
          </w:tcPr>
          <w:p w14:paraId="537D42DF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t>Cysterny</w:t>
            </w:r>
          </w:p>
        </w:tc>
        <w:tc>
          <w:tcPr>
            <w:tcW w:w="2298" w:type="dxa"/>
          </w:tcPr>
          <w:p w14:paraId="077B362A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nie wyższa niż 50</w:t>
            </w:r>
            <w:r w:rsidRPr="00077439">
              <w:rPr>
                <w:szCs w:val="24"/>
                <w:vertAlign w:val="superscript"/>
              </w:rPr>
              <w:t>o</w:t>
            </w:r>
            <w:r w:rsidRPr="00077439">
              <w:rPr>
                <w:szCs w:val="24"/>
              </w:rPr>
              <w:t>C</w:t>
            </w:r>
          </w:p>
        </w:tc>
        <w:tc>
          <w:tcPr>
            <w:tcW w:w="2299" w:type="dxa"/>
          </w:tcPr>
          <w:p w14:paraId="1CD9A042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1</w:t>
            </w:r>
            <w:r w:rsidRPr="003B427C">
              <w:rPr>
                <w:szCs w:val="24"/>
              </w:rPr>
              <w:t>0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  <w:tc>
          <w:tcPr>
            <w:tcW w:w="2299" w:type="dxa"/>
          </w:tcPr>
          <w:p w14:paraId="63E5C3E3" w14:textId="77777777" w:rsidR="00EF7881" w:rsidRDefault="00EF7881" w:rsidP="00751CA0">
            <w:pPr>
              <w:pStyle w:val="NIEARTTEKSTtekstnieartykuowanynppodstprawnarozplubpreambua"/>
              <w:ind w:firstLine="0"/>
            </w:pPr>
            <w:r>
              <w:rPr>
                <w:szCs w:val="24"/>
              </w:rPr>
              <w:t>5</w:t>
            </w:r>
            <w:r w:rsidRPr="003B427C">
              <w:rPr>
                <w:szCs w:val="24"/>
                <w:vertAlign w:val="superscript"/>
              </w:rPr>
              <w:t>o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C poniżej TSR</w:t>
            </w:r>
          </w:p>
        </w:tc>
      </w:tr>
    </w:tbl>
    <w:p w14:paraId="02D6E4CE" w14:textId="77777777" w:rsidR="00EF7881" w:rsidRDefault="00EF7881" w:rsidP="00EF7881">
      <w:pPr>
        <w:pStyle w:val="NIEARTTEKSTtekstnieartykuowanynppodstprawnarozplubpreambua"/>
      </w:pPr>
    </w:p>
    <w:p w14:paraId="09147288" w14:textId="6577CD2F" w:rsidR="00EF7881" w:rsidRDefault="00EF7881" w:rsidP="003F5FB3">
      <w:pPr>
        <w:pStyle w:val="NIEARTTEKSTtekstnieartykuowanynppodstprawnarozplubpreambua"/>
        <w:ind w:left="567" w:hanging="425"/>
      </w:pPr>
      <w:r>
        <w:t>Objaśnienia</w:t>
      </w:r>
      <w:r w:rsidR="00912FA1">
        <w:t xml:space="preserve"> terminów użytych w tabeli</w:t>
      </w:r>
      <w:r>
        <w:t>:</w:t>
      </w:r>
    </w:p>
    <w:p w14:paraId="707A7327" w14:textId="0D860245" w:rsidR="00EF7881" w:rsidRDefault="00EF7881" w:rsidP="003F5FB3">
      <w:pPr>
        <w:pStyle w:val="TIRtiret"/>
        <w:ind w:left="567" w:hanging="425"/>
      </w:pPr>
      <w:r>
        <w:t xml:space="preserve"> </w:t>
      </w:r>
      <w:r w:rsidR="00645E37">
        <w:t>1)</w:t>
      </w:r>
      <w:r w:rsidR="0002678B">
        <w:t xml:space="preserve"> </w:t>
      </w:r>
      <w:r>
        <w:t xml:space="preserve">TSR </w:t>
      </w:r>
      <w:r w:rsidR="00645E37">
        <w:t>–</w:t>
      </w:r>
      <w:r>
        <w:t xml:space="preserve"> </w:t>
      </w:r>
      <w:r w:rsidR="00645E37">
        <w:t xml:space="preserve">temperatura samoprzyspieszającego się rozkładu </w:t>
      </w:r>
      <w:r w:rsidR="00085EBE">
        <w:t>–</w:t>
      </w:r>
      <w:r w:rsidR="00812718">
        <w:t xml:space="preserve"> </w:t>
      </w:r>
      <w:r>
        <w:t>najniższa temperatura, przy której może rozpocząć się samorzutny rozkład nadtlenku</w:t>
      </w:r>
      <w:r w:rsidR="00812718">
        <w:t xml:space="preserve"> organicznego</w:t>
      </w:r>
      <w:r>
        <w:t xml:space="preserve"> znajdującego się w opakowaniu</w:t>
      </w:r>
      <w:r w:rsidR="00645E37">
        <w:t>;</w:t>
      </w:r>
    </w:p>
    <w:p w14:paraId="24A08305" w14:textId="4301D44A" w:rsidR="00EF7881" w:rsidRDefault="00EF7881" w:rsidP="003F5FB3">
      <w:pPr>
        <w:pStyle w:val="TIRtiret"/>
        <w:ind w:left="567" w:hanging="425"/>
      </w:pPr>
      <w:r>
        <w:t xml:space="preserve"> </w:t>
      </w:r>
      <w:r w:rsidR="00645E37">
        <w:t>2)</w:t>
      </w:r>
      <w:r w:rsidR="0002678B">
        <w:t xml:space="preserve"> </w:t>
      </w:r>
      <w:r>
        <w:t xml:space="preserve">temperatura kontrolna </w:t>
      </w:r>
      <w:r w:rsidR="00085EBE">
        <w:t>–</w:t>
      </w:r>
      <w:r w:rsidR="00812718">
        <w:t xml:space="preserve"> </w:t>
      </w:r>
      <w:r>
        <w:t xml:space="preserve">najwyższa temperatura, przy której nadtlenek </w:t>
      </w:r>
      <w:r w:rsidR="00085EBE">
        <w:t xml:space="preserve">organiczny </w:t>
      </w:r>
      <w:r>
        <w:t>może być bezpiecznie przechowywany i transportowany</w:t>
      </w:r>
      <w:r w:rsidR="00645E37">
        <w:t>;</w:t>
      </w:r>
    </w:p>
    <w:p w14:paraId="3CCF2E42" w14:textId="3839F2C6" w:rsidR="00EF7881" w:rsidRDefault="00EF7881" w:rsidP="003F5FB3">
      <w:pPr>
        <w:pStyle w:val="TIRtiret"/>
        <w:ind w:left="567" w:hanging="425"/>
      </w:pPr>
      <w:r>
        <w:t xml:space="preserve"> </w:t>
      </w:r>
      <w:r w:rsidR="00645E37">
        <w:t>3)</w:t>
      </w:r>
      <w:r w:rsidR="0002678B">
        <w:t xml:space="preserve"> </w:t>
      </w:r>
      <w:r>
        <w:t xml:space="preserve">temperatura krytyczna </w:t>
      </w:r>
      <w:r w:rsidR="00085EBE">
        <w:t>–</w:t>
      </w:r>
      <w:r w:rsidR="00812718">
        <w:t xml:space="preserve"> </w:t>
      </w:r>
      <w:r>
        <w:t>temperatura, przy której powinny rozpocząć się procedury awaryjne, mające za zadanie obniżenie temperatury do poziomu temperatury kontrolnej uniemożliwiające osiągnięcie przez nadtlenek</w:t>
      </w:r>
      <w:r w:rsidR="00645E37">
        <w:t xml:space="preserve"> </w:t>
      </w:r>
      <w:r w:rsidR="00085EBE">
        <w:t xml:space="preserve">organiczny </w:t>
      </w:r>
      <w:r w:rsidR="00645E37">
        <w:t>TSR;</w:t>
      </w:r>
    </w:p>
    <w:p w14:paraId="0DD6A270" w14:textId="17402E94" w:rsidR="0027312A" w:rsidRPr="00BE4171" w:rsidRDefault="00EF7881" w:rsidP="00BE417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12718">
        <w:rPr>
          <w:rFonts w:ascii="Times New Roman" w:hAnsi="Times New Roman" w:cs="Times New Roman"/>
          <w:lang w:val="pl-PL"/>
        </w:rPr>
        <w:t xml:space="preserve"> </w:t>
      </w:r>
      <w:r w:rsidR="00645E37" w:rsidRPr="00812718">
        <w:rPr>
          <w:rFonts w:ascii="Times New Roman" w:hAnsi="Times New Roman" w:cs="Times New Roman"/>
          <w:lang w:val="pl-PL"/>
        </w:rPr>
        <w:t xml:space="preserve">4) </w:t>
      </w:r>
      <w:r w:rsidRPr="00812718">
        <w:rPr>
          <w:rFonts w:ascii="Times New Roman" w:hAnsi="Times New Roman" w:cs="Times New Roman"/>
          <w:lang w:val="pl-PL"/>
        </w:rPr>
        <w:t>DPPL</w:t>
      </w:r>
      <w:r w:rsidR="00645E37" w:rsidRPr="00812718">
        <w:rPr>
          <w:rFonts w:ascii="Times New Roman" w:hAnsi="Times New Roman" w:cs="Times New Roman"/>
          <w:lang w:val="pl-PL"/>
        </w:rPr>
        <w:t xml:space="preserve"> </w:t>
      </w:r>
      <w:r w:rsidR="00C3784C">
        <w:t>–</w:t>
      </w:r>
      <w:r w:rsidR="00812718" w:rsidRPr="00812718">
        <w:rPr>
          <w:rFonts w:ascii="Times New Roman" w:hAnsi="Times New Roman" w:cs="Times New Roman"/>
          <w:lang w:val="pl-PL"/>
        </w:rPr>
        <w:t xml:space="preserve"> </w:t>
      </w:r>
      <w:r w:rsidRPr="00812718">
        <w:rPr>
          <w:rFonts w:ascii="Times New Roman" w:hAnsi="Times New Roman" w:cs="Times New Roman"/>
          <w:lang w:val="pl-PL"/>
        </w:rPr>
        <w:t>duży pojemnik do przewozu luzem.</w:t>
      </w:r>
    </w:p>
    <w:sectPr w:rsidR="0027312A" w:rsidRPr="00BE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507C59" w15:done="0"/>
  <w15:commentEx w15:paraId="0F6C5802" w15:done="0"/>
  <w15:commentEx w15:paraId="684B6DBB" w15:done="0"/>
  <w15:commentEx w15:paraId="724D38E3" w15:done="0"/>
  <w15:commentEx w15:paraId="58601C60" w15:done="0"/>
  <w15:commentEx w15:paraId="5D3EC62B" w15:done="0"/>
  <w15:commentEx w15:paraId="53CBBE47" w15:done="0"/>
  <w15:commentEx w15:paraId="220F0DD7" w15:done="0"/>
  <w15:commentEx w15:paraId="347B65E3" w15:done="0"/>
  <w15:commentEx w15:paraId="2AD5886C" w15:done="0"/>
  <w15:commentEx w15:paraId="5CFF921F" w15:done="0"/>
  <w15:commentEx w15:paraId="5EFA430B" w15:done="0"/>
  <w15:commentEx w15:paraId="6E008AB5" w15:done="0"/>
  <w15:commentEx w15:paraId="14EAF5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E28FE" w16cid:durableId="1EED0B76"/>
  <w16cid:commentId w16cid:paraId="6D975ABB" w16cid:durableId="1EED07A1"/>
  <w16cid:commentId w16cid:paraId="6280BC8E" w16cid:durableId="1EED07DB"/>
  <w16cid:commentId w16cid:paraId="7FCE80E7" w16cid:durableId="1EED07F9"/>
  <w16cid:commentId w16cid:paraId="30341EA5" w16cid:durableId="1EED0917"/>
  <w16cid:commentId w16cid:paraId="4110BB31" w16cid:durableId="1EED0969"/>
  <w16cid:commentId w16cid:paraId="39EA0F68" w16cid:durableId="1EED0A7E"/>
  <w16cid:commentId w16cid:paraId="635DE2FE" w16cid:durableId="1EED0A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A"/>
    <w:multiLevelType w:val="hybridMultilevel"/>
    <w:tmpl w:val="6AC69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ECC"/>
    <w:multiLevelType w:val="hybridMultilevel"/>
    <w:tmpl w:val="2F28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AC1"/>
    <w:multiLevelType w:val="hybridMultilevel"/>
    <w:tmpl w:val="1EAC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66CB"/>
    <w:multiLevelType w:val="multilevel"/>
    <w:tmpl w:val="6B9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6D7D"/>
    <w:multiLevelType w:val="hybridMultilevel"/>
    <w:tmpl w:val="57F484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61055"/>
    <w:multiLevelType w:val="hybridMultilevel"/>
    <w:tmpl w:val="A0F68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24ED"/>
    <w:multiLevelType w:val="hybridMultilevel"/>
    <w:tmpl w:val="B18E1D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8161AE"/>
    <w:multiLevelType w:val="hybridMultilevel"/>
    <w:tmpl w:val="1700A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F1CFB"/>
    <w:multiLevelType w:val="hybridMultilevel"/>
    <w:tmpl w:val="0C5A3E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7"/>
    <w:rsid w:val="00013757"/>
    <w:rsid w:val="0002678B"/>
    <w:rsid w:val="00041CB5"/>
    <w:rsid w:val="000742EC"/>
    <w:rsid w:val="00085EBE"/>
    <w:rsid w:val="000963AF"/>
    <w:rsid w:val="001255A1"/>
    <w:rsid w:val="00150659"/>
    <w:rsid w:val="00153E84"/>
    <w:rsid w:val="00155259"/>
    <w:rsid w:val="001B44AC"/>
    <w:rsid w:val="001B5A44"/>
    <w:rsid w:val="0022293A"/>
    <w:rsid w:val="00246351"/>
    <w:rsid w:val="0025024C"/>
    <w:rsid w:val="00251734"/>
    <w:rsid w:val="00254E25"/>
    <w:rsid w:val="00267C17"/>
    <w:rsid w:val="0027312A"/>
    <w:rsid w:val="002B1CDA"/>
    <w:rsid w:val="002E63AB"/>
    <w:rsid w:val="00324229"/>
    <w:rsid w:val="00373807"/>
    <w:rsid w:val="003D2315"/>
    <w:rsid w:val="003E04B2"/>
    <w:rsid w:val="003F5FB3"/>
    <w:rsid w:val="00437021"/>
    <w:rsid w:val="00486AEC"/>
    <w:rsid w:val="0049129C"/>
    <w:rsid w:val="004E3DF2"/>
    <w:rsid w:val="004F1692"/>
    <w:rsid w:val="00502FF4"/>
    <w:rsid w:val="00506C81"/>
    <w:rsid w:val="00517497"/>
    <w:rsid w:val="00531B2E"/>
    <w:rsid w:val="005859A0"/>
    <w:rsid w:val="005907E8"/>
    <w:rsid w:val="005915A2"/>
    <w:rsid w:val="005B770E"/>
    <w:rsid w:val="005F1A0E"/>
    <w:rsid w:val="00642B56"/>
    <w:rsid w:val="00645E37"/>
    <w:rsid w:val="00647633"/>
    <w:rsid w:val="00690FC5"/>
    <w:rsid w:val="006932AA"/>
    <w:rsid w:val="006A6E94"/>
    <w:rsid w:val="00703C5B"/>
    <w:rsid w:val="00705E50"/>
    <w:rsid w:val="00714FD0"/>
    <w:rsid w:val="007B07DA"/>
    <w:rsid w:val="007B25AC"/>
    <w:rsid w:val="007E315B"/>
    <w:rsid w:val="00812718"/>
    <w:rsid w:val="00814300"/>
    <w:rsid w:val="00844FDA"/>
    <w:rsid w:val="00857A4D"/>
    <w:rsid w:val="008655AE"/>
    <w:rsid w:val="008D6FA5"/>
    <w:rsid w:val="00912FA1"/>
    <w:rsid w:val="00962DB7"/>
    <w:rsid w:val="009760FB"/>
    <w:rsid w:val="00984EF9"/>
    <w:rsid w:val="009B6981"/>
    <w:rsid w:val="009E0A47"/>
    <w:rsid w:val="00A047B9"/>
    <w:rsid w:val="00A21992"/>
    <w:rsid w:val="00A51BA4"/>
    <w:rsid w:val="00B015E4"/>
    <w:rsid w:val="00B11673"/>
    <w:rsid w:val="00B1194B"/>
    <w:rsid w:val="00B216EE"/>
    <w:rsid w:val="00BD5222"/>
    <w:rsid w:val="00BE1FA6"/>
    <w:rsid w:val="00BE4171"/>
    <w:rsid w:val="00BE7182"/>
    <w:rsid w:val="00BF173D"/>
    <w:rsid w:val="00C01762"/>
    <w:rsid w:val="00C26971"/>
    <w:rsid w:val="00C375EA"/>
    <w:rsid w:val="00C3784C"/>
    <w:rsid w:val="00C6166D"/>
    <w:rsid w:val="00CA031E"/>
    <w:rsid w:val="00CF0610"/>
    <w:rsid w:val="00D059E5"/>
    <w:rsid w:val="00D34961"/>
    <w:rsid w:val="00DA2A2D"/>
    <w:rsid w:val="00DA523C"/>
    <w:rsid w:val="00DA648F"/>
    <w:rsid w:val="00DC3479"/>
    <w:rsid w:val="00DC408D"/>
    <w:rsid w:val="00DE0F42"/>
    <w:rsid w:val="00E15D76"/>
    <w:rsid w:val="00E25E64"/>
    <w:rsid w:val="00E63978"/>
    <w:rsid w:val="00E763B8"/>
    <w:rsid w:val="00E77DC7"/>
    <w:rsid w:val="00E87DEF"/>
    <w:rsid w:val="00EE1C10"/>
    <w:rsid w:val="00EF7881"/>
    <w:rsid w:val="00FC512C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C7"/>
    <w:pPr>
      <w:spacing w:after="200" w:line="276" w:lineRule="auto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3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21"/>
    <w:rPr>
      <w:rFonts w:ascii="Segoe UI" w:hAnsi="Segoe UI" w:cs="Segoe UI"/>
      <w:sz w:val="18"/>
      <w:szCs w:val="18"/>
      <w:lang w:val="en-CA"/>
    </w:rPr>
  </w:style>
  <w:style w:type="paragraph" w:styleId="Akapitzlist">
    <w:name w:val="List Paragraph"/>
    <w:basedOn w:val="Normalny"/>
    <w:uiPriority w:val="34"/>
    <w:qFormat/>
    <w:rsid w:val="005907E8"/>
    <w:pPr>
      <w:ind w:left="720"/>
      <w:contextualSpacing/>
    </w:pPr>
  </w:style>
  <w:style w:type="table" w:styleId="Tabela-Siatka">
    <w:name w:val="Table Grid"/>
    <w:basedOn w:val="Standardowy"/>
    <w:rsid w:val="00C2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734"/>
    <w:rPr>
      <w:sz w:val="20"/>
      <w:szCs w:val="20"/>
      <w:lang w:val="en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734"/>
    <w:rPr>
      <w:b/>
      <w:bCs/>
      <w:sz w:val="20"/>
      <w:szCs w:val="20"/>
      <w:lang w:val="en-CA"/>
    </w:rPr>
  </w:style>
  <w:style w:type="paragraph" w:customStyle="1" w:styleId="Default">
    <w:name w:val="Default"/>
    <w:rsid w:val="0096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Rtiret">
    <w:name w:val="TIR – tiret"/>
    <w:basedOn w:val="Normalny"/>
    <w:uiPriority w:val="15"/>
    <w:qFormat/>
    <w:rsid w:val="00EF7881"/>
    <w:pPr>
      <w:spacing w:after="0"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EF788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EF7881"/>
    <w:rPr>
      <w:bCs/>
    </w:rPr>
  </w:style>
  <w:style w:type="character" w:customStyle="1" w:styleId="IGindeksgrny">
    <w:name w:val="_IG_ – indeks górny"/>
    <w:uiPriority w:val="2"/>
    <w:qFormat/>
    <w:rsid w:val="00E763B8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5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C7"/>
    <w:pPr>
      <w:spacing w:after="200" w:line="276" w:lineRule="auto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3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21"/>
    <w:rPr>
      <w:rFonts w:ascii="Segoe UI" w:hAnsi="Segoe UI" w:cs="Segoe UI"/>
      <w:sz w:val="18"/>
      <w:szCs w:val="18"/>
      <w:lang w:val="en-CA"/>
    </w:rPr>
  </w:style>
  <w:style w:type="paragraph" w:styleId="Akapitzlist">
    <w:name w:val="List Paragraph"/>
    <w:basedOn w:val="Normalny"/>
    <w:uiPriority w:val="34"/>
    <w:qFormat/>
    <w:rsid w:val="005907E8"/>
    <w:pPr>
      <w:ind w:left="720"/>
      <w:contextualSpacing/>
    </w:pPr>
  </w:style>
  <w:style w:type="table" w:styleId="Tabela-Siatka">
    <w:name w:val="Table Grid"/>
    <w:basedOn w:val="Standardowy"/>
    <w:rsid w:val="00C2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734"/>
    <w:rPr>
      <w:sz w:val="20"/>
      <w:szCs w:val="20"/>
      <w:lang w:val="en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734"/>
    <w:rPr>
      <w:b/>
      <w:bCs/>
      <w:sz w:val="20"/>
      <w:szCs w:val="20"/>
      <w:lang w:val="en-CA"/>
    </w:rPr>
  </w:style>
  <w:style w:type="paragraph" w:customStyle="1" w:styleId="Default">
    <w:name w:val="Default"/>
    <w:rsid w:val="0096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Rtiret">
    <w:name w:val="TIR – tiret"/>
    <w:basedOn w:val="Normalny"/>
    <w:uiPriority w:val="15"/>
    <w:qFormat/>
    <w:rsid w:val="00EF7881"/>
    <w:pPr>
      <w:spacing w:after="0"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EF788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EF7881"/>
    <w:rPr>
      <w:bCs/>
    </w:rPr>
  </w:style>
  <w:style w:type="character" w:customStyle="1" w:styleId="IGindeksgrny">
    <w:name w:val="_IG_ – indeks górny"/>
    <w:uiPriority w:val="2"/>
    <w:qFormat/>
    <w:rsid w:val="00E763B8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aggaj</dc:creator>
  <cp:lastModifiedBy>Joanna Klimczak</cp:lastModifiedBy>
  <cp:revision>2</cp:revision>
  <cp:lastPrinted>2020-07-01T08:40:00Z</cp:lastPrinted>
  <dcterms:created xsi:type="dcterms:W3CDTF">2020-10-02T06:04:00Z</dcterms:created>
  <dcterms:modified xsi:type="dcterms:W3CDTF">2020-10-02T06:04:00Z</dcterms:modified>
</cp:coreProperties>
</file>