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DFF" w:rsidRDefault="00E310EF">
      <w:pPr>
        <w:pStyle w:val="Pagedecouverture"/>
        <w:rPr>
          <w:noProof/>
        </w:rPr>
      </w:pPr>
      <w:bookmarkStart w:id="0" w:name="LW_BM_COVERPAGE"/>
      <w:bookmarkStart w:id="1" w:name="_GoBack"/>
      <w:bookmarkEnd w:id="1"/>
      <w:r>
        <w:rPr>
          <w:noProof/>
          <w:lang w:eastAsia="pl-PL"/>
        </w:rPr>
        <w:drawing>
          <wp:inline distT="0" distB="0" distL="0" distR="0">
            <wp:extent cx="5720715" cy="4588510"/>
            <wp:effectExtent l="0" t="0" r="0" b="0"/>
            <wp:docPr id="1" name="Obraz 1" descr="9B9FCD89-6181-4319-A8A5-864D7BA5D3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B9FCD89-6181-4319-A8A5-864D7BA5D3B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0715" cy="4588510"/>
                    </a:xfrm>
                    <a:prstGeom prst="rect">
                      <a:avLst/>
                    </a:prstGeom>
                    <a:noFill/>
                    <a:ln>
                      <a:noFill/>
                    </a:ln>
                  </pic:spPr>
                </pic:pic>
              </a:graphicData>
            </a:graphic>
          </wp:inline>
        </w:drawing>
      </w:r>
    </w:p>
    <w:bookmarkEnd w:id="0"/>
    <w:p w:rsidR="007F7DFF" w:rsidRDefault="007F7DFF">
      <w:pPr>
        <w:rPr>
          <w:noProof/>
        </w:rPr>
        <w:sectPr w:rsidR="007F7DFF">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0"/>
          <w:cols w:space="720"/>
          <w:docGrid w:linePitch="360"/>
        </w:sectPr>
      </w:pPr>
    </w:p>
    <w:p w:rsidR="007F7DFF" w:rsidRDefault="00E310EF">
      <w:pPr>
        <w:pStyle w:val="Nagwek1"/>
        <w:numPr>
          <w:ilvl w:val="0"/>
          <w:numId w:val="4"/>
        </w:numPr>
        <w:spacing w:after="120" w:afterAutospacing="0"/>
        <w:rPr>
          <w:noProof/>
          <w:szCs w:val="24"/>
        </w:rPr>
      </w:pPr>
      <w:bookmarkStart w:id="2" w:name="_Toc424032363"/>
      <w:bookmarkStart w:id="3" w:name="_Toc493679473"/>
      <w:r>
        <w:rPr>
          <w:noProof/>
        </w:rPr>
        <w:lastRenderedPageBreak/>
        <w:t>Wprowadzenie</w:t>
      </w:r>
      <w:bookmarkEnd w:id="2"/>
      <w:bookmarkEnd w:id="3"/>
    </w:p>
    <w:p w:rsidR="007F7DFF" w:rsidRDefault="00E310EF">
      <w:pPr>
        <w:rPr>
          <w:rFonts w:eastAsia="Calibri"/>
          <w:noProof/>
        </w:rPr>
      </w:pPr>
      <w:r>
        <w:rPr>
          <w:noProof/>
        </w:rPr>
        <w:t xml:space="preserve">Komisja przedkłada niniejsze sprawozdanie z postępów zgodnie z art. 24 ust. 3 dyrektywy 2012/27/UE w sprawie efektywności energetycznej </w:t>
      </w:r>
      <w:r>
        <w:rPr>
          <w:noProof/>
        </w:rPr>
        <w:t xml:space="preserve">zmienionej dyrektywą (UE) 2018/2002 („dyrektywa w sprawie efektywności energetycznej”) i zgodnie z art. 35 rozporządzenia (UE) 2018/1999 w sprawie zarządzania unią energetyczną i działaniami w dziedzinie klimatu. Jest to ostatnie sprawozdanie na podstawie </w:t>
      </w:r>
      <w:r>
        <w:rPr>
          <w:noProof/>
        </w:rPr>
        <w:t>dyrektywy w sprawie efektywności energetycznej, ponieważ od dnia 1 stycznia 2021 r. art. 24 ust. 3 nie będzie już miał zastosowania. Wszelka sprawozdawczość z postępów w różnych obszarach polityki efektywności energetycznej będzie składana na podstawie art</w:t>
      </w:r>
      <w:r>
        <w:rPr>
          <w:noProof/>
        </w:rPr>
        <w:t>. 35 rozporządzenia (UE) 2018/1999.</w:t>
      </w:r>
    </w:p>
    <w:p w:rsidR="007F7DFF" w:rsidRDefault="00E310EF">
      <w:pPr>
        <w:rPr>
          <w:noProof/>
        </w:rPr>
      </w:pPr>
      <w:r>
        <w:rPr>
          <w:noProof/>
        </w:rPr>
        <w:t>Ponieważ niniejsze sprawozdanie stanowi wypełnienie dwóch obowiązków sprawozdawczych, ma ono inną formę niż w poprzednich latach. Dodatkowo obejmuje ono: (i) nowy rodzaj sprawozdawczości w zakresie sektora budowlanego, t</w:t>
      </w:r>
      <w:r>
        <w:rPr>
          <w:noProof/>
        </w:rPr>
        <w:t>j. informacje na temat zwiększenia liczby budynków o niemal zerowym zużyciu energii zgodnie z art. 9 ust. 5 dyrektywy 2010/31/UE w sprawie charakterystyki energetycznej budynków; oraz (ii) krótką aktualizację optymalnego pod względem kosztów poziomu wymaga</w:t>
      </w:r>
      <w:r>
        <w:rPr>
          <w:noProof/>
        </w:rPr>
        <w:t xml:space="preserve">ń minimalnych dotyczących charakterystyki energetycznej budynków zgodnie z art. 5 ust. 4 dyrektywy 2010/31/UE. </w:t>
      </w:r>
    </w:p>
    <w:p w:rsidR="007F7DFF" w:rsidRDefault="00E310EF">
      <w:pPr>
        <w:rPr>
          <w:rFonts w:eastAsia="Calibri"/>
          <w:noProof/>
        </w:rPr>
      </w:pPr>
      <w:r>
        <w:rPr>
          <w:noProof/>
        </w:rPr>
        <w:t>W związku z tym podstawę sprawozdania stanowią przede wszystkim: (i) informacje przekazane w rocznych sprawozdaniach przedłożonych przez państwa</w:t>
      </w:r>
      <w:r>
        <w:rPr>
          <w:noProof/>
        </w:rPr>
        <w:t xml:space="preserve"> członkowskie w 2020 r.</w:t>
      </w:r>
      <w:r>
        <w:rPr>
          <w:rStyle w:val="Odwoanieprzypisudolnego"/>
          <w:rFonts w:eastAsia="Calibri"/>
          <w:noProof/>
        </w:rPr>
        <w:footnoteReference w:id="2"/>
      </w:r>
      <w:r>
        <w:rPr>
          <w:noProof/>
        </w:rPr>
        <w:t>; (ii) sprawozdania z optymalnych pod względem kosztów obliczeń przedłożone przez państwa członkowskie w latach 2018 i 2019</w:t>
      </w:r>
      <w:r>
        <w:rPr>
          <w:rStyle w:val="Odwoanieprzypisudolnego"/>
          <w:rFonts w:eastAsia="Calibri"/>
          <w:noProof/>
        </w:rPr>
        <w:footnoteReference w:id="3"/>
      </w:r>
      <w:r>
        <w:rPr>
          <w:noProof/>
        </w:rPr>
        <w:t xml:space="preserve">; oraz (iii) dodatkowe istotne informacje związane z sektorem budowlanym. </w:t>
      </w:r>
    </w:p>
    <w:p w:rsidR="007F7DFF" w:rsidRDefault="00E310EF">
      <w:pPr>
        <w:rPr>
          <w:noProof/>
        </w:rPr>
      </w:pPr>
      <w:r>
        <w:rPr>
          <w:noProof/>
        </w:rPr>
        <w:t>Sprawozdanie w sprawie efektywnoś</w:t>
      </w:r>
      <w:r>
        <w:rPr>
          <w:noProof/>
        </w:rPr>
        <w:t>ci energetycznej z 2019 r.</w:t>
      </w:r>
      <w:r>
        <w:rPr>
          <w:rStyle w:val="Odwoanieprzypisudolnego"/>
          <w:rFonts w:eastAsia="Calibri"/>
          <w:noProof/>
        </w:rPr>
        <w:footnoteReference w:id="4"/>
      </w:r>
      <w:r>
        <w:rPr>
          <w:noProof/>
        </w:rPr>
        <w:t>, przyjęte bieżącym roku, obejmuje dane Eurostatu do 2018 r., a w czasie publikacji niniejszego sprawozdania nie były dostępne żadne nowe dane</w:t>
      </w:r>
      <w:r>
        <w:rPr>
          <w:rStyle w:val="Odwoanieprzypisudolnego"/>
          <w:noProof/>
        </w:rPr>
        <w:footnoteReference w:id="5"/>
      </w:r>
      <w:r>
        <w:rPr>
          <w:noProof/>
        </w:rPr>
        <w:t>. Z tych względów analiza postępów w osiąganiu celów na 2020 r. nie zmieniła się w nin</w:t>
      </w:r>
      <w:r>
        <w:rPr>
          <w:noProof/>
        </w:rPr>
        <w:t>iejszym sprawozdaniu w porównaniu z poprzednim sprawozdaniem i nie została powtórzona. Dodano natomiast bardziej długoterminową perspektywę, tj. przeanalizowano postępy w osiąganiu celów na 2030 r.</w:t>
      </w:r>
    </w:p>
    <w:p w:rsidR="007F7DFF" w:rsidRDefault="00E310EF">
      <w:pPr>
        <w:pStyle w:val="Nagwek1"/>
        <w:numPr>
          <w:ilvl w:val="0"/>
          <w:numId w:val="4"/>
        </w:numPr>
        <w:spacing w:after="120" w:afterAutospacing="0"/>
        <w:rPr>
          <w:noProof/>
          <w:szCs w:val="24"/>
        </w:rPr>
      </w:pPr>
      <w:r>
        <w:rPr>
          <w:noProof/>
        </w:rPr>
        <w:t>Streszczenie ustaleń</w:t>
      </w:r>
    </w:p>
    <w:p w:rsidR="007F7DFF" w:rsidRDefault="00E310EF">
      <w:pPr>
        <w:rPr>
          <w:rFonts w:eastAsia="Calibri"/>
          <w:noProof/>
        </w:rPr>
      </w:pPr>
      <w:r>
        <w:rPr>
          <w:noProof/>
        </w:rPr>
        <w:t>Sprawozdanie dotyczy UE-28 i obejmuje</w:t>
      </w:r>
      <w:r>
        <w:rPr>
          <w:noProof/>
        </w:rPr>
        <w:t xml:space="preserve"> dane oraz informacje uzupełniające za okres do 2018 r. W analizie postępów w osiąganiu celów na 2030 r. uwzględniono UE-27.</w:t>
      </w:r>
    </w:p>
    <w:p w:rsidR="007F7DFF" w:rsidRDefault="00E310EF">
      <w:pPr>
        <w:rPr>
          <w:rFonts w:eastAsia="Calibri"/>
          <w:noProof/>
        </w:rPr>
      </w:pPr>
      <w:r>
        <w:rPr>
          <w:noProof/>
        </w:rPr>
        <w:t>Poniżej przedstawiono główne ustalenia.</w:t>
      </w:r>
    </w:p>
    <w:p w:rsidR="007F7DFF" w:rsidRDefault="00E310EF">
      <w:pPr>
        <w:numPr>
          <w:ilvl w:val="0"/>
          <w:numId w:val="7"/>
        </w:numPr>
        <w:spacing w:after="200" w:afterAutospacing="0"/>
        <w:contextualSpacing/>
        <w:rPr>
          <w:rFonts w:eastAsia="Calibri"/>
          <w:noProof/>
        </w:rPr>
      </w:pPr>
      <w:r>
        <w:rPr>
          <w:noProof/>
        </w:rPr>
        <w:lastRenderedPageBreak/>
        <w:t>W roku 2018 zużycie energii pierwotnej spadło o 0,6 % w porównaniu z rokiem 2017. Zużycie e</w:t>
      </w:r>
      <w:r>
        <w:rPr>
          <w:noProof/>
        </w:rPr>
        <w:t>nergii końcowej wzrosło o 0,1 % w ujęciu rok do roku. Mimo to oba wskaźniki sytuują się powyżej stałej trajektorii dotyczącej celów na 2020 r.</w:t>
      </w:r>
    </w:p>
    <w:p w:rsidR="007F7DFF" w:rsidRDefault="00E310EF">
      <w:pPr>
        <w:numPr>
          <w:ilvl w:val="0"/>
          <w:numId w:val="7"/>
        </w:numPr>
        <w:spacing w:after="200" w:afterAutospacing="0"/>
        <w:contextualSpacing/>
        <w:rPr>
          <w:rFonts w:eastAsia="Calibri"/>
          <w:noProof/>
        </w:rPr>
      </w:pPr>
      <w:r>
        <w:rPr>
          <w:noProof/>
        </w:rPr>
        <w:t>W 2018 r. zużycie energii wciąż wynikało ze wzrostu gospodarczego.</w:t>
      </w:r>
    </w:p>
    <w:p w:rsidR="007F7DFF" w:rsidRDefault="00E310EF">
      <w:pPr>
        <w:numPr>
          <w:ilvl w:val="0"/>
          <w:numId w:val="7"/>
        </w:numPr>
        <w:spacing w:after="200" w:afterAutospacing="0"/>
        <w:contextualSpacing/>
        <w:rPr>
          <w:rFonts w:eastAsia="Calibri"/>
          <w:noProof/>
        </w:rPr>
      </w:pPr>
      <w:r>
        <w:rPr>
          <w:noProof/>
        </w:rPr>
        <w:t xml:space="preserve">Systemy zobowiązujące do efektywności </w:t>
      </w:r>
      <w:r>
        <w:rPr>
          <w:noProof/>
        </w:rPr>
        <w:t>energetycznej pozostają skutecznym narzędziem osiągania oszczędności energii. Chociaż zagregowane postępy w osiąganiu łącznych oszczędności na podstawie art. 7 dyrektywy w sprawie efektywności energetycznej poczynione w 2018 r. wydają się wystarczające, w </w:t>
      </w:r>
      <w:r>
        <w:rPr>
          <w:noProof/>
        </w:rPr>
        <w:t>przypadku dwunastu państw członkowskich istnieje małe prawdopodobieństwo, że osiągną one swoje cele.</w:t>
      </w:r>
    </w:p>
    <w:p w:rsidR="007F7DFF" w:rsidRDefault="00E310EF">
      <w:pPr>
        <w:numPr>
          <w:ilvl w:val="0"/>
          <w:numId w:val="7"/>
        </w:numPr>
        <w:spacing w:after="200" w:afterAutospacing="0"/>
        <w:contextualSpacing/>
        <w:rPr>
          <w:rFonts w:eastAsia="Calibri"/>
          <w:noProof/>
        </w:rPr>
      </w:pPr>
      <w:r>
        <w:rPr>
          <w:noProof/>
        </w:rPr>
        <w:t>Częściowe i wstępne dane za 2020 r. wskazują, że kryzys związany z COVID-19 wywiera znaczący wpływ na zapotrzebowanie na energię. W związku z tym możliwe j</w:t>
      </w:r>
      <w:r>
        <w:rPr>
          <w:noProof/>
        </w:rPr>
        <w:t>est, że cele w zakresie efektywności energetycznej na 2020 r. zostaną osiągnięte, mimo że środki istniejące przed kryzysem były niewystarczające. Przewiduje się jednak, że jest to tymczasowa sytuacja, ponieważ ograniczenie zużycia energii nie wynika ze śro</w:t>
      </w:r>
      <w:r>
        <w:rPr>
          <w:noProof/>
        </w:rPr>
        <w:t xml:space="preserve">dków strukturalnych. Bez ukierunkowanych środków klimatycznych odbudowa gospodarcza prawdopodobnie spowoduje powrót zużycia energii do poziomów sprzed kryzysu związanego z COVID-19. </w:t>
      </w:r>
    </w:p>
    <w:p w:rsidR="007F7DFF" w:rsidRDefault="00E310EF">
      <w:pPr>
        <w:numPr>
          <w:ilvl w:val="0"/>
          <w:numId w:val="7"/>
        </w:numPr>
        <w:spacing w:after="200" w:afterAutospacing="0"/>
        <w:contextualSpacing/>
        <w:rPr>
          <w:rFonts w:eastAsia="Calibri"/>
          <w:noProof/>
        </w:rPr>
      </w:pPr>
      <w:r>
        <w:rPr>
          <w:noProof/>
        </w:rPr>
        <w:t xml:space="preserve">Większość państw członkowskich przyjęła podejście optymalne pod względem </w:t>
      </w:r>
      <w:r>
        <w:rPr>
          <w:noProof/>
        </w:rPr>
        <w:t xml:space="preserve">kosztów we właściwy sposób i zastosowała je do wyznaczenia minimalnych wymogów w odniesieniu do charakterystyki energetycznej nowych i istniejących budynków oraz do budynków o niemal zerowym zużyciu energii. </w:t>
      </w:r>
    </w:p>
    <w:p w:rsidR="007F7DFF" w:rsidRDefault="00E310EF">
      <w:pPr>
        <w:numPr>
          <w:ilvl w:val="0"/>
          <w:numId w:val="7"/>
        </w:numPr>
        <w:spacing w:after="200" w:afterAutospacing="0"/>
        <w:contextualSpacing/>
        <w:rPr>
          <w:rFonts w:eastAsia="Calibri"/>
          <w:noProof/>
        </w:rPr>
      </w:pPr>
      <w:r>
        <w:rPr>
          <w:noProof/>
        </w:rPr>
        <w:t>Udział budynków o niemal zerowym zużyciu energi</w:t>
      </w:r>
      <w:r>
        <w:rPr>
          <w:noProof/>
        </w:rPr>
        <w:t>i w rynku budowlanym ogółem wzrósł, ale wymogi w zakresie takich budynków w większości państw nadal są mniej ambitne niż zalecane przez Komisję poziomy referencyjne z 2016 r. Niemal połowa państw członkowskich wyznaczyła jednak znacznie bardziej ambitne wy</w:t>
      </w:r>
      <w:r>
        <w:rPr>
          <w:noProof/>
        </w:rPr>
        <w:t>mogi dotyczące budynków o niemal zerowym zużyciu energii w porównaniu z optymalnymi pod względem kosztów poziomami dla nowych budynków.</w:t>
      </w:r>
    </w:p>
    <w:p w:rsidR="007F7DFF" w:rsidRDefault="00E310EF">
      <w:pPr>
        <w:pStyle w:val="Nagwek1"/>
        <w:numPr>
          <w:ilvl w:val="0"/>
          <w:numId w:val="4"/>
        </w:numPr>
        <w:spacing w:after="120" w:afterAutospacing="0"/>
        <w:rPr>
          <w:noProof/>
          <w:szCs w:val="24"/>
        </w:rPr>
      </w:pPr>
      <w:bookmarkStart w:id="4" w:name="_Toc493679474"/>
      <w:r>
        <w:rPr>
          <w:noProof/>
        </w:rPr>
        <w:t>Postępy w osiąganiu unijnego celu w zakresie efektywności energetycznej</w:t>
      </w:r>
      <w:bookmarkEnd w:id="4"/>
    </w:p>
    <w:p w:rsidR="007F7DFF" w:rsidRDefault="00E310EF">
      <w:pPr>
        <w:pStyle w:val="Nagwek2"/>
        <w:rPr>
          <w:noProof/>
        </w:rPr>
      </w:pPr>
      <w:r>
        <w:rPr>
          <w:noProof/>
        </w:rPr>
        <w:t>Cele UE-28 na 2020 r.</w:t>
      </w:r>
    </w:p>
    <w:p w:rsidR="007F7DFF" w:rsidRDefault="00E310EF">
      <w:pPr>
        <w:rPr>
          <w:noProof/>
        </w:rPr>
      </w:pPr>
      <w:r>
        <w:rPr>
          <w:noProof/>
        </w:rPr>
        <w:t>Ze zmienionych danych licz</w:t>
      </w:r>
      <w:r>
        <w:rPr>
          <w:noProof/>
        </w:rPr>
        <w:t>bowych Eurostatu za 2018 r.</w:t>
      </w:r>
      <w:r>
        <w:rPr>
          <w:rStyle w:val="Odwoanieprzypisudolnego"/>
          <w:rFonts w:eastAsia="Calibri"/>
          <w:noProof/>
        </w:rPr>
        <w:footnoteReference w:id="6"/>
      </w:r>
      <w:r>
        <w:rPr>
          <w:noProof/>
        </w:rPr>
        <w:t xml:space="preserve"> wynika, że zużycie energii końcowej</w:t>
      </w:r>
      <w:bookmarkStart w:id="5" w:name="_Ref35264978"/>
      <w:r>
        <w:rPr>
          <w:rStyle w:val="Odwoanieprzypisudolnego"/>
          <w:noProof/>
        </w:rPr>
        <w:footnoteReference w:id="7"/>
      </w:r>
      <w:bookmarkEnd w:id="5"/>
      <w:r>
        <w:rPr>
          <w:noProof/>
        </w:rPr>
        <w:t xml:space="preserve"> w UE-28 spadło o 5,9 % z 1 194 </w:t>
      </w:r>
      <w:r>
        <w:rPr>
          <w:noProof/>
          <w:color w:val="000000" w:themeColor="text1"/>
        </w:rPr>
        <w:t>milionów ton oleju ekwiwalentnego (</w:t>
      </w:r>
      <w:r>
        <w:rPr>
          <w:noProof/>
        </w:rPr>
        <w:t>Mtoe) w 2005 r. do 1 124 Mtoe w 2018 r. Jest to wciąż o 3,5 % więcej niż docelowa wartość zużycia energii końcowej na 2020 r</w:t>
      </w:r>
      <w:r>
        <w:rPr>
          <w:noProof/>
        </w:rPr>
        <w:t>. wynosząca 1 086 Mtoe. W 2018 r. zwiększyło się o 0,1 % w porównaniu z poprzednim rokiem. Zużycie energii pierwotnej</w:t>
      </w:r>
      <w:r>
        <w:rPr>
          <w:rStyle w:val="Odwoanieprzypisudolnego"/>
          <w:noProof/>
        </w:rPr>
        <w:footnoteReference w:id="8"/>
      </w:r>
      <w:r>
        <w:rPr>
          <w:noProof/>
        </w:rPr>
        <w:t xml:space="preserve"> w UE-28 spadło o 9,8 % z 1 721 Mtoe w 2005 r. do 1 552 Mtoe w 2018 r. Wartość ta jest o 4,6 % wyższa od wartości docelowej na 2020 r. wyn</w:t>
      </w:r>
      <w:r>
        <w:rPr>
          <w:noProof/>
        </w:rPr>
        <w:t>oszącej 1 483 Mtoe. Po trzech latach wzrostu w 2018 r. odnotowano spadek zużycia energii pierwotnej w ujęciu rok do roku wynoszący 0,6 %. W przypadku obu wskaźników tendencja w 2018 r. była powyżej trajektorii liniowej względem celów na 2020 r.</w:t>
      </w:r>
    </w:p>
    <w:p w:rsidR="007F7DFF" w:rsidRDefault="00E310EF">
      <w:pPr>
        <w:shd w:val="clear" w:color="auto" w:fill="FFFFFF"/>
        <w:spacing w:after="105"/>
        <w:rPr>
          <w:rFonts w:eastAsia="Calibri"/>
          <w:noProof/>
        </w:rPr>
      </w:pPr>
      <w:r>
        <w:rPr>
          <w:noProof/>
        </w:rPr>
        <w:t xml:space="preserve">W 2018 r. </w:t>
      </w:r>
      <w:r>
        <w:rPr>
          <w:noProof/>
        </w:rPr>
        <w:t xml:space="preserve">większe zużycie energii odnotowano głównie w sektorze transportu (wzrost o +1,0 % w ujęciu rok do roku w porównaniu z 2017 r.) oraz w sektorach przemysłu (+0,8 %). Zużycie energii zmniejszyło się natomiast w sektorze mieszkaniowym (-1,7 %) oraz w sektorze </w:t>
      </w:r>
      <w:r>
        <w:rPr>
          <w:noProof/>
        </w:rPr>
        <w:t>usług (-1,4 %)</w:t>
      </w:r>
      <w:r>
        <w:rPr>
          <w:rStyle w:val="Odwoanieprzypisudolnego"/>
          <w:noProof/>
        </w:rPr>
        <w:footnoteReference w:id="9"/>
      </w:r>
      <w:r>
        <w:rPr>
          <w:noProof/>
        </w:rPr>
        <w:t>.</w:t>
      </w:r>
    </w:p>
    <w:p w:rsidR="007F7DFF" w:rsidRDefault="00E310EF">
      <w:pPr>
        <w:pStyle w:val="Nagwek2"/>
        <w:rPr>
          <w:noProof/>
        </w:rPr>
      </w:pPr>
      <w:r>
        <w:rPr>
          <w:noProof/>
        </w:rPr>
        <w:t>Cele UE-27 na 2030 r.</w:t>
      </w:r>
    </w:p>
    <w:p w:rsidR="007F7DFF" w:rsidRDefault="00E310EF">
      <w:pPr>
        <w:shd w:val="clear" w:color="auto" w:fill="FFFFFF"/>
        <w:spacing w:after="105"/>
        <w:rPr>
          <w:noProof/>
        </w:rPr>
      </w:pPr>
      <w:r>
        <w:rPr>
          <w:noProof/>
        </w:rPr>
        <w:t>Niewystarczające postępy w osiąganiu celów na 2020 r. poczynione do 2018 r. mają negatywnie wpływają również na poziom starań niezbędnych do osiągnięcia celów na 2030 r.</w:t>
      </w:r>
      <w:r>
        <w:rPr>
          <w:rStyle w:val="Odwoanieprzypisudolnego"/>
          <w:noProof/>
        </w:rPr>
        <w:footnoteReference w:id="10"/>
      </w:r>
      <w:r>
        <w:rPr>
          <w:noProof/>
        </w:rPr>
        <w:t xml:space="preserve"> Ze względu na obecną lukę w osiąganiu celów ró</w:t>
      </w:r>
      <w:r>
        <w:rPr>
          <w:noProof/>
        </w:rPr>
        <w:t>żnica w stosunku do celów założonych na 2030 r. jest wyższa niż przewidywano i wynosi 22 % w przypadku zużycia energii pierwotnej i 17 % w przypadku zużycia energii końcowej (wykres 1). Ponadto w ogólnounijnej ocenie krajowych planów w dziedzinie energii i</w:t>
      </w:r>
      <w:r>
        <w:rPr>
          <w:noProof/>
        </w:rPr>
        <w:t> klimatu</w:t>
      </w:r>
      <w:r>
        <w:rPr>
          <w:rStyle w:val="Odwoanieprzypisudolnego"/>
          <w:noProof/>
        </w:rPr>
        <w:footnoteReference w:id="11"/>
      </w:r>
      <w:r>
        <w:rPr>
          <w:noProof/>
        </w:rPr>
        <w:t xml:space="preserve"> zidentyfikowano różnicę w poziomie wspólnych ambicji w zakresie wkładów krajowych. W związku z tym, aby osiągnąć cele na 2030 r. wynoszące co najmniej 32,5 %, w następnym dziesięcioleciu państwa członkowskie będą musiały znacząco zwiększyć swoje </w:t>
      </w:r>
      <w:r>
        <w:rPr>
          <w:noProof/>
        </w:rPr>
        <w:t>starania. Jest to szczególnie istotne, jeżeli odbudowa po kryzysie związanym z COVID-19 doprowadzi do powrotu do wcześniejszych poziomów zużycia energii. Ponadto bardziej ambitne cele klimatyczne ogłoszone w Planie w zakresie celów klimatycznych na 2020 r.</w:t>
      </w:r>
      <w:r>
        <w:rPr>
          <w:rStyle w:val="Odwoanieprzypisudolnego"/>
          <w:noProof/>
        </w:rPr>
        <w:footnoteReference w:id="12"/>
      </w:r>
      <w:r>
        <w:rPr>
          <w:noProof/>
        </w:rPr>
        <w:t xml:space="preserve"> będą wymagać również większych starań w dziedzinie efektywności energetycznej wykraczających poza obecny poziom celów na 2030 r. (ograniczenie zużycia energii końcowej o 36–37 % i ograniczenie zużycia energii pierwotnej o 39–41 %).</w:t>
      </w:r>
    </w:p>
    <w:p w:rsidR="007F7DFF" w:rsidRDefault="00E310EF">
      <w:pPr>
        <w:pStyle w:val="Legenda"/>
        <w:rPr>
          <w:noProof/>
          <w:sz w:val="24"/>
          <w:szCs w:val="24"/>
        </w:rPr>
      </w:pPr>
      <w:r>
        <w:rPr>
          <w:noProof/>
          <w:sz w:val="24"/>
          <w:szCs w:val="24"/>
        </w:rPr>
        <w:t>Wykres 1: Postępy w os</w:t>
      </w:r>
      <w:r>
        <w:rPr>
          <w:noProof/>
          <w:sz w:val="24"/>
          <w:szCs w:val="24"/>
        </w:rPr>
        <w:t>iąganiu celów na 2030 r. na poziomie UE-27</w:t>
      </w:r>
    </w:p>
    <w:p w:rsidR="007F7DFF" w:rsidRDefault="00E310EF">
      <w:pPr>
        <w:shd w:val="clear" w:color="auto" w:fill="FFFFFF"/>
        <w:spacing w:after="105"/>
        <w:rPr>
          <w:noProof/>
        </w:rPr>
      </w:pPr>
      <w:r>
        <w:rPr>
          <w:noProof/>
          <w:lang w:eastAsia="pl-PL"/>
        </w:rPr>
        <w:drawing>
          <wp:inline distT="0" distB="0" distL="0" distR="0">
            <wp:extent cx="5748655" cy="3888105"/>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8655" cy="3888105"/>
                    </a:xfrm>
                    <a:prstGeom prst="rect">
                      <a:avLst/>
                    </a:prstGeom>
                    <a:noFill/>
                    <a:ln>
                      <a:noFill/>
                    </a:ln>
                  </pic:spPr>
                </pic:pic>
              </a:graphicData>
            </a:graphic>
          </wp:inline>
        </w:drawing>
      </w:r>
    </w:p>
    <w:p w:rsidR="007F7DFF" w:rsidRDefault="00E310EF">
      <w:pPr>
        <w:rPr>
          <w:rStyle w:val="Odwoaniedokomentarza"/>
          <w:rFonts w:eastAsiaTheme="minorHAnsi"/>
          <w:i/>
          <w:noProof/>
          <w:sz w:val="24"/>
          <w:szCs w:val="24"/>
        </w:rPr>
      </w:pPr>
      <w:r>
        <w:rPr>
          <w:noProof/>
        </w:rPr>
        <w:t>Źródło: Dane Eurostatu, obliczenia własne DG ENER</w:t>
      </w:r>
    </w:p>
    <w:p w:rsidR="007F7DFF" w:rsidRDefault="00E310EF">
      <w:pPr>
        <w:pStyle w:val="Nagwek2"/>
        <w:rPr>
          <w:noProof/>
        </w:rPr>
      </w:pPr>
      <w:r>
        <w:rPr>
          <w:noProof/>
        </w:rPr>
        <w:t xml:space="preserve">Dotychczasowy wpływ COVID-19 na zużycie energii </w:t>
      </w:r>
    </w:p>
    <w:p w:rsidR="007F7DFF" w:rsidRDefault="00E310EF">
      <w:pPr>
        <w:rPr>
          <w:noProof/>
        </w:rPr>
      </w:pPr>
      <w:r>
        <w:rPr>
          <w:noProof/>
        </w:rPr>
        <w:t>Wpływ COVID-19 na zużycie energii w 2020 r. będzie znaczący. W pierwszym kwartale 2020 r. zużycie gazu w UE spad</w:t>
      </w:r>
      <w:r>
        <w:rPr>
          <w:noProof/>
        </w:rPr>
        <w:t>ło o 5 % w porównaniu z pierwszym kwartałem 2019 r. głównie ze względu na ograniczone zapotrzebowanie na ogrzewanie wynikające z: (i) łagodniejszej zimy; (ii) coraz mniejszego zużycia gazu w produkcji energii elektrycznej; oraz (iii) wprowadzenia w marcu o</w:t>
      </w:r>
      <w:r>
        <w:rPr>
          <w:noProof/>
        </w:rPr>
        <w:t>graniczeń w przemieszczaniu się, co doprowadziło do spadku PKB i niższego popytu na gaz w przemyśle</w:t>
      </w:r>
      <w:r>
        <w:rPr>
          <w:rStyle w:val="Odwoanieprzypisudolnego"/>
          <w:noProof/>
        </w:rPr>
        <w:footnoteReference w:id="13"/>
      </w:r>
      <w:r>
        <w:rPr>
          <w:noProof/>
        </w:rPr>
        <w:t xml:space="preserve">. W pierwszym kwartale 2020 r. zużycie energii elektrycznej w UE spadło o 3,2 % w ujęciu rok do roku, co również było spowodowane ciepłą pogodą w pierwszej </w:t>
      </w:r>
      <w:r>
        <w:rPr>
          <w:noProof/>
        </w:rPr>
        <w:t>połowie okresu odniesienia i wprowadzeniem ograniczeń związanych z COVID-19. Ponieważ wiele osób spędzało więcej czasu w domu, wzrosło zużycie energii elektrycznej w gospodarstwach domowych. Wzrost ten nie zrównoważył jednak znacznego spadku zapotrzebowani</w:t>
      </w:r>
      <w:r>
        <w:rPr>
          <w:noProof/>
        </w:rPr>
        <w:t>a ze strony sektorów handlowego i przemysłowego</w:t>
      </w:r>
      <w:r>
        <w:rPr>
          <w:rStyle w:val="Odwoanieprzypisudolnego"/>
          <w:noProof/>
        </w:rPr>
        <w:footnoteReference w:id="14"/>
      </w:r>
      <w:r>
        <w:rPr>
          <w:noProof/>
        </w:rPr>
        <w:t>. W związku z powyższym zużycie energii elektrycznej w miesiącach obowiązywania ograniczeń w przemieszczaniu się było znacząco niższe niż w tych samych miesiącach rok wcześniej (o 4,3 % w marcu, 11,8 % w kwie</w:t>
      </w:r>
      <w:r>
        <w:rPr>
          <w:noProof/>
        </w:rPr>
        <w:t>tniu, 10,5 % w maju i 7,6 % w czerwcu)</w:t>
      </w:r>
      <w:r>
        <w:rPr>
          <w:rStyle w:val="Odwoanieprzypisudolnego"/>
          <w:noProof/>
        </w:rPr>
        <w:footnoteReference w:id="15"/>
      </w:r>
      <w:r>
        <w:rPr>
          <w:noProof/>
        </w:rPr>
        <w:t xml:space="preserve">. </w:t>
      </w:r>
    </w:p>
    <w:p w:rsidR="007F7DFF" w:rsidRDefault="00E310EF">
      <w:pPr>
        <w:rPr>
          <w:noProof/>
        </w:rPr>
      </w:pPr>
      <w:r>
        <w:rPr>
          <w:noProof/>
          <w:color w:val="000000"/>
          <w:shd w:val="clear" w:color="auto" w:fill="FFFFFF"/>
        </w:rPr>
        <w:t>Podobnie zużycie energii w transporcie również spadło do bezprecedensowych poziomów w wyniku ograniczeń w przemieszczaniu się. Według Międzynarodowej Agencji Energetycznej do końca marca 2020 r. transport drogowy w</w:t>
      </w:r>
      <w:r>
        <w:rPr>
          <w:noProof/>
          <w:color w:val="000000"/>
          <w:shd w:val="clear" w:color="auto" w:fill="FFFFFF"/>
        </w:rPr>
        <w:t> Europie zmalał do 38 % poziomu z 2019 r. Ogólny spadek działalności w zakresie transportu drogowego na świecie doprowadził do zmniejszenia globalnego popytu na ropę naftową o 57 %</w:t>
      </w:r>
      <w:r>
        <w:rPr>
          <w:rStyle w:val="Odwoanieprzypisudolnego"/>
          <w:noProof/>
          <w:color w:val="000000"/>
          <w:shd w:val="clear" w:color="auto" w:fill="FFFFFF"/>
        </w:rPr>
        <w:footnoteReference w:id="16"/>
      </w:r>
      <w:r>
        <w:rPr>
          <w:noProof/>
        </w:rPr>
        <w:t>.</w:t>
      </w:r>
      <w:r>
        <w:rPr>
          <w:noProof/>
          <w:color w:val="000000"/>
          <w:shd w:val="clear" w:color="auto" w:fill="FFFFFF"/>
        </w:rPr>
        <w:t xml:space="preserve"> Międzynarodowe Forum Transportu szacuje, że ograniczenia mobilności w cel</w:t>
      </w:r>
      <w:r>
        <w:rPr>
          <w:noProof/>
          <w:color w:val="000000"/>
          <w:shd w:val="clear" w:color="auto" w:fill="FFFFFF"/>
        </w:rPr>
        <w:t>u powstrzymania rozprzestrzeniania się COVID-19 mogą zmniejszyć ogólnoświatowy transport towarowy o nawet 36 % do końca 2020 r.</w:t>
      </w:r>
      <w:r>
        <w:rPr>
          <w:rStyle w:val="Odwoanieprzypisudolnego"/>
          <w:noProof/>
          <w:color w:val="000000"/>
          <w:shd w:val="clear" w:color="auto" w:fill="FFFFFF"/>
        </w:rPr>
        <w:footnoteReference w:id="17"/>
      </w:r>
      <w:r>
        <w:rPr>
          <w:noProof/>
          <w:color w:val="000000"/>
          <w:shd w:val="clear" w:color="auto" w:fill="FFFFFF"/>
        </w:rPr>
        <w:t xml:space="preserve"> Podróże lotnicze w niektórych regionach zostały niemal całkowicie wstrzymane, a w części państw europejskich działalność lotnic</w:t>
      </w:r>
      <w:r>
        <w:rPr>
          <w:noProof/>
          <w:color w:val="000000"/>
          <w:shd w:val="clear" w:color="auto" w:fill="FFFFFF"/>
        </w:rPr>
        <w:t>za zmalała o ponad 90 %. Do końca sierpnia poziomy ruchu lotniczego w Europie były o ponad 50 % niższe w porównaniu z poziomami z poprzedniego roku</w:t>
      </w:r>
      <w:r>
        <w:rPr>
          <w:rStyle w:val="Odwoanieprzypisudolnego"/>
          <w:noProof/>
          <w:color w:val="000000"/>
          <w:shd w:val="clear" w:color="auto" w:fill="FFFFFF"/>
        </w:rPr>
        <w:footnoteReference w:id="18"/>
      </w:r>
      <w:r>
        <w:rPr>
          <w:noProof/>
        </w:rPr>
        <w:t>.</w:t>
      </w:r>
    </w:p>
    <w:p w:rsidR="007F7DFF" w:rsidRDefault="00E310EF">
      <w:pPr>
        <w:pStyle w:val="Nagwek1"/>
        <w:numPr>
          <w:ilvl w:val="0"/>
          <w:numId w:val="4"/>
        </w:numPr>
        <w:spacing w:after="120" w:afterAutospacing="0"/>
        <w:rPr>
          <w:noProof/>
          <w:szCs w:val="24"/>
        </w:rPr>
      </w:pPr>
      <w:bookmarkStart w:id="6" w:name="_Toc432184214"/>
      <w:bookmarkStart w:id="7" w:name="_Toc430878897"/>
      <w:bookmarkStart w:id="8" w:name="_Toc430878940"/>
      <w:bookmarkStart w:id="9" w:name="_Toc431237775"/>
      <w:bookmarkStart w:id="10" w:name="_Toc429074905"/>
      <w:bookmarkStart w:id="11" w:name="_Toc429127311"/>
      <w:bookmarkStart w:id="12" w:name="_Toc429074906"/>
      <w:bookmarkStart w:id="13" w:name="_Toc429127312"/>
      <w:bookmarkStart w:id="14" w:name="_Toc429074907"/>
      <w:bookmarkStart w:id="15" w:name="_Toc429127313"/>
      <w:bookmarkStart w:id="16" w:name="_Toc429074908"/>
      <w:bookmarkStart w:id="17" w:name="_Toc429127314"/>
      <w:bookmarkStart w:id="18" w:name="_Toc429074909"/>
      <w:bookmarkStart w:id="19" w:name="_Toc429127315"/>
      <w:bookmarkStart w:id="20" w:name="_Toc429074910"/>
      <w:bookmarkStart w:id="21" w:name="_Toc429127316"/>
      <w:bookmarkStart w:id="22" w:name="_Toc429074911"/>
      <w:bookmarkStart w:id="23" w:name="_Toc429127317"/>
      <w:bookmarkStart w:id="24" w:name="_Toc429074912"/>
      <w:bookmarkStart w:id="25" w:name="_Toc429127318"/>
      <w:bookmarkStart w:id="26" w:name="_Toc433987954"/>
      <w:bookmarkStart w:id="27" w:name="_Toc433987993"/>
      <w:bookmarkStart w:id="28" w:name="_Toc433988263"/>
      <w:bookmarkStart w:id="29" w:name="_Toc433882706"/>
      <w:bookmarkStart w:id="30" w:name="_Toc433987955"/>
      <w:bookmarkStart w:id="31" w:name="_Toc433987994"/>
      <w:bookmarkStart w:id="32" w:name="_Toc433988264"/>
      <w:bookmarkStart w:id="33" w:name="_Toc49367948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noProof/>
        </w:rPr>
        <w:t>Postępy w osiąganiu krajowych celów w zakresie efektywności energetycznej</w:t>
      </w:r>
    </w:p>
    <w:p w:rsidR="007F7DFF" w:rsidRDefault="00E310EF">
      <w:pPr>
        <w:rPr>
          <w:noProof/>
          <w:color w:val="000000"/>
          <w:shd w:val="clear" w:color="auto" w:fill="FFFFFF"/>
        </w:rPr>
      </w:pPr>
      <w:r>
        <w:rPr>
          <w:noProof/>
          <w:color w:val="000000"/>
          <w:shd w:val="clear" w:color="auto" w:fill="FFFFFF"/>
        </w:rPr>
        <w:t>Niektóre państwa członkowskie po</w:t>
      </w:r>
      <w:r>
        <w:rPr>
          <w:noProof/>
          <w:color w:val="000000"/>
          <w:shd w:val="clear" w:color="auto" w:fill="FFFFFF"/>
        </w:rPr>
        <w:t>informowały o korektach w górę (obniżeniu poziomu ambicji) swoich krajowych celów na 2020 r. (Dania, Hiszpania, Węgry). Po dokonaniu tych aktualizacji suma krajowych celów zużycia na 2020 r. w wartościach bezwzględnych wynosi 1 536,8 Mtoe zużycia energii p</w:t>
      </w:r>
      <w:r>
        <w:rPr>
          <w:noProof/>
          <w:color w:val="000000"/>
          <w:shd w:val="clear" w:color="auto" w:fill="FFFFFF"/>
        </w:rPr>
        <w:t xml:space="preserve">ierwotnej i 1 084,3 Mtoe zużycia energii końcowej. W 2018 r. postępy w osiąganiu celów orientacyjnych (przyjmując trajektorię liniową) były niewystarczające w dwunastu państwach (Belgii, Bułgarii, Danii, Niemczech, Irlandii, Hiszpanii, Francji, na Cyprze, </w:t>
      </w:r>
      <w:r>
        <w:rPr>
          <w:noProof/>
          <w:color w:val="000000"/>
          <w:shd w:val="clear" w:color="auto" w:fill="FFFFFF"/>
        </w:rPr>
        <w:t>w Austrii, Niderlandach, Polsce i Szwecji), jeżeli chodzi o zużycie energii pierwotnej, i w piętnastu (Belgii, Bułgarii, Niemczech, Estonii, Irlandii, Francji, na Litwie, w Luksemburgu, na Węgrzech, Malcie, w Austrii, Polsce, na Słowacji, w Szwecji i Zjedn</w:t>
      </w:r>
      <w:r>
        <w:rPr>
          <w:noProof/>
          <w:color w:val="000000"/>
          <w:shd w:val="clear" w:color="auto" w:fill="FFFFFF"/>
        </w:rPr>
        <w:t>oczonym Królestwie) w przypadku zużycia energii końcowej (zob. tabela 3).</w:t>
      </w:r>
    </w:p>
    <w:p w:rsidR="007F7DFF" w:rsidRDefault="00E310EF">
      <w:pPr>
        <w:rPr>
          <w:noProof/>
        </w:rPr>
      </w:pPr>
      <w:r>
        <w:rPr>
          <w:noProof/>
        </w:rPr>
        <w:t xml:space="preserve">Państwa członkowskie wskazały, że stałe i rosnące zużycie energii końcowej w 2018 r. wynikało ze wzrostu gospodarczego oraz wzrostu: (i) produkcji/wartości dodanej (przemysł); (ii) </w:t>
      </w:r>
      <w:r>
        <w:rPr>
          <w:noProof/>
        </w:rPr>
        <w:t>przewozu osób i transportu towarowego (transport); (iii) liczby gospodarstw domowych i dochodu do dyspozycji (sektor mieszkaniowy); oraz (iv) wartości dodanej i zatrudnienia (usługi).</w:t>
      </w:r>
    </w:p>
    <w:p w:rsidR="007F7DFF" w:rsidRDefault="00E310EF">
      <w:pPr>
        <w:pStyle w:val="Nagwek1"/>
        <w:numPr>
          <w:ilvl w:val="0"/>
          <w:numId w:val="4"/>
        </w:numPr>
        <w:spacing w:after="120" w:afterAutospacing="0"/>
        <w:rPr>
          <w:rFonts w:eastAsia="Calibri"/>
          <w:noProof/>
        </w:rPr>
      </w:pPr>
      <w:r>
        <w:rPr>
          <w:noProof/>
        </w:rPr>
        <w:t>Dyrektywa w sprawie efektywności energetycznej – obecna sytuacja</w:t>
      </w:r>
      <w:bookmarkEnd w:id="33"/>
    </w:p>
    <w:p w:rsidR="007F7DFF" w:rsidRDefault="00E310EF">
      <w:pPr>
        <w:pStyle w:val="Nagwek2"/>
        <w:rPr>
          <w:noProof/>
        </w:rPr>
      </w:pPr>
      <w:bookmarkStart w:id="34" w:name="_Toc432184217"/>
      <w:bookmarkStart w:id="35" w:name="_Toc430878899"/>
      <w:bookmarkStart w:id="36" w:name="_Toc430878942"/>
      <w:bookmarkStart w:id="37" w:name="_Toc431237777"/>
      <w:bookmarkStart w:id="38" w:name="_Toc430878900"/>
      <w:bookmarkStart w:id="39" w:name="_Toc430878943"/>
      <w:bookmarkStart w:id="40" w:name="_Toc431237778"/>
      <w:bookmarkStart w:id="41" w:name="_Toc430878901"/>
      <w:bookmarkStart w:id="42" w:name="_Toc430878944"/>
      <w:bookmarkStart w:id="43" w:name="_Toc431237779"/>
      <w:bookmarkStart w:id="44" w:name="_Toc430878902"/>
      <w:bookmarkStart w:id="45" w:name="_Toc430878945"/>
      <w:bookmarkStart w:id="46" w:name="_Toc431237780"/>
      <w:bookmarkStart w:id="47" w:name="_Toc430878903"/>
      <w:bookmarkStart w:id="48" w:name="_Toc430878946"/>
      <w:bookmarkStart w:id="49" w:name="_Toc431237781"/>
      <w:bookmarkStart w:id="50" w:name="_Toc430878904"/>
      <w:bookmarkStart w:id="51" w:name="_Toc430878947"/>
      <w:bookmarkStart w:id="52" w:name="_Toc43123778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noProof/>
        </w:rPr>
        <w:t>Aktuali</w:t>
      </w:r>
      <w:r>
        <w:rPr>
          <w:noProof/>
        </w:rPr>
        <w:t>zacja informacji na temat transpozycji zmienionej dyrektywy w sprawie efektywności energetycznej</w:t>
      </w:r>
    </w:p>
    <w:p w:rsidR="007F7DFF" w:rsidRDefault="00E310EF">
      <w:pPr>
        <w:spacing w:after="120"/>
        <w:rPr>
          <w:noProof/>
        </w:rPr>
      </w:pPr>
      <w:r>
        <w:rPr>
          <w:noProof/>
        </w:rPr>
        <w:t>W następstwie zmiany dyrektywy w sprawie efektywności energetycznej w grudniu 2018 r.</w:t>
      </w:r>
      <w:r>
        <w:rPr>
          <w:rStyle w:val="Odwoanieprzypisudolnego"/>
          <w:noProof/>
        </w:rPr>
        <w:footnoteReference w:id="19"/>
      </w:r>
      <w:r>
        <w:rPr>
          <w:noProof/>
        </w:rPr>
        <w:t xml:space="preserve"> państwa członkowskie są zobowiązane transponować nowe przepisy dotyczące</w:t>
      </w:r>
      <w:r>
        <w:rPr>
          <w:noProof/>
        </w:rPr>
        <w:t xml:space="preserve"> systemów zobowiązujących do efektywności energetycznej (tj. nowe art. 7, 7a i 7b) do dnia 25 czerwca 2020 r. Do dnia 31 sierpnia 2020 r. Komisja otrzymała powiadomienia od zaledwie trzynastu państw członkowskich (Czech, Danii, Niemiec, Hiszpanii, Francji,</w:t>
      </w:r>
      <w:r>
        <w:rPr>
          <w:noProof/>
        </w:rPr>
        <w:t xml:space="preserve"> Chorwacji, Włoch, Łotwy, Litwy, Niderlandów, Austrii, Polski i Szwecji) oraz Zjednoczonego Królestwa. Ponadto większość tych powiadomień jest częściowa, co oznacza, że niektóre przepisy dyrektywy nie zostały jeszcze transponowane ani zgłoszone. </w:t>
      </w:r>
    </w:p>
    <w:p w:rsidR="007F7DFF" w:rsidRDefault="00E310EF">
      <w:pPr>
        <w:spacing w:after="120"/>
        <w:rPr>
          <w:noProof/>
        </w:rPr>
      </w:pPr>
      <w:r>
        <w:rPr>
          <w:noProof/>
        </w:rPr>
        <w:t>Do dnia 2</w:t>
      </w:r>
      <w:r>
        <w:rPr>
          <w:noProof/>
        </w:rPr>
        <w:t>5 października 2020 r. państwa członkowskie muszą transponować również nowe przepisy w zakresie opomiarowania i rozliczeń (tj. nowe art. 9, 9a, 9b i 9c, 10 i 10a oraz 11 i 11a, a także nowy załącznik VIIa). Do dnia 31 sierpnia pięć państw powiadomiło także</w:t>
      </w:r>
      <w:r>
        <w:rPr>
          <w:noProof/>
        </w:rPr>
        <w:t xml:space="preserve"> o transponowaniu tych nowych przepisów (Dania, Hiszpania, Francja, Włochy i Litwa).</w:t>
      </w:r>
    </w:p>
    <w:p w:rsidR="007F7DFF" w:rsidRDefault="00E310EF">
      <w:pPr>
        <w:pStyle w:val="Text1"/>
        <w:ind w:left="0"/>
        <w:rPr>
          <w:noProof/>
        </w:rPr>
      </w:pPr>
      <w:r>
        <w:rPr>
          <w:noProof/>
        </w:rPr>
        <w:t>Do czasu publikacji niniejszego sprawozdania wszystkie państwa członkowskie, z wyjątkiem Łotwy, przedłożyły swoje sprawozdania roczne za 2020 r. zgodnie z wymogami art. 24</w:t>
      </w:r>
      <w:r>
        <w:rPr>
          <w:noProof/>
        </w:rPr>
        <w:t xml:space="preserve"> dyrektywy w sprawie efektywności energetycznej</w:t>
      </w:r>
      <w:r>
        <w:rPr>
          <w:rStyle w:val="Odwoanieprzypisudolnego"/>
          <w:noProof/>
        </w:rPr>
        <w:footnoteReference w:id="20"/>
      </w:r>
      <w:r>
        <w:rPr>
          <w:noProof/>
        </w:rPr>
        <w:t>. Wspólne Centrum Badawcze (JRC) przeanalizuje te sprawozdania roczne w oddzielnym dokumencie</w:t>
      </w:r>
      <w:r>
        <w:rPr>
          <w:rStyle w:val="Odwoanieprzypisudolnego"/>
          <w:noProof/>
          <w:szCs w:val="20"/>
        </w:rPr>
        <w:footnoteReference w:id="21"/>
      </w:r>
      <w:r>
        <w:rPr>
          <w:noProof/>
        </w:rPr>
        <w:t>.</w:t>
      </w:r>
    </w:p>
    <w:p w:rsidR="007F7DFF" w:rsidRDefault="00E310EF">
      <w:pPr>
        <w:pStyle w:val="Nagwek2"/>
        <w:rPr>
          <w:noProof/>
        </w:rPr>
      </w:pPr>
      <w:r>
        <w:rPr>
          <w:noProof/>
        </w:rPr>
        <w:t>Postępy zgodnie z art. 7 (obowiązek oszczędności energii)</w:t>
      </w:r>
    </w:p>
    <w:p w:rsidR="007F7DFF" w:rsidRDefault="00E310EF">
      <w:pPr>
        <w:rPr>
          <w:noProof/>
        </w:rPr>
      </w:pPr>
      <w:bookmarkStart w:id="53" w:name="_Toc493679484"/>
      <w:r>
        <w:rPr>
          <w:noProof/>
        </w:rPr>
        <w:t>Zgodnie z art. 7 państwa członkowskie zgłosiły uzyskan</w:t>
      </w:r>
      <w:r>
        <w:rPr>
          <w:noProof/>
        </w:rPr>
        <w:t>ie oszczędności energii za lata 2014–2018 w ramach swoich zobowiązań do spełniania krajowego obowiązku w zakresie oszczędności energii na lata 2014–2020. W tabeli 5 przedstawiono aktualną sytuację dotyczącą postępów państw członkowskich w osiąganiu łącznyc</w:t>
      </w:r>
      <w:r>
        <w:rPr>
          <w:noProof/>
        </w:rPr>
        <w:t>h oszczędności energii wymaganych do dnia 31 grudnia 2020 r. W ujęciu zagregowanym na poziomie UE do końca 2018 r. państwa członkowskie osiągnęły około 58 % (133,83 Mtoe</w:t>
      </w:r>
      <w:r>
        <w:rPr>
          <w:rStyle w:val="Odwoanieprzypisudolnego"/>
          <w:noProof/>
          <w:lang w:eastAsia="de-DE"/>
        </w:rPr>
        <w:footnoteReference w:id="22"/>
      </w:r>
      <w:r>
        <w:rPr>
          <w:noProof/>
        </w:rPr>
        <w:t>) sumy obowiązków w zakresie łącznych oszczędności końcowego zużycia energii na lata 2</w:t>
      </w:r>
      <w:r>
        <w:rPr>
          <w:noProof/>
        </w:rPr>
        <w:t>014–2020 (230,17 Mtoe).</w:t>
      </w:r>
    </w:p>
    <w:p w:rsidR="007F7DFF" w:rsidRDefault="00E310EF">
      <w:pPr>
        <w:rPr>
          <w:noProof/>
        </w:rPr>
      </w:pPr>
      <w:r>
        <w:rPr>
          <w:noProof/>
        </w:rPr>
        <w:t>Podstawowe założenie na potrzeby przewidywania prawdopodobieństwa osiągnięcia wymaganych łącznych oszczędności energii na państwo członkowskie do dnia 31 grudnia 2020 r. jest takie, że wszystkie wdrożone środki z zakresu polityki na</w:t>
      </w:r>
      <w:r>
        <w:rPr>
          <w:noProof/>
        </w:rPr>
        <w:t xml:space="preserve">dal zapewniają nowe roczne oszczędności w latach 2019 i 2020, podobnie jak miało to miejsce w 2018 r. Następnie łączne oszczędności energii porównuje się z oszczędnościami energii wymaganymi do dnia 31 grudnia 2020 r. na państwo członkowskie. </w:t>
      </w:r>
    </w:p>
    <w:p w:rsidR="007F7DFF" w:rsidRDefault="00E310EF">
      <w:pPr>
        <w:rPr>
          <w:noProof/>
        </w:rPr>
      </w:pPr>
      <w:r>
        <w:rPr>
          <w:noProof/>
        </w:rPr>
        <w:t>W tabeli 6 p</w:t>
      </w:r>
      <w:r>
        <w:rPr>
          <w:noProof/>
        </w:rPr>
        <w:t>rzedstawiono prognozy dotyczące prawdopodobieństwa, że każde państwo członkowskie uzyska łączne oszczędności energii wymagane na państwo członkowskie do dnia 31 grudnia 2020 r. W analizie tej nie uwzględniono potencjalnych obaw dotyczących kwalifikowalnośc</w:t>
      </w:r>
      <w:r>
        <w:rPr>
          <w:noProof/>
        </w:rPr>
        <w:t>i, dodatkowości i istotności. Ponadto trudno jest ocenić możliwy wpływ kryzysu związanego z COVID-19 na wielkość nowych rocznych oszczędności osiągniętych w 2020 r. Pod uwagę wzięto wszystkie oszczędności energii zgłoszone przez państwa członkowskie.</w:t>
      </w:r>
    </w:p>
    <w:p w:rsidR="007F7DFF" w:rsidRDefault="00E310EF">
      <w:pPr>
        <w:rPr>
          <w:noProof/>
        </w:rPr>
      </w:pPr>
      <w:r>
        <w:rPr>
          <w:noProof/>
        </w:rPr>
        <w:t>W prz</w:t>
      </w:r>
      <w:r>
        <w:rPr>
          <w:noProof/>
        </w:rPr>
        <w:t>ypadku siedmiu państw członkowskich (Bułgarii, Republiki Czeskiej, Chorwacji, Litwy, Luksemburga, Portugalii, Rumunii) bardzo prawdopodobne jest, że nie uzyskają one wymaganej wielkości oszczędności energii do dnia 31 grudnia 2020 r., jeżeli nie podejmą do</w:t>
      </w:r>
      <w:r>
        <w:rPr>
          <w:noProof/>
        </w:rPr>
        <w:t>datkowych działań. Kolejne pięć państw (Estonia, Grecja, Słowenia, Hiszpania, Szwecja) prawdopodobnie nie osiągnie wymaganej wielkości oszczędności energii bez podjęcia dodatkowych działań. Osiągnięcie wymaganej wielkości łącznych oszczędności energii prze</w:t>
      </w:r>
      <w:r>
        <w:rPr>
          <w:noProof/>
        </w:rPr>
        <w:t xml:space="preserve">z pozostałe szesnaście państw członkowskich jest prawdopodobne lub bardzo prawdopodobne. </w:t>
      </w:r>
    </w:p>
    <w:p w:rsidR="007F7DFF" w:rsidRDefault="00E310EF">
      <w:pPr>
        <w:rPr>
          <w:noProof/>
        </w:rPr>
      </w:pPr>
      <w:r>
        <w:rPr>
          <w:noProof/>
        </w:rPr>
        <w:t>Jeżeli chodzi o oszczędności energii osiągnięte za pośrednictwem każdego rodzaju z wdrożonych środków z zakresu polityki, systemy zobowiązujące do efektywności energe</w:t>
      </w:r>
      <w:r>
        <w:rPr>
          <w:noProof/>
        </w:rPr>
        <w:t>tycznej odpowiadają za około 35 % oszczędności, natomiast programy finansowania przyczyniły się do zaledwie około 13 % oszczędności energii. Opodatkowanie energii i podatki od emisji CO</w:t>
      </w:r>
      <w:r>
        <w:rPr>
          <w:noProof/>
          <w:vertAlign w:val="subscript"/>
        </w:rPr>
        <w:t>2</w:t>
      </w:r>
      <w:r>
        <w:rPr>
          <w:noProof/>
        </w:rPr>
        <w:t xml:space="preserve"> stanowią 16 % uzyskanych oszczędności energii ogółem.</w:t>
      </w:r>
    </w:p>
    <w:p w:rsidR="007F7DFF" w:rsidRDefault="00E310EF">
      <w:pPr>
        <w:pStyle w:val="Legenda"/>
        <w:rPr>
          <w:noProof/>
          <w:sz w:val="24"/>
          <w:szCs w:val="24"/>
        </w:rPr>
      </w:pPr>
      <w:r>
        <w:rPr>
          <w:noProof/>
          <w:sz w:val="24"/>
          <w:szCs w:val="24"/>
        </w:rPr>
        <w:t>Wykres 2:</w:t>
      </w:r>
      <w:r>
        <w:rPr>
          <w:noProof/>
        </w:rPr>
        <w:tab/>
      </w:r>
      <w:r>
        <w:rPr>
          <w:noProof/>
          <w:sz w:val="24"/>
          <w:szCs w:val="24"/>
        </w:rPr>
        <w:t>Udzia</w:t>
      </w:r>
      <w:r>
        <w:rPr>
          <w:noProof/>
          <w:sz w:val="24"/>
          <w:szCs w:val="24"/>
        </w:rPr>
        <w:t>ł zgłoszonych oszczędności energii według rodzaju środka z zakresu polityki na poziomie UE</w:t>
      </w:r>
    </w:p>
    <w:p w:rsidR="007F7DFF" w:rsidRDefault="00E310EF">
      <w:pPr>
        <w:spacing w:after="0"/>
        <w:jc w:val="center"/>
        <w:rPr>
          <w:noProof/>
        </w:rPr>
      </w:pPr>
      <w:r>
        <w:rPr>
          <w:noProof/>
          <w:lang w:eastAsia="pl-PL"/>
        </w:rPr>
        <w:drawing>
          <wp:inline distT="0" distB="0" distL="0" distR="0">
            <wp:extent cx="5748655" cy="3840480"/>
            <wp:effectExtent l="0" t="0" r="4445"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8655" cy="3840480"/>
                    </a:xfrm>
                    <a:prstGeom prst="rect">
                      <a:avLst/>
                    </a:prstGeom>
                    <a:noFill/>
                    <a:ln>
                      <a:noFill/>
                    </a:ln>
                  </pic:spPr>
                </pic:pic>
              </a:graphicData>
            </a:graphic>
          </wp:inline>
        </w:drawing>
      </w:r>
    </w:p>
    <w:p w:rsidR="007F7DFF" w:rsidRDefault="00E310EF">
      <w:pPr>
        <w:pStyle w:val="BasistekstCEDelft"/>
        <w:jc w:val="both"/>
        <w:rPr>
          <w:rFonts w:ascii="Times New Roman" w:hAnsi="Times New Roman" w:cs="Times New Roman"/>
          <w:i/>
          <w:noProof/>
          <w:sz w:val="22"/>
        </w:rPr>
      </w:pPr>
      <w:r>
        <w:rPr>
          <w:rFonts w:ascii="Times New Roman" w:hAnsi="Times New Roman"/>
          <w:i/>
          <w:noProof/>
          <w:sz w:val="22"/>
        </w:rPr>
        <w:t>Źródło: Obliczenia własne DG ENER na podstawie krajowych sprawozdań rocznych z 2020 r.</w:t>
      </w:r>
    </w:p>
    <w:p w:rsidR="007F7DFF" w:rsidRDefault="007F7DFF">
      <w:pPr>
        <w:rPr>
          <w:noProof/>
          <w:lang w:eastAsia="de-DE"/>
        </w:rPr>
      </w:pPr>
    </w:p>
    <w:p w:rsidR="007F7DFF" w:rsidRDefault="00E310EF">
      <w:pPr>
        <w:rPr>
          <w:noProof/>
        </w:rPr>
      </w:pPr>
      <w:r>
        <w:rPr>
          <w:noProof/>
        </w:rPr>
        <w:t>W przypadku sektorów, na które ukierunkowane są wdrożone środki z zakresu p</w:t>
      </w:r>
      <w:r>
        <w:rPr>
          <w:noProof/>
        </w:rPr>
        <w:t>olityki, największy udział oszczędności energii zgłoszonych przez państwa członkowskie wynika ze środków przekrojowych, których nie można przypisać do jednego sektora (wykres 3). Większość środków (według liczby zgłoszonych środków) jest ukierunkowana na u</w:t>
      </w:r>
      <w:r>
        <w:rPr>
          <w:noProof/>
        </w:rPr>
        <w:t xml:space="preserve">sługi i przemysł, które obejmują głównie przedsiębiorstwa (z wyjątkiem przedsiębiorstw transportowych) i sektor publiczny (poza budynkami należącymi do instytucji publicznych, które są ujęte w sektorze prywatnych gospodarstw domowych). </w:t>
      </w:r>
    </w:p>
    <w:p w:rsidR="007F7DFF" w:rsidRDefault="00E310EF">
      <w:pPr>
        <w:pStyle w:val="Legenda"/>
        <w:rPr>
          <w:noProof/>
          <w:sz w:val="24"/>
          <w:szCs w:val="24"/>
        </w:rPr>
      </w:pPr>
      <w:r>
        <w:rPr>
          <w:noProof/>
          <w:sz w:val="24"/>
          <w:szCs w:val="24"/>
        </w:rPr>
        <w:t>Wykres 3: Udział zg</w:t>
      </w:r>
      <w:r>
        <w:rPr>
          <w:noProof/>
          <w:sz w:val="24"/>
          <w:szCs w:val="24"/>
        </w:rPr>
        <w:t>łoszonych oszczędności według sektora</w:t>
      </w:r>
    </w:p>
    <w:p w:rsidR="007F7DFF" w:rsidRDefault="00E310EF">
      <w:pPr>
        <w:spacing w:after="0"/>
        <w:jc w:val="center"/>
        <w:rPr>
          <w:noProof/>
        </w:rPr>
      </w:pPr>
      <w:r>
        <w:rPr>
          <w:noProof/>
          <w:lang w:eastAsia="pl-PL"/>
        </w:rPr>
        <w:drawing>
          <wp:inline distT="0" distB="0" distL="0" distR="0">
            <wp:extent cx="4047490" cy="32600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47490" cy="3260090"/>
                    </a:xfrm>
                    <a:prstGeom prst="rect">
                      <a:avLst/>
                    </a:prstGeom>
                    <a:noFill/>
                    <a:ln>
                      <a:noFill/>
                    </a:ln>
                  </pic:spPr>
                </pic:pic>
              </a:graphicData>
            </a:graphic>
          </wp:inline>
        </w:drawing>
      </w:r>
    </w:p>
    <w:p w:rsidR="007F7DFF" w:rsidRDefault="00E310EF">
      <w:pPr>
        <w:pStyle w:val="BasistekstCEDelft"/>
        <w:jc w:val="both"/>
        <w:rPr>
          <w:rFonts w:ascii="Times New Roman" w:hAnsi="Times New Roman" w:cs="Times New Roman"/>
          <w:i/>
          <w:noProof/>
          <w:sz w:val="22"/>
        </w:rPr>
      </w:pPr>
      <w:r>
        <w:rPr>
          <w:rFonts w:ascii="Times New Roman" w:hAnsi="Times New Roman"/>
          <w:i/>
          <w:noProof/>
          <w:sz w:val="22"/>
        </w:rPr>
        <w:t>Źródło: Obliczenia własne DG ENER na podstawie krajowych sprawozdań rocznych z 2020 r.</w:t>
      </w:r>
    </w:p>
    <w:p w:rsidR="007F7DFF" w:rsidRDefault="007F7DFF">
      <w:pPr>
        <w:rPr>
          <w:noProof/>
          <w:lang w:eastAsia="de-DE"/>
        </w:rPr>
      </w:pPr>
    </w:p>
    <w:p w:rsidR="007F7DFF" w:rsidRDefault="00E310EF">
      <w:pPr>
        <w:pStyle w:val="BasistekstCEDelft"/>
        <w:jc w:val="both"/>
        <w:rPr>
          <w:rFonts w:ascii="Times New Roman" w:eastAsia="Calibri" w:hAnsi="Times New Roman" w:cs="Times New Roman"/>
          <w:noProof/>
          <w:color w:val="auto"/>
          <w:sz w:val="24"/>
          <w:szCs w:val="24"/>
        </w:rPr>
      </w:pPr>
      <w:r>
        <w:rPr>
          <w:rFonts w:ascii="Times New Roman" w:hAnsi="Times New Roman"/>
          <w:noProof/>
          <w:color w:val="auto"/>
          <w:sz w:val="24"/>
          <w:szCs w:val="24"/>
        </w:rPr>
        <w:t>Za rok 2018 zgłoszono 36 nowych środków zgodnie z art. 7. 10 z nich zostało wdrożonych zarówno przez Hiszpanię, jak i Rumunię, 4</w:t>
      </w:r>
      <w:r>
        <w:rPr>
          <w:rFonts w:ascii="Times New Roman" w:hAnsi="Times New Roman"/>
          <w:noProof/>
          <w:color w:val="auto"/>
          <w:sz w:val="24"/>
          <w:szCs w:val="24"/>
        </w:rPr>
        <w:t xml:space="preserve"> przez Belgię i 3 przez Rumunię. Niemal połowa nowych środków zgodnych z art. 7 zalicza się do kategorii „fundusze, zachęty finansowe i fiskalne” (47,2 %), a na kolejnych miejscach znalazły się „inne środki” (środki w sektorze transportu, dobrowolne porozu</w:t>
      </w:r>
      <w:r>
        <w:rPr>
          <w:rFonts w:ascii="Times New Roman" w:hAnsi="Times New Roman"/>
          <w:noProof/>
          <w:color w:val="auto"/>
          <w:sz w:val="24"/>
          <w:szCs w:val="24"/>
        </w:rPr>
        <w:t>mienia itp.) (27,8 %), „regulacje” (16,7 %), „informacje, kształcenie i szkolenie” (5,6 %) oraz „opodatkowanie” (2,8 %)</w:t>
      </w:r>
      <w:r>
        <w:rPr>
          <w:rStyle w:val="Odwoanieprzypisudolnego"/>
          <w:rFonts w:ascii="Times New Roman" w:eastAsia="Calibri" w:hAnsi="Times New Roman" w:cs="Times New Roman"/>
          <w:noProof/>
          <w:color w:val="auto"/>
          <w:sz w:val="24"/>
          <w:szCs w:val="24"/>
          <w:lang w:eastAsia="en-US"/>
        </w:rPr>
        <w:footnoteReference w:id="23"/>
      </w:r>
      <w:r>
        <w:rPr>
          <w:noProof/>
        </w:rPr>
        <w:t>.</w:t>
      </w:r>
    </w:p>
    <w:p w:rsidR="007F7DFF" w:rsidRDefault="00E310EF">
      <w:pPr>
        <w:pStyle w:val="Nagwek2"/>
        <w:rPr>
          <w:noProof/>
        </w:rPr>
      </w:pPr>
      <w:r>
        <w:rPr>
          <w:noProof/>
        </w:rPr>
        <w:t>Postępy na podstawie art. 5 (wzorcowa rola budynków instytucji publicznych)</w:t>
      </w:r>
    </w:p>
    <w:p w:rsidR="007F7DFF" w:rsidRDefault="00E310EF">
      <w:pPr>
        <w:pStyle w:val="JRCText"/>
        <w:rPr>
          <w:rFonts w:ascii="Times New Roman" w:hAnsi="Times New Roman"/>
          <w:noProof/>
          <w:sz w:val="24"/>
          <w:szCs w:val="24"/>
        </w:rPr>
      </w:pPr>
      <w:r>
        <w:rPr>
          <w:rFonts w:ascii="Times New Roman" w:hAnsi="Times New Roman"/>
          <w:noProof/>
          <w:sz w:val="24"/>
          <w:szCs w:val="24"/>
        </w:rPr>
        <w:t>W porównaniu z 2019 r. poziom zgodności z obowiązkami spra</w:t>
      </w:r>
      <w:r>
        <w:rPr>
          <w:rFonts w:ascii="Times New Roman" w:hAnsi="Times New Roman"/>
          <w:noProof/>
          <w:sz w:val="24"/>
          <w:szCs w:val="24"/>
        </w:rPr>
        <w:t>wozdawczymi był podobny. Sześć państw członkowskich nie przedstawiło wymaganej na podstawie art. 5 aktualizacji dotyczącej postępów poczynionych w 2019 r.: Belgia, Rumunia, Dania, Francja, Chorwacja i Niderlandy (cztery ostatnie poinformowały o swoich osią</w:t>
      </w:r>
      <w:r>
        <w:rPr>
          <w:rFonts w:ascii="Times New Roman" w:hAnsi="Times New Roman"/>
          <w:noProof/>
          <w:sz w:val="24"/>
          <w:szCs w:val="24"/>
        </w:rPr>
        <w:t>gnięciach za 2018 r., ale nie za 2019 r.).</w:t>
      </w:r>
    </w:p>
    <w:p w:rsidR="007F7DFF" w:rsidRDefault="00E310EF">
      <w:pPr>
        <w:pStyle w:val="JRCText"/>
        <w:rPr>
          <w:rFonts w:ascii="Times New Roman" w:hAnsi="Times New Roman"/>
          <w:noProof/>
          <w:sz w:val="24"/>
          <w:szCs w:val="24"/>
        </w:rPr>
      </w:pPr>
      <w:r>
        <w:rPr>
          <w:rFonts w:ascii="Times New Roman" w:hAnsi="Times New Roman"/>
          <w:noProof/>
          <w:sz w:val="24"/>
          <w:szCs w:val="24"/>
        </w:rPr>
        <w:t>Spośród państw członkowskich, w przypadku których dostępne są sprawozdania i które wybrały podejście podstawowe</w:t>
      </w:r>
      <w:r>
        <w:rPr>
          <w:rFonts w:ascii="Times New Roman" w:hAnsi="Times New Roman"/>
          <w:noProof/>
          <w:sz w:val="24"/>
          <w:szCs w:val="24"/>
          <w:vertAlign w:val="superscript"/>
        </w:rPr>
        <w:footnoteReference w:id="24"/>
      </w:r>
      <w:r>
        <w:rPr>
          <w:rFonts w:ascii="Times New Roman" w:hAnsi="Times New Roman"/>
          <w:noProof/>
          <w:sz w:val="24"/>
          <w:szCs w:val="24"/>
        </w:rPr>
        <w:t>, jedynie trzy osiągnęły swoje cele roczne w odniesieniu do powierzchni pomieszczeń poddanych renowac</w:t>
      </w:r>
      <w:r>
        <w:rPr>
          <w:rFonts w:ascii="Times New Roman" w:hAnsi="Times New Roman"/>
          <w:noProof/>
          <w:sz w:val="24"/>
          <w:szCs w:val="24"/>
        </w:rPr>
        <w:t>ji. Są to Bułgaria, Litwa i Luksemburg. Ponadto z przekazanych danych wynika, że cztery państwa w pełni osiągnęły swoje ogólne cele na lata 2014–2019. Te państwa to Hiszpania, Włochy, Litwa i Luksemburg. Spośród państw członkowskich, które wdrożyły podejśc</w:t>
      </w:r>
      <w:r>
        <w:rPr>
          <w:rFonts w:ascii="Times New Roman" w:hAnsi="Times New Roman"/>
          <w:noProof/>
          <w:sz w:val="24"/>
          <w:szCs w:val="24"/>
        </w:rPr>
        <w:t xml:space="preserve">ie alternatywne, w 2019 r. zaledwie trzy osiągnęły swoje roczne cele w zakresie oszczędności energii. Były to Austria, Polska i Słowacja. Francja i Chorwacja osiągnęły swoje cele na 2018 r. Jednocześnie sześć państw przedstawiło dane, z których wynika, że </w:t>
      </w:r>
      <w:r>
        <w:rPr>
          <w:rFonts w:ascii="Times New Roman" w:hAnsi="Times New Roman"/>
          <w:noProof/>
          <w:sz w:val="24"/>
          <w:szCs w:val="24"/>
        </w:rPr>
        <w:t>w pełni osiągnęły one swoje cele na lata 2014–2019. Państwa te to Austria, Finlandia, Irlandia, Słowacja, Polska i Zjednoczone Królestwo. Francja, Belgia, Chorwacja i Niderlandy osiągnęły w pełni swoje cele na lata 2014–2018.</w:t>
      </w:r>
    </w:p>
    <w:p w:rsidR="007F7DFF" w:rsidRDefault="00E310EF">
      <w:pPr>
        <w:pStyle w:val="Nagwek1"/>
        <w:numPr>
          <w:ilvl w:val="0"/>
          <w:numId w:val="4"/>
        </w:numPr>
        <w:spacing w:after="120" w:afterAutospacing="0"/>
        <w:rPr>
          <w:noProof/>
        </w:rPr>
      </w:pPr>
      <w:r>
        <w:rPr>
          <w:noProof/>
        </w:rPr>
        <w:t>Budynki o niemal zerowym zużyc</w:t>
      </w:r>
      <w:r>
        <w:rPr>
          <w:noProof/>
        </w:rPr>
        <w:t>iu energii</w:t>
      </w:r>
    </w:p>
    <w:p w:rsidR="007F7DFF" w:rsidRDefault="00E310EF">
      <w:pPr>
        <w:rPr>
          <w:noProof/>
          <w:color w:val="000000" w:themeColor="text1"/>
        </w:rPr>
      </w:pPr>
      <w:r>
        <w:rPr>
          <w:noProof/>
          <w:color w:val="000000" w:themeColor="text1"/>
        </w:rPr>
        <w:t xml:space="preserve">W następstwie przyjęcia dyrektywy w sprawie charakterystyki energetycznej budynków w 2010 r., na podstawie której </w:t>
      </w:r>
      <w:r>
        <w:rPr>
          <w:noProof/>
          <w:color w:val="000000" w:themeColor="text1"/>
          <w:shd w:val="clear" w:color="auto" w:fill="FFFFFF"/>
        </w:rPr>
        <w:t xml:space="preserve">wszystkie nowe budynki publiczne muszą być </w:t>
      </w:r>
      <w:hyperlink r:id="rId21" w:history="1">
        <w:r>
          <w:rPr>
            <w:rStyle w:val="Hipercze"/>
            <w:noProof/>
            <w:color w:val="1F497D" w:themeColor="text2"/>
          </w:rPr>
          <w:t>budynkami o niemal zerowym zużyciu energii</w:t>
        </w:r>
      </w:hyperlink>
      <w:r>
        <w:rPr>
          <w:noProof/>
          <w:color w:val="000000" w:themeColor="text1"/>
          <w:shd w:val="clear" w:color="auto" w:fill="FFFFFF"/>
        </w:rPr>
        <w:t xml:space="preserve"> począwszy od dnia 31 grudnia 2018 r., a wszystkie nowe budynki – od dnia 31 grudnia 2020 r., </w:t>
      </w:r>
      <w:r>
        <w:rPr>
          <w:noProof/>
          <w:color w:val="000000" w:themeColor="text1"/>
        </w:rPr>
        <w:t>liczba budynków o niemal zerowym zużyciu energii i budynków o bardzo dobrej</w:t>
      </w:r>
      <w:r>
        <w:rPr>
          <w:noProof/>
          <w:color w:val="000000" w:themeColor="text1"/>
        </w:rPr>
        <w:t xml:space="preserve"> charakterystyce energetycznej znacznie wzrosła w Europie w latach 2012–2016. W okresie tym wybudowano lub poddano renowacji blisko 1,25 mln budynków zgodnie ze standardami budynków o niemal zerowym zużyciu energii (lub podobnymi), z których większość była</w:t>
      </w:r>
      <w:r>
        <w:rPr>
          <w:noProof/>
          <w:color w:val="000000" w:themeColor="text1"/>
        </w:rPr>
        <w:t xml:space="preserve"> budynkami mieszkalnymi. Udział budynków o niemal zerowym zużyciu energii w całkowitym rynku budowlanym w UE w latach 2012–2016 wzrósł średnio z 14 % w 2012 r. do 20 % w 2016 r.</w:t>
      </w:r>
      <w:r>
        <w:rPr>
          <w:rStyle w:val="Odwoanieprzypisudolnego"/>
          <w:noProof/>
          <w:color w:val="000000" w:themeColor="text1"/>
        </w:rPr>
        <w:footnoteReference w:id="25"/>
      </w:r>
      <w:r>
        <w:rPr>
          <w:noProof/>
          <w:color w:val="000000" w:themeColor="text1"/>
        </w:rPr>
        <w:t xml:space="preserve"> </w:t>
      </w:r>
    </w:p>
    <w:p w:rsidR="007F7DFF" w:rsidRDefault="00E310EF">
      <w:pPr>
        <w:rPr>
          <w:noProof/>
        </w:rPr>
      </w:pPr>
      <w:r>
        <w:rPr>
          <w:noProof/>
        </w:rPr>
        <w:t>Obecnie wymogi dotyczące budynków o niemal zerowym zużyciu energii są o 70 %</w:t>
      </w:r>
      <w:r>
        <w:rPr>
          <w:noProof/>
        </w:rPr>
        <w:t xml:space="preserve"> bardziej ambitne niż krajowe wymagania minimalne dotyczące optymalnej pod względem kosztów charakterystyki energetycznej budynków. Osiągnięto to dzięki stopniowym działaniom ustawodawczym realizowanym w ostatnich 10 latach.</w:t>
      </w:r>
    </w:p>
    <w:p w:rsidR="007F7DFF" w:rsidRDefault="00E310EF">
      <w:pPr>
        <w:rPr>
          <w:noProof/>
        </w:rPr>
      </w:pPr>
      <w:r>
        <w:rPr>
          <w:noProof/>
        </w:rPr>
        <w:t>Z najnowszych dostępnych inform</w:t>
      </w:r>
      <w:r>
        <w:rPr>
          <w:noProof/>
        </w:rPr>
        <w:t>acji</w:t>
      </w:r>
      <w:r>
        <w:rPr>
          <w:rStyle w:val="Odwoanieprzypisudolnego"/>
          <w:noProof/>
        </w:rPr>
        <w:footnoteReference w:id="26"/>
      </w:r>
      <w:r>
        <w:rPr>
          <w:noProof/>
        </w:rPr>
        <w:t xml:space="preserve"> wynika, że aktualnie w 23 państwach członkowskich obowiązuje ostateczna krajowa definicja budynku o niemal zerowym zużyciu energii. W przypadku pozostałych państw członkowskich definicja obiektu będącego budynkiem o niemal zerowym zużyciu energii nadal je</w:t>
      </w:r>
      <w:r>
        <w:rPr>
          <w:noProof/>
        </w:rPr>
        <w:t xml:space="preserve">st opracowywana lub zmieniana. Większość przedstawionych definicji obejmuje wskaźnik energetyczny, jakim jest zużycie energii pierwotnej, a dwanaście – obowiązek pokrycia minimalnego udziału zapotrzebowania na energię ze źródeł odnawialnych. Niemal połowa </w:t>
      </w:r>
      <w:r>
        <w:rPr>
          <w:noProof/>
        </w:rPr>
        <w:t>państw członkowskich opracowała klasę efektywności energetycznej lub etykietę energetyczną równoważną z wymogami dotyczącymi budynków o niemal zerowym zużyciu energii. Również połowa państw członkowskich przewidziała wymagane wartości współczynnika U dla ś</w:t>
      </w:r>
      <w:r>
        <w:rPr>
          <w:noProof/>
        </w:rPr>
        <w:t xml:space="preserve">cian, dachów, podłóg, okien i drzwi. </w:t>
      </w:r>
    </w:p>
    <w:p w:rsidR="007F7DFF" w:rsidRDefault="00E310EF">
      <w:pPr>
        <w:rPr>
          <w:noProof/>
        </w:rPr>
      </w:pPr>
      <w:r>
        <w:rPr>
          <w:noProof/>
        </w:rPr>
        <w:t xml:space="preserve">Jeżeli chodzi o poziom ambicji w przypadku definicji budynków o niemal zerowym zużyciu energii, wymogi dotyczące wartości zużycia energii pierwotnej w takich budynkach w większości państw członkowskich są mniej surowe </w:t>
      </w:r>
      <w:r>
        <w:rPr>
          <w:noProof/>
        </w:rPr>
        <w:t>niż poziomy referencyjne zalecane przez Komisję</w:t>
      </w:r>
      <w:r>
        <w:rPr>
          <w:rStyle w:val="Odwoanieprzypisudolnego"/>
          <w:noProof/>
        </w:rPr>
        <w:footnoteReference w:id="27"/>
      </w:r>
      <w:r>
        <w:rPr>
          <w:noProof/>
        </w:rPr>
        <w:t xml:space="preserve"> w odniesieniu do zarówno budynków mieszkalnych, jak i budynków niemieszkalnych</w:t>
      </w:r>
      <w:r>
        <w:rPr>
          <w:rStyle w:val="Odwoanieprzypisudolnego"/>
          <w:noProof/>
        </w:rPr>
        <w:footnoteReference w:id="28"/>
      </w:r>
      <w:r>
        <w:rPr>
          <w:noProof/>
        </w:rPr>
        <w:t xml:space="preserve">. </w:t>
      </w:r>
    </w:p>
    <w:p w:rsidR="007F7DFF" w:rsidRDefault="00E310EF">
      <w:pPr>
        <w:rPr>
          <w:b/>
          <w:noProof/>
        </w:rPr>
      </w:pPr>
      <w:r>
        <w:rPr>
          <w:b/>
          <w:noProof/>
        </w:rPr>
        <w:t xml:space="preserve">Wykres 4: Orientacyjne porównanie definicji budynku o niemal zerowym zużyciu energii dotyczących domów jednorodzinnych względem poziomów referencyjnych zalecanych przez Komisję </w:t>
      </w:r>
    </w:p>
    <w:p w:rsidR="007F7DFF" w:rsidRDefault="00E310EF">
      <w:pPr>
        <w:rPr>
          <w:noProof/>
        </w:rPr>
      </w:pPr>
      <w:r>
        <w:rPr>
          <w:noProof/>
          <w:lang w:eastAsia="pl-PL"/>
        </w:rPr>
        <w:drawing>
          <wp:inline distT="0" distB="0" distL="0" distR="0">
            <wp:extent cx="5760720" cy="26946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2694632"/>
                    </a:xfrm>
                    <a:prstGeom prst="rect">
                      <a:avLst/>
                    </a:prstGeom>
                    <a:noFill/>
                    <a:ln>
                      <a:noFill/>
                    </a:ln>
                  </pic:spPr>
                </pic:pic>
              </a:graphicData>
            </a:graphic>
          </wp:inline>
        </w:drawing>
      </w:r>
    </w:p>
    <w:p w:rsidR="007F7DFF" w:rsidRDefault="00E310EF">
      <w:pPr>
        <w:rPr>
          <w:i/>
          <w:noProof/>
        </w:rPr>
      </w:pPr>
      <w:r>
        <w:rPr>
          <w:i/>
          <w:noProof/>
        </w:rPr>
        <w:t>Źródło: Obliczenia własne JRC na podstawie sprawozdań państw członkowskich</w:t>
      </w:r>
    </w:p>
    <w:p w:rsidR="007F7DFF" w:rsidRDefault="00E310EF">
      <w:pPr>
        <w:rPr>
          <w:b/>
          <w:noProof/>
        </w:rPr>
      </w:pPr>
      <w:r>
        <w:rPr>
          <w:b/>
          <w:noProof/>
        </w:rPr>
        <w:t>W</w:t>
      </w:r>
      <w:r>
        <w:rPr>
          <w:b/>
          <w:noProof/>
        </w:rPr>
        <w:t>ykres 5: Orientacyjne porównanie definicji budynku o niemal zerowym zużyciu energii dotyczących biur względem poziomów referencyjnych zalecanych przez Komisję</w:t>
      </w:r>
    </w:p>
    <w:p w:rsidR="007F7DFF" w:rsidRDefault="00E310EF">
      <w:pPr>
        <w:rPr>
          <w:noProof/>
        </w:rPr>
      </w:pPr>
      <w:r>
        <w:rPr>
          <w:noProof/>
          <w:lang w:eastAsia="pl-PL"/>
        </w:rPr>
        <w:drawing>
          <wp:inline distT="0" distB="0" distL="0" distR="0">
            <wp:extent cx="5760720" cy="278531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720" cy="2785312"/>
                    </a:xfrm>
                    <a:prstGeom prst="rect">
                      <a:avLst/>
                    </a:prstGeom>
                    <a:noFill/>
                    <a:ln>
                      <a:noFill/>
                    </a:ln>
                  </pic:spPr>
                </pic:pic>
              </a:graphicData>
            </a:graphic>
          </wp:inline>
        </w:drawing>
      </w:r>
    </w:p>
    <w:p w:rsidR="007F7DFF" w:rsidRDefault="00E310EF">
      <w:pPr>
        <w:rPr>
          <w:i/>
          <w:noProof/>
        </w:rPr>
      </w:pPr>
      <w:r>
        <w:rPr>
          <w:i/>
          <w:noProof/>
        </w:rPr>
        <w:t xml:space="preserve">Źródło: Obliczenia własne JRC na podstawie sprawozdań państw członkowskich </w:t>
      </w:r>
    </w:p>
    <w:p w:rsidR="007F7DFF" w:rsidRDefault="00E310EF">
      <w:pPr>
        <w:rPr>
          <w:noProof/>
        </w:rPr>
      </w:pPr>
      <w:r>
        <w:rPr>
          <w:noProof/>
        </w:rPr>
        <w:t>Większość państw cz</w:t>
      </w:r>
      <w:r>
        <w:rPr>
          <w:noProof/>
        </w:rPr>
        <w:t xml:space="preserve">łonkowskich zgłosiła również szereg środków mających na celu zwiększenie liczby budynków o niemal zerowym zużyciu energii. Środki te są przede wszystkim: (i) regulacyjne (normy energetyczne, ustanawianie wymogów, regulacji i przepisów dotyczących budynków </w:t>
      </w:r>
      <w:r>
        <w:rPr>
          <w:noProof/>
        </w:rPr>
        <w:t>o niemal zerowym zużyciu energii); (ii) finansowe (dotacje, dotacje na renowację, programy operacyjne, zachęty podatkowe); (iii) informacyjne (kampania informacyjne, ulotki i strony internetowe); oraz (iv) edukacyjne (szkolenia dla inżynierów i architektów</w:t>
      </w:r>
      <w:r>
        <w:rPr>
          <w:noProof/>
        </w:rPr>
        <w:t>, publikacja wytycznych dotyczących budynków o niemal zerowym zużyciu energii). Kilka państw członkowskich określiło również długoterminowe etapy wdrażania budynków o niemal zerowym zużyciu energii.</w:t>
      </w:r>
    </w:p>
    <w:p w:rsidR="007F7DFF" w:rsidRDefault="00E310EF">
      <w:pPr>
        <w:rPr>
          <w:noProof/>
        </w:rPr>
      </w:pPr>
      <w:r>
        <w:rPr>
          <w:noProof/>
        </w:rPr>
        <w:t>Na rynku podstawowych technologii dla budynków o niemal z</w:t>
      </w:r>
      <w:r>
        <w:rPr>
          <w:noProof/>
        </w:rPr>
        <w:t>erowym zużyciu energii występuje kilka pozytywnych sygnałów. Na przykład niektóre państwa członkowskie wyznaczyły cele lub przyjęły środki finansowe lub fiskalne, aby wesprzeć stosowanie pomp ciepła. Może to doprowadzić do zwiększenia instalacji pomp ciepł</w:t>
      </w:r>
      <w:r>
        <w:rPr>
          <w:noProof/>
        </w:rPr>
        <w:t>a w nadchodzących latach, a to z kolei przełoży się na znaczne obniżenie kosztów pomp ciepła (o 10–40 %) w Europie w okresie do 2050 r. Część państw członkowskich przyznaje również zachęty na szersze stosowanie kotłów na biomasę, co potencjalnie mogłoby zm</w:t>
      </w:r>
      <w:r>
        <w:rPr>
          <w:noProof/>
        </w:rPr>
        <w:t>niejszyć ich koszty o 10–20 % w okresie do 2050 r. Przewiduje się, że koszty układów odzysku ciepła także znaczące zmaleją (o 35–60 %) w okresie do 2050 r. Ponadto oczekuje się, że koszty kolektorów słonecznych spadną o 20–50 %, a koszty fotowoltaiki zmnie</w:t>
      </w:r>
      <w:r>
        <w:rPr>
          <w:noProof/>
        </w:rPr>
        <w:t>jszą się o 40–60 % w tym samym okresie. Magazynowanie energii nabierze znaczenia w najbliższej przyszłości, a z prognoz wynika, że koszty baterii stacjonarnych obniżą się o około 65 %.</w:t>
      </w:r>
    </w:p>
    <w:p w:rsidR="007F7DFF" w:rsidRDefault="00E310EF">
      <w:pPr>
        <w:rPr>
          <w:noProof/>
        </w:rPr>
      </w:pPr>
      <w:r>
        <w:rPr>
          <w:noProof/>
        </w:rPr>
        <w:t>Oczywiste wydaje się również, że budynki o niemal zerowym zużyciu energ</w:t>
      </w:r>
      <w:r>
        <w:rPr>
          <w:noProof/>
        </w:rPr>
        <w:t>ii będą odgrywać istotną rolę w łagodzeniu problemów środowiskowych i społecznych, takich jak ubóstwo energetyczne, przystępność cenowa mieszkań i dostępność</w:t>
      </w:r>
      <w:r>
        <w:rPr>
          <w:rStyle w:val="Odwoanieprzypisudolnego"/>
          <w:noProof/>
        </w:rPr>
        <w:footnoteReference w:id="29"/>
      </w:r>
      <w:r>
        <w:rPr>
          <w:noProof/>
        </w:rPr>
        <w:t xml:space="preserve">. </w:t>
      </w:r>
    </w:p>
    <w:p w:rsidR="007F7DFF" w:rsidRDefault="00E310EF">
      <w:pPr>
        <w:pStyle w:val="Nagwek1"/>
        <w:numPr>
          <w:ilvl w:val="0"/>
          <w:numId w:val="4"/>
        </w:numPr>
        <w:spacing w:after="120" w:afterAutospacing="0"/>
        <w:rPr>
          <w:noProof/>
          <w:szCs w:val="24"/>
        </w:rPr>
      </w:pPr>
      <w:r>
        <w:rPr>
          <w:noProof/>
        </w:rPr>
        <w:t xml:space="preserve">Optymalne pod względem kosztów poziomy minimalnych wymogów w zakresie budynków </w:t>
      </w:r>
    </w:p>
    <w:p w:rsidR="007F7DFF" w:rsidRDefault="00E310EF">
      <w:pPr>
        <w:rPr>
          <w:noProof/>
        </w:rPr>
      </w:pPr>
      <w:r>
        <w:rPr>
          <w:noProof/>
        </w:rPr>
        <w:t>W dyrektywie w </w:t>
      </w:r>
      <w:r>
        <w:rPr>
          <w:noProof/>
        </w:rPr>
        <w:t>sprawie charakterystyki energetycznej budynków określono wymóg, aby państwa członkowskie co pięć lat opracowywały optymalne pod względem kosztów obliczenia w celu zweryfikowania i zaktualizowania obowiązujących wymagań minimalnych dotyczących charakterysty</w:t>
      </w:r>
      <w:r>
        <w:rPr>
          <w:noProof/>
        </w:rPr>
        <w:t>ki energetycznej budynków. Państwa członkowskie przedłożyły pierwsze sprawozdania dotyczące optymalnych kosztów w 2013 r., a druga runda sprawozdawcza odbyła się w 2018 r.</w:t>
      </w:r>
      <w:r>
        <w:rPr>
          <w:rStyle w:val="Odwoanieprzypisudolnego"/>
          <w:noProof/>
        </w:rPr>
        <w:footnoteReference w:id="30"/>
      </w:r>
      <w:r>
        <w:rPr>
          <w:noProof/>
        </w:rPr>
        <w:t xml:space="preserve"> Ogólny obraz, jaki wyłania się z tych sprawozdań jest taki, że zarówno w przypadku </w:t>
      </w:r>
      <w:r>
        <w:rPr>
          <w:noProof/>
        </w:rPr>
        <w:t xml:space="preserve">nowych, jak i istniejących budynków wybór optymalnej pod względem kosztów metodyki skutecznie ukierunkowuje obowiązujące krajowe wymagania minimalne dotyczące charakterystyki energetycznej budynków na opłacalne poziomy. </w:t>
      </w:r>
    </w:p>
    <w:p w:rsidR="007F7DFF" w:rsidRDefault="00E310EF">
      <w:pPr>
        <w:rPr>
          <w:noProof/>
        </w:rPr>
      </w:pPr>
      <w:r>
        <w:rPr>
          <w:noProof/>
        </w:rPr>
        <w:t xml:space="preserve">W odniesieniu do </w:t>
      </w:r>
      <w:r>
        <w:rPr>
          <w:b/>
          <w:noProof/>
        </w:rPr>
        <w:t>rodzajów nowych bu</w:t>
      </w:r>
      <w:r>
        <w:rPr>
          <w:b/>
          <w:noProof/>
        </w:rPr>
        <w:t>dynków</w:t>
      </w:r>
      <w:r>
        <w:rPr>
          <w:noProof/>
        </w:rPr>
        <w:t xml:space="preserve"> większość optymalnych pod względem kosztów punktów mieści się w przedziale 50–100 kWh/m</w:t>
      </w:r>
      <w:r>
        <w:rPr>
          <w:noProof/>
          <w:vertAlign w:val="superscript"/>
        </w:rPr>
        <w:t>2</w:t>
      </w:r>
      <w:r>
        <w:rPr>
          <w:noProof/>
        </w:rPr>
        <w:t xml:space="preserve"> rocznie, przy średniej wartości 80 kWh/m</w:t>
      </w:r>
      <w:r>
        <w:rPr>
          <w:noProof/>
          <w:vertAlign w:val="superscript"/>
        </w:rPr>
        <w:t>2</w:t>
      </w:r>
      <w:r>
        <w:rPr>
          <w:noProof/>
        </w:rPr>
        <w:t xml:space="preserve"> rocznie w przypadku sektora budynków mieszkalnych i 140 kWh/m</w:t>
      </w:r>
      <w:r>
        <w:rPr>
          <w:noProof/>
          <w:vertAlign w:val="superscript"/>
        </w:rPr>
        <w:t>2</w:t>
      </w:r>
      <w:r>
        <w:rPr>
          <w:noProof/>
        </w:rPr>
        <w:t xml:space="preserve"> rocznie w sektorze budynków niemieszkalnych. Powiązane </w:t>
      </w:r>
      <w:r>
        <w:rPr>
          <w:noProof/>
        </w:rPr>
        <w:t>koszty ogólne osiągnięcia tych poziomów są często niższe niż 1 500 EUR/m</w:t>
      </w:r>
      <w:r>
        <w:rPr>
          <w:noProof/>
          <w:vertAlign w:val="superscript"/>
        </w:rPr>
        <w:t>2</w:t>
      </w:r>
      <w:r>
        <w:rPr>
          <w:noProof/>
        </w:rPr>
        <w:t>, przy średniej wartości 925 EUR/m</w:t>
      </w:r>
      <w:r>
        <w:rPr>
          <w:noProof/>
          <w:vertAlign w:val="superscript"/>
        </w:rPr>
        <w:t>2</w:t>
      </w:r>
      <w:r>
        <w:rPr>
          <w:noProof/>
        </w:rPr>
        <w:t xml:space="preserve"> w przypadku sektora budynków mieszkalnych i 800 EUR/m</w:t>
      </w:r>
      <w:r>
        <w:rPr>
          <w:noProof/>
          <w:vertAlign w:val="superscript"/>
        </w:rPr>
        <w:t>2</w:t>
      </w:r>
      <w:r>
        <w:rPr>
          <w:noProof/>
        </w:rPr>
        <w:t xml:space="preserve"> w sektorze budynków niemieszkalnych.</w:t>
      </w:r>
    </w:p>
    <w:p w:rsidR="007F7DFF" w:rsidRDefault="00E310EF">
      <w:pPr>
        <w:rPr>
          <w:noProof/>
        </w:rPr>
      </w:pPr>
      <w:r>
        <w:rPr>
          <w:noProof/>
        </w:rPr>
        <w:t>Jeżeli chodzi o </w:t>
      </w:r>
      <w:r>
        <w:rPr>
          <w:b/>
          <w:noProof/>
        </w:rPr>
        <w:t>rodzaje istniejących budynków</w:t>
      </w:r>
      <w:r>
        <w:rPr>
          <w:noProof/>
        </w:rPr>
        <w:t>, większoś</w:t>
      </w:r>
      <w:r>
        <w:rPr>
          <w:noProof/>
        </w:rPr>
        <w:t>ć optymalnych pod względem kosztów punktów mieści się w przedziale 75–175 kWh/m</w:t>
      </w:r>
      <w:r>
        <w:rPr>
          <w:noProof/>
          <w:vertAlign w:val="superscript"/>
        </w:rPr>
        <w:t>2</w:t>
      </w:r>
      <w:r>
        <w:rPr>
          <w:noProof/>
        </w:rPr>
        <w:t xml:space="preserve"> rocznie, przy średniej wartości 130 kWh/m</w:t>
      </w:r>
      <w:r>
        <w:rPr>
          <w:noProof/>
          <w:vertAlign w:val="superscript"/>
        </w:rPr>
        <w:t>2</w:t>
      </w:r>
      <w:r>
        <w:rPr>
          <w:noProof/>
        </w:rPr>
        <w:t xml:space="preserve"> rocznie w przypadku sektora budynków mieszkalnych i 180 kWh/m</w:t>
      </w:r>
      <w:r>
        <w:rPr>
          <w:noProof/>
          <w:vertAlign w:val="superscript"/>
        </w:rPr>
        <w:t>2</w:t>
      </w:r>
      <w:r>
        <w:rPr>
          <w:noProof/>
        </w:rPr>
        <w:t xml:space="preserve"> rocznie w sektorze budynków niemieszkalnych. W tym przypadku koszty o</w:t>
      </w:r>
      <w:r>
        <w:rPr>
          <w:noProof/>
        </w:rPr>
        <w:t>gólne są zazwyczaj niższe niż 600 EUR/m</w:t>
      </w:r>
      <w:r>
        <w:rPr>
          <w:noProof/>
          <w:vertAlign w:val="superscript"/>
        </w:rPr>
        <w:t>2</w:t>
      </w:r>
      <w:r>
        <w:rPr>
          <w:noProof/>
        </w:rPr>
        <w:t>, przy średniej wartości 500 EUR/m</w:t>
      </w:r>
      <w:r>
        <w:rPr>
          <w:noProof/>
          <w:vertAlign w:val="superscript"/>
        </w:rPr>
        <w:t>2</w:t>
      </w:r>
      <w:r>
        <w:rPr>
          <w:noProof/>
        </w:rPr>
        <w:t xml:space="preserve"> w przypadku sektora budynków mieszkalnych i 385 EUR/m</w:t>
      </w:r>
      <w:r>
        <w:rPr>
          <w:noProof/>
          <w:vertAlign w:val="superscript"/>
        </w:rPr>
        <w:t>2</w:t>
      </w:r>
      <w:r>
        <w:rPr>
          <w:noProof/>
        </w:rPr>
        <w:t xml:space="preserve"> w sektorze budynków niemieszkalnych.</w:t>
      </w:r>
    </w:p>
    <w:p w:rsidR="007F7DFF" w:rsidRDefault="00E310EF">
      <w:pPr>
        <w:rPr>
          <w:b/>
          <w:noProof/>
        </w:rPr>
      </w:pPr>
      <w:r>
        <w:rPr>
          <w:b/>
          <w:noProof/>
        </w:rPr>
        <w:t>Tabela 1: Średnie optymalne pod względem kosztów poziomy w odniesieniu do nowych i istni</w:t>
      </w:r>
      <w:r>
        <w:rPr>
          <w:b/>
          <w:noProof/>
        </w:rPr>
        <w:t>ejących budynków według warunków klimatycznych</w:t>
      </w:r>
    </w:p>
    <w:tbl>
      <w:tblPr>
        <w:tblStyle w:val="Jasnecieniowanieakcent1"/>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337"/>
        <w:gridCol w:w="1061"/>
        <w:gridCol w:w="1337"/>
        <w:gridCol w:w="1061"/>
        <w:gridCol w:w="1337"/>
        <w:gridCol w:w="1136"/>
        <w:gridCol w:w="1337"/>
        <w:gridCol w:w="1061"/>
      </w:tblGrid>
      <w:tr w:rsidR="007F7DFF" w:rsidTr="007F7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vMerge w:val="restart"/>
            <w:tcBorders>
              <w:top w:val="none" w:sz="0" w:space="0" w:color="auto"/>
              <w:left w:val="none" w:sz="0" w:space="0" w:color="auto"/>
              <w:bottom w:val="none" w:sz="0" w:space="0" w:color="auto"/>
              <w:right w:val="none" w:sz="0" w:space="0" w:color="auto"/>
            </w:tcBorders>
            <w:shd w:val="clear" w:color="auto" w:fill="DBE5F1" w:themeFill="accent1" w:themeFillTint="33"/>
            <w:noWrap/>
          </w:tcPr>
          <w:p w:rsidR="007F7DFF" w:rsidRDefault="00E310EF">
            <w:pPr>
              <w:rPr>
                <w:rFonts w:ascii="Times New Roman" w:hAnsi="Times New Roman"/>
                <w:b w:val="0"/>
                <w:noProof/>
                <w:color w:val="auto"/>
              </w:rPr>
            </w:pPr>
            <w:r>
              <w:rPr>
                <w:rFonts w:ascii="Times New Roman" w:hAnsi="Times New Roman"/>
                <w:b w:val="0"/>
                <w:noProof/>
                <w:color w:val="auto"/>
              </w:rPr>
              <w:t>Klimat</w:t>
            </w:r>
          </w:p>
        </w:tc>
        <w:tc>
          <w:tcPr>
            <w:tcW w:w="2242"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noWrap/>
          </w:tcPr>
          <w:p w:rsidR="007F7DFF" w:rsidRDefault="00E310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Nowy budynek jednorodzinny</w:t>
            </w:r>
          </w:p>
        </w:tc>
        <w:tc>
          <w:tcPr>
            <w:tcW w:w="2211"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noWrap/>
          </w:tcPr>
          <w:p w:rsidR="007F7DFF" w:rsidRDefault="00E310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Nowy budynek wielorodzinny</w:t>
            </w:r>
          </w:p>
        </w:tc>
        <w:tc>
          <w:tcPr>
            <w:tcW w:w="2286"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noWrap/>
          </w:tcPr>
          <w:p w:rsidR="007F7DFF" w:rsidRDefault="00E310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Nowy budynek biurowy</w:t>
            </w:r>
          </w:p>
        </w:tc>
        <w:tc>
          <w:tcPr>
            <w:tcW w:w="2176"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noWrap/>
          </w:tcPr>
          <w:p w:rsidR="007F7DFF" w:rsidRDefault="00E310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Nowy inny budynek niemieszkalny</w:t>
            </w:r>
          </w:p>
        </w:tc>
      </w:tr>
      <w:tr w:rsidR="007F7DFF" w:rsidTr="007F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vMerge/>
            <w:tcBorders>
              <w:left w:val="none" w:sz="0" w:space="0" w:color="auto"/>
              <w:right w:val="none" w:sz="0" w:space="0" w:color="auto"/>
            </w:tcBorders>
            <w:noWrap/>
          </w:tcPr>
          <w:p w:rsidR="007F7DFF" w:rsidRDefault="007F7DFF">
            <w:pPr>
              <w:rPr>
                <w:rFonts w:ascii="Times New Roman" w:hAnsi="Times New Roman"/>
                <w:noProof/>
                <w:color w:val="auto"/>
              </w:rPr>
            </w:pPr>
          </w:p>
        </w:tc>
        <w:tc>
          <w:tcPr>
            <w:tcW w:w="1181" w:type="dxa"/>
            <w:tcBorders>
              <w:left w:val="none" w:sz="0" w:space="0" w:color="auto"/>
              <w:right w:val="none" w:sz="0" w:space="0" w:color="auto"/>
            </w:tcBorders>
            <w:noWrap/>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r>
              <w:rPr>
                <w:rFonts w:ascii="Times New Roman" w:hAnsi="Times New Roman"/>
                <w:noProof/>
                <w:color w:val="auto"/>
                <w:sz w:val="18"/>
              </w:rPr>
              <w:t xml:space="preserve">Energia pierwotna </w:t>
            </w:r>
            <w:r>
              <w:rPr>
                <w:rFonts w:ascii="Times New Roman" w:hAnsi="Times New Roman"/>
                <w:noProof/>
                <w:color w:val="auto"/>
              </w:rPr>
              <w:t>[kWh/m</w:t>
            </w:r>
            <w:r>
              <w:rPr>
                <w:rFonts w:ascii="Times New Roman" w:hAnsi="Times New Roman"/>
                <w:noProof/>
                <w:color w:val="auto"/>
                <w:vertAlign w:val="superscript"/>
              </w:rPr>
              <w:t>2</w:t>
            </w:r>
            <w:r>
              <w:rPr>
                <w:rFonts w:ascii="Times New Roman" w:hAnsi="Times New Roman"/>
                <w:noProof/>
                <w:color w:val="auto"/>
              </w:rPr>
              <w:t>rok]</w:t>
            </w:r>
          </w:p>
        </w:tc>
        <w:tc>
          <w:tcPr>
            <w:tcW w:w="1061" w:type="dxa"/>
            <w:tcBorders>
              <w:left w:val="none" w:sz="0" w:space="0" w:color="auto"/>
              <w:right w:val="none" w:sz="0" w:space="0" w:color="auto"/>
            </w:tcBorders>
            <w:noWrap/>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Koszty ogólne [EUR/m</w:t>
            </w:r>
            <w:r>
              <w:rPr>
                <w:rFonts w:ascii="Times New Roman" w:hAnsi="Times New Roman"/>
                <w:noProof/>
                <w:color w:val="auto"/>
                <w:vertAlign w:val="superscript"/>
              </w:rPr>
              <w:t>2</w:t>
            </w:r>
            <w:r>
              <w:rPr>
                <w:rFonts w:ascii="Times New Roman" w:hAnsi="Times New Roman"/>
                <w:noProof/>
                <w:color w:val="auto"/>
              </w:rPr>
              <w:t>]</w:t>
            </w:r>
          </w:p>
        </w:tc>
        <w:tc>
          <w:tcPr>
            <w:tcW w:w="1150" w:type="dxa"/>
            <w:tcBorders>
              <w:left w:val="none" w:sz="0" w:space="0" w:color="auto"/>
              <w:right w:val="none" w:sz="0" w:space="0" w:color="auto"/>
            </w:tcBorders>
            <w:noWrap/>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r>
              <w:rPr>
                <w:rFonts w:ascii="Times New Roman" w:hAnsi="Times New Roman"/>
                <w:noProof/>
                <w:color w:val="auto"/>
                <w:sz w:val="18"/>
              </w:rPr>
              <w:t xml:space="preserve">Energia pierwotna </w:t>
            </w:r>
            <w:r>
              <w:rPr>
                <w:rFonts w:ascii="Times New Roman" w:hAnsi="Times New Roman"/>
                <w:noProof/>
                <w:color w:val="auto"/>
              </w:rPr>
              <w:t>[kWh/m</w:t>
            </w:r>
            <w:r>
              <w:rPr>
                <w:rFonts w:ascii="Times New Roman" w:hAnsi="Times New Roman"/>
                <w:noProof/>
                <w:color w:val="auto"/>
                <w:vertAlign w:val="superscript"/>
              </w:rPr>
              <w:t>2</w:t>
            </w:r>
            <w:r>
              <w:rPr>
                <w:rFonts w:ascii="Times New Roman" w:hAnsi="Times New Roman"/>
                <w:noProof/>
                <w:color w:val="auto"/>
              </w:rPr>
              <w:t>rok]</w:t>
            </w:r>
          </w:p>
        </w:tc>
        <w:tc>
          <w:tcPr>
            <w:tcW w:w="1061" w:type="dxa"/>
            <w:tcBorders>
              <w:left w:val="none" w:sz="0" w:space="0" w:color="auto"/>
              <w:right w:val="none" w:sz="0" w:space="0" w:color="auto"/>
            </w:tcBorders>
            <w:noWrap/>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 xml:space="preserve">Koszty </w:t>
            </w:r>
            <w:r>
              <w:rPr>
                <w:rFonts w:ascii="Times New Roman" w:hAnsi="Times New Roman"/>
                <w:noProof/>
                <w:color w:val="auto"/>
              </w:rPr>
              <w:t>ogólne [EUR/m</w:t>
            </w:r>
            <w:r>
              <w:rPr>
                <w:rFonts w:ascii="Times New Roman" w:hAnsi="Times New Roman"/>
                <w:noProof/>
                <w:color w:val="auto"/>
                <w:vertAlign w:val="superscript"/>
              </w:rPr>
              <w:t>2</w:t>
            </w:r>
            <w:r>
              <w:rPr>
                <w:rFonts w:ascii="Times New Roman" w:hAnsi="Times New Roman"/>
                <w:noProof/>
                <w:color w:val="auto"/>
              </w:rPr>
              <w:t>]</w:t>
            </w:r>
          </w:p>
        </w:tc>
        <w:tc>
          <w:tcPr>
            <w:tcW w:w="1150" w:type="dxa"/>
            <w:tcBorders>
              <w:left w:val="none" w:sz="0" w:space="0" w:color="auto"/>
              <w:right w:val="none" w:sz="0" w:space="0" w:color="auto"/>
            </w:tcBorders>
            <w:noWrap/>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r>
              <w:rPr>
                <w:rFonts w:ascii="Times New Roman" w:hAnsi="Times New Roman"/>
                <w:noProof/>
                <w:color w:val="auto"/>
                <w:sz w:val="18"/>
              </w:rPr>
              <w:t xml:space="preserve">Energia pierwotna </w:t>
            </w:r>
            <w:r>
              <w:rPr>
                <w:rFonts w:ascii="Times New Roman" w:hAnsi="Times New Roman"/>
                <w:noProof/>
                <w:color w:val="auto"/>
              </w:rPr>
              <w:t>[kWh/m</w:t>
            </w:r>
            <w:r>
              <w:rPr>
                <w:rFonts w:ascii="Times New Roman" w:hAnsi="Times New Roman"/>
                <w:noProof/>
                <w:color w:val="auto"/>
                <w:vertAlign w:val="superscript"/>
              </w:rPr>
              <w:t>2</w:t>
            </w:r>
            <w:r>
              <w:rPr>
                <w:rFonts w:ascii="Times New Roman" w:hAnsi="Times New Roman"/>
                <w:noProof/>
                <w:color w:val="auto"/>
              </w:rPr>
              <w:t>rok]</w:t>
            </w:r>
          </w:p>
        </w:tc>
        <w:tc>
          <w:tcPr>
            <w:tcW w:w="1136" w:type="dxa"/>
            <w:tcBorders>
              <w:left w:val="none" w:sz="0" w:space="0" w:color="auto"/>
              <w:right w:val="none" w:sz="0" w:space="0" w:color="auto"/>
            </w:tcBorders>
            <w:noWrap/>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Koszty ogólne [EUR/m</w:t>
            </w:r>
            <w:r>
              <w:rPr>
                <w:rFonts w:ascii="Times New Roman" w:hAnsi="Times New Roman"/>
                <w:noProof/>
                <w:color w:val="auto"/>
                <w:vertAlign w:val="superscript"/>
              </w:rPr>
              <w:t>2</w:t>
            </w:r>
            <w:r>
              <w:rPr>
                <w:rFonts w:ascii="Times New Roman" w:hAnsi="Times New Roman"/>
                <w:noProof/>
                <w:color w:val="auto"/>
              </w:rPr>
              <w:t>]</w:t>
            </w:r>
          </w:p>
        </w:tc>
        <w:tc>
          <w:tcPr>
            <w:tcW w:w="1115" w:type="dxa"/>
            <w:tcBorders>
              <w:left w:val="none" w:sz="0" w:space="0" w:color="auto"/>
              <w:right w:val="none" w:sz="0" w:space="0" w:color="auto"/>
            </w:tcBorders>
            <w:noWrap/>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r>
              <w:rPr>
                <w:rFonts w:ascii="Times New Roman" w:hAnsi="Times New Roman"/>
                <w:noProof/>
                <w:color w:val="auto"/>
                <w:sz w:val="18"/>
              </w:rPr>
              <w:t xml:space="preserve">Energia pierwotna </w:t>
            </w:r>
            <w:r>
              <w:rPr>
                <w:rFonts w:ascii="Times New Roman" w:hAnsi="Times New Roman"/>
                <w:noProof/>
                <w:color w:val="auto"/>
              </w:rPr>
              <w:t>[kWh/m</w:t>
            </w:r>
            <w:r>
              <w:rPr>
                <w:rFonts w:ascii="Times New Roman" w:hAnsi="Times New Roman"/>
                <w:noProof/>
                <w:color w:val="auto"/>
                <w:vertAlign w:val="superscript"/>
              </w:rPr>
              <w:t>2</w:t>
            </w:r>
            <w:r>
              <w:rPr>
                <w:rFonts w:ascii="Times New Roman" w:hAnsi="Times New Roman"/>
                <w:noProof/>
                <w:color w:val="auto"/>
              </w:rPr>
              <w:t>rok]</w:t>
            </w:r>
          </w:p>
        </w:tc>
        <w:tc>
          <w:tcPr>
            <w:tcW w:w="1061" w:type="dxa"/>
            <w:tcBorders>
              <w:left w:val="none" w:sz="0" w:space="0" w:color="auto"/>
              <w:right w:val="none" w:sz="0" w:space="0" w:color="auto"/>
            </w:tcBorders>
            <w:noWrap/>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Koszty ogólne [EUR/m</w:t>
            </w:r>
            <w:r>
              <w:rPr>
                <w:rFonts w:ascii="Times New Roman" w:hAnsi="Times New Roman"/>
                <w:noProof/>
                <w:color w:val="auto"/>
                <w:vertAlign w:val="superscript"/>
              </w:rPr>
              <w:t>2</w:t>
            </w:r>
            <w:r>
              <w:rPr>
                <w:rFonts w:ascii="Times New Roman" w:hAnsi="Times New Roman"/>
                <w:noProof/>
                <w:color w:val="auto"/>
              </w:rPr>
              <w:t>]</w:t>
            </w:r>
          </w:p>
        </w:tc>
      </w:tr>
      <w:tr w:rsidR="007F7DFF" w:rsidTr="007F7DFF">
        <w:tc>
          <w:tcPr>
            <w:cnfStyle w:val="001000000000" w:firstRow="0" w:lastRow="0" w:firstColumn="1" w:lastColumn="0" w:oddVBand="0" w:evenVBand="0" w:oddHBand="0" w:evenHBand="0" w:firstRowFirstColumn="0" w:firstRowLastColumn="0" w:lastRowFirstColumn="0" w:lastRowLastColumn="0"/>
            <w:tcW w:w="913" w:type="dxa"/>
            <w:noWrap/>
            <w:hideMark/>
          </w:tcPr>
          <w:p w:rsidR="007F7DFF" w:rsidRDefault="00E310EF">
            <w:pPr>
              <w:rPr>
                <w:rFonts w:ascii="Times New Roman" w:hAnsi="Times New Roman"/>
                <w:b w:val="0"/>
                <w:noProof/>
                <w:color w:val="auto"/>
              </w:rPr>
            </w:pPr>
            <w:r>
              <w:rPr>
                <w:rFonts w:ascii="Times New Roman" w:hAnsi="Times New Roman"/>
                <w:b w:val="0"/>
                <w:noProof/>
                <w:color w:val="auto"/>
              </w:rPr>
              <w:t>Chłodny</w:t>
            </w:r>
          </w:p>
        </w:tc>
        <w:tc>
          <w:tcPr>
            <w:tcW w:w="1181" w:type="dxa"/>
            <w:noWrap/>
            <w:vAlign w:val="bottom"/>
            <w:hideMark/>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77</w:t>
            </w:r>
          </w:p>
        </w:tc>
        <w:tc>
          <w:tcPr>
            <w:tcW w:w="1061" w:type="dxa"/>
            <w:noWrap/>
            <w:vAlign w:val="bottom"/>
            <w:hideMark/>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1 882</w:t>
            </w:r>
          </w:p>
        </w:tc>
        <w:tc>
          <w:tcPr>
            <w:tcW w:w="1150" w:type="dxa"/>
            <w:noWrap/>
            <w:vAlign w:val="bottom"/>
            <w:hideMark/>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62</w:t>
            </w:r>
          </w:p>
        </w:tc>
        <w:tc>
          <w:tcPr>
            <w:tcW w:w="1061" w:type="dxa"/>
            <w:noWrap/>
            <w:vAlign w:val="bottom"/>
            <w:hideMark/>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2 076</w:t>
            </w:r>
          </w:p>
        </w:tc>
        <w:tc>
          <w:tcPr>
            <w:tcW w:w="1150" w:type="dxa"/>
            <w:noWrap/>
            <w:vAlign w:val="bottom"/>
            <w:hideMark/>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66</w:t>
            </w:r>
          </w:p>
        </w:tc>
        <w:tc>
          <w:tcPr>
            <w:tcW w:w="1136" w:type="dxa"/>
            <w:noWrap/>
            <w:vAlign w:val="bottom"/>
            <w:hideMark/>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1 681</w:t>
            </w:r>
          </w:p>
        </w:tc>
        <w:tc>
          <w:tcPr>
            <w:tcW w:w="1115" w:type="dxa"/>
            <w:noWrap/>
            <w:vAlign w:val="bottom"/>
            <w:hideMark/>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120</w:t>
            </w:r>
          </w:p>
        </w:tc>
        <w:tc>
          <w:tcPr>
            <w:tcW w:w="1061" w:type="dxa"/>
            <w:noWrap/>
            <w:vAlign w:val="bottom"/>
            <w:hideMark/>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2 481</w:t>
            </w:r>
          </w:p>
        </w:tc>
      </w:tr>
      <w:tr w:rsidR="007F7DFF" w:rsidTr="007F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Borders>
              <w:left w:val="none" w:sz="0" w:space="0" w:color="auto"/>
              <w:right w:val="none" w:sz="0" w:space="0" w:color="auto"/>
            </w:tcBorders>
            <w:noWrap/>
            <w:hideMark/>
          </w:tcPr>
          <w:p w:rsidR="007F7DFF" w:rsidRDefault="00E310EF">
            <w:pPr>
              <w:rPr>
                <w:rFonts w:ascii="Times New Roman" w:hAnsi="Times New Roman"/>
                <w:b w:val="0"/>
                <w:noProof/>
                <w:color w:val="auto"/>
              </w:rPr>
            </w:pPr>
            <w:r>
              <w:rPr>
                <w:rFonts w:ascii="Times New Roman" w:hAnsi="Times New Roman"/>
                <w:b w:val="0"/>
                <w:noProof/>
                <w:color w:val="auto"/>
              </w:rPr>
              <w:t>Umiarkowany</w:t>
            </w:r>
          </w:p>
        </w:tc>
        <w:tc>
          <w:tcPr>
            <w:tcW w:w="1181" w:type="dxa"/>
            <w:tcBorders>
              <w:left w:val="none" w:sz="0" w:space="0" w:color="auto"/>
              <w:right w:val="none" w:sz="0" w:space="0" w:color="auto"/>
            </w:tcBorders>
            <w:noWrap/>
            <w:vAlign w:val="bottom"/>
            <w:hideMark/>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83</w:t>
            </w:r>
          </w:p>
        </w:tc>
        <w:tc>
          <w:tcPr>
            <w:tcW w:w="1061" w:type="dxa"/>
            <w:tcBorders>
              <w:left w:val="none" w:sz="0" w:space="0" w:color="auto"/>
              <w:right w:val="none" w:sz="0" w:space="0" w:color="auto"/>
            </w:tcBorders>
            <w:noWrap/>
            <w:vAlign w:val="bottom"/>
            <w:hideMark/>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590</w:t>
            </w:r>
          </w:p>
        </w:tc>
        <w:tc>
          <w:tcPr>
            <w:tcW w:w="1150" w:type="dxa"/>
            <w:tcBorders>
              <w:left w:val="none" w:sz="0" w:space="0" w:color="auto"/>
              <w:right w:val="none" w:sz="0" w:space="0" w:color="auto"/>
            </w:tcBorders>
            <w:noWrap/>
            <w:vAlign w:val="bottom"/>
            <w:hideMark/>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80</w:t>
            </w:r>
          </w:p>
        </w:tc>
        <w:tc>
          <w:tcPr>
            <w:tcW w:w="1061" w:type="dxa"/>
            <w:tcBorders>
              <w:left w:val="none" w:sz="0" w:space="0" w:color="auto"/>
              <w:right w:val="none" w:sz="0" w:space="0" w:color="auto"/>
            </w:tcBorders>
            <w:noWrap/>
            <w:vAlign w:val="bottom"/>
            <w:hideMark/>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551</w:t>
            </w:r>
          </w:p>
        </w:tc>
        <w:tc>
          <w:tcPr>
            <w:tcW w:w="1150" w:type="dxa"/>
            <w:tcBorders>
              <w:left w:val="none" w:sz="0" w:space="0" w:color="auto"/>
              <w:right w:val="none" w:sz="0" w:space="0" w:color="auto"/>
            </w:tcBorders>
            <w:noWrap/>
            <w:vAlign w:val="bottom"/>
            <w:hideMark/>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130</w:t>
            </w:r>
          </w:p>
        </w:tc>
        <w:tc>
          <w:tcPr>
            <w:tcW w:w="1136" w:type="dxa"/>
            <w:tcBorders>
              <w:left w:val="none" w:sz="0" w:space="0" w:color="auto"/>
              <w:right w:val="none" w:sz="0" w:space="0" w:color="auto"/>
            </w:tcBorders>
            <w:noWrap/>
            <w:vAlign w:val="bottom"/>
            <w:hideMark/>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591</w:t>
            </w:r>
          </w:p>
        </w:tc>
        <w:tc>
          <w:tcPr>
            <w:tcW w:w="1115" w:type="dxa"/>
            <w:tcBorders>
              <w:left w:val="none" w:sz="0" w:space="0" w:color="auto"/>
              <w:right w:val="none" w:sz="0" w:space="0" w:color="auto"/>
            </w:tcBorders>
            <w:noWrap/>
            <w:vAlign w:val="bottom"/>
            <w:hideMark/>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176</w:t>
            </w:r>
          </w:p>
        </w:tc>
        <w:tc>
          <w:tcPr>
            <w:tcW w:w="1061" w:type="dxa"/>
            <w:tcBorders>
              <w:left w:val="none" w:sz="0" w:space="0" w:color="auto"/>
              <w:right w:val="none" w:sz="0" w:space="0" w:color="auto"/>
            </w:tcBorders>
            <w:noWrap/>
            <w:vAlign w:val="bottom"/>
            <w:hideMark/>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558</w:t>
            </w:r>
          </w:p>
        </w:tc>
      </w:tr>
      <w:tr w:rsidR="007F7DFF" w:rsidTr="007F7DFF">
        <w:tc>
          <w:tcPr>
            <w:cnfStyle w:val="001000000000" w:firstRow="0" w:lastRow="0" w:firstColumn="1" w:lastColumn="0" w:oddVBand="0" w:evenVBand="0" w:oddHBand="0" w:evenHBand="0" w:firstRowFirstColumn="0" w:firstRowLastColumn="0" w:lastRowFirstColumn="0" w:lastRowLastColumn="0"/>
            <w:tcW w:w="913" w:type="dxa"/>
            <w:tcBorders>
              <w:bottom w:val="single" w:sz="4" w:space="0" w:color="auto"/>
            </w:tcBorders>
            <w:noWrap/>
            <w:hideMark/>
          </w:tcPr>
          <w:p w:rsidR="007F7DFF" w:rsidRDefault="00E310EF">
            <w:pPr>
              <w:rPr>
                <w:rFonts w:ascii="Times New Roman" w:hAnsi="Times New Roman"/>
                <w:b w:val="0"/>
                <w:noProof/>
                <w:color w:val="auto"/>
              </w:rPr>
            </w:pPr>
            <w:r>
              <w:rPr>
                <w:rFonts w:ascii="Times New Roman" w:hAnsi="Times New Roman"/>
                <w:b w:val="0"/>
                <w:noProof/>
                <w:color w:val="auto"/>
              </w:rPr>
              <w:t xml:space="preserve">Ciepły </w:t>
            </w:r>
          </w:p>
        </w:tc>
        <w:tc>
          <w:tcPr>
            <w:tcW w:w="1181" w:type="dxa"/>
            <w:tcBorders>
              <w:bottom w:val="single" w:sz="4" w:space="0" w:color="auto"/>
            </w:tcBorders>
            <w:noWrap/>
            <w:vAlign w:val="bottom"/>
            <w:hideMark/>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81</w:t>
            </w:r>
          </w:p>
        </w:tc>
        <w:tc>
          <w:tcPr>
            <w:tcW w:w="1061" w:type="dxa"/>
            <w:tcBorders>
              <w:bottom w:val="single" w:sz="4" w:space="0" w:color="auto"/>
            </w:tcBorders>
            <w:noWrap/>
            <w:vAlign w:val="bottom"/>
            <w:hideMark/>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887</w:t>
            </w:r>
          </w:p>
        </w:tc>
        <w:tc>
          <w:tcPr>
            <w:tcW w:w="1150" w:type="dxa"/>
            <w:tcBorders>
              <w:bottom w:val="single" w:sz="4" w:space="0" w:color="auto"/>
            </w:tcBorders>
            <w:noWrap/>
            <w:vAlign w:val="bottom"/>
            <w:hideMark/>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105</w:t>
            </w:r>
          </w:p>
        </w:tc>
        <w:tc>
          <w:tcPr>
            <w:tcW w:w="1061" w:type="dxa"/>
            <w:tcBorders>
              <w:bottom w:val="single" w:sz="4" w:space="0" w:color="auto"/>
            </w:tcBorders>
            <w:noWrap/>
            <w:vAlign w:val="bottom"/>
            <w:hideMark/>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698</w:t>
            </w:r>
          </w:p>
        </w:tc>
        <w:tc>
          <w:tcPr>
            <w:tcW w:w="1150" w:type="dxa"/>
            <w:tcBorders>
              <w:bottom w:val="single" w:sz="4" w:space="0" w:color="auto"/>
            </w:tcBorders>
            <w:noWrap/>
            <w:vAlign w:val="bottom"/>
            <w:hideMark/>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221</w:t>
            </w:r>
          </w:p>
        </w:tc>
        <w:tc>
          <w:tcPr>
            <w:tcW w:w="1136" w:type="dxa"/>
            <w:tcBorders>
              <w:bottom w:val="single" w:sz="4" w:space="0" w:color="auto"/>
            </w:tcBorders>
            <w:noWrap/>
            <w:vAlign w:val="bottom"/>
            <w:hideMark/>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648</w:t>
            </w:r>
          </w:p>
        </w:tc>
        <w:tc>
          <w:tcPr>
            <w:tcW w:w="1115" w:type="dxa"/>
            <w:tcBorders>
              <w:bottom w:val="single" w:sz="4" w:space="0" w:color="auto"/>
            </w:tcBorders>
            <w:noWrap/>
            <w:vAlign w:val="bottom"/>
            <w:hideMark/>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423</w:t>
            </w:r>
          </w:p>
        </w:tc>
        <w:tc>
          <w:tcPr>
            <w:tcW w:w="1061" w:type="dxa"/>
            <w:tcBorders>
              <w:bottom w:val="single" w:sz="4" w:space="0" w:color="auto"/>
            </w:tcBorders>
            <w:noWrap/>
            <w:vAlign w:val="bottom"/>
            <w:hideMark/>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607</w:t>
            </w:r>
          </w:p>
        </w:tc>
      </w:tr>
      <w:tr w:rsidR="007F7DFF" w:rsidTr="007F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Borders>
              <w:left w:val="none" w:sz="0" w:space="0" w:color="auto"/>
            </w:tcBorders>
            <w:noWrap/>
          </w:tcPr>
          <w:p w:rsidR="007F7DFF" w:rsidRDefault="007F7DFF">
            <w:pPr>
              <w:rPr>
                <w:rFonts w:ascii="Times New Roman" w:hAnsi="Times New Roman"/>
                <w:b w:val="0"/>
                <w:noProof/>
                <w:color w:val="auto"/>
              </w:rPr>
            </w:pPr>
          </w:p>
        </w:tc>
        <w:tc>
          <w:tcPr>
            <w:tcW w:w="1181" w:type="dxa"/>
            <w:noWrap/>
            <w:vAlign w:val="bottom"/>
          </w:tcPr>
          <w:p w:rsidR="007F7DFF" w:rsidRDefault="007F7D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p>
        </w:tc>
        <w:tc>
          <w:tcPr>
            <w:tcW w:w="1061" w:type="dxa"/>
            <w:noWrap/>
            <w:vAlign w:val="bottom"/>
          </w:tcPr>
          <w:p w:rsidR="007F7DFF" w:rsidRDefault="007F7D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p>
        </w:tc>
        <w:tc>
          <w:tcPr>
            <w:tcW w:w="1150" w:type="dxa"/>
            <w:noWrap/>
            <w:vAlign w:val="bottom"/>
          </w:tcPr>
          <w:p w:rsidR="007F7DFF" w:rsidRDefault="007F7D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p>
        </w:tc>
        <w:tc>
          <w:tcPr>
            <w:tcW w:w="1061" w:type="dxa"/>
            <w:noWrap/>
            <w:vAlign w:val="bottom"/>
          </w:tcPr>
          <w:p w:rsidR="007F7DFF" w:rsidRDefault="007F7D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p>
        </w:tc>
        <w:tc>
          <w:tcPr>
            <w:tcW w:w="1150" w:type="dxa"/>
            <w:noWrap/>
            <w:vAlign w:val="bottom"/>
          </w:tcPr>
          <w:p w:rsidR="007F7DFF" w:rsidRDefault="007F7D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p>
        </w:tc>
        <w:tc>
          <w:tcPr>
            <w:tcW w:w="1136" w:type="dxa"/>
            <w:noWrap/>
            <w:vAlign w:val="bottom"/>
          </w:tcPr>
          <w:p w:rsidR="007F7DFF" w:rsidRDefault="007F7D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p>
        </w:tc>
        <w:tc>
          <w:tcPr>
            <w:tcW w:w="1115" w:type="dxa"/>
            <w:noWrap/>
            <w:vAlign w:val="bottom"/>
          </w:tcPr>
          <w:p w:rsidR="007F7DFF" w:rsidRDefault="007F7D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p>
        </w:tc>
        <w:tc>
          <w:tcPr>
            <w:tcW w:w="1061" w:type="dxa"/>
            <w:tcBorders>
              <w:right w:val="none" w:sz="0" w:space="0" w:color="auto"/>
            </w:tcBorders>
            <w:noWrap/>
            <w:vAlign w:val="bottom"/>
          </w:tcPr>
          <w:p w:rsidR="007F7DFF" w:rsidRDefault="007F7DF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p>
        </w:tc>
      </w:tr>
      <w:tr w:rsidR="007F7DFF" w:rsidTr="007F7DFF">
        <w:tc>
          <w:tcPr>
            <w:cnfStyle w:val="001000000000" w:firstRow="0" w:lastRow="0" w:firstColumn="1" w:lastColumn="0" w:oddVBand="0" w:evenVBand="0" w:oddHBand="0" w:evenHBand="0" w:firstRowFirstColumn="0" w:firstRowLastColumn="0" w:lastRowFirstColumn="0" w:lastRowLastColumn="0"/>
            <w:tcW w:w="913" w:type="dxa"/>
            <w:vMerge w:val="restart"/>
            <w:shd w:val="clear" w:color="auto" w:fill="DBE5F1" w:themeFill="accent1" w:themeFillTint="33"/>
            <w:noWrap/>
          </w:tcPr>
          <w:p w:rsidR="007F7DFF" w:rsidRDefault="00E310EF">
            <w:pPr>
              <w:rPr>
                <w:rFonts w:ascii="Times New Roman" w:hAnsi="Times New Roman"/>
                <w:b w:val="0"/>
                <w:noProof/>
                <w:color w:val="auto"/>
              </w:rPr>
            </w:pPr>
            <w:r>
              <w:rPr>
                <w:rFonts w:ascii="Times New Roman" w:hAnsi="Times New Roman"/>
                <w:b w:val="0"/>
                <w:noProof/>
                <w:color w:val="auto"/>
              </w:rPr>
              <w:t>Klimat</w:t>
            </w:r>
          </w:p>
        </w:tc>
        <w:tc>
          <w:tcPr>
            <w:tcW w:w="2242" w:type="dxa"/>
            <w:gridSpan w:val="2"/>
            <w:shd w:val="clear" w:color="auto" w:fill="DBE5F1" w:themeFill="accent1" w:themeFillTint="33"/>
            <w:noWrap/>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color w:val="auto"/>
              </w:rPr>
            </w:pPr>
            <w:r>
              <w:rPr>
                <w:rFonts w:ascii="Times New Roman" w:hAnsi="Times New Roman"/>
                <w:b/>
                <w:noProof/>
                <w:color w:val="auto"/>
              </w:rPr>
              <w:t>Istniejący budynek jednorodzinny</w:t>
            </w:r>
          </w:p>
        </w:tc>
        <w:tc>
          <w:tcPr>
            <w:tcW w:w="2211" w:type="dxa"/>
            <w:gridSpan w:val="2"/>
            <w:shd w:val="clear" w:color="auto" w:fill="DBE5F1" w:themeFill="accent1" w:themeFillTint="33"/>
            <w:noWrap/>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color w:val="auto"/>
              </w:rPr>
            </w:pPr>
            <w:r>
              <w:rPr>
                <w:rFonts w:ascii="Times New Roman" w:hAnsi="Times New Roman"/>
                <w:b/>
                <w:noProof/>
                <w:color w:val="auto"/>
              </w:rPr>
              <w:t>Istniejący budynek wielorodzinny</w:t>
            </w:r>
          </w:p>
        </w:tc>
        <w:tc>
          <w:tcPr>
            <w:tcW w:w="2286" w:type="dxa"/>
            <w:gridSpan w:val="2"/>
            <w:shd w:val="clear" w:color="auto" w:fill="DBE5F1" w:themeFill="accent1" w:themeFillTint="33"/>
            <w:noWrap/>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color w:val="auto"/>
              </w:rPr>
            </w:pPr>
            <w:r>
              <w:rPr>
                <w:rFonts w:ascii="Times New Roman" w:hAnsi="Times New Roman"/>
                <w:b/>
                <w:noProof/>
                <w:color w:val="auto"/>
              </w:rPr>
              <w:t>Istniejący budynek biurowy</w:t>
            </w:r>
          </w:p>
        </w:tc>
        <w:tc>
          <w:tcPr>
            <w:tcW w:w="2176" w:type="dxa"/>
            <w:gridSpan w:val="2"/>
            <w:shd w:val="clear" w:color="auto" w:fill="DBE5F1" w:themeFill="accent1" w:themeFillTint="33"/>
            <w:noWrap/>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noProof/>
                <w:color w:val="auto"/>
              </w:rPr>
            </w:pPr>
            <w:r>
              <w:rPr>
                <w:rFonts w:ascii="Times New Roman" w:hAnsi="Times New Roman"/>
                <w:b/>
                <w:noProof/>
                <w:color w:val="auto"/>
              </w:rPr>
              <w:t>Istniejący inny budynek niemieszkalny</w:t>
            </w:r>
          </w:p>
        </w:tc>
      </w:tr>
      <w:tr w:rsidR="007F7DFF" w:rsidTr="007F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vMerge/>
            <w:tcBorders>
              <w:left w:val="none" w:sz="0" w:space="0" w:color="auto"/>
              <w:right w:val="none" w:sz="0" w:space="0" w:color="auto"/>
            </w:tcBorders>
            <w:noWrap/>
          </w:tcPr>
          <w:p w:rsidR="007F7DFF" w:rsidRDefault="007F7DFF">
            <w:pPr>
              <w:rPr>
                <w:rFonts w:ascii="Times New Roman" w:hAnsi="Times New Roman"/>
                <w:noProof/>
                <w:color w:val="auto"/>
              </w:rPr>
            </w:pPr>
          </w:p>
        </w:tc>
        <w:tc>
          <w:tcPr>
            <w:tcW w:w="1181" w:type="dxa"/>
            <w:tcBorders>
              <w:left w:val="none" w:sz="0" w:space="0" w:color="auto"/>
              <w:right w:val="none" w:sz="0" w:space="0" w:color="auto"/>
            </w:tcBorders>
            <w:shd w:val="clear" w:color="auto" w:fill="DBE5F1" w:themeFill="accent1" w:themeFillTint="33"/>
            <w:noWrap/>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r>
              <w:rPr>
                <w:rFonts w:ascii="Times New Roman" w:hAnsi="Times New Roman"/>
                <w:noProof/>
                <w:color w:val="auto"/>
                <w:sz w:val="18"/>
              </w:rPr>
              <w:t xml:space="preserve">Energia pierwotna </w:t>
            </w:r>
            <w:r>
              <w:rPr>
                <w:rFonts w:ascii="Times New Roman" w:hAnsi="Times New Roman"/>
                <w:noProof/>
                <w:color w:val="auto"/>
              </w:rPr>
              <w:t>[kWh/m</w:t>
            </w:r>
            <w:r>
              <w:rPr>
                <w:rFonts w:ascii="Times New Roman" w:hAnsi="Times New Roman"/>
                <w:noProof/>
                <w:color w:val="auto"/>
                <w:vertAlign w:val="superscript"/>
              </w:rPr>
              <w:t>2</w:t>
            </w:r>
            <w:r>
              <w:rPr>
                <w:rFonts w:ascii="Times New Roman" w:hAnsi="Times New Roman"/>
                <w:noProof/>
                <w:color w:val="auto"/>
              </w:rPr>
              <w:t>/rok]</w:t>
            </w:r>
          </w:p>
        </w:tc>
        <w:tc>
          <w:tcPr>
            <w:tcW w:w="1061" w:type="dxa"/>
            <w:tcBorders>
              <w:left w:val="none" w:sz="0" w:space="0" w:color="auto"/>
              <w:right w:val="none" w:sz="0" w:space="0" w:color="auto"/>
            </w:tcBorders>
            <w:shd w:val="clear" w:color="auto" w:fill="DBE5F1" w:themeFill="accent1" w:themeFillTint="33"/>
            <w:noWrap/>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Koszty ogólne [EUR/m</w:t>
            </w:r>
            <w:r>
              <w:rPr>
                <w:rFonts w:ascii="Times New Roman" w:hAnsi="Times New Roman"/>
                <w:noProof/>
                <w:color w:val="auto"/>
                <w:vertAlign w:val="superscript"/>
              </w:rPr>
              <w:t>2</w:t>
            </w:r>
            <w:r>
              <w:rPr>
                <w:rFonts w:ascii="Times New Roman" w:hAnsi="Times New Roman"/>
                <w:noProof/>
                <w:color w:val="auto"/>
              </w:rPr>
              <w:t>]</w:t>
            </w:r>
          </w:p>
        </w:tc>
        <w:tc>
          <w:tcPr>
            <w:tcW w:w="1150" w:type="dxa"/>
            <w:tcBorders>
              <w:left w:val="none" w:sz="0" w:space="0" w:color="auto"/>
              <w:right w:val="none" w:sz="0" w:space="0" w:color="auto"/>
            </w:tcBorders>
            <w:shd w:val="clear" w:color="auto" w:fill="DBE5F1" w:themeFill="accent1" w:themeFillTint="33"/>
            <w:noWrap/>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r>
              <w:rPr>
                <w:rFonts w:ascii="Times New Roman" w:hAnsi="Times New Roman"/>
                <w:noProof/>
                <w:color w:val="auto"/>
                <w:sz w:val="18"/>
              </w:rPr>
              <w:t xml:space="preserve">Energia pierwotna </w:t>
            </w:r>
            <w:r>
              <w:rPr>
                <w:rFonts w:ascii="Times New Roman" w:hAnsi="Times New Roman"/>
                <w:noProof/>
                <w:color w:val="auto"/>
              </w:rPr>
              <w:t>[kWh/m</w:t>
            </w:r>
            <w:r>
              <w:rPr>
                <w:rFonts w:ascii="Times New Roman" w:hAnsi="Times New Roman"/>
                <w:noProof/>
                <w:color w:val="auto"/>
                <w:vertAlign w:val="superscript"/>
              </w:rPr>
              <w:t>2</w:t>
            </w:r>
            <w:r>
              <w:rPr>
                <w:rFonts w:ascii="Times New Roman" w:hAnsi="Times New Roman"/>
                <w:noProof/>
                <w:color w:val="auto"/>
              </w:rPr>
              <w:t>/rok]</w:t>
            </w:r>
          </w:p>
        </w:tc>
        <w:tc>
          <w:tcPr>
            <w:tcW w:w="1061" w:type="dxa"/>
            <w:tcBorders>
              <w:left w:val="none" w:sz="0" w:space="0" w:color="auto"/>
              <w:right w:val="none" w:sz="0" w:space="0" w:color="auto"/>
            </w:tcBorders>
            <w:shd w:val="clear" w:color="auto" w:fill="DBE5F1" w:themeFill="accent1" w:themeFillTint="33"/>
            <w:noWrap/>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Koszty ogólne [EUR/m</w:t>
            </w:r>
            <w:r>
              <w:rPr>
                <w:rFonts w:ascii="Times New Roman" w:hAnsi="Times New Roman"/>
                <w:noProof/>
                <w:color w:val="auto"/>
                <w:vertAlign w:val="superscript"/>
              </w:rPr>
              <w:t>2</w:t>
            </w:r>
            <w:r>
              <w:rPr>
                <w:rFonts w:ascii="Times New Roman" w:hAnsi="Times New Roman"/>
                <w:noProof/>
                <w:color w:val="auto"/>
              </w:rPr>
              <w:t>]</w:t>
            </w:r>
          </w:p>
        </w:tc>
        <w:tc>
          <w:tcPr>
            <w:tcW w:w="1150" w:type="dxa"/>
            <w:tcBorders>
              <w:left w:val="none" w:sz="0" w:space="0" w:color="auto"/>
              <w:right w:val="none" w:sz="0" w:space="0" w:color="auto"/>
            </w:tcBorders>
            <w:shd w:val="clear" w:color="auto" w:fill="DBE5F1" w:themeFill="accent1" w:themeFillTint="33"/>
            <w:noWrap/>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r>
              <w:rPr>
                <w:rFonts w:ascii="Times New Roman" w:hAnsi="Times New Roman"/>
                <w:noProof/>
                <w:color w:val="auto"/>
                <w:sz w:val="18"/>
              </w:rPr>
              <w:t xml:space="preserve">Energia pierwotna </w:t>
            </w:r>
            <w:r>
              <w:rPr>
                <w:rFonts w:ascii="Times New Roman" w:hAnsi="Times New Roman"/>
                <w:noProof/>
                <w:color w:val="auto"/>
              </w:rPr>
              <w:t>[kWh/m</w:t>
            </w:r>
            <w:r>
              <w:rPr>
                <w:rFonts w:ascii="Times New Roman" w:hAnsi="Times New Roman"/>
                <w:noProof/>
                <w:color w:val="auto"/>
                <w:vertAlign w:val="superscript"/>
              </w:rPr>
              <w:t>2</w:t>
            </w:r>
            <w:r>
              <w:rPr>
                <w:rFonts w:ascii="Times New Roman" w:hAnsi="Times New Roman"/>
                <w:noProof/>
                <w:color w:val="auto"/>
              </w:rPr>
              <w:t>/rok]</w:t>
            </w:r>
          </w:p>
        </w:tc>
        <w:tc>
          <w:tcPr>
            <w:tcW w:w="1136" w:type="dxa"/>
            <w:tcBorders>
              <w:left w:val="none" w:sz="0" w:space="0" w:color="auto"/>
              <w:right w:val="none" w:sz="0" w:space="0" w:color="auto"/>
            </w:tcBorders>
            <w:shd w:val="clear" w:color="auto" w:fill="DBE5F1" w:themeFill="accent1" w:themeFillTint="33"/>
            <w:noWrap/>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Koszty ogólne [EUR/m</w:t>
            </w:r>
            <w:r>
              <w:rPr>
                <w:rFonts w:ascii="Times New Roman" w:hAnsi="Times New Roman"/>
                <w:noProof/>
                <w:color w:val="auto"/>
                <w:vertAlign w:val="superscript"/>
              </w:rPr>
              <w:t>2</w:t>
            </w:r>
            <w:r>
              <w:rPr>
                <w:rFonts w:ascii="Times New Roman" w:hAnsi="Times New Roman"/>
                <w:noProof/>
                <w:color w:val="auto"/>
              </w:rPr>
              <w:t>]</w:t>
            </w:r>
          </w:p>
        </w:tc>
        <w:tc>
          <w:tcPr>
            <w:tcW w:w="1115" w:type="dxa"/>
            <w:tcBorders>
              <w:left w:val="none" w:sz="0" w:space="0" w:color="auto"/>
              <w:right w:val="none" w:sz="0" w:space="0" w:color="auto"/>
            </w:tcBorders>
            <w:shd w:val="clear" w:color="auto" w:fill="DBE5F1" w:themeFill="accent1" w:themeFillTint="33"/>
            <w:noWrap/>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r>
              <w:rPr>
                <w:rFonts w:ascii="Times New Roman" w:hAnsi="Times New Roman"/>
                <w:noProof/>
                <w:color w:val="auto"/>
                <w:sz w:val="18"/>
              </w:rPr>
              <w:t xml:space="preserve">Energia pierwotna </w:t>
            </w:r>
            <w:r>
              <w:rPr>
                <w:rFonts w:ascii="Times New Roman" w:hAnsi="Times New Roman"/>
                <w:noProof/>
                <w:color w:val="auto"/>
              </w:rPr>
              <w:t>[kWh/m</w:t>
            </w:r>
            <w:r>
              <w:rPr>
                <w:rFonts w:ascii="Times New Roman" w:hAnsi="Times New Roman"/>
                <w:noProof/>
                <w:color w:val="auto"/>
                <w:vertAlign w:val="superscript"/>
              </w:rPr>
              <w:t>2</w:t>
            </w:r>
            <w:r>
              <w:rPr>
                <w:rFonts w:ascii="Times New Roman" w:hAnsi="Times New Roman"/>
                <w:noProof/>
                <w:color w:val="auto"/>
              </w:rPr>
              <w:t>/rok]</w:t>
            </w:r>
          </w:p>
        </w:tc>
        <w:tc>
          <w:tcPr>
            <w:tcW w:w="1061" w:type="dxa"/>
            <w:tcBorders>
              <w:left w:val="none" w:sz="0" w:space="0" w:color="auto"/>
              <w:right w:val="none" w:sz="0" w:space="0" w:color="auto"/>
            </w:tcBorders>
            <w:shd w:val="clear" w:color="auto" w:fill="DBE5F1" w:themeFill="accent1" w:themeFillTint="33"/>
            <w:noWrap/>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Koszty ogólne [EUR/m</w:t>
            </w:r>
            <w:r>
              <w:rPr>
                <w:rFonts w:ascii="Times New Roman" w:hAnsi="Times New Roman"/>
                <w:noProof/>
                <w:color w:val="auto"/>
                <w:vertAlign w:val="superscript"/>
              </w:rPr>
              <w:t>2</w:t>
            </w:r>
            <w:r>
              <w:rPr>
                <w:rFonts w:ascii="Times New Roman" w:hAnsi="Times New Roman"/>
                <w:noProof/>
                <w:color w:val="auto"/>
              </w:rPr>
              <w:t>]</w:t>
            </w:r>
          </w:p>
        </w:tc>
      </w:tr>
      <w:tr w:rsidR="007F7DFF" w:rsidTr="007F7DFF">
        <w:tc>
          <w:tcPr>
            <w:cnfStyle w:val="001000000000" w:firstRow="0" w:lastRow="0" w:firstColumn="1" w:lastColumn="0" w:oddVBand="0" w:evenVBand="0" w:oddHBand="0" w:evenHBand="0" w:firstRowFirstColumn="0" w:firstRowLastColumn="0" w:lastRowFirstColumn="0" w:lastRowLastColumn="0"/>
            <w:tcW w:w="913" w:type="dxa"/>
            <w:shd w:val="clear" w:color="auto" w:fill="FFFFFF" w:themeFill="background1"/>
            <w:noWrap/>
            <w:hideMark/>
          </w:tcPr>
          <w:p w:rsidR="007F7DFF" w:rsidRDefault="00E310EF">
            <w:pPr>
              <w:rPr>
                <w:rFonts w:ascii="Times New Roman" w:hAnsi="Times New Roman"/>
                <w:b w:val="0"/>
                <w:noProof/>
                <w:color w:val="auto"/>
              </w:rPr>
            </w:pPr>
            <w:r>
              <w:rPr>
                <w:rFonts w:ascii="Times New Roman" w:hAnsi="Times New Roman"/>
                <w:b w:val="0"/>
                <w:noProof/>
                <w:color w:val="auto"/>
              </w:rPr>
              <w:t>Chłodny</w:t>
            </w:r>
          </w:p>
        </w:tc>
        <w:tc>
          <w:tcPr>
            <w:tcW w:w="1181" w:type="dxa"/>
            <w:shd w:val="clear" w:color="auto" w:fill="FFFFFF" w:themeFill="background1"/>
            <w:noWrap/>
            <w:vAlign w:val="bottom"/>
            <w:hideMark/>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183</w:t>
            </w:r>
          </w:p>
        </w:tc>
        <w:tc>
          <w:tcPr>
            <w:tcW w:w="1061" w:type="dxa"/>
            <w:shd w:val="clear" w:color="auto" w:fill="FFFFFF" w:themeFill="background1"/>
            <w:noWrap/>
            <w:vAlign w:val="bottom"/>
            <w:hideMark/>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643</w:t>
            </w:r>
          </w:p>
        </w:tc>
        <w:tc>
          <w:tcPr>
            <w:tcW w:w="1150" w:type="dxa"/>
            <w:shd w:val="clear" w:color="auto" w:fill="FFFFFF" w:themeFill="background1"/>
            <w:noWrap/>
            <w:vAlign w:val="bottom"/>
            <w:hideMark/>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77</w:t>
            </w:r>
          </w:p>
        </w:tc>
        <w:tc>
          <w:tcPr>
            <w:tcW w:w="1061" w:type="dxa"/>
            <w:shd w:val="clear" w:color="auto" w:fill="FFFFFF" w:themeFill="background1"/>
            <w:noWrap/>
            <w:vAlign w:val="bottom"/>
            <w:hideMark/>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303</w:t>
            </w:r>
          </w:p>
        </w:tc>
        <w:tc>
          <w:tcPr>
            <w:tcW w:w="1150" w:type="dxa"/>
            <w:shd w:val="clear" w:color="auto" w:fill="FFFFFF" w:themeFill="background1"/>
            <w:noWrap/>
            <w:vAlign w:val="bottom"/>
            <w:hideMark/>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78</w:t>
            </w:r>
          </w:p>
        </w:tc>
        <w:tc>
          <w:tcPr>
            <w:tcW w:w="1136" w:type="dxa"/>
            <w:shd w:val="clear" w:color="auto" w:fill="FFFFFF" w:themeFill="background1"/>
            <w:noWrap/>
            <w:vAlign w:val="bottom"/>
            <w:hideMark/>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336</w:t>
            </w:r>
          </w:p>
        </w:tc>
        <w:tc>
          <w:tcPr>
            <w:tcW w:w="1115" w:type="dxa"/>
            <w:shd w:val="clear" w:color="auto" w:fill="FFFFFF" w:themeFill="background1"/>
            <w:noWrap/>
            <w:vAlign w:val="bottom"/>
            <w:hideMark/>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122</w:t>
            </w:r>
          </w:p>
        </w:tc>
        <w:tc>
          <w:tcPr>
            <w:tcW w:w="1061" w:type="dxa"/>
            <w:shd w:val="clear" w:color="auto" w:fill="FFFFFF" w:themeFill="background1"/>
            <w:noWrap/>
            <w:vAlign w:val="bottom"/>
            <w:hideMark/>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236</w:t>
            </w:r>
          </w:p>
        </w:tc>
      </w:tr>
      <w:tr w:rsidR="007F7DFF" w:rsidTr="007F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Borders>
              <w:left w:val="none" w:sz="0" w:space="0" w:color="auto"/>
              <w:right w:val="none" w:sz="0" w:space="0" w:color="auto"/>
            </w:tcBorders>
            <w:shd w:val="clear" w:color="auto" w:fill="DBE5F1" w:themeFill="accent1" w:themeFillTint="33"/>
            <w:noWrap/>
            <w:hideMark/>
          </w:tcPr>
          <w:p w:rsidR="007F7DFF" w:rsidRDefault="00E310EF">
            <w:pPr>
              <w:rPr>
                <w:rFonts w:ascii="Times New Roman" w:hAnsi="Times New Roman"/>
                <w:b w:val="0"/>
                <w:noProof/>
                <w:color w:val="auto"/>
              </w:rPr>
            </w:pPr>
            <w:r>
              <w:rPr>
                <w:rFonts w:ascii="Times New Roman" w:hAnsi="Times New Roman"/>
                <w:b w:val="0"/>
                <w:noProof/>
                <w:color w:val="auto"/>
              </w:rPr>
              <w:t>Umiarkowany</w:t>
            </w:r>
          </w:p>
        </w:tc>
        <w:tc>
          <w:tcPr>
            <w:tcW w:w="1181" w:type="dxa"/>
            <w:tcBorders>
              <w:left w:val="none" w:sz="0" w:space="0" w:color="auto"/>
              <w:right w:val="none" w:sz="0" w:space="0" w:color="auto"/>
            </w:tcBorders>
            <w:shd w:val="clear" w:color="auto" w:fill="DBE5F1" w:themeFill="accent1" w:themeFillTint="33"/>
            <w:noWrap/>
            <w:vAlign w:val="bottom"/>
            <w:hideMark/>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112</w:t>
            </w:r>
          </w:p>
        </w:tc>
        <w:tc>
          <w:tcPr>
            <w:tcW w:w="1061" w:type="dxa"/>
            <w:tcBorders>
              <w:left w:val="none" w:sz="0" w:space="0" w:color="auto"/>
              <w:right w:val="none" w:sz="0" w:space="0" w:color="auto"/>
            </w:tcBorders>
            <w:shd w:val="clear" w:color="auto" w:fill="DBE5F1" w:themeFill="accent1" w:themeFillTint="33"/>
            <w:noWrap/>
            <w:vAlign w:val="bottom"/>
            <w:hideMark/>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524</w:t>
            </w:r>
          </w:p>
        </w:tc>
        <w:tc>
          <w:tcPr>
            <w:tcW w:w="1150" w:type="dxa"/>
            <w:tcBorders>
              <w:left w:val="none" w:sz="0" w:space="0" w:color="auto"/>
              <w:right w:val="none" w:sz="0" w:space="0" w:color="auto"/>
            </w:tcBorders>
            <w:shd w:val="clear" w:color="auto" w:fill="DBE5F1" w:themeFill="accent1" w:themeFillTint="33"/>
            <w:noWrap/>
            <w:vAlign w:val="bottom"/>
            <w:hideMark/>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124</w:t>
            </w:r>
          </w:p>
        </w:tc>
        <w:tc>
          <w:tcPr>
            <w:tcW w:w="1061" w:type="dxa"/>
            <w:tcBorders>
              <w:left w:val="none" w:sz="0" w:space="0" w:color="auto"/>
              <w:right w:val="none" w:sz="0" w:space="0" w:color="auto"/>
            </w:tcBorders>
            <w:shd w:val="clear" w:color="auto" w:fill="DBE5F1" w:themeFill="accent1" w:themeFillTint="33"/>
            <w:noWrap/>
            <w:vAlign w:val="bottom"/>
            <w:hideMark/>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460</w:t>
            </w:r>
          </w:p>
        </w:tc>
        <w:tc>
          <w:tcPr>
            <w:tcW w:w="1150" w:type="dxa"/>
            <w:tcBorders>
              <w:left w:val="none" w:sz="0" w:space="0" w:color="auto"/>
              <w:right w:val="none" w:sz="0" w:space="0" w:color="auto"/>
            </w:tcBorders>
            <w:shd w:val="clear" w:color="auto" w:fill="DBE5F1" w:themeFill="accent1" w:themeFillTint="33"/>
            <w:noWrap/>
            <w:vAlign w:val="bottom"/>
            <w:hideMark/>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136</w:t>
            </w:r>
          </w:p>
        </w:tc>
        <w:tc>
          <w:tcPr>
            <w:tcW w:w="1136" w:type="dxa"/>
            <w:tcBorders>
              <w:left w:val="none" w:sz="0" w:space="0" w:color="auto"/>
              <w:right w:val="none" w:sz="0" w:space="0" w:color="auto"/>
            </w:tcBorders>
            <w:shd w:val="clear" w:color="auto" w:fill="DBE5F1" w:themeFill="accent1" w:themeFillTint="33"/>
            <w:noWrap/>
            <w:vAlign w:val="bottom"/>
            <w:hideMark/>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412</w:t>
            </w:r>
          </w:p>
        </w:tc>
        <w:tc>
          <w:tcPr>
            <w:tcW w:w="1115" w:type="dxa"/>
            <w:tcBorders>
              <w:left w:val="none" w:sz="0" w:space="0" w:color="auto"/>
              <w:right w:val="none" w:sz="0" w:space="0" w:color="auto"/>
            </w:tcBorders>
            <w:shd w:val="clear" w:color="auto" w:fill="DBE5F1" w:themeFill="accent1" w:themeFillTint="33"/>
            <w:noWrap/>
            <w:vAlign w:val="bottom"/>
            <w:hideMark/>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268</w:t>
            </w:r>
          </w:p>
        </w:tc>
        <w:tc>
          <w:tcPr>
            <w:tcW w:w="1061" w:type="dxa"/>
            <w:tcBorders>
              <w:left w:val="none" w:sz="0" w:space="0" w:color="auto"/>
              <w:right w:val="none" w:sz="0" w:space="0" w:color="auto"/>
            </w:tcBorders>
            <w:shd w:val="clear" w:color="auto" w:fill="DBE5F1" w:themeFill="accent1" w:themeFillTint="33"/>
            <w:noWrap/>
            <w:vAlign w:val="bottom"/>
            <w:hideMark/>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392</w:t>
            </w:r>
          </w:p>
        </w:tc>
      </w:tr>
      <w:tr w:rsidR="007F7DFF" w:rsidTr="007F7DFF">
        <w:tc>
          <w:tcPr>
            <w:cnfStyle w:val="001000000000" w:firstRow="0" w:lastRow="0" w:firstColumn="1" w:lastColumn="0" w:oddVBand="0" w:evenVBand="0" w:oddHBand="0" w:evenHBand="0" w:firstRowFirstColumn="0" w:firstRowLastColumn="0" w:lastRowFirstColumn="0" w:lastRowLastColumn="0"/>
            <w:tcW w:w="913" w:type="dxa"/>
            <w:shd w:val="clear" w:color="auto" w:fill="FFFFFF" w:themeFill="background1"/>
            <w:noWrap/>
            <w:hideMark/>
          </w:tcPr>
          <w:p w:rsidR="007F7DFF" w:rsidRDefault="00E310EF">
            <w:pPr>
              <w:rPr>
                <w:rFonts w:ascii="Times New Roman" w:hAnsi="Times New Roman"/>
                <w:b w:val="0"/>
                <w:noProof/>
                <w:color w:val="auto"/>
              </w:rPr>
            </w:pPr>
            <w:r>
              <w:rPr>
                <w:rFonts w:ascii="Times New Roman" w:hAnsi="Times New Roman"/>
                <w:b w:val="0"/>
                <w:noProof/>
                <w:color w:val="auto"/>
              </w:rPr>
              <w:t xml:space="preserve">Ciepły </w:t>
            </w:r>
          </w:p>
        </w:tc>
        <w:tc>
          <w:tcPr>
            <w:tcW w:w="1181" w:type="dxa"/>
            <w:shd w:val="clear" w:color="auto" w:fill="FFFFFF" w:themeFill="background1"/>
            <w:noWrap/>
            <w:vAlign w:val="bottom"/>
            <w:hideMark/>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161</w:t>
            </w:r>
          </w:p>
        </w:tc>
        <w:tc>
          <w:tcPr>
            <w:tcW w:w="1061" w:type="dxa"/>
            <w:shd w:val="clear" w:color="auto" w:fill="FFFFFF" w:themeFill="background1"/>
            <w:noWrap/>
            <w:vAlign w:val="bottom"/>
            <w:hideMark/>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500</w:t>
            </w:r>
          </w:p>
        </w:tc>
        <w:tc>
          <w:tcPr>
            <w:tcW w:w="1150" w:type="dxa"/>
            <w:shd w:val="clear" w:color="auto" w:fill="FFFFFF" w:themeFill="background1"/>
            <w:noWrap/>
            <w:vAlign w:val="bottom"/>
            <w:hideMark/>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148</w:t>
            </w:r>
          </w:p>
        </w:tc>
        <w:tc>
          <w:tcPr>
            <w:tcW w:w="1061" w:type="dxa"/>
            <w:shd w:val="clear" w:color="auto" w:fill="FFFFFF" w:themeFill="background1"/>
            <w:noWrap/>
            <w:vAlign w:val="bottom"/>
            <w:hideMark/>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467</w:t>
            </w:r>
          </w:p>
        </w:tc>
        <w:tc>
          <w:tcPr>
            <w:tcW w:w="1150" w:type="dxa"/>
            <w:shd w:val="clear" w:color="auto" w:fill="FFFFFF" w:themeFill="background1"/>
            <w:noWrap/>
            <w:vAlign w:val="bottom"/>
            <w:hideMark/>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175</w:t>
            </w:r>
          </w:p>
        </w:tc>
        <w:tc>
          <w:tcPr>
            <w:tcW w:w="1136" w:type="dxa"/>
            <w:shd w:val="clear" w:color="auto" w:fill="FFFFFF" w:themeFill="background1"/>
            <w:noWrap/>
            <w:vAlign w:val="bottom"/>
            <w:hideMark/>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396</w:t>
            </w:r>
          </w:p>
        </w:tc>
        <w:tc>
          <w:tcPr>
            <w:tcW w:w="1115" w:type="dxa"/>
            <w:shd w:val="clear" w:color="auto" w:fill="FFFFFF" w:themeFill="background1"/>
            <w:noWrap/>
            <w:vAlign w:val="bottom"/>
            <w:hideMark/>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775</w:t>
            </w:r>
          </w:p>
        </w:tc>
        <w:tc>
          <w:tcPr>
            <w:tcW w:w="1061" w:type="dxa"/>
            <w:shd w:val="clear" w:color="auto" w:fill="FFFFFF" w:themeFill="background1"/>
            <w:noWrap/>
            <w:vAlign w:val="bottom"/>
            <w:hideMark/>
          </w:tcPr>
          <w:p w:rsidR="007F7DFF" w:rsidRDefault="00E310E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rPr>
            </w:pPr>
            <w:r>
              <w:rPr>
                <w:rFonts w:ascii="Times New Roman" w:hAnsi="Times New Roman"/>
                <w:noProof/>
                <w:color w:val="auto"/>
              </w:rPr>
              <w:t>808</w:t>
            </w:r>
          </w:p>
        </w:tc>
      </w:tr>
    </w:tbl>
    <w:p w:rsidR="007F7DFF" w:rsidRDefault="00E310EF">
      <w:pPr>
        <w:rPr>
          <w:i/>
          <w:noProof/>
        </w:rPr>
      </w:pPr>
      <w:r>
        <w:rPr>
          <w:i/>
          <w:noProof/>
        </w:rPr>
        <w:t xml:space="preserve">Źródło: Obliczenia </w:t>
      </w:r>
      <w:r>
        <w:rPr>
          <w:i/>
          <w:noProof/>
        </w:rPr>
        <w:t>własne JRC na podstawie sprawozdań państw członkowskich</w:t>
      </w:r>
    </w:p>
    <w:p w:rsidR="007F7DFF" w:rsidRDefault="00E310EF">
      <w:pPr>
        <w:rPr>
          <w:noProof/>
        </w:rPr>
      </w:pPr>
      <w:r>
        <w:rPr>
          <w:noProof/>
        </w:rPr>
        <w:t>Z porównania tego można wyciągnąć interesujący wniosek, że w niemal wszystkich przypadkach zużycie energii pierwotnej związane z optymalnymi pod względem kosztów poziomami jest niższe w regionach o kl</w:t>
      </w:r>
      <w:r>
        <w:rPr>
          <w:noProof/>
        </w:rPr>
        <w:t xml:space="preserve">imacie chłodnym. Koszty ogólne są zwykle niższe w regionach, w których panuje klimat ciepły i umiarkowany, ale istnieją pewne wyjątki (istniejące budynki wielorodzinne i biurowe). Oznacza to, że w regionach chłodniejszych wymogi są bardziej rygorystyczne, </w:t>
      </w:r>
      <w:r>
        <w:rPr>
          <w:noProof/>
        </w:rPr>
        <w:t>natomiast więcej inwestycji wiąże się z wyższym poziomem charakterystyki energetycznej budynku.</w:t>
      </w:r>
    </w:p>
    <w:p w:rsidR="007F7DFF" w:rsidRDefault="00E310EF">
      <w:pPr>
        <w:rPr>
          <w:noProof/>
        </w:rPr>
      </w:pPr>
      <w:r>
        <w:rPr>
          <w:noProof/>
        </w:rPr>
        <w:t>Z porównania optymalnych pod względem kosztów poziomów między dwoma rundami obliczeń przeprowadzonymi w latach 2013 i 2018 wynika, że w 2018 r. państwa członkow</w:t>
      </w:r>
      <w:r>
        <w:rPr>
          <w:noProof/>
        </w:rPr>
        <w:t xml:space="preserve">skie ustaliły bardziej ambitne wartości w odniesieniu do niemal wszystkich rodzajów budynków. </w:t>
      </w:r>
    </w:p>
    <w:p w:rsidR="007F7DFF" w:rsidRDefault="00E310EF">
      <w:pPr>
        <w:rPr>
          <w:b/>
          <w:noProof/>
        </w:rPr>
      </w:pPr>
      <w:r>
        <w:rPr>
          <w:b/>
          <w:noProof/>
        </w:rPr>
        <w:t>Tabela 2: Średnie obniżenie optymalnych pod względem kosztów poziomów uzyskane na podstawie obliczeń zawartych w sprawozdaniach państw członkowskich w latach 201</w:t>
      </w:r>
      <w:r>
        <w:rPr>
          <w:b/>
          <w:noProof/>
        </w:rPr>
        <w:t xml:space="preserve">3 i 2018 w odniesieniu do nowych i istniejących budynków </w:t>
      </w:r>
    </w:p>
    <w:tbl>
      <w:tblPr>
        <w:tblStyle w:val="Jasnecieniowanieak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1449"/>
        <w:gridCol w:w="1449"/>
        <w:gridCol w:w="951"/>
        <w:gridCol w:w="1449"/>
        <w:gridCol w:w="1449"/>
        <w:gridCol w:w="1045"/>
      </w:tblGrid>
      <w:tr w:rsidR="007F7DFF" w:rsidTr="007F7D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hideMark/>
          </w:tcPr>
          <w:p w:rsidR="007F7DFF" w:rsidRDefault="00E310EF">
            <w:pPr>
              <w:jc w:val="center"/>
              <w:rPr>
                <w:rFonts w:ascii="Times New Roman" w:hAnsi="Times New Roman"/>
                <w:b w:val="0"/>
                <w:noProof/>
                <w:color w:val="auto"/>
                <w:sz w:val="24"/>
                <w:szCs w:val="24"/>
              </w:rPr>
            </w:pPr>
            <w:r>
              <w:rPr>
                <w:rFonts w:ascii="Times New Roman" w:hAnsi="Times New Roman"/>
                <w:b w:val="0"/>
                <w:noProof/>
                <w:color w:val="auto"/>
                <w:sz w:val="24"/>
                <w:szCs w:val="24"/>
              </w:rPr>
              <w:t>Średnia dla państw członkowskich</w:t>
            </w:r>
          </w:p>
        </w:tc>
        <w:tc>
          <w:tcPr>
            <w:tcW w:w="0" w:type="auto"/>
            <w:vAlign w:val="center"/>
            <w:hideMark/>
          </w:tcPr>
          <w:p w:rsidR="007F7DFF" w:rsidRDefault="00E310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color w:val="auto"/>
                <w:sz w:val="24"/>
                <w:szCs w:val="24"/>
              </w:rPr>
            </w:pPr>
            <w:r>
              <w:rPr>
                <w:rFonts w:ascii="Times New Roman" w:hAnsi="Times New Roman"/>
                <w:b w:val="0"/>
                <w:noProof/>
                <w:color w:val="auto"/>
                <w:sz w:val="24"/>
                <w:szCs w:val="24"/>
              </w:rPr>
              <w:t>Nowy budynek jednorodzinny</w:t>
            </w:r>
          </w:p>
        </w:tc>
        <w:tc>
          <w:tcPr>
            <w:tcW w:w="0" w:type="auto"/>
            <w:vAlign w:val="center"/>
            <w:hideMark/>
          </w:tcPr>
          <w:p w:rsidR="007F7DFF" w:rsidRDefault="00E310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color w:val="auto"/>
                <w:sz w:val="24"/>
                <w:szCs w:val="24"/>
              </w:rPr>
            </w:pPr>
            <w:r>
              <w:rPr>
                <w:rFonts w:ascii="Times New Roman" w:hAnsi="Times New Roman"/>
                <w:b w:val="0"/>
                <w:noProof/>
                <w:color w:val="auto"/>
                <w:sz w:val="24"/>
                <w:szCs w:val="24"/>
              </w:rPr>
              <w:t>Nowy budynek wielorodzinny</w:t>
            </w:r>
          </w:p>
        </w:tc>
        <w:tc>
          <w:tcPr>
            <w:tcW w:w="0" w:type="auto"/>
            <w:vAlign w:val="center"/>
            <w:hideMark/>
          </w:tcPr>
          <w:p w:rsidR="007F7DFF" w:rsidRDefault="00E310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color w:val="auto"/>
                <w:sz w:val="24"/>
                <w:szCs w:val="24"/>
              </w:rPr>
            </w:pPr>
            <w:r>
              <w:rPr>
                <w:rFonts w:ascii="Times New Roman" w:hAnsi="Times New Roman"/>
                <w:b w:val="0"/>
                <w:noProof/>
                <w:color w:val="auto"/>
                <w:sz w:val="24"/>
                <w:szCs w:val="24"/>
              </w:rPr>
              <w:t>Nowy budynek biurowy</w:t>
            </w:r>
          </w:p>
        </w:tc>
        <w:tc>
          <w:tcPr>
            <w:tcW w:w="0" w:type="auto"/>
            <w:vAlign w:val="center"/>
            <w:hideMark/>
          </w:tcPr>
          <w:p w:rsidR="007F7DFF" w:rsidRDefault="00E310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color w:val="auto"/>
                <w:sz w:val="24"/>
                <w:szCs w:val="24"/>
              </w:rPr>
            </w:pPr>
            <w:r>
              <w:rPr>
                <w:rFonts w:ascii="Times New Roman" w:hAnsi="Times New Roman"/>
                <w:b w:val="0"/>
                <w:noProof/>
                <w:color w:val="auto"/>
                <w:sz w:val="24"/>
                <w:szCs w:val="24"/>
              </w:rPr>
              <w:t>Istniejący budynek jednorodzinny</w:t>
            </w:r>
          </w:p>
        </w:tc>
        <w:tc>
          <w:tcPr>
            <w:tcW w:w="0" w:type="auto"/>
            <w:vAlign w:val="center"/>
            <w:hideMark/>
          </w:tcPr>
          <w:p w:rsidR="007F7DFF" w:rsidRDefault="00E310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color w:val="auto"/>
                <w:sz w:val="24"/>
                <w:szCs w:val="24"/>
              </w:rPr>
            </w:pPr>
            <w:r>
              <w:rPr>
                <w:rFonts w:ascii="Times New Roman" w:hAnsi="Times New Roman"/>
                <w:b w:val="0"/>
                <w:noProof/>
                <w:color w:val="auto"/>
                <w:sz w:val="24"/>
                <w:szCs w:val="24"/>
              </w:rPr>
              <w:t>Istniejący budynek wielorodzinny</w:t>
            </w:r>
          </w:p>
        </w:tc>
        <w:tc>
          <w:tcPr>
            <w:tcW w:w="0" w:type="auto"/>
            <w:vAlign w:val="center"/>
            <w:hideMark/>
          </w:tcPr>
          <w:p w:rsidR="007F7DFF" w:rsidRDefault="00E310E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color w:val="auto"/>
                <w:sz w:val="24"/>
                <w:szCs w:val="24"/>
              </w:rPr>
            </w:pPr>
            <w:r>
              <w:rPr>
                <w:rFonts w:ascii="Times New Roman" w:hAnsi="Times New Roman"/>
                <w:b w:val="0"/>
                <w:noProof/>
                <w:color w:val="auto"/>
                <w:sz w:val="24"/>
                <w:szCs w:val="24"/>
              </w:rPr>
              <w:t xml:space="preserve">Istniejący budynek </w:t>
            </w:r>
            <w:r>
              <w:rPr>
                <w:rFonts w:ascii="Times New Roman" w:hAnsi="Times New Roman"/>
                <w:b w:val="0"/>
                <w:noProof/>
                <w:color w:val="auto"/>
                <w:sz w:val="24"/>
                <w:szCs w:val="24"/>
              </w:rPr>
              <w:t>biurowy</w:t>
            </w:r>
          </w:p>
        </w:tc>
      </w:tr>
      <w:tr w:rsidR="007F7DFF" w:rsidTr="007F7D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noWrap/>
            <w:vAlign w:val="center"/>
            <w:hideMark/>
          </w:tcPr>
          <w:p w:rsidR="007F7DFF" w:rsidRDefault="007F7DFF">
            <w:pPr>
              <w:jc w:val="center"/>
              <w:rPr>
                <w:rFonts w:ascii="Times New Roman" w:hAnsi="Times New Roman"/>
                <w:b w:val="0"/>
                <w:noProof/>
                <w:color w:val="auto"/>
                <w:sz w:val="24"/>
                <w:szCs w:val="24"/>
              </w:rPr>
            </w:pPr>
          </w:p>
        </w:tc>
        <w:tc>
          <w:tcPr>
            <w:tcW w:w="0" w:type="auto"/>
            <w:noWrap/>
            <w:vAlign w:val="center"/>
            <w:hideMark/>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sz w:val="24"/>
                <w:szCs w:val="24"/>
              </w:rPr>
            </w:pPr>
            <w:r>
              <w:rPr>
                <w:rFonts w:ascii="Times New Roman" w:hAnsi="Times New Roman"/>
                <w:noProof/>
                <w:color w:val="auto"/>
                <w:sz w:val="24"/>
                <w:szCs w:val="24"/>
              </w:rPr>
              <w:t>-23 %</w:t>
            </w:r>
          </w:p>
        </w:tc>
        <w:tc>
          <w:tcPr>
            <w:tcW w:w="0" w:type="auto"/>
            <w:noWrap/>
            <w:vAlign w:val="center"/>
            <w:hideMark/>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sz w:val="24"/>
                <w:szCs w:val="24"/>
              </w:rPr>
            </w:pPr>
            <w:r>
              <w:rPr>
                <w:rFonts w:ascii="Times New Roman" w:hAnsi="Times New Roman"/>
                <w:noProof/>
                <w:color w:val="auto"/>
                <w:sz w:val="24"/>
                <w:szCs w:val="24"/>
              </w:rPr>
              <w:t>-23 %</w:t>
            </w:r>
          </w:p>
        </w:tc>
        <w:tc>
          <w:tcPr>
            <w:tcW w:w="0" w:type="auto"/>
            <w:noWrap/>
            <w:vAlign w:val="center"/>
            <w:hideMark/>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sz w:val="24"/>
                <w:szCs w:val="24"/>
              </w:rPr>
            </w:pPr>
            <w:r>
              <w:rPr>
                <w:rFonts w:ascii="Times New Roman" w:hAnsi="Times New Roman"/>
                <w:noProof/>
                <w:color w:val="auto"/>
                <w:sz w:val="24"/>
                <w:szCs w:val="24"/>
              </w:rPr>
              <w:t>-17 %</w:t>
            </w:r>
          </w:p>
        </w:tc>
        <w:tc>
          <w:tcPr>
            <w:tcW w:w="0" w:type="auto"/>
            <w:noWrap/>
            <w:vAlign w:val="center"/>
            <w:hideMark/>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sz w:val="24"/>
                <w:szCs w:val="24"/>
              </w:rPr>
            </w:pPr>
            <w:r>
              <w:rPr>
                <w:rFonts w:ascii="Times New Roman" w:hAnsi="Times New Roman"/>
                <w:noProof/>
                <w:color w:val="auto"/>
                <w:sz w:val="24"/>
                <w:szCs w:val="24"/>
              </w:rPr>
              <w:t>-17 %</w:t>
            </w:r>
          </w:p>
        </w:tc>
        <w:tc>
          <w:tcPr>
            <w:tcW w:w="0" w:type="auto"/>
            <w:noWrap/>
            <w:vAlign w:val="center"/>
            <w:hideMark/>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sz w:val="24"/>
                <w:szCs w:val="24"/>
              </w:rPr>
            </w:pPr>
            <w:r>
              <w:rPr>
                <w:rFonts w:ascii="Times New Roman" w:hAnsi="Times New Roman"/>
                <w:noProof/>
                <w:color w:val="auto"/>
                <w:sz w:val="24"/>
                <w:szCs w:val="24"/>
              </w:rPr>
              <w:t>-21 %</w:t>
            </w:r>
          </w:p>
        </w:tc>
        <w:tc>
          <w:tcPr>
            <w:tcW w:w="0" w:type="auto"/>
            <w:noWrap/>
            <w:vAlign w:val="center"/>
            <w:hideMark/>
          </w:tcPr>
          <w:p w:rsidR="007F7DFF" w:rsidRDefault="00E310E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sz w:val="24"/>
                <w:szCs w:val="24"/>
              </w:rPr>
            </w:pPr>
            <w:r>
              <w:rPr>
                <w:rFonts w:ascii="Times New Roman" w:hAnsi="Times New Roman"/>
                <w:noProof/>
                <w:color w:val="auto"/>
                <w:sz w:val="24"/>
                <w:szCs w:val="24"/>
              </w:rPr>
              <w:t>-9 %</w:t>
            </w:r>
          </w:p>
        </w:tc>
      </w:tr>
    </w:tbl>
    <w:p w:rsidR="007F7DFF" w:rsidRDefault="00E310EF">
      <w:pPr>
        <w:rPr>
          <w:i/>
          <w:noProof/>
        </w:rPr>
      </w:pPr>
      <w:r>
        <w:rPr>
          <w:i/>
          <w:noProof/>
        </w:rPr>
        <w:t>Źródło: Obliczenia własne JRC na podstawie sprawozdań państw członkowskich</w:t>
      </w:r>
    </w:p>
    <w:p w:rsidR="007F7DFF" w:rsidRDefault="00E310EF">
      <w:pPr>
        <w:rPr>
          <w:noProof/>
        </w:rPr>
      </w:pPr>
      <w:r>
        <w:rPr>
          <w:noProof/>
        </w:rPr>
        <w:t>W zależności od rodzaju budynku lub omawianego elementu różnice większe niż 15 % zaobserwowano zaledwie w przypadku trzech lub czterech</w:t>
      </w:r>
      <w:r>
        <w:rPr>
          <w:noProof/>
        </w:rPr>
        <w:t xml:space="preserve"> państw członkowskich</w:t>
      </w:r>
      <w:r>
        <w:rPr>
          <w:rStyle w:val="Odwoanieprzypisudolnego"/>
          <w:noProof/>
        </w:rPr>
        <w:footnoteReference w:id="31"/>
      </w:r>
      <w:r>
        <w:rPr>
          <w:noProof/>
        </w:rPr>
        <w:t xml:space="preserve">. </w:t>
      </w:r>
    </w:p>
    <w:p w:rsidR="007F7DFF" w:rsidRDefault="00E310EF">
      <w:pPr>
        <w:rPr>
          <w:b/>
          <w:noProof/>
        </w:rPr>
      </w:pPr>
      <w:r>
        <w:rPr>
          <w:b/>
          <w:noProof/>
        </w:rPr>
        <w:t>Wykres 6: Zidentyfikowana różnica między obliczonymi optymalnymi pod względem kosztów poziomami a obowiązującymi wymogami</w:t>
      </w:r>
    </w:p>
    <w:p w:rsidR="007F7DFF" w:rsidRDefault="00E310EF">
      <w:pPr>
        <w:rPr>
          <w:noProof/>
        </w:rPr>
      </w:pPr>
      <w:r>
        <w:rPr>
          <w:noProof/>
          <w:lang w:eastAsia="pl-PL"/>
        </w:rPr>
        <w:drawing>
          <wp:inline distT="0" distB="0" distL="0" distR="0">
            <wp:extent cx="5760720" cy="1975142"/>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0720" cy="1975142"/>
                    </a:xfrm>
                    <a:prstGeom prst="rect">
                      <a:avLst/>
                    </a:prstGeom>
                    <a:noFill/>
                    <a:ln>
                      <a:noFill/>
                    </a:ln>
                  </pic:spPr>
                </pic:pic>
              </a:graphicData>
            </a:graphic>
          </wp:inline>
        </w:drawing>
      </w:r>
    </w:p>
    <w:p w:rsidR="007F7DFF" w:rsidRDefault="00E310EF">
      <w:pPr>
        <w:rPr>
          <w:i/>
          <w:noProof/>
        </w:rPr>
      </w:pPr>
      <w:r>
        <w:rPr>
          <w:i/>
          <w:noProof/>
        </w:rPr>
        <w:t>Źródło: Obliczenia własne JRC na podstawie sprawozdań państw członkowskich</w:t>
      </w:r>
    </w:p>
    <w:p w:rsidR="007F7DFF" w:rsidRDefault="00E310EF">
      <w:pPr>
        <w:rPr>
          <w:noProof/>
        </w:rPr>
      </w:pPr>
      <w:r>
        <w:rPr>
          <w:noProof/>
        </w:rPr>
        <w:t>Wyniki przedstawione na powyższy</w:t>
      </w:r>
      <w:r>
        <w:rPr>
          <w:noProof/>
        </w:rPr>
        <w:t>m wykresie nie są w pełni porównywalne, ponieważ państwa członkowskie mogą dowolnie wybierać różne warianty, które odzwierciedlają krajowe warunki rynkowe (np. przyjmujące odmienną perspektywę makroekonomiczną lub finansową).</w:t>
      </w:r>
    </w:p>
    <w:p w:rsidR="007F7DFF" w:rsidRDefault="00E310EF">
      <w:pPr>
        <w:rPr>
          <w:noProof/>
        </w:rPr>
      </w:pPr>
      <w:r>
        <w:rPr>
          <w:noProof/>
        </w:rPr>
        <w:t>Jeżeli chodzi o porównanie mię</w:t>
      </w:r>
      <w:r>
        <w:rPr>
          <w:noProof/>
        </w:rPr>
        <w:t>dzy optymalnymi pod względem kosztów poziomami a najnowszymi definicjami budynku o niemal zerowym zużyciu energii, ogólny obraz jest stosunkowo pozytywny. Niemal połowa państw członkowskich wprowadziła bowiem wymogi dotyczące budynków o niemal zerowym zuży</w:t>
      </w:r>
      <w:r>
        <w:rPr>
          <w:noProof/>
        </w:rPr>
        <w:t xml:space="preserve">ciu energii, które są znacznie bardziej ambitne niż odniesienia do poziomów optymalnych pod względem kosztów, co oznacza, że rynek budowlany jest gotowy podjąć działania zmierzające do poprawy charakterystyki energetycznej przyszłych budynków. </w:t>
      </w:r>
    </w:p>
    <w:p w:rsidR="007F7DFF" w:rsidRDefault="00E310EF">
      <w:pPr>
        <w:pStyle w:val="Nagwek1"/>
        <w:numPr>
          <w:ilvl w:val="0"/>
          <w:numId w:val="4"/>
        </w:numPr>
        <w:spacing w:after="120" w:afterAutospacing="0"/>
        <w:rPr>
          <w:noProof/>
          <w:szCs w:val="24"/>
        </w:rPr>
      </w:pPr>
      <w:r>
        <w:rPr>
          <w:noProof/>
        </w:rPr>
        <w:t>Podsumowani</w:t>
      </w:r>
      <w:r>
        <w:rPr>
          <w:noProof/>
        </w:rPr>
        <w:t>e</w:t>
      </w:r>
      <w:bookmarkEnd w:id="53"/>
    </w:p>
    <w:p w:rsidR="007F7DFF" w:rsidRDefault="00E310EF">
      <w:pPr>
        <w:pStyle w:val="Text1"/>
        <w:ind w:left="0"/>
        <w:rPr>
          <w:noProof/>
          <w:szCs w:val="24"/>
        </w:rPr>
      </w:pPr>
      <w:r>
        <w:rPr>
          <w:noProof/>
        </w:rPr>
        <w:t>Ustalenia wynikające z niniejszego sprawozdania z postępów za 2020 r. nie różnią się znacznie od ustaleń wynikających z poprzedniego sprawozdania. Poziom starań na rzecz oszczędzania energii podjętych w 2018 r., bez uwzględnienia wpływu COVID-19, prawdop</w:t>
      </w:r>
      <w:r>
        <w:rPr>
          <w:noProof/>
        </w:rPr>
        <w:t>odobnie nie byłby wystarczający, aby osiągnąć cele na 2020 r. Chociaż czynniki zewnętrzne związane z ciepłą zimą i znaczącym spadkiem zapotrzebowania na energię w 2020 r. z powodu COVID-19 mogą prowadzić do osiągnięcia celów na 2020 r., aby osiągnąć cele n</w:t>
      </w:r>
      <w:r>
        <w:rPr>
          <w:noProof/>
        </w:rPr>
        <w:t>a 2030 r. konieczne będzie podjęcie działań, które zrekompensują wprowadzone niewystarczające strategie polityczne. Ponadto oczekuje się, że odbudowa po pandemii doprowadzi do odbicia zapotrzebowania na energię, oraz istnieje ryzyko, że obecny kryzys spowo</w:t>
      </w:r>
      <w:r>
        <w:rPr>
          <w:noProof/>
        </w:rPr>
        <w:t xml:space="preserve">duje opóźnienie wdrożenia nowych strategii politycznych i strategii politycznych ogłoszonych w krajowych planach w dziedzinie energii i klimatu, a także krajowych długoterminowych strategii renowacji. </w:t>
      </w:r>
    </w:p>
    <w:p w:rsidR="007F7DFF" w:rsidRDefault="00E310EF">
      <w:pPr>
        <w:pStyle w:val="Text1"/>
        <w:ind w:left="0"/>
        <w:rPr>
          <w:noProof/>
          <w:szCs w:val="24"/>
        </w:rPr>
      </w:pPr>
      <w:r>
        <w:rPr>
          <w:noProof/>
        </w:rPr>
        <w:t>W związku z tym konieczne jest, aby nowe środki efekty</w:t>
      </w:r>
      <w:r>
        <w:rPr>
          <w:noProof/>
        </w:rPr>
        <w:t>wności energetycznej stały się częścią planów odbudowy i zostały niezwłocznie wdrożone. Ponadto bardziej ambitny cel klimatyczny na 2030 r. dotyczący ograniczenia emisji gazów cieplarnianych o co najmniej 55 % w porównaniu z 1990 r. będzie wiązać się z kon</w:t>
      </w:r>
      <w:r>
        <w:rPr>
          <w:noProof/>
        </w:rPr>
        <w:t xml:space="preserve">iecznością przyjęcia jeszcze bardziej ambitnego celu w zakresie efektywności energetycznej. Konieczne będzie również szersze zastosowanie zasady „efektywność energetyczna przede wszystkim”, aby w inwestycjach na rzecz odbudowy uwzględniano w pełni możliwe </w:t>
      </w:r>
      <w:r>
        <w:rPr>
          <w:noProof/>
        </w:rPr>
        <w:t>oszczędności energii i płynące z nich korzyści. Ponadto w ramach nadchodzącego przeglądu Europejskiego Funduszu na rzecz Demokracji przeanalizowane zostaną również sposoby wspierania starań na rzecz efektywności energetycznej na szczeblu UE, biorąc pod uwa</w:t>
      </w:r>
      <w:r>
        <w:rPr>
          <w:noProof/>
        </w:rPr>
        <w:t>gę niewystarczający poziom starań, które są konieczne, aby osiągnąć wspólny cel państw członkowskich przedstawiony w ich zintegrowanych planach. Przegląd ten uzupełni inicjatywa ustawodawcza w sprawie polityki zrównoważonych produktów, w ramach której prze</w:t>
      </w:r>
      <w:r>
        <w:rPr>
          <w:noProof/>
        </w:rPr>
        <w:t>prowadzona zostanie analiza możliwości rozszerzenia koncepcji ekoprojektu na inne kategorie produktów.</w:t>
      </w:r>
    </w:p>
    <w:p w:rsidR="007F7DFF" w:rsidRDefault="00E310EF">
      <w:pPr>
        <w:rPr>
          <w:noProof/>
        </w:rPr>
      </w:pPr>
      <w:r>
        <w:rPr>
          <w:noProof/>
        </w:rPr>
        <w:t>Wymogi dotyczące budynków o niemal zerowym zużyciu energii w większości państw członkowskich są mniej ambitne niż poziomy referencyjne zalecane przez Kom</w:t>
      </w:r>
      <w:r>
        <w:rPr>
          <w:noProof/>
        </w:rPr>
        <w:t xml:space="preserve">isję w odniesieniu do zarówno budynków mieszkalnych, jak i budynków niemieszkalnych. Przed wdrożeniem nowych norm dotyczących budynków o niemal zerowym zużyciu energii oczekuje się jednak znaczącego obniżenia odpowiednich kosztów technologii, dzięki czemu </w:t>
      </w:r>
      <w:r>
        <w:rPr>
          <w:noProof/>
        </w:rPr>
        <w:t>możliwe będzie dalsze zwiększenie poziomu ambicji w odniesieniu do budynków o niemal zerowym zużyciu energii. Z uwagi na zbliżające się wprowadzenie wymogów dotyczących budynków o niemal zerowym zużyciu energii w odniesieniu do wszystkich nowych budynków p</w:t>
      </w:r>
      <w:r>
        <w:rPr>
          <w:noProof/>
        </w:rPr>
        <w:t>ocząwszy od 2021 r., główne wyzywanie dotyczące obniżenia emisyjności budynków do 2050 r. polega na zwiększeniu obecnie niskich wskaźników renowacji oraz stosowania ambitnych minimalnych wymogów do istniejących budynków. Państwa członkowskie różnią się zna</w:t>
      </w:r>
      <w:r>
        <w:rPr>
          <w:noProof/>
        </w:rPr>
        <w:t>cznie pod względem rodzajów budynków, warunków klimatycznych i finansowych, w związku z czym konieczne są ukierunkowane środki mające na celu rozpowszechnienie na dużą skalę modernizacji budynków o niemal zerowym zużyciu energii. Przyszłe generacje budynkó</w:t>
      </w:r>
      <w:r>
        <w:rPr>
          <w:noProof/>
        </w:rPr>
        <w:t>w o niemal zerowym zużyciu energii będą wykorzystywać inteligentne technologie i rozwiązania w zakresie transformacji cyfrowej, a także możliwe będzie zwiększanie ich skali i integrowanie ich na poziomie dzielnicy, co spowoduje przeniesienie uwagi i rozsze</w:t>
      </w:r>
      <w:r>
        <w:rPr>
          <w:noProof/>
        </w:rPr>
        <w:t>rzenie skali działań z pojedynczego budynku na całą dzielnicę</w:t>
      </w:r>
      <w:r>
        <w:rPr>
          <w:rStyle w:val="Odwoanieprzypisudolnego"/>
          <w:noProof/>
        </w:rPr>
        <w:footnoteReference w:id="32"/>
      </w:r>
      <w:r>
        <w:rPr>
          <w:noProof/>
        </w:rPr>
        <w:t>. Inicjatywa „Fala renowacji” przewidziana w Europejskim Zielonym Ładzie i krajowe długoterminowe strategie renowacji stanowią najważniejsze narzędzia mające na celu ukierunkowanie publicznych i</w:t>
      </w:r>
      <w:r>
        <w:rPr>
          <w:noProof/>
        </w:rPr>
        <w:t xml:space="preserve"> prywatnych środków finansowych na projekty renowacyjne, co ułatwi racjonalną pod względem kosztów transformację istniejących budynków w budynki o niemal zerowym zużyciu energii. </w:t>
      </w:r>
    </w:p>
    <w:p w:rsidR="007F7DFF" w:rsidRDefault="00E310EF">
      <w:pPr>
        <w:pStyle w:val="Text1"/>
        <w:ind w:left="0"/>
        <w:rPr>
          <w:noProof/>
          <w:szCs w:val="24"/>
        </w:rPr>
      </w:pPr>
      <w:r>
        <w:rPr>
          <w:noProof/>
        </w:rPr>
        <w:t xml:space="preserve">Komisja zwraca się do Parlamentu Europejskiego i Rady o wyrażenie opinii na </w:t>
      </w:r>
      <w:r>
        <w:rPr>
          <w:noProof/>
        </w:rPr>
        <w:t>temat niniejszego sprawozdania z postępów.</w:t>
      </w:r>
    </w:p>
    <w:p w:rsidR="007F7DFF" w:rsidRDefault="00E310EF">
      <w:pPr>
        <w:rPr>
          <w:rFonts w:eastAsia="Calibri"/>
          <w:noProof/>
          <w:highlight w:val="yellow"/>
        </w:rPr>
      </w:pPr>
      <w:r>
        <w:rPr>
          <w:noProof/>
        </w:rPr>
        <w:br w:type="page"/>
      </w:r>
    </w:p>
    <w:p w:rsidR="007F7DFF" w:rsidRDefault="00E310EF">
      <w:pPr>
        <w:pStyle w:val="JRCTabletitle"/>
        <w:rPr>
          <w:noProof/>
        </w:rPr>
      </w:pPr>
      <w:r>
        <w:rPr>
          <w:noProof/>
        </w:rPr>
        <w:t>Tabela 3: Przegląd zróżnicowania głównych wskaźników energetycznych (część 1)</w:t>
      </w:r>
      <w:r>
        <w:rPr>
          <w:rStyle w:val="Odwoanieprzypisudolnego"/>
          <w:iCs/>
          <w:noProof/>
        </w:rPr>
        <w:t xml:space="preserve"> </w:t>
      </w:r>
      <w:r>
        <w:rPr>
          <w:rStyle w:val="Odwoanieprzypisudolnego"/>
          <w:iCs/>
          <w:noProof/>
          <w:spacing w:val="15"/>
        </w:rPr>
        <w:footnoteReference w:id="33"/>
      </w:r>
    </w:p>
    <w:p w:rsidR="007F7DFF" w:rsidRDefault="00E310EF">
      <w:pPr>
        <w:pStyle w:val="JRCText"/>
        <w:jc w:val="center"/>
        <w:rPr>
          <w:rFonts w:ascii="EC Square Sans Cond Pro" w:hAnsi="EC Square Sans Cond Pro"/>
          <w:noProof/>
        </w:rPr>
      </w:pPr>
      <w:r>
        <w:rPr>
          <w:noProof/>
          <w:lang w:eastAsia="pl-PL"/>
        </w:rPr>
        <w:drawing>
          <wp:inline distT="0" distB="0" distL="0" distR="0">
            <wp:extent cx="5748655" cy="8396605"/>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8655" cy="8396605"/>
                    </a:xfrm>
                    <a:prstGeom prst="rect">
                      <a:avLst/>
                    </a:prstGeom>
                    <a:noFill/>
                    <a:ln>
                      <a:noFill/>
                    </a:ln>
                  </pic:spPr>
                </pic:pic>
              </a:graphicData>
            </a:graphic>
          </wp:inline>
        </w:drawing>
      </w:r>
    </w:p>
    <w:p w:rsidR="007F7DFF" w:rsidRDefault="00E310EF">
      <w:pPr>
        <w:rPr>
          <w:noProof/>
          <w:sz w:val="20"/>
        </w:rPr>
      </w:pPr>
      <w:r>
        <w:rPr>
          <w:noProof/>
          <w:sz w:val="20"/>
        </w:rPr>
        <w:t xml:space="preserve">Użyto znaku „+”, jeżeli państwo członkowskie zmniejszyło swoje zużycie energii pierwotnej i energii końcowej w latach 2005–2018 </w:t>
      </w:r>
      <w:r>
        <w:rPr>
          <w:noProof/>
          <w:sz w:val="20"/>
        </w:rPr>
        <w:t>w tempie szybszym niż tempo, które byłoby niezbędne w latach 2005–2020 do osiągnięcia celów na 2020 r. w zakresie zużycia energii pierwotnej i energii końcowej. Znak „-” stosuje się w pozostałych przypadkach. FEC oznacza zużycie energii końcowej, PEC – zuż</w:t>
      </w:r>
      <w:r>
        <w:rPr>
          <w:noProof/>
          <w:sz w:val="20"/>
        </w:rPr>
        <w:t>ycie energii pierwotnej.</w:t>
      </w:r>
    </w:p>
    <w:p w:rsidR="007F7DFF" w:rsidRDefault="00E310EF">
      <w:pPr>
        <w:pStyle w:val="JRCTabletitle"/>
        <w:rPr>
          <w:noProof/>
        </w:rPr>
      </w:pPr>
      <w:r>
        <w:rPr>
          <w:noProof/>
        </w:rPr>
        <w:t>Tabela 4: Przegląd zróżnicowania głównych wskaźników energetycznych (część 2)</w:t>
      </w:r>
    </w:p>
    <w:p w:rsidR="007F7DFF" w:rsidRDefault="00E310EF">
      <w:pPr>
        <w:rPr>
          <w:noProof/>
          <w:sz w:val="20"/>
        </w:rPr>
      </w:pPr>
      <w:r>
        <w:rPr>
          <w:noProof/>
          <w:lang w:eastAsia="pl-PL"/>
        </w:rPr>
        <w:drawing>
          <wp:inline distT="0" distB="0" distL="0" distR="0">
            <wp:extent cx="5748581" cy="8547653"/>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2857" cy="8554012"/>
                    </a:xfrm>
                    <a:prstGeom prst="rect">
                      <a:avLst/>
                    </a:prstGeom>
                    <a:noFill/>
                    <a:ln>
                      <a:noFill/>
                    </a:ln>
                  </pic:spPr>
                </pic:pic>
              </a:graphicData>
            </a:graphic>
          </wp:inline>
        </w:drawing>
      </w:r>
    </w:p>
    <w:p w:rsidR="007F7DFF" w:rsidRDefault="00E310EF">
      <w:pPr>
        <w:rPr>
          <w:noProof/>
          <w:sz w:val="20"/>
        </w:rPr>
      </w:pPr>
      <w:r>
        <w:rPr>
          <w:noProof/>
          <w:sz w:val="20"/>
        </w:rPr>
        <w:t>Źródło: Eurostat (stara metoda obliczania bilansów energetycznych), JRC, projekt Odyssee.</w:t>
      </w:r>
    </w:p>
    <w:p w:rsidR="007F7DFF" w:rsidRDefault="00E310EF">
      <w:pPr>
        <w:numPr>
          <w:ilvl w:val="1"/>
          <w:numId w:val="0"/>
        </w:numPr>
        <w:spacing w:after="0"/>
        <w:jc w:val="center"/>
        <w:rPr>
          <w:rFonts w:eastAsia="Calibri"/>
          <w:b/>
          <w:iCs/>
          <w:noProof/>
          <w:spacing w:val="15"/>
          <w:sz w:val="20"/>
        </w:rPr>
      </w:pPr>
      <w:r>
        <w:rPr>
          <w:noProof/>
        </w:rPr>
        <w:br w:type="page"/>
      </w:r>
    </w:p>
    <w:p w:rsidR="007F7DFF" w:rsidRDefault="00E310EF">
      <w:pPr>
        <w:numPr>
          <w:ilvl w:val="1"/>
          <w:numId w:val="0"/>
        </w:numPr>
        <w:spacing w:after="0"/>
        <w:rPr>
          <w:rFonts w:eastAsia="Calibri"/>
          <w:b/>
          <w:iCs/>
          <w:noProof/>
          <w:spacing w:val="15"/>
        </w:rPr>
      </w:pPr>
      <w:r>
        <w:rPr>
          <w:b/>
          <w:iCs/>
          <w:noProof/>
        </w:rPr>
        <w:t xml:space="preserve">Tabela 5: Przegląd zgłoszonych oszczędności energii </w:t>
      </w:r>
      <w:r>
        <w:rPr>
          <w:b/>
          <w:iCs/>
          <w:noProof/>
        </w:rPr>
        <w:t>za 2018 r. zgodnie z art. 7 (ktoe)</w:t>
      </w:r>
    </w:p>
    <w:tbl>
      <w:tblPr>
        <w:tblStyle w:val="TabelstijlCEDelft"/>
        <w:tblW w:w="9104" w:type="dxa"/>
        <w:jc w:val="center"/>
        <w:tblLayout w:type="fixed"/>
        <w:tblLook w:val="06A0" w:firstRow="1" w:lastRow="0" w:firstColumn="1" w:lastColumn="0" w:noHBand="1" w:noVBand="1"/>
      </w:tblPr>
      <w:tblGrid>
        <w:gridCol w:w="1434"/>
        <w:gridCol w:w="943"/>
        <w:gridCol w:w="819"/>
        <w:gridCol w:w="959"/>
        <w:gridCol w:w="1228"/>
        <w:gridCol w:w="1229"/>
        <w:gridCol w:w="1228"/>
        <w:gridCol w:w="1264"/>
      </w:tblGrid>
      <w:tr w:rsidR="007F7DFF" w:rsidTr="007F7DFF">
        <w:trPr>
          <w:cnfStyle w:val="100000000000" w:firstRow="1" w:lastRow="0" w:firstColumn="0" w:lastColumn="0" w:oddVBand="0" w:evenVBand="0" w:oddHBand="0" w:evenHBand="0" w:firstRowFirstColumn="0" w:firstRowLastColumn="0" w:lastRowFirstColumn="0" w:lastRowLastColumn="0"/>
          <w:tblHeader/>
          <w:jc w:val="center"/>
        </w:trPr>
        <w:tc>
          <w:tcPr>
            <w:tcW w:w="1434" w:type="dxa"/>
            <w:vMerge w:val="restart"/>
            <w:noWrap/>
            <w:hideMark/>
          </w:tcPr>
          <w:p w:rsidR="007F7DFF" w:rsidRDefault="00E310EF">
            <w:pPr>
              <w:pStyle w:val="TabelkopjeCEDelft"/>
              <w:rPr>
                <w:rFonts w:asciiTheme="majorHAnsi" w:hAnsiTheme="majorHAnsi" w:cstheme="majorHAnsi"/>
                <w:noProof/>
                <w:sz w:val="20"/>
                <w:szCs w:val="20"/>
              </w:rPr>
            </w:pPr>
            <w:r>
              <w:rPr>
                <w:rFonts w:asciiTheme="majorHAnsi" w:hAnsiTheme="majorHAnsi"/>
                <w:noProof/>
                <w:sz w:val="20"/>
                <w:szCs w:val="20"/>
              </w:rPr>
              <w:t xml:space="preserve"> </w:t>
            </w:r>
          </w:p>
          <w:p w:rsidR="007F7DFF" w:rsidRDefault="00E310EF">
            <w:pPr>
              <w:pStyle w:val="TabeltekstCEDelft"/>
              <w:rPr>
                <w:rFonts w:asciiTheme="majorHAnsi" w:hAnsiTheme="majorHAnsi" w:cstheme="majorHAnsi"/>
                <w:noProof/>
                <w:sz w:val="20"/>
                <w:szCs w:val="20"/>
              </w:rPr>
            </w:pPr>
            <w:r>
              <w:rPr>
                <w:rFonts w:asciiTheme="majorHAnsi" w:hAnsiTheme="majorHAnsi"/>
                <w:noProof/>
                <w:sz w:val="20"/>
                <w:szCs w:val="20"/>
              </w:rPr>
              <w:t xml:space="preserve"> </w:t>
            </w:r>
          </w:p>
        </w:tc>
        <w:tc>
          <w:tcPr>
            <w:tcW w:w="2721" w:type="dxa"/>
            <w:gridSpan w:val="3"/>
            <w:noWrap/>
            <w:hideMark/>
          </w:tcPr>
          <w:p w:rsidR="007F7DFF" w:rsidRDefault="00E310EF">
            <w:pPr>
              <w:pStyle w:val="TabelkopjeCEDelft"/>
              <w:jc w:val="center"/>
              <w:rPr>
                <w:rFonts w:asciiTheme="majorHAnsi" w:hAnsiTheme="majorHAnsi" w:cstheme="majorHAnsi"/>
                <w:bCs/>
                <w:noProof/>
                <w:sz w:val="20"/>
                <w:szCs w:val="20"/>
              </w:rPr>
            </w:pPr>
            <w:r>
              <w:rPr>
                <w:rFonts w:asciiTheme="majorHAnsi" w:hAnsiTheme="majorHAnsi"/>
                <w:bCs/>
                <w:noProof/>
                <w:sz w:val="20"/>
                <w:szCs w:val="20"/>
              </w:rPr>
              <w:t>2018</w:t>
            </w:r>
          </w:p>
        </w:tc>
        <w:tc>
          <w:tcPr>
            <w:tcW w:w="4949" w:type="dxa"/>
            <w:gridSpan w:val="4"/>
            <w:noWrap/>
            <w:hideMark/>
          </w:tcPr>
          <w:p w:rsidR="007F7DFF" w:rsidRDefault="00E310EF">
            <w:pPr>
              <w:pStyle w:val="TabelkopjeCEDelft"/>
              <w:jc w:val="center"/>
              <w:rPr>
                <w:rFonts w:asciiTheme="majorHAnsi" w:hAnsiTheme="majorHAnsi" w:cstheme="majorHAnsi"/>
                <w:bCs/>
                <w:noProof/>
                <w:sz w:val="20"/>
                <w:szCs w:val="20"/>
              </w:rPr>
            </w:pPr>
            <w:r>
              <w:rPr>
                <w:rFonts w:asciiTheme="majorHAnsi" w:hAnsiTheme="majorHAnsi"/>
                <w:bCs/>
                <w:noProof/>
                <w:sz w:val="20"/>
                <w:szCs w:val="20"/>
              </w:rPr>
              <w:t>Postępy w osiąganiu celu</w:t>
            </w:r>
          </w:p>
        </w:tc>
      </w:tr>
      <w:tr w:rsidR="007F7DFF" w:rsidTr="007F7DFF">
        <w:trPr>
          <w:cnfStyle w:val="100000000000" w:firstRow="1" w:lastRow="0" w:firstColumn="0" w:lastColumn="0" w:oddVBand="0" w:evenVBand="0" w:oddHBand="0" w:evenHBand="0" w:firstRowFirstColumn="0" w:firstRowLastColumn="0" w:lastRowFirstColumn="0" w:lastRowLastColumn="0"/>
          <w:tblHeader/>
          <w:jc w:val="center"/>
        </w:trPr>
        <w:tc>
          <w:tcPr>
            <w:tcW w:w="1434" w:type="dxa"/>
            <w:vMerge/>
            <w:noWrap/>
            <w:hideMark/>
          </w:tcPr>
          <w:p w:rsidR="007F7DFF" w:rsidRDefault="007F7DFF">
            <w:pPr>
              <w:pStyle w:val="TabeltekstCEDelft"/>
              <w:rPr>
                <w:rFonts w:asciiTheme="majorHAnsi" w:hAnsiTheme="majorHAnsi" w:cstheme="majorHAnsi"/>
                <w:noProof/>
                <w:sz w:val="20"/>
                <w:szCs w:val="20"/>
              </w:rPr>
            </w:pPr>
          </w:p>
        </w:tc>
        <w:tc>
          <w:tcPr>
            <w:tcW w:w="943" w:type="dxa"/>
            <w:hideMark/>
          </w:tcPr>
          <w:p w:rsidR="007F7DFF" w:rsidRDefault="00E310EF">
            <w:pPr>
              <w:pStyle w:val="TabeltekstCEDelft"/>
              <w:jc w:val="center"/>
              <w:rPr>
                <w:rFonts w:asciiTheme="majorHAnsi" w:hAnsiTheme="majorHAnsi" w:cstheme="majorHAnsi"/>
                <w:b/>
                <w:bCs/>
                <w:noProof/>
                <w:sz w:val="20"/>
                <w:szCs w:val="20"/>
              </w:rPr>
            </w:pPr>
            <w:r>
              <w:rPr>
                <w:rFonts w:asciiTheme="majorHAnsi" w:hAnsiTheme="majorHAnsi"/>
                <w:b/>
                <w:bCs/>
                <w:noProof/>
                <w:sz w:val="20"/>
                <w:szCs w:val="20"/>
              </w:rPr>
              <w:t>Nowe oszczędności</w:t>
            </w:r>
          </w:p>
        </w:tc>
        <w:tc>
          <w:tcPr>
            <w:tcW w:w="819" w:type="dxa"/>
            <w:hideMark/>
          </w:tcPr>
          <w:p w:rsidR="007F7DFF" w:rsidRDefault="00E310EF">
            <w:pPr>
              <w:pStyle w:val="TabeltekstCEDelft"/>
              <w:jc w:val="center"/>
              <w:rPr>
                <w:rFonts w:asciiTheme="majorHAnsi" w:hAnsiTheme="majorHAnsi" w:cstheme="majorHAnsi"/>
                <w:b/>
                <w:bCs/>
                <w:noProof/>
                <w:sz w:val="20"/>
                <w:szCs w:val="20"/>
              </w:rPr>
            </w:pPr>
            <w:r>
              <w:rPr>
                <w:rFonts w:asciiTheme="majorHAnsi" w:hAnsiTheme="majorHAnsi"/>
                <w:b/>
                <w:bCs/>
                <w:noProof/>
                <w:sz w:val="20"/>
                <w:szCs w:val="20"/>
              </w:rPr>
              <w:t>Oszczędności roczne ogółem</w:t>
            </w:r>
          </w:p>
        </w:tc>
        <w:tc>
          <w:tcPr>
            <w:tcW w:w="959" w:type="dxa"/>
            <w:hideMark/>
          </w:tcPr>
          <w:p w:rsidR="007F7DFF" w:rsidRDefault="00E310EF">
            <w:pPr>
              <w:pStyle w:val="TabeltekstCEDelft"/>
              <w:jc w:val="center"/>
              <w:rPr>
                <w:rFonts w:asciiTheme="majorHAnsi" w:hAnsiTheme="majorHAnsi" w:cstheme="majorHAnsi"/>
                <w:b/>
                <w:bCs/>
                <w:noProof/>
                <w:sz w:val="20"/>
                <w:szCs w:val="20"/>
              </w:rPr>
            </w:pPr>
            <w:r>
              <w:rPr>
                <w:rFonts w:asciiTheme="majorHAnsi" w:hAnsiTheme="majorHAnsi"/>
                <w:b/>
                <w:bCs/>
                <w:noProof/>
                <w:sz w:val="20"/>
                <w:szCs w:val="20"/>
              </w:rPr>
              <w:t>Oszczędności łączne w latach 2014–2018</w:t>
            </w:r>
          </w:p>
        </w:tc>
        <w:tc>
          <w:tcPr>
            <w:tcW w:w="1228" w:type="dxa"/>
            <w:hideMark/>
          </w:tcPr>
          <w:p w:rsidR="007F7DFF" w:rsidRDefault="00E310EF">
            <w:pPr>
              <w:pStyle w:val="TabeltekstCEDelft"/>
              <w:jc w:val="center"/>
              <w:rPr>
                <w:rFonts w:asciiTheme="majorHAnsi" w:hAnsiTheme="majorHAnsi" w:cstheme="majorHAnsi"/>
                <w:b/>
                <w:bCs/>
                <w:noProof/>
                <w:sz w:val="20"/>
                <w:szCs w:val="20"/>
              </w:rPr>
            </w:pPr>
            <w:r>
              <w:rPr>
                <w:rFonts w:asciiTheme="majorHAnsi" w:hAnsiTheme="majorHAnsi"/>
                <w:b/>
                <w:bCs/>
                <w:noProof/>
                <w:sz w:val="20"/>
                <w:szCs w:val="20"/>
              </w:rPr>
              <w:t>Łączne oszczędności wymagane do 2020 r. (cel)</w:t>
            </w:r>
          </w:p>
        </w:tc>
        <w:tc>
          <w:tcPr>
            <w:tcW w:w="1229" w:type="dxa"/>
            <w:hideMark/>
          </w:tcPr>
          <w:p w:rsidR="007F7DFF" w:rsidRDefault="00E310EF">
            <w:pPr>
              <w:pStyle w:val="TabeltekstCEDelft"/>
              <w:jc w:val="center"/>
              <w:rPr>
                <w:rFonts w:asciiTheme="majorHAnsi" w:hAnsiTheme="majorHAnsi" w:cstheme="majorHAnsi"/>
                <w:b/>
                <w:bCs/>
                <w:noProof/>
                <w:sz w:val="20"/>
                <w:szCs w:val="20"/>
              </w:rPr>
            </w:pPr>
            <w:r>
              <w:rPr>
                <w:rFonts w:asciiTheme="majorHAnsi" w:hAnsiTheme="majorHAnsi"/>
                <w:b/>
                <w:bCs/>
                <w:noProof/>
                <w:sz w:val="20"/>
                <w:szCs w:val="20"/>
              </w:rPr>
              <w:t xml:space="preserve">Postępy w osiąganiu wymogu w zakresie oszczędności </w:t>
            </w:r>
            <w:r>
              <w:rPr>
                <w:rFonts w:asciiTheme="majorHAnsi" w:hAnsiTheme="majorHAnsi"/>
                <w:b/>
                <w:bCs/>
                <w:noProof/>
                <w:sz w:val="20"/>
                <w:szCs w:val="20"/>
              </w:rPr>
              <w:t>łącznych do 2020 r.</w:t>
            </w:r>
          </w:p>
        </w:tc>
        <w:tc>
          <w:tcPr>
            <w:tcW w:w="1228" w:type="dxa"/>
            <w:hideMark/>
          </w:tcPr>
          <w:p w:rsidR="007F7DFF" w:rsidRDefault="00E310EF">
            <w:pPr>
              <w:pStyle w:val="TabeltekstCEDelft"/>
              <w:jc w:val="center"/>
              <w:rPr>
                <w:rFonts w:asciiTheme="majorHAnsi" w:hAnsiTheme="majorHAnsi" w:cstheme="majorHAnsi"/>
                <w:b/>
                <w:bCs/>
                <w:noProof/>
                <w:sz w:val="20"/>
                <w:szCs w:val="20"/>
              </w:rPr>
            </w:pPr>
            <w:r>
              <w:rPr>
                <w:rFonts w:asciiTheme="majorHAnsi" w:hAnsiTheme="majorHAnsi"/>
                <w:b/>
                <w:bCs/>
                <w:noProof/>
                <w:sz w:val="20"/>
                <w:szCs w:val="20"/>
              </w:rPr>
              <w:t>Szacunkowe roczne oszczędności wymagane w latach 2014–2018</w:t>
            </w:r>
          </w:p>
        </w:tc>
        <w:tc>
          <w:tcPr>
            <w:tcW w:w="1264" w:type="dxa"/>
            <w:hideMark/>
          </w:tcPr>
          <w:p w:rsidR="007F7DFF" w:rsidRDefault="00E310EF">
            <w:pPr>
              <w:pStyle w:val="TabeltekstCEDelft"/>
              <w:jc w:val="center"/>
              <w:rPr>
                <w:rFonts w:asciiTheme="majorHAnsi" w:hAnsiTheme="majorHAnsi" w:cstheme="majorHAnsi"/>
                <w:b/>
                <w:bCs/>
                <w:noProof/>
                <w:sz w:val="20"/>
                <w:szCs w:val="20"/>
              </w:rPr>
            </w:pPr>
            <w:r>
              <w:rPr>
                <w:rFonts w:asciiTheme="majorHAnsi" w:hAnsiTheme="majorHAnsi"/>
                <w:b/>
                <w:bCs/>
                <w:noProof/>
                <w:sz w:val="20"/>
                <w:szCs w:val="20"/>
              </w:rPr>
              <w:t>Okres 2014–2018 w porównaniu z szacunkowymi rocznymi oszczędnościami</w:t>
            </w:r>
          </w:p>
        </w:tc>
      </w:tr>
      <w:tr w:rsidR="007F7DFF" w:rsidTr="007F7DFF">
        <w:trPr>
          <w:jc w:val="center"/>
        </w:trPr>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center"/>
              <w:rPr>
                <w:rFonts w:asciiTheme="majorHAnsi" w:hAnsiTheme="majorHAnsi" w:cstheme="majorHAnsi"/>
                <w:noProof/>
                <w:sz w:val="20"/>
                <w:szCs w:val="20"/>
              </w:rPr>
            </w:pPr>
            <w:r>
              <w:rPr>
                <w:rFonts w:asciiTheme="majorHAnsi" w:hAnsiTheme="majorHAnsi"/>
                <w:b/>
                <w:bCs/>
                <w:noProof/>
                <w:color w:val="000000"/>
                <w:sz w:val="20"/>
                <w:szCs w:val="20"/>
              </w:rPr>
              <w:t>Austria</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372</w:t>
            </w:r>
          </w:p>
        </w:tc>
        <w:tc>
          <w:tcPr>
            <w:tcW w:w="819" w:type="dxa"/>
            <w:tcBorders>
              <w:top w:val="single" w:sz="4" w:space="0" w:color="auto"/>
              <w:left w:val="nil"/>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1 307</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4 032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5 200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78 %</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2 786</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145 %</w:t>
            </w:r>
          </w:p>
        </w:tc>
      </w:tr>
      <w:tr w:rsidR="007F7DFF" w:rsidTr="007F7DFF">
        <w:trPr>
          <w:jc w:val="center"/>
        </w:trPr>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center"/>
              <w:rPr>
                <w:rFonts w:asciiTheme="majorHAnsi" w:hAnsiTheme="majorHAnsi" w:cstheme="majorHAnsi"/>
                <w:noProof/>
                <w:sz w:val="20"/>
                <w:szCs w:val="20"/>
              </w:rPr>
            </w:pPr>
            <w:r>
              <w:rPr>
                <w:rFonts w:asciiTheme="majorHAnsi" w:hAnsiTheme="majorHAnsi"/>
                <w:b/>
                <w:bCs/>
                <w:noProof/>
                <w:color w:val="000000"/>
                <w:sz w:val="20"/>
                <w:szCs w:val="20"/>
              </w:rPr>
              <w:t>Belgia</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234</w:t>
            </w:r>
          </w:p>
        </w:tc>
        <w:tc>
          <w:tcPr>
            <w:tcW w:w="819" w:type="dxa"/>
            <w:tcBorders>
              <w:top w:val="nil"/>
              <w:left w:val="nil"/>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1 176</w:t>
            </w:r>
          </w:p>
        </w:tc>
        <w:tc>
          <w:tcPr>
            <w:tcW w:w="959"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3 879</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6 911</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56 %</w:t>
            </w:r>
          </w:p>
        </w:tc>
        <w:tc>
          <w:tcPr>
            <w:tcW w:w="1228"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3 702</w:t>
            </w:r>
          </w:p>
        </w:tc>
        <w:tc>
          <w:tcPr>
            <w:tcW w:w="1264"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105 %</w:t>
            </w:r>
          </w:p>
        </w:tc>
      </w:tr>
      <w:tr w:rsidR="007F7DFF" w:rsidTr="007F7DFF">
        <w:trPr>
          <w:jc w:val="center"/>
        </w:trPr>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center"/>
              <w:rPr>
                <w:rFonts w:asciiTheme="majorHAnsi" w:hAnsiTheme="majorHAnsi" w:cstheme="majorHAnsi"/>
                <w:noProof/>
                <w:sz w:val="20"/>
                <w:szCs w:val="20"/>
              </w:rPr>
            </w:pPr>
            <w:r>
              <w:rPr>
                <w:rFonts w:asciiTheme="majorHAnsi" w:hAnsiTheme="majorHAnsi"/>
                <w:b/>
                <w:bCs/>
                <w:noProof/>
                <w:color w:val="000000"/>
                <w:sz w:val="20"/>
                <w:szCs w:val="20"/>
              </w:rPr>
              <w:t>Bułgaria</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32</w:t>
            </w:r>
          </w:p>
        </w:tc>
        <w:tc>
          <w:tcPr>
            <w:tcW w:w="819" w:type="dxa"/>
            <w:tcBorders>
              <w:top w:val="nil"/>
              <w:left w:val="nil"/>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175</w:t>
            </w:r>
          </w:p>
        </w:tc>
        <w:tc>
          <w:tcPr>
            <w:tcW w:w="959"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496</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1 942</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26 %</w:t>
            </w:r>
          </w:p>
        </w:tc>
        <w:tc>
          <w:tcPr>
            <w:tcW w:w="1228"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1 040</w:t>
            </w:r>
          </w:p>
        </w:tc>
        <w:tc>
          <w:tcPr>
            <w:tcW w:w="1264"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48 %</w:t>
            </w:r>
          </w:p>
        </w:tc>
      </w:tr>
      <w:tr w:rsidR="007F7DFF" w:rsidTr="007F7DFF">
        <w:trPr>
          <w:jc w:val="center"/>
        </w:trPr>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center"/>
              <w:rPr>
                <w:rFonts w:asciiTheme="majorHAnsi" w:hAnsiTheme="majorHAnsi" w:cstheme="majorHAnsi"/>
                <w:noProof/>
                <w:sz w:val="20"/>
                <w:szCs w:val="20"/>
              </w:rPr>
            </w:pPr>
            <w:r>
              <w:rPr>
                <w:rFonts w:asciiTheme="majorHAnsi" w:hAnsiTheme="majorHAnsi"/>
                <w:b/>
                <w:bCs/>
                <w:noProof/>
                <w:color w:val="000000"/>
                <w:sz w:val="20"/>
                <w:szCs w:val="20"/>
              </w:rPr>
              <w:t>Chorwacja*</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3</w:t>
            </w:r>
          </w:p>
        </w:tc>
        <w:tc>
          <w:tcPr>
            <w:tcW w:w="819" w:type="dxa"/>
            <w:tcBorders>
              <w:top w:val="nil"/>
              <w:left w:val="nil"/>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73</w:t>
            </w:r>
          </w:p>
        </w:tc>
        <w:tc>
          <w:tcPr>
            <w:tcW w:w="959"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248</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1 296</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19 %</w:t>
            </w:r>
          </w:p>
        </w:tc>
        <w:tc>
          <w:tcPr>
            <w:tcW w:w="1228"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694</w:t>
            </w:r>
          </w:p>
        </w:tc>
        <w:tc>
          <w:tcPr>
            <w:tcW w:w="1264"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36 %</w:t>
            </w:r>
          </w:p>
        </w:tc>
      </w:tr>
      <w:tr w:rsidR="007F7DFF" w:rsidTr="007F7DFF">
        <w:trPr>
          <w:jc w:val="center"/>
        </w:trPr>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center"/>
              <w:rPr>
                <w:rFonts w:asciiTheme="majorHAnsi" w:hAnsiTheme="majorHAnsi" w:cstheme="majorHAnsi"/>
                <w:noProof/>
                <w:sz w:val="20"/>
                <w:szCs w:val="20"/>
              </w:rPr>
            </w:pPr>
            <w:r>
              <w:rPr>
                <w:rFonts w:asciiTheme="majorHAnsi" w:hAnsiTheme="majorHAnsi"/>
                <w:b/>
                <w:bCs/>
                <w:noProof/>
                <w:color w:val="000000"/>
                <w:sz w:val="20"/>
                <w:szCs w:val="20"/>
              </w:rPr>
              <w:t>Cypr</w:t>
            </w:r>
          </w:p>
        </w:tc>
        <w:tc>
          <w:tcPr>
            <w:tcW w:w="943" w:type="dxa"/>
            <w:tcBorders>
              <w:top w:val="nil"/>
              <w:left w:val="single" w:sz="4" w:space="0" w:color="auto"/>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77</w:t>
            </w:r>
          </w:p>
        </w:tc>
        <w:tc>
          <w:tcPr>
            <w:tcW w:w="819" w:type="dxa"/>
            <w:tcBorders>
              <w:top w:val="nil"/>
              <w:left w:val="nil"/>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83</w:t>
            </w:r>
          </w:p>
        </w:tc>
        <w:tc>
          <w:tcPr>
            <w:tcW w:w="959" w:type="dxa"/>
            <w:tcBorders>
              <w:top w:val="nil"/>
              <w:left w:val="nil"/>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162</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242</w:t>
            </w:r>
          </w:p>
        </w:tc>
        <w:tc>
          <w:tcPr>
            <w:tcW w:w="1229" w:type="dxa"/>
            <w:tcBorders>
              <w:top w:val="nil"/>
              <w:left w:val="single" w:sz="4" w:space="0" w:color="auto"/>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67 %</w:t>
            </w:r>
          </w:p>
        </w:tc>
        <w:tc>
          <w:tcPr>
            <w:tcW w:w="1228" w:type="dxa"/>
            <w:tcBorders>
              <w:top w:val="nil"/>
              <w:left w:val="nil"/>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130</w:t>
            </w:r>
          </w:p>
        </w:tc>
        <w:tc>
          <w:tcPr>
            <w:tcW w:w="1264" w:type="dxa"/>
            <w:tcBorders>
              <w:top w:val="nil"/>
              <w:left w:val="nil"/>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125 %</w:t>
            </w:r>
          </w:p>
        </w:tc>
      </w:tr>
      <w:tr w:rsidR="007F7DFF" w:rsidTr="007F7DFF">
        <w:trPr>
          <w:jc w:val="center"/>
        </w:trPr>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center"/>
              <w:rPr>
                <w:rFonts w:asciiTheme="majorHAnsi" w:hAnsiTheme="majorHAnsi" w:cstheme="majorHAnsi"/>
                <w:noProof/>
                <w:sz w:val="20"/>
                <w:szCs w:val="20"/>
              </w:rPr>
            </w:pPr>
            <w:r>
              <w:rPr>
                <w:rFonts w:asciiTheme="majorHAnsi" w:hAnsiTheme="majorHAnsi"/>
                <w:b/>
                <w:bCs/>
                <w:noProof/>
                <w:color w:val="000000"/>
                <w:sz w:val="20"/>
                <w:szCs w:val="20"/>
              </w:rPr>
              <w:t>Czechy</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176</w:t>
            </w:r>
          </w:p>
        </w:tc>
        <w:tc>
          <w:tcPr>
            <w:tcW w:w="819" w:type="dxa"/>
            <w:tcBorders>
              <w:top w:val="nil"/>
              <w:left w:val="nil"/>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577</w:t>
            </w:r>
          </w:p>
        </w:tc>
        <w:tc>
          <w:tcPr>
            <w:tcW w:w="959"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1 634</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4 565</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36 %</w:t>
            </w:r>
          </w:p>
        </w:tc>
        <w:tc>
          <w:tcPr>
            <w:tcW w:w="1228"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2 446</w:t>
            </w:r>
          </w:p>
        </w:tc>
        <w:tc>
          <w:tcPr>
            <w:tcW w:w="1264"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67 %</w:t>
            </w:r>
          </w:p>
        </w:tc>
      </w:tr>
      <w:tr w:rsidR="007F7DFF" w:rsidTr="007F7DFF">
        <w:trPr>
          <w:jc w:val="center"/>
        </w:trPr>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center"/>
              <w:rPr>
                <w:rFonts w:asciiTheme="majorHAnsi" w:hAnsiTheme="majorHAnsi" w:cstheme="majorHAnsi"/>
                <w:noProof/>
                <w:sz w:val="20"/>
                <w:szCs w:val="20"/>
              </w:rPr>
            </w:pPr>
            <w:r>
              <w:rPr>
                <w:rFonts w:asciiTheme="majorHAnsi" w:hAnsiTheme="majorHAnsi"/>
                <w:b/>
                <w:bCs/>
                <w:noProof/>
                <w:color w:val="000000"/>
                <w:sz w:val="20"/>
                <w:szCs w:val="20"/>
              </w:rPr>
              <w:t>Dania</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173</w:t>
            </w:r>
          </w:p>
        </w:tc>
        <w:tc>
          <w:tcPr>
            <w:tcW w:w="819" w:type="dxa"/>
            <w:tcBorders>
              <w:top w:val="nil"/>
              <w:left w:val="nil"/>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1 045</w:t>
            </w:r>
          </w:p>
        </w:tc>
        <w:tc>
          <w:tcPr>
            <w:tcW w:w="959"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3 187</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3 841</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83 %</w:t>
            </w:r>
          </w:p>
        </w:tc>
        <w:tc>
          <w:tcPr>
            <w:tcW w:w="1228"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2 058</w:t>
            </w:r>
          </w:p>
        </w:tc>
        <w:tc>
          <w:tcPr>
            <w:tcW w:w="1264"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155 %</w:t>
            </w:r>
          </w:p>
        </w:tc>
      </w:tr>
      <w:tr w:rsidR="007F7DFF" w:rsidTr="007F7DFF">
        <w:trPr>
          <w:jc w:val="center"/>
        </w:trPr>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center"/>
              <w:rPr>
                <w:rFonts w:asciiTheme="majorHAnsi" w:hAnsiTheme="majorHAnsi" w:cstheme="majorHAnsi"/>
                <w:noProof/>
                <w:sz w:val="20"/>
                <w:szCs w:val="20"/>
              </w:rPr>
            </w:pPr>
            <w:r>
              <w:rPr>
                <w:rFonts w:asciiTheme="majorHAnsi" w:hAnsiTheme="majorHAnsi"/>
                <w:b/>
                <w:bCs/>
                <w:noProof/>
                <w:color w:val="000000"/>
                <w:sz w:val="20"/>
                <w:szCs w:val="20"/>
              </w:rPr>
              <w:t>Estonia</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88</w:t>
            </w:r>
          </w:p>
        </w:tc>
        <w:tc>
          <w:tcPr>
            <w:tcW w:w="819" w:type="dxa"/>
            <w:tcBorders>
              <w:top w:val="nil"/>
              <w:left w:val="nil"/>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99</w:t>
            </w:r>
          </w:p>
        </w:tc>
        <w:tc>
          <w:tcPr>
            <w:tcW w:w="959"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370</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610</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61 %</w:t>
            </w:r>
          </w:p>
        </w:tc>
        <w:tc>
          <w:tcPr>
            <w:tcW w:w="1228"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327</w:t>
            </w:r>
          </w:p>
        </w:tc>
        <w:tc>
          <w:tcPr>
            <w:tcW w:w="1264"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113 %</w:t>
            </w:r>
          </w:p>
        </w:tc>
      </w:tr>
      <w:tr w:rsidR="007F7DFF" w:rsidTr="007F7DFF">
        <w:trPr>
          <w:jc w:val="center"/>
        </w:trPr>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center"/>
              <w:rPr>
                <w:rFonts w:asciiTheme="majorHAnsi" w:hAnsiTheme="majorHAnsi" w:cstheme="majorHAnsi"/>
                <w:noProof/>
                <w:sz w:val="20"/>
                <w:szCs w:val="20"/>
              </w:rPr>
            </w:pPr>
            <w:r>
              <w:rPr>
                <w:rFonts w:asciiTheme="majorHAnsi" w:hAnsiTheme="majorHAnsi"/>
                <w:b/>
                <w:bCs/>
                <w:noProof/>
                <w:color w:val="000000"/>
                <w:sz w:val="20"/>
                <w:szCs w:val="20"/>
              </w:rPr>
              <w:t>Finlandia</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543</w:t>
            </w:r>
          </w:p>
        </w:tc>
        <w:tc>
          <w:tcPr>
            <w:tcW w:w="819" w:type="dxa"/>
            <w:tcBorders>
              <w:top w:val="nil"/>
              <w:left w:val="nil"/>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1 377</w:t>
            </w:r>
          </w:p>
        </w:tc>
        <w:tc>
          <w:tcPr>
            <w:tcW w:w="959"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4</w:t>
            </w:r>
            <w:r>
              <w:rPr>
                <w:rFonts w:asciiTheme="majorHAnsi" w:hAnsiTheme="majorHAnsi"/>
                <w:noProof/>
                <w:color w:val="000000"/>
                <w:sz w:val="20"/>
                <w:szCs w:val="20"/>
              </w:rPr>
              <w:t xml:space="preserve"> 701</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vertAlign w:val="superscript"/>
              </w:rPr>
            </w:pPr>
            <w:r>
              <w:rPr>
                <w:rFonts w:asciiTheme="majorHAnsi" w:hAnsiTheme="majorHAnsi"/>
                <w:noProof/>
                <w:color w:val="000000"/>
                <w:sz w:val="20"/>
                <w:szCs w:val="20"/>
              </w:rPr>
              <w:t>4 213</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112 %</w:t>
            </w:r>
          </w:p>
        </w:tc>
        <w:tc>
          <w:tcPr>
            <w:tcW w:w="1228"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2 257</w:t>
            </w:r>
          </w:p>
        </w:tc>
        <w:tc>
          <w:tcPr>
            <w:tcW w:w="1264"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208 %</w:t>
            </w:r>
          </w:p>
        </w:tc>
      </w:tr>
      <w:tr w:rsidR="007F7DFF" w:rsidTr="007F7DFF">
        <w:trPr>
          <w:jc w:val="center"/>
        </w:trPr>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center"/>
              <w:rPr>
                <w:rFonts w:asciiTheme="majorHAnsi" w:hAnsiTheme="majorHAnsi" w:cstheme="majorHAnsi"/>
                <w:noProof/>
                <w:sz w:val="20"/>
                <w:szCs w:val="20"/>
              </w:rPr>
            </w:pPr>
            <w:r>
              <w:rPr>
                <w:rFonts w:asciiTheme="majorHAnsi" w:hAnsiTheme="majorHAnsi"/>
                <w:b/>
                <w:bCs/>
                <w:noProof/>
                <w:color w:val="000000"/>
                <w:sz w:val="20"/>
                <w:szCs w:val="20"/>
              </w:rPr>
              <w:t>Francja</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1 413</w:t>
            </w:r>
          </w:p>
        </w:tc>
        <w:tc>
          <w:tcPr>
            <w:tcW w:w="819" w:type="dxa"/>
            <w:tcBorders>
              <w:top w:val="nil"/>
              <w:left w:val="nil"/>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5 698</w:t>
            </w:r>
          </w:p>
        </w:tc>
        <w:tc>
          <w:tcPr>
            <w:tcW w:w="959"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17 429</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31 384</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56 %</w:t>
            </w:r>
          </w:p>
        </w:tc>
        <w:tc>
          <w:tcPr>
            <w:tcW w:w="1228"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16 813</w:t>
            </w:r>
          </w:p>
        </w:tc>
        <w:tc>
          <w:tcPr>
            <w:tcW w:w="1264"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104 %</w:t>
            </w:r>
          </w:p>
        </w:tc>
      </w:tr>
      <w:tr w:rsidR="007F7DFF" w:rsidTr="007F7DFF">
        <w:trPr>
          <w:jc w:val="center"/>
        </w:trPr>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center"/>
              <w:rPr>
                <w:rFonts w:asciiTheme="majorHAnsi" w:hAnsiTheme="majorHAnsi" w:cstheme="majorHAnsi"/>
                <w:noProof/>
                <w:sz w:val="20"/>
                <w:szCs w:val="20"/>
              </w:rPr>
            </w:pPr>
            <w:r>
              <w:rPr>
                <w:rFonts w:asciiTheme="majorHAnsi" w:hAnsiTheme="majorHAnsi"/>
                <w:b/>
                <w:bCs/>
                <w:noProof/>
                <w:color w:val="000000"/>
                <w:sz w:val="20"/>
                <w:szCs w:val="20"/>
              </w:rPr>
              <w:t>Niemcy</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2 950</w:t>
            </w:r>
          </w:p>
        </w:tc>
        <w:tc>
          <w:tcPr>
            <w:tcW w:w="819" w:type="dxa"/>
            <w:tcBorders>
              <w:top w:val="nil"/>
              <w:left w:val="nil"/>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13 695</w:t>
            </w:r>
          </w:p>
        </w:tc>
        <w:tc>
          <w:tcPr>
            <w:tcW w:w="959"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28 953</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41 989</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69 %</w:t>
            </w:r>
          </w:p>
        </w:tc>
        <w:tc>
          <w:tcPr>
            <w:tcW w:w="1228"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22 494</w:t>
            </w:r>
          </w:p>
        </w:tc>
        <w:tc>
          <w:tcPr>
            <w:tcW w:w="1264"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129 %</w:t>
            </w:r>
          </w:p>
        </w:tc>
      </w:tr>
      <w:tr w:rsidR="007F7DFF" w:rsidTr="007F7DFF">
        <w:trPr>
          <w:jc w:val="center"/>
        </w:trPr>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center"/>
              <w:rPr>
                <w:rFonts w:asciiTheme="majorHAnsi" w:hAnsiTheme="majorHAnsi" w:cstheme="majorHAnsi"/>
                <w:noProof/>
                <w:sz w:val="20"/>
                <w:szCs w:val="20"/>
              </w:rPr>
            </w:pPr>
            <w:r>
              <w:rPr>
                <w:rFonts w:asciiTheme="majorHAnsi" w:hAnsiTheme="majorHAnsi"/>
                <w:b/>
                <w:bCs/>
                <w:noProof/>
                <w:color w:val="000000"/>
                <w:sz w:val="20"/>
                <w:szCs w:val="20"/>
              </w:rPr>
              <w:t>Grecja</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211</w:t>
            </w:r>
          </w:p>
        </w:tc>
        <w:tc>
          <w:tcPr>
            <w:tcW w:w="819" w:type="dxa"/>
            <w:tcBorders>
              <w:top w:val="nil"/>
              <w:left w:val="nil"/>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474</w:t>
            </w:r>
          </w:p>
        </w:tc>
        <w:tc>
          <w:tcPr>
            <w:tcW w:w="959"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1 355</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3 333</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41 %</w:t>
            </w:r>
          </w:p>
        </w:tc>
        <w:tc>
          <w:tcPr>
            <w:tcW w:w="1228"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1 786</w:t>
            </w:r>
          </w:p>
        </w:tc>
        <w:tc>
          <w:tcPr>
            <w:tcW w:w="1264"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76 %</w:t>
            </w:r>
          </w:p>
        </w:tc>
      </w:tr>
      <w:tr w:rsidR="007F7DFF" w:rsidTr="007F7DFF">
        <w:trPr>
          <w:jc w:val="center"/>
        </w:trPr>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center"/>
              <w:rPr>
                <w:rFonts w:asciiTheme="majorHAnsi" w:hAnsiTheme="majorHAnsi" w:cstheme="majorHAnsi"/>
                <w:noProof/>
                <w:sz w:val="20"/>
                <w:szCs w:val="20"/>
              </w:rPr>
            </w:pPr>
            <w:r>
              <w:rPr>
                <w:rFonts w:asciiTheme="majorHAnsi" w:hAnsiTheme="majorHAnsi"/>
                <w:b/>
                <w:bCs/>
                <w:noProof/>
                <w:color w:val="000000"/>
                <w:sz w:val="20"/>
                <w:szCs w:val="20"/>
              </w:rPr>
              <w:t>Węgry</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131</w:t>
            </w:r>
          </w:p>
        </w:tc>
        <w:tc>
          <w:tcPr>
            <w:tcW w:w="819" w:type="dxa"/>
            <w:tcBorders>
              <w:top w:val="nil"/>
              <w:left w:val="nil"/>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1 731</w:t>
            </w:r>
          </w:p>
        </w:tc>
        <w:tc>
          <w:tcPr>
            <w:tcW w:w="959"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1 731</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3 680</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47 %</w:t>
            </w:r>
          </w:p>
        </w:tc>
        <w:tc>
          <w:tcPr>
            <w:tcW w:w="1228"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1 971</w:t>
            </w:r>
          </w:p>
        </w:tc>
        <w:tc>
          <w:tcPr>
            <w:tcW w:w="1264"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88 %</w:t>
            </w:r>
          </w:p>
        </w:tc>
      </w:tr>
      <w:tr w:rsidR="007F7DFF" w:rsidTr="007F7DFF">
        <w:trPr>
          <w:jc w:val="center"/>
        </w:trPr>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center"/>
              <w:rPr>
                <w:rFonts w:asciiTheme="majorHAnsi" w:hAnsiTheme="majorHAnsi" w:cstheme="majorHAnsi"/>
                <w:noProof/>
                <w:sz w:val="20"/>
                <w:szCs w:val="20"/>
              </w:rPr>
            </w:pPr>
            <w:r>
              <w:rPr>
                <w:rFonts w:asciiTheme="majorHAnsi" w:hAnsiTheme="majorHAnsi"/>
                <w:b/>
                <w:bCs/>
                <w:noProof/>
                <w:color w:val="000000"/>
                <w:sz w:val="20"/>
                <w:szCs w:val="20"/>
              </w:rPr>
              <w:t>Irlandia</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87</w:t>
            </w:r>
          </w:p>
        </w:tc>
        <w:tc>
          <w:tcPr>
            <w:tcW w:w="819" w:type="dxa"/>
            <w:tcBorders>
              <w:top w:val="nil"/>
              <w:left w:val="nil"/>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466</w:t>
            </w:r>
          </w:p>
        </w:tc>
        <w:tc>
          <w:tcPr>
            <w:tcW w:w="959"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1 408</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2 164</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65 %</w:t>
            </w:r>
          </w:p>
        </w:tc>
        <w:tc>
          <w:tcPr>
            <w:tcW w:w="1228"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1 159</w:t>
            </w:r>
          </w:p>
        </w:tc>
        <w:tc>
          <w:tcPr>
            <w:tcW w:w="1264"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121 %</w:t>
            </w:r>
          </w:p>
        </w:tc>
      </w:tr>
      <w:tr w:rsidR="007F7DFF" w:rsidTr="007F7DFF">
        <w:trPr>
          <w:jc w:val="center"/>
        </w:trPr>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center"/>
              <w:rPr>
                <w:rFonts w:asciiTheme="majorHAnsi" w:hAnsiTheme="majorHAnsi" w:cstheme="majorHAnsi"/>
                <w:noProof/>
                <w:sz w:val="20"/>
                <w:szCs w:val="20"/>
              </w:rPr>
            </w:pPr>
            <w:r>
              <w:rPr>
                <w:rFonts w:asciiTheme="majorHAnsi" w:hAnsiTheme="majorHAnsi"/>
                <w:b/>
                <w:bCs/>
                <w:noProof/>
                <w:color w:val="000000"/>
                <w:sz w:val="20"/>
                <w:szCs w:val="20"/>
              </w:rPr>
              <w:t>Włochy</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3 998</w:t>
            </w:r>
          </w:p>
        </w:tc>
        <w:tc>
          <w:tcPr>
            <w:tcW w:w="819" w:type="dxa"/>
            <w:tcBorders>
              <w:top w:val="nil"/>
              <w:left w:val="nil"/>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3 998</w:t>
            </w:r>
          </w:p>
        </w:tc>
        <w:tc>
          <w:tcPr>
            <w:tcW w:w="959"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12 729</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25 502</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50 %</w:t>
            </w:r>
          </w:p>
        </w:tc>
        <w:tc>
          <w:tcPr>
            <w:tcW w:w="1228"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13 662</w:t>
            </w:r>
          </w:p>
        </w:tc>
        <w:tc>
          <w:tcPr>
            <w:tcW w:w="1264"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93 %</w:t>
            </w:r>
          </w:p>
        </w:tc>
      </w:tr>
      <w:tr w:rsidR="007F7DFF" w:rsidTr="007F7DFF">
        <w:trPr>
          <w:jc w:val="center"/>
        </w:trPr>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center"/>
              <w:rPr>
                <w:rFonts w:asciiTheme="majorHAnsi" w:hAnsiTheme="majorHAnsi" w:cstheme="majorHAnsi"/>
                <w:noProof/>
                <w:sz w:val="20"/>
                <w:szCs w:val="20"/>
              </w:rPr>
            </w:pPr>
            <w:r>
              <w:rPr>
                <w:rFonts w:asciiTheme="majorHAnsi" w:hAnsiTheme="majorHAnsi"/>
                <w:b/>
                <w:bCs/>
                <w:noProof/>
                <w:color w:val="000000"/>
                <w:sz w:val="20"/>
                <w:szCs w:val="20"/>
              </w:rPr>
              <w:t>Łotwa</w:t>
            </w:r>
            <w:r>
              <w:rPr>
                <w:noProof/>
              </w:rPr>
              <w:t>*</w:t>
            </w:r>
          </w:p>
        </w:tc>
        <w:tc>
          <w:tcPr>
            <w:tcW w:w="943" w:type="dxa"/>
            <w:tcBorders>
              <w:top w:val="nil"/>
              <w:left w:val="single" w:sz="4" w:space="0" w:color="auto"/>
              <w:bottom w:val="single" w:sz="4" w:space="0" w:color="auto"/>
              <w:right w:val="single" w:sz="4" w:space="0" w:color="auto"/>
            </w:tcBorders>
            <w:shd w:val="clear" w:color="auto" w:fill="auto"/>
            <w:noWrap/>
            <w:vAlign w:val="center"/>
          </w:tcPr>
          <w:p w:rsidR="007F7DFF" w:rsidRDefault="007F7DFF">
            <w:pPr>
              <w:pStyle w:val="TabeltekstCEDelft"/>
              <w:jc w:val="right"/>
              <w:rPr>
                <w:rFonts w:asciiTheme="majorHAnsi" w:hAnsiTheme="majorHAnsi" w:cstheme="majorHAnsi"/>
                <w:noProof/>
                <w:sz w:val="20"/>
                <w:szCs w:val="20"/>
              </w:rPr>
            </w:pPr>
          </w:p>
        </w:tc>
        <w:tc>
          <w:tcPr>
            <w:tcW w:w="819" w:type="dxa"/>
            <w:tcBorders>
              <w:top w:val="nil"/>
              <w:left w:val="nil"/>
              <w:bottom w:val="single" w:sz="4" w:space="0" w:color="auto"/>
              <w:right w:val="single" w:sz="4" w:space="0" w:color="auto"/>
            </w:tcBorders>
            <w:shd w:val="clear" w:color="auto" w:fill="auto"/>
            <w:noWrap/>
          </w:tcPr>
          <w:p w:rsidR="007F7DFF" w:rsidRDefault="007F7DFF">
            <w:pPr>
              <w:pStyle w:val="TabeltekstCEDelft"/>
              <w:jc w:val="right"/>
              <w:rPr>
                <w:rFonts w:asciiTheme="majorHAnsi" w:hAnsiTheme="majorHAnsi" w:cstheme="majorHAnsi"/>
                <w:noProof/>
                <w:sz w:val="20"/>
                <w:szCs w:val="20"/>
              </w:rPr>
            </w:pPr>
          </w:p>
        </w:tc>
        <w:tc>
          <w:tcPr>
            <w:tcW w:w="959"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436</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851</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51 %</w:t>
            </w:r>
          </w:p>
        </w:tc>
        <w:tc>
          <w:tcPr>
            <w:tcW w:w="1228"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456</w:t>
            </w:r>
          </w:p>
        </w:tc>
        <w:tc>
          <w:tcPr>
            <w:tcW w:w="1264"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96 %</w:t>
            </w:r>
          </w:p>
        </w:tc>
      </w:tr>
      <w:tr w:rsidR="007F7DFF" w:rsidTr="007F7DFF">
        <w:trPr>
          <w:jc w:val="center"/>
        </w:trPr>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center"/>
              <w:rPr>
                <w:rFonts w:asciiTheme="majorHAnsi" w:hAnsiTheme="majorHAnsi" w:cstheme="majorHAnsi"/>
                <w:noProof/>
                <w:sz w:val="20"/>
                <w:szCs w:val="20"/>
              </w:rPr>
            </w:pPr>
            <w:r>
              <w:rPr>
                <w:rFonts w:asciiTheme="majorHAnsi" w:hAnsiTheme="majorHAnsi"/>
                <w:b/>
                <w:bCs/>
                <w:noProof/>
                <w:color w:val="000000"/>
                <w:sz w:val="20"/>
                <w:szCs w:val="20"/>
              </w:rPr>
              <w:t>Litwa</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79</w:t>
            </w:r>
          </w:p>
        </w:tc>
        <w:tc>
          <w:tcPr>
            <w:tcW w:w="819" w:type="dxa"/>
            <w:tcBorders>
              <w:top w:val="nil"/>
              <w:left w:val="nil"/>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152</w:t>
            </w:r>
          </w:p>
        </w:tc>
        <w:tc>
          <w:tcPr>
            <w:tcW w:w="959"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511</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1 004</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51 %</w:t>
            </w:r>
          </w:p>
        </w:tc>
        <w:tc>
          <w:tcPr>
            <w:tcW w:w="1228"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538</w:t>
            </w:r>
          </w:p>
        </w:tc>
        <w:tc>
          <w:tcPr>
            <w:tcW w:w="1264"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95 %</w:t>
            </w:r>
          </w:p>
        </w:tc>
      </w:tr>
      <w:tr w:rsidR="007F7DFF" w:rsidTr="007F7DFF">
        <w:trPr>
          <w:jc w:val="center"/>
        </w:trPr>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center"/>
              <w:rPr>
                <w:rFonts w:asciiTheme="majorHAnsi" w:hAnsiTheme="majorHAnsi" w:cstheme="majorHAnsi"/>
                <w:noProof/>
                <w:sz w:val="20"/>
                <w:szCs w:val="20"/>
              </w:rPr>
            </w:pPr>
            <w:r>
              <w:rPr>
                <w:rFonts w:asciiTheme="majorHAnsi" w:hAnsiTheme="majorHAnsi"/>
                <w:b/>
                <w:bCs/>
                <w:noProof/>
                <w:color w:val="000000"/>
                <w:sz w:val="20"/>
                <w:szCs w:val="20"/>
              </w:rPr>
              <w:t>Luksemburg</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9</w:t>
            </w:r>
          </w:p>
        </w:tc>
        <w:tc>
          <w:tcPr>
            <w:tcW w:w="819" w:type="dxa"/>
            <w:tcBorders>
              <w:top w:val="nil"/>
              <w:left w:val="nil"/>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44</w:t>
            </w:r>
          </w:p>
        </w:tc>
        <w:tc>
          <w:tcPr>
            <w:tcW w:w="959"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113</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515</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22 %</w:t>
            </w:r>
          </w:p>
        </w:tc>
        <w:tc>
          <w:tcPr>
            <w:tcW w:w="1228"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276</w:t>
            </w:r>
          </w:p>
        </w:tc>
        <w:tc>
          <w:tcPr>
            <w:tcW w:w="1264"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41 %</w:t>
            </w:r>
          </w:p>
        </w:tc>
      </w:tr>
      <w:tr w:rsidR="007F7DFF" w:rsidTr="007F7DFF">
        <w:trPr>
          <w:jc w:val="center"/>
        </w:trPr>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center"/>
              <w:rPr>
                <w:rFonts w:asciiTheme="majorHAnsi" w:hAnsiTheme="majorHAnsi" w:cstheme="majorHAnsi"/>
                <w:noProof/>
                <w:sz w:val="20"/>
                <w:szCs w:val="20"/>
              </w:rPr>
            </w:pPr>
            <w:r>
              <w:rPr>
                <w:rFonts w:asciiTheme="majorHAnsi" w:hAnsiTheme="majorHAnsi"/>
                <w:b/>
                <w:bCs/>
                <w:noProof/>
                <w:color w:val="000000"/>
                <w:sz w:val="20"/>
                <w:szCs w:val="20"/>
              </w:rPr>
              <w:t>Malta</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5</w:t>
            </w:r>
          </w:p>
        </w:tc>
        <w:tc>
          <w:tcPr>
            <w:tcW w:w="819" w:type="dxa"/>
            <w:tcBorders>
              <w:top w:val="nil"/>
              <w:left w:val="nil"/>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17</w:t>
            </w:r>
          </w:p>
        </w:tc>
        <w:tc>
          <w:tcPr>
            <w:tcW w:w="959"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47</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67</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71 %</w:t>
            </w:r>
          </w:p>
        </w:tc>
        <w:tc>
          <w:tcPr>
            <w:tcW w:w="1228"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36</w:t>
            </w:r>
          </w:p>
        </w:tc>
        <w:tc>
          <w:tcPr>
            <w:tcW w:w="1264"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132 %</w:t>
            </w:r>
          </w:p>
        </w:tc>
      </w:tr>
      <w:tr w:rsidR="007F7DFF" w:rsidTr="007F7DFF">
        <w:trPr>
          <w:jc w:val="center"/>
        </w:trPr>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center"/>
              <w:rPr>
                <w:rFonts w:asciiTheme="majorHAnsi" w:hAnsiTheme="majorHAnsi" w:cstheme="majorHAnsi"/>
                <w:noProof/>
                <w:sz w:val="20"/>
                <w:szCs w:val="20"/>
              </w:rPr>
            </w:pPr>
            <w:r>
              <w:rPr>
                <w:rFonts w:asciiTheme="majorHAnsi" w:hAnsiTheme="majorHAnsi"/>
                <w:b/>
                <w:bCs/>
                <w:noProof/>
                <w:color w:val="000000"/>
                <w:sz w:val="20"/>
                <w:szCs w:val="20"/>
              </w:rPr>
              <w:t>Niderlandy</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611</w:t>
            </w:r>
          </w:p>
        </w:tc>
        <w:tc>
          <w:tcPr>
            <w:tcW w:w="819" w:type="dxa"/>
            <w:tcBorders>
              <w:top w:val="nil"/>
              <w:left w:val="nil"/>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2 274</w:t>
            </w:r>
          </w:p>
        </w:tc>
        <w:tc>
          <w:tcPr>
            <w:tcW w:w="959"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7 777</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11 512</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68 %</w:t>
            </w:r>
          </w:p>
        </w:tc>
        <w:tc>
          <w:tcPr>
            <w:tcW w:w="1228"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6 167</w:t>
            </w:r>
          </w:p>
        </w:tc>
        <w:tc>
          <w:tcPr>
            <w:tcW w:w="1264"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126 %</w:t>
            </w:r>
          </w:p>
        </w:tc>
      </w:tr>
      <w:tr w:rsidR="007F7DFF" w:rsidTr="007F7DFF">
        <w:trPr>
          <w:jc w:val="center"/>
        </w:trPr>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center"/>
              <w:rPr>
                <w:rFonts w:asciiTheme="majorHAnsi" w:hAnsiTheme="majorHAnsi" w:cstheme="majorHAnsi"/>
                <w:noProof/>
                <w:sz w:val="20"/>
                <w:szCs w:val="20"/>
              </w:rPr>
            </w:pPr>
            <w:r>
              <w:rPr>
                <w:rFonts w:asciiTheme="majorHAnsi" w:hAnsiTheme="majorHAnsi"/>
                <w:b/>
                <w:bCs/>
                <w:noProof/>
                <w:color w:val="000000"/>
                <w:sz w:val="20"/>
                <w:szCs w:val="20"/>
              </w:rPr>
              <w:t>Polska</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331</w:t>
            </w:r>
          </w:p>
        </w:tc>
        <w:tc>
          <w:tcPr>
            <w:tcW w:w="819" w:type="dxa"/>
            <w:tcBorders>
              <w:top w:val="nil"/>
              <w:left w:val="nil"/>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2 977</w:t>
            </w:r>
          </w:p>
        </w:tc>
        <w:tc>
          <w:tcPr>
            <w:tcW w:w="959"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8 891</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14 818</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60 %</w:t>
            </w:r>
          </w:p>
        </w:tc>
        <w:tc>
          <w:tcPr>
            <w:tcW w:w="1228"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7 938</w:t>
            </w:r>
          </w:p>
        </w:tc>
        <w:tc>
          <w:tcPr>
            <w:tcW w:w="1264"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112 %</w:t>
            </w:r>
          </w:p>
        </w:tc>
      </w:tr>
      <w:tr w:rsidR="007F7DFF" w:rsidTr="007F7DFF">
        <w:trPr>
          <w:jc w:val="center"/>
        </w:trPr>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center"/>
              <w:rPr>
                <w:rFonts w:asciiTheme="majorHAnsi" w:hAnsiTheme="majorHAnsi" w:cstheme="majorHAnsi"/>
                <w:noProof/>
                <w:sz w:val="20"/>
                <w:szCs w:val="20"/>
              </w:rPr>
            </w:pPr>
            <w:r>
              <w:rPr>
                <w:rFonts w:asciiTheme="majorHAnsi" w:hAnsiTheme="majorHAnsi"/>
                <w:b/>
                <w:bCs/>
                <w:noProof/>
                <w:color w:val="000000"/>
                <w:sz w:val="20"/>
                <w:szCs w:val="20"/>
              </w:rPr>
              <w:t>Portugalia*</w:t>
            </w:r>
          </w:p>
        </w:tc>
        <w:tc>
          <w:tcPr>
            <w:tcW w:w="943" w:type="dxa"/>
            <w:tcBorders>
              <w:top w:val="nil"/>
              <w:left w:val="single" w:sz="4" w:space="0" w:color="auto"/>
              <w:bottom w:val="single" w:sz="4" w:space="0" w:color="auto"/>
              <w:right w:val="single" w:sz="4" w:space="0" w:color="auto"/>
            </w:tcBorders>
            <w:shd w:val="clear" w:color="auto" w:fill="auto"/>
            <w:noWrap/>
            <w:vAlign w:val="center"/>
          </w:tcPr>
          <w:p w:rsidR="007F7DFF" w:rsidRDefault="007F7DFF">
            <w:pPr>
              <w:pStyle w:val="TabeltekstCEDelft"/>
              <w:jc w:val="right"/>
              <w:rPr>
                <w:rFonts w:asciiTheme="majorHAnsi" w:hAnsiTheme="majorHAnsi" w:cstheme="majorHAnsi"/>
                <w:noProof/>
                <w:sz w:val="20"/>
                <w:szCs w:val="20"/>
              </w:rPr>
            </w:pPr>
          </w:p>
        </w:tc>
        <w:tc>
          <w:tcPr>
            <w:tcW w:w="819" w:type="dxa"/>
            <w:tcBorders>
              <w:top w:val="nil"/>
              <w:left w:val="nil"/>
              <w:bottom w:val="single" w:sz="4" w:space="0" w:color="auto"/>
              <w:right w:val="single" w:sz="4" w:space="0" w:color="auto"/>
            </w:tcBorders>
            <w:shd w:val="clear" w:color="auto" w:fill="auto"/>
            <w:noWrap/>
          </w:tcPr>
          <w:p w:rsidR="007F7DFF" w:rsidRDefault="007F7DFF">
            <w:pPr>
              <w:pStyle w:val="TabeltekstCEDelft"/>
              <w:jc w:val="right"/>
              <w:rPr>
                <w:rFonts w:asciiTheme="majorHAnsi" w:hAnsiTheme="majorHAnsi" w:cstheme="majorHAnsi"/>
                <w:noProof/>
                <w:sz w:val="20"/>
                <w:szCs w:val="20"/>
              </w:rPr>
            </w:pPr>
          </w:p>
        </w:tc>
        <w:tc>
          <w:tcPr>
            <w:tcW w:w="959"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453</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2 532</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18 %</w:t>
            </w:r>
          </w:p>
        </w:tc>
        <w:tc>
          <w:tcPr>
            <w:tcW w:w="1228"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1 356</w:t>
            </w:r>
          </w:p>
        </w:tc>
        <w:tc>
          <w:tcPr>
            <w:tcW w:w="1264"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33 %</w:t>
            </w:r>
          </w:p>
        </w:tc>
      </w:tr>
      <w:tr w:rsidR="007F7DFF" w:rsidTr="007F7DFF">
        <w:trPr>
          <w:jc w:val="center"/>
        </w:trPr>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center"/>
              <w:rPr>
                <w:rFonts w:asciiTheme="majorHAnsi" w:hAnsiTheme="majorHAnsi" w:cstheme="majorHAnsi"/>
                <w:noProof/>
                <w:sz w:val="20"/>
                <w:szCs w:val="20"/>
              </w:rPr>
            </w:pPr>
            <w:r>
              <w:rPr>
                <w:rFonts w:asciiTheme="majorHAnsi" w:hAnsiTheme="majorHAnsi"/>
                <w:b/>
                <w:bCs/>
                <w:noProof/>
                <w:color w:val="000000"/>
                <w:sz w:val="20"/>
                <w:szCs w:val="20"/>
              </w:rPr>
              <w:t>Rumunia</w:t>
            </w:r>
          </w:p>
        </w:tc>
        <w:tc>
          <w:tcPr>
            <w:tcW w:w="943" w:type="dxa"/>
            <w:tcBorders>
              <w:top w:val="nil"/>
              <w:left w:val="single" w:sz="4" w:space="0" w:color="auto"/>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59</w:t>
            </w:r>
          </w:p>
        </w:tc>
        <w:tc>
          <w:tcPr>
            <w:tcW w:w="819" w:type="dxa"/>
            <w:tcBorders>
              <w:top w:val="nil"/>
              <w:left w:val="nil"/>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366</w:t>
            </w:r>
          </w:p>
        </w:tc>
        <w:tc>
          <w:tcPr>
            <w:tcW w:w="959" w:type="dxa"/>
            <w:tcBorders>
              <w:top w:val="nil"/>
              <w:left w:val="nil"/>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1 343</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5 817</w:t>
            </w:r>
          </w:p>
        </w:tc>
        <w:tc>
          <w:tcPr>
            <w:tcW w:w="1229" w:type="dxa"/>
            <w:tcBorders>
              <w:top w:val="nil"/>
              <w:left w:val="single" w:sz="4" w:space="0" w:color="auto"/>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23 %</w:t>
            </w:r>
          </w:p>
        </w:tc>
        <w:tc>
          <w:tcPr>
            <w:tcW w:w="1228" w:type="dxa"/>
            <w:tcBorders>
              <w:top w:val="nil"/>
              <w:left w:val="nil"/>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3 116</w:t>
            </w:r>
          </w:p>
        </w:tc>
        <w:tc>
          <w:tcPr>
            <w:tcW w:w="1264" w:type="dxa"/>
            <w:tcBorders>
              <w:top w:val="nil"/>
              <w:left w:val="nil"/>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43 %</w:t>
            </w:r>
          </w:p>
        </w:tc>
      </w:tr>
      <w:tr w:rsidR="007F7DFF" w:rsidTr="007F7DFF">
        <w:trPr>
          <w:jc w:val="center"/>
        </w:trPr>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center"/>
              <w:rPr>
                <w:rFonts w:asciiTheme="majorHAnsi" w:hAnsiTheme="majorHAnsi" w:cstheme="majorHAnsi"/>
                <w:noProof/>
                <w:sz w:val="20"/>
                <w:szCs w:val="20"/>
              </w:rPr>
            </w:pPr>
            <w:r>
              <w:rPr>
                <w:rFonts w:asciiTheme="majorHAnsi" w:hAnsiTheme="majorHAnsi"/>
                <w:b/>
                <w:bCs/>
                <w:noProof/>
                <w:color w:val="000000"/>
                <w:sz w:val="20"/>
                <w:szCs w:val="20"/>
              </w:rPr>
              <w:t>Słowacja</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106</w:t>
            </w:r>
          </w:p>
        </w:tc>
        <w:tc>
          <w:tcPr>
            <w:tcW w:w="819" w:type="dxa"/>
            <w:tcBorders>
              <w:top w:val="nil"/>
              <w:left w:val="nil"/>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466</w:t>
            </w:r>
          </w:p>
        </w:tc>
        <w:tc>
          <w:tcPr>
            <w:tcW w:w="959"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1 420</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2 284</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62 %</w:t>
            </w:r>
          </w:p>
        </w:tc>
        <w:tc>
          <w:tcPr>
            <w:tcW w:w="1228"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1 224</w:t>
            </w:r>
          </w:p>
        </w:tc>
        <w:tc>
          <w:tcPr>
            <w:tcW w:w="1264"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116 %</w:t>
            </w:r>
          </w:p>
        </w:tc>
      </w:tr>
      <w:tr w:rsidR="007F7DFF" w:rsidTr="007F7DFF">
        <w:trPr>
          <w:jc w:val="center"/>
        </w:trPr>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center"/>
              <w:rPr>
                <w:rFonts w:asciiTheme="majorHAnsi" w:hAnsiTheme="majorHAnsi" w:cstheme="majorHAnsi"/>
                <w:noProof/>
                <w:sz w:val="20"/>
                <w:szCs w:val="20"/>
              </w:rPr>
            </w:pPr>
            <w:r>
              <w:rPr>
                <w:rFonts w:asciiTheme="majorHAnsi" w:hAnsiTheme="majorHAnsi"/>
                <w:b/>
                <w:bCs/>
                <w:noProof/>
                <w:color w:val="000000"/>
                <w:sz w:val="20"/>
                <w:szCs w:val="20"/>
              </w:rPr>
              <w:t>Słowenia</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38</w:t>
            </w:r>
          </w:p>
        </w:tc>
        <w:tc>
          <w:tcPr>
            <w:tcW w:w="819" w:type="dxa"/>
            <w:tcBorders>
              <w:top w:val="nil"/>
              <w:left w:val="nil"/>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133</w:t>
            </w:r>
          </w:p>
        </w:tc>
        <w:tc>
          <w:tcPr>
            <w:tcW w:w="959"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447</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945</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47 %</w:t>
            </w:r>
          </w:p>
        </w:tc>
        <w:tc>
          <w:tcPr>
            <w:tcW w:w="1228"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506</w:t>
            </w:r>
          </w:p>
        </w:tc>
        <w:tc>
          <w:tcPr>
            <w:tcW w:w="1264"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88 %</w:t>
            </w:r>
          </w:p>
        </w:tc>
      </w:tr>
      <w:tr w:rsidR="007F7DFF" w:rsidTr="007F7DFF">
        <w:trPr>
          <w:jc w:val="center"/>
        </w:trPr>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center"/>
              <w:rPr>
                <w:rFonts w:asciiTheme="majorHAnsi" w:hAnsiTheme="majorHAnsi" w:cstheme="majorHAnsi"/>
                <w:noProof/>
                <w:sz w:val="20"/>
                <w:szCs w:val="20"/>
              </w:rPr>
            </w:pPr>
            <w:r>
              <w:rPr>
                <w:rFonts w:asciiTheme="majorHAnsi" w:hAnsiTheme="majorHAnsi"/>
                <w:b/>
                <w:bCs/>
                <w:noProof/>
                <w:color w:val="000000"/>
                <w:sz w:val="20"/>
                <w:szCs w:val="20"/>
              </w:rPr>
              <w:t>Hiszpania</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539</w:t>
            </w:r>
          </w:p>
        </w:tc>
        <w:tc>
          <w:tcPr>
            <w:tcW w:w="819" w:type="dxa"/>
            <w:tcBorders>
              <w:top w:val="nil"/>
              <w:left w:val="nil"/>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2 296</w:t>
            </w:r>
          </w:p>
        </w:tc>
        <w:tc>
          <w:tcPr>
            <w:tcW w:w="959"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6 958</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 xml:space="preserve">15 </w:t>
            </w:r>
            <w:r>
              <w:rPr>
                <w:rFonts w:asciiTheme="majorHAnsi" w:hAnsiTheme="majorHAnsi"/>
                <w:noProof/>
                <w:color w:val="000000"/>
                <w:sz w:val="20"/>
                <w:szCs w:val="20"/>
              </w:rPr>
              <w:t>979</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44 %</w:t>
            </w:r>
          </w:p>
        </w:tc>
        <w:tc>
          <w:tcPr>
            <w:tcW w:w="1228"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8 560</w:t>
            </w:r>
          </w:p>
        </w:tc>
        <w:tc>
          <w:tcPr>
            <w:tcW w:w="1264"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81 %</w:t>
            </w:r>
          </w:p>
        </w:tc>
      </w:tr>
      <w:tr w:rsidR="007F7DFF" w:rsidTr="007F7DFF">
        <w:trPr>
          <w:jc w:val="center"/>
        </w:trPr>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center"/>
              <w:rPr>
                <w:rFonts w:asciiTheme="majorHAnsi" w:hAnsiTheme="majorHAnsi" w:cstheme="majorHAnsi"/>
                <w:noProof/>
                <w:sz w:val="20"/>
                <w:szCs w:val="20"/>
              </w:rPr>
            </w:pPr>
            <w:r>
              <w:rPr>
                <w:rFonts w:asciiTheme="majorHAnsi" w:hAnsiTheme="majorHAnsi"/>
                <w:b/>
                <w:bCs/>
                <w:noProof/>
                <w:color w:val="000000"/>
                <w:sz w:val="20"/>
                <w:szCs w:val="20"/>
              </w:rPr>
              <w:t>Szwecja</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1 436</w:t>
            </w:r>
          </w:p>
        </w:tc>
        <w:tc>
          <w:tcPr>
            <w:tcW w:w="819" w:type="dxa"/>
            <w:tcBorders>
              <w:top w:val="nil"/>
              <w:left w:val="nil"/>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1 436</w:t>
            </w:r>
          </w:p>
        </w:tc>
        <w:tc>
          <w:tcPr>
            <w:tcW w:w="959"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4 654</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9 114</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51 %</w:t>
            </w:r>
          </w:p>
        </w:tc>
        <w:tc>
          <w:tcPr>
            <w:tcW w:w="1228"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4 883</w:t>
            </w:r>
          </w:p>
        </w:tc>
        <w:tc>
          <w:tcPr>
            <w:tcW w:w="1264"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95 %</w:t>
            </w:r>
          </w:p>
        </w:tc>
      </w:tr>
      <w:tr w:rsidR="007F7DFF" w:rsidTr="007F7DFF">
        <w:trPr>
          <w:jc w:val="center"/>
        </w:trPr>
        <w:tc>
          <w:tcPr>
            <w:tcW w:w="1434"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center"/>
              <w:rPr>
                <w:rFonts w:asciiTheme="majorHAnsi" w:hAnsiTheme="majorHAnsi" w:cstheme="majorHAnsi"/>
                <w:noProof/>
                <w:sz w:val="20"/>
                <w:szCs w:val="20"/>
              </w:rPr>
            </w:pPr>
            <w:r>
              <w:rPr>
                <w:rFonts w:asciiTheme="majorHAnsi" w:hAnsiTheme="majorHAnsi"/>
                <w:b/>
                <w:bCs/>
                <w:noProof/>
                <w:color w:val="000000"/>
                <w:sz w:val="20"/>
                <w:szCs w:val="20"/>
              </w:rPr>
              <w:t>Zjednoczone Królestwo</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1 032</w:t>
            </w:r>
          </w:p>
        </w:tc>
        <w:tc>
          <w:tcPr>
            <w:tcW w:w="819" w:type="dxa"/>
            <w:tcBorders>
              <w:top w:val="nil"/>
              <w:left w:val="nil"/>
              <w:bottom w:val="single" w:sz="4" w:space="0" w:color="auto"/>
              <w:right w:val="single" w:sz="4" w:space="0" w:color="auto"/>
            </w:tcBorders>
            <w:shd w:val="clear" w:color="auto" w:fill="auto"/>
            <w:noWrap/>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sz w:val="20"/>
                <w:szCs w:val="20"/>
              </w:rPr>
              <w:t>5 056</w:t>
            </w:r>
          </w:p>
        </w:tc>
        <w:tc>
          <w:tcPr>
            <w:tcW w:w="959"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18 469</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27 859</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66 %</w:t>
            </w:r>
          </w:p>
        </w:tc>
        <w:tc>
          <w:tcPr>
            <w:tcW w:w="1228"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14 924</w:t>
            </w:r>
          </w:p>
        </w:tc>
        <w:tc>
          <w:tcPr>
            <w:tcW w:w="1264"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noProof/>
                <w:sz w:val="20"/>
                <w:szCs w:val="20"/>
              </w:rPr>
            </w:pPr>
            <w:r>
              <w:rPr>
                <w:rFonts w:asciiTheme="majorHAnsi" w:hAnsiTheme="majorHAnsi"/>
                <w:noProof/>
                <w:color w:val="000000"/>
                <w:sz w:val="20"/>
                <w:szCs w:val="20"/>
              </w:rPr>
              <w:t>124 %</w:t>
            </w:r>
          </w:p>
        </w:tc>
      </w:tr>
      <w:tr w:rsidR="007F7DFF" w:rsidTr="007F7DFF">
        <w:trPr>
          <w:jc w:val="center"/>
        </w:trPr>
        <w:tc>
          <w:tcPr>
            <w:tcW w:w="1434" w:type="dxa"/>
            <w:shd w:val="clear" w:color="auto" w:fill="E1F4FF"/>
            <w:noWrap/>
            <w:vAlign w:val="center"/>
            <w:hideMark/>
          </w:tcPr>
          <w:p w:rsidR="007F7DFF" w:rsidRDefault="00E310EF">
            <w:pPr>
              <w:pStyle w:val="TabeltekstCEDelft"/>
              <w:jc w:val="center"/>
              <w:rPr>
                <w:rFonts w:asciiTheme="majorHAnsi" w:hAnsiTheme="majorHAnsi" w:cstheme="majorHAnsi"/>
                <w:b/>
                <w:bCs/>
                <w:noProof/>
                <w:sz w:val="20"/>
                <w:szCs w:val="20"/>
              </w:rPr>
            </w:pPr>
            <w:r>
              <w:rPr>
                <w:rFonts w:asciiTheme="majorHAnsi" w:hAnsiTheme="majorHAnsi"/>
                <w:b/>
                <w:bCs/>
                <w:noProof/>
                <w:color w:val="000000"/>
                <w:sz w:val="20"/>
                <w:szCs w:val="20"/>
              </w:rPr>
              <w:t>Łącznie</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b/>
                <w:bCs/>
                <w:noProof/>
                <w:sz w:val="20"/>
                <w:szCs w:val="20"/>
              </w:rPr>
            </w:pPr>
            <w:r>
              <w:rPr>
                <w:rFonts w:asciiTheme="majorHAnsi" w:hAnsiTheme="majorHAnsi"/>
                <w:b/>
                <w:bCs/>
                <w:noProof/>
                <w:color w:val="000000"/>
                <w:sz w:val="20"/>
                <w:szCs w:val="20"/>
              </w:rPr>
              <w:t>14 634</w:t>
            </w:r>
          </w:p>
        </w:tc>
        <w:tc>
          <w:tcPr>
            <w:tcW w:w="819"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b/>
                <w:bCs/>
                <w:noProof/>
                <w:sz w:val="20"/>
                <w:szCs w:val="20"/>
              </w:rPr>
            </w:pPr>
            <w:r>
              <w:rPr>
                <w:rFonts w:asciiTheme="majorHAnsi" w:hAnsiTheme="majorHAnsi"/>
                <w:b/>
                <w:bCs/>
                <w:noProof/>
                <w:color w:val="000000"/>
                <w:sz w:val="20"/>
                <w:szCs w:val="20"/>
              </w:rPr>
              <w:t>80 692</w:t>
            </w:r>
          </w:p>
        </w:tc>
        <w:tc>
          <w:tcPr>
            <w:tcW w:w="959"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b/>
                <w:bCs/>
                <w:noProof/>
                <w:sz w:val="20"/>
                <w:szCs w:val="20"/>
              </w:rPr>
            </w:pPr>
            <w:r>
              <w:rPr>
                <w:rFonts w:asciiTheme="majorHAnsi" w:hAnsiTheme="majorHAnsi"/>
                <w:b/>
                <w:bCs/>
                <w:noProof/>
                <w:color w:val="000000"/>
                <w:sz w:val="20"/>
                <w:szCs w:val="20"/>
              </w:rPr>
              <w:t>134 068</w:t>
            </w:r>
          </w:p>
        </w:tc>
        <w:tc>
          <w:tcPr>
            <w:tcW w:w="1228"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b/>
                <w:bCs/>
                <w:noProof/>
                <w:sz w:val="20"/>
                <w:szCs w:val="20"/>
              </w:rPr>
            </w:pPr>
            <w:r>
              <w:rPr>
                <w:rFonts w:asciiTheme="majorHAnsi" w:hAnsiTheme="majorHAnsi"/>
                <w:b/>
                <w:bCs/>
                <w:noProof/>
                <w:color w:val="000000"/>
                <w:sz w:val="20"/>
                <w:szCs w:val="20"/>
              </w:rPr>
              <w:t>230 169</w:t>
            </w:r>
          </w:p>
        </w:tc>
        <w:tc>
          <w:tcPr>
            <w:tcW w:w="1229" w:type="dxa"/>
            <w:tcBorders>
              <w:top w:val="nil"/>
              <w:left w:val="single" w:sz="4" w:space="0" w:color="auto"/>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b/>
                <w:bCs/>
                <w:noProof/>
                <w:sz w:val="20"/>
                <w:szCs w:val="20"/>
              </w:rPr>
            </w:pPr>
            <w:r>
              <w:rPr>
                <w:rFonts w:asciiTheme="majorHAnsi" w:hAnsiTheme="majorHAnsi"/>
                <w:b/>
                <w:bCs/>
                <w:noProof/>
                <w:color w:val="000000"/>
                <w:sz w:val="20"/>
                <w:szCs w:val="20"/>
              </w:rPr>
              <w:t>58 %</w:t>
            </w:r>
          </w:p>
        </w:tc>
        <w:tc>
          <w:tcPr>
            <w:tcW w:w="1228"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b/>
                <w:bCs/>
                <w:noProof/>
                <w:sz w:val="20"/>
                <w:szCs w:val="20"/>
              </w:rPr>
            </w:pPr>
            <w:r>
              <w:rPr>
                <w:rFonts w:asciiTheme="majorHAnsi" w:hAnsiTheme="majorHAnsi"/>
                <w:b/>
                <w:bCs/>
                <w:noProof/>
                <w:color w:val="000000"/>
                <w:sz w:val="20"/>
                <w:szCs w:val="20"/>
              </w:rPr>
              <w:t>123 305</w:t>
            </w:r>
          </w:p>
        </w:tc>
        <w:tc>
          <w:tcPr>
            <w:tcW w:w="1264" w:type="dxa"/>
            <w:tcBorders>
              <w:top w:val="nil"/>
              <w:left w:val="nil"/>
              <w:bottom w:val="single" w:sz="4" w:space="0" w:color="auto"/>
              <w:right w:val="single" w:sz="4" w:space="0" w:color="auto"/>
            </w:tcBorders>
            <w:shd w:val="clear" w:color="auto" w:fill="auto"/>
            <w:noWrap/>
            <w:vAlign w:val="center"/>
            <w:hideMark/>
          </w:tcPr>
          <w:p w:rsidR="007F7DFF" w:rsidRDefault="00E310EF">
            <w:pPr>
              <w:pStyle w:val="TabeltekstCEDelft"/>
              <w:jc w:val="right"/>
              <w:rPr>
                <w:rFonts w:asciiTheme="majorHAnsi" w:hAnsiTheme="majorHAnsi" w:cstheme="majorHAnsi"/>
                <w:b/>
                <w:bCs/>
                <w:noProof/>
                <w:sz w:val="20"/>
                <w:szCs w:val="20"/>
              </w:rPr>
            </w:pPr>
            <w:r>
              <w:rPr>
                <w:rFonts w:asciiTheme="majorHAnsi" w:hAnsiTheme="majorHAnsi"/>
                <w:b/>
                <w:bCs/>
                <w:noProof/>
                <w:color w:val="000000"/>
                <w:sz w:val="20"/>
                <w:szCs w:val="20"/>
              </w:rPr>
              <w:t>109 %</w:t>
            </w:r>
          </w:p>
        </w:tc>
      </w:tr>
    </w:tbl>
    <w:p w:rsidR="007F7DFF" w:rsidRDefault="007F7DFF">
      <w:pPr>
        <w:spacing w:after="0" w:afterAutospacing="0"/>
        <w:rPr>
          <w:i/>
          <w:noProof/>
          <w:sz w:val="22"/>
        </w:rPr>
      </w:pPr>
    </w:p>
    <w:p w:rsidR="007F7DFF" w:rsidRDefault="00E310EF">
      <w:pPr>
        <w:rPr>
          <w:i/>
          <w:noProof/>
          <w:sz w:val="22"/>
        </w:rPr>
      </w:pPr>
      <w:r>
        <w:rPr>
          <w:i/>
          <w:noProof/>
          <w:sz w:val="22"/>
        </w:rPr>
        <w:t xml:space="preserve">Źródło: Informacje przekazane przez państwa członkowskie i, w razie potrzeby, uzupełnione obliczeniami i szacunkami Komisji. </w:t>
      </w:r>
    </w:p>
    <w:p w:rsidR="007F7DFF" w:rsidRDefault="00E310EF">
      <w:pPr>
        <w:rPr>
          <w:i/>
          <w:noProof/>
          <w:sz w:val="18"/>
        </w:rPr>
      </w:pPr>
      <w:r>
        <w:rPr>
          <w:noProof/>
          <w:sz w:val="20"/>
        </w:rPr>
        <w:t>* Dane na temat oszczędności energii osiągniętych w 2018 r. nie były jeszcze dostępne do analizy w przypadku Chorwacji, Łotwy i Po</w:t>
      </w:r>
      <w:r>
        <w:rPr>
          <w:noProof/>
          <w:sz w:val="20"/>
        </w:rPr>
        <w:t>rtugalii. Łączne oszczędności w latach 2014–2018 opierają się na oszczędnościach energii osiągniętych w poprzednich latach do 2017 r., ale nie obejmują nowych oszczędności za 2018 r.</w:t>
      </w:r>
    </w:p>
    <w:p w:rsidR="007F7DFF" w:rsidRDefault="00E310EF">
      <w:pPr>
        <w:spacing w:after="0" w:afterAutospacing="0"/>
        <w:jc w:val="left"/>
        <w:rPr>
          <w:b/>
          <w:noProof/>
        </w:rPr>
      </w:pPr>
      <w:bookmarkStart w:id="54" w:name="_Toc45814158"/>
      <w:r>
        <w:rPr>
          <w:noProof/>
        </w:rPr>
        <w:br w:type="page"/>
      </w:r>
    </w:p>
    <w:p w:rsidR="007F7DFF" w:rsidRDefault="00E310EF">
      <w:pPr>
        <w:pStyle w:val="Legenda"/>
        <w:rPr>
          <w:noProof/>
          <w:sz w:val="24"/>
          <w:szCs w:val="24"/>
        </w:rPr>
      </w:pPr>
      <w:r>
        <w:rPr>
          <w:noProof/>
          <w:sz w:val="24"/>
          <w:szCs w:val="24"/>
        </w:rPr>
        <w:t xml:space="preserve">Tabela 6: Prognozy i prawdopodobieństwo osiągnięcia celu określonego </w:t>
      </w:r>
      <w:r>
        <w:rPr>
          <w:noProof/>
          <w:sz w:val="24"/>
          <w:szCs w:val="24"/>
        </w:rPr>
        <w:t>w art. 7 według państw członkowskich do dnia 31 grudnia 2020 r.*</w:t>
      </w:r>
    </w:p>
    <w:tbl>
      <w:tblPr>
        <w:tblStyle w:val="Tabela-Siatka"/>
        <w:tblW w:w="9322" w:type="dxa"/>
        <w:tblLook w:val="06A0" w:firstRow="1" w:lastRow="0" w:firstColumn="1" w:lastColumn="0" w:noHBand="1" w:noVBand="1"/>
      </w:tblPr>
      <w:tblGrid>
        <w:gridCol w:w="1380"/>
        <w:gridCol w:w="2556"/>
        <w:gridCol w:w="2551"/>
        <w:gridCol w:w="2828"/>
        <w:gridCol w:w="7"/>
      </w:tblGrid>
      <w:tr w:rsidR="007F7DFF">
        <w:trPr>
          <w:gridAfter w:val="1"/>
          <w:wAfter w:w="7" w:type="dxa"/>
          <w:trHeight w:val="300"/>
        </w:trPr>
        <w:tc>
          <w:tcPr>
            <w:tcW w:w="9315" w:type="dxa"/>
            <w:gridSpan w:val="4"/>
            <w:tcBorders>
              <w:top w:val="single" w:sz="8" w:space="0" w:color="auto"/>
              <w:left w:val="single" w:sz="8" w:space="0" w:color="auto"/>
              <w:bottom w:val="single" w:sz="4" w:space="0" w:color="auto"/>
              <w:right w:val="single" w:sz="8" w:space="0" w:color="000000" w:themeColor="text1"/>
            </w:tcBorders>
            <w:shd w:val="clear" w:color="auto" w:fill="DBE5F1" w:themeFill="accent1" w:themeFillTint="33"/>
            <w:vAlign w:val="center"/>
          </w:tcPr>
          <w:p w:rsidR="007F7DFF" w:rsidRDefault="00E310EF">
            <w:pPr>
              <w:spacing w:after="0"/>
              <w:jc w:val="center"/>
              <w:rPr>
                <w:rFonts w:ascii="Calibri" w:eastAsia="Calibri" w:hAnsi="Calibri" w:cs="Calibri"/>
                <w:b/>
                <w:bCs/>
                <w:noProof/>
                <w:color w:val="000000" w:themeColor="text1"/>
              </w:rPr>
            </w:pPr>
            <w:r>
              <w:rPr>
                <w:rFonts w:ascii="Calibri" w:hAnsi="Calibri"/>
                <w:b/>
                <w:bCs/>
                <w:noProof/>
                <w:color w:val="000000" w:themeColor="text1"/>
              </w:rPr>
              <w:t>Scenariusz 1 (stosunek nowych oszczędności do ogólnych rocznych oszczędności &lt;40 %)</w:t>
            </w:r>
          </w:p>
        </w:tc>
      </w:tr>
      <w:tr w:rsidR="007F7DFF">
        <w:trPr>
          <w:gridAfter w:val="1"/>
          <w:wAfter w:w="7" w:type="dxa"/>
          <w:trHeight w:val="996"/>
        </w:trPr>
        <w:tc>
          <w:tcPr>
            <w:tcW w:w="1380" w:type="dxa"/>
            <w:tcBorders>
              <w:top w:val="single" w:sz="4" w:space="0" w:color="auto"/>
              <w:left w:val="single" w:sz="8" w:space="0" w:color="auto"/>
              <w:bottom w:val="single" w:sz="4" w:space="0" w:color="auto"/>
              <w:right w:val="single" w:sz="4" w:space="0" w:color="auto"/>
            </w:tcBorders>
            <w:shd w:val="clear" w:color="auto" w:fill="DBE5F1" w:themeFill="accent1" w:themeFillTint="33"/>
          </w:tcPr>
          <w:p w:rsidR="007F7DFF" w:rsidRDefault="00E310EF">
            <w:pPr>
              <w:jc w:val="center"/>
              <w:rPr>
                <w:rFonts w:ascii="Calibri" w:eastAsia="Calibri" w:hAnsi="Calibri" w:cs="Calibri"/>
                <w:noProof/>
                <w:color w:val="000000" w:themeColor="text1"/>
              </w:rPr>
            </w:pPr>
            <w:r>
              <w:rPr>
                <w:rFonts w:ascii="Calibri" w:hAnsi="Calibri"/>
                <w:noProof/>
                <w:color w:val="000000" w:themeColor="text1"/>
              </w:rPr>
              <w:t>Państwo członkowskie</w:t>
            </w:r>
          </w:p>
        </w:tc>
        <w:tc>
          <w:tcPr>
            <w:tcW w:w="2556" w:type="dxa"/>
            <w:tcBorders>
              <w:top w:val="nil"/>
              <w:left w:val="single" w:sz="4" w:space="0" w:color="auto"/>
              <w:bottom w:val="single" w:sz="4" w:space="0" w:color="auto"/>
              <w:right w:val="single" w:sz="4" w:space="0" w:color="auto"/>
            </w:tcBorders>
            <w:shd w:val="clear" w:color="auto" w:fill="DBE5F1" w:themeFill="accent1" w:themeFillTint="33"/>
          </w:tcPr>
          <w:p w:rsidR="007F7DFF" w:rsidRDefault="00E310EF">
            <w:pPr>
              <w:spacing w:after="0"/>
              <w:jc w:val="center"/>
              <w:rPr>
                <w:rFonts w:ascii="Calibri" w:eastAsia="Calibri" w:hAnsi="Calibri" w:cs="Calibri"/>
                <w:noProof/>
                <w:color w:val="000000" w:themeColor="text1"/>
              </w:rPr>
            </w:pPr>
            <w:r>
              <w:rPr>
                <w:rFonts w:ascii="Calibri" w:hAnsi="Calibri"/>
                <w:noProof/>
                <w:color w:val="000000" w:themeColor="text1"/>
              </w:rPr>
              <w:t>Prognozowane oszczędności w ktoe przy założeniu, że do 2020 r. osiągane będą ogólne r</w:t>
            </w:r>
            <w:r>
              <w:rPr>
                <w:rFonts w:ascii="Calibri" w:hAnsi="Calibri"/>
                <w:noProof/>
                <w:color w:val="000000" w:themeColor="text1"/>
              </w:rPr>
              <w:t>oczne oszczędności na poziomie z 2018 r., a nowe oszczędności osiągane do 2020 r. będą takie same jak w 2018 r.</w:t>
            </w:r>
          </w:p>
        </w:tc>
        <w:tc>
          <w:tcPr>
            <w:tcW w:w="2551" w:type="dxa"/>
            <w:tcBorders>
              <w:top w:val="nil"/>
              <w:left w:val="single" w:sz="4" w:space="0" w:color="auto"/>
              <w:bottom w:val="single" w:sz="4" w:space="0" w:color="auto"/>
              <w:right w:val="single" w:sz="4" w:space="0" w:color="auto"/>
            </w:tcBorders>
            <w:shd w:val="clear" w:color="auto" w:fill="DBE5F1" w:themeFill="accent1" w:themeFillTint="33"/>
          </w:tcPr>
          <w:p w:rsidR="007F7DFF" w:rsidRDefault="00E310EF">
            <w:pPr>
              <w:spacing w:after="0"/>
              <w:jc w:val="center"/>
              <w:rPr>
                <w:rFonts w:ascii="Calibri" w:eastAsia="Calibri" w:hAnsi="Calibri" w:cs="Calibri"/>
                <w:noProof/>
                <w:color w:val="000000" w:themeColor="text1"/>
              </w:rPr>
            </w:pPr>
            <w:r>
              <w:rPr>
                <w:rFonts w:ascii="Calibri" w:hAnsi="Calibri"/>
                <w:noProof/>
                <w:color w:val="000000" w:themeColor="text1"/>
              </w:rPr>
              <w:t>Względne osiągnięcie celu w 2020 r. (prognozowane oszczędności w porównaniu z celem w zakresie oszczędności)</w:t>
            </w:r>
          </w:p>
        </w:tc>
        <w:tc>
          <w:tcPr>
            <w:tcW w:w="2828" w:type="dxa"/>
            <w:tcBorders>
              <w:top w:val="nil"/>
              <w:left w:val="single" w:sz="4" w:space="0" w:color="auto"/>
              <w:bottom w:val="single" w:sz="4" w:space="0" w:color="auto"/>
              <w:right w:val="single" w:sz="8" w:space="0" w:color="000000" w:themeColor="text1"/>
            </w:tcBorders>
            <w:shd w:val="clear" w:color="auto" w:fill="DBE5F1" w:themeFill="accent1" w:themeFillTint="33"/>
          </w:tcPr>
          <w:p w:rsidR="007F7DFF" w:rsidRDefault="00E310EF">
            <w:pPr>
              <w:spacing w:after="0"/>
              <w:jc w:val="center"/>
              <w:rPr>
                <w:rFonts w:ascii="Calibri" w:eastAsia="Calibri" w:hAnsi="Calibri" w:cs="Calibri"/>
                <w:noProof/>
                <w:color w:val="000000" w:themeColor="text1"/>
              </w:rPr>
            </w:pPr>
            <w:r>
              <w:rPr>
                <w:rFonts w:ascii="Calibri" w:hAnsi="Calibri"/>
                <w:noProof/>
                <w:color w:val="000000" w:themeColor="text1"/>
              </w:rPr>
              <w:t>Prawdopodobieństwo osiągnięcia celu</w:t>
            </w:r>
            <w:r>
              <w:rPr>
                <w:noProof/>
              </w:rPr>
              <w:t xml:space="preserve"> </w:t>
            </w:r>
            <w:r>
              <w:rPr>
                <w:noProof/>
              </w:rPr>
              <w:br/>
            </w:r>
          </w:p>
        </w:tc>
      </w:tr>
      <w:tr w:rsidR="007F7DFF">
        <w:trPr>
          <w:gridAfter w:val="1"/>
          <w:wAfter w:w="7" w:type="dxa"/>
          <w:trHeight w:val="300"/>
        </w:trPr>
        <w:tc>
          <w:tcPr>
            <w:tcW w:w="1380" w:type="dxa"/>
            <w:tcBorders>
              <w:top w:val="single" w:sz="4" w:space="0" w:color="auto"/>
              <w:left w:val="single" w:sz="8" w:space="0" w:color="auto"/>
              <w:bottom w:val="single" w:sz="4" w:space="0" w:color="auto"/>
              <w:right w:val="single" w:sz="4" w:space="0" w:color="auto"/>
            </w:tcBorders>
            <w:vAlign w:val="center"/>
          </w:tcPr>
          <w:p w:rsidR="007F7DFF" w:rsidRDefault="00E310EF">
            <w:pPr>
              <w:spacing w:after="0"/>
              <w:rPr>
                <w:rFonts w:ascii="Calibri" w:eastAsia="Calibri" w:hAnsi="Calibri" w:cs="Calibri"/>
                <w:b/>
                <w:bCs/>
                <w:noProof/>
                <w:color w:val="000000" w:themeColor="text1"/>
              </w:rPr>
            </w:pPr>
            <w:r>
              <w:rPr>
                <w:rStyle w:val="normaltextrun"/>
                <w:rFonts w:ascii="Calibri" w:hAnsi="Calibri"/>
                <w:b/>
                <w:noProof/>
                <w:color w:val="000000"/>
              </w:rPr>
              <w:t>Austria</w:t>
            </w:r>
            <w:r>
              <w:rPr>
                <w:rStyle w:val="eop"/>
                <w:rFonts w:ascii="Calibri" w:hAnsi="Calibri"/>
                <w:noProof/>
                <w:color w:val="000000"/>
              </w:rPr>
              <w:t xml:space="preserve"> </w:t>
            </w:r>
          </w:p>
        </w:tc>
        <w:tc>
          <w:tcPr>
            <w:tcW w:w="2556"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7 391</w:t>
            </w:r>
          </w:p>
        </w:tc>
        <w:tc>
          <w:tcPr>
            <w:tcW w:w="2551"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142 %</w:t>
            </w:r>
          </w:p>
        </w:tc>
        <w:tc>
          <w:tcPr>
            <w:tcW w:w="2828" w:type="dxa"/>
            <w:tcBorders>
              <w:top w:val="single" w:sz="4" w:space="0" w:color="auto"/>
              <w:left w:val="single" w:sz="4" w:space="0" w:color="auto"/>
              <w:bottom w:val="single" w:sz="4" w:space="0" w:color="auto"/>
              <w:right w:val="single" w:sz="8" w:space="0" w:color="auto"/>
            </w:tcBorders>
            <w:shd w:val="clear" w:color="auto" w:fill="70AD47"/>
            <w:vAlign w:val="center"/>
          </w:tcPr>
          <w:p w:rsidR="007F7DFF" w:rsidRDefault="00E310EF">
            <w:pPr>
              <w:spacing w:after="0"/>
              <w:rPr>
                <w:rFonts w:ascii="Calibri" w:eastAsia="Calibri" w:hAnsi="Calibri" w:cs="Calibri"/>
                <w:noProof/>
                <w:color w:val="FFFFFF" w:themeColor="background1"/>
                <w:sz w:val="22"/>
                <w:szCs w:val="22"/>
              </w:rPr>
            </w:pPr>
            <w:r>
              <w:rPr>
                <w:rFonts w:ascii="Calibri" w:hAnsi="Calibri"/>
                <w:noProof/>
                <w:color w:val="FFFFFF" w:themeColor="background1"/>
                <w:sz w:val="22"/>
                <w:szCs w:val="22"/>
              </w:rPr>
              <w:t>bardzo prawdopodobne</w:t>
            </w:r>
          </w:p>
        </w:tc>
      </w:tr>
      <w:tr w:rsidR="007F7DFF">
        <w:trPr>
          <w:gridAfter w:val="1"/>
          <w:wAfter w:w="7" w:type="dxa"/>
          <w:trHeight w:val="300"/>
        </w:trPr>
        <w:tc>
          <w:tcPr>
            <w:tcW w:w="1380" w:type="dxa"/>
            <w:tcBorders>
              <w:top w:val="single" w:sz="4" w:space="0" w:color="auto"/>
              <w:left w:val="single" w:sz="8" w:space="0" w:color="auto"/>
              <w:bottom w:val="single" w:sz="4" w:space="0" w:color="auto"/>
              <w:right w:val="single" w:sz="4" w:space="0" w:color="auto"/>
            </w:tcBorders>
            <w:vAlign w:val="center"/>
          </w:tcPr>
          <w:p w:rsidR="007F7DFF" w:rsidRDefault="00E310EF">
            <w:pPr>
              <w:spacing w:after="0"/>
              <w:rPr>
                <w:rFonts w:ascii="Calibri" w:eastAsia="Calibri" w:hAnsi="Calibri" w:cs="Calibri"/>
                <w:b/>
                <w:bCs/>
                <w:noProof/>
                <w:color w:val="000000" w:themeColor="text1"/>
              </w:rPr>
            </w:pPr>
            <w:r>
              <w:rPr>
                <w:rStyle w:val="normaltextrun"/>
                <w:rFonts w:ascii="Calibri" w:hAnsi="Calibri"/>
                <w:b/>
                <w:noProof/>
                <w:color w:val="000000"/>
              </w:rPr>
              <w:t>Belgia</w:t>
            </w:r>
            <w:r>
              <w:rPr>
                <w:rStyle w:val="eop"/>
                <w:rFonts w:ascii="Calibri" w:hAnsi="Calibri"/>
                <w:noProof/>
                <w:color w:val="000000"/>
              </w:rPr>
              <w:t xml:space="preserve"> </w:t>
            </w:r>
          </w:p>
        </w:tc>
        <w:tc>
          <w:tcPr>
            <w:tcW w:w="2556"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6 700</w:t>
            </w:r>
          </w:p>
        </w:tc>
        <w:tc>
          <w:tcPr>
            <w:tcW w:w="2551"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97 %</w:t>
            </w:r>
          </w:p>
        </w:tc>
        <w:tc>
          <w:tcPr>
            <w:tcW w:w="2828" w:type="dxa"/>
            <w:tcBorders>
              <w:top w:val="single" w:sz="4" w:space="0" w:color="auto"/>
              <w:left w:val="single" w:sz="4" w:space="0" w:color="auto"/>
              <w:bottom w:val="single" w:sz="4" w:space="0" w:color="auto"/>
              <w:right w:val="single" w:sz="8" w:space="0" w:color="auto"/>
            </w:tcBorders>
            <w:shd w:val="clear" w:color="auto" w:fill="FFC000"/>
            <w:vAlign w:val="center"/>
          </w:tcPr>
          <w:p w:rsidR="007F7DFF" w:rsidRDefault="00E310EF">
            <w:pPr>
              <w:spacing w:after="0"/>
              <w:rPr>
                <w:rFonts w:ascii="Calibri" w:eastAsia="Calibri" w:hAnsi="Calibri" w:cs="Calibri"/>
                <w:noProof/>
                <w:color w:val="FFFFFF" w:themeColor="background1"/>
                <w:sz w:val="22"/>
                <w:szCs w:val="22"/>
              </w:rPr>
            </w:pPr>
            <w:r>
              <w:rPr>
                <w:rFonts w:ascii="Calibri" w:hAnsi="Calibri"/>
                <w:noProof/>
                <w:color w:val="FFFFFF" w:themeColor="background1"/>
                <w:sz w:val="22"/>
                <w:szCs w:val="22"/>
              </w:rPr>
              <w:t>prawdopodobne</w:t>
            </w:r>
          </w:p>
        </w:tc>
      </w:tr>
      <w:tr w:rsidR="007F7DFF">
        <w:trPr>
          <w:gridAfter w:val="1"/>
          <w:wAfter w:w="7" w:type="dxa"/>
          <w:trHeight w:val="300"/>
        </w:trPr>
        <w:tc>
          <w:tcPr>
            <w:tcW w:w="1380" w:type="dxa"/>
            <w:tcBorders>
              <w:top w:val="single" w:sz="4" w:space="0" w:color="auto"/>
              <w:left w:val="single" w:sz="8" w:space="0" w:color="auto"/>
              <w:bottom w:val="single" w:sz="4" w:space="0" w:color="auto"/>
              <w:right w:val="single" w:sz="4" w:space="0" w:color="auto"/>
            </w:tcBorders>
            <w:vAlign w:val="center"/>
          </w:tcPr>
          <w:p w:rsidR="007F7DFF" w:rsidRDefault="00E310EF">
            <w:pPr>
              <w:spacing w:after="0"/>
              <w:rPr>
                <w:rFonts w:ascii="Calibri" w:eastAsia="Calibri" w:hAnsi="Calibri" w:cs="Calibri"/>
                <w:b/>
                <w:bCs/>
                <w:noProof/>
                <w:color w:val="000000" w:themeColor="text1"/>
              </w:rPr>
            </w:pPr>
            <w:r>
              <w:rPr>
                <w:rStyle w:val="normaltextrun"/>
                <w:rFonts w:ascii="Calibri" w:hAnsi="Calibri"/>
                <w:b/>
                <w:noProof/>
                <w:color w:val="000000"/>
              </w:rPr>
              <w:t>Bułgaria</w:t>
            </w:r>
            <w:r>
              <w:rPr>
                <w:rStyle w:val="eop"/>
                <w:rFonts w:ascii="Calibri" w:hAnsi="Calibri"/>
                <w:noProof/>
                <w:color w:val="000000"/>
              </w:rPr>
              <w:t xml:space="preserve"> </w:t>
            </w:r>
          </w:p>
        </w:tc>
        <w:tc>
          <w:tcPr>
            <w:tcW w:w="2556"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909</w:t>
            </w:r>
          </w:p>
        </w:tc>
        <w:tc>
          <w:tcPr>
            <w:tcW w:w="2551"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47 %</w:t>
            </w:r>
          </w:p>
        </w:tc>
        <w:tc>
          <w:tcPr>
            <w:tcW w:w="2828" w:type="dxa"/>
            <w:tcBorders>
              <w:top w:val="single" w:sz="4" w:space="0" w:color="auto"/>
              <w:left w:val="single" w:sz="4" w:space="0" w:color="auto"/>
              <w:bottom w:val="single" w:sz="4" w:space="0" w:color="auto"/>
              <w:right w:val="single" w:sz="8" w:space="0" w:color="auto"/>
            </w:tcBorders>
            <w:shd w:val="clear" w:color="auto" w:fill="C00000"/>
            <w:vAlign w:val="center"/>
          </w:tcPr>
          <w:p w:rsidR="007F7DFF" w:rsidRDefault="00E310EF">
            <w:pPr>
              <w:spacing w:after="0"/>
              <w:rPr>
                <w:rFonts w:ascii="Calibri" w:eastAsia="Calibri" w:hAnsi="Calibri" w:cs="Calibri"/>
                <w:noProof/>
                <w:color w:val="FFFFFF" w:themeColor="background1"/>
                <w:sz w:val="22"/>
                <w:szCs w:val="22"/>
              </w:rPr>
            </w:pPr>
            <w:r>
              <w:rPr>
                <w:rFonts w:ascii="Calibri" w:hAnsi="Calibri"/>
                <w:noProof/>
                <w:color w:val="FFFFFF" w:themeColor="background1"/>
                <w:sz w:val="22"/>
                <w:szCs w:val="22"/>
              </w:rPr>
              <w:t>bardzo mało prawdopodobne</w:t>
            </w:r>
          </w:p>
        </w:tc>
      </w:tr>
      <w:tr w:rsidR="007F7DFF">
        <w:trPr>
          <w:gridAfter w:val="1"/>
          <w:wAfter w:w="7" w:type="dxa"/>
          <w:trHeight w:val="300"/>
        </w:trPr>
        <w:tc>
          <w:tcPr>
            <w:tcW w:w="1380" w:type="dxa"/>
            <w:tcBorders>
              <w:top w:val="single" w:sz="4" w:space="0" w:color="auto"/>
              <w:left w:val="single" w:sz="8" w:space="0" w:color="auto"/>
              <w:bottom w:val="single" w:sz="4" w:space="0" w:color="auto"/>
              <w:right w:val="single" w:sz="4" w:space="0" w:color="auto"/>
            </w:tcBorders>
            <w:vAlign w:val="center"/>
          </w:tcPr>
          <w:p w:rsidR="007F7DFF" w:rsidRDefault="00E310EF">
            <w:pPr>
              <w:spacing w:after="0"/>
              <w:rPr>
                <w:rFonts w:ascii="Calibri" w:eastAsia="Calibri" w:hAnsi="Calibri" w:cs="Calibri"/>
                <w:b/>
                <w:bCs/>
                <w:noProof/>
                <w:color w:val="000000" w:themeColor="text1"/>
              </w:rPr>
            </w:pPr>
            <w:r>
              <w:rPr>
                <w:rStyle w:val="normaltextrun"/>
                <w:rFonts w:ascii="Calibri" w:hAnsi="Calibri"/>
                <w:b/>
                <w:noProof/>
                <w:color w:val="000000"/>
              </w:rPr>
              <w:t>Chorwacja</w:t>
            </w:r>
            <w:r>
              <w:rPr>
                <w:rStyle w:val="eop"/>
                <w:rFonts w:ascii="Calibri" w:hAnsi="Calibri"/>
                <w:noProof/>
                <w:color w:val="000000"/>
              </w:rPr>
              <w:t xml:space="preserve"> </w:t>
            </w:r>
          </w:p>
        </w:tc>
        <w:tc>
          <w:tcPr>
            <w:tcW w:w="2556"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399</w:t>
            </w:r>
          </w:p>
        </w:tc>
        <w:tc>
          <w:tcPr>
            <w:tcW w:w="2551"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31 %</w:t>
            </w:r>
          </w:p>
        </w:tc>
        <w:tc>
          <w:tcPr>
            <w:tcW w:w="2828" w:type="dxa"/>
            <w:tcBorders>
              <w:top w:val="single" w:sz="4" w:space="0" w:color="auto"/>
              <w:left w:val="single" w:sz="4" w:space="0" w:color="auto"/>
              <w:bottom w:val="single" w:sz="4" w:space="0" w:color="auto"/>
              <w:right w:val="single" w:sz="8" w:space="0" w:color="auto"/>
            </w:tcBorders>
            <w:shd w:val="clear" w:color="auto" w:fill="C00000"/>
            <w:vAlign w:val="center"/>
          </w:tcPr>
          <w:p w:rsidR="007F7DFF" w:rsidRDefault="00E310EF">
            <w:pPr>
              <w:spacing w:after="0"/>
              <w:rPr>
                <w:rFonts w:ascii="Calibri" w:eastAsia="Calibri" w:hAnsi="Calibri" w:cs="Calibri"/>
                <w:noProof/>
                <w:color w:val="FFFFFF" w:themeColor="background1"/>
                <w:sz w:val="22"/>
                <w:szCs w:val="22"/>
              </w:rPr>
            </w:pPr>
            <w:r>
              <w:rPr>
                <w:rFonts w:ascii="Calibri" w:hAnsi="Calibri"/>
                <w:noProof/>
                <w:color w:val="FFFFFF" w:themeColor="background1"/>
                <w:sz w:val="22"/>
                <w:szCs w:val="22"/>
              </w:rPr>
              <w:t>bardzo mało prawdopodobne</w:t>
            </w:r>
          </w:p>
        </w:tc>
      </w:tr>
      <w:tr w:rsidR="007F7DFF">
        <w:trPr>
          <w:gridAfter w:val="1"/>
          <w:wAfter w:w="7" w:type="dxa"/>
          <w:trHeight w:val="300"/>
        </w:trPr>
        <w:tc>
          <w:tcPr>
            <w:tcW w:w="1380" w:type="dxa"/>
            <w:tcBorders>
              <w:top w:val="single" w:sz="4" w:space="0" w:color="auto"/>
              <w:left w:val="single" w:sz="8" w:space="0" w:color="auto"/>
              <w:bottom w:val="single" w:sz="4" w:space="0" w:color="auto"/>
              <w:right w:val="single" w:sz="4" w:space="0" w:color="auto"/>
            </w:tcBorders>
            <w:vAlign w:val="center"/>
          </w:tcPr>
          <w:p w:rsidR="007F7DFF" w:rsidRDefault="00E310EF">
            <w:pPr>
              <w:spacing w:after="0"/>
              <w:rPr>
                <w:rFonts w:ascii="Calibri" w:eastAsia="Calibri" w:hAnsi="Calibri" w:cs="Calibri"/>
                <w:b/>
                <w:bCs/>
                <w:noProof/>
                <w:color w:val="000000" w:themeColor="text1"/>
              </w:rPr>
            </w:pPr>
            <w:r>
              <w:rPr>
                <w:rStyle w:val="normaltextrun"/>
                <w:rFonts w:ascii="Calibri" w:hAnsi="Calibri"/>
                <w:b/>
                <w:noProof/>
                <w:color w:val="000000"/>
              </w:rPr>
              <w:t>Czechy</w:t>
            </w:r>
          </w:p>
        </w:tc>
        <w:tc>
          <w:tcPr>
            <w:tcW w:w="2556"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3 140</w:t>
            </w:r>
          </w:p>
        </w:tc>
        <w:tc>
          <w:tcPr>
            <w:tcW w:w="2551"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69 %</w:t>
            </w:r>
          </w:p>
        </w:tc>
        <w:tc>
          <w:tcPr>
            <w:tcW w:w="2828" w:type="dxa"/>
            <w:tcBorders>
              <w:top w:val="single" w:sz="4" w:space="0" w:color="auto"/>
              <w:left w:val="single" w:sz="4" w:space="0" w:color="auto"/>
              <w:bottom w:val="single" w:sz="4" w:space="0" w:color="auto"/>
              <w:right w:val="single" w:sz="8" w:space="0" w:color="auto"/>
            </w:tcBorders>
            <w:shd w:val="clear" w:color="auto" w:fill="C00000"/>
            <w:vAlign w:val="center"/>
          </w:tcPr>
          <w:p w:rsidR="007F7DFF" w:rsidRDefault="00E310EF">
            <w:pPr>
              <w:spacing w:after="0" w:afterAutospacing="0"/>
              <w:rPr>
                <w:rFonts w:ascii="Calibri" w:hAnsi="Calibri" w:cs="Calibri"/>
                <w:noProof/>
                <w:color w:val="FFFFFF" w:themeColor="background1"/>
                <w:sz w:val="22"/>
                <w:szCs w:val="22"/>
              </w:rPr>
            </w:pPr>
            <w:r>
              <w:rPr>
                <w:rFonts w:ascii="Calibri" w:hAnsi="Calibri"/>
                <w:noProof/>
                <w:color w:val="FFFFFF" w:themeColor="background1"/>
                <w:sz w:val="22"/>
                <w:szCs w:val="22"/>
              </w:rPr>
              <w:t>bardzo mało prawdopodobne</w:t>
            </w:r>
          </w:p>
        </w:tc>
      </w:tr>
      <w:tr w:rsidR="007F7DFF">
        <w:trPr>
          <w:gridAfter w:val="1"/>
          <w:wAfter w:w="7" w:type="dxa"/>
          <w:trHeight w:val="300"/>
        </w:trPr>
        <w:tc>
          <w:tcPr>
            <w:tcW w:w="1380" w:type="dxa"/>
            <w:tcBorders>
              <w:top w:val="single" w:sz="4" w:space="0" w:color="auto"/>
              <w:left w:val="single" w:sz="8" w:space="0" w:color="auto"/>
              <w:bottom w:val="single" w:sz="4" w:space="0" w:color="auto"/>
              <w:right w:val="single" w:sz="4" w:space="0" w:color="auto"/>
            </w:tcBorders>
            <w:vAlign w:val="center"/>
          </w:tcPr>
          <w:p w:rsidR="007F7DFF" w:rsidRDefault="00E310EF">
            <w:pPr>
              <w:spacing w:after="0"/>
              <w:rPr>
                <w:rFonts w:ascii="Calibri" w:eastAsia="Calibri" w:hAnsi="Calibri" w:cs="Calibri"/>
                <w:b/>
                <w:bCs/>
                <w:noProof/>
                <w:color w:val="000000" w:themeColor="text1"/>
              </w:rPr>
            </w:pPr>
            <w:r>
              <w:rPr>
                <w:rStyle w:val="normaltextrun"/>
                <w:rFonts w:ascii="Calibri" w:hAnsi="Calibri"/>
                <w:b/>
                <w:noProof/>
                <w:color w:val="000000"/>
              </w:rPr>
              <w:t>Dania</w:t>
            </w:r>
            <w:r>
              <w:rPr>
                <w:rStyle w:val="eop"/>
                <w:rFonts w:ascii="Calibri" w:hAnsi="Calibri"/>
                <w:noProof/>
                <w:color w:val="000000"/>
              </w:rPr>
              <w:t xml:space="preserve"> </w:t>
            </w:r>
          </w:p>
        </w:tc>
        <w:tc>
          <w:tcPr>
            <w:tcW w:w="2556"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5 624</w:t>
            </w:r>
          </w:p>
        </w:tc>
        <w:tc>
          <w:tcPr>
            <w:tcW w:w="2551"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146 %</w:t>
            </w:r>
          </w:p>
        </w:tc>
        <w:tc>
          <w:tcPr>
            <w:tcW w:w="2828" w:type="dxa"/>
            <w:tcBorders>
              <w:top w:val="single" w:sz="4" w:space="0" w:color="auto"/>
              <w:left w:val="single" w:sz="4" w:space="0" w:color="auto"/>
              <w:bottom w:val="single" w:sz="4" w:space="0" w:color="auto"/>
              <w:right w:val="single" w:sz="8" w:space="0" w:color="auto"/>
            </w:tcBorders>
            <w:shd w:val="clear" w:color="auto" w:fill="70AD47"/>
            <w:vAlign w:val="center"/>
          </w:tcPr>
          <w:p w:rsidR="007F7DFF" w:rsidRDefault="00E310EF">
            <w:pPr>
              <w:spacing w:after="0"/>
              <w:rPr>
                <w:rFonts w:ascii="Calibri" w:eastAsia="Calibri" w:hAnsi="Calibri" w:cs="Calibri"/>
                <w:noProof/>
                <w:color w:val="FFFFFF" w:themeColor="background1"/>
                <w:sz w:val="22"/>
                <w:szCs w:val="22"/>
              </w:rPr>
            </w:pPr>
            <w:r>
              <w:rPr>
                <w:rFonts w:ascii="Calibri" w:hAnsi="Calibri"/>
                <w:noProof/>
                <w:color w:val="FFFFFF" w:themeColor="background1"/>
                <w:sz w:val="22"/>
                <w:szCs w:val="22"/>
              </w:rPr>
              <w:t xml:space="preserve">bardzo </w:t>
            </w:r>
            <w:r>
              <w:rPr>
                <w:rFonts w:ascii="Calibri" w:hAnsi="Calibri"/>
                <w:noProof/>
                <w:color w:val="FFFFFF" w:themeColor="background1"/>
                <w:sz w:val="22"/>
                <w:szCs w:val="22"/>
              </w:rPr>
              <w:t>prawdopodobne</w:t>
            </w:r>
          </w:p>
        </w:tc>
      </w:tr>
      <w:tr w:rsidR="007F7DFF">
        <w:trPr>
          <w:gridAfter w:val="1"/>
          <w:wAfter w:w="7" w:type="dxa"/>
          <w:trHeight w:val="300"/>
        </w:trPr>
        <w:tc>
          <w:tcPr>
            <w:tcW w:w="1380" w:type="dxa"/>
            <w:tcBorders>
              <w:top w:val="single" w:sz="4" w:space="0" w:color="auto"/>
              <w:left w:val="single" w:sz="8" w:space="0" w:color="auto"/>
              <w:bottom w:val="single" w:sz="4" w:space="0" w:color="auto"/>
              <w:right w:val="single" w:sz="4" w:space="0" w:color="auto"/>
            </w:tcBorders>
            <w:vAlign w:val="center"/>
          </w:tcPr>
          <w:p w:rsidR="007F7DFF" w:rsidRDefault="00E310EF">
            <w:pPr>
              <w:spacing w:after="0"/>
              <w:rPr>
                <w:rFonts w:ascii="Calibri" w:eastAsia="Calibri" w:hAnsi="Calibri" w:cs="Calibri"/>
                <w:b/>
                <w:bCs/>
                <w:noProof/>
                <w:color w:val="000000" w:themeColor="text1"/>
              </w:rPr>
            </w:pPr>
            <w:r>
              <w:rPr>
                <w:rStyle w:val="normaltextrun"/>
                <w:rFonts w:ascii="Calibri" w:hAnsi="Calibri"/>
                <w:b/>
                <w:noProof/>
                <w:color w:val="000000"/>
              </w:rPr>
              <w:t>Francja</w:t>
            </w:r>
            <w:r>
              <w:rPr>
                <w:rStyle w:val="eop"/>
                <w:rFonts w:ascii="Calibri" w:hAnsi="Calibri"/>
                <w:noProof/>
                <w:color w:val="000000"/>
              </w:rPr>
              <w:t xml:space="preserve"> </w:t>
            </w:r>
          </w:p>
        </w:tc>
        <w:tc>
          <w:tcPr>
            <w:tcW w:w="2556"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31 651</w:t>
            </w:r>
          </w:p>
        </w:tc>
        <w:tc>
          <w:tcPr>
            <w:tcW w:w="2551"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101 %</w:t>
            </w:r>
          </w:p>
        </w:tc>
        <w:tc>
          <w:tcPr>
            <w:tcW w:w="2828" w:type="dxa"/>
            <w:tcBorders>
              <w:top w:val="single" w:sz="4" w:space="0" w:color="auto"/>
              <w:left w:val="single" w:sz="4" w:space="0" w:color="auto"/>
              <w:bottom w:val="single" w:sz="4" w:space="0" w:color="auto"/>
              <w:right w:val="single" w:sz="8" w:space="0" w:color="auto"/>
            </w:tcBorders>
            <w:shd w:val="clear" w:color="auto" w:fill="FFC000"/>
            <w:vAlign w:val="center"/>
          </w:tcPr>
          <w:p w:rsidR="007F7DFF" w:rsidRDefault="00E310EF">
            <w:pPr>
              <w:spacing w:after="0"/>
              <w:rPr>
                <w:rFonts w:ascii="Calibri" w:eastAsia="Calibri" w:hAnsi="Calibri" w:cs="Calibri"/>
                <w:noProof/>
                <w:color w:val="FFFFFF" w:themeColor="background1"/>
                <w:sz w:val="22"/>
                <w:szCs w:val="22"/>
              </w:rPr>
            </w:pPr>
            <w:r>
              <w:rPr>
                <w:rFonts w:ascii="Calibri" w:hAnsi="Calibri"/>
                <w:noProof/>
                <w:color w:val="FFFFFF" w:themeColor="background1"/>
                <w:sz w:val="22"/>
                <w:szCs w:val="22"/>
              </w:rPr>
              <w:t>prawdopodobne</w:t>
            </w:r>
          </w:p>
        </w:tc>
      </w:tr>
      <w:tr w:rsidR="007F7DFF">
        <w:trPr>
          <w:gridAfter w:val="1"/>
          <w:wAfter w:w="7" w:type="dxa"/>
          <w:trHeight w:val="300"/>
        </w:trPr>
        <w:tc>
          <w:tcPr>
            <w:tcW w:w="1380" w:type="dxa"/>
            <w:tcBorders>
              <w:top w:val="single" w:sz="4" w:space="0" w:color="auto"/>
              <w:left w:val="single" w:sz="8" w:space="0" w:color="auto"/>
              <w:bottom w:val="single" w:sz="4" w:space="0" w:color="auto"/>
              <w:right w:val="single" w:sz="4" w:space="0" w:color="auto"/>
            </w:tcBorders>
            <w:vAlign w:val="center"/>
          </w:tcPr>
          <w:p w:rsidR="007F7DFF" w:rsidRDefault="00E310EF">
            <w:pPr>
              <w:spacing w:after="0"/>
              <w:rPr>
                <w:rFonts w:ascii="Calibri" w:eastAsia="Calibri" w:hAnsi="Calibri" w:cs="Calibri"/>
                <w:b/>
                <w:bCs/>
                <w:noProof/>
                <w:color w:val="000000" w:themeColor="text1"/>
              </w:rPr>
            </w:pPr>
            <w:r>
              <w:rPr>
                <w:rStyle w:val="normaltextrun"/>
                <w:rFonts w:ascii="Calibri" w:hAnsi="Calibri"/>
                <w:b/>
                <w:noProof/>
                <w:color w:val="000000"/>
              </w:rPr>
              <w:t>Węgry</w:t>
            </w:r>
            <w:r>
              <w:rPr>
                <w:rStyle w:val="eop"/>
                <w:rFonts w:ascii="Calibri" w:hAnsi="Calibri"/>
                <w:noProof/>
                <w:color w:val="000000"/>
              </w:rPr>
              <w:t xml:space="preserve"> </w:t>
            </w:r>
          </w:p>
        </w:tc>
        <w:tc>
          <w:tcPr>
            <w:tcW w:w="2556"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5 455</w:t>
            </w:r>
          </w:p>
        </w:tc>
        <w:tc>
          <w:tcPr>
            <w:tcW w:w="2551"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148 %</w:t>
            </w:r>
          </w:p>
        </w:tc>
        <w:tc>
          <w:tcPr>
            <w:tcW w:w="2828" w:type="dxa"/>
            <w:tcBorders>
              <w:top w:val="single" w:sz="4" w:space="0" w:color="auto"/>
              <w:left w:val="single" w:sz="4" w:space="0" w:color="auto"/>
              <w:bottom w:val="single" w:sz="4" w:space="0" w:color="auto"/>
              <w:right w:val="single" w:sz="8" w:space="0" w:color="auto"/>
            </w:tcBorders>
            <w:shd w:val="clear" w:color="auto" w:fill="70AD47"/>
            <w:vAlign w:val="center"/>
          </w:tcPr>
          <w:p w:rsidR="007F7DFF" w:rsidRDefault="00E310EF">
            <w:pPr>
              <w:spacing w:after="0"/>
              <w:rPr>
                <w:rFonts w:ascii="Calibri" w:eastAsia="Calibri" w:hAnsi="Calibri" w:cs="Calibri"/>
                <w:noProof/>
                <w:color w:val="FFFFFF" w:themeColor="background1"/>
                <w:sz w:val="22"/>
                <w:szCs w:val="22"/>
              </w:rPr>
            </w:pPr>
            <w:r>
              <w:rPr>
                <w:rFonts w:ascii="Calibri" w:hAnsi="Calibri"/>
                <w:noProof/>
                <w:color w:val="FFFFFF" w:themeColor="background1"/>
                <w:sz w:val="22"/>
                <w:szCs w:val="22"/>
              </w:rPr>
              <w:t>bardzo prawdopodobne</w:t>
            </w:r>
          </w:p>
        </w:tc>
      </w:tr>
      <w:tr w:rsidR="007F7DFF">
        <w:trPr>
          <w:gridAfter w:val="1"/>
          <w:wAfter w:w="7" w:type="dxa"/>
          <w:trHeight w:val="300"/>
        </w:trPr>
        <w:tc>
          <w:tcPr>
            <w:tcW w:w="1380" w:type="dxa"/>
            <w:tcBorders>
              <w:top w:val="single" w:sz="4" w:space="0" w:color="auto"/>
              <w:left w:val="single" w:sz="8" w:space="0" w:color="auto"/>
              <w:bottom w:val="single" w:sz="4" w:space="0" w:color="auto"/>
              <w:right w:val="single" w:sz="4" w:space="0" w:color="auto"/>
            </w:tcBorders>
            <w:vAlign w:val="center"/>
          </w:tcPr>
          <w:p w:rsidR="007F7DFF" w:rsidRDefault="00E310EF">
            <w:pPr>
              <w:spacing w:after="0"/>
              <w:rPr>
                <w:rFonts w:ascii="Calibri" w:eastAsia="Calibri" w:hAnsi="Calibri" w:cs="Calibri"/>
                <w:b/>
                <w:bCs/>
                <w:noProof/>
                <w:color w:val="000000" w:themeColor="text1"/>
              </w:rPr>
            </w:pPr>
            <w:r>
              <w:rPr>
                <w:rStyle w:val="normaltextrun"/>
                <w:rFonts w:ascii="Calibri" w:hAnsi="Calibri"/>
                <w:b/>
                <w:noProof/>
                <w:color w:val="000000"/>
              </w:rPr>
              <w:t>Irlandia</w:t>
            </w:r>
            <w:r>
              <w:rPr>
                <w:rStyle w:val="eop"/>
                <w:rFonts w:ascii="Calibri" w:hAnsi="Calibri"/>
                <w:noProof/>
                <w:color w:val="000000"/>
              </w:rPr>
              <w:t xml:space="preserve"> </w:t>
            </w:r>
          </w:p>
        </w:tc>
        <w:tc>
          <w:tcPr>
            <w:tcW w:w="2556"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2 513</w:t>
            </w:r>
          </w:p>
        </w:tc>
        <w:tc>
          <w:tcPr>
            <w:tcW w:w="2551"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116 %</w:t>
            </w:r>
          </w:p>
        </w:tc>
        <w:tc>
          <w:tcPr>
            <w:tcW w:w="2828" w:type="dxa"/>
            <w:tcBorders>
              <w:top w:val="single" w:sz="4" w:space="0" w:color="auto"/>
              <w:left w:val="single" w:sz="4" w:space="0" w:color="auto"/>
              <w:bottom w:val="single" w:sz="4" w:space="0" w:color="auto"/>
              <w:right w:val="single" w:sz="8" w:space="0" w:color="auto"/>
            </w:tcBorders>
            <w:shd w:val="clear" w:color="auto" w:fill="70AD47"/>
            <w:vAlign w:val="center"/>
          </w:tcPr>
          <w:p w:rsidR="007F7DFF" w:rsidRDefault="00E310EF">
            <w:pPr>
              <w:spacing w:after="0"/>
              <w:rPr>
                <w:rFonts w:ascii="Calibri" w:eastAsia="Calibri" w:hAnsi="Calibri" w:cs="Calibri"/>
                <w:noProof/>
                <w:color w:val="FFFFFF" w:themeColor="background1"/>
                <w:sz w:val="22"/>
                <w:szCs w:val="22"/>
              </w:rPr>
            </w:pPr>
            <w:r>
              <w:rPr>
                <w:rFonts w:ascii="Calibri" w:hAnsi="Calibri"/>
                <w:noProof/>
                <w:color w:val="FFFFFF" w:themeColor="background1"/>
                <w:sz w:val="22"/>
                <w:szCs w:val="22"/>
              </w:rPr>
              <w:t>bardzo prawdopodobne</w:t>
            </w:r>
          </w:p>
        </w:tc>
      </w:tr>
      <w:tr w:rsidR="007F7DFF">
        <w:trPr>
          <w:gridAfter w:val="1"/>
          <w:wAfter w:w="7" w:type="dxa"/>
          <w:trHeight w:val="300"/>
        </w:trPr>
        <w:tc>
          <w:tcPr>
            <w:tcW w:w="1380" w:type="dxa"/>
            <w:tcBorders>
              <w:top w:val="single" w:sz="4" w:space="0" w:color="auto"/>
              <w:left w:val="single" w:sz="8" w:space="0" w:color="auto"/>
              <w:bottom w:val="single" w:sz="4" w:space="0" w:color="auto"/>
              <w:right w:val="single" w:sz="4" w:space="0" w:color="auto"/>
            </w:tcBorders>
            <w:vAlign w:val="center"/>
          </w:tcPr>
          <w:p w:rsidR="007F7DFF" w:rsidRDefault="00E310EF">
            <w:pPr>
              <w:spacing w:after="0"/>
              <w:rPr>
                <w:rFonts w:ascii="Calibri" w:eastAsia="Calibri" w:hAnsi="Calibri" w:cs="Calibri"/>
                <w:b/>
                <w:bCs/>
                <w:noProof/>
                <w:color w:val="000000" w:themeColor="text1"/>
              </w:rPr>
            </w:pPr>
            <w:r>
              <w:rPr>
                <w:rStyle w:val="normaltextrun"/>
                <w:rFonts w:ascii="Calibri" w:hAnsi="Calibri"/>
                <w:b/>
                <w:noProof/>
                <w:color w:val="000000"/>
              </w:rPr>
              <w:t>Włochy</w:t>
            </w:r>
            <w:r>
              <w:rPr>
                <w:rStyle w:val="eop"/>
                <w:rFonts w:ascii="Calibri" w:hAnsi="Calibri"/>
                <w:noProof/>
                <w:color w:val="000000"/>
              </w:rPr>
              <w:t xml:space="preserve"> </w:t>
            </w:r>
          </w:p>
        </w:tc>
        <w:tc>
          <w:tcPr>
            <w:tcW w:w="2556"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28 721</w:t>
            </w:r>
          </w:p>
        </w:tc>
        <w:tc>
          <w:tcPr>
            <w:tcW w:w="2551"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113 %</w:t>
            </w:r>
          </w:p>
        </w:tc>
        <w:tc>
          <w:tcPr>
            <w:tcW w:w="2828" w:type="dxa"/>
            <w:tcBorders>
              <w:top w:val="single" w:sz="4" w:space="0" w:color="auto"/>
              <w:left w:val="single" w:sz="4" w:space="0" w:color="auto"/>
              <w:bottom w:val="single" w:sz="4" w:space="0" w:color="auto"/>
              <w:right w:val="single" w:sz="8" w:space="0" w:color="auto"/>
            </w:tcBorders>
            <w:shd w:val="clear" w:color="auto" w:fill="70AD47"/>
            <w:vAlign w:val="center"/>
          </w:tcPr>
          <w:p w:rsidR="007F7DFF" w:rsidRDefault="00E310EF">
            <w:pPr>
              <w:spacing w:after="0"/>
              <w:rPr>
                <w:rFonts w:ascii="Calibri" w:eastAsia="Calibri" w:hAnsi="Calibri" w:cs="Calibri"/>
                <w:noProof/>
                <w:color w:val="FFFFFF" w:themeColor="background1"/>
                <w:sz w:val="22"/>
                <w:szCs w:val="22"/>
              </w:rPr>
            </w:pPr>
            <w:r>
              <w:rPr>
                <w:rFonts w:ascii="Calibri" w:hAnsi="Calibri"/>
                <w:noProof/>
                <w:color w:val="FFFFFF" w:themeColor="background1"/>
                <w:sz w:val="22"/>
                <w:szCs w:val="22"/>
              </w:rPr>
              <w:t>bardzo prawdopodobne</w:t>
            </w:r>
          </w:p>
        </w:tc>
      </w:tr>
      <w:tr w:rsidR="007F7DFF">
        <w:trPr>
          <w:gridAfter w:val="1"/>
          <w:wAfter w:w="7" w:type="dxa"/>
          <w:trHeight w:val="300"/>
        </w:trPr>
        <w:tc>
          <w:tcPr>
            <w:tcW w:w="1380" w:type="dxa"/>
            <w:tcBorders>
              <w:top w:val="single" w:sz="4" w:space="0" w:color="auto"/>
              <w:left w:val="single" w:sz="8" w:space="0" w:color="auto"/>
              <w:bottom w:val="single" w:sz="4" w:space="0" w:color="auto"/>
              <w:right w:val="single" w:sz="4" w:space="0" w:color="auto"/>
            </w:tcBorders>
            <w:vAlign w:val="center"/>
          </w:tcPr>
          <w:p w:rsidR="007F7DFF" w:rsidRDefault="00E310EF">
            <w:pPr>
              <w:spacing w:after="0"/>
              <w:rPr>
                <w:rFonts w:ascii="Calibri" w:eastAsia="Calibri" w:hAnsi="Calibri" w:cs="Calibri"/>
                <w:b/>
                <w:bCs/>
                <w:noProof/>
                <w:color w:val="000000" w:themeColor="text1"/>
              </w:rPr>
            </w:pPr>
            <w:r>
              <w:rPr>
                <w:rStyle w:val="normaltextrun"/>
                <w:rFonts w:ascii="Calibri" w:hAnsi="Calibri"/>
                <w:b/>
                <w:noProof/>
                <w:color w:val="000000"/>
              </w:rPr>
              <w:t>Luksemburg</w:t>
            </w:r>
            <w:r>
              <w:rPr>
                <w:rStyle w:val="eop"/>
                <w:rFonts w:ascii="Calibri" w:hAnsi="Calibri"/>
                <w:noProof/>
                <w:color w:val="000000"/>
              </w:rPr>
              <w:t xml:space="preserve"> </w:t>
            </w:r>
          </w:p>
        </w:tc>
        <w:tc>
          <w:tcPr>
            <w:tcW w:w="2556"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218</w:t>
            </w:r>
          </w:p>
        </w:tc>
        <w:tc>
          <w:tcPr>
            <w:tcW w:w="2551"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42 %</w:t>
            </w:r>
          </w:p>
        </w:tc>
        <w:tc>
          <w:tcPr>
            <w:tcW w:w="2828" w:type="dxa"/>
            <w:tcBorders>
              <w:top w:val="single" w:sz="4" w:space="0" w:color="auto"/>
              <w:left w:val="single" w:sz="4" w:space="0" w:color="auto"/>
              <w:bottom w:val="single" w:sz="4" w:space="0" w:color="auto"/>
              <w:right w:val="single" w:sz="8" w:space="0" w:color="auto"/>
            </w:tcBorders>
            <w:shd w:val="clear" w:color="auto" w:fill="C00000"/>
            <w:vAlign w:val="center"/>
          </w:tcPr>
          <w:p w:rsidR="007F7DFF" w:rsidRDefault="00E310EF">
            <w:pPr>
              <w:spacing w:after="0"/>
              <w:rPr>
                <w:rFonts w:ascii="Calibri" w:eastAsia="Calibri" w:hAnsi="Calibri" w:cs="Calibri"/>
                <w:noProof/>
                <w:color w:val="FFFFFF" w:themeColor="background1"/>
                <w:sz w:val="22"/>
                <w:szCs w:val="22"/>
              </w:rPr>
            </w:pPr>
            <w:r>
              <w:rPr>
                <w:rFonts w:ascii="Calibri" w:hAnsi="Calibri"/>
                <w:noProof/>
                <w:color w:val="FFFFFF" w:themeColor="background1"/>
                <w:sz w:val="22"/>
                <w:szCs w:val="22"/>
              </w:rPr>
              <w:t>bardzo mało prawdopodobne</w:t>
            </w:r>
          </w:p>
        </w:tc>
      </w:tr>
      <w:tr w:rsidR="007F7DFF">
        <w:trPr>
          <w:gridAfter w:val="1"/>
          <w:wAfter w:w="7" w:type="dxa"/>
          <w:trHeight w:val="300"/>
        </w:trPr>
        <w:tc>
          <w:tcPr>
            <w:tcW w:w="1380" w:type="dxa"/>
            <w:tcBorders>
              <w:top w:val="single" w:sz="4" w:space="0" w:color="auto"/>
              <w:left w:val="single" w:sz="8" w:space="0" w:color="auto"/>
              <w:bottom w:val="single" w:sz="4" w:space="0" w:color="auto"/>
              <w:right w:val="single" w:sz="4" w:space="0" w:color="auto"/>
            </w:tcBorders>
            <w:vAlign w:val="center"/>
          </w:tcPr>
          <w:p w:rsidR="007F7DFF" w:rsidRDefault="00E310EF">
            <w:pPr>
              <w:spacing w:after="0"/>
              <w:rPr>
                <w:rFonts w:ascii="Calibri" w:eastAsia="Calibri" w:hAnsi="Calibri" w:cs="Calibri"/>
                <w:b/>
                <w:bCs/>
                <w:noProof/>
                <w:color w:val="000000" w:themeColor="text1"/>
              </w:rPr>
            </w:pPr>
            <w:r>
              <w:rPr>
                <w:rStyle w:val="normaltextrun"/>
                <w:rFonts w:ascii="Calibri" w:hAnsi="Calibri"/>
                <w:b/>
                <w:noProof/>
                <w:color w:val="000000"/>
              </w:rPr>
              <w:t>Niderlandy</w:t>
            </w:r>
            <w:r>
              <w:rPr>
                <w:rStyle w:val="eop"/>
                <w:rFonts w:ascii="Calibri" w:hAnsi="Calibri"/>
                <w:noProof/>
                <w:color w:val="000000"/>
              </w:rPr>
              <w:t xml:space="preserve"> </w:t>
            </w:r>
          </w:p>
        </w:tc>
        <w:tc>
          <w:tcPr>
            <w:tcW w:w="2556"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13 547</w:t>
            </w:r>
          </w:p>
        </w:tc>
        <w:tc>
          <w:tcPr>
            <w:tcW w:w="2551"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118 %</w:t>
            </w:r>
          </w:p>
        </w:tc>
        <w:tc>
          <w:tcPr>
            <w:tcW w:w="2828" w:type="dxa"/>
            <w:tcBorders>
              <w:top w:val="single" w:sz="4" w:space="0" w:color="auto"/>
              <w:left w:val="single" w:sz="4" w:space="0" w:color="auto"/>
              <w:bottom w:val="single" w:sz="4" w:space="0" w:color="auto"/>
              <w:right w:val="single" w:sz="8" w:space="0" w:color="auto"/>
            </w:tcBorders>
            <w:shd w:val="clear" w:color="auto" w:fill="70AD47"/>
            <w:vAlign w:val="center"/>
          </w:tcPr>
          <w:p w:rsidR="007F7DFF" w:rsidRDefault="00E310EF">
            <w:pPr>
              <w:spacing w:after="0"/>
              <w:rPr>
                <w:rFonts w:ascii="Calibri" w:eastAsia="Calibri" w:hAnsi="Calibri" w:cs="Calibri"/>
                <w:noProof/>
                <w:color w:val="FFFFFF" w:themeColor="background1"/>
                <w:sz w:val="22"/>
                <w:szCs w:val="22"/>
              </w:rPr>
            </w:pPr>
            <w:r>
              <w:rPr>
                <w:rFonts w:ascii="Calibri" w:hAnsi="Calibri"/>
                <w:noProof/>
                <w:color w:val="FFFFFF" w:themeColor="background1"/>
                <w:sz w:val="22"/>
                <w:szCs w:val="22"/>
              </w:rPr>
              <w:t>bardzo prawdopodobne</w:t>
            </w:r>
          </w:p>
        </w:tc>
      </w:tr>
      <w:tr w:rsidR="007F7DFF">
        <w:trPr>
          <w:gridAfter w:val="1"/>
          <w:wAfter w:w="7" w:type="dxa"/>
          <w:trHeight w:val="300"/>
        </w:trPr>
        <w:tc>
          <w:tcPr>
            <w:tcW w:w="1380" w:type="dxa"/>
            <w:tcBorders>
              <w:top w:val="single" w:sz="4" w:space="0" w:color="auto"/>
              <w:left w:val="single" w:sz="8" w:space="0" w:color="auto"/>
              <w:bottom w:val="single" w:sz="4" w:space="0" w:color="auto"/>
              <w:right w:val="single" w:sz="4" w:space="0" w:color="auto"/>
            </w:tcBorders>
            <w:vAlign w:val="center"/>
          </w:tcPr>
          <w:p w:rsidR="007F7DFF" w:rsidRDefault="00E310EF">
            <w:pPr>
              <w:spacing w:after="0"/>
              <w:rPr>
                <w:rFonts w:ascii="Calibri" w:eastAsia="Calibri" w:hAnsi="Calibri" w:cs="Calibri"/>
                <w:b/>
                <w:bCs/>
                <w:noProof/>
                <w:color w:val="000000" w:themeColor="text1"/>
              </w:rPr>
            </w:pPr>
            <w:r>
              <w:rPr>
                <w:rStyle w:val="normaltextrun"/>
                <w:rFonts w:ascii="Calibri" w:hAnsi="Calibri"/>
                <w:b/>
                <w:bCs/>
                <w:noProof/>
                <w:color w:val="000000"/>
              </w:rPr>
              <w:t>Polska</w:t>
            </w:r>
            <w:r>
              <w:rPr>
                <w:rFonts w:ascii="Calibri" w:hAnsi="Calibri"/>
                <w:noProof/>
                <w:color w:val="000000"/>
              </w:rPr>
              <w:t xml:space="preserve"> </w:t>
            </w:r>
          </w:p>
        </w:tc>
        <w:tc>
          <w:tcPr>
            <w:tcW w:w="2556"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15 506</w:t>
            </w:r>
          </w:p>
        </w:tc>
        <w:tc>
          <w:tcPr>
            <w:tcW w:w="2551"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105 %</w:t>
            </w:r>
          </w:p>
        </w:tc>
        <w:tc>
          <w:tcPr>
            <w:tcW w:w="2828" w:type="dxa"/>
            <w:tcBorders>
              <w:top w:val="single" w:sz="4" w:space="0" w:color="auto"/>
              <w:left w:val="single" w:sz="4" w:space="0" w:color="auto"/>
              <w:bottom w:val="single" w:sz="4" w:space="0" w:color="auto"/>
              <w:right w:val="single" w:sz="8" w:space="0" w:color="auto"/>
            </w:tcBorders>
            <w:shd w:val="clear" w:color="auto" w:fill="FFC000"/>
            <w:vAlign w:val="center"/>
          </w:tcPr>
          <w:p w:rsidR="007F7DFF" w:rsidRDefault="00E310EF">
            <w:pPr>
              <w:spacing w:after="0"/>
              <w:rPr>
                <w:rFonts w:ascii="Calibri" w:eastAsia="Calibri" w:hAnsi="Calibri" w:cs="Calibri"/>
                <w:noProof/>
                <w:color w:val="FFFFFF" w:themeColor="background1"/>
                <w:sz w:val="22"/>
                <w:szCs w:val="22"/>
              </w:rPr>
            </w:pPr>
            <w:r>
              <w:rPr>
                <w:rFonts w:ascii="Calibri" w:hAnsi="Calibri"/>
                <w:noProof/>
                <w:color w:val="FFFFFF" w:themeColor="background1"/>
                <w:sz w:val="22"/>
                <w:szCs w:val="22"/>
              </w:rPr>
              <w:t>prawdopodobne</w:t>
            </w:r>
          </w:p>
        </w:tc>
      </w:tr>
      <w:tr w:rsidR="007F7DFF">
        <w:trPr>
          <w:gridAfter w:val="1"/>
          <w:wAfter w:w="7" w:type="dxa"/>
          <w:trHeight w:val="300"/>
        </w:trPr>
        <w:tc>
          <w:tcPr>
            <w:tcW w:w="1380" w:type="dxa"/>
            <w:tcBorders>
              <w:top w:val="single" w:sz="4" w:space="0" w:color="auto"/>
              <w:left w:val="single" w:sz="8" w:space="0" w:color="auto"/>
              <w:bottom w:val="single" w:sz="4" w:space="0" w:color="auto"/>
              <w:right w:val="single" w:sz="4" w:space="0" w:color="auto"/>
            </w:tcBorders>
            <w:vAlign w:val="center"/>
          </w:tcPr>
          <w:p w:rsidR="007F7DFF" w:rsidRDefault="00E310EF">
            <w:pPr>
              <w:spacing w:after="0"/>
              <w:rPr>
                <w:rFonts w:ascii="Calibri" w:eastAsia="Calibri" w:hAnsi="Calibri" w:cs="Calibri"/>
                <w:b/>
                <w:bCs/>
                <w:noProof/>
                <w:color w:val="000000" w:themeColor="text1"/>
              </w:rPr>
            </w:pPr>
            <w:r>
              <w:rPr>
                <w:rStyle w:val="normaltextrun"/>
                <w:rFonts w:ascii="Calibri" w:hAnsi="Calibri"/>
                <w:b/>
                <w:bCs/>
                <w:noProof/>
                <w:color w:val="000000"/>
              </w:rPr>
              <w:t>Portugalia</w:t>
            </w:r>
            <w:r>
              <w:rPr>
                <w:rStyle w:val="eop"/>
                <w:rFonts w:ascii="Calibri" w:hAnsi="Calibri"/>
                <w:noProof/>
                <w:color w:val="000000"/>
              </w:rPr>
              <w:t xml:space="preserve"> </w:t>
            </w:r>
          </w:p>
        </w:tc>
        <w:tc>
          <w:tcPr>
            <w:tcW w:w="2556"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846</w:t>
            </w:r>
          </w:p>
        </w:tc>
        <w:tc>
          <w:tcPr>
            <w:tcW w:w="2551"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33 %</w:t>
            </w:r>
          </w:p>
        </w:tc>
        <w:tc>
          <w:tcPr>
            <w:tcW w:w="2828" w:type="dxa"/>
            <w:tcBorders>
              <w:top w:val="single" w:sz="4" w:space="0" w:color="auto"/>
              <w:left w:val="single" w:sz="4" w:space="0" w:color="auto"/>
              <w:bottom w:val="single" w:sz="4" w:space="0" w:color="auto"/>
              <w:right w:val="single" w:sz="8" w:space="0" w:color="auto"/>
            </w:tcBorders>
            <w:shd w:val="clear" w:color="auto" w:fill="C00000"/>
            <w:vAlign w:val="center"/>
          </w:tcPr>
          <w:p w:rsidR="007F7DFF" w:rsidRDefault="00E310EF">
            <w:pPr>
              <w:spacing w:after="0"/>
              <w:rPr>
                <w:rFonts w:ascii="Calibri" w:eastAsia="Calibri" w:hAnsi="Calibri" w:cs="Calibri"/>
                <w:noProof/>
                <w:color w:val="FFFFFF" w:themeColor="background1"/>
                <w:sz w:val="22"/>
                <w:szCs w:val="22"/>
              </w:rPr>
            </w:pPr>
            <w:r>
              <w:rPr>
                <w:rFonts w:ascii="Calibri" w:hAnsi="Calibri"/>
                <w:noProof/>
                <w:color w:val="FFFFFF" w:themeColor="background1"/>
                <w:sz w:val="22"/>
                <w:szCs w:val="22"/>
              </w:rPr>
              <w:t>bardzo mało prawdopodobne</w:t>
            </w:r>
          </w:p>
        </w:tc>
      </w:tr>
      <w:tr w:rsidR="007F7DFF">
        <w:trPr>
          <w:gridAfter w:val="1"/>
          <w:wAfter w:w="7" w:type="dxa"/>
          <w:trHeight w:val="300"/>
        </w:trPr>
        <w:tc>
          <w:tcPr>
            <w:tcW w:w="1380" w:type="dxa"/>
            <w:tcBorders>
              <w:top w:val="single" w:sz="4" w:space="0" w:color="auto"/>
              <w:left w:val="single" w:sz="8" w:space="0" w:color="auto"/>
              <w:bottom w:val="single" w:sz="4" w:space="0" w:color="auto"/>
              <w:right w:val="single" w:sz="4" w:space="0" w:color="auto"/>
            </w:tcBorders>
            <w:vAlign w:val="center"/>
          </w:tcPr>
          <w:p w:rsidR="007F7DFF" w:rsidRDefault="00E310EF">
            <w:pPr>
              <w:spacing w:after="0"/>
              <w:rPr>
                <w:rFonts w:ascii="Calibri" w:eastAsia="Calibri" w:hAnsi="Calibri" w:cs="Calibri"/>
                <w:b/>
                <w:bCs/>
                <w:noProof/>
                <w:color w:val="000000" w:themeColor="text1"/>
              </w:rPr>
            </w:pPr>
            <w:r>
              <w:rPr>
                <w:rStyle w:val="normaltextrun"/>
                <w:rFonts w:ascii="Calibri" w:hAnsi="Calibri"/>
                <w:b/>
                <w:bCs/>
                <w:noProof/>
                <w:color w:val="000000"/>
              </w:rPr>
              <w:t>Rumunia</w:t>
            </w:r>
            <w:r>
              <w:rPr>
                <w:rStyle w:val="eop"/>
                <w:rFonts w:ascii="Calibri" w:hAnsi="Calibri"/>
                <w:noProof/>
                <w:color w:val="000000"/>
              </w:rPr>
              <w:t xml:space="preserve"> </w:t>
            </w:r>
          </w:p>
        </w:tc>
        <w:tc>
          <w:tcPr>
            <w:tcW w:w="2556"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2 192</w:t>
            </w:r>
          </w:p>
        </w:tc>
        <w:tc>
          <w:tcPr>
            <w:tcW w:w="2551"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38 %</w:t>
            </w:r>
          </w:p>
        </w:tc>
        <w:tc>
          <w:tcPr>
            <w:tcW w:w="2828" w:type="dxa"/>
            <w:tcBorders>
              <w:top w:val="single" w:sz="4" w:space="0" w:color="auto"/>
              <w:left w:val="single" w:sz="4" w:space="0" w:color="auto"/>
              <w:bottom w:val="single" w:sz="4" w:space="0" w:color="auto"/>
              <w:right w:val="single" w:sz="8" w:space="0" w:color="auto"/>
            </w:tcBorders>
            <w:shd w:val="clear" w:color="auto" w:fill="C00000"/>
            <w:vAlign w:val="center"/>
          </w:tcPr>
          <w:p w:rsidR="007F7DFF" w:rsidRDefault="00E310EF">
            <w:pPr>
              <w:spacing w:after="0"/>
              <w:rPr>
                <w:rFonts w:ascii="Calibri" w:eastAsia="Calibri" w:hAnsi="Calibri" w:cs="Calibri"/>
                <w:noProof/>
                <w:color w:val="FFFFFF" w:themeColor="background1"/>
                <w:sz w:val="22"/>
                <w:szCs w:val="22"/>
              </w:rPr>
            </w:pPr>
            <w:r>
              <w:rPr>
                <w:rFonts w:ascii="Calibri" w:hAnsi="Calibri"/>
                <w:noProof/>
                <w:color w:val="FFFFFF" w:themeColor="background1"/>
                <w:sz w:val="22"/>
                <w:szCs w:val="22"/>
              </w:rPr>
              <w:t>bardzo mało prawdopodobne</w:t>
            </w:r>
          </w:p>
        </w:tc>
      </w:tr>
      <w:tr w:rsidR="007F7DFF">
        <w:trPr>
          <w:gridAfter w:val="1"/>
          <w:wAfter w:w="7" w:type="dxa"/>
          <w:trHeight w:val="300"/>
        </w:trPr>
        <w:tc>
          <w:tcPr>
            <w:tcW w:w="1380" w:type="dxa"/>
            <w:tcBorders>
              <w:top w:val="single" w:sz="4" w:space="0" w:color="auto"/>
              <w:left w:val="single" w:sz="8" w:space="0" w:color="auto"/>
              <w:bottom w:val="single" w:sz="4" w:space="0" w:color="auto"/>
              <w:right w:val="single" w:sz="4" w:space="0" w:color="auto"/>
            </w:tcBorders>
            <w:vAlign w:val="center"/>
          </w:tcPr>
          <w:p w:rsidR="007F7DFF" w:rsidRDefault="00E310EF">
            <w:pPr>
              <w:spacing w:after="0"/>
              <w:rPr>
                <w:rFonts w:ascii="Calibri" w:eastAsia="Calibri" w:hAnsi="Calibri" w:cs="Calibri"/>
                <w:b/>
                <w:bCs/>
                <w:noProof/>
                <w:color w:val="000000" w:themeColor="text1"/>
              </w:rPr>
            </w:pPr>
            <w:r>
              <w:rPr>
                <w:rStyle w:val="normaltextrun"/>
                <w:rFonts w:ascii="Calibri" w:hAnsi="Calibri"/>
                <w:b/>
                <w:bCs/>
                <w:noProof/>
                <w:color w:val="000000"/>
              </w:rPr>
              <w:t>Słowacja</w:t>
            </w:r>
            <w:r>
              <w:rPr>
                <w:rFonts w:ascii="Calibri" w:hAnsi="Calibri"/>
                <w:noProof/>
                <w:color w:val="000000"/>
              </w:rPr>
              <w:t xml:space="preserve"> </w:t>
            </w:r>
          </w:p>
        </w:tc>
        <w:tc>
          <w:tcPr>
            <w:tcW w:w="2556"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2 564</w:t>
            </w:r>
          </w:p>
        </w:tc>
        <w:tc>
          <w:tcPr>
            <w:tcW w:w="2551"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112 %</w:t>
            </w:r>
          </w:p>
        </w:tc>
        <w:tc>
          <w:tcPr>
            <w:tcW w:w="2828" w:type="dxa"/>
            <w:tcBorders>
              <w:top w:val="single" w:sz="4" w:space="0" w:color="auto"/>
              <w:left w:val="single" w:sz="4" w:space="0" w:color="auto"/>
              <w:bottom w:val="single" w:sz="4" w:space="0" w:color="auto"/>
              <w:right w:val="single" w:sz="8" w:space="0" w:color="auto"/>
            </w:tcBorders>
            <w:shd w:val="clear" w:color="auto" w:fill="70AD47"/>
            <w:vAlign w:val="center"/>
          </w:tcPr>
          <w:p w:rsidR="007F7DFF" w:rsidRDefault="00E310EF">
            <w:pPr>
              <w:spacing w:after="0"/>
              <w:rPr>
                <w:rFonts w:ascii="Calibri" w:eastAsia="Calibri" w:hAnsi="Calibri" w:cs="Calibri"/>
                <w:noProof/>
                <w:color w:val="FFFFFF" w:themeColor="background1"/>
                <w:sz w:val="22"/>
                <w:szCs w:val="22"/>
              </w:rPr>
            </w:pPr>
            <w:r>
              <w:rPr>
                <w:rFonts w:ascii="Calibri" w:hAnsi="Calibri"/>
                <w:noProof/>
                <w:color w:val="FFFFFF" w:themeColor="background1"/>
                <w:sz w:val="22"/>
                <w:szCs w:val="22"/>
              </w:rPr>
              <w:t>bardzo prawdopodobne</w:t>
            </w:r>
          </w:p>
        </w:tc>
      </w:tr>
      <w:tr w:rsidR="007F7DFF">
        <w:trPr>
          <w:gridAfter w:val="1"/>
          <w:wAfter w:w="7" w:type="dxa"/>
          <w:trHeight w:val="300"/>
        </w:trPr>
        <w:tc>
          <w:tcPr>
            <w:tcW w:w="1380" w:type="dxa"/>
            <w:tcBorders>
              <w:top w:val="single" w:sz="4" w:space="0" w:color="auto"/>
              <w:left w:val="single" w:sz="8" w:space="0" w:color="auto"/>
              <w:bottom w:val="single" w:sz="4" w:space="0" w:color="auto"/>
              <w:right w:val="single" w:sz="4" w:space="0" w:color="auto"/>
            </w:tcBorders>
            <w:vAlign w:val="center"/>
          </w:tcPr>
          <w:p w:rsidR="007F7DFF" w:rsidRDefault="00E310EF">
            <w:pPr>
              <w:spacing w:after="0"/>
              <w:rPr>
                <w:rFonts w:ascii="Calibri" w:eastAsia="Calibri" w:hAnsi="Calibri" w:cs="Calibri"/>
                <w:b/>
                <w:bCs/>
                <w:noProof/>
                <w:color w:val="000000" w:themeColor="text1"/>
              </w:rPr>
            </w:pPr>
            <w:r>
              <w:rPr>
                <w:rStyle w:val="normaltextrun"/>
                <w:rFonts w:ascii="Calibri" w:hAnsi="Calibri"/>
                <w:b/>
                <w:bCs/>
                <w:noProof/>
                <w:color w:val="000000"/>
              </w:rPr>
              <w:t>Słowenia</w:t>
            </w:r>
            <w:r>
              <w:rPr>
                <w:rStyle w:val="eop"/>
                <w:rFonts w:ascii="Calibri" w:hAnsi="Calibri"/>
                <w:noProof/>
                <w:color w:val="000000"/>
              </w:rPr>
              <w:t xml:space="preserve"> </w:t>
            </w:r>
          </w:p>
        </w:tc>
        <w:tc>
          <w:tcPr>
            <w:tcW w:w="2556"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788</w:t>
            </w:r>
          </w:p>
        </w:tc>
        <w:tc>
          <w:tcPr>
            <w:tcW w:w="2551"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83 %</w:t>
            </w:r>
          </w:p>
        </w:tc>
        <w:tc>
          <w:tcPr>
            <w:tcW w:w="2828" w:type="dxa"/>
            <w:tcBorders>
              <w:top w:val="single" w:sz="4" w:space="0" w:color="auto"/>
              <w:left w:val="single" w:sz="4" w:space="0" w:color="auto"/>
              <w:bottom w:val="single" w:sz="4" w:space="0" w:color="auto"/>
              <w:right w:val="single" w:sz="8" w:space="0" w:color="auto"/>
            </w:tcBorders>
            <w:shd w:val="clear" w:color="auto" w:fill="E36C0A" w:themeFill="accent6" w:themeFillShade="BF"/>
            <w:vAlign w:val="center"/>
          </w:tcPr>
          <w:p w:rsidR="007F7DFF" w:rsidRDefault="00E310EF">
            <w:pPr>
              <w:spacing w:after="0"/>
              <w:rPr>
                <w:rFonts w:ascii="Calibri" w:eastAsia="Calibri" w:hAnsi="Calibri" w:cs="Calibri"/>
                <w:noProof/>
                <w:color w:val="FFFFFF" w:themeColor="background1"/>
                <w:sz w:val="22"/>
                <w:szCs w:val="22"/>
              </w:rPr>
            </w:pPr>
            <w:r>
              <w:rPr>
                <w:rFonts w:ascii="Calibri" w:hAnsi="Calibri"/>
                <w:noProof/>
                <w:color w:val="FFFFFF" w:themeColor="background1"/>
                <w:sz w:val="22"/>
                <w:szCs w:val="22"/>
              </w:rPr>
              <w:t>mało prawdopodobne</w:t>
            </w:r>
          </w:p>
        </w:tc>
      </w:tr>
      <w:tr w:rsidR="007F7DFF">
        <w:trPr>
          <w:gridAfter w:val="1"/>
          <w:wAfter w:w="7" w:type="dxa"/>
          <w:trHeight w:val="300"/>
        </w:trPr>
        <w:tc>
          <w:tcPr>
            <w:tcW w:w="1380" w:type="dxa"/>
            <w:tcBorders>
              <w:top w:val="single" w:sz="4" w:space="0" w:color="auto"/>
              <w:left w:val="single" w:sz="8" w:space="0" w:color="auto"/>
              <w:bottom w:val="single" w:sz="4" w:space="0" w:color="auto"/>
              <w:right w:val="single" w:sz="4" w:space="0" w:color="auto"/>
            </w:tcBorders>
            <w:vAlign w:val="center"/>
          </w:tcPr>
          <w:p w:rsidR="007F7DFF" w:rsidRDefault="00E310EF">
            <w:pPr>
              <w:spacing w:after="0"/>
              <w:rPr>
                <w:rFonts w:ascii="Calibri" w:eastAsia="Calibri" w:hAnsi="Calibri" w:cs="Calibri"/>
                <w:b/>
                <w:bCs/>
                <w:noProof/>
                <w:color w:val="000000" w:themeColor="text1"/>
              </w:rPr>
            </w:pPr>
            <w:r>
              <w:rPr>
                <w:rStyle w:val="normaltextrun"/>
                <w:rFonts w:ascii="Calibri" w:hAnsi="Calibri"/>
                <w:b/>
                <w:bCs/>
                <w:noProof/>
                <w:color w:val="000000"/>
              </w:rPr>
              <w:t>Hiszpania</w:t>
            </w:r>
            <w:r>
              <w:rPr>
                <w:rStyle w:val="eop"/>
                <w:rFonts w:ascii="Calibri" w:hAnsi="Calibri"/>
                <w:noProof/>
                <w:color w:val="000000"/>
              </w:rPr>
              <w:t xml:space="preserve"> </w:t>
            </w:r>
          </w:p>
        </w:tc>
        <w:tc>
          <w:tcPr>
            <w:tcW w:w="2556"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12 628</w:t>
            </w:r>
          </w:p>
        </w:tc>
        <w:tc>
          <w:tcPr>
            <w:tcW w:w="2551"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79 %</w:t>
            </w:r>
          </w:p>
        </w:tc>
        <w:tc>
          <w:tcPr>
            <w:tcW w:w="2828" w:type="dxa"/>
            <w:tcBorders>
              <w:top w:val="single" w:sz="4" w:space="0" w:color="auto"/>
              <w:left w:val="single" w:sz="4" w:space="0" w:color="auto"/>
              <w:bottom w:val="single" w:sz="4" w:space="0" w:color="auto"/>
              <w:right w:val="single" w:sz="8" w:space="0" w:color="auto"/>
            </w:tcBorders>
            <w:shd w:val="clear" w:color="auto" w:fill="E36C0A" w:themeFill="accent6" w:themeFillShade="BF"/>
            <w:vAlign w:val="center"/>
          </w:tcPr>
          <w:p w:rsidR="007F7DFF" w:rsidRDefault="00E310EF">
            <w:pPr>
              <w:spacing w:after="0"/>
              <w:rPr>
                <w:rFonts w:ascii="Calibri" w:eastAsia="Calibri" w:hAnsi="Calibri" w:cs="Calibri"/>
                <w:noProof/>
                <w:color w:val="FFFFFF" w:themeColor="background1"/>
                <w:sz w:val="22"/>
                <w:szCs w:val="22"/>
              </w:rPr>
            </w:pPr>
            <w:r>
              <w:rPr>
                <w:rFonts w:ascii="Calibri" w:hAnsi="Calibri"/>
                <w:noProof/>
                <w:color w:val="FFFFFF" w:themeColor="background1"/>
                <w:sz w:val="22"/>
                <w:szCs w:val="22"/>
              </w:rPr>
              <w:t>mało prawdopodobne</w:t>
            </w:r>
          </w:p>
        </w:tc>
      </w:tr>
      <w:tr w:rsidR="007F7DFF">
        <w:trPr>
          <w:gridAfter w:val="1"/>
          <w:wAfter w:w="7" w:type="dxa"/>
          <w:trHeight w:val="300"/>
        </w:trPr>
        <w:tc>
          <w:tcPr>
            <w:tcW w:w="1380" w:type="dxa"/>
            <w:tcBorders>
              <w:top w:val="single" w:sz="4" w:space="0" w:color="auto"/>
              <w:left w:val="single" w:sz="8" w:space="0" w:color="auto"/>
              <w:bottom w:val="single" w:sz="4" w:space="0" w:color="auto"/>
              <w:right w:val="single" w:sz="4" w:space="0" w:color="auto"/>
            </w:tcBorders>
            <w:vAlign w:val="center"/>
          </w:tcPr>
          <w:p w:rsidR="007F7DFF" w:rsidRDefault="00E310EF">
            <w:pPr>
              <w:spacing w:after="0"/>
              <w:rPr>
                <w:rFonts w:ascii="Calibri" w:eastAsia="Calibri" w:hAnsi="Calibri" w:cs="Calibri"/>
                <w:b/>
                <w:bCs/>
                <w:noProof/>
                <w:color w:val="000000" w:themeColor="text1"/>
              </w:rPr>
            </w:pPr>
            <w:r>
              <w:rPr>
                <w:rStyle w:val="normaltextrun"/>
                <w:rFonts w:ascii="Calibri" w:hAnsi="Calibri"/>
                <w:b/>
                <w:bCs/>
                <w:noProof/>
                <w:color w:val="000000"/>
              </w:rPr>
              <w:t>Zjednoczone Królestwo</w:t>
            </w:r>
            <w:r>
              <w:rPr>
                <w:rStyle w:val="eop"/>
                <w:rFonts w:ascii="Calibri" w:hAnsi="Calibri"/>
                <w:noProof/>
                <w:color w:val="000000"/>
              </w:rPr>
              <w:t xml:space="preserve"> </w:t>
            </w:r>
          </w:p>
        </w:tc>
        <w:tc>
          <w:tcPr>
            <w:tcW w:w="2556"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30 645</w:t>
            </w:r>
          </w:p>
        </w:tc>
        <w:tc>
          <w:tcPr>
            <w:tcW w:w="2551"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sz w:val="22"/>
                <w:szCs w:val="22"/>
              </w:rPr>
            </w:pPr>
            <w:r>
              <w:rPr>
                <w:rFonts w:ascii="Calibri" w:hAnsi="Calibri"/>
                <w:noProof/>
                <w:color w:val="000000"/>
                <w:sz w:val="22"/>
                <w:szCs w:val="22"/>
              </w:rPr>
              <w:t>110 %</w:t>
            </w:r>
          </w:p>
        </w:tc>
        <w:tc>
          <w:tcPr>
            <w:tcW w:w="2828" w:type="dxa"/>
            <w:tcBorders>
              <w:top w:val="single" w:sz="4" w:space="0" w:color="auto"/>
              <w:left w:val="single" w:sz="4" w:space="0" w:color="auto"/>
              <w:bottom w:val="single" w:sz="4" w:space="0" w:color="auto"/>
              <w:right w:val="single" w:sz="8" w:space="0" w:color="auto"/>
            </w:tcBorders>
            <w:shd w:val="clear" w:color="auto" w:fill="FFC000"/>
            <w:vAlign w:val="center"/>
          </w:tcPr>
          <w:p w:rsidR="007F7DFF" w:rsidRDefault="00E310EF">
            <w:pPr>
              <w:spacing w:after="0"/>
              <w:rPr>
                <w:rFonts w:ascii="Calibri" w:eastAsia="Calibri" w:hAnsi="Calibri" w:cs="Calibri"/>
                <w:noProof/>
                <w:color w:val="FFFFFF" w:themeColor="background1"/>
                <w:sz w:val="22"/>
                <w:szCs w:val="22"/>
              </w:rPr>
            </w:pPr>
            <w:r>
              <w:rPr>
                <w:rFonts w:ascii="Calibri" w:hAnsi="Calibri"/>
                <w:noProof/>
                <w:color w:val="FFFFFF" w:themeColor="background1"/>
                <w:sz w:val="22"/>
                <w:szCs w:val="22"/>
              </w:rPr>
              <w:t>prawdopodobne</w:t>
            </w:r>
          </w:p>
        </w:tc>
      </w:tr>
      <w:tr w:rsidR="007F7DFF">
        <w:trPr>
          <w:trHeight w:val="300"/>
        </w:trPr>
        <w:tc>
          <w:tcPr>
            <w:tcW w:w="932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7DFF" w:rsidRDefault="00E310EF">
            <w:pPr>
              <w:spacing w:after="0"/>
              <w:jc w:val="center"/>
              <w:rPr>
                <w:rFonts w:ascii="Calibri" w:eastAsia="Calibri" w:hAnsi="Calibri" w:cs="Calibri"/>
                <w:b/>
                <w:noProof/>
                <w:color w:val="000000" w:themeColor="text1"/>
              </w:rPr>
            </w:pPr>
            <w:r>
              <w:rPr>
                <w:rFonts w:ascii="Calibri" w:hAnsi="Calibri"/>
                <w:b/>
                <w:bCs/>
                <w:noProof/>
                <w:color w:val="000000" w:themeColor="text1"/>
              </w:rPr>
              <w:t>Scenariusz 2 (stosunek nowych oszczędności do ogólnych rocznych oszczędności &gt;90 %)</w:t>
            </w:r>
          </w:p>
        </w:tc>
      </w:tr>
      <w:tr w:rsidR="007F7DFF">
        <w:trPr>
          <w:trHeight w:val="860"/>
        </w:trPr>
        <w:tc>
          <w:tcPr>
            <w:tcW w:w="13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F7DFF" w:rsidRDefault="00E310EF">
            <w:pPr>
              <w:spacing w:after="0"/>
              <w:jc w:val="center"/>
              <w:rPr>
                <w:rFonts w:ascii="Calibri" w:eastAsia="Calibri" w:hAnsi="Calibri" w:cs="Calibri"/>
                <w:noProof/>
                <w:color w:val="000000" w:themeColor="text1"/>
              </w:rPr>
            </w:pPr>
            <w:r>
              <w:rPr>
                <w:rFonts w:ascii="Calibri" w:hAnsi="Calibri"/>
                <w:noProof/>
                <w:color w:val="000000" w:themeColor="text1"/>
              </w:rPr>
              <w:t>Państwo członkowskie</w:t>
            </w:r>
          </w:p>
        </w:tc>
        <w:tc>
          <w:tcPr>
            <w:tcW w:w="255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F7DFF" w:rsidRDefault="00E310EF">
            <w:pPr>
              <w:spacing w:after="0"/>
              <w:jc w:val="center"/>
              <w:rPr>
                <w:rFonts w:ascii="Calibri" w:eastAsia="Calibri" w:hAnsi="Calibri" w:cs="Calibri"/>
                <w:noProof/>
                <w:color w:val="000000" w:themeColor="text1"/>
              </w:rPr>
            </w:pPr>
            <w:r>
              <w:rPr>
                <w:rFonts w:ascii="Calibri" w:hAnsi="Calibri"/>
                <w:noProof/>
                <w:color w:val="000000" w:themeColor="text1"/>
              </w:rPr>
              <w:t xml:space="preserve">Prognozowane oszczędności w ktoe przy założeniu, że nowe roczne </w:t>
            </w:r>
            <w:r>
              <w:rPr>
                <w:rFonts w:ascii="Calibri" w:hAnsi="Calibri"/>
                <w:noProof/>
                <w:color w:val="000000" w:themeColor="text1"/>
              </w:rPr>
              <w:t>oszczędności do 2020 r. będą takie same jak w 2017 r. (czas trwania = 1 rok)</w:t>
            </w:r>
          </w:p>
        </w:tc>
        <w:tc>
          <w:tcPr>
            <w:tcW w:w="2551" w:type="dxa"/>
            <w:tcBorders>
              <w:top w:val="nil"/>
              <w:left w:val="single" w:sz="4" w:space="0" w:color="auto"/>
              <w:bottom w:val="single" w:sz="4" w:space="0" w:color="auto"/>
              <w:right w:val="single" w:sz="4" w:space="0" w:color="auto"/>
            </w:tcBorders>
            <w:shd w:val="clear" w:color="auto" w:fill="DBE5F1" w:themeFill="accent1" w:themeFillTint="33"/>
          </w:tcPr>
          <w:p w:rsidR="007F7DFF" w:rsidRDefault="00E310EF">
            <w:pPr>
              <w:spacing w:after="0"/>
              <w:jc w:val="center"/>
              <w:rPr>
                <w:rFonts w:ascii="Calibri" w:eastAsia="Calibri" w:hAnsi="Calibri" w:cs="Calibri"/>
                <w:noProof/>
                <w:color w:val="000000" w:themeColor="text1"/>
              </w:rPr>
            </w:pPr>
            <w:r>
              <w:rPr>
                <w:rFonts w:ascii="Calibri" w:hAnsi="Calibri"/>
                <w:noProof/>
                <w:color w:val="000000" w:themeColor="text1"/>
              </w:rPr>
              <w:t>Względne osiągnięcie celu w 2020 r. (prognozowane oszczędności w porównaniu z celem w zakresie oszczędności)</w:t>
            </w:r>
          </w:p>
        </w:tc>
        <w:tc>
          <w:tcPr>
            <w:tcW w:w="2835" w:type="dxa"/>
            <w:gridSpan w:val="2"/>
            <w:tcBorders>
              <w:top w:val="nil"/>
              <w:left w:val="single" w:sz="4" w:space="0" w:color="auto"/>
              <w:bottom w:val="single" w:sz="4" w:space="0" w:color="auto"/>
              <w:right w:val="single" w:sz="4" w:space="0" w:color="auto"/>
            </w:tcBorders>
            <w:shd w:val="clear" w:color="auto" w:fill="DBE5F1" w:themeFill="accent1" w:themeFillTint="33"/>
          </w:tcPr>
          <w:p w:rsidR="007F7DFF" w:rsidRDefault="00E310EF">
            <w:pPr>
              <w:spacing w:after="0"/>
              <w:jc w:val="center"/>
              <w:rPr>
                <w:rFonts w:ascii="Calibri" w:eastAsia="Calibri" w:hAnsi="Calibri" w:cs="Calibri"/>
                <w:noProof/>
                <w:color w:val="000000" w:themeColor="text1"/>
              </w:rPr>
            </w:pPr>
            <w:r>
              <w:rPr>
                <w:rFonts w:ascii="Calibri" w:hAnsi="Calibri"/>
                <w:noProof/>
                <w:color w:val="000000" w:themeColor="text1"/>
              </w:rPr>
              <w:t>Prawdopodobieństwo osiągnięcia celu</w:t>
            </w:r>
            <w:r>
              <w:rPr>
                <w:noProof/>
              </w:rPr>
              <w:t xml:space="preserve"> </w:t>
            </w:r>
            <w:r>
              <w:rPr>
                <w:noProof/>
              </w:rPr>
              <w:br/>
            </w:r>
          </w:p>
        </w:tc>
      </w:tr>
      <w:tr w:rsidR="007F7DFF">
        <w:trPr>
          <w:trHeight w:val="300"/>
        </w:trPr>
        <w:tc>
          <w:tcPr>
            <w:tcW w:w="1380"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b/>
                <w:noProof/>
                <w:color w:val="000000" w:themeColor="text1"/>
              </w:rPr>
            </w:pPr>
            <w:r>
              <w:rPr>
                <w:rFonts w:ascii="Calibri" w:hAnsi="Calibri"/>
                <w:b/>
                <w:bCs/>
                <w:noProof/>
                <w:color w:val="000000" w:themeColor="text1"/>
              </w:rPr>
              <w:t>Cypr</w:t>
            </w:r>
          </w:p>
        </w:tc>
        <w:tc>
          <w:tcPr>
            <w:tcW w:w="2556"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rPr>
            </w:pPr>
            <w:r>
              <w:rPr>
                <w:rFonts w:ascii="Calibri" w:hAnsi="Calibri"/>
                <w:noProof/>
                <w:color w:val="000000"/>
                <w:sz w:val="22"/>
                <w:szCs w:val="22"/>
              </w:rPr>
              <w:t>316</w:t>
            </w:r>
          </w:p>
        </w:tc>
        <w:tc>
          <w:tcPr>
            <w:tcW w:w="2551"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rPr>
            </w:pPr>
            <w:r>
              <w:rPr>
                <w:rFonts w:ascii="Calibri" w:hAnsi="Calibri"/>
                <w:noProof/>
                <w:color w:val="000000"/>
                <w:sz w:val="22"/>
                <w:szCs w:val="22"/>
              </w:rPr>
              <w:t>131 %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rsidR="007F7DFF" w:rsidRDefault="00E310EF">
            <w:pPr>
              <w:spacing w:after="0"/>
              <w:rPr>
                <w:rFonts w:ascii="Calibri" w:eastAsia="Calibri" w:hAnsi="Calibri" w:cs="Calibri"/>
                <w:noProof/>
                <w:color w:val="FFFFFF" w:themeColor="background1"/>
              </w:rPr>
            </w:pPr>
            <w:r>
              <w:rPr>
                <w:rFonts w:ascii="Calibri" w:hAnsi="Calibri"/>
                <w:noProof/>
                <w:color w:val="FFFFFF" w:themeColor="background1"/>
                <w:sz w:val="22"/>
                <w:szCs w:val="22"/>
              </w:rPr>
              <w:t xml:space="preserve">bardzo </w:t>
            </w:r>
            <w:r>
              <w:rPr>
                <w:rFonts w:ascii="Calibri" w:hAnsi="Calibri"/>
                <w:noProof/>
                <w:color w:val="FFFFFF" w:themeColor="background1"/>
                <w:sz w:val="22"/>
                <w:szCs w:val="22"/>
              </w:rPr>
              <w:t>prawdopodobne</w:t>
            </w:r>
          </w:p>
        </w:tc>
      </w:tr>
      <w:tr w:rsidR="007F7DFF">
        <w:trPr>
          <w:trHeight w:val="300"/>
        </w:trPr>
        <w:tc>
          <w:tcPr>
            <w:tcW w:w="1380"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b/>
                <w:noProof/>
                <w:color w:val="000000" w:themeColor="text1"/>
              </w:rPr>
            </w:pPr>
            <w:r>
              <w:rPr>
                <w:rFonts w:ascii="Calibri" w:hAnsi="Calibri"/>
                <w:b/>
                <w:bCs/>
                <w:noProof/>
                <w:color w:val="000000" w:themeColor="text1"/>
              </w:rPr>
              <w:t>Estonia</w:t>
            </w:r>
          </w:p>
        </w:tc>
        <w:tc>
          <w:tcPr>
            <w:tcW w:w="2556"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rPr>
            </w:pPr>
            <w:r>
              <w:rPr>
                <w:rFonts w:ascii="Calibri" w:hAnsi="Calibri"/>
                <w:noProof/>
                <w:color w:val="000000" w:themeColor="text1"/>
              </w:rPr>
              <w:t>546</w:t>
            </w:r>
          </w:p>
        </w:tc>
        <w:tc>
          <w:tcPr>
            <w:tcW w:w="2551"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rPr>
            </w:pPr>
            <w:r>
              <w:rPr>
                <w:rFonts w:ascii="Calibri" w:hAnsi="Calibri"/>
                <w:noProof/>
                <w:color w:val="000000" w:themeColor="text1"/>
              </w:rPr>
              <w:t>90 %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D7D31"/>
            <w:vAlign w:val="center"/>
          </w:tcPr>
          <w:p w:rsidR="007F7DFF" w:rsidRDefault="00E310EF">
            <w:pPr>
              <w:spacing w:after="0"/>
              <w:rPr>
                <w:rFonts w:ascii="Calibri" w:eastAsia="Calibri" w:hAnsi="Calibri" w:cs="Calibri"/>
                <w:noProof/>
                <w:color w:val="FFFFFF" w:themeColor="background1"/>
              </w:rPr>
            </w:pPr>
            <w:r>
              <w:rPr>
                <w:rFonts w:ascii="Calibri" w:hAnsi="Calibri"/>
                <w:noProof/>
                <w:color w:val="FFFFFF" w:themeColor="background1"/>
              </w:rPr>
              <w:t>mało prawdopodobne</w:t>
            </w:r>
          </w:p>
        </w:tc>
      </w:tr>
      <w:tr w:rsidR="007F7DFF">
        <w:trPr>
          <w:trHeight w:val="300"/>
        </w:trPr>
        <w:tc>
          <w:tcPr>
            <w:tcW w:w="1380"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b/>
                <w:noProof/>
                <w:color w:val="000000" w:themeColor="text1"/>
              </w:rPr>
            </w:pPr>
            <w:r>
              <w:rPr>
                <w:rFonts w:ascii="Calibri" w:hAnsi="Calibri"/>
                <w:b/>
                <w:bCs/>
                <w:noProof/>
                <w:color w:val="000000" w:themeColor="text1"/>
              </w:rPr>
              <w:t>Litwa</w:t>
            </w:r>
          </w:p>
        </w:tc>
        <w:tc>
          <w:tcPr>
            <w:tcW w:w="2556"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rPr>
            </w:pPr>
            <w:r>
              <w:rPr>
                <w:rFonts w:ascii="Calibri" w:hAnsi="Calibri"/>
                <w:noProof/>
                <w:color w:val="000000" w:themeColor="text1"/>
              </w:rPr>
              <w:t>669</w:t>
            </w:r>
          </w:p>
        </w:tc>
        <w:tc>
          <w:tcPr>
            <w:tcW w:w="2551"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rPr>
            </w:pPr>
            <w:r>
              <w:rPr>
                <w:rFonts w:ascii="Calibri" w:hAnsi="Calibri"/>
                <w:noProof/>
                <w:color w:val="000000" w:themeColor="text1"/>
              </w:rPr>
              <w:t>67 %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C00000"/>
            <w:vAlign w:val="center"/>
          </w:tcPr>
          <w:p w:rsidR="007F7DFF" w:rsidRDefault="00E310EF">
            <w:pPr>
              <w:spacing w:after="0"/>
              <w:rPr>
                <w:rFonts w:ascii="Calibri" w:eastAsia="Calibri" w:hAnsi="Calibri" w:cs="Calibri"/>
                <w:noProof/>
                <w:color w:val="FFFFFF" w:themeColor="background1"/>
              </w:rPr>
            </w:pPr>
            <w:r>
              <w:rPr>
                <w:rFonts w:ascii="Calibri" w:hAnsi="Calibri"/>
                <w:noProof/>
                <w:color w:val="FFFFFF" w:themeColor="background1"/>
              </w:rPr>
              <w:t>bardzo mało prawdopodobne</w:t>
            </w:r>
          </w:p>
        </w:tc>
      </w:tr>
      <w:tr w:rsidR="007F7DFF">
        <w:trPr>
          <w:trHeight w:val="300"/>
        </w:trPr>
        <w:tc>
          <w:tcPr>
            <w:tcW w:w="1380"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b/>
                <w:noProof/>
                <w:color w:val="000000" w:themeColor="text1"/>
              </w:rPr>
            </w:pPr>
            <w:r>
              <w:rPr>
                <w:rFonts w:ascii="Calibri" w:hAnsi="Calibri"/>
                <w:b/>
                <w:bCs/>
                <w:noProof/>
                <w:color w:val="000000" w:themeColor="text1"/>
              </w:rPr>
              <w:t>Szwecja</w:t>
            </w:r>
          </w:p>
        </w:tc>
        <w:tc>
          <w:tcPr>
            <w:tcW w:w="2556"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rPr>
            </w:pPr>
            <w:r>
              <w:rPr>
                <w:rFonts w:ascii="Calibri" w:hAnsi="Calibri"/>
                <w:noProof/>
                <w:color w:val="000000" w:themeColor="text1"/>
              </w:rPr>
              <w:t>7 526</w:t>
            </w:r>
          </w:p>
        </w:tc>
        <w:tc>
          <w:tcPr>
            <w:tcW w:w="2551"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rPr>
            </w:pPr>
            <w:r>
              <w:rPr>
                <w:rFonts w:ascii="Calibri" w:hAnsi="Calibri"/>
                <w:noProof/>
                <w:color w:val="000000" w:themeColor="text1"/>
              </w:rPr>
              <w:t>83 %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D7D31"/>
            <w:vAlign w:val="center"/>
          </w:tcPr>
          <w:p w:rsidR="007F7DFF" w:rsidRDefault="00E310EF">
            <w:pPr>
              <w:spacing w:after="0"/>
              <w:rPr>
                <w:rFonts w:ascii="Calibri" w:eastAsia="Calibri" w:hAnsi="Calibri" w:cs="Calibri"/>
                <w:noProof/>
                <w:color w:val="FFFFFF" w:themeColor="background1"/>
              </w:rPr>
            </w:pPr>
            <w:r>
              <w:rPr>
                <w:rFonts w:ascii="Calibri" w:hAnsi="Calibri"/>
                <w:noProof/>
                <w:color w:val="FFFFFF" w:themeColor="background1"/>
              </w:rPr>
              <w:t>mało prawdopodobne</w:t>
            </w:r>
          </w:p>
        </w:tc>
      </w:tr>
      <w:tr w:rsidR="007F7DFF">
        <w:trPr>
          <w:trHeight w:val="300"/>
        </w:trPr>
        <w:tc>
          <w:tcPr>
            <w:tcW w:w="9322"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F7DFF" w:rsidRDefault="00E310EF">
            <w:pPr>
              <w:spacing w:after="0"/>
              <w:jc w:val="center"/>
              <w:rPr>
                <w:rFonts w:ascii="Calibri" w:eastAsia="Calibri" w:hAnsi="Calibri" w:cs="Calibri"/>
                <w:b/>
                <w:bCs/>
                <w:noProof/>
                <w:color w:val="000000" w:themeColor="text1"/>
              </w:rPr>
            </w:pPr>
            <w:r>
              <w:rPr>
                <w:rFonts w:ascii="Calibri" w:hAnsi="Calibri"/>
                <w:b/>
                <w:bCs/>
                <w:noProof/>
                <w:color w:val="000000" w:themeColor="text1"/>
              </w:rPr>
              <w:t>Scenariusz 3 (stosunek nowych oszczędności do ogólnych rocznych oszczędności &gt;40 %, ale &lt;90 %)</w:t>
            </w:r>
          </w:p>
        </w:tc>
      </w:tr>
      <w:tr w:rsidR="007F7DFF">
        <w:trPr>
          <w:trHeight w:val="1189"/>
        </w:trPr>
        <w:tc>
          <w:tcPr>
            <w:tcW w:w="13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F7DFF" w:rsidRDefault="00E310EF">
            <w:pPr>
              <w:spacing w:after="0"/>
              <w:jc w:val="center"/>
              <w:rPr>
                <w:rFonts w:ascii="Calibri" w:eastAsia="Calibri" w:hAnsi="Calibri" w:cs="Calibri"/>
                <w:noProof/>
                <w:color w:val="000000" w:themeColor="text1"/>
              </w:rPr>
            </w:pPr>
            <w:r>
              <w:rPr>
                <w:rFonts w:ascii="Calibri" w:hAnsi="Calibri"/>
                <w:noProof/>
                <w:color w:val="000000" w:themeColor="text1"/>
              </w:rPr>
              <w:t>Państwo członkowskie</w:t>
            </w:r>
          </w:p>
        </w:tc>
        <w:tc>
          <w:tcPr>
            <w:tcW w:w="255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F7DFF" w:rsidRDefault="00E310EF">
            <w:pPr>
              <w:spacing w:after="0"/>
              <w:jc w:val="center"/>
              <w:rPr>
                <w:rFonts w:ascii="Calibri" w:eastAsia="Calibri" w:hAnsi="Calibri" w:cs="Calibri"/>
                <w:noProof/>
                <w:color w:val="000000" w:themeColor="text1"/>
              </w:rPr>
            </w:pPr>
            <w:r>
              <w:rPr>
                <w:rFonts w:ascii="Calibri" w:hAnsi="Calibri"/>
                <w:noProof/>
                <w:color w:val="000000" w:themeColor="text1"/>
              </w:rPr>
              <w:t>Prognozowane oszczędności w ktoe przy założeniu, że nowe roczne oszczędności do 2020 r. będą takie same jak w 2018 r. (75 % czasu trwania &gt;7 lat; 25 % czasu trwania = 1 rok)</w:t>
            </w:r>
          </w:p>
        </w:tc>
        <w:tc>
          <w:tcPr>
            <w:tcW w:w="2551" w:type="dxa"/>
            <w:tcBorders>
              <w:top w:val="nil"/>
              <w:left w:val="single" w:sz="4" w:space="0" w:color="auto"/>
              <w:bottom w:val="single" w:sz="4" w:space="0" w:color="auto"/>
              <w:right w:val="single" w:sz="4" w:space="0" w:color="auto"/>
            </w:tcBorders>
            <w:shd w:val="clear" w:color="auto" w:fill="DBE5F1" w:themeFill="accent1" w:themeFillTint="33"/>
          </w:tcPr>
          <w:p w:rsidR="007F7DFF" w:rsidRDefault="00E310EF">
            <w:pPr>
              <w:spacing w:after="0"/>
              <w:jc w:val="center"/>
              <w:rPr>
                <w:rFonts w:ascii="Calibri" w:eastAsia="Calibri" w:hAnsi="Calibri" w:cs="Calibri"/>
                <w:noProof/>
                <w:color w:val="000000" w:themeColor="text1"/>
              </w:rPr>
            </w:pPr>
            <w:r>
              <w:rPr>
                <w:rFonts w:ascii="Calibri" w:hAnsi="Calibri"/>
                <w:noProof/>
                <w:color w:val="000000" w:themeColor="text1"/>
              </w:rPr>
              <w:t>Względne osiągnięcie celu w 2020 r. (prognozowane oszczędności w porównaniu z cele</w:t>
            </w:r>
            <w:r>
              <w:rPr>
                <w:rFonts w:ascii="Calibri" w:hAnsi="Calibri"/>
                <w:noProof/>
                <w:color w:val="000000" w:themeColor="text1"/>
              </w:rPr>
              <w:t>m w zakresie oszczędności)</w:t>
            </w:r>
          </w:p>
        </w:tc>
        <w:tc>
          <w:tcPr>
            <w:tcW w:w="2835" w:type="dxa"/>
            <w:gridSpan w:val="2"/>
            <w:tcBorders>
              <w:top w:val="nil"/>
              <w:left w:val="single" w:sz="4" w:space="0" w:color="auto"/>
              <w:bottom w:val="single" w:sz="4" w:space="0" w:color="auto"/>
              <w:right w:val="single" w:sz="4" w:space="0" w:color="auto"/>
            </w:tcBorders>
            <w:shd w:val="clear" w:color="auto" w:fill="DBE5F1" w:themeFill="accent1" w:themeFillTint="33"/>
          </w:tcPr>
          <w:p w:rsidR="007F7DFF" w:rsidRDefault="00E310EF">
            <w:pPr>
              <w:spacing w:after="0"/>
              <w:jc w:val="center"/>
              <w:rPr>
                <w:rFonts w:ascii="Calibri" w:eastAsia="Calibri" w:hAnsi="Calibri" w:cs="Calibri"/>
                <w:noProof/>
                <w:color w:val="000000" w:themeColor="text1"/>
              </w:rPr>
            </w:pPr>
            <w:r>
              <w:rPr>
                <w:rFonts w:ascii="Calibri" w:hAnsi="Calibri"/>
                <w:noProof/>
                <w:color w:val="000000" w:themeColor="text1"/>
              </w:rPr>
              <w:t>Prawdopodobieństwo osiągnięcia celu</w:t>
            </w:r>
            <w:r>
              <w:rPr>
                <w:noProof/>
              </w:rPr>
              <w:t xml:space="preserve"> </w:t>
            </w:r>
            <w:r>
              <w:rPr>
                <w:noProof/>
              </w:rPr>
              <w:br/>
            </w:r>
          </w:p>
        </w:tc>
      </w:tr>
      <w:tr w:rsidR="007F7DFF">
        <w:trPr>
          <w:trHeight w:val="300"/>
        </w:trPr>
        <w:tc>
          <w:tcPr>
            <w:tcW w:w="1380"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b/>
                <w:bCs/>
                <w:noProof/>
                <w:color w:val="000000" w:themeColor="text1"/>
              </w:rPr>
            </w:pPr>
            <w:r>
              <w:rPr>
                <w:rFonts w:ascii="Calibri" w:hAnsi="Calibri"/>
                <w:b/>
                <w:bCs/>
                <w:noProof/>
                <w:color w:val="000000" w:themeColor="text1"/>
              </w:rPr>
              <w:t>Finlandia</w:t>
            </w:r>
          </w:p>
        </w:tc>
        <w:tc>
          <w:tcPr>
            <w:tcW w:w="2556"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rPr>
            </w:pPr>
            <w:r>
              <w:rPr>
                <w:rFonts w:ascii="Calibri" w:hAnsi="Calibri"/>
                <w:noProof/>
                <w:color w:val="000000"/>
                <w:sz w:val="22"/>
                <w:szCs w:val="22"/>
              </w:rPr>
              <w:t>8 260</w:t>
            </w:r>
          </w:p>
        </w:tc>
        <w:tc>
          <w:tcPr>
            <w:tcW w:w="2551"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rPr>
            </w:pPr>
            <w:r>
              <w:rPr>
                <w:rFonts w:ascii="Calibri" w:hAnsi="Calibri"/>
                <w:noProof/>
                <w:color w:val="000000"/>
                <w:sz w:val="22"/>
                <w:szCs w:val="22"/>
              </w:rPr>
              <w:t>196 %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70AD47"/>
            <w:vAlign w:val="center"/>
          </w:tcPr>
          <w:p w:rsidR="007F7DFF" w:rsidRDefault="00E310EF">
            <w:pPr>
              <w:spacing w:after="0"/>
              <w:rPr>
                <w:rFonts w:ascii="Calibri" w:eastAsia="Calibri" w:hAnsi="Calibri" w:cs="Calibri"/>
                <w:noProof/>
                <w:color w:val="FFFFFF" w:themeColor="background1"/>
              </w:rPr>
            </w:pPr>
            <w:r>
              <w:rPr>
                <w:rFonts w:ascii="Calibri" w:hAnsi="Calibri"/>
                <w:noProof/>
                <w:color w:val="FFFFFF" w:themeColor="background1"/>
                <w:sz w:val="22"/>
                <w:szCs w:val="22"/>
              </w:rPr>
              <w:t>bardzo prawdopodobne</w:t>
            </w:r>
          </w:p>
        </w:tc>
      </w:tr>
      <w:tr w:rsidR="007F7DFF">
        <w:trPr>
          <w:trHeight w:val="300"/>
        </w:trPr>
        <w:tc>
          <w:tcPr>
            <w:tcW w:w="1380"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b/>
                <w:bCs/>
                <w:noProof/>
                <w:color w:val="000000" w:themeColor="text1"/>
              </w:rPr>
            </w:pPr>
            <w:r>
              <w:rPr>
                <w:rFonts w:ascii="Calibri" w:hAnsi="Calibri"/>
                <w:b/>
                <w:bCs/>
                <w:noProof/>
                <w:color w:val="000000" w:themeColor="text1"/>
              </w:rPr>
              <w:t>Niemcy</w:t>
            </w:r>
          </w:p>
        </w:tc>
        <w:tc>
          <w:tcPr>
            <w:tcW w:w="2556"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rPr>
            </w:pPr>
            <w:r>
              <w:rPr>
                <w:rFonts w:ascii="Calibri" w:hAnsi="Calibri"/>
                <w:noProof/>
                <w:color w:val="000000"/>
                <w:sz w:val="22"/>
                <w:szCs w:val="22"/>
              </w:rPr>
              <w:t>57 608</w:t>
            </w:r>
          </w:p>
        </w:tc>
        <w:tc>
          <w:tcPr>
            <w:tcW w:w="2551"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rPr>
            </w:pPr>
            <w:r>
              <w:rPr>
                <w:rFonts w:ascii="Calibri" w:hAnsi="Calibri"/>
                <w:noProof/>
                <w:color w:val="000000"/>
                <w:sz w:val="22"/>
                <w:szCs w:val="22"/>
              </w:rPr>
              <w:t>137 %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70AD47"/>
            <w:vAlign w:val="center"/>
          </w:tcPr>
          <w:p w:rsidR="007F7DFF" w:rsidRDefault="00E310EF">
            <w:pPr>
              <w:spacing w:after="0"/>
              <w:rPr>
                <w:rFonts w:ascii="Calibri" w:eastAsia="Calibri" w:hAnsi="Calibri" w:cs="Calibri"/>
                <w:noProof/>
                <w:color w:val="FFFFFF" w:themeColor="background1"/>
              </w:rPr>
            </w:pPr>
            <w:r>
              <w:rPr>
                <w:rFonts w:ascii="Calibri" w:hAnsi="Calibri"/>
                <w:noProof/>
                <w:color w:val="FFFFFF" w:themeColor="background1"/>
                <w:sz w:val="22"/>
                <w:szCs w:val="22"/>
              </w:rPr>
              <w:t>bardzo prawdopodobne</w:t>
            </w:r>
          </w:p>
        </w:tc>
      </w:tr>
      <w:tr w:rsidR="007F7DFF">
        <w:trPr>
          <w:trHeight w:val="300"/>
        </w:trPr>
        <w:tc>
          <w:tcPr>
            <w:tcW w:w="1380"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b/>
                <w:bCs/>
                <w:noProof/>
                <w:color w:val="000000" w:themeColor="text1"/>
              </w:rPr>
            </w:pPr>
            <w:r>
              <w:rPr>
                <w:rFonts w:ascii="Calibri" w:hAnsi="Calibri"/>
                <w:b/>
                <w:bCs/>
                <w:noProof/>
                <w:color w:val="000000" w:themeColor="text1"/>
              </w:rPr>
              <w:t>Grecja</w:t>
            </w:r>
          </w:p>
        </w:tc>
        <w:tc>
          <w:tcPr>
            <w:tcW w:w="2556"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rPr>
            </w:pPr>
            <w:r>
              <w:rPr>
                <w:rFonts w:ascii="Calibri" w:hAnsi="Calibri"/>
                <w:noProof/>
                <w:color w:val="000000"/>
                <w:sz w:val="22"/>
                <w:szCs w:val="22"/>
              </w:rPr>
              <w:t>2 647</w:t>
            </w:r>
          </w:p>
        </w:tc>
        <w:tc>
          <w:tcPr>
            <w:tcW w:w="2551"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rPr>
            </w:pPr>
            <w:r>
              <w:rPr>
                <w:rFonts w:ascii="Calibri" w:hAnsi="Calibri"/>
                <w:noProof/>
                <w:color w:val="000000"/>
                <w:sz w:val="22"/>
                <w:szCs w:val="22"/>
              </w:rPr>
              <w:t>79 %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7F7DFF" w:rsidRDefault="00E310EF">
            <w:pPr>
              <w:spacing w:after="0"/>
              <w:rPr>
                <w:rFonts w:ascii="Calibri" w:eastAsia="Calibri" w:hAnsi="Calibri" w:cs="Calibri"/>
                <w:noProof/>
                <w:color w:val="FFFFFF" w:themeColor="background1"/>
              </w:rPr>
            </w:pPr>
            <w:r>
              <w:rPr>
                <w:rFonts w:ascii="Calibri" w:hAnsi="Calibri"/>
                <w:noProof/>
                <w:color w:val="FFFFFF" w:themeColor="background1"/>
                <w:sz w:val="22"/>
                <w:szCs w:val="22"/>
              </w:rPr>
              <w:t>mało prawdopodobne</w:t>
            </w:r>
          </w:p>
        </w:tc>
      </w:tr>
      <w:tr w:rsidR="007F7DFF">
        <w:trPr>
          <w:trHeight w:val="300"/>
        </w:trPr>
        <w:tc>
          <w:tcPr>
            <w:tcW w:w="1380"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b/>
                <w:bCs/>
                <w:noProof/>
                <w:color w:val="000000" w:themeColor="text1"/>
              </w:rPr>
            </w:pPr>
            <w:r>
              <w:rPr>
                <w:rFonts w:ascii="Calibri" w:hAnsi="Calibri"/>
                <w:b/>
                <w:bCs/>
                <w:noProof/>
                <w:color w:val="000000" w:themeColor="text1"/>
              </w:rPr>
              <w:t>Malta</w:t>
            </w:r>
          </w:p>
        </w:tc>
        <w:tc>
          <w:tcPr>
            <w:tcW w:w="2556"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rPr>
            </w:pPr>
            <w:r>
              <w:rPr>
                <w:rFonts w:ascii="Calibri" w:hAnsi="Calibri"/>
                <w:noProof/>
                <w:color w:val="000000"/>
                <w:sz w:val="22"/>
                <w:szCs w:val="22"/>
              </w:rPr>
              <w:t>87</w:t>
            </w:r>
          </w:p>
        </w:tc>
        <w:tc>
          <w:tcPr>
            <w:tcW w:w="2551" w:type="dxa"/>
            <w:tcBorders>
              <w:top w:val="single" w:sz="4" w:space="0" w:color="auto"/>
              <w:left w:val="single" w:sz="4" w:space="0" w:color="auto"/>
              <w:bottom w:val="single" w:sz="4" w:space="0" w:color="auto"/>
              <w:right w:val="single" w:sz="4" w:space="0" w:color="auto"/>
            </w:tcBorders>
            <w:vAlign w:val="center"/>
          </w:tcPr>
          <w:p w:rsidR="007F7DFF" w:rsidRDefault="00E310EF">
            <w:pPr>
              <w:spacing w:after="0"/>
              <w:rPr>
                <w:rFonts w:ascii="Calibri" w:eastAsia="Calibri" w:hAnsi="Calibri" w:cs="Calibri"/>
                <w:noProof/>
                <w:color w:val="000000" w:themeColor="text1"/>
              </w:rPr>
            </w:pPr>
            <w:r>
              <w:rPr>
                <w:rFonts w:ascii="Calibri" w:hAnsi="Calibri"/>
                <w:noProof/>
                <w:color w:val="000000"/>
                <w:sz w:val="22"/>
                <w:szCs w:val="22"/>
              </w:rPr>
              <w:t>129 %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70AD47"/>
            <w:vAlign w:val="center"/>
          </w:tcPr>
          <w:p w:rsidR="007F7DFF" w:rsidRDefault="00E310EF">
            <w:pPr>
              <w:spacing w:after="0"/>
              <w:rPr>
                <w:rFonts w:ascii="Calibri" w:eastAsia="Calibri" w:hAnsi="Calibri" w:cs="Calibri"/>
                <w:noProof/>
                <w:color w:val="FFFFFF" w:themeColor="background1"/>
              </w:rPr>
            </w:pPr>
            <w:r>
              <w:rPr>
                <w:rFonts w:ascii="Calibri" w:hAnsi="Calibri"/>
                <w:noProof/>
                <w:color w:val="FFFFFF" w:themeColor="background1"/>
                <w:sz w:val="22"/>
                <w:szCs w:val="22"/>
              </w:rPr>
              <w:t>bardzo prawdopodobne</w:t>
            </w:r>
          </w:p>
        </w:tc>
      </w:tr>
    </w:tbl>
    <w:p w:rsidR="007F7DFF" w:rsidRDefault="00E310EF">
      <w:pPr>
        <w:rPr>
          <w:b/>
          <w:noProof/>
          <w:sz w:val="20"/>
          <w:szCs w:val="20"/>
        </w:rPr>
      </w:pPr>
      <w:r>
        <w:rPr>
          <w:noProof/>
          <w:sz w:val="20"/>
          <w:szCs w:val="20"/>
        </w:rPr>
        <w:t xml:space="preserve">* Wszystkie państwa </w:t>
      </w:r>
      <w:r>
        <w:rPr>
          <w:noProof/>
          <w:sz w:val="20"/>
          <w:szCs w:val="20"/>
        </w:rPr>
        <w:t>członkowskie sklasyfikowano według szacowanego czasu trwania wdrożonych środków. Ocenę oparto na porównaniu tempa osiągania nowych oszczędności energii w porównaniu z ogólnymi rocznymi oszczędnościami w celu określenia oczekiwanego czasu trwania wdrożonych</w:t>
      </w:r>
      <w:r>
        <w:rPr>
          <w:noProof/>
          <w:sz w:val="20"/>
          <w:szCs w:val="20"/>
        </w:rPr>
        <w:t xml:space="preserve"> środków z zakresu polityki. W wyniku oceny powstały trzy scenariusze. W przypadku gdy stosunek nowych oszczędności do ogólnych rocznych oszczędności wynosi ~1, przypuszczalny czas trwania wdrożonego środka wynosi jeden rok (scenariusz 1). Jeżeli stosunek </w:t>
      </w:r>
      <w:r>
        <w:rPr>
          <w:noProof/>
          <w:sz w:val="20"/>
          <w:szCs w:val="20"/>
        </w:rPr>
        <w:t>wynosi &lt;40 % (w odniesieniu do 2017 r.), przypuszczalny czas trwania wdrożonych środków jest dłuższy niż siedem lat (scenariusz 2). W przypadku stosunku pośredniego stosuje się scenariusz mieszany (scenariusz 3). Zastosowano następujący zestaw zasad do oce</w:t>
      </w:r>
      <w:r>
        <w:rPr>
          <w:noProof/>
          <w:sz w:val="20"/>
          <w:szCs w:val="20"/>
        </w:rPr>
        <w:t>ny prawdopodobieństwa osiągnięcia celu:</w:t>
      </w:r>
    </w:p>
    <w:tbl>
      <w:tblPr>
        <w:tblStyle w:val="Tabela-Siatka"/>
        <w:tblW w:w="0" w:type="auto"/>
        <w:tblLook w:val="04A0" w:firstRow="1" w:lastRow="0" w:firstColumn="1" w:lastColumn="0" w:noHBand="0" w:noVBand="1"/>
      </w:tblPr>
      <w:tblGrid>
        <w:gridCol w:w="4247"/>
        <w:gridCol w:w="4247"/>
      </w:tblGrid>
      <w:tr w:rsidR="007F7DFF">
        <w:tc>
          <w:tcPr>
            <w:tcW w:w="4247" w:type="dxa"/>
          </w:tcPr>
          <w:p w:rsidR="007F7DFF" w:rsidRDefault="00E310EF">
            <w:pPr>
              <w:rPr>
                <w:b/>
                <w:noProof/>
              </w:rPr>
            </w:pPr>
            <w:r>
              <w:rPr>
                <w:b/>
                <w:noProof/>
              </w:rPr>
              <w:t>Względne osiągnięcie celu w 2020 r.</w:t>
            </w:r>
          </w:p>
        </w:tc>
        <w:tc>
          <w:tcPr>
            <w:tcW w:w="4247" w:type="dxa"/>
          </w:tcPr>
          <w:p w:rsidR="007F7DFF" w:rsidRDefault="00E310EF">
            <w:pPr>
              <w:rPr>
                <w:b/>
                <w:noProof/>
              </w:rPr>
            </w:pPr>
            <w:r>
              <w:rPr>
                <w:b/>
                <w:noProof/>
              </w:rPr>
              <w:t>Ocena prawdopodobieństwa</w:t>
            </w:r>
          </w:p>
        </w:tc>
      </w:tr>
      <w:tr w:rsidR="007F7DFF">
        <w:tc>
          <w:tcPr>
            <w:tcW w:w="4247" w:type="dxa"/>
          </w:tcPr>
          <w:p w:rsidR="007F7DFF" w:rsidRDefault="00E310EF">
            <w:pPr>
              <w:rPr>
                <w:noProof/>
              </w:rPr>
            </w:pPr>
            <w:r>
              <w:rPr>
                <w:noProof/>
              </w:rPr>
              <w:t>&gt;105 %</w:t>
            </w:r>
          </w:p>
        </w:tc>
        <w:tc>
          <w:tcPr>
            <w:tcW w:w="4247" w:type="dxa"/>
            <w:shd w:val="clear" w:color="auto" w:fill="70AD47"/>
          </w:tcPr>
          <w:p w:rsidR="007F7DFF" w:rsidRDefault="00E310EF">
            <w:pPr>
              <w:rPr>
                <w:noProof/>
              </w:rPr>
            </w:pPr>
            <w:r>
              <w:rPr>
                <w:noProof/>
              </w:rPr>
              <w:t>bardzo prawdopodobne</w:t>
            </w:r>
          </w:p>
        </w:tc>
      </w:tr>
      <w:tr w:rsidR="007F7DFF">
        <w:tc>
          <w:tcPr>
            <w:tcW w:w="4247" w:type="dxa"/>
          </w:tcPr>
          <w:p w:rsidR="007F7DFF" w:rsidRDefault="00E310EF">
            <w:pPr>
              <w:rPr>
                <w:noProof/>
              </w:rPr>
            </w:pPr>
            <w:r>
              <w:rPr>
                <w:noProof/>
              </w:rPr>
              <w:t>&gt;95 %</w:t>
            </w:r>
          </w:p>
        </w:tc>
        <w:tc>
          <w:tcPr>
            <w:tcW w:w="4247" w:type="dxa"/>
            <w:shd w:val="clear" w:color="auto" w:fill="FFC000"/>
          </w:tcPr>
          <w:p w:rsidR="007F7DFF" w:rsidRDefault="00E310EF">
            <w:pPr>
              <w:rPr>
                <w:noProof/>
              </w:rPr>
            </w:pPr>
            <w:r>
              <w:rPr>
                <w:noProof/>
              </w:rPr>
              <w:t>prawdopodobne</w:t>
            </w:r>
          </w:p>
        </w:tc>
      </w:tr>
      <w:tr w:rsidR="007F7DFF">
        <w:tc>
          <w:tcPr>
            <w:tcW w:w="4247" w:type="dxa"/>
          </w:tcPr>
          <w:p w:rsidR="007F7DFF" w:rsidRDefault="00E310EF">
            <w:pPr>
              <w:rPr>
                <w:noProof/>
              </w:rPr>
            </w:pPr>
            <w:r>
              <w:rPr>
                <w:noProof/>
              </w:rPr>
              <w:t>&gt;75 %</w:t>
            </w:r>
          </w:p>
        </w:tc>
        <w:tc>
          <w:tcPr>
            <w:tcW w:w="4247" w:type="dxa"/>
            <w:shd w:val="clear" w:color="auto" w:fill="ED7D31"/>
          </w:tcPr>
          <w:p w:rsidR="007F7DFF" w:rsidRDefault="00E310EF">
            <w:pPr>
              <w:rPr>
                <w:noProof/>
              </w:rPr>
            </w:pPr>
            <w:r>
              <w:rPr>
                <w:noProof/>
              </w:rPr>
              <w:t>mało prawdopodobne</w:t>
            </w:r>
          </w:p>
        </w:tc>
      </w:tr>
      <w:tr w:rsidR="007F7DFF">
        <w:tc>
          <w:tcPr>
            <w:tcW w:w="4247" w:type="dxa"/>
          </w:tcPr>
          <w:p w:rsidR="007F7DFF" w:rsidRDefault="00E310EF">
            <w:pPr>
              <w:rPr>
                <w:noProof/>
              </w:rPr>
            </w:pPr>
            <w:r>
              <w:rPr>
                <w:noProof/>
              </w:rPr>
              <w:t>&lt;75 %</w:t>
            </w:r>
          </w:p>
        </w:tc>
        <w:tc>
          <w:tcPr>
            <w:tcW w:w="4247" w:type="dxa"/>
            <w:shd w:val="clear" w:color="auto" w:fill="C00000"/>
          </w:tcPr>
          <w:p w:rsidR="007F7DFF" w:rsidRDefault="00E310EF">
            <w:pPr>
              <w:rPr>
                <w:noProof/>
              </w:rPr>
            </w:pPr>
            <w:r>
              <w:rPr>
                <w:noProof/>
              </w:rPr>
              <w:t>bardzo mało prawdopodobne</w:t>
            </w:r>
          </w:p>
        </w:tc>
      </w:tr>
      <w:bookmarkEnd w:id="54"/>
    </w:tbl>
    <w:p w:rsidR="007F7DFF" w:rsidRDefault="007F7DFF">
      <w:pPr>
        <w:rPr>
          <w:i/>
          <w:noProof/>
          <w:sz w:val="22"/>
        </w:rPr>
      </w:pPr>
    </w:p>
    <w:sectPr w:rsidR="007F7DFF">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DFF" w:rsidRDefault="00E310EF">
      <w:pPr>
        <w:spacing w:after="0"/>
      </w:pPr>
      <w:r>
        <w:separator/>
      </w:r>
    </w:p>
  </w:endnote>
  <w:endnote w:type="continuationSeparator" w:id="0">
    <w:p w:rsidR="007F7DFF" w:rsidRDefault="00E310EF">
      <w:pPr>
        <w:spacing w:after="0"/>
      </w:pPr>
      <w:r>
        <w:continuationSeparator/>
      </w:r>
    </w:p>
  </w:endnote>
  <w:endnote w:type="continuationNotice" w:id="1">
    <w:p w:rsidR="007F7DFF" w:rsidRDefault="007F7D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aiandra GD">
    <w:altName w:val="Candara"/>
    <w:panose1 w:val="020E0502030308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EC Square Sans Cond Pro">
    <w:altName w:val="Bahnschrift Light"/>
    <w:charset w:val="00"/>
    <w:family w:val="swiss"/>
    <w:pitch w:val="variable"/>
    <w:sig w:usb0="A00002BF" w:usb1="500000D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DFF" w:rsidRDefault="007F7D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DFF" w:rsidRDefault="00E310EF">
    <w:pPr>
      <w:pStyle w:val="FooterCoverPage"/>
      <w:rPr>
        <w:rFonts w:ascii="Arial" w:hAnsi="Arial" w:cs="Arial"/>
        <w:b/>
        <w:sz w:val="48"/>
      </w:rPr>
    </w:pPr>
    <w:r>
      <w:rPr>
        <w:rFonts w:ascii="Arial" w:hAnsi="Arial" w:cs="Arial"/>
        <w:b/>
        <w:sz w:val="48"/>
      </w:rPr>
      <w:t>PL</w:t>
    </w:r>
    <w:r>
      <w:rPr>
        <w:rFonts w:ascii="Arial" w:hAnsi="Arial" w:cs="Arial"/>
        <w:b/>
        <w:sz w:val="48"/>
      </w:rPr>
      <w:tab/>
    </w:r>
    <w:r>
      <w:rPr>
        <w:rFonts w:ascii="Arial" w:hAnsi="Arial" w:cs="Arial"/>
        <w:b/>
        <w:sz w:val="48"/>
      </w:rPr>
      <w:tab/>
    </w:r>
    <w:r>
      <w:tab/>
    </w:r>
    <w:r>
      <w:rPr>
        <w:rFonts w:ascii="Arial" w:hAnsi="Arial" w:cs="Arial"/>
        <w:b/>
        <w:sz w:val="48"/>
      </w:rPr>
      <w:t>PL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DFF" w:rsidRDefault="007F7DFF">
    <w:pPr>
      <w:pStyle w:val="FooterCover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DFF" w:rsidRDefault="007F7DFF">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41357"/>
      <w:docPartObj>
        <w:docPartGallery w:val="Page Numbers (Bottom of Page)"/>
        <w:docPartUnique/>
      </w:docPartObj>
    </w:sdtPr>
    <w:sdtEndPr>
      <w:rPr>
        <w:noProof/>
      </w:rPr>
    </w:sdtEndPr>
    <w:sdtContent>
      <w:p w:rsidR="007F7DFF" w:rsidRDefault="00E310EF">
        <w:pPr>
          <w:pStyle w:val="Stopka"/>
          <w:jc w:val="center"/>
        </w:pPr>
        <w:r>
          <w:fldChar w:fldCharType="begin"/>
        </w:r>
        <w:r>
          <w:instrText xml:space="preserve"> PAGE   \* MERGEFORMAT </w:instrText>
        </w:r>
        <w:r>
          <w:fldChar w:fldCharType="separate"/>
        </w:r>
        <w:r>
          <w:rPr>
            <w:noProof/>
          </w:rPr>
          <w:t>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DFF" w:rsidRDefault="007F7D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DFF" w:rsidRDefault="00E310EF">
      <w:pPr>
        <w:spacing w:after="0"/>
      </w:pPr>
      <w:r>
        <w:separator/>
      </w:r>
    </w:p>
  </w:footnote>
  <w:footnote w:type="continuationSeparator" w:id="0">
    <w:p w:rsidR="007F7DFF" w:rsidRDefault="00E310EF">
      <w:pPr>
        <w:spacing w:after="0"/>
      </w:pPr>
      <w:r>
        <w:continuationSeparator/>
      </w:r>
    </w:p>
  </w:footnote>
  <w:footnote w:type="continuationNotice" w:id="1">
    <w:p w:rsidR="007F7DFF" w:rsidRDefault="007F7DFF">
      <w:pPr>
        <w:spacing w:after="0"/>
      </w:pPr>
    </w:p>
  </w:footnote>
  <w:footnote w:id="2">
    <w:p w:rsidR="007F7DFF" w:rsidRDefault="00E310EF">
      <w:pPr>
        <w:pStyle w:val="Tekstprzypisudolnego"/>
      </w:pPr>
      <w:r>
        <w:rPr>
          <w:rStyle w:val="Odwoanieprzypisudolnego"/>
        </w:rPr>
        <w:footnoteRef/>
      </w:r>
      <w:r>
        <w:t xml:space="preserve"> https://ec.europa.eu/energy/topics/energy-efficiency/targets-directive-and-rules/national-energy-efficiency-action-plans_en</w:t>
      </w:r>
    </w:p>
  </w:footnote>
  <w:footnote w:id="3">
    <w:p w:rsidR="007F7DFF" w:rsidRDefault="00E310EF">
      <w:pPr>
        <w:pStyle w:val="Tekstprzypisudolnego"/>
      </w:pPr>
      <w:r>
        <w:rPr>
          <w:rStyle w:val="Odwoanieprzypisudolnego"/>
        </w:rPr>
        <w:footnoteRef/>
      </w:r>
      <w:r>
        <w:t xml:space="preserve"> https://ec.europa.eu/energy/topics/energy-efficiency/energy-performance-of-buildings/energy-performance-buildings-directive/eu-countries-2018-cost-optimal-reports_en?redir=1</w:t>
      </w:r>
    </w:p>
  </w:footnote>
  <w:footnote w:id="4">
    <w:p w:rsidR="007F7DFF" w:rsidRDefault="00E310EF">
      <w:pPr>
        <w:pStyle w:val="Tekstprzypisudolnego"/>
      </w:pPr>
      <w:r>
        <w:rPr>
          <w:rStyle w:val="Odwoanieprzypisudolnego"/>
        </w:rPr>
        <w:footnoteRef/>
      </w:r>
      <w:r>
        <w:t xml:space="preserve"> COM(2020) 326 final.</w:t>
      </w:r>
    </w:p>
  </w:footnote>
  <w:footnote w:id="5">
    <w:p w:rsidR="007F7DFF" w:rsidRDefault="00E310EF">
      <w:pPr>
        <w:pStyle w:val="Tekstprzypisudolnego"/>
      </w:pPr>
      <w:r>
        <w:rPr>
          <w:rStyle w:val="Odwoanieprzypisudolnego"/>
        </w:rPr>
        <w:footnoteRef/>
      </w:r>
      <w:r>
        <w:t xml:space="preserve"> Zmienione dane liczbowe Eurostatu (ostatnie pobranie w l</w:t>
      </w:r>
      <w:r>
        <w:t>ipcu 2020 r.) wskazują na nieznaczne zmiany w porównaniu ze zmienionymi danymi liczbowymi wykorzystanymi w sprawozdaniu z 2019 r. i nie zmieniają analizy przedstawionej w tym sprawozdaniu.</w:t>
      </w:r>
    </w:p>
  </w:footnote>
  <w:footnote w:id="6">
    <w:p w:rsidR="007F7DFF" w:rsidRDefault="00E310EF">
      <w:pPr>
        <w:pStyle w:val="Tekstprzypisudolnego"/>
      </w:pPr>
      <w:r>
        <w:rPr>
          <w:rStyle w:val="Odwoanieprzypisudolnego"/>
        </w:rPr>
        <w:footnoteRef/>
      </w:r>
      <w:r>
        <w:t xml:space="preserve"> https://ec.europa.eu/eurostat/documents/38154/4956218/Energy-Bala</w:t>
      </w:r>
      <w:r>
        <w:t>nces-April-2020-edition.zip/69da6e9f-bf8f-cd8e-f4ad-50b52f8ce616</w:t>
      </w:r>
    </w:p>
  </w:footnote>
  <w:footnote w:id="7">
    <w:p w:rsidR="007F7DFF" w:rsidRDefault="00E310EF">
      <w:pPr>
        <w:pStyle w:val="Tekstprzypisudolnego"/>
      </w:pPr>
      <w:r>
        <w:rPr>
          <w:rStyle w:val="Odwoanieprzypisudolnego"/>
        </w:rPr>
        <w:footnoteRef/>
      </w:r>
      <w:r>
        <w:t xml:space="preserve"> Wskaźniki z bilansów energetycznych Eurostatu zgodnie z metodą stosowaną do 2018 r. (zużycie energii końcowej w latach 2020–2030 i zużycie energii pierwotnej w latach 2020–2030) wykorzystuj</w:t>
      </w:r>
      <w:r>
        <w:t>e się do monitorowania postępów w osiąganiu celów w zakresie efektywności energetycznej określonych w strategii „Europa 2020”.</w:t>
      </w:r>
    </w:p>
  </w:footnote>
  <w:footnote w:id="8">
    <w:p w:rsidR="007F7DFF" w:rsidRDefault="00E310EF">
      <w:pPr>
        <w:pStyle w:val="Tekstprzypisudolnego"/>
      </w:pPr>
      <w:r>
        <w:rPr>
          <w:rStyle w:val="Odwoanieprzypisudolnego"/>
        </w:rPr>
        <w:footnoteRef/>
      </w:r>
      <w:r>
        <w:t xml:space="preserve"> </w:t>
      </w:r>
      <w:r>
        <w:rPr>
          <w:i/>
        </w:rPr>
        <w:t>Idem</w:t>
      </w:r>
      <w:r>
        <w:t xml:space="preserve"> </w:t>
      </w:r>
      <w:r>
        <w:fldChar w:fldCharType="begin"/>
      </w:r>
      <w:r>
        <w:instrText xml:space="preserve"> NOTEREF _Ref35264978 \h  \* MERGEFORMAT </w:instrText>
      </w:r>
      <w:r>
        <w:fldChar w:fldCharType="separate"/>
      </w:r>
      <w:r>
        <w:t>11</w:t>
      </w:r>
      <w:r>
        <w:fldChar w:fldCharType="end"/>
      </w:r>
      <w:r>
        <w:t>.</w:t>
      </w:r>
    </w:p>
  </w:footnote>
  <w:footnote w:id="9">
    <w:p w:rsidR="007F7DFF" w:rsidRDefault="00E310EF">
      <w:pPr>
        <w:pStyle w:val="Tekstprzypisudolnego"/>
      </w:pPr>
      <w:r>
        <w:rPr>
          <w:rStyle w:val="Odwoanieprzypisudolnego"/>
        </w:rPr>
        <w:footnoteRef/>
      </w:r>
      <w:r>
        <w:t xml:space="preserve"> Rozwój sy</w:t>
      </w:r>
      <w:r>
        <w:t>tuacji w określonych sektorach nie zmienił się w porównaniu z ostatnim sprawozdaniem. Dodatkowe informacje można znaleźć w rozdziale 5 sprawozdania z postępów z 2019 r., COM(2020) 326 final.</w:t>
      </w:r>
    </w:p>
  </w:footnote>
  <w:footnote w:id="10">
    <w:p w:rsidR="007F7DFF" w:rsidRDefault="00E310EF">
      <w:pPr>
        <w:pStyle w:val="Tekstprzypisudolnego"/>
      </w:pPr>
      <w:r>
        <w:rPr>
          <w:rStyle w:val="Odwoanieprzypisudolnego"/>
        </w:rPr>
        <w:footnoteRef/>
      </w:r>
      <w:r>
        <w:t xml:space="preserve"> W następstwie brexitu celami w zakresie efektywności energetycz</w:t>
      </w:r>
      <w:r>
        <w:t>nej na 2030 r. zostanie objętych 27 państw członkowskich.</w:t>
      </w:r>
    </w:p>
  </w:footnote>
  <w:footnote w:id="11">
    <w:p w:rsidR="007F7DFF" w:rsidRDefault="00E310EF">
      <w:pPr>
        <w:pStyle w:val="Tekstprzypisudolnego"/>
      </w:pPr>
      <w:r>
        <w:rPr>
          <w:rStyle w:val="Odwoanieprzypisudolnego"/>
        </w:rPr>
        <w:footnoteRef/>
      </w:r>
      <w:r>
        <w:t xml:space="preserve"> </w:t>
      </w:r>
      <w:hyperlink r:id="rId1" w:history="1">
        <w:r>
          <w:rPr>
            <w:rStyle w:val="Hipercze"/>
          </w:rPr>
          <w:t>COM(2020) 564 final.</w:t>
        </w:r>
      </w:hyperlink>
      <w:r>
        <w:t xml:space="preserve"> </w:t>
      </w:r>
    </w:p>
  </w:footnote>
  <w:footnote w:id="12">
    <w:p w:rsidR="007F7DFF" w:rsidRDefault="00E310EF">
      <w:pPr>
        <w:pStyle w:val="Tekstprzypisudolnego"/>
      </w:pPr>
      <w:r>
        <w:rPr>
          <w:rStyle w:val="Odwoanieprzypisudolnego"/>
        </w:rPr>
        <w:footnoteRef/>
      </w:r>
      <w:r>
        <w:t xml:space="preserve"> </w:t>
      </w:r>
      <w:hyperlink r:id="rId2" w:history="1">
        <w:r>
          <w:rPr>
            <w:rStyle w:val="Hipercze"/>
          </w:rPr>
          <w:t>COM(2020) 562 final</w:t>
        </w:r>
      </w:hyperlink>
      <w:r>
        <w:t>.</w:t>
      </w:r>
    </w:p>
  </w:footnote>
  <w:footnote w:id="13">
    <w:p w:rsidR="007F7DFF" w:rsidRDefault="00E310EF">
      <w:pPr>
        <w:pStyle w:val="Tekstprzypisudolnego"/>
      </w:pPr>
      <w:r>
        <w:rPr>
          <w:rStyle w:val="Odwoanieprzypisudolnego"/>
        </w:rPr>
        <w:footnoteRef/>
      </w:r>
      <w:r>
        <w:t xml:space="preserve"> </w:t>
      </w:r>
      <w:hyperlink r:id="rId3" w:history="1">
        <w:r>
          <w:rPr>
            <w:rStyle w:val="Hipercze"/>
          </w:rPr>
          <w:t>https://ec.europa</w:t>
        </w:r>
        <w:r>
          <w:rPr>
            <w:rStyle w:val="Hipercze"/>
          </w:rPr>
          <w:t>.eu/energy/sites/ener/files/quarterly_report_on_european_gas_markets_q1_2020.pdf</w:t>
        </w:r>
      </w:hyperlink>
    </w:p>
  </w:footnote>
  <w:footnote w:id="14">
    <w:p w:rsidR="007F7DFF" w:rsidRDefault="00E310EF">
      <w:pPr>
        <w:pStyle w:val="Tekstprzypisudolnego"/>
      </w:pPr>
      <w:r>
        <w:rPr>
          <w:rStyle w:val="Odwoanieprzypisudolnego"/>
        </w:rPr>
        <w:footnoteRef/>
      </w:r>
      <w:r>
        <w:t xml:space="preserve"> </w:t>
      </w:r>
      <w:hyperlink r:id="rId4" w:history="1">
        <w:r>
          <w:rPr>
            <w:rStyle w:val="Hipercze"/>
          </w:rPr>
          <w:t>https://ec.europa.eu/energy/sites/ener/files/qr_electricity_q1_2020.pdf</w:t>
        </w:r>
      </w:hyperlink>
    </w:p>
  </w:footnote>
  <w:footnote w:id="15">
    <w:p w:rsidR="007F7DFF" w:rsidRDefault="00E310EF">
      <w:pPr>
        <w:pStyle w:val="Tekstprzypisudolnego"/>
      </w:pPr>
      <w:r>
        <w:rPr>
          <w:rStyle w:val="Odwoanieprzypisudolnego"/>
        </w:rPr>
        <w:footnoteRef/>
      </w:r>
      <w:r>
        <w:t xml:space="preserve"> </w:t>
      </w:r>
      <w:hyperlink r:id="rId5" w:history="1">
        <w:r>
          <w:rPr>
            <w:rStyle w:val="Hipercze"/>
          </w:rPr>
          <w:t>https://ec.europa.eu/eurostat/en/web/products-eurostat-news/-/DDN-20200907-1?inheritRedirect=true&amp;redirect=/eurostat</w:t>
        </w:r>
        <w:r>
          <w:rPr>
            <w:rStyle w:val="Hipercze"/>
          </w:rPr>
          <w:t>/en/news/whats-new</w:t>
        </w:r>
      </w:hyperlink>
      <w:r>
        <w:t xml:space="preserve"> </w:t>
      </w:r>
    </w:p>
  </w:footnote>
  <w:footnote w:id="16">
    <w:p w:rsidR="007F7DFF" w:rsidRDefault="00E310EF">
      <w:pPr>
        <w:pStyle w:val="Tekstprzypisudolnego"/>
      </w:pPr>
      <w:r>
        <w:rPr>
          <w:rStyle w:val="Odwoanieprzypisudolnego"/>
        </w:rPr>
        <w:footnoteRef/>
      </w:r>
      <w:r>
        <w:t xml:space="preserve"> </w:t>
      </w:r>
      <w:hyperlink r:id="rId6" w:anchor="abstract" w:history="1">
        <w:r>
          <w:rPr>
            <w:rStyle w:val="Hipercze"/>
          </w:rPr>
          <w:t>https://www.iea.org/reports/global-energy-review-2020/oil#abstract</w:t>
        </w:r>
      </w:hyperlink>
    </w:p>
  </w:footnote>
  <w:footnote w:id="17">
    <w:p w:rsidR="007F7DFF" w:rsidRDefault="00E310EF">
      <w:pPr>
        <w:pStyle w:val="Tekstprzypisudolnego"/>
      </w:pPr>
      <w:r>
        <w:rPr>
          <w:rStyle w:val="Odwoanieprzypisudolnego"/>
        </w:rPr>
        <w:footnoteRef/>
      </w:r>
      <w:r>
        <w:t xml:space="preserve"> </w:t>
      </w:r>
      <w:hyperlink r:id="rId7" w:history="1">
        <w:r>
          <w:rPr>
            <w:rStyle w:val="Hipercze"/>
          </w:rPr>
          <w:t>https://www.itf-oecd.org/sites/default/files/global-freight-covid-19.pdf</w:t>
        </w:r>
      </w:hyperlink>
      <w:r>
        <w:t xml:space="preserve"> </w:t>
      </w:r>
    </w:p>
  </w:footnote>
  <w:footnote w:id="18">
    <w:p w:rsidR="007F7DFF" w:rsidRDefault="00E310EF">
      <w:pPr>
        <w:pStyle w:val="Tekstprzypisudolnego"/>
      </w:pPr>
      <w:r>
        <w:rPr>
          <w:rStyle w:val="Odwoanieprzypisudolnego"/>
        </w:rPr>
        <w:footnoteRef/>
      </w:r>
      <w:r>
        <w:t xml:space="preserve"> </w:t>
      </w:r>
      <w:hyperlink r:id="rId8" w:history="1">
        <w:r>
          <w:rPr>
            <w:rStyle w:val="Hipercze"/>
          </w:rPr>
          <w:t>https://www.eurocontrol.int/covid19</w:t>
        </w:r>
      </w:hyperlink>
      <w:r>
        <w:t xml:space="preserve"> </w:t>
      </w:r>
    </w:p>
  </w:footnote>
  <w:footnote w:id="19">
    <w:p w:rsidR="007F7DFF" w:rsidRDefault="00E310EF">
      <w:pPr>
        <w:pStyle w:val="Tekstprzypisudolnego"/>
      </w:pPr>
      <w:r>
        <w:rPr>
          <w:rStyle w:val="Odwoanieprzypisudolnego"/>
        </w:rPr>
        <w:footnoteRef/>
      </w:r>
      <w:r>
        <w:t xml:space="preserve"> Dyrektywa 2018/2002.</w:t>
      </w:r>
    </w:p>
  </w:footnote>
  <w:footnote w:id="20">
    <w:p w:rsidR="007F7DFF" w:rsidRDefault="00E310EF">
      <w:pPr>
        <w:pStyle w:val="Tekstprzypisudolnego"/>
      </w:pPr>
      <w:r>
        <w:rPr>
          <w:rStyle w:val="Odwoanieprzypisudolnego"/>
        </w:rPr>
        <w:footnoteRef/>
      </w:r>
      <w:r>
        <w:t xml:space="preserve"> Sprawozdania Chorwacji i Portugalii zostały przedłożon</w:t>
      </w:r>
      <w:r>
        <w:t>e zbyt późno, aby mogły zostać włączone do niniejszej analizy.</w:t>
      </w:r>
    </w:p>
  </w:footnote>
  <w:footnote w:id="21">
    <w:p w:rsidR="007F7DFF" w:rsidRDefault="00E310EF">
      <w:pPr>
        <w:pStyle w:val="Tekstprzypisudolnego"/>
      </w:pPr>
      <w:r>
        <w:rPr>
          <w:rStyle w:val="Odwoanieprzypisudolnego"/>
        </w:rPr>
        <w:footnoteRef/>
      </w:r>
      <w:r>
        <w:t xml:space="preserve"> Tsemekidi-Tzeiranaki, S., Paci, D. i in. (2020) „Analysis of the Annual Reports 2020 under the Energy Efficiency Directive” [„Analiza sprawozdań rocznych z 2020 r. na podstawie dyrektywy w sp</w:t>
      </w:r>
      <w:r>
        <w:t>rawie efektywności energetycznej”], sprawozdanie techniczne JRC.</w:t>
      </w:r>
    </w:p>
  </w:footnote>
  <w:footnote w:id="22">
    <w:p w:rsidR="007F7DFF" w:rsidRDefault="00E310EF">
      <w:pPr>
        <w:pStyle w:val="Tekstprzypisudolnego"/>
      </w:pPr>
      <w:r>
        <w:rPr>
          <w:rStyle w:val="Odwoanieprzypisudolnego"/>
        </w:rPr>
        <w:footnoteRef/>
      </w:r>
      <w:r>
        <w:t xml:space="preserve"> Wartość ta może się zmienić, gdy będą dostępne dane o nowych oszczędnościach uzyskanych w 2018 r. przez Łotwę i Portugalię.</w:t>
      </w:r>
    </w:p>
  </w:footnote>
  <w:footnote w:id="23">
    <w:p w:rsidR="007F7DFF" w:rsidRDefault="00E310EF">
      <w:pPr>
        <w:pStyle w:val="Tekstprzypisudolnego"/>
      </w:pPr>
      <w:r>
        <w:rPr>
          <w:rStyle w:val="Odwoanieprzypisudolnego"/>
        </w:rPr>
        <w:footnoteRef/>
      </w:r>
      <w:r>
        <w:t xml:space="preserve"> Tsemekidi-Tzeiranaki, S., Paci, D. i in. (2020), </w:t>
      </w:r>
      <w:r>
        <w:rPr>
          <w:i/>
        </w:rPr>
        <w:t>op. cit.</w:t>
      </w:r>
    </w:p>
  </w:footnote>
  <w:footnote w:id="24">
    <w:p w:rsidR="007F7DFF" w:rsidRDefault="00E310EF">
      <w:pPr>
        <w:pStyle w:val="Tekstprzypisudolnego"/>
      </w:pPr>
      <w:r>
        <w:rPr>
          <w:rStyle w:val="Odwoanieprzypisudolnego"/>
        </w:rPr>
        <w:footnoteRef/>
      </w:r>
      <w:r>
        <w:t xml:space="preserve"> Pod</w:t>
      </w:r>
      <w:r>
        <w:t>ejście podstawowe odnosi się do środków wdrożonych w celu renowacji 3 % całkowitej powierzchni ogrzewanych lub chłodzonych budynków o powierzchni przekraczającej 250 m</w:t>
      </w:r>
      <w:r>
        <w:rPr>
          <w:vertAlign w:val="superscript"/>
        </w:rPr>
        <w:t>2</w:t>
      </w:r>
      <w:r>
        <w:t xml:space="preserve"> będących własnością instytucji rządowych na szczeblu centralnym i zajmowanych przez nie</w:t>
      </w:r>
      <w:r>
        <w:t xml:space="preserve">, które to budynki nie spełniają minimalnych wymogów dotyczących charakterystyki energetycznej. Podejście alternatywne odnosi się do innych racjonalnych pod względem kosztów środków mających na celu osiągnięcie równoważnych oszczędności energii. </w:t>
      </w:r>
    </w:p>
  </w:footnote>
  <w:footnote w:id="25">
    <w:p w:rsidR="007F7DFF" w:rsidRDefault="00E310EF">
      <w:pPr>
        <w:pStyle w:val="Tekstprzypisudolnego"/>
      </w:pPr>
      <w:r>
        <w:rPr>
          <w:rStyle w:val="Odwoanieprzypisudolnego"/>
        </w:rPr>
        <w:footnoteRef/>
      </w:r>
      <w:r>
        <w:t xml:space="preserve"> Na pods</w:t>
      </w:r>
      <w:r>
        <w:t xml:space="preserve">tawie kompleksowego badania dotyczącego działań z zakresu renowacji energetycznej i zwiększenia liczby budynków o niemal zerowym zużyciu energii w UE. </w:t>
      </w:r>
    </w:p>
    <w:p w:rsidR="007F7DFF" w:rsidRDefault="00E310EF">
      <w:pPr>
        <w:pStyle w:val="Tekstprzypisudolnego"/>
      </w:pPr>
      <w:r>
        <w:t>https://ec.europa.eu/energy/studies/comprehensive-study-building-energy-renovation-activities-and-uptake</w:t>
      </w:r>
      <w:r>
        <w:t>-nearly-zero-energy_en?redir=1</w:t>
      </w:r>
    </w:p>
  </w:footnote>
  <w:footnote w:id="26">
    <w:p w:rsidR="007F7DFF" w:rsidRDefault="00E310EF">
      <w:pPr>
        <w:pStyle w:val="Tekstprzypisudolnego"/>
      </w:pPr>
      <w:r>
        <w:rPr>
          <w:rStyle w:val="Odwoanieprzypisudolnego"/>
        </w:rPr>
        <w:footnoteRef/>
      </w:r>
      <w:r>
        <w:t xml:space="preserve"> Informacje dostarczone przez państwa członkowskie, ocena JRC i sprawozdania „Concerted Action EPBD” [„Skoordynowane działania dotyczące budynków o niemal zerowym zużyciu energii”].</w:t>
      </w:r>
    </w:p>
  </w:footnote>
  <w:footnote w:id="27">
    <w:p w:rsidR="007F7DFF" w:rsidRDefault="00E310EF">
      <w:pPr>
        <w:pStyle w:val="Tekstprzypisudolnego"/>
      </w:pPr>
      <w:r>
        <w:rPr>
          <w:rStyle w:val="Odwoanieprzypisudolnego"/>
        </w:rPr>
        <w:footnoteRef/>
      </w:r>
      <w:r>
        <w:t xml:space="preserve"> W 2016 r. Komisja opublikowała zalecenie</w:t>
      </w:r>
      <w:r>
        <w:t xml:space="preserve"> w sprawie promowania budynków o niemal zerowym zużyciu energii oraz najlepszych praktyk służących zapewnieniu, aby w terminie do 2020 r. wszystkie nowe budynki były budynkami o niemal zerowym zużyciu energii (C/2016/4392).</w:t>
      </w:r>
    </w:p>
  </w:footnote>
  <w:footnote w:id="28">
    <w:p w:rsidR="007F7DFF" w:rsidRDefault="00E310EF">
      <w:pPr>
        <w:pStyle w:val="Tekstprzypisudolnego"/>
      </w:pPr>
      <w:r>
        <w:rPr>
          <w:rStyle w:val="Odwoanieprzypisudolnego"/>
        </w:rPr>
        <w:footnoteRef/>
      </w:r>
      <w:r>
        <w:t xml:space="preserve"> Należy zauważyć, że zróżnicowa</w:t>
      </w:r>
      <w:r>
        <w:t>nie stref klimatycznych i krajowych warunków wpływających na budynki oraz różne podejścia przyjmowane w ramach metod obliczeniowych w państwach członkowskich uniemożliwiają pełne bezpośrednie porównanie. Porównanie przedstawione na wykresach 4 i 5 jest ori</w:t>
      </w:r>
      <w:r>
        <w:t>entacyjne i opiera się na stosownych założeniach mających ułatwić własne obliczenia Komisji.</w:t>
      </w:r>
    </w:p>
  </w:footnote>
  <w:footnote w:id="29">
    <w:p w:rsidR="007F7DFF" w:rsidRDefault="00E310EF">
      <w:pPr>
        <w:pStyle w:val="Tekstprzypisudolnego"/>
      </w:pPr>
      <w:r>
        <w:rPr>
          <w:rStyle w:val="Odwoanieprzypisudolnego"/>
        </w:rPr>
        <w:footnoteRef/>
      </w:r>
      <w:r>
        <w:t xml:space="preserve"> Ponieważ zła efektywność energetyczna lokali mieszkaniowych jest głównym czynnikiem ryzyka ubóstwa energetycznego, budynki o niemal zerowym zużyciu energii mogą </w:t>
      </w:r>
      <w:r>
        <w:t>odegrać korzystną rolę, w szczególności w przypadku mieszkalnictwa socjalnego i segmentów rynku mieszkań prywatnych zajmowanych przez gospodarstwa domowe o niskim lub niższym średnim dochodzie, pod warunkiem że (nadal) będą mogły pozwolić sobie na mieszkan</w:t>
      </w:r>
      <w:r>
        <w:t>ie w tych lokalach.</w:t>
      </w:r>
    </w:p>
  </w:footnote>
  <w:footnote w:id="30">
    <w:p w:rsidR="007F7DFF" w:rsidRDefault="00E310EF">
      <w:pPr>
        <w:pStyle w:val="Tekstprzypisudolnego"/>
        <w:rPr>
          <w:rFonts w:cstheme="minorHAnsi"/>
        </w:rPr>
      </w:pPr>
      <w:r>
        <w:rPr>
          <w:rStyle w:val="Odwoanieprzypisudolnego"/>
        </w:rPr>
        <w:footnoteRef/>
      </w:r>
      <w:r>
        <w:t xml:space="preserve"> W 2016 r. Komisja opublikowała sprawozdanie w sprawie postępów dokonanych przez państwa członkowskie w osiąganiu optymalnych pod względem kosztów poziomów wymagań minimalnych dotyczących charakterystyki budynków (COM(2016) 464 final). DG ds. Energii przy </w:t>
      </w:r>
      <w:r>
        <w:t>pomocy JRC przeprowadziła analizę i ocenę obliczeń z 2018 r. Sprawozdanie podsumowujące jest w trakcie publikacji: Zangheri, P. i in., „Assessment of 2nd cost optimal calculations in the context of the EPBD” [„Ocena optymalnych pod względem kosztów oblicze</w:t>
      </w:r>
      <w:r>
        <w:t>ń w kontekście dyrektywy w sprawie charakterystyki energetycznej budynków przeprowadzonych po raz drugi”], JRC 2020.</w:t>
      </w:r>
    </w:p>
  </w:footnote>
  <w:footnote w:id="31">
    <w:p w:rsidR="007F7DFF" w:rsidRDefault="00E310EF">
      <w:pPr>
        <w:pStyle w:val="Tekstprzypisudolnego"/>
      </w:pPr>
      <w:r>
        <w:rPr>
          <w:rStyle w:val="Odwoanieprzypisudolnego"/>
        </w:rPr>
        <w:footnoteRef/>
      </w:r>
      <w:r>
        <w:t xml:space="preserve"> Ocena różnic między obliczonymi optymalnymi pod względem kosztów poziomami a obowiązującymi wymogami stanowi najważniejszy etap całych obliczeń, ponieważ powinna dać wskazówki przydatne do aktualizacji istniejących regulacji dotyczących charakterystyki en</w:t>
      </w:r>
      <w:r>
        <w:t>ergetycznej budynków. Krajowe minimalne wymagania dotyczące charakterystyki energetycznej budynków nie powinny przewyższać wyniku obliczenia optymalnych pod względem kosztów poziomów o więcej niż 15 %; należy również sporządzić plan w celu zmniejszenia róż</w:t>
      </w:r>
      <w:r>
        <w:t>nic, których nie da się przekonująco uzasadnić.</w:t>
      </w:r>
    </w:p>
  </w:footnote>
  <w:footnote w:id="32">
    <w:p w:rsidR="007F7DFF" w:rsidRDefault="00E310EF">
      <w:pPr>
        <w:pStyle w:val="Tekstprzypisudolnego"/>
      </w:pPr>
      <w:r>
        <w:rPr>
          <w:rStyle w:val="Odwoanieprzypisudolnego"/>
        </w:rPr>
        <w:footnoteRef/>
      </w:r>
      <w:r>
        <w:t xml:space="preserve"> Saheb, Shnapp, Paci (2019), „From nearly-zero energy buildings to net-zero energy districts-Lessons learned from existing EU projects” [„Od budynków do dzielnic o niemal zerowym zużyciu energii – wnioski z </w:t>
      </w:r>
      <w:r>
        <w:t>dotychczasowych projektów UE”], EUR 29734 EN, Urząd Publikacji Unii Europejskiej, Luksemburg; Shnapp, Paci, Bertoldi, (2020), „Enabling Positive Energy Districts across Europe:</w:t>
      </w:r>
      <w:r>
        <w:rPr>
          <w:i/>
        </w:rPr>
        <w:t xml:space="preserve"> </w:t>
      </w:r>
      <w:r>
        <w:t>energy efficiency couples renewable energy” [„Dzielnice plusenergetyczne w Euro</w:t>
      </w:r>
      <w:r>
        <w:t>pie: efektywność energetyczna w połączniu z energią odnawialną”], EUR 30325 EN, Urząd Publikacji Unii Europejskiej, Luksemburg.</w:t>
      </w:r>
    </w:p>
  </w:footnote>
  <w:footnote w:id="33">
    <w:p w:rsidR="007F7DFF" w:rsidRDefault="00E310EF">
      <w:pPr>
        <w:pStyle w:val="Tekstprzypisudolnego"/>
      </w:pPr>
      <w:r>
        <w:rPr>
          <w:rStyle w:val="Odwoanieprzypisudolnego"/>
        </w:rPr>
        <w:footnoteRef/>
      </w:r>
      <w:r>
        <w:t xml:space="preserve"> Energochłonność w odniesieniu do całej gospodarki oznacza stosunek PEC 2020–2030 do PKB 2010. W przypadku przemysłu i usług je</w:t>
      </w:r>
      <w:r>
        <w:t>st to stosunek zużycia energii końcowej do wartości dodanej brutto w wielkościach powiązanych łańcuchowo (2010). Ze względu na niedostatek danych do Malty zastosowano mianownik w postaci wartości dodanej brutto po cenach bieżących.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DFF" w:rsidRDefault="007F7DF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DFF" w:rsidRDefault="007F7DFF">
    <w:pPr>
      <w:pStyle w:val="HeaderCoverPag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DFF" w:rsidRDefault="007F7DFF">
    <w:pPr>
      <w:pStyle w:val="HeaderCoverPag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DFF" w:rsidRDefault="007F7DFF">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DFF" w:rsidRDefault="007F7DFF">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DFF" w:rsidRDefault="007F7D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F8A688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FA97D52"/>
    <w:multiLevelType w:val="hybridMultilevel"/>
    <w:tmpl w:val="ED0688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11A47F21"/>
    <w:multiLevelType w:val="singleLevel"/>
    <w:tmpl w:val="E632BF7E"/>
    <w:lvl w:ilvl="0">
      <w:start w:val="1"/>
      <w:numFmt w:val="bullet"/>
      <w:pStyle w:val="ListBulletlast"/>
      <w:lvlText w:val=""/>
      <w:lvlJc w:val="left"/>
      <w:pPr>
        <w:ind w:left="360" w:hanging="360"/>
      </w:pPr>
      <w:rPr>
        <w:rFonts w:ascii="Symbol" w:hAnsi="Symbol" w:hint="default"/>
        <w:color w:val="002060"/>
      </w:rPr>
    </w:lvl>
  </w:abstractNum>
  <w:abstractNum w:abstractNumId="3" w15:restartNumberingAfterBreak="0">
    <w:nsid w:val="280C20E9"/>
    <w:multiLevelType w:val="hybridMultilevel"/>
    <w:tmpl w:val="8CD8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5" w15:restartNumberingAfterBreak="0">
    <w:nsid w:val="38874DC0"/>
    <w:multiLevelType w:val="hybridMultilevel"/>
    <w:tmpl w:val="0BC60A54"/>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15:restartNumberingAfterBreak="0">
    <w:nsid w:val="64A12FA4"/>
    <w:multiLevelType w:val="multilevel"/>
    <w:tmpl w:val="8146C5B2"/>
    <w:lvl w:ilvl="0">
      <w:start w:val="1"/>
      <w:numFmt w:val="decimal"/>
      <w:lvlRestart w:val="0"/>
      <w:lvlText w:val="%1."/>
      <w:lvlJc w:val="left"/>
      <w:pPr>
        <w:tabs>
          <w:tab w:val="num" w:pos="850"/>
        </w:tabs>
        <w:ind w:left="850" w:hanging="850"/>
      </w:pPr>
    </w:lvl>
    <w:lvl w:ilvl="1">
      <w:start w:val="1"/>
      <w:numFmt w:val="decimal"/>
      <w:pStyle w:val="Nagwek2"/>
      <w:lvlText w:val="%1.%2."/>
      <w:lvlJc w:val="left"/>
      <w:pPr>
        <w:tabs>
          <w:tab w:val="num" w:pos="1701"/>
        </w:tabs>
        <w:ind w:left="1701" w:hanging="850"/>
      </w:pPr>
      <w:rPr>
        <w:color w:val="auto"/>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4233697"/>
    <w:multiLevelType w:val="multilevel"/>
    <w:tmpl w:val="EDCA1094"/>
    <w:lvl w:ilvl="0">
      <w:start w:val="1"/>
      <w:numFmt w:val="decimal"/>
      <w:pStyle w:val="Nagwek1"/>
      <w:lvlText w:val="%1"/>
      <w:lvlJc w:val="left"/>
      <w:pPr>
        <w:ind w:left="716" w:hanging="432"/>
      </w:pPr>
      <w:rPr>
        <w:rFonts w:hint="default"/>
      </w:rPr>
    </w:lvl>
    <w:lvl w:ilvl="1">
      <w:start w:val="1"/>
      <w:numFmt w:val="decimal"/>
      <w:lvlText w:val="%1.%2"/>
      <w:lvlJc w:val="left"/>
      <w:pPr>
        <w:ind w:left="576" w:hanging="576"/>
      </w:pPr>
      <w:rPr>
        <w:rFonts w:hint="default"/>
        <w:lang w:val="en-GB"/>
      </w:rPr>
    </w:lvl>
    <w:lvl w:ilvl="2">
      <w:start w:val="1"/>
      <w:numFmt w:val="decimal"/>
      <w:pStyle w:val="Nagwek3"/>
      <w:lvlText w:val="%1.%2.%3"/>
      <w:lvlJc w:val="left"/>
      <w:pPr>
        <w:ind w:left="720" w:hanging="72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num w:numId="1">
    <w:abstractNumId w:val="0"/>
  </w:num>
  <w:num w:numId="2">
    <w:abstractNumId w:val="8"/>
  </w:num>
  <w:num w:numId="3">
    <w:abstractNumId w:val="2"/>
  </w:num>
  <w:num w:numId="4">
    <w:abstractNumId w:val="7"/>
  </w:num>
  <w:num w:numId="5">
    <w:abstractNumId w:val="6"/>
  </w:num>
  <w:num w:numId="6">
    <w:abstractNumId w:val="4"/>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nl-NL"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fr-BE" w:vendorID="64" w:dllVersion="131078" w:nlCheck="1" w:checkStyle="0"/>
  <w:activeWritingStyle w:appName="MSWord" w:lang="en-US" w:vendorID="64" w:dllVersion="131078" w:nlCheck="1" w:checkStyle="1"/>
  <w:activeWritingStyle w:appName="MSWord" w:lang="it-IT" w:vendorID="64" w:dllVersion="131078" w:nlCheck="1" w:checkStyle="0"/>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Green"/>
    <w:docVar w:name="LW_CORRIGENDUM" w:val="&lt;UNUSED&gt;"/>
    <w:docVar w:name="LW_COVERPAGE_EXISTS" w:val="True"/>
    <w:docVar w:name="LW_COVERPAGE_GUID" w:val="9B9FCD89-6181-4319-A8A5-864D7BA5D3BF"/>
    <w:docVar w:name="LW_COVERPAGE_TYPE" w:val="1"/>
    <w:docVar w:name="LW_CROSSREFERENCE" w:val="&lt;UNUSED&gt;"/>
    <w:docVar w:name="LW_DocType" w:val="NORMAL"/>
    <w:docVar w:name="LW_EMISSION" w:val="14.10.2020"/>
    <w:docVar w:name="LW_EMISSION_ISODATE" w:val="2020-10-14"/>
    <w:docVar w:name="LW_EMISSION_LOCATION" w:val="BRX"/>
    <w:docVar w:name="LW_EMISSION_PREFIX" w:val="Bruksela, dnia "/>
    <w:docVar w:name="LW_EMISSION_SUFFIX" w:val=" r."/>
    <w:docVar w:name="LW_ID_DOCTYPE_NONLW" w:val="CP-006"/>
    <w:docVar w:name="LW_LANGUE" w:val="PL"/>
    <w:docVar w:name="LW_LEVEL_OF_SENSITIVITY" w:val="Standard treatment"/>
    <w:docVar w:name="LW_NOM.INST" w:val="KOMISJA EUROPEJSKA"/>
    <w:docVar w:name="LW_NOM.INST_JOINTDOC" w:val="&lt;EMPTY&gt;"/>
    <w:docVar w:name="LW_PART_NBR" w:val="1"/>
    <w:docVar w:name="LW_PART_NBR_TOTAL" w:val="1"/>
    <w:docVar w:name="LW_REF.INST.NEW" w:val="COM"/>
    <w:docVar w:name="LW_REF.INST.NEW_ADOPTED" w:val="final"/>
    <w:docVar w:name="LW_REF.INST.NEW_TEXT" w:val="(2020) 95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ITRE.OBJ.CP" w:val="Ocena za 2020 r. post\u281?pów poczynionych przez pa\u324?stwa cz\u322?onkowskie we wdra\u380?aniu dyrektywy 2012/27/UE w sprawie efektywno\u347?ci energetycznej i wprowadzaniu w UE wymogów dotycz\u261?cych budynków o niemal zerowym zu\u380?yciu energii oraz wymaga\u324? minimalnych dotycz\u261?cych optymalnej pod wzgl\u281?dem kosztów charakterystyki energetycznej budynków zgodnie z dyrektyw\u261? 2010/31/UE w sprawie charakterystyki energetycznej budynków"/>
    <w:docVar w:name="LW_TYPE.DOC.CP" w:val="SPRAWOZDANIE KOMISJI DLA PARLAMENTU EUROPEJSKIEGO I RADY"/>
    <w:docVar w:name="Stamp" w:val="\\dossiers.dgt.cec.eu.int\dossiers\ENER\ENER-2019-00346\ENER-2019-00346-00-00-EN-EDT-00.201903010916441757876.DOCX"/>
  </w:docVars>
  <w:rsids>
    <w:rsidRoot w:val="007F7DFF"/>
    <w:rsid w:val="007F7DFF"/>
    <w:rsid w:val="00E310E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BE8C439-6523-4D06-B051-6EFFC151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00" w:afterAutospacing="1"/>
      <w:jc w:val="both"/>
    </w:pPr>
  </w:style>
  <w:style w:type="paragraph" w:styleId="Nagwek1">
    <w:name w:val="heading 1"/>
    <w:aliases w:val=" Char,(Section),MOVE-it 1,Heading 11,Hoofdstuk,Επικεφαλίδα 1 ΌΧΙ,Heading 1 - Main Heading of Document,F3 Heading 1 - Section,Numbered - 1,Section,Chapter Hdg,h1,CH TITLE 1,Chapter Heading,AChapter,Sub code header,Section Heading,Do Not Use,1"/>
    <w:basedOn w:val="Normalny"/>
    <w:next w:val="Normalny"/>
    <w:link w:val="Nagwek1Znak"/>
    <w:qFormat/>
    <w:pPr>
      <w:keepNext/>
      <w:numPr>
        <w:numId w:val="2"/>
      </w:numPr>
      <w:spacing w:before="360" w:after="180"/>
      <w:outlineLvl w:val="0"/>
    </w:pPr>
    <w:rPr>
      <w:rFonts w:eastAsiaTheme="majorEastAsia" w:cstheme="majorBidi"/>
      <w:b/>
      <w:bCs/>
      <w:kern w:val="32"/>
      <w:sz w:val="32"/>
      <w:szCs w:val="32"/>
    </w:rPr>
  </w:style>
  <w:style w:type="paragraph" w:styleId="Nagwek2">
    <w:name w:val="heading 2"/>
    <w:aliases w:val="Heading Two,h2,(1.1,1.2,1.3 etc),Prophead 2,2,RFP Heading 2,Activit...,Activity,l2,H2,2/1,Heading 21,Paragraaf,cv titles,(SubSection),F4 Heading 2 - SubSection,(Main Heading),ASection,Heading 2 - Main Heading within Document,Major,Outline2"/>
    <w:basedOn w:val="Normalny"/>
    <w:link w:val="Nagwek2Znak"/>
    <w:autoRedefine/>
    <w:qFormat/>
    <w:pPr>
      <w:keepNext/>
      <w:numPr>
        <w:ilvl w:val="1"/>
        <w:numId w:val="4"/>
      </w:numPr>
      <w:spacing w:before="120" w:after="120" w:afterAutospacing="0"/>
      <w:outlineLvl w:val="1"/>
    </w:pPr>
  </w:style>
  <w:style w:type="paragraph" w:styleId="Nagwek3">
    <w:name w:val="heading 3"/>
    <w:aliases w:val="H3,Prophead 3,h3,HHHeading,Heading 31,Heading 32,Heading 33,Heading...,Subparagraaf,Heading 3 - Bold heading for document - will appear in index,Outline3,F5 Heading 3,Numbered - 3,Heading level 3,l3,CT,h3 sub heading,Head 3,3m,H31,(Alt+3)"/>
    <w:basedOn w:val="Normalny"/>
    <w:next w:val="Normalny"/>
    <w:link w:val="Nagwek3Znak"/>
    <w:unhideWhenUsed/>
    <w:qFormat/>
    <w:pPr>
      <w:keepNext/>
      <w:numPr>
        <w:ilvl w:val="2"/>
        <w:numId w:val="2"/>
      </w:numPr>
      <w:spacing w:before="240" w:after="480"/>
      <w:outlineLvl w:val="2"/>
    </w:pPr>
    <w:rPr>
      <w:b/>
      <w:bCs/>
    </w:rPr>
  </w:style>
  <w:style w:type="paragraph" w:styleId="Nagwek4">
    <w:name w:val="heading 4"/>
    <w:aliases w:val="ALK_K4,NEA4,Kopje,Tussenkop,NEAbijlage,12u,ADVICE 4,Kop 4 Char,12u Char,ADVICE 4 Char,H4,h4,Kop 4 Char1,NEA4 Char1,12u Char1,ADVICE 4 Char1,Kop 4 Char Char,NEAbijlage Char Char,12u Char Char"/>
    <w:basedOn w:val="Normalny"/>
    <w:next w:val="Normalny"/>
    <w:link w:val="Nagwek4Znak"/>
    <w:qFormat/>
    <w:pPr>
      <w:keepNext/>
      <w:numPr>
        <w:ilvl w:val="3"/>
        <w:numId w:val="2"/>
      </w:numPr>
      <w:spacing w:before="120" w:after="120"/>
      <w:outlineLvl w:val="3"/>
    </w:pPr>
    <w:rPr>
      <w:b/>
      <w:bCs/>
      <w:szCs w:val="28"/>
    </w:rPr>
  </w:style>
  <w:style w:type="paragraph" w:styleId="Nagwek5">
    <w:name w:val="heading 5"/>
    <w:basedOn w:val="Normalny"/>
    <w:next w:val="Normalny"/>
    <w:link w:val="Nagwek5Znak"/>
    <w:unhideWhenUsed/>
    <w:qFormat/>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nhideWhenUsed/>
    <w:qFormat/>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pPr>
      <w:numPr>
        <w:ilvl w:val="6"/>
        <w:numId w:val="2"/>
      </w:numPr>
      <w:spacing w:before="240" w:after="60" w:afterAutospacing="0"/>
      <w:outlineLvl w:val="6"/>
    </w:pPr>
    <w:rPr>
      <w:rFonts w:ascii="Arial" w:hAnsi="Arial"/>
      <w:sz w:val="20"/>
      <w:szCs w:val="20"/>
    </w:rPr>
  </w:style>
  <w:style w:type="paragraph" w:styleId="Nagwek8">
    <w:name w:val="heading 8"/>
    <w:basedOn w:val="Normalny"/>
    <w:next w:val="Normalny"/>
    <w:link w:val="Nagwek8Znak"/>
    <w:qFormat/>
    <w:pPr>
      <w:numPr>
        <w:ilvl w:val="7"/>
        <w:numId w:val="2"/>
      </w:numPr>
      <w:spacing w:before="240" w:after="60" w:afterAutospacing="0"/>
      <w:outlineLvl w:val="7"/>
    </w:pPr>
    <w:rPr>
      <w:rFonts w:ascii="Arial" w:hAnsi="Arial"/>
      <w:i/>
      <w:sz w:val="20"/>
      <w:szCs w:val="20"/>
    </w:rPr>
  </w:style>
  <w:style w:type="paragraph" w:styleId="Nagwek9">
    <w:name w:val="heading 9"/>
    <w:basedOn w:val="Normalny"/>
    <w:next w:val="Normalny"/>
    <w:link w:val="Nagwek9Znak"/>
    <w:qFormat/>
    <w:pPr>
      <w:numPr>
        <w:ilvl w:val="8"/>
        <w:numId w:val="2"/>
      </w:numPr>
      <w:spacing w:before="240" w:after="60" w:afterAutospacing="0"/>
      <w:outlineLvl w:val="8"/>
    </w:pPr>
    <w:rPr>
      <w:rFonts w:ascii="Arial" w:hAnsi="Arial" w:cs="Arial"/>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IIIA">
    <w:name w:val="Heading II IA"/>
    <w:basedOn w:val="Normalny"/>
    <w:link w:val="HeadingIIIAChar"/>
    <w:autoRedefine/>
    <w:pPr>
      <w:autoSpaceDE w:val="0"/>
      <w:autoSpaceDN w:val="0"/>
      <w:adjustRightInd w:val="0"/>
      <w:spacing w:before="120" w:after="120"/>
      <w:ind w:left="720" w:hanging="360"/>
    </w:pPr>
    <w:rPr>
      <w:b/>
      <w:bCs/>
      <w:color w:val="000000"/>
    </w:rPr>
  </w:style>
  <w:style w:type="character" w:customStyle="1" w:styleId="HeadingIIIAChar">
    <w:name w:val="Heading II IA Char"/>
    <w:basedOn w:val="Domylnaczcionkaakapitu"/>
    <w:link w:val="HeadingIIIA"/>
    <w:rPr>
      <w:b/>
      <w:bCs/>
      <w:color w:val="000000"/>
    </w:rPr>
  </w:style>
  <w:style w:type="paragraph" w:customStyle="1" w:styleId="Style1">
    <w:name w:val="Style1"/>
    <w:basedOn w:val="Nagwek1"/>
    <w:link w:val="Style1Char"/>
    <w:pPr>
      <w:numPr>
        <w:numId w:val="0"/>
      </w:numPr>
      <w:autoSpaceDE w:val="0"/>
      <w:autoSpaceDN w:val="0"/>
      <w:adjustRightInd w:val="0"/>
      <w:spacing w:before="120" w:after="120"/>
      <w:ind w:left="1080" w:hanging="360"/>
    </w:pPr>
    <w:rPr>
      <w:rFonts w:ascii="Cambria" w:eastAsia="Times New Roman" w:hAnsi="Cambria" w:cs="Times New Roman"/>
      <w:b w:val="0"/>
      <w:bCs w:val="0"/>
      <w:sz w:val="28"/>
      <w:szCs w:val="23"/>
    </w:rPr>
  </w:style>
  <w:style w:type="character" w:customStyle="1" w:styleId="Style1Char">
    <w:name w:val="Style1 Char"/>
    <w:basedOn w:val="AkapitzlistZnak"/>
    <w:link w:val="Style1"/>
    <w:rPr>
      <w:rFonts w:ascii="Cambria" w:hAnsi="Cambria"/>
      <w:color w:val="000000"/>
      <w:kern w:val="32"/>
      <w:sz w:val="28"/>
      <w:szCs w:val="23"/>
      <w:lang w:eastAsia="en-US"/>
    </w:rPr>
  </w:style>
  <w:style w:type="character" w:customStyle="1" w:styleId="Nagwek1Znak">
    <w:name w:val="Nagłówek 1 Znak"/>
    <w:aliases w:val=" Char Znak,(Section) Znak,MOVE-it 1 Znak,Heading 11 Znak,Hoofdstuk Znak,Επικεφαλίδα 1 ΌΧΙ Znak,Heading 1 - Main Heading of Document Znak,F3 Heading 1 - Section Znak,Numbered - 1 Znak,Section Znak,Chapter Hdg Znak,h1 Znak,CH TITLE 1 Znak"/>
    <w:link w:val="Nagwek1"/>
    <w:rPr>
      <w:rFonts w:eastAsiaTheme="majorEastAsia" w:cstheme="majorBidi"/>
      <w:b/>
      <w:bCs/>
      <w:kern w:val="32"/>
      <w:sz w:val="32"/>
      <w:szCs w:val="32"/>
    </w:rPr>
  </w:style>
  <w:style w:type="character" w:customStyle="1" w:styleId="Nagwek2Znak">
    <w:name w:val="Nagłówek 2 Znak"/>
    <w:aliases w:val="Heading Two Znak,h2 Znak,(1.1 Znak,1.2 Znak,1.3 etc) Znak,Prophead 2 Znak,2 Znak,RFP Heading 2 Znak,Activit... Znak,Activity Znak,l2 Znak,H2 Znak,2/1 Znak,Heading 21 Znak,Paragraaf Znak,cv titles Znak,(SubSection) Znak,ASection Znak"/>
    <w:link w:val="Nagwek2"/>
    <w:rPr>
      <w:lang w:val="pl-PL"/>
    </w:rPr>
  </w:style>
  <w:style w:type="character" w:customStyle="1" w:styleId="Nagwek3Znak">
    <w:name w:val="Nagłówek 3 Znak"/>
    <w:aliases w:val="H3 Znak,Prophead 3 Znak,h3 Znak,HHHeading Znak,Heading 31 Znak,Heading 32 Znak,Heading 33 Znak,Heading... Znak,Subparagraaf Znak,Heading 3 - Bold heading for document - will appear in index Znak,Outline3 Znak,F5 Heading 3 Znak,l3 Znak"/>
    <w:link w:val="Nagwek3"/>
    <w:rPr>
      <w:b/>
      <w:bCs/>
    </w:rPr>
  </w:style>
  <w:style w:type="character" w:customStyle="1" w:styleId="Nagwek4Znak">
    <w:name w:val="Nagłówek 4 Znak"/>
    <w:aliases w:val="ALK_K4 Znak,NEA4 Znak,Kopje Znak,Tussenkop Znak,NEAbijlage Znak,12u Znak,ADVICE 4 Znak,Kop 4 Char Znak,12u Char Znak,ADVICE 4 Char Znak,H4 Znak,h4 Znak,Kop 4 Char1 Znak,NEA4 Char1 Znak,12u Char1 Znak,ADVICE 4 Char1 Znak"/>
    <w:link w:val="Nagwek4"/>
    <w:rPr>
      <w:b/>
      <w:bCs/>
      <w:szCs w:val="28"/>
    </w:rPr>
  </w:style>
  <w:style w:type="character" w:customStyle="1" w:styleId="Nagwek5Znak">
    <w:name w:val="Nagłówek 5 Znak"/>
    <w:basedOn w:val="Domylnaczcionkaakapitu"/>
    <w:link w:val="Nagwek5"/>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rPr>
      <w:rFonts w:ascii="Arial" w:hAnsi="Arial"/>
      <w:sz w:val="20"/>
      <w:szCs w:val="20"/>
    </w:rPr>
  </w:style>
  <w:style w:type="character" w:customStyle="1" w:styleId="Nagwek8Znak">
    <w:name w:val="Nagłówek 8 Znak"/>
    <w:basedOn w:val="Domylnaczcionkaakapitu"/>
    <w:link w:val="Nagwek8"/>
    <w:rPr>
      <w:rFonts w:ascii="Arial" w:hAnsi="Arial"/>
      <w:i/>
      <w:sz w:val="20"/>
      <w:szCs w:val="20"/>
    </w:rPr>
  </w:style>
  <w:style w:type="character" w:customStyle="1" w:styleId="Nagwek9Znak">
    <w:name w:val="Nagłówek 9 Znak"/>
    <w:basedOn w:val="Domylnaczcionkaakapitu"/>
    <w:link w:val="Nagwek9"/>
    <w:rPr>
      <w:rFonts w:ascii="Arial" w:hAnsi="Arial" w:cs="Arial"/>
      <w:i/>
      <w:sz w:val="18"/>
      <w:szCs w:val="20"/>
    </w:rPr>
  </w:style>
  <w:style w:type="paragraph" w:styleId="Spistreci1">
    <w:name w:val="toc 1"/>
    <w:basedOn w:val="Normalny"/>
    <w:next w:val="Normalny"/>
    <w:autoRedefine/>
    <w:uiPriority w:val="39"/>
    <w:unhideWhenUsed/>
    <w:pPr>
      <w:tabs>
        <w:tab w:val="left" w:pos="440"/>
        <w:tab w:val="right" w:leader="dot" w:pos="9062"/>
      </w:tabs>
    </w:pPr>
    <w:rPr>
      <w:noProof/>
      <w:sz w:val="32"/>
      <w:szCs w:val="32"/>
    </w:rPr>
  </w:style>
  <w:style w:type="paragraph" w:styleId="Spistreci2">
    <w:name w:val="toc 2"/>
    <w:basedOn w:val="Normalny"/>
    <w:next w:val="Normalny"/>
    <w:autoRedefine/>
    <w:uiPriority w:val="39"/>
    <w:unhideWhenUsed/>
    <w:pPr>
      <w:ind w:left="220"/>
    </w:pPr>
  </w:style>
  <w:style w:type="paragraph" w:styleId="Spistreci3">
    <w:name w:val="toc 3"/>
    <w:basedOn w:val="Normalny"/>
    <w:next w:val="Normalny"/>
    <w:autoRedefine/>
    <w:uiPriority w:val="39"/>
    <w:unhideWhenUsed/>
    <w:pPr>
      <w:ind w:left="440"/>
    </w:pPr>
  </w:style>
  <w:style w:type="paragraph" w:styleId="Tekstprzypisudolnego">
    <w:name w:val="footnote text"/>
    <w:aliases w:val="-E Fußnotentext,Fußnotentext Ursprung,-E Fußnotentext1,-E Fußnotentext2,-E Fußnotentext3,Schriftart: 9 pt,Schriftart: 10 pt,Schriftart: 8 pt,WB-Fußnotentext,fn,Footnotes,Footnote ak,Char,Fußnote,Carattere,Footnote Text Char1,f"/>
    <w:basedOn w:val="Normalny"/>
    <w:link w:val="TekstprzypisudolnegoZnak"/>
    <w:uiPriority w:val="99"/>
    <w:qFormat/>
    <w:pPr>
      <w:spacing w:after="0" w:afterAutospacing="0"/>
    </w:pPr>
    <w:rPr>
      <w:sz w:val="20"/>
      <w:szCs w:val="20"/>
    </w:rPr>
  </w:style>
  <w:style w:type="paragraph" w:styleId="Legenda">
    <w:name w:val="caption"/>
    <w:aliases w:val="caption for tables,figures,Beschriftung Char1 Cha...,Beschriftung Char2,Beschriftung Char1 Char1,Beschriftung Char Char Char1,Beschriftung Char1 Char Char,Beschriftung Char Char Char Char,Beschriftung Char Char1 Char,Tasks,Bijschrift CE Delft"/>
    <w:basedOn w:val="Normalny"/>
    <w:next w:val="Normalny"/>
    <w:link w:val="LegendaZnak"/>
    <w:uiPriority w:val="35"/>
    <w:unhideWhenUsed/>
    <w:qFormat/>
    <w:rPr>
      <w:b/>
      <w:bCs/>
      <w:sz w:val="20"/>
      <w:szCs w:val="20"/>
    </w:rPr>
  </w:style>
  <w:style w:type="character" w:customStyle="1" w:styleId="LegendaZnak">
    <w:name w:val="Legenda Znak"/>
    <w:aliases w:val="caption for tables Znak,figures Znak,Beschriftung Char1 Cha... Znak,Beschriftung Char2 Znak,Beschriftung Char1 Char1 Znak,Beschriftung Char Char Char1 Znak,Beschriftung Char1 Char Char Znak,Beschriftung Char Char Char Char Znak,Tasks Znak"/>
    <w:link w:val="Legenda"/>
    <w:uiPriority w:val="35"/>
    <w:locked/>
    <w:rPr>
      <w:b/>
      <w:bCs/>
      <w:sz w:val="20"/>
      <w:szCs w:val="20"/>
    </w:rPr>
  </w:style>
  <w:style w:type="character" w:styleId="Odwoanieprzypisudolnego">
    <w:name w:val="footnote reference"/>
    <w:aliases w:val="SUPERS,Footnote symbol,Footnote,Voetnootverwijzing,Footnote number,fr,o,Footnotemark,FR,Footnotemark1,Footnotemark2,FR1,Footnotemark3,FR2,Footnotemark4,FR3,Footnotemark5,FR4,Footnotemark6,Footnotemark7,Footnotemark8,FR5"/>
    <w:uiPriority w:val="99"/>
    <w:qFormat/>
    <w:rPr>
      <w:vertAlign w:val="superscript"/>
    </w:rPr>
  </w:style>
  <w:style w:type="character" w:styleId="Uwydatnienie">
    <w:name w:val="Emphasis"/>
    <w:qFormat/>
    <w:rPr>
      <w:i/>
      <w:iCs/>
    </w:rPr>
  </w:style>
  <w:style w:type="paragraph" w:styleId="Akapitzlist">
    <w:name w:val="List Paragraph"/>
    <w:aliases w:val="Numbered Para 1,Dot pt,No Spacing1,List Paragraph Char Char Char,Indicator Text,List Paragraph1,Bullet Points,MAIN CONTENT,List Paragraph12,F5 List Paragraph,Heading 2_sj,Report Para,WinDForce-Letter,List Paragraph (numbered (a),LISTA"/>
    <w:basedOn w:val="Normalny"/>
    <w:link w:val="AkapitzlistZnak"/>
    <w:uiPriority w:val="34"/>
    <w:qFormat/>
    <w:pPr>
      <w:ind w:left="720"/>
      <w:contextualSpacing/>
    </w:pPr>
  </w:style>
  <w:style w:type="character" w:customStyle="1" w:styleId="AkapitzlistZnak">
    <w:name w:val="Akapit z listą Znak"/>
    <w:aliases w:val="Numbered Para 1 Znak,Dot pt Znak,No Spacing1 Znak,List Paragraph Char Char Char Znak,Indicator Text Znak,List Paragraph1 Znak,Bullet Points Znak,MAIN CONTENT Znak,List Paragraph12 Znak,F5 List Paragraph Znak,Heading 2_sj Znak"/>
    <w:link w:val="Akapitzlist"/>
    <w:uiPriority w:val="99"/>
    <w:qFormat/>
    <w:locked/>
  </w:style>
  <w:style w:type="paragraph" w:styleId="Nagwekspisutreci">
    <w:name w:val="TOC Heading"/>
    <w:basedOn w:val="Nagwek1"/>
    <w:next w:val="Normalny"/>
    <w:uiPriority w:val="39"/>
    <w:unhideWhenUsed/>
    <w:qFormat/>
    <w:pPr>
      <w:keepLines/>
      <w:numPr>
        <w:numId w:val="0"/>
      </w:numPr>
      <w:spacing w:before="480" w:after="0" w:line="276" w:lineRule="auto"/>
      <w:outlineLvl w:val="9"/>
    </w:pPr>
    <w:rPr>
      <w:rFonts w:eastAsia="MS Gothic" w:cs="Times New Roman"/>
      <w:color w:val="365F91"/>
      <w:kern w:val="0"/>
      <w:sz w:val="28"/>
      <w:szCs w:val="28"/>
      <w:lang w:eastAsia="ja-JP"/>
    </w:rPr>
  </w:style>
  <w:style w:type="paragraph" w:customStyle="1" w:styleId="Style3heading3">
    <w:name w:val="Style3_heading 3"/>
    <w:basedOn w:val="Nagwek3"/>
    <w:link w:val="Style3heading3Char"/>
    <w:qFormat/>
    <w:pPr>
      <w:numPr>
        <w:ilvl w:val="0"/>
        <w:numId w:val="0"/>
      </w:numPr>
      <w:spacing w:afterAutospacing="0"/>
      <w:ind w:left="720" w:hanging="720"/>
      <w:jc w:val="left"/>
    </w:pPr>
    <w:rPr>
      <w:b w:val="0"/>
      <w:i/>
    </w:rPr>
  </w:style>
  <w:style w:type="character" w:customStyle="1" w:styleId="Style3heading3Char">
    <w:name w:val="Style3_heading 3 Char"/>
    <w:basedOn w:val="Domylnaczcionkaakapitu"/>
    <w:link w:val="Style3heading3"/>
    <w:locked/>
    <w:rPr>
      <w:bCs/>
      <w:i/>
    </w:rPr>
  </w:style>
  <w:style w:type="paragraph" w:customStyle="1" w:styleId="Style2Heading2">
    <w:name w:val="Style2_Heading 2"/>
    <w:basedOn w:val="Nagwek3"/>
    <w:link w:val="Style2Heading2Char"/>
    <w:qFormat/>
    <w:pPr>
      <w:numPr>
        <w:ilvl w:val="0"/>
        <w:numId w:val="0"/>
      </w:numPr>
      <w:spacing w:afterAutospacing="0"/>
      <w:ind w:left="720" w:hanging="720"/>
      <w:jc w:val="left"/>
    </w:pPr>
  </w:style>
  <w:style w:type="character" w:customStyle="1" w:styleId="Style2Heading2Char">
    <w:name w:val="Style2_Heading 2 Char"/>
    <w:basedOn w:val="Nagwek3Znak"/>
    <w:link w:val="Style2Heading2"/>
    <w:rPr>
      <w:b/>
      <w:bCs/>
    </w:rPr>
  </w:style>
  <w:style w:type="paragraph" w:customStyle="1" w:styleId="Releasable">
    <w:name w:val="Releasable"/>
    <w:basedOn w:val="Normalny"/>
    <w:qFormat/>
    <w:pPr>
      <w:spacing w:after="0" w:afterAutospacing="0"/>
      <w:jc w:val="center"/>
    </w:pPr>
    <w:rPr>
      <w:b/>
      <w:caps/>
      <w:sz w:val="32"/>
      <w:szCs w:val="20"/>
      <w:lang w:eastAsia="en-US"/>
    </w:rPr>
  </w:style>
  <w:style w:type="paragraph" w:customStyle="1" w:styleId="Normaldense">
    <w:name w:val="Normal dense"/>
    <w:basedOn w:val="Normalny"/>
    <w:link w:val="NormaldenseChar"/>
    <w:qFormat/>
    <w:pPr>
      <w:spacing w:after="180" w:afterAutospacing="0"/>
    </w:pPr>
    <w:rPr>
      <w:rFonts w:asciiTheme="minorHAnsi" w:eastAsiaTheme="minorHAnsi" w:hAnsiTheme="minorHAnsi" w:cstheme="minorBidi"/>
      <w:sz w:val="20"/>
      <w:szCs w:val="20"/>
      <w:lang w:eastAsia="ja-JP"/>
    </w:rPr>
  </w:style>
  <w:style w:type="character" w:customStyle="1" w:styleId="NormaldenseChar">
    <w:name w:val="Normal dense Char"/>
    <w:basedOn w:val="Domylnaczcionkaakapitu"/>
    <w:link w:val="Normaldense"/>
    <w:rPr>
      <w:rFonts w:asciiTheme="minorHAnsi" w:eastAsiaTheme="minorHAnsi" w:hAnsiTheme="minorHAnsi" w:cstheme="minorBidi"/>
      <w:sz w:val="20"/>
      <w:szCs w:val="20"/>
      <w:lang w:eastAsia="ja-JP"/>
    </w:rPr>
  </w:style>
  <w:style w:type="paragraph" w:customStyle="1" w:styleId="ListBulletlast">
    <w:name w:val="List Bullet last"/>
    <w:basedOn w:val="Listapunktowana"/>
    <w:next w:val="Tekstpodstawowy"/>
    <w:qFormat/>
    <w:pPr>
      <w:numPr>
        <w:numId w:val="3"/>
      </w:numPr>
      <w:tabs>
        <w:tab w:val="left" w:pos="6840"/>
      </w:tabs>
      <w:spacing w:after="240" w:afterAutospacing="0" w:line="280" w:lineRule="exact"/>
      <w:contextualSpacing w:val="0"/>
      <w:jc w:val="left"/>
    </w:pPr>
    <w:rPr>
      <w:rFonts w:ascii="Arial" w:hAnsi="Arial"/>
      <w:snapToGrid w:val="0"/>
      <w:sz w:val="22"/>
      <w:szCs w:val="20"/>
      <w:lang w:eastAsia="en-US"/>
    </w:rPr>
  </w:style>
  <w:style w:type="paragraph" w:styleId="Listapunktowana">
    <w:name w:val="List Bullet"/>
    <w:basedOn w:val="Normalny"/>
    <w:uiPriority w:val="99"/>
    <w:semiHidden/>
    <w:unhideWhenUsed/>
    <w:pPr>
      <w:numPr>
        <w:numId w:val="1"/>
      </w:numPr>
      <w:contextualSpacing/>
    </w:pPr>
  </w:style>
  <w:style w:type="paragraph" w:styleId="Tekstpodstawowy">
    <w:name w:val="Body Text"/>
    <w:basedOn w:val="Normalny"/>
    <w:link w:val="TekstpodstawowyZnak"/>
    <w:uiPriority w:val="1"/>
    <w:qFormat/>
    <w:pPr>
      <w:widowControl w:val="0"/>
      <w:spacing w:after="0" w:afterAutospacing="0"/>
      <w:jc w:val="left"/>
    </w:pPr>
    <w:rPr>
      <w:sz w:val="22"/>
      <w:szCs w:val="22"/>
    </w:rPr>
  </w:style>
  <w:style w:type="character" w:customStyle="1" w:styleId="TekstpodstawowyZnak">
    <w:name w:val="Tekst podstawowy Znak"/>
    <w:basedOn w:val="Domylnaczcionkaakapitu"/>
    <w:link w:val="Tekstpodstawowy"/>
    <w:uiPriority w:val="1"/>
    <w:rPr>
      <w:sz w:val="22"/>
      <w:szCs w:val="22"/>
      <w:lang w:val="pl-PL"/>
    </w:rPr>
  </w:style>
  <w:style w:type="paragraph" w:styleId="Tytu">
    <w:name w:val="Title"/>
    <w:basedOn w:val="Normalny"/>
    <w:next w:val="Normalny"/>
    <w:link w:val="TytuZnak"/>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pPr>
      <w:numPr>
        <w:ilvl w:val="1"/>
      </w:numPr>
    </w:pPr>
    <w:rPr>
      <w:rFonts w:eastAsiaTheme="majorEastAsia" w:cstheme="majorBidi"/>
      <w:iCs/>
      <w:spacing w:val="15"/>
      <w:sz w:val="20"/>
    </w:rPr>
  </w:style>
  <w:style w:type="character" w:customStyle="1" w:styleId="PodtytuZnak">
    <w:name w:val="Podtytuł Znak"/>
    <w:basedOn w:val="Domylnaczcionkaakapitu"/>
    <w:link w:val="Podtytu"/>
    <w:uiPriority w:val="11"/>
    <w:rPr>
      <w:rFonts w:eastAsiaTheme="majorEastAsia" w:cstheme="majorBidi"/>
      <w:iCs/>
      <w:spacing w:val="15"/>
      <w:sz w:val="20"/>
    </w:rPr>
  </w:style>
  <w:style w:type="character" w:styleId="Pogrubienie">
    <w:name w:val="Strong"/>
    <w:basedOn w:val="Domylnaczcionkaakapitu"/>
    <w:uiPriority w:val="22"/>
    <w:qFormat/>
    <w:rPr>
      <w:b/>
      <w:bCs/>
    </w:rPr>
  </w:style>
  <w:style w:type="character" w:styleId="Tytuksiki">
    <w:name w:val="Book Title"/>
    <w:basedOn w:val="Domylnaczcionkaakapitu"/>
    <w:uiPriority w:val="99"/>
    <w:qFormat/>
    <w:rPr>
      <w:rFonts w:ascii="Times New Roman" w:hAnsi="Times New Roman" w:cs="Times New Roman" w:hint="default"/>
      <w:b/>
      <w:bCs/>
      <w:smallCaps/>
      <w:spacing w:val="5"/>
    </w:rPr>
  </w:style>
  <w:style w:type="paragraph" w:customStyle="1" w:styleId="Text1">
    <w:name w:val="Text 1"/>
    <w:basedOn w:val="Normalny"/>
    <w:pPr>
      <w:spacing w:before="120" w:after="120" w:afterAutospacing="0"/>
      <w:ind w:left="850"/>
    </w:pPr>
    <w:rPr>
      <w:rFonts w:eastAsia="Calibri"/>
      <w:szCs w:val="22"/>
      <w:lang w:eastAsia="en-US"/>
    </w:rPr>
  </w:style>
  <w:style w:type="paragraph" w:styleId="Tekstdymka">
    <w:name w:val="Balloon Text"/>
    <w:basedOn w:val="Normalny"/>
    <w:link w:val="TekstdymkaZnak"/>
    <w:uiPriority w:val="99"/>
    <w:semiHidden/>
    <w:unhideWhenUsed/>
    <w:pPr>
      <w:spacing w:after="0" w:afterAutospacing="0"/>
      <w:jc w:val="left"/>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Pr>
      <w:rFonts w:ascii="Tahoma" w:eastAsiaTheme="minorHAnsi" w:hAnsi="Tahoma" w:cs="Tahoma"/>
      <w:sz w:val="16"/>
      <w:szCs w:val="16"/>
      <w:lang w:eastAsia="en-US"/>
    </w:rPr>
  </w:style>
  <w:style w:type="character" w:styleId="Odwoaniedokomentarza">
    <w:name w:val="annotation reference"/>
    <w:basedOn w:val="Domylnaczcionkaakapitu"/>
    <w:uiPriority w:val="99"/>
    <w:unhideWhenUsed/>
    <w:rPr>
      <w:sz w:val="16"/>
      <w:szCs w:val="16"/>
    </w:rPr>
  </w:style>
  <w:style w:type="paragraph" w:styleId="Tekstkomentarza">
    <w:name w:val="annotation text"/>
    <w:basedOn w:val="Normalny"/>
    <w:link w:val="TekstkomentarzaZnak"/>
    <w:uiPriority w:val="99"/>
    <w:unhideWhenUsed/>
    <w:pPr>
      <w:spacing w:after="200" w:afterAutospacing="0"/>
      <w:jc w:val="left"/>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Pr>
      <w:rFonts w:asciiTheme="minorHAnsi" w:eastAsiaTheme="minorHAnsi" w:hAnsiTheme="minorHAnsi" w:cstheme="minorBidi"/>
      <w:sz w:val="20"/>
      <w:szCs w:val="20"/>
      <w:lang w:eastAsia="en-US"/>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heme="minorHAnsi" w:eastAsiaTheme="minorHAnsi" w:hAnsiTheme="minorHAnsi" w:cstheme="minorBidi"/>
      <w:b/>
      <w:bCs/>
      <w:sz w:val="20"/>
      <w:szCs w:val="20"/>
      <w:lang w:eastAsia="en-US"/>
    </w:rPr>
  </w:style>
  <w:style w:type="paragraph" w:customStyle="1" w:styleId="Tiret1">
    <w:name w:val="Tiret 1"/>
    <w:basedOn w:val="Normalny"/>
    <w:pPr>
      <w:numPr>
        <w:numId w:val="5"/>
      </w:numPr>
      <w:tabs>
        <w:tab w:val="clear" w:pos="1417"/>
        <w:tab w:val="num" w:pos="360"/>
      </w:tabs>
      <w:spacing w:before="120" w:after="120" w:afterAutospacing="0"/>
      <w:ind w:left="0" w:firstLine="0"/>
    </w:pPr>
    <w:rPr>
      <w:rFonts w:eastAsia="Calibri"/>
      <w:szCs w:val="22"/>
      <w:lang w:eastAsia="en-US"/>
    </w:rPr>
  </w:style>
  <w:style w:type="paragraph" w:styleId="Nagwek">
    <w:name w:val="header"/>
    <w:basedOn w:val="Normalny"/>
    <w:link w:val="NagwekZnak"/>
    <w:uiPriority w:val="99"/>
    <w:unhideWhenUsed/>
    <w:pPr>
      <w:tabs>
        <w:tab w:val="center" w:pos="4535"/>
        <w:tab w:val="right" w:pos="9071"/>
      </w:tabs>
      <w:spacing w:after="120" w:afterAutospacing="0"/>
    </w:pPr>
    <w:rPr>
      <w:rFonts w:eastAsiaTheme="minorHAnsi"/>
      <w:szCs w:val="22"/>
      <w:lang w:eastAsia="en-US"/>
    </w:rPr>
  </w:style>
  <w:style w:type="character" w:customStyle="1" w:styleId="NagwekZnak">
    <w:name w:val="Nagłówek Znak"/>
    <w:basedOn w:val="Domylnaczcionkaakapitu"/>
    <w:link w:val="Nagwek"/>
    <w:uiPriority w:val="99"/>
    <w:rPr>
      <w:rFonts w:eastAsiaTheme="minorHAnsi"/>
      <w:szCs w:val="22"/>
      <w:lang w:eastAsia="en-US"/>
    </w:rPr>
  </w:style>
  <w:style w:type="paragraph" w:styleId="Stopka">
    <w:name w:val="footer"/>
    <w:basedOn w:val="Normalny"/>
    <w:link w:val="StopkaZnak"/>
    <w:uiPriority w:val="99"/>
    <w:unhideWhenUsed/>
    <w:pPr>
      <w:tabs>
        <w:tab w:val="center" w:pos="4535"/>
        <w:tab w:val="right" w:pos="9071"/>
        <w:tab w:val="right" w:pos="9921"/>
      </w:tabs>
      <w:spacing w:before="360" w:after="0" w:afterAutospacing="0"/>
      <w:ind w:left="-850" w:right="-850"/>
      <w:jc w:val="left"/>
    </w:pPr>
    <w:rPr>
      <w:rFonts w:eastAsiaTheme="minorHAnsi"/>
      <w:szCs w:val="22"/>
      <w:lang w:eastAsia="en-US"/>
    </w:rPr>
  </w:style>
  <w:style w:type="character" w:customStyle="1" w:styleId="StopkaZnak">
    <w:name w:val="Stopka Znak"/>
    <w:basedOn w:val="Domylnaczcionkaakapitu"/>
    <w:link w:val="Stopka"/>
    <w:uiPriority w:val="99"/>
    <w:rPr>
      <w:rFonts w:eastAsiaTheme="minorHAnsi"/>
      <w:szCs w:val="22"/>
      <w:lang w:eastAsia="en-US"/>
    </w:rPr>
  </w:style>
  <w:style w:type="character" w:styleId="Hipercze">
    <w:name w:val="Hyperlink"/>
    <w:basedOn w:val="Domylnaczcionkaakapitu"/>
    <w:uiPriority w:val="99"/>
    <w:unhideWhenUsed/>
    <w:rPr>
      <w:color w:val="0000FF" w:themeColor="hyperlink"/>
      <w:u w:val="single"/>
    </w:rPr>
  </w:style>
  <w:style w:type="character" w:customStyle="1" w:styleId="Marker">
    <w:name w:val="Marker"/>
    <w:basedOn w:val="Domylnaczcionkaakapitu"/>
    <w:rPr>
      <w:color w:val="0000FF"/>
      <w:shd w:val="clear" w:color="auto" w:fill="auto"/>
    </w:rPr>
  </w:style>
  <w:style w:type="paragraph" w:customStyle="1" w:styleId="Pagedecouverture">
    <w:name w:val="Page de couverture"/>
    <w:basedOn w:val="Normalny"/>
    <w:next w:val="Normalny"/>
    <w:pPr>
      <w:spacing w:after="0" w:afterAutospacing="0"/>
    </w:pPr>
    <w:rPr>
      <w:rFonts w:eastAsiaTheme="minorHAnsi"/>
      <w:szCs w:val="22"/>
      <w:lang w:eastAsia="en-US"/>
    </w:rPr>
  </w:style>
  <w:style w:type="paragraph" w:customStyle="1" w:styleId="FooterCoverPage">
    <w:name w:val="Footer Cover Page"/>
    <w:basedOn w:val="Normalny"/>
    <w:link w:val="FooterCoverPageChar"/>
    <w:pPr>
      <w:tabs>
        <w:tab w:val="center" w:pos="4535"/>
        <w:tab w:val="right" w:pos="9071"/>
        <w:tab w:val="right" w:pos="9921"/>
      </w:tabs>
      <w:spacing w:before="360" w:after="0" w:afterAutospacing="0"/>
      <w:ind w:left="-850" w:right="-850"/>
      <w:jc w:val="left"/>
    </w:pPr>
  </w:style>
  <w:style w:type="character" w:customStyle="1" w:styleId="FooterCoverPageChar">
    <w:name w:val="Footer Cover Page Char"/>
    <w:basedOn w:val="Domylnaczcionkaakapitu"/>
    <w:link w:val="FooterCoverPage"/>
  </w:style>
  <w:style w:type="paragraph" w:customStyle="1" w:styleId="HeaderCoverPage">
    <w:name w:val="Header Cover Page"/>
    <w:basedOn w:val="Normalny"/>
    <w:link w:val="HeaderCoverPageChar"/>
    <w:pPr>
      <w:tabs>
        <w:tab w:val="center" w:pos="4535"/>
        <w:tab w:val="right" w:pos="9071"/>
      </w:tabs>
      <w:spacing w:after="120" w:afterAutospacing="0"/>
    </w:pPr>
  </w:style>
  <w:style w:type="character" w:customStyle="1" w:styleId="HeaderCoverPageChar">
    <w:name w:val="Header Cover Page Char"/>
    <w:basedOn w:val="Domylnaczcionkaakapitu"/>
    <w:link w:val="HeaderCoverPage"/>
  </w:style>
  <w:style w:type="paragraph" w:styleId="Tekstprzypisukocowego">
    <w:name w:val="endnote text"/>
    <w:basedOn w:val="Normalny"/>
    <w:link w:val="TekstprzypisukocowegoZnak"/>
    <w:uiPriority w:val="99"/>
    <w:semiHidden/>
    <w:unhideWhenUsed/>
    <w:pPr>
      <w:spacing w:after="0" w:afterAutospacing="0"/>
      <w:jc w:val="left"/>
    </w:pPr>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Pr>
      <w:rFonts w:asciiTheme="minorHAnsi" w:eastAsiaTheme="minorHAnsi" w:hAnsiTheme="minorHAnsi" w:cstheme="minorBidi"/>
      <w:sz w:val="20"/>
      <w:szCs w:val="20"/>
      <w:lang w:eastAsia="en-US"/>
    </w:rPr>
  </w:style>
  <w:style w:type="character" w:styleId="Odwoanieprzypisukocowego">
    <w:name w:val="endnote reference"/>
    <w:basedOn w:val="Domylnaczcionkaakapitu"/>
    <w:uiPriority w:val="99"/>
    <w:semiHidden/>
    <w:unhideWhenUsed/>
    <w:rPr>
      <w:vertAlign w:val="superscript"/>
    </w:rPr>
  </w:style>
  <w:style w:type="paragraph" w:customStyle="1" w:styleId="Default">
    <w:name w:val="Default"/>
    <w:pPr>
      <w:autoSpaceDE w:val="0"/>
      <w:autoSpaceDN w:val="0"/>
      <w:adjustRightInd w:val="0"/>
    </w:pPr>
    <w:rPr>
      <w:rFonts w:eastAsiaTheme="minorHAnsi"/>
      <w:color w:val="000000"/>
      <w:lang w:eastAsia="en-US"/>
    </w:rPr>
  </w:style>
  <w:style w:type="character" w:styleId="UyteHipercze">
    <w:name w:val="FollowedHyperlink"/>
    <w:basedOn w:val="Domylnaczcionkaakapitu"/>
    <w:uiPriority w:val="99"/>
    <w:semiHidden/>
    <w:unhideWhenUsed/>
    <w:rPr>
      <w:color w:val="800080" w:themeColor="followedHyperlink"/>
      <w:u w:val="single"/>
    </w:rPr>
  </w:style>
  <w:style w:type="character" w:styleId="Odwoaniedelikatne">
    <w:name w:val="Subtle Reference"/>
    <w:basedOn w:val="Domylnaczcionkaakapitu"/>
    <w:uiPriority w:val="31"/>
    <w:qFormat/>
    <w:rPr>
      <w:smallCaps/>
      <w:color w:val="C0504D" w:themeColor="accent2"/>
      <w:u w:val="single"/>
    </w:rPr>
  </w:style>
  <w:style w:type="paragraph" w:styleId="Poprawka">
    <w:name w:val="Revision"/>
    <w:hidden/>
    <w:uiPriority w:val="99"/>
    <w:semiHidden/>
    <w:rPr>
      <w:rFonts w:asciiTheme="minorHAnsi" w:eastAsiaTheme="minorHAnsi" w:hAnsiTheme="minorHAnsi" w:cstheme="minorBidi"/>
      <w:sz w:val="22"/>
      <w:szCs w:val="22"/>
      <w:lang w:eastAsia="en-US"/>
    </w:rPr>
  </w:style>
  <w:style w:type="paragraph" w:customStyle="1" w:styleId="ListDash">
    <w:name w:val="List Dash"/>
    <w:basedOn w:val="Normalny"/>
    <w:pPr>
      <w:numPr>
        <w:numId w:val="6"/>
      </w:numPr>
      <w:spacing w:after="240" w:afterAutospacing="0"/>
    </w:pPr>
    <w:rPr>
      <w:szCs w:val="20"/>
      <w:lang w:eastAsia="en-US"/>
    </w:rPr>
  </w:style>
  <w:style w:type="paragraph" w:customStyle="1" w:styleId="CM1">
    <w:name w:val="CM1"/>
    <w:basedOn w:val="Default"/>
    <w:next w:val="Default"/>
    <w:uiPriority w:val="99"/>
    <w:rPr>
      <w:rFonts w:ascii="EUAlbertina" w:hAnsi="EUAlbertina" w:cstheme="minorBidi"/>
      <w:color w:val="auto"/>
    </w:rPr>
  </w:style>
  <w:style w:type="paragraph" w:customStyle="1" w:styleId="CM3">
    <w:name w:val="CM3"/>
    <w:basedOn w:val="Default"/>
    <w:next w:val="Default"/>
    <w:uiPriority w:val="99"/>
    <w:rPr>
      <w:rFonts w:ascii="EUAlbertina" w:hAnsi="EUAlbertina" w:cstheme="minorBidi"/>
      <w:color w:val="auto"/>
    </w:rPr>
  </w:style>
  <w:style w:type="paragraph" w:styleId="Zwykytekst">
    <w:name w:val="Plain Text"/>
    <w:basedOn w:val="Normalny"/>
    <w:link w:val="ZwykytekstZnak"/>
    <w:uiPriority w:val="99"/>
    <w:unhideWhenUsed/>
    <w:pPr>
      <w:spacing w:after="0" w:afterAutospacing="0"/>
      <w:jc w:val="left"/>
    </w:pPr>
    <w:rPr>
      <w:rFonts w:ascii="Calibri" w:hAnsi="Calibri"/>
      <w:sz w:val="22"/>
      <w:szCs w:val="21"/>
      <w:lang w:eastAsia="en-US"/>
    </w:rPr>
  </w:style>
  <w:style w:type="character" w:customStyle="1" w:styleId="ZwykytekstZnak">
    <w:name w:val="Zwykły tekst Znak"/>
    <w:basedOn w:val="Domylnaczcionkaakapitu"/>
    <w:link w:val="Zwykytekst"/>
    <w:uiPriority w:val="99"/>
    <w:rPr>
      <w:rFonts w:ascii="Calibri" w:hAnsi="Calibri"/>
      <w:sz w:val="22"/>
      <w:szCs w:val="21"/>
      <w:lang w:eastAsia="en-US"/>
    </w:rPr>
  </w:style>
  <w:style w:type="paragraph" w:styleId="NormalnyWeb">
    <w:name w:val="Normal (Web)"/>
    <w:basedOn w:val="Normalny"/>
    <w:uiPriority w:val="99"/>
    <w:unhideWhenUsed/>
    <w:pPr>
      <w:spacing w:after="0" w:afterAutospacing="0"/>
      <w:jc w:val="left"/>
    </w:pPr>
    <w:rPr>
      <w:rFonts w:eastAsiaTheme="minorHAnsi"/>
    </w:rPr>
  </w:style>
  <w:style w:type="table" w:customStyle="1" w:styleId="GridTable4-Accent51">
    <w:name w:val="Grid Table 4 - Accent 51"/>
    <w:basedOn w:val="Standardowy"/>
    <w:uiPriority w:val="49"/>
    <w:rPr>
      <w:rFonts w:asciiTheme="minorHAnsi" w:eastAsiaTheme="minorHAnsi" w:hAnsiTheme="minorHAnsi" w:cstheme="minorBidi"/>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Bezodstpw">
    <w:name w:val="No Spacing"/>
    <w:uiPriority w:val="1"/>
    <w:qFormat/>
    <w:rPr>
      <w:rFonts w:asciiTheme="minorHAnsi" w:eastAsiaTheme="minorHAnsi" w:hAnsiTheme="minorHAnsi" w:cstheme="minorBidi"/>
      <w:sz w:val="22"/>
      <w:szCs w:val="22"/>
      <w:lang w:eastAsia="en-US"/>
    </w:rPr>
  </w:style>
  <w:style w:type="table" w:styleId="Jasnalistaakcent1">
    <w:name w:val="Light List Accent 1"/>
    <w:basedOn w:val="Standardowy"/>
    <w:uiPriority w:val="61"/>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5">
    <w:name w:val="Light List Accent 5"/>
    <w:basedOn w:val="Standardowy"/>
    <w:uiPriority w:val="61"/>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classification">
    <w:name w:val="Declassification"/>
    <w:basedOn w:val="Normalny"/>
    <w:next w:val="Normalny"/>
    <w:pPr>
      <w:spacing w:after="0" w:afterAutospacing="0"/>
    </w:pPr>
    <w:rPr>
      <w:rFonts w:eastAsiaTheme="minorHAnsi"/>
      <w:szCs w:val="22"/>
      <w:lang w:eastAsia="en-US"/>
    </w:rPr>
  </w:style>
  <w:style w:type="paragraph" w:customStyle="1" w:styleId="HeaderLandscape">
    <w:name w:val="HeaderLandscape"/>
    <w:basedOn w:val="Normalny"/>
    <w:pPr>
      <w:tabs>
        <w:tab w:val="center" w:pos="7285"/>
        <w:tab w:val="right" w:pos="14003"/>
      </w:tabs>
      <w:spacing w:after="120" w:afterAutospacing="0"/>
    </w:pPr>
    <w:rPr>
      <w:rFonts w:eastAsiaTheme="minorHAnsi"/>
      <w:szCs w:val="22"/>
      <w:lang w:eastAsia="en-US"/>
    </w:rPr>
  </w:style>
  <w:style w:type="paragraph" w:customStyle="1" w:styleId="HeaderSensitivity">
    <w:name w:val="Header Sensitivity"/>
    <w:basedOn w:val="Normalny"/>
    <w:pPr>
      <w:pBdr>
        <w:top w:val="single" w:sz="4" w:space="1" w:color="auto"/>
        <w:left w:val="single" w:sz="4" w:space="4" w:color="auto"/>
        <w:bottom w:val="single" w:sz="4" w:space="1" w:color="auto"/>
        <w:right w:val="single" w:sz="4" w:space="4" w:color="auto"/>
      </w:pBdr>
      <w:spacing w:after="120" w:afterAutospacing="0"/>
      <w:ind w:left="113" w:right="113"/>
      <w:jc w:val="center"/>
    </w:pPr>
    <w:rPr>
      <w:b/>
      <w:sz w:val="32"/>
    </w:rPr>
  </w:style>
  <w:style w:type="paragraph" w:customStyle="1" w:styleId="FooterLandscape">
    <w:name w:val="FooterLandscape"/>
    <w:basedOn w:val="Normalny"/>
    <w:pPr>
      <w:tabs>
        <w:tab w:val="center" w:pos="7285"/>
        <w:tab w:val="center" w:pos="10913"/>
        <w:tab w:val="right" w:pos="15137"/>
      </w:tabs>
      <w:spacing w:before="360" w:after="0" w:afterAutospacing="0"/>
      <w:ind w:left="-567" w:right="-567"/>
      <w:jc w:val="left"/>
    </w:pPr>
    <w:rPr>
      <w:rFonts w:eastAsiaTheme="minorHAnsi"/>
      <w:szCs w:val="22"/>
      <w:lang w:eastAsia="en-US"/>
    </w:rPr>
  </w:style>
  <w:style w:type="paragraph" w:customStyle="1" w:styleId="FooterSensitivity">
    <w:name w:val="Footer Sensitivity"/>
    <w:basedOn w:val="Normalny"/>
    <w:pPr>
      <w:pBdr>
        <w:top w:val="single" w:sz="4" w:space="1" w:color="auto"/>
        <w:left w:val="single" w:sz="4" w:space="4" w:color="auto"/>
        <w:bottom w:val="single" w:sz="4" w:space="1" w:color="auto"/>
        <w:right w:val="single" w:sz="4" w:space="4" w:color="auto"/>
      </w:pBdr>
      <w:spacing w:before="360" w:after="0" w:afterAutospacing="0"/>
      <w:ind w:left="113" w:right="113"/>
      <w:jc w:val="center"/>
    </w:pPr>
    <w:rPr>
      <w:b/>
      <w:sz w:val="32"/>
    </w:rPr>
  </w:style>
  <w:style w:type="paragraph" w:customStyle="1" w:styleId="BasistekstCEDelft">
    <w:name w:val="Basistekst CE Delft"/>
    <w:basedOn w:val="Normalny"/>
    <w:qFormat/>
    <w:pPr>
      <w:spacing w:after="0" w:afterAutospacing="0" w:line="240" w:lineRule="atLeast"/>
      <w:jc w:val="left"/>
    </w:pPr>
    <w:rPr>
      <w:rFonts w:ascii="Calibri" w:hAnsi="Calibri" w:cs="Maiandra GD"/>
      <w:color w:val="000000" w:themeColor="text1"/>
      <w:sz w:val="20"/>
      <w:szCs w:val="18"/>
      <w:lang w:eastAsia="nl-NL"/>
    </w:rPr>
  </w:style>
  <w:style w:type="paragraph" w:customStyle="1" w:styleId="JRCText">
    <w:name w:val="JRC_Text"/>
    <w:basedOn w:val="Normalny"/>
    <w:autoRedefine/>
    <w:qFormat/>
    <w:pPr>
      <w:spacing w:before="120" w:after="120" w:afterAutospacing="0"/>
    </w:pPr>
    <w:rPr>
      <w:rFonts w:ascii="Verdana" w:eastAsia="Calibri" w:hAnsi="Verdana"/>
      <w:sz w:val="20"/>
      <w:szCs w:val="22"/>
      <w:lang w:eastAsia="en-US"/>
    </w:rPr>
  </w:style>
  <w:style w:type="paragraph" w:styleId="Bibliografia">
    <w:name w:val="Bibliography"/>
    <w:basedOn w:val="Normalny"/>
    <w:next w:val="Normalny"/>
    <w:uiPriority w:val="37"/>
    <w:unhideWhenUsed/>
    <w:pPr>
      <w:spacing w:before="120" w:after="120" w:afterAutospacing="0"/>
    </w:pPr>
    <w:rPr>
      <w:rFonts w:ascii="Verdana" w:hAnsi="Verdana"/>
      <w:sz w:val="20"/>
      <w:szCs w:val="22"/>
    </w:rPr>
  </w:style>
  <w:style w:type="paragraph" w:customStyle="1" w:styleId="TabeltekstCEDelft">
    <w:name w:val="Tabeltekst CE Delft"/>
    <w:basedOn w:val="Normalny"/>
    <w:uiPriority w:val="4"/>
    <w:pPr>
      <w:spacing w:after="0" w:afterAutospacing="0" w:line="240" w:lineRule="atLeast"/>
      <w:jc w:val="left"/>
    </w:pPr>
    <w:rPr>
      <w:rFonts w:ascii="Calibri" w:hAnsi="Calibri" w:cs="Maiandra GD"/>
      <w:color w:val="000000" w:themeColor="text1"/>
      <w:sz w:val="16"/>
      <w:szCs w:val="18"/>
      <w:lang w:eastAsia="nl-NL"/>
    </w:rPr>
  </w:style>
  <w:style w:type="paragraph" w:customStyle="1" w:styleId="TabelkopjeCEDelft">
    <w:name w:val="Tabelkopje CE Delft"/>
    <w:basedOn w:val="Normalny"/>
    <w:next w:val="TabeltekstCEDelft"/>
    <w:uiPriority w:val="4"/>
    <w:pPr>
      <w:spacing w:after="0" w:afterAutospacing="0" w:line="240" w:lineRule="atLeast"/>
      <w:jc w:val="left"/>
    </w:pPr>
    <w:rPr>
      <w:rFonts w:ascii="Calibri" w:hAnsi="Calibri" w:cs="Maiandra GD"/>
      <w:b/>
      <w:color w:val="000000" w:themeColor="text1"/>
      <w:sz w:val="16"/>
      <w:szCs w:val="18"/>
      <w:lang w:eastAsia="nl-NL"/>
    </w:rPr>
  </w:style>
  <w:style w:type="table" w:customStyle="1" w:styleId="TabelstijlCEDelft">
    <w:name w:val="Tabelstijl CE Delft"/>
    <w:basedOn w:val="Standardowy"/>
    <w:uiPriority w:val="99"/>
    <w:pPr>
      <w:spacing w:line="240" w:lineRule="atLeast"/>
    </w:pPr>
    <w:rPr>
      <w:sz w:val="20"/>
      <w:szCs w:val="20"/>
      <w:lang w:eastAsia="nl-NL"/>
    </w:rPr>
    <w:tblPr>
      <w:tblStyleRowBandSize w:val="1"/>
      <w:tblBorders>
        <w:top w:val="single" w:sz="4" w:space="0" w:color="009EE0"/>
        <w:left w:val="single" w:sz="4" w:space="0" w:color="009EE0"/>
        <w:bottom w:val="single" w:sz="4" w:space="0" w:color="009EE0"/>
        <w:right w:val="single" w:sz="4" w:space="0" w:color="009EE0"/>
        <w:insideH w:val="single" w:sz="4" w:space="0" w:color="009EE0"/>
        <w:insideV w:val="single" w:sz="4" w:space="0" w:color="009EE0"/>
      </w:tblBorders>
      <w:tblCellMar>
        <w:left w:w="85" w:type="dxa"/>
        <w:right w:w="85" w:type="dxa"/>
      </w:tblCellMar>
    </w:tblPr>
    <w:tblStylePr w:type="firstRow">
      <w:tblPr/>
      <w:tcPr>
        <w:shd w:val="clear" w:color="auto" w:fill="B9E4FF"/>
      </w:tcPr>
    </w:tblStylePr>
    <w:tblStylePr w:type="band2Horz">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single" w:sz="4" w:space="0" w:color="4F81BD" w:themeColor="accent1"/>
          <w:tl2br w:val="nil"/>
          <w:tr2bl w:val="nil"/>
        </w:tcBorders>
        <w:shd w:val="clear" w:color="auto" w:fill="E1F4FF"/>
      </w:tcPr>
    </w:tblStylePr>
  </w:style>
  <w:style w:type="character" w:customStyle="1" w:styleId="TekstprzypisudolnegoZnak">
    <w:name w:val="Tekst przypisu dolnego Znak"/>
    <w:aliases w:val="-E Fußnotentext Znak,Fußnotentext Ursprung Znak,-E Fußnotentext1 Znak,-E Fußnotentext2 Znak,-E Fußnotentext3 Znak,Schriftart: 9 pt Znak,Schriftart: 10 pt Znak,Schriftart: 8 pt Znak,WB-Fußnotentext Znak,fn Znak,Footnotes Znak"/>
    <w:basedOn w:val="Domylnaczcionkaakapitu"/>
    <w:link w:val="Tekstprzypisudolnego"/>
    <w:uiPriority w:val="99"/>
    <w:rPr>
      <w:sz w:val="20"/>
      <w:szCs w:val="20"/>
    </w:rPr>
  </w:style>
  <w:style w:type="table" w:styleId="Tabela-Siatka">
    <w:name w:val="Table Grid"/>
    <w:basedOn w:val="Standardowy"/>
    <w:uiPriority w:val="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ny"/>
    <w:pPr>
      <w:spacing w:after="0" w:afterAutospacing="0" w:line="276" w:lineRule="auto"/>
      <w:ind w:left="5103"/>
      <w:jc w:val="left"/>
    </w:pPr>
    <w:rPr>
      <w:rFonts w:eastAsiaTheme="minorHAnsi"/>
      <w:sz w:val="28"/>
      <w:szCs w:val="22"/>
      <w:lang w:eastAsia="en-US"/>
    </w:rPr>
  </w:style>
  <w:style w:type="paragraph" w:customStyle="1" w:styleId="DateMarking">
    <w:name w:val="DateMarking"/>
    <w:basedOn w:val="Normalny"/>
    <w:pPr>
      <w:spacing w:after="0" w:afterAutospacing="0" w:line="276" w:lineRule="auto"/>
      <w:ind w:left="5103"/>
      <w:jc w:val="left"/>
    </w:pPr>
    <w:rPr>
      <w:rFonts w:eastAsiaTheme="minorHAnsi"/>
      <w:i/>
      <w:sz w:val="28"/>
      <w:szCs w:val="22"/>
      <w:lang w:eastAsia="en-US"/>
    </w:rPr>
  </w:style>
  <w:style w:type="paragraph" w:customStyle="1" w:styleId="ReleasableTo">
    <w:name w:val="ReleasableTo"/>
    <w:basedOn w:val="Normalny"/>
    <w:pPr>
      <w:spacing w:after="0" w:afterAutospacing="0" w:line="276" w:lineRule="auto"/>
      <w:ind w:left="5103"/>
      <w:jc w:val="left"/>
    </w:pPr>
    <w:rPr>
      <w:rFonts w:eastAsiaTheme="minorHAnsi"/>
      <w:i/>
      <w:sz w:val="28"/>
      <w:szCs w:val="22"/>
      <w:lang w:eastAsia="en-US"/>
    </w:rPr>
  </w:style>
  <w:style w:type="paragraph" w:customStyle="1" w:styleId="HeaderSensitivityRight">
    <w:name w:val="Header Sensitivity Right"/>
    <w:basedOn w:val="Normalny"/>
    <w:pPr>
      <w:spacing w:after="120" w:afterAutospacing="0"/>
      <w:jc w:val="right"/>
    </w:pPr>
    <w:rPr>
      <w:sz w:val="28"/>
    </w:rPr>
  </w:style>
  <w:style w:type="character" w:customStyle="1" w:styleId="normaltextrun">
    <w:name w:val="normaltextrun"/>
    <w:basedOn w:val="Domylnaczcionkaakapitu"/>
  </w:style>
  <w:style w:type="character" w:customStyle="1" w:styleId="eop">
    <w:name w:val="eop"/>
    <w:basedOn w:val="Domylnaczcionkaakapitu"/>
  </w:style>
  <w:style w:type="table" w:styleId="Jasnecieniowanieakcent1">
    <w:name w:val="Light Shading Accent 1"/>
    <w:basedOn w:val="Standardowy"/>
    <w:uiPriority w:val="60"/>
    <w:rPr>
      <w:rFonts w:ascii="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JRCTabletitle">
    <w:name w:val="JRC_Table_title"/>
    <w:basedOn w:val="Normalny"/>
    <w:autoRedefine/>
    <w:qFormat/>
    <w:pPr>
      <w:keepNext/>
      <w:spacing w:before="240" w:after="120" w:afterAutospacing="0"/>
      <w:jc w:val="left"/>
    </w:pPr>
    <w:rPr>
      <w:rFonts w:eastAsia="Calibri"/>
      <w:b/>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52567">
      <w:bodyDiv w:val="1"/>
      <w:marLeft w:val="0"/>
      <w:marRight w:val="0"/>
      <w:marTop w:val="0"/>
      <w:marBottom w:val="0"/>
      <w:divBdr>
        <w:top w:val="none" w:sz="0" w:space="0" w:color="auto"/>
        <w:left w:val="none" w:sz="0" w:space="0" w:color="auto"/>
        <w:bottom w:val="none" w:sz="0" w:space="0" w:color="auto"/>
        <w:right w:val="none" w:sz="0" w:space="0" w:color="auto"/>
      </w:divBdr>
    </w:div>
    <w:div w:id="561448124">
      <w:bodyDiv w:val="1"/>
      <w:marLeft w:val="0"/>
      <w:marRight w:val="0"/>
      <w:marTop w:val="0"/>
      <w:marBottom w:val="0"/>
      <w:divBdr>
        <w:top w:val="none" w:sz="0" w:space="0" w:color="auto"/>
        <w:left w:val="none" w:sz="0" w:space="0" w:color="auto"/>
        <w:bottom w:val="none" w:sz="0" w:space="0" w:color="auto"/>
        <w:right w:val="none" w:sz="0" w:space="0" w:color="auto"/>
      </w:divBdr>
    </w:div>
    <w:div w:id="568197603">
      <w:bodyDiv w:val="1"/>
      <w:marLeft w:val="0"/>
      <w:marRight w:val="0"/>
      <w:marTop w:val="0"/>
      <w:marBottom w:val="0"/>
      <w:divBdr>
        <w:top w:val="none" w:sz="0" w:space="0" w:color="auto"/>
        <w:left w:val="none" w:sz="0" w:space="0" w:color="auto"/>
        <w:bottom w:val="none" w:sz="0" w:space="0" w:color="auto"/>
        <w:right w:val="none" w:sz="0" w:space="0" w:color="auto"/>
      </w:divBdr>
    </w:div>
    <w:div w:id="619803375">
      <w:bodyDiv w:val="1"/>
      <w:marLeft w:val="0"/>
      <w:marRight w:val="0"/>
      <w:marTop w:val="0"/>
      <w:marBottom w:val="0"/>
      <w:divBdr>
        <w:top w:val="none" w:sz="0" w:space="0" w:color="auto"/>
        <w:left w:val="none" w:sz="0" w:space="0" w:color="auto"/>
        <w:bottom w:val="none" w:sz="0" w:space="0" w:color="auto"/>
        <w:right w:val="none" w:sz="0" w:space="0" w:color="auto"/>
      </w:divBdr>
    </w:div>
    <w:div w:id="807479252">
      <w:bodyDiv w:val="1"/>
      <w:marLeft w:val="0"/>
      <w:marRight w:val="0"/>
      <w:marTop w:val="0"/>
      <w:marBottom w:val="0"/>
      <w:divBdr>
        <w:top w:val="none" w:sz="0" w:space="0" w:color="auto"/>
        <w:left w:val="none" w:sz="0" w:space="0" w:color="auto"/>
        <w:bottom w:val="none" w:sz="0" w:space="0" w:color="auto"/>
        <w:right w:val="none" w:sz="0" w:space="0" w:color="auto"/>
      </w:divBdr>
    </w:div>
    <w:div w:id="847527617">
      <w:bodyDiv w:val="1"/>
      <w:marLeft w:val="0"/>
      <w:marRight w:val="0"/>
      <w:marTop w:val="0"/>
      <w:marBottom w:val="0"/>
      <w:divBdr>
        <w:top w:val="none" w:sz="0" w:space="0" w:color="auto"/>
        <w:left w:val="none" w:sz="0" w:space="0" w:color="auto"/>
        <w:bottom w:val="none" w:sz="0" w:space="0" w:color="auto"/>
        <w:right w:val="none" w:sz="0" w:space="0" w:color="auto"/>
      </w:divBdr>
    </w:div>
    <w:div w:id="1283682203">
      <w:bodyDiv w:val="1"/>
      <w:marLeft w:val="0"/>
      <w:marRight w:val="0"/>
      <w:marTop w:val="0"/>
      <w:marBottom w:val="0"/>
      <w:divBdr>
        <w:top w:val="none" w:sz="0" w:space="0" w:color="auto"/>
        <w:left w:val="none" w:sz="0" w:space="0" w:color="auto"/>
        <w:bottom w:val="none" w:sz="0" w:space="0" w:color="auto"/>
        <w:right w:val="none" w:sz="0" w:space="0" w:color="auto"/>
      </w:divBdr>
    </w:div>
    <w:div w:id="1662545027">
      <w:bodyDiv w:val="1"/>
      <w:marLeft w:val="0"/>
      <w:marRight w:val="0"/>
      <w:marTop w:val="0"/>
      <w:marBottom w:val="0"/>
      <w:divBdr>
        <w:top w:val="none" w:sz="0" w:space="0" w:color="auto"/>
        <w:left w:val="none" w:sz="0" w:space="0" w:color="auto"/>
        <w:bottom w:val="none" w:sz="0" w:space="0" w:color="auto"/>
        <w:right w:val="none" w:sz="0" w:space="0" w:color="auto"/>
      </w:divBdr>
    </w:div>
    <w:div w:id="1961765847">
      <w:bodyDiv w:val="1"/>
      <w:marLeft w:val="0"/>
      <w:marRight w:val="0"/>
      <w:marTop w:val="0"/>
      <w:marBottom w:val="0"/>
      <w:divBdr>
        <w:top w:val="none" w:sz="0" w:space="0" w:color="auto"/>
        <w:left w:val="none" w:sz="0" w:space="0" w:color="auto"/>
        <w:bottom w:val="none" w:sz="0" w:space="0" w:color="auto"/>
        <w:right w:val="none" w:sz="0" w:space="0" w:color="auto"/>
      </w:divBdr>
    </w:div>
    <w:div w:id="208853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hyperlink" Target="https://ec.europa.eu/energy/topics/energy-efficiency/energy-performance-of-buildings/nearly-zero-energy-buildings_en"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e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7.emf"/><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emf"/><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emf"/><Relationship Id="rId27" Type="http://schemas.openxmlformats.org/officeDocument/2006/relationships/header" Target="header4.xml"/><Relationship Id="rId30" Type="http://schemas.openxmlformats.org/officeDocument/2006/relationships/footer" Target="footer5.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eurocontrol.int/covid19" TargetMode="External"/><Relationship Id="rId3" Type="http://schemas.openxmlformats.org/officeDocument/2006/relationships/hyperlink" Target="https://ec.europa.eu/energy/sites/ener/files/quarterly_report_on_european_gas_markets_q1_2020.pdf" TargetMode="External"/><Relationship Id="rId7" Type="http://schemas.openxmlformats.org/officeDocument/2006/relationships/hyperlink" Target="https://www.itf-oecd.org/sites/default/files/global-freight-covid-19.pdf" TargetMode="External"/><Relationship Id="rId2" Type="http://schemas.openxmlformats.org/officeDocument/2006/relationships/hyperlink" Target="https://ec.europa.eu/clima/sites/clima/files/eu-climate-action/docs/com_2030_ctp_en.pdf" TargetMode="External"/><Relationship Id="rId1" Type="http://schemas.openxmlformats.org/officeDocument/2006/relationships/hyperlink" Target="https://eur-lex.europa.eu/legal-content/PL/TXT/?qid=1600328628076&amp;uri=COM:2020:564:FIN" TargetMode="External"/><Relationship Id="rId6" Type="http://schemas.openxmlformats.org/officeDocument/2006/relationships/hyperlink" Target="https://www.iea.org/reports/global-energy-review-2020/oil" TargetMode="External"/><Relationship Id="rId5" Type="http://schemas.openxmlformats.org/officeDocument/2006/relationships/hyperlink" Target="https://ec.europa.eu/eurostat/en/web/products-eurostat-news/-/DDN-20200907-1?inheritRedirect=true&amp;redirect=/eurostat/en/news/whats-new" TargetMode="External"/><Relationship Id="rId4" Type="http://schemas.openxmlformats.org/officeDocument/2006/relationships/hyperlink" Target="https://ec.europa.eu/energy/sites/ener/files/qr_electricity_q1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DocumentLanguage xmlns="a818c08c-2776-4de8-95fb-741f3c7163b7">EN</EC_Collab_DocumentLanguage>
    <EC_Collab_Status xmlns="a818c08c-2776-4de8-95fb-741f3c7163b7">Not Started</EC_Collab_Status>
    <EC_Collab_Reference xmlns="a818c08c-2776-4de8-95fb-741f3c7163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BD86F137312EFD40B8C5008602F4782D" ma:contentTypeVersion="3" ma:contentTypeDescription="Create a new document in this library." ma:contentTypeScope="" ma:versionID="8ab949d4a2d2949cd9f6ba3589c5d917">
  <xsd:schema xmlns:xsd="http://www.w3.org/2001/XMLSchema" xmlns:xs="http://www.w3.org/2001/XMLSchema" xmlns:p="http://schemas.microsoft.com/office/2006/metadata/properties" xmlns:ns3="a818c08c-2776-4de8-95fb-741f3c7163b7" targetNamespace="http://schemas.microsoft.com/office/2006/metadata/properties" ma:root="true" ma:fieldsID="68cde0466eca5b4a009820bb9c36e4be" ns3:_="">
    <xsd:import namespace="a818c08c-2776-4de8-95fb-741f3c7163b7"/>
    <xsd:element name="properties">
      <xsd:complexType>
        <xsd:sequence>
          <xsd:element name="documentManagement">
            <xsd:complexType>
              <xsd:all>
                <xsd:element ref="ns3:EC_Collab_Reference"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8c08c-2776-4de8-95fb-741f3c7163b7"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64CF691-9082-4739-A8A9-5FEDBACE0777}">
  <ds:schemaRefs>
    <ds:schemaRef ds:uri="a818c08c-2776-4de8-95fb-741f3c7163b7"/>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06C7BF2-D15C-4D66-A1D2-CD80F3E0C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8c08c-2776-4de8-95fb-741f3c716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0022C6-40AD-410B-B487-E0252B7CDEEA}">
  <ds:schemaRefs>
    <ds:schemaRef ds:uri="http://schemas.microsoft.com/sharepoint/v3/contenttype/forms"/>
  </ds:schemaRefs>
</ds:datastoreItem>
</file>

<file path=customXml/itemProps4.xml><?xml version="1.0" encoding="utf-8"?>
<ds:datastoreItem xmlns:ds="http://schemas.openxmlformats.org/officeDocument/2006/customXml" ds:itemID="{2228B3C9-911B-452C-925A-BCD57E685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5462</Words>
  <Characters>32774</Characters>
  <Application>Microsoft Office Word</Application>
  <DocSecurity>4</DocSecurity>
  <Lines>273</Lines>
  <Paragraphs>76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Górnicz Ewa</dc:creator>
  <cp:keywords/>
  <dc:description/>
  <cp:lastModifiedBy>Górnicz Ewa</cp:lastModifiedBy>
  <cp:revision>2</cp:revision>
  <dcterms:created xsi:type="dcterms:W3CDTF">2020-11-06T14:15:00Z</dcterms:created>
  <dcterms:modified xsi:type="dcterms:W3CDTF">2020-11-06T14:15:00Z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Part">
    <vt:lpwstr>1</vt:lpwstr>
  </property>
  <property fmtid="{D5CDD505-2E9C-101B-9397-08002B2CF9AE}" pid="4" name="Total parts">
    <vt:lpwstr>1</vt:lpwstr>
  </property>
  <property fmtid="{D5CDD505-2E9C-101B-9397-08002B2CF9AE}" pid="5" name="DocStatus">
    <vt:lpwstr>Green</vt:lpwstr>
  </property>
  <property fmtid="{D5CDD505-2E9C-101B-9397-08002B2CF9AE}" pid="6" name="Created using">
    <vt:lpwstr>LW 6.0.1, Build 20180503</vt:lpwstr>
  </property>
  <property fmtid="{D5CDD505-2E9C-101B-9397-08002B2CF9AE}" pid="7" name="Last edited using">
    <vt:lpwstr>LW 7.0.1, Build 20190916</vt:lpwstr>
  </property>
  <property fmtid="{D5CDD505-2E9C-101B-9397-08002B2CF9AE}" pid="8" name="CPTemplateID">
    <vt:lpwstr>CP-006</vt:lpwstr>
  </property>
  <property fmtid="{D5CDD505-2E9C-101B-9397-08002B2CF9AE}" pid="9" name="_LW_INVALIDATED__LW_INVALIDATED__LW_INVALIDATED__LW_INVALIDATED__LW_INVALIDATED__LW_INVALIDATED__LW_INVALIDATED__LW_INVALIDATED__LW_INVALIDATED__LW_INVALIDATED__LW_INVALIDATED__LW_INVALIDATED_ContentTypeId">
    <vt:lpwstr>0x010100258AA79CEB83498886A3A0868112325000BD86F137312EFD40B8C5008602F4782D</vt:lpwstr>
  </property>
</Properties>
</file>