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6"/>
        <w:gridCol w:w="424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422"/>
        <w:gridCol w:w="231"/>
        <w:gridCol w:w="222"/>
        <w:gridCol w:w="570"/>
        <w:gridCol w:w="146"/>
        <w:gridCol w:w="424"/>
        <w:gridCol w:w="108"/>
        <w:gridCol w:w="405"/>
        <w:gridCol w:w="56"/>
        <w:gridCol w:w="261"/>
        <w:gridCol w:w="309"/>
        <w:gridCol w:w="312"/>
        <w:gridCol w:w="258"/>
        <w:gridCol w:w="570"/>
        <w:gridCol w:w="110"/>
        <w:gridCol w:w="1426"/>
        <w:gridCol w:w="10"/>
      </w:tblGrid>
      <w:tr w:rsidR="002B61F0" w:rsidRPr="008B4FE6" w14:paraId="75E4ECBE" w14:textId="77777777" w:rsidTr="006167FB">
        <w:trPr>
          <w:gridAfter w:val="1"/>
          <w:wAfter w:w="10" w:type="dxa"/>
          <w:trHeight w:val="1611"/>
        </w:trPr>
        <w:tc>
          <w:tcPr>
            <w:tcW w:w="5529" w:type="dxa"/>
            <w:gridSpan w:val="13"/>
          </w:tcPr>
          <w:p w14:paraId="4F205CB0" w14:textId="77777777" w:rsidR="002B61F0" w:rsidRPr="000F4E2E" w:rsidRDefault="002B61F0" w:rsidP="000F4E2E">
            <w:pPr>
              <w:pStyle w:val="Nagwe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t1"/>
            <w:bookmarkStart w:id="1" w:name="_GoBack"/>
            <w:bookmarkEnd w:id="1"/>
            <w:r w:rsidRPr="000F4E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Nazwa projektu:</w:t>
            </w:r>
          </w:p>
          <w:p w14:paraId="2790B883" w14:textId="2748BAE2" w:rsidR="002B61F0" w:rsidRPr="000F4E2E" w:rsidRDefault="002B61F0" w:rsidP="000F4E2E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Projekt rozporządzenia Ministra </w:t>
            </w:r>
            <w:r w:rsidR="003755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Rozwoju, Pracy i</w:t>
            </w:r>
            <w:r w:rsidR="00071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3755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Technologii </w:t>
            </w:r>
            <w:r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zmieniającego rozporządzenie w sprawie najwyższych dopuszczalnych stężeń i natężeń czynników szkodliwych</w:t>
            </w:r>
            <w:r w:rsidR="00071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dla zdrowia w środowisku pracy</w:t>
            </w:r>
          </w:p>
          <w:p w14:paraId="760334A1" w14:textId="77777777" w:rsidR="002B61F0" w:rsidRPr="000F4E2E" w:rsidRDefault="002B61F0" w:rsidP="000F4E2E">
            <w:pPr>
              <w:pStyle w:val="Nagwe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4E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Ministerstwo wiodące i ministerstwa współpracujące:</w:t>
            </w:r>
          </w:p>
          <w:bookmarkEnd w:id="0"/>
          <w:p w14:paraId="740709C8" w14:textId="2FE9E546" w:rsidR="002B61F0" w:rsidRPr="000F4E2E" w:rsidRDefault="00071FF1" w:rsidP="000F4E2E">
            <w:pPr>
              <w:pStyle w:val="Nagwek2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Ministerstwo</w:t>
            </w:r>
            <w:r w:rsidR="003755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Rozwoju, Pracy i Technologii</w:t>
            </w:r>
            <w:r w:rsidR="002B61F0"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4D0F4341" w14:textId="77777777" w:rsidR="002B61F0" w:rsidRPr="005F4C2F" w:rsidRDefault="002B61F0" w:rsidP="00A90F3C">
            <w:pPr>
              <w:pStyle w:val="Nagwek2"/>
              <w:numPr>
                <w:ilvl w:val="0"/>
                <w:numId w:val="3"/>
              </w:numPr>
              <w:ind w:left="4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4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Ministerstwo Zdrowia (w porozumieniu).</w:t>
            </w:r>
          </w:p>
          <w:p w14:paraId="5D93E95B" w14:textId="77777777" w:rsidR="002B61F0" w:rsidRPr="000F4E2E" w:rsidRDefault="002B61F0" w:rsidP="000F4E2E">
            <w:pPr>
              <w:pStyle w:val="Nagwe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4E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Osoba odpowiedzialna za projekt w randze Ministra, Sekretarza Stanu lub Podsekretarza Stanu: </w:t>
            </w:r>
          </w:p>
          <w:p w14:paraId="0E6C329C" w14:textId="77777777" w:rsidR="002B61F0" w:rsidRPr="000F4E2E" w:rsidRDefault="009A05CC" w:rsidP="000F4E2E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</w:t>
            </w:r>
            <w:r w:rsidR="003755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 </w:t>
            </w:r>
            <w:r w:rsidR="00750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Iwona</w:t>
            </w:r>
            <w:r w:rsidR="003755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Michałek</w:t>
            </w:r>
            <w:r w:rsidR="00750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16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2B61F0"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Sekretarz Stanu  </w:t>
            </w:r>
          </w:p>
          <w:p w14:paraId="67DE4962" w14:textId="77777777" w:rsidR="002B61F0" w:rsidRDefault="002B61F0" w:rsidP="000F4E2E">
            <w:pPr>
              <w:pStyle w:val="Nagwe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4E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Kontakt do opiekuna merytorycznego projektu:</w:t>
            </w:r>
          </w:p>
          <w:p w14:paraId="55B23614" w14:textId="77777777" w:rsidR="006167FB" w:rsidRDefault="009A05CC" w:rsidP="000F4E2E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Pani </w:t>
            </w:r>
            <w:r w:rsidR="002B61F0"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Ewa Dębczyńska, Główny specjalista </w:t>
            </w:r>
          </w:p>
          <w:p w14:paraId="30D1724F" w14:textId="5D6D580B" w:rsidR="002B61F0" w:rsidRDefault="002B61F0" w:rsidP="000F4E2E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Departame</w:t>
            </w:r>
            <w:r w:rsidR="006167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nt</w:t>
            </w:r>
            <w:r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Prawa Pracy</w:t>
            </w:r>
            <w:r w:rsidR="004C2F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nr telefonu (0-22) 661-17-49</w:t>
            </w:r>
          </w:p>
          <w:p w14:paraId="46D7901D" w14:textId="30CE720A" w:rsidR="00BD7615" w:rsidRPr="000F6F58" w:rsidRDefault="00CF7704" w:rsidP="000F6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BD7615" w:rsidRPr="000F6F58">
              <w:rPr>
                <w:rFonts w:ascii="Times New Roman" w:hAnsi="Times New Roman"/>
              </w:rPr>
              <w:t>ewa.debczynska@mrpips.gov.pl</w:t>
            </w:r>
          </w:p>
          <w:p w14:paraId="6E1B20C1" w14:textId="77777777" w:rsidR="00BF13C6" w:rsidRDefault="00BF13C6" w:rsidP="00BF13C6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Pani Natalia Cymerman</w:t>
            </w:r>
            <w:r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Naczelnik</w:t>
            </w:r>
            <w:r w:rsidRPr="000F4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wydziału</w:t>
            </w:r>
          </w:p>
          <w:p w14:paraId="78D4B7FA" w14:textId="6B0103A2" w:rsidR="00BF13C6" w:rsidRDefault="00BF13C6" w:rsidP="00BF13C6">
            <w:pPr>
              <w:rPr>
                <w:rFonts w:ascii="Times New Roman" w:hAnsi="Times New Roman"/>
              </w:rPr>
            </w:pPr>
            <w:r w:rsidRPr="000F4E2E">
              <w:rPr>
                <w:rFonts w:ascii="Times New Roman" w:hAnsi="Times New Roman"/>
              </w:rPr>
              <w:t>Departame</w:t>
            </w:r>
            <w:r>
              <w:rPr>
                <w:rFonts w:ascii="Times New Roman" w:hAnsi="Times New Roman"/>
              </w:rPr>
              <w:t>nt</w:t>
            </w:r>
            <w:r w:rsidRPr="000F4E2E">
              <w:rPr>
                <w:rFonts w:ascii="Times New Roman" w:hAnsi="Times New Roman"/>
              </w:rPr>
              <w:t xml:space="preserve"> Prawa Pracy</w:t>
            </w:r>
            <w:r>
              <w:rPr>
                <w:rFonts w:ascii="Times New Roman" w:hAnsi="Times New Roman"/>
              </w:rPr>
              <w:t>, nr telefonu (0-22) 661-17-15</w:t>
            </w:r>
          </w:p>
          <w:p w14:paraId="20F53F30" w14:textId="31595D33" w:rsidR="00BD7615" w:rsidRDefault="00CF7704" w:rsidP="00BF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BD7615">
              <w:rPr>
                <w:rFonts w:ascii="Times New Roman" w:hAnsi="Times New Roman"/>
              </w:rPr>
              <w:t>natalia.cymerman@mrpips.gov.pl</w:t>
            </w:r>
          </w:p>
          <w:p w14:paraId="21C48713" w14:textId="3651BD37" w:rsidR="00BD7615" w:rsidRPr="00BF13C6" w:rsidRDefault="00BD7615" w:rsidP="00BF13C6"/>
        </w:tc>
        <w:tc>
          <w:tcPr>
            <w:tcW w:w="5408" w:type="dxa"/>
            <w:gridSpan w:val="15"/>
            <w:shd w:val="clear" w:color="auto" w:fill="FFFFFF"/>
          </w:tcPr>
          <w:p w14:paraId="0B7E9A3B" w14:textId="77777777" w:rsidR="002B61F0" w:rsidRPr="000F4E2E" w:rsidRDefault="002B61F0" w:rsidP="00490CCE">
            <w:pPr>
              <w:spacing w:line="240" w:lineRule="auto"/>
              <w:rPr>
                <w:rStyle w:val="Uwydatnienie"/>
                <w:rFonts w:ascii="Times New Roman" w:hAnsi="Times New Roman"/>
                <w:b/>
                <w:i w:val="0"/>
              </w:rPr>
            </w:pPr>
            <w:r w:rsidRPr="000F4E2E">
              <w:rPr>
                <w:rStyle w:val="Uwydatnienie"/>
                <w:rFonts w:ascii="Times New Roman" w:hAnsi="Times New Roman"/>
                <w:b/>
                <w:i w:val="0"/>
              </w:rPr>
              <w:t>Data sporządzenia:</w:t>
            </w:r>
          </w:p>
          <w:p w14:paraId="12EF7100" w14:textId="5ACB990C" w:rsidR="002B61F0" w:rsidRPr="000F4E2E" w:rsidRDefault="00CF7704" w:rsidP="00490CCE">
            <w:pPr>
              <w:spacing w:line="240" w:lineRule="auto"/>
              <w:rPr>
                <w:rStyle w:val="Uwydatnienie"/>
                <w:rFonts w:ascii="Times New Roman" w:hAnsi="Times New Roman"/>
                <w:i w:val="0"/>
              </w:rPr>
            </w:pPr>
            <w:r>
              <w:rPr>
                <w:rStyle w:val="Uwydatnienie"/>
                <w:rFonts w:ascii="Times New Roman" w:hAnsi="Times New Roman"/>
                <w:i w:val="0"/>
              </w:rPr>
              <w:t>1</w:t>
            </w:r>
            <w:r w:rsidR="00964EBA">
              <w:rPr>
                <w:rStyle w:val="Uwydatnienie"/>
                <w:rFonts w:ascii="Times New Roman" w:hAnsi="Times New Roman"/>
                <w:i w:val="0"/>
              </w:rPr>
              <w:t>7</w:t>
            </w:r>
            <w:r w:rsidR="00BD7615">
              <w:rPr>
                <w:rStyle w:val="Uwydatnienie"/>
                <w:rFonts w:ascii="Times New Roman" w:hAnsi="Times New Roman"/>
                <w:i w:val="0"/>
              </w:rPr>
              <w:t xml:space="preserve"> listopada</w:t>
            </w:r>
            <w:r w:rsidR="003755F8">
              <w:rPr>
                <w:rStyle w:val="Uwydatnienie"/>
                <w:rFonts w:ascii="Times New Roman" w:hAnsi="Times New Roman"/>
                <w:i w:val="0"/>
              </w:rPr>
              <w:t xml:space="preserve"> </w:t>
            </w:r>
            <w:r w:rsidR="002B61F0" w:rsidRPr="000F4E2E">
              <w:rPr>
                <w:rStyle w:val="Uwydatnienie"/>
                <w:rFonts w:ascii="Times New Roman" w:hAnsi="Times New Roman"/>
                <w:i w:val="0"/>
              </w:rPr>
              <w:t>20</w:t>
            </w:r>
            <w:r w:rsidR="00AE528B">
              <w:rPr>
                <w:rStyle w:val="Uwydatnienie"/>
                <w:rFonts w:ascii="Times New Roman" w:hAnsi="Times New Roman"/>
                <w:i w:val="0"/>
              </w:rPr>
              <w:t xml:space="preserve">20 </w:t>
            </w:r>
            <w:r w:rsidR="002B61F0" w:rsidRPr="000F4E2E">
              <w:rPr>
                <w:rStyle w:val="Uwydatnienie"/>
                <w:rFonts w:ascii="Times New Roman" w:hAnsi="Times New Roman"/>
                <w:i w:val="0"/>
              </w:rPr>
              <w:t>r.</w:t>
            </w:r>
          </w:p>
          <w:p w14:paraId="06CEBCE2" w14:textId="77777777" w:rsidR="002B61F0" w:rsidRPr="000F4E2E" w:rsidRDefault="002B61F0" w:rsidP="00490CCE">
            <w:pPr>
              <w:spacing w:line="240" w:lineRule="auto"/>
              <w:rPr>
                <w:rStyle w:val="Uwydatnienie"/>
                <w:rFonts w:ascii="Times New Roman" w:hAnsi="Times New Roman"/>
                <w:i w:val="0"/>
              </w:rPr>
            </w:pPr>
          </w:p>
          <w:p w14:paraId="4430E033" w14:textId="77777777" w:rsidR="002B61F0" w:rsidRPr="000F4E2E" w:rsidRDefault="002B61F0" w:rsidP="00490CCE">
            <w:pPr>
              <w:spacing w:line="240" w:lineRule="auto"/>
              <w:rPr>
                <w:rStyle w:val="Uwydatnienie"/>
                <w:rFonts w:ascii="Times New Roman" w:hAnsi="Times New Roman"/>
                <w:b/>
                <w:i w:val="0"/>
              </w:rPr>
            </w:pPr>
            <w:r w:rsidRPr="000F4E2E">
              <w:rPr>
                <w:rStyle w:val="Uwydatnienie"/>
                <w:rFonts w:ascii="Times New Roman" w:hAnsi="Times New Roman"/>
                <w:b/>
                <w:i w:val="0"/>
              </w:rPr>
              <w:t xml:space="preserve">Źródło: </w:t>
            </w:r>
            <w:bookmarkStart w:id="2" w:name="Lista1"/>
          </w:p>
          <w:p w14:paraId="2215E3EA" w14:textId="77777777" w:rsidR="002B61F0" w:rsidRPr="000F4E2E" w:rsidRDefault="002B61F0" w:rsidP="002B61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78"/>
              <w:jc w:val="both"/>
              <w:rPr>
                <w:rStyle w:val="Uwydatnienie"/>
                <w:rFonts w:ascii="Times New Roman" w:hAnsi="Times New Roman"/>
                <w:i w:val="0"/>
              </w:rPr>
            </w:pPr>
            <w:r w:rsidRPr="000F4E2E">
              <w:rPr>
                <w:rStyle w:val="Uwydatnienie"/>
                <w:rFonts w:ascii="Times New Roman" w:hAnsi="Times New Roman"/>
                <w:i w:val="0"/>
              </w:rPr>
              <w:t>dyrektywa Parlamentu Europejskiego i Rady (UE) 2019/130 z dnia 16 stycznia 2019 r. zmieniając</w:t>
            </w:r>
            <w:r w:rsidR="000F4E2E" w:rsidRPr="000F4E2E">
              <w:rPr>
                <w:rStyle w:val="Uwydatnienie"/>
                <w:rFonts w:ascii="Times New Roman" w:hAnsi="Times New Roman"/>
                <w:i w:val="0"/>
              </w:rPr>
              <w:t>a</w:t>
            </w:r>
            <w:r w:rsidRPr="000F4E2E">
              <w:rPr>
                <w:rStyle w:val="Uwydatnienie"/>
                <w:rFonts w:ascii="Times New Roman" w:hAnsi="Times New Roman"/>
                <w:i w:val="0"/>
              </w:rPr>
              <w:t xml:space="preserve"> dyrektywę 2004/37/WE w sprawie ochrony pracowników przed zagrożeniem dotyczącym narażenia na działanie czynników rakotwórczych lub mutagenów podczas pracy</w:t>
            </w:r>
            <w:r w:rsidR="000F4E2E" w:rsidRPr="000F4E2E">
              <w:rPr>
                <w:rStyle w:val="Uwydatnienie"/>
                <w:rFonts w:ascii="Times New Roman" w:hAnsi="Times New Roman"/>
                <w:i w:val="0"/>
              </w:rPr>
              <w:t>,</w:t>
            </w:r>
          </w:p>
          <w:p w14:paraId="3CD54440" w14:textId="77777777" w:rsidR="002B61F0" w:rsidRPr="000F4E2E" w:rsidRDefault="002B61F0" w:rsidP="000F4E2E">
            <w:pPr>
              <w:pStyle w:val="Akapitzlist"/>
              <w:numPr>
                <w:ilvl w:val="0"/>
                <w:numId w:val="2"/>
              </w:numPr>
              <w:spacing w:line="240" w:lineRule="auto"/>
              <w:ind w:left="378"/>
              <w:jc w:val="both"/>
              <w:rPr>
                <w:rStyle w:val="Uwydatnienie"/>
                <w:rFonts w:ascii="Times New Roman" w:hAnsi="Times New Roman"/>
                <w:i w:val="0"/>
              </w:rPr>
            </w:pPr>
            <w:r w:rsidRPr="000F4E2E">
              <w:rPr>
                <w:rStyle w:val="Uwydatnienie"/>
                <w:rFonts w:ascii="Times New Roman" w:hAnsi="Times New Roman"/>
                <w:i w:val="0"/>
              </w:rPr>
              <w:t>dyrektywa</w:t>
            </w:r>
            <w:r w:rsidR="00AE528B" w:rsidRPr="00AE528B">
              <w:rPr>
                <w:rStyle w:val="Uwydatnienie"/>
                <w:rFonts w:ascii="Times New Roman" w:hAnsi="Times New Roman"/>
                <w:i w:val="0"/>
              </w:rPr>
              <w:t xml:space="preserve"> Komisji (UE) 2019/1831 z dnia 24 października 2019 r. ustanawiająca piąty wykaz wskaźnikowych dopuszczalnych wartości narażenia zawodowego</w:t>
            </w:r>
            <w:r w:rsidR="00F6012C">
              <w:rPr>
                <w:rStyle w:val="Uwydatnienie"/>
                <w:rFonts w:ascii="Times New Roman" w:hAnsi="Times New Roman"/>
                <w:i w:val="0"/>
              </w:rPr>
              <w:t>,</w:t>
            </w:r>
          </w:p>
          <w:p w14:paraId="5CA82696" w14:textId="77777777" w:rsidR="002B61F0" w:rsidRPr="000F4E2E" w:rsidRDefault="002B61F0" w:rsidP="002B61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78"/>
              <w:jc w:val="both"/>
              <w:rPr>
                <w:rStyle w:val="Uwydatnienie"/>
                <w:rFonts w:ascii="Times New Roman" w:hAnsi="Times New Roman"/>
                <w:i w:val="0"/>
              </w:rPr>
            </w:pPr>
            <w:r w:rsidRPr="000F4E2E">
              <w:rPr>
                <w:rStyle w:val="Uwydatnienie"/>
                <w:rFonts w:ascii="Times New Roman" w:hAnsi="Times New Roman"/>
                <w:i w:val="0"/>
              </w:rPr>
              <w:t xml:space="preserve">art. 228 § 3 ustawy z dnia 26 czerwca 1974 r. </w:t>
            </w:r>
            <w:r w:rsidR="000F4E2E" w:rsidRPr="000F4E2E">
              <w:rPr>
                <w:rStyle w:val="Uwydatnienie"/>
                <w:rFonts w:ascii="Times New Roman" w:hAnsi="Times New Roman"/>
                <w:i w:val="0"/>
              </w:rPr>
              <w:t>–</w:t>
            </w:r>
            <w:r w:rsidR="000665F5">
              <w:rPr>
                <w:rStyle w:val="Uwydatnienie"/>
                <w:rFonts w:ascii="Times New Roman" w:hAnsi="Times New Roman"/>
                <w:i w:val="0"/>
              </w:rPr>
              <w:t xml:space="preserve"> Kodeks pracy (Dz. U. z 2020 r. poz. 1320</w:t>
            </w:r>
            <w:r w:rsidRPr="000F4E2E">
              <w:rPr>
                <w:rStyle w:val="Uwydatnienie"/>
                <w:rFonts w:ascii="Times New Roman" w:hAnsi="Times New Roman"/>
                <w:i w:val="0"/>
              </w:rPr>
              <w:t>)</w:t>
            </w:r>
            <w:r w:rsidR="000F4E2E">
              <w:rPr>
                <w:rStyle w:val="Uwydatnienie"/>
                <w:rFonts w:ascii="Times New Roman" w:hAnsi="Times New Roman"/>
                <w:i w:val="0"/>
              </w:rPr>
              <w:t>.</w:t>
            </w:r>
          </w:p>
          <w:bookmarkEnd w:id="2"/>
          <w:p w14:paraId="39DD3271" w14:textId="14F02FFA" w:rsidR="002B61F0" w:rsidRPr="008B4FE6" w:rsidRDefault="002B61F0" w:rsidP="00AE528B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F58">
              <w:rPr>
                <w:rStyle w:val="Uwydatnienie"/>
                <w:rFonts w:ascii="Times New Roman" w:hAnsi="Times New Roman"/>
                <w:b/>
                <w:i w:val="0"/>
              </w:rPr>
              <w:t>Nr w wykazie prac MRPi</w:t>
            </w:r>
            <w:r w:rsidR="003755F8" w:rsidRPr="000F6F58">
              <w:rPr>
                <w:rStyle w:val="Uwydatnienie"/>
                <w:rFonts w:ascii="Times New Roman" w:hAnsi="Times New Roman"/>
                <w:b/>
                <w:i w:val="0"/>
              </w:rPr>
              <w:t>T</w:t>
            </w:r>
            <w:r w:rsidRPr="000F6F58">
              <w:rPr>
                <w:rStyle w:val="Uwydatnienie"/>
                <w:rFonts w:ascii="Times New Roman" w:hAnsi="Times New Roman"/>
                <w:i w:val="0"/>
              </w:rPr>
              <w:t xml:space="preserve"> </w:t>
            </w:r>
            <w:r w:rsidR="000F4E2E">
              <w:rPr>
                <w:rStyle w:val="Uwydatnienie"/>
                <w:rFonts w:ascii="Times New Roman" w:hAnsi="Times New Roman"/>
                <w:i w:val="0"/>
              </w:rPr>
              <w:t>–</w:t>
            </w:r>
            <w:r w:rsidR="00AE528B">
              <w:rPr>
                <w:rStyle w:val="Uwydatnienie"/>
                <w:rFonts w:ascii="Times New Roman" w:hAnsi="Times New Roman"/>
                <w:b/>
                <w:i w:val="0"/>
                <w:highlight w:val="lightGray"/>
              </w:rPr>
              <w:t xml:space="preserve"> </w:t>
            </w:r>
            <w:r w:rsidR="00BD7615">
              <w:rPr>
                <w:rStyle w:val="Uwydatnienie"/>
                <w:rFonts w:ascii="Times New Roman" w:hAnsi="Times New Roman"/>
                <w:b/>
                <w:i w:val="0"/>
                <w:highlight w:val="lightGray"/>
              </w:rPr>
              <w:t>57</w:t>
            </w:r>
          </w:p>
        </w:tc>
      </w:tr>
      <w:tr w:rsidR="002B61F0" w:rsidRPr="0022687A" w14:paraId="4777AADB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A5B311A" w14:textId="77777777" w:rsidR="002B61F0" w:rsidRPr="00627221" w:rsidRDefault="002B61F0" w:rsidP="00490C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B61F0" w:rsidRPr="008B4FE6" w14:paraId="0CF35A96" w14:textId="77777777" w:rsidTr="00490CCE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4E2696D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B61F0" w:rsidRPr="008B4FE6" w14:paraId="7FCB38E8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6EE6D3C1" w14:textId="635F5A09" w:rsidR="000F4E2E" w:rsidRDefault="009A05CC" w:rsidP="00490C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Przyczyną zmiany</w:t>
            </w:r>
            <w:r w:rsidR="005F4C2F">
              <w:rPr>
                <w:rFonts w:ascii="Times New Roman" w:hAnsi="Times New Roman"/>
              </w:rPr>
              <w:t xml:space="preserve"> rozporządzenia </w:t>
            </w:r>
            <w:r w:rsidR="005F4C2F" w:rsidRPr="005F4C2F">
              <w:rPr>
                <w:rFonts w:ascii="Times New Roman" w:hAnsi="Times New Roman"/>
              </w:rPr>
              <w:t xml:space="preserve">Ministra Rodziny, Pracy i Polityki Społecznej w sprawie najwyższych dopuszczalnych stężeń i natężeń czynników szkodliwych dla zdrowia w środowisku pracy </w:t>
            </w:r>
            <w:r w:rsidR="005F4C2F">
              <w:rPr>
                <w:rFonts w:ascii="Times New Roman" w:hAnsi="Times New Roman"/>
              </w:rPr>
              <w:t xml:space="preserve">jest ustalenie </w:t>
            </w:r>
            <w:r w:rsidR="00D75508">
              <w:rPr>
                <w:rFonts w:ascii="Times New Roman" w:hAnsi="Times New Roman"/>
              </w:rPr>
              <w:t xml:space="preserve">nowych </w:t>
            </w:r>
            <w:r w:rsidR="005F4C2F">
              <w:rPr>
                <w:rFonts w:ascii="Times New Roman" w:hAnsi="Times New Roman"/>
              </w:rPr>
              <w:t xml:space="preserve">wartości normatywnych dla czynników szkodliwych (w tym rakotwórczych lub mutagennych) występujących w środowisku pracy w celu ochrony zdrowia pracowników. </w:t>
            </w:r>
            <w:r w:rsidR="00D75508">
              <w:rPr>
                <w:rFonts w:ascii="Times New Roman" w:hAnsi="Times New Roman"/>
              </w:rPr>
              <w:t>N</w:t>
            </w:r>
            <w:r w:rsidR="000F4E2E">
              <w:rPr>
                <w:rFonts w:ascii="Times New Roman" w:hAnsi="Times New Roman"/>
              </w:rPr>
              <w:t>owelizacj</w:t>
            </w:r>
            <w:r w:rsidR="00D75508">
              <w:rPr>
                <w:rFonts w:ascii="Times New Roman" w:hAnsi="Times New Roman"/>
              </w:rPr>
              <w:t>a</w:t>
            </w:r>
            <w:r w:rsidR="002B61F0">
              <w:rPr>
                <w:rFonts w:ascii="Times New Roman" w:hAnsi="Times New Roman"/>
              </w:rPr>
              <w:t xml:space="preserve"> </w:t>
            </w:r>
            <w:r w:rsidR="005F4C2F">
              <w:rPr>
                <w:rFonts w:ascii="Times New Roman" w:hAnsi="Times New Roman"/>
              </w:rPr>
              <w:t xml:space="preserve">tego </w:t>
            </w:r>
            <w:r w:rsidR="002B61F0">
              <w:rPr>
                <w:rFonts w:ascii="Times New Roman" w:hAnsi="Times New Roman"/>
              </w:rPr>
              <w:t>rozporządzenia</w:t>
            </w:r>
            <w:r w:rsidR="002B61F0" w:rsidRPr="008F1D6B">
              <w:rPr>
                <w:rFonts w:ascii="Times New Roman" w:hAnsi="Times New Roman"/>
              </w:rPr>
              <w:t xml:space="preserve"> wynika z konieczności wdrożenia do prawa</w:t>
            </w:r>
            <w:r w:rsidR="000F4E2E">
              <w:rPr>
                <w:rFonts w:ascii="Times New Roman" w:hAnsi="Times New Roman"/>
              </w:rPr>
              <w:t xml:space="preserve"> krajowego postanowień dyrektyw:</w:t>
            </w:r>
          </w:p>
          <w:p w14:paraId="285673D9" w14:textId="4FBD4C41" w:rsidR="000F4E2E" w:rsidRDefault="00AE528B" w:rsidP="000665F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AE528B">
              <w:rPr>
                <w:rFonts w:ascii="Times New Roman" w:hAnsi="Times New Roman"/>
              </w:rPr>
              <w:t>Parlamentu Europejskiego i Rady (UE)</w:t>
            </w:r>
            <w:r>
              <w:rPr>
                <w:rFonts w:ascii="Times New Roman" w:hAnsi="Times New Roman"/>
              </w:rPr>
              <w:t xml:space="preserve"> </w:t>
            </w:r>
            <w:r w:rsidR="000F4E2E" w:rsidRPr="000F4E2E">
              <w:rPr>
                <w:rFonts w:ascii="Times New Roman" w:hAnsi="Times New Roman"/>
              </w:rPr>
              <w:t xml:space="preserve"> 2019/130 z dnia</w:t>
            </w:r>
            <w:r w:rsidR="000F4E2E">
              <w:rPr>
                <w:rFonts w:ascii="Times New Roman" w:hAnsi="Times New Roman"/>
              </w:rPr>
              <w:t xml:space="preserve"> 16 stycznia 2019 r. zmieniającej</w:t>
            </w:r>
            <w:r w:rsidR="000F4E2E" w:rsidRPr="000F4E2E">
              <w:rPr>
                <w:rFonts w:ascii="Times New Roman" w:hAnsi="Times New Roman"/>
              </w:rPr>
              <w:t xml:space="preserve"> dyrektywę 2004/37/WE w</w:t>
            </w:r>
            <w:r w:rsidR="00071FF1">
              <w:rPr>
                <w:rFonts w:ascii="Times New Roman" w:hAnsi="Times New Roman"/>
              </w:rPr>
              <w:t> </w:t>
            </w:r>
            <w:r w:rsidR="000F4E2E" w:rsidRPr="000F4E2E">
              <w:rPr>
                <w:rFonts w:ascii="Times New Roman" w:hAnsi="Times New Roman"/>
              </w:rPr>
              <w:t>sprawie ochrony pracowników przed zagrożeniem dotyczącym narażenia na działanie czynników rakotwórczych lub mutagenów podczas pracy,</w:t>
            </w:r>
          </w:p>
          <w:p w14:paraId="17A7127E" w14:textId="77777777" w:rsidR="00AE528B" w:rsidRPr="000F4E2E" w:rsidRDefault="00AE528B" w:rsidP="000665F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Style w:val="Uwydatnienie"/>
                <w:rFonts w:ascii="Times New Roman" w:hAnsi="Times New Roman"/>
                <w:i w:val="0"/>
              </w:rPr>
            </w:pPr>
            <w:r w:rsidRPr="00AE528B">
              <w:rPr>
                <w:rStyle w:val="Uwydatnienie"/>
                <w:rFonts w:ascii="Times New Roman" w:hAnsi="Times New Roman"/>
                <w:i w:val="0"/>
              </w:rPr>
              <w:t>Komisji (UE) 2019/1831 z dnia 24 października 2019 r. ustanawiając</w:t>
            </w:r>
            <w:r w:rsidR="00457686">
              <w:rPr>
                <w:rStyle w:val="Uwydatnienie"/>
                <w:rFonts w:ascii="Times New Roman" w:hAnsi="Times New Roman"/>
                <w:i w:val="0"/>
              </w:rPr>
              <w:t>ej</w:t>
            </w:r>
            <w:r w:rsidRPr="00AE528B">
              <w:rPr>
                <w:rStyle w:val="Uwydatnienie"/>
                <w:rFonts w:ascii="Times New Roman" w:hAnsi="Times New Roman"/>
                <w:i w:val="0"/>
              </w:rPr>
              <w:t xml:space="preserve"> piąty wykaz wskaźnikowych dopuszczalnych wartości narażenia zawodowego</w:t>
            </w:r>
            <w:r>
              <w:rPr>
                <w:rStyle w:val="Uwydatnienie"/>
                <w:rFonts w:ascii="Times New Roman" w:hAnsi="Times New Roman"/>
                <w:i w:val="0"/>
              </w:rPr>
              <w:t>.</w:t>
            </w:r>
          </w:p>
          <w:p w14:paraId="7F7D2A43" w14:textId="77777777" w:rsidR="002B61F0" w:rsidRPr="00B37C80" w:rsidRDefault="004C2F46" w:rsidP="009A05CC">
            <w:pPr>
              <w:spacing w:line="240" w:lineRule="auto"/>
              <w:ind w:left="-1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Nowelizacja rozporządzenia</w:t>
            </w:r>
            <w:r w:rsidR="00F6012C">
              <w:rPr>
                <w:rFonts w:ascii="Times New Roman" w:hAnsi="Times New Roman"/>
              </w:rPr>
              <w:t xml:space="preserve"> wynika</w:t>
            </w:r>
            <w:r>
              <w:rPr>
                <w:rFonts w:ascii="Times New Roman" w:hAnsi="Times New Roman"/>
              </w:rPr>
              <w:t xml:space="preserve"> </w:t>
            </w:r>
            <w:r w:rsidR="009A05CC">
              <w:rPr>
                <w:rFonts w:ascii="Times New Roman" w:hAnsi="Times New Roman"/>
              </w:rPr>
              <w:t xml:space="preserve">także z potrzeby </w:t>
            </w:r>
            <w:r w:rsidR="00ED1A4A">
              <w:rPr>
                <w:rFonts w:ascii="Times New Roman" w:hAnsi="Times New Roman"/>
              </w:rPr>
              <w:t>uwzględnienia</w:t>
            </w:r>
            <w:r w:rsidR="00264867">
              <w:rPr>
                <w:rFonts w:ascii="Times New Roman" w:hAnsi="Times New Roman"/>
              </w:rPr>
              <w:t xml:space="preserve"> </w:t>
            </w:r>
            <w:r w:rsidR="002B61F0" w:rsidRPr="00736223">
              <w:rPr>
                <w:rFonts w:ascii="Times New Roman" w:hAnsi="Times New Roman"/>
              </w:rPr>
              <w:t>wniosk</w:t>
            </w:r>
            <w:r w:rsidR="00B81C0C">
              <w:rPr>
                <w:rFonts w:ascii="Times New Roman" w:hAnsi="Times New Roman"/>
              </w:rPr>
              <w:t>ów</w:t>
            </w:r>
            <w:r w:rsidR="002B61F0" w:rsidRPr="00736223">
              <w:rPr>
                <w:rFonts w:ascii="Times New Roman" w:hAnsi="Times New Roman"/>
              </w:rPr>
              <w:t xml:space="preserve"> </w:t>
            </w:r>
            <w:r w:rsidR="00104956" w:rsidRPr="00104956">
              <w:rPr>
                <w:rFonts w:ascii="Times New Roman" w:hAnsi="Times New Roman"/>
              </w:rPr>
              <w:t>nr 107-111 Międzyresortowej Komisji do Spraw Najwyższych Dopuszczalnych Stężeń i Natężeń Czynników Szkodliwych dla Zdrowia w Środowisku Pracy</w:t>
            </w:r>
            <w:r w:rsidR="00104956">
              <w:rPr>
                <w:rFonts w:ascii="Times New Roman" w:hAnsi="Times New Roman"/>
              </w:rPr>
              <w:t xml:space="preserve"> </w:t>
            </w:r>
            <w:r w:rsidR="00104956" w:rsidRPr="00104956">
              <w:rPr>
                <w:rFonts w:ascii="Times New Roman" w:hAnsi="Times New Roman"/>
              </w:rPr>
              <w:t>(MKds.NDSiN)</w:t>
            </w:r>
            <w:r w:rsidR="00104956">
              <w:rPr>
                <w:rFonts w:ascii="Times New Roman" w:hAnsi="Times New Roman"/>
              </w:rPr>
              <w:t>, skierowanych</w:t>
            </w:r>
            <w:r w:rsidR="00104956" w:rsidRPr="00104956">
              <w:rPr>
                <w:rFonts w:ascii="Times New Roman" w:hAnsi="Times New Roman"/>
              </w:rPr>
              <w:t xml:space="preserve"> do ministra właściwego do spraw pracy w latach 2019–2020.</w:t>
            </w:r>
          </w:p>
        </w:tc>
      </w:tr>
      <w:tr w:rsidR="002B61F0" w:rsidRPr="008B4FE6" w14:paraId="3A9DC59A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2532421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B61F0" w:rsidRPr="008B4FE6" w14:paraId="48F00898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51B286F3" w14:textId="6FB27A19" w:rsidR="002B61F0" w:rsidRPr="00B37C80" w:rsidRDefault="002B61F0" w:rsidP="00C274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6D38">
              <w:rPr>
                <w:rFonts w:ascii="Times New Roman" w:hAnsi="Times New Roman"/>
                <w:color w:val="000000"/>
                <w:spacing w:val="-2"/>
              </w:rPr>
              <w:t xml:space="preserve">Nie jest możliwe rozwiązanie problemu poprzez działania pozalegislacyjne. </w:t>
            </w: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546D38">
              <w:rPr>
                <w:rFonts w:ascii="Times New Roman" w:hAnsi="Times New Roman"/>
                <w:color w:val="000000"/>
                <w:spacing w:val="-2"/>
              </w:rPr>
              <w:t>owe</w:t>
            </w:r>
            <w:r w:rsidR="00B65E6D">
              <w:rPr>
                <w:rFonts w:ascii="Times New Roman" w:hAnsi="Times New Roman"/>
                <w:color w:val="000000"/>
                <w:spacing w:val="-2"/>
              </w:rPr>
              <w:t>lizacja</w:t>
            </w:r>
            <w:r w:rsidRPr="00546D38">
              <w:rPr>
                <w:rFonts w:ascii="Times New Roman" w:hAnsi="Times New Roman"/>
                <w:color w:val="000000"/>
                <w:spacing w:val="-2"/>
              </w:rPr>
              <w:t xml:space="preserve"> rozporządzeni</w:t>
            </w:r>
            <w:r w:rsidR="00B65E6D">
              <w:rPr>
                <w:rFonts w:ascii="Times New Roman" w:hAnsi="Times New Roman"/>
                <w:color w:val="000000"/>
                <w:spacing w:val="-2"/>
              </w:rPr>
              <w:t>a jest niezbędna ze względu na konieczność wdrożenia do prawa polskiego ww. dyrektyw UE, ponadto projekt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46D38">
              <w:rPr>
                <w:rFonts w:ascii="Times New Roman" w:hAnsi="Times New Roman"/>
              </w:rPr>
              <w:t>uwzględnia wniosk</w:t>
            </w:r>
            <w:r w:rsidR="00B65E6D">
              <w:rPr>
                <w:rFonts w:ascii="Times New Roman" w:hAnsi="Times New Roman"/>
              </w:rPr>
              <w:t>i</w:t>
            </w:r>
            <w:r w:rsidRPr="00546D38">
              <w:rPr>
                <w:rFonts w:ascii="Times New Roman" w:hAnsi="Times New Roman"/>
              </w:rPr>
              <w:t xml:space="preserve"> MKds.NDSiN</w:t>
            </w:r>
            <w:r w:rsidR="00477F70">
              <w:rPr>
                <w:rFonts w:ascii="Times New Roman" w:hAnsi="Times New Roman"/>
              </w:rPr>
              <w:t xml:space="preserve"> dotyczące </w:t>
            </w:r>
            <w:r w:rsidR="00083649">
              <w:rPr>
                <w:rFonts w:ascii="Times New Roman" w:hAnsi="Times New Roman"/>
              </w:rPr>
              <w:t>wartości najwyższych dopuszczalnych stężeń substancji chemicznych</w:t>
            </w:r>
            <w:r>
              <w:rPr>
                <w:rFonts w:ascii="Times New Roman" w:hAnsi="Times New Roman"/>
              </w:rPr>
              <w:t xml:space="preserve">, których wprowadzenie do rozporządzenia zapewni </w:t>
            </w:r>
            <w:r w:rsidRPr="00546D38">
              <w:rPr>
                <w:rFonts w:ascii="Times New Roman" w:hAnsi="Times New Roman"/>
              </w:rPr>
              <w:t>lepsz</w:t>
            </w:r>
            <w:r>
              <w:rPr>
                <w:rFonts w:ascii="Times New Roman" w:hAnsi="Times New Roman"/>
              </w:rPr>
              <w:t>ą</w:t>
            </w:r>
            <w:r w:rsidRPr="00546D38">
              <w:rPr>
                <w:rFonts w:ascii="Times New Roman" w:hAnsi="Times New Roman"/>
              </w:rPr>
              <w:t xml:space="preserve"> ochron</w:t>
            </w:r>
            <w:r>
              <w:rPr>
                <w:rFonts w:ascii="Times New Roman" w:hAnsi="Times New Roman"/>
              </w:rPr>
              <w:t>ę</w:t>
            </w:r>
            <w:r w:rsidRPr="00546D38">
              <w:rPr>
                <w:rFonts w:ascii="Times New Roman" w:hAnsi="Times New Roman"/>
              </w:rPr>
              <w:t xml:space="preserve"> pracowników narażonych na </w:t>
            </w:r>
            <w:r>
              <w:rPr>
                <w:rFonts w:ascii="Times New Roman" w:hAnsi="Times New Roman"/>
              </w:rPr>
              <w:t xml:space="preserve">działanie </w:t>
            </w:r>
            <w:r w:rsidRPr="00546D38">
              <w:rPr>
                <w:rFonts w:ascii="Times New Roman" w:hAnsi="Times New Roman"/>
              </w:rPr>
              <w:t>szkodliw</w:t>
            </w:r>
            <w:r>
              <w:rPr>
                <w:rFonts w:ascii="Times New Roman" w:hAnsi="Times New Roman"/>
              </w:rPr>
              <w:t>ych</w:t>
            </w:r>
            <w:r w:rsidRPr="00546D38">
              <w:rPr>
                <w:rFonts w:ascii="Times New Roman" w:hAnsi="Times New Roman"/>
              </w:rPr>
              <w:t xml:space="preserve"> dla zdrowia czynnik</w:t>
            </w:r>
            <w:r>
              <w:rPr>
                <w:rFonts w:ascii="Times New Roman" w:hAnsi="Times New Roman"/>
              </w:rPr>
              <w:t>ów</w:t>
            </w:r>
            <w:r w:rsidRPr="00546D38">
              <w:rPr>
                <w:rFonts w:ascii="Times New Roman" w:hAnsi="Times New Roman"/>
              </w:rPr>
              <w:t xml:space="preserve"> występując</w:t>
            </w:r>
            <w:r>
              <w:rPr>
                <w:rFonts w:ascii="Times New Roman" w:hAnsi="Times New Roman"/>
              </w:rPr>
              <w:t>ych</w:t>
            </w:r>
            <w:r w:rsidRPr="00546D38">
              <w:rPr>
                <w:rFonts w:ascii="Times New Roman" w:hAnsi="Times New Roman"/>
              </w:rPr>
              <w:t xml:space="preserve"> w środowisku pracy</w:t>
            </w:r>
            <w:r>
              <w:rPr>
                <w:rFonts w:ascii="Times New Roman" w:hAnsi="Times New Roman"/>
              </w:rPr>
              <w:t>.</w:t>
            </w:r>
            <w:r w:rsidRPr="00546D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Projektowane rozporządzenie będzie miało również wpływ na 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ograniczenie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występowania 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ewentualnych chorób zawodowych. Projektowane rozporządzenie poszerz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y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wykaz o 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4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now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substancj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e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chemiczn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e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wraz z wartości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ami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dopuszczaln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ymi</w:t>
            </w:r>
            <w:r w:rsidR="00B81C0C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,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wprowadzi zmian</w:t>
            </w:r>
            <w:r w:rsidR="00B275B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ę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wartości dopuszczaln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ych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stę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ż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eń</w:t>
            </w:r>
            <w:r w:rsidR="00477F70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dla 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6</w:t>
            </w:r>
            <w:r w:rsidR="00C2743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 </w:t>
            </w:r>
            <w:r w:rsidRPr="00546D3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substancji chemicznych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 w:rsidR="00B81C0C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(w tym 4 zmiany wartości NDS wynikają z ww. dyrektyw) </w:t>
            </w:r>
            <w:r w:rsidR="00627E9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oraz </w:t>
            </w:r>
            <w:r w:rsidR="00627E92">
              <w:rPr>
                <w:rFonts w:ascii="Times New Roman" w:hAnsi="Times New Roman"/>
              </w:rPr>
              <w:t xml:space="preserve">zmianę zapisów dla </w:t>
            </w:r>
            <w:r w:rsidR="00B81C0C">
              <w:rPr>
                <w:rFonts w:ascii="Times New Roman" w:hAnsi="Times New Roman"/>
              </w:rPr>
              <w:t>mikro</w:t>
            </w:r>
            <w:r w:rsidR="00627E92">
              <w:rPr>
                <w:rFonts w:ascii="Times New Roman" w:hAnsi="Times New Roman"/>
              </w:rPr>
              <w:t>klimatu gorącego</w:t>
            </w:r>
            <w:r w:rsidR="00F83C64">
              <w:rPr>
                <w:rFonts w:ascii="Times New Roman" w:hAnsi="Times New Roman"/>
              </w:rPr>
              <w:t>,</w:t>
            </w:r>
            <w:r w:rsidR="00F83C64">
              <w:t xml:space="preserve"> </w:t>
            </w:r>
            <w:r w:rsidR="000665F5">
              <w:rPr>
                <w:rFonts w:ascii="Times New Roman" w:hAnsi="Times New Roman"/>
              </w:rPr>
              <w:t>zgodnie z nową normą PN-EN ISO</w:t>
            </w:r>
            <w:r w:rsidR="00F83C64" w:rsidRPr="00F83C64">
              <w:rPr>
                <w:rFonts w:ascii="Times New Roman" w:hAnsi="Times New Roman"/>
              </w:rPr>
              <w:t xml:space="preserve"> 7243: 2018-01 Ergonomia środowiska termicznego </w:t>
            </w:r>
            <w:r w:rsidR="00C27437">
              <w:rPr>
                <w:rFonts w:ascii="Times New Roman" w:hAnsi="Times New Roman"/>
              </w:rPr>
              <w:t>–</w:t>
            </w:r>
            <w:r w:rsidR="00F83C64" w:rsidRPr="00F83C64">
              <w:rPr>
                <w:rFonts w:ascii="Times New Roman" w:hAnsi="Times New Roman"/>
              </w:rPr>
              <w:t xml:space="preserve"> Ocena obciążenia cieplnego za pomocą wskaźnika WBGT (temperatura wilgotnego termometru i poczernionej kuli).</w:t>
            </w:r>
            <w:r w:rsidR="00F83C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Regulacje zawarte w projektowanym rozporządzeniu skierowane są do pracodawców prowadzących działalność związaną z</w:t>
            </w:r>
            <w:r w:rsidR="00C2743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występowaniem czynników szkodliwych dla zdrowia w środowisku pracy. Projektowane zmiany pozwolą na podejmowanie odpowiednich działań przez pracodawców w celu ochrony życia i zdrowia pracownik</w:t>
            </w:r>
            <w:r w:rsidR="00B81C0C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ó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w poprzez umożliwienie pełniejszej oceny warunków pracy, w tym ocenę ryzyka zawodowego związanego z występowaniem w</w:t>
            </w:r>
            <w:r w:rsidR="00C2743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środowisku pracy czynników szkodliwych dla zdrowia. </w:t>
            </w:r>
          </w:p>
        </w:tc>
      </w:tr>
      <w:tr w:rsidR="002B61F0" w:rsidRPr="008B4FE6" w14:paraId="34DFE3A1" w14:textId="77777777" w:rsidTr="00490CCE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B8693C6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B61F0" w:rsidRPr="008B4FE6" w14:paraId="34B4F0CC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0C2C6305" w14:textId="77777777" w:rsidR="00CA3372" w:rsidRPr="00CA3372" w:rsidRDefault="002B61F0" w:rsidP="009A05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UE systematycznie określa wartości normatywne dla szkodliwych dla zdrowia czynników chemicznych, w tym rakotwórczych i mutagennych oraz czynników fizycznych występujących w środowisku pracy. Projektowane rozporządzenie wdraża do prawa krajowego postanowienia </w:t>
            </w:r>
            <w:r w:rsidR="00CA3372" w:rsidRPr="00CA3372">
              <w:rPr>
                <w:rFonts w:ascii="Times New Roman" w:hAnsi="Times New Roman"/>
                <w:color w:val="000000"/>
                <w:spacing w:val="-2"/>
              </w:rPr>
              <w:t>dyrektyw</w:t>
            </w:r>
            <w:r w:rsidR="00AE528B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1DDF6DE4" w14:textId="2D030DD7" w:rsidR="00CA3372" w:rsidRPr="00CA3372" w:rsidRDefault="00AE528B" w:rsidP="00CA3372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34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E528B">
              <w:rPr>
                <w:rFonts w:ascii="Times New Roman" w:hAnsi="Times New Roman"/>
                <w:color w:val="000000"/>
                <w:spacing w:val="-2"/>
              </w:rPr>
              <w:lastRenderedPageBreak/>
              <w:t>Parlamentu Europejskiego i Rady (UE)</w:t>
            </w:r>
            <w:r w:rsidR="00CA3372" w:rsidRPr="00CA3372">
              <w:rPr>
                <w:rFonts w:ascii="Times New Roman" w:hAnsi="Times New Roman"/>
                <w:color w:val="000000"/>
                <w:spacing w:val="-2"/>
              </w:rPr>
              <w:t xml:space="preserve"> 2019/130 z dnia 16 stycznia 2019 r. zmieniającej dyrektywę 2004/37/WE w</w:t>
            </w:r>
            <w:r w:rsidR="00C2743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CA3372" w:rsidRPr="00CA3372">
              <w:rPr>
                <w:rFonts w:ascii="Times New Roman" w:hAnsi="Times New Roman"/>
                <w:color w:val="000000"/>
                <w:spacing w:val="-2"/>
              </w:rPr>
              <w:t>sprawie ochrony pracowników przed zagrożeniem dotycząc</w:t>
            </w:r>
            <w:r w:rsidR="00B81C0C">
              <w:rPr>
                <w:rFonts w:ascii="Times New Roman" w:hAnsi="Times New Roman"/>
                <w:color w:val="000000"/>
                <w:spacing w:val="-2"/>
              </w:rPr>
              <w:t>ym</w:t>
            </w:r>
            <w:r w:rsidR="00CA3372" w:rsidRPr="00CA3372">
              <w:rPr>
                <w:rFonts w:ascii="Times New Roman" w:hAnsi="Times New Roman"/>
                <w:color w:val="000000"/>
                <w:spacing w:val="-2"/>
              </w:rPr>
              <w:t xml:space="preserve"> narażenia na działanie czynników rakotwórczych lub mutagenów podczas pracy,</w:t>
            </w:r>
          </w:p>
          <w:p w14:paraId="1F878AB6" w14:textId="77777777" w:rsidR="002B61F0" w:rsidRDefault="00A54F2B" w:rsidP="00A54F2B">
            <w:pPr>
              <w:pStyle w:val="Akapitzlist"/>
              <w:numPr>
                <w:ilvl w:val="0"/>
                <w:numId w:val="6"/>
              </w:numPr>
              <w:ind w:left="352"/>
              <w:rPr>
                <w:rFonts w:ascii="Times New Roman" w:hAnsi="Times New Roman"/>
                <w:color w:val="000000"/>
                <w:spacing w:val="-2"/>
              </w:rPr>
            </w:pPr>
            <w:r w:rsidRPr="00A54F2B">
              <w:rPr>
                <w:rFonts w:ascii="Times New Roman" w:hAnsi="Times New Roman"/>
                <w:color w:val="000000"/>
                <w:spacing w:val="-2"/>
              </w:rPr>
              <w:t>Komisji (UE) 2019/1831 z dnia 24 października 2019 r. ustanawiając</w:t>
            </w:r>
            <w:r w:rsidR="00457686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A54F2B">
              <w:rPr>
                <w:rFonts w:ascii="Times New Roman" w:hAnsi="Times New Roman"/>
                <w:color w:val="000000"/>
                <w:spacing w:val="-2"/>
              </w:rPr>
              <w:t xml:space="preserve"> piąty wykaz wskaźnikowych dopuszczalnych wartości narażenia zawodowego</w:t>
            </w:r>
            <w:r w:rsidR="00B81C0C">
              <w:rPr>
                <w:rFonts w:ascii="Times New Roman" w:hAnsi="Times New Roman"/>
                <w:color w:val="000000"/>
                <w:spacing w:val="-2"/>
              </w:rPr>
              <w:t xml:space="preserve"> oraz zmieniającej dyrektywę Komisji 2000/39/WE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DE13B84" w14:textId="77777777" w:rsidR="009A05CC" w:rsidRPr="009A05CC" w:rsidRDefault="009A05CC" w:rsidP="009A05CC">
            <w:pPr>
              <w:ind w:left="-8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Zagadnienie to zostało więc uregulowane w państwach członkowskich UE w podobny sposób.</w:t>
            </w:r>
          </w:p>
        </w:tc>
      </w:tr>
      <w:tr w:rsidR="002B61F0" w:rsidRPr="008B4FE6" w14:paraId="7466FBF2" w14:textId="77777777" w:rsidTr="00490CCE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C86A4A4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B61F0" w:rsidRPr="008B4FE6" w14:paraId="45A01519" w14:textId="77777777" w:rsidTr="009314EE">
        <w:trPr>
          <w:gridAfter w:val="1"/>
          <w:wAfter w:w="10" w:type="dxa"/>
          <w:trHeight w:val="142"/>
        </w:trPr>
        <w:tc>
          <w:tcPr>
            <w:tcW w:w="2664" w:type="dxa"/>
            <w:gridSpan w:val="3"/>
            <w:shd w:val="clear" w:color="auto" w:fill="auto"/>
          </w:tcPr>
          <w:p w14:paraId="2DDC60FC" w14:textId="77777777" w:rsidR="002B61F0" w:rsidRPr="008B4FE6" w:rsidRDefault="002B61F0" w:rsidP="00490CC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A8176F0" w14:textId="77777777" w:rsidR="002B61F0" w:rsidRPr="008B4FE6" w:rsidRDefault="002B61F0" w:rsidP="00490CC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53BCDBC2" w14:textId="77777777" w:rsidR="002B61F0" w:rsidRPr="008B4FE6" w:rsidRDefault="002B61F0" w:rsidP="00490CC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5" w:type="dxa"/>
            <w:gridSpan w:val="6"/>
            <w:shd w:val="clear" w:color="auto" w:fill="auto"/>
          </w:tcPr>
          <w:p w14:paraId="0F478403" w14:textId="77777777" w:rsidR="002B61F0" w:rsidRPr="008B4FE6" w:rsidRDefault="002B61F0" w:rsidP="00490CC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314EE" w:rsidRPr="008B4FE6" w14:paraId="7B29C526" w14:textId="77777777" w:rsidTr="009314EE">
        <w:trPr>
          <w:gridAfter w:val="1"/>
          <w:wAfter w:w="10" w:type="dxa"/>
          <w:trHeight w:val="2655"/>
        </w:trPr>
        <w:tc>
          <w:tcPr>
            <w:tcW w:w="2664" w:type="dxa"/>
            <w:gridSpan w:val="3"/>
            <w:shd w:val="clear" w:color="auto" w:fill="auto"/>
          </w:tcPr>
          <w:p w14:paraId="295627CA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A3372">
              <w:rPr>
                <w:rFonts w:ascii="Times New Roman" w:hAnsi="Times New Roman"/>
                <w:bCs/>
                <w:color w:val="000000"/>
                <w:spacing w:val="-2"/>
              </w:rPr>
              <w:t xml:space="preserve">Pracodawcy, u których występują czynniki szkodliwe dla zdrowia. </w:t>
            </w:r>
          </w:p>
          <w:p w14:paraId="694143B3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07CF29A2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317CEC24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207BF513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4E75A521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124CCAEB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27114A60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5D5F16C5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23F971DD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391ED26" w14:textId="77777777" w:rsidR="009314EE" w:rsidRPr="00CD5440" w:rsidRDefault="009314EE" w:rsidP="00490CC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D5440">
              <w:rPr>
                <w:rFonts w:ascii="Times New Roman" w:hAnsi="Times New Roman"/>
                <w:spacing w:val="-2"/>
              </w:rPr>
              <w:t>Około  10,6 tys. pracodawców</w:t>
            </w:r>
            <w:r w:rsidR="00E47C48">
              <w:rPr>
                <w:rFonts w:ascii="Times New Roman" w:hAnsi="Times New Roman"/>
                <w:spacing w:val="-2"/>
              </w:rPr>
              <w:t>.</w:t>
            </w:r>
          </w:p>
          <w:p w14:paraId="004397AF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3C1ED5FD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06041458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658D3621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756278BC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5DBEC1F3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7A2378A4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3DD824F6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280ED519" w14:textId="77777777" w:rsidR="009314EE" w:rsidRPr="00CA3372" w:rsidRDefault="009314EE" w:rsidP="009314E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1"/>
            <w:shd w:val="clear" w:color="auto" w:fill="auto"/>
          </w:tcPr>
          <w:p w14:paraId="5C11F0DA" w14:textId="77777777" w:rsidR="009314EE" w:rsidRPr="00934CC2" w:rsidRDefault="009314EE" w:rsidP="00490CC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934CC2">
              <w:rPr>
                <w:rFonts w:ascii="Times New Roman" w:hAnsi="Times New Roman"/>
                <w:color w:val="000000" w:themeColor="text1"/>
                <w:spacing w:val="-2"/>
              </w:rPr>
              <w:t>Informacje i opracowania Głównego Urzędu Statystyczne</w:t>
            </w:r>
            <w:r w:rsidR="00CD5440">
              <w:rPr>
                <w:rFonts w:ascii="Times New Roman" w:hAnsi="Times New Roman"/>
                <w:color w:val="000000" w:themeColor="text1"/>
                <w:spacing w:val="-2"/>
              </w:rPr>
              <w:t>go , w tym „Warunki pracy w 2016</w:t>
            </w:r>
            <w:r w:rsidRPr="00934CC2">
              <w:rPr>
                <w:rFonts w:ascii="Times New Roman" w:hAnsi="Times New Roman"/>
                <w:color w:val="000000" w:themeColor="text1"/>
                <w:spacing w:val="-2"/>
              </w:rPr>
              <w:t xml:space="preserve"> r.”</w:t>
            </w:r>
          </w:p>
          <w:p w14:paraId="3751D40E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5940F666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2C3994AD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380980B9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5F9C04CF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7F715D99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3B20C612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735B7462" w14:textId="72D2DD16" w:rsidR="009314EE" w:rsidRPr="00CA3372" w:rsidRDefault="009314EE" w:rsidP="00490CCE">
            <w:pPr>
              <w:spacing w:line="240" w:lineRule="auto"/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</w:pPr>
            <w:r w:rsidRPr="00CA337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Regulacje zawarte w projektowanym rozporządzeniu adresowane są do pracodawców, którzy zobowiązani są do zapewnienia bezpiecznych i</w:t>
            </w:r>
            <w:r w:rsidR="00C2743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 </w:t>
            </w:r>
            <w:r w:rsidRPr="00CA337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higienicznych warunków w</w:t>
            </w:r>
            <w:r w:rsidR="00C2743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 </w:t>
            </w:r>
            <w:r w:rsidRPr="00CA3372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środowisku pracy, w którym występują czynnki szkodliwe dla zdrowia. </w:t>
            </w:r>
          </w:p>
          <w:p w14:paraId="168CB742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F5F28EF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0B21703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14EE" w:rsidRPr="008B4FE6" w14:paraId="61BA496C" w14:textId="77777777" w:rsidTr="009314EE">
        <w:trPr>
          <w:gridAfter w:val="1"/>
          <w:wAfter w:w="10" w:type="dxa"/>
          <w:trHeight w:val="2655"/>
        </w:trPr>
        <w:tc>
          <w:tcPr>
            <w:tcW w:w="2664" w:type="dxa"/>
            <w:gridSpan w:val="3"/>
            <w:shd w:val="clear" w:color="auto" w:fill="auto"/>
          </w:tcPr>
          <w:p w14:paraId="0C7D34C6" w14:textId="1E789A97" w:rsidR="009314EE" w:rsidRPr="00CA3372" w:rsidRDefault="009314EE" w:rsidP="00C27437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314EE">
              <w:rPr>
                <w:rFonts w:ascii="Times New Roman" w:hAnsi="Times New Roman"/>
                <w:bCs/>
                <w:color w:val="000000"/>
                <w:spacing w:val="-2"/>
              </w:rPr>
              <w:t>Pracownicy, którzy pracują w narażeniu na szkodliwe czynniki dla zdrowia w</w:t>
            </w:r>
            <w:r w:rsidR="00C27437">
              <w:rPr>
                <w:rFonts w:ascii="Times New Roman" w:hAnsi="Times New Roman"/>
                <w:bCs/>
                <w:color w:val="000000"/>
                <w:spacing w:val="-2"/>
              </w:rPr>
              <w:t> </w:t>
            </w:r>
            <w:r w:rsidRPr="009314EE">
              <w:rPr>
                <w:rFonts w:ascii="Times New Roman" w:hAnsi="Times New Roman"/>
                <w:bCs/>
                <w:color w:val="000000"/>
                <w:spacing w:val="-2"/>
              </w:rPr>
              <w:t>środowisku pracy</w:t>
            </w:r>
            <w:r w:rsidR="00934CC2">
              <w:rPr>
                <w:rFonts w:ascii="Times New Roman" w:hAnsi="Times New Roman"/>
                <w:bCs/>
                <w:color w:val="000000"/>
                <w:spacing w:val="-2"/>
              </w:rPr>
              <w:t xml:space="preserve"> (ogółem)</w:t>
            </w:r>
            <w:r w:rsidRPr="009314EE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A5E4E0C" w14:textId="77777777" w:rsidR="009314EE" w:rsidRPr="00CA3372" w:rsidRDefault="0018494D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Około 462,2</w:t>
            </w:r>
            <w:r w:rsidR="009314EE" w:rsidRPr="00934CC2">
              <w:rPr>
                <w:rFonts w:ascii="Times New Roman" w:hAnsi="Times New Roman"/>
                <w:color w:val="000000" w:themeColor="text1"/>
                <w:spacing w:val="-2"/>
              </w:rPr>
              <w:t xml:space="preserve"> tys. </w:t>
            </w:r>
            <w:r w:rsidR="00934CC2">
              <w:rPr>
                <w:rFonts w:ascii="Times New Roman" w:hAnsi="Times New Roman"/>
                <w:color w:val="000000" w:themeColor="text1"/>
                <w:spacing w:val="-2"/>
              </w:rPr>
              <w:t>p</w:t>
            </w:r>
            <w:r w:rsidR="009314EE" w:rsidRPr="00934CC2">
              <w:rPr>
                <w:rFonts w:ascii="Times New Roman" w:hAnsi="Times New Roman"/>
                <w:color w:val="000000" w:themeColor="text1"/>
                <w:spacing w:val="-2"/>
              </w:rPr>
              <w:t>racowników</w:t>
            </w:r>
            <w:r w:rsidR="00934CC2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EE4EC17" w14:textId="77777777" w:rsidR="009314EE" w:rsidRPr="00CA3372" w:rsidRDefault="009314EE" w:rsidP="00490CCE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934CC2">
              <w:rPr>
                <w:rFonts w:ascii="Times New Roman" w:hAnsi="Times New Roman"/>
                <w:color w:val="000000" w:themeColor="text1"/>
                <w:spacing w:val="-2"/>
              </w:rPr>
              <w:t>Informacje i opracowania Głównego Urzędu Statystyczne</w:t>
            </w:r>
            <w:r w:rsidR="0018494D">
              <w:rPr>
                <w:rFonts w:ascii="Times New Roman" w:hAnsi="Times New Roman"/>
                <w:color w:val="000000" w:themeColor="text1"/>
                <w:spacing w:val="-2"/>
              </w:rPr>
              <w:t>go , w tym „Warunki pracy w 2018</w:t>
            </w:r>
            <w:r w:rsidRPr="00934CC2">
              <w:rPr>
                <w:rFonts w:ascii="Times New Roman" w:hAnsi="Times New Roman"/>
                <w:color w:val="000000" w:themeColor="text1"/>
                <w:spacing w:val="-2"/>
              </w:rPr>
              <w:t xml:space="preserve"> r.”</w:t>
            </w:r>
          </w:p>
        </w:tc>
        <w:tc>
          <w:tcPr>
            <w:tcW w:w="2985" w:type="dxa"/>
            <w:gridSpan w:val="6"/>
            <w:shd w:val="clear" w:color="auto" w:fill="auto"/>
          </w:tcPr>
          <w:p w14:paraId="3F41FE01" w14:textId="77777777" w:rsidR="009314EE" w:rsidRPr="00CA3372" w:rsidRDefault="009314EE" w:rsidP="00490CCE">
            <w:pPr>
              <w:spacing w:line="240" w:lineRule="auto"/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</w:pPr>
            <w:r w:rsidRPr="009314EE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Projektowane przepisy powinny wpłynąć na zapewnienie pracownikom zatrudnionym w warunkach narażenia na czynniki szkodliwe dla zdrowia lepszej ochrony zdrowia i ograniczenie ewentualnych  chorób zawodowych.</w:t>
            </w:r>
          </w:p>
        </w:tc>
      </w:tr>
      <w:tr w:rsidR="002B61F0" w:rsidRPr="008B4FE6" w14:paraId="0189D901" w14:textId="77777777" w:rsidTr="00490CCE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29FA500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B61F0" w:rsidRPr="008B4FE6" w14:paraId="392AB805" w14:textId="77777777" w:rsidTr="00490CCE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12750AAA" w14:textId="3AE57AE7" w:rsidR="002B61F0" w:rsidRDefault="00CA3372" w:rsidP="00A451D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3372">
              <w:rPr>
                <w:rFonts w:ascii="Times New Roman" w:hAnsi="Times New Roman"/>
                <w:color w:val="000000"/>
                <w:spacing w:val="-2"/>
              </w:rPr>
              <w:t xml:space="preserve">Projektowane rozporządzenie </w:t>
            </w:r>
            <w:r w:rsidR="00A54F2B">
              <w:rPr>
                <w:rFonts w:ascii="Times New Roman" w:hAnsi="Times New Roman"/>
                <w:color w:val="000000"/>
                <w:spacing w:val="-2"/>
              </w:rPr>
              <w:t xml:space="preserve">będzie </w:t>
            </w:r>
            <w:r w:rsidRPr="00CA3372">
              <w:rPr>
                <w:rFonts w:ascii="Times New Roman" w:hAnsi="Times New Roman"/>
                <w:color w:val="000000"/>
                <w:spacing w:val="-2"/>
              </w:rPr>
              <w:t xml:space="preserve">przedmiotem </w:t>
            </w:r>
            <w:r w:rsidR="00CD5440">
              <w:rPr>
                <w:rFonts w:ascii="Times New Roman" w:hAnsi="Times New Roman"/>
                <w:color w:val="000000"/>
                <w:spacing w:val="-2"/>
              </w:rPr>
              <w:t>konsultacji</w:t>
            </w:r>
            <w:r w:rsidRPr="00CA3372">
              <w:rPr>
                <w:rFonts w:ascii="Times New Roman" w:hAnsi="Times New Roman"/>
                <w:color w:val="000000"/>
                <w:spacing w:val="-2"/>
              </w:rPr>
              <w:t xml:space="preserve"> w trybie przepisów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ustawy z dnia 23 maja 1991 r.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CA3372">
              <w:rPr>
                <w:rFonts w:ascii="Times New Roman" w:hAnsi="Times New Roman"/>
                <w:color w:val="000000"/>
                <w:spacing w:val="-2"/>
              </w:rPr>
              <w:t xml:space="preserve">o związkach zawodowych (Dz. U. z 2019 r. poz. 263) oraz ustawy z dnia 23 maja 1991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r. o organizacjach pracodawców </w:t>
            </w:r>
            <w:r w:rsidRPr="00CA3372">
              <w:rPr>
                <w:rFonts w:ascii="Times New Roman" w:hAnsi="Times New Roman"/>
                <w:color w:val="000000"/>
                <w:spacing w:val="-2"/>
              </w:rPr>
              <w:t>(Dz. U. z 201</w:t>
            </w:r>
            <w:r w:rsidR="00457686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Pr="00CA3372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457686">
              <w:rPr>
                <w:rFonts w:ascii="Times New Roman" w:hAnsi="Times New Roman"/>
                <w:color w:val="000000"/>
                <w:spacing w:val="-2"/>
              </w:rPr>
              <w:t>1809</w:t>
            </w:r>
            <w:r w:rsidRPr="00CA3372">
              <w:rPr>
                <w:rFonts w:ascii="Times New Roman" w:hAnsi="Times New Roman"/>
                <w:color w:val="000000"/>
                <w:spacing w:val="-2"/>
              </w:rPr>
              <w:t>) z następującymi partnerami społecznymi: NSZZ „Solidarność”, Ogólnopolskim Porozumieniem Związków Zawodowych, Forum Związków Zawodowych, Związkiem Pracodawców Business Centre Club, Pracodawcami Rzeczypospolitej Polskiej, Konfederacją Lewiatan, Związkiem Rzemiosła Polskiego</w:t>
            </w:r>
            <w:r w:rsidR="00CF770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A451D0">
              <w:rPr>
                <w:rFonts w:ascii="Times New Roman" w:hAnsi="Times New Roman"/>
                <w:color w:val="000000"/>
                <w:spacing w:val="-2"/>
              </w:rPr>
              <w:t xml:space="preserve"> Związkiem Przedsiębiorców i Pracodawców</w:t>
            </w:r>
            <w:r w:rsidR="00CF770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617A8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F7704">
              <w:rPr>
                <w:rFonts w:ascii="Times New Roman" w:hAnsi="Times New Roman"/>
                <w:color w:val="000000"/>
                <w:spacing w:val="-2"/>
              </w:rPr>
              <w:t xml:space="preserve">Federacją Przedsiębiorców Polskich </w:t>
            </w:r>
            <w:r w:rsidR="00617A84">
              <w:rPr>
                <w:rFonts w:ascii="Times New Roman" w:hAnsi="Times New Roman"/>
                <w:color w:val="000000"/>
                <w:spacing w:val="-2"/>
              </w:rPr>
              <w:t>oraz z innymi zainteresowanymi organizacjami</w:t>
            </w:r>
            <w:r w:rsidRPr="00CA3372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451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33DC7" w:rsidRPr="00C33DC7">
              <w:rPr>
                <w:rFonts w:ascii="Times New Roman" w:hAnsi="Times New Roman"/>
                <w:color w:val="000000"/>
                <w:spacing w:val="-2"/>
              </w:rPr>
              <w:t xml:space="preserve">Planuje się, że konsultacje publiczne projektu rozporządzenia rozpoczną się w </w:t>
            </w:r>
            <w:r w:rsidR="00C33DC7">
              <w:rPr>
                <w:rFonts w:ascii="Times New Roman" w:hAnsi="Times New Roman"/>
                <w:color w:val="000000"/>
                <w:spacing w:val="-2"/>
              </w:rPr>
              <w:t>listopadzie 2020 r.</w:t>
            </w:r>
            <w:r w:rsidR="00CF7704">
              <w:rPr>
                <w:rFonts w:ascii="Times New Roman" w:hAnsi="Times New Roman"/>
                <w:color w:val="000000"/>
                <w:spacing w:val="-2"/>
              </w:rPr>
              <w:t xml:space="preserve"> i potrwają zgodnie z </w:t>
            </w:r>
            <w:r w:rsidR="00042091">
              <w:rPr>
                <w:rFonts w:ascii="Times New Roman" w:hAnsi="Times New Roman"/>
                <w:color w:val="000000"/>
                <w:spacing w:val="-2"/>
              </w:rPr>
              <w:t>przepisami</w:t>
            </w:r>
            <w:r w:rsidR="00CF7704">
              <w:rPr>
                <w:rFonts w:ascii="Times New Roman" w:hAnsi="Times New Roman"/>
                <w:color w:val="000000"/>
                <w:spacing w:val="-2"/>
              </w:rPr>
              <w:t xml:space="preserve"> 30 dni.</w:t>
            </w:r>
          </w:p>
          <w:p w14:paraId="2056B356" w14:textId="0C80825E" w:rsidR="00C33DC7" w:rsidRPr="00B37C80" w:rsidRDefault="00C33DC7" w:rsidP="00C33DC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3DC7">
              <w:rPr>
                <w:rFonts w:ascii="Times New Roman" w:hAnsi="Times New Roman"/>
                <w:color w:val="000000"/>
                <w:spacing w:val="-2"/>
              </w:rPr>
              <w:t>Projekt zostanie udostępniony w Biuletynie Informacji Publicznej na stronie podmiotowej Rządowego Centrum Legislacji w serwisie Rządowy Proces Legislacyjny, zgodnie z art. 5 ustawy z dnia 7 lipca 2005 r. o działalności lobbingowej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33DC7">
              <w:rPr>
                <w:rFonts w:ascii="Times New Roman" w:hAnsi="Times New Roman"/>
                <w:color w:val="000000"/>
                <w:spacing w:val="-2"/>
              </w:rPr>
              <w:t>procesie stanowienia prawa (Dz. U. z 2017 r. poz. 248) i § 4 uchwały Rady Ministrów z dnia 29 października 2013 r. – Regulamin pracy Rady Ministrów (M.P. z 2016 r. poz. 1006, z późn. zm.).</w:t>
            </w:r>
          </w:p>
        </w:tc>
      </w:tr>
      <w:tr w:rsidR="002B61F0" w:rsidRPr="008B4FE6" w14:paraId="2747A627" w14:textId="77777777" w:rsidTr="00490CCE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6E26BA0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B61F0" w:rsidRPr="008B4FE6" w14:paraId="00001FC2" w14:textId="77777777" w:rsidTr="009314EE">
        <w:trPr>
          <w:gridAfter w:val="1"/>
          <w:wAfter w:w="10" w:type="dxa"/>
          <w:trHeight w:val="142"/>
        </w:trPr>
        <w:tc>
          <w:tcPr>
            <w:tcW w:w="3129" w:type="dxa"/>
            <w:gridSpan w:val="4"/>
            <w:vMerge w:val="restart"/>
            <w:shd w:val="clear" w:color="auto" w:fill="FFFFFF"/>
          </w:tcPr>
          <w:p w14:paraId="02BDF585" w14:textId="77777777" w:rsidR="002B61F0" w:rsidRPr="00C53F26" w:rsidRDefault="002B61F0" w:rsidP="00490CCE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8" w:type="dxa"/>
            <w:gridSpan w:val="24"/>
            <w:shd w:val="clear" w:color="auto" w:fill="FFFFFF"/>
          </w:tcPr>
          <w:p w14:paraId="4C80B081" w14:textId="77777777" w:rsidR="002B61F0" w:rsidRPr="00C53F26" w:rsidRDefault="002B61F0" w:rsidP="00490CC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B61F0" w:rsidRPr="008B4FE6" w14:paraId="24DFFAB0" w14:textId="77777777" w:rsidTr="006167FB">
        <w:trPr>
          <w:gridAfter w:val="1"/>
          <w:wAfter w:w="10" w:type="dxa"/>
          <w:trHeight w:val="142"/>
        </w:trPr>
        <w:tc>
          <w:tcPr>
            <w:tcW w:w="3129" w:type="dxa"/>
            <w:gridSpan w:val="4"/>
            <w:vMerge/>
            <w:shd w:val="clear" w:color="auto" w:fill="FFFFFF"/>
          </w:tcPr>
          <w:p w14:paraId="1FCF0642" w14:textId="77777777" w:rsidR="002B61F0" w:rsidRPr="00C53F26" w:rsidRDefault="002B61F0" w:rsidP="00490CCE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42FCEF8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23E22D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A8A946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91" w:type="dxa"/>
            <w:gridSpan w:val="3"/>
            <w:shd w:val="clear" w:color="auto" w:fill="FFFFFF"/>
          </w:tcPr>
          <w:p w14:paraId="31729C80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14EAAB93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9C4EE69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FAFAF9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7B1193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5E1C8D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7A397F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DFC82BF" w14:textId="77777777" w:rsidR="002B61F0" w:rsidRPr="00C53F26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6" w:type="dxa"/>
            <w:gridSpan w:val="2"/>
            <w:shd w:val="clear" w:color="auto" w:fill="FFFFFF"/>
          </w:tcPr>
          <w:p w14:paraId="4B30A969" w14:textId="77777777" w:rsidR="002B61F0" w:rsidRPr="00C53F26" w:rsidRDefault="002B61F0" w:rsidP="00490CC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B61F0" w:rsidRPr="008B4FE6" w14:paraId="612C3E7C" w14:textId="77777777" w:rsidTr="006167FB">
        <w:trPr>
          <w:trHeight w:val="32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FA0E7BD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E7012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4C1B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283CF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6EB754A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0A384A3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84D47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D7859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2CB9B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DD5C7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307FB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A17F4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539DA0B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00116CC5" w14:textId="77777777" w:rsidTr="006167FB">
        <w:trPr>
          <w:trHeight w:val="32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7966145A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27C3D2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0245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CEB0F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5466BBE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0444840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8925C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C2AF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888152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D606D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D1876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453D3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314A079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19F6D26A" w14:textId="77777777" w:rsidTr="006167FB">
        <w:trPr>
          <w:trHeight w:val="344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786774A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9B34C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4507D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4BAB5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69F9CED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2F81404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8C081D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2000F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D2326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E3E96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7D6A9D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6FAF0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69A568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1EC0E3EB" w14:textId="77777777" w:rsidTr="006167FB">
        <w:trPr>
          <w:trHeight w:val="344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2CF2DDBD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315C1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A70D0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AB158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6165323B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0244F42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57332B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52B88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7E4E4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8E43B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C8FE2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C9FD6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5F0A072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7A6CE480" w14:textId="77777777" w:rsidTr="006167FB">
        <w:trPr>
          <w:trHeight w:val="33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68F4812A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0C1D7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D27B8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AA19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7576283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50F2E58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5C7AE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4E53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3A1FE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E6F89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DAEB7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87A8F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226AE8A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0B0989F0" w14:textId="77777777" w:rsidTr="006167FB">
        <w:trPr>
          <w:trHeight w:val="33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E86F06C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C224B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0682C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D2E18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4122F9D2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75D6B7D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57A90B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FCE13D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59BD9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CC5C2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F7DA1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77B99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5416D58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415A0ECD" w14:textId="77777777" w:rsidTr="006167FB">
        <w:trPr>
          <w:trHeight w:val="35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7FD6806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8C6BA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098A8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3453D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34540ED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17CA84E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5A801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F0E63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BBDEF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65523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0EFEE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570E8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49D667D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61F1A749" w14:textId="77777777" w:rsidTr="006167FB">
        <w:trPr>
          <w:trHeight w:val="35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6F69FB2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59459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0324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24FDD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752B289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13C078D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E8265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14DDA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894DE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7D794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A21F5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98125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5E0431A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33924B3B" w14:textId="77777777" w:rsidTr="006167FB">
        <w:trPr>
          <w:trHeight w:val="36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EAB90A3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D86D0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DB2E5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8C703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7CB95D1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6E364D1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39769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87D1C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7A55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F09F2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D4EB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12DA52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3F4E229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57A428D1" w14:textId="77777777" w:rsidTr="006167FB">
        <w:trPr>
          <w:trHeight w:val="36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E5CF5BF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4C55A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7F13D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297BC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5E7E0BC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2496E1FB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82A5B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2DCC8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0C77B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58859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08AAF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94CFA2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CEE28E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53A7EBAE" w14:textId="77777777" w:rsidTr="006167FB">
        <w:trPr>
          <w:trHeight w:val="357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4FBEC05A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E6222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B8E36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F8807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096643B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334039B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F3F05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57E39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C200BA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A2AB4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07B4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D577FB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1D68AC5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7E9A033B" w14:textId="77777777" w:rsidTr="006167FB">
        <w:trPr>
          <w:trHeight w:val="357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6C0951E4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97964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6E1F8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D4FAD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14:paraId="56A63F1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2CF4BB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99A89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E495C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529143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9BAA5C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E337E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E57B4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2FB645A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231CF22C" w14:textId="77777777" w:rsidTr="009314EE">
        <w:trPr>
          <w:gridAfter w:val="1"/>
          <w:wAfter w:w="10" w:type="dxa"/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757AF527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7" w:type="dxa"/>
            <w:gridSpan w:val="26"/>
            <w:shd w:val="clear" w:color="auto" w:fill="FFFFFF"/>
            <w:vAlign w:val="center"/>
          </w:tcPr>
          <w:p w14:paraId="091BC9CA" w14:textId="77777777" w:rsidR="002B61F0" w:rsidRPr="00B37C80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A18FE29" w14:textId="77777777" w:rsidR="002B61F0" w:rsidRPr="00B37C80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BDB3213" w14:textId="77777777" w:rsidR="002B61F0" w:rsidRPr="00B37C80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61F0" w:rsidRPr="008B4FE6" w14:paraId="0853FF32" w14:textId="77777777" w:rsidTr="009314EE">
        <w:trPr>
          <w:gridAfter w:val="1"/>
          <w:wAfter w:w="10" w:type="dxa"/>
          <w:trHeight w:val="1381"/>
        </w:trPr>
        <w:tc>
          <w:tcPr>
            <w:tcW w:w="2240" w:type="dxa"/>
            <w:gridSpan w:val="2"/>
            <w:shd w:val="clear" w:color="auto" w:fill="FFFFFF"/>
          </w:tcPr>
          <w:p w14:paraId="288351C9" w14:textId="77777777" w:rsidR="002B61F0" w:rsidRPr="00C53F2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7" w:type="dxa"/>
            <w:gridSpan w:val="26"/>
            <w:shd w:val="clear" w:color="auto" w:fill="FFFFFF"/>
          </w:tcPr>
          <w:p w14:paraId="50E550A7" w14:textId="77777777" w:rsidR="002B61F0" w:rsidRPr="00C53F26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W</w:t>
            </w:r>
            <w:r w:rsidRPr="0009167C">
              <w:rPr>
                <w:rFonts w:ascii="Times New Roman" w:hAnsi="Times New Roman"/>
              </w:rPr>
              <w:t>ejście w życie projektowan</w:t>
            </w:r>
            <w:r>
              <w:rPr>
                <w:rFonts w:ascii="Times New Roman" w:hAnsi="Times New Roman"/>
              </w:rPr>
              <w:t>ego</w:t>
            </w:r>
            <w:r w:rsidRPr="0009167C">
              <w:rPr>
                <w:rFonts w:ascii="Times New Roman" w:hAnsi="Times New Roman"/>
              </w:rPr>
              <w:t xml:space="preserve"> rozporządze</w:t>
            </w:r>
            <w:r>
              <w:rPr>
                <w:rFonts w:ascii="Times New Roman" w:hAnsi="Times New Roman"/>
              </w:rPr>
              <w:t>nia</w:t>
            </w:r>
            <w:r w:rsidRPr="0009167C">
              <w:rPr>
                <w:rFonts w:ascii="Times New Roman" w:hAnsi="Times New Roman"/>
              </w:rPr>
              <w:t xml:space="preserve"> nie spowoduje</w:t>
            </w:r>
            <w:r>
              <w:rPr>
                <w:rFonts w:ascii="Times New Roman" w:hAnsi="Times New Roman"/>
              </w:rPr>
              <w:t xml:space="preserve"> </w:t>
            </w:r>
            <w:r w:rsidRPr="0009167C">
              <w:rPr>
                <w:rFonts w:ascii="Times New Roman" w:hAnsi="Times New Roman"/>
              </w:rPr>
              <w:t>skutków finansowych dla jednostek sektora finansów publicznych, w tym budżetu państwa</w:t>
            </w:r>
            <w:r>
              <w:rPr>
                <w:rFonts w:ascii="Times New Roman" w:hAnsi="Times New Roman"/>
              </w:rPr>
              <w:t xml:space="preserve"> </w:t>
            </w:r>
            <w:r w:rsidRPr="0009167C">
              <w:rPr>
                <w:rFonts w:ascii="Times New Roman" w:hAnsi="Times New Roman"/>
              </w:rPr>
              <w:t>i budżetów jednostek samorządu terytorialnego, w stosunku do wielkości wynikających</w:t>
            </w:r>
            <w:r>
              <w:rPr>
                <w:rFonts w:ascii="Times New Roman" w:hAnsi="Times New Roman"/>
              </w:rPr>
              <w:t xml:space="preserve"> </w:t>
            </w:r>
            <w:r w:rsidRPr="0009167C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 </w:t>
            </w:r>
            <w:r w:rsidRPr="0009167C">
              <w:rPr>
                <w:rFonts w:ascii="Times New Roman" w:hAnsi="Times New Roman"/>
              </w:rPr>
              <w:t>obowiązujących przepisów.</w:t>
            </w:r>
          </w:p>
        </w:tc>
      </w:tr>
      <w:tr w:rsidR="002B61F0" w:rsidRPr="008B4FE6" w14:paraId="41336F84" w14:textId="77777777" w:rsidTr="00490CCE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1971E38E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B61F0" w:rsidRPr="008B4FE6" w14:paraId="4704DB27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6D49E5E1" w14:textId="77777777" w:rsidR="002B61F0" w:rsidRPr="00301959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B61F0" w:rsidRPr="008B4FE6" w14:paraId="40B65B95" w14:textId="77777777" w:rsidTr="009314EE">
        <w:trPr>
          <w:gridAfter w:val="1"/>
          <w:wAfter w:w="10" w:type="dxa"/>
          <w:trHeight w:val="142"/>
        </w:trPr>
        <w:tc>
          <w:tcPr>
            <w:tcW w:w="3885" w:type="dxa"/>
            <w:gridSpan w:val="7"/>
            <w:shd w:val="clear" w:color="auto" w:fill="FFFFFF"/>
          </w:tcPr>
          <w:p w14:paraId="20584F19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DF2315" w14:textId="77777777" w:rsidR="002B61F0" w:rsidRPr="00301959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951D4E3" w14:textId="77777777" w:rsidR="002B61F0" w:rsidRPr="00301959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360F6D7" w14:textId="77777777" w:rsidR="002B61F0" w:rsidRPr="00301959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9EA3893" w14:textId="77777777" w:rsidR="002B61F0" w:rsidRPr="00301959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892828" w14:textId="77777777" w:rsidR="002B61F0" w:rsidRPr="00301959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D66EAE" w14:textId="77777777" w:rsidR="002B61F0" w:rsidRPr="00301959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6" w:type="dxa"/>
            <w:shd w:val="clear" w:color="auto" w:fill="FFFFFF"/>
          </w:tcPr>
          <w:p w14:paraId="3660F57C" w14:textId="77777777" w:rsidR="002B61F0" w:rsidRPr="001B3460" w:rsidRDefault="002B61F0" w:rsidP="00490C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B61F0" w:rsidRPr="008B4FE6" w14:paraId="3E889804" w14:textId="77777777" w:rsidTr="009314EE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2EE42C2F" w14:textId="77777777" w:rsidR="002B61F0" w:rsidRDefault="002B61F0" w:rsidP="00490CC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27FE4BD" w14:textId="77777777" w:rsidR="002B61F0" w:rsidRDefault="002B61F0" w:rsidP="00490CCE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F76DC15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0DE5FF08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B75819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5F953B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0DC03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92E58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7B474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16A383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6" w:type="dxa"/>
            <w:shd w:val="clear" w:color="auto" w:fill="FFFFFF"/>
          </w:tcPr>
          <w:p w14:paraId="72FBBCD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3436F5F4" w14:textId="77777777" w:rsidTr="009314E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193C9A83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45004AE3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45C24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A39FEA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EAE14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6D11265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BB901E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F94D08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6" w:type="dxa"/>
            <w:shd w:val="clear" w:color="auto" w:fill="FFFFFF"/>
          </w:tcPr>
          <w:p w14:paraId="2B1087D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5C250EEA" w14:textId="77777777" w:rsidTr="009314E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3B865EBE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2CED7558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CBB6E0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D792A8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C618664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46D5BC7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66DD00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391E9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6" w:type="dxa"/>
            <w:shd w:val="clear" w:color="auto" w:fill="FFFFFF"/>
          </w:tcPr>
          <w:p w14:paraId="5D568B26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5ACA5670" w14:textId="77777777" w:rsidTr="009314EE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14BA063F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3F8E4D31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2" w:type="dxa"/>
            <w:gridSpan w:val="21"/>
            <w:shd w:val="clear" w:color="auto" w:fill="FFFFFF"/>
          </w:tcPr>
          <w:p w14:paraId="51343461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3D5DD8AC" w14:textId="77777777" w:rsidTr="009314EE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1F62E16E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2F6EEB2A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52" w:type="dxa"/>
            <w:gridSpan w:val="21"/>
            <w:shd w:val="clear" w:color="auto" w:fill="FFFFFF"/>
          </w:tcPr>
          <w:p w14:paraId="4D40788F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57925C8E" w14:textId="77777777" w:rsidTr="009314EE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544E0657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505618DD" w14:textId="77777777" w:rsidR="002B61F0" w:rsidRPr="00301959" w:rsidRDefault="002B61F0" w:rsidP="00490C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2" w:type="dxa"/>
            <w:gridSpan w:val="21"/>
            <w:shd w:val="clear" w:color="auto" w:fill="FFFFFF"/>
          </w:tcPr>
          <w:p w14:paraId="7D1BBE53" w14:textId="77777777" w:rsidR="00226178" w:rsidRPr="007C5B6B" w:rsidRDefault="00226178" w:rsidP="00226178">
            <w:pPr>
              <w:jc w:val="both"/>
              <w:rPr>
                <w:rFonts w:ascii="Times New Roman" w:hAnsi="Times New Roman"/>
              </w:rPr>
            </w:pPr>
            <w:r w:rsidRPr="007C5B6B">
              <w:rPr>
                <w:rFonts w:ascii="Times New Roman" w:hAnsi="Times New Roman"/>
              </w:rPr>
              <w:t>Regulacje nie będą miały wpływu na rodzinę, obywateli, gospodarstwa domowe, sytuację osób niepełnosprawnych oraz osób starszych.</w:t>
            </w:r>
          </w:p>
          <w:p w14:paraId="1204A749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73A7ABBE" w14:textId="77777777" w:rsidTr="009314EE">
        <w:trPr>
          <w:gridAfter w:val="1"/>
          <w:wAfter w:w="10" w:type="dxa"/>
          <w:trHeight w:val="142"/>
        </w:trPr>
        <w:tc>
          <w:tcPr>
            <w:tcW w:w="1594" w:type="dxa"/>
            <w:shd w:val="clear" w:color="auto" w:fill="FFFFFF"/>
          </w:tcPr>
          <w:p w14:paraId="24F5A6E7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7F10B44C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2" w:type="dxa"/>
            <w:gridSpan w:val="21"/>
            <w:shd w:val="clear" w:color="auto" w:fill="FFFFFF"/>
          </w:tcPr>
          <w:p w14:paraId="3EE1B348" w14:textId="77777777" w:rsidR="002B61F0" w:rsidRPr="00B37C8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61F0" w:rsidRPr="008B4FE6" w14:paraId="4E16D4CE" w14:textId="77777777" w:rsidTr="009314EE">
        <w:trPr>
          <w:gridAfter w:val="1"/>
          <w:wAfter w:w="10" w:type="dxa"/>
          <w:trHeight w:val="1643"/>
        </w:trPr>
        <w:tc>
          <w:tcPr>
            <w:tcW w:w="2240" w:type="dxa"/>
            <w:gridSpan w:val="2"/>
            <w:shd w:val="clear" w:color="auto" w:fill="FFFFFF"/>
          </w:tcPr>
          <w:p w14:paraId="02748905" w14:textId="77777777" w:rsidR="002B61F0" w:rsidRPr="00301959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7" w:type="dxa"/>
            <w:gridSpan w:val="26"/>
            <w:shd w:val="clear" w:color="auto" w:fill="FFFFFF"/>
            <w:vAlign w:val="center"/>
          </w:tcPr>
          <w:p w14:paraId="1B32EC9D" w14:textId="07A33F04" w:rsidR="002B61F0" w:rsidRPr="007C5B6B" w:rsidRDefault="002B61F0" w:rsidP="00490CCE">
            <w:pPr>
              <w:jc w:val="both"/>
              <w:rPr>
                <w:rFonts w:ascii="Times New Roman" w:hAnsi="Times New Roman"/>
                <w:color w:val="FF0000"/>
              </w:rPr>
            </w:pPr>
            <w:r w:rsidRPr="00457686">
              <w:rPr>
                <w:rFonts w:ascii="Times New Roman" w:hAnsi="Times New Roman"/>
              </w:rPr>
              <w:t xml:space="preserve">Wejście w życie rozporządzenia będzie miało wpływ na konkurencyjność gospodarki i przedsiębiorczość </w:t>
            </w:r>
            <w:r w:rsidR="009A05CC">
              <w:rPr>
                <w:rFonts w:ascii="Times New Roman" w:hAnsi="Times New Roman"/>
              </w:rPr>
              <w:t>(na</w:t>
            </w:r>
            <w:r w:rsidRPr="00457686">
              <w:rPr>
                <w:rFonts w:ascii="Times New Roman" w:hAnsi="Times New Roman"/>
                <w:bCs/>
              </w:rPr>
              <w:t xml:space="preserve"> funkcjonowanie przedsiębiorstw,</w:t>
            </w:r>
            <w:r w:rsidRPr="00457686">
              <w:rPr>
                <w:rFonts w:ascii="Times New Roman" w:hAnsi="Times New Roman"/>
              </w:rPr>
              <w:t xml:space="preserve"> </w:t>
            </w:r>
            <w:r w:rsidR="009A05CC">
              <w:rPr>
                <w:rFonts w:ascii="Times New Roman" w:hAnsi="Times New Roman"/>
              </w:rPr>
              <w:t>w tym</w:t>
            </w:r>
            <w:r w:rsidR="00A451D0" w:rsidRPr="00457686">
              <w:rPr>
                <w:rFonts w:ascii="Times New Roman" w:hAnsi="Times New Roman"/>
              </w:rPr>
              <w:t xml:space="preserve"> małych i średnich przedsiębiorców</w:t>
            </w:r>
            <w:r w:rsidR="009A05CC">
              <w:rPr>
                <w:rFonts w:ascii="Times New Roman" w:hAnsi="Times New Roman"/>
              </w:rPr>
              <w:t>),</w:t>
            </w:r>
            <w:r w:rsidR="00A451D0" w:rsidRPr="00457686">
              <w:rPr>
                <w:rFonts w:ascii="Times New Roman" w:hAnsi="Times New Roman"/>
              </w:rPr>
              <w:t xml:space="preserve"> </w:t>
            </w:r>
            <w:r w:rsidR="009A05CC">
              <w:rPr>
                <w:rFonts w:ascii="Times New Roman" w:hAnsi="Times New Roman"/>
              </w:rPr>
              <w:t>po</w:t>
            </w:r>
            <w:r w:rsidRPr="00457686">
              <w:rPr>
                <w:rFonts w:ascii="Times New Roman" w:hAnsi="Times New Roman"/>
              </w:rPr>
              <w:t>przez poprawę bezpieczeństwa i higieny pracy, w wyniku wprowadzanych wartości normatywnych czynników szkodliwych dla zdrowia występujących w środowisku pracy</w:t>
            </w:r>
            <w:r w:rsidRPr="007C5B6B">
              <w:rPr>
                <w:rFonts w:ascii="Times New Roman" w:hAnsi="Times New Roman"/>
              </w:rPr>
              <w:t>.</w:t>
            </w:r>
            <w:r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Pracodawca prowadzący działalność powodującą występowanie czynników szkodliwych dla zdrowia w środowisku pracy jest zobowiązany do podejmowania działań w kierunku ochrony zdrowia pracowników i poprawy warunków pracy. Wejście w życie rozporządzenia umożliwi pełniejszą ocenę warunków pracy, w tym ocenę ryzyka związanego z występującymi w środowisku pracy czynn</w:t>
            </w:r>
            <w:r w:rsidR="00CA3372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ikami szkodliwymi dla zdrowia. </w:t>
            </w:r>
            <w:r w:rsidR="0093416E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Pracodawcy</w:t>
            </w:r>
            <w:r w:rsidR="00CA3372" w:rsidRPr="007C5B6B">
              <w:rPr>
                <w:rFonts w:ascii="Times New Roman" w:hAnsi="Times New Roman"/>
              </w:rPr>
              <w:t xml:space="preserve"> </w:t>
            </w:r>
            <w:r w:rsidRPr="007C5B6B">
              <w:rPr>
                <w:rFonts w:ascii="Times New Roman" w:hAnsi="Times New Roman"/>
              </w:rPr>
              <w:t>zobowiązani są do wykon</w:t>
            </w:r>
            <w:r w:rsidR="00E341C6" w:rsidRPr="007C5B6B">
              <w:rPr>
                <w:rFonts w:ascii="Times New Roman" w:hAnsi="Times New Roman"/>
              </w:rPr>
              <w:t>yw</w:t>
            </w:r>
            <w:r w:rsidRPr="007C5B6B">
              <w:rPr>
                <w:rFonts w:ascii="Times New Roman" w:hAnsi="Times New Roman"/>
              </w:rPr>
              <w:t xml:space="preserve">ania pomiarów stężeń czynników szkodliwych dla zdrowia wymienionych w rozporządzeniu w ramach dotychczasowych </w:t>
            </w:r>
            <w:r w:rsidR="007C5B6B">
              <w:rPr>
                <w:rFonts w:ascii="Times New Roman" w:hAnsi="Times New Roman"/>
              </w:rPr>
              <w:t>obowiązków</w:t>
            </w:r>
            <w:r w:rsidRPr="007C5B6B">
              <w:rPr>
                <w:rFonts w:ascii="Times New Roman" w:hAnsi="Times New Roman"/>
              </w:rPr>
              <w:t>. Pomiary czynników szkodliwych dla zdrowia pracodawca jest obowiązany wykonywać zgodnie z rozporządzeniem Ministra Zdrowia z dnia 2 lutego 2011 r. w sprawie badań i pomiarów czynników szkodliwych dla zdrowia w środowisku pracy (Dz. U. poz. 166</w:t>
            </w:r>
            <w:r w:rsidR="00367939" w:rsidRPr="00367939">
              <w:rPr>
                <w:rFonts w:ascii="Times New Roman" w:hAnsi="Times New Roman"/>
              </w:rPr>
              <w:t>, z późn. zm.)</w:t>
            </w:r>
            <w:r w:rsidR="00367939">
              <w:rPr>
                <w:rFonts w:ascii="Times New Roman" w:hAnsi="Times New Roman"/>
              </w:rPr>
              <w:t>. Zgodnie z tym</w:t>
            </w:r>
            <w:r w:rsidR="00367939" w:rsidRPr="00367939">
              <w:rPr>
                <w:rFonts w:ascii="Times New Roman" w:hAnsi="Times New Roman"/>
              </w:rPr>
              <w:t xml:space="preserve"> </w:t>
            </w:r>
            <w:r w:rsidR="00367939">
              <w:rPr>
                <w:rFonts w:ascii="Times New Roman" w:hAnsi="Times New Roman"/>
              </w:rPr>
              <w:t xml:space="preserve">rozporządzeniem to </w:t>
            </w:r>
            <w:r w:rsidR="00367939" w:rsidRPr="00367939">
              <w:rPr>
                <w:rFonts w:ascii="Times New Roman" w:hAnsi="Times New Roman"/>
              </w:rPr>
              <w:t xml:space="preserve">pracodawca wskazuje czynniki szkodliwe dla zdrowia w środowisku pracy, dla których wykonuje się badania i pomiary, po przeprowadzeniu rozpoznania źródeł ich emisji oraz warunków wykonywania pracy, które mają wpływ na poziom stężeń lub natężeń czynników lub na poziom narażenia na oddziaływanie tych czynników. Rozporządzenie </w:t>
            </w:r>
            <w:r w:rsidR="00367939">
              <w:rPr>
                <w:rFonts w:ascii="Times New Roman" w:hAnsi="Times New Roman"/>
              </w:rPr>
              <w:t xml:space="preserve">to </w:t>
            </w:r>
            <w:r w:rsidR="00367939" w:rsidRPr="00367939">
              <w:rPr>
                <w:rFonts w:ascii="Times New Roman" w:hAnsi="Times New Roman"/>
              </w:rPr>
              <w:t>określa też tryb, metody,</w:t>
            </w:r>
            <w:r w:rsidR="00C22B32">
              <w:rPr>
                <w:rFonts w:ascii="Times New Roman" w:hAnsi="Times New Roman"/>
              </w:rPr>
              <w:t xml:space="preserve"> </w:t>
            </w:r>
            <w:r w:rsidR="00367939" w:rsidRPr="00367939">
              <w:rPr>
                <w:rFonts w:ascii="Times New Roman" w:hAnsi="Times New Roman"/>
              </w:rPr>
              <w:t xml:space="preserve">rodzaj </w:t>
            </w:r>
            <w:r w:rsidR="00367939">
              <w:rPr>
                <w:rFonts w:ascii="Times New Roman" w:hAnsi="Times New Roman"/>
              </w:rPr>
              <w:br/>
            </w:r>
            <w:r w:rsidR="00367939" w:rsidRPr="00367939">
              <w:rPr>
                <w:rFonts w:ascii="Times New Roman" w:hAnsi="Times New Roman"/>
              </w:rPr>
              <w:t xml:space="preserve">i częstotliwość wykonywania badań i pomiarów czynników szkodliwych dla zdrowia występujących w środowisku pracy </w:t>
            </w:r>
            <w:r w:rsidR="00367939">
              <w:rPr>
                <w:rFonts w:ascii="Times New Roman" w:hAnsi="Times New Roman"/>
              </w:rPr>
              <w:t xml:space="preserve">oraz określa </w:t>
            </w:r>
            <w:r w:rsidR="00367939" w:rsidRPr="00367939">
              <w:rPr>
                <w:rFonts w:ascii="Times New Roman" w:hAnsi="Times New Roman"/>
              </w:rPr>
              <w:t>przypadki, w których jest konieczne prowadzenie pomiarów ciągłych</w:t>
            </w:r>
            <w:r w:rsidR="00367939">
              <w:rPr>
                <w:rFonts w:ascii="Times New Roman" w:hAnsi="Times New Roman"/>
              </w:rPr>
              <w:t xml:space="preserve"> (dla </w:t>
            </w:r>
            <w:r w:rsidR="00CF7704">
              <w:rPr>
                <w:rFonts w:ascii="Times New Roman" w:hAnsi="Times New Roman"/>
              </w:rPr>
              <w:t xml:space="preserve">określonych wartości </w:t>
            </w:r>
            <w:r w:rsidR="00367939">
              <w:rPr>
                <w:rFonts w:ascii="Times New Roman" w:hAnsi="Times New Roman"/>
              </w:rPr>
              <w:t>NDSP)</w:t>
            </w:r>
            <w:r w:rsidR="00367939" w:rsidRPr="00367939">
              <w:rPr>
                <w:rFonts w:ascii="Times New Roman" w:hAnsi="Times New Roman"/>
              </w:rPr>
              <w:t xml:space="preserve"> oraz sytuacje kiedy pracodawca może odstąpić od wykonywania badań i pomiarów</w:t>
            </w:r>
            <w:r w:rsidR="00367939">
              <w:rPr>
                <w:rFonts w:ascii="Times New Roman" w:hAnsi="Times New Roman"/>
              </w:rPr>
              <w:t xml:space="preserve"> (</w:t>
            </w:r>
            <w:r w:rsidR="00CF7704">
              <w:rPr>
                <w:rFonts w:ascii="Times New Roman" w:hAnsi="Times New Roman"/>
              </w:rPr>
              <w:t xml:space="preserve">wcześniejsze </w:t>
            </w:r>
            <w:r w:rsidR="00367939">
              <w:rPr>
                <w:rFonts w:ascii="Times New Roman" w:hAnsi="Times New Roman"/>
              </w:rPr>
              <w:t>wyniki</w:t>
            </w:r>
            <w:r w:rsidR="00CF7704">
              <w:rPr>
                <w:rFonts w:ascii="Times New Roman" w:hAnsi="Times New Roman"/>
              </w:rPr>
              <w:t xml:space="preserve"> pomiarów</w:t>
            </w:r>
            <w:r w:rsidR="00367939">
              <w:rPr>
                <w:rFonts w:ascii="Times New Roman" w:hAnsi="Times New Roman"/>
              </w:rPr>
              <w:t xml:space="preserve"> </w:t>
            </w:r>
            <w:r w:rsidR="00367939">
              <w:rPr>
                <w:rFonts w:ascii="Times New Roman" w:hAnsi="Times New Roman"/>
              </w:rPr>
              <w:lastRenderedPageBreak/>
              <w:t>poniżej 0,1 wartości NDS).</w:t>
            </w:r>
            <w:r w:rsidR="00AE799F">
              <w:rPr>
                <w:rFonts w:ascii="Times New Roman" w:hAnsi="Times New Roman"/>
              </w:rPr>
              <w:t xml:space="preserve"> </w:t>
            </w:r>
            <w:r w:rsidRPr="00040BE6">
              <w:rPr>
                <w:rFonts w:ascii="Times New Roman" w:hAnsi="Times New Roman"/>
              </w:rPr>
              <w:t>W </w:t>
            </w:r>
            <w:r w:rsidR="00040BE6" w:rsidRPr="00040BE6">
              <w:rPr>
                <w:rFonts w:ascii="Times New Roman" w:hAnsi="Times New Roman"/>
              </w:rPr>
              <w:t>odniesieniu do</w:t>
            </w:r>
            <w:r w:rsidRPr="00040BE6">
              <w:rPr>
                <w:rFonts w:ascii="Times New Roman" w:hAnsi="Times New Roman"/>
              </w:rPr>
              <w:t xml:space="preserve"> </w:t>
            </w:r>
            <w:r w:rsidR="002C4048">
              <w:rPr>
                <w:rFonts w:ascii="Times New Roman" w:hAnsi="Times New Roman"/>
              </w:rPr>
              <w:t xml:space="preserve">nowych </w:t>
            </w:r>
            <w:r w:rsidRPr="00040BE6">
              <w:rPr>
                <w:rFonts w:ascii="Times New Roman" w:hAnsi="Times New Roman"/>
              </w:rPr>
              <w:t>substancji chemiczn</w:t>
            </w:r>
            <w:r w:rsidR="00457686">
              <w:rPr>
                <w:rFonts w:ascii="Times New Roman" w:hAnsi="Times New Roman"/>
              </w:rPr>
              <w:t>ych</w:t>
            </w:r>
            <w:r w:rsidRPr="00040BE6">
              <w:rPr>
                <w:rFonts w:ascii="Times New Roman" w:hAnsi="Times New Roman"/>
              </w:rPr>
              <w:t xml:space="preserve"> wprowadzon</w:t>
            </w:r>
            <w:r w:rsidR="00457686">
              <w:rPr>
                <w:rFonts w:ascii="Times New Roman" w:hAnsi="Times New Roman"/>
              </w:rPr>
              <w:t>ych</w:t>
            </w:r>
            <w:r w:rsidR="0093416E">
              <w:rPr>
                <w:rFonts w:ascii="Times New Roman" w:hAnsi="Times New Roman"/>
              </w:rPr>
              <w:t xml:space="preserve"> do zawartego w rozporządzeniu wykazu </w:t>
            </w:r>
            <w:r w:rsidRPr="00040BE6">
              <w:rPr>
                <w:rFonts w:ascii="Times New Roman" w:hAnsi="Times New Roman"/>
              </w:rPr>
              <w:t xml:space="preserve">nie ma </w:t>
            </w:r>
            <w:r w:rsidR="0093416E">
              <w:rPr>
                <w:rFonts w:ascii="Times New Roman" w:hAnsi="Times New Roman"/>
              </w:rPr>
              <w:t xml:space="preserve">obecnie </w:t>
            </w:r>
            <w:r w:rsidRPr="00040BE6">
              <w:rPr>
                <w:rFonts w:ascii="Times New Roman" w:hAnsi="Times New Roman"/>
              </w:rPr>
              <w:t xml:space="preserve">informacji </w:t>
            </w:r>
            <w:r w:rsidR="00B275B1">
              <w:rPr>
                <w:rFonts w:ascii="Times New Roman" w:hAnsi="Times New Roman"/>
              </w:rPr>
              <w:t>o</w:t>
            </w:r>
            <w:r w:rsidRPr="00040BE6">
              <w:rPr>
                <w:rFonts w:ascii="Times New Roman" w:hAnsi="Times New Roman"/>
              </w:rPr>
              <w:t xml:space="preserve"> narażeniu</w:t>
            </w:r>
            <w:r w:rsidR="00B275B1">
              <w:rPr>
                <w:rFonts w:ascii="Times New Roman" w:hAnsi="Times New Roman"/>
              </w:rPr>
              <w:t xml:space="preserve"> zawodowym</w:t>
            </w:r>
            <w:r w:rsidRPr="00040BE6">
              <w:rPr>
                <w:rFonts w:ascii="Times New Roman" w:hAnsi="Times New Roman"/>
              </w:rPr>
              <w:t>. Dopiero</w:t>
            </w:r>
            <w:r w:rsidRPr="007C5B6B">
              <w:rPr>
                <w:rFonts w:ascii="Times New Roman" w:hAnsi="Times New Roman"/>
              </w:rPr>
              <w:t xml:space="preserve"> po wprowadzeniu do rozporządzenia now</w:t>
            </w:r>
            <w:r w:rsidR="00B275B1">
              <w:rPr>
                <w:rFonts w:ascii="Times New Roman" w:hAnsi="Times New Roman"/>
              </w:rPr>
              <w:t>ego</w:t>
            </w:r>
            <w:r w:rsidRPr="007C5B6B">
              <w:rPr>
                <w:rFonts w:ascii="Times New Roman" w:hAnsi="Times New Roman"/>
              </w:rPr>
              <w:t xml:space="preserve"> czynnik</w:t>
            </w:r>
            <w:r w:rsidR="00B275B1">
              <w:rPr>
                <w:rFonts w:ascii="Times New Roman" w:hAnsi="Times New Roman"/>
              </w:rPr>
              <w:t>a</w:t>
            </w:r>
            <w:r w:rsidRPr="007C5B6B">
              <w:rPr>
                <w:rFonts w:ascii="Times New Roman" w:hAnsi="Times New Roman"/>
              </w:rPr>
              <w:t xml:space="preserve"> i wykonaniu pomiarów</w:t>
            </w:r>
            <w:r w:rsidR="007C5B6B">
              <w:rPr>
                <w:rFonts w:ascii="Times New Roman" w:hAnsi="Times New Roman"/>
              </w:rPr>
              <w:t xml:space="preserve"> dostępne będą dane dotyczące zastosowania czy narażenia</w:t>
            </w:r>
            <w:r w:rsidRPr="007C5B6B">
              <w:rPr>
                <w:rFonts w:ascii="Times New Roman" w:hAnsi="Times New Roman"/>
              </w:rPr>
              <w:t xml:space="preserve"> na dany czynnik</w:t>
            </w:r>
            <w:r w:rsidR="00B275B1">
              <w:rPr>
                <w:rFonts w:ascii="Times New Roman" w:hAnsi="Times New Roman"/>
              </w:rPr>
              <w:t xml:space="preserve"> chemiczny</w:t>
            </w:r>
            <w:r w:rsidRPr="007C5B6B">
              <w:rPr>
                <w:rFonts w:ascii="Times New Roman" w:hAnsi="Times New Roman"/>
              </w:rPr>
              <w:t xml:space="preserve">. </w:t>
            </w:r>
          </w:p>
          <w:p w14:paraId="0BAC0294" w14:textId="16C64322" w:rsidR="00E341C6" w:rsidRPr="007C5B6B" w:rsidRDefault="00040BE6" w:rsidP="008D2567">
            <w:pPr>
              <w:jc w:val="both"/>
              <w:rPr>
                <w:rFonts w:ascii="Times New Roman" w:hAnsi="Times New Roman"/>
              </w:rPr>
            </w:pPr>
            <w:r w:rsidRPr="00040BE6">
              <w:rPr>
                <w:rFonts w:ascii="Times New Roman" w:hAnsi="Times New Roman"/>
              </w:rPr>
              <w:t>Z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miana rozporządzenia skutkować powinna korzyściami dla pracodawców związanymi ze zmniejszeniem absencji chorobowej wynikającej ze szkodliwych warunków pracy. Korzyści wynikające z ograniczenia absencji chorobowej tylko o 2 tygodnie w ciągu roku dla jedneg</w:t>
            </w:r>
            <w:r w:rsidR="00DD1B4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o pracownika mogą wynieść ok. 2</w:t>
            </w:r>
            <w:r w:rsidR="00DB6194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7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00 PLN (wg danych Głównego Urzędu Statystycznego </w:t>
            </w:r>
            <w:r w:rsidR="00CD5440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br/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o</w:t>
            </w:r>
            <w:r w:rsidR="00DD1B4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przeciętnym wynagrodzeniu za I</w:t>
            </w:r>
            <w:r w:rsidR="00DB6194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kwartał 20</w:t>
            </w:r>
            <w:r w:rsidR="00DB6194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20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r.). Dodatkowo skutkować może obniżeniem </w:t>
            </w:r>
            <w:r w:rsidR="00457686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liczby</w:t>
            </w:r>
            <w:r w:rsidR="00F6408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stwierdzonych chorób zawodowych, </w:t>
            </w:r>
            <w:r w:rsidR="008D256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która </w:t>
            </w:r>
            <w:r w:rsidR="00F6408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ma wpływ na </w:t>
            </w:r>
            <w:r w:rsidR="008D256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wysokość </w:t>
            </w:r>
            <w:r w:rsidR="00F6408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składki 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na ubezpieczenie z tytułu </w:t>
            </w:r>
            <w:r w:rsidR="00F6408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wypadków przy pracy i ch</w:t>
            </w:r>
            <w:r w:rsidR="003222F0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o</w:t>
            </w:r>
            <w:r w:rsidR="00F6408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rób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zawodow</w:t>
            </w:r>
            <w:r w:rsidR="00F64081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ych dla poszczególnych grup działalności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. </w:t>
            </w:r>
            <w:r w:rsidR="008D256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Należy </w:t>
            </w:r>
            <w:r w:rsidR="009A05CC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przyjąć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, że korzyści pracodawców z tytułu wprowadzenia 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nowelizacji 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rozporządzenia będą wyższe niż poniesione koszty na wykonanie pomiarów stężeń czynników szkodliwych dla zdrowia w środowisku pracy. Projektowane rozporządzenie </w:t>
            </w:r>
            <w:r w:rsidR="008D256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spowod</w:t>
            </w:r>
            <w:r w:rsidR="002C4048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u</w:t>
            </w:r>
            <w:r w:rsidR="008D256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je 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lepszą ochron</w:t>
            </w:r>
            <w:r w:rsidR="00733230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ę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zdrowia pracowników w pracy. </w:t>
            </w:r>
            <w:r w:rsidR="00457686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Skutkować to powinno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ograniczenie</w:t>
            </w:r>
            <w:r w:rsidR="00457686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m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ponoszonych przez pracowników i pracodawców kosztów absencji i leczenia, jak i wydłużenie</w:t>
            </w:r>
            <w:r w:rsidR="00457686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>m</w:t>
            </w:r>
            <w:r w:rsidR="002B61F0" w:rsidRPr="007C5B6B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okresu aktywności zawodowej.</w:t>
            </w:r>
            <w:r w:rsidR="008D2567">
              <w:rPr>
                <w:rFonts w:ascii="Times New Roman" w:eastAsia="Times New Roman" w:hAnsi="Times New Roman"/>
                <w:bCs/>
                <w:noProof/>
                <w:color w:val="000000"/>
                <w:lang w:eastAsia="pl-PL"/>
              </w:rPr>
              <w:t xml:space="preserve"> </w:t>
            </w:r>
            <w:r w:rsidR="002B61F0" w:rsidRPr="007C5B6B">
              <w:rPr>
                <w:rFonts w:ascii="Times New Roman" w:hAnsi="Times New Roman"/>
              </w:rPr>
              <w:t>Systematyczne poszerzanie polskiego wykazu najwyższych dopuszczalnych stężeń i natężeń czynników szkodliwych dla zdrowia daje jednak pracodawcom możliwość oceny narażenia zawodowego na czynniki szkodliwe i realizację podstawowego obowiązku</w:t>
            </w:r>
            <w:r w:rsidR="008D2567">
              <w:rPr>
                <w:rFonts w:ascii="Times New Roman" w:hAnsi="Times New Roman"/>
              </w:rPr>
              <w:t xml:space="preserve"> </w:t>
            </w:r>
            <w:r w:rsidR="002B61F0" w:rsidRPr="007C5B6B">
              <w:rPr>
                <w:rFonts w:ascii="Times New Roman" w:hAnsi="Times New Roman"/>
              </w:rPr>
              <w:t>wynikającego z Kodeksu pracy i z dyrektywy ramowej UE (dyrektywa 89/391/WE), tj. ochronę zdrowia pracowników oraz możliwość prawidłowego zarządzania ryzykiem zawodowym.</w:t>
            </w:r>
          </w:p>
          <w:p w14:paraId="49DD6920" w14:textId="77777777" w:rsidR="002B61F0" w:rsidRPr="00CD5440" w:rsidRDefault="00E341C6" w:rsidP="008D2567">
            <w:pPr>
              <w:jc w:val="both"/>
              <w:rPr>
                <w:rFonts w:ascii="Times New Roman" w:hAnsi="Times New Roman"/>
              </w:rPr>
            </w:pPr>
            <w:r w:rsidRPr="007C5B6B">
              <w:rPr>
                <w:rFonts w:ascii="Times New Roman" w:hAnsi="Times New Roman"/>
              </w:rPr>
              <w:t>Regulacje nie st</w:t>
            </w:r>
            <w:r w:rsidR="00CD5440">
              <w:rPr>
                <w:rFonts w:ascii="Times New Roman" w:hAnsi="Times New Roman"/>
              </w:rPr>
              <w:t>warzają zagrożenia korupcyjnego.</w:t>
            </w:r>
          </w:p>
        </w:tc>
      </w:tr>
      <w:tr w:rsidR="002B61F0" w:rsidRPr="008B4FE6" w14:paraId="4CF17438" w14:textId="77777777" w:rsidTr="00490CCE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CEEB70E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B61F0" w:rsidRPr="008B4FE6" w14:paraId="517993C5" w14:textId="77777777" w:rsidTr="00490CCE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660463E7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B61F0" w:rsidRPr="008B4FE6" w14:paraId="374F1264" w14:textId="77777777" w:rsidTr="009314EE">
        <w:trPr>
          <w:gridAfter w:val="1"/>
          <w:wAfter w:w="10" w:type="dxa"/>
          <w:trHeight w:val="946"/>
        </w:trPr>
        <w:tc>
          <w:tcPr>
            <w:tcW w:w="5107" w:type="dxa"/>
            <w:gridSpan w:val="12"/>
            <w:shd w:val="clear" w:color="auto" w:fill="FFFFFF"/>
          </w:tcPr>
          <w:p w14:paraId="4026DA43" w14:textId="77777777" w:rsidR="002B61F0" w:rsidRDefault="002B61F0" w:rsidP="00490CC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0" w:type="dxa"/>
            <w:gridSpan w:val="16"/>
            <w:shd w:val="clear" w:color="auto" w:fill="FFFFFF"/>
          </w:tcPr>
          <w:p w14:paraId="2D90132F" w14:textId="77777777" w:rsidR="002B61F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B3CB98F" w14:textId="77777777" w:rsidR="002B61F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3A7615E" w14:textId="77777777" w:rsidR="002B61F0" w:rsidRDefault="002B61F0" w:rsidP="00490CCE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B61F0" w:rsidRPr="008B4FE6" w14:paraId="707977BF" w14:textId="77777777" w:rsidTr="009314EE">
        <w:trPr>
          <w:gridAfter w:val="1"/>
          <w:wAfter w:w="10" w:type="dxa"/>
          <w:trHeight w:val="1245"/>
        </w:trPr>
        <w:tc>
          <w:tcPr>
            <w:tcW w:w="5107" w:type="dxa"/>
            <w:gridSpan w:val="12"/>
            <w:shd w:val="clear" w:color="auto" w:fill="FFFFFF"/>
          </w:tcPr>
          <w:p w14:paraId="6F81457D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D53D155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3928CB6" w14:textId="77777777" w:rsidR="002B61F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82CEBFF" w14:textId="77777777" w:rsidR="002B61F0" w:rsidRPr="008B4FE6" w:rsidRDefault="002B61F0" w:rsidP="00490CCE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0" w:type="dxa"/>
            <w:gridSpan w:val="16"/>
            <w:shd w:val="clear" w:color="auto" w:fill="FFFFFF"/>
          </w:tcPr>
          <w:p w14:paraId="7E667338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B5F2687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C55D432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3BA6320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2B61F0" w:rsidRPr="008B4FE6" w14:paraId="37486CC7" w14:textId="77777777" w:rsidTr="009314EE">
        <w:trPr>
          <w:gridAfter w:val="1"/>
          <w:wAfter w:w="10" w:type="dxa"/>
          <w:trHeight w:val="870"/>
        </w:trPr>
        <w:tc>
          <w:tcPr>
            <w:tcW w:w="5107" w:type="dxa"/>
            <w:gridSpan w:val="12"/>
            <w:shd w:val="clear" w:color="auto" w:fill="FFFFFF"/>
          </w:tcPr>
          <w:p w14:paraId="7EF3D245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0" w:type="dxa"/>
            <w:gridSpan w:val="16"/>
            <w:shd w:val="clear" w:color="auto" w:fill="FFFFFF"/>
          </w:tcPr>
          <w:p w14:paraId="6AD692E1" w14:textId="77777777" w:rsidR="002B61F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4CDBEA5" w14:textId="77777777" w:rsidR="002B61F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1791FD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B61F0" w:rsidRPr="008B4FE6" w14:paraId="439EE76B" w14:textId="77777777" w:rsidTr="00490CCE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7081EE46" w14:textId="77777777" w:rsidR="002B61F0" w:rsidRPr="008B4FE6" w:rsidRDefault="002B61F0" w:rsidP="00CD54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2B61F0" w:rsidRPr="008B4FE6" w14:paraId="008904E5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220D49B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B61F0" w:rsidRPr="008B4FE6" w14:paraId="05F642D0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238D7CB7" w14:textId="77777777" w:rsidR="002B61F0" w:rsidRPr="008B4FE6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będzie miało wpływu na rynek pracy.</w:t>
            </w:r>
          </w:p>
        </w:tc>
      </w:tr>
      <w:tr w:rsidR="002B61F0" w:rsidRPr="008B4FE6" w14:paraId="3AF9560A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36DEBBB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B61F0" w:rsidRPr="008B4FE6" w14:paraId="4A0C4C7A" w14:textId="77777777" w:rsidTr="009314EE">
        <w:trPr>
          <w:gridAfter w:val="1"/>
          <w:wAfter w:w="10" w:type="dxa"/>
          <w:trHeight w:val="1031"/>
        </w:trPr>
        <w:tc>
          <w:tcPr>
            <w:tcW w:w="3543" w:type="dxa"/>
            <w:gridSpan w:val="5"/>
            <w:shd w:val="clear" w:color="auto" w:fill="FFFFFF"/>
          </w:tcPr>
          <w:p w14:paraId="0A668B69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AFF0374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434377B" w14:textId="77777777" w:rsidR="002B61F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2414852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3D803513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A80F815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0BA4A32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7" w:type="dxa"/>
            <w:gridSpan w:val="9"/>
            <w:shd w:val="clear" w:color="auto" w:fill="FFFFFF"/>
          </w:tcPr>
          <w:p w14:paraId="45BD30B6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029A13" w14:textId="77777777" w:rsidR="002B61F0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DD8A38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05483">
              <w:rPr>
                <w:rFonts w:ascii="Times New Roman" w:hAnsi="Times New Roman"/>
                <w:color w:val="000000"/>
              </w:rPr>
            </w:r>
            <w:r w:rsidR="0070548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B61F0" w:rsidRPr="008B4FE6" w14:paraId="0AE66F32" w14:textId="77777777" w:rsidTr="009314EE">
        <w:trPr>
          <w:gridAfter w:val="1"/>
          <w:wAfter w:w="10" w:type="dxa"/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4DEBEC2" w14:textId="77777777" w:rsidR="002B61F0" w:rsidRPr="008B4FE6" w:rsidRDefault="002B61F0" w:rsidP="00490C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7" w:type="dxa"/>
            <w:gridSpan w:val="26"/>
            <w:shd w:val="clear" w:color="auto" w:fill="FFFFFF"/>
            <w:vAlign w:val="center"/>
          </w:tcPr>
          <w:p w14:paraId="0048FB89" w14:textId="77777777" w:rsidR="002B61F0" w:rsidRPr="008B4FE6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</w:t>
            </w:r>
            <w:r w:rsidR="008D2567">
              <w:rPr>
                <w:rFonts w:ascii="Times New Roman" w:hAnsi="Times New Roman"/>
                <w:color w:val="000000"/>
                <w:spacing w:val="-2"/>
              </w:rPr>
              <w:t xml:space="preserve">zwiększy </w:t>
            </w:r>
            <w:r>
              <w:rPr>
                <w:rFonts w:ascii="Times New Roman" w:hAnsi="Times New Roman"/>
                <w:color w:val="000000"/>
                <w:spacing w:val="-2"/>
              </w:rPr>
              <w:t>ochronę zdrowia pracowników narażonych na oddziaływanie czynników szkodliwych dla zdrowia w środowisku pracy.</w:t>
            </w:r>
          </w:p>
        </w:tc>
      </w:tr>
      <w:tr w:rsidR="002B61F0" w:rsidRPr="008B4FE6" w14:paraId="6F56D67F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5447C06" w14:textId="77777777" w:rsidR="002B61F0" w:rsidRPr="00627221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B61F0" w:rsidRPr="008B4FE6" w14:paraId="670D7574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716FBF5E" w14:textId="77777777" w:rsidR="002B61F0" w:rsidRPr="00B37C80" w:rsidRDefault="002B61F0" w:rsidP="00E47C4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Planuje się wejście w życie projektowanego rozporządzenia </w:t>
            </w:r>
            <w:r w:rsidR="00E47C48">
              <w:rPr>
                <w:rFonts w:ascii="Times New Roman" w:hAnsi="Times New Roman"/>
                <w:spacing w:val="-2"/>
              </w:rPr>
              <w:t>z dniem</w:t>
            </w:r>
            <w:r w:rsidR="00E341C6">
              <w:rPr>
                <w:rFonts w:ascii="Times New Roman" w:hAnsi="Times New Roman"/>
                <w:spacing w:val="-2"/>
              </w:rPr>
              <w:t xml:space="preserve"> </w:t>
            </w:r>
            <w:r w:rsidR="00DB6194">
              <w:rPr>
                <w:rFonts w:ascii="Times New Roman" w:hAnsi="Times New Roman"/>
                <w:spacing w:val="-2"/>
              </w:rPr>
              <w:t>21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DB6194">
              <w:rPr>
                <w:rFonts w:ascii="Times New Roman" w:hAnsi="Times New Roman"/>
                <w:spacing w:val="-2"/>
              </w:rPr>
              <w:t>lutego</w:t>
            </w:r>
            <w:r w:rsidR="00040BE6">
              <w:rPr>
                <w:rFonts w:ascii="Times New Roman" w:hAnsi="Times New Roman"/>
                <w:spacing w:val="-2"/>
              </w:rPr>
              <w:t xml:space="preserve"> 202</w:t>
            </w:r>
            <w:r w:rsidR="00DB6194"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  <w:spacing w:val="-2"/>
              </w:rPr>
              <w:t xml:space="preserve"> r.</w:t>
            </w:r>
            <w:r w:rsidR="008D2567">
              <w:rPr>
                <w:rFonts w:ascii="Times New Roman" w:hAnsi="Times New Roman"/>
                <w:spacing w:val="-2"/>
              </w:rPr>
              <w:t>, z zastrzeżeniem wejścia w życie niektórych przepisów w terminach późniejszych.</w:t>
            </w:r>
          </w:p>
        </w:tc>
      </w:tr>
      <w:tr w:rsidR="002B61F0" w:rsidRPr="008B4FE6" w14:paraId="17DBA419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A5FCA2C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B61F0" w:rsidRPr="008B4FE6" w14:paraId="21082831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603309B4" w14:textId="77777777" w:rsidR="002B61F0" w:rsidRPr="00B37C80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przewiduje się ewaluacji efektów projektu.</w:t>
            </w:r>
          </w:p>
        </w:tc>
      </w:tr>
      <w:tr w:rsidR="002B61F0" w:rsidRPr="008B4FE6" w14:paraId="3AAE3CE9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0FAA58F" w14:textId="77777777" w:rsidR="002B61F0" w:rsidRPr="008B4FE6" w:rsidRDefault="002B61F0" w:rsidP="002B61F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B61F0" w:rsidRPr="008B4FE6" w14:paraId="0A630577" w14:textId="77777777" w:rsidTr="00490CCE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496387F1" w14:textId="77777777" w:rsidR="00AF325F" w:rsidRPr="00B37C80" w:rsidRDefault="002B61F0" w:rsidP="00490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13D562B3" w14:textId="77777777" w:rsidR="00A86F47" w:rsidRDefault="00A86F47"/>
    <w:sectPr w:rsidR="00A86F4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DED" w16cex:dateUtc="2020-10-28T12:17:00Z"/>
  <w16cex:commentExtensible w16cex:durableId="2343EBF5" w16cex:dateUtc="2020-10-28T12:09:00Z"/>
  <w16cex:commentExtensible w16cex:durableId="234408F5" w16cex:dateUtc="2020-10-28T14:12:00Z"/>
  <w16cex:commentExtensible w16cex:durableId="23440030" w16cex:dateUtc="2020-10-28T13:35:00Z"/>
  <w16cex:commentExtensible w16cex:durableId="23440509" w16cex:dateUtc="2020-10-28T13:56:00Z"/>
  <w16cex:commentExtensible w16cex:durableId="23452D3C" w16cex:dateUtc="2020-10-29T10:59:00Z"/>
  <w16cex:commentExtensible w16cex:durableId="234550DF" w16cex:dateUtc="2020-10-29T13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6A1"/>
    <w:multiLevelType w:val="hybridMultilevel"/>
    <w:tmpl w:val="9536C59C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7404"/>
    <w:multiLevelType w:val="hybridMultilevel"/>
    <w:tmpl w:val="980697C0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500A3"/>
    <w:multiLevelType w:val="hybridMultilevel"/>
    <w:tmpl w:val="1C626634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9464A"/>
    <w:multiLevelType w:val="hybridMultilevel"/>
    <w:tmpl w:val="6E449C16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40A6"/>
    <w:multiLevelType w:val="hybridMultilevel"/>
    <w:tmpl w:val="99DE79B2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0"/>
    <w:rsid w:val="00000AC6"/>
    <w:rsid w:val="00040BE6"/>
    <w:rsid w:val="00042091"/>
    <w:rsid w:val="00056094"/>
    <w:rsid w:val="000665F5"/>
    <w:rsid w:val="00071FF1"/>
    <w:rsid w:val="00083649"/>
    <w:rsid w:val="000C697B"/>
    <w:rsid w:val="000D0C80"/>
    <w:rsid w:val="000E6979"/>
    <w:rsid w:val="000F4E2E"/>
    <w:rsid w:val="000F6F58"/>
    <w:rsid w:val="00104956"/>
    <w:rsid w:val="00122B3A"/>
    <w:rsid w:val="001236B8"/>
    <w:rsid w:val="001339B8"/>
    <w:rsid w:val="0018494D"/>
    <w:rsid w:val="001F0F6B"/>
    <w:rsid w:val="00226178"/>
    <w:rsid w:val="002503AA"/>
    <w:rsid w:val="00260239"/>
    <w:rsid w:val="002647C2"/>
    <w:rsid w:val="00264867"/>
    <w:rsid w:val="002B61F0"/>
    <w:rsid w:val="002C4048"/>
    <w:rsid w:val="002F688E"/>
    <w:rsid w:val="0030683F"/>
    <w:rsid w:val="003222F0"/>
    <w:rsid w:val="003457C8"/>
    <w:rsid w:val="00367939"/>
    <w:rsid w:val="003755F8"/>
    <w:rsid w:val="00425ED9"/>
    <w:rsid w:val="00457686"/>
    <w:rsid w:val="00460D0A"/>
    <w:rsid w:val="00477F70"/>
    <w:rsid w:val="004C2F46"/>
    <w:rsid w:val="004D382D"/>
    <w:rsid w:val="00551C14"/>
    <w:rsid w:val="00571674"/>
    <w:rsid w:val="005931C1"/>
    <w:rsid w:val="005D10BA"/>
    <w:rsid w:val="005D59BE"/>
    <w:rsid w:val="005F1CA0"/>
    <w:rsid w:val="005F4C2F"/>
    <w:rsid w:val="006167FB"/>
    <w:rsid w:val="00617A84"/>
    <w:rsid w:val="00627E92"/>
    <w:rsid w:val="006751BD"/>
    <w:rsid w:val="006879BD"/>
    <w:rsid w:val="00705483"/>
    <w:rsid w:val="00706DE1"/>
    <w:rsid w:val="00721939"/>
    <w:rsid w:val="00733230"/>
    <w:rsid w:val="00750D4E"/>
    <w:rsid w:val="0075113E"/>
    <w:rsid w:val="00752B56"/>
    <w:rsid w:val="00783E5A"/>
    <w:rsid w:val="007C5B6B"/>
    <w:rsid w:val="007C6EE5"/>
    <w:rsid w:val="007F1CB8"/>
    <w:rsid w:val="008230D1"/>
    <w:rsid w:val="0085149F"/>
    <w:rsid w:val="008D2567"/>
    <w:rsid w:val="009314EE"/>
    <w:rsid w:val="0093416E"/>
    <w:rsid w:val="00934CC2"/>
    <w:rsid w:val="00964EBA"/>
    <w:rsid w:val="009A05CC"/>
    <w:rsid w:val="00A451D0"/>
    <w:rsid w:val="00A54F2B"/>
    <w:rsid w:val="00A5744C"/>
    <w:rsid w:val="00A86F47"/>
    <w:rsid w:val="00AA6837"/>
    <w:rsid w:val="00AD065B"/>
    <w:rsid w:val="00AE528B"/>
    <w:rsid w:val="00AE799F"/>
    <w:rsid w:val="00AF325F"/>
    <w:rsid w:val="00B02D08"/>
    <w:rsid w:val="00B26F6E"/>
    <w:rsid w:val="00B275B1"/>
    <w:rsid w:val="00B524FB"/>
    <w:rsid w:val="00B625F9"/>
    <w:rsid w:val="00B638B2"/>
    <w:rsid w:val="00B65E6D"/>
    <w:rsid w:val="00B81C0C"/>
    <w:rsid w:val="00BC0F8D"/>
    <w:rsid w:val="00BD7615"/>
    <w:rsid w:val="00BF13C6"/>
    <w:rsid w:val="00C04263"/>
    <w:rsid w:val="00C11BF6"/>
    <w:rsid w:val="00C22B32"/>
    <w:rsid w:val="00C27437"/>
    <w:rsid w:val="00C33DC7"/>
    <w:rsid w:val="00CA3372"/>
    <w:rsid w:val="00CD5440"/>
    <w:rsid w:val="00CD58B2"/>
    <w:rsid w:val="00CF7704"/>
    <w:rsid w:val="00D45A89"/>
    <w:rsid w:val="00D75508"/>
    <w:rsid w:val="00DB6194"/>
    <w:rsid w:val="00DD1B41"/>
    <w:rsid w:val="00DD4706"/>
    <w:rsid w:val="00DE7ED6"/>
    <w:rsid w:val="00E341C6"/>
    <w:rsid w:val="00E47C48"/>
    <w:rsid w:val="00E81F1F"/>
    <w:rsid w:val="00E90F9C"/>
    <w:rsid w:val="00ED1A4A"/>
    <w:rsid w:val="00F13B3B"/>
    <w:rsid w:val="00F6012C"/>
    <w:rsid w:val="00F64081"/>
    <w:rsid w:val="00F83C6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F0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B61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1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1F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B61F0"/>
    <w:pPr>
      <w:ind w:left="720"/>
      <w:contextualSpacing/>
    </w:pPr>
  </w:style>
  <w:style w:type="paragraph" w:styleId="Bezodstpw">
    <w:name w:val="No Spacing"/>
    <w:uiPriority w:val="1"/>
    <w:qFormat/>
    <w:rsid w:val="002B6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B6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F4E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2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F0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B61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1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1F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B61F0"/>
    <w:pPr>
      <w:ind w:left="720"/>
      <w:contextualSpacing/>
    </w:pPr>
  </w:style>
  <w:style w:type="paragraph" w:styleId="Bezodstpw">
    <w:name w:val="No Spacing"/>
    <w:uiPriority w:val="1"/>
    <w:qFormat/>
    <w:rsid w:val="002B6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B6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F4E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F42A-F021-4E04-9C6A-C44C135F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Cymerman</dc:creator>
  <cp:lastModifiedBy>Joanna Klimczak</cp:lastModifiedBy>
  <cp:revision>2</cp:revision>
  <cp:lastPrinted>2019-11-14T11:11:00Z</cp:lastPrinted>
  <dcterms:created xsi:type="dcterms:W3CDTF">2020-11-20T13:44:00Z</dcterms:created>
  <dcterms:modified xsi:type="dcterms:W3CDTF">2020-11-20T13:44:00Z</dcterms:modified>
</cp:coreProperties>
</file>