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285"/>
        <w:gridCol w:w="424"/>
        <w:gridCol w:w="219"/>
        <w:gridCol w:w="425"/>
        <w:gridCol w:w="207"/>
        <w:gridCol w:w="676"/>
        <w:gridCol w:w="174"/>
        <w:gridCol w:w="164"/>
        <w:gridCol w:w="687"/>
        <w:gridCol w:w="535"/>
        <w:gridCol w:w="315"/>
        <w:gridCol w:w="338"/>
        <w:gridCol w:w="371"/>
        <w:gridCol w:w="496"/>
        <w:gridCol w:w="71"/>
        <w:gridCol w:w="142"/>
        <w:gridCol w:w="395"/>
        <w:gridCol w:w="400"/>
        <w:gridCol w:w="55"/>
        <w:gridCol w:w="264"/>
        <w:gridCol w:w="445"/>
        <w:gridCol w:w="174"/>
        <w:gridCol w:w="676"/>
        <w:gridCol w:w="262"/>
        <w:gridCol w:w="589"/>
        <w:gridCol w:w="992"/>
      </w:tblGrid>
      <w:tr w:rsidR="00315911" w:rsidRPr="00760EC5" w14:paraId="7BE85681" w14:textId="77777777" w:rsidTr="00F24BBD">
        <w:trPr>
          <w:trHeight w:val="1611"/>
        </w:trPr>
        <w:tc>
          <w:tcPr>
            <w:tcW w:w="6621" w:type="dxa"/>
            <w:gridSpan w:val="15"/>
          </w:tcPr>
          <w:p w14:paraId="5D451DE8" w14:textId="77777777" w:rsidR="00315911" w:rsidRPr="00760EC5" w:rsidRDefault="00315911" w:rsidP="00D116F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p w14:paraId="3F992D1D" w14:textId="027EFD60" w:rsidR="00315911" w:rsidRPr="00760EC5" w:rsidRDefault="00315911" w:rsidP="00D116FF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 ustawy o zmianie ustawy o postępowaniu egzekucyjnym 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w </w:t>
            </w:r>
            <w:r w:rsidRPr="00760EC5">
              <w:rPr>
                <w:rFonts w:ascii="Times New Roman" w:hAnsi="Times New Roman"/>
                <w:sz w:val="24"/>
                <w:szCs w:val="24"/>
              </w:rPr>
              <w:t>administracji oraz niektórych innych ustaw</w:t>
            </w:r>
          </w:p>
          <w:p w14:paraId="38148CC1" w14:textId="77777777" w:rsidR="00224F17" w:rsidRDefault="00315911" w:rsidP="00224F1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  <w:bookmarkEnd w:id="0"/>
          </w:p>
          <w:p w14:paraId="18183E78" w14:textId="07688A94" w:rsidR="00315911" w:rsidRPr="00224F17" w:rsidRDefault="00315911" w:rsidP="00224F1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Ministerstwo Finansów</w:t>
            </w:r>
          </w:p>
          <w:p w14:paraId="75214780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0E56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14:paraId="3B2D431C" w14:textId="77777777" w:rsidR="00315911" w:rsidRPr="00760EC5" w:rsidRDefault="00F24BBD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 Sarnowski</w:t>
            </w:r>
            <w:r w:rsidR="00037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Podsekretarz Stanu  </w:t>
            </w:r>
          </w:p>
          <w:p w14:paraId="527466D5" w14:textId="77777777" w:rsidR="00315911" w:rsidRPr="00760EC5" w:rsidRDefault="00315911" w:rsidP="00D116F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5699D52A" w14:textId="2B7AB064" w:rsidR="00315911" w:rsidRPr="00760EC5" w:rsidRDefault="008C5E30" w:rsidP="00D116F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Grzegorz Podgórski</w:t>
            </w:r>
          </w:p>
          <w:p w14:paraId="669399A7" w14:textId="77777777" w:rsidR="00315911" w:rsidRPr="00760EC5" w:rsidRDefault="00315911" w:rsidP="00D116F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Zastępca Dyrektora Departamentu Systemu Podatkowego </w:t>
            </w:r>
          </w:p>
          <w:p w14:paraId="477A7D00" w14:textId="77777777" w:rsidR="00315911" w:rsidRPr="00760EC5" w:rsidRDefault="00315911" w:rsidP="00D116F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tel. 22 694 38 86</w:t>
            </w:r>
          </w:p>
          <w:p w14:paraId="411A40F7" w14:textId="1CCDA6B3" w:rsidR="00315911" w:rsidRPr="00760EC5" w:rsidRDefault="00315911" w:rsidP="008C5E30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8C5E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secretariat.sp</w:t>
            </w:r>
            <w:r w:rsidR="00F24BBD" w:rsidRPr="00F248C2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@mf.gov.pl</w:t>
            </w:r>
            <w:r w:rsidRPr="00F248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65" w:type="dxa"/>
            <w:gridSpan w:val="12"/>
            <w:shd w:val="clear" w:color="auto" w:fill="FFFFFF"/>
          </w:tcPr>
          <w:p w14:paraId="273B2703" w14:textId="53478858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760E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345788683"/>
                <w:placeholder>
                  <w:docPart w:val="54977E96BE4E4191B52A7C768E632F93"/>
                </w:placeholder>
                <w:date w:fullDate="2020-11-1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77833">
                  <w:rPr>
                    <w:rFonts w:ascii="Times New Roman" w:hAnsi="Times New Roman"/>
                    <w:b/>
                    <w:sz w:val="24"/>
                    <w:szCs w:val="24"/>
                  </w:rPr>
                  <w:t>12.11.2020</w:t>
                </w:r>
              </w:sdtContent>
            </w:sdt>
          </w:p>
          <w:p w14:paraId="23546B6B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9ACBA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  <w:sz w:val="24"/>
                <w:szCs w:val="24"/>
              </w:rPr>
              <w:id w:val="-1451614635"/>
              <w:placeholder>
                <w:docPart w:val="8CC049761D5547738304EE798B32EA2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20545901" w14:textId="77777777" w:rsidR="00315911" w:rsidRPr="00760EC5" w:rsidRDefault="00315911" w:rsidP="00D116FF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60EC5">
                  <w:rPr>
                    <w:rFonts w:ascii="Times New Roman" w:hAnsi="Times New Roman"/>
                    <w:sz w:val="24"/>
                    <w:szCs w:val="24"/>
                  </w:rPr>
                  <w:t>Inne</w:t>
                </w:r>
              </w:p>
            </w:sdtContent>
          </w:sdt>
          <w:p w14:paraId="5EE73189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43B1F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2CC98" w14:textId="77777777" w:rsidR="00FA7C8C" w:rsidRDefault="00315911" w:rsidP="00D116FF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 w wykazie prac</w:t>
            </w:r>
          </w:p>
          <w:p w14:paraId="2E3CF2BF" w14:textId="7D4178D3" w:rsidR="00315911" w:rsidRPr="00760EC5" w:rsidRDefault="00FA7C8C" w:rsidP="00D116FF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UD143</w:t>
            </w:r>
            <w:r w:rsidR="00315911"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396519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911" w:rsidRPr="00760EC5" w14:paraId="3F1630C0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1B4B9EC2" w14:textId="77777777" w:rsidR="00315911" w:rsidRPr="00760EC5" w:rsidRDefault="00315911" w:rsidP="00D116F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315911" w:rsidRPr="00760EC5" w14:paraId="5D56AC74" w14:textId="77777777" w:rsidTr="00F24BBD">
        <w:trPr>
          <w:trHeight w:val="333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5158F909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sz w:val="24"/>
                <w:szCs w:val="24"/>
              </w:rPr>
              <w:t>Jaki problem jest rozwiązywany?</w:t>
            </w:r>
            <w:bookmarkStart w:id="3" w:name="Wybór1"/>
            <w:bookmarkEnd w:id="3"/>
          </w:p>
        </w:tc>
      </w:tr>
      <w:tr w:rsidR="00315911" w:rsidRPr="00760EC5" w14:paraId="3B229BCF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6122C457" w14:textId="06FFFF89" w:rsidR="00530251" w:rsidRDefault="003866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Zmiana</w:t>
            </w:r>
            <w:r w:rsidR="00856101" w:rsidRPr="000B4E97">
              <w:rPr>
                <w:rFonts w:ascii="Times New Roman" w:eastAsiaTheme="minorHAnsi" w:hAnsi="Times New Roman"/>
                <w:sz w:val="24"/>
                <w:szCs w:val="24"/>
              </w:rPr>
              <w:t xml:space="preserve"> ustawy z dnia </w:t>
            </w:r>
            <w:r w:rsidR="00856101" w:rsidRPr="000B4E97">
              <w:rPr>
                <w:rFonts w:ascii="Times New Roman" w:hAnsi="Times New Roman"/>
                <w:color w:val="000000"/>
                <w:sz w:val="24"/>
                <w:szCs w:val="24"/>
              </w:rPr>
              <w:t>17 czerwca 1966 r. o postępowaniu egzekucyjnym w administracji (Dz. U. z 20</w:t>
            </w:r>
            <w:r w:rsidR="00954C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56101" w:rsidRPr="000B4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poz. 14</w:t>
            </w:r>
            <w:r w:rsidR="00954C0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856101" w:rsidRPr="000B4E97">
              <w:rPr>
                <w:rFonts w:ascii="Times New Roman" w:hAnsi="Times New Roman"/>
                <w:color w:val="000000"/>
                <w:sz w:val="24"/>
                <w:szCs w:val="24"/>
              </w:rPr>
              <w:t>, z późn. zm.), zwan</w:t>
            </w:r>
            <w:r w:rsidR="00796510">
              <w:rPr>
                <w:rFonts w:ascii="Times New Roman" w:hAnsi="Times New Roman"/>
                <w:color w:val="000000"/>
                <w:sz w:val="24"/>
                <w:szCs w:val="24"/>
              </w:rPr>
              <w:t>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6101" w:rsidRPr="000B4E97">
              <w:rPr>
                <w:rFonts w:ascii="Times New Roman" w:hAnsi="Times New Roman"/>
                <w:color w:val="000000"/>
                <w:sz w:val="24"/>
                <w:szCs w:val="24"/>
              </w:rPr>
              <w:t>dalej „ustawą”</w:t>
            </w:r>
            <w:r w:rsidR="007965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jest konieczna ze względu na </w:t>
            </w:r>
            <w:r w:rsidR="00856101" w:rsidRPr="000B4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brak możliwości przymusowego dochodzenia należności z tytułu podatku </w:t>
            </w:r>
            <w:r w:rsidR="00E76E35" w:rsidRPr="0042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 towarów i usług rozliczanego w procedurze szczególnej </w:t>
            </w:r>
            <w:r w:rsidR="0053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 podatnika, którego </w:t>
            </w:r>
            <w:r w:rsidR="00530251" w:rsidRPr="000B4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miejscem zamieszkania lub siedziby jest </w:t>
            </w:r>
            <w:r w:rsidR="0039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inne </w:t>
            </w:r>
            <w:r w:rsidR="00530251" w:rsidRPr="000B4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państwo </w:t>
            </w:r>
            <w:r w:rsidR="00392B45">
              <w:rPr>
                <w:rFonts w:ascii="Times New Roman" w:hAnsi="Times New Roman"/>
                <w:color w:val="000000"/>
                <w:sz w:val="24"/>
                <w:szCs w:val="24"/>
              </w:rPr>
              <w:t>niż Polska</w:t>
            </w:r>
            <w:r w:rsidR="00530251" w:rsidRPr="000B4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w tym państwie została złożona deklaracja</w:t>
            </w:r>
            <w:r w:rsidR="00530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0DD33485" w14:textId="5B351C0B" w:rsidR="00216744" w:rsidRDefault="005C6407" w:rsidP="00E86C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Ponadto konieczna jest</w:t>
            </w:r>
            <w:r w:rsidR="0021455F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zmiana definicji wynagrodzenia za pracę w zakresie </w:t>
            </w:r>
            <w:r w:rsidR="0021455F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zapewnienia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ochrony środków pieniężnych zobowiązanego służących utrzymaniu jego i jego rodziny otrzymywanych z tytułu wynagrodzeń, zleceń i innych świadczeń okresowych związanych z pracą lub </w:t>
            </w:r>
            <w:r w:rsidR="00B76351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wykonywaną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funkcją</w:t>
            </w:r>
            <w:r w:rsidR="0039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 objęcie ochroną w</w:t>
            </w:r>
            <w:r w:rsidR="00392B45" w:rsidRPr="00670CD6">
              <w:rPr>
                <w:rFonts w:ascii="Times New Roman" w:hAnsi="Times New Roman"/>
                <w:color w:val="000000"/>
                <w:sz w:val="24"/>
                <w:szCs w:val="24"/>
              </w:rPr>
              <w:t>ierzytelności powtarzających się stanowiące jedyne źródło dochodu zobowiązanego będącego osobą fizyczną</w:t>
            </w:r>
            <w:r w:rsidR="0021455F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A928FE7" w14:textId="237210F8" w:rsidR="00216744" w:rsidRDefault="0021455F" w:rsidP="00E86C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Usprawnienia wymaga 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orzystanie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Rejestru Należno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ści Publicznoprawnych w zakresie automatycznego uzyskiwania danych oraz odformalizowania upoważnienia zobowiązanego do uzyskania jego danych, </w:t>
            </w:r>
            <w:r w:rsidR="00D01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także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wyeliminowani</w:t>
            </w:r>
            <w:r w:rsidR="00D01BA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zbędnych czynności </w:t>
            </w:r>
            <w:r w:rsidR="00D01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wykonywanych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przez wierzyciela i organ egzekucyjny na 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etap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wszczęcia postępowania egzekucyjnego i zabezpieczającego oraz wystawiania dalszego</w:t>
            </w:r>
            <w:r w:rsidR="00151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kolejnego</w:t>
            </w:r>
            <w:r w:rsidR="00151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ponownego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tytułu wykonawczego, dalsze usprawnienie egzekucji z majątku wspólnego zobowiązanego i jego małżonka </w:t>
            </w:r>
            <w:r w:rsidR="007221C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w przypadku, gdy zgodnie z art. 29 ustawy z dnia 29 sierpnia 1997 r. – Ordynacja podatkowa (Dz. U. z 20</w:t>
            </w:r>
            <w:r w:rsidR="00954C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poz. </w:t>
            </w:r>
            <w:r w:rsidR="00954C04">
              <w:rPr>
                <w:rFonts w:ascii="Times New Roman" w:hAnsi="Times New Roman"/>
                <w:color w:val="000000"/>
                <w:sz w:val="24"/>
                <w:szCs w:val="24"/>
              </w:rPr>
              <w:t>1325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z późn. zm.) odpowiedzialność zobowiązanego za zobowiązanie podatkowe obejmuje majątek wspólny, </w:t>
            </w:r>
            <w:r w:rsidR="00D01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również 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z majątku obciążonego zastawem skarbowym i hipoteką przymusową, jeżeli własność tego ma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jątku przeszła na inny podmiot. </w:t>
            </w:r>
            <w:r w:rsidR="00977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3A79CF5" w14:textId="750493E3" w:rsidR="0021455F" w:rsidRPr="00E86CC7" w:rsidRDefault="0021455F" w:rsidP="00E86C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Usprawnienia wymaga także obsługa zbiegów egzekucji administracyjnej z egzekucją sądową, w przypadku gdy komornik sądowy nie przekazał administracyjnemu organowi egzekucyjnemu adnotacji umożliwiającej prowadzenie łącznej egzekucji i rozliczenie uzyskanych środków. Ponadto istnieje potrzeba wprowadzenia rozwiązań motywujących zobowiązanego do rezygnacji z płatności gotówką 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do wierzyciela lub organu egzekucyjnego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51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usprawnienia egzekucji świadczeń z ubezpieczenia społecznego wypłacanych przez pracodawcę,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rezygnacji z przetrzymywania przez bank zajętych kwot przez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7 dni, 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doprecyzowani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przepisów o egzekucji </w:t>
            </w:r>
            <w:r w:rsidR="007221C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z prawa majątkowego zarejestrow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anego w rejestrze akcjonariuszy, 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dostosowani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przepisów ustawy regulujących egzekucję z ruchomości do przepisów </w:t>
            </w:r>
            <w:r w:rsidR="00D01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ochron</w:t>
            </w:r>
            <w:r w:rsidR="00D01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 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danych osobowych oraz prawa celnego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C640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usprawnieni</w:t>
            </w:r>
            <w:r w:rsidR="005B0F2B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egzekucji z nieruchomości</w:t>
            </w:r>
            <w:r w:rsidR="002167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A6C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zmiany</w:t>
            </w:r>
            <w:r w:rsidR="00001792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 przedawnienia kosztów upomnienia i odstąpienia przez wierzyciela od czynności</w:t>
            </w:r>
            <w:r w:rsidR="00BB4517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1792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zmierzających do zastosowania środków egzekucyjnych</w:t>
            </w:r>
            <w:r w:rsidR="00216744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Ze względu zaś na dużą liczbę </w:t>
            </w:r>
            <w:r w:rsidR="00922B71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decyzji o rozłożeniu na raty zapłaty podatku lub zaległości podatkowej</w:t>
            </w:r>
            <w:r w:rsidR="00922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czy też innych należności pieniężnych, które </w:t>
            </w:r>
            <w:r w:rsidR="00216744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wygasły z mocy prawa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42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związku z niewykonywaniem układu ratalnego, </w:t>
            </w:r>
            <w:r w:rsidR="00216744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konieczna </w:t>
            </w:r>
            <w:r w:rsidR="0042677C">
              <w:rPr>
                <w:rFonts w:ascii="Times New Roman" w:hAnsi="Times New Roman"/>
                <w:color w:val="000000"/>
                <w:sz w:val="24"/>
                <w:szCs w:val="24"/>
              </w:rPr>
              <w:t>stał</w:t>
            </w:r>
            <w:r w:rsidR="00922B7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42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się </w:t>
            </w:r>
            <w:r w:rsidR="00216744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zmiana przesłanek wygaśnięcia decyzji</w:t>
            </w:r>
            <w:r w:rsidR="0042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 ujednolicenie zasad wygaszania decyzji ratalnych.</w:t>
            </w:r>
            <w:r w:rsidR="00216744"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03D4F94" w14:textId="19B253B5" w:rsidR="004530C6" w:rsidRPr="00856101" w:rsidRDefault="004530C6" w:rsidP="00151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0B4E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Ponadto zaproponowano inne zmiany </w:t>
            </w:r>
            <w:r w:rsidR="008D0B5A">
              <w:rPr>
                <w:rFonts w:ascii="Times New Roman" w:hAnsi="Times New Roman"/>
                <w:color w:val="000000"/>
                <w:sz w:val="24"/>
                <w:szCs w:val="24"/>
              </w:rPr>
              <w:t>usuwające wątpliwości interpretacyjn</w:t>
            </w:r>
            <w:r w:rsidR="00151BF1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8D0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 do stosowania przepisów ustawy o postępowaniu egzekucyjnym w administracji. </w:t>
            </w:r>
          </w:p>
        </w:tc>
      </w:tr>
      <w:tr w:rsidR="00315911" w:rsidRPr="00760EC5" w14:paraId="1D767E83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39C03322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Rekomendowane rozwiązanie, w tym planowane narzędzia interwencji, i oczekiwany efekt</w:t>
            </w:r>
          </w:p>
        </w:tc>
      </w:tr>
      <w:tr w:rsidR="00315911" w:rsidRPr="00760EC5" w14:paraId="05D7CC9F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auto"/>
          </w:tcPr>
          <w:p w14:paraId="060BB1E7" w14:textId="4A6337C6" w:rsidR="00BB4517" w:rsidRPr="00670CD6" w:rsidRDefault="00386632" w:rsidP="009E1F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BB4517" w:rsidRPr="000B4E97">
              <w:rPr>
                <w:rFonts w:ascii="Times New Roman" w:hAnsi="Times New Roman"/>
                <w:sz w:val="24"/>
                <w:szCs w:val="24"/>
              </w:rPr>
              <w:t>zakresie</w:t>
            </w:r>
            <w:r w:rsidR="009E1F9E" w:rsidRPr="000B4E97">
              <w:rPr>
                <w:rFonts w:ascii="Times New Roman" w:hAnsi="Times New Roman"/>
                <w:sz w:val="24"/>
                <w:szCs w:val="24"/>
              </w:rPr>
              <w:t xml:space="preserve"> umożliwienia przymusowego dochodzenia </w:t>
            </w:r>
            <w:r>
              <w:rPr>
                <w:rFonts w:ascii="Times New Roman" w:hAnsi="Times New Roman"/>
                <w:sz w:val="24"/>
                <w:szCs w:val="24"/>
              </w:rPr>
              <w:t>podatku VAT rozliczanego w procedur</w:t>
            </w:r>
            <w:r w:rsidR="008D0B5A">
              <w:rPr>
                <w:rFonts w:ascii="Times New Roman" w:hAnsi="Times New Roman"/>
                <w:sz w:val="24"/>
                <w:szCs w:val="24"/>
              </w:rPr>
              <w:t xml:space="preserve">ach </w:t>
            </w:r>
            <w:r>
              <w:rPr>
                <w:rFonts w:ascii="Times New Roman" w:hAnsi="Times New Roman"/>
                <w:sz w:val="24"/>
                <w:szCs w:val="24"/>
              </w:rPr>
              <w:t>szczególn</w:t>
            </w:r>
            <w:r w:rsidR="008D0B5A">
              <w:rPr>
                <w:rFonts w:ascii="Times New Roman" w:hAnsi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projektowana ustawa </w:t>
            </w:r>
            <w:r w:rsidR="009E1F9E" w:rsidRPr="000B4E97">
              <w:rPr>
                <w:rFonts w:ascii="Times New Roman" w:hAnsi="Times New Roman"/>
                <w:sz w:val="24"/>
                <w:szCs w:val="24"/>
              </w:rPr>
              <w:t>przewiduje</w:t>
            </w:r>
            <w:r w:rsidR="009E1F9E" w:rsidRPr="0067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792" w:rsidRPr="00670CD6">
              <w:rPr>
                <w:rFonts w:ascii="Times New Roman" w:hAnsi="Times New Roman"/>
                <w:sz w:val="24"/>
                <w:szCs w:val="24"/>
              </w:rPr>
              <w:t>dodanie do katalogu</w:t>
            </w:r>
            <w:r w:rsidR="009005E0" w:rsidRPr="0067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792" w:rsidRPr="00670CD6">
              <w:rPr>
                <w:rFonts w:ascii="Times New Roman" w:hAnsi="Times New Roman"/>
                <w:sz w:val="24"/>
                <w:szCs w:val="24"/>
              </w:rPr>
              <w:t xml:space="preserve">dokumentów stanowiących podstawę egzekucji administracyjnej również </w:t>
            </w:r>
            <w:r w:rsidR="00392B45" w:rsidRPr="00670CD6">
              <w:rPr>
                <w:rFonts w:ascii="Times New Roman" w:hAnsi="Times New Roman"/>
                <w:sz w:val="24"/>
                <w:szCs w:val="24"/>
              </w:rPr>
              <w:t>deklaracji wykazującej należność pieniężną z tytułu podatku od towarów i usług, złożonej w państwie członkowskim identyfikacji, o której mowa w art. 59 ust. 2</w:t>
            </w:r>
            <w:r w:rsidR="00392B45" w:rsidRPr="00670CD6">
              <w:rPr>
                <w:rFonts w:ascii="Times New Roman" w:hAnsi="Times New Roman"/>
                <w:sz w:val="24"/>
                <w:szCs w:val="24"/>
              </w:rPr>
              <w:softHyphen/>
              <w:t>–4, art. 61 i art. 61a</w:t>
            </w:r>
            <w:r w:rsidR="00392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4D" w:rsidRPr="00F03814">
              <w:rPr>
                <w:rFonts w:ascii="Times New Roman" w:hAnsi="Times New Roman"/>
                <w:sz w:val="24"/>
                <w:szCs w:val="24"/>
              </w:rPr>
              <w:t xml:space="preserve">rozporządzenia </w:t>
            </w:r>
            <w:r w:rsidR="00922B71">
              <w:rPr>
                <w:rFonts w:ascii="Times New Roman" w:hAnsi="Times New Roman"/>
                <w:sz w:val="24"/>
                <w:szCs w:val="24"/>
              </w:rPr>
              <w:t xml:space="preserve">wykonawczego </w:t>
            </w:r>
            <w:r w:rsidR="00820C4D" w:rsidRPr="00F03814">
              <w:rPr>
                <w:rFonts w:ascii="Times New Roman" w:hAnsi="Times New Roman"/>
                <w:sz w:val="24"/>
                <w:szCs w:val="24"/>
              </w:rPr>
              <w:t>Rady nr 282/2011 z dnia 15 marca 2011 r. ustanawiającego środki wykonawcze do dyrektywy 2006/112/WE w sprawie wspólnego systemu podatku od wartości dodanej (Dz. Urz. UE L nr 77</w:t>
            </w:r>
            <w:r w:rsidR="00224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4D" w:rsidRPr="00F03814">
              <w:rPr>
                <w:rFonts w:ascii="Times New Roman" w:hAnsi="Times New Roman"/>
                <w:sz w:val="24"/>
                <w:szCs w:val="24"/>
              </w:rPr>
              <w:t>z 23.3.2011 str. 1, z późn. zm.)</w:t>
            </w:r>
            <w:r w:rsidR="00426B3C" w:rsidRPr="00670CD6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BB4517" w:rsidRPr="000B4E97">
              <w:rPr>
                <w:rFonts w:ascii="Times New Roman" w:hAnsi="Times New Roman"/>
                <w:sz w:val="24"/>
                <w:szCs w:val="24"/>
              </w:rPr>
              <w:t xml:space="preserve">wyłączenie </w:t>
            </w:r>
            <w:r w:rsidR="00426B3C">
              <w:rPr>
                <w:rFonts w:ascii="Times New Roman" w:hAnsi="Times New Roman"/>
                <w:sz w:val="24"/>
                <w:szCs w:val="24"/>
              </w:rPr>
              <w:t xml:space="preserve">warunku wszczęcia egzekucji administracyjnej od </w:t>
            </w:r>
            <w:r w:rsidR="00BD69B3" w:rsidRPr="000B4E97">
              <w:rPr>
                <w:rFonts w:ascii="Times New Roman" w:hAnsi="Times New Roman"/>
                <w:sz w:val="24"/>
                <w:szCs w:val="24"/>
              </w:rPr>
              <w:t>obowiązku</w:t>
            </w:r>
            <w:r w:rsidR="0042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9B3" w:rsidRPr="000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 xml:space="preserve">zamieszczania </w:t>
            </w:r>
            <w:r w:rsidR="00BD69B3">
              <w:rPr>
                <w:rFonts w:ascii="Times New Roman" w:hAnsi="Times New Roman"/>
                <w:sz w:val="24"/>
                <w:szCs w:val="24"/>
              </w:rPr>
              <w:t>w</w:t>
            </w:r>
            <w:r w:rsidR="00224F17">
              <w:rPr>
                <w:rFonts w:ascii="Times New Roman" w:hAnsi="Times New Roman"/>
                <w:sz w:val="24"/>
                <w:szCs w:val="24"/>
              </w:rPr>
              <w:t> </w:t>
            </w:r>
            <w:r w:rsidR="00BB4517" w:rsidRPr="000B4E97">
              <w:rPr>
                <w:rFonts w:ascii="Times New Roman" w:hAnsi="Times New Roman"/>
                <w:sz w:val="24"/>
                <w:szCs w:val="24"/>
              </w:rPr>
              <w:t>tych deklaracj</w:t>
            </w:r>
            <w:r w:rsidR="00BD69B3">
              <w:rPr>
                <w:rFonts w:ascii="Times New Roman" w:hAnsi="Times New Roman"/>
                <w:sz w:val="24"/>
                <w:szCs w:val="24"/>
              </w:rPr>
              <w:t>ach</w:t>
            </w:r>
            <w:r w:rsidR="00BB4517" w:rsidRPr="000B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5E0" w:rsidRPr="00670CD6">
              <w:rPr>
                <w:rFonts w:ascii="Times New Roman" w:hAnsi="Times New Roman"/>
                <w:sz w:val="24"/>
                <w:szCs w:val="24"/>
              </w:rPr>
              <w:t>pouczenia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>, że stanowi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>ą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>e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 xml:space="preserve"> podstawę do wystawienia tytułu wykonawczego</w:t>
            </w:r>
            <w:r w:rsidR="00426B3C" w:rsidRPr="00670CD6">
              <w:rPr>
                <w:rFonts w:ascii="Times New Roman" w:hAnsi="Times New Roman"/>
                <w:sz w:val="24"/>
                <w:szCs w:val="24"/>
              </w:rPr>
              <w:t xml:space="preserve"> i przeslania zobowiązanemu upomnienia przez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>wierzyciel</w:t>
            </w:r>
            <w:r w:rsidR="00426B3C" w:rsidRPr="00670CD6">
              <w:rPr>
                <w:rFonts w:ascii="Times New Roman" w:hAnsi="Times New Roman"/>
                <w:sz w:val="24"/>
                <w:szCs w:val="24"/>
              </w:rPr>
              <w:t>a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 xml:space="preserve"> przed wszczęciem postępowania egzekucyjnego. Ponadto zaproponowano </w:t>
            </w:r>
            <w:r w:rsidR="009005E0" w:rsidRPr="00670CD6">
              <w:rPr>
                <w:rFonts w:ascii="Times New Roman" w:hAnsi="Times New Roman"/>
                <w:sz w:val="24"/>
                <w:szCs w:val="24"/>
              </w:rPr>
              <w:t xml:space="preserve">uzupełnienie 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>element</w:t>
            </w:r>
            <w:r w:rsidR="009005E0" w:rsidRPr="00670CD6">
              <w:rPr>
                <w:rFonts w:ascii="Times New Roman" w:hAnsi="Times New Roman"/>
                <w:sz w:val="24"/>
                <w:szCs w:val="24"/>
              </w:rPr>
              <w:t xml:space="preserve">ów 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 xml:space="preserve">tytułu wykonawczego </w:t>
            </w:r>
            <w:r w:rsidR="000656A3" w:rsidRPr="00670CD6">
              <w:rPr>
                <w:rFonts w:ascii="Times New Roman" w:hAnsi="Times New Roman"/>
                <w:sz w:val="24"/>
                <w:szCs w:val="24"/>
              </w:rPr>
              <w:t>o dane i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>dentyfikując</w:t>
            </w:r>
            <w:r w:rsidR="000656A3" w:rsidRPr="00670CD6">
              <w:rPr>
                <w:rFonts w:ascii="Times New Roman" w:hAnsi="Times New Roman"/>
                <w:sz w:val="24"/>
                <w:szCs w:val="24"/>
              </w:rPr>
              <w:t>e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 xml:space="preserve"> zobowiązanego w innym kraju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>. O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>kreśl</w:t>
            </w:r>
            <w:r w:rsidR="004C7A6C" w:rsidRPr="00670CD6">
              <w:rPr>
                <w:rFonts w:ascii="Times New Roman" w:hAnsi="Times New Roman"/>
                <w:sz w:val="24"/>
                <w:szCs w:val="24"/>
              </w:rPr>
              <w:t>on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>o także</w:t>
            </w:r>
            <w:r w:rsidR="004C7A6C" w:rsidRPr="0067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>sposób wskazywania w tytule wykonawczym kwoty zaległości w złotówkach</w:t>
            </w:r>
            <w:r w:rsidR="004C7A6C" w:rsidRPr="00670CD6">
              <w:rPr>
                <w:rFonts w:ascii="Times New Roman" w:hAnsi="Times New Roman"/>
                <w:sz w:val="24"/>
                <w:szCs w:val="24"/>
              </w:rPr>
              <w:t>,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 xml:space="preserve"> w przypadku gdy w deklaracji należność jest podana w innej walucie</w:t>
            </w:r>
            <w:r w:rsidR="00426B3C" w:rsidRPr="00670CD6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>z</w:t>
            </w:r>
            <w:r w:rsidR="00426B3C" w:rsidRPr="00670CD6">
              <w:rPr>
                <w:rFonts w:ascii="Times New Roman" w:hAnsi="Times New Roman"/>
                <w:sz w:val="24"/>
                <w:szCs w:val="24"/>
              </w:rPr>
              <w:t xml:space="preserve">aproponowano 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>pozostawieni</w:t>
            </w:r>
            <w:r w:rsidR="00426B3C" w:rsidRPr="00670CD6">
              <w:rPr>
                <w:rFonts w:ascii="Times New Roman" w:hAnsi="Times New Roman"/>
                <w:sz w:val="24"/>
                <w:szCs w:val="24"/>
              </w:rPr>
              <w:t>e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 xml:space="preserve"> przez 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 xml:space="preserve">organ egzekucyjny postanowienie 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>umorzeniu postępowania egzekucyjnego</w:t>
            </w:r>
            <w:r w:rsidR="00BD69B3" w:rsidRPr="00670CD6">
              <w:rPr>
                <w:rFonts w:ascii="Times New Roman" w:hAnsi="Times New Roman"/>
                <w:sz w:val="24"/>
                <w:szCs w:val="24"/>
              </w:rPr>
              <w:t xml:space="preserve"> w aktach sprawy</w:t>
            </w:r>
            <w:r w:rsidR="00BB4517" w:rsidRPr="00670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B778BA" w14:textId="590F3FD6" w:rsidR="00392B45" w:rsidRPr="00670CD6" w:rsidRDefault="005B0F2B" w:rsidP="00E86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6">
              <w:rPr>
                <w:rFonts w:ascii="Times New Roman" w:hAnsi="Times New Roman"/>
                <w:sz w:val="24"/>
                <w:szCs w:val="24"/>
              </w:rPr>
              <w:t xml:space="preserve">Zaproponowania zmiana definicji wynagrodzenia </w:t>
            </w:r>
            <w:r w:rsidR="00224F17">
              <w:rPr>
                <w:rFonts w:ascii="Times New Roman" w:hAnsi="Times New Roman"/>
                <w:sz w:val="24"/>
                <w:szCs w:val="24"/>
              </w:rPr>
              <w:t>w</w:t>
            </w:r>
            <w:r w:rsidR="007802D6" w:rsidRPr="00670CD6">
              <w:rPr>
                <w:rFonts w:ascii="Times New Roman" w:hAnsi="Times New Roman"/>
                <w:sz w:val="24"/>
                <w:szCs w:val="24"/>
              </w:rPr>
              <w:t xml:space="preserve"> art. 9</w:t>
            </w:r>
            <w:r w:rsidR="00224F17">
              <w:rPr>
                <w:rFonts w:ascii="Times New Roman" w:hAnsi="Times New Roman"/>
                <w:sz w:val="24"/>
                <w:szCs w:val="24"/>
              </w:rPr>
              <w:t xml:space="preserve"> projektu ustawy</w:t>
            </w:r>
            <w:r w:rsidR="007802D6" w:rsidRPr="0067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CD6">
              <w:rPr>
                <w:rFonts w:ascii="Times New Roman" w:hAnsi="Times New Roman"/>
                <w:sz w:val="24"/>
                <w:szCs w:val="24"/>
              </w:rPr>
              <w:t>będzie obejmowała wynagrodzenia z</w:t>
            </w:r>
            <w:r w:rsidR="007802D6" w:rsidRPr="00670CD6">
              <w:rPr>
                <w:rFonts w:ascii="Times New Roman" w:hAnsi="Times New Roman"/>
                <w:sz w:val="24"/>
                <w:szCs w:val="24"/>
              </w:rPr>
              <w:t xml:space="preserve">a pracę </w:t>
            </w:r>
            <w:r w:rsidRPr="00670CD6">
              <w:rPr>
                <w:rFonts w:ascii="Times New Roman" w:hAnsi="Times New Roman"/>
                <w:sz w:val="24"/>
                <w:szCs w:val="24"/>
              </w:rPr>
              <w:t>oraz innych umów zawartych przez pracodawcę i</w:t>
            </w:r>
            <w:r w:rsidR="00426B3C" w:rsidRPr="00670CD6">
              <w:rPr>
                <w:rFonts w:ascii="Times New Roman" w:hAnsi="Times New Roman"/>
                <w:sz w:val="24"/>
                <w:szCs w:val="24"/>
              </w:rPr>
              <w:t xml:space="preserve"> zobowiązanego</w:t>
            </w:r>
            <w:r w:rsidRPr="00670CD6">
              <w:rPr>
                <w:rFonts w:ascii="Times New Roman" w:hAnsi="Times New Roman"/>
                <w:sz w:val="24"/>
                <w:szCs w:val="24"/>
              </w:rPr>
              <w:t xml:space="preserve">, także w okresie 12 miesięcy od dnia rozwiązania lub wygaśnięcia stosunku pracy </w:t>
            </w:r>
            <w:r w:rsidR="007802D6" w:rsidRPr="00670CD6">
              <w:rPr>
                <w:rFonts w:ascii="Times New Roman" w:hAnsi="Times New Roman"/>
                <w:sz w:val="24"/>
                <w:szCs w:val="24"/>
              </w:rPr>
              <w:t>oraz świadczenia z ubezpieczeni</w:t>
            </w:r>
            <w:r w:rsidR="00224F17">
              <w:rPr>
                <w:rFonts w:ascii="Times New Roman" w:hAnsi="Times New Roman"/>
                <w:sz w:val="24"/>
                <w:szCs w:val="24"/>
              </w:rPr>
              <w:t>a społecznego w razie choroby i </w:t>
            </w:r>
            <w:r w:rsidR="007802D6" w:rsidRPr="00670CD6">
              <w:rPr>
                <w:rFonts w:ascii="Times New Roman" w:hAnsi="Times New Roman"/>
                <w:sz w:val="24"/>
                <w:szCs w:val="24"/>
              </w:rPr>
              <w:t>macierzyństwa wypłacane przez pracodawcę</w:t>
            </w:r>
            <w:r w:rsidR="00426B3C" w:rsidRPr="00670CD6">
              <w:rPr>
                <w:rFonts w:ascii="Times New Roman" w:hAnsi="Times New Roman"/>
                <w:sz w:val="24"/>
                <w:szCs w:val="24"/>
              </w:rPr>
              <w:t>.</w:t>
            </w:r>
            <w:r w:rsidR="00CD5E3C" w:rsidRPr="0067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B45" w:rsidRPr="00670CD6">
              <w:rPr>
                <w:rFonts w:ascii="Times New Roman" w:hAnsi="Times New Roman"/>
                <w:sz w:val="24"/>
                <w:szCs w:val="24"/>
              </w:rPr>
              <w:t>Wierzytelności powtarzające się, które stanowią jedyne źródło dochodu zobowiązanego będącego osobą fizyczną, będą podlegały egzekucji w zakresie określonym w przepisach Kodeksu pracy.</w:t>
            </w:r>
          </w:p>
          <w:p w14:paraId="7412F8FF" w14:textId="77777777" w:rsidR="005B0F2B" w:rsidRPr="00670CD6" w:rsidRDefault="005B0F2B" w:rsidP="00E86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6">
              <w:rPr>
                <w:rFonts w:ascii="Times New Roman" w:hAnsi="Times New Roman"/>
                <w:sz w:val="24"/>
                <w:szCs w:val="24"/>
              </w:rPr>
              <w:t xml:space="preserve">Usprawnienie korzystania z Rejestru Należności Publicznoprawnych będzie polegało na umożliwieniu automatycznego uzyskiwania danych przez podmioty uprawnione oraz rezygnacji z pisemnej formy upoważnienia osoby fizycznej nieprowadzącej działalności gospodarczej do uzyskania jej danych. </w:t>
            </w:r>
          </w:p>
          <w:p w14:paraId="16E732F8" w14:textId="6F6B04F1" w:rsidR="005B0F2B" w:rsidRPr="00F413FB" w:rsidRDefault="005B0F2B" w:rsidP="009617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CD6">
              <w:rPr>
                <w:rFonts w:ascii="Times New Roman" w:hAnsi="Times New Roman"/>
                <w:sz w:val="24"/>
                <w:szCs w:val="24"/>
              </w:rPr>
              <w:t>W celu uproszczenia etapu wszczęcia postępowania egzekucyjnego i zabezpieczającego</w:t>
            </w:r>
            <w:r w:rsidRPr="00961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przewiduje się rezygnację z nadawania przez organ egzekucyjny klauzuli o skierowaniu tytułu wykonawczego do egzekucji administracyjnej i przyjęciu zarządzenia zabezpieczenia do wykonania w zakresie obowiązków o charakterze pieniężnym, a także umożliwienie automatycznej weryfikacji danych zawartych w tytule wykonawczym z danymi zawartymi w KRS. </w:t>
            </w:r>
            <w:r w:rsidR="0042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Zaproponowano </w:t>
            </w:r>
            <w:r w:rsidRPr="00961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doprecyzowanie momentu wszczęcia egzekucji administracyjnej w przypadku, gdy pierwszą czynność egzekucyjną jest zajęcie dokonane poprzez sporządzenie protokołu zajęcia lub odbioru dokumentu, czy też doręczenie zawiadomienia o zajęciu innemu podmiotowi niż dłużnik zajętej wierzytelności. W zakresie </w:t>
            </w:r>
            <w:r w:rsidR="009C4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elementów </w:t>
            </w:r>
            <w:r w:rsidR="009C4346" w:rsidRPr="00944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dalszego i kolejnego tytułu wykonawczego </w:t>
            </w:r>
            <w:r w:rsidR="009C4346" w:rsidRPr="00AF1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przewiduje się </w:t>
            </w:r>
            <w:r w:rsidR="009C4346">
              <w:rPr>
                <w:rFonts w:ascii="Times New Roman" w:hAnsi="Times New Roman"/>
                <w:color w:val="000000"/>
                <w:sz w:val="24"/>
                <w:szCs w:val="24"/>
              </w:rPr>
              <w:t>wskazywanie numeru pierwotnego tytułu</w:t>
            </w:r>
            <w:r w:rsidR="009C4346" w:rsidRPr="0083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4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oraz </w:t>
            </w:r>
            <w:r w:rsidRPr="00961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rezygnację z podpisywania i podawania </w:t>
            </w:r>
            <w:r w:rsidRPr="00961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danych osoby działającej z upoważnienia wierzyciela, która podpisała pierwotny tytuł wykonawczy</w:t>
            </w:r>
            <w:r w:rsidR="0042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61769">
              <w:rPr>
                <w:rFonts w:ascii="Times New Roman" w:hAnsi="Times New Roman"/>
                <w:color w:val="000000"/>
                <w:sz w:val="24"/>
                <w:szCs w:val="24"/>
              </w:rPr>
              <w:t>analogicznie w zakresie</w:t>
            </w:r>
            <w:r w:rsidR="0042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dalszego i</w:t>
            </w:r>
            <w:r w:rsidRPr="00961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kolejnego zarządzenia zabezpieczenia.</w:t>
            </w:r>
            <w:r w:rsidR="00262B6F" w:rsidRPr="00961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848E0B3" w14:textId="146908F7" w:rsidR="009C4346" w:rsidRPr="00E86CC7" w:rsidRDefault="005B0F2B" w:rsidP="00E86C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zakresie usprawnienia egzekucji do majątku wspólnego zobowiązanego i jego małżonka zaproponowano możliwość uzyskiwania przez wierzyciela lub organ egzekucyjny danych małżonka zobowiązanego odpowiadającego majątkiem wspólnym, informacji o ustroju małżeńskim oraz majątku wspólnym, a także podawania danych małżonka w dokumentach stanowiących podstawę do dokonania zajęcia tego majątku. Analogiczne rozwiązania proponuje się w ramach egzekucji z majątku obciążonego zastawem skarbowym </w:t>
            </w:r>
            <w:r w:rsidR="002167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i hipoteką przymusową.</w:t>
            </w:r>
            <w:r w:rsidR="009C4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Ponadto zaproponowano przyznanie praw zobowiązanego jego małżonkowi w przypadku egzekucji do majątku wspólnego</w:t>
            </w:r>
            <w:r w:rsidR="00722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każdym czasie</w:t>
            </w:r>
            <w:r w:rsidR="009C4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zaś do czasu ostatecznego załatwienia sprzeciwu małżonka </w:t>
            </w:r>
            <w:r w:rsidR="009C4346" w:rsidRPr="00961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sprzedaży będzie podlegała wyłącznie rzecz lub prawo majątkowe wchodzące w skład majątku osobistego zobowiązanego, a środki pieniężne uzyskane z egzekucji z majątku wspólnego będą wpłacane na wyodrębniony </w:t>
            </w:r>
            <w:r w:rsidR="007221C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C4346" w:rsidRPr="00961769">
              <w:rPr>
                <w:rFonts w:ascii="Times New Roman" w:hAnsi="Times New Roman"/>
                <w:color w:val="000000"/>
                <w:sz w:val="24"/>
                <w:szCs w:val="24"/>
              </w:rPr>
              <w:t>i oprocentowanym rachunek organu egzekucyjne</w:t>
            </w:r>
            <w:r w:rsidR="007221C1" w:rsidRPr="00961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go, będą mogły być sprzedane jedynie ruchomości ulegające szybkiemu zepsuciu, a także ruchomości, których przechowywanie powodowałoby wydatki niewspółmierne do ich wartości lub powodowałoby znaczne obniżenie jej wartości. </w:t>
            </w:r>
          </w:p>
          <w:p w14:paraId="5DC02F3A" w14:textId="77777777" w:rsidR="005B0F2B" w:rsidRPr="00E86CC7" w:rsidRDefault="005B0F2B" w:rsidP="00E86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769">
              <w:rPr>
                <w:rFonts w:ascii="Times New Roman" w:hAnsi="Times New Roman"/>
                <w:color w:val="000000"/>
                <w:sz w:val="24"/>
                <w:szCs w:val="24"/>
              </w:rPr>
              <w:t>Usprawnienie postępowania organów egzekucyjnych w przypadku zajęcia rzeczy lub prawa majątkowego przez co najmniej dwa organy egzekucyjne będzie polegało na rezygnacji</w:t>
            </w:r>
            <w:r w:rsidRPr="00E86CC7">
              <w:rPr>
                <w:rFonts w:ascii="Times New Roman" w:eastAsiaTheme="minorHAnsi" w:hAnsi="Times New Roman"/>
                <w:sz w:val="24"/>
                <w:szCs w:val="24"/>
              </w:rPr>
              <w:t xml:space="preserve"> z obowiązku zawiadamiania komornika sądowego o sposobie rozliczenia środków pieniężnych w przypadku, gdy nie przekazał organowi egzekucyjnemu adnotacji umożliwiającej prowadzenie łącznej egzekucji, a także gdy zajęcie to zostanie dokonane w ramach postępowania zabezpieczającego (również zmiana ustawy – Kodeks postępowania cywilnego).</w:t>
            </w:r>
          </w:p>
          <w:p w14:paraId="30E09C43" w14:textId="6F3C3CDD" w:rsidR="005B0F2B" w:rsidRPr="00E86CC7" w:rsidRDefault="005B0F2B" w:rsidP="00E86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C7">
              <w:rPr>
                <w:rFonts w:ascii="Times New Roman" w:eastAsiaTheme="minorHAnsi" w:hAnsi="Times New Roman"/>
                <w:sz w:val="24"/>
                <w:szCs w:val="24"/>
              </w:rPr>
              <w:t xml:space="preserve">W celu motywowania zobowiązanych do korzystania z obrotu bezgotówkowego w egzekucji administracyjnej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zaproponowano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zróżnicowanie stawki opłaty egzekucyjnej w zależności od wyegzekwowania lub uzyskania wpłaty gotówkowej lub bezgotówkowej. </w:t>
            </w:r>
            <w:r w:rsidRPr="00E86CC7">
              <w:rPr>
                <w:rFonts w:ascii="Times New Roman" w:hAnsi="Times New Roman"/>
                <w:sz w:val="24"/>
                <w:szCs w:val="24"/>
              </w:rPr>
              <w:t xml:space="preserve">W przypadku gotówki proponuje się stawkę tej opłaty odpowiednio: 11% i 6 %. Ponadto doprecyzowano przepisy regulujące górną wysokość opłaty egzekucyjnej: 40.000 zł oraz 20 000 zł (w zależności od sposobu uzyskania kwot), odrębnie dla każdego tytułu wykonawczego. 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3D7882A" w14:textId="6433C304" w:rsidR="005B0F2B" w:rsidRPr="00E86CC7" w:rsidRDefault="005B0F2B" w:rsidP="00E86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CC7">
              <w:rPr>
                <w:rFonts w:ascii="Times New Roman" w:eastAsiaTheme="minorHAnsi" w:hAnsi="Times New Roman"/>
                <w:sz w:val="24"/>
                <w:szCs w:val="24"/>
              </w:rPr>
              <w:t xml:space="preserve">W ramach egzekucji z rachunku bankowego rezygnuje się z obowiązku przetrzymywania przez bank środków pieniężnych objętych zajęciem </w:t>
            </w:r>
            <w:r w:rsidR="009F58A3">
              <w:rPr>
                <w:rFonts w:ascii="Times New Roman" w:eastAsiaTheme="minorHAnsi" w:hAnsi="Times New Roman"/>
                <w:sz w:val="24"/>
                <w:szCs w:val="24"/>
              </w:rPr>
              <w:t xml:space="preserve">przez 7 dni </w:t>
            </w:r>
            <w:r w:rsidRPr="00E86CC7">
              <w:rPr>
                <w:rFonts w:ascii="Times New Roman" w:eastAsiaTheme="minorHAnsi" w:hAnsi="Times New Roman"/>
                <w:sz w:val="24"/>
                <w:szCs w:val="24"/>
              </w:rPr>
              <w:t>(zmiana również ustawy – Kodeks postępowania cywilnego). Proponuje się także doprecyzowanie realizacji zajęcia rachunku bankowego i rachunku VAT w zakresie przekazywania do organu egzekucyjnego środków pieniężnych dwoma odrębnymi przelewami bankowymi</w:t>
            </w:r>
            <w:r w:rsidR="009F58A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6E8F7438" w14:textId="7D860400" w:rsidR="005B0F2B" w:rsidRPr="00E86CC7" w:rsidRDefault="009F58A3" w:rsidP="00E86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Zmiana </w:t>
            </w:r>
            <w:r w:rsidR="005B0F2B" w:rsidRPr="00E86CC7">
              <w:rPr>
                <w:rFonts w:ascii="Times New Roman" w:eastAsiaTheme="minorHAnsi" w:hAnsi="Times New Roman"/>
                <w:sz w:val="24"/>
                <w:szCs w:val="24"/>
              </w:rPr>
              <w:t>egzekucji z praw majątkowych zarejestrowanych w rejestrze akcjonariuszy będzie polegał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5B0F2B" w:rsidRPr="00E86CC7">
              <w:rPr>
                <w:rFonts w:ascii="Times New Roman" w:eastAsiaTheme="minorHAnsi" w:hAnsi="Times New Roman"/>
                <w:sz w:val="24"/>
                <w:szCs w:val="24"/>
              </w:rPr>
              <w:t xml:space="preserve"> na możliwości wezwania spółki, by należne zobowiązanemu kwoty przekazała organowi egzekucyjnemu,</w:t>
            </w:r>
            <w:r w:rsidR="007221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0F2B" w:rsidRPr="00E86CC7">
              <w:rPr>
                <w:rFonts w:ascii="Times New Roman" w:eastAsiaTheme="minorHAnsi" w:hAnsi="Times New Roman"/>
                <w:sz w:val="24"/>
                <w:szCs w:val="24"/>
              </w:rPr>
              <w:t>w przypadku gdy zajęcie tego prawa nastąpi poprzez przesłanie zawiadomienia o zajęciu do podmiotu prowadzącego rejestr akcjonariuszy</w:t>
            </w:r>
            <w:r w:rsidR="005B0F2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106A74B1" w14:textId="77777777" w:rsidR="005B0F2B" w:rsidRPr="00E86CC7" w:rsidRDefault="005B0F2B" w:rsidP="00E86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Przepisy ustawy regulujące egzekucję z ruchomości zostaną </w:t>
            </w:r>
            <w:r w:rsidRPr="00E86CC7">
              <w:rPr>
                <w:rFonts w:ascii="Times New Roman" w:eastAsiaTheme="minorHAnsi" w:hAnsi="Times New Roman"/>
                <w:bCs/>
                <w:sz w:val="24"/>
                <w:szCs w:val="24"/>
              </w:rPr>
              <w:t>d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ostosowane do przepisów regulujących ochronę danych osobowych (rezygnacja ze wskazywania w obwieszczeniu o licytacji ruchomości oraz w protokole postępowania przetargowego adresu zobowiązanego), a także do prawa celnego </w:t>
            </w:r>
            <w:r w:rsidRPr="00E86CC7">
              <w:rPr>
                <w:rFonts w:ascii="Times New Roman" w:hAnsi="Times New Roman"/>
                <w:sz w:val="24"/>
                <w:szCs w:val="24"/>
              </w:rPr>
              <w:t xml:space="preserve">(ruchomości o nieunijnym statusie celnym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nie</w:t>
            </w:r>
            <w:r w:rsidRPr="00E86CC7">
              <w:rPr>
                <w:rFonts w:ascii="Times New Roman" w:hAnsi="Times New Roman"/>
                <w:sz w:val="24"/>
                <w:szCs w:val="24"/>
              </w:rPr>
              <w:t xml:space="preserve"> będą podlegały zajęciu).</w:t>
            </w:r>
          </w:p>
          <w:p w14:paraId="5F0B76F3" w14:textId="7EAC2DED" w:rsidR="005B0F2B" w:rsidRPr="00E86CC7" w:rsidRDefault="005B0F2B" w:rsidP="00E86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CC7">
              <w:rPr>
                <w:rFonts w:ascii="Times New Roman" w:hAnsi="Times New Roman"/>
                <w:sz w:val="24"/>
                <w:szCs w:val="24"/>
              </w:rPr>
              <w:t xml:space="preserve">Usprawnienie egzekucji z nieruchomości będzie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polegało na zmianie sposobu publikowania obwieszczenia </w:t>
            </w:r>
            <w:r w:rsidR="0021674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licytacji nieruchomości, zmianie </w:t>
            </w:r>
            <w:r w:rsidR="007A3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sposobu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 i oszacowania nieruchomości oraz </w:t>
            </w:r>
            <w:r w:rsidR="007A3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będzie 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wyga</w:t>
            </w:r>
            <w:r w:rsidR="007A33AC">
              <w:rPr>
                <w:rFonts w:ascii="Times New Roman" w:hAnsi="Times New Roman"/>
                <w:color w:val="000000"/>
                <w:sz w:val="24"/>
                <w:szCs w:val="24"/>
              </w:rPr>
              <w:t>sał</w:t>
            </w: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mocy prawa zakaz zbywania i obciążania nieruchomości, w przypadku sprzedaży egzekucyjnej. Dodatkowo </w:t>
            </w:r>
            <w:r w:rsidRPr="00E86CC7">
              <w:rPr>
                <w:rFonts w:ascii="Times New Roman" w:hAnsi="Times New Roman"/>
                <w:sz w:val="24"/>
                <w:szCs w:val="24"/>
              </w:rPr>
              <w:t xml:space="preserve">katalog osób wyłączonych z </w:t>
            </w:r>
            <w:r w:rsidRPr="00E86CC7">
              <w:rPr>
                <w:rFonts w:ascii="Times New Roman" w:hAnsi="Times New Roman"/>
                <w:sz w:val="24"/>
                <w:szCs w:val="24"/>
              </w:rPr>
              <w:lastRenderedPageBreak/>
              <w:t>licytacji nieruchomości dostosowano do przepisów o egzekucji z ruchomości (doprecyzowano również pojęcie pracownika obsługującego organ egzekucyjny).</w:t>
            </w:r>
          </w:p>
          <w:p w14:paraId="55DF4183" w14:textId="77777777" w:rsidR="005B0F2B" w:rsidRPr="00E86CC7" w:rsidRDefault="005B0F2B" w:rsidP="00E86C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86CC7">
              <w:rPr>
                <w:rFonts w:ascii="Times New Roman" w:hAnsi="Times New Roman"/>
                <w:color w:val="000000"/>
                <w:sz w:val="24"/>
                <w:szCs w:val="24"/>
              </w:rPr>
              <w:t>Zmiana przedawniania kosztów upomnienia będzie polegała na p</w:t>
            </w:r>
            <w:r w:rsidRPr="00E86CC7">
              <w:rPr>
                <w:rFonts w:ascii="Times New Roman" w:eastAsiaTheme="minorHAnsi" w:hAnsi="Times New Roman"/>
                <w:sz w:val="24"/>
                <w:szCs w:val="24"/>
              </w:rPr>
              <w:t xml:space="preserve">rzyjęciu, że koszty upomnienia będą przedawniały się wraz z wygaśnięciem należności pieniężnej objętej tym upomnieniem. Jeżeli w upomnieniu ujęto więcej niż jedną należność pieniężną, koszty upomnienia będą się przedawniały wraz z wygaśnięciem należności pieniężnej o najwcześniejszym terminie, zaś zmiana </w:t>
            </w:r>
            <w:r w:rsidRPr="00E86CC7">
              <w:rPr>
                <w:rFonts w:ascii="Times New Roman" w:hAnsi="Times New Roman"/>
                <w:sz w:val="24"/>
                <w:szCs w:val="24"/>
              </w:rPr>
              <w:t>dotycząca podejmowania czynności zmierzających do zastosowania środków egzekucyjnych będzie polegała na rezygnacji z ujmowania zmiennej wartości kwoty odsetek, od której uzależnia się podjęcie tych czynności.</w:t>
            </w:r>
          </w:p>
          <w:p w14:paraId="70E11461" w14:textId="564D6ABB" w:rsidR="00BB4517" w:rsidRPr="00BB4517" w:rsidRDefault="005B0F2B" w:rsidP="007A33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BA5">
              <w:rPr>
                <w:rFonts w:ascii="Times New Roman" w:eastAsiaTheme="minorHAnsi" w:hAnsi="Times New Roman"/>
                <w:sz w:val="24"/>
                <w:szCs w:val="24"/>
              </w:rPr>
              <w:t xml:space="preserve">Wygaśnięcie decyzji o rozłożeniu na raty zapłaty podatku lub zaległości podatkowej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będzie następowało </w:t>
            </w:r>
            <w:r w:rsidR="00216744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7F3BA5">
              <w:rPr>
                <w:rFonts w:ascii="Times New Roman" w:eastAsiaTheme="minorHAnsi" w:hAnsi="Times New Roman"/>
                <w:sz w:val="24"/>
                <w:szCs w:val="24"/>
              </w:rPr>
              <w:t>w przypadku niedotrzymania terminu p</w:t>
            </w:r>
            <w:r w:rsidRPr="007F3BA5">
              <w:rPr>
                <w:rFonts w:ascii="Times New Roman" w:eastAsiaTheme="minorHAnsi" w:hAnsi="Times New Roman" w:hint="eastAsia"/>
                <w:sz w:val="24"/>
                <w:szCs w:val="24"/>
              </w:rPr>
              <w:t>ł</w:t>
            </w:r>
            <w:r w:rsidRPr="007F3BA5">
              <w:rPr>
                <w:rFonts w:ascii="Times New Roman" w:eastAsiaTheme="minorHAnsi" w:hAnsi="Times New Roman"/>
                <w:sz w:val="24"/>
                <w:szCs w:val="24"/>
              </w:rPr>
              <w:t>atno</w:t>
            </w:r>
            <w:r w:rsidRPr="007F3BA5">
              <w:rPr>
                <w:rFonts w:ascii="Times New Roman" w:eastAsiaTheme="minorHAnsi" w:hAnsi="Times New Roman" w:hint="eastAsia"/>
                <w:sz w:val="24"/>
                <w:szCs w:val="24"/>
              </w:rPr>
              <w:t>ś</w:t>
            </w:r>
            <w:r w:rsidRPr="007F3BA5">
              <w:rPr>
                <w:rFonts w:ascii="Times New Roman" w:eastAsiaTheme="minorHAnsi" w:hAnsi="Times New Roman"/>
                <w:sz w:val="24"/>
                <w:szCs w:val="24"/>
              </w:rPr>
              <w:t>ci trzech rat (rezygnacja z trzech kolejnych rat)</w:t>
            </w:r>
            <w:r w:rsidR="009F58A3">
              <w:rPr>
                <w:rFonts w:ascii="Times New Roman" w:eastAsiaTheme="minorHAnsi" w:hAnsi="Times New Roman"/>
                <w:sz w:val="24"/>
                <w:szCs w:val="24"/>
              </w:rPr>
              <w:t xml:space="preserve"> – zmiana ustawy Ordynacja podatkowa</w:t>
            </w:r>
            <w:r w:rsidR="007A33AC">
              <w:rPr>
                <w:rFonts w:ascii="Times New Roman" w:eastAsiaTheme="minorHAnsi" w:hAnsi="Times New Roman"/>
                <w:sz w:val="24"/>
                <w:szCs w:val="24"/>
              </w:rPr>
              <w:t>. A</w:t>
            </w:r>
            <w:r w:rsidR="007221C1">
              <w:rPr>
                <w:rFonts w:ascii="Times New Roman" w:eastAsiaTheme="minorHAnsi" w:hAnsi="Times New Roman"/>
                <w:sz w:val="24"/>
                <w:szCs w:val="24"/>
              </w:rPr>
              <w:t>nalogiczne rozwiązania będą zaproponowane w zakre</w:t>
            </w:r>
            <w:r w:rsidR="00224F17">
              <w:rPr>
                <w:rFonts w:ascii="Times New Roman" w:eastAsiaTheme="minorHAnsi" w:hAnsi="Times New Roman"/>
                <w:sz w:val="24"/>
                <w:szCs w:val="24"/>
              </w:rPr>
              <w:t>sie wygaśnięcia postanowienia o </w:t>
            </w:r>
            <w:r w:rsidR="007221C1">
              <w:rPr>
                <w:rFonts w:ascii="Times New Roman" w:eastAsiaTheme="minorHAnsi" w:hAnsi="Times New Roman"/>
                <w:sz w:val="24"/>
                <w:szCs w:val="24"/>
              </w:rPr>
              <w:t>rozłożeniu na raty kosztów egzekucyjnych</w:t>
            </w:r>
            <w:r w:rsidRPr="007F3BA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C870F1">
              <w:rPr>
                <w:rFonts w:ascii="Times New Roman" w:eastAsiaTheme="minorHAnsi" w:hAnsi="Times New Roman"/>
                <w:sz w:val="24"/>
                <w:szCs w:val="24"/>
              </w:rPr>
              <w:t xml:space="preserve"> Ponadto zaproponowano przeniesienie do działu III ustawy – </w:t>
            </w:r>
            <w:r w:rsidR="002C7123"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 w:rsidR="00C870F1">
              <w:rPr>
                <w:rFonts w:ascii="Times New Roman" w:eastAsiaTheme="minorHAnsi" w:hAnsi="Times New Roman"/>
                <w:sz w:val="24"/>
                <w:szCs w:val="24"/>
              </w:rPr>
              <w:t xml:space="preserve">rdynacja podatkowa przepisów art. 259 tej ustawy (dział IV) w zakresie wygaśnięcia decyzji o uldze w spłacie zobowiązań podatkowych. </w:t>
            </w:r>
          </w:p>
        </w:tc>
      </w:tr>
      <w:tr w:rsidR="00315911" w:rsidRPr="00760EC5" w14:paraId="7E39BACC" w14:textId="77777777" w:rsidTr="00F24BBD">
        <w:trPr>
          <w:trHeight w:val="307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42D19B25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Jak problem został rozwiązany w innych krajach, w szczególności krajach członkowskich OECD/UE</w:t>
            </w: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Pr="00760E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15911" w:rsidRPr="00760EC5" w14:paraId="6EE23DF7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auto"/>
          </w:tcPr>
          <w:p w14:paraId="07C01495" w14:textId="77777777" w:rsidR="00315911" w:rsidRPr="00760EC5" w:rsidRDefault="00315911" w:rsidP="00D11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Brak informacji. </w:t>
            </w:r>
          </w:p>
        </w:tc>
      </w:tr>
      <w:tr w:rsidR="00315911" w:rsidRPr="00760EC5" w14:paraId="00E9107A" w14:textId="77777777" w:rsidTr="00F24BBD">
        <w:trPr>
          <w:trHeight w:val="359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78702284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315911" w:rsidRPr="00760EC5" w14:paraId="310B0BA3" w14:textId="77777777" w:rsidTr="00F24BBD">
        <w:trPr>
          <w:trHeight w:val="142"/>
        </w:trPr>
        <w:tc>
          <w:tcPr>
            <w:tcW w:w="2658" w:type="dxa"/>
            <w:gridSpan w:val="5"/>
            <w:shd w:val="clear" w:color="auto" w:fill="auto"/>
          </w:tcPr>
          <w:p w14:paraId="0829C8CD" w14:textId="77777777" w:rsidR="00315911" w:rsidRPr="00760EC5" w:rsidRDefault="00315911" w:rsidP="00D116F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1908" w:type="dxa"/>
            <w:gridSpan w:val="5"/>
            <w:shd w:val="clear" w:color="auto" w:fill="auto"/>
          </w:tcPr>
          <w:p w14:paraId="460927F5" w14:textId="77777777" w:rsidR="00315911" w:rsidRPr="00760EC5" w:rsidRDefault="00315911" w:rsidP="00D116F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3382" w:type="dxa"/>
            <w:gridSpan w:val="11"/>
            <w:shd w:val="clear" w:color="auto" w:fill="auto"/>
          </w:tcPr>
          <w:p w14:paraId="684EABEB" w14:textId="77777777" w:rsidR="00315911" w:rsidRPr="00760EC5" w:rsidRDefault="00315911" w:rsidP="00D116F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760EC5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  <w:gridSpan w:val="6"/>
            <w:shd w:val="clear" w:color="auto" w:fill="auto"/>
          </w:tcPr>
          <w:p w14:paraId="2D264AA9" w14:textId="77777777" w:rsidR="00315911" w:rsidRPr="00760EC5" w:rsidRDefault="00315911" w:rsidP="00D116F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315911" w:rsidRPr="00760EC5" w14:paraId="25DC4BAF" w14:textId="77777777" w:rsidTr="00F24BBD">
        <w:trPr>
          <w:trHeight w:val="142"/>
        </w:trPr>
        <w:tc>
          <w:tcPr>
            <w:tcW w:w="2658" w:type="dxa"/>
            <w:gridSpan w:val="5"/>
            <w:shd w:val="clear" w:color="auto" w:fill="auto"/>
          </w:tcPr>
          <w:p w14:paraId="0FCA48AE" w14:textId="77777777" w:rsidR="00315911" w:rsidRPr="00820C4D" w:rsidRDefault="00314BEC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0C4D">
              <w:rPr>
                <w:rFonts w:ascii="Times New Roman" w:hAnsi="Times New Roman"/>
                <w:sz w:val="24"/>
                <w:szCs w:val="24"/>
              </w:rPr>
              <w:t>Administracyjne organy egzekucyjne</w:t>
            </w:r>
          </w:p>
        </w:tc>
        <w:tc>
          <w:tcPr>
            <w:tcW w:w="1908" w:type="dxa"/>
            <w:gridSpan w:val="5"/>
            <w:shd w:val="clear" w:color="auto" w:fill="auto"/>
          </w:tcPr>
          <w:p w14:paraId="5E52F43B" w14:textId="045FDC49" w:rsidR="00314BEC" w:rsidRPr="00820C4D" w:rsidRDefault="00224F17" w:rsidP="00314BE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− 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>386 naczelników urzędów skarbowych,</w:t>
            </w:r>
          </w:p>
          <w:p w14:paraId="2F705E0A" w14:textId="41B5F8C7" w:rsidR="00314BEC" w:rsidRPr="00820C4D" w:rsidRDefault="00224F17" w:rsidP="00314BE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−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47 – właściwych organów gminy o statusie miasta, </w:t>
            </w:r>
          </w:p>
          <w:p w14:paraId="04D480F9" w14:textId="46D8A09C" w:rsidR="00314BEC" w:rsidRPr="00820C4D" w:rsidRDefault="00224F17" w:rsidP="00314BE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−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właściwe organy gminy prowadzące postępowanie egzekucyjne na podstawie porozumień, </w:t>
            </w:r>
          </w:p>
          <w:p w14:paraId="3A430F53" w14:textId="6A8E5D1A" w:rsidR="00315911" w:rsidRDefault="0034641C" w:rsidP="00314BE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−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16 marszałków województw;</w:t>
            </w:r>
          </w:p>
          <w:p w14:paraId="662A3E39" w14:textId="77777777" w:rsidR="009F58A3" w:rsidRPr="00961769" w:rsidRDefault="009F58A3" w:rsidP="009F58A3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43 dyrektorów oddziału ZUS, </w:t>
            </w:r>
          </w:p>
          <w:p w14:paraId="7DA210FB" w14:textId="77777777" w:rsidR="009F58A3" w:rsidRPr="00961769" w:rsidRDefault="009F58A3" w:rsidP="009F58A3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− 10 dyrektorów oddziałów regionalnych 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Agencji Mienia Wojskowego,</w:t>
            </w:r>
          </w:p>
          <w:p w14:paraId="6764940A" w14:textId="26D55DE5" w:rsidR="009F58A3" w:rsidRPr="00820C4D" w:rsidRDefault="009F58A3" w:rsidP="009F58A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82" w:type="dxa"/>
            <w:gridSpan w:val="11"/>
            <w:shd w:val="clear" w:color="auto" w:fill="auto"/>
          </w:tcPr>
          <w:p w14:paraId="18903DB2" w14:textId="13AC0439" w:rsidR="00314BEC" w:rsidRPr="00820C4D" w:rsidRDefault="00224F17" w:rsidP="00314BE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−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art. 19 ustawy o postępowaniu egzekucyjnym w administracji oraz:</w:t>
            </w:r>
          </w:p>
          <w:p w14:paraId="0A5C6B43" w14:textId="6697EB1E" w:rsidR="009F58A3" w:rsidRPr="00961769" w:rsidRDefault="009F58A3" w:rsidP="009F58A3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6E0036">
              <w:rPr>
                <w:rFonts w:ascii="Times New Roman" w:hAnsi="Times New Roman"/>
                <w:spacing w:val="-2"/>
              </w:rPr>
              <w:t xml:space="preserve"> 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rozporządzenie Ministra Rozwoju i Finansów z dnia 24 lutego 2017 r. w sprawie niektórych podatników i płatników, w odniesieniu do których zadania są wykonywane przez naczelnika urzędu skarbowego innego niż właściwy miejscowo (Dz. U. </w:t>
            </w:r>
            <w:r w:rsidR="00E31AF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2020 r. 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poz. </w:t>
            </w:r>
            <w:r w:rsidR="00E31AFF">
              <w:rPr>
                <w:rFonts w:ascii="Times New Roman" w:hAnsi="Times New Roman"/>
                <w:spacing w:val="-2"/>
                <w:sz w:val="24"/>
                <w:szCs w:val="24"/>
              </w:rPr>
              <w:t>700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>),</w:t>
            </w:r>
          </w:p>
          <w:p w14:paraId="69E8C697" w14:textId="5229444E" w:rsidR="009F58A3" w:rsidRPr="00961769" w:rsidRDefault="009F58A3" w:rsidP="009F58A3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>− rozporządzenie Ministra Rozwoju i Finansów z dnia 27 lutego 201</w:t>
            </w:r>
            <w:r w:rsidR="004733CF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r. w sprawie wyznaczenia organów Krajowej Administracji Skarbowej do wykonywania niektórych zadań Krajowej Administracji Skarbowej oraz określenia terytorialnego zasięgu ich działania (Dz. U. </w:t>
            </w:r>
            <w:r w:rsidR="004733C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 2019 r. 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>poz. 2055),</w:t>
            </w:r>
          </w:p>
          <w:p w14:paraId="194AE2DE" w14:textId="6CE9A024" w:rsidR="00314BEC" w:rsidRPr="00820C4D" w:rsidRDefault="0034641C" w:rsidP="00314BEC">
            <w:pPr>
              <w:spacing w:before="4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−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załącznik do ustawy </w:t>
            </w:r>
            <w:r w:rsidR="009F58A3">
              <w:rPr>
                <w:rFonts w:ascii="Times New Roman" w:hAnsi="Times New Roman"/>
                <w:spacing w:val="-2"/>
              </w:rPr>
              <w:t xml:space="preserve">z dnia 24 listopada 1995 r. 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 zmianie zakresu działania niektórych miast oraz miejskich strefach usług publicznych (Dz. U.  poz. 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692) oraz ustawa z dnia 15 marca 2002 r. o ustroju miasta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stołecznego Warszawy (Dz. U. z 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 w:rsidR="009F58A3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r. poz. </w:t>
            </w:r>
            <w:r w:rsidR="009F58A3">
              <w:rPr>
                <w:rFonts w:ascii="Times New Roman" w:hAnsi="Times New Roman"/>
                <w:spacing w:val="-2"/>
                <w:sz w:val="24"/>
                <w:szCs w:val="24"/>
              </w:rPr>
              <w:t>1817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>),</w:t>
            </w:r>
          </w:p>
          <w:p w14:paraId="6EC31076" w14:textId="08928115" w:rsidR="00315911" w:rsidRDefault="0034641C" w:rsidP="00314BEC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−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ustawa z dnia 3 lutego 1995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r. o ochronie gruntów rolnych i 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>leśnych (Dz. U. z 2017 r. poz. 1161</w:t>
            </w:r>
            <w:r w:rsidR="00E31AFF">
              <w:rPr>
                <w:rFonts w:ascii="Times New Roman" w:hAnsi="Times New Roman"/>
                <w:spacing w:val="-2"/>
                <w:sz w:val="24"/>
                <w:szCs w:val="24"/>
              </w:rPr>
              <w:t>, z późn. zm.</w:t>
            </w:r>
            <w:r w:rsidR="00314BEC" w:rsidRPr="00820C4D">
              <w:rPr>
                <w:rFonts w:ascii="Times New Roman" w:hAnsi="Times New Roman"/>
                <w:spacing w:val="-2"/>
                <w:sz w:val="24"/>
                <w:szCs w:val="24"/>
              </w:rPr>
              <w:t>);</w:t>
            </w:r>
          </w:p>
          <w:p w14:paraId="149D14CD" w14:textId="77777777" w:rsidR="009F58A3" w:rsidRPr="00961769" w:rsidRDefault="009F58A3" w:rsidP="009F58A3">
            <w:pPr>
              <w:spacing w:before="4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>rozporządzenie Ministra Finansów z dnia 2 września 2016 r. w sprawie siedzib i właściwości rzeczowej oraz miejscowej dyrektorów oddziałów Zakładu Ubezpieczeń Społecznych wyznaczonych do działania jako organy egzekucyjne (Dz. U. poz. 1411),</w:t>
            </w:r>
          </w:p>
          <w:p w14:paraId="68EE0E3A" w14:textId="5D416DA6" w:rsidR="009F58A3" w:rsidRPr="00820C4D" w:rsidRDefault="009F58A3" w:rsidP="00954C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>− ustawa z dnia 13 września 1</w:t>
            </w:r>
            <w:r w:rsidR="0034641C">
              <w:rPr>
                <w:rFonts w:ascii="Times New Roman" w:hAnsi="Times New Roman"/>
                <w:spacing w:val="-2"/>
                <w:sz w:val="24"/>
                <w:szCs w:val="24"/>
              </w:rPr>
              <w:t>996 r. o utrzymaniu czystości w 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>gminach (Dz. U. z 20</w:t>
            </w:r>
            <w:r w:rsidR="00954C04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r. poz. </w:t>
            </w:r>
            <w:r w:rsidR="00954C04">
              <w:rPr>
                <w:rFonts w:ascii="Times New Roman" w:hAnsi="Times New Roman"/>
                <w:spacing w:val="-2"/>
                <w:sz w:val="24"/>
                <w:szCs w:val="24"/>
              </w:rPr>
              <w:t>1439</w:t>
            </w:r>
            <w:r w:rsidRPr="00961769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3138" w:type="dxa"/>
            <w:gridSpan w:val="6"/>
            <w:shd w:val="clear" w:color="auto" w:fill="auto"/>
          </w:tcPr>
          <w:p w14:paraId="0FA4AE06" w14:textId="4B91737E" w:rsidR="00315911" w:rsidRPr="00820C4D" w:rsidRDefault="00224F17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−</w:t>
            </w:r>
            <w:r w:rsidR="000656A3"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14BEC"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Usprawnienie prowadzenia administracyj</w:t>
            </w:r>
            <w:r w:rsidR="000656A3"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nego postępowania egzekucyjnego,</w:t>
            </w:r>
          </w:p>
          <w:p w14:paraId="3BB4E5AF" w14:textId="2FFA8D89" w:rsidR="000656A3" w:rsidRPr="00820C4D" w:rsidRDefault="00224F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−</w:t>
            </w:r>
            <w:r w:rsidR="000656A3"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F58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Dochodzenie nowych należności publicznoprawnych </w:t>
            </w:r>
            <w:r w:rsidR="000656A3"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</w:tc>
      </w:tr>
      <w:tr w:rsidR="000656A3" w:rsidRPr="00760EC5" w14:paraId="05507D11" w14:textId="77777777" w:rsidTr="00F24BBD">
        <w:trPr>
          <w:trHeight w:val="142"/>
        </w:trPr>
        <w:tc>
          <w:tcPr>
            <w:tcW w:w="2658" w:type="dxa"/>
            <w:gridSpan w:val="5"/>
            <w:shd w:val="clear" w:color="auto" w:fill="auto"/>
          </w:tcPr>
          <w:p w14:paraId="0F503BA3" w14:textId="77777777" w:rsidR="000656A3" w:rsidRPr="00820C4D" w:rsidRDefault="000656A3" w:rsidP="00D116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C4D">
              <w:rPr>
                <w:rFonts w:ascii="Times New Roman" w:hAnsi="Times New Roman"/>
                <w:color w:val="000000"/>
                <w:sz w:val="24"/>
                <w:szCs w:val="24"/>
              </w:rPr>
              <w:t>Sądowe organy egzekucyjne</w:t>
            </w:r>
          </w:p>
        </w:tc>
        <w:tc>
          <w:tcPr>
            <w:tcW w:w="1908" w:type="dxa"/>
            <w:gridSpan w:val="5"/>
            <w:shd w:val="clear" w:color="auto" w:fill="auto"/>
          </w:tcPr>
          <w:p w14:paraId="140CA57F" w14:textId="102613B3" w:rsidR="000656A3" w:rsidRPr="00820C4D" w:rsidRDefault="000656A3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2C712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858 </w:t>
            </w:r>
            <w:r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komorników sądowych</w:t>
            </w:r>
          </w:p>
        </w:tc>
        <w:tc>
          <w:tcPr>
            <w:tcW w:w="3382" w:type="dxa"/>
            <w:gridSpan w:val="11"/>
            <w:shd w:val="clear" w:color="auto" w:fill="auto"/>
          </w:tcPr>
          <w:p w14:paraId="4435C557" w14:textId="1FCE675C" w:rsidR="000656A3" w:rsidRPr="00820C4D" w:rsidRDefault="007D5219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hyperlink r:id="rId8" w:history="1">
              <w:r w:rsidR="000656A3" w:rsidRPr="00820C4D">
                <w:rPr>
                  <w:rFonts w:ascii="Times New Roman" w:hAnsi="Times New Roman"/>
                  <w:spacing w:val="-2"/>
                  <w:sz w:val="24"/>
                  <w:szCs w:val="24"/>
                </w:rPr>
                <w:t>https://www.komornik.pl/?page_id=189</w:t>
              </w:r>
            </w:hyperlink>
            <w:r w:rsidR="000656A3" w:rsidRPr="00820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; dane na dzień </w:t>
            </w:r>
            <w:r w:rsidR="002C7123">
              <w:rPr>
                <w:rFonts w:ascii="Times New Roman" w:hAnsi="Times New Roman"/>
                <w:spacing w:val="-2"/>
                <w:sz w:val="24"/>
                <w:szCs w:val="24"/>
              </w:rPr>
              <w:t>9.07.2020</w:t>
            </w:r>
            <w:r w:rsidR="000656A3" w:rsidRPr="00820C4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r. </w:t>
            </w:r>
          </w:p>
        </w:tc>
        <w:tc>
          <w:tcPr>
            <w:tcW w:w="3138" w:type="dxa"/>
            <w:gridSpan w:val="6"/>
            <w:shd w:val="clear" w:color="auto" w:fill="auto"/>
          </w:tcPr>
          <w:p w14:paraId="6B5CF42D" w14:textId="267D6E9D" w:rsidR="009F58A3" w:rsidRDefault="003464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−</w:t>
            </w:r>
            <w:r w:rsidR="009F58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F58A3"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sprawnienie egzekucji z </w:t>
            </w:r>
            <w:r w:rsidR="009F58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rachunku bankowego, </w:t>
            </w:r>
          </w:p>
          <w:p w14:paraId="5DE06A07" w14:textId="58BB6E8E" w:rsidR="000656A3" w:rsidRPr="00820C4D" w:rsidRDefault="003464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−</w:t>
            </w:r>
            <w:r w:rsidR="009F58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Usprawnienie sp</w:t>
            </w:r>
            <w:r w:rsidR="000656A3"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osobu postępowania w przypadku z</w:t>
            </w:r>
            <w:r w:rsidR="00E86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ajęć rzeczy lub prawa majątkowego przez dwa lub więcej organy egzekucyjne</w:t>
            </w:r>
            <w:r w:rsidR="000656A3"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</w:tc>
      </w:tr>
      <w:tr w:rsidR="00315911" w:rsidRPr="00760EC5" w14:paraId="26971BCD" w14:textId="77777777" w:rsidTr="00F24BBD">
        <w:trPr>
          <w:trHeight w:val="758"/>
        </w:trPr>
        <w:tc>
          <w:tcPr>
            <w:tcW w:w="2658" w:type="dxa"/>
            <w:gridSpan w:val="5"/>
            <w:shd w:val="clear" w:color="auto" w:fill="auto"/>
          </w:tcPr>
          <w:p w14:paraId="7BDAA593" w14:textId="68105FB3" w:rsidR="00315911" w:rsidRPr="00820C4D" w:rsidRDefault="00314BEC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0C4D">
              <w:rPr>
                <w:rFonts w:ascii="Times New Roman" w:hAnsi="Times New Roman"/>
                <w:spacing w:val="-2"/>
                <w:sz w:val="24"/>
                <w:szCs w:val="24"/>
              </w:rPr>
              <w:t>Zobowiązani</w:t>
            </w:r>
          </w:p>
        </w:tc>
        <w:tc>
          <w:tcPr>
            <w:tcW w:w="1908" w:type="dxa"/>
            <w:gridSpan w:val="5"/>
            <w:shd w:val="clear" w:color="auto" w:fill="auto"/>
          </w:tcPr>
          <w:p w14:paraId="0E0F05A5" w14:textId="77777777" w:rsidR="00315911" w:rsidRPr="00820C4D" w:rsidRDefault="00314BEC" w:rsidP="00094B3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0C4D">
              <w:rPr>
                <w:rFonts w:ascii="Times New Roman" w:hAnsi="Times New Roman"/>
                <w:spacing w:val="-2"/>
                <w:sz w:val="24"/>
                <w:szCs w:val="24"/>
              </w:rPr>
              <w:t>ok. 2 mln zobowiązanych</w:t>
            </w:r>
          </w:p>
        </w:tc>
        <w:tc>
          <w:tcPr>
            <w:tcW w:w="3382" w:type="dxa"/>
            <w:gridSpan w:val="11"/>
            <w:shd w:val="clear" w:color="auto" w:fill="auto"/>
          </w:tcPr>
          <w:p w14:paraId="71584D8D" w14:textId="77777777" w:rsidR="00315911" w:rsidRPr="00820C4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38" w:type="dxa"/>
            <w:gridSpan w:val="6"/>
            <w:shd w:val="clear" w:color="auto" w:fill="auto"/>
          </w:tcPr>
          <w:p w14:paraId="63A4066B" w14:textId="77777777" w:rsidR="00315911" w:rsidRPr="00820C4D" w:rsidRDefault="00314BEC" w:rsidP="00314B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0C4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Zapewnienie ochrony danych osobowych w egzekucji </w:t>
            </w:r>
          </w:p>
        </w:tc>
      </w:tr>
      <w:tr w:rsidR="00315911" w:rsidRPr="00760EC5" w14:paraId="0CB4A0E2" w14:textId="77777777" w:rsidTr="00F24BBD">
        <w:trPr>
          <w:trHeight w:val="757"/>
        </w:trPr>
        <w:tc>
          <w:tcPr>
            <w:tcW w:w="2658" w:type="dxa"/>
            <w:gridSpan w:val="5"/>
            <w:shd w:val="clear" w:color="auto" w:fill="auto"/>
          </w:tcPr>
          <w:p w14:paraId="0E1254A7" w14:textId="77777777" w:rsidR="00315911" w:rsidRPr="00820C4D" w:rsidRDefault="00314BEC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C4D">
              <w:rPr>
                <w:rFonts w:ascii="Times New Roman" w:hAnsi="Times New Roman"/>
                <w:spacing w:val="-2"/>
                <w:sz w:val="24"/>
                <w:szCs w:val="24"/>
              </w:rPr>
              <w:t>Wierzyciele należności pieniężnych podlegających egzekucji administracyjnej</w:t>
            </w:r>
          </w:p>
        </w:tc>
        <w:tc>
          <w:tcPr>
            <w:tcW w:w="1908" w:type="dxa"/>
            <w:gridSpan w:val="5"/>
            <w:shd w:val="clear" w:color="auto" w:fill="auto"/>
          </w:tcPr>
          <w:p w14:paraId="70464196" w14:textId="77777777" w:rsidR="00315911" w:rsidRPr="00820C4D" w:rsidRDefault="00314BEC" w:rsidP="00094B3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0C4D">
              <w:rPr>
                <w:rFonts w:ascii="Times New Roman" w:hAnsi="Times New Roman"/>
                <w:spacing w:val="-2"/>
                <w:sz w:val="24"/>
                <w:szCs w:val="24"/>
              </w:rPr>
              <w:t>brak danych</w:t>
            </w:r>
          </w:p>
        </w:tc>
        <w:tc>
          <w:tcPr>
            <w:tcW w:w="3382" w:type="dxa"/>
            <w:gridSpan w:val="11"/>
            <w:shd w:val="clear" w:color="auto" w:fill="auto"/>
          </w:tcPr>
          <w:p w14:paraId="524F1D2A" w14:textId="77777777" w:rsidR="00315911" w:rsidRPr="00820C4D" w:rsidRDefault="00315911" w:rsidP="00094B3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38" w:type="dxa"/>
            <w:gridSpan w:val="6"/>
            <w:shd w:val="clear" w:color="auto" w:fill="auto"/>
          </w:tcPr>
          <w:p w14:paraId="401EAFE5" w14:textId="07FC6AB3" w:rsidR="00315911" w:rsidRDefault="0034641C" w:rsidP="00314B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−</w:t>
            </w:r>
            <w:r w:rsidR="00E86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Usprawnienie postępowania w zakresie d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ochodzenia kosztów upomnienia i </w:t>
            </w:r>
            <w:r w:rsidR="00E86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odstąpienia od czynności zmierzających do zastosowania środków egzekucyjnych</w:t>
            </w:r>
          </w:p>
          <w:p w14:paraId="744EC3A6" w14:textId="098C68AA" w:rsidR="00E86CC7" w:rsidRPr="00820C4D" w:rsidRDefault="0034641C" w:rsidP="00314B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−</w:t>
            </w:r>
            <w:r w:rsidR="00E86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F58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="00E86C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odniesienie efektywności egzekucji może wypłynąć na zwiększenie dochodów budżetu państwa, jst, ZUS </w:t>
            </w:r>
          </w:p>
        </w:tc>
      </w:tr>
      <w:tr w:rsidR="00315911" w:rsidRPr="00760EC5" w14:paraId="182390D6" w14:textId="77777777" w:rsidTr="00F24BBD">
        <w:trPr>
          <w:trHeight w:val="302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088CAF09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315911" w:rsidRPr="00760EC5" w14:paraId="43082834" w14:textId="77777777" w:rsidTr="00F24BBD">
        <w:trPr>
          <w:trHeight w:val="342"/>
        </w:trPr>
        <w:tc>
          <w:tcPr>
            <w:tcW w:w="11086" w:type="dxa"/>
            <w:gridSpan w:val="27"/>
            <w:shd w:val="clear" w:color="auto" w:fill="FFFFFF"/>
          </w:tcPr>
          <w:p w14:paraId="64D60FEB" w14:textId="77777777" w:rsidR="00D3506C" w:rsidRPr="000069C6" w:rsidRDefault="00D3506C" w:rsidP="00D350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 toku uzgodnień międzyresortowych projektu ustawy zostanie on skierowany do konsultacji publicznych. Konsultacje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publiczne będą trwały 30 dni i będą dostępne dla wszystkich podmiotów.</w:t>
            </w:r>
          </w:p>
          <w:p w14:paraId="58683852" w14:textId="7EFCAE17" w:rsidR="00D3506C" w:rsidRDefault="00315911" w:rsidP="00A6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60EC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Projekt </w:t>
            </w:r>
            <w:r w:rsidR="007B096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</w:t>
            </w:r>
            <w:r w:rsidR="008A3CF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ędzie </w:t>
            </w:r>
            <w:r w:rsidRPr="00760EC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przedmiotem konsultacji </w:t>
            </w:r>
            <w:r w:rsidR="00314B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publicznych i opiniowania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r w:rsidR="00A655BB" w:rsidRPr="004C74E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 ramach których zostanie przedstawiony następującym </w:t>
            </w:r>
            <w:r w:rsidR="00D3506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m.in. </w:t>
            </w:r>
            <w:r w:rsidR="00A655BB" w:rsidRPr="004C74E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podmiotom: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Komisji Wspólnej Rządu i </w:t>
            </w:r>
            <w:r w:rsidR="00F24C6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amorządu Terytorialnego, Prokuratorii Generalnej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Rzeczypospolitej Polskiej, Urzęd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owi 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Komunikacji Elektronicznej,  Komisj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Nadz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oru Finansowego, Zakładowi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Ubezpieczeń Społecznych, </w:t>
            </w:r>
            <w:r w:rsidR="00F24C6A" w:rsidRPr="004C74E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Agencji Mienia Wojskowego,</w:t>
            </w:r>
            <w:r w:rsidR="00F24C6A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Kas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  <w:r w:rsidR="00F24C6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Rolniczego Ubezpieczenia Społecznego, Ubezpieczeniow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emu 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Fundusz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owi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Gwarancyjn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 Państwow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emu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Fundusz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owi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Rehabilitacji Osób Niepełnosprawnych, Związk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owi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Miast Polskich, Związk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owi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Gmin Wiejskich, Uni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Metropolii Polskich, Związk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owi 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Województw RP, Krajow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ej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Rad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zie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Komornicz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ej, Rzecznikowi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Małych i Średnich Przedsiębiorców, Związk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owi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Przedsiębiorców i Pracodawców, Izb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ie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Gospodarki Elektronicznej, Krajow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ej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Izb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ie 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Rozliczeniow</w:t>
            </w:r>
            <w:r w:rsidR="00A655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ej</w:t>
            </w:r>
            <w:r w:rsidR="00A655BB" w:rsidRPr="00F106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S.A., </w:t>
            </w:r>
            <w:r w:rsidR="00A655BB" w:rsidRPr="000069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Związkowi Banków Polskich, </w:t>
            </w:r>
            <w:r w:rsidR="000069C6" w:rsidRPr="000069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Krajowej Izbie Rozliczeniowej S.A., </w:t>
            </w:r>
            <w:r w:rsidR="00A655BB" w:rsidRPr="000069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Krajowemu Związkowi Banków Spółdzielczych, Kasie</w:t>
            </w:r>
            <w:r w:rsidR="00F24C6A" w:rsidRPr="000069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Krajowej</w:t>
            </w:r>
            <w:r w:rsidR="00A655BB" w:rsidRPr="000069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SKOK, Poczcie Polskiej S.A.</w:t>
            </w:r>
            <w:r w:rsidR="00D3506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881AC99" w14:textId="2DAF6344" w:rsidR="00F24C6A" w:rsidRPr="000069C6" w:rsidRDefault="00F24C6A" w:rsidP="00A6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69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Projekt nie dotyczy spraw, o których mowa w art. 1 ustawy z dnia 24 lipca 2015 r. o Radzie Dialogu Społecznego i innych instytucjach dialogu społecznego (Dz. U. z 2018 r. poz. 2232</w:t>
            </w:r>
            <w:r w:rsidR="00E31AF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 z późn. zm</w:t>
            </w:r>
            <w:r w:rsidRPr="000069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). Z uwagi na zakres projektu, który nie dotyczy problematyki zadań związków zawodowych, projekt nie podlega opiniowaniu przez reprezentatywne związki zawodowe.</w:t>
            </w:r>
          </w:p>
          <w:p w14:paraId="31C739FB" w14:textId="77777777" w:rsidR="00315911" w:rsidRPr="00760EC5" w:rsidRDefault="00314BEC" w:rsidP="00314BE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69C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Stosownie do treści art. 5 ustawy z dnia 7 lipca 2005 r. o działalności lobbingowej w procesie stanowienia prawa (Dz. U. z 2017 r. poz. 248) zostanie udostępniony w Biuletynie Informacji Publicznej, na stronie podmiotowej Rządowego Centrum Legislacji, w serwisie Rządowy Proces Legislacyjny.</w:t>
            </w:r>
          </w:p>
        </w:tc>
      </w:tr>
      <w:tr w:rsidR="00315911" w:rsidRPr="00760EC5" w14:paraId="7E327328" w14:textId="77777777" w:rsidTr="00F24BBD">
        <w:trPr>
          <w:trHeight w:val="363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2AFB1A73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315911" w:rsidRPr="00760EC5" w14:paraId="71F8AA46" w14:textId="77777777" w:rsidTr="00F24BBD">
        <w:trPr>
          <w:trHeight w:val="142"/>
        </w:trPr>
        <w:tc>
          <w:tcPr>
            <w:tcW w:w="1305" w:type="dxa"/>
            <w:vMerge w:val="restart"/>
            <w:shd w:val="clear" w:color="auto" w:fill="FFFFFF"/>
          </w:tcPr>
          <w:p w14:paraId="7078CD60" w14:textId="77777777" w:rsidR="00315911" w:rsidRPr="00F24BBD" w:rsidRDefault="00315911" w:rsidP="00D116FF">
            <w:pPr>
              <w:spacing w:before="40" w:after="4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color w:val="000000"/>
                <w:sz w:val="20"/>
                <w:szCs w:val="20"/>
              </w:rPr>
              <w:t>(ceny stałe z …… r.)</w:t>
            </w:r>
          </w:p>
        </w:tc>
        <w:tc>
          <w:tcPr>
            <w:tcW w:w="9781" w:type="dxa"/>
            <w:gridSpan w:val="26"/>
            <w:shd w:val="clear" w:color="auto" w:fill="FFFFFF"/>
          </w:tcPr>
          <w:p w14:paraId="656BC1DA" w14:textId="77777777" w:rsidR="00315911" w:rsidRPr="00760EC5" w:rsidRDefault="00315911" w:rsidP="00D116F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21791C" w:rsidRPr="00760EC5" w14:paraId="6783C0E9" w14:textId="77777777" w:rsidTr="00F24BBD">
        <w:trPr>
          <w:trHeight w:val="142"/>
        </w:trPr>
        <w:tc>
          <w:tcPr>
            <w:tcW w:w="1305" w:type="dxa"/>
            <w:vMerge/>
            <w:shd w:val="clear" w:color="auto" w:fill="FFFFFF"/>
          </w:tcPr>
          <w:p w14:paraId="6BA936B7" w14:textId="77777777" w:rsidR="00315911" w:rsidRPr="00F24BBD" w:rsidRDefault="00315911" w:rsidP="00D116F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5A4EAEA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32D4E428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C41A182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CDDBCEF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1A60C52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A33640E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09244C1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56646785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4E43720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223B05A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E312B7C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4F5E1621" w14:textId="77777777" w:rsidR="00315911" w:rsidRPr="00760EC5" w:rsidRDefault="00315911" w:rsidP="00D116F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21791C" w:rsidRPr="00760EC5" w14:paraId="3B3F0D87" w14:textId="77777777" w:rsidTr="00F24BBD">
        <w:trPr>
          <w:trHeight w:val="321"/>
        </w:trPr>
        <w:tc>
          <w:tcPr>
            <w:tcW w:w="1305" w:type="dxa"/>
            <w:shd w:val="clear" w:color="auto" w:fill="FFFFFF"/>
            <w:vAlign w:val="center"/>
          </w:tcPr>
          <w:p w14:paraId="448C8B14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EC04F56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1,80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12B0849D" w14:textId="6EAF2CD9" w:rsidR="00315911" w:rsidRPr="00A77048" w:rsidRDefault="0019218C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7,37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8DC43DE" w14:textId="51587412" w:rsidR="00315911" w:rsidRPr="00A77048" w:rsidRDefault="0019218C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5246467" w14:textId="4969BE77" w:rsidR="00315911" w:rsidRPr="00A77048" w:rsidRDefault="0019218C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4,05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02CAB91" w14:textId="78BCB298" w:rsidR="00315911" w:rsidRPr="00A77048" w:rsidRDefault="004852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48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19218C"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CBEC5F2" w14:textId="7A1C697A" w:rsidR="00315911" w:rsidRPr="00A77048" w:rsidRDefault="0019218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3,19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DBCC0E3" w14:textId="2F075BB1" w:rsidR="00315911" w:rsidRPr="00A77048" w:rsidRDefault="0019218C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0D409491" w14:textId="48555E35" w:rsidR="00315911" w:rsidRPr="00A77048" w:rsidRDefault="0019218C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19038D3" w14:textId="0E0BE6FB" w:rsidR="00315911" w:rsidRPr="00A77048" w:rsidRDefault="0019218C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4E0A855" w14:textId="79A8E8D9" w:rsidR="00315911" w:rsidRPr="00A77048" w:rsidRDefault="0019218C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09A688C5" w14:textId="5FF9B97A" w:rsidR="00315911" w:rsidRPr="00A77048" w:rsidRDefault="0019218C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992" w:type="dxa"/>
            <w:shd w:val="clear" w:color="auto" w:fill="FFFFFF"/>
          </w:tcPr>
          <w:p w14:paraId="54D99BE9" w14:textId="5648F838" w:rsidR="00315911" w:rsidRPr="004852E5" w:rsidRDefault="004852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</w:t>
            </w:r>
            <w:r w:rsidR="00450E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8</w:t>
            </w:r>
            <w:r w:rsidRPr="004852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</w:t>
            </w:r>
            <w:r w:rsidR="00450E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29</w:t>
            </w:r>
          </w:p>
        </w:tc>
      </w:tr>
      <w:tr w:rsidR="0021791C" w:rsidRPr="00760EC5" w14:paraId="55E19831" w14:textId="77777777" w:rsidTr="00F24BBD">
        <w:trPr>
          <w:trHeight w:val="321"/>
        </w:trPr>
        <w:tc>
          <w:tcPr>
            <w:tcW w:w="1305" w:type="dxa"/>
            <w:shd w:val="clear" w:color="auto" w:fill="FFFFFF"/>
            <w:vAlign w:val="center"/>
          </w:tcPr>
          <w:p w14:paraId="7CF6C7F6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26212FE" w14:textId="77777777" w:rsidR="00315911" w:rsidRPr="004852E5" w:rsidRDefault="009212E4" w:rsidP="00442B8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  <w:r w:rsidR="004852E5"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277F6009" w14:textId="486753A3" w:rsidR="00315911" w:rsidRPr="004852E5" w:rsidRDefault="00F404CA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7,14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C93F0DD" w14:textId="3F005F25" w:rsidR="00315911" w:rsidRPr="004852E5" w:rsidRDefault="009212E4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4,2</w:t>
            </w:r>
            <w:r w:rsidR="00F404C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28C45F2" w14:textId="0C4EDA7F" w:rsidR="00315911" w:rsidRPr="004852E5" w:rsidRDefault="009212E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F404CA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A6431D3" w14:textId="4820FBA0" w:rsidR="00315911" w:rsidRPr="004852E5" w:rsidRDefault="009212E4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F404CA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0D84E7D" w14:textId="3461F986" w:rsidR="00315911" w:rsidRPr="004852E5" w:rsidRDefault="00F404CA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3,05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547B4EE" w14:textId="2DAE5FB3" w:rsidR="00315911" w:rsidRPr="004852E5" w:rsidRDefault="009212E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F404C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2AF4C5B0" w14:textId="159A1D96" w:rsidR="00315911" w:rsidRPr="004852E5" w:rsidRDefault="009212E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F404C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50AAE5" w14:textId="546DC8E0" w:rsidR="00315911" w:rsidRPr="004852E5" w:rsidRDefault="009212E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F404C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0B8BEFD" w14:textId="12C01ADC" w:rsidR="00315911" w:rsidRPr="004852E5" w:rsidRDefault="009212E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F404C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A83BD0D" w14:textId="6ED32975" w:rsidR="00315911" w:rsidRPr="004852E5" w:rsidRDefault="009212E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F404C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AF86257" w14:textId="0557CF1D" w:rsidR="00315911" w:rsidRPr="004852E5" w:rsidRDefault="004852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</w:t>
            </w:r>
            <w:r w:rsidR="00F404C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6</w:t>
            </w:r>
            <w:r w:rsidRPr="004852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</w:t>
            </w:r>
            <w:r w:rsidR="00F404C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6</w:t>
            </w:r>
            <w:r w:rsidR="0019218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21791C" w:rsidRPr="00760EC5" w14:paraId="53FB49B0" w14:textId="77777777" w:rsidTr="00F24BBD">
        <w:trPr>
          <w:trHeight w:val="344"/>
        </w:trPr>
        <w:tc>
          <w:tcPr>
            <w:tcW w:w="1305" w:type="dxa"/>
            <w:shd w:val="clear" w:color="auto" w:fill="FFFFFF"/>
            <w:vAlign w:val="center"/>
          </w:tcPr>
          <w:p w14:paraId="4A9881EB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7BCE059" w14:textId="77777777" w:rsidR="00315911" w:rsidRPr="004852E5" w:rsidRDefault="004852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03F79738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C70ED80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3541D25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CEEDF84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01CB4F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6E14F06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5CA14AEE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2C47DAE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716414C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BD3C637" w14:textId="77777777" w:rsidR="00315911" w:rsidRPr="004852E5" w:rsidRDefault="004852E5" w:rsidP="00D116F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992" w:type="dxa"/>
            <w:shd w:val="clear" w:color="auto" w:fill="FFFFFF"/>
          </w:tcPr>
          <w:p w14:paraId="3668225E" w14:textId="77777777" w:rsidR="00315911" w:rsidRPr="004852E5" w:rsidRDefault="004852E5" w:rsidP="00DD072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1,6</w:t>
            </w:r>
            <w:r w:rsidR="000263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1791C" w:rsidRPr="00760EC5" w14:paraId="014E6159" w14:textId="77777777" w:rsidTr="00F24BBD">
        <w:trPr>
          <w:trHeight w:val="344"/>
        </w:trPr>
        <w:tc>
          <w:tcPr>
            <w:tcW w:w="1305" w:type="dxa"/>
            <w:shd w:val="clear" w:color="auto" w:fill="FFFFFF"/>
            <w:vAlign w:val="center"/>
          </w:tcPr>
          <w:p w14:paraId="6A46C119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76AC5F5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163914BC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6DD23C6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CB2349B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B98D156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0A39E78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40032D59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54EF7B4F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25A6696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11E36A5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5F2353F3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958735B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91C" w:rsidRPr="00760EC5" w14:paraId="04856B52" w14:textId="77777777" w:rsidTr="00F24BBD">
        <w:trPr>
          <w:trHeight w:val="330"/>
        </w:trPr>
        <w:tc>
          <w:tcPr>
            <w:tcW w:w="1305" w:type="dxa"/>
            <w:shd w:val="clear" w:color="auto" w:fill="FFFFFF"/>
            <w:vAlign w:val="center"/>
          </w:tcPr>
          <w:p w14:paraId="36F94D67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51B397F" w14:textId="1CCD9AB1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50796A3E" w14:textId="26FB969C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CEDB3B3" w14:textId="7712CAD0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613B870" w14:textId="3AA2152A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D97756E" w14:textId="3B294DFF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680E783" w14:textId="411419A9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6A3E4B4D" w14:textId="5E2EB64A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72DBCA72" w14:textId="0B913F1B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4F272D1" w14:textId="589C9F1F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42BC26D" w14:textId="3E7CE652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6DCE84DF" w14:textId="09813FE5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6CC3E79" w14:textId="76AA9774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91C" w:rsidRPr="00760EC5" w14:paraId="6E37A3A8" w14:textId="77777777" w:rsidTr="00F24BBD">
        <w:trPr>
          <w:trHeight w:val="330"/>
        </w:trPr>
        <w:tc>
          <w:tcPr>
            <w:tcW w:w="1305" w:type="dxa"/>
            <w:shd w:val="clear" w:color="auto" w:fill="FFFFFF"/>
            <w:vAlign w:val="center"/>
          </w:tcPr>
          <w:p w14:paraId="0D72E795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C2AFADA" w14:textId="655F1961" w:rsidR="00315911" w:rsidRPr="00760EC5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67E627C1" w14:textId="2EFE1B03" w:rsidR="00315911" w:rsidRPr="00760EC5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38FF78D" w14:textId="341BF120" w:rsidR="00315911" w:rsidRPr="00760EC5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451886EF" w14:textId="1F484F6E" w:rsidR="00315911" w:rsidRPr="00B53610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8FD46D4" w14:textId="41381347" w:rsidR="00315911" w:rsidRPr="00B53610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7932237" w14:textId="3CE1E5C2" w:rsidR="00315911" w:rsidRPr="00B53610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2943A60" w14:textId="07A0BF92" w:rsidR="00315911" w:rsidRPr="00B53610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7B9036A9" w14:textId="385DF585" w:rsidR="00315911" w:rsidRPr="00B53610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68DDDAA" w14:textId="3555D1CA" w:rsidR="00315911" w:rsidRPr="00B53610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B7DAEBA" w14:textId="35AC7D75" w:rsidR="00315911" w:rsidRPr="00B53610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4FA50BF5" w14:textId="1BD7823F" w:rsidR="00315911" w:rsidRPr="00B53610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14:paraId="09C88F8C" w14:textId="16B43EBC" w:rsidR="00315911" w:rsidRPr="00760EC5" w:rsidRDefault="00315911" w:rsidP="00DD07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91C" w:rsidRPr="00760EC5" w14:paraId="5C26DC33" w14:textId="77777777" w:rsidTr="00F24BBD">
        <w:trPr>
          <w:trHeight w:val="351"/>
        </w:trPr>
        <w:tc>
          <w:tcPr>
            <w:tcW w:w="1305" w:type="dxa"/>
            <w:shd w:val="clear" w:color="auto" w:fill="FFFFFF"/>
            <w:vAlign w:val="center"/>
          </w:tcPr>
          <w:p w14:paraId="678E4DE7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94F8A1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5B71286F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F291E3E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779E3EE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A29C5CD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F9626FB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1E625F6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3EF29B54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C3DC618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8E58C1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493C347C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5B642A1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91C" w:rsidRPr="00760EC5" w14:paraId="5D2E36AC" w14:textId="77777777" w:rsidTr="00F24BBD">
        <w:trPr>
          <w:trHeight w:val="351"/>
        </w:trPr>
        <w:tc>
          <w:tcPr>
            <w:tcW w:w="1305" w:type="dxa"/>
            <w:shd w:val="clear" w:color="auto" w:fill="FFFFFF"/>
            <w:vAlign w:val="center"/>
          </w:tcPr>
          <w:p w14:paraId="59DA75D4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CE73609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3D10BFF3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6A0AE7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1D51AEE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1AF72B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2D0A30F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90C425A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265A509C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1D3494F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1B0575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751326A0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7ABDC4A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B50" w:rsidRPr="00760EC5" w14:paraId="4E0ADFFB" w14:textId="77777777" w:rsidTr="00F24BBD">
        <w:trPr>
          <w:trHeight w:val="360"/>
        </w:trPr>
        <w:tc>
          <w:tcPr>
            <w:tcW w:w="1305" w:type="dxa"/>
            <w:shd w:val="clear" w:color="auto" w:fill="FFFFFF"/>
            <w:vAlign w:val="center"/>
          </w:tcPr>
          <w:p w14:paraId="50F45600" w14:textId="77777777" w:rsidR="009F2B50" w:rsidRPr="00F24BBD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8941EF5" w14:textId="0EC6E636" w:rsidR="009F2B50" w:rsidRPr="00760EC5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2E5">
              <w:rPr>
                <w:rFonts w:ascii="Times New Roman" w:hAnsi="Times New Roman"/>
                <w:color w:val="000000"/>
                <w:sz w:val="28"/>
                <w:szCs w:val="28"/>
              </w:rPr>
              <w:t>1,80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7574787D" w14:textId="12966C75" w:rsidR="009F2B50" w:rsidRPr="00B53610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7,37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03F4B4C" w14:textId="2ADAF476" w:rsidR="009F2B50" w:rsidRPr="00B53610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7386E0F" w14:textId="5451FAE0" w:rsidR="009F2B50" w:rsidRPr="00C26EA6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4,05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AE33247" w14:textId="1FAEEE0D" w:rsidR="009F2B50" w:rsidRPr="00C26EA6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48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90CBF28" w14:textId="3522164D" w:rsidR="009F2B50" w:rsidRPr="00C26EA6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3,19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90E5AFD" w14:textId="5E567340" w:rsidR="009F2B50" w:rsidRPr="00C26EA6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850" w:type="dxa"/>
            <w:gridSpan w:val="3"/>
            <w:shd w:val="clear" w:color="auto" w:fill="FFFFFF"/>
          </w:tcPr>
          <w:p w14:paraId="36C586AF" w14:textId="79D88F9C" w:rsidR="009F2B50" w:rsidRPr="00C26EA6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2CCBB45" w14:textId="19635F98" w:rsidR="009F2B50" w:rsidRPr="00C26EA6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3391BCA" w14:textId="68524734" w:rsidR="009F2B50" w:rsidRPr="00C26EA6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0EBC012" w14:textId="27159048" w:rsidR="009F2B50" w:rsidRPr="00C26EA6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1C">
              <w:rPr>
                <w:rFonts w:ascii="Times New Roman" w:hAnsi="Times New Roman"/>
                <w:color w:val="000000"/>
                <w:sz w:val="28"/>
                <w:szCs w:val="28"/>
              </w:rPr>
              <w:t>2,76</w:t>
            </w:r>
          </w:p>
        </w:tc>
        <w:tc>
          <w:tcPr>
            <w:tcW w:w="992" w:type="dxa"/>
            <w:shd w:val="clear" w:color="auto" w:fill="FFFFFF"/>
          </w:tcPr>
          <w:p w14:paraId="3F34220B" w14:textId="7D95CDB2" w:rsidR="009F2B50" w:rsidRPr="00B53610" w:rsidRDefault="009F2B50" w:rsidP="009F2B5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52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8</w:t>
            </w:r>
            <w:r w:rsidRPr="004852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29</w:t>
            </w:r>
          </w:p>
        </w:tc>
      </w:tr>
      <w:tr w:rsidR="0021791C" w:rsidRPr="00760EC5" w14:paraId="153C03DD" w14:textId="77777777" w:rsidTr="00F24BBD">
        <w:trPr>
          <w:trHeight w:val="360"/>
        </w:trPr>
        <w:tc>
          <w:tcPr>
            <w:tcW w:w="1305" w:type="dxa"/>
            <w:shd w:val="clear" w:color="auto" w:fill="FFFFFF"/>
            <w:vAlign w:val="center"/>
          </w:tcPr>
          <w:p w14:paraId="123F6DD0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6647EEF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78665D6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A1A3CAC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B96368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3CB69AAE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458E38C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211E3FA3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207C188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3C58B0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C731D73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473DAE6D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45969C9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91C" w:rsidRPr="00760EC5" w14:paraId="1D2F4924" w14:textId="77777777" w:rsidTr="00F24BBD">
        <w:trPr>
          <w:trHeight w:val="357"/>
        </w:trPr>
        <w:tc>
          <w:tcPr>
            <w:tcW w:w="1305" w:type="dxa"/>
            <w:shd w:val="clear" w:color="auto" w:fill="FFFFFF"/>
            <w:vAlign w:val="center"/>
          </w:tcPr>
          <w:p w14:paraId="3A6CDF78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DC5E28B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2B90FA8A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3E8465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30DF5903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366A70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422705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083C874F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151FA30A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9BE791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B386BFB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5E934324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2839671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791C" w:rsidRPr="00760EC5" w14:paraId="13B02A2E" w14:textId="77777777" w:rsidTr="00F24BBD">
        <w:trPr>
          <w:trHeight w:val="357"/>
        </w:trPr>
        <w:tc>
          <w:tcPr>
            <w:tcW w:w="1305" w:type="dxa"/>
            <w:shd w:val="clear" w:color="auto" w:fill="FFFFFF"/>
            <w:vAlign w:val="center"/>
          </w:tcPr>
          <w:p w14:paraId="3A15A69F" w14:textId="77777777" w:rsidR="00315911" w:rsidRPr="00F24BBD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BBD">
              <w:rPr>
                <w:rFonts w:ascii="Times New Roman" w:hAnsi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BA5F29B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14:paraId="58592423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ECC280E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9299D0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3C798D14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E25FDF4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14:paraId="328C2A4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463E6E7C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421679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08FA57A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51CC3E2B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379D369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911" w:rsidRPr="00760EC5" w14:paraId="4024A9A1" w14:textId="77777777" w:rsidTr="00F24BBD">
        <w:trPr>
          <w:trHeight w:val="884"/>
        </w:trPr>
        <w:tc>
          <w:tcPr>
            <w:tcW w:w="2233" w:type="dxa"/>
            <w:gridSpan w:val="4"/>
            <w:shd w:val="clear" w:color="auto" w:fill="FFFFFF"/>
            <w:vAlign w:val="center"/>
          </w:tcPr>
          <w:p w14:paraId="684EE1AD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853" w:type="dxa"/>
            <w:gridSpan w:val="23"/>
            <w:shd w:val="clear" w:color="auto" w:fill="FFFFFF"/>
            <w:vAlign w:val="center"/>
          </w:tcPr>
          <w:p w14:paraId="3534A82E" w14:textId="77777777" w:rsidR="00315911" w:rsidRPr="00760EC5" w:rsidRDefault="00315911" w:rsidP="00D11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911" w:rsidRPr="00760EC5" w14:paraId="2C2835D4" w14:textId="77777777" w:rsidTr="00F24BBD">
        <w:trPr>
          <w:trHeight w:val="1251"/>
        </w:trPr>
        <w:tc>
          <w:tcPr>
            <w:tcW w:w="2233" w:type="dxa"/>
            <w:gridSpan w:val="4"/>
            <w:shd w:val="clear" w:color="auto" w:fill="FFFFFF"/>
          </w:tcPr>
          <w:p w14:paraId="598C52D0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853" w:type="dxa"/>
            <w:gridSpan w:val="23"/>
            <w:shd w:val="clear" w:color="auto" w:fill="FFFFFF"/>
          </w:tcPr>
          <w:p w14:paraId="7751E0C8" w14:textId="77777777" w:rsidR="00F76D03" w:rsidRDefault="00054081" w:rsidP="000E4B0E">
            <w:pPr>
              <w:pStyle w:val="Default"/>
              <w:jc w:val="both"/>
            </w:pPr>
            <w:r>
              <w:t>Wejście w życie ustawy wpłynie na zwiększenie dochodów budżetu państwa i jednostek samorządu terytorialnego</w:t>
            </w:r>
            <w:r w:rsidR="00F76D03">
              <w:t>, których organy są</w:t>
            </w:r>
            <w:r>
              <w:t xml:space="preserve"> organami egzekucyjnymi. </w:t>
            </w:r>
          </w:p>
          <w:p w14:paraId="1B295617" w14:textId="0B96CD5D" w:rsidR="000E4B0E" w:rsidRDefault="00054081" w:rsidP="000E4B0E">
            <w:pPr>
              <w:pStyle w:val="Default"/>
              <w:jc w:val="both"/>
            </w:pPr>
            <w:r>
              <w:t xml:space="preserve">Wzrost dochodów budżetu państwa wiąże się z podwyższeniem opłaty egzekucyjnej dla płatności gotówkowych w egzekucji oraz </w:t>
            </w:r>
            <w:r w:rsidR="00F24C6A">
              <w:t xml:space="preserve">z </w:t>
            </w:r>
            <w:r>
              <w:t xml:space="preserve">wprowadzeniem procedury dochodzenia podatku VAT deklarowanego w </w:t>
            </w:r>
            <w:r w:rsidR="00624D36">
              <w:t>ramach procedury szczególnej</w:t>
            </w:r>
            <w:r>
              <w:t xml:space="preserve">, dla których Polska jest krajem konsumpcji. </w:t>
            </w:r>
          </w:p>
          <w:p w14:paraId="1BD86688" w14:textId="4D48BBA1" w:rsidR="007A7990" w:rsidRDefault="00F76D03" w:rsidP="000E4B0E">
            <w:pPr>
              <w:pStyle w:val="Default"/>
              <w:jc w:val="both"/>
            </w:pPr>
            <w:r>
              <w:t xml:space="preserve">W oparciu o podaną przez Krajową Administrację Skarbową </w:t>
            </w:r>
            <w:r w:rsidR="00DB6ADC">
              <w:t xml:space="preserve">(KAS) </w:t>
            </w:r>
            <w:r>
              <w:t>wysokość kwot wyegzekwowanych w egzekucji z pieniędzy</w:t>
            </w:r>
            <w:r w:rsidR="00EC6DF4">
              <w:t xml:space="preserve"> oraz</w:t>
            </w:r>
            <w:r>
              <w:t xml:space="preserve"> wpła</w:t>
            </w:r>
            <w:r w:rsidR="0034641C">
              <w:t>t gotówki przez zobowiązanych w </w:t>
            </w:r>
            <w:r>
              <w:t>latach 2017 i 2018</w:t>
            </w:r>
            <w:r w:rsidR="00EC6DF4">
              <w:t>, a także</w:t>
            </w:r>
            <w:r w:rsidR="00781F73">
              <w:t xml:space="preserve"> szacowany udział gotówki w </w:t>
            </w:r>
            <w:r w:rsidR="00DB6ADC">
              <w:t xml:space="preserve">obecnym rynku </w:t>
            </w:r>
            <w:r w:rsidR="00781F73">
              <w:t xml:space="preserve">płatności (patrz kalkulacja str. 1, tabela 2, odnośnik </w:t>
            </w:r>
            <w:r w:rsidR="000263CD">
              <w:t>2</w:t>
            </w:r>
            <w:r w:rsidR="00781F73">
              <w:t>) skalkulowa</w:t>
            </w:r>
            <w:r w:rsidR="0034641C">
              <w:t>no kwoty uzyskiwane w gotówce w </w:t>
            </w:r>
            <w:r w:rsidR="00781F73">
              <w:t xml:space="preserve">wyniku egzekucji z pieniędzy i wpłat zobowiązanych po wejściu w życie projektowanych przepisów. Na podstawie tak skalkulowanych kwot oszacowano wysokość </w:t>
            </w:r>
            <w:r w:rsidR="00DB6ADC">
              <w:t xml:space="preserve">opłaty egzekucyjnej </w:t>
            </w:r>
            <w:r w:rsidR="001D6748">
              <w:t>podwyższone</w:t>
            </w:r>
            <w:r w:rsidR="00781F73">
              <w:t>j o 1% z tytułu korzystania z gotówki (patrz kalkulacja str. 1, tabela nr 2). W wyniku tej kalkulacji oszacowano, że w pierwszym pełnym roku obowiązywania ustawy wzrost dochodów budżetu państwa wyniesie 4,05 mln zł</w:t>
            </w:r>
            <w:r w:rsidR="00FE0DF0">
              <w:t xml:space="preserve"> (patrz kalkulacja str. 1, tabela nr 3)</w:t>
            </w:r>
            <w:r w:rsidR="00781F73">
              <w:t xml:space="preserve">. </w:t>
            </w:r>
            <w:r w:rsidR="007A7990">
              <w:t xml:space="preserve">Zakłada się, że z uwagi na wejście w życie ustawy w trakcie roku kalendarzowego </w:t>
            </w:r>
            <w:r w:rsidR="00FE0DF0">
              <w:t>w roku wejścia w życie ustawy wzrost dochodów będzie mniejszy od powyższej kwoty</w:t>
            </w:r>
            <w:r w:rsidR="00DB6ADC">
              <w:t>,</w:t>
            </w:r>
            <w:r w:rsidR="00FE0DF0">
              <w:t xml:space="preserve"> w proporcji odpowiadającej liczbie miesięcy obowiązywania ustawy w tym roku do wszystkich 12 miesięcy (patrz kalkulacja str. 1, tabela </w:t>
            </w:r>
            <w:r w:rsidR="00651055">
              <w:t>4</w:t>
            </w:r>
            <w:r w:rsidR="00FE0DF0">
              <w:t>, odnośnik nr 3). Zatem w roku wejścia w życie ustawy wzrost dochodów budżetu pań</w:t>
            </w:r>
            <w:r w:rsidR="00EC2568">
              <w:t>s</w:t>
            </w:r>
            <w:r w:rsidR="00FE0DF0">
              <w:t xml:space="preserve">twa z tytułu zwiększonej opłaty egzekucyjnej dla płatności gotówkowych wyniesie </w:t>
            </w:r>
            <w:r w:rsidR="001D6748">
              <w:t xml:space="preserve">jedynie </w:t>
            </w:r>
            <w:r w:rsidR="00FE0DF0">
              <w:t>1,70 mln zł (</w:t>
            </w:r>
            <w:r w:rsidR="00EC2568">
              <w:t>p</w:t>
            </w:r>
            <w:r w:rsidR="00FE0DF0">
              <w:t xml:space="preserve">atrz kalkulacja str. 1, tabela </w:t>
            </w:r>
            <w:r w:rsidR="00651055">
              <w:t>4</w:t>
            </w:r>
            <w:r w:rsidR="00FE0DF0">
              <w:t>).</w:t>
            </w:r>
            <w:r w:rsidR="00EC2568">
              <w:t xml:space="preserve"> Zakłada się również, że skutkiem wprowadzenia projektowanych regulacji będzie s</w:t>
            </w:r>
            <w:r w:rsidR="0034641C">
              <w:t>topniowe ograniczanie gotówki w </w:t>
            </w:r>
            <w:r w:rsidR="00EC2568">
              <w:t xml:space="preserve">egzekucji </w:t>
            </w:r>
            <w:r w:rsidR="00DB6ADC">
              <w:t xml:space="preserve">z pieniędzy, </w:t>
            </w:r>
            <w:r w:rsidR="00EC2568">
              <w:t xml:space="preserve">o około 5% </w:t>
            </w:r>
            <w:r w:rsidR="001D6748">
              <w:t xml:space="preserve">liczby </w:t>
            </w:r>
            <w:r w:rsidR="00EC2568">
              <w:t>płatności rocznie</w:t>
            </w:r>
            <w:r w:rsidR="00DB6ADC">
              <w:t>. Przyjmuje się również, że ograniczanie gotówki będzie postępowało aż do osiągnięc</w:t>
            </w:r>
            <w:r w:rsidR="00EC2568">
              <w:t>ia pułapu 50% udziału gotówki</w:t>
            </w:r>
            <w:r w:rsidR="00DB6ADC">
              <w:t>,</w:t>
            </w:r>
            <w:r w:rsidR="00EC2568">
              <w:t xml:space="preserve"> zakładanego w pierwszym roku po wejściu w życie</w:t>
            </w:r>
            <w:r w:rsidR="0034641C">
              <w:t xml:space="preserve"> ustawy. Z powyższego względu w </w:t>
            </w:r>
            <w:r w:rsidR="00EC2568">
              <w:t xml:space="preserve">kolejnych latach wzrost dochodów budżetu państwa </w:t>
            </w:r>
            <w:r w:rsidR="00DB6ADC">
              <w:t xml:space="preserve">z tytułu podwyższonej opłaty egzekucyjnej </w:t>
            </w:r>
            <w:r w:rsidR="00EC2568">
              <w:t>będzie się stopniowo zmniejs</w:t>
            </w:r>
            <w:r w:rsidR="001D6748">
              <w:t>z</w:t>
            </w:r>
            <w:r w:rsidR="00EC2568">
              <w:t xml:space="preserve">ał (patrz kalkulacja str. 1, tabela 4). </w:t>
            </w:r>
          </w:p>
          <w:p w14:paraId="57E22F65" w14:textId="5247339D" w:rsidR="006549E5" w:rsidRDefault="006549E5" w:rsidP="000E4B0E">
            <w:pPr>
              <w:pStyle w:val="Default"/>
              <w:jc w:val="both"/>
            </w:pPr>
            <w:r>
              <w:t>Wzrost dochodów budżetu państwa spowodowany wejściem w życie projektowanej ustawy wynika również z wprowadzenia procedury dochodzenia podatku VAT deklarowanego przy procedurze szczególnej VAT-MOSS, gdy Polska jest krajem konsumpcji. Zakłada się, że obecne zaległości z tytułu tych należności zostaną wyegzekwowane na skutek skierowania wniosków o pomoc w dochodzeniu do innych krajów</w:t>
            </w:r>
            <w:r w:rsidR="00DD65AA">
              <w:t>,</w:t>
            </w:r>
            <w:r>
              <w:t xml:space="preserve"> w proporcji odpowiadającej wskaźnikowi efektywności egzekucji prowadzonej przez KAS</w:t>
            </w:r>
            <w:r w:rsidR="0034641C">
              <w:t>,</w:t>
            </w:r>
            <w:r>
              <w:t xml:space="preserve"> tj. w 28,4% (patrz kalkulacja, str. 4, tabela 1</w:t>
            </w:r>
            <w:r w:rsidR="0034641C">
              <w:t xml:space="preserve">4). Przyjmuje się </w:t>
            </w:r>
            <w:r w:rsidR="0034641C">
              <w:lastRenderedPageBreak/>
              <w:t>również, że w </w:t>
            </w:r>
            <w:r>
              <w:t>roku wejścia w życie ustawy nie zostanie odnotowany wzrost dochodów budżetu państwa z omawianej przyczyny. Należy założyć odpowiedni czas na wystawienie tytułów wykonawczych, skierowanie wniosków o pomoc w dochodzeniu należności pieniężnych do innych państw oraz na podjęcie działań przez te państwa</w:t>
            </w:r>
            <w:r w:rsidR="00D44B05">
              <w:t>. W oparciu o dane przekazane przez KAS, dotyczące liczby zobowiązanych w zakresie należności VAT-MOSS, należy przyjąć, że skierowanych zostanie około 1,5 tys. wniosków o pomoc w dochodzeniu</w:t>
            </w:r>
            <w:r>
              <w:t xml:space="preserve"> (patrz kalkulacja str. 4, </w:t>
            </w:r>
            <w:r w:rsidR="00D44B05">
              <w:t xml:space="preserve">tabela 14). Przyjmuje się, że w kolejnych latach (2 i następne) po wejściu w życie ustawy zaległości z tytułu podatku VAT deklarowanego przy procedurze VAT-MOSS egzekwowane będą </w:t>
            </w:r>
            <w:r w:rsidR="00DD65AA">
              <w:t>„</w:t>
            </w:r>
            <w:r w:rsidR="00D44B05">
              <w:t>na bieżąco</w:t>
            </w:r>
            <w:r w:rsidR="00DD65AA">
              <w:t>”</w:t>
            </w:r>
            <w:r w:rsidR="00D44B05">
              <w:t xml:space="preserve">. Przy zachowaniu obecnej średniej wysokości tych zaległości rocznie (patrz kalkulacja str. 4, tabela 13) oraz zakładanego wskaźnika efektywności egzekucji będzie to skutkowało dodatkowym dochodem budżetu państwa </w:t>
            </w:r>
            <w:r w:rsidR="00216744">
              <w:br/>
            </w:r>
            <w:r w:rsidR="00D44B05">
              <w:t>w wysokości ok 0,</w:t>
            </w:r>
            <w:r w:rsidR="00A77048">
              <w:t>62</w:t>
            </w:r>
            <w:r w:rsidR="00D44B05">
              <w:t xml:space="preserve"> mln zł rocznie. </w:t>
            </w:r>
          </w:p>
          <w:p w14:paraId="1B41142E" w14:textId="77777777" w:rsidR="00DB6ADC" w:rsidRDefault="00DB6ADC" w:rsidP="000E4B0E">
            <w:pPr>
              <w:pStyle w:val="Default"/>
              <w:jc w:val="both"/>
            </w:pPr>
          </w:p>
          <w:p w14:paraId="29A9A83D" w14:textId="77777777" w:rsidR="00054081" w:rsidRDefault="00F76D03" w:rsidP="000E4B0E">
            <w:pPr>
              <w:pStyle w:val="Default"/>
              <w:jc w:val="both"/>
            </w:pPr>
            <w:r>
              <w:t xml:space="preserve">Zwiększenie dochodów jednostek samorządu terytorialnego wynika natomiast </w:t>
            </w:r>
            <w:r w:rsidR="00216744">
              <w:br/>
            </w:r>
            <w:r>
              <w:t xml:space="preserve">z podwyższonej opłaty egzekucyjnej dla egzekucji z pieniędzy bądź dobrowolnych wpłat zobowiązanego uiszczonych w gotówce. </w:t>
            </w:r>
            <w:r w:rsidR="000263CD">
              <w:t xml:space="preserve">W oparciu o podaną przez jednostki samorządu terytorialnego wysokość kwot wyegzekwowanych w egzekucji z pieniędzy oraz wpłat gotówki przez zobowiązanych organom egzekucyjnym, a także szacowany udział gotówki w obecnym rynku płatności (patrz kalkulacja str. 2, tabela 6, odnośnik 2) skalkulowano kwoty,  uzyskiwane w gotówce w wyniku egzekucji z pieniędzy i wpłat zobowiązanych po wejściu w życie projektowanych przepisów. Na podstawie tak skalkulowanych kwot oszacowano wysokość opłaty egzekucyjnej podwyższonej o 1% z tytułu korzystania </w:t>
            </w:r>
            <w:r w:rsidR="00216744">
              <w:br/>
            </w:r>
            <w:r w:rsidR="000263CD">
              <w:t xml:space="preserve">z gotówki (patrz kalkulacja str. 2, tabela nr 6). W wyniku tej kalkulacji oszacowano, że </w:t>
            </w:r>
            <w:r w:rsidR="00216744">
              <w:br/>
            </w:r>
            <w:r w:rsidR="000263CD">
              <w:t>w pierwszym pełnym roku obowiązywania ustawy wzrost dochodów jednostek samorządu terytorialnego wyniesie łącznie 0,23 mln zł (patrz kalkulacja str. 2, tabela nr 7). Podobnie jak w przypadku zwiększenia dochodów budżetu państwa zakłada się, że z uwagi na wejście w życie ustawy w trakcie roku kalendarzowego w roku wejścia w życie ustawy wzrost dochodów będzie mniejszy od powyższej kwoty, w proporcji odpowiadającej liczbie miesięcy obowiązywania ustawy w tym roku</w:t>
            </w:r>
            <w:r w:rsidR="00DD65AA">
              <w:t>,</w:t>
            </w:r>
            <w:r w:rsidR="000263CD">
              <w:t xml:space="preserve"> do wszystkich 12 miesięcy (patrz kalkulacja str. 2, tabela </w:t>
            </w:r>
            <w:r w:rsidR="00651055">
              <w:t>8</w:t>
            </w:r>
            <w:r w:rsidR="000263CD">
              <w:t xml:space="preserve">, odnośnik nr </w:t>
            </w:r>
            <w:r w:rsidR="00651055">
              <w:t>7</w:t>
            </w:r>
            <w:r w:rsidR="000263CD">
              <w:t xml:space="preserve">). Zatem w roku wejścia w życie ustawy </w:t>
            </w:r>
            <w:r w:rsidR="00651055">
              <w:t xml:space="preserve">łączny </w:t>
            </w:r>
            <w:r w:rsidR="000263CD">
              <w:t xml:space="preserve">wzrost dochodów </w:t>
            </w:r>
            <w:r w:rsidR="00651055">
              <w:t>jednostek samorządu terytorialnego</w:t>
            </w:r>
            <w:r w:rsidR="000263CD">
              <w:t xml:space="preserve"> z tytułu zwiększonej opłaty egzekucyjnej dla płatności gotówkowych wyniesie jedynie </w:t>
            </w:r>
            <w:r w:rsidR="00651055">
              <w:t>0,1</w:t>
            </w:r>
            <w:r w:rsidR="000263CD">
              <w:t xml:space="preserve"> mln zł (patrz kalkulacja str. </w:t>
            </w:r>
            <w:r w:rsidR="00651055">
              <w:t>2</w:t>
            </w:r>
            <w:r w:rsidR="000263CD">
              <w:t xml:space="preserve">, tabela </w:t>
            </w:r>
            <w:r w:rsidR="00651055">
              <w:t>8</w:t>
            </w:r>
            <w:r w:rsidR="000263CD">
              <w:t xml:space="preserve">). </w:t>
            </w:r>
            <w:r w:rsidR="00651055">
              <w:t>W</w:t>
            </w:r>
            <w:r w:rsidR="000263CD">
              <w:t xml:space="preserve"> kolejnych latach wzrost dochodów </w:t>
            </w:r>
            <w:r w:rsidR="00651055">
              <w:t>jednostek samorządu terytorialnego</w:t>
            </w:r>
            <w:r w:rsidR="000263CD">
              <w:t xml:space="preserve"> </w:t>
            </w:r>
            <w:r w:rsidR="00216744">
              <w:br/>
            </w:r>
            <w:r w:rsidR="000263CD">
              <w:t xml:space="preserve">z tytułu podwyższonej opłaty egzekucyjnej będzie się stopniowo zmniejszał (patrz kalkulacja str. </w:t>
            </w:r>
            <w:r w:rsidR="00651055">
              <w:t>2</w:t>
            </w:r>
            <w:r w:rsidR="000263CD">
              <w:t xml:space="preserve">, tabela </w:t>
            </w:r>
            <w:r w:rsidR="00651055">
              <w:t>8</w:t>
            </w:r>
            <w:r w:rsidR="000263CD">
              <w:t xml:space="preserve">). </w:t>
            </w:r>
          </w:p>
          <w:p w14:paraId="2B1E3B16" w14:textId="77777777" w:rsidR="00DF66A7" w:rsidRDefault="00260DC3" w:rsidP="009771D0">
            <w:pPr>
              <w:pStyle w:val="Default"/>
              <w:jc w:val="both"/>
            </w:pPr>
            <w:r>
              <w:t>Zmiana</w:t>
            </w:r>
            <w:r w:rsidRPr="00260DC3">
              <w:t xml:space="preserve"> definicji wynagrodzenia za pracę</w:t>
            </w:r>
            <w:r>
              <w:t xml:space="preserve"> nie będzie miała wpływu</w:t>
            </w:r>
            <w:r w:rsidRPr="00260DC3">
              <w:t xml:space="preserve"> na sektor finansów publicznych</w:t>
            </w:r>
            <w:r>
              <w:t>. Z</w:t>
            </w:r>
            <w:r w:rsidRPr="00260DC3">
              <w:t xml:space="preserve">miana ma na celu wyeliminowanie wątpliwości interpretacyjnych co do możliwości zajęcia przez organ egzekucyjny wszystkich świadczeń wypłacanych zobowiązanemu przez pracodawcę, w tym świadczenia pieniężnego przysługującego z ubezpieczenia społecznego w </w:t>
            </w:r>
            <w:r w:rsidRPr="00260DC3">
              <w:lastRenderedPageBreak/>
              <w:t>razie choroby i</w:t>
            </w:r>
            <w:r>
              <w:t xml:space="preserve"> </w:t>
            </w:r>
            <w:r w:rsidRPr="00260DC3">
              <w:t xml:space="preserve">macierzyństwa. </w:t>
            </w:r>
            <w:r>
              <w:t>W</w:t>
            </w:r>
            <w:r w:rsidRPr="00260DC3">
              <w:t xml:space="preserve"> obowiązującym stanie prawnym </w:t>
            </w:r>
            <w:r w:rsidR="00181EFF">
              <w:t xml:space="preserve">możliwe jest prowadzenie </w:t>
            </w:r>
            <w:r w:rsidRPr="00260DC3">
              <w:t>egzekucj</w:t>
            </w:r>
            <w:r w:rsidR="00181EFF">
              <w:t>i</w:t>
            </w:r>
            <w:r w:rsidRPr="00260DC3">
              <w:t xml:space="preserve"> z</w:t>
            </w:r>
            <w:r>
              <w:t xml:space="preserve"> </w:t>
            </w:r>
            <w:r w:rsidRPr="00260DC3">
              <w:t>tych wierzytelności</w:t>
            </w:r>
            <w:r w:rsidR="00181EFF">
              <w:t xml:space="preserve">. </w:t>
            </w:r>
            <w:r>
              <w:t>Z</w:t>
            </w:r>
            <w:r w:rsidRPr="00260DC3">
              <w:t>atem</w:t>
            </w:r>
            <w:r>
              <w:t xml:space="preserve"> doprecyzowanie</w:t>
            </w:r>
            <w:r w:rsidRPr="00260DC3">
              <w:t xml:space="preserve"> definicji wynagrodzenia wyeliminuje jedynie konieczność dokonywania odrębnie zajęć wierzytelności ze stosunku pracy oraz wierzytelności z innych tytułów prawnych, które są wypłacane zobowiązanemu przez pracodawcę, u którego dokonano zajęcia wynagrodzenia za pracę. W efekcie </w:t>
            </w:r>
            <w:r>
              <w:t>obniżone zostaną</w:t>
            </w:r>
            <w:r w:rsidRPr="00260DC3">
              <w:t xml:space="preserve"> koszty związane </w:t>
            </w:r>
            <w:r>
              <w:t>z wysyłką zawiadomień o zajęciu</w:t>
            </w:r>
            <w:r w:rsidRPr="00260DC3">
              <w:t>. Wydatki z</w:t>
            </w:r>
            <w:r>
              <w:t xml:space="preserve"> </w:t>
            </w:r>
            <w:r w:rsidRPr="00260DC3">
              <w:t xml:space="preserve">tytułu doręczenia korespondencji obciążają </w:t>
            </w:r>
            <w:r>
              <w:t>zobowiązanego i co</w:t>
            </w:r>
            <w:r w:rsidRPr="00260DC3">
              <w:t xml:space="preserve"> do zasady nie są one pokrywane przez jednostki sektora finansów publicznych.</w:t>
            </w:r>
            <w:r w:rsidR="00DF66A7">
              <w:t xml:space="preserve"> </w:t>
            </w:r>
          </w:p>
          <w:p w14:paraId="516F69DE" w14:textId="6BC65740" w:rsidR="00DF66A7" w:rsidRPr="00EB4A38" w:rsidRDefault="00AB2D8F" w:rsidP="009771D0">
            <w:pPr>
              <w:pStyle w:val="Default"/>
              <w:jc w:val="both"/>
            </w:pPr>
            <w:r>
              <w:t xml:space="preserve">Nie przewiduję się również </w:t>
            </w:r>
            <w:r w:rsidR="009771D0">
              <w:t xml:space="preserve">istotnego </w:t>
            </w:r>
            <w:r>
              <w:t>wpływu</w:t>
            </w:r>
            <w:r w:rsidRPr="00260DC3">
              <w:t xml:space="preserve"> na sektor finansów publicznych</w:t>
            </w:r>
            <w:r>
              <w:t xml:space="preserve"> regulacji w zakresie o</w:t>
            </w:r>
            <w:r w:rsidR="00DF66A7" w:rsidRPr="009771D0">
              <w:t>bjęci</w:t>
            </w:r>
            <w:r>
              <w:t>a</w:t>
            </w:r>
            <w:r w:rsidR="00DF66A7" w:rsidRPr="009771D0">
              <w:t xml:space="preserve"> </w:t>
            </w:r>
            <w:r w:rsidR="009771D0">
              <w:t>o</w:t>
            </w:r>
            <w:r w:rsidR="009771D0" w:rsidRPr="00B23649">
              <w:t>graniczeniami Kodeksu pracy</w:t>
            </w:r>
            <w:r w:rsidR="009771D0">
              <w:t xml:space="preserve"> </w:t>
            </w:r>
            <w:r w:rsidR="00DF66A7" w:rsidRPr="009771D0">
              <w:t>wierzytelności powtarzających się stanowiących jedyne źródło dochodu zobowiązanego będącego osobą fizyczną</w:t>
            </w:r>
            <w:r w:rsidR="009771D0">
              <w:t>.</w:t>
            </w:r>
            <w:r w:rsidR="00DF66A7" w:rsidRPr="009771D0">
              <w:t xml:space="preserve"> </w:t>
            </w:r>
            <w:r w:rsidR="00DF66A7">
              <w:t>C</w:t>
            </w:r>
            <w:r w:rsidR="00DF66A7" w:rsidRPr="00EB4A38">
              <w:t>elem tej regulacji jest zapewnienie zobowiązanym minimum egzystenc</w:t>
            </w:r>
            <w:r w:rsidR="00DF66A7">
              <w:t xml:space="preserve">ji. W </w:t>
            </w:r>
            <w:r w:rsidR="00DF66A7" w:rsidRPr="00EB4A38">
              <w:t>przypadku gdy zobowiązani otrzymują świadczenia na podstawie umów nieuregulowanych w Kodeksie pracy np. umów cywilnoprawnych, w aktualnym stanie prawnym podlegają one zajęciu w całości. Powoduje to, że w przypadku zajęcia wierzytelności powtarzającej się stanowiącej jedyne źródło dochodu zobowiązany, aby uzyskać środki na utrzymanie sie</w:t>
            </w:r>
            <w:r w:rsidR="00DF66A7">
              <w:t xml:space="preserve">bie i </w:t>
            </w:r>
            <w:r w:rsidR="00DF66A7" w:rsidRPr="00EB4A38">
              <w:t xml:space="preserve">rodziny, musi zwrócić się do organu egzekucyjnego z wnioskiem o zwolnienie z egzekucji określonego składnika majątkowego. Zgodnie z art. 13 </w:t>
            </w:r>
            <w:r w:rsidR="00DF66A7" w:rsidRPr="009771D0">
              <w:t>ustawy o postępowaniu egzekucyjnym w administracji</w:t>
            </w:r>
            <w:r w:rsidR="00DF66A7" w:rsidRPr="00EB4A38">
              <w:t xml:space="preserve"> organ egzekucyjny na wniosek zobowiązanego i ze względu na jego ważny interes, może zwolnić określone składniki majątkowe zobowiązanego z egzekucji - na czas oznaczony lub nieoznaczony, w całości albo części. Wniosek zobowiązanego o zwolnienie spod egzekucji wszczyna postępowanie, w ramach którego organ egzekucyjny bada przedstawione przez zobowiązanego dowody popierające jego wniosek. Postępowanie kończy się wydaniem przez organ egzekucyjny zaskarżalnego postanowienia w sprawie zwolnienia spod egzekucji. Stan taki powoduje, że w okresie prowadzenia postępowania w sprawie wniosku o zwolnienie spod egzekucji zobowiązany jest pozbawiony środków do życia. W przypadku zajęcia wierzytelności powtarzających się stanowiących jedyne źródło dochodu zobowiązanego będącego osobą fizyczną niewątpliwie istnieje przesłanka </w:t>
            </w:r>
            <w:r w:rsidR="00DF66A7">
              <w:t xml:space="preserve">do uwzględnienia jego wniosku o </w:t>
            </w:r>
            <w:r w:rsidR="00DF66A7" w:rsidRPr="00EB4A38">
              <w:t xml:space="preserve">zwolnienie spod egzekucji. Zaproponowana regulacja wyeliminuje zatem potrzebę składania wniosków o zwolnienie spod egzekucji wierzytelności powtarzających się, które stanowią jedyne źródło dochodu zobowiązanego będącego osobą fizyczną, jeżeli ich wysokość nie przekracza kwot podlegających ochronie zgodnie z Kodeksem pracy i prowadzenia postępowań w tej sprawie przez organ egzekucyjny. </w:t>
            </w:r>
            <w:r w:rsidR="009771D0">
              <w:t xml:space="preserve">Z </w:t>
            </w:r>
            <w:r w:rsidR="00DF66A7" w:rsidRPr="00EB4A38">
              <w:t>uwagi na brak danych nie jest możliwe wskazanie dokładnych skutków p</w:t>
            </w:r>
            <w:r w:rsidR="00DF66A7">
              <w:t>rojektowanej regulacji. Jedna</w:t>
            </w:r>
            <w:r w:rsidR="009771D0">
              <w:t>k</w:t>
            </w:r>
            <w:r w:rsidR="00DF66A7">
              <w:t xml:space="preserve"> </w:t>
            </w:r>
            <w:r w:rsidR="00DF66A7">
              <w:br/>
              <w:t xml:space="preserve">z </w:t>
            </w:r>
            <w:r w:rsidR="00DF66A7" w:rsidRPr="00EB4A38">
              <w:t xml:space="preserve">opisanych powyżej względów nie przewiduje się, aby zmiana ta miała wpływ na dochody sektora finansów publicznych. </w:t>
            </w:r>
            <w:r w:rsidR="009771D0">
              <w:t>P</w:t>
            </w:r>
            <w:r w:rsidR="00DF66A7" w:rsidRPr="00EB4A38">
              <w:t xml:space="preserve">rojektowana zmiana będzie miała niewielki, niemożliwy do oszacowania, korzystny wpływ na wydatki jednostek sektora finansów publicznych. Oszczędności w wydatkach będą spowodowane brakiem konieczności rozstrzygania wniosków o zwolnienie spod egzekucji świadczeń powtarzających się, stanowiących jedyne źródło dochodu </w:t>
            </w:r>
            <w:r w:rsidR="00DF66A7" w:rsidRPr="00EB4A38">
              <w:lastRenderedPageBreak/>
              <w:t>zobowiązanego będącego osobą fizyczną, jeżeli ich wysokość nie przekracza kwot podlegających ochronie zgodnie z Kodeksem pracy.</w:t>
            </w:r>
          </w:p>
          <w:p w14:paraId="37E6CBE1" w14:textId="60F373B3" w:rsidR="00676FBA" w:rsidRPr="00676FBA" w:rsidRDefault="009F2B50" w:rsidP="009F2B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7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Wydatki dotyczące wprowadzenia</w:t>
            </w:r>
            <w:r w:rsidR="00676FBA" w:rsidRPr="00977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a nastę</w:t>
            </w:r>
            <w:r w:rsidR="00CB565E" w:rsidRPr="00977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pnie utrzymania</w:t>
            </w:r>
            <w:r w:rsidR="00676FBA" w:rsidRPr="00977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nowych rozwiązań informatycznych</w:t>
            </w:r>
            <w:r w:rsidRPr="00977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(zadania deweloperów, analityków biznesowych, w zakresie implementacji, monitorowania działania, ewentualnej zmiany dostosowawczej) pokrywane będą w ramach obecnego limitu wydatków Krajowej Administracji Skarbowej bez konieczności jego zwiększania.</w:t>
            </w:r>
          </w:p>
        </w:tc>
      </w:tr>
      <w:tr w:rsidR="00315911" w:rsidRPr="00760EC5" w14:paraId="7F336A1B" w14:textId="77777777" w:rsidTr="00F24BBD">
        <w:trPr>
          <w:trHeight w:val="345"/>
        </w:trPr>
        <w:tc>
          <w:tcPr>
            <w:tcW w:w="11086" w:type="dxa"/>
            <w:gridSpan w:val="27"/>
            <w:shd w:val="clear" w:color="auto" w:fill="99CCFF"/>
          </w:tcPr>
          <w:p w14:paraId="1DA5DD9C" w14:textId="23B70FA1" w:rsidR="00315911" w:rsidRPr="00760EC5" w:rsidRDefault="00315911" w:rsidP="00315911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Wpływ na </w:t>
            </w: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15911" w:rsidRPr="00760EC5" w14:paraId="63DD4CDE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727A961A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315911" w:rsidRPr="00760EC5" w14:paraId="626181DF" w14:textId="77777777" w:rsidTr="00F24BBD">
        <w:trPr>
          <w:trHeight w:val="142"/>
        </w:trPr>
        <w:tc>
          <w:tcPr>
            <w:tcW w:w="3879" w:type="dxa"/>
            <w:gridSpan w:val="9"/>
            <w:shd w:val="clear" w:color="auto" w:fill="FFFFFF"/>
          </w:tcPr>
          <w:p w14:paraId="3BDAD05E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687" w:type="dxa"/>
            <w:shd w:val="clear" w:color="auto" w:fill="FFFFFF"/>
          </w:tcPr>
          <w:p w14:paraId="54787951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3"/>
            <w:shd w:val="clear" w:color="auto" w:fill="FFFFFF"/>
          </w:tcPr>
          <w:p w14:paraId="2CD30A18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370340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484817F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68B768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E50FB8E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23CF4A48" w14:textId="77777777" w:rsidR="00315911" w:rsidRPr="00760EC5" w:rsidRDefault="00315911" w:rsidP="00D116F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760EC5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760EC5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315911" w:rsidRPr="00760EC5" w14:paraId="775E9F0B" w14:textId="77777777" w:rsidTr="00F24BBD">
        <w:trPr>
          <w:trHeight w:val="142"/>
        </w:trPr>
        <w:tc>
          <w:tcPr>
            <w:tcW w:w="1590" w:type="dxa"/>
            <w:gridSpan w:val="2"/>
            <w:vMerge w:val="restart"/>
            <w:shd w:val="clear" w:color="auto" w:fill="FFFFFF"/>
          </w:tcPr>
          <w:p w14:paraId="51C0406C" w14:textId="77777777" w:rsidR="00315911" w:rsidRPr="00760EC5" w:rsidRDefault="00315911" w:rsidP="00D11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5774451A" w14:textId="77777777" w:rsidR="00315911" w:rsidRPr="00760EC5" w:rsidRDefault="00315911" w:rsidP="00D116FF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228BD66E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89" w:type="dxa"/>
            <w:gridSpan w:val="7"/>
            <w:shd w:val="clear" w:color="auto" w:fill="FFFFFF"/>
          </w:tcPr>
          <w:p w14:paraId="69AE079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687" w:type="dxa"/>
            <w:shd w:val="clear" w:color="auto" w:fill="FFFFFF"/>
          </w:tcPr>
          <w:p w14:paraId="5465E639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shd w:val="clear" w:color="auto" w:fill="FFFFFF"/>
          </w:tcPr>
          <w:p w14:paraId="643E05A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6BB58E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120D2EA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483C0A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5342E1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2DD8F5E8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380E8858" w14:textId="77777777" w:rsidTr="00F24BBD">
        <w:trPr>
          <w:trHeight w:val="142"/>
        </w:trPr>
        <w:tc>
          <w:tcPr>
            <w:tcW w:w="1590" w:type="dxa"/>
            <w:gridSpan w:val="2"/>
            <w:vMerge/>
            <w:shd w:val="clear" w:color="auto" w:fill="FFFFFF"/>
          </w:tcPr>
          <w:p w14:paraId="04085A11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4F73F56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687" w:type="dxa"/>
            <w:shd w:val="clear" w:color="auto" w:fill="FFFFFF"/>
          </w:tcPr>
          <w:p w14:paraId="2E9A1EE0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shd w:val="clear" w:color="auto" w:fill="FFFFFF"/>
          </w:tcPr>
          <w:p w14:paraId="699F428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DC81601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000D97D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A461EE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4C4DD94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61954F42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0970EBB4" w14:textId="77777777" w:rsidTr="00F24BBD">
        <w:trPr>
          <w:trHeight w:val="142"/>
        </w:trPr>
        <w:tc>
          <w:tcPr>
            <w:tcW w:w="1590" w:type="dxa"/>
            <w:gridSpan w:val="2"/>
            <w:vMerge/>
            <w:shd w:val="clear" w:color="auto" w:fill="FFFFFF"/>
          </w:tcPr>
          <w:p w14:paraId="20916AFE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05C24FA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687" w:type="dxa"/>
            <w:shd w:val="clear" w:color="auto" w:fill="FFFFFF"/>
          </w:tcPr>
          <w:p w14:paraId="0A76175B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shd w:val="clear" w:color="auto" w:fill="FFFFFF"/>
          </w:tcPr>
          <w:p w14:paraId="6F6AAA30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0FF31D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0EE8D29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AAA0767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47EAEC63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1A7B5B79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043EED65" w14:textId="77777777" w:rsidTr="00F24BBD">
        <w:trPr>
          <w:trHeight w:val="142"/>
        </w:trPr>
        <w:tc>
          <w:tcPr>
            <w:tcW w:w="1590" w:type="dxa"/>
            <w:gridSpan w:val="2"/>
            <w:vMerge/>
            <w:shd w:val="clear" w:color="auto" w:fill="FFFFFF"/>
          </w:tcPr>
          <w:p w14:paraId="4C0F1B73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7A9CFA6B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760E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87" w:type="dxa"/>
            <w:shd w:val="clear" w:color="auto" w:fill="FFFFFF"/>
          </w:tcPr>
          <w:p w14:paraId="733FCD6F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shd w:val="clear" w:color="auto" w:fill="FFFFFF"/>
          </w:tcPr>
          <w:p w14:paraId="71B9112F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3D52DA3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4449FE8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B74B04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2DC5BA1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shd w:val="clear" w:color="auto" w:fill="FFFFFF"/>
          </w:tcPr>
          <w:p w14:paraId="1580AB79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2A665181" w14:textId="77777777" w:rsidTr="00F24BBD">
        <w:trPr>
          <w:trHeight w:val="142"/>
        </w:trPr>
        <w:tc>
          <w:tcPr>
            <w:tcW w:w="1590" w:type="dxa"/>
            <w:gridSpan w:val="2"/>
            <w:vMerge w:val="restart"/>
            <w:shd w:val="clear" w:color="auto" w:fill="FFFFFF"/>
          </w:tcPr>
          <w:p w14:paraId="7D25E42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289" w:type="dxa"/>
            <w:gridSpan w:val="7"/>
            <w:shd w:val="clear" w:color="auto" w:fill="FFFFFF"/>
          </w:tcPr>
          <w:p w14:paraId="31AE894E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207" w:type="dxa"/>
            <w:gridSpan w:val="18"/>
            <w:shd w:val="clear" w:color="auto" w:fill="FFFFFF"/>
          </w:tcPr>
          <w:p w14:paraId="0FD646C9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79C10837" w14:textId="77777777" w:rsidTr="00F24BBD">
        <w:trPr>
          <w:trHeight w:val="142"/>
        </w:trPr>
        <w:tc>
          <w:tcPr>
            <w:tcW w:w="1590" w:type="dxa"/>
            <w:gridSpan w:val="2"/>
            <w:vMerge/>
            <w:shd w:val="clear" w:color="auto" w:fill="FFFFFF"/>
          </w:tcPr>
          <w:p w14:paraId="32519C74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7FEBD8C4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207" w:type="dxa"/>
            <w:gridSpan w:val="18"/>
            <w:shd w:val="clear" w:color="auto" w:fill="FFFFFF"/>
          </w:tcPr>
          <w:p w14:paraId="15E7D41D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297BCB6D" w14:textId="77777777" w:rsidTr="00F24BBD">
        <w:trPr>
          <w:trHeight w:val="596"/>
        </w:trPr>
        <w:tc>
          <w:tcPr>
            <w:tcW w:w="1590" w:type="dxa"/>
            <w:gridSpan w:val="2"/>
            <w:vMerge/>
            <w:shd w:val="clear" w:color="auto" w:fill="FFFFFF"/>
          </w:tcPr>
          <w:p w14:paraId="7D65223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2BDE51C0" w14:textId="77777777" w:rsidR="00315911" w:rsidRPr="00760EC5" w:rsidRDefault="00315911" w:rsidP="00D116F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7" w:type="dxa"/>
            <w:gridSpan w:val="18"/>
            <w:shd w:val="clear" w:color="auto" w:fill="FFFFFF"/>
          </w:tcPr>
          <w:p w14:paraId="0AF30E64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2CD5C68E" w14:textId="77777777" w:rsidTr="00F24BBD">
        <w:trPr>
          <w:trHeight w:val="240"/>
        </w:trPr>
        <w:tc>
          <w:tcPr>
            <w:tcW w:w="1590" w:type="dxa"/>
            <w:gridSpan w:val="2"/>
            <w:vMerge/>
            <w:shd w:val="clear" w:color="auto" w:fill="FFFFFF"/>
          </w:tcPr>
          <w:p w14:paraId="0D37D7D0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325EF76B" w14:textId="77777777" w:rsidR="00315911" w:rsidRPr="00760EC5" w:rsidRDefault="00315911" w:rsidP="00D116FF">
            <w:pPr>
              <w:tabs>
                <w:tab w:val="right" w:pos="1936"/>
              </w:tabs>
              <w:rPr>
                <w:rFonts w:ascii="Times New Roman" w:hAnsi="Times New Roman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760E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7" w:type="dxa"/>
            <w:gridSpan w:val="18"/>
            <w:shd w:val="clear" w:color="auto" w:fill="FFFFFF"/>
          </w:tcPr>
          <w:p w14:paraId="004687D6" w14:textId="77777777" w:rsidR="00315911" w:rsidRPr="00760EC5" w:rsidRDefault="00315911" w:rsidP="00D116FF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026CB8D4" w14:textId="77777777" w:rsidTr="00F24BBD">
        <w:trPr>
          <w:trHeight w:val="142"/>
        </w:trPr>
        <w:tc>
          <w:tcPr>
            <w:tcW w:w="1590" w:type="dxa"/>
            <w:gridSpan w:val="2"/>
            <w:vMerge w:val="restart"/>
            <w:shd w:val="clear" w:color="auto" w:fill="FFFFFF"/>
          </w:tcPr>
          <w:p w14:paraId="202EF6B4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89" w:type="dxa"/>
            <w:gridSpan w:val="7"/>
            <w:shd w:val="clear" w:color="auto" w:fill="FFFFFF"/>
          </w:tcPr>
          <w:p w14:paraId="44BB135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760E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7" w:type="dxa"/>
            <w:gridSpan w:val="18"/>
            <w:shd w:val="clear" w:color="auto" w:fill="FFFFFF"/>
          </w:tcPr>
          <w:p w14:paraId="57E189B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3FDCC1AD" w14:textId="77777777" w:rsidTr="00F24BBD">
        <w:trPr>
          <w:trHeight w:val="142"/>
        </w:trPr>
        <w:tc>
          <w:tcPr>
            <w:tcW w:w="1590" w:type="dxa"/>
            <w:gridSpan w:val="2"/>
            <w:vMerge/>
            <w:shd w:val="clear" w:color="auto" w:fill="FFFFFF"/>
          </w:tcPr>
          <w:p w14:paraId="1FFB48DA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shd w:val="clear" w:color="auto" w:fill="FFFFFF"/>
          </w:tcPr>
          <w:p w14:paraId="062690A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760E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07" w:type="dxa"/>
            <w:gridSpan w:val="18"/>
            <w:shd w:val="clear" w:color="auto" w:fill="FFFFFF"/>
          </w:tcPr>
          <w:p w14:paraId="1087ABF6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39AF93B5" w14:textId="77777777" w:rsidTr="00F24BBD">
        <w:trPr>
          <w:trHeight w:val="1258"/>
        </w:trPr>
        <w:tc>
          <w:tcPr>
            <w:tcW w:w="2233" w:type="dxa"/>
            <w:gridSpan w:val="4"/>
            <w:shd w:val="clear" w:color="auto" w:fill="FFFFFF"/>
          </w:tcPr>
          <w:p w14:paraId="12FEE45D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853" w:type="dxa"/>
            <w:gridSpan w:val="23"/>
            <w:shd w:val="clear" w:color="auto" w:fill="FFFFFF"/>
            <w:vAlign w:val="center"/>
          </w:tcPr>
          <w:p w14:paraId="22C91306" w14:textId="076C70C8" w:rsidR="00DF66A7" w:rsidRDefault="00AA0597" w:rsidP="00260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Projektowane regulacje </w:t>
            </w:r>
            <w:r w:rsidR="00EC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zasadniczo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wprowadzają nowych obciążeń dla 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obywateli, rodzin</w:t>
            </w:r>
            <w:r w:rsidR="00F24C6A">
              <w:rPr>
                <w:rFonts w:ascii="Times New Roman" w:hAnsi="Times New Roman"/>
                <w:color w:val="000000"/>
                <w:sz w:val="24"/>
                <w:szCs w:val="24"/>
              </w:rPr>
              <w:t>y, gospodarstw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domow</w:t>
            </w:r>
            <w:r w:rsidR="00F24C6A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 przedsiębiorców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2FFAC076" w14:textId="1D4AF5D0" w:rsidR="00260DC3" w:rsidRPr="00260DC3" w:rsidRDefault="00D70D7F" w:rsidP="00260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postępowaniu egzekucyjnych dochodzi się należności pieniężnych nałożonych wcześniej z mocy decyzji lub postanowień właściwych organów administracji albo z mocy samego prawa, które nie zostały dobrowolnie i w terminie zapłacone. Obowiązek uregulowania należności pieniężnych nie wynika zatem z faktu prowadzenia postępowania egzekucyjnego, ale z ustaw,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które kreują dane obowiązki publicznoprawne, np. ustaw podatkowych i innych ustaw regulujących opłaty, kary pieniężne bądź inne należności. </w:t>
            </w:r>
            <w:r w:rsidRPr="00260DC3">
              <w:rPr>
                <w:rFonts w:ascii="Times New Roman" w:hAnsi="Times New Roman"/>
                <w:color w:val="000000"/>
                <w:sz w:val="24"/>
                <w:szCs w:val="24"/>
              </w:rPr>
              <w:t>Celem egzekucji jest bowiem doprowadzenie do wykonania obowiązków już istniejących i wymagalnych, których zobowiązani nie regulują wbrew przepisom nakazującym im takie działanie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Postępowanie egzekucyjne nie kreuje nowych obowiązków dla zobowiązanego poza obowiązkiem uregulowania kosztów egzekucyjnych. </w:t>
            </w:r>
            <w:r w:rsidR="00260DC3">
              <w:rPr>
                <w:rFonts w:ascii="Times New Roman" w:hAnsi="Times New Roman"/>
                <w:color w:val="000000"/>
                <w:sz w:val="24"/>
                <w:szCs w:val="24"/>
              </w:rPr>
              <w:t>Zatem</w:t>
            </w:r>
            <w:r w:rsidR="00260DC3" w:rsidRPr="0026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planowany wzrost dochodów jednostek sektora finansów publicznych nie wynika z nakładania na zobowiązanych dodatkowych obciążeń, lecz ze skutecznego dochodzenia już istniejących obowiązków. </w:t>
            </w:r>
          </w:p>
          <w:p w14:paraId="0777EBCB" w14:textId="4A79A5BE" w:rsidR="00260DC3" w:rsidRPr="00260DC3" w:rsidRDefault="00260DC3" w:rsidP="00260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Pr="0026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przypadku uregulowania dochodzenia podatku VAT deklarowanego przy procedurze szczególnej, zgodnie z danymi przekazanymi przez KAS, mamy do czynienia z liczbą niespełna 1500 zobowiązanych. Biorąc pod uwagę szacowany wzrost dochodów budżetu państwa z tytułu dochodzenia tego podatku (0,62 mln zł) można wskazać, że od każdego zobowiązanego zostanie wyegzekwowana średnio kwota ok. 413 zł rocznie. </w:t>
            </w:r>
          </w:p>
          <w:p w14:paraId="1ED7FB14" w14:textId="4EC70500" w:rsidR="00EC287A" w:rsidRDefault="00260DC3" w:rsidP="00EC287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Podwyższenie</w:t>
            </w:r>
            <w:r w:rsidRPr="0026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0DC3">
              <w:rPr>
                <w:rFonts w:ascii="Times New Roman" w:hAnsi="Times New Roman"/>
                <w:color w:val="000000"/>
                <w:sz w:val="24"/>
                <w:szCs w:val="24"/>
              </w:rPr>
              <w:t>1% opłaty egzekucyjnej za egzekucję z pieniędzy przeprowadzoną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60DC3">
              <w:rPr>
                <w:rFonts w:ascii="Times New Roman" w:hAnsi="Times New Roman"/>
                <w:color w:val="000000"/>
                <w:sz w:val="24"/>
                <w:szCs w:val="24"/>
              </w:rPr>
              <w:t>formie gotówkowej, bądź też wpłatę do wierzyciela w tej formie,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będzie miało niewielki wpływ na zobowiązanych</w:t>
            </w:r>
            <w:r w:rsidR="00EC287A">
              <w:rPr>
                <w:rFonts w:ascii="Times New Roman" w:hAnsi="Times New Roman"/>
                <w:color w:val="000000"/>
                <w:sz w:val="24"/>
                <w:szCs w:val="24"/>
              </w:rPr>
              <w:t>, którzy w egzekucji nie będą chcieli korzystać z płatności bezgotówkowych. W przypadku egzekucji prowadzonej przez organy KAS będzie to kwota średnio 4 zł na zobowiązanego w egzekucji z pieniędzy, 8 zł przy dobrowolnej zapłacie organowi egzekucyjnemu (patrz kalkulacja str. 3, tabela 10). W przypadku egzekucji prowadzonych przez organy jednostek samorządu terytorialnego bę</w:t>
            </w:r>
            <w:r w:rsidR="0034641C">
              <w:rPr>
                <w:rFonts w:ascii="Times New Roman" w:hAnsi="Times New Roman"/>
                <w:color w:val="000000"/>
                <w:sz w:val="24"/>
                <w:szCs w:val="24"/>
              </w:rPr>
              <w:t>dzie to średnio 2 zł, zarówno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egzekucji z pieniędzy, jak i przy dobrowolnej zapłacie organowi egzekucyjnemu (patrz kalkulacja str. 3, tabela </w:t>
            </w:r>
            <w:r w:rsidR="0001702F">
              <w:rPr>
                <w:rFonts w:ascii="Times New Roman" w:hAnsi="Times New Roman"/>
                <w:color w:val="000000"/>
                <w:sz w:val="24"/>
                <w:szCs w:val="24"/>
              </w:rPr>
              <w:t>12).</w:t>
            </w:r>
          </w:p>
          <w:p w14:paraId="378BDF57" w14:textId="37DDB8AD" w:rsidR="00DF66A7" w:rsidRPr="009771D0" w:rsidRDefault="00DF66A7" w:rsidP="00EC28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B4A38">
              <w:rPr>
                <w:rFonts w:ascii="Times New Roman" w:hAnsi="Times New Roman"/>
                <w:sz w:val="24"/>
                <w:szCs w:val="24"/>
              </w:rPr>
              <w:t xml:space="preserve">ie jest możliwe ujęcie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skutków zwiększenia opłaty egzekucyjnej </w:t>
            </w:r>
            <w:r w:rsidRPr="00EB4A38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powyższej</w:t>
            </w:r>
            <w:r w:rsidRPr="00EB4A38">
              <w:rPr>
                <w:rFonts w:ascii="Times New Roman" w:hAnsi="Times New Roman"/>
                <w:sz w:val="24"/>
                <w:szCs w:val="24"/>
              </w:rPr>
              <w:t xml:space="preserve"> tabeli, w przypadku pobrania (wpłaty) gotówką dochodzonej należności - z podziałem na poszczególne kategorie zobowiązanych. Organy egzekuc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yjne bowiem nie ewidencjonują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</w:t>
            </w:r>
            <w:r w:rsidRPr="00EB4A38">
              <w:rPr>
                <w:rFonts w:ascii="Times New Roman" w:hAnsi="Times New Roman"/>
                <w:sz w:val="24"/>
                <w:szCs w:val="24"/>
              </w:rPr>
              <w:t>systemach informatycznych zobowiązanych w podziale na np. na duże przedsiębiorstwa, średnie, osoby fizyczne prowadzące działalność itp. Uzyskanie takiej informacji wymagałoby dokonania „ręcznego” przeliczenia na po</w:t>
            </w:r>
            <w:r w:rsidR="00A2276D">
              <w:rPr>
                <w:rFonts w:ascii="Times New Roman" w:hAnsi="Times New Roman"/>
                <w:sz w:val="24"/>
                <w:szCs w:val="24"/>
              </w:rPr>
              <w:t>dstawie akt spraw egzekucyjnych,</w:t>
            </w:r>
            <w:r w:rsidRPr="00EB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76D" w:rsidRPr="00EB4A38">
              <w:rPr>
                <w:rFonts w:ascii="Times New Roman" w:hAnsi="Times New Roman"/>
                <w:sz w:val="24"/>
                <w:szCs w:val="24"/>
              </w:rPr>
              <w:t xml:space="preserve">co </w:t>
            </w:r>
            <w:r w:rsidR="00A2276D">
              <w:rPr>
                <w:rFonts w:ascii="Times New Roman" w:hAnsi="Times New Roman"/>
                <w:sz w:val="24"/>
                <w:szCs w:val="24"/>
              </w:rPr>
              <w:t xml:space="preserve">przy liczbie ok 2 mln zobowiązanych </w:t>
            </w:r>
            <w:r w:rsidR="00A2276D" w:rsidRPr="00EB4A38">
              <w:rPr>
                <w:rFonts w:ascii="Times New Roman" w:hAnsi="Times New Roman"/>
                <w:sz w:val="24"/>
                <w:szCs w:val="24"/>
              </w:rPr>
              <w:t>stanowiłoby bardzo duże obciążenie pracą organów egzekucyjnych</w:t>
            </w:r>
            <w:r w:rsidR="003B2EBA">
              <w:rPr>
                <w:rFonts w:ascii="Times New Roman" w:hAnsi="Times New Roman"/>
                <w:sz w:val="24"/>
                <w:szCs w:val="24"/>
              </w:rPr>
              <w:t xml:space="preserve"> kosztem dochodzenia należności publicznoprawnych</w:t>
            </w:r>
            <w:r w:rsidR="00A2276D" w:rsidRPr="00EB4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276D">
              <w:rPr>
                <w:rFonts w:ascii="Times New Roman" w:hAnsi="Times New Roman"/>
                <w:sz w:val="24"/>
                <w:szCs w:val="24"/>
              </w:rPr>
              <w:t>Ponadto nie w każdych aktach egzekucyjnych znajdują się informacje o tym</w:t>
            </w:r>
            <w:r w:rsidR="00977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276D">
              <w:rPr>
                <w:rFonts w:ascii="Times New Roman" w:hAnsi="Times New Roman"/>
                <w:sz w:val="24"/>
                <w:szCs w:val="24"/>
              </w:rPr>
              <w:t>czy zobowiązany jest np. średnim przedsiębiorstwem</w:t>
            </w:r>
            <w:r w:rsidR="009771D0">
              <w:rPr>
                <w:rFonts w:ascii="Times New Roman" w:hAnsi="Times New Roman"/>
                <w:sz w:val="24"/>
                <w:szCs w:val="24"/>
              </w:rPr>
              <w:t>. K</w:t>
            </w:r>
            <w:r w:rsidR="00A2276D">
              <w:rPr>
                <w:rFonts w:ascii="Times New Roman" w:hAnsi="Times New Roman"/>
                <w:sz w:val="24"/>
                <w:szCs w:val="24"/>
              </w:rPr>
              <w:t>oni</w:t>
            </w:r>
            <w:r w:rsidR="009771D0">
              <w:rPr>
                <w:rFonts w:ascii="Times New Roman" w:hAnsi="Times New Roman"/>
                <w:sz w:val="24"/>
                <w:szCs w:val="24"/>
              </w:rPr>
              <w:t>e</w:t>
            </w:r>
            <w:r w:rsidR="00A2276D">
              <w:rPr>
                <w:rFonts w:ascii="Times New Roman" w:hAnsi="Times New Roman"/>
                <w:sz w:val="24"/>
                <w:szCs w:val="24"/>
              </w:rPr>
              <w:t>czne był</w:t>
            </w:r>
            <w:r w:rsidR="009771D0">
              <w:rPr>
                <w:rFonts w:ascii="Times New Roman" w:hAnsi="Times New Roman"/>
                <w:sz w:val="24"/>
                <w:szCs w:val="24"/>
              </w:rPr>
              <w:t>o</w:t>
            </w:r>
            <w:r w:rsidR="00A2276D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9771D0">
              <w:rPr>
                <w:rFonts w:ascii="Times New Roman" w:hAnsi="Times New Roman"/>
                <w:sz w:val="24"/>
                <w:szCs w:val="24"/>
              </w:rPr>
              <w:t xml:space="preserve">więc </w:t>
            </w:r>
            <w:r w:rsidR="00A2276D">
              <w:rPr>
                <w:rFonts w:ascii="Times New Roman" w:hAnsi="Times New Roman"/>
                <w:sz w:val="24"/>
                <w:szCs w:val="24"/>
              </w:rPr>
              <w:t xml:space="preserve">zaangażowanie także wierzycieli, przy czym wierzyciele również nie </w:t>
            </w:r>
            <w:r w:rsidR="003B2EBA">
              <w:rPr>
                <w:rFonts w:ascii="Times New Roman" w:hAnsi="Times New Roman"/>
                <w:sz w:val="24"/>
                <w:szCs w:val="24"/>
              </w:rPr>
              <w:t xml:space="preserve">zawsze gromadzą takie </w:t>
            </w:r>
            <w:r w:rsidR="00A2276D">
              <w:rPr>
                <w:rFonts w:ascii="Times New Roman" w:hAnsi="Times New Roman"/>
                <w:sz w:val="24"/>
                <w:szCs w:val="24"/>
              </w:rPr>
              <w:t xml:space="preserve">informacje. </w:t>
            </w:r>
            <w:r w:rsidRPr="00EB4A38">
              <w:rPr>
                <w:rFonts w:ascii="Times New Roman" w:hAnsi="Times New Roman"/>
                <w:sz w:val="24"/>
                <w:szCs w:val="24"/>
              </w:rPr>
              <w:t>Jedyną informacją</w:t>
            </w:r>
            <w:r w:rsidR="00AB2D8F">
              <w:rPr>
                <w:rFonts w:ascii="Times New Roman" w:hAnsi="Times New Roman"/>
                <w:sz w:val="24"/>
                <w:szCs w:val="24"/>
              </w:rPr>
              <w:t>,</w:t>
            </w:r>
            <w:r w:rsidRPr="00EB4A38">
              <w:rPr>
                <w:rFonts w:ascii="Times New Roman" w:hAnsi="Times New Roman"/>
                <w:sz w:val="24"/>
                <w:szCs w:val="24"/>
              </w:rPr>
              <w:t xml:space="preserve"> jaką dysponują organy egzekucyjne to liczba zobowiązanych w administracyjnych postępowaniach egzekucyjnych. W związku z powyższym zbiorcze dane w tym zakresie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są zawarte </w:t>
            </w:r>
            <w:r w:rsidRPr="00EB4A38">
              <w:rPr>
                <w:rFonts w:ascii="Times New Roman" w:hAnsi="Times New Roman"/>
                <w:sz w:val="24"/>
                <w:szCs w:val="24"/>
              </w:rPr>
              <w:t>w załączonej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A38">
              <w:rPr>
                <w:rFonts w:ascii="Times New Roman" w:hAnsi="Times New Roman"/>
                <w:sz w:val="24"/>
                <w:szCs w:val="24"/>
              </w:rPr>
              <w:t>do OSR kalkulacji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BA2815" w14:textId="7C296C82" w:rsidR="00260DC3" w:rsidRPr="00260DC3" w:rsidRDefault="00260DC3" w:rsidP="00260DC3">
            <w:pPr>
              <w:spacing w:line="240" w:lineRule="auto"/>
              <w:ind w:left="-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26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miana definicji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wynagrodzenia </w:t>
            </w:r>
            <w:r w:rsidRPr="0026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będzie miała niewielki, korzystny wpływ 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zobowiązanych poprzez obniżenie ponoszonych przez nich kosztów doręczenia korespondencji</w:t>
            </w:r>
            <w:r w:rsidRPr="00260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Można założyć, że dzięki nowelizacji zobowiązany, którego dotyczy zmiana, nie zostanie obciążony wydatkami związanymi z wysyłką kolejnego zawiadomienia o zajęciu, co pozwoli mu zaoszczędzić kilkanaście złotych.  </w:t>
            </w:r>
          </w:p>
          <w:p w14:paraId="5EC7FFDC" w14:textId="41A67942" w:rsidR="00DF66A7" w:rsidRPr="00760EC5" w:rsidRDefault="00315911" w:rsidP="00260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Projekt nie wpłynie na sytuację ekonomiczną i społeczną osób niepełnosprawnych oraz osób starszych. </w:t>
            </w:r>
          </w:p>
        </w:tc>
      </w:tr>
      <w:tr w:rsidR="00315911" w:rsidRPr="00760EC5" w14:paraId="7DE105D2" w14:textId="77777777" w:rsidTr="00F24BBD">
        <w:trPr>
          <w:trHeight w:val="342"/>
        </w:trPr>
        <w:tc>
          <w:tcPr>
            <w:tcW w:w="11086" w:type="dxa"/>
            <w:gridSpan w:val="27"/>
            <w:shd w:val="clear" w:color="auto" w:fill="99CCFF"/>
            <w:vAlign w:val="center"/>
          </w:tcPr>
          <w:p w14:paraId="1FC2591A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315911" w:rsidRPr="00760EC5" w14:paraId="43E88A5E" w14:textId="77777777" w:rsidTr="00F24BBD">
        <w:trPr>
          <w:trHeight w:val="151"/>
        </w:trPr>
        <w:tc>
          <w:tcPr>
            <w:tcW w:w="11086" w:type="dxa"/>
            <w:gridSpan w:val="27"/>
            <w:shd w:val="clear" w:color="auto" w:fill="FFFFFF"/>
          </w:tcPr>
          <w:p w14:paraId="3CA93F27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nie dotyczy</w:t>
            </w:r>
          </w:p>
        </w:tc>
      </w:tr>
      <w:tr w:rsidR="00315911" w:rsidRPr="00760EC5" w14:paraId="29BE4338" w14:textId="77777777" w:rsidTr="00F24BBD">
        <w:trPr>
          <w:trHeight w:val="946"/>
        </w:trPr>
        <w:tc>
          <w:tcPr>
            <w:tcW w:w="5101" w:type="dxa"/>
            <w:gridSpan w:val="11"/>
            <w:shd w:val="clear" w:color="auto" w:fill="FFFFFF"/>
          </w:tcPr>
          <w:p w14:paraId="4B1111C3" w14:textId="77777777" w:rsidR="00315911" w:rsidRPr="00760EC5" w:rsidRDefault="00315911" w:rsidP="00D116FF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985" w:type="dxa"/>
            <w:gridSpan w:val="16"/>
            <w:shd w:val="clear" w:color="auto" w:fill="FFFFFF"/>
          </w:tcPr>
          <w:p w14:paraId="68E348F8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727337D8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774005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49324CEF" w14:textId="77777777" w:rsidR="00315911" w:rsidRPr="00760EC5" w:rsidRDefault="007D5219" w:rsidP="00D11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315911" w:rsidRPr="00760EC5" w14:paraId="28F2B62E" w14:textId="77777777" w:rsidTr="00F24BBD">
        <w:trPr>
          <w:trHeight w:val="1245"/>
        </w:trPr>
        <w:tc>
          <w:tcPr>
            <w:tcW w:w="5101" w:type="dxa"/>
            <w:gridSpan w:val="11"/>
            <w:shd w:val="clear" w:color="auto" w:fill="FFFFFF"/>
          </w:tcPr>
          <w:p w14:paraId="03257F62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zmniejszenie liczby dokumentów </w:t>
            </w:r>
          </w:p>
          <w:p w14:paraId="50948361" w14:textId="7F1F83F5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876505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2A">
                  <w:rPr>
                    <w:rFonts w:ascii="MS Gothic" w:eastAsia="MS Gothic" w:hAnsi="MS Gothic" w:cs="Segoe UI Symbol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zmniejszenie liczby procedur</w:t>
            </w:r>
          </w:p>
          <w:p w14:paraId="6C810398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0A9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skrócenie czasu na załatwienie sprawy</w:t>
            </w:r>
          </w:p>
          <w:p w14:paraId="2C73C985" w14:textId="77777777" w:rsidR="00315911" w:rsidRPr="00760EC5" w:rsidRDefault="007D5219" w:rsidP="00D116FF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inne:</w:t>
            </w:r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5985" w:type="dxa"/>
            <w:gridSpan w:val="16"/>
            <w:shd w:val="clear" w:color="auto" w:fill="FFFFFF"/>
          </w:tcPr>
          <w:p w14:paraId="7106AAFC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zwiększenie liczby dokumentów</w:t>
            </w:r>
          </w:p>
          <w:p w14:paraId="27DA842D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050D8B4B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wydłużenie czasu na załatwienie sprawy</w:t>
            </w:r>
          </w:p>
          <w:p w14:paraId="73A560A9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inne:</w:t>
            </w:r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</w:p>
          <w:p w14:paraId="2A7A17E0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911" w:rsidRPr="00760EC5" w14:paraId="0489B8C3" w14:textId="77777777" w:rsidTr="00F24BBD">
        <w:trPr>
          <w:trHeight w:val="870"/>
        </w:trPr>
        <w:tc>
          <w:tcPr>
            <w:tcW w:w="5101" w:type="dxa"/>
            <w:gridSpan w:val="11"/>
            <w:shd w:val="clear" w:color="auto" w:fill="FFFFFF"/>
          </w:tcPr>
          <w:p w14:paraId="0243D955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985" w:type="dxa"/>
            <w:gridSpan w:val="16"/>
            <w:shd w:val="clear" w:color="auto" w:fill="FFFFFF"/>
          </w:tcPr>
          <w:p w14:paraId="7FF54474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7F500748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3C3450B7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  <w:p w14:paraId="3E094430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911" w:rsidRPr="00760EC5" w14:paraId="373E2A22" w14:textId="77777777" w:rsidTr="00F24BBD">
        <w:trPr>
          <w:trHeight w:val="266"/>
        </w:trPr>
        <w:tc>
          <w:tcPr>
            <w:tcW w:w="11086" w:type="dxa"/>
            <w:gridSpan w:val="27"/>
            <w:shd w:val="clear" w:color="auto" w:fill="FFFFFF"/>
          </w:tcPr>
          <w:p w14:paraId="3281C3B8" w14:textId="516E6295" w:rsidR="00315911" w:rsidRPr="00760EC5" w:rsidRDefault="00315911" w:rsidP="00AD70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Komentarz: Wejście w życie regulacji </w:t>
            </w:r>
            <w:r w:rsidR="00EC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</w:t>
            </w: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wpłynie na </w:t>
            </w:r>
            <w:r w:rsidR="001D6748">
              <w:rPr>
                <w:rFonts w:ascii="Times New Roman" w:hAnsi="Times New Roman"/>
                <w:color w:val="000000"/>
                <w:sz w:val="24"/>
                <w:szCs w:val="24"/>
              </w:rPr>
              <w:t>zwiększenie obciążeń regulacyjnych</w:t>
            </w:r>
            <w:r w:rsidR="00EC28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13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33E4">
              <w:rPr>
                <w:rFonts w:ascii="Times New Roman" w:hAnsi="Times New Roman"/>
                <w:color w:val="000000"/>
                <w:sz w:val="24"/>
                <w:szCs w:val="24"/>
              </w:rPr>
              <w:t>Zmiany zaproponowane w projekcie ustawy regulują przede wszystkim usprawnienie procedur w zakresie działania wierzyciela i organów egzekucyjnych</w:t>
            </w:r>
            <w:r w:rsidR="00181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D7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np. </w:t>
            </w:r>
            <w:r w:rsidR="00AD702A" w:rsidRPr="006533F0">
              <w:rPr>
                <w:rFonts w:ascii="Times New Roman" w:hAnsi="Times New Roman"/>
                <w:sz w:val="24"/>
              </w:rPr>
              <w:t>rezygnacj</w:t>
            </w:r>
            <w:r w:rsidR="00AD702A">
              <w:rPr>
                <w:rFonts w:ascii="Times New Roman" w:hAnsi="Times New Roman"/>
                <w:sz w:val="24"/>
              </w:rPr>
              <w:t>a</w:t>
            </w:r>
            <w:r w:rsidR="00AD702A" w:rsidRPr="006533F0">
              <w:rPr>
                <w:rFonts w:ascii="Times New Roman" w:hAnsi="Times New Roman"/>
                <w:sz w:val="24"/>
              </w:rPr>
              <w:t xml:space="preserve"> z nadawania przez organ egzekucyjny klauzuli o skierowaniu tytułu wykonawczego do egzekucji administracyjnej i przyjęciu zarządzenia zabezpieczenia </w:t>
            </w:r>
            <w:r w:rsidR="00AD702A">
              <w:rPr>
                <w:rFonts w:ascii="Times New Roman" w:hAnsi="Times New Roman"/>
                <w:sz w:val="24"/>
              </w:rPr>
              <w:br/>
            </w:r>
            <w:r w:rsidR="00AD702A" w:rsidRPr="006533F0">
              <w:rPr>
                <w:rFonts w:ascii="Times New Roman" w:hAnsi="Times New Roman"/>
                <w:sz w:val="24"/>
              </w:rPr>
              <w:t>do wykonania w zakresie obowiąz</w:t>
            </w:r>
            <w:r w:rsidR="00AD702A">
              <w:rPr>
                <w:rFonts w:ascii="Times New Roman" w:hAnsi="Times New Roman"/>
                <w:sz w:val="24"/>
              </w:rPr>
              <w:t xml:space="preserve">ków o charakterze pieniężnym, </w:t>
            </w:r>
            <w:r w:rsidR="00AD702A" w:rsidRPr="006533F0">
              <w:rPr>
                <w:rFonts w:ascii="Times New Roman" w:hAnsi="Times New Roman"/>
                <w:sz w:val="24"/>
              </w:rPr>
              <w:t>umożliwienie automatycznej weryfikacji danych zawartych w tytule wykonawczym z danymi zawartymi w KRS</w:t>
            </w:r>
            <w:r w:rsidR="00AD702A">
              <w:rPr>
                <w:rFonts w:ascii="Times New Roman" w:hAnsi="Times New Roman"/>
                <w:sz w:val="24"/>
              </w:rPr>
              <w:t xml:space="preserve">, </w:t>
            </w:r>
            <w:r w:rsidR="00AD702A" w:rsidRPr="006533F0">
              <w:rPr>
                <w:rFonts w:ascii="Times New Roman" w:hAnsi="Times New Roman"/>
                <w:sz w:val="24"/>
              </w:rPr>
              <w:t>rezygnacj</w:t>
            </w:r>
            <w:r w:rsidR="005B7EFE">
              <w:rPr>
                <w:rFonts w:ascii="Times New Roman" w:hAnsi="Times New Roman"/>
                <w:sz w:val="24"/>
              </w:rPr>
              <w:t>a</w:t>
            </w:r>
            <w:r w:rsidR="00AD702A" w:rsidRPr="006533F0">
              <w:rPr>
                <w:rFonts w:ascii="Times New Roman" w:hAnsi="Times New Roman"/>
                <w:sz w:val="24"/>
              </w:rPr>
              <w:t xml:space="preserve"> z obowiązku zawiadamiania komornika sądowego o sposobie rozliczenia środków pieniężnych w przypadku, gdy nie przekazał organowi egzekucyjnemu adnotacji umożliwiającej prowadzenie łącznej eg</w:t>
            </w:r>
            <w:r w:rsidR="00AD702A">
              <w:rPr>
                <w:rFonts w:ascii="Times New Roman" w:hAnsi="Times New Roman"/>
                <w:sz w:val="24"/>
              </w:rPr>
              <w:t xml:space="preserve">zekucji. Projektowane regulacje </w:t>
            </w:r>
            <w:r w:rsidR="00473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wprowadzają </w:t>
            </w:r>
            <w:r w:rsidR="00AD7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zmian </w:t>
            </w:r>
            <w:r w:rsidR="00473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tym zakresie dla zobowiązanych. </w:t>
            </w:r>
          </w:p>
        </w:tc>
      </w:tr>
      <w:tr w:rsidR="00315911" w:rsidRPr="00760EC5" w14:paraId="3475D790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66E32E58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315911" w:rsidRPr="00760EC5" w14:paraId="288618BE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auto"/>
          </w:tcPr>
          <w:p w14:paraId="27DB70E0" w14:textId="77777777" w:rsidR="00315911" w:rsidRPr="00760EC5" w:rsidRDefault="00315911" w:rsidP="00D11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Projektowana ustawa nie będzie miała wpływu na rynek pracy.</w:t>
            </w:r>
          </w:p>
        </w:tc>
      </w:tr>
      <w:tr w:rsidR="00315911" w:rsidRPr="00760EC5" w14:paraId="532CDFAA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3B7002EC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315911" w:rsidRPr="00760EC5" w14:paraId="421D4DB7" w14:textId="77777777" w:rsidTr="00F24BBD">
        <w:trPr>
          <w:trHeight w:val="1031"/>
        </w:trPr>
        <w:tc>
          <w:tcPr>
            <w:tcW w:w="3541" w:type="dxa"/>
            <w:gridSpan w:val="7"/>
            <w:shd w:val="clear" w:color="auto" w:fill="FFFFFF"/>
          </w:tcPr>
          <w:p w14:paraId="7B8D64FB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67E46C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7EB2EB28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30F45B56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inne: </w:t>
            </w:r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88" w:type="dxa"/>
            <w:gridSpan w:val="11"/>
            <w:shd w:val="clear" w:color="auto" w:fill="FFFFFF"/>
          </w:tcPr>
          <w:p w14:paraId="2960CB2F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5F94DB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demografia</w:t>
            </w:r>
          </w:p>
          <w:p w14:paraId="4ADE53AC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857" w:type="dxa"/>
            <w:gridSpan w:val="9"/>
            <w:shd w:val="clear" w:color="auto" w:fill="FFFFFF"/>
          </w:tcPr>
          <w:p w14:paraId="4E3CDD94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D51E2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informatyzacja</w:t>
            </w:r>
          </w:p>
          <w:p w14:paraId="6A0AF9C8" w14:textId="77777777" w:rsidR="00315911" w:rsidRPr="00760EC5" w:rsidRDefault="007D5219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911" w:rsidRPr="00760EC5">
                  <w:rPr>
                    <w:rFonts w:ascii="Segoe UI Symbol" w:eastAsia="MS Gothic" w:hAnsi="Segoe UI Symbol" w:cs="Segoe UI Symbol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315911"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zdrowie</w:t>
            </w:r>
          </w:p>
        </w:tc>
      </w:tr>
      <w:tr w:rsidR="00315911" w:rsidRPr="00760EC5" w14:paraId="6374FAC2" w14:textId="77777777" w:rsidTr="00F24BBD">
        <w:trPr>
          <w:trHeight w:val="712"/>
        </w:trPr>
        <w:tc>
          <w:tcPr>
            <w:tcW w:w="2233" w:type="dxa"/>
            <w:gridSpan w:val="4"/>
            <w:shd w:val="clear" w:color="auto" w:fill="FFFFFF"/>
            <w:vAlign w:val="center"/>
          </w:tcPr>
          <w:p w14:paraId="793B3A12" w14:textId="77777777" w:rsidR="00315911" w:rsidRPr="00760EC5" w:rsidRDefault="00315911" w:rsidP="00D116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853" w:type="dxa"/>
            <w:gridSpan w:val="23"/>
            <w:shd w:val="clear" w:color="auto" w:fill="FFFFFF"/>
            <w:vAlign w:val="center"/>
          </w:tcPr>
          <w:p w14:paraId="702FC783" w14:textId="77777777" w:rsidR="00315911" w:rsidRPr="00760EC5" w:rsidRDefault="00315911" w:rsidP="00D11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7405D9E8" w14:textId="77777777" w:rsidR="00315911" w:rsidRPr="00760EC5" w:rsidRDefault="00315911" w:rsidP="00D11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Projektowana ustawa nie będzie miała wpływu na wymienione obszary.</w:t>
            </w:r>
          </w:p>
          <w:p w14:paraId="1F859A16" w14:textId="77777777" w:rsidR="00315911" w:rsidRPr="00760EC5" w:rsidRDefault="00315911" w:rsidP="00D11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911" w:rsidRPr="00760EC5" w14:paraId="2D8F0689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19C4CA3B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Planowane wykonanie przepisów aktu prawnego</w:t>
            </w:r>
          </w:p>
        </w:tc>
      </w:tr>
      <w:tr w:rsidR="00315911" w:rsidRPr="00760EC5" w14:paraId="40DD0B6C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7AFF827A" w14:textId="42B23A9D" w:rsidR="00C46F0A" w:rsidRDefault="00C46F0A" w:rsidP="00670CD6">
            <w:pPr>
              <w:pStyle w:val="ARTartustawynprozporzdzenia"/>
              <w:spacing w:before="0" w:line="240" w:lineRule="auto"/>
              <w:ind w:firstLine="0"/>
            </w:pPr>
            <w:r w:rsidRPr="00ED4F97">
              <w:t>Ustawa w</w:t>
            </w:r>
            <w:r>
              <w:t xml:space="preserve">ejdzie </w:t>
            </w:r>
            <w:r w:rsidRPr="00ED4F97">
              <w:t xml:space="preserve">w życie </w:t>
            </w:r>
            <w:r>
              <w:t>po upływie 14 dni od dnia ogłoszenia, z wyjątkiem:</w:t>
            </w:r>
          </w:p>
          <w:p w14:paraId="373D8DD6" w14:textId="01C605FB" w:rsidR="00C46F0A" w:rsidRDefault="00C46F0A" w:rsidP="00670CD6">
            <w:pPr>
              <w:pStyle w:val="PKTpunkt"/>
              <w:spacing w:line="240" w:lineRule="auto"/>
              <w:ind w:left="284" w:hanging="284"/>
            </w:pPr>
            <w:r>
              <w:t xml:space="preserve">1) art. 1 pkt 2, pkt 7 w zakresie art. 15 </w:t>
            </w:r>
            <w:r w:rsidRPr="009929AC">
              <w:t>§</w:t>
            </w:r>
            <w:r>
              <w:t xml:space="preserve"> 3b, pkt 14 lit. a tiret drugie oraz lit. c, pkt 23, które </w:t>
            </w:r>
            <w:r w:rsidRPr="00ED4F97">
              <w:t>w</w:t>
            </w:r>
            <w:r>
              <w:t>ejdą w życie z dniem następującym po dniu ogłoszenia;</w:t>
            </w:r>
          </w:p>
          <w:p w14:paraId="62FA8C16" w14:textId="14BDB305" w:rsidR="00060D50" w:rsidRPr="00760EC5" w:rsidRDefault="00C46F0A" w:rsidP="00BB7F66">
            <w:pPr>
              <w:pStyle w:val="PKTpunkt"/>
              <w:spacing w:line="240" w:lineRule="auto"/>
              <w:ind w:left="284" w:hanging="284"/>
              <w:rPr>
                <w:rFonts w:ascii="Times New Roman" w:hAnsi="Times New Roman"/>
                <w:spacing w:val="-2"/>
                <w:szCs w:val="24"/>
              </w:rPr>
            </w:pPr>
            <w:r>
              <w:t>2) art. 1 pkt 25 lit. a, który wejdzie w życie po upływie 3 miesięcy od dnia ogłoszenia</w:t>
            </w:r>
            <w:r w:rsidR="00BB7F66">
              <w:t>.</w:t>
            </w:r>
          </w:p>
        </w:tc>
      </w:tr>
      <w:tr w:rsidR="00315911" w:rsidRPr="00760EC5" w14:paraId="17D5301F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7B0C097E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60EC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315911" w:rsidRPr="00760EC5" w14:paraId="503AAA18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68A3C6CA" w14:textId="68900AD6" w:rsidR="002A7CDD" w:rsidRDefault="002A7CDD" w:rsidP="00D11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Zostanie przeprowadzona ewaluacja efektów projektu</w:t>
            </w:r>
            <w:r w:rsidR="003F25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Pierwsza z nich nastąpi już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 </w:t>
            </w:r>
            <w:r w:rsidR="006032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roku </w:t>
            </w:r>
            <w:r w:rsidR="003F25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od dnia wejścia w życie ustawy, następne zaś </w:t>
            </w:r>
            <w:r w:rsidR="006032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 3</w:t>
            </w:r>
            <w:r w:rsidR="003F25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 5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latach. Miernikami będą:</w:t>
            </w:r>
          </w:p>
          <w:p w14:paraId="6E0E0FB1" w14:textId="6D4488BE" w:rsidR="002A7CDD" w:rsidRDefault="002A7CDD" w:rsidP="00D11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kwota, o którą rokrocznie będą ulegały zmniejszeniu zaległości w podatku VAT deklarowanym przy procedur</w:t>
            </w:r>
            <w:r w:rsidR="00CB61C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ach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szczególn</w:t>
            </w:r>
            <w:r w:rsidR="00CB61C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</w:p>
          <w:p w14:paraId="2C7CF11D" w14:textId="77777777" w:rsidR="00315911" w:rsidRPr="00760EC5" w:rsidRDefault="002A7CDD" w:rsidP="00D11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wzrost udziału płatności bezgotówkowych w egzekucji z pieniędzy i zapłacie organowi egzeku</w:t>
            </w:r>
            <w:r w:rsidR="00FD60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cyjnemu.</w:t>
            </w:r>
          </w:p>
        </w:tc>
      </w:tr>
      <w:tr w:rsidR="00315911" w:rsidRPr="00760EC5" w14:paraId="05C1364E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99CCFF"/>
          </w:tcPr>
          <w:p w14:paraId="759C3C46" w14:textId="77777777" w:rsidR="00315911" w:rsidRPr="00760EC5" w:rsidRDefault="00315911" w:rsidP="0031591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760EC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760EC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760EC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315911" w:rsidRPr="00760EC5" w14:paraId="04DE1F27" w14:textId="77777777" w:rsidTr="00F24BBD">
        <w:trPr>
          <w:trHeight w:val="142"/>
        </w:trPr>
        <w:tc>
          <w:tcPr>
            <w:tcW w:w="11086" w:type="dxa"/>
            <w:gridSpan w:val="27"/>
            <w:shd w:val="clear" w:color="auto" w:fill="FFFFFF"/>
          </w:tcPr>
          <w:p w14:paraId="604CFEF6" w14:textId="77777777" w:rsidR="00315911" w:rsidRPr="00760EC5" w:rsidRDefault="00433286" w:rsidP="00D116F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Kalkulacja</w:t>
            </w:r>
          </w:p>
        </w:tc>
      </w:tr>
    </w:tbl>
    <w:p w14:paraId="585DD157" w14:textId="77777777" w:rsidR="00315911" w:rsidRPr="00760EC5" w:rsidRDefault="00315911" w:rsidP="00315911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14:paraId="2234DCF6" w14:textId="77777777" w:rsidR="00127C84" w:rsidRDefault="00127C84"/>
    <w:sectPr w:rsidR="00127C84" w:rsidSect="00D116FF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C5E16" w14:textId="77777777" w:rsidR="00060D12" w:rsidRDefault="00060D12" w:rsidP="009859A2">
      <w:pPr>
        <w:spacing w:line="240" w:lineRule="auto"/>
      </w:pPr>
      <w:r>
        <w:separator/>
      </w:r>
    </w:p>
  </w:endnote>
  <w:endnote w:type="continuationSeparator" w:id="0">
    <w:p w14:paraId="3C8D5E82" w14:textId="77777777" w:rsidR="00060D12" w:rsidRDefault="00060D12" w:rsidP="00985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2DD81" w14:textId="77777777" w:rsidR="00060D12" w:rsidRDefault="00060D12" w:rsidP="009859A2">
      <w:pPr>
        <w:spacing w:line="240" w:lineRule="auto"/>
      </w:pPr>
      <w:r>
        <w:separator/>
      </w:r>
    </w:p>
  </w:footnote>
  <w:footnote w:type="continuationSeparator" w:id="0">
    <w:p w14:paraId="09FD75EB" w14:textId="77777777" w:rsidR="00060D12" w:rsidRDefault="00060D12" w:rsidP="00985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774"/>
    <w:multiLevelType w:val="hybridMultilevel"/>
    <w:tmpl w:val="5AB8D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84F"/>
    <w:multiLevelType w:val="hybridMultilevel"/>
    <w:tmpl w:val="C3D0B1B0"/>
    <w:lvl w:ilvl="0" w:tplc="3D36C87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41983"/>
    <w:multiLevelType w:val="hybridMultilevel"/>
    <w:tmpl w:val="2F202B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6076E"/>
    <w:multiLevelType w:val="hybridMultilevel"/>
    <w:tmpl w:val="E9A4C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1"/>
    <w:rsid w:val="00001792"/>
    <w:rsid w:val="000069C6"/>
    <w:rsid w:val="0001702F"/>
    <w:rsid w:val="0002091B"/>
    <w:rsid w:val="000263CD"/>
    <w:rsid w:val="0003026F"/>
    <w:rsid w:val="00035CDA"/>
    <w:rsid w:val="00037E58"/>
    <w:rsid w:val="000443B8"/>
    <w:rsid w:val="00050D1A"/>
    <w:rsid w:val="00054081"/>
    <w:rsid w:val="00054436"/>
    <w:rsid w:val="00060D12"/>
    <w:rsid w:val="00060D50"/>
    <w:rsid w:val="000656A3"/>
    <w:rsid w:val="00067A85"/>
    <w:rsid w:val="00094B3C"/>
    <w:rsid w:val="000A2C24"/>
    <w:rsid w:val="000B4E97"/>
    <w:rsid w:val="000E4B0E"/>
    <w:rsid w:val="000E53E2"/>
    <w:rsid w:val="000F4ED0"/>
    <w:rsid w:val="001004A0"/>
    <w:rsid w:val="00111F3E"/>
    <w:rsid w:val="00113C3D"/>
    <w:rsid w:val="0012631B"/>
    <w:rsid w:val="00127C84"/>
    <w:rsid w:val="001310BC"/>
    <w:rsid w:val="001432D5"/>
    <w:rsid w:val="00151BF1"/>
    <w:rsid w:val="00153AEA"/>
    <w:rsid w:val="00175E8A"/>
    <w:rsid w:val="00181EFF"/>
    <w:rsid w:val="0019218C"/>
    <w:rsid w:val="001A7295"/>
    <w:rsid w:val="001A7C8F"/>
    <w:rsid w:val="001D2CCA"/>
    <w:rsid w:val="001D6748"/>
    <w:rsid w:val="0021455F"/>
    <w:rsid w:val="002147F5"/>
    <w:rsid w:val="00214B40"/>
    <w:rsid w:val="00214FEA"/>
    <w:rsid w:val="00216744"/>
    <w:rsid w:val="00216B59"/>
    <w:rsid w:val="0021791C"/>
    <w:rsid w:val="00224F17"/>
    <w:rsid w:val="00250B44"/>
    <w:rsid w:val="00260DC3"/>
    <w:rsid w:val="00262B6F"/>
    <w:rsid w:val="00277833"/>
    <w:rsid w:val="002A7CDD"/>
    <w:rsid w:val="002B073D"/>
    <w:rsid w:val="002C0C5A"/>
    <w:rsid w:val="002C7123"/>
    <w:rsid w:val="002C7590"/>
    <w:rsid w:val="002E585C"/>
    <w:rsid w:val="003050AB"/>
    <w:rsid w:val="00311237"/>
    <w:rsid w:val="00314BEC"/>
    <w:rsid w:val="003154E1"/>
    <w:rsid w:val="00315911"/>
    <w:rsid w:val="003223BB"/>
    <w:rsid w:val="003446F4"/>
    <w:rsid w:val="0034641C"/>
    <w:rsid w:val="00346AD0"/>
    <w:rsid w:val="00361C61"/>
    <w:rsid w:val="00370B58"/>
    <w:rsid w:val="00371693"/>
    <w:rsid w:val="00386632"/>
    <w:rsid w:val="00392B45"/>
    <w:rsid w:val="003A7F1A"/>
    <w:rsid w:val="003B2EBA"/>
    <w:rsid w:val="003B4153"/>
    <w:rsid w:val="003B6FA4"/>
    <w:rsid w:val="003C4A6F"/>
    <w:rsid w:val="003D50C5"/>
    <w:rsid w:val="003E69C8"/>
    <w:rsid w:val="003F251E"/>
    <w:rsid w:val="0042677C"/>
    <w:rsid w:val="00426B3C"/>
    <w:rsid w:val="00431EC2"/>
    <w:rsid w:val="00433286"/>
    <w:rsid w:val="00442B8C"/>
    <w:rsid w:val="004503A0"/>
    <w:rsid w:val="00450E09"/>
    <w:rsid w:val="004530C6"/>
    <w:rsid w:val="00456AF9"/>
    <w:rsid w:val="0046739C"/>
    <w:rsid w:val="004733CF"/>
    <w:rsid w:val="004733E4"/>
    <w:rsid w:val="00474D46"/>
    <w:rsid w:val="004850E4"/>
    <w:rsid w:val="004852E5"/>
    <w:rsid w:val="004A178C"/>
    <w:rsid w:val="004A6EE4"/>
    <w:rsid w:val="004C74ED"/>
    <w:rsid w:val="004C7A6C"/>
    <w:rsid w:val="004D46AA"/>
    <w:rsid w:val="004F556C"/>
    <w:rsid w:val="00505015"/>
    <w:rsid w:val="00510B79"/>
    <w:rsid w:val="00512C2B"/>
    <w:rsid w:val="0051405F"/>
    <w:rsid w:val="005144A3"/>
    <w:rsid w:val="00521422"/>
    <w:rsid w:val="00530251"/>
    <w:rsid w:val="00541A8E"/>
    <w:rsid w:val="00547EC2"/>
    <w:rsid w:val="00574BE0"/>
    <w:rsid w:val="005909B6"/>
    <w:rsid w:val="005A2DFB"/>
    <w:rsid w:val="005B0F2B"/>
    <w:rsid w:val="005B251D"/>
    <w:rsid w:val="005B7EFE"/>
    <w:rsid w:val="005C6407"/>
    <w:rsid w:val="005D019C"/>
    <w:rsid w:val="005D3C89"/>
    <w:rsid w:val="005E2660"/>
    <w:rsid w:val="00600614"/>
    <w:rsid w:val="0060327B"/>
    <w:rsid w:val="0060634F"/>
    <w:rsid w:val="00624D36"/>
    <w:rsid w:val="00646FCF"/>
    <w:rsid w:val="00651055"/>
    <w:rsid w:val="006549E5"/>
    <w:rsid w:val="00670CD6"/>
    <w:rsid w:val="00674D03"/>
    <w:rsid w:val="00676FBA"/>
    <w:rsid w:val="00684ECD"/>
    <w:rsid w:val="006A6B85"/>
    <w:rsid w:val="006C4150"/>
    <w:rsid w:val="006E02B4"/>
    <w:rsid w:val="006E1699"/>
    <w:rsid w:val="00707FE2"/>
    <w:rsid w:val="0071798B"/>
    <w:rsid w:val="007221C1"/>
    <w:rsid w:val="00727DFC"/>
    <w:rsid w:val="00734547"/>
    <w:rsid w:val="00765EE5"/>
    <w:rsid w:val="007727DC"/>
    <w:rsid w:val="007802D6"/>
    <w:rsid w:val="00781F73"/>
    <w:rsid w:val="007949B2"/>
    <w:rsid w:val="00796510"/>
    <w:rsid w:val="007A0EE7"/>
    <w:rsid w:val="007A33AC"/>
    <w:rsid w:val="007A7990"/>
    <w:rsid w:val="007B096C"/>
    <w:rsid w:val="007C0532"/>
    <w:rsid w:val="007C3E73"/>
    <w:rsid w:val="007C4D26"/>
    <w:rsid w:val="007D5219"/>
    <w:rsid w:val="007E2F00"/>
    <w:rsid w:val="007E4851"/>
    <w:rsid w:val="00800E4E"/>
    <w:rsid w:val="00816404"/>
    <w:rsid w:val="00820C4D"/>
    <w:rsid w:val="00835161"/>
    <w:rsid w:val="0084426F"/>
    <w:rsid w:val="00856101"/>
    <w:rsid w:val="00857261"/>
    <w:rsid w:val="00874447"/>
    <w:rsid w:val="008A3CF5"/>
    <w:rsid w:val="008B32E5"/>
    <w:rsid w:val="008C246F"/>
    <w:rsid w:val="008C5E30"/>
    <w:rsid w:val="008D0B5A"/>
    <w:rsid w:val="008E123C"/>
    <w:rsid w:val="008F6AC8"/>
    <w:rsid w:val="009005E0"/>
    <w:rsid w:val="00916854"/>
    <w:rsid w:val="009212E4"/>
    <w:rsid w:val="00922B71"/>
    <w:rsid w:val="0093270F"/>
    <w:rsid w:val="00932CD0"/>
    <w:rsid w:val="00954C04"/>
    <w:rsid w:val="00961769"/>
    <w:rsid w:val="00967567"/>
    <w:rsid w:val="009771D0"/>
    <w:rsid w:val="00977B90"/>
    <w:rsid w:val="009859A2"/>
    <w:rsid w:val="00996843"/>
    <w:rsid w:val="009B006F"/>
    <w:rsid w:val="009B17C8"/>
    <w:rsid w:val="009B4543"/>
    <w:rsid w:val="009C39DD"/>
    <w:rsid w:val="009C4346"/>
    <w:rsid w:val="009C6947"/>
    <w:rsid w:val="009E1F9E"/>
    <w:rsid w:val="009F2B50"/>
    <w:rsid w:val="009F58A3"/>
    <w:rsid w:val="009F7C3E"/>
    <w:rsid w:val="00A1317D"/>
    <w:rsid w:val="00A1376B"/>
    <w:rsid w:val="00A2276D"/>
    <w:rsid w:val="00A22FC9"/>
    <w:rsid w:val="00A40E78"/>
    <w:rsid w:val="00A655BB"/>
    <w:rsid w:val="00A67F0C"/>
    <w:rsid w:val="00A77048"/>
    <w:rsid w:val="00A81A7B"/>
    <w:rsid w:val="00A93D01"/>
    <w:rsid w:val="00A94660"/>
    <w:rsid w:val="00AA0597"/>
    <w:rsid w:val="00AB2996"/>
    <w:rsid w:val="00AB2D8F"/>
    <w:rsid w:val="00AC0F36"/>
    <w:rsid w:val="00AD702A"/>
    <w:rsid w:val="00AF3812"/>
    <w:rsid w:val="00B2549F"/>
    <w:rsid w:val="00B33B35"/>
    <w:rsid w:val="00B51046"/>
    <w:rsid w:val="00B53610"/>
    <w:rsid w:val="00B5384E"/>
    <w:rsid w:val="00B5524E"/>
    <w:rsid w:val="00B76351"/>
    <w:rsid w:val="00BB4517"/>
    <w:rsid w:val="00BB7662"/>
    <w:rsid w:val="00BB7F66"/>
    <w:rsid w:val="00BC3F7B"/>
    <w:rsid w:val="00BD69B3"/>
    <w:rsid w:val="00BF5DFE"/>
    <w:rsid w:val="00BF69EE"/>
    <w:rsid w:val="00C0559D"/>
    <w:rsid w:val="00C11E3E"/>
    <w:rsid w:val="00C14648"/>
    <w:rsid w:val="00C200A9"/>
    <w:rsid w:val="00C22589"/>
    <w:rsid w:val="00C26EA6"/>
    <w:rsid w:val="00C33D7A"/>
    <w:rsid w:val="00C46F0A"/>
    <w:rsid w:val="00C47EDA"/>
    <w:rsid w:val="00C54D1D"/>
    <w:rsid w:val="00C54D91"/>
    <w:rsid w:val="00C55E99"/>
    <w:rsid w:val="00C72E2E"/>
    <w:rsid w:val="00C748BD"/>
    <w:rsid w:val="00C773F7"/>
    <w:rsid w:val="00C870F1"/>
    <w:rsid w:val="00C87314"/>
    <w:rsid w:val="00C92BE9"/>
    <w:rsid w:val="00CA19F9"/>
    <w:rsid w:val="00CA317F"/>
    <w:rsid w:val="00CB565E"/>
    <w:rsid w:val="00CB61CB"/>
    <w:rsid w:val="00CC1144"/>
    <w:rsid w:val="00CC7CE5"/>
    <w:rsid w:val="00CD1E0A"/>
    <w:rsid w:val="00CD5E3C"/>
    <w:rsid w:val="00CF6CF6"/>
    <w:rsid w:val="00CF7EEF"/>
    <w:rsid w:val="00D01BA7"/>
    <w:rsid w:val="00D116FF"/>
    <w:rsid w:val="00D17726"/>
    <w:rsid w:val="00D24666"/>
    <w:rsid w:val="00D308F9"/>
    <w:rsid w:val="00D3506C"/>
    <w:rsid w:val="00D44B05"/>
    <w:rsid w:val="00D544F1"/>
    <w:rsid w:val="00D65088"/>
    <w:rsid w:val="00D67EAE"/>
    <w:rsid w:val="00D70D7F"/>
    <w:rsid w:val="00D90470"/>
    <w:rsid w:val="00DB6ADC"/>
    <w:rsid w:val="00DD0720"/>
    <w:rsid w:val="00DD0D58"/>
    <w:rsid w:val="00DD65AA"/>
    <w:rsid w:val="00DF021B"/>
    <w:rsid w:val="00DF3719"/>
    <w:rsid w:val="00DF66A7"/>
    <w:rsid w:val="00E06B29"/>
    <w:rsid w:val="00E11B2D"/>
    <w:rsid w:val="00E14B19"/>
    <w:rsid w:val="00E22F0D"/>
    <w:rsid w:val="00E31AFF"/>
    <w:rsid w:val="00E413B3"/>
    <w:rsid w:val="00E537D4"/>
    <w:rsid w:val="00E56C02"/>
    <w:rsid w:val="00E6578D"/>
    <w:rsid w:val="00E76E35"/>
    <w:rsid w:val="00E77DC2"/>
    <w:rsid w:val="00E86CC7"/>
    <w:rsid w:val="00E91BDD"/>
    <w:rsid w:val="00EA4C1C"/>
    <w:rsid w:val="00EB3496"/>
    <w:rsid w:val="00EC2568"/>
    <w:rsid w:val="00EC287A"/>
    <w:rsid w:val="00EC6DF4"/>
    <w:rsid w:val="00ED052E"/>
    <w:rsid w:val="00ED0A7F"/>
    <w:rsid w:val="00ED5A73"/>
    <w:rsid w:val="00EF104F"/>
    <w:rsid w:val="00EF3822"/>
    <w:rsid w:val="00F0282F"/>
    <w:rsid w:val="00F10E59"/>
    <w:rsid w:val="00F15048"/>
    <w:rsid w:val="00F248C2"/>
    <w:rsid w:val="00F24BBD"/>
    <w:rsid w:val="00F24C6A"/>
    <w:rsid w:val="00F27106"/>
    <w:rsid w:val="00F404CA"/>
    <w:rsid w:val="00F660D3"/>
    <w:rsid w:val="00F76D03"/>
    <w:rsid w:val="00FA06F8"/>
    <w:rsid w:val="00FA3DF5"/>
    <w:rsid w:val="00FA7C8C"/>
    <w:rsid w:val="00FC135C"/>
    <w:rsid w:val="00FD31E7"/>
    <w:rsid w:val="00FD5EC4"/>
    <w:rsid w:val="00FD60A9"/>
    <w:rsid w:val="00FE0DF0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D128"/>
  <w15:chartTrackingRefBased/>
  <w15:docId w15:val="{92224C91-F710-470C-9EEE-9AAA5646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911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59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591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uiPriority w:val="99"/>
    <w:semiHidden/>
    <w:unhideWhenUsed/>
    <w:rsid w:val="00315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9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911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315911"/>
    <w:rPr>
      <w:color w:val="0000FF"/>
      <w:u w:val="single"/>
    </w:rPr>
  </w:style>
  <w:style w:type="paragraph" w:customStyle="1" w:styleId="Default">
    <w:name w:val="Default"/>
    <w:rsid w:val="0031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1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C0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C0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4"/>
    <w:qFormat/>
    <w:rsid w:val="00060D5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60D5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9A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9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9A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BB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17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2B"/>
    <w:rPr>
      <w:rFonts w:ascii="Calibri" w:eastAsia="Calibri" w:hAnsi="Calibri" w:cs="Times New Roman"/>
      <w:sz w:val="2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C434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rnik.pl/?page_id=1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77E96BE4E4191B52A7C768E632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18D82-D102-4330-933F-57BDDA96FDE8}"/>
      </w:docPartPr>
      <w:docPartBody>
        <w:p w:rsidR="00353E44" w:rsidRDefault="00EE1F82" w:rsidP="00EE1F82">
          <w:pPr>
            <w:pStyle w:val="54977E96BE4E4191B52A7C768E632F93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CC049761D5547738304EE798B32E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84FEE-16EB-46B7-8190-F9353E380882}"/>
      </w:docPartPr>
      <w:docPartBody>
        <w:p w:rsidR="00353E44" w:rsidRDefault="00EE1F82" w:rsidP="00EE1F82">
          <w:pPr>
            <w:pStyle w:val="8CC049761D5547738304EE798B32EA29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82"/>
    <w:rsid w:val="00001A49"/>
    <w:rsid w:val="00096D4C"/>
    <w:rsid w:val="000C747E"/>
    <w:rsid w:val="000F76A4"/>
    <w:rsid w:val="0013531D"/>
    <w:rsid w:val="00184D78"/>
    <w:rsid w:val="00190CE4"/>
    <w:rsid w:val="001A12C3"/>
    <w:rsid w:val="0023364C"/>
    <w:rsid w:val="00353E44"/>
    <w:rsid w:val="003837A4"/>
    <w:rsid w:val="004330ED"/>
    <w:rsid w:val="00564C39"/>
    <w:rsid w:val="005D7CBA"/>
    <w:rsid w:val="005E2844"/>
    <w:rsid w:val="0060378A"/>
    <w:rsid w:val="006640A0"/>
    <w:rsid w:val="006849CE"/>
    <w:rsid w:val="00690641"/>
    <w:rsid w:val="006F4DFB"/>
    <w:rsid w:val="00746350"/>
    <w:rsid w:val="008B06FC"/>
    <w:rsid w:val="008F2966"/>
    <w:rsid w:val="00990A8E"/>
    <w:rsid w:val="00995FD2"/>
    <w:rsid w:val="009C5743"/>
    <w:rsid w:val="00A2517E"/>
    <w:rsid w:val="00A62773"/>
    <w:rsid w:val="00A775EF"/>
    <w:rsid w:val="00AD4E78"/>
    <w:rsid w:val="00B3506B"/>
    <w:rsid w:val="00B90129"/>
    <w:rsid w:val="00BE7F76"/>
    <w:rsid w:val="00C76EC5"/>
    <w:rsid w:val="00CA623A"/>
    <w:rsid w:val="00D358ED"/>
    <w:rsid w:val="00D766D1"/>
    <w:rsid w:val="00D94853"/>
    <w:rsid w:val="00DA5A89"/>
    <w:rsid w:val="00DB347B"/>
    <w:rsid w:val="00DF3314"/>
    <w:rsid w:val="00EA3A54"/>
    <w:rsid w:val="00ED7E98"/>
    <w:rsid w:val="00EE1F82"/>
    <w:rsid w:val="00F507CC"/>
    <w:rsid w:val="00F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1F82"/>
    <w:rPr>
      <w:color w:val="808080"/>
    </w:rPr>
  </w:style>
  <w:style w:type="paragraph" w:customStyle="1" w:styleId="54977E96BE4E4191B52A7C768E632F93">
    <w:name w:val="54977E96BE4E4191B52A7C768E632F93"/>
    <w:rsid w:val="00EE1F82"/>
  </w:style>
  <w:style w:type="paragraph" w:customStyle="1" w:styleId="8CC049761D5547738304EE798B32EA29">
    <w:name w:val="8CC049761D5547738304EE798B32EA29"/>
    <w:rsid w:val="00EE1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59E4-DE12-4834-8B25-C265D641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4897</Words>
  <Characters>29387</Characters>
  <Application>Microsoft Office Word</Application>
  <DocSecurity>4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Zygierewicz Dorota</dc:creator>
  <cp:keywords/>
  <dc:description/>
  <cp:lastModifiedBy>Czajka Elżbieta</cp:lastModifiedBy>
  <cp:revision>2</cp:revision>
  <cp:lastPrinted>2020-01-17T11:11:00Z</cp:lastPrinted>
  <dcterms:created xsi:type="dcterms:W3CDTF">2020-11-16T08:56:00Z</dcterms:created>
  <dcterms:modified xsi:type="dcterms:W3CDTF">2020-11-16T08:56:00Z</dcterms:modified>
</cp:coreProperties>
</file>