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6A701A" w:rsidRPr="00025314" w14:paraId="43AA6EB8" w14:textId="77777777" w:rsidTr="00BD4F3B">
        <w:trPr>
          <w:gridAfter w:val="1"/>
          <w:wAfter w:w="10" w:type="dxa"/>
          <w:trHeight w:val="1611"/>
        </w:trPr>
        <w:tc>
          <w:tcPr>
            <w:tcW w:w="6628" w:type="dxa"/>
            <w:gridSpan w:val="17"/>
          </w:tcPr>
          <w:p w14:paraId="7DF0B620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1687F645" w14:textId="0365082A" w:rsidR="006A701A" w:rsidRPr="00025314" w:rsidRDefault="008A180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sprawie sposobu podziału części oświatowej subwencji ogólnej dla jednostek samorządu terytorialnego w roku </w:t>
            </w:r>
            <w:r w:rsidR="002801B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CA6985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8FF664B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7904320B" w14:textId="77777777" w:rsidR="006A701A" w:rsidRPr="00025314" w:rsidRDefault="00C50BC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Ministerstwo Edukacji Narodowej</w:t>
            </w:r>
          </w:p>
          <w:p w14:paraId="3100D84B" w14:textId="77777777" w:rsidR="00C50BC4" w:rsidRPr="00025314" w:rsidRDefault="001B3460" w:rsidP="00E93AFD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  <w:r w:rsidR="00C50BC4"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767850" w14:textId="12CD53BC" w:rsidR="001B3460" w:rsidRPr="00025314" w:rsidRDefault="00D332FD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</w:t>
            </w:r>
            <w:r w:rsidR="004C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Maciej Kopeć</w:t>
            </w:r>
            <w:r w:rsidR="00C50BC4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Podsekretarz Stanu</w:t>
            </w:r>
            <w:r w:rsidR="00C50BC4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39611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stwie</w:t>
            </w:r>
            <w:r w:rsidR="0039611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Edukacji Narodowej</w:t>
            </w:r>
          </w:p>
          <w:p w14:paraId="43F237FB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55F71692" w14:textId="163BADCD" w:rsidR="00427B54" w:rsidRDefault="00427B54" w:rsidP="00C50BC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Pani Renata Karnas, tel. (22) 34 74 314</w:t>
            </w:r>
          </w:p>
          <w:p w14:paraId="3E5A6463" w14:textId="469B7C29" w:rsidR="006A701A" w:rsidRPr="00025314" w:rsidRDefault="004C2C5E" w:rsidP="00C50BC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 </w:t>
            </w:r>
            <w:r w:rsidR="00D80511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Przemysław Filipowicz, tel. (22) 34 74 383</w:t>
            </w:r>
          </w:p>
        </w:tc>
        <w:tc>
          <w:tcPr>
            <w:tcW w:w="4309" w:type="dxa"/>
            <w:gridSpan w:val="11"/>
            <w:shd w:val="clear" w:color="auto" w:fill="FFFFFF"/>
          </w:tcPr>
          <w:p w14:paraId="2CC9F964" w14:textId="49061CE0" w:rsidR="00F76884" w:rsidRPr="00025314" w:rsidRDefault="001B3460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0253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302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3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059C">
              <w:rPr>
                <w:rFonts w:ascii="Times New Roman" w:hAnsi="Times New Roman"/>
                <w:color w:val="000000"/>
                <w:sz w:val="24"/>
                <w:szCs w:val="24"/>
              </w:rPr>
              <w:t>października</w:t>
            </w:r>
            <w:r w:rsidR="0019059C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7B5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5B71397C" w14:textId="77777777" w:rsidR="00F76884" w:rsidRPr="00025314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21B720D1" w14:textId="5E49512E" w:rsidR="00F76884" w:rsidRPr="006342C1" w:rsidRDefault="00E30549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28 ust. 6 ustawy z dnia 13 listopada 2003 r. o dochodach jednostek samorządu terytorialnego </w:t>
            </w:r>
            <w:r w:rsidRPr="00C4745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A6482" w:rsidRPr="00C4745F">
              <w:rPr>
                <w:rFonts w:ascii="Times New Roman" w:hAnsi="Times New Roman"/>
                <w:sz w:val="24"/>
                <w:szCs w:val="24"/>
              </w:rPr>
              <w:t xml:space="preserve">Dz. U. z </w:t>
            </w:r>
            <w:r w:rsidR="00C4745F">
              <w:rPr>
                <w:rFonts w:ascii="Times New Roman" w:hAnsi="Times New Roman"/>
                <w:sz w:val="24"/>
                <w:szCs w:val="24"/>
              </w:rPr>
              <w:t>2020</w:t>
            </w:r>
            <w:r w:rsidR="00EA6482" w:rsidRPr="00C4745F">
              <w:rPr>
                <w:rFonts w:ascii="Times New Roman" w:hAnsi="Times New Roman"/>
                <w:sz w:val="24"/>
                <w:szCs w:val="24"/>
              </w:rPr>
              <w:t xml:space="preserve"> r. poz. </w:t>
            </w:r>
            <w:r w:rsidR="00C4745F">
              <w:rPr>
                <w:rFonts w:ascii="Times New Roman" w:hAnsi="Times New Roman"/>
                <w:sz w:val="24"/>
                <w:szCs w:val="24"/>
              </w:rPr>
              <w:t>23</w:t>
            </w:r>
            <w:r w:rsidR="00EA6482" w:rsidRPr="00C4745F">
              <w:rPr>
                <w:rFonts w:ascii="Times New Roman" w:hAnsi="Times New Roman"/>
                <w:sz w:val="24"/>
                <w:szCs w:val="24"/>
              </w:rPr>
              <w:t>, z późn. zm.).</w:t>
            </w:r>
          </w:p>
          <w:p w14:paraId="0972B271" w14:textId="0A8E8B87" w:rsidR="006A701A" w:rsidRPr="00025314" w:rsidRDefault="006A701A" w:rsidP="00E30549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E30549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prac:</w:t>
            </w:r>
            <w:r w:rsidR="00D0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6482">
              <w:rPr>
                <w:rFonts w:ascii="Times New Roman" w:hAnsi="Times New Roman"/>
                <w:color w:val="000000"/>
                <w:sz w:val="24"/>
                <w:szCs w:val="24"/>
              </w:rPr>
              <w:t>2E</w:t>
            </w:r>
          </w:p>
          <w:p w14:paraId="10345B97" w14:textId="77777777" w:rsidR="006A701A" w:rsidRPr="00025314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14:paraId="012C2AFF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C6671E4" w14:textId="77777777"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14:paraId="69095A0D" w14:textId="77777777" w:rsidTr="00BD4F3B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67A3329" w14:textId="77777777" w:rsidR="006A701A" w:rsidRPr="00025314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025314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025314" w14:paraId="155FC0D7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B8E0CCE" w14:textId="198B7ED4" w:rsidR="008C1A76" w:rsidRDefault="008A180A" w:rsidP="008C1A76">
            <w:pPr>
              <w:spacing w:line="300" w:lineRule="atLeast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sprawie sposobu podziału części oświatowej subwencji ogólnej dla jednostek samo</w:t>
            </w:r>
            <w:r w:rsidR="00D3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rządu terytorialnego w roku </w:t>
            </w:r>
            <w:r w:rsidR="002801B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stanowi wykonanie upoważnienia zawartego w art. 28 ust. 6 ustawy z dnia 13 listopada 2003 r. o dochodach jednostek samorządu</w:t>
            </w:r>
            <w:r w:rsidR="00C90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terytorialnego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>Rozporządzenie ustala podział określonej w ustawie budżetowej na rok 2021 kwoty części oświatowej subwencji ogólnej pomiędzy jednostki samorządu terytorialnego z uwzględnieniem w szczególności typów i rodzajów szkół i placówek prowadzonych przez te jednostki, stopni awansu zawodowego nauczycieli oraz liczby uczniów w szkołach i placówkach (w tym liczby dzieci, które ukończyły 6 lat lub więcej, objętych wychowaniem przedszkolnym).</w:t>
            </w:r>
          </w:p>
          <w:p w14:paraId="538E077D" w14:textId="11D4DC86" w:rsidR="008C1A76" w:rsidRDefault="008C1A76" w:rsidP="008C1A76">
            <w:pPr>
              <w:spacing w:line="300" w:lineRule="atLeast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rozporządzeniu zachodzi konieczność realizacji zmian w zakresie sposobu podziału środków pomiędzy jednostki samorządu terytorialnego w stosunku do rozwiązań zastosowanych w roku 2020.</w:t>
            </w:r>
          </w:p>
          <w:p w14:paraId="4483F521" w14:textId="1F8C61B2" w:rsidR="006A701A" w:rsidRPr="00025314" w:rsidRDefault="00E4588D" w:rsidP="006B00AD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025314" w14:paraId="626EB4D2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575C762" w14:textId="77777777" w:rsidR="006A701A" w:rsidRPr="00025314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025314" w14:paraId="37F597A2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05C6303D" w14:textId="1B0A9078" w:rsidR="00271A6B" w:rsidRDefault="00A25077" w:rsidP="005555D9">
            <w:pPr>
              <w:spacing w:line="30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projektowanym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rozporządzeni</w:t>
            </w:r>
            <w:r w:rsidR="008A180A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C90896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stosunku do rozporządzenia Ministra Edukacji Narodowej 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dnia </w:t>
            </w:r>
            <w:r w:rsidR="00FA793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grudnia </w:t>
            </w:r>
            <w:r w:rsidR="00FA793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E648AA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sprawie sposobu podziału części oświatowej subwencji ogólnej dla jednostek samorządu terytorialnego w roku </w:t>
            </w:r>
            <w:r w:rsidR="00FA793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160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08E0" w:rsidRPr="001608E0">
              <w:rPr>
                <w:rFonts w:ascii="Times New Roman" w:hAnsi="Times New Roman"/>
                <w:color w:val="000000"/>
                <w:sz w:val="24"/>
                <w:szCs w:val="24"/>
              </w:rPr>
              <w:t>(Dz. U. poz. 2446)</w:t>
            </w:r>
            <w:r w:rsidR="00C90896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367E7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zaproponowano </w:t>
            </w:r>
            <w:r w:rsidR="000A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m.in.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następujące zmiany:</w:t>
            </w:r>
            <w:r w:rsidR="00D367E7" w:rsidRPr="001240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B15DB69" w14:textId="77777777" w:rsidR="00FA7935" w:rsidRPr="00124049" w:rsidRDefault="00FA7935" w:rsidP="005555D9">
            <w:pPr>
              <w:spacing w:line="30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E04AE6" w14:textId="7225F4FB" w:rsidR="0069636E" w:rsidRDefault="00FA7935" w:rsidP="004C428F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Podniesiono wagę P</w:t>
            </w:r>
            <w:r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lang w:eastAsia="en-US"/>
              </w:rPr>
              <w:t>(wagę uwzględniającą poziom zamożności jednostek samorządu terytorialnego oraz wielkości szkoły) z poziomu 0,1</w:t>
            </w:r>
            <w:r w:rsidR="00D964B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do 0,15. Do wagi włączono szkoły niepubliczne.</w:t>
            </w:r>
          </w:p>
          <w:p w14:paraId="3B330C12" w14:textId="24ED480B" w:rsidR="00FA7935" w:rsidRDefault="00FA7935" w:rsidP="004C428F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Zmieniono finansowanie szkół</w:t>
            </w:r>
            <w:r w:rsidR="00AE08B1">
              <w:rPr>
                <w:rFonts w:ascii="Times New Roman" w:eastAsia="Calibri" w:hAnsi="Times New Roman" w:cs="Times New Roman"/>
                <w:lang w:eastAsia="en-US"/>
              </w:rPr>
              <w:t>, w których nie jest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E08B1">
              <w:rPr>
                <w:rFonts w:ascii="Times New Roman" w:eastAsia="Calibri" w:hAnsi="Times New Roman" w:cs="Times New Roman"/>
                <w:lang w:eastAsia="en-US"/>
              </w:rPr>
              <w:t>realizowany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obowiązek szkolny </w:t>
            </w:r>
            <w:r w:rsidR="00D964B0">
              <w:rPr>
                <w:rFonts w:ascii="Times New Roman" w:eastAsia="Calibri" w:hAnsi="Times New Roman" w:cs="Times New Roman"/>
                <w:lang w:eastAsia="en-US"/>
              </w:rPr>
              <w:t>lub obowiązek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nauki (licea ogólnokształcące dla dorosłych, szkoły policealne, w tym </w:t>
            </w:r>
            <w:r w:rsidR="00D964B0">
              <w:rPr>
                <w:rFonts w:ascii="Times New Roman" w:eastAsia="Calibri" w:hAnsi="Times New Roman" w:cs="Times New Roman"/>
                <w:lang w:eastAsia="en-US"/>
              </w:rPr>
              <w:t xml:space="preserve">kształcące w formie </w:t>
            </w:r>
            <w:r>
              <w:rPr>
                <w:rFonts w:ascii="Times New Roman" w:eastAsia="Calibri" w:hAnsi="Times New Roman" w:cs="Times New Roman"/>
                <w:lang w:eastAsia="en-US"/>
              </w:rPr>
              <w:t>dzienne</w:t>
            </w:r>
            <w:r w:rsidR="00D964B0">
              <w:rPr>
                <w:rFonts w:ascii="Times New Roman" w:eastAsia="Calibri" w:hAnsi="Times New Roman" w:cs="Times New Roman"/>
                <w:lang w:eastAsia="en-US"/>
              </w:rPr>
              <w:t>j</w:t>
            </w:r>
            <w:r w:rsidR="008C1A76">
              <w:rPr>
                <w:rFonts w:ascii="Times New Roman" w:eastAsia="Calibri" w:hAnsi="Times New Roman" w:cs="Times New Roman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oraz kwalifikacyjn</w:t>
            </w:r>
            <w:r w:rsidR="008C1A76">
              <w:rPr>
                <w:rFonts w:ascii="Times New Roman" w:eastAsia="Calibri" w:hAnsi="Times New Roman" w:cs="Times New Roman"/>
                <w:lang w:eastAsia="en-US"/>
              </w:rPr>
              <w:t>ych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kurs</w:t>
            </w:r>
            <w:r w:rsidR="008C1A76">
              <w:rPr>
                <w:rFonts w:ascii="Times New Roman" w:eastAsia="Calibri" w:hAnsi="Times New Roman" w:cs="Times New Roman"/>
                <w:lang w:eastAsia="en-US"/>
              </w:rPr>
              <w:t>ów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zawodow</w:t>
            </w:r>
            <w:r w:rsidR="008C1A76">
              <w:rPr>
                <w:rFonts w:ascii="Times New Roman" w:eastAsia="Calibri" w:hAnsi="Times New Roman" w:cs="Times New Roman"/>
                <w:lang w:eastAsia="en-US"/>
              </w:rPr>
              <w:t>ych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14:paraId="7F271EA1" w14:textId="70864E60" w:rsidR="004C428F" w:rsidRDefault="008B40BA" w:rsidP="00207184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Zmieniono sposób naliczania niektórych wag do algorytmu podziału </w:t>
            </w:r>
            <w:r w:rsidR="007941A4">
              <w:rPr>
                <w:rFonts w:ascii="Times New Roman" w:eastAsia="Calibri" w:hAnsi="Times New Roman" w:cs="Times New Roman"/>
                <w:lang w:eastAsia="en-US"/>
              </w:rPr>
              <w:t xml:space="preserve">części oświatowej </w:t>
            </w:r>
            <w:r>
              <w:rPr>
                <w:rFonts w:ascii="Times New Roman" w:eastAsia="Calibri" w:hAnsi="Times New Roman" w:cs="Times New Roman"/>
                <w:lang w:eastAsia="en-US"/>
              </w:rPr>
              <w:t>subwencji</w:t>
            </w:r>
            <w:r w:rsidR="007941A4">
              <w:rPr>
                <w:rFonts w:ascii="Times New Roman" w:eastAsia="Calibri" w:hAnsi="Times New Roman" w:cs="Times New Roman"/>
                <w:lang w:eastAsia="en-US"/>
              </w:rPr>
              <w:t xml:space="preserve"> ogólnej</w:t>
            </w:r>
            <w:r w:rsidR="007B0A15">
              <w:rPr>
                <w:rFonts w:ascii="Times New Roman" w:eastAsia="Calibri" w:hAnsi="Times New Roman" w:cs="Times New Roman"/>
                <w:lang w:eastAsia="en-US"/>
              </w:rPr>
              <w:t xml:space="preserve"> dotyczących</w:t>
            </w:r>
            <w:r w:rsidR="00AE08B1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="007B0A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D586B">
              <w:rPr>
                <w:rFonts w:ascii="Times New Roman" w:eastAsia="Calibri" w:hAnsi="Times New Roman" w:cs="Times New Roman"/>
                <w:lang w:eastAsia="en-US"/>
              </w:rPr>
              <w:t>szkół w podmiotach leczniczych, dom</w:t>
            </w:r>
            <w:r w:rsidR="00AE08B1">
              <w:rPr>
                <w:rFonts w:ascii="Times New Roman" w:eastAsia="Calibri" w:hAnsi="Times New Roman" w:cs="Times New Roman"/>
                <w:lang w:eastAsia="en-US"/>
              </w:rPr>
              <w:t>ów</w:t>
            </w:r>
            <w:r w:rsidR="009D586B">
              <w:rPr>
                <w:rFonts w:ascii="Times New Roman" w:eastAsia="Calibri" w:hAnsi="Times New Roman" w:cs="Times New Roman"/>
                <w:lang w:eastAsia="en-US"/>
              </w:rPr>
              <w:t xml:space="preserve"> wczasów dziecięcych, internat</w:t>
            </w:r>
            <w:r w:rsidR="00AE08B1">
              <w:rPr>
                <w:rFonts w:ascii="Times New Roman" w:eastAsia="Calibri" w:hAnsi="Times New Roman" w:cs="Times New Roman"/>
                <w:lang w:eastAsia="en-US"/>
              </w:rPr>
              <w:t>ów</w:t>
            </w:r>
            <w:r w:rsidR="009D586B">
              <w:rPr>
                <w:rFonts w:ascii="Times New Roman" w:eastAsia="Calibri" w:hAnsi="Times New Roman" w:cs="Times New Roman"/>
                <w:lang w:eastAsia="en-US"/>
              </w:rPr>
              <w:t xml:space="preserve"> i burs, szkolnych schronisk młodzieżowych</w:t>
            </w:r>
            <w:r w:rsidR="007B0A1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1A642D6B" w14:textId="3DF1A60A" w:rsidR="004C428F" w:rsidRDefault="004C428F" w:rsidP="004C428F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Zmieniono </w:t>
            </w:r>
            <w:r w:rsidR="00402888">
              <w:rPr>
                <w:rFonts w:ascii="Times New Roman" w:eastAsia="Calibri" w:hAnsi="Times New Roman" w:cs="Times New Roman"/>
                <w:lang w:eastAsia="en-US"/>
              </w:rPr>
              <w:t>sposób naliczania wychowanków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domów wczasów dziecięcych.</w:t>
            </w:r>
          </w:p>
          <w:p w14:paraId="7326E864" w14:textId="3650B7A9" w:rsidR="004C428F" w:rsidRDefault="004C428F" w:rsidP="004C428F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Zmieniono sposób finansowania uczniów oddziałów przygotowania wojskowego</w:t>
            </w:r>
            <w:r w:rsidR="009D586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28BB9C6" w14:textId="1260BEFA" w:rsidR="003778F9" w:rsidRDefault="003778F9" w:rsidP="004C428F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Dodano do wag P</w:t>
            </w:r>
            <w:r w:rsidRPr="00207184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i P</w:t>
            </w:r>
            <w:r w:rsidRPr="00207184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now</w:t>
            </w:r>
            <w:r w:rsidR="005D006D">
              <w:rPr>
                <w:rFonts w:ascii="Times New Roman" w:eastAsia="Calibri" w:hAnsi="Times New Roman" w:cs="Times New Roman"/>
                <w:lang w:eastAsia="en-US"/>
              </w:rPr>
              <w:t>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zawod</w:t>
            </w:r>
            <w:r w:rsidR="005D006D">
              <w:rPr>
                <w:rFonts w:ascii="Times New Roman" w:eastAsia="Calibri" w:hAnsi="Times New Roman" w:cs="Times New Roman"/>
                <w:lang w:eastAsia="en-US"/>
              </w:rPr>
              <w:t>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wynikając</w:t>
            </w:r>
            <w:r w:rsidR="005D006D">
              <w:rPr>
                <w:rFonts w:ascii="Times New Roman" w:eastAsia="Calibri" w:hAnsi="Times New Roman" w:cs="Times New Roman"/>
                <w:lang w:eastAsia="en-US"/>
              </w:rPr>
              <w:t>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z zaktualizowanej prognozy zapotrzebowania na pracowników w zawodach szkolnictwa branżowego na krajowym i wojewódzkim rynku pracy</w:t>
            </w:r>
            <w:r w:rsidR="00795C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6A87BEB2" w14:textId="441D547A" w:rsidR="005219D6" w:rsidRDefault="008C1A76" w:rsidP="004C428F">
            <w:pPr>
              <w:pStyle w:val="menfont"/>
              <w:numPr>
                <w:ilvl w:val="0"/>
                <w:numId w:val="55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Zaktualizowano</w:t>
            </w:r>
            <w:r w:rsidR="003778F9">
              <w:rPr>
                <w:rFonts w:ascii="Times New Roman" w:eastAsia="Calibri" w:hAnsi="Times New Roman" w:cs="Times New Roman"/>
                <w:lang w:eastAsia="en-US"/>
              </w:rPr>
              <w:t xml:space="preserve"> zawody w wagach od P</w:t>
            </w:r>
            <w:r w:rsidR="003778F9" w:rsidRPr="007F2998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3</w:t>
            </w:r>
            <w:r w:rsidR="003778F9">
              <w:rPr>
                <w:rFonts w:ascii="Times New Roman" w:eastAsia="Calibri" w:hAnsi="Times New Roman" w:cs="Times New Roman"/>
                <w:lang w:eastAsia="en-US"/>
              </w:rPr>
              <w:t xml:space="preserve"> do P</w:t>
            </w:r>
            <w:r w:rsidR="003778F9" w:rsidRPr="00207184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16</w:t>
            </w:r>
            <w:r w:rsidR="00D339A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15494C02" w14:textId="68466348" w:rsidR="004C428F" w:rsidRPr="00BD4F3B" w:rsidRDefault="004C428F" w:rsidP="00207184">
            <w:pPr>
              <w:pStyle w:val="menfon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701A" w:rsidRPr="00025314" w14:paraId="62035A5F" w14:textId="77777777" w:rsidTr="00BD4F3B">
        <w:trPr>
          <w:trHeight w:val="307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3C6F073" w14:textId="77777777" w:rsidR="006A701A" w:rsidRPr="00025314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0253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025314" w14:paraId="2D77B2B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5AECC3F" w14:textId="2E24853D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Finansowanie oświaty w Polsce stanowi zadanie własne jednostek samorządu terytorialnego i jest realizowane ze środków własnych </w:t>
            </w:r>
            <w:r w:rsidR="004F5845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jednostek samorządu terytorialnego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z </w:t>
            </w:r>
            <w:r w:rsidR="004F584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części oświatowej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subwencji o</w:t>
            </w:r>
            <w:r w:rsidR="004F5845">
              <w:rPr>
                <w:rFonts w:ascii="Times New Roman" w:hAnsi="Times New Roman"/>
                <w:sz w:val="24"/>
                <w:szCs w:val="24"/>
                <w:lang w:eastAsia="pl-PL"/>
              </w:rPr>
              <w:t>gólnej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przekazywanej z budżetu państwa. W krajach Unii Europejskiej fundusze przeznaczone na szkolnictwo pochodzą w dużej części ze środków publicznych</w:t>
            </w:r>
            <w:r w:rsidR="004464F3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chociaż w wielu krajach da się zauważyć udział środków prywatnych w finansowaniu oświaty.</w:t>
            </w:r>
          </w:p>
          <w:p w14:paraId="0DDE6FA5" w14:textId="47FA076B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W Niemczech </w:t>
            </w:r>
            <w:r w:rsidR="005318D4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nstytucje zarządzające szkołami prywatnymi otrzymują od władz landów (krajów związkowych) dofinansowanie w różnych formach. Wszystkie landy gwarantują uprawnionym szkołom standardowe wsparcie finansowe, wliczając w to udział w kosztach związanych z płacami pracowników i zakupem wyposażenia. Procent finansów publicznych w całkowitych kosztach prowadzenia placówek prywatnych różni się w poszczególnych landach i zależy od typu szkoły.</w:t>
            </w:r>
          </w:p>
          <w:p w14:paraId="296DCFDB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Hiszpanii fundusze przeznaczone na szkolnictwo pochodzą zarówno ze źródeł publicznych, jak i prywatnych. Fundusze publiczne pochodzą z Ministerstwa Edukacji i Nauki, władz lokalnych i autonomicznych. Większość środków publicznych jest przeznaczona na opłacenie personelu, zakup dóbr i usług, dotacje dla placówek prywatnych oraz inwestycje. Finansowanie specyficznych potrzeb placówek szkolnych jest możliwe pod warunkiem przedstawienia stosownego uzasadnienia</w:t>
            </w:r>
            <w:r w:rsidR="00FC37D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37D6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placówkach publicznych kształcenie jest bezpłatne. </w:t>
            </w:r>
          </w:p>
          <w:p w14:paraId="74CBBFE6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Danii ustawodawstwo określa cele, ramową strukturę i sposób finansowania edukacji, a w niektórych wypadkach reguluje również sprawy związane z programami nauczania, egzaminami i zatrudnieniem. Ministerstwo Edukacji nadzoruje ogólne kształcenie na poziomie szkoły podstawowej i średniej I stopnia wspólnie z władzami lokalnymi. Instytucje edukacyjne są samorządnymi instytucjami finansowanymi przez państwo. Odnosi się to do placówek zapewniających kształcenie ogólne na poziomie szkoły średniej II stopnia (</w:t>
            </w:r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Gymnasium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</w:t>
            </w:r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Højere Forberedelseseksamen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programów społecznych i zdrowotnych (SOSU), jak i ośrodków kształcenia dorosłych (VUC). </w:t>
            </w:r>
          </w:p>
          <w:p w14:paraId="478DD55D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Czechach szkoły są finansowane z dwóch źródeł: koszty inwestycyjne i bieżące pokrywają organy założycielskie (regiony i gminy z budżetów regionalnych/gminnych), koszty związane z kształceniem (wynagrodzenia i pomoce dydaktyczne) są przyznawane z budżetu centralnego przez Ministerstwo Edukacji Młodzieży i Sportu za pośrednictwem administracji regionalnej. Finansowanie odbywa się zgodnie z zasadą wydatków na 1 osobę. Dla szkół, kwota na 1 osobę jest określana na szczeblu centralnym dla czterech grup wiekowych odpowiadających odpowiednim poziomom edukacji (ISCED 0-3, 5B) i przydzielane regionom zgodnie z liczbą uczniów w danej grupie wiekowej. Kwota na 1 osobę dla różnych szkół określana jest przez władze regionalne.</w:t>
            </w:r>
          </w:p>
          <w:p w14:paraId="273F1F89" w14:textId="77777777" w:rsidR="00787DAD" w:rsidRPr="00025314" w:rsidRDefault="00787DAD" w:rsidP="00787D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58FECAE" w14:textId="0508BCED" w:rsidR="006A701A" w:rsidRPr="00BD4F3B" w:rsidRDefault="00787DAD" w:rsidP="00BD4F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Źródło: Eurydice.org.pl</w:t>
            </w:r>
          </w:p>
        </w:tc>
      </w:tr>
      <w:tr w:rsidR="006A701A" w:rsidRPr="00025314" w14:paraId="53C53CFA" w14:textId="77777777" w:rsidTr="00BD4F3B">
        <w:trPr>
          <w:trHeight w:val="359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40FF8B6" w14:textId="77777777" w:rsidR="006A701A" w:rsidRPr="00025314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Podmioty, na które oddziałuje projekt</w:t>
            </w:r>
          </w:p>
        </w:tc>
      </w:tr>
      <w:tr w:rsidR="00260F33" w:rsidRPr="00025314" w14:paraId="7052318D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50C11B03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B3613EA" w14:textId="77777777" w:rsidR="00260F33" w:rsidRPr="00025314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74" w:type="dxa"/>
            <w:gridSpan w:val="9"/>
            <w:shd w:val="clear" w:color="auto" w:fill="auto"/>
          </w:tcPr>
          <w:p w14:paraId="04A6B8F9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025314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0B12EE72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025314" w14:paraId="0B92D87B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1C43D986" w14:textId="77777777" w:rsidR="00260F33" w:rsidRPr="00025314" w:rsidRDefault="00E93AFD" w:rsidP="00E93AFD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71FCA159" w14:textId="15FB3D50" w:rsidR="00260F33" w:rsidRPr="00025314" w:rsidRDefault="00D367E7" w:rsidP="00D367E7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07486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64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A34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9"/>
            <w:shd w:val="clear" w:color="auto" w:fill="auto"/>
            <w:vAlign w:val="center"/>
          </w:tcPr>
          <w:p w14:paraId="03C6D1F7" w14:textId="77777777" w:rsidR="00260F33" w:rsidRPr="00025314" w:rsidRDefault="00B54856" w:rsidP="00FC37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Rady </w:t>
            </w:r>
            <w:r w:rsidR="004A1E8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poz. 1031</w:t>
            </w:r>
            <w:r w:rsidR="00FC37D6">
              <w:rPr>
                <w:rFonts w:ascii="Times New Roman" w:hAnsi="Times New Roman"/>
                <w:color w:val="000000"/>
                <w:sz w:val="24"/>
                <w:szCs w:val="24"/>
              </w:rPr>
              <w:t>, z późn. zm.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7D71A34E" w14:textId="6A9219BF" w:rsidR="00260F33" w:rsidRPr="00025314" w:rsidRDefault="008A180A" w:rsidP="00425D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sposób podziału </w:t>
            </w:r>
            <w:r w:rsidR="001F6F0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określonej w u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stawie budżetowej na rok </w:t>
            </w:r>
            <w:r w:rsidR="007F299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425D68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kwoty części oświatowej subwencji ogólnej pomiędzy jednostki samorządu terytorialnego.</w:t>
            </w:r>
            <w:r w:rsidR="0090238C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Wpływ rozporządzenia uzależniony będzie od zakresu zadań oświatowych realizowanych przez jednostki samorządu terytorialnego mierzonych liczbą uczniów przeliczeniowych.</w:t>
            </w:r>
          </w:p>
        </w:tc>
      </w:tr>
      <w:tr w:rsidR="00D13938" w:rsidRPr="00025314" w14:paraId="1528CE4F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1B87A4F4" w14:textId="77777777" w:rsidR="00D13938" w:rsidRPr="00025314" w:rsidRDefault="00D13938" w:rsidP="00D1393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Organy prowadzące szkoły lub placówki niebędące jednostkami samorządu terytorialnego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CFD5F2" w14:textId="5C13175F" w:rsidR="00D13938" w:rsidRPr="00FA1D72" w:rsidRDefault="00D1393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="002309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tys.</w:t>
            </w:r>
          </w:p>
        </w:tc>
        <w:tc>
          <w:tcPr>
            <w:tcW w:w="2274" w:type="dxa"/>
            <w:gridSpan w:val="9"/>
            <w:shd w:val="clear" w:color="auto" w:fill="auto"/>
          </w:tcPr>
          <w:p w14:paraId="694F6C52" w14:textId="7A7B9184" w:rsidR="00D13938" w:rsidRPr="00FA1D72" w:rsidRDefault="001B623B" w:rsidP="004928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ystem </w:t>
            </w:r>
            <w:r w:rsidR="005C16E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nformacji </w:t>
            </w:r>
            <w:r w:rsidR="005C16E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>światowej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według danych na dzień 30 września </w:t>
            </w:r>
            <w:r w:rsidR="007F299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26FB639A" w14:textId="4A1838E5" w:rsidR="00D13938" w:rsidRPr="00FA1D72" w:rsidRDefault="00D13938" w:rsidP="00CD1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Wysokość dotacji dla szkół i placówek prowadzonych przez inne podmioty niż </w:t>
            </w:r>
            <w:r w:rsidR="004308F7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="004308F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ednostki samorządu terytorialnego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uzależniona od rozwiązań zastosowanych w algorytmie podziału subwencji.</w:t>
            </w:r>
          </w:p>
        </w:tc>
      </w:tr>
      <w:tr w:rsidR="00D13938" w:rsidRPr="00025314" w14:paraId="084B7C7F" w14:textId="77777777" w:rsidTr="00BD4F3B">
        <w:trPr>
          <w:trHeight w:val="30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597F6B7D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D13938" w:rsidRPr="00025314" w14:paraId="7B3A99BD" w14:textId="77777777" w:rsidTr="00BD4F3B">
        <w:trPr>
          <w:trHeight w:val="342"/>
        </w:trPr>
        <w:tc>
          <w:tcPr>
            <w:tcW w:w="10947" w:type="dxa"/>
            <w:gridSpan w:val="29"/>
            <w:shd w:val="clear" w:color="auto" w:fill="FFFFFF"/>
          </w:tcPr>
          <w:p w14:paraId="6BE79318" w14:textId="1E914620" w:rsidR="00D13938" w:rsidRPr="00025314" w:rsidRDefault="00CC7B7B" w:rsidP="00D1393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Rozporządzenie </w:t>
            </w:r>
            <w:r w:rsidR="008E70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zostanie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skierowan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do zaopiniowania przez 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reprezentatywne organizacje związkowe w trybie przewidzianym w ustawie z dnia 23 maja 1991 r. o związkach zawodowych (Dz. U. z 2019 r. poz. 263),</w:t>
            </w:r>
            <w:r w:rsidR="006401E2" w:rsidRPr="006401E2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reprezentatywne organizacje pracodawców w trybie przewidzianym w ustawie z dnia 23 maja 1991 r. o organizacjach pracodawców (Dz. U. z </w:t>
            </w:r>
            <w:r w:rsidR="0074223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2019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r. poz. </w:t>
            </w:r>
            <w:r w:rsidR="0074223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1809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 i partnerów społecznych,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tj. przez: </w:t>
            </w:r>
          </w:p>
          <w:p w14:paraId="1AF02409" w14:textId="77777777" w:rsidR="006039AF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Przedsiębiorców i Pracodawców;</w:t>
            </w:r>
          </w:p>
          <w:p w14:paraId="09A324A5" w14:textId="77777777" w:rsidR="006039AF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Pracodawców Business Centre Club;</w:t>
            </w:r>
          </w:p>
          <w:p w14:paraId="52C18A55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Federację Inicjatyw Oświatowych;</w:t>
            </w:r>
          </w:p>
          <w:p w14:paraId="65E4C827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Forum Związków Zawodowych;</w:t>
            </w:r>
          </w:p>
          <w:p w14:paraId="14DF61E1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Komisję Krajową NSZZ „Solidarność 80”;</w:t>
            </w:r>
          </w:p>
          <w:p w14:paraId="58BAA2D1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Konfederację Związków Zawodowych Górnictwa w Polsce;</w:t>
            </w:r>
          </w:p>
          <w:p w14:paraId="0B0520F8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Krajową Izbę Gospodarczą; </w:t>
            </w:r>
          </w:p>
          <w:p w14:paraId="5ECE72EE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Krajowe Forum Oświaty Niepublicznej;</w:t>
            </w:r>
          </w:p>
          <w:p w14:paraId="311BEE14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743"/>
              </w:tabs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17893209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743"/>
              </w:tabs>
              <w:ind w:left="993" w:hanging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Porozumienie Związków Zawodowych;</w:t>
            </w:r>
          </w:p>
          <w:p w14:paraId="055142AA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Kadry Kierowniczej Oświaty;</w:t>
            </w:r>
          </w:p>
          <w:p w14:paraId="19771A80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Pracowników Resocjalizacji;</w:t>
            </w:r>
          </w:p>
          <w:p w14:paraId="09405075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Konfederację Lewiatan; </w:t>
            </w:r>
          </w:p>
          <w:p w14:paraId="035B5593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Polski Związek Logopedów;</w:t>
            </w:r>
          </w:p>
          <w:p w14:paraId="61EE9D4D" w14:textId="77777777" w:rsidR="006039AF" w:rsidRPr="0078261E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7B">
              <w:rPr>
                <w:rFonts w:ascii="Times New Roman" w:hAnsi="Times New Roman"/>
                <w:sz w:val="24"/>
                <w:szCs w:val="24"/>
              </w:rPr>
              <w:t>Polskie Stowarzyszenie na Rzecz Osób z Upośledzeniem Umysłowym; </w:t>
            </w:r>
          </w:p>
          <w:p w14:paraId="1A1575F5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Pracodawc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Rzeczypospolitej Polskiej;</w:t>
            </w:r>
          </w:p>
          <w:p w14:paraId="445AE975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Krajową Oświaty i Wychowania NSZZ „Solidarność”;</w:t>
            </w:r>
          </w:p>
          <w:p w14:paraId="6EBB02D8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Oświaty KNSZZ „Solidarność 80”;</w:t>
            </w:r>
          </w:p>
          <w:p w14:paraId="17691467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Sekretariat Konferencji Episkopatu Polski;</w:t>
            </w:r>
          </w:p>
          <w:p w14:paraId="354077AE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Społeczne Towarzystwo Oświatowe;</w:t>
            </w:r>
          </w:p>
          <w:p w14:paraId="053C13E6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Porozumienie Społeczeństwo i Nauka;</w:t>
            </w:r>
          </w:p>
          <w:p w14:paraId="6CD40F2E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Wolny Związek Zawodowy „Sierpień 80” Komisj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Krajow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7537F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Nauczycielstwa Polskiego;</w:t>
            </w:r>
          </w:p>
          <w:p w14:paraId="172AE550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Rzemiosła Polskiego;</w:t>
            </w:r>
          </w:p>
          <w:p w14:paraId="63ABEE0D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Zakładów Doskonalenia Zawodowego;</w:t>
            </w:r>
          </w:p>
          <w:p w14:paraId="55D84735" w14:textId="77777777" w:rsidR="006039AF" w:rsidRPr="00025314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Krajowy Związku Zawodowego Nauczycieli Średnich Szkół Leśnych w Polsce;</w:t>
            </w:r>
          </w:p>
          <w:p w14:paraId="653097F7" w14:textId="77777777" w:rsidR="006039AF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Zawodowy Pracowników Oświaty i Wychowania „Oświata”;</w:t>
            </w:r>
          </w:p>
          <w:p w14:paraId="1442C529" w14:textId="36C74E65" w:rsidR="006039AF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Izb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Gospodarcz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Elektroniki i Telekomunikacji;</w:t>
            </w:r>
          </w:p>
          <w:p w14:paraId="609274FC" w14:textId="1717486B" w:rsidR="006039AF" w:rsidRPr="00420023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Sekcj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 w:rsidRPr="00EF5C1A">
              <w:rPr>
                <w:rFonts w:ascii="Times New Roman" w:hAnsi="Times New Roman"/>
                <w:sz w:val="24"/>
                <w:szCs w:val="24"/>
              </w:rPr>
              <w:t xml:space="preserve"> Poligrafów Stowarzyszenia Inżynierów i Techników Mechaników Polskich;</w:t>
            </w:r>
          </w:p>
          <w:p w14:paraId="6D9EBF23" w14:textId="77777777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Związek Zawodowy „Rada Poradnictwa”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178883" w14:textId="77777777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Wolny Związek Zawodowy „Solidarność-Oświata”;</w:t>
            </w:r>
          </w:p>
          <w:p w14:paraId="67DD11E2" w14:textId="7341EE89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Rozwoju Systemu Edukacji;</w:t>
            </w:r>
          </w:p>
          <w:p w14:paraId="2703F487" w14:textId="77777777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Spraw Publicznych;</w:t>
            </w:r>
          </w:p>
          <w:p w14:paraId="5DC8A852" w14:textId="2AF5CD09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Akademi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Nauk;</w:t>
            </w:r>
          </w:p>
          <w:p w14:paraId="75EE445A" w14:textId="77777777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 Komitet Światowej Organizacji Wychowania Przedszkolnego;</w:t>
            </w:r>
          </w:p>
          <w:p w14:paraId="50C1267B" w14:textId="77777777" w:rsidR="006039AF" w:rsidRPr="00BD4F3B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Alians Ewangeliczny w RP;</w:t>
            </w:r>
          </w:p>
          <w:p w14:paraId="1CEE2B35" w14:textId="3F77E315" w:rsidR="006039AF" w:rsidRPr="006039AF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Ekumeniczn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9ACA86" w14:textId="305E5593" w:rsidR="006039AF" w:rsidRPr="00BD4F3B" w:rsidRDefault="006039AF" w:rsidP="00BD4F3B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3B">
              <w:rPr>
                <w:rFonts w:ascii="Times New Roman" w:hAnsi="Times New Roman"/>
                <w:sz w:val="24"/>
                <w:szCs w:val="24"/>
              </w:rPr>
              <w:t>Rzecznik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a</w:t>
            </w:r>
            <w:r w:rsidRPr="00BD4F3B">
              <w:rPr>
                <w:rFonts w:ascii="Times New Roman" w:hAnsi="Times New Roman"/>
                <w:sz w:val="24"/>
                <w:szCs w:val="24"/>
              </w:rPr>
              <w:t xml:space="preserve"> Małych i Średnich Przedsiębiorców</w:t>
            </w:r>
          </w:p>
          <w:p w14:paraId="77FC40A8" w14:textId="77777777" w:rsidR="006039AF" w:rsidRPr="00BD4F3B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Przedszkoli Niepublicznych;</w:t>
            </w:r>
          </w:p>
          <w:p w14:paraId="234953E9" w14:textId="754F68AE" w:rsidR="006039AF" w:rsidRPr="00BD4F3B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Stowarzyszeń Nauczycielskich;</w:t>
            </w:r>
          </w:p>
          <w:p w14:paraId="4F24D441" w14:textId="026FC311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Metropolii Polskich;</w:t>
            </w:r>
          </w:p>
          <w:p w14:paraId="52EFADCF" w14:textId="149B0D5D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Miasteczek Polskich;</w:t>
            </w:r>
          </w:p>
          <w:p w14:paraId="4FEBC321" w14:textId="77777777" w:rsidR="006039AF" w:rsidRPr="000D3390" w:rsidRDefault="006039AF" w:rsidP="006039AF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Gmin Wiejskich RP;</w:t>
            </w:r>
          </w:p>
          <w:p w14:paraId="4CEE545A" w14:textId="77777777" w:rsidR="006039AF" w:rsidRPr="00BD4F3B" w:rsidRDefault="006039AF" w:rsidP="00BD4F3B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Miast Polskich;</w:t>
            </w:r>
          </w:p>
          <w:p w14:paraId="0BBD73A8" w14:textId="77777777" w:rsidR="00451BA3" w:rsidRDefault="006039AF" w:rsidP="00BD4F3B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Związek Powiatów Polskich</w:t>
            </w:r>
            <w:r w:rsidR="00451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83FB00" w14:textId="77777777" w:rsidR="00451BA3" w:rsidRDefault="00451BA3" w:rsidP="009155B2">
            <w:pPr>
              <w:pStyle w:val="Nagwek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11EB8" w14:textId="0728ABE9" w:rsidR="00451BA3" w:rsidRDefault="00451BA3" w:rsidP="00BD4F3B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również udostępniony:</w:t>
            </w:r>
          </w:p>
          <w:p w14:paraId="6F27E0A0" w14:textId="574A8587" w:rsidR="00451BA3" w:rsidRDefault="00451BA3" w:rsidP="00451BA3">
            <w:pPr>
              <w:pStyle w:val="Nagwek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/>
                <w:sz w:val="24"/>
                <w:szCs w:val="24"/>
              </w:rPr>
              <w:t>zie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Dialogu Społecznego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E1450C" w14:textId="2C258F80" w:rsidR="00451BA3" w:rsidRPr="00A1617A" w:rsidRDefault="00451BA3" w:rsidP="00451BA3">
            <w:pPr>
              <w:pStyle w:val="Nagwek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Rzecznik</w:t>
            </w:r>
            <w:r>
              <w:rPr>
                <w:rFonts w:ascii="Times New Roman" w:hAnsi="Times New Roman"/>
                <w:sz w:val="24"/>
                <w:szCs w:val="24"/>
              </w:rPr>
              <w:t>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Dziecka;</w:t>
            </w:r>
          </w:p>
          <w:p w14:paraId="138C7893" w14:textId="1B5C6662" w:rsidR="00FD570E" w:rsidRPr="009155B2" w:rsidRDefault="00451BA3" w:rsidP="00BD4F3B">
            <w:pPr>
              <w:pStyle w:val="Nagwek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Rzecznikowi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Obywatelskich.</w:t>
            </w:r>
          </w:p>
          <w:p w14:paraId="28599428" w14:textId="77777777" w:rsidR="00D13938" w:rsidRPr="00025314" w:rsidRDefault="00D13938" w:rsidP="00BD4F3B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957EDA" w14:textId="718A6485" w:rsidR="00D13938" w:rsidRDefault="00D13938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udostępniony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Biulet</w:t>
            </w:r>
            <w:r>
              <w:rPr>
                <w:rFonts w:ascii="Times New Roman" w:hAnsi="Times New Roman"/>
                <w:sz w:val="24"/>
                <w:szCs w:val="24"/>
              </w:rPr>
              <w:t>ynie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Informacji Publicznej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stronie internetowej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Ministerstwa Edukacji Narodowej, zgodnie z art. 5 ustawy z dnia 7 lipca 2005 r. o działalności lobbingowej w procesie stanowienia prawa (Dz. U. </w:t>
            </w:r>
            <w:r w:rsidR="002C481A">
              <w:rPr>
                <w:rFonts w:ascii="Times New Roman" w:hAnsi="Times New Roman"/>
                <w:sz w:val="24"/>
                <w:szCs w:val="24"/>
              </w:rPr>
              <w:t xml:space="preserve">z 2017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 w:rsidR="005C7CBF">
              <w:rPr>
                <w:rFonts w:ascii="Times New Roman" w:hAnsi="Times New Roman"/>
                <w:sz w:val="24"/>
                <w:szCs w:val="24"/>
              </w:rPr>
              <w:t>248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) oraz w Biuletynie Informacji Publicznej Rządowego Centrum Legislacji, zgodnie z uchwałą </w:t>
            </w:r>
            <w:r w:rsidR="005C7CBF">
              <w:rPr>
                <w:rFonts w:ascii="Times New Roman" w:hAnsi="Times New Roman"/>
                <w:sz w:val="24"/>
                <w:szCs w:val="24"/>
              </w:rPr>
              <w:t>n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 190 Rady Ministrów z dnia 29 października 2013 r. – Regulamin Pracy Rady Ministrów (M.P.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2016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sz w:val="24"/>
                <w:szCs w:val="24"/>
              </w:rPr>
              <w:t>1006</w:t>
            </w:r>
            <w:r w:rsidR="005C7CBF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14:paraId="29AA829C" w14:textId="77777777" w:rsidR="00DA60AD" w:rsidRPr="00025314" w:rsidRDefault="00DA60AD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B794B" w14:textId="567ABBE1" w:rsidR="0029160D" w:rsidRPr="009E4AF6" w:rsidRDefault="00DA60AD" w:rsidP="009E4AF6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AD">
              <w:rPr>
                <w:rFonts w:ascii="Times New Roman" w:hAnsi="Times New Roman"/>
                <w:sz w:val="24"/>
                <w:szCs w:val="24"/>
              </w:rPr>
              <w:t xml:space="preserve">Zgodnie z treścią upoważnienia ustawowego zawartego w art. 28 ust. 6 ustawy z dnia 13 listopada 2003 r. o dochodach jednostek samorządu terytorialnego projekt 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zostanie</w:t>
            </w:r>
            <w:r w:rsidRPr="00DA60AD">
              <w:rPr>
                <w:rFonts w:ascii="Times New Roman" w:hAnsi="Times New Roman"/>
                <w:sz w:val="24"/>
                <w:szCs w:val="24"/>
              </w:rPr>
              <w:t xml:space="preserve"> przekazany do zaopiniowania ministrowi właściwemu do spraw finansów publicznych oraz reprezentacji jednostek samorządu terytorialnego (w ramach Komisji Wspólnej Rządu i Samorządu Terytorialnego). </w:t>
            </w:r>
          </w:p>
          <w:p w14:paraId="3C98F203" w14:textId="77777777" w:rsidR="0029160D" w:rsidRPr="001C6C05" w:rsidRDefault="0029160D" w:rsidP="001C6C0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07D8B" w14:textId="1AC6CFF8" w:rsidR="00D13938" w:rsidRDefault="00D13938" w:rsidP="009E4AF6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05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zostanie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 przekazany do zaopiniowania także Komisji Wspólnej Rządu i Mniejszości Narodowych i Etnicznych.</w:t>
            </w:r>
          </w:p>
          <w:p w14:paraId="491D11A4" w14:textId="50612BB2" w:rsidR="00D13938" w:rsidRPr="00025314" w:rsidRDefault="00D13938" w:rsidP="00D1393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73410F2" w14:textId="77777777" w:rsidTr="00BD4F3B">
        <w:trPr>
          <w:trHeight w:val="36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1228EDB6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D13938" w:rsidRPr="00025314" w14:paraId="1371741C" w14:textId="77777777" w:rsidTr="00BD4F3B">
        <w:trPr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</w:tcPr>
          <w:p w14:paraId="337AE5BD" w14:textId="77777777" w:rsidR="00D13938" w:rsidRPr="00025314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17" w:type="dxa"/>
            <w:gridSpan w:val="25"/>
            <w:shd w:val="clear" w:color="auto" w:fill="FFFFFF"/>
          </w:tcPr>
          <w:p w14:paraId="0CCC44A0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D13938" w:rsidRPr="00025314" w14:paraId="339709C8" w14:textId="77777777" w:rsidTr="00BD4F3B">
        <w:trPr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14:paraId="028022AE" w14:textId="77777777" w:rsidR="00D13938" w:rsidRPr="00025314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BF0BC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3D5B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9D68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C912C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E2A1BB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634E6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C3026E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412755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28E949C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E80F5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BA27C2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3822A22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D13938" w:rsidRPr="00025314" w14:paraId="6A47ECBE" w14:textId="77777777" w:rsidTr="00BD4F3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445F16A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F5963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135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C976D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E1556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5F9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90ABD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1D44E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E823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9AABC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BD964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3A6A9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1741E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13EE40D" w14:textId="77777777" w:rsidTr="00BD4F3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4522D4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A0117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A51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92603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82EC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A7DF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309E5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3677B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9BB6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A49D6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37D34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B160F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DE1246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59C121F" w14:textId="77777777" w:rsidTr="00BD4F3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4BFB5F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B5A0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E3A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4D78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3CF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2837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49B2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58D0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473C2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DB4AF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D85C7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6046E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18CE78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ECBDC7F" w14:textId="77777777" w:rsidTr="00BD4F3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F6FF98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C4170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3DB0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E68E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06362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591D8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CEEBA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3372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BDB7D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42139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F5431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1BCA0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62183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0A2830F" w14:textId="77777777" w:rsidTr="00BD4F3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DD6C4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4171A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B223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8480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8F4E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C5E26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8C29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24765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C1A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E9049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62C75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851E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3F3F2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EB3D494" w14:textId="77777777" w:rsidTr="00BD4F3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58A943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63E90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F07BF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D101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20941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EAEC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E4B6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2DD6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78CA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EFD4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A870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F8E7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5DDF2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00E1571B" w14:textId="77777777" w:rsidTr="00BD4F3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43EF03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6C58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340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11582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6EF82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1D36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88A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35C4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97B25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A15CF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853C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2261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4ED5B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55843E8" w14:textId="77777777" w:rsidTr="00BD4F3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FD766F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953E5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548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2EC5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5BD9E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440D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F99AC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B4AAF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1000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DCEF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D3F9C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229E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240E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1917595" w14:textId="77777777" w:rsidTr="00BD4F3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632041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D45E1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299F5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2E5C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C527C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94EC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3127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B35C7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EEECB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FB034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90D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4EE57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39C4E4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9BB6960" w14:textId="77777777" w:rsidTr="00BD4F3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458AD6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0D4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E455E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BFD22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F44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2093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C9DB3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EBE05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B34A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EF3D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229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9C198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38C55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AD1B2BE" w14:textId="77777777" w:rsidTr="00BD4F3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25C66F9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B3433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6E65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5F11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3659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0F29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A91FB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31A13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01B1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F476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8566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A81B7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F33A1C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934C9DF" w14:textId="77777777" w:rsidTr="00BD4F3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9C31B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FD677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7758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902A3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B0B1B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E674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EC4E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8C8A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ABF4F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5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4E2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F2B07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067625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73A4DA6" w14:textId="77777777" w:rsidTr="00BD4F3B">
        <w:trPr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29314C2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63441DDB" w14:textId="77777777" w:rsidR="00D13938" w:rsidRPr="00025314" w:rsidRDefault="00D13938" w:rsidP="00D13938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14:paraId="4614A6A9" w14:textId="77777777" w:rsidTr="00BD4F3B">
        <w:trPr>
          <w:trHeight w:val="416"/>
        </w:trPr>
        <w:tc>
          <w:tcPr>
            <w:tcW w:w="2240" w:type="dxa"/>
            <w:gridSpan w:val="2"/>
            <w:shd w:val="clear" w:color="auto" w:fill="FFFFFF"/>
          </w:tcPr>
          <w:p w14:paraId="22C1B3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707" w:type="dxa"/>
            <w:gridSpan w:val="27"/>
            <w:shd w:val="clear" w:color="auto" w:fill="FFFFFF"/>
          </w:tcPr>
          <w:p w14:paraId="54497576" w14:textId="2743A2E7" w:rsidR="002E7691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Wejście w życie rozporządzenia nie spowoduje dodatkowych skutków finansowych dla budżetu państwa, bowiem dzieli ono kwotę części oświatowej subwencji ogólnej dla jednostek samorządu terytorialnego, której wysokość określana jest corocznie w ustawie budżetowej. W projek</w:t>
            </w:r>
            <w:r w:rsidR="006963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cie ustawy budżetowej na rok </w:t>
            </w:r>
            <w:r w:rsidR="00F564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zaplanowano część oświatową subwencji ogólnej w </w:t>
            </w:r>
            <w:r w:rsidRPr="00CD1E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wysokości </w:t>
            </w:r>
            <w:r w:rsidR="00F56465">
              <w:rPr>
                <w:rFonts w:ascii="Times New Roman" w:hAnsi="Times New Roman"/>
                <w:sz w:val="24"/>
                <w:szCs w:val="24"/>
              </w:rPr>
              <w:t>52.041.694</w:t>
            </w:r>
            <w:r w:rsidR="0069636E" w:rsidRPr="00BD4F3B">
              <w:rPr>
                <w:rFonts w:ascii="Times New Roman" w:hAnsi="Times New Roman"/>
                <w:sz w:val="24"/>
                <w:szCs w:val="24"/>
              </w:rPr>
              <w:t xml:space="preserve"> tys. zł</w:t>
            </w:r>
            <w:r w:rsidRPr="00CD1EC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Jest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ona wyższa w stosunku do kwoty części oświatowej subwencji ogólnej na rok </w:t>
            </w:r>
            <w:r w:rsidR="00F564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963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 w:rsidR="00F564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49.885.775</w:t>
            </w:r>
            <w:r w:rsidR="00EA01AE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</w:t>
            </w:r>
            <w:r w:rsidR="0023285C">
              <w:rPr>
                <w:rStyle w:val="Odwoanieprzypisudolnego"/>
                <w:rFonts w:ascii="Times New Roman" w:hAnsi="Times New Roman"/>
                <w:color w:val="000000"/>
                <w:spacing w:val="-2"/>
                <w:sz w:val="24"/>
                <w:szCs w:val="24"/>
              </w:rPr>
              <w:footnoteReference w:id="2"/>
            </w:r>
            <w:r w:rsidR="00EA01AE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o </w:t>
            </w:r>
            <w:r w:rsidR="00F564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2.155.919</w:t>
            </w:r>
            <w:r w:rsidR="006963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zł, tj. o </w:t>
            </w:r>
            <w:r w:rsidR="00F564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4,3</w:t>
            </w:r>
            <w:r w:rsidR="00EA01AE"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%.</w:t>
            </w:r>
          </w:p>
          <w:p w14:paraId="7C02641C" w14:textId="74712DCE" w:rsidR="00D13938" w:rsidRPr="00E86F10" w:rsidRDefault="002E7691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Efekt finansowy wprowadzanych zmian dla poszczególnych wag:</w:t>
            </w:r>
          </w:p>
          <w:p w14:paraId="03F2FE52" w14:textId="653F2DFD" w:rsidR="005025DD" w:rsidRDefault="00421335" w:rsidP="00672E3C">
            <w:pPr>
              <w:pStyle w:val="Akapitzlist"/>
              <w:numPr>
                <w:ilvl w:val="1"/>
                <w:numId w:val="53"/>
              </w:numPr>
              <w:tabs>
                <w:tab w:val="clear" w:pos="927"/>
                <w:tab w:val="num" w:pos="1082"/>
              </w:tabs>
              <w:spacing w:before="120" w:after="120" w:line="240" w:lineRule="auto"/>
              <w:ind w:left="1082" w:hanging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F6">
              <w:rPr>
                <w:rFonts w:ascii="Times New Roman" w:hAnsi="Times New Roman"/>
                <w:sz w:val="24"/>
                <w:szCs w:val="24"/>
              </w:rPr>
              <w:t>W związku z</w:t>
            </w:r>
            <w:r w:rsidR="006B4F5F">
              <w:rPr>
                <w:rFonts w:ascii="Times New Roman" w:hAnsi="Times New Roman"/>
                <w:sz w:val="24"/>
                <w:szCs w:val="24"/>
              </w:rPr>
              <w:t>e</w:t>
            </w:r>
            <w:r w:rsidR="00200D62">
              <w:rPr>
                <w:rFonts w:ascii="Times New Roman" w:hAnsi="Times New Roman"/>
                <w:sz w:val="24"/>
                <w:szCs w:val="24"/>
              </w:rPr>
              <w:t xml:space="preserve"> zwiększeniem wartości wagi P</w:t>
            </w:r>
            <w:r w:rsidR="00200D62"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0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06D">
              <w:rPr>
                <w:rFonts w:ascii="Times New Roman" w:hAnsi="Times New Roman"/>
                <w:sz w:val="24"/>
                <w:szCs w:val="24"/>
              </w:rPr>
              <w:t>z wartości 0,1</w:t>
            </w:r>
            <w:r w:rsidR="006B4F5F">
              <w:rPr>
                <w:rFonts w:ascii="Times New Roman" w:hAnsi="Times New Roman"/>
                <w:sz w:val="24"/>
                <w:szCs w:val="24"/>
              </w:rPr>
              <w:t>0</w:t>
            </w:r>
            <w:r w:rsidR="005D006D">
              <w:rPr>
                <w:rFonts w:ascii="Times New Roman" w:hAnsi="Times New Roman"/>
                <w:sz w:val="24"/>
                <w:szCs w:val="24"/>
              </w:rPr>
              <w:t xml:space="preserve"> do 0,15 </w:t>
            </w:r>
            <w:r w:rsidR="00200D62">
              <w:rPr>
                <w:rFonts w:ascii="Times New Roman" w:hAnsi="Times New Roman"/>
                <w:sz w:val="24"/>
                <w:szCs w:val="24"/>
              </w:rPr>
              <w:t>uwzględniającej zarówno poziom zamożności danej jednostki samorządu terytorialnego</w:t>
            </w:r>
            <w:r w:rsidR="006B4F5F">
              <w:rPr>
                <w:rFonts w:ascii="Times New Roman" w:hAnsi="Times New Roman"/>
                <w:sz w:val="24"/>
                <w:szCs w:val="24"/>
              </w:rPr>
              <w:t>,</w:t>
            </w:r>
            <w:r w:rsidR="00200D62">
              <w:rPr>
                <w:rFonts w:ascii="Times New Roman" w:hAnsi="Times New Roman"/>
                <w:sz w:val="24"/>
                <w:szCs w:val="24"/>
              </w:rPr>
              <w:t xml:space="preserve"> jak również wielkość szkoły szacuje się</w:t>
            </w:r>
            <w:r w:rsidR="00AE08B1">
              <w:rPr>
                <w:rFonts w:ascii="Times New Roman" w:hAnsi="Times New Roman"/>
                <w:sz w:val="24"/>
                <w:szCs w:val="24"/>
              </w:rPr>
              <w:t>,</w:t>
            </w:r>
            <w:r w:rsidR="00200D62">
              <w:rPr>
                <w:rFonts w:ascii="Times New Roman" w:hAnsi="Times New Roman"/>
                <w:sz w:val="24"/>
                <w:szCs w:val="24"/>
              </w:rPr>
              <w:t xml:space="preserve"> że </w:t>
            </w:r>
            <w:r w:rsidR="0047199F">
              <w:rPr>
                <w:rFonts w:ascii="Times New Roman" w:hAnsi="Times New Roman"/>
                <w:sz w:val="24"/>
                <w:szCs w:val="24"/>
              </w:rPr>
              <w:t>w wyniku zmian naliczo</w:t>
            </w:r>
            <w:r w:rsidR="001730A1">
              <w:rPr>
                <w:rFonts w:ascii="Times New Roman" w:hAnsi="Times New Roman"/>
                <w:sz w:val="24"/>
                <w:szCs w:val="24"/>
              </w:rPr>
              <w:t xml:space="preserve">ne zostanie dodatkowe 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 w:rsidR="001730A1">
              <w:rPr>
                <w:rFonts w:ascii="Times New Roman" w:hAnsi="Times New Roman"/>
                <w:sz w:val="24"/>
                <w:szCs w:val="24"/>
              </w:rPr>
              <w:t>108</w:t>
            </w:r>
            <w:r w:rsidR="0047199F">
              <w:rPr>
                <w:rFonts w:ascii="Times New Roman" w:hAnsi="Times New Roman"/>
                <w:sz w:val="24"/>
                <w:szCs w:val="24"/>
              </w:rPr>
              <w:t xml:space="preserve"> mln zł subwencji.</w:t>
            </w:r>
            <w:r w:rsidR="008C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37C">
              <w:rPr>
                <w:rFonts w:ascii="Times New Roman" w:hAnsi="Times New Roman"/>
                <w:sz w:val="24"/>
                <w:szCs w:val="24"/>
              </w:rPr>
              <w:t>Włączenie ok. 26 tys. uczniów szkół niepublicznych szacuje się, że spowoduje dodatkowo koszty ok. 26 mln zł. Łącznie w wadze P</w:t>
            </w:r>
            <w:r w:rsidR="001F437C"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szacuje się, że będzie ok</w:t>
            </w:r>
            <w:r w:rsidR="004207BD">
              <w:rPr>
                <w:rFonts w:ascii="Times New Roman" w:hAnsi="Times New Roman"/>
                <w:sz w:val="24"/>
                <w:szCs w:val="24"/>
              </w:rPr>
              <w:t>.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334 tys. uczniów.</w:t>
            </w:r>
          </w:p>
          <w:p w14:paraId="6BA3BC9C" w14:textId="7372AB88" w:rsidR="00672E3C" w:rsidRDefault="005025DD" w:rsidP="00672E3C">
            <w:pPr>
              <w:pStyle w:val="Akapitzlist"/>
              <w:numPr>
                <w:ilvl w:val="1"/>
                <w:numId w:val="53"/>
              </w:numPr>
              <w:tabs>
                <w:tab w:val="clear" w:pos="927"/>
                <w:tab w:val="num" w:pos="1082"/>
              </w:tabs>
              <w:spacing w:before="120" w:after="120" w:line="240" w:lineRule="auto"/>
              <w:ind w:left="1082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84">
              <w:rPr>
                <w:rFonts w:ascii="Times New Roman" w:hAnsi="Times New Roman"/>
                <w:sz w:val="24"/>
                <w:szCs w:val="24"/>
              </w:rPr>
              <w:t>Zmieniono finansowanie szkół</w:t>
            </w:r>
            <w:r w:rsidR="00AE08B1">
              <w:rPr>
                <w:rFonts w:ascii="Times New Roman" w:hAnsi="Times New Roman"/>
                <w:sz w:val="24"/>
                <w:szCs w:val="24"/>
              </w:rPr>
              <w:t xml:space="preserve">, w których nie jest realizowany 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obowiązek szkolny </w:t>
            </w:r>
            <w:r w:rsidR="004207BD">
              <w:rPr>
                <w:rFonts w:ascii="Times New Roman" w:hAnsi="Times New Roman"/>
                <w:sz w:val="24"/>
                <w:szCs w:val="24"/>
              </w:rPr>
              <w:t>lub obowiązek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 nauki (licea ogólnokształcące dla dorosłych, szkoły policealne, w tym </w:t>
            </w:r>
            <w:r w:rsidR="004207BD">
              <w:rPr>
                <w:rFonts w:ascii="Times New Roman" w:hAnsi="Times New Roman"/>
                <w:sz w:val="24"/>
                <w:szCs w:val="24"/>
              </w:rPr>
              <w:t xml:space="preserve">kształcące w formie 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>dzienne</w:t>
            </w:r>
            <w:r w:rsidR="004207BD">
              <w:rPr>
                <w:rFonts w:ascii="Times New Roman" w:hAnsi="Times New Roman"/>
                <w:sz w:val="24"/>
                <w:szCs w:val="24"/>
              </w:rPr>
              <w:t>j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, oraz kwalifikacyjne kursy zawodowe). Zmiana polega na wyłączeniu uczniów </w:t>
            </w:r>
            <w:r w:rsidR="004207BD">
              <w:rPr>
                <w:rFonts w:ascii="Times New Roman" w:hAnsi="Times New Roman"/>
                <w:sz w:val="24"/>
                <w:szCs w:val="24"/>
              </w:rPr>
              <w:t>liceów ogólnokształc</w:t>
            </w:r>
            <w:r w:rsidR="00B33865">
              <w:rPr>
                <w:rFonts w:ascii="Times New Roman" w:hAnsi="Times New Roman"/>
                <w:sz w:val="24"/>
                <w:szCs w:val="24"/>
              </w:rPr>
              <w:t>ą</w:t>
            </w:r>
            <w:r w:rsidR="004207BD">
              <w:rPr>
                <w:rFonts w:ascii="Times New Roman" w:hAnsi="Times New Roman"/>
                <w:sz w:val="24"/>
                <w:szCs w:val="24"/>
              </w:rPr>
              <w:t>cych d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la dorosłych i </w:t>
            </w:r>
            <w:r w:rsidR="00B33865">
              <w:rPr>
                <w:rFonts w:ascii="Times New Roman" w:hAnsi="Times New Roman"/>
                <w:sz w:val="24"/>
                <w:szCs w:val="24"/>
              </w:rPr>
              <w:t xml:space="preserve">szkół 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>policealnych z dotychczasowej wagi P</w:t>
            </w:r>
            <w:r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 = 0,082 oraz podwyższeniu wagi P</w:t>
            </w:r>
            <w:r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 z wartości 0,165 do wartości 0,</w:t>
            </w:r>
            <w:r w:rsidR="008C1A76">
              <w:rPr>
                <w:rFonts w:ascii="Times New Roman" w:hAnsi="Times New Roman"/>
                <w:sz w:val="24"/>
                <w:szCs w:val="24"/>
              </w:rPr>
              <w:t>36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>. Ponadto podwyższono wskaźniki w części SOA dla niepublicznych liceów ogólnokształcących kształcących w formie zaocznej S</w:t>
            </w:r>
            <w:r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h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 z 0,1 na 0,14. W przypadku niepublicznych szkół policealnych kształcących w formie zaocznej zwiększono wskaźnik S</w:t>
            </w:r>
            <w:r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g 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>z 0,06 na 0,08 natomiast dla słuchaczy kwalifikacyjnych kursów zawodowych obniżono wagę P</w:t>
            </w:r>
            <w:r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44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 z wartości 0,51 na 0,4</w:t>
            </w:r>
            <w:r w:rsidR="00672E3C" w:rsidRPr="00207184">
              <w:rPr>
                <w:rFonts w:ascii="Times New Roman" w:hAnsi="Times New Roman"/>
                <w:sz w:val="24"/>
                <w:szCs w:val="24"/>
              </w:rPr>
              <w:t>.</w:t>
            </w:r>
            <w:r w:rsidR="00672E3C">
              <w:rPr>
                <w:rFonts w:ascii="Times New Roman" w:hAnsi="Times New Roman"/>
                <w:sz w:val="24"/>
                <w:szCs w:val="24"/>
              </w:rPr>
              <w:t xml:space="preserve"> Z szacunków wynika</w:t>
            </w:r>
            <w:r w:rsidR="001F437C">
              <w:rPr>
                <w:rFonts w:ascii="Times New Roman" w:hAnsi="Times New Roman"/>
                <w:sz w:val="24"/>
                <w:szCs w:val="24"/>
              </w:rPr>
              <w:t>,</w:t>
            </w:r>
            <w:r w:rsidR="00672E3C">
              <w:rPr>
                <w:rFonts w:ascii="Times New Roman" w:hAnsi="Times New Roman"/>
                <w:sz w:val="24"/>
                <w:szCs w:val="24"/>
              </w:rPr>
              <w:t xml:space="preserve"> że zmiany te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(bilans zmian polegających na wyłączeniu pewnych grup uczniów z wagi P</w:t>
            </w:r>
            <w:r w:rsidR="001F437C"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podwyższenia wskaźników w SOA , obniżenia wagi P</w:t>
            </w:r>
            <w:r w:rsidR="001F437C"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44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i podwyższenia wagi P</w:t>
            </w:r>
            <w:r w:rsidR="001F437C"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="001F437C">
              <w:rPr>
                <w:rFonts w:ascii="Times New Roman" w:hAnsi="Times New Roman"/>
                <w:sz w:val="24"/>
                <w:szCs w:val="24"/>
              </w:rPr>
              <w:t>)</w:t>
            </w:r>
            <w:r w:rsidR="00672E3C">
              <w:rPr>
                <w:rFonts w:ascii="Times New Roman" w:hAnsi="Times New Roman"/>
                <w:sz w:val="24"/>
                <w:szCs w:val="24"/>
              </w:rPr>
              <w:t xml:space="preserve"> spowod</w:t>
            </w:r>
            <w:r w:rsidR="00AD39C9">
              <w:rPr>
                <w:rFonts w:ascii="Times New Roman" w:hAnsi="Times New Roman"/>
                <w:sz w:val="24"/>
                <w:szCs w:val="24"/>
              </w:rPr>
              <w:t>ują oszczędności w początkowym okresie (ok. 78 mln zł.), natomiast wraz z poprawą zdawalności rozwiązanie to będzie powodować zwiększenie subwencji naliczanej na uczniów tych szkół w stosunku do dotychczasowych zasad.</w:t>
            </w:r>
            <w:r w:rsidR="0067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37C">
              <w:rPr>
                <w:rFonts w:ascii="Times New Roman" w:hAnsi="Times New Roman"/>
                <w:sz w:val="24"/>
                <w:szCs w:val="24"/>
              </w:rPr>
              <w:t>Zmiana obejmie ok</w:t>
            </w:r>
            <w:r w:rsidR="008F7AEA">
              <w:rPr>
                <w:rFonts w:ascii="Times New Roman" w:hAnsi="Times New Roman"/>
                <w:sz w:val="24"/>
                <w:szCs w:val="24"/>
              </w:rPr>
              <w:t>.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AEA">
              <w:rPr>
                <w:rFonts w:ascii="Times New Roman" w:hAnsi="Times New Roman"/>
                <w:sz w:val="24"/>
                <w:szCs w:val="24"/>
              </w:rPr>
              <w:t>98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tys</w:t>
            </w:r>
            <w:r w:rsidR="00CC7C58">
              <w:rPr>
                <w:rFonts w:ascii="Times New Roman" w:hAnsi="Times New Roman"/>
                <w:sz w:val="24"/>
                <w:szCs w:val="24"/>
              </w:rPr>
              <w:t>.</w:t>
            </w:r>
            <w:r w:rsidR="001F437C">
              <w:rPr>
                <w:rFonts w:ascii="Times New Roman" w:hAnsi="Times New Roman"/>
                <w:sz w:val="24"/>
                <w:szCs w:val="24"/>
              </w:rPr>
              <w:t xml:space="preserve"> uczniów i słuchaczy</w:t>
            </w:r>
            <w:r w:rsidR="008F7AEA">
              <w:rPr>
                <w:rFonts w:ascii="Times New Roman" w:hAnsi="Times New Roman"/>
                <w:sz w:val="24"/>
                <w:szCs w:val="24"/>
              </w:rPr>
              <w:t xml:space="preserve"> liceów ogólnokształcących dla dorosłych, 190 tys. uczniów i słuchaczy szkół policealnych</w:t>
            </w:r>
            <w:r w:rsidR="00CC7C58">
              <w:rPr>
                <w:rFonts w:ascii="Times New Roman" w:hAnsi="Times New Roman"/>
                <w:sz w:val="24"/>
                <w:szCs w:val="24"/>
              </w:rPr>
              <w:t xml:space="preserve"> oraz 38 tys. słuchaczy KKZ.</w:t>
            </w:r>
            <w:r w:rsidR="00885066">
              <w:rPr>
                <w:rFonts w:ascii="Times New Roman" w:hAnsi="Times New Roman"/>
                <w:sz w:val="24"/>
                <w:szCs w:val="24"/>
              </w:rPr>
              <w:t xml:space="preserve"> Łącznie w szkołach policealnych i liceach dla dorosłych wykazano 288 tys. słuchaczy z tego 2</w:t>
            </w:r>
            <w:r w:rsidR="004526E7">
              <w:rPr>
                <w:rFonts w:ascii="Times New Roman" w:hAnsi="Times New Roman"/>
                <w:sz w:val="24"/>
                <w:szCs w:val="24"/>
              </w:rPr>
              <w:t>46</w:t>
            </w:r>
            <w:r w:rsidR="00885066">
              <w:rPr>
                <w:rFonts w:ascii="Times New Roman" w:hAnsi="Times New Roman"/>
                <w:sz w:val="24"/>
                <w:szCs w:val="24"/>
              </w:rPr>
              <w:t xml:space="preserve"> tys. to słuchacze szkół </w:t>
            </w:r>
            <w:r w:rsidR="004526E7">
              <w:rPr>
                <w:rFonts w:ascii="Times New Roman" w:hAnsi="Times New Roman"/>
                <w:sz w:val="24"/>
                <w:szCs w:val="24"/>
              </w:rPr>
              <w:t>niesamorządowych</w:t>
            </w:r>
            <w:r w:rsidR="00885066">
              <w:rPr>
                <w:rFonts w:ascii="Times New Roman" w:hAnsi="Times New Roman"/>
                <w:sz w:val="24"/>
                <w:szCs w:val="24"/>
              </w:rPr>
              <w:t xml:space="preserve"> co stanowi 8</w:t>
            </w:r>
            <w:r w:rsidR="004526E7">
              <w:rPr>
                <w:rFonts w:ascii="Times New Roman" w:hAnsi="Times New Roman"/>
                <w:sz w:val="24"/>
                <w:szCs w:val="24"/>
              </w:rPr>
              <w:t>5</w:t>
            </w:r>
            <w:r w:rsidR="00885066">
              <w:rPr>
                <w:rFonts w:ascii="Times New Roman" w:hAnsi="Times New Roman"/>
                <w:sz w:val="24"/>
                <w:szCs w:val="24"/>
              </w:rPr>
              <w:t>%</w:t>
            </w:r>
            <w:r w:rsidR="00452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9DFB98" w14:textId="455D2D4B" w:rsidR="00CC7C58" w:rsidRPr="00207184" w:rsidRDefault="00CC7C58" w:rsidP="00207184">
            <w:pPr>
              <w:pStyle w:val="Akapitzlist"/>
              <w:numPr>
                <w:ilvl w:val="1"/>
                <w:numId w:val="53"/>
              </w:numPr>
              <w:tabs>
                <w:tab w:val="clear" w:pos="927"/>
                <w:tab w:val="num" w:pos="1082"/>
              </w:tabs>
              <w:spacing w:before="120" w:after="120" w:line="240" w:lineRule="auto"/>
              <w:ind w:left="1082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68">
              <w:rPr>
                <w:rFonts w:ascii="Times New Roman" w:hAnsi="Times New Roman"/>
                <w:sz w:val="24"/>
                <w:szCs w:val="24"/>
              </w:rPr>
              <w:t>Zmiany sposo</w:t>
            </w:r>
            <w:r w:rsidR="001F437C" w:rsidRPr="0020718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F437C" w:rsidRPr="00207184">
              <w:rPr>
                <w:rFonts w:ascii="Times New Roman" w:hAnsi="Times New Roman"/>
                <w:sz w:val="24"/>
                <w:szCs w:val="24"/>
              </w:rPr>
              <w:t xml:space="preserve"> naliczania niektórych wag do algorytmu podziału subwencji</w:t>
            </w:r>
            <w:r w:rsidRPr="000E0368">
              <w:rPr>
                <w:rFonts w:ascii="Times New Roman" w:hAnsi="Times New Roman"/>
                <w:sz w:val="24"/>
                <w:szCs w:val="24"/>
              </w:rPr>
              <w:t xml:space="preserve"> dotyczące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37C" w:rsidRPr="00207184">
              <w:rPr>
                <w:rFonts w:ascii="Times New Roman" w:hAnsi="Times New Roman"/>
                <w:sz w:val="24"/>
                <w:szCs w:val="24"/>
              </w:rPr>
              <w:t xml:space="preserve">szkół w podmiotach leczniczych, domów wczasów dziecięcych, internatów i burs, szkolnych schronisk młodzieżowych </w:t>
            </w:r>
            <w:r>
              <w:rPr>
                <w:rFonts w:ascii="Times New Roman" w:hAnsi="Times New Roman"/>
                <w:sz w:val="24"/>
                <w:szCs w:val="24"/>
              </w:rPr>
              <w:t>zostały zaprojektowane w taki sposób</w:t>
            </w:r>
            <w:r w:rsidR="007A5F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 xml:space="preserve">aby pozostać na zbliżonym poziomie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finansowania </w:t>
            </w:r>
            <w:r w:rsidRPr="00207184">
              <w:rPr>
                <w:rFonts w:ascii="Times New Roman" w:hAnsi="Times New Roman"/>
                <w:sz w:val="24"/>
                <w:szCs w:val="24"/>
              </w:rPr>
              <w:t>w stosunku do roku ubiegłego.</w:t>
            </w:r>
          </w:p>
          <w:p w14:paraId="25E01ECD" w14:textId="30985B42" w:rsidR="00672E3C" w:rsidRDefault="009D586B" w:rsidP="009D586B">
            <w:pPr>
              <w:pStyle w:val="Akapitzlist"/>
              <w:numPr>
                <w:ilvl w:val="1"/>
                <w:numId w:val="53"/>
              </w:numPr>
              <w:tabs>
                <w:tab w:val="clear" w:pos="927"/>
                <w:tab w:val="num" w:pos="1082"/>
              </w:tabs>
              <w:spacing w:before="120" w:after="120" w:line="240" w:lineRule="auto"/>
              <w:ind w:left="1082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Zmieniono </w:t>
            </w:r>
            <w:r w:rsidR="007A5FE2">
              <w:rPr>
                <w:rFonts w:ascii="Times New Roman" w:hAnsi="Times New Roman"/>
                <w:sz w:val="24"/>
                <w:szCs w:val="24"/>
              </w:rPr>
              <w:t>sposób wyliczania wychowanków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domów wczasów dziecięcych</w:t>
            </w:r>
            <w:r w:rsidR="00D21B0C">
              <w:rPr>
                <w:rFonts w:ascii="Times New Roman" w:hAnsi="Times New Roman"/>
                <w:sz w:val="24"/>
                <w:szCs w:val="24"/>
              </w:rPr>
              <w:t xml:space="preserve"> wskazując, iż przy ich wyliczaniu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B0C">
              <w:rPr>
                <w:rFonts w:ascii="Times New Roman" w:hAnsi="Times New Roman"/>
                <w:sz w:val="24"/>
                <w:szCs w:val="24"/>
              </w:rPr>
              <w:t xml:space="preserve">liczbę dób </w:t>
            </w:r>
            <w:r>
              <w:rPr>
                <w:rFonts w:ascii="Times New Roman" w:hAnsi="Times New Roman"/>
                <w:sz w:val="24"/>
                <w:szCs w:val="24"/>
              </w:rPr>
              <w:t>pomniejsz</w:t>
            </w:r>
            <w:r w:rsidR="00D21B0C">
              <w:rPr>
                <w:rFonts w:ascii="Times New Roman" w:hAnsi="Times New Roman"/>
                <w:sz w:val="24"/>
                <w:szCs w:val="24"/>
              </w:rPr>
              <w:t>a się o jedn</w:t>
            </w:r>
            <w:r w:rsidR="005A46D4">
              <w:rPr>
                <w:rFonts w:ascii="Times New Roman" w:hAnsi="Times New Roman"/>
                <w:sz w:val="24"/>
                <w:szCs w:val="24"/>
              </w:rPr>
              <w:t>ą</w:t>
            </w:r>
            <w:r w:rsidR="00D21B0C">
              <w:rPr>
                <w:rFonts w:ascii="Times New Roman" w:hAnsi="Times New Roman"/>
                <w:sz w:val="24"/>
                <w:szCs w:val="24"/>
              </w:rPr>
              <w:t xml:space="preserve"> dobę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pobytu każdego wychowanka. Zmiana spowoduje </w:t>
            </w:r>
            <w:r w:rsidR="001F437C">
              <w:rPr>
                <w:rFonts w:ascii="Times New Roman" w:hAnsi="Times New Roman"/>
                <w:sz w:val="24"/>
                <w:szCs w:val="24"/>
              </w:rPr>
              <w:t>obniżenie subwencji na ten cel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ok. 20 tys. zł.</w:t>
            </w:r>
            <w:r w:rsidR="00A400F0">
              <w:rPr>
                <w:rFonts w:ascii="Times New Roman" w:hAnsi="Times New Roman"/>
                <w:sz w:val="24"/>
                <w:szCs w:val="24"/>
              </w:rPr>
              <w:t xml:space="preserve"> Wag</w:t>
            </w:r>
            <w:r w:rsidR="002F6538">
              <w:rPr>
                <w:rFonts w:ascii="Times New Roman" w:hAnsi="Times New Roman"/>
                <w:sz w:val="24"/>
                <w:szCs w:val="24"/>
              </w:rPr>
              <w:t>ą</w:t>
            </w:r>
            <w:r w:rsidR="00A400F0">
              <w:rPr>
                <w:rFonts w:ascii="Times New Roman" w:hAnsi="Times New Roman"/>
                <w:sz w:val="24"/>
                <w:szCs w:val="24"/>
              </w:rPr>
              <w:t xml:space="preserve"> objęto  10 73 wychowanków.</w:t>
            </w:r>
          </w:p>
          <w:p w14:paraId="68A4BFCE" w14:textId="5FF1AF84" w:rsidR="009D586B" w:rsidRDefault="00A400F0" w:rsidP="009D586B">
            <w:pPr>
              <w:pStyle w:val="Akapitzlist"/>
              <w:numPr>
                <w:ilvl w:val="1"/>
                <w:numId w:val="53"/>
              </w:numPr>
              <w:tabs>
                <w:tab w:val="clear" w:pos="927"/>
                <w:tab w:val="num" w:pos="1082"/>
              </w:tabs>
              <w:spacing w:before="120" w:after="120" w:line="240" w:lineRule="auto"/>
              <w:ind w:left="1082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Wagą P</w:t>
            </w:r>
            <w:r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uczniów oddziałów przygotowania </w:t>
            </w:r>
            <w:r w:rsidR="000E0368">
              <w:rPr>
                <w:rFonts w:ascii="Times New Roman" w:hAnsi="Times New Roman"/>
                <w:sz w:val="24"/>
                <w:szCs w:val="24"/>
              </w:rPr>
              <w:t>wojskowego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naliczono na 3,5 tys. uczniów </w:t>
            </w:r>
            <w:r w:rsidR="000E0368">
              <w:rPr>
                <w:rFonts w:ascii="Times New Roman" w:hAnsi="Times New Roman"/>
                <w:sz w:val="24"/>
                <w:szCs w:val="24"/>
              </w:rPr>
              <w:t>kwotę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subwencji ok</w:t>
            </w:r>
            <w:r w:rsidR="005A46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 mln zł. </w:t>
            </w:r>
            <w:r w:rsidR="000E0368">
              <w:rPr>
                <w:rFonts w:ascii="Times New Roman" w:hAnsi="Times New Roman"/>
                <w:sz w:val="24"/>
                <w:szCs w:val="24"/>
              </w:rPr>
              <w:t>Zmiany w zakresie</w:t>
            </w:r>
            <w:r w:rsidR="009D586B">
              <w:rPr>
                <w:rFonts w:ascii="Times New Roman" w:hAnsi="Times New Roman"/>
                <w:sz w:val="24"/>
                <w:szCs w:val="24"/>
              </w:rPr>
              <w:t xml:space="preserve"> finansowania uczniów oddziałów przygotowania wojskowego (waga P</w:t>
            </w:r>
            <w:r w:rsidR="009D586B" w:rsidRPr="00207184">
              <w:rPr>
                <w:rFonts w:ascii="Times New Roman" w:hAnsi="Times New Roman"/>
                <w:sz w:val="24"/>
                <w:szCs w:val="24"/>
                <w:vertAlign w:val="subscript"/>
              </w:rPr>
              <w:t>42</w:t>
            </w:r>
            <w:r w:rsidR="009D58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E0368">
              <w:rPr>
                <w:rFonts w:ascii="Times New Roman" w:hAnsi="Times New Roman"/>
                <w:sz w:val="24"/>
                <w:szCs w:val="24"/>
              </w:rPr>
              <w:t xml:space="preserve">polegały na </w:t>
            </w:r>
            <w:r w:rsidR="009D586B">
              <w:rPr>
                <w:rFonts w:ascii="Times New Roman" w:hAnsi="Times New Roman"/>
                <w:sz w:val="24"/>
                <w:szCs w:val="24"/>
              </w:rPr>
              <w:t>z</w:t>
            </w:r>
            <w:r w:rsidR="000E0368">
              <w:rPr>
                <w:rFonts w:ascii="Times New Roman" w:hAnsi="Times New Roman"/>
                <w:sz w:val="24"/>
                <w:szCs w:val="24"/>
              </w:rPr>
              <w:t>mianie</w:t>
            </w:r>
            <w:r w:rsidR="009D586B">
              <w:rPr>
                <w:rFonts w:ascii="Times New Roman" w:hAnsi="Times New Roman"/>
                <w:sz w:val="24"/>
                <w:szCs w:val="24"/>
              </w:rPr>
              <w:t xml:space="preserve"> wartości wagi 0,09 na 0,04</w:t>
            </w:r>
            <w:r w:rsidR="000E0368">
              <w:rPr>
                <w:rFonts w:ascii="Times New Roman" w:hAnsi="Times New Roman"/>
                <w:sz w:val="24"/>
                <w:szCs w:val="24"/>
              </w:rPr>
              <w:t xml:space="preserve"> oraz zwiększeniu l</w:t>
            </w:r>
            <w:r w:rsidR="009D586B">
              <w:rPr>
                <w:rFonts w:ascii="Times New Roman" w:hAnsi="Times New Roman"/>
                <w:sz w:val="24"/>
                <w:szCs w:val="24"/>
              </w:rPr>
              <w:t>iczb</w:t>
            </w:r>
            <w:r w:rsidR="000E0368">
              <w:rPr>
                <w:rFonts w:ascii="Times New Roman" w:hAnsi="Times New Roman"/>
                <w:sz w:val="24"/>
                <w:szCs w:val="24"/>
              </w:rPr>
              <w:t>y</w:t>
            </w:r>
            <w:r w:rsidR="009D586B">
              <w:rPr>
                <w:rFonts w:ascii="Times New Roman" w:hAnsi="Times New Roman"/>
                <w:sz w:val="24"/>
                <w:szCs w:val="24"/>
              </w:rPr>
              <w:t xml:space="preserve"> uczniów wykazanych w przedmiotowych oddziałach wykazanych na dzień 30 września 2020 r. o 33%.</w:t>
            </w:r>
          </w:p>
          <w:p w14:paraId="3F7987D5" w14:textId="37BC02CF" w:rsidR="00A76742" w:rsidRPr="003802B1" w:rsidRDefault="00A76742" w:rsidP="0020718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1D0DE444" w14:textId="0398AC8B" w:rsidR="00D13938" w:rsidRPr="003F0ED3" w:rsidRDefault="00D13938" w:rsidP="00D1393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podstawie danych statystycznych o liczbie uczniów</w:t>
            </w:r>
            <w:r w:rsidR="004E49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słuchaczy i 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wychowanków oraz etatów nauczycieli przyjętych do naliczenia jednostkom samorządu terytorialnego wstępnych kwot części oświatow</w:t>
            </w:r>
            <w:r w:rsidR="00DA01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ej subwencji ogólnej na rok </w:t>
            </w:r>
            <w:r w:rsidR="00EB40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szacuje się, że podział kwoty </w:t>
            </w:r>
            <w:r w:rsidR="00EB40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51.833,52</w:t>
            </w:r>
            <w:r w:rsidR="00217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mln 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zł</w:t>
            </w:r>
            <w:r w:rsidRPr="003F0ED3" w:rsidDel="00683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podziale na poszczególne rodzaje jednostek samorządu terytorialnego ukształtuje się następująco:</w:t>
            </w:r>
          </w:p>
          <w:p w14:paraId="05505032" w14:textId="391BAB0D" w:rsidR="00D13938" w:rsidRPr="00FD2857" w:rsidRDefault="00D13938" w:rsidP="00FD2857">
            <w:pPr>
              <w:numPr>
                <w:ilvl w:val="0"/>
                <w:numId w:val="57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gminy 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31.</w:t>
            </w:r>
            <w:r w:rsidR="00EB40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778,74</w:t>
            </w:r>
            <w:r w:rsidR="001E1DC1"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 zł (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61,3</w:t>
            </w: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%),</w:t>
            </w:r>
            <w:r w:rsidR="00121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2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tym miasta na prawach powiatu w zakresie zadań gminy – </w:t>
            </w:r>
            <w:r w:rsidR="00EB4018" w:rsidRPr="00FD2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8.626,41</w:t>
            </w:r>
            <w:r w:rsidRPr="00FD2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mln zł</w:t>
            </w:r>
            <w:r w:rsidR="00121F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AB461AA" w14:textId="17B8B0BC" w:rsidR="00D13938" w:rsidRPr="00FD2857" w:rsidRDefault="00D13938" w:rsidP="00FD2857">
            <w:pPr>
              <w:numPr>
                <w:ilvl w:val="0"/>
                <w:numId w:val="57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powiaty </w:t>
            </w:r>
            <w:r w:rsidR="00031AB6"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EB40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19.404,80</w:t>
            </w: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mln zł  (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37,4</w:t>
            </w:r>
            <w:r w:rsidRPr="00121F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%),</w:t>
            </w:r>
            <w:r w:rsidR="00121F07" w:rsidRPr="00FD2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2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tym miasta na prawach powiatu w zakresie zadań powiatu – </w:t>
            </w:r>
            <w:r w:rsidR="00EB4018" w:rsidRPr="00FD2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9.201,39</w:t>
            </w:r>
            <w:r w:rsidRPr="00FD28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mln zł</w:t>
            </w:r>
            <w:r w:rsidR="00121F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513673D" w14:textId="5680F4DB" w:rsidR="00D13938" w:rsidRPr="00D63F9C" w:rsidRDefault="00031AB6" w:rsidP="00D339AE">
            <w:pPr>
              <w:numPr>
                <w:ilvl w:val="0"/>
                <w:numId w:val="57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województwa – 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649</w:t>
            </w:r>
            <w:r w:rsidR="00EB40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,98</w:t>
            </w:r>
            <w:r w:rsidR="00D13938"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mln zł  (1,</w:t>
            </w: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="00D13938"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%).</w:t>
            </w:r>
          </w:p>
          <w:p w14:paraId="6B44B65B" w14:textId="5DEB1BCA" w:rsidR="00D13938" w:rsidRPr="00025314" w:rsidRDefault="00D13938" w:rsidP="004D7A0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Powyższe szacunki mogą ulec zmianie w przypadku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korekty danych o liczbie uczniów</w:t>
            </w:r>
            <w:r w:rsidR="004E49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słuchaczy i 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wychowanków oraz liczbie etatów nauczycieli na poszczególnych stopniach awansu zawodowego w roku szkolnym 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  <w:r w:rsidR="008F70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wykazanych w </w:t>
            </w:r>
            <w:r w:rsidR="004D7A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ystemie </w:t>
            </w:r>
            <w:r w:rsidR="004D7A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nformacji oświatowej (w</w:t>
            </w:r>
            <w:r w:rsidR="000A22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edłu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 stanu na </w:t>
            </w:r>
            <w:r w:rsidR="000A22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30 września 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oraz </w:t>
            </w:r>
            <w:r w:rsidR="000A22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="00BE5B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  <w:r w:rsidR="00780C48"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października </w:t>
            </w:r>
            <w:r w:rsidR="001730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  <w:r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r.).</w:t>
            </w:r>
          </w:p>
        </w:tc>
      </w:tr>
      <w:tr w:rsidR="00D13938" w:rsidRPr="00025314" w14:paraId="4326EA4B" w14:textId="77777777" w:rsidTr="00BD4F3B">
        <w:trPr>
          <w:trHeight w:val="345"/>
        </w:trPr>
        <w:tc>
          <w:tcPr>
            <w:tcW w:w="10947" w:type="dxa"/>
            <w:gridSpan w:val="29"/>
            <w:shd w:val="clear" w:color="auto" w:fill="99CCFF"/>
          </w:tcPr>
          <w:p w14:paraId="214A86ED" w14:textId="109A4120" w:rsidR="00D13938" w:rsidRPr="00025314" w:rsidRDefault="00D13938" w:rsidP="00D1393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14:paraId="11DD636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46F721ED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14:paraId="741740CC" w14:textId="77777777" w:rsidTr="00BD4F3B">
        <w:trPr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753B4C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E8E0F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0AE95A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6ED2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E4A14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C0BC570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A20658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4DA41B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025314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D13938" w:rsidRPr="00025314" w14:paraId="305C5CB3" w14:textId="77777777" w:rsidTr="00BD4F3B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3B1DCB1F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106253B" w14:textId="77777777" w:rsidR="00D13938" w:rsidRPr="00025314" w:rsidRDefault="00D13938" w:rsidP="00D1393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3CEE80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13A92D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C46CA4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2C9F5A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E10F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D18F4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69C08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BBA9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A01C1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06FC283A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625CFC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24627E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9919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819C8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5DF8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19C95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4D9C7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078723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7C2CB3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E08F093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29FE1C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1AA49B2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E112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0911D2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179BD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6C320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B2CB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43C83F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09F659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17EDD2E2" w14:textId="77777777" w:rsidTr="00BD4F3B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4802236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1513E9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3800F61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673F30F5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9BFEB9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72BEB2C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18DCBCA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6F2E2154" w14:textId="77777777" w:rsidTr="00BD4F3B">
        <w:trPr>
          <w:trHeight w:val="596"/>
        </w:trPr>
        <w:tc>
          <w:tcPr>
            <w:tcW w:w="1702" w:type="dxa"/>
            <w:vMerge/>
            <w:shd w:val="clear" w:color="auto" w:fill="FFFFFF"/>
          </w:tcPr>
          <w:p w14:paraId="7E46075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5F9544E3" w14:textId="77777777" w:rsidR="00D13938" w:rsidRPr="00025314" w:rsidRDefault="00D13938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7C80AB0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2B77FFCD" w14:textId="77777777" w:rsidTr="00BD4F3B">
        <w:trPr>
          <w:trHeight w:val="1181"/>
        </w:trPr>
        <w:tc>
          <w:tcPr>
            <w:tcW w:w="2240" w:type="dxa"/>
            <w:gridSpan w:val="2"/>
            <w:shd w:val="clear" w:color="auto" w:fill="FFFFFF"/>
          </w:tcPr>
          <w:p w14:paraId="57C182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4C41A204" w14:textId="531B52B5" w:rsidR="00D13938" w:rsidRPr="00025314" w:rsidRDefault="00405D4C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nie będą mieć wpływu na sytuację ekonomiczną i społeczną rodziny, a także osób niepełnosprawnych oraz osób starszych.</w:t>
            </w:r>
          </w:p>
          <w:p w14:paraId="0CF1583C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D2B50A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660869CD" w14:textId="77777777" w:rsidTr="00BD4F3B">
        <w:trPr>
          <w:trHeight w:val="3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359D13AB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D13938" w:rsidRPr="00025314" w14:paraId="1BFD1B20" w14:textId="77777777" w:rsidTr="00BD4F3B">
        <w:trPr>
          <w:trHeight w:val="151"/>
        </w:trPr>
        <w:tc>
          <w:tcPr>
            <w:tcW w:w="10947" w:type="dxa"/>
            <w:gridSpan w:val="29"/>
            <w:shd w:val="clear" w:color="auto" w:fill="FFFFFF"/>
          </w:tcPr>
          <w:p w14:paraId="6BCFBFC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D13938" w:rsidRPr="00025314" w14:paraId="4F6697E1" w14:textId="77777777" w:rsidTr="00BD4F3B">
        <w:trPr>
          <w:trHeight w:val="946"/>
        </w:trPr>
        <w:tc>
          <w:tcPr>
            <w:tcW w:w="5108" w:type="dxa"/>
            <w:gridSpan w:val="12"/>
            <w:shd w:val="clear" w:color="auto" w:fill="FFFFFF"/>
          </w:tcPr>
          <w:p w14:paraId="58064868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041496F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24EFA19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81742B3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D13938" w:rsidRPr="00025314" w14:paraId="52D3CFF9" w14:textId="77777777" w:rsidTr="00BD4F3B">
        <w:trPr>
          <w:trHeight w:val="1245"/>
        </w:trPr>
        <w:tc>
          <w:tcPr>
            <w:tcW w:w="5108" w:type="dxa"/>
            <w:gridSpan w:val="12"/>
            <w:shd w:val="clear" w:color="auto" w:fill="FFFFFF"/>
          </w:tcPr>
          <w:p w14:paraId="2DDD7E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253EBD0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72E7456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2D5D9A24" w14:textId="77777777" w:rsidR="00D13938" w:rsidRPr="00025314" w:rsidRDefault="00D13938" w:rsidP="00D13938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7AEF335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59074E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1E1B1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5A518E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D18B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1A6F696C" w14:textId="77777777" w:rsidTr="00BD4F3B">
        <w:trPr>
          <w:trHeight w:val="870"/>
        </w:trPr>
        <w:tc>
          <w:tcPr>
            <w:tcW w:w="5108" w:type="dxa"/>
            <w:gridSpan w:val="12"/>
            <w:shd w:val="clear" w:color="auto" w:fill="FFFFFF"/>
          </w:tcPr>
          <w:p w14:paraId="22DE72E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4AE9D9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08380A0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68E6A8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73DA58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18A0923D" w14:textId="77777777" w:rsidTr="00BD4F3B">
        <w:trPr>
          <w:trHeight w:val="333"/>
        </w:trPr>
        <w:tc>
          <w:tcPr>
            <w:tcW w:w="10947" w:type="dxa"/>
            <w:gridSpan w:val="29"/>
            <w:shd w:val="clear" w:color="auto" w:fill="FFFFFF"/>
          </w:tcPr>
          <w:p w14:paraId="3F2C114D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</w:tc>
      </w:tr>
      <w:tr w:rsidR="00D13938" w:rsidRPr="00025314" w14:paraId="0139AC1D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316EAC6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D13938" w:rsidRPr="00025314" w14:paraId="297DABAE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151C84B" w14:textId="2EDA186A" w:rsidR="00D13938" w:rsidRPr="00025314" w:rsidRDefault="000E036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14:paraId="2DCFB17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55300229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D13938" w:rsidRPr="00025314" w14:paraId="386EAAC0" w14:textId="77777777" w:rsidTr="00BD4F3B">
        <w:trPr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13D8028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E5451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5698539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CCC296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F5CB12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0403A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3F0BD34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16" w:type="dxa"/>
            <w:gridSpan w:val="9"/>
            <w:shd w:val="clear" w:color="auto" w:fill="FFFFFF"/>
          </w:tcPr>
          <w:p w14:paraId="43B580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6AE5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0C5BCA5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4215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D13938" w:rsidRPr="00025314" w14:paraId="38D54135" w14:textId="77777777" w:rsidTr="00BD4F3B">
        <w:trPr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89949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7B9B798E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69338F8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8FD49A7" w14:textId="51E44089" w:rsidR="00D13938" w:rsidRPr="00025314" w:rsidRDefault="00A611C9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17FF510E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133C3FC9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8334DCA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D13938" w:rsidRPr="00025314" w14:paraId="6EA70CE5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0967D019" w14:textId="1C4AEC73" w:rsidR="00D13938" w:rsidRPr="00025314" w:rsidRDefault="00D13938" w:rsidP="00FD2857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</w:t>
            </w:r>
            <w:r w:rsidR="008D5AB5">
              <w:rPr>
                <w:rFonts w:ascii="Times New Roman" w:hAnsi="Times New Roman"/>
                <w:sz w:val="24"/>
                <w:szCs w:val="24"/>
              </w:rPr>
              <w:t>roponuje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się, aby rozporządzeni</w:t>
            </w:r>
            <w:r w:rsidR="00FD2857">
              <w:rPr>
                <w:rFonts w:ascii="Times New Roman" w:hAnsi="Times New Roman"/>
                <w:sz w:val="24"/>
                <w:szCs w:val="24"/>
              </w:rPr>
              <w:t>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weszł</w:t>
            </w:r>
            <w:r w:rsidR="00FD2857">
              <w:rPr>
                <w:rFonts w:ascii="Times New Roman" w:hAnsi="Times New Roman"/>
                <w:sz w:val="24"/>
                <w:szCs w:val="24"/>
              </w:rPr>
              <w:t>o</w:t>
            </w:r>
            <w:r w:rsidR="00031AB6">
              <w:rPr>
                <w:rFonts w:ascii="Times New Roman" w:hAnsi="Times New Roman"/>
                <w:sz w:val="24"/>
                <w:szCs w:val="24"/>
              </w:rPr>
              <w:t xml:space="preserve"> w życie z dniem 1 stycznia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 r.</w:t>
            </w:r>
          </w:p>
        </w:tc>
      </w:tr>
      <w:tr w:rsidR="00D13938" w:rsidRPr="00025314" w14:paraId="297F3710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19A6A7C7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D13938" w:rsidRPr="00025314" w14:paraId="3CC9075E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10703C61" w14:textId="77777777" w:rsidR="00D13938" w:rsidRPr="00025314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Nie zakłada się przeprowadzania ewaluacji efektów projektu.</w:t>
            </w:r>
          </w:p>
        </w:tc>
      </w:tr>
      <w:tr w:rsidR="00D13938" w:rsidRPr="00025314" w14:paraId="4DB10D86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072C687C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D13938" w:rsidRPr="00A366F7" w14:paraId="4606E875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1C60BB87" w14:textId="77777777" w:rsidR="00D13938" w:rsidRPr="00A366F7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</w:tbl>
    <w:p w14:paraId="1210B61C" w14:textId="77777777"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725DE7">
      <w:footerReference w:type="default" r:id="rId8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15DC" w14:textId="77777777" w:rsidR="005A6602" w:rsidRDefault="005A6602" w:rsidP="00044739">
      <w:pPr>
        <w:spacing w:line="240" w:lineRule="auto"/>
      </w:pPr>
      <w:r>
        <w:separator/>
      </w:r>
    </w:p>
  </w:endnote>
  <w:endnote w:type="continuationSeparator" w:id="0">
    <w:p w14:paraId="793BD6E9" w14:textId="77777777" w:rsidR="005A6602" w:rsidRDefault="005A6602" w:rsidP="00044739">
      <w:pPr>
        <w:spacing w:line="240" w:lineRule="auto"/>
      </w:pPr>
      <w:r>
        <w:continuationSeparator/>
      </w:r>
    </w:p>
  </w:endnote>
  <w:endnote w:type="continuationNotice" w:id="1">
    <w:p w14:paraId="1CC67B8D" w14:textId="77777777" w:rsidR="005A6602" w:rsidRDefault="005A66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BB55" w14:textId="0364B6A5" w:rsidR="00402888" w:rsidRDefault="004028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215B">
      <w:rPr>
        <w:noProof/>
      </w:rPr>
      <w:t>1</w:t>
    </w:r>
    <w:r>
      <w:fldChar w:fldCharType="end"/>
    </w:r>
  </w:p>
  <w:p w14:paraId="20BDADE2" w14:textId="77777777" w:rsidR="00402888" w:rsidRDefault="00402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3EC3" w14:textId="77777777" w:rsidR="005A6602" w:rsidRDefault="005A6602" w:rsidP="00044739">
      <w:pPr>
        <w:spacing w:line="240" w:lineRule="auto"/>
      </w:pPr>
      <w:r>
        <w:separator/>
      </w:r>
    </w:p>
  </w:footnote>
  <w:footnote w:type="continuationSeparator" w:id="0">
    <w:p w14:paraId="2E591181" w14:textId="77777777" w:rsidR="005A6602" w:rsidRDefault="005A6602" w:rsidP="00044739">
      <w:pPr>
        <w:spacing w:line="240" w:lineRule="auto"/>
      </w:pPr>
      <w:r>
        <w:continuationSeparator/>
      </w:r>
    </w:p>
  </w:footnote>
  <w:footnote w:type="continuationNotice" w:id="1">
    <w:p w14:paraId="0E7BB8D8" w14:textId="77777777" w:rsidR="005A6602" w:rsidRDefault="005A6602">
      <w:pPr>
        <w:spacing w:line="240" w:lineRule="auto"/>
      </w:pPr>
    </w:p>
  </w:footnote>
  <w:footnote w:id="2">
    <w:p w14:paraId="68CD4C0F" w14:textId="6596FB8A" w:rsidR="0023285C" w:rsidRPr="0023285C" w:rsidRDefault="0023285C" w:rsidP="0023285C">
      <w:pPr>
        <w:pStyle w:val="Tekstprzypisudolnego"/>
        <w:spacing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3285C">
        <w:rPr>
          <w:rFonts w:ascii="Times New Roman" w:hAnsi="Times New Roman"/>
        </w:rPr>
        <w:t xml:space="preserve">Wskazana kwota uwzględnia środki w wysokości 50 mln zł ujęte w rezerwie celowej budżetu państwa na 2020 r. poz. 62 </w:t>
      </w:r>
      <w:r w:rsidRPr="0023285C">
        <w:rPr>
          <w:rFonts w:ascii="Times New Roman" w:hAnsi="Times New Roman"/>
          <w:i/>
          <w:iCs/>
        </w:rPr>
        <w:t>Środki na zwiększenie części oświatowej subwencji ogólnej z przeznaczeniem na zwiększenie rezerwy tej części w wysokości 50.000 tys. zł.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613"/>
    <w:multiLevelType w:val="hybridMultilevel"/>
    <w:tmpl w:val="292854E6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C034D8">
      <w:start w:val="1"/>
      <w:numFmt w:val="lowerLetter"/>
      <w:lvlText w:val="%2."/>
      <w:lvlJc w:val="left"/>
      <w:pPr>
        <w:ind w:left="1440" w:hanging="360"/>
      </w:pPr>
    </w:lvl>
    <w:lvl w:ilvl="2" w:tplc="A6442686" w:tentative="1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3E9"/>
    <w:multiLevelType w:val="hybridMultilevel"/>
    <w:tmpl w:val="A670A96A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FAE"/>
    <w:multiLevelType w:val="hybridMultilevel"/>
    <w:tmpl w:val="4C4E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810"/>
    <w:multiLevelType w:val="hybridMultilevel"/>
    <w:tmpl w:val="0A26AF7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F4140"/>
    <w:multiLevelType w:val="hybridMultilevel"/>
    <w:tmpl w:val="F876817E"/>
    <w:lvl w:ilvl="0" w:tplc="91086936">
      <w:start w:val="1"/>
      <w:numFmt w:val="bullet"/>
      <w:lvlText w:val="−"/>
      <w:lvlJc w:val="left"/>
      <w:pPr>
        <w:ind w:left="10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05CD3E38"/>
    <w:multiLevelType w:val="hybridMultilevel"/>
    <w:tmpl w:val="42A4F7D0"/>
    <w:lvl w:ilvl="0" w:tplc="4A9E0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D50A8"/>
    <w:multiLevelType w:val="hybridMultilevel"/>
    <w:tmpl w:val="2094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36C7F"/>
    <w:multiLevelType w:val="hybridMultilevel"/>
    <w:tmpl w:val="334084AE"/>
    <w:lvl w:ilvl="0" w:tplc="85DC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14AE7E5B"/>
    <w:multiLevelType w:val="hybridMultilevel"/>
    <w:tmpl w:val="CB16C6D0"/>
    <w:lvl w:ilvl="0" w:tplc="CB2C057C">
      <w:start w:val="1"/>
      <w:numFmt w:val="lowerLetter"/>
      <w:lvlText w:val="%1.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9B2721E"/>
    <w:multiLevelType w:val="hybridMultilevel"/>
    <w:tmpl w:val="976C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3483"/>
    <w:multiLevelType w:val="hybridMultilevel"/>
    <w:tmpl w:val="8106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23CD7"/>
    <w:multiLevelType w:val="multilevel"/>
    <w:tmpl w:val="BA16793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101C3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1786B"/>
    <w:multiLevelType w:val="hybridMultilevel"/>
    <w:tmpl w:val="F9A27F68"/>
    <w:lvl w:ilvl="0" w:tplc="6178D3A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16D178B"/>
    <w:multiLevelType w:val="hybridMultilevel"/>
    <w:tmpl w:val="A5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255B4E42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77BE1"/>
    <w:multiLevelType w:val="hybridMultilevel"/>
    <w:tmpl w:val="5C4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12901"/>
    <w:multiLevelType w:val="hybridMultilevel"/>
    <w:tmpl w:val="7A30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82E5C"/>
    <w:multiLevelType w:val="hybridMultilevel"/>
    <w:tmpl w:val="ED1E3E58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8952833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2C65F9A"/>
    <w:multiLevelType w:val="hybridMultilevel"/>
    <w:tmpl w:val="D510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27074"/>
    <w:multiLevelType w:val="hybridMultilevel"/>
    <w:tmpl w:val="A052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00918"/>
    <w:multiLevelType w:val="multilevel"/>
    <w:tmpl w:val="BCA49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022B36"/>
    <w:multiLevelType w:val="hybridMultilevel"/>
    <w:tmpl w:val="C5AE4608"/>
    <w:lvl w:ilvl="0" w:tplc="EF24D1A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7F4BF6"/>
    <w:multiLevelType w:val="hybridMultilevel"/>
    <w:tmpl w:val="AE4E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7" w15:restartNumberingAfterBreak="0">
    <w:nsid w:val="4D836C64"/>
    <w:multiLevelType w:val="hybridMultilevel"/>
    <w:tmpl w:val="01FE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681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A6F48"/>
    <w:multiLevelType w:val="hybridMultilevel"/>
    <w:tmpl w:val="C4D82C84"/>
    <w:lvl w:ilvl="0" w:tplc="0A98E7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507694">
      <w:start w:val="1"/>
      <w:numFmt w:val="lowerLetter"/>
      <w:lvlText w:val="%2."/>
      <w:lvlJc w:val="left"/>
      <w:pPr>
        <w:ind w:left="1440" w:hanging="360"/>
      </w:pPr>
    </w:lvl>
    <w:lvl w:ilvl="2" w:tplc="822C4C72" w:tentative="1">
      <w:start w:val="1"/>
      <w:numFmt w:val="lowerRoman"/>
      <w:lvlText w:val="%3."/>
      <w:lvlJc w:val="right"/>
      <w:pPr>
        <w:ind w:left="2160" w:hanging="180"/>
      </w:pPr>
    </w:lvl>
    <w:lvl w:ilvl="3" w:tplc="10608E28" w:tentative="1">
      <w:start w:val="1"/>
      <w:numFmt w:val="decimal"/>
      <w:lvlText w:val="%4."/>
      <w:lvlJc w:val="left"/>
      <w:pPr>
        <w:ind w:left="2880" w:hanging="360"/>
      </w:pPr>
    </w:lvl>
    <w:lvl w:ilvl="4" w:tplc="00063AF8" w:tentative="1">
      <w:start w:val="1"/>
      <w:numFmt w:val="lowerLetter"/>
      <w:lvlText w:val="%5."/>
      <w:lvlJc w:val="left"/>
      <w:pPr>
        <w:ind w:left="3600" w:hanging="360"/>
      </w:pPr>
    </w:lvl>
    <w:lvl w:ilvl="5" w:tplc="C63A5C68" w:tentative="1">
      <w:start w:val="1"/>
      <w:numFmt w:val="lowerRoman"/>
      <w:lvlText w:val="%6."/>
      <w:lvlJc w:val="right"/>
      <w:pPr>
        <w:ind w:left="4320" w:hanging="180"/>
      </w:pPr>
    </w:lvl>
    <w:lvl w:ilvl="6" w:tplc="937A5952" w:tentative="1">
      <w:start w:val="1"/>
      <w:numFmt w:val="decimal"/>
      <w:lvlText w:val="%7."/>
      <w:lvlJc w:val="left"/>
      <w:pPr>
        <w:ind w:left="5040" w:hanging="360"/>
      </w:pPr>
    </w:lvl>
    <w:lvl w:ilvl="7" w:tplc="1326FAC4" w:tentative="1">
      <w:start w:val="1"/>
      <w:numFmt w:val="lowerLetter"/>
      <w:lvlText w:val="%8."/>
      <w:lvlJc w:val="left"/>
      <w:pPr>
        <w:ind w:left="5760" w:hanging="360"/>
      </w:pPr>
    </w:lvl>
    <w:lvl w:ilvl="8" w:tplc="CA9C3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B6097"/>
    <w:multiLevelType w:val="multilevel"/>
    <w:tmpl w:val="F356EF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40515F9"/>
    <w:multiLevelType w:val="multilevel"/>
    <w:tmpl w:val="AF16742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221E82"/>
    <w:multiLevelType w:val="hybridMultilevel"/>
    <w:tmpl w:val="60AABA5E"/>
    <w:lvl w:ilvl="0" w:tplc="A91E6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337436B0">
      <w:start w:val="1"/>
      <w:numFmt w:val="decimal"/>
      <w:lvlText w:val="%4)"/>
      <w:lvlJc w:val="left"/>
      <w:pPr>
        <w:ind w:left="2620" w:hanging="100"/>
      </w:pPr>
      <w:rPr>
        <w:rFonts w:hint="default"/>
      </w:r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A803070"/>
    <w:multiLevelType w:val="hybridMultilevel"/>
    <w:tmpl w:val="FB5A6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9" w15:restartNumberingAfterBreak="0">
    <w:nsid w:val="66005C4B"/>
    <w:multiLevelType w:val="hybridMultilevel"/>
    <w:tmpl w:val="FD08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D51A0A"/>
    <w:multiLevelType w:val="hybridMultilevel"/>
    <w:tmpl w:val="2DE0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B9768A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414FE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4C2A31"/>
    <w:multiLevelType w:val="hybridMultilevel"/>
    <w:tmpl w:val="FE6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304217"/>
    <w:multiLevelType w:val="hybridMultilevel"/>
    <w:tmpl w:val="38C8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47"/>
  </w:num>
  <w:num w:numId="5">
    <w:abstractNumId w:val="7"/>
  </w:num>
  <w:num w:numId="6">
    <w:abstractNumId w:val="23"/>
  </w:num>
  <w:num w:numId="7">
    <w:abstractNumId w:val="33"/>
  </w:num>
  <w:num w:numId="8">
    <w:abstractNumId w:val="18"/>
  </w:num>
  <w:num w:numId="9">
    <w:abstractNumId w:val="40"/>
  </w:num>
  <w:num w:numId="10">
    <w:abstractNumId w:val="29"/>
  </w:num>
  <w:num w:numId="11">
    <w:abstractNumId w:val="36"/>
  </w:num>
  <w:num w:numId="12">
    <w:abstractNumId w:val="10"/>
  </w:num>
  <w:num w:numId="13">
    <w:abstractNumId w:val="28"/>
  </w:num>
  <w:num w:numId="14">
    <w:abstractNumId w:val="48"/>
  </w:num>
  <w:num w:numId="15">
    <w:abstractNumId w:val="43"/>
  </w:num>
  <w:num w:numId="16">
    <w:abstractNumId w:val="46"/>
  </w:num>
  <w:num w:numId="17">
    <w:abstractNumId w:val="20"/>
  </w:num>
  <w:num w:numId="18">
    <w:abstractNumId w:val="51"/>
  </w:num>
  <w:num w:numId="19">
    <w:abstractNumId w:val="55"/>
  </w:num>
  <w:num w:numId="20">
    <w:abstractNumId w:val="45"/>
  </w:num>
  <w:num w:numId="21">
    <w:abstractNumId w:val="21"/>
  </w:num>
  <w:num w:numId="22">
    <w:abstractNumId w:val="50"/>
  </w:num>
  <w:num w:numId="23">
    <w:abstractNumId w:val="24"/>
  </w:num>
  <w:num w:numId="24">
    <w:abstractNumId w:val="3"/>
  </w:num>
  <w:num w:numId="25">
    <w:abstractNumId w:val="35"/>
  </w:num>
  <w:num w:numId="26">
    <w:abstractNumId w:val="30"/>
  </w:num>
  <w:num w:numId="27">
    <w:abstractNumId w:val="6"/>
  </w:num>
  <w:num w:numId="28">
    <w:abstractNumId w:val="34"/>
  </w:num>
  <w:num w:numId="29">
    <w:abstractNumId w:val="41"/>
  </w:num>
  <w:num w:numId="30">
    <w:abstractNumId w:val="12"/>
  </w:num>
  <w:num w:numId="31">
    <w:abstractNumId w:val="19"/>
  </w:num>
  <w:num w:numId="32">
    <w:abstractNumId w:val="16"/>
  </w:num>
  <w:num w:numId="33">
    <w:abstractNumId w:val="44"/>
  </w:num>
  <w:num w:numId="34">
    <w:abstractNumId w:val="0"/>
  </w:num>
  <w:num w:numId="35">
    <w:abstractNumId w:val="27"/>
  </w:num>
  <w:num w:numId="36">
    <w:abstractNumId w:val="1"/>
  </w:num>
  <w:num w:numId="37">
    <w:abstractNumId w:val="42"/>
  </w:num>
  <w:num w:numId="38">
    <w:abstractNumId w:val="13"/>
  </w:num>
  <w:num w:numId="39">
    <w:abstractNumId w:val="25"/>
  </w:num>
  <w:num w:numId="40">
    <w:abstractNumId w:val="2"/>
  </w:num>
  <w:num w:numId="41">
    <w:abstractNumId w:val="56"/>
  </w:num>
  <w:num w:numId="42">
    <w:abstractNumId w:val="31"/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9"/>
  </w:num>
  <w:num w:numId="46">
    <w:abstractNumId w:val="52"/>
  </w:num>
  <w:num w:numId="47">
    <w:abstractNumId w:val="15"/>
  </w:num>
  <w:num w:numId="48">
    <w:abstractNumId w:val="8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38"/>
  </w:num>
  <w:num w:numId="52">
    <w:abstractNumId w:val="49"/>
  </w:num>
  <w:num w:numId="53">
    <w:abstractNumId w:val="53"/>
  </w:num>
  <w:num w:numId="54">
    <w:abstractNumId w:val="5"/>
  </w:num>
  <w:num w:numId="55">
    <w:abstractNumId w:val="14"/>
  </w:num>
  <w:num w:numId="56">
    <w:abstractNumId w:val="11"/>
  </w:num>
  <w:num w:numId="57">
    <w:abstractNumId w:val="22"/>
  </w:num>
  <w:num w:numId="58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37e603d-57d5-4b3c-a978-b329b8e69a8d"/>
    <w:docVar w:name="_AMO_XmlVersion" w:val="Empty"/>
  </w:docVars>
  <w:rsids>
    <w:rsidRoot w:val="007646CB"/>
    <w:rsid w:val="000008E5"/>
    <w:rsid w:val="000015EE"/>
    <w:rsid w:val="000022D5"/>
    <w:rsid w:val="00002C27"/>
    <w:rsid w:val="00004814"/>
    <w:rsid w:val="00004C6A"/>
    <w:rsid w:val="000050AD"/>
    <w:rsid w:val="00010C52"/>
    <w:rsid w:val="00012D11"/>
    <w:rsid w:val="00013EB5"/>
    <w:rsid w:val="000149EE"/>
    <w:rsid w:val="00015E2C"/>
    <w:rsid w:val="00016F0C"/>
    <w:rsid w:val="0002049C"/>
    <w:rsid w:val="00021F3C"/>
    <w:rsid w:val="00023836"/>
    <w:rsid w:val="00025314"/>
    <w:rsid w:val="00026603"/>
    <w:rsid w:val="00026A1A"/>
    <w:rsid w:val="0002715B"/>
    <w:rsid w:val="00031AB6"/>
    <w:rsid w:val="0003282D"/>
    <w:rsid w:val="000356A9"/>
    <w:rsid w:val="00040671"/>
    <w:rsid w:val="00044138"/>
    <w:rsid w:val="00044739"/>
    <w:rsid w:val="00051637"/>
    <w:rsid w:val="00054967"/>
    <w:rsid w:val="00056681"/>
    <w:rsid w:val="0005678E"/>
    <w:rsid w:val="00060F2A"/>
    <w:rsid w:val="000648A7"/>
    <w:rsid w:val="00065982"/>
    <w:rsid w:val="0006618B"/>
    <w:rsid w:val="000670C0"/>
    <w:rsid w:val="00071B99"/>
    <w:rsid w:val="000756E5"/>
    <w:rsid w:val="000769F1"/>
    <w:rsid w:val="0007704E"/>
    <w:rsid w:val="00077989"/>
    <w:rsid w:val="00080EC8"/>
    <w:rsid w:val="00081C5F"/>
    <w:rsid w:val="00087654"/>
    <w:rsid w:val="000923D1"/>
    <w:rsid w:val="00092E68"/>
    <w:rsid w:val="000944AC"/>
    <w:rsid w:val="00094CB9"/>
    <w:rsid w:val="000956B2"/>
    <w:rsid w:val="000969E7"/>
    <w:rsid w:val="000973D7"/>
    <w:rsid w:val="000A0D9D"/>
    <w:rsid w:val="000A2244"/>
    <w:rsid w:val="000A23DE"/>
    <w:rsid w:val="000A4020"/>
    <w:rsid w:val="000A52E3"/>
    <w:rsid w:val="000A6A48"/>
    <w:rsid w:val="000B0F75"/>
    <w:rsid w:val="000B262C"/>
    <w:rsid w:val="000B54FB"/>
    <w:rsid w:val="000B69DA"/>
    <w:rsid w:val="000C29B0"/>
    <w:rsid w:val="000C3BCF"/>
    <w:rsid w:val="000C3C51"/>
    <w:rsid w:val="000C578F"/>
    <w:rsid w:val="000C76FC"/>
    <w:rsid w:val="000D1474"/>
    <w:rsid w:val="000D38FC"/>
    <w:rsid w:val="000D3FB3"/>
    <w:rsid w:val="000D4D90"/>
    <w:rsid w:val="000D53F0"/>
    <w:rsid w:val="000D784D"/>
    <w:rsid w:val="000E0368"/>
    <w:rsid w:val="000E2D10"/>
    <w:rsid w:val="000E3934"/>
    <w:rsid w:val="000E3AD5"/>
    <w:rsid w:val="000E4324"/>
    <w:rsid w:val="000E57D1"/>
    <w:rsid w:val="000F2D30"/>
    <w:rsid w:val="000F3204"/>
    <w:rsid w:val="000F5879"/>
    <w:rsid w:val="000F7B07"/>
    <w:rsid w:val="00100608"/>
    <w:rsid w:val="0010167E"/>
    <w:rsid w:val="00101EE8"/>
    <w:rsid w:val="0010548B"/>
    <w:rsid w:val="001072D1"/>
    <w:rsid w:val="00112316"/>
    <w:rsid w:val="00113878"/>
    <w:rsid w:val="0011454C"/>
    <w:rsid w:val="00114890"/>
    <w:rsid w:val="0011494C"/>
    <w:rsid w:val="001165FB"/>
    <w:rsid w:val="001167D4"/>
    <w:rsid w:val="00117017"/>
    <w:rsid w:val="00121F07"/>
    <w:rsid w:val="001220B7"/>
    <w:rsid w:val="00123E09"/>
    <w:rsid w:val="00124049"/>
    <w:rsid w:val="00125D99"/>
    <w:rsid w:val="00130E8E"/>
    <w:rsid w:val="0013216E"/>
    <w:rsid w:val="0013242C"/>
    <w:rsid w:val="00132761"/>
    <w:rsid w:val="00132BBE"/>
    <w:rsid w:val="00135378"/>
    <w:rsid w:val="00137681"/>
    <w:rsid w:val="001401B5"/>
    <w:rsid w:val="001422B9"/>
    <w:rsid w:val="001446BF"/>
    <w:rsid w:val="00145781"/>
    <w:rsid w:val="00146157"/>
    <w:rsid w:val="0014665F"/>
    <w:rsid w:val="001472CF"/>
    <w:rsid w:val="001506EC"/>
    <w:rsid w:val="00150EDC"/>
    <w:rsid w:val="00153464"/>
    <w:rsid w:val="00154187"/>
    <w:rsid w:val="001541B3"/>
    <w:rsid w:val="00154A35"/>
    <w:rsid w:val="0015589E"/>
    <w:rsid w:val="00155B15"/>
    <w:rsid w:val="001608E0"/>
    <w:rsid w:val="00160F18"/>
    <w:rsid w:val="00161426"/>
    <w:rsid w:val="001625BE"/>
    <w:rsid w:val="001643A4"/>
    <w:rsid w:val="00166C9E"/>
    <w:rsid w:val="001727BB"/>
    <w:rsid w:val="001730A1"/>
    <w:rsid w:val="00174784"/>
    <w:rsid w:val="0017710A"/>
    <w:rsid w:val="00180D25"/>
    <w:rsid w:val="0018318D"/>
    <w:rsid w:val="0018572C"/>
    <w:rsid w:val="00187E79"/>
    <w:rsid w:val="00187F0D"/>
    <w:rsid w:val="0019059C"/>
    <w:rsid w:val="001916E3"/>
    <w:rsid w:val="00191B72"/>
    <w:rsid w:val="00192544"/>
    <w:rsid w:val="00192698"/>
    <w:rsid w:val="00192CC5"/>
    <w:rsid w:val="001956A7"/>
    <w:rsid w:val="001A0226"/>
    <w:rsid w:val="001A118A"/>
    <w:rsid w:val="001A27F4"/>
    <w:rsid w:val="001A2B3F"/>
    <w:rsid w:val="001A2D95"/>
    <w:rsid w:val="001A2F26"/>
    <w:rsid w:val="001A6630"/>
    <w:rsid w:val="001B1B98"/>
    <w:rsid w:val="001B3460"/>
    <w:rsid w:val="001B4CA1"/>
    <w:rsid w:val="001B623B"/>
    <w:rsid w:val="001B75D8"/>
    <w:rsid w:val="001C01F7"/>
    <w:rsid w:val="001C1060"/>
    <w:rsid w:val="001C2CA6"/>
    <w:rsid w:val="001C3012"/>
    <w:rsid w:val="001C3C63"/>
    <w:rsid w:val="001C56C0"/>
    <w:rsid w:val="001C6C05"/>
    <w:rsid w:val="001C772E"/>
    <w:rsid w:val="001D23D6"/>
    <w:rsid w:val="001D4732"/>
    <w:rsid w:val="001D5E37"/>
    <w:rsid w:val="001D6A3C"/>
    <w:rsid w:val="001D6D51"/>
    <w:rsid w:val="001E09CA"/>
    <w:rsid w:val="001E13B1"/>
    <w:rsid w:val="001E1DC1"/>
    <w:rsid w:val="001E45F6"/>
    <w:rsid w:val="001F194E"/>
    <w:rsid w:val="001F1F30"/>
    <w:rsid w:val="001F1F9F"/>
    <w:rsid w:val="001F332C"/>
    <w:rsid w:val="001F35B8"/>
    <w:rsid w:val="001F437C"/>
    <w:rsid w:val="001F653A"/>
    <w:rsid w:val="001F6979"/>
    <w:rsid w:val="001F6F0D"/>
    <w:rsid w:val="001F7005"/>
    <w:rsid w:val="002001F9"/>
    <w:rsid w:val="00200D62"/>
    <w:rsid w:val="00202BC6"/>
    <w:rsid w:val="00203731"/>
    <w:rsid w:val="00204CCC"/>
    <w:rsid w:val="00205141"/>
    <w:rsid w:val="0020516B"/>
    <w:rsid w:val="00207184"/>
    <w:rsid w:val="002077D5"/>
    <w:rsid w:val="0021000C"/>
    <w:rsid w:val="0021182C"/>
    <w:rsid w:val="00213559"/>
    <w:rsid w:val="00213EFD"/>
    <w:rsid w:val="0021545D"/>
    <w:rsid w:val="002172F1"/>
    <w:rsid w:val="00217C98"/>
    <w:rsid w:val="00220FF1"/>
    <w:rsid w:val="002224AE"/>
    <w:rsid w:val="00222B88"/>
    <w:rsid w:val="00223C7B"/>
    <w:rsid w:val="00224AB1"/>
    <w:rsid w:val="0022687A"/>
    <w:rsid w:val="00227670"/>
    <w:rsid w:val="002301C7"/>
    <w:rsid w:val="00230728"/>
    <w:rsid w:val="002309E2"/>
    <w:rsid w:val="0023285C"/>
    <w:rsid w:val="00234040"/>
    <w:rsid w:val="00235CD2"/>
    <w:rsid w:val="00244F52"/>
    <w:rsid w:val="00245CD4"/>
    <w:rsid w:val="002461A8"/>
    <w:rsid w:val="00250717"/>
    <w:rsid w:val="00254184"/>
    <w:rsid w:val="00254DED"/>
    <w:rsid w:val="00254FBB"/>
    <w:rsid w:val="00255619"/>
    <w:rsid w:val="00255DAD"/>
    <w:rsid w:val="00256108"/>
    <w:rsid w:val="00260F33"/>
    <w:rsid w:val="002613BD"/>
    <w:rsid w:val="0026213A"/>
    <w:rsid w:val="002624F1"/>
    <w:rsid w:val="00262FDE"/>
    <w:rsid w:val="00270577"/>
    <w:rsid w:val="00270C81"/>
    <w:rsid w:val="00271217"/>
    <w:rsid w:val="00271558"/>
    <w:rsid w:val="00271A6B"/>
    <w:rsid w:val="00271F36"/>
    <w:rsid w:val="0027311B"/>
    <w:rsid w:val="00274862"/>
    <w:rsid w:val="002766B6"/>
    <w:rsid w:val="002801BD"/>
    <w:rsid w:val="00282D72"/>
    <w:rsid w:val="00283402"/>
    <w:rsid w:val="00290FD6"/>
    <w:rsid w:val="0029160D"/>
    <w:rsid w:val="0029419A"/>
    <w:rsid w:val="00294259"/>
    <w:rsid w:val="002A04D0"/>
    <w:rsid w:val="002A2C81"/>
    <w:rsid w:val="002A7D29"/>
    <w:rsid w:val="002B2211"/>
    <w:rsid w:val="002B3D1A"/>
    <w:rsid w:val="002B79E7"/>
    <w:rsid w:val="002C27D0"/>
    <w:rsid w:val="002C2B19"/>
    <w:rsid w:val="002C2C9B"/>
    <w:rsid w:val="002C2EBF"/>
    <w:rsid w:val="002C481A"/>
    <w:rsid w:val="002C6286"/>
    <w:rsid w:val="002D074F"/>
    <w:rsid w:val="002D17D6"/>
    <w:rsid w:val="002D18D7"/>
    <w:rsid w:val="002D21CE"/>
    <w:rsid w:val="002D22E3"/>
    <w:rsid w:val="002D39D4"/>
    <w:rsid w:val="002D7BAF"/>
    <w:rsid w:val="002E387F"/>
    <w:rsid w:val="002E3DA3"/>
    <w:rsid w:val="002E450F"/>
    <w:rsid w:val="002E6B38"/>
    <w:rsid w:val="002E6D63"/>
    <w:rsid w:val="002E6E2B"/>
    <w:rsid w:val="002E7691"/>
    <w:rsid w:val="002F500B"/>
    <w:rsid w:val="002F6538"/>
    <w:rsid w:val="00300991"/>
    <w:rsid w:val="00301959"/>
    <w:rsid w:val="00304DEE"/>
    <w:rsid w:val="00305B8A"/>
    <w:rsid w:val="003064E4"/>
    <w:rsid w:val="00315E90"/>
    <w:rsid w:val="00323839"/>
    <w:rsid w:val="00325AD1"/>
    <w:rsid w:val="00327A72"/>
    <w:rsid w:val="0033125E"/>
    <w:rsid w:val="00331781"/>
    <w:rsid w:val="00331BF9"/>
    <w:rsid w:val="0033495E"/>
    <w:rsid w:val="00334A79"/>
    <w:rsid w:val="00334D8D"/>
    <w:rsid w:val="00337345"/>
    <w:rsid w:val="003376EB"/>
    <w:rsid w:val="00337DD2"/>
    <w:rsid w:val="003400D7"/>
    <w:rsid w:val="00340339"/>
    <w:rsid w:val="003404D1"/>
    <w:rsid w:val="00340822"/>
    <w:rsid w:val="00341056"/>
    <w:rsid w:val="003443DB"/>
    <w:rsid w:val="003443FF"/>
    <w:rsid w:val="00347040"/>
    <w:rsid w:val="00347935"/>
    <w:rsid w:val="00355453"/>
    <w:rsid w:val="00355808"/>
    <w:rsid w:val="00362C7E"/>
    <w:rsid w:val="00363309"/>
    <w:rsid w:val="00363601"/>
    <w:rsid w:val="003673FB"/>
    <w:rsid w:val="00370043"/>
    <w:rsid w:val="00370A51"/>
    <w:rsid w:val="00374CE4"/>
    <w:rsid w:val="00376AC9"/>
    <w:rsid w:val="003778F9"/>
    <w:rsid w:val="00377D09"/>
    <w:rsid w:val="003802B1"/>
    <w:rsid w:val="00380CB4"/>
    <w:rsid w:val="00381640"/>
    <w:rsid w:val="00382D24"/>
    <w:rsid w:val="00385F2C"/>
    <w:rsid w:val="00392EC8"/>
    <w:rsid w:val="00393032"/>
    <w:rsid w:val="00394B69"/>
    <w:rsid w:val="00394DDE"/>
    <w:rsid w:val="0039611D"/>
    <w:rsid w:val="00397078"/>
    <w:rsid w:val="003976F8"/>
    <w:rsid w:val="00397D84"/>
    <w:rsid w:val="003A160A"/>
    <w:rsid w:val="003A27EB"/>
    <w:rsid w:val="003A42DD"/>
    <w:rsid w:val="003A6953"/>
    <w:rsid w:val="003A7657"/>
    <w:rsid w:val="003B0913"/>
    <w:rsid w:val="003B0F62"/>
    <w:rsid w:val="003B4EA2"/>
    <w:rsid w:val="003B6083"/>
    <w:rsid w:val="003B72E7"/>
    <w:rsid w:val="003C21C5"/>
    <w:rsid w:val="003C26CF"/>
    <w:rsid w:val="003C3838"/>
    <w:rsid w:val="003C47F5"/>
    <w:rsid w:val="003C5847"/>
    <w:rsid w:val="003D0681"/>
    <w:rsid w:val="003D12F6"/>
    <w:rsid w:val="003D1426"/>
    <w:rsid w:val="003D2255"/>
    <w:rsid w:val="003D3034"/>
    <w:rsid w:val="003D5D47"/>
    <w:rsid w:val="003D5ED7"/>
    <w:rsid w:val="003E290F"/>
    <w:rsid w:val="003E2F4E"/>
    <w:rsid w:val="003E58B9"/>
    <w:rsid w:val="003E720A"/>
    <w:rsid w:val="003F06C6"/>
    <w:rsid w:val="003F0909"/>
    <w:rsid w:val="003F0ED3"/>
    <w:rsid w:val="003F24EA"/>
    <w:rsid w:val="003F4797"/>
    <w:rsid w:val="003F74CF"/>
    <w:rsid w:val="003F7524"/>
    <w:rsid w:val="00402888"/>
    <w:rsid w:val="00403E6E"/>
    <w:rsid w:val="00405D4C"/>
    <w:rsid w:val="00405D9E"/>
    <w:rsid w:val="004129B4"/>
    <w:rsid w:val="0041307F"/>
    <w:rsid w:val="00417EF0"/>
    <w:rsid w:val="004207BD"/>
    <w:rsid w:val="00421335"/>
    <w:rsid w:val="00422181"/>
    <w:rsid w:val="004227F6"/>
    <w:rsid w:val="0042431E"/>
    <w:rsid w:val="00424376"/>
    <w:rsid w:val="004244A8"/>
    <w:rsid w:val="00424D01"/>
    <w:rsid w:val="00425D68"/>
    <w:rsid w:val="00425F72"/>
    <w:rsid w:val="00427736"/>
    <w:rsid w:val="00427B54"/>
    <w:rsid w:val="004302C3"/>
    <w:rsid w:val="004308F7"/>
    <w:rsid w:val="00430E63"/>
    <w:rsid w:val="00441787"/>
    <w:rsid w:val="004424C0"/>
    <w:rsid w:val="00444F2D"/>
    <w:rsid w:val="004464F3"/>
    <w:rsid w:val="00447380"/>
    <w:rsid w:val="00451BA3"/>
    <w:rsid w:val="00452034"/>
    <w:rsid w:val="004526E7"/>
    <w:rsid w:val="00455B20"/>
    <w:rsid w:val="00455FA6"/>
    <w:rsid w:val="00461AE4"/>
    <w:rsid w:val="00463517"/>
    <w:rsid w:val="00464493"/>
    <w:rsid w:val="004657A7"/>
    <w:rsid w:val="00466C70"/>
    <w:rsid w:val="004702C9"/>
    <w:rsid w:val="0047199F"/>
    <w:rsid w:val="00471D9A"/>
    <w:rsid w:val="00472E45"/>
    <w:rsid w:val="00473FEA"/>
    <w:rsid w:val="0047579D"/>
    <w:rsid w:val="004800AD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6E8"/>
    <w:rsid w:val="00492869"/>
    <w:rsid w:val="0049343F"/>
    <w:rsid w:val="00495243"/>
    <w:rsid w:val="004964FC"/>
    <w:rsid w:val="004A145E"/>
    <w:rsid w:val="004A1E8D"/>
    <w:rsid w:val="004A1F15"/>
    <w:rsid w:val="004A2A81"/>
    <w:rsid w:val="004A4C15"/>
    <w:rsid w:val="004A5C84"/>
    <w:rsid w:val="004A7BD7"/>
    <w:rsid w:val="004A7CDE"/>
    <w:rsid w:val="004B12BF"/>
    <w:rsid w:val="004B3225"/>
    <w:rsid w:val="004B3CBF"/>
    <w:rsid w:val="004C15C2"/>
    <w:rsid w:val="004C2261"/>
    <w:rsid w:val="004C2C5E"/>
    <w:rsid w:val="004C36D8"/>
    <w:rsid w:val="004C428F"/>
    <w:rsid w:val="004C44B5"/>
    <w:rsid w:val="004D0DA0"/>
    <w:rsid w:val="004D1248"/>
    <w:rsid w:val="004D1CEA"/>
    <w:rsid w:val="004D1E3C"/>
    <w:rsid w:val="004D4169"/>
    <w:rsid w:val="004D6E14"/>
    <w:rsid w:val="004D7631"/>
    <w:rsid w:val="004D7A07"/>
    <w:rsid w:val="004E29EB"/>
    <w:rsid w:val="004E322D"/>
    <w:rsid w:val="004E49BC"/>
    <w:rsid w:val="004E7141"/>
    <w:rsid w:val="004F20FA"/>
    <w:rsid w:val="004F4A99"/>
    <w:rsid w:val="004F4E17"/>
    <w:rsid w:val="004F5845"/>
    <w:rsid w:val="004F7622"/>
    <w:rsid w:val="0050082F"/>
    <w:rsid w:val="00500C56"/>
    <w:rsid w:val="00500EF1"/>
    <w:rsid w:val="005012B5"/>
    <w:rsid w:val="00501713"/>
    <w:rsid w:val="005025DD"/>
    <w:rsid w:val="00502F51"/>
    <w:rsid w:val="00503269"/>
    <w:rsid w:val="00506568"/>
    <w:rsid w:val="0051048E"/>
    <w:rsid w:val="005121D9"/>
    <w:rsid w:val="0051339F"/>
    <w:rsid w:val="005154D6"/>
    <w:rsid w:val="0051551B"/>
    <w:rsid w:val="00520C57"/>
    <w:rsid w:val="005219D6"/>
    <w:rsid w:val="00522256"/>
    <w:rsid w:val="00522D94"/>
    <w:rsid w:val="005250C3"/>
    <w:rsid w:val="00526EEB"/>
    <w:rsid w:val="005318D4"/>
    <w:rsid w:val="00532D50"/>
    <w:rsid w:val="00533D89"/>
    <w:rsid w:val="00535614"/>
    <w:rsid w:val="00536564"/>
    <w:rsid w:val="00540622"/>
    <w:rsid w:val="00541824"/>
    <w:rsid w:val="00544597"/>
    <w:rsid w:val="00544FFE"/>
    <w:rsid w:val="005473F5"/>
    <w:rsid w:val="005477E7"/>
    <w:rsid w:val="005501DD"/>
    <w:rsid w:val="0055258C"/>
    <w:rsid w:val="00552794"/>
    <w:rsid w:val="00553262"/>
    <w:rsid w:val="00554F18"/>
    <w:rsid w:val="005555D9"/>
    <w:rsid w:val="00562360"/>
    <w:rsid w:val="00563199"/>
    <w:rsid w:val="00564874"/>
    <w:rsid w:val="00567963"/>
    <w:rsid w:val="0057009A"/>
    <w:rsid w:val="00571260"/>
    <w:rsid w:val="0057189C"/>
    <w:rsid w:val="00572472"/>
    <w:rsid w:val="00573FC1"/>
    <w:rsid w:val="005741EE"/>
    <w:rsid w:val="0057668E"/>
    <w:rsid w:val="005828E3"/>
    <w:rsid w:val="00593529"/>
    <w:rsid w:val="005948E9"/>
    <w:rsid w:val="00595AD1"/>
    <w:rsid w:val="00595E83"/>
    <w:rsid w:val="00596530"/>
    <w:rsid w:val="005967F3"/>
    <w:rsid w:val="005A06DF"/>
    <w:rsid w:val="005A302C"/>
    <w:rsid w:val="005A3E81"/>
    <w:rsid w:val="005A46D4"/>
    <w:rsid w:val="005A5527"/>
    <w:rsid w:val="005A5AE6"/>
    <w:rsid w:val="005A6602"/>
    <w:rsid w:val="005B1206"/>
    <w:rsid w:val="005B206D"/>
    <w:rsid w:val="005B2877"/>
    <w:rsid w:val="005B3238"/>
    <w:rsid w:val="005B37E8"/>
    <w:rsid w:val="005B6AFE"/>
    <w:rsid w:val="005C0056"/>
    <w:rsid w:val="005C16EA"/>
    <w:rsid w:val="005C250B"/>
    <w:rsid w:val="005C6D4B"/>
    <w:rsid w:val="005C7B1C"/>
    <w:rsid w:val="005C7CBF"/>
    <w:rsid w:val="005C7F6D"/>
    <w:rsid w:val="005D006D"/>
    <w:rsid w:val="005D1B9F"/>
    <w:rsid w:val="005D4F9B"/>
    <w:rsid w:val="005D61D6"/>
    <w:rsid w:val="005D634B"/>
    <w:rsid w:val="005E0D13"/>
    <w:rsid w:val="005E5047"/>
    <w:rsid w:val="005E7205"/>
    <w:rsid w:val="005E7371"/>
    <w:rsid w:val="005E787B"/>
    <w:rsid w:val="005F0617"/>
    <w:rsid w:val="005F116C"/>
    <w:rsid w:val="005F2131"/>
    <w:rsid w:val="005F7499"/>
    <w:rsid w:val="005F77FE"/>
    <w:rsid w:val="006032AB"/>
    <w:rsid w:val="006039AF"/>
    <w:rsid w:val="00605EF6"/>
    <w:rsid w:val="00606455"/>
    <w:rsid w:val="00611122"/>
    <w:rsid w:val="00613EA9"/>
    <w:rsid w:val="00614929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4405"/>
    <w:rsid w:val="00625705"/>
    <w:rsid w:val="00626F74"/>
    <w:rsid w:val="00627221"/>
    <w:rsid w:val="00627EE8"/>
    <w:rsid w:val="006316FA"/>
    <w:rsid w:val="00631AC6"/>
    <w:rsid w:val="006342C1"/>
    <w:rsid w:val="006370D2"/>
    <w:rsid w:val="006401E2"/>
    <w:rsid w:val="0064074F"/>
    <w:rsid w:val="00641F55"/>
    <w:rsid w:val="006420A5"/>
    <w:rsid w:val="00645E4A"/>
    <w:rsid w:val="00653688"/>
    <w:rsid w:val="006605B9"/>
    <w:rsid w:val="0066084C"/>
    <w:rsid w:val="0066091B"/>
    <w:rsid w:val="006660E9"/>
    <w:rsid w:val="00667249"/>
    <w:rsid w:val="00667558"/>
    <w:rsid w:val="006706B9"/>
    <w:rsid w:val="00671523"/>
    <w:rsid w:val="00671C76"/>
    <w:rsid w:val="00672E3C"/>
    <w:rsid w:val="0067360F"/>
    <w:rsid w:val="0067538E"/>
    <w:rsid w:val="006754EF"/>
    <w:rsid w:val="006758D6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9636E"/>
    <w:rsid w:val="006A4904"/>
    <w:rsid w:val="006A548F"/>
    <w:rsid w:val="006A5CE8"/>
    <w:rsid w:val="006A701A"/>
    <w:rsid w:val="006A7CC0"/>
    <w:rsid w:val="006B00AD"/>
    <w:rsid w:val="006B033E"/>
    <w:rsid w:val="006B4F5F"/>
    <w:rsid w:val="006B54A9"/>
    <w:rsid w:val="006B5657"/>
    <w:rsid w:val="006B64DC"/>
    <w:rsid w:val="006B7A91"/>
    <w:rsid w:val="006C073C"/>
    <w:rsid w:val="006C09E5"/>
    <w:rsid w:val="006D4704"/>
    <w:rsid w:val="006D6A2D"/>
    <w:rsid w:val="006D77C2"/>
    <w:rsid w:val="006E1A34"/>
    <w:rsid w:val="006E1E18"/>
    <w:rsid w:val="006E31CE"/>
    <w:rsid w:val="006E34D3"/>
    <w:rsid w:val="006E3FBA"/>
    <w:rsid w:val="006E6127"/>
    <w:rsid w:val="006F1435"/>
    <w:rsid w:val="006F6B72"/>
    <w:rsid w:val="006F6F3D"/>
    <w:rsid w:val="006F78C4"/>
    <w:rsid w:val="00701552"/>
    <w:rsid w:val="007031A0"/>
    <w:rsid w:val="00705A29"/>
    <w:rsid w:val="00707498"/>
    <w:rsid w:val="00707567"/>
    <w:rsid w:val="00707E8B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BE2"/>
    <w:rsid w:val="00716081"/>
    <w:rsid w:val="00722B48"/>
    <w:rsid w:val="00724164"/>
    <w:rsid w:val="007253EA"/>
    <w:rsid w:val="00725DE7"/>
    <w:rsid w:val="0072636A"/>
    <w:rsid w:val="00726B44"/>
    <w:rsid w:val="007309C1"/>
    <w:rsid w:val="007318DD"/>
    <w:rsid w:val="007321E3"/>
    <w:rsid w:val="00733143"/>
    <w:rsid w:val="00733167"/>
    <w:rsid w:val="00735A24"/>
    <w:rsid w:val="00740D2C"/>
    <w:rsid w:val="00742236"/>
    <w:rsid w:val="00744BF9"/>
    <w:rsid w:val="007466ED"/>
    <w:rsid w:val="00746BDE"/>
    <w:rsid w:val="00752623"/>
    <w:rsid w:val="00753035"/>
    <w:rsid w:val="00754A07"/>
    <w:rsid w:val="007576C1"/>
    <w:rsid w:val="00760F1F"/>
    <w:rsid w:val="007614D6"/>
    <w:rsid w:val="00761785"/>
    <w:rsid w:val="00761E72"/>
    <w:rsid w:val="007632DF"/>
    <w:rsid w:val="0076423E"/>
    <w:rsid w:val="007646CB"/>
    <w:rsid w:val="00764984"/>
    <w:rsid w:val="0076658F"/>
    <w:rsid w:val="00766993"/>
    <w:rsid w:val="00770223"/>
    <w:rsid w:val="0077040A"/>
    <w:rsid w:val="0077127C"/>
    <w:rsid w:val="007718A4"/>
    <w:rsid w:val="0077289D"/>
    <w:rsid w:val="00772D64"/>
    <w:rsid w:val="00777953"/>
    <w:rsid w:val="0078079C"/>
    <w:rsid w:val="00780C48"/>
    <w:rsid w:val="0078261E"/>
    <w:rsid w:val="007830E0"/>
    <w:rsid w:val="0078639B"/>
    <w:rsid w:val="00787DAD"/>
    <w:rsid w:val="007903EB"/>
    <w:rsid w:val="00792609"/>
    <w:rsid w:val="00792887"/>
    <w:rsid w:val="007941A4"/>
    <w:rsid w:val="007943E2"/>
    <w:rsid w:val="0079463F"/>
    <w:rsid w:val="00794F2C"/>
    <w:rsid w:val="00795CC0"/>
    <w:rsid w:val="007966CA"/>
    <w:rsid w:val="007A1471"/>
    <w:rsid w:val="007A3BC7"/>
    <w:rsid w:val="007A40CC"/>
    <w:rsid w:val="007A4450"/>
    <w:rsid w:val="007A5553"/>
    <w:rsid w:val="007A5AC4"/>
    <w:rsid w:val="007A5F2C"/>
    <w:rsid w:val="007A5FE2"/>
    <w:rsid w:val="007A6289"/>
    <w:rsid w:val="007B01F3"/>
    <w:rsid w:val="007B0A15"/>
    <w:rsid w:val="007B0FDD"/>
    <w:rsid w:val="007B140A"/>
    <w:rsid w:val="007B15B6"/>
    <w:rsid w:val="007B2048"/>
    <w:rsid w:val="007B2932"/>
    <w:rsid w:val="007B3783"/>
    <w:rsid w:val="007B4802"/>
    <w:rsid w:val="007B59A3"/>
    <w:rsid w:val="007B6668"/>
    <w:rsid w:val="007B6B33"/>
    <w:rsid w:val="007B792E"/>
    <w:rsid w:val="007C0524"/>
    <w:rsid w:val="007C2291"/>
    <w:rsid w:val="007C2701"/>
    <w:rsid w:val="007C5B7F"/>
    <w:rsid w:val="007D20CD"/>
    <w:rsid w:val="007D2192"/>
    <w:rsid w:val="007D7AA1"/>
    <w:rsid w:val="007E0B9D"/>
    <w:rsid w:val="007E0DD4"/>
    <w:rsid w:val="007E2E10"/>
    <w:rsid w:val="007E3272"/>
    <w:rsid w:val="007E4108"/>
    <w:rsid w:val="007E484F"/>
    <w:rsid w:val="007E48A8"/>
    <w:rsid w:val="007E4987"/>
    <w:rsid w:val="007E4E3B"/>
    <w:rsid w:val="007E640C"/>
    <w:rsid w:val="007E7BEF"/>
    <w:rsid w:val="007F0021"/>
    <w:rsid w:val="007F2998"/>
    <w:rsid w:val="007F2F52"/>
    <w:rsid w:val="00800314"/>
    <w:rsid w:val="00801F71"/>
    <w:rsid w:val="00802561"/>
    <w:rsid w:val="00805F28"/>
    <w:rsid w:val="0080749F"/>
    <w:rsid w:val="00807BC4"/>
    <w:rsid w:val="00810226"/>
    <w:rsid w:val="008116CB"/>
    <w:rsid w:val="00811D46"/>
    <w:rsid w:val="008125B0"/>
    <w:rsid w:val="008125D8"/>
    <w:rsid w:val="00813303"/>
    <w:rsid w:val="008144CB"/>
    <w:rsid w:val="00814DBD"/>
    <w:rsid w:val="00817418"/>
    <w:rsid w:val="00821717"/>
    <w:rsid w:val="00823B0F"/>
    <w:rsid w:val="00824210"/>
    <w:rsid w:val="00826373"/>
    <w:rsid w:val="008263C0"/>
    <w:rsid w:val="00826959"/>
    <w:rsid w:val="00831268"/>
    <w:rsid w:val="00833037"/>
    <w:rsid w:val="00833677"/>
    <w:rsid w:val="008351DE"/>
    <w:rsid w:val="00841422"/>
    <w:rsid w:val="00841D3B"/>
    <w:rsid w:val="00841E87"/>
    <w:rsid w:val="0084314C"/>
    <w:rsid w:val="00843171"/>
    <w:rsid w:val="008519C4"/>
    <w:rsid w:val="00856380"/>
    <w:rsid w:val="00857545"/>
    <w:rsid w:val="008575C3"/>
    <w:rsid w:val="00863313"/>
    <w:rsid w:val="00863D28"/>
    <w:rsid w:val="008648C3"/>
    <w:rsid w:val="00865AFC"/>
    <w:rsid w:val="00872406"/>
    <w:rsid w:val="00876415"/>
    <w:rsid w:val="00880BBA"/>
    <w:rsid w:val="00880F26"/>
    <w:rsid w:val="0088109D"/>
    <w:rsid w:val="008820AA"/>
    <w:rsid w:val="00885066"/>
    <w:rsid w:val="0088684F"/>
    <w:rsid w:val="008878BA"/>
    <w:rsid w:val="00890D37"/>
    <w:rsid w:val="00891392"/>
    <w:rsid w:val="008933BA"/>
    <w:rsid w:val="00896C2E"/>
    <w:rsid w:val="008971F7"/>
    <w:rsid w:val="008A052C"/>
    <w:rsid w:val="008A180A"/>
    <w:rsid w:val="008A2533"/>
    <w:rsid w:val="008A5095"/>
    <w:rsid w:val="008A608F"/>
    <w:rsid w:val="008B1A9A"/>
    <w:rsid w:val="008B40BA"/>
    <w:rsid w:val="008B4138"/>
    <w:rsid w:val="008B4FE6"/>
    <w:rsid w:val="008B6A79"/>
    <w:rsid w:val="008B6C37"/>
    <w:rsid w:val="008C0056"/>
    <w:rsid w:val="008C193F"/>
    <w:rsid w:val="008C1A76"/>
    <w:rsid w:val="008C3C09"/>
    <w:rsid w:val="008C76E6"/>
    <w:rsid w:val="008D0459"/>
    <w:rsid w:val="008D0561"/>
    <w:rsid w:val="008D0FFE"/>
    <w:rsid w:val="008D4305"/>
    <w:rsid w:val="008D5AB5"/>
    <w:rsid w:val="008D6417"/>
    <w:rsid w:val="008E1000"/>
    <w:rsid w:val="008E18F7"/>
    <w:rsid w:val="008E1E10"/>
    <w:rsid w:val="008E291B"/>
    <w:rsid w:val="008E4F2F"/>
    <w:rsid w:val="008E4FDB"/>
    <w:rsid w:val="008E70B4"/>
    <w:rsid w:val="008E74B0"/>
    <w:rsid w:val="008E7DCA"/>
    <w:rsid w:val="008F49A3"/>
    <w:rsid w:val="008F6F35"/>
    <w:rsid w:val="008F7094"/>
    <w:rsid w:val="008F7AEA"/>
    <w:rsid w:val="009008A8"/>
    <w:rsid w:val="0090238C"/>
    <w:rsid w:val="00903B23"/>
    <w:rsid w:val="00903B4D"/>
    <w:rsid w:val="009063B0"/>
    <w:rsid w:val="00907106"/>
    <w:rsid w:val="009107FD"/>
    <w:rsid w:val="00910D3E"/>
    <w:rsid w:val="009112FB"/>
    <w:rsid w:val="0091137C"/>
    <w:rsid w:val="00911567"/>
    <w:rsid w:val="009155B2"/>
    <w:rsid w:val="00915610"/>
    <w:rsid w:val="0091704A"/>
    <w:rsid w:val="00917AAE"/>
    <w:rsid w:val="009251A9"/>
    <w:rsid w:val="00930699"/>
    <w:rsid w:val="009317EF"/>
    <w:rsid w:val="00931B04"/>
    <w:rsid w:val="00931F69"/>
    <w:rsid w:val="00934123"/>
    <w:rsid w:val="00934D68"/>
    <w:rsid w:val="009457F8"/>
    <w:rsid w:val="009467BF"/>
    <w:rsid w:val="00946816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233D"/>
    <w:rsid w:val="00962E30"/>
    <w:rsid w:val="00963D83"/>
    <w:rsid w:val="009648F6"/>
    <w:rsid w:val="00964E7C"/>
    <w:rsid w:val="0096561D"/>
    <w:rsid w:val="009703D6"/>
    <w:rsid w:val="0097181B"/>
    <w:rsid w:val="009745D5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017"/>
    <w:rsid w:val="00986610"/>
    <w:rsid w:val="009877DC"/>
    <w:rsid w:val="009908F9"/>
    <w:rsid w:val="0099103C"/>
    <w:rsid w:val="00991F96"/>
    <w:rsid w:val="00994318"/>
    <w:rsid w:val="00995030"/>
    <w:rsid w:val="00996F0A"/>
    <w:rsid w:val="009A1D86"/>
    <w:rsid w:val="009A4F5A"/>
    <w:rsid w:val="009B049C"/>
    <w:rsid w:val="009B11C8"/>
    <w:rsid w:val="009B2BCF"/>
    <w:rsid w:val="009B2FF8"/>
    <w:rsid w:val="009B5BA3"/>
    <w:rsid w:val="009B6482"/>
    <w:rsid w:val="009C0428"/>
    <w:rsid w:val="009C0A32"/>
    <w:rsid w:val="009C16E7"/>
    <w:rsid w:val="009C3575"/>
    <w:rsid w:val="009C5699"/>
    <w:rsid w:val="009D0027"/>
    <w:rsid w:val="009D0655"/>
    <w:rsid w:val="009D586B"/>
    <w:rsid w:val="009E0CF7"/>
    <w:rsid w:val="009E1B8C"/>
    <w:rsid w:val="009E1E98"/>
    <w:rsid w:val="009E25D1"/>
    <w:rsid w:val="009E3ABE"/>
    <w:rsid w:val="009E3C4B"/>
    <w:rsid w:val="009E4AF6"/>
    <w:rsid w:val="009F0637"/>
    <w:rsid w:val="009F12F6"/>
    <w:rsid w:val="009F1FC1"/>
    <w:rsid w:val="009F62A6"/>
    <w:rsid w:val="009F674F"/>
    <w:rsid w:val="009F799E"/>
    <w:rsid w:val="00A02020"/>
    <w:rsid w:val="00A028F1"/>
    <w:rsid w:val="00A03D05"/>
    <w:rsid w:val="00A04D16"/>
    <w:rsid w:val="00A056CB"/>
    <w:rsid w:val="00A07A29"/>
    <w:rsid w:val="00A10A2F"/>
    <w:rsid w:val="00A10FF1"/>
    <w:rsid w:val="00A114CD"/>
    <w:rsid w:val="00A1195A"/>
    <w:rsid w:val="00A1506B"/>
    <w:rsid w:val="00A1541B"/>
    <w:rsid w:val="00A169C5"/>
    <w:rsid w:val="00A16F06"/>
    <w:rsid w:val="00A17CB2"/>
    <w:rsid w:val="00A22D99"/>
    <w:rsid w:val="00A23191"/>
    <w:rsid w:val="00A23CF7"/>
    <w:rsid w:val="00A23DAE"/>
    <w:rsid w:val="00A25077"/>
    <w:rsid w:val="00A25278"/>
    <w:rsid w:val="00A30B0E"/>
    <w:rsid w:val="00A319C0"/>
    <w:rsid w:val="00A33560"/>
    <w:rsid w:val="00A364E4"/>
    <w:rsid w:val="00A366F7"/>
    <w:rsid w:val="00A371A5"/>
    <w:rsid w:val="00A37AE4"/>
    <w:rsid w:val="00A400F0"/>
    <w:rsid w:val="00A40834"/>
    <w:rsid w:val="00A4215B"/>
    <w:rsid w:val="00A45EFF"/>
    <w:rsid w:val="00A4740A"/>
    <w:rsid w:val="00A47BDF"/>
    <w:rsid w:val="00A50A11"/>
    <w:rsid w:val="00A51CD7"/>
    <w:rsid w:val="00A51F4E"/>
    <w:rsid w:val="00A52ADB"/>
    <w:rsid w:val="00A52E52"/>
    <w:rsid w:val="00A533E8"/>
    <w:rsid w:val="00A542D9"/>
    <w:rsid w:val="00A54F70"/>
    <w:rsid w:val="00A55517"/>
    <w:rsid w:val="00A56350"/>
    <w:rsid w:val="00A56E64"/>
    <w:rsid w:val="00A611C9"/>
    <w:rsid w:val="00A624C3"/>
    <w:rsid w:val="00A6641C"/>
    <w:rsid w:val="00A66D0B"/>
    <w:rsid w:val="00A6751C"/>
    <w:rsid w:val="00A70500"/>
    <w:rsid w:val="00A7596D"/>
    <w:rsid w:val="00A76742"/>
    <w:rsid w:val="00A767D2"/>
    <w:rsid w:val="00A77616"/>
    <w:rsid w:val="00A7769F"/>
    <w:rsid w:val="00A805DA"/>
    <w:rsid w:val="00A811B4"/>
    <w:rsid w:val="00A84CB0"/>
    <w:rsid w:val="00A8596D"/>
    <w:rsid w:val="00A87CDE"/>
    <w:rsid w:val="00A92BAF"/>
    <w:rsid w:val="00A93000"/>
    <w:rsid w:val="00A936E3"/>
    <w:rsid w:val="00A94737"/>
    <w:rsid w:val="00A9477D"/>
    <w:rsid w:val="00A94BA3"/>
    <w:rsid w:val="00A957D8"/>
    <w:rsid w:val="00A96331"/>
    <w:rsid w:val="00A96CBA"/>
    <w:rsid w:val="00A97187"/>
    <w:rsid w:val="00A97B7D"/>
    <w:rsid w:val="00AA0068"/>
    <w:rsid w:val="00AA02D8"/>
    <w:rsid w:val="00AA329F"/>
    <w:rsid w:val="00AA4F19"/>
    <w:rsid w:val="00AA7AAA"/>
    <w:rsid w:val="00AB0EDA"/>
    <w:rsid w:val="00AB16B8"/>
    <w:rsid w:val="00AB1ACD"/>
    <w:rsid w:val="00AB21C3"/>
    <w:rsid w:val="00AB277F"/>
    <w:rsid w:val="00AB4099"/>
    <w:rsid w:val="00AB449A"/>
    <w:rsid w:val="00AB4795"/>
    <w:rsid w:val="00AB4E18"/>
    <w:rsid w:val="00AB6543"/>
    <w:rsid w:val="00AB7FA9"/>
    <w:rsid w:val="00AD1141"/>
    <w:rsid w:val="00AD14F9"/>
    <w:rsid w:val="00AD35D6"/>
    <w:rsid w:val="00AD39C9"/>
    <w:rsid w:val="00AD58C5"/>
    <w:rsid w:val="00AE08B1"/>
    <w:rsid w:val="00AE1B7D"/>
    <w:rsid w:val="00AE209D"/>
    <w:rsid w:val="00AE28B4"/>
    <w:rsid w:val="00AE2EC1"/>
    <w:rsid w:val="00AE36C4"/>
    <w:rsid w:val="00AE472C"/>
    <w:rsid w:val="00AE5375"/>
    <w:rsid w:val="00AE6CF8"/>
    <w:rsid w:val="00AE747D"/>
    <w:rsid w:val="00AF4CAC"/>
    <w:rsid w:val="00AF4F60"/>
    <w:rsid w:val="00B00E88"/>
    <w:rsid w:val="00B01489"/>
    <w:rsid w:val="00B023CD"/>
    <w:rsid w:val="00B03E0D"/>
    <w:rsid w:val="00B054F8"/>
    <w:rsid w:val="00B05B31"/>
    <w:rsid w:val="00B060E7"/>
    <w:rsid w:val="00B11F6B"/>
    <w:rsid w:val="00B14BD6"/>
    <w:rsid w:val="00B154B3"/>
    <w:rsid w:val="00B15C88"/>
    <w:rsid w:val="00B17852"/>
    <w:rsid w:val="00B17AE9"/>
    <w:rsid w:val="00B20D2D"/>
    <w:rsid w:val="00B20E27"/>
    <w:rsid w:val="00B21723"/>
    <w:rsid w:val="00B21A03"/>
    <w:rsid w:val="00B21A35"/>
    <w:rsid w:val="00B2219A"/>
    <w:rsid w:val="00B323D4"/>
    <w:rsid w:val="00B33865"/>
    <w:rsid w:val="00B3581B"/>
    <w:rsid w:val="00B35AA1"/>
    <w:rsid w:val="00B36AD5"/>
    <w:rsid w:val="00B36B53"/>
    <w:rsid w:val="00B36B81"/>
    <w:rsid w:val="00B36FEE"/>
    <w:rsid w:val="00B371B5"/>
    <w:rsid w:val="00B37C80"/>
    <w:rsid w:val="00B43DD6"/>
    <w:rsid w:val="00B5092B"/>
    <w:rsid w:val="00B5194E"/>
    <w:rsid w:val="00B51AF5"/>
    <w:rsid w:val="00B52F5F"/>
    <w:rsid w:val="00B530AB"/>
    <w:rsid w:val="00B531FC"/>
    <w:rsid w:val="00B534D3"/>
    <w:rsid w:val="00B53CAE"/>
    <w:rsid w:val="00B54856"/>
    <w:rsid w:val="00B55347"/>
    <w:rsid w:val="00B57E5E"/>
    <w:rsid w:val="00B61F37"/>
    <w:rsid w:val="00B621EE"/>
    <w:rsid w:val="00B62BE4"/>
    <w:rsid w:val="00B749C3"/>
    <w:rsid w:val="00B7770F"/>
    <w:rsid w:val="00B77A89"/>
    <w:rsid w:val="00B77B27"/>
    <w:rsid w:val="00B807CB"/>
    <w:rsid w:val="00B8134E"/>
    <w:rsid w:val="00B81B55"/>
    <w:rsid w:val="00B84613"/>
    <w:rsid w:val="00B85749"/>
    <w:rsid w:val="00B87218"/>
    <w:rsid w:val="00B87AF0"/>
    <w:rsid w:val="00B9037B"/>
    <w:rsid w:val="00B910BD"/>
    <w:rsid w:val="00B93834"/>
    <w:rsid w:val="00B96284"/>
    <w:rsid w:val="00B96469"/>
    <w:rsid w:val="00BA0DA2"/>
    <w:rsid w:val="00BA2981"/>
    <w:rsid w:val="00BA42EE"/>
    <w:rsid w:val="00BA48F9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3773"/>
    <w:rsid w:val="00BC381A"/>
    <w:rsid w:val="00BC537B"/>
    <w:rsid w:val="00BC6E28"/>
    <w:rsid w:val="00BD0962"/>
    <w:rsid w:val="00BD0D02"/>
    <w:rsid w:val="00BD1EED"/>
    <w:rsid w:val="00BD4F3B"/>
    <w:rsid w:val="00BD54EA"/>
    <w:rsid w:val="00BD607E"/>
    <w:rsid w:val="00BE2BF3"/>
    <w:rsid w:val="00BE4345"/>
    <w:rsid w:val="00BE4A7B"/>
    <w:rsid w:val="00BE5B47"/>
    <w:rsid w:val="00BE6276"/>
    <w:rsid w:val="00BF0DA2"/>
    <w:rsid w:val="00BF109C"/>
    <w:rsid w:val="00BF34FA"/>
    <w:rsid w:val="00BF5F2E"/>
    <w:rsid w:val="00BF7234"/>
    <w:rsid w:val="00C004B6"/>
    <w:rsid w:val="00C01EE5"/>
    <w:rsid w:val="00C047A7"/>
    <w:rsid w:val="00C05DE5"/>
    <w:rsid w:val="00C07486"/>
    <w:rsid w:val="00C074F5"/>
    <w:rsid w:val="00C13E64"/>
    <w:rsid w:val="00C20096"/>
    <w:rsid w:val="00C208A5"/>
    <w:rsid w:val="00C24546"/>
    <w:rsid w:val="00C26230"/>
    <w:rsid w:val="00C27390"/>
    <w:rsid w:val="00C30979"/>
    <w:rsid w:val="00C30ECB"/>
    <w:rsid w:val="00C33027"/>
    <w:rsid w:val="00C3380D"/>
    <w:rsid w:val="00C35224"/>
    <w:rsid w:val="00C35A05"/>
    <w:rsid w:val="00C37667"/>
    <w:rsid w:val="00C4003E"/>
    <w:rsid w:val="00C435DB"/>
    <w:rsid w:val="00C44D73"/>
    <w:rsid w:val="00C46932"/>
    <w:rsid w:val="00C4745F"/>
    <w:rsid w:val="00C50B42"/>
    <w:rsid w:val="00C50BC4"/>
    <w:rsid w:val="00C50F21"/>
    <w:rsid w:val="00C516FF"/>
    <w:rsid w:val="00C519B9"/>
    <w:rsid w:val="00C52BFA"/>
    <w:rsid w:val="00C53BE9"/>
    <w:rsid w:val="00C53D1D"/>
    <w:rsid w:val="00C53F26"/>
    <w:rsid w:val="00C540BC"/>
    <w:rsid w:val="00C5551C"/>
    <w:rsid w:val="00C5557E"/>
    <w:rsid w:val="00C5789B"/>
    <w:rsid w:val="00C635E2"/>
    <w:rsid w:val="00C636F5"/>
    <w:rsid w:val="00C64185"/>
    <w:rsid w:val="00C64F7D"/>
    <w:rsid w:val="00C6588D"/>
    <w:rsid w:val="00C67309"/>
    <w:rsid w:val="00C71B22"/>
    <w:rsid w:val="00C73DE2"/>
    <w:rsid w:val="00C7614E"/>
    <w:rsid w:val="00C77A1E"/>
    <w:rsid w:val="00C77BF1"/>
    <w:rsid w:val="00C80D60"/>
    <w:rsid w:val="00C82FBD"/>
    <w:rsid w:val="00C83A2A"/>
    <w:rsid w:val="00C844CF"/>
    <w:rsid w:val="00C85267"/>
    <w:rsid w:val="00C870EB"/>
    <w:rsid w:val="00C8721B"/>
    <w:rsid w:val="00C90071"/>
    <w:rsid w:val="00C90896"/>
    <w:rsid w:val="00C91055"/>
    <w:rsid w:val="00C9372C"/>
    <w:rsid w:val="00C9470E"/>
    <w:rsid w:val="00C95CEB"/>
    <w:rsid w:val="00CA1054"/>
    <w:rsid w:val="00CA1FE2"/>
    <w:rsid w:val="00CA2909"/>
    <w:rsid w:val="00CA3005"/>
    <w:rsid w:val="00CA3124"/>
    <w:rsid w:val="00CA5050"/>
    <w:rsid w:val="00CA63EB"/>
    <w:rsid w:val="00CA6985"/>
    <w:rsid w:val="00CA69F1"/>
    <w:rsid w:val="00CA7AE0"/>
    <w:rsid w:val="00CB01BF"/>
    <w:rsid w:val="00CB1606"/>
    <w:rsid w:val="00CB2538"/>
    <w:rsid w:val="00CB2A47"/>
    <w:rsid w:val="00CB60A6"/>
    <w:rsid w:val="00CB6991"/>
    <w:rsid w:val="00CC525E"/>
    <w:rsid w:val="00CC552F"/>
    <w:rsid w:val="00CC6194"/>
    <w:rsid w:val="00CC6305"/>
    <w:rsid w:val="00CC66FF"/>
    <w:rsid w:val="00CC6E93"/>
    <w:rsid w:val="00CC78A5"/>
    <w:rsid w:val="00CC7B7B"/>
    <w:rsid w:val="00CC7C58"/>
    <w:rsid w:val="00CD0516"/>
    <w:rsid w:val="00CD1EC3"/>
    <w:rsid w:val="00CD25CD"/>
    <w:rsid w:val="00CD2996"/>
    <w:rsid w:val="00CD49F9"/>
    <w:rsid w:val="00CD6611"/>
    <w:rsid w:val="00CD756B"/>
    <w:rsid w:val="00CE4B18"/>
    <w:rsid w:val="00CE734F"/>
    <w:rsid w:val="00CE7BCD"/>
    <w:rsid w:val="00CF0F85"/>
    <w:rsid w:val="00CF112E"/>
    <w:rsid w:val="00CF3DFA"/>
    <w:rsid w:val="00CF5A6E"/>
    <w:rsid w:val="00CF5F4F"/>
    <w:rsid w:val="00D02833"/>
    <w:rsid w:val="00D06E6A"/>
    <w:rsid w:val="00D10A07"/>
    <w:rsid w:val="00D114CF"/>
    <w:rsid w:val="00D13938"/>
    <w:rsid w:val="00D15533"/>
    <w:rsid w:val="00D15D97"/>
    <w:rsid w:val="00D208DF"/>
    <w:rsid w:val="00D218DC"/>
    <w:rsid w:val="00D21B0C"/>
    <w:rsid w:val="00D22F95"/>
    <w:rsid w:val="00D24E56"/>
    <w:rsid w:val="00D26A09"/>
    <w:rsid w:val="00D310FB"/>
    <w:rsid w:val="00D31643"/>
    <w:rsid w:val="00D31AEB"/>
    <w:rsid w:val="00D327C8"/>
    <w:rsid w:val="00D32ECD"/>
    <w:rsid w:val="00D332FD"/>
    <w:rsid w:val="00D339AE"/>
    <w:rsid w:val="00D344C7"/>
    <w:rsid w:val="00D34B3C"/>
    <w:rsid w:val="00D361E4"/>
    <w:rsid w:val="00D367E7"/>
    <w:rsid w:val="00D373CD"/>
    <w:rsid w:val="00D41D53"/>
    <w:rsid w:val="00D42A8F"/>
    <w:rsid w:val="00D439F6"/>
    <w:rsid w:val="00D459C6"/>
    <w:rsid w:val="00D4662A"/>
    <w:rsid w:val="00D50729"/>
    <w:rsid w:val="00D50C19"/>
    <w:rsid w:val="00D5198F"/>
    <w:rsid w:val="00D5379E"/>
    <w:rsid w:val="00D5618A"/>
    <w:rsid w:val="00D572C1"/>
    <w:rsid w:val="00D62643"/>
    <w:rsid w:val="00D63F9C"/>
    <w:rsid w:val="00D64C0F"/>
    <w:rsid w:val="00D66F53"/>
    <w:rsid w:val="00D71402"/>
    <w:rsid w:val="00D72E83"/>
    <w:rsid w:val="00D72EFE"/>
    <w:rsid w:val="00D76227"/>
    <w:rsid w:val="00D774DB"/>
    <w:rsid w:val="00D77DF1"/>
    <w:rsid w:val="00D80511"/>
    <w:rsid w:val="00D81D9D"/>
    <w:rsid w:val="00D82A6A"/>
    <w:rsid w:val="00D86AFF"/>
    <w:rsid w:val="00D8761C"/>
    <w:rsid w:val="00D9213D"/>
    <w:rsid w:val="00D92218"/>
    <w:rsid w:val="00D94A27"/>
    <w:rsid w:val="00D955F2"/>
    <w:rsid w:val="00D95A44"/>
    <w:rsid w:val="00D95D16"/>
    <w:rsid w:val="00D964B0"/>
    <w:rsid w:val="00D97C76"/>
    <w:rsid w:val="00DA019C"/>
    <w:rsid w:val="00DA2ED1"/>
    <w:rsid w:val="00DA60AD"/>
    <w:rsid w:val="00DA60D4"/>
    <w:rsid w:val="00DA74F3"/>
    <w:rsid w:val="00DA7965"/>
    <w:rsid w:val="00DB02B4"/>
    <w:rsid w:val="00DB2C8A"/>
    <w:rsid w:val="00DB4BD8"/>
    <w:rsid w:val="00DB538D"/>
    <w:rsid w:val="00DB79B0"/>
    <w:rsid w:val="00DC275C"/>
    <w:rsid w:val="00DC4B0D"/>
    <w:rsid w:val="00DC6224"/>
    <w:rsid w:val="00DC7FE1"/>
    <w:rsid w:val="00DD04EC"/>
    <w:rsid w:val="00DD15C3"/>
    <w:rsid w:val="00DD3F3F"/>
    <w:rsid w:val="00DD5572"/>
    <w:rsid w:val="00DD557B"/>
    <w:rsid w:val="00DD6D19"/>
    <w:rsid w:val="00DD7894"/>
    <w:rsid w:val="00DE24B3"/>
    <w:rsid w:val="00DE4155"/>
    <w:rsid w:val="00DE5D80"/>
    <w:rsid w:val="00DE6BDC"/>
    <w:rsid w:val="00DF58CD"/>
    <w:rsid w:val="00DF65DE"/>
    <w:rsid w:val="00E00981"/>
    <w:rsid w:val="00E019A5"/>
    <w:rsid w:val="00E02EC8"/>
    <w:rsid w:val="00E037F5"/>
    <w:rsid w:val="00E04ECB"/>
    <w:rsid w:val="00E05A09"/>
    <w:rsid w:val="00E06CA1"/>
    <w:rsid w:val="00E11CB9"/>
    <w:rsid w:val="00E136D8"/>
    <w:rsid w:val="00E16AE8"/>
    <w:rsid w:val="00E172B8"/>
    <w:rsid w:val="00E17FB4"/>
    <w:rsid w:val="00E20B75"/>
    <w:rsid w:val="00E214F2"/>
    <w:rsid w:val="00E2371E"/>
    <w:rsid w:val="00E23BC5"/>
    <w:rsid w:val="00E24BD7"/>
    <w:rsid w:val="00E2588E"/>
    <w:rsid w:val="00E25F03"/>
    <w:rsid w:val="00E26111"/>
    <w:rsid w:val="00E26523"/>
    <w:rsid w:val="00E26809"/>
    <w:rsid w:val="00E30549"/>
    <w:rsid w:val="00E33453"/>
    <w:rsid w:val="00E3412D"/>
    <w:rsid w:val="00E34C01"/>
    <w:rsid w:val="00E44B34"/>
    <w:rsid w:val="00E4588D"/>
    <w:rsid w:val="00E46236"/>
    <w:rsid w:val="00E5251D"/>
    <w:rsid w:val="00E55516"/>
    <w:rsid w:val="00E57322"/>
    <w:rsid w:val="00E57E9D"/>
    <w:rsid w:val="00E60888"/>
    <w:rsid w:val="00E628CB"/>
    <w:rsid w:val="00E62AD9"/>
    <w:rsid w:val="00E638C8"/>
    <w:rsid w:val="00E648AA"/>
    <w:rsid w:val="00E6529D"/>
    <w:rsid w:val="00E73CDD"/>
    <w:rsid w:val="00E73D93"/>
    <w:rsid w:val="00E74E89"/>
    <w:rsid w:val="00E7509B"/>
    <w:rsid w:val="00E7795A"/>
    <w:rsid w:val="00E83EC2"/>
    <w:rsid w:val="00E86590"/>
    <w:rsid w:val="00E86F10"/>
    <w:rsid w:val="00E907FF"/>
    <w:rsid w:val="00E92BD0"/>
    <w:rsid w:val="00E92DA9"/>
    <w:rsid w:val="00E93AFD"/>
    <w:rsid w:val="00E96F28"/>
    <w:rsid w:val="00EA01AE"/>
    <w:rsid w:val="00EA0836"/>
    <w:rsid w:val="00EA42D1"/>
    <w:rsid w:val="00EA42EF"/>
    <w:rsid w:val="00EA60F9"/>
    <w:rsid w:val="00EA6482"/>
    <w:rsid w:val="00EB12F6"/>
    <w:rsid w:val="00EB2DD1"/>
    <w:rsid w:val="00EB4018"/>
    <w:rsid w:val="00EB64B6"/>
    <w:rsid w:val="00EB6B37"/>
    <w:rsid w:val="00EB6C8C"/>
    <w:rsid w:val="00EC29FE"/>
    <w:rsid w:val="00EC3C70"/>
    <w:rsid w:val="00EC7910"/>
    <w:rsid w:val="00ED09FD"/>
    <w:rsid w:val="00ED3A3D"/>
    <w:rsid w:val="00ED538A"/>
    <w:rsid w:val="00ED564B"/>
    <w:rsid w:val="00ED56F7"/>
    <w:rsid w:val="00ED6AEB"/>
    <w:rsid w:val="00ED6FBC"/>
    <w:rsid w:val="00EE2F16"/>
    <w:rsid w:val="00EE3861"/>
    <w:rsid w:val="00EE3F67"/>
    <w:rsid w:val="00EE45DC"/>
    <w:rsid w:val="00EF0FD0"/>
    <w:rsid w:val="00EF1944"/>
    <w:rsid w:val="00EF2E73"/>
    <w:rsid w:val="00EF4D82"/>
    <w:rsid w:val="00EF6E04"/>
    <w:rsid w:val="00EF7683"/>
    <w:rsid w:val="00EF7A2D"/>
    <w:rsid w:val="00F00CD9"/>
    <w:rsid w:val="00F019A9"/>
    <w:rsid w:val="00F04F8D"/>
    <w:rsid w:val="00F04FF4"/>
    <w:rsid w:val="00F10AD0"/>
    <w:rsid w:val="00F116CC"/>
    <w:rsid w:val="00F1277B"/>
    <w:rsid w:val="00F12BD1"/>
    <w:rsid w:val="00F1417C"/>
    <w:rsid w:val="00F144C6"/>
    <w:rsid w:val="00F15327"/>
    <w:rsid w:val="00F168CF"/>
    <w:rsid w:val="00F21D7B"/>
    <w:rsid w:val="00F21D8C"/>
    <w:rsid w:val="00F24C33"/>
    <w:rsid w:val="00F2555C"/>
    <w:rsid w:val="00F26DC0"/>
    <w:rsid w:val="00F308D8"/>
    <w:rsid w:val="00F31DF3"/>
    <w:rsid w:val="00F333FB"/>
    <w:rsid w:val="00F33AE5"/>
    <w:rsid w:val="00F34916"/>
    <w:rsid w:val="00F3597D"/>
    <w:rsid w:val="00F4376D"/>
    <w:rsid w:val="00F45399"/>
    <w:rsid w:val="00F45527"/>
    <w:rsid w:val="00F465EA"/>
    <w:rsid w:val="00F54E7B"/>
    <w:rsid w:val="00F55458"/>
    <w:rsid w:val="00F55A88"/>
    <w:rsid w:val="00F56465"/>
    <w:rsid w:val="00F63FF6"/>
    <w:rsid w:val="00F66505"/>
    <w:rsid w:val="00F668AD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9061E"/>
    <w:rsid w:val="00F90D27"/>
    <w:rsid w:val="00F91658"/>
    <w:rsid w:val="00F91FB7"/>
    <w:rsid w:val="00F93C8A"/>
    <w:rsid w:val="00F95223"/>
    <w:rsid w:val="00F95544"/>
    <w:rsid w:val="00F9588F"/>
    <w:rsid w:val="00F964A2"/>
    <w:rsid w:val="00FA117A"/>
    <w:rsid w:val="00FA1D72"/>
    <w:rsid w:val="00FA348E"/>
    <w:rsid w:val="00FA7935"/>
    <w:rsid w:val="00FB0182"/>
    <w:rsid w:val="00FB1FED"/>
    <w:rsid w:val="00FB386A"/>
    <w:rsid w:val="00FB5181"/>
    <w:rsid w:val="00FB760E"/>
    <w:rsid w:val="00FC0786"/>
    <w:rsid w:val="00FC17A2"/>
    <w:rsid w:val="00FC1B1C"/>
    <w:rsid w:val="00FC268B"/>
    <w:rsid w:val="00FC37D6"/>
    <w:rsid w:val="00FC49EF"/>
    <w:rsid w:val="00FC5CFE"/>
    <w:rsid w:val="00FC5EFD"/>
    <w:rsid w:val="00FC6A80"/>
    <w:rsid w:val="00FD01A6"/>
    <w:rsid w:val="00FD039A"/>
    <w:rsid w:val="00FD2857"/>
    <w:rsid w:val="00FD3C3C"/>
    <w:rsid w:val="00FD40BF"/>
    <w:rsid w:val="00FD478F"/>
    <w:rsid w:val="00FD570E"/>
    <w:rsid w:val="00FD6598"/>
    <w:rsid w:val="00FD7D52"/>
    <w:rsid w:val="00FD7E29"/>
    <w:rsid w:val="00FE25EC"/>
    <w:rsid w:val="00FE36E2"/>
    <w:rsid w:val="00FE7AD8"/>
    <w:rsid w:val="00FF11AD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E74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7C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7077-6567-43F5-8336-ADDDA28D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2529</Words>
  <Characters>15669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2020-10-30T16:00:00Z</dcterms:created>
  <dcterms:modified xsi:type="dcterms:W3CDTF">2020-10-30T16:00:00Z</dcterms:modified>
</cp:coreProperties>
</file>