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E1EC" w14:textId="77777777" w:rsidR="00165447" w:rsidRPr="00DD18D8" w:rsidRDefault="00165447" w:rsidP="002E1B4E">
      <w:pPr>
        <w:pStyle w:val="Tekstpodstawowy"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D18D8">
        <w:rPr>
          <w:b/>
          <w:sz w:val="24"/>
          <w:szCs w:val="24"/>
        </w:rPr>
        <w:t>Uzasadnienie</w:t>
      </w:r>
    </w:p>
    <w:p w14:paraId="2CEFE60A" w14:textId="77777777" w:rsidR="00EA78ED" w:rsidRPr="00DD18D8" w:rsidRDefault="00EA78ED" w:rsidP="002E1B4E">
      <w:pPr>
        <w:pStyle w:val="Tekstpodstawowy21"/>
        <w:spacing w:line="276" w:lineRule="auto"/>
        <w:rPr>
          <w:sz w:val="24"/>
          <w:szCs w:val="24"/>
        </w:rPr>
      </w:pPr>
    </w:p>
    <w:p w14:paraId="0A58D62B" w14:textId="52D9ECC9" w:rsidR="00165447" w:rsidRPr="00DD18D8" w:rsidRDefault="007E43AC" w:rsidP="002E1B4E">
      <w:pPr>
        <w:pStyle w:val="Tekstpodstawowy21"/>
        <w:spacing w:line="276" w:lineRule="auto"/>
        <w:rPr>
          <w:sz w:val="24"/>
          <w:szCs w:val="24"/>
        </w:rPr>
      </w:pPr>
      <w:r w:rsidRPr="00DD18D8">
        <w:rPr>
          <w:sz w:val="24"/>
          <w:szCs w:val="24"/>
        </w:rPr>
        <w:t>Projekt r</w:t>
      </w:r>
      <w:r w:rsidR="008752A7" w:rsidRPr="00DD18D8">
        <w:rPr>
          <w:sz w:val="24"/>
          <w:szCs w:val="24"/>
        </w:rPr>
        <w:t>ozporządzeni</w:t>
      </w:r>
      <w:r w:rsidRPr="00DD18D8">
        <w:rPr>
          <w:sz w:val="24"/>
          <w:szCs w:val="24"/>
        </w:rPr>
        <w:t>a</w:t>
      </w:r>
      <w:r w:rsidR="00165447" w:rsidRPr="00DD18D8">
        <w:rPr>
          <w:sz w:val="24"/>
          <w:szCs w:val="24"/>
        </w:rPr>
        <w:t xml:space="preserve"> Ministra Edukacji </w:t>
      </w:r>
      <w:r w:rsidR="000C4251">
        <w:rPr>
          <w:sz w:val="24"/>
          <w:szCs w:val="24"/>
        </w:rPr>
        <w:t xml:space="preserve">i </w:t>
      </w:r>
      <w:r w:rsidR="00165447" w:rsidRPr="00DD18D8">
        <w:rPr>
          <w:sz w:val="24"/>
          <w:szCs w:val="24"/>
        </w:rPr>
        <w:t>Na</w:t>
      </w:r>
      <w:r w:rsidR="000C4251">
        <w:rPr>
          <w:sz w:val="24"/>
          <w:szCs w:val="24"/>
        </w:rPr>
        <w:t>uki</w:t>
      </w:r>
      <w:r w:rsidR="00165447" w:rsidRPr="00DD18D8">
        <w:rPr>
          <w:sz w:val="24"/>
          <w:szCs w:val="24"/>
        </w:rPr>
        <w:t xml:space="preserve"> w sprawie sposobu podziału części oświatowej subwencji ogólnej dla jednostek samorządu terytorialnego w roku </w:t>
      </w:r>
      <w:r w:rsidR="00242321" w:rsidRPr="00DD18D8">
        <w:rPr>
          <w:sz w:val="24"/>
          <w:szCs w:val="24"/>
        </w:rPr>
        <w:t>20</w:t>
      </w:r>
      <w:r w:rsidR="00B77544" w:rsidRPr="00DD18D8">
        <w:rPr>
          <w:sz w:val="24"/>
          <w:szCs w:val="24"/>
        </w:rPr>
        <w:t>2</w:t>
      </w:r>
      <w:r w:rsidR="00780FAF">
        <w:rPr>
          <w:sz w:val="24"/>
          <w:szCs w:val="24"/>
        </w:rPr>
        <w:t>1</w:t>
      </w:r>
      <w:r w:rsidR="002E1B4E" w:rsidRPr="00DD18D8">
        <w:rPr>
          <w:sz w:val="24"/>
          <w:szCs w:val="24"/>
        </w:rPr>
        <w:t xml:space="preserve"> </w:t>
      </w:r>
      <w:r w:rsidR="00165447" w:rsidRPr="00DD18D8">
        <w:rPr>
          <w:sz w:val="24"/>
          <w:szCs w:val="24"/>
        </w:rPr>
        <w:t xml:space="preserve">stanowi wykonanie upoważnienia zawartego w </w:t>
      </w:r>
      <w:r w:rsidR="009A58D6" w:rsidRPr="00DD18D8">
        <w:rPr>
          <w:sz w:val="24"/>
          <w:szCs w:val="24"/>
        </w:rPr>
        <w:t>art. 28 ust. 6 ustawy z dnia 13 </w:t>
      </w:r>
      <w:r w:rsidR="00165447" w:rsidRPr="00DD18D8">
        <w:rPr>
          <w:sz w:val="24"/>
          <w:szCs w:val="24"/>
        </w:rPr>
        <w:t>listopada 2003 r. o dochodach jednostek sa</w:t>
      </w:r>
      <w:r w:rsidR="007A1E89" w:rsidRPr="00DD18D8">
        <w:rPr>
          <w:sz w:val="24"/>
          <w:szCs w:val="24"/>
        </w:rPr>
        <w:t>morządu terytorialnego</w:t>
      </w:r>
      <w:r w:rsidR="002751F2" w:rsidRPr="00DD18D8">
        <w:rPr>
          <w:sz w:val="24"/>
          <w:szCs w:val="24"/>
        </w:rPr>
        <w:t xml:space="preserve"> </w:t>
      </w:r>
      <w:r w:rsidR="00C52E66" w:rsidRPr="00DD18D8">
        <w:rPr>
          <w:sz w:val="24"/>
          <w:szCs w:val="24"/>
        </w:rPr>
        <w:t>(</w:t>
      </w:r>
      <w:r w:rsidR="00496B0B">
        <w:rPr>
          <w:sz w:val="24"/>
          <w:szCs w:val="24"/>
        </w:rPr>
        <w:t>Dz.</w:t>
      </w:r>
      <w:r w:rsidR="000C4251">
        <w:rPr>
          <w:sz w:val="24"/>
          <w:szCs w:val="24"/>
        </w:rPr>
        <w:t xml:space="preserve"> </w:t>
      </w:r>
      <w:r w:rsidR="00496B0B">
        <w:rPr>
          <w:sz w:val="24"/>
          <w:szCs w:val="24"/>
        </w:rPr>
        <w:t>U. z 2020 r. poz. 23</w:t>
      </w:r>
      <w:r w:rsidRPr="00DD18D8">
        <w:rPr>
          <w:sz w:val="24"/>
          <w:szCs w:val="24"/>
        </w:rPr>
        <w:t>, z późn. zm.</w:t>
      </w:r>
      <w:r w:rsidR="00165447" w:rsidRPr="00DD18D8">
        <w:rPr>
          <w:sz w:val="24"/>
          <w:szCs w:val="24"/>
        </w:rPr>
        <w:t xml:space="preserve">). </w:t>
      </w:r>
    </w:p>
    <w:p w14:paraId="0D1CDC82" w14:textId="77777777" w:rsidR="00E27137" w:rsidRPr="00DD18D8" w:rsidRDefault="00882841" w:rsidP="002E1B4E">
      <w:pPr>
        <w:pStyle w:val="Tekstpodstawowy21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441323" w14:textId="77777777" w:rsidR="00996A66" w:rsidRPr="00DD18D8" w:rsidRDefault="00165447" w:rsidP="001666D5">
      <w:pPr>
        <w:pStyle w:val="Tekstpodstawowy21"/>
        <w:spacing w:line="276" w:lineRule="auto"/>
        <w:rPr>
          <w:sz w:val="24"/>
          <w:szCs w:val="24"/>
        </w:rPr>
      </w:pPr>
      <w:r w:rsidRPr="00DD18D8">
        <w:rPr>
          <w:sz w:val="24"/>
          <w:szCs w:val="24"/>
        </w:rPr>
        <w:t>W celu doprecyzowania sposobu mierzenia skali zadań oświatowych</w:t>
      </w:r>
      <w:r w:rsidR="002F4AFD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 xml:space="preserve">i dostosowania do nich wysokości </w:t>
      </w:r>
      <w:r w:rsidR="004A6528">
        <w:rPr>
          <w:sz w:val="24"/>
          <w:szCs w:val="24"/>
        </w:rPr>
        <w:t xml:space="preserve">części oświatowej </w:t>
      </w:r>
      <w:r w:rsidRPr="00DD18D8">
        <w:rPr>
          <w:sz w:val="24"/>
          <w:szCs w:val="24"/>
        </w:rPr>
        <w:t>subwencji</w:t>
      </w:r>
      <w:r w:rsidR="002F4AFD">
        <w:rPr>
          <w:sz w:val="24"/>
          <w:szCs w:val="24"/>
        </w:rPr>
        <w:t xml:space="preserve"> ogólnej dla poszczególnych jednostek samorządu terytorialnego</w:t>
      </w:r>
      <w:r w:rsidR="00893D28">
        <w:rPr>
          <w:sz w:val="24"/>
          <w:szCs w:val="24"/>
        </w:rPr>
        <w:t>, zwan</w:t>
      </w:r>
      <w:r w:rsidR="005935E2">
        <w:rPr>
          <w:sz w:val="24"/>
          <w:szCs w:val="24"/>
        </w:rPr>
        <w:t>ej</w:t>
      </w:r>
      <w:r w:rsidR="00893D28">
        <w:rPr>
          <w:sz w:val="24"/>
          <w:szCs w:val="24"/>
        </w:rPr>
        <w:t xml:space="preserve"> dalej </w:t>
      </w:r>
      <w:r w:rsidR="00893D28" w:rsidRPr="008078D6">
        <w:rPr>
          <w:sz w:val="24"/>
          <w:szCs w:val="24"/>
        </w:rPr>
        <w:t>„</w:t>
      </w:r>
      <w:r w:rsidR="00893D28" w:rsidRPr="004F1318">
        <w:rPr>
          <w:sz w:val="24"/>
          <w:szCs w:val="24"/>
        </w:rPr>
        <w:t>subwencją oświatową</w:t>
      </w:r>
      <w:r w:rsidR="00893D28" w:rsidRPr="008078D6">
        <w:rPr>
          <w:sz w:val="24"/>
          <w:szCs w:val="24"/>
        </w:rPr>
        <w:t>”</w:t>
      </w:r>
      <w:r w:rsidRPr="008078D6">
        <w:rPr>
          <w:sz w:val="24"/>
          <w:szCs w:val="24"/>
        </w:rPr>
        <w:t>,</w:t>
      </w:r>
      <w:r w:rsidRPr="00DD18D8">
        <w:rPr>
          <w:sz w:val="24"/>
          <w:szCs w:val="24"/>
        </w:rPr>
        <w:t xml:space="preserve"> </w:t>
      </w:r>
      <w:r w:rsidR="007E43AC" w:rsidRPr="00DD18D8">
        <w:rPr>
          <w:sz w:val="24"/>
          <w:szCs w:val="24"/>
        </w:rPr>
        <w:t xml:space="preserve">projekt </w:t>
      </w:r>
      <w:r w:rsidR="008752A7" w:rsidRPr="00DD18D8">
        <w:rPr>
          <w:sz w:val="24"/>
          <w:szCs w:val="24"/>
        </w:rPr>
        <w:t>rozporządzeni</w:t>
      </w:r>
      <w:r w:rsidR="007E43AC" w:rsidRPr="00DD18D8">
        <w:rPr>
          <w:sz w:val="24"/>
          <w:szCs w:val="24"/>
        </w:rPr>
        <w:t>a</w:t>
      </w:r>
      <w:r w:rsidRPr="00DD18D8">
        <w:rPr>
          <w:sz w:val="24"/>
          <w:szCs w:val="24"/>
        </w:rPr>
        <w:t xml:space="preserve"> uzależnia tę wysokość od liczby uczniów przeliczeniowych otrzymanej przez zastosowanie zróżnicowanych wag</w:t>
      </w:r>
      <w:r w:rsidR="00806409" w:rsidRPr="00DD18D8">
        <w:rPr>
          <w:sz w:val="24"/>
          <w:szCs w:val="24"/>
        </w:rPr>
        <w:t xml:space="preserve"> i wskaźników</w:t>
      </w:r>
      <w:r w:rsidRPr="00DD18D8">
        <w:rPr>
          <w:sz w:val="24"/>
          <w:szCs w:val="24"/>
        </w:rPr>
        <w:t xml:space="preserve"> dla wybranych kategorii uczniów</w:t>
      </w:r>
      <w:r w:rsidR="006C7303">
        <w:rPr>
          <w:sz w:val="24"/>
          <w:szCs w:val="24"/>
        </w:rPr>
        <w:t>, słuchaczy,</w:t>
      </w:r>
      <w:r w:rsidRPr="00DD18D8">
        <w:rPr>
          <w:sz w:val="24"/>
          <w:szCs w:val="24"/>
        </w:rPr>
        <w:t xml:space="preserve"> wychowanków</w:t>
      </w:r>
      <w:r w:rsidR="006C7303">
        <w:rPr>
          <w:sz w:val="24"/>
          <w:szCs w:val="24"/>
        </w:rPr>
        <w:t xml:space="preserve"> i dzieci, które ukończyły 6 lat </w:t>
      </w:r>
      <w:r w:rsidR="004330AD">
        <w:rPr>
          <w:sz w:val="24"/>
          <w:szCs w:val="24"/>
        </w:rPr>
        <w:t xml:space="preserve">lub więcej </w:t>
      </w:r>
      <w:r w:rsidR="006C7303">
        <w:rPr>
          <w:sz w:val="24"/>
          <w:szCs w:val="24"/>
        </w:rPr>
        <w:t>w roku bazowym,</w:t>
      </w:r>
      <w:r w:rsidRPr="00DD18D8">
        <w:rPr>
          <w:sz w:val="24"/>
          <w:szCs w:val="24"/>
        </w:rPr>
        <w:t xml:space="preserve"> określonych typów i rodzajów szkół oraz wskaźnika korygującego, uwzględniającego stopnie awansu zawodowego nauczycieli.</w:t>
      </w:r>
      <w:r w:rsidR="00237811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 xml:space="preserve">Zastosowanie tego wskaźnika umożliwi przekazanie relatywnie wyższych kwot subwencji </w:t>
      </w:r>
      <w:r w:rsidR="00EA064D">
        <w:rPr>
          <w:sz w:val="24"/>
          <w:szCs w:val="24"/>
        </w:rPr>
        <w:t>oświatowej</w:t>
      </w:r>
      <w:r w:rsidRPr="00DD18D8">
        <w:rPr>
          <w:sz w:val="24"/>
          <w:szCs w:val="24"/>
        </w:rPr>
        <w:t xml:space="preserve"> do tych jednostek samorządu terytorialnego, w których udział etatów nauczycieli o</w:t>
      </w:r>
      <w:r w:rsidR="005B0F3C" w:rsidRPr="00DD18D8">
        <w:rPr>
          <w:sz w:val="24"/>
          <w:szCs w:val="24"/>
        </w:rPr>
        <w:t> </w:t>
      </w:r>
      <w:r w:rsidRPr="00DD18D8">
        <w:rPr>
          <w:sz w:val="24"/>
          <w:szCs w:val="24"/>
        </w:rPr>
        <w:t xml:space="preserve">najwyższych stopniach awansu zawodowego w relacji do ogólnej liczby etatów nauczycieli jest wyższy niż średnio </w:t>
      </w:r>
      <w:r w:rsidR="009A58D6" w:rsidRPr="00DD18D8">
        <w:rPr>
          <w:sz w:val="24"/>
          <w:szCs w:val="24"/>
        </w:rPr>
        <w:t>w </w:t>
      </w:r>
      <w:r w:rsidRPr="00DD18D8">
        <w:rPr>
          <w:sz w:val="24"/>
          <w:szCs w:val="24"/>
        </w:rPr>
        <w:t>skali kraju, co przekłada się na poziom ponoszonych przez poszczególne jedn</w:t>
      </w:r>
      <w:r w:rsidR="006D5CA7" w:rsidRPr="00DD18D8">
        <w:rPr>
          <w:sz w:val="24"/>
          <w:szCs w:val="24"/>
        </w:rPr>
        <w:t>ostki samorządu terytorialnego</w:t>
      </w:r>
      <w:r w:rsidRPr="00DD18D8">
        <w:rPr>
          <w:sz w:val="24"/>
          <w:szCs w:val="24"/>
        </w:rPr>
        <w:t xml:space="preserve"> wydatków na wynagrodzenia nauczycieli.</w:t>
      </w:r>
      <w:r w:rsidR="00B77544" w:rsidRPr="00DD18D8">
        <w:rPr>
          <w:sz w:val="24"/>
          <w:szCs w:val="24"/>
        </w:rPr>
        <w:t xml:space="preserve"> Ponadto</w:t>
      </w:r>
      <w:r w:rsidR="002F4AFD">
        <w:rPr>
          <w:sz w:val="24"/>
          <w:szCs w:val="24"/>
        </w:rPr>
        <w:t>,</w:t>
      </w:r>
      <w:r w:rsidR="00B77544" w:rsidRPr="00DD18D8">
        <w:rPr>
          <w:sz w:val="24"/>
          <w:szCs w:val="24"/>
        </w:rPr>
        <w:t xml:space="preserve"> </w:t>
      </w:r>
      <w:r w:rsidR="002F4AFD" w:rsidRPr="00DD18D8">
        <w:rPr>
          <w:sz w:val="24"/>
          <w:szCs w:val="24"/>
        </w:rPr>
        <w:t xml:space="preserve">jednym z czynników uwzględnianych </w:t>
      </w:r>
      <w:r w:rsidR="00B77544" w:rsidRPr="00DD18D8">
        <w:rPr>
          <w:sz w:val="24"/>
          <w:szCs w:val="24"/>
        </w:rPr>
        <w:t xml:space="preserve">przy ustalaniu podziału subwencji </w:t>
      </w:r>
      <w:r w:rsidR="00EA064D">
        <w:rPr>
          <w:sz w:val="24"/>
          <w:szCs w:val="24"/>
        </w:rPr>
        <w:t>oświatowej</w:t>
      </w:r>
      <w:r w:rsidR="00B77544" w:rsidRPr="00DD18D8">
        <w:rPr>
          <w:sz w:val="24"/>
          <w:szCs w:val="24"/>
        </w:rPr>
        <w:t xml:space="preserve"> jest sytuacja finansowa </w:t>
      </w:r>
      <w:r w:rsidR="006C7303">
        <w:rPr>
          <w:sz w:val="24"/>
          <w:szCs w:val="24"/>
        </w:rPr>
        <w:t>jednostek samorządu terytorialnego</w:t>
      </w:r>
      <w:r w:rsidR="00B77544" w:rsidRPr="00DD18D8">
        <w:rPr>
          <w:sz w:val="24"/>
          <w:szCs w:val="24"/>
        </w:rPr>
        <w:t xml:space="preserve">. </w:t>
      </w:r>
      <w:r w:rsidR="0091072C">
        <w:rPr>
          <w:sz w:val="24"/>
          <w:szCs w:val="24"/>
        </w:rPr>
        <w:t>Obecny</w:t>
      </w:r>
      <w:r w:rsidR="0091072C" w:rsidRPr="00DD18D8">
        <w:rPr>
          <w:sz w:val="24"/>
          <w:szCs w:val="24"/>
        </w:rPr>
        <w:t xml:space="preserve"> </w:t>
      </w:r>
      <w:r w:rsidR="00B77544" w:rsidRPr="00DD18D8">
        <w:rPr>
          <w:sz w:val="24"/>
          <w:szCs w:val="24"/>
        </w:rPr>
        <w:t xml:space="preserve">model podziału subwencji </w:t>
      </w:r>
      <w:r w:rsidR="00EA064D">
        <w:rPr>
          <w:sz w:val="24"/>
          <w:szCs w:val="24"/>
        </w:rPr>
        <w:t xml:space="preserve">oświatowej </w:t>
      </w:r>
      <w:r w:rsidR="00B77544" w:rsidRPr="00DD18D8">
        <w:rPr>
          <w:sz w:val="24"/>
          <w:szCs w:val="24"/>
        </w:rPr>
        <w:t>bazuje głównie na liczbie uczniów</w:t>
      </w:r>
      <w:r w:rsidR="008177B4">
        <w:rPr>
          <w:sz w:val="24"/>
          <w:szCs w:val="24"/>
        </w:rPr>
        <w:t>, słuchaczy</w:t>
      </w:r>
      <w:r w:rsidR="00497BC6">
        <w:rPr>
          <w:sz w:val="24"/>
          <w:szCs w:val="24"/>
        </w:rPr>
        <w:t>,</w:t>
      </w:r>
      <w:r w:rsidR="00B77544" w:rsidRPr="00DD18D8">
        <w:rPr>
          <w:sz w:val="24"/>
          <w:szCs w:val="24"/>
        </w:rPr>
        <w:t xml:space="preserve"> wychowanków</w:t>
      </w:r>
      <w:r w:rsidR="00497BC6">
        <w:rPr>
          <w:sz w:val="24"/>
          <w:szCs w:val="24"/>
        </w:rPr>
        <w:t xml:space="preserve"> i dzieci, które ukończyły 6 lat </w:t>
      </w:r>
      <w:r w:rsidR="004330AD">
        <w:rPr>
          <w:sz w:val="24"/>
          <w:szCs w:val="24"/>
        </w:rPr>
        <w:t xml:space="preserve">lub więcej </w:t>
      </w:r>
      <w:r w:rsidR="00497BC6">
        <w:rPr>
          <w:sz w:val="24"/>
          <w:szCs w:val="24"/>
        </w:rPr>
        <w:t>w roku bazowym</w:t>
      </w:r>
      <w:r w:rsidR="00B77544" w:rsidRPr="00DD18D8">
        <w:rPr>
          <w:sz w:val="24"/>
          <w:szCs w:val="24"/>
        </w:rPr>
        <w:t xml:space="preserve">. Oznacza to, że wzrost czy spadek </w:t>
      </w:r>
      <w:r w:rsidR="002F4AFD" w:rsidRPr="00DD18D8">
        <w:rPr>
          <w:sz w:val="24"/>
          <w:szCs w:val="24"/>
        </w:rPr>
        <w:t>subwencji dla dane</w:t>
      </w:r>
      <w:r w:rsidR="00AD12EF">
        <w:rPr>
          <w:sz w:val="24"/>
          <w:szCs w:val="24"/>
        </w:rPr>
        <w:t>j jednostki</w:t>
      </w:r>
      <w:r w:rsidR="002F4AFD">
        <w:rPr>
          <w:sz w:val="24"/>
          <w:szCs w:val="24"/>
        </w:rPr>
        <w:t xml:space="preserve"> </w:t>
      </w:r>
      <w:r w:rsidR="002F4AFD" w:rsidRPr="00DD18D8">
        <w:rPr>
          <w:sz w:val="24"/>
          <w:szCs w:val="24"/>
        </w:rPr>
        <w:t xml:space="preserve">samorządu </w:t>
      </w:r>
      <w:r w:rsidR="00AD12EF">
        <w:rPr>
          <w:sz w:val="24"/>
          <w:szCs w:val="24"/>
        </w:rPr>
        <w:t xml:space="preserve">terytorialnego </w:t>
      </w:r>
      <w:r w:rsidR="00B77544" w:rsidRPr="00DD18D8">
        <w:rPr>
          <w:sz w:val="24"/>
          <w:szCs w:val="24"/>
        </w:rPr>
        <w:t>jest w dużym stopniu powiązany ze wzrostem lub spadkiem</w:t>
      </w:r>
      <w:r w:rsidR="002F4AFD" w:rsidRPr="002F4AFD">
        <w:rPr>
          <w:sz w:val="24"/>
          <w:szCs w:val="24"/>
        </w:rPr>
        <w:t xml:space="preserve"> </w:t>
      </w:r>
      <w:r w:rsidR="002F4AFD" w:rsidRPr="00DD18D8">
        <w:rPr>
          <w:sz w:val="24"/>
          <w:szCs w:val="24"/>
        </w:rPr>
        <w:t>liczby uczniów</w:t>
      </w:r>
      <w:r w:rsidR="008177B4">
        <w:rPr>
          <w:sz w:val="24"/>
          <w:szCs w:val="24"/>
        </w:rPr>
        <w:t>, słuchaczy</w:t>
      </w:r>
      <w:r w:rsidR="00497BC6">
        <w:rPr>
          <w:sz w:val="24"/>
          <w:szCs w:val="24"/>
        </w:rPr>
        <w:t>,</w:t>
      </w:r>
      <w:r w:rsidR="008177B4">
        <w:rPr>
          <w:sz w:val="24"/>
          <w:szCs w:val="24"/>
        </w:rPr>
        <w:t xml:space="preserve"> wychowanków</w:t>
      </w:r>
      <w:r w:rsidR="00EA064D" w:rsidRPr="00EA064D">
        <w:rPr>
          <w:sz w:val="24"/>
          <w:szCs w:val="24"/>
        </w:rPr>
        <w:t xml:space="preserve"> </w:t>
      </w:r>
      <w:r w:rsidR="00497BC6">
        <w:rPr>
          <w:sz w:val="24"/>
          <w:szCs w:val="24"/>
        </w:rPr>
        <w:t>lub</w:t>
      </w:r>
      <w:r w:rsidR="00EA064D">
        <w:rPr>
          <w:sz w:val="24"/>
          <w:szCs w:val="24"/>
        </w:rPr>
        <w:t xml:space="preserve"> dzieci, które ukończyły 6 lat</w:t>
      </w:r>
      <w:r w:rsidR="004330AD" w:rsidRPr="004330AD">
        <w:rPr>
          <w:sz w:val="24"/>
          <w:szCs w:val="24"/>
        </w:rPr>
        <w:t xml:space="preserve"> </w:t>
      </w:r>
      <w:r w:rsidR="004330AD">
        <w:rPr>
          <w:sz w:val="24"/>
          <w:szCs w:val="24"/>
        </w:rPr>
        <w:t>lub więcej</w:t>
      </w:r>
      <w:r w:rsidR="00EA064D">
        <w:rPr>
          <w:sz w:val="24"/>
          <w:szCs w:val="24"/>
        </w:rPr>
        <w:t xml:space="preserve"> w roku bazowym</w:t>
      </w:r>
      <w:r w:rsidR="00B77544" w:rsidRPr="00DD18D8">
        <w:rPr>
          <w:sz w:val="24"/>
          <w:szCs w:val="24"/>
        </w:rPr>
        <w:t>. Natomiast zmiana liczby uczniów</w:t>
      </w:r>
      <w:r w:rsidR="008177B4">
        <w:rPr>
          <w:sz w:val="24"/>
          <w:szCs w:val="24"/>
        </w:rPr>
        <w:t>, słuchaczy</w:t>
      </w:r>
      <w:r w:rsidR="00EA064D">
        <w:rPr>
          <w:sz w:val="24"/>
          <w:szCs w:val="24"/>
        </w:rPr>
        <w:t>,</w:t>
      </w:r>
      <w:r w:rsidR="008177B4">
        <w:rPr>
          <w:sz w:val="24"/>
          <w:szCs w:val="24"/>
        </w:rPr>
        <w:t xml:space="preserve"> wychowanków</w:t>
      </w:r>
      <w:r w:rsidR="00B77544" w:rsidRPr="00DD18D8">
        <w:rPr>
          <w:sz w:val="24"/>
          <w:szCs w:val="24"/>
        </w:rPr>
        <w:t xml:space="preserve"> </w:t>
      </w:r>
      <w:r w:rsidR="000F2B07">
        <w:rPr>
          <w:sz w:val="24"/>
          <w:szCs w:val="24"/>
        </w:rPr>
        <w:t xml:space="preserve">lub dzieci, które ukończyły 6 lat </w:t>
      </w:r>
      <w:r w:rsidR="004330AD">
        <w:rPr>
          <w:sz w:val="24"/>
          <w:szCs w:val="24"/>
        </w:rPr>
        <w:t xml:space="preserve">lub więcej </w:t>
      </w:r>
      <w:r w:rsidR="000F2B07">
        <w:rPr>
          <w:sz w:val="24"/>
          <w:szCs w:val="24"/>
        </w:rPr>
        <w:t>w roku bazowym,</w:t>
      </w:r>
      <w:r w:rsidR="000F2B07" w:rsidRPr="00DD18D8">
        <w:rPr>
          <w:sz w:val="24"/>
          <w:szCs w:val="24"/>
        </w:rPr>
        <w:t xml:space="preserve"> </w:t>
      </w:r>
      <w:r w:rsidR="00B77544" w:rsidRPr="00DD18D8">
        <w:rPr>
          <w:sz w:val="24"/>
          <w:szCs w:val="24"/>
        </w:rPr>
        <w:t>nie</w:t>
      </w:r>
      <w:r w:rsidR="002F4AFD">
        <w:rPr>
          <w:sz w:val="24"/>
          <w:szCs w:val="24"/>
        </w:rPr>
        <w:t xml:space="preserve"> </w:t>
      </w:r>
      <w:r w:rsidR="00B77544" w:rsidRPr="00DD18D8">
        <w:rPr>
          <w:sz w:val="24"/>
          <w:szCs w:val="24"/>
        </w:rPr>
        <w:t xml:space="preserve">zawsze przekłada się na wzrost lub spadek poziomu </w:t>
      </w:r>
      <w:r w:rsidR="002D0B50">
        <w:rPr>
          <w:sz w:val="24"/>
          <w:szCs w:val="24"/>
        </w:rPr>
        <w:t>wydatków bieżących</w:t>
      </w:r>
      <w:r w:rsidR="00B77544" w:rsidRPr="00DD18D8">
        <w:rPr>
          <w:sz w:val="24"/>
          <w:szCs w:val="24"/>
        </w:rPr>
        <w:t xml:space="preserve"> ponoszonych przez </w:t>
      </w:r>
      <w:r w:rsidR="003414BF">
        <w:rPr>
          <w:sz w:val="24"/>
          <w:szCs w:val="24"/>
        </w:rPr>
        <w:t xml:space="preserve">jednostki </w:t>
      </w:r>
      <w:r w:rsidR="00B77544" w:rsidRPr="00DD18D8">
        <w:rPr>
          <w:sz w:val="24"/>
          <w:szCs w:val="24"/>
        </w:rPr>
        <w:t>samorząd</w:t>
      </w:r>
      <w:r w:rsidR="003414BF">
        <w:rPr>
          <w:sz w:val="24"/>
          <w:szCs w:val="24"/>
        </w:rPr>
        <w:t>u</w:t>
      </w:r>
      <w:r w:rsidR="00B77544" w:rsidRPr="00DD18D8">
        <w:rPr>
          <w:sz w:val="24"/>
          <w:szCs w:val="24"/>
        </w:rPr>
        <w:t xml:space="preserve"> </w:t>
      </w:r>
      <w:r w:rsidR="003414BF">
        <w:rPr>
          <w:sz w:val="24"/>
          <w:szCs w:val="24"/>
        </w:rPr>
        <w:t xml:space="preserve">terytorialnego </w:t>
      </w:r>
      <w:r w:rsidR="00B77544" w:rsidRPr="00DD18D8">
        <w:rPr>
          <w:sz w:val="24"/>
          <w:szCs w:val="24"/>
        </w:rPr>
        <w:t>na funkcjonowanie szkół</w:t>
      </w:r>
      <w:r w:rsidR="000E7D87">
        <w:rPr>
          <w:sz w:val="24"/>
          <w:szCs w:val="24"/>
        </w:rPr>
        <w:t xml:space="preserve"> lub placówek</w:t>
      </w:r>
      <w:r w:rsidR="00B77544" w:rsidRPr="00DD18D8">
        <w:rPr>
          <w:sz w:val="24"/>
          <w:szCs w:val="24"/>
        </w:rPr>
        <w:t xml:space="preserve">. </w:t>
      </w:r>
      <w:r w:rsidR="002701F0">
        <w:rPr>
          <w:sz w:val="24"/>
          <w:szCs w:val="24"/>
        </w:rPr>
        <w:t xml:space="preserve">Ten </w:t>
      </w:r>
      <w:r w:rsidR="002F4AFD">
        <w:rPr>
          <w:sz w:val="24"/>
          <w:szCs w:val="24"/>
        </w:rPr>
        <w:t>c</w:t>
      </w:r>
      <w:r w:rsidR="00A24503">
        <w:rPr>
          <w:sz w:val="24"/>
          <w:szCs w:val="24"/>
        </w:rPr>
        <w:t>zynnik</w:t>
      </w:r>
      <w:r w:rsidR="002F4AFD">
        <w:rPr>
          <w:sz w:val="24"/>
          <w:szCs w:val="24"/>
        </w:rPr>
        <w:t xml:space="preserve"> </w:t>
      </w:r>
      <w:r w:rsidR="00B77544" w:rsidRPr="00DD18D8">
        <w:rPr>
          <w:sz w:val="24"/>
          <w:szCs w:val="24"/>
        </w:rPr>
        <w:t>ma na celu finansow</w:t>
      </w:r>
      <w:r w:rsidR="000539AE">
        <w:rPr>
          <w:sz w:val="24"/>
          <w:szCs w:val="24"/>
        </w:rPr>
        <w:t>e wsparcie</w:t>
      </w:r>
      <w:r w:rsidR="00B77544" w:rsidRPr="00DD18D8">
        <w:rPr>
          <w:sz w:val="24"/>
          <w:szCs w:val="24"/>
        </w:rPr>
        <w:t xml:space="preserve"> </w:t>
      </w:r>
      <w:r w:rsidR="000539AE">
        <w:rPr>
          <w:sz w:val="24"/>
          <w:szCs w:val="24"/>
        </w:rPr>
        <w:t>mniej zamożnych</w:t>
      </w:r>
      <w:r w:rsidR="000539AE" w:rsidRPr="00DD18D8">
        <w:rPr>
          <w:sz w:val="24"/>
          <w:szCs w:val="24"/>
        </w:rPr>
        <w:t xml:space="preserve"> </w:t>
      </w:r>
      <w:r w:rsidR="00AD12EF">
        <w:rPr>
          <w:sz w:val="24"/>
          <w:szCs w:val="24"/>
        </w:rPr>
        <w:t xml:space="preserve">jednostek </w:t>
      </w:r>
      <w:r w:rsidR="000539AE">
        <w:rPr>
          <w:sz w:val="24"/>
          <w:szCs w:val="24"/>
        </w:rPr>
        <w:t>samorząd</w:t>
      </w:r>
      <w:r w:rsidR="00AD12EF">
        <w:rPr>
          <w:sz w:val="24"/>
          <w:szCs w:val="24"/>
        </w:rPr>
        <w:t>u terytorialnego</w:t>
      </w:r>
      <w:r w:rsidR="003414BF">
        <w:rPr>
          <w:sz w:val="24"/>
          <w:szCs w:val="24"/>
        </w:rPr>
        <w:t xml:space="preserve"> </w:t>
      </w:r>
      <w:r w:rsidR="000539AE">
        <w:rPr>
          <w:sz w:val="24"/>
          <w:szCs w:val="24"/>
        </w:rPr>
        <w:t xml:space="preserve">przez przekazanie im </w:t>
      </w:r>
      <w:r w:rsidR="00B77544" w:rsidRPr="00DD18D8">
        <w:rPr>
          <w:sz w:val="24"/>
          <w:szCs w:val="24"/>
        </w:rPr>
        <w:t>zwiększonej subwencji</w:t>
      </w:r>
      <w:r w:rsidR="000539AE">
        <w:rPr>
          <w:sz w:val="24"/>
          <w:szCs w:val="24"/>
        </w:rPr>
        <w:t xml:space="preserve"> oświatowej</w:t>
      </w:r>
      <w:r w:rsidR="00B77544" w:rsidRPr="00DD18D8">
        <w:rPr>
          <w:sz w:val="24"/>
          <w:szCs w:val="24"/>
        </w:rPr>
        <w:t>.</w:t>
      </w:r>
      <w:r w:rsidR="007828CC">
        <w:rPr>
          <w:sz w:val="24"/>
          <w:szCs w:val="24"/>
        </w:rPr>
        <w:t xml:space="preserve"> </w:t>
      </w:r>
    </w:p>
    <w:p w14:paraId="799EEA1F" w14:textId="10706406" w:rsidR="009C63ED" w:rsidRPr="00DD18D8" w:rsidRDefault="00165447" w:rsidP="001666D5">
      <w:pPr>
        <w:pStyle w:val="Tekstpodstawowy21"/>
        <w:spacing w:before="240" w:line="276" w:lineRule="auto"/>
        <w:rPr>
          <w:sz w:val="24"/>
          <w:szCs w:val="24"/>
        </w:rPr>
      </w:pPr>
      <w:r w:rsidRPr="00DD18D8">
        <w:rPr>
          <w:sz w:val="24"/>
          <w:szCs w:val="24"/>
        </w:rPr>
        <w:t>W zastosowanej w</w:t>
      </w:r>
      <w:r w:rsidR="00125CFF" w:rsidRPr="00DD18D8">
        <w:rPr>
          <w:sz w:val="24"/>
          <w:szCs w:val="24"/>
        </w:rPr>
        <w:t xml:space="preserve"> </w:t>
      </w:r>
      <w:r w:rsidR="007E43AC" w:rsidRPr="00DD18D8">
        <w:rPr>
          <w:sz w:val="24"/>
          <w:szCs w:val="24"/>
        </w:rPr>
        <w:t xml:space="preserve">projekcie </w:t>
      </w:r>
      <w:r w:rsidR="008752A7" w:rsidRPr="00DD18D8">
        <w:rPr>
          <w:sz w:val="24"/>
          <w:szCs w:val="24"/>
        </w:rPr>
        <w:t>rozporządzeni</w:t>
      </w:r>
      <w:r w:rsidR="007E43AC" w:rsidRPr="00DD18D8">
        <w:rPr>
          <w:sz w:val="24"/>
          <w:szCs w:val="24"/>
        </w:rPr>
        <w:t>a</w:t>
      </w:r>
      <w:r w:rsidRPr="00DD18D8">
        <w:rPr>
          <w:sz w:val="24"/>
          <w:szCs w:val="24"/>
        </w:rPr>
        <w:t xml:space="preserve"> kalkulacji</w:t>
      </w:r>
      <w:r w:rsidR="00A24503">
        <w:rPr>
          <w:sz w:val="24"/>
          <w:szCs w:val="24"/>
        </w:rPr>
        <w:t>,</w:t>
      </w:r>
      <w:r w:rsidRPr="00DD18D8">
        <w:rPr>
          <w:sz w:val="24"/>
          <w:szCs w:val="24"/>
        </w:rPr>
        <w:t xml:space="preserve"> liczba uczniów przeliczeniowych </w:t>
      </w:r>
      <w:r w:rsidR="00090233" w:rsidRPr="00DD18D8">
        <w:rPr>
          <w:sz w:val="24"/>
          <w:szCs w:val="24"/>
        </w:rPr>
        <w:t xml:space="preserve">jest </w:t>
      </w:r>
      <w:r w:rsidRPr="00DD18D8">
        <w:rPr>
          <w:sz w:val="24"/>
          <w:szCs w:val="24"/>
        </w:rPr>
        <w:t>przemnażana przez finansowy standard podziału subwencji</w:t>
      </w:r>
      <w:r w:rsidR="003414BF">
        <w:rPr>
          <w:sz w:val="24"/>
          <w:szCs w:val="24"/>
        </w:rPr>
        <w:t xml:space="preserve"> oświatowej</w:t>
      </w:r>
      <w:r w:rsidRPr="00DD18D8">
        <w:rPr>
          <w:sz w:val="24"/>
          <w:szCs w:val="24"/>
        </w:rPr>
        <w:t>. Standard ten (oznaczony symbolem „A” w załączniku do</w:t>
      </w:r>
      <w:r w:rsidR="00C5161A">
        <w:rPr>
          <w:sz w:val="24"/>
          <w:szCs w:val="24"/>
        </w:rPr>
        <w:t xml:space="preserve"> projektu</w:t>
      </w:r>
      <w:r w:rsidRPr="00DD18D8">
        <w:rPr>
          <w:sz w:val="24"/>
          <w:szCs w:val="24"/>
        </w:rPr>
        <w:t xml:space="preserve"> </w:t>
      </w:r>
      <w:r w:rsidR="008752A7" w:rsidRPr="00DD18D8">
        <w:rPr>
          <w:sz w:val="24"/>
          <w:szCs w:val="24"/>
        </w:rPr>
        <w:t>rozporządzenia</w:t>
      </w:r>
      <w:r w:rsidRPr="00DD18D8">
        <w:rPr>
          <w:sz w:val="24"/>
          <w:szCs w:val="24"/>
        </w:rPr>
        <w:t>) otrzymuje się dzieląc kwotę ogólną subwencji</w:t>
      </w:r>
      <w:r w:rsidR="003414BF">
        <w:rPr>
          <w:sz w:val="24"/>
          <w:szCs w:val="24"/>
        </w:rPr>
        <w:t xml:space="preserve"> oświatowej</w:t>
      </w:r>
      <w:r w:rsidRPr="00DD18D8">
        <w:rPr>
          <w:sz w:val="24"/>
          <w:szCs w:val="24"/>
        </w:rPr>
        <w:t xml:space="preserve"> </w:t>
      </w:r>
      <w:r w:rsidR="00237811" w:rsidRPr="00DD18D8">
        <w:rPr>
          <w:sz w:val="24"/>
          <w:szCs w:val="24"/>
        </w:rPr>
        <w:t>(</w:t>
      </w:r>
      <w:r w:rsidRPr="00DD18D8">
        <w:rPr>
          <w:sz w:val="24"/>
          <w:szCs w:val="24"/>
        </w:rPr>
        <w:t>SO</w:t>
      </w:r>
      <w:r w:rsidR="00237811" w:rsidRPr="00DD18D8">
        <w:rPr>
          <w:sz w:val="24"/>
          <w:szCs w:val="24"/>
        </w:rPr>
        <w:t>)</w:t>
      </w:r>
      <w:r w:rsidRPr="00DD18D8">
        <w:rPr>
          <w:sz w:val="24"/>
          <w:szCs w:val="24"/>
        </w:rPr>
        <w:t xml:space="preserve"> pomniejszoną o 0,</w:t>
      </w:r>
      <w:r w:rsidR="00237811" w:rsidRPr="00DD18D8">
        <w:rPr>
          <w:sz w:val="24"/>
          <w:szCs w:val="24"/>
        </w:rPr>
        <w:t>4</w:t>
      </w:r>
      <w:r w:rsidRPr="00DD18D8">
        <w:rPr>
          <w:sz w:val="24"/>
          <w:szCs w:val="24"/>
        </w:rPr>
        <w:t xml:space="preserve">% rezerwy, przez ogólną liczbę uczniów przeliczeniowych. Zgodnie z algorytmem podziału </w:t>
      </w:r>
      <w:r w:rsidR="00B37EEF" w:rsidRPr="00DD18D8">
        <w:rPr>
          <w:sz w:val="24"/>
          <w:szCs w:val="24"/>
        </w:rPr>
        <w:t xml:space="preserve">subwencji </w:t>
      </w:r>
      <w:r w:rsidR="000F2B07">
        <w:rPr>
          <w:sz w:val="24"/>
          <w:szCs w:val="24"/>
        </w:rPr>
        <w:t>oświatowej</w:t>
      </w:r>
      <w:r w:rsidR="00B37EEF" w:rsidRPr="00DD18D8">
        <w:rPr>
          <w:sz w:val="24"/>
          <w:szCs w:val="24"/>
        </w:rPr>
        <w:t xml:space="preserve"> </w:t>
      </w:r>
      <w:r w:rsidR="0033620E">
        <w:rPr>
          <w:sz w:val="24"/>
          <w:szCs w:val="24"/>
        </w:rPr>
        <w:t xml:space="preserve">w </w:t>
      </w:r>
      <w:r w:rsidRPr="00DD18D8">
        <w:rPr>
          <w:sz w:val="24"/>
          <w:szCs w:val="24"/>
        </w:rPr>
        <w:t>rok</w:t>
      </w:r>
      <w:r w:rsidR="0033620E">
        <w:rPr>
          <w:sz w:val="24"/>
          <w:szCs w:val="24"/>
        </w:rPr>
        <w:t>u</w:t>
      </w:r>
      <w:r w:rsidRPr="00DD18D8">
        <w:rPr>
          <w:sz w:val="24"/>
          <w:szCs w:val="24"/>
        </w:rPr>
        <w:t xml:space="preserve"> </w:t>
      </w:r>
      <w:r w:rsidR="00242321" w:rsidRPr="00DD18D8">
        <w:rPr>
          <w:sz w:val="24"/>
          <w:szCs w:val="24"/>
        </w:rPr>
        <w:t>20</w:t>
      </w:r>
      <w:r w:rsidR="00B77544" w:rsidRPr="00DD18D8">
        <w:rPr>
          <w:sz w:val="24"/>
          <w:szCs w:val="24"/>
        </w:rPr>
        <w:t>2</w:t>
      </w:r>
      <w:r w:rsidR="00496B0B">
        <w:rPr>
          <w:sz w:val="24"/>
          <w:szCs w:val="24"/>
        </w:rPr>
        <w:t>1</w:t>
      </w:r>
      <w:r w:rsidR="00242321" w:rsidRPr="00DD18D8">
        <w:rPr>
          <w:sz w:val="24"/>
          <w:szCs w:val="24"/>
        </w:rPr>
        <w:t xml:space="preserve"> </w:t>
      </w:r>
      <w:r w:rsidR="001F1E61" w:rsidRPr="00DD18D8">
        <w:rPr>
          <w:sz w:val="24"/>
          <w:szCs w:val="24"/>
        </w:rPr>
        <w:t xml:space="preserve">szacuje się, że </w:t>
      </w:r>
      <w:r w:rsidR="007A1E89" w:rsidRPr="00DD18D8">
        <w:rPr>
          <w:sz w:val="24"/>
          <w:szCs w:val="24"/>
        </w:rPr>
        <w:t>finansowy standard</w:t>
      </w:r>
      <w:r w:rsidR="009C63ED" w:rsidRPr="00DD18D8">
        <w:rPr>
          <w:sz w:val="24"/>
          <w:szCs w:val="24"/>
        </w:rPr>
        <w:t> </w:t>
      </w:r>
      <w:r w:rsidR="007A1E89" w:rsidRPr="00DD18D8">
        <w:rPr>
          <w:sz w:val="24"/>
          <w:szCs w:val="24"/>
        </w:rPr>
        <w:t xml:space="preserve">A </w:t>
      </w:r>
      <w:r w:rsidR="009C63ED" w:rsidRPr="00DD18D8">
        <w:rPr>
          <w:sz w:val="24"/>
          <w:szCs w:val="24"/>
        </w:rPr>
        <w:t>wyniesie</w:t>
      </w:r>
      <w:r w:rsidR="006D5A9B" w:rsidRPr="00DD18D8">
        <w:rPr>
          <w:sz w:val="24"/>
          <w:szCs w:val="24"/>
        </w:rPr>
        <w:t xml:space="preserve"> ok.</w:t>
      </w:r>
      <w:r w:rsidR="009C63ED" w:rsidRPr="00DD18D8">
        <w:rPr>
          <w:sz w:val="24"/>
          <w:szCs w:val="24"/>
        </w:rPr>
        <w:t xml:space="preserve"> </w:t>
      </w:r>
      <w:r w:rsidR="00AD77B3">
        <w:rPr>
          <w:sz w:val="24"/>
          <w:szCs w:val="24"/>
        </w:rPr>
        <w:t>6.110</w:t>
      </w:r>
      <w:r w:rsidR="009E58F3" w:rsidRPr="00DD18D8">
        <w:rPr>
          <w:rStyle w:val="Odwoanieprzypisudolnego"/>
          <w:sz w:val="24"/>
          <w:szCs w:val="24"/>
        </w:rPr>
        <w:footnoteReference w:id="2"/>
      </w:r>
      <w:r w:rsidR="00946C35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>zł</w:t>
      </w:r>
      <w:r w:rsidR="002D690D" w:rsidRPr="00DD18D8">
        <w:rPr>
          <w:sz w:val="24"/>
          <w:szCs w:val="24"/>
        </w:rPr>
        <w:t>.</w:t>
      </w:r>
      <w:r w:rsidR="004C32BB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 xml:space="preserve">W stosunku do roku </w:t>
      </w:r>
      <w:r w:rsidR="00242321" w:rsidRPr="00DD18D8">
        <w:rPr>
          <w:sz w:val="24"/>
          <w:szCs w:val="24"/>
        </w:rPr>
        <w:t>20</w:t>
      </w:r>
      <w:r w:rsidR="00AD77B3">
        <w:rPr>
          <w:sz w:val="24"/>
          <w:szCs w:val="24"/>
        </w:rPr>
        <w:t>20</w:t>
      </w:r>
      <w:r w:rsidR="00242321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>(</w:t>
      </w:r>
      <w:r w:rsidR="00AD77B3">
        <w:rPr>
          <w:sz w:val="24"/>
          <w:szCs w:val="24"/>
        </w:rPr>
        <w:t>5.918</w:t>
      </w:r>
      <w:r w:rsidR="00B77544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 xml:space="preserve">zł) wzrośnie on </w:t>
      </w:r>
      <w:r w:rsidR="004F606C" w:rsidRPr="00DD18D8">
        <w:rPr>
          <w:sz w:val="24"/>
          <w:szCs w:val="24"/>
        </w:rPr>
        <w:t>o</w:t>
      </w:r>
      <w:r w:rsidR="009C63ED" w:rsidRPr="00DD18D8">
        <w:rPr>
          <w:sz w:val="24"/>
          <w:szCs w:val="24"/>
        </w:rPr>
        <w:t xml:space="preserve"> ok. </w:t>
      </w:r>
      <w:r w:rsidR="00AD77B3">
        <w:rPr>
          <w:sz w:val="24"/>
          <w:szCs w:val="24"/>
        </w:rPr>
        <w:t>3,2</w:t>
      </w:r>
      <w:r w:rsidR="009C63ED" w:rsidRPr="00DD18D8">
        <w:rPr>
          <w:sz w:val="24"/>
          <w:szCs w:val="24"/>
        </w:rPr>
        <w:t xml:space="preserve">%, tj. o ok. </w:t>
      </w:r>
      <w:r w:rsidR="00AD77B3">
        <w:rPr>
          <w:sz w:val="24"/>
          <w:szCs w:val="24"/>
        </w:rPr>
        <w:t>192</w:t>
      </w:r>
      <w:r w:rsidR="00AD77B3" w:rsidRPr="00DD18D8">
        <w:rPr>
          <w:sz w:val="24"/>
          <w:szCs w:val="24"/>
        </w:rPr>
        <w:t xml:space="preserve"> </w:t>
      </w:r>
      <w:r w:rsidR="009C63ED" w:rsidRPr="00DD18D8">
        <w:rPr>
          <w:sz w:val="24"/>
          <w:szCs w:val="24"/>
        </w:rPr>
        <w:t xml:space="preserve">zł. </w:t>
      </w:r>
    </w:p>
    <w:p w14:paraId="6088A13E" w14:textId="77777777" w:rsidR="00020A72" w:rsidRPr="00DD18D8" w:rsidRDefault="00020A72" w:rsidP="001666D5">
      <w:pPr>
        <w:pStyle w:val="Tekstpodstawowy31"/>
        <w:spacing w:before="240" w:line="276" w:lineRule="auto"/>
        <w:jc w:val="both"/>
        <w:rPr>
          <w:sz w:val="24"/>
          <w:szCs w:val="24"/>
        </w:rPr>
      </w:pPr>
      <w:r w:rsidRPr="00DD18D8">
        <w:rPr>
          <w:sz w:val="24"/>
          <w:szCs w:val="24"/>
        </w:rPr>
        <w:t>Przepisy</w:t>
      </w:r>
      <w:r w:rsidR="00125CFF" w:rsidRPr="00DD18D8">
        <w:rPr>
          <w:sz w:val="24"/>
          <w:szCs w:val="24"/>
        </w:rPr>
        <w:t xml:space="preserve"> </w:t>
      </w:r>
      <w:r w:rsidR="004F606C" w:rsidRPr="00DD18D8">
        <w:rPr>
          <w:sz w:val="24"/>
          <w:szCs w:val="24"/>
        </w:rPr>
        <w:t xml:space="preserve">projektu </w:t>
      </w:r>
      <w:r w:rsidR="008752A7" w:rsidRPr="00DD18D8">
        <w:rPr>
          <w:sz w:val="24"/>
          <w:szCs w:val="24"/>
        </w:rPr>
        <w:t>rozporządzenia</w:t>
      </w:r>
      <w:r w:rsidRPr="00DD18D8">
        <w:rPr>
          <w:sz w:val="24"/>
          <w:szCs w:val="24"/>
        </w:rPr>
        <w:t xml:space="preserve"> </w:t>
      </w:r>
      <w:r w:rsidR="00407F10">
        <w:rPr>
          <w:sz w:val="24"/>
          <w:szCs w:val="24"/>
        </w:rPr>
        <w:t>(</w:t>
      </w:r>
      <w:r w:rsidRPr="00DD18D8">
        <w:rPr>
          <w:sz w:val="24"/>
          <w:szCs w:val="24"/>
        </w:rPr>
        <w:t>§ 1 i 2</w:t>
      </w:r>
      <w:r w:rsidR="00407F10">
        <w:rPr>
          <w:sz w:val="24"/>
          <w:szCs w:val="24"/>
        </w:rPr>
        <w:t>)</w:t>
      </w:r>
      <w:r w:rsidRPr="00DD18D8">
        <w:rPr>
          <w:sz w:val="24"/>
          <w:szCs w:val="24"/>
        </w:rPr>
        <w:t xml:space="preserve"> odnoszą się do całego obszaru zadań oświatowych, które realizują jednostki samorządu terytorialnego, i obrazują sposób ustalania poszczególnych </w:t>
      </w:r>
      <w:r w:rsidRPr="00DD18D8">
        <w:rPr>
          <w:sz w:val="24"/>
          <w:szCs w:val="24"/>
        </w:rPr>
        <w:lastRenderedPageBreak/>
        <w:t xml:space="preserve">parametrów i wag, użytych </w:t>
      </w:r>
      <w:r w:rsidR="009A58D6" w:rsidRPr="00DD18D8">
        <w:rPr>
          <w:sz w:val="24"/>
          <w:szCs w:val="24"/>
        </w:rPr>
        <w:t>w </w:t>
      </w:r>
      <w:r w:rsidRPr="00DD18D8">
        <w:rPr>
          <w:sz w:val="24"/>
          <w:szCs w:val="24"/>
        </w:rPr>
        <w:t xml:space="preserve">algorytmie </w:t>
      </w:r>
      <w:r w:rsidR="00996A66">
        <w:rPr>
          <w:sz w:val="24"/>
          <w:szCs w:val="24"/>
        </w:rPr>
        <w:t>w celu</w:t>
      </w:r>
      <w:r w:rsidR="00996A66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 xml:space="preserve">obiektywnego dokonania podziału środków subwencji </w:t>
      </w:r>
      <w:r w:rsidR="0033620E">
        <w:rPr>
          <w:sz w:val="24"/>
          <w:szCs w:val="24"/>
        </w:rPr>
        <w:t>oświatowej</w:t>
      </w:r>
      <w:r w:rsidRPr="00DD18D8">
        <w:rPr>
          <w:sz w:val="24"/>
          <w:szCs w:val="24"/>
        </w:rPr>
        <w:t xml:space="preserve">. </w:t>
      </w:r>
    </w:p>
    <w:p w14:paraId="749EBCA2" w14:textId="77777777" w:rsidR="00102345" w:rsidRPr="0097771D" w:rsidRDefault="00125CFF" w:rsidP="003774F4">
      <w:pPr>
        <w:spacing w:before="120" w:line="276" w:lineRule="auto"/>
        <w:jc w:val="both"/>
        <w:rPr>
          <w:szCs w:val="24"/>
        </w:rPr>
      </w:pPr>
      <w:r w:rsidRPr="0097771D">
        <w:rPr>
          <w:szCs w:val="24"/>
        </w:rPr>
        <w:t>W</w:t>
      </w:r>
      <w:r w:rsidR="001A137B" w:rsidRPr="0097771D">
        <w:rPr>
          <w:szCs w:val="24"/>
        </w:rPr>
        <w:t xml:space="preserve"> </w:t>
      </w:r>
      <w:r w:rsidR="004F606C" w:rsidRPr="0097771D">
        <w:rPr>
          <w:szCs w:val="24"/>
        </w:rPr>
        <w:t xml:space="preserve">projekcie </w:t>
      </w:r>
      <w:r w:rsidR="008752A7" w:rsidRPr="0097771D">
        <w:rPr>
          <w:szCs w:val="24"/>
        </w:rPr>
        <w:t>rozporządzeni</w:t>
      </w:r>
      <w:r w:rsidR="004F606C" w:rsidRPr="0097771D">
        <w:rPr>
          <w:szCs w:val="24"/>
        </w:rPr>
        <w:t>a</w:t>
      </w:r>
      <w:r w:rsidR="009C21F5" w:rsidRPr="0097771D">
        <w:rPr>
          <w:szCs w:val="24"/>
        </w:rPr>
        <w:t>,</w:t>
      </w:r>
      <w:r w:rsidR="001A137B" w:rsidRPr="0097771D">
        <w:rPr>
          <w:szCs w:val="24"/>
        </w:rPr>
        <w:t xml:space="preserve"> </w:t>
      </w:r>
      <w:r w:rsidR="005B463E" w:rsidRPr="0097771D">
        <w:rPr>
          <w:szCs w:val="24"/>
        </w:rPr>
        <w:t xml:space="preserve">w stosunku do </w:t>
      </w:r>
      <w:r w:rsidR="008752A7" w:rsidRPr="0097771D">
        <w:rPr>
          <w:szCs w:val="24"/>
        </w:rPr>
        <w:t>rozporządzenia</w:t>
      </w:r>
      <w:r w:rsidR="005B463E" w:rsidRPr="0097771D">
        <w:rPr>
          <w:szCs w:val="24"/>
        </w:rPr>
        <w:t xml:space="preserve"> Ministra Edukacji Narodowej </w:t>
      </w:r>
      <w:r w:rsidR="003774F4">
        <w:rPr>
          <w:szCs w:val="24"/>
        </w:rPr>
        <w:br/>
      </w:r>
      <w:r w:rsidR="00F458EA" w:rsidRPr="0097771D">
        <w:rPr>
          <w:szCs w:val="24"/>
        </w:rPr>
        <w:t xml:space="preserve">z dnia </w:t>
      </w:r>
      <w:r w:rsidR="00AD77B3" w:rsidRPr="0097771D">
        <w:rPr>
          <w:szCs w:val="24"/>
        </w:rPr>
        <w:t>1</w:t>
      </w:r>
      <w:r w:rsidR="00AD77B3">
        <w:rPr>
          <w:szCs w:val="24"/>
        </w:rPr>
        <w:t>2</w:t>
      </w:r>
      <w:r w:rsidR="00AD77B3" w:rsidRPr="0097771D">
        <w:rPr>
          <w:szCs w:val="24"/>
        </w:rPr>
        <w:t xml:space="preserve"> </w:t>
      </w:r>
      <w:r w:rsidR="00F458EA" w:rsidRPr="0097771D">
        <w:rPr>
          <w:szCs w:val="24"/>
        </w:rPr>
        <w:t>grudnia 201</w:t>
      </w:r>
      <w:r w:rsidR="00AD77B3">
        <w:rPr>
          <w:szCs w:val="24"/>
        </w:rPr>
        <w:t>9</w:t>
      </w:r>
      <w:r w:rsidR="00F458EA" w:rsidRPr="0097771D">
        <w:rPr>
          <w:szCs w:val="24"/>
        </w:rPr>
        <w:t xml:space="preserve"> r. </w:t>
      </w:r>
      <w:r w:rsidR="005B463E" w:rsidRPr="0097771D">
        <w:rPr>
          <w:szCs w:val="24"/>
        </w:rPr>
        <w:t xml:space="preserve">w sprawie sposobu podziału części oświatowej subwencji ogólnej dla jednostek samorządu terytorialnego w roku </w:t>
      </w:r>
      <w:r w:rsidR="004F606C" w:rsidRPr="0097771D">
        <w:rPr>
          <w:szCs w:val="24"/>
        </w:rPr>
        <w:t>20</w:t>
      </w:r>
      <w:r w:rsidR="00AD77B3">
        <w:rPr>
          <w:szCs w:val="24"/>
        </w:rPr>
        <w:t>20</w:t>
      </w:r>
      <w:r w:rsidR="00F458EA" w:rsidRPr="0097771D">
        <w:rPr>
          <w:szCs w:val="24"/>
        </w:rPr>
        <w:t xml:space="preserve"> (Dz. U. poz. 2446)</w:t>
      </w:r>
      <w:r w:rsidR="009C21F5" w:rsidRPr="0097771D">
        <w:rPr>
          <w:szCs w:val="24"/>
        </w:rPr>
        <w:t>,</w:t>
      </w:r>
      <w:r w:rsidR="00242321" w:rsidRPr="0097771D">
        <w:rPr>
          <w:szCs w:val="24"/>
        </w:rPr>
        <w:t xml:space="preserve"> </w:t>
      </w:r>
      <w:r w:rsidR="00BD62C5" w:rsidRPr="0097771D">
        <w:rPr>
          <w:szCs w:val="24"/>
        </w:rPr>
        <w:t xml:space="preserve">zaproponowano </w:t>
      </w:r>
      <w:r w:rsidR="001A137B" w:rsidRPr="0097771D">
        <w:rPr>
          <w:szCs w:val="24"/>
        </w:rPr>
        <w:t>następujące zmiany</w:t>
      </w:r>
      <w:r w:rsidR="002E1B4E" w:rsidRPr="0097771D">
        <w:rPr>
          <w:szCs w:val="24"/>
        </w:rPr>
        <w:t xml:space="preserve"> w załączniku</w:t>
      </w:r>
      <w:r w:rsidR="00916864" w:rsidRPr="0097771D">
        <w:rPr>
          <w:szCs w:val="24"/>
        </w:rPr>
        <w:t>:</w:t>
      </w:r>
    </w:p>
    <w:p w14:paraId="08B78F63" w14:textId="77777777" w:rsidR="00743098" w:rsidRPr="00DD18D8" w:rsidRDefault="00743098" w:rsidP="009050F9">
      <w:pPr>
        <w:pStyle w:val="menfon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BD11488" w14:textId="0BBADD08" w:rsidR="00043CDA" w:rsidRDefault="000C4A1D" w:rsidP="00B62EFB">
      <w:pPr>
        <w:pStyle w:val="Akapitzlist"/>
        <w:numPr>
          <w:ilvl w:val="0"/>
          <w:numId w:val="12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>Zmiana w finansowaniu szkół</w:t>
      </w:r>
      <w:r w:rsidR="00B30C12">
        <w:rPr>
          <w:rFonts w:ascii="Times New Roman" w:hAnsi="Times New Roman" w:cs="Times New Roman"/>
        </w:rPr>
        <w:t>, w których</w:t>
      </w:r>
      <w:r w:rsidRPr="00B62EFB">
        <w:rPr>
          <w:rFonts w:ascii="Times New Roman" w:hAnsi="Times New Roman" w:cs="Times New Roman"/>
        </w:rPr>
        <w:t xml:space="preserve"> nie</w:t>
      </w:r>
      <w:r w:rsidR="00B30C12">
        <w:rPr>
          <w:rFonts w:ascii="Times New Roman" w:hAnsi="Times New Roman" w:cs="Times New Roman"/>
        </w:rPr>
        <w:t xml:space="preserve"> jest </w:t>
      </w:r>
      <w:r w:rsidRPr="00B62EFB">
        <w:rPr>
          <w:rFonts w:ascii="Times New Roman" w:hAnsi="Times New Roman" w:cs="Times New Roman"/>
        </w:rPr>
        <w:t>realiz</w:t>
      </w:r>
      <w:r w:rsidR="00B30C12">
        <w:rPr>
          <w:rFonts w:ascii="Times New Roman" w:hAnsi="Times New Roman" w:cs="Times New Roman"/>
        </w:rPr>
        <w:t>owany</w:t>
      </w:r>
      <w:r w:rsidRPr="00B62EFB">
        <w:rPr>
          <w:rFonts w:ascii="Times New Roman" w:hAnsi="Times New Roman" w:cs="Times New Roman"/>
        </w:rPr>
        <w:t xml:space="preserve"> obowiąz</w:t>
      </w:r>
      <w:r w:rsidR="00B30C12">
        <w:rPr>
          <w:rFonts w:ascii="Times New Roman" w:hAnsi="Times New Roman" w:cs="Times New Roman"/>
        </w:rPr>
        <w:t>e</w:t>
      </w:r>
      <w:r w:rsidRPr="00B62EFB">
        <w:rPr>
          <w:rFonts w:ascii="Times New Roman" w:hAnsi="Times New Roman" w:cs="Times New Roman"/>
        </w:rPr>
        <w:t>k szkoln</w:t>
      </w:r>
      <w:r w:rsidR="00B30C12">
        <w:rPr>
          <w:rFonts w:ascii="Times New Roman" w:hAnsi="Times New Roman" w:cs="Times New Roman"/>
        </w:rPr>
        <w:t>y lub obowiązek</w:t>
      </w:r>
      <w:r w:rsidRPr="00B62EFB">
        <w:rPr>
          <w:rFonts w:ascii="Times New Roman" w:hAnsi="Times New Roman" w:cs="Times New Roman"/>
        </w:rPr>
        <w:t xml:space="preserve"> nauki (licea ogólnokształcące dla dorosłych oraz szkoły policealne, w tym </w:t>
      </w:r>
      <w:r w:rsidR="00B30C12">
        <w:rPr>
          <w:rFonts w:ascii="Times New Roman" w:hAnsi="Times New Roman" w:cs="Times New Roman"/>
        </w:rPr>
        <w:t xml:space="preserve">kształcące w formie </w:t>
      </w:r>
      <w:r w:rsidRPr="00B62EFB">
        <w:rPr>
          <w:rFonts w:ascii="Times New Roman" w:hAnsi="Times New Roman" w:cs="Times New Roman"/>
        </w:rPr>
        <w:t>dzienne</w:t>
      </w:r>
      <w:r w:rsidR="00B30C12">
        <w:rPr>
          <w:rFonts w:ascii="Times New Roman" w:hAnsi="Times New Roman" w:cs="Times New Roman"/>
        </w:rPr>
        <w:t>j</w:t>
      </w:r>
      <w:r w:rsidRPr="00B62EFB">
        <w:rPr>
          <w:rFonts w:ascii="Times New Roman" w:hAnsi="Times New Roman" w:cs="Times New Roman"/>
        </w:rPr>
        <w:t xml:space="preserve">) </w:t>
      </w:r>
      <w:r w:rsidR="00C86116">
        <w:rPr>
          <w:rFonts w:ascii="Times New Roman" w:hAnsi="Times New Roman" w:cs="Times New Roman"/>
        </w:rPr>
        <w:t xml:space="preserve">oraz kwalifikacyjnych kursów zawodowych </w:t>
      </w:r>
      <w:r w:rsidRPr="00B62EFB">
        <w:rPr>
          <w:rFonts w:ascii="Times New Roman" w:hAnsi="Times New Roman" w:cs="Times New Roman"/>
        </w:rPr>
        <w:t>w ramach subwencji</w:t>
      </w:r>
      <w:r w:rsidR="008078D6">
        <w:rPr>
          <w:rFonts w:ascii="Times New Roman" w:hAnsi="Times New Roman" w:cs="Times New Roman"/>
        </w:rPr>
        <w:t xml:space="preserve"> oświatowej</w:t>
      </w:r>
      <w:r w:rsidRPr="00B62EFB">
        <w:rPr>
          <w:rFonts w:ascii="Times New Roman" w:hAnsi="Times New Roman" w:cs="Times New Roman"/>
        </w:rPr>
        <w:t xml:space="preserve">. </w:t>
      </w:r>
    </w:p>
    <w:p w14:paraId="20E3A2F3" w14:textId="77777777" w:rsidR="008F268A" w:rsidRDefault="008F268A" w:rsidP="004F1318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3A758226" w14:textId="262FE22E" w:rsidR="00577458" w:rsidRDefault="000C4A1D" w:rsidP="004F1318">
      <w:pPr>
        <w:pStyle w:val="Akapitzlist"/>
        <w:spacing w:after="160" w:line="276" w:lineRule="auto"/>
        <w:ind w:left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Zdawalność w wymienionych typach szkół jest na relatywnie niskim poziomie. </w:t>
      </w:r>
      <w:r w:rsidR="00F63BAE">
        <w:rPr>
          <w:rFonts w:ascii="Times New Roman" w:hAnsi="Times New Roman" w:cs="Times New Roman"/>
        </w:rPr>
        <w:t xml:space="preserve"> Zdawalność jest tutaj rozumiana jako udział słuchaczy, którzy zdali egzamin maturalny </w:t>
      </w:r>
      <w:r w:rsidR="00491E3C">
        <w:rPr>
          <w:rFonts w:ascii="Times New Roman" w:hAnsi="Times New Roman" w:cs="Times New Roman"/>
        </w:rPr>
        <w:t xml:space="preserve">lub egzamin potwierdzający kwalifikacje w zawodzie </w:t>
      </w:r>
      <w:r w:rsidR="00F63BAE">
        <w:rPr>
          <w:rFonts w:ascii="Times New Roman" w:hAnsi="Times New Roman" w:cs="Times New Roman"/>
        </w:rPr>
        <w:t xml:space="preserve">w stosunku do absolwentów danego rodzaju szkoły lub </w:t>
      </w:r>
      <w:r w:rsidR="008078D6">
        <w:rPr>
          <w:rFonts w:ascii="Times New Roman" w:hAnsi="Times New Roman" w:cs="Times New Roman"/>
        </w:rPr>
        <w:t xml:space="preserve">kwalifikacyjnego </w:t>
      </w:r>
      <w:r w:rsidR="00F63BAE">
        <w:rPr>
          <w:rFonts w:ascii="Times New Roman" w:hAnsi="Times New Roman" w:cs="Times New Roman"/>
        </w:rPr>
        <w:t>kursu</w:t>
      </w:r>
      <w:r w:rsidR="008078D6">
        <w:rPr>
          <w:rFonts w:ascii="Times New Roman" w:hAnsi="Times New Roman" w:cs="Times New Roman"/>
        </w:rPr>
        <w:t xml:space="preserve"> zawodowego</w:t>
      </w:r>
      <w:r w:rsidR="00F63BAE">
        <w:rPr>
          <w:rFonts w:ascii="Times New Roman" w:hAnsi="Times New Roman" w:cs="Times New Roman"/>
        </w:rPr>
        <w:t xml:space="preserve">. </w:t>
      </w:r>
      <w:r w:rsidRPr="00BD4441">
        <w:rPr>
          <w:rFonts w:ascii="Times New Roman" w:hAnsi="Times New Roman" w:cs="Times New Roman"/>
        </w:rPr>
        <w:t>W przypadku liceów ogólnokształcących dla dorosłych zdawalność</w:t>
      </w:r>
      <w:r w:rsidR="00F64240">
        <w:rPr>
          <w:rFonts w:ascii="Times New Roman" w:hAnsi="Times New Roman" w:cs="Times New Roman"/>
        </w:rPr>
        <w:t xml:space="preserve"> przedstawia się następująco</w:t>
      </w:r>
      <w:r w:rsidR="0037262F">
        <w:rPr>
          <w:rFonts w:ascii="Times New Roman" w:hAnsi="Times New Roman" w:cs="Times New Roman"/>
        </w:rPr>
        <w:t>:</w:t>
      </w:r>
    </w:p>
    <w:p w14:paraId="38023BCE" w14:textId="267D0457" w:rsidR="00577458" w:rsidRDefault="0037262F" w:rsidP="0051478A">
      <w:pPr>
        <w:pStyle w:val="Akapitzlist"/>
        <w:numPr>
          <w:ilvl w:val="1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2015/2016 (w</w:t>
      </w:r>
      <w:r w:rsidR="00F64240">
        <w:rPr>
          <w:rFonts w:ascii="Times New Roman" w:hAnsi="Times New Roman" w:cs="Times New Roman"/>
        </w:rPr>
        <w:t>edług</w:t>
      </w:r>
      <w:r>
        <w:rPr>
          <w:rFonts w:ascii="Times New Roman" w:hAnsi="Times New Roman" w:cs="Times New Roman"/>
        </w:rPr>
        <w:t xml:space="preserve"> danych z</w:t>
      </w:r>
      <w:r w:rsidR="00F64240">
        <w:rPr>
          <w:rFonts w:ascii="Times New Roman" w:hAnsi="Times New Roman" w:cs="Times New Roman"/>
        </w:rPr>
        <w:t xml:space="preserve"> systemu informacji oświatowej</w:t>
      </w:r>
      <w:r w:rsidR="00AC5F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stan na </w:t>
      </w:r>
      <w:r w:rsidR="00F64240">
        <w:rPr>
          <w:rFonts w:ascii="Times New Roman" w:hAnsi="Times New Roman" w:cs="Times New Roman"/>
        </w:rPr>
        <w:t xml:space="preserve">dzień </w:t>
      </w:r>
      <w:r>
        <w:rPr>
          <w:rFonts w:ascii="Times New Roman" w:hAnsi="Times New Roman" w:cs="Times New Roman"/>
        </w:rPr>
        <w:t>30</w:t>
      </w:r>
      <w:r w:rsidR="00BC3F7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września 2016 r.) wynosiła 9,9%</w:t>
      </w:r>
      <w:r w:rsidR="00577458">
        <w:rPr>
          <w:rFonts w:ascii="Times New Roman" w:hAnsi="Times New Roman" w:cs="Times New Roman"/>
        </w:rPr>
        <w:t>;</w:t>
      </w:r>
    </w:p>
    <w:p w14:paraId="6B0207D9" w14:textId="48D55ECC" w:rsidR="00577458" w:rsidRDefault="0037262F" w:rsidP="0051478A">
      <w:pPr>
        <w:pStyle w:val="Akapitzlist"/>
        <w:numPr>
          <w:ilvl w:val="1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2016/2017 (w</w:t>
      </w:r>
      <w:r w:rsidR="00F64240">
        <w:rPr>
          <w:rFonts w:ascii="Times New Roman" w:hAnsi="Times New Roman" w:cs="Times New Roman"/>
        </w:rPr>
        <w:t>edłu</w:t>
      </w:r>
      <w:r>
        <w:rPr>
          <w:rFonts w:ascii="Times New Roman" w:hAnsi="Times New Roman" w:cs="Times New Roman"/>
        </w:rPr>
        <w:t>g danych z</w:t>
      </w:r>
      <w:r w:rsidR="00F64240">
        <w:rPr>
          <w:rFonts w:ascii="Times New Roman" w:hAnsi="Times New Roman" w:cs="Times New Roman"/>
        </w:rPr>
        <w:t xml:space="preserve"> systemu informacji oświatowej</w:t>
      </w:r>
      <w:r w:rsidR="00AC5F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stan na </w:t>
      </w:r>
      <w:r w:rsidR="00AC5F71">
        <w:rPr>
          <w:rFonts w:ascii="Times New Roman" w:hAnsi="Times New Roman" w:cs="Times New Roman"/>
        </w:rPr>
        <w:t xml:space="preserve">dzień </w:t>
      </w:r>
      <w:r>
        <w:rPr>
          <w:rFonts w:ascii="Times New Roman" w:hAnsi="Times New Roman" w:cs="Times New Roman"/>
        </w:rPr>
        <w:t>30 września 2017 r.) wynosiła 10,7%</w:t>
      </w:r>
      <w:r w:rsidR="00577458">
        <w:rPr>
          <w:rFonts w:ascii="Times New Roman" w:hAnsi="Times New Roman" w:cs="Times New Roman"/>
        </w:rPr>
        <w:t>;</w:t>
      </w:r>
    </w:p>
    <w:p w14:paraId="4E1A67BC" w14:textId="42D473D0" w:rsidR="00577458" w:rsidRDefault="0037262F" w:rsidP="0051478A">
      <w:pPr>
        <w:pStyle w:val="Akapitzlist"/>
        <w:numPr>
          <w:ilvl w:val="1"/>
          <w:numId w:val="12"/>
        </w:numPr>
        <w:spacing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2017/2018 (w</w:t>
      </w:r>
      <w:r w:rsidR="00AC5F71">
        <w:rPr>
          <w:rFonts w:ascii="Times New Roman" w:hAnsi="Times New Roman" w:cs="Times New Roman"/>
        </w:rPr>
        <w:t>edłu</w:t>
      </w:r>
      <w:r>
        <w:rPr>
          <w:rFonts w:ascii="Times New Roman" w:hAnsi="Times New Roman" w:cs="Times New Roman"/>
        </w:rPr>
        <w:t>g danych z</w:t>
      </w:r>
      <w:r w:rsidR="00AC5F71">
        <w:rPr>
          <w:rFonts w:ascii="Times New Roman" w:hAnsi="Times New Roman" w:cs="Times New Roman"/>
        </w:rPr>
        <w:t xml:space="preserve"> systemu informacji oświatowej,</w:t>
      </w:r>
      <w:r>
        <w:rPr>
          <w:rFonts w:ascii="Times New Roman" w:hAnsi="Times New Roman" w:cs="Times New Roman"/>
        </w:rPr>
        <w:t xml:space="preserve"> stan na </w:t>
      </w:r>
      <w:r w:rsidR="00AC5F71">
        <w:rPr>
          <w:rFonts w:ascii="Times New Roman" w:hAnsi="Times New Roman" w:cs="Times New Roman"/>
        </w:rPr>
        <w:t xml:space="preserve">dzień </w:t>
      </w:r>
      <w:r>
        <w:rPr>
          <w:rFonts w:ascii="Times New Roman" w:hAnsi="Times New Roman" w:cs="Times New Roman"/>
        </w:rPr>
        <w:t>30 września 2018 r.) wynosiła 11,2%</w:t>
      </w:r>
      <w:r w:rsidR="00577458">
        <w:rPr>
          <w:rFonts w:ascii="Times New Roman" w:hAnsi="Times New Roman" w:cs="Times New Roman"/>
        </w:rPr>
        <w:t>.</w:t>
      </w:r>
    </w:p>
    <w:p w14:paraId="05047840" w14:textId="219E9C51" w:rsidR="000C4A1D" w:rsidRPr="0051478A" w:rsidRDefault="00AC5F71" w:rsidP="0051478A">
      <w:pPr>
        <w:spacing w:after="160" w:line="276" w:lineRule="auto"/>
        <w:ind w:left="284"/>
        <w:jc w:val="both"/>
      </w:pPr>
      <w:r w:rsidRPr="0051478A">
        <w:t>Natomiast w</w:t>
      </w:r>
      <w:r w:rsidR="0037262F" w:rsidRPr="0051478A">
        <w:t xml:space="preserve"> przypadku szkół policealnych zdawalność przedstawia się następująco:</w:t>
      </w:r>
    </w:p>
    <w:tbl>
      <w:tblPr>
        <w:tblW w:w="6910" w:type="dxa"/>
        <w:tblInd w:w="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1326"/>
        <w:gridCol w:w="1326"/>
        <w:gridCol w:w="1326"/>
      </w:tblGrid>
      <w:tr w:rsidR="00863D18" w:rsidRPr="007F068B" w14:paraId="14ED6675" w14:textId="18F7596C" w:rsidTr="00253DF4">
        <w:trPr>
          <w:trHeight w:val="300"/>
        </w:trPr>
        <w:tc>
          <w:tcPr>
            <w:tcW w:w="5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F8" w14:textId="77777777" w:rsidR="00863D18" w:rsidRPr="00B62EFB" w:rsidRDefault="00863D18">
            <w:pPr>
              <w:spacing w:line="276" w:lineRule="auto"/>
              <w:rPr>
                <w:b/>
                <w:bCs/>
                <w:color w:val="000000"/>
                <w:sz w:val="22"/>
                <w:szCs w:val="24"/>
              </w:rPr>
            </w:pPr>
            <w:r w:rsidRPr="00B62EFB">
              <w:rPr>
                <w:b/>
                <w:bCs/>
                <w:color w:val="000000"/>
                <w:sz w:val="22"/>
                <w:szCs w:val="24"/>
              </w:rPr>
              <w:t>Średnia zdawalność w szkołach policealnych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84B9" w14:textId="77777777" w:rsidR="00863D18" w:rsidRPr="00B62EFB" w:rsidRDefault="00863D18">
            <w:pPr>
              <w:spacing w:line="276" w:lineRule="auto"/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863D18" w:rsidRPr="007F068B" w14:paraId="595FEE98" w14:textId="5FC248C2" w:rsidTr="00253DF4">
        <w:trPr>
          <w:trHeight w:val="30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4149" w14:textId="77777777" w:rsidR="00863D18" w:rsidRPr="00B62EFB" w:rsidRDefault="00863D18" w:rsidP="00E14EC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B62EFB">
              <w:rPr>
                <w:b/>
                <w:bCs/>
                <w:color w:val="000000"/>
                <w:sz w:val="22"/>
                <w:szCs w:val="24"/>
              </w:rPr>
              <w:t>Kategoria uczniów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2DC" w14:textId="50B59EB5" w:rsidR="00863D18" w:rsidRPr="00B62EFB" w:rsidRDefault="00863D18" w:rsidP="00E14EC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2015/</w:t>
            </w:r>
            <w:r w:rsidRPr="00B62EFB">
              <w:rPr>
                <w:b/>
                <w:bCs/>
                <w:color w:val="000000"/>
                <w:sz w:val="22"/>
                <w:szCs w:val="24"/>
              </w:rPr>
              <w:t>2016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F6C9" w14:textId="6296758C" w:rsidR="00863D18" w:rsidRPr="00B62EFB" w:rsidRDefault="00863D18" w:rsidP="00E14EC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2016/</w:t>
            </w:r>
            <w:r w:rsidRPr="00B62EFB">
              <w:rPr>
                <w:b/>
                <w:bCs/>
                <w:color w:val="000000"/>
                <w:sz w:val="22"/>
                <w:szCs w:val="24"/>
              </w:rPr>
              <w:t>2017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2DBA" w14:textId="41285600" w:rsidR="00863D18" w:rsidRPr="00B62EFB" w:rsidRDefault="00863D18" w:rsidP="00E14EC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2017/</w:t>
            </w:r>
            <w:r w:rsidRPr="00B62EFB">
              <w:rPr>
                <w:b/>
                <w:bCs/>
                <w:color w:val="000000"/>
                <w:sz w:val="22"/>
                <w:szCs w:val="24"/>
              </w:rPr>
              <w:t>2018</w:t>
            </w:r>
          </w:p>
        </w:tc>
      </w:tr>
      <w:tr w:rsidR="00863D18" w:rsidRPr="007F068B" w14:paraId="263F2EEF" w14:textId="097E540F" w:rsidTr="00253DF4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5A2" w14:textId="77777777" w:rsidR="00863D18" w:rsidRPr="00B62EFB" w:rsidRDefault="00863D18" w:rsidP="00E14EC5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Bez kategorii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CE94" w14:textId="77777777" w:rsidR="00863D18" w:rsidRPr="00B62EFB" w:rsidRDefault="00863D18" w:rsidP="00E14EC5">
            <w:pPr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76,3%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DEBB" w14:textId="77777777" w:rsidR="00863D18" w:rsidRPr="00B62EFB" w:rsidRDefault="00863D18" w:rsidP="00E14EC5">
            <w:pPr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70,8%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730B" w14:textId="77777777" w:rsidR="00863D18" w:rsidRPr="00B62EFB" w:rsidRDefault="00863D18" w:rsidP="00E14EC5">
            <w:pPr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78,6%</w:t>
            </w:r>
          </w:p>
        </w:tc>
      </w:tr>
      <w:tr w:rsidR="00863D18" w:rsidRPr="007F068B" w14:paraId="01FC51F9" w14:textId="0A962118" w:rsidTr="00253DF4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5AAB" w14:textId="77777777" w:rsidR="00863D18" w:rsidRPr="00B62EFB" w:rsidRDefault="00863D18" w:rsidP="00E14EC5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Dorośli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35C7" w14:textId="77777777" w:rsidR="00863D18" w:rsidRPr="00B62EFB" w:rsidRDefault="00863D18" w:rsidP="00E14EC5">
            <w:pPr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62,9%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D19" w14:textId="77777777" w:rsidR="00863D18" w:rsidRPr="00B62EFB" w:rsidRDefault="00863D18" w:rsidP="00E14EC5">
            <w:pPr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63,3%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DEB3" w14:textId="77777777" w:rsidR="00863D18" w:rsidRPr="00B62EFB" w:rsidRDefault="00863D18" w:rsidP="00E14EC5">
            <w:pPr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60,1%</w:t>
            </w:r>
          </w:p>
        </w:tc>
      </w:tr>
      <w:tr w:rsidR="00863D18" w:rsidRPr="007F068B" w14:paraId="0B598E17" w14:textId="20D27159" w:rsidTr="00253DF4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61DF" w14:textId="77777777" w:rsidR="00863D18" w:rsidRPr="00B62EFB" w:rsidRDefault="00863D18" w:rsidP="00E14EC5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Dzieci lub młodzież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8C7F" w14:textId="77777777" w:rsidR="00863D18" w:rsidRPr="00B62EFB" w:rsidRDefault="00863D18" w:rsidP="00E14EC5">
            <w:pPr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77,7%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9E82" w14:textId="77777777" w:rsidR="00863D18" w:rsidRPr="00B62EFB" w:rsidRDefault="00863D18" w:rsidP="00E14EC5">
            <w:pPr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82,4%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7D0" w14:textId="77777777" w:rsidR="00863D18" w:rsidRPr="00B62EFB" w:rsidRDefault="00863D18" w:rsidP="00E14EC5">
            <w:pPr>
              <w:spacing w:line="276" w:lineRule="auto"/>
              <w:jc w:val="right"/>
              <w:rPr>
                <w:color w:val="000000"/>
                <w:sz w:val="22"/>
                <w:szCs w:val="24"/>
              </w:rPr>
            </w:pPr>
            <w:r w:rsidRPr="00B62EFB">
              <w:rPr>
                <w:color w:val="000000"/>
                <w:sz w:val="22"/>
                <w:szCs w:val="24"/>
              </w:rPr>
              <w:t>83,4%</w:t>
            </w:r>
          </w:p>
        </w:tc>
      </w:tr>
      <w:tr w:rsidR="00863D18" w:rsidRPr="007F068B" w14:paraId="42FE3549" w14:textId="43202F0D" w:rsidTr="00253DF4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AC53" w14:textId="77777777" w:rsidR="00863D18" w:rsidRPr="00B62EFB" w:rsidRDefault="00863D18" w:rsidP="00E14EC5">
            <w:pPr>
              <w:spacing w:line="276" w:lineRule="auto"/>
              <w:rPr>
                <w:b/>
                <w:bCs/>
                <w:color w:val="000000"/>
                <w:sz w:val="22"/>
                <w:szCs w:val="24"/>
              </w:rPr>
            </w:pPr>
            <w:r w:rsidRPr="00B62EFB">
              <w:rPr>
                <w:b/>
                <w:bCs/>
                <w:color w:val="000000"/>
                <w:sz w:val="22"/>
                <w:szCs w:val="24"/>
              </w:rPr>
              <w:t>Średnia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6D2" w14:textId="77777777" w:rsidR="00863D18" w:rsidRPr="00B62EFB" w:rsidRDefault="00863D18" w:rsidP="00E14EC5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B62EFB">
              <w:rPr>
                <w:b/>
                <w:bCs/>
                <w:color w:val="000000"/>
                <w:sz w:val="22"/>
                <w:szCs w:val="24"/>
              </w:rPr>
              <w:t>66,1%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A8BE" w14:textId="77777777" w:rsidR="00863D18" w:rsidRPr="00B62EFB" w:rsidRDefault="00863D18" w:rsidP="00E14EC5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B62EFB">
              <w:rPr>
                <w:b/>
                <w:bCs/>
                <w:color w:val="000000"/>
                <w:sz w:val="22"/>
                <w:szCs w:val="24"/>
              </w:rPr>
              <w:t>66,4%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74CB" w14:textId="77777777" w:rsidR="00863D18" w:rsidRPr="00B62EFB" w:rsidRDefault="00863D18" w:rsidP="00E14EC5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B62EFB">
              <w:rPr>
                <w:b/>
                <w:bCs/>
                <w:color w:val="000000"/>
                <w:sz w:val="22"/>
                <w:szCs w:val="24"/>
              </w:rPr>
              <w:t>64,9%</w:t>
            </w:r>
          </w:p>
        </w:tc>
      </w:tr>
    </w:tbl>
    <w:p w14:paraId="2D4F0B6F" w14:textId="5CDF9016" w:rsidR="000C4A1D" w:rsidRPr="00B62EFB" w:rsidRDefault="000C4A1D" w:rsidP="00B62EFB">
      <w:pPr>
        <w:spacing w:before="120" w:after="160" w:line="276" w:lineRule="auto"/>
        <w:ind w:left="284"/>
        <w:jc w:val="both"/>
      </w:pPr>
      <w:r w:rsidRPr="00B62EFB">
        <w:t xml:space="preserve">W przypadku słuchaczy </w:t>
      </w:r>
      <w:r w:rsidR="00D551A6">
        <w:t>kwalifikacyjnych kursów zawodowych</w:t>
      </w:r>
      <w:r w:rsidR="00E00B7D">
        <w:t>, zwanych dalej „KKZ”,</w:t>
      </w:r>
      <w:r w:rsidRPr="00B62EFB">
        <w:t xml:space="preserve"> zdawalność</w:t>
      </w:r>
      <w:r w:rsidR="00F63BAE">
        <w:t xml:space="preserve"> (rozumiana jako udział słuchaczy, którzy zdali egzamin </w:t>
      </w:r>
      <w:r w:rsidR="00EE2D96">
        <w:t xml:space="preserve">potwierdzający kwalifikacje w zawodzie </w:t>
      </w:r>
      <w:r w:rsidR="00F63BAE">
        <w:t>w stosunku do słuchaczy</w:t>
      </w:r>
      <w:r w:rsidR="00D551A6">
        <w:t>,</w:t>
      </w:r>
      <w:r w:rsidR="00F63BAE">
        <w:t xml:space="preserve"> którzy rozpoczęli </w:t>
      </w:r>
      <w:r w:rsidR="00E9156B">
        <w:t>KKZ</w:t>
      </w:r>
      <w:r w:rsidR="00F63BAE">
        <w:t>)</w:t>
      </w:r>
      <w:r w:rsidRPr="00B62EFB">
        <w:t xml:space="preserve"> za rok szkolny 2017/2018 przedstawiała się na poziomie 34%</w:t>
      </w:r>
      <w:r w:rsidR="00E14EC5">
        <w:t>,</w:t>
      </w:r>
      <w:r w:rsidR="00777FFE">
        <w:t xml:space="preserve"> a</w:t>
      </w:r>
      <w:r w:rsidR="00E14EC5">
        <w:t xml:space="preserve"> za rok szkolny 2018/2019 r. </w:t>
      </w:r>
      <w:r w:rsidR="00E00B7D" w:rsidRPr="00B62EFB">
        <w:t>–</w:t>
      </w:r>
      <w:r w:rsidR="00E00B7D">
        <w:t xml:space="preserve"> </w:t>
      </w:r>
      <w:r w:rsidR="00E14EC5">
        <w:t>36%</w:t>
      </w:r>
      <w:r w:rsidRPr="00B62EFB">
        <w:t>.</w:t>
      </w:r>
    </w:p>
    <w:p w14:paraId="4C7679F7" w14:textId="76CE2153" w:rsidR="000C4A1D" w:rsidRPr="00B62EFB" w:rsidRDefault="000C4A1D" w:rsidP="00B62EFB">
      <w:pPr>
        <w:spacing w:line="276" w:lineRule="auto"/>
        <w:ind w:left="284"/>
        <w:jc w:val="both"/>
        <w:rPr>
          <w:szCs w:val="24"/>
        </w:rPr>
      </w:pPr>
      <w:r w:rsidRPr="00B62EFB">
        <w:rPr>
          <w:szCs w:val="24"/>
        </w:rPr>
        <w:t>Powyższe dane pokazują niski poziom zdawalności w</w:t>
      </w:r>
      <w:r w:rsidR="00E9156B">
        <w:rPr>
          <w:szCs w:val="24"/>
        </w:rPr>
        <w:t xml:space="preserve"> liceach ogólnokształcących</w:t>
      </w:r>
      <w:r w:rsidRPr="00B62EFB">
        <w:rPr>
          <w:szCs w:val="24"/>
        </w:rPr>
        <w:t xml:space="preserve"> dla dorosłych i</w:t>
      </w:r>
      <w:r w:rsidR="00E9156B">
        <w:rPr>
          <w:szCs w:val="24"/>
        </w:rPr>
        <w:t xml:space="preserve"> na</w:t>
      </w:r>
      <w:r w:rsidRPr="00B62EFB">
        <w:rPr>
          <w:szCs w:val="24"/>
        </w:rPr>
        <w:t xml:space="preserve"> KKZ. Lepiej sytuacja wygląda  w przypadku szkół policealnych</w:t>
      </w:r>
      <w:r w:rsidR="00E377A6">
        <w:rPr>
          <w:szCs w:val="24"/>
        </w:rPr>
        <w:t>,</w:t>
      </w:r>
      <w:r w:rsidRPr="00B62EFB">
        <w:rPr>
          <w:szCs w:val="24"/>
        </w:rPr>
        <w:t xml:space="preserve"> jednakże jak widać w przypadku szkół policealnych </w:t>
      </w:r>
      <w:r w:rsidR="008843EC">
        <w:rPr>
          <w:szCs w:val="24"/>
        </w:rPr>
        <w:t>prowadzących kształcenie w formie stacjonarnej lub zaocznej</w:t>
      </w:r>
      <w:r w:rsidR="008843EC" w:rsidRPr="00B62EFB">
        <w:rPr>
          <w:szCs w:val="24"/>
        </w:rPr>
        <w:t xml:space="preserve"> </w:t>
      </w:r>
      <w:r w:rsidRPr="00B62EFB">
        <w:rPr>
          <w:szCs w:val="24"/>
        </w:rPr>
        <w:t xml:space="preserve">poziom zdawalności spada i rośnie w przypadku szkół policealnych </w:t>
      </w:r>
      <w:r w:rsidR="008843EC">
        <w:rPr>
          <w:szCs w:val="24"/>
        </w:rPr>
        <w:t>prowadzących kształcenie w formie dziennej</w:t>
      </w:r>
      <w:r w:rsidRPr="00B62EFB">
        <w:rPr>
          <w:szCs w:val="24"/>
        </w:rPr>
        <w:t xml:space="preserve">, </w:t>
      </w:r>
      <w:r w:rsidR="008843EC">
        <w:rPr>
          <w:szCs w:val="24"/>
        </w:rPr>
        <w:t>przy czym należy zauważyć, że</w:t>
      </w:r>
      <w:r w:rsidR="008843EC" w:rsidRPr="00B62EFB">
        <w:rPr>
          <w:szCs w:val="24"/>
        </w:rPr>
        <w:t xml:space="preserve"> </w:t>
      </w:r>
      <w:r w:rsidRPr="00B62EFB">
        <w:rPr>
          <w:szCs w:val="24"/>
        </w:rPr>
        <w:t xml:space="preserve">słuchacze szkół policealnych </w:t>
      </w:r>
      <w:r w:rsidR="008843EC">
        <w:rPr>
          <w:szCs w:val="24"/>
        </w:rPr>
        <w:t>prowadzących kształcenie w formie stacjonarnej lub zaocznej</w:t>
      </w:r>
      <w:r w:rsidR="008843EC" w:rsidRPr="00B62EFB">
        <w:rPr>
          <w:szCs w:val="24"/>
        </w:rPr>
        <w:t xml:space="preserve"> </w:t>
      </w:r>
      <w:r w:rsidRPr="00B62EFB">
        <w:rPr>
          <w:szCs w:val="24"/>
        </w:rPr>
        <w:t>stanowią prawie 80% wszystki</w:t>
      </w:r>
      <w:r w:rsidR="00021157">
        <w:rPr>
          <w:szCs w:val="24"/>
        </w:rPr>
        <w:t>ch słuchaczy szkół policealnych</w:t>
      </w:r>
      <w:r w:rsidRPr="00B62EFB">
        <w:rPr>
          <w:szCs w:val="24"/>
        </w:rPr>
        <w:t>. Dane te potwierdzają konieczność wzmocnienia rozwiązań projakościowych, tzn. wprowadzenia większej zależności finansowania od zdanego egzaminu</w:t>
      </w:r>
      <w:r w:rsidR="00EF72E3">
        <w:rPr>
          <w:szCs w:val="24"/>
        </w:rPr>
        <w:t xml:space="preserve"> </w:t>
      </w:r>
      <w:r w:rsidR="00EF72E3">
        <w:t>maturalnego, egzaminu zawodowego lub egzaminu potwierdzającego kwalifikacje w zawodzie</w:t>
      </w:r>
      <w:r w:rsidRPr="00B62EFB">
        <w:rPr>
          <w:szCs w:val="24"/>
        </w:rPr>
        <w:t>. Proponuje się zatem kontynuować rozwiązani</w:t>
      </w:r>
      <w:r w:rsidR="00020063">
        <w:rPr>
          <w:szCs w:val="24"/>
        </w:rPr>
        <w:t>e</w:t>
      </w:r>
      <w:r w:rsidRPr="00B62EFB">
        <w:rPr>
          <w:szCs w:val="24"/>
        </w:rPr>
        <w:t xml:space="preserve"> wprowadzone w algorytmie podziału subwencji </w:t>
      </w:r>
      <w:r w:rsidR="00D1446D">
        <w:rPr>
          <w:szCs w:val="24"/>
        </w:rPr>
        <w:t xml:space="preserve">oświatowej </w:t>
      </w:r>
      <w:r w:rsidR="00020063">
        <w:rPr>
          <w:szCs w:val="24"/>
        </w:rPr>
        <w:t>w</w:t>
      </w:r>
      <w:r w:rsidRPr="00B62EFB">
        <w:rPr>
          <w:szCs w:val="24"/>
        </w:rPr>
        <w:t xml:space="preserve"> 2018 r. polegające na </w:t>
      </w:r>
      <w:r w:rsidRPr="00B62EFB">
        <w:rPr>
          <w:szCs w:val="24"/>
        </w:rPr>
        <w:lastRenderedPageBreak/>
        <w:t xml:space="preserve">uzależnieniu subwencjonowania szkół dla dorosłych </w:t>
      </w:r>
      <w:r w:rsidR="008843EC">
        <w:rPr>
          <w:szCs w:val="24"/>
        </w:rPr>
        <w:t xml:space="preserve">oraz szkół policealnych </w:t>
      </w:r>
      <w:r w:rsidRPr="00B62EFB">
        <w:rPr>
          <w:szCs w:val="24"/>
        </w:rPr>
        <w:t>od efektywności kształcenia mierzonej zdanym egzaminem</w:t>
      </w:r>
      <w:r w:rsidR="00EF72E3">
        <w:rPr>
          <w:szCs w:val="24"/>
        </w:rPr>
        <w:t xml:space="preserve"> </w:t>
      </w:r>
      <w:r w:rsidR="00EF72E3">
        <w:t>maturalnym, egzaminem zawodowym lub egzaminem potwierdzającym kwalifikacje w zawodzie</w:t>
      </w:r>
      <w:r w:rsidRPr="00B62EFB">
        <w:rPr>
          <w:szCs w:val="24"/>
        </w:rPr>
        <w:t xml:space="preserve">. Rozwiązanie to polegało na podzieleniu subwencji na dwie części: „za uczestnictwo w zajęciach” i „za zdany egzamin”. </w:t>
      </w:r>
      <w:r w:rsidR="00BF4D7E">
        <w:rPr>
          <w:szCs w:val="24"/>
        </w:rPr>
        <w:t>W</w:t>
      </w:r>
      <w:r w:rsidRPr="00B62EFB">
        <w:rPr>
          <w:szCs w:val="24"/>
        </w:rPr>
        <w:t xml:space="preserve"> 2021 r. proponuje się wzmocnienie finansowania zależnego od efektywności kształcenia, tj. obniżenie subwencji </w:t>
      </w:r>
      <w:r w:rsidR="00BF4D7E">
        <w:rPr>
          <w:szCs w:val="24"/>
        </w:rPr>
        <w:t xml:space="preserve">oświatowej </w:t>
      </w:r>
      <w:r w:rsidRPr="00B62EFB">
        <w:rPr>
          <w:szCs w:val="24"/>
        </w:rPr>
        <w:t xml:space="preserve">w części </w:t>
      </w:r>
      <w:r w:rsidR="00BF4D7E">
        <w:rPr>
          <w:szCs w:val="24"/>
        </w:rPr>
        <w:t>„</w:t>
      </w:r>
      <w:r w:rsidRPr="00B62EFB">
        <w:rPr>
          <w:szCs w:val="24"/>
        </w:rPr>
        <w:t>za uczestnictwo</w:t>
      </w:r>
      <w:r w:rsidR="00BF4D7E">
        <w:rPr>
          <w:szCs w:val="24"/>
        </w:rPr>
        <w:t xml:space="preserve"> w zajęciach”,</w:t>
      </w:r>
      <w:r w:rsidRPr="00B62EFB">
        <w:rPr>
          <w:szCs w:val="24"/>
        </w:rPr>
        <w:t xml:space="preserve"> a zwiększenie subwencji </w:t>
      </w:r>
      <w:r w:rsidR="00BF4D7E">
        <w:rPr>
          <w:szCs w:val="24"/>
        </w:rPr>
        <w:t xml:space="preserve">oświatowej </w:t>
      </w:r>
      <w:r w:rsidRPr="00B62EFB">
        <w:rPr>
          <w:szCs w:val="24"/>
        </w:rPr>
        <w:t>w</w:t>
      </w:r>
      <w:r w:rsidR="00BC3F7B">
        <w:rPr>
          <w:szCs w:val="24"/>
        </w:rPr>
        <w:t> </w:t>
      </w:r>
      <w:r w:rsidRPr="00B62EFB">
        <w:rPr>
          <w:szCs w:val="24"/>
        </w:rPr>
        <w:t xml:space="preserve">części </w:t>
      </w:r>
      <w:r w:rsidR="00BF4D7E">
        <w:rPr>
          <w:szCs w:val="24"/>
        </w:rPr>
        <w:t>„</w:t>
      </w:r>
      <w:r w:rsidRPr="00B62EFB">
        <w:rPr>
          <w:szCs w:val="24"/>
        </w:rPr>
        <w:t>za zdany egzamin</w:t>
      </w:r>
      <w:r w:rsidR="00BF4D7E">
        <w:rPr>
          <w:szCs w:val="24"/>
        </w:rPr>
        <w:t>”</w:t>
      </w:r>
      <w:r w:rsidRPr="00B62EFB">
        <w:rPr>
          <w:szCs w:val="24"/>
        </w:rPr>
        <w:t>. Aby premiować szkoły z dużą zdawalnością proponuje się takie ustalenie finansowania</w:t>
      </w:r>
      <w:r w:rsidR="00650F80">
        <w:rPr>
          <w:szCs w:val="24"/>
        </w:rPr>
        <w:t>,</w:t>
      </w:r>
      <w:r w:rsidRPr="00B62EFB">
        <w:rPr>
          <w:szCs w:val="24"/>
        </w:rPr>
        <w:t xml:space="preserve"> aby szkoł</w:t>
      </w:r>
      <w:r w:rsidR="006516CC">
        <w:rPr>
          <w:szCs w:val="24"/>
        </w:rPr>
        <w:t>y</w:t>
      </w:r>
      <w:r w:rsidRPr="00B62EFB">
        <w:rPr>
          <w:szCs w:val="24"/>
        </w:rPr>
        <w:t xml:space="preserve"> z</w:t>
      </w:r>
      <w:r w:rsidR="006516CC">
        <w:rPr>
          <w:szCs w:val="24"/>
        </w:rPr>
        <w:t xml:space="preserve"> wysoką </w:t>
      </w:r>
      <w:r w:rsidRPr="00B62EFB">
        <w:rPr>
          <w:szCs w:val="24"/>
        </w:rPr>
        <w:t xml:space="preserve">zdawalnością </w:t>
      </w:r>
      <w:r w:rsidR="006516CC">
        <w:rPr>
          <w:szCs w:val="24"/>
        </w:rPr>
        <w:t>mogły</w:t>
      </w:r>
      <w:r w:rsidRPr="00B62EFB">
        <w:rPr>
          <w:szCs w:val="24"/>
        </w:rPr>
        <w:t xml:space="preserve"> </w:t>
      </w:r>
      <w:r w:rsidR="008843EC">
        <w:rPr>
          <w:szCs w:val="24"/>
        </w:rPr>
        <w:t xml:space="preserve">finansowo </w:t>
      </w:r>
      <w:r w:rsidRPr="00B62EFB">
        <w:rPr>
          <w:szCs w:val="24"/>
        </w:rPr>
        <w:t>zyska</w:t>
      </w:r>
      <w:r w:rsidR="006516CC">
        <w:rPr>
          <w:szCs w:val="24"/>
        </w:rPr>
        <w:t>ć</w:t>
      </w:r>
      <w:r w:rsidRPr="00B62EFB">
        <w:rPr>
          <w:szCs w:val="24"/>
        </w:rPr>
        <w:t xml:space="preserve"> w stosunku do dotychczasowych zasad. </w:t>
      </w:r>
    </w:p>
    <w:p w14:paraId="7831CDFF" w14:textId="77777777" w:rsidR="000C4A1D" w:rsidRPr="00B62EFB" w:rsidRDefault="000C4A1D">
      <w:pPr>
        <w:spacing w:line="276" w:lineRule="auto"/>
        <w:ind w:left="709"/>
        <w:jc w:val="both"/>
        <w:rPr>
          <w:szCs w:val="24"/>
        </w:rPr>
      </w:pPr>
    </w:p>
    <w:p w14:paraId="4BFA2269" w14:textId="4D351ED6" w:rsidR="00F34FF7" w:rsidRDefault="000C4A1D" w:rsidP="00B62EFB">
      <w:pPr>
        <w:spacing w:line="276" w:lineRule="auto"/>
        <w:ind w:left="284"/>
        <w:jc w:val="both"/>
        <w:rPr>
          <w:szCs w:val="24"/>
        </w:rPr>
      </w:pPr>
      <w:r w:rsidRPr="00B62EFB">
        <w:rPr>
          <w:szCs w:val="24"/>
        </w:rPr>
        <w:t xml:space="preserve">Proponuje się wyłączenie słuchaczy </w:t>
      </w:r>
      <w:r w:rsidR="00C176FC">
        <w:rPr>
          <w:szCs w:val="24"/>
        </w:rPr>
        <w:t xml:space="preserve">liceów ogólnokształcących </w:t>
      </w:r>
      <w:r w:rsidRPr="00B62EFB">
        <w:rPr>
          <w:szCs w:val="24"/>
        </w:rPr>
        <w:t>dla dorosłych i szkół policealnych z dotychczasowej wagi P</w:t>
      </w:r>
      <w:r w:rsidRPr="00B62EFB">
        <w:rPr>
          <w:szCs w:val="24"/>
          <w:vertAlign w:val="subscript"/>
        </w:rPr>
        <w:t>9</w:t>
      </w:r>
      <w:r w:rsidRPr="00B62EFB">
        <w:rPr>
          <w:szCs w:val="24"/>
        </w:rPr>
        <w:t xml:space="preserve"> = 0,082, a zwiększenie wagi P</w:t>
      </w:r>
      <w:r w:rsidRPr="00B62EFB">
        <w:rPr>
          <w:szCs w:val="24"/>
          <w:vertAlign w:val="subscript"/>
        </w:rPr>
        <w:t>11</w:t>
      </w:r>
      <w:r w:rsidRPr="00B62EFB">
        <w:rPr>
          <w:szCs w:val="24"/>
        </w:rPr>
        <w:t xml:space="preserve"> za zdany egzamin</w:t>
      </w:r>
      <w:r w:rsidR="00EF72E3">
        <w:rPr>
          <w:szCs w:val="24"/>
        </w:rPr>
        <w:t xml:space="preserve"> </w:t>
      </w:r>
      <w:r w:rsidR="00EF72E3">
        <w:t>maturalny, egzamin zawodowy lub egzamin potwierdzający kwalifikacje w zawodzie</w:t>
      </w:r>
      <w:r w:rsidRPr="00B62EFB">
        <w:rPr>
          <w:szCs w:val="24"/>
        </w:rPr>
        <w:t xml:space="preserve"> z wartości 0,165 do wartości 0,</w:t>
      </w:r>
      <w:r w:rsidR="006516CC">
        <w:rPr>
          <w:szCs w:val="24"/>
        </w:rPr>
        <w:t>36</w:t>
      </w:r>
      <w:r w:rsidR="00BC459F">
        <w:rPr>
          <w:szCs w:val="24"/>
        </w:rPr>
        <w:t>0</w:t>
      </w:r>
      <w:r w:rsidR="00245C00">
        <w:rPr>
          <w:szCs w:val="24"/>
        </w:rPr>
        <w:t xml:space="preserve">, tj. z 1 tys. zł na </w:t>
      </w:r>
      <w:r w:rsidR="001B162C">
        <w:rPr>
          <w:szCs w:val="24"/>
        </w:rPr>
        <w:t>2</w:t>
      </w:r>
      <w:r w:rsidR="00245C00">
        <w:rPr>
          <w:szCs w:val="24"/>
        </w:rPr>
        <w:t>,2 tys. zł</w:t>
      </w:r>
      <w:r w:rsidRPr="00B62EFB">
        <w:rPr>
          <w:szCs w:val="24"/>
        </w:rPr>
        <w:t>. W przypadku KKZ (ponieważ dla słuchaczy KKZ nie jest naliczana waga P</w:t>
      </w:r>
      <w:r w:rsidRPr="00B62EFB">
        <w:rPr>
          <w:szCs w:val="24"/>
          <w:vertAlign w:val="subscript"/>
        </w:rPr>
        <w:t>9</w:t>
      </w:r>
      <w:r w:rsidRPr="00B62EFB">
        <w:rPr>
          <w:szCs w:val="24"/>
        </w:rPr>
        <w:t>) proponuje się obniżyć obecną wagę P</w:t>
      </w:r>
      <w:r w:rsidRPr="00B62EFB">
        <w:rPr>
          <w:szCs w:val="24"/>
          <w:vertAlign w:val="subscript"/>
        </w:rPr>
        <w:t>44</w:t>
      </w:r>
      <w:r w:rsidRPr="00B62EFB">
        <w:rPr>
          <w:szCs w:val="24"/>
        </w:rPr>
        <w:t xml:space="preserve"> z wartości 0,51</w:t>
      </w:r>
      <w:r w:rsidR="00C7239E">
        <w:rPr>
          <w:szCs w:val="24"/>
        </w:rPr>
        <w:t>0</w:t>
      </w:r>
      <w:r w:rsidRPr="00B62EFB">
        <w:rPr>
          <w:szCs w:val="24"/>
        </w:rPr>
        <w:t xml:space="preserve"> do 0,4</w:t>
      </w:r>
      <w:r w:rsidR="001B162C">
        <w:rPr>
          <w:szCs w:val="24"/>
        </w:rPr>
        <w:t>0</w:t>
      </w:r>
      <w:r w:rsidR="001B0380">
        <w:rPr>
          <w:szCs w:val="24"/>
        </w:rPr>
        <w:t>0</w:t>
      </w:r>
      <w:r w:rsidR="00A8564E">
        <w:rPr>
          <w:szCs w:val="24"/>
        </w:rPr>
        <w:t>, tj.</w:t>
      </w:r>
      <w:r w:rsidR="00BC3F7B">
        <w:rPr>
          <w:szCs w:val="24"/>
        </w:rPr>
        <w:t> </w:t>
      </w:r>
      <w:r w:rsidR="00C821B6">
        <w:rPr>
          <w:szCs w:val="24"/>
        </w:rPr>
        <w:t>z</w:t>
      </w:r>
      <w:r w:rsidR="00BC3F7B">
        <w:rPr>
          <w:szCs w:val="24"/>
        </w:rPr>
        <w:t> </w:t>
      </w:r>
      <w:r w:rsidR="00A8564E">
        <w:rPr>
          <w:szCs w:val="24"/>
        </w:rPr>
        <w:t>3,1</w:t>
      </w:r>
      <w:r w:rsidR="00BC3F7B">
        <w:rPr>
          <w:szCs w:val="24"/>
        </w:rPr>
        <w:t> </w:t>
      </w:r>
      <w:r w:rsidR="00A8564E">
        <w:rPr>
          <w:szCs w:val="24"/>
        </w:rPr>
        <w:t>tys. zł do ok. 2,4 tys. zł</w:t>
      </w:r>
      <w:r w:rsidRPr="00B62EFB">
        <w:rPr>
          <w:szCs w:val="24"/>
        </w:rPr>
        <w:t xml:space="preserve">  (a zwiększona subwencja </w:t>
      </w:r>
      <w:r w:rsidR="001B0380">
        <w:rPr>
          <w:szCs w:val="24"/>
        </w:rPr>
        <w:t xml:space="preserve">oświatowa </w:t>
      </w:r>
      <w:r w:rsidR="0037262F">
        <w:rPr>
          <w:szCs w:val="24"/>
        </w:rPr>
        <w:t>będzie</w:t>
      </w:r>
      <w:r w:rsidRPr="00B62EFB">
        <w:rPr>
          <w:szCs w:val="24"/>
        </w:rPr>
        <w:t xml:space="preserve"> naliczana dzięki zwiększonej wadze P</w:t>
      </w:r>
      <w:r w:rsidRPr="00B62EFB">
        <w:rPr>
          <w:szCs w:val="24"/>
          <w:vertAlign w:val="subscript"/>
        </w:rPr>
        <w:t>11</w:t>
      </w:r>
      <w:r w:rsidRPr="00B62EFB">
        <w:rPr>
          <w:szCs w:val="24"/>
        </w:rPr>
        <w:t xml:space="preserve">). </w:t>
      </w:r>
    </w:p>
    <w:p w14:paraId="29B8A49A" w14:textId="5606F23B" w:rsidR="000C4A1D" w:rsidRPr="00B62EFB" w:rsidRDefault="0037262F" w:rsidP="00B62EFB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 xml:space="preserve">Ponadto proponuje się </w:t>
      </w:r>
      <w:r w:rsidR="000C4A1D" w:rsidRPr="00B62EFB">
        <w:rPr>
          <w:szCs w:val="24"/>
        </w:rPr>
        <w:t>podwyższyć wskaźniki w części SOA:</w:t>
      </w:r>
    </w:p>
    <w:p w14:paraId="2B8F7041" w14:textId="69E43DA5" w:rsidR="000C4A1D" w:rsidRPr="00B62EFB" w:rsidRDefault="000C4A1D" w:rsidP="00F34FF7">
      <w:pPr>
        <w:pStyle w:val="Akapitzlist"/>
        <w:numPr>
          <w:ilvl w:val="0"/>
          <w:numId w:val="13"/>
        </w:numPr>
        <w:spacing w:after="160" w:line="276" w:lineRule="auto"/>
        <w:ind w:left="567" w:hanging="294"/>
        <w:jc w:val="both"/>
        <w:rPr>
          <w:rFonts w:ascii="Times New Roman" w:hAnsi="Times New Roman" w:cs="Times New Roman"/>
          <w:b/>
        </w:rPr>
      </w:pPr>
      <w:r w:rsidRPr="00B62EFB">
        <w:rPr>
          <w:rFonts w:ascii="Times New Roman" w:hAnsi="Times New Roman" w:cs="Times New Roman"/>
        </w:rPr>
        <w:t xml:space="preserve">dla niepublicznych liceów ogólnokształcących kształcących w </w:t>
      </w:r>
      <w:r w:rsidR="009E2D39">
        <w:rPr>
          <w:rFonts w:ascii="Times New Roman" w:hAnsi="Times New Roman" w:cs="Times New Roman"/>
        </w:rPr>
        <w:t>formie</w:t>
      </w:r>
      <w:r w:rsidRPr="00B62EFB">
        <w:rPr>
          <w:rFonts w:ascii="Times New Roman" w:hAnsi="Times New Roman" w:cs="Times New Roman"/>
        </w:rPr>
        <w:t xml:space="preserve"> zaoczn</w:t>
      </w:r>
      <w:r w:rsidR="009E2D39">
        <w:rPr>
          <w:rFonts w:ascii="Times New Roman" w:hAnsi="Times New Roman" w:cs="Times New Roman"/>
        </w:rPr>
        <w:t>ej</w:t>
      </w:r>
      <w:r w:rsidRPr="00B62EFB">
        <w:rPr>
          <w:rFonts w:ascii="Times New Roman" w:hAnsi="Times New Roman" w:cs="Times New Roman"/>
        </w:rPr>
        <w:t xml:space="preserve"> z 0,1</w:t>
      </w:r>
      <w:r w:rsidR="001B162C">
        <w:rPr>
          <w:rFonts w:ascii="Times New Roman" w:hAnsi="Times New Roman" w:cs="Times New Roman"/>
        </w:rPr>
        <w:t>0</w:t>
      </w:r>
      <w:r w:rsidRPr="00B62EFB">
        <w:rPr>
          <w:rFonts w:ascii="Times New Roman" w:hAnsi="Times New Roman" w:cs="Times New Roman"/>
        </w:rPr>
        <w:t xml:space="preserve"> na 0,14</w:t>
      </w:r>
      <w:r w:rsidR="00F34FF7">
        <w:rPr>
          <w:rFonts w:ascii="Times New Roman" w:hAnsi="Times New Roman" w:cs="Times New Roman"/>
        </w:rPr>
        <w:t>;</w:t>
      </w:r>
    </w:p>
    <w:p w14:paraId="38D22BF4" w14:textId="6C0A2850" w:rsidR="000C4A1D" w:rsidRPr="00B62EFB" w:rsidRDefault="000C4A1D" w:rsidP="00F34FF7">
      <w:pPr>
        <w:pStyle w:val="Akapitzlist"/>
        <w:numPr>
          <w:ilvl w:val="0"/>
          <w:numId w:val="13"/>
        </w:numPr>
        <w:spacing w:after="160"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B62EFB">
        <w:rPr>
          <w:rFonts w:ascii="Times New Roman" w:hAnsi="Times New Roman" w:cs="Times New Roman"/>
        </w:rPr>
        <w:t xml:space="preserve">dla niepublicznych szkół policealnych kształcących w </w:t>
      </w:r>
      <w:r w:rsidR="009E2D39">
        <w:rPr>
          <w:rFonts w:ascii="Times New Roman" w:hAnsi="Times New Roman" w:cs="Times New Roman"/>
        </w:rPr>
        <w:t>formie</w:t>
      </w:r>
      <w:r w:rsidRPr="00B62EFB">
        <w:rPr>
          <w:rFonts w:ascii="Times New Roman" w:hAnsi="Times New Roman" w:cs="Times New Roman"/>
        </w:rPr>
        <w:t xml:space="preserve"> zaoczn</w:t>
      </w:r>
      <w:r w:rsidR="009E2D39">
        <w:rPr>
          <w:rFonts w:ascii="Times New Roman" w:hAnsi="Times New Roman" w:cs="Times New Roman"/>
        </w:rPr>
        <w:t>ej</w:t>
      </w:r>
      <w:r w:rsidRPr="00B62EFB">
        <w:rPr>
          <w:rFonts w:ascii="Times New Roman" w:hAnsi="Times New Roman" w:cs="Times New Roman"/>
        </w:rPr>
        <w:t xml:space="preserve"> z 0,06 na 0,08.</w:t>
      </w:r>
    </w:p>
    <w:p w14:paraId="71ED0E46" w14:textId="43695832" w:rsidR="000C4A1D" w:rsidRPr="00B62EFB" w:rsidRDefault="00F628A0" w:rsidP="00B62EFB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W przypadku dwóch wyże</w:t>
      </w:r>
      <w:r w:rsidR="008D5128">
        <w:rPr>
          <w:szCs w:val="24"/>
        </w:rPr>
        <w:t>j wymienionych typów szkół, tj.</w:t>
      </w:r>
      <w:r>
        <w:rPr>
          <w:szCs w:val="24"/>
        </w:rPr>
        <w:t xml:space="preserve"> </w:t>
      </w:r>
      <w:r w:rsidRPr="00BD4441">
        <w:rPr>
          <w:szCs w:val="24"/>
        </w:rPr>
        <w:t xml:space="preserve">niepublicznych liceów ogólnokształcących </w:t>
      </w:r>
      <w:r>
        <w:rPr>
          <w:szCs w:val="24"/>
        </w:rPr>
        <w:t xml:space="preserve">i </w:t>
      </w:r>
      <w:r w:rsidRPr="00BD4441">
        <w:rPr>
          <w:szCs w:val="24"/>
        </w:rPr>
        <w:t xml:space="preserve">niepublicznych szkół policealnych kształcących w </w:t>
      </w:r>
      <w:r w:rsidR="00E0091F">
        <w:rPr>
          <w:szCs w:val="24"/>
        </w:rPr>
        <w:t>formie</w:t>
      </w:r>
      <w:r w:rsidRPr="00BD4441">
        <w:rPr>
          <w:szCs w:val="24"/>
        </w:rPr>
        <w:t xml:space="preserve"> zaoczn</w:t>
      </w:r>
      <w:r w:rsidR="00E0091F">
        <w:rPr>
          <w:szCs w:val="24"/>
        </w:rPr>
        <w:t>ej</w:t>
      </w:r>
      <w:r>
        <w:rPr>
          <w:szCs w:val="24"/>
        </w:rPr>
        <w:t xml:space="preserve">, obniżenie finansowania w części </w:t>
      </w:r>
      <w:r w:rsidR="008D5128" w:rsidRPr="00B2155E">
        <w:rPr>
          <w:szCs w:val="24"/>
        </w:rPr>
        <w:t xml:space="preserve">„za uczestnictwo w zajęciach” </w:t>
      </w:r>
      <w:r>
        <w:rPr>
          <w:szCs w:val="24"/>
        </w:rPr>
        <w:t>(poprzez wyłączenia finansowania wagą P</w:t>
      </w:r>
      <w:r w:rsidRPr="00B62EFB">
        <w:rPr>
          <w:szCs w:val="24"/>
          <w:vertAlign w:val="subscript"/>
        </w:rPr>
        <w:t>9</w:t>
      </w:r>
      <w:r>
        <w:rPr>
          <w:szCs w:val="24"/>
        </w:rPr>
        <w:t xml:space="preserve">) spowodowałoby zbyt duże obniżenie finansowania tych szkół (o </w:t>
      </w:r>
      <w:r w:rsidR="00D82DF8">
        <w:rPr>
          <w:szCs w:val="24"/>
        </w:rPr>
        <w:t>45</w:t>
      </w:r>
      <w:r>
        <w:rPr>
          <w:szCs w:val="24"/>
        </w:rPr>
        <w:t>% w przypadku liceów</w:t>
      </w:r>
      <w:r w:rsidR="00E0091F">
        <w:rPr>
          <w:szCs w:val="24"/>
        </w:rPr>
        <w:t xml:space="preserve"> ogólnokształcących</w:t>
      </w:r>
      <w:r>
        <w:rPr>
          <w:szCs w:val="24"/>
        </w:rPr>
        <w:t xml:space="preserve"> i o </w:t>
      </w:r>
      <w:r w:rsidR="00D82DF8">
        <w:rPr>
          <w:szCs w:val="24"/>
        </w:rPr>
        <w:t>58</w:t>
      </w:r>
      <w:r>
        <w:rPr>
          <w:szCs w:val="24"/>
        </w:rPr>
        <w:t>% w przypadku szkół policealnych)</w:t>
      </w:r>
      <w:r w:rsidR="007F068B">
        <w:rPr>
          <w:szCs w:val="24"/>
        </w:rPr>
        <w:t xml:space="preserve"> dlatego proponuje się podwyższenie w przypadków </w:t>
      </w:r>
      <w:r w:rsidR="006E5488">
        <w:rPr>
          <w:szCs w:val="24"/>
        </w:rPr>
        <w:t xml:space="preserve">tych szkół </w:t>
      </w:r>
      <w:r w:rsidR="007F068B">
        <w:rPr>
          <w:szCs w:val="24"/>
        </w:rPr>
        <w:t>wskaźników w części SOA</w:t>
      </w:r>
      <w:r>
        <w:rPr>
          <w:szCs w:val="24"/>
        </w:rPr>
        <w:t xml:space="preserve">. </w:t>
      </w:r>
      <w:r w:rsidR="00070112" w:rsidRPr="00B62EFB">
        <w:rPr>
          <w:szCs w:val="24"/>
        </w:rPr>
        <w:t>Pozostałe wskaźniki w części SOA pozostają na poziomie z 2020 r.</w:t>
      </w:r>
      <w:r w:rsidR="00070112">
        <w:rPr>
          <w:szCs w:val="24"/>
        </w:rPr>
        <w:t xml:space="preserve"> </w:t>
      </w:r>
      <w:r w:rsidR="007232F5">
        <w:rPr>
          <w:szCs w:val="24"/>
        </w:rPr>
        <w:t xml:space="preserve">Konsekwencją tej zmiany jest wyłączenie </w:t>
      </w:r>
      <w:r w:rsidR="007232F5">
        <w:t>słuchaczy</w:t>
      </w:r>
      <w:r w:rsidR="007232F5" w:rsidRPr="00637CF9">
        <w:t xml:space="preserve"> niepublicznych branżowych szkół II stopnia kształcących w formie zaocznej</w:t>
      </w:r>
      <w:r w:rsidR="007232F5">
        <w:t xml:space="preserve"> ze wskaźnika Sh i utworzenie dla nich wskaźnika So. Dotychczas dwie kategorie słuchaczy, tj. słuchacze</w:t>
      </w:r>
      <w:r w:rsidR="007232F5" w:rsidRPr="00637CF9">
        <w:t xml:space="preserve"> niepublicznych branżowych szkół II stopnia kształcących w formie zaocznej</w:t>
      </w:r>
      <w:r w:rsidR="007232F5">
        <w:t xml:space="preserve"> i </w:t>
      </w:r>
      <w:r w:rsidR="007232F5" w:rsidRPr="00B62EFB">
        <w:t xml:space="preserve">niepublicznych liceów ogólnokształcących kształcących w </w:t>
      </w:r>
      <w:r w:rsidR="007232F5">
        <w:t>formie</w:t>
      </w:r>
      <w:r w:rsidR="007232F5" w:rsidRPr="00B62EFB">
        <w:t xml:space="preserve"> zaoczn</w:t>
      </w:r>
      <w:r w:rsidR="007232F5">
        <w:t>ej byli naliczani wskaźnikiem Sh</w:t>
      </w:r>
      <w:r w:rsidR="00396862">
        <w:t>,</w:t>
      </w:r>
      <w:r w:rsidR="007232F5">
        <w:t xml:space="preserve"> a więc o takiej samej wartości 0,1. </w:t>
      </w:r>
      <w:r w:rsidR="00070112">
        <w:t>Na 2021</w:t>
      </w:r>
      <w:r w:rsidR="00396862">
        <w:t xml:space="preserve"> r. </w:t>
      </w:r>
      <w:r w:rsidR="00070112">
        <w:t>te dwie kategorie słuchaczy będą mieć zróżnicowane finansowanie</w:t>
      </w:r>
      <w:r w:rsidR="007442DF">
        <w:t xml:space="preserve"> i słuchacze </w:t>
      </w:r>
      <w:r w:rsidR="007442DF" w:rsidRPr="00B62EFB">
        <w:t xml:space="preserve">niepublicznych liceów ogólnokształcących kształcących w </w:t>
      </w:r>
      <w:r w:rsidR="007442DF">
        <w:t>formie</w:t>
      </w:r>
      <w:r w:rsidR="007442DF" w:rsidRPr="00B62EFB">
        <w:t xml:space="preserve"> zaoczn</w:t>
      </w:r>
      <w:r w:rsidR="007442DF">
        <w:t>ej będą finansowan</w:t>
      </w:r>
      <w:r w:rsidR="00396862">
        <w:t>i</w:t>
      </w:r>
      <w:r w:rsidR="007442DF">
        <w:t xml:space="preserve"> w ramach Sh  o wartości 0,14</w:t>
      </w:r>
      <w:r w:rsidR="00396862">
        <w:t>,</w:t>
      </w:r>
      <w:r w:rsidR="007442DF">
        <w:t xml:space="preserve"> a słuchacze </w:t>
      </w:r>
      <w:r w:rsidR="007442DF" w:rsidRPr="00637CF9">
        <w:t>niepublicznych branżowych szkół II stopnia kształcących w formie zaocznej</w:t>
      </w:r>
      <w:r w:rsidR="007442DF">
        <w:t xml:space="preserve"> będą finansowani w ramach So o wartości 0,1 (finansowanie słuchaczy </w:t>
      </w:r>
      <w:r w:rsidR="007442DF" w:rsidRPr="00637CF9">
        <w:t>niepublicznych branżowych szkół II stopnia kształcących w formie zaocznej</w:t>
      </w:r>
      <w:r w:rsidR="007442DF">
        <w:t xml:space="preserve"> pozostaje na poziomie z 2020 r.). </w:t>
      </w:r>
      <w:r w:rsidR="00D82DF8">
        <w:rPr>
          <w:szCs w:val="24"/>
        </w:rPr>
        <w:t xml:space="preserve">Zmiana finansowania liceów ogólnokształcących dla dorosłych i szkół policealnych oraz </w:t>
      </w:r>
      <w:r w:rsidR="00D35531">
        <w:rPr>
          <w:szCs w:val="24"/>
        </w:rPr>
        <w:t>KKZ</w:t>
      </w:r>
      <w:r w:rsidR="00D82DF8">
        <w:rPr>
          <w:szCs w:val="24"/>
        </w:rPr>
        <w:t xml:space="preserve"> w części </w:t>
      </w:r>
      <w:r w:rsidR="008D5128" w:rsidRPr="00B2155E">
        <w:rPr>
          <w:szCs w:val="24"/>
        </w:rPr>
        <w:t xml:space="preserve">„za uczestnictwo w zajęciach” </w:t>
      </w:r>
      <w:r w:rsidR="00D82DF8">
        <w:rPr>
          <w:szCs w:val="24"/>
        </w:rPr>
        <w:t xml:space="preserve">nie przekroczy 25%. Natomiast w wyniku podwyższenia wagi </w:t>
      </w:r>
      <w:r w:rsidR="007442DF">
        <w:rPr>
          <w:szCs w:val="24"/>
        </w:rPr>
        <w:t>P</w:t>
      </w:r>
      <w:r w:rsidR="007442DF" w:rsidRPr="001C51B7">
        <w:rPr>
          <w:szCs w:val="24"/>
          <w:vertAlign w:val="subscript"/>
        </w:rPr>
        <w:t>11</w:t>
      </w:r>
      <w:r w:rsidR="00D82DF8">
        <w:rPr>
          <w:szCs w:val="24"/>
        </w:rPr>
        <w:t xml:space="preserve"> finansowanie tych szkół</w:t>
      </w:r>
      <w:r w:rsidR="000524A9">
        <w:rPr>
          <w:szCs w:val="24"/>
        </w:rPr>
        <w:t xml:space="preserve"> i KKZ</w:t>
      </w:r>
      <w:r w:rsidR="00D82DF8">
        <w:rPr>
          <w:szCs w:val="24"/>
        </w:rPr>
        <w:t xml:space="preserve">, jeżeli zapewnią dużą zdawalność, może być nawet </w:t>
      </w:r>
      <w:r w:rsidR="00C821B6">
        <w:rPr>
          <w:szCs w:val="24"/>
        </w:rPr>
        <w:t xml:space="preserve">znacznie </w:t>
      </w:r>
      <w:r w:rsidR="00D82DF8">
        <w:rPr>
          <w:szCs w:val="24"/>
        </w:rPr>
        <w:t>korzystniejsz</w:t>
      </w:r>
      <w:r w:rsidR="007442DF">
        <w:rPr>
          <w:szCs w:val="24"/>
        </w:rPr>
        <w:t>e</w:t>
      </w:r>
      <w:r w:rsidR="00D82DF8">
        <w:rPr>
          <w:szCs w:val="24"/>
        </w:rPr>
        <w:t xml:space="preserve"> niż do tej pory.</w:t>
      </w:r>
      <w:r w:rsidR="006516CC">
        <w:rPr>
          <w:szCs w:val="24"/>
        </w:rPr>
        <w:t xml:space="preserve"> </w:t>
      </w:r>
      <w:r w:rsidR="00245C00">
        <w:rPr>
          <w:szCs w:val="24"/>
        </w:rPr>
        <w:t>Z</w:t>
      </w:r>
      <w:r w:rsidR="00C821B6">
        <w:rPr>
          <w:szCs w:val="24"/>
        </w:rPr>
        <w:t>większenie środków na ucznia</w:t>
      </w:r>
      <w:r w:rsidR="00E23334">
        <w:rPr>
          <w:szCs w:val="24"/>
        </w:rPr>
        <w:t>,</w:t>
      </w:r>
      <w:r w:rsidR="00C821B6">
        <w:rPr>
          <w:szCs w:val="24"/>
        </w:rPr>
        <w:t xml:space="preserve"> </w:t>
      </w:r>
      <w:r w:rsidR="00E23334">
        <w:rPr>
          <w:szCs w:val="24"/>
        </w:rPr>
        <w:t xml:space="preserve">który zdał odpowiedni egzamin, </w:t>
      </w:r>
      <w:r w:rsidR="00C821B6">
        <w:rPr>
          <w:szCs w:val="24"/>
        </w:rPr>
        <w:t xml:space="preserve">kalkulowanych </w:t>
      </w:r>
      <w:r w:rsidR="00245C00">
        <w:rPr>
          <w:szCs w:val="24"/>
        </w:rPr>
        <w:t>wa</w:t>
      </w:r>
      <w:r w:rsidR="00C821B6">
        <w:rPr>
          <w:szCs w:val="24"/>
        </w:rPr>
        <w:t>gą</w:t>
      </w:r>
      <w:r w:rsidR="00245C00">
        <w:rPr>
          <w:szCs w:val="24"/>
        </w:rPr>
        <w:t xml:space="preserve"> P</w:t>
      </w:r>
      <w:r w:rsidR="00245C00" w:rsidRPr="00BE410B">
        <w:rPr>
          <w:szCs w:val="24"/>
          <w:vertAlign w:val="subscript"/>
        </w:rPr>
        <w:t>11</w:t>
      </w:r>
      <w:r w:rsidR="00245C00">
        <w:rPr>
          <w:szCs w:val="24"/>
        </w:rPr>
        <w:t xml:space="preserve"> wyn</w:t>
      </w:r>
      <w:r w:rsidR="00C821B6">
        <w:rPr>
          <w:szCs w:val="24"/>
        </w:rPr>
        <w:t>iesie</w:t>
      </w:r>
      <w:r w:rsidR="00245C00">
        <w:rPr>
          <w:szCs w:val="24"/>
        </w:rPr>
        <w:t xml:space="preserve"> 1,2 tys. zł. </w:t>
      </w:r>
    </w:p>
    <w:p w14:paraId="2E497D14" w14:textId="77777777" w:rsidR="000C4A1D" w:rsidRPr="00B62EFB" w:rsidRDefault="000C4A1D">
      <w:pPr>
        <w:spacing w:line="276" w:lineRule="auto"/>
        <w:jc w:val="both"/>
        <w:rPr>
          <w:szCs w:val="24"/>
        </w:rPr>
      </w:pPr>
    </w:p>
    <w:p w14:paraId="6FBAF498" w14:textId="77777777" w:rsidR="00043CDA" w:rsidRDefault="007F068B" w:rsidP="00043CDA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Podwyższenie</w:t>
      </w:r>
      <w:r w:rsidR="000C4A1D" w:rsidRPr="00B62EFB">
        <w:rPr>
          <w:rFonts w:ascii="Times New Roman" w:hAnsi="Times New Roman" w:cs="Times New Roman"/>
        </w:rPr>
        <w:t xml:space="preserve"> wartości wagi P</w:t>
      </w:r>
      <w:r w:rsidR="000C4A1D" w:rsidRPr="00B62EFB">
        <w:rPr>
          <w:rFonts w:ascii="Times New Roman" w:hAnsi="Times New Roman" w:cs="Times New Roman"/>
          <w:vertAlign w:val="subscript"/>
        </w:rPr>
        <w:t>2</w:t>
      </w:r>
      <w:r w:rsidR="000C4A1D" w:rsidRPr="00B62EF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waga</w:t>
      </w:r>
      <w:r w:rsidR="000C4A1D" w:rsidRPr="00B62EFB">
        <w:rPr>
          <w:rFonts w:ascii="Times New Roman" w:hAnsi="Times New Roman" w:cs="Times New Roman"/>
        </w:rPr>
        <w:t xml:space="preserve"> z uwzględnieniem zamożności i wielkości szkoły) z</w:t>
      </w:r>
      <w:r w:rsidR="00C821B6">
        <w:rPr>
          <w:rFonts w:ascii="Times New Roman" w:hAnsi="Times New Roman" w:cs="Times New Roman"/>
        </w:rPr>
        <w:t> </w:t>
      </w:r>
      <w:r w:rsidR="000C4A1D" w:rsidRPr="00B62EFB">
        <w:rPr>
          <w:rFonts w:ascii="Times New Roman" w:hAnsi="Times New Roman" w:cs="Times New Roman"/>
        </w:rPr>
        <w:t>poziomu 0,1</w:t>
      </w:r>
      <w:r w:rsidR="001B162C">
        <w:rPr>
          <w:rFonts w:ascii="Times New Roman" w:hAnsi="Times New Roman" w:cs="Times New Roman"/>
        </w:rPr>
        <w:t>0</w:t>
      </w:r>
      <w:r w:rsidR="00456453">
        <w:rPr>
          <w:rFonts w:ascii="Times New Roman" w:hAnsi="Times New Roman" w:cs="Times New Roman"/>
        </w:rPr>
        <w:t>0</w:t>
      </w:r>
      <w:r w:rsidR="000C4A1D" w:rsidRPr="00B62EFB">
        <w:rPr>
          <w:rFonts w:ascii="Times New Roman" w:hAnsi="Times New Roman" w:cs="Times New Roman"/>
        </w:rPr>
        <w:t xml:space="preserve"> do 0,15</w:t>
      </w:r>
      <w:r w:rsidR="00456453">
        <w:rPr>
          <w:rFonts w:ascii="Times New Roman" w:hAnsi="Times New Roman" w:cs="Times New Roman"/>
        </w:rPr>
        <w:t>0</w:t>
      </w:r>
      <w:r w:rsidR="000C4A1D" w:rsidRPr="00B62EFB">
        <w:rPr>
          <w:rFonts w:ascii="Times New Roman" w:hAnsi="Times New Roman" w:cs="Times New Roman"/>
        </w:rPr>
        <w:t>, tj. o 50%</w:t>
      </w:r>
      <w:r w:rsidR="00456453">
        <w:rPr>
          <w:rFonts w:ascii="Times New Roman" w:hAnsi="Times New Roman" w:cs="Times New Roman"/>
        </w:rPr>
        <w:t>,</w:t>
      </w:r>
      <w:r w:rsidR="00691F7F">
        <w:rPr>
          <w:rFonts w:ascii="Times New Roman" w:hAnsi="Times New Roman" w:cs="Times New Roman"/>
        </w:rPr>
        <w:t xml:space="preserve"> oraz włączenie uczniów szkół niepublicznych do tej wagi.</w:t>
      </w:r>
      <w:r w:rsidR="00043CDA">
        <w:rPr>
          <w:rFonts w:ascii="Times New Roman" w:hAnsi="Times New Roman" w:cs="Times New Roman"/>
        </w:rPr>
        <w:t xml:space="preserve"> </w:t>
      </w:r>
    </w:p>
    <w:p w14:paraId="134BDC9F" w14:textId="77777777" w:rsidR="008F268A" w:rsidRDefault="008F268A" w:rsidP="00FC74DD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54504699" w14:textId="1B965177" w:rsidR="000C4A1D" w:rsidRPr="00043CDA" w:rsidRDefault="00691F7F" w:rsidP="00FC74DD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3CDA">
        <w:rPr>
          <w:rFonts w:ascii="Times New Roman" w:hAnsi="Times New Roman" w:cs="Times New Roman"/>
        </w:rPr>
        <w:t>Podwyższenie wartości wagi P</w:t>
      </w:r>
      <w:r w:rsidRPr="00043CDA">
        <w:rPr>
          <w:rFonts w:ascii="Times New Roman" w:hAnsi="Times New Roman" w:cs="Times New Roman"/>
          <w:vertAlign w:val="subscript"/>
        </w:rPr>
        <w:t>2</w:t>
      </w:r>
      <w:r w:rsidRPr="00043CDA">
        <w:rPr>
          <w:rFonts w:ascii="Times New Roman" w:hAnsi="Times New Roman" w:cs="Times New Roman"/>
        </w:rPr>
        <w:t xml:space="preserve"> </w:t>
      </w:r>
      <w:r w:rsidR="000C4A1D" w:rsidRPr="00043CDA">
        <w:rPr>
          <w:rFonts w:ascii="Times New Roman" w:hAnsi="Times New Roman" w:cs="Times New Roman"/>
        </w:rPr>
        <w:t xml:space="preserve">przełoży się na wzrost subwencji </w:t>
      </w:r>
      <w:r w:rsidR="00E307B7">
        <w:rPr>
          <w:rFonts w:ascii="Times New Roman" w:hAnsi="Times New Roman" w:cs="Times New Roman"/>
        </w:rPr>
        <w:t xml:space="preserve">oświatowej </w:t>
      </w:r>
      <w:r w:rsidR="000C4A1D" w:rsidRPr="00043CDA">
        <w:rPr>
          <w:rFonts w:ascii="Times New Roman" w:hAnsi="Times New Roman" w:cs="Times New Roman"/>
        </w:rPr>
        <w:t>na ucznia z poziomu ok. 61</w:t>
      </w:r>
      <w:r w:rsidR="007F068B" w:rsidRPr="00043CDA">
        <w:rPr>
          <w:rFonts w:ascii="Times New Roman" w:hAnsi="Times New Roman" w:cs="Times New Roman"/>
        </w:rPr>
        <w:t>1</w:t>
      </w:r>
      <w:r w:rsidR="00E307B7">
        <w:rPr>
          <w:rFonts w:ascii="Times New Roman" w:hAnsi="Times New Roman" w:cs="Times New Roman"/>
        </w:rPr>
        <w:t xml:space="preserve"> zł</w:t>
      </w:r>
      <w:r w:rsidR="000C4A1D" w:rsidRPr="00043CDA">
        <w:rPr>
          <w:rFonts w:ascii="Times New Roman" w:hAnsi="Times New Roman" w:cs="Times New Roman"/>
        </w:rPr>
        <w:t xml:space="preserve"> do 91</w:t>
      </w:r>
      <w:r w:rsidR="007F068B" w:rsidRPr="00043CDA">
        <w:rPr>
          <w:rFonts w:ascii="Times New Roman" w:hAnsi="Times New Roman" w:cs="Times New Roman"/>
        </w:rPr>
        <w:t>7</w:t>
      </w:r>
      <w:r w:rsidR="000C4A1D" w:rsidRPr="00043CDA">
        <w:rPr>
          <w:rFonts w:ascii="Times New Roman" w:hAnsi="Times New Roman" w:cs="Times New Roman"/>
        </w:rPr>
        <w:t xml:space="preserve"> zł. Celem tych zmian jest wzmocnienie wsparcia szkół w zależności od zamożności i wielkości szkoły. Obecnie duże wsparcie w subwencji</w:t>
      </w:r>
      <w:r w:rsidR="00E307B7">
        <w:rPr>
          <w:rFonts w:ascii="Times New Roman" w:hAnsi="Times New Roman" w:cs="Times New Roman"/>
        </w:rPr>
        <w:t xml:space="preserve"> oświatowej jest</w:t>
      </w:r>
      <w:r w:rsidR="000C4A1D" w:rsidRPr="00043CDA">
        <w:rPr>
          <w:rFonts w:ascii="Times New Roman" w:hAnsi="Times New Roman" w:cs="Times New Roman"/>
        </w:rPr>
        <w:t xml:space="preserve"> kierowane do szkół położonych na wsiach i w miastach do 5 tys. mieszkańców. Położenie szkoły na wsi czy w</w:t>
      </w:r>
      <w:r w:rsidR="00BC3F7B" w:rsidRPr="00043CDA">
        <w:rPr>
          <w:rFonts w:ascii="Times New Roman" w:hAnsi="Times New Roman" w:cs="Times New Roman"/>
        </w:rPr>
        <w:t> </w:t>
      </w:r>
      <w:r w:rsidR="000C4A1D" w:rsidRPr="00043CDA">
        <w:rPr>
          <w:rFonts w:ascii="Times New Roman" w:hAnsi="Times New Roman" w:cs="Times New Roman"/>
        </w:rPr>
        <w:t>małym mieście nie musi zawsze wiązać się z tym, że jest to szkoła mała (jednociągowa) lub je</w:t>
      </w:r>
      <w:r w:rsidR="00E307B7">
        <w:rPr>
          <w:rFonts w:ascii="Times New Roman" w:hAnsi="Times New Roman" w:cs="Times New Roman"/>
        </w:rPr>
        <w:t>żeli</w:t>
      </w:r>
      <w:r w:rsidR="000C4A1D" w:rsidRPr="00043CDA">
        <w:rPr>
          <w:rFonts w:ascii="Times New Roman" w:hAnsi="Times New Roman" w:cs="Times New Roman"/>
        </w:rPr>
        <w:t xml:space="preserve"> jest to mała szkoła może to wynikać z decyzji </w:t>
      </w:r>
      <w:r w:rsidR="00DB18DD">
        <w:rPr>
          <w:rFonts w:ascii="Times New Roman" w:hAnsi="Times New Roman" w:cs="Times New Roman"/>
        </w:rPr>
        <w:t>zamożnego</w:t>
      </w:r>
      <w:r w:rsidR="000C4A1D" w:rsidRPr="00043CDA">
        <w:rPr>
          <w:rFonts w:ascii="Times New Roman" w:hAnsi="Times New Roman" w:cs="Times New Roman"/>
        </w:rPr>
        <w:t xml:space="preserve"> samorządu, który świadomie utrzymuje taką szkołę. Jednocześnie szkoły w miastach powyżej 5 tys. mieszkańców z małą liczebnością uczniów nie otrzymują dodatkowych środków w subwencji </w:t>
      </w:r>
      <w:r w:rsidR="00DB18DD">
        <w:rPr>
          <w:rFonts w:ascii="Times New Roman" w:hAnsi="Times New Roman" w:cs="Times New Roman"/>
        </w:rPr>
        <w:t xml:space="preserve">oświatowej </w:t>
      </w:r>
      <w:r w:rsidR="000C4A1D" w:rsidRPr="00043CDA">
        <w:rPr>
          <w:rFonts w:ascii="Times New Roman" w:hAnsi="Times New Roman" w:cs="Times New Roman"/>
        </w:rPr>
        <w:t>związanych z</w:t>
      </w:r>
      <w:r w:rsidR="00BC3F7B" w:rsidRPr="00043CDA">
        <w:rPr>
          <w:rFonts w:ascii="Times New Roman" w:hAnsi="Times New Roman" w:cs="Times New Roman"/>
        </w:rPr>
        <w:t> </w:t>
      </w:r>
      <w:r w:rsidR="000C4A1D" w:rsidRPr="00043CDA">
        <w:rPr>
          <w:rFonts w:ascii="Times New Roman" w:hAnsi="Times New Roman" w:cs="Times New Roman"/>
        </w:rPr>
        <w:t>położeniem</w:t>
      </w:r>
      <w:r w:rsidR="007F068B" w:rsidRPr="00043CDA">
        <w:rPr>
          <w:rFonts w:ascii="Times New Roman" w:hAnsi="Times New Roman" w:cs="Times New Roman"/>
        </w:rPr>
        <w:t>.</w:t>
      </w:r>
      <w:r w:rsidR="000C4A1D" w:rsidRPr="00043CDA">
        <w:rPr>
          <w:rFonts w:ascii="Times New Roman" w:hAnsi="Times New Roman" w:cs="Times New Roman"/>
        </w:rPr>
        <w:t xml:space="preserve"> Od 2019 r. wprowadzono wagę P</w:t>
      </w:r>
      <w:r w:rsidR="000C4A1D" w:rsidRPr="00043CDA">
        <w:rPr>
          <w:rFonts w:ascii="Times New Roman" w:hAnsi="Times New Roman" w:cs="Times New Roman"/>
          <w:vertAlign w:val="subscript"/>
        </w:rPr>
        <w:t>2</w:t>
      </w:r>
      <w:r w:rsidR="006D250E">
        <w:rPr>
          <w:rFonts w:ascii="Times New Roman" w:hAnsi="Times New Roman" w:cs="Times New Roman"/>
          <w:vertAlign w:val="subscript"/>
        </w:rPr>
        <w:t>,</w:t>
      </w:r>
      <w:r w:rsidR="000C4A1D" w:rsidRPr="00043CDA">
        <w:rPr>
          <w:rFonts w:ascii="Times New Roman" w:hAnsi="Times New Roman" w:cs="Times New Roman"/>
        </w:rPr>
        <w:t xml:space="preserve"> ale wysokość środków naliczonych tą wagą nie jest </w:t>
      </w:r>
      <w:r w:rsidR="00C821B6" w:rsidRPr="00043CDA">
        <w:rPr>
          <w:rFonts w:ascii="Times New Roman" w:hAnsi="Times New Roman" w:cs="Times New Roman"/>
        </w:rPr>
        <w:t>odpowiednio</w:t>
      </w:r>
      <w:r w:rsidR="000C4A1D" w:rsidRPr="00043CDA">
        <w:rPr>
          <w:rFonts w:ascii="Times New Roman" w:hAnsi="Times New Roman" w:cs="Times New Roman"/>
        </w:rPr>
        <w:t xml:space="preserve"> wysoka (ok. 600 zł w 2020 r. na ucznia wagą P</w:t>
      </w:r>
      <w:r w:rsidR="000C4A1D" w:rsidRPr="00043CDA">
        <w:rPr>
          <w:rFonts w:ascii="Times New Roman" w:hAnsi="Times New Roman" w:cs="Times New Roman"/>
          <w:vertAlign w:val="subscript"/>
        </w:rPr>
        <w:t>2</w:t>
      </w:r>
      <w:r w:rsidR="000C4A1D" w:rsidRPr="00043CDA">
        <w:rPr>
          <w:rFonts w:ascii="Times New Roman" w:hAnsi="Times New Roman" w:cs="Times New Roman"/>
        </w:rPr>
        <w:t xml:space="preserve"> w porównaniu do kwoty 2,4 tys. zł  na ucznia naliczanej wagą P</w:t>
      </w:r>
      <w:r w:rsidR="000C4A1D" w:rsidRPr="00043CDA">
        <w:rPr>
          <w:rFonts w:ascii="Times New Roman" w:hAnsi="Times New Roman" w:cs="Times New Roman"/>
          <w:vertAlign w:val="subscript"/>
        </w:rPr>
        <w:t>1</w:t>
      </w:r>
      <w:r w:rsidR="000C4A1D" w:rsidRPr="00043CDA">
        <w:rPr>
          <w:rFonts w:ascii="Times New Roman" w:hAnsi="Times New Roman" w:cs="Times New Roman"/>
        </w:rPr>
        <w:t xml:space="preserve">). </w:t>
      </w:r>
    </w:p>
    <w:p w14:paraId="26B14FB9" w14:textId="69DC15B4" w:rsidR="000C4A1D" w:rsidRPr="00B62EFB" w:rsidRDefault="00691F7F" w:rsidP="00B62EFB">
      <w:pPr>
        <w:spacing w:line="276" w:lineRule="auto"/>
        <w:ind w:left="284" w:hanging="1"/>
        <w:jc w:val="both"/>
        <w:rPr>
          <w:b/>
        </w:rPr>
      </w:pPr>
      <w:r>
        <w:rPr>
          <w:szCs w:val="24"/>
        </w:rPr>
        <w:t xml:space="preserve">Ponadto </w:t>
      </w:r>
      <w:r w:rsidR="000C4A1D" w:rsidRPr="00B62EFB">
        <w:rPr>
          <w:szCs w:val="24"/>
        </w:rPr>
        <w:t xml:space="preserve">proponuje się włączenie </w:t>
      </w:r>
      <w:r w:rsidR="00C821B6">
        <w:rPr>
          <w:szCs w:val="24"/>
        </w:rPr>
        <w:t>niepublicznych szkół</w:t>
      </w:r>
      <w:r w:rsidR="00C821B6" w:rsidRPr="00B62EFB">
        <w:rPr>
          <w:szCs w:val="24"/>
        </w:rPr>
        <w:t xml:space="preserve"> </w:t>
      </w:r>
      <w:r w:rsidR="000C4A1D" w:rsidRPr="00B62EFB">
        <w:rPr>
          <w:szCs w:val="24"/>
        </w:rPr>
        <w:t>do wagi P</w:t>
      </w:r>
      <w:r w:rsidR="000C4A1D" w:rsidRPr="00B62EFB">
        <w:rPr>
          <w:szCs w:val="24"/>
          <w:vertAlign w:val="subscript"/>
        </w:rPr>
        <w:t>2</w:t>
      </w:r>
      <w:r w:rsidR="000C4A1D" w:rsidRPr="00B62EFB">
        <w:rPr>
          <w:szCs w:val="24"/>
        </w:rPr>
        <w:t xml:space="preserve">. Do tej pory waga obejmowała tylko szkoły publiczne. Biorąc pod uwagę, że dotyczy to </w:t>
      </w:r>
      <w:r w:rsidRPr="00B62EFB">
        <w:rPr>
          <w:szCs w:val="24"/>
        </w:rPr>
        <w:t>szkół do 144 uczniów</w:t>
      </w:r>
      <w:r w:rsidR="000C4A1D" w:rsidRPr="00B62EFB">
        <w:rPr>
          <w:szCs w:val="24"/>
        </w:rPr>
        <w:t xml:space="preserve"> w mało zamożnych samorządach </w:t>
      </w:r>
      <w:r w:rsidR="00C821B6">
        <w:rPr>
          <w:szCs w:val="24"/>
        </w:rPr>
        <w:t xml:space="preserve">są </w:t>
      </w:r>
      <w:r w:rsidR="000C4A1D" w:rsidRPr="00B62EFB">
        <w:rPr>
          <w:szCs w:val="24"/>
        </w:rPr>
        <w:t xml:space="preserve">to </w:t>
      </w:r>
      <w:r w:rsidR="00C821B6">
        <w:rPr>
          <w:szCs w:val="24"/>
        </w:rPr>
        <w:t xml:space="preserve">niewielkie </w:t>
      </w:r>
      <w:r w:rsidR="000C4A1D" w:rsidRPr="00B62EFB">
        <w:rPr>
          <w:szCs w:val="24"/>
        </w:rPr>
        <w:t xml:space="preserve">szkoły, które powstały z inicjatywy </w:t>
      </w:r>
      <w:r w:rsidR="00020063">
        <w:rPr>
          <w:szCs w:val="24"/>
        </w:rPr>
        <w:t>lokalnej społeczności</w:t>
      </w:r>
      <w:r w:rsidR="000C4A1D" w:rsidRPr="00B62EFB">
        <w:rPr>
          <w:szCs w:val="24"/>
        </w:rPr>
        <w:t>. Włączenie tych szkół do wagi P</w:t>
      </w:r>
      <w:r w:rsidR="000C4A1D" w:rsidRPr="00B62EFB">
        <w:rPr>
          <w:szCs w:val="24"/>
          <w:vertAlign w:val="subscript"/>
        </w:rPr>
        <w:t>2</w:t>
      </w:r>
      <w:r w:rsidR="000C4A1D" w:rsidRPr="00B62EFB">
        <w:rPr>
          <w:szCs w:val="24"/>
        </w:rPr>
        <w:t xml:space="preserve"> wzmocni je finansowo </w:t>
      </w:r>
      <w:r w:rsidR="00C17C45">
        <w:rPr>
          <w:szCs w:val="24"/>
        </w:rPr>
        <w:t>i</w:t>
      </w:r>
      <w:r w:rsidR="000C4A1D" w:rsidRPr="00B62EFB">
        <w:rPr>
          <w:szCs w:val="24"/>
        </w:rPr>
        <w:t xml:space="preserve"> </w:t>
      </w:r>
      <w:r w:rsidR="007F068B">
        <w:rPr>
          <w:szCs w:val="24"/>
        </w:rPr>
        <w:t>będzie</w:t>
      </w:r>
      <w:r w:rsidR="007F068B" w:rsidRPr="00B62EFB">
        <w:rPr>
          <w:szCs w:val="24"/>
        </w:rPr>
        <w:t xml:space="preserve"> przeciwdziała</w:t>
      </w:r>
      <w:r w:rsidR="007F068B">
        <w:rPr>
          <w:szCs w:val="24"/>
        </w:rPr>
        <w:t>ć</w:t>
      </w:r>
      <w:r w:rsidR="000C4A1D" w:rsidRPr="00B62EFB">
        <w:rPr>
          <w:szCs w:val="24"/>
        </w:rPr>
        <w:t xml:space="preserve"> ich likwidacji, pozostawiając je w pobliżu miejsca zamieszkania uczniów. </w:t>
      </w:r>
      <w:r w:rsidR="00A8564E">
        <w:rPr>
          <w:szCs w:val="24"/>
        </w:rPr>
        <w:t>Szacuje się</w:t>
      </w:r>
      <w:r w:rsidR="00C17C45">
        <w:rPr>
          <w:szCs w:val="24"/>
        </w:rPr>
        <w:t>,</w:t>
      </w:r>
      <w:r w:rsidR="00A8564E">
        <w:rPr>
          <w:szCs w:val="24"/>
        </w:rPr>
        <w:t xml:space="preserve"> że uczniów szkół niepublicznych</w:t>
      </w:r>
      <w:r w:rsidR="00C17C45">
        <w:rPr>
          <w:szCs w:val="24"/>
        </w:rPr>
        <w:t>,</w:t>
      </w:r>
      <w:r w:rsidR="00A8564E">
        <w:rPr>
          <w:szCs w:val="24"/>
        </w:rPr>
        <w:t xml:space="preserve"> którzy zakwalifikują się do wagi P</w:t>
      </w:r>
      <w:r w:rsidR="00A8564E" w:rsidRPr="00BE410B">
        <w:rPr>
          <w:szCs w:val="24"/>
          <w:vertAlign w:val="subscript"/>
        </w:rPr>
        <w:t>2</w:t>
      </w:r>
      <w:r w:rsidR="00A8564E">
        <w:rPr>
          <w:szCs w:val="24"/>
        </w:rPr>
        <w:t xml:space="preserve"> </w:t>
      </w:r>
      <w:r w:rsidR="00C17C45">
        <w:rPr>
          <w:szCs w:val="24"/>
        </w:rPr>
        <w:t>będzie</w:t>
      </w:r>
      <w:r w:rsidR="00A8564E">
        <w:rPr>
          <w:szCs w:val="24"/>
        </w:rPr>
        <w:t xml:space="preserve"> ok 26 tys.</w:t>
      </w:r>
    </w:p>
    <w:p w14:paraId="7C024772" w14:textId="77777777" w:rsidR="00FE4A0A" w:rsidRDefault="000C4A1D" w:rsidP="00B62EFB">
      <w:pPr>
        <w:pStyle w:val="Akapitzlist"/>
        <w:numPr>
          <w:ilvl w:val="0"/>
          <w:numId w:val="12"/>
        </w:numPr>
        <w:spacing w:before="240"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Zmiana sposobu naliczania niektórych wag w związku z częściowym ograniczeniem pracy niektórych szkół i placówek w okresie epidemii. </w:t>
      </w:r>
    </w:p>
    <w:p w14:paraId="0E01218F" w14:textId="77777777" w:rsidR="00FE4A0A" w:rsidRDefault="00FE4A0A" w:rsidP="00FC74DD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7B4C3482" w14:textId="038ACE8C" w:rsidR="000C4A1D" w:rsidRPr="00B62EFB" w:rsidRDefault="000C4A1D" w:rsidP="00FC74DD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Dotyczy to szkół i placówek, w których dane były wyliczane w sposób średnioroczny za ubiegły rok szkolny. Najbardziej </w:t>
      </w:r>
      <w:r w:rsidR="00691F7F">
        <w:rPr>
          <w:rFonts w:ascii="Times New Roman" w:hAnsi="Times New Roman" w:cs="Times New Roman"/>
        </w:rPr>
        <w:t>wpływ epidemii</w:t>
      </w:r>
      <w:r w:rsidRPr="00B62EFB">
        <w:rPr>
          <w:rFonts w:ascii="Times New Roman" w:hAnsi="Times New Roman" w:cs="Times New Roman"/>
        </w:rPr>
        <w:t xml:space="preserve"> </w:t>
      </w:r>
      <w:r w:rsidR="00691F7F">
        <w:rPr>
          <w:rFonts w:ascii="Times New Roman" w:hAnsi="Times New Roman" w:cs="Times New Roman"/>
        </w:rPr>
        <w:t>był</w:t>
      </w:r>
      <w:r w:rsidR="00691F7F" w:rsidRPr="00B62EFB">
        <w:rPr>
          <w:rFonts w:ascii="Times New Roman" w:hAnsi="Times New Roman" w:cs="Times New Roman"/>
        </w:rPr>
        <w:t xml:space="preserve"> odczuwalny</w:t>
      </w:r>
      <w:r w:rsidRPr="00B62EFB">
        <w:rPr>
          <w:rFonts w:ascii="Times New Roman" w:hAnsi="Times New Roman" w:cs="Times New Roman"/>
        </w:rPr>
        <w:t xml:space="preserve"> w domach </w:t>
      </w:r>
      <w:r w:rsidR="00C17C45">
        <w:rPr>
          <w:rFonts w:ascii="Times New Roman" w:hAnsi="Times New Roman" w:cs="Times New Roman"/>
        </w:rPr>
        <w:t>w</w:t>
      </w:r>
      <w:r w:rsidRPr="00B62EFB">
        <w:rPr>
          <w:rFonts w:ascii="Times New Roman" w:hAnsi="Times New Roman" w:cs="Times New Roman"/>
        </w:rPr>
        <w:t>czasów dziecięcych</w:t>
      </w:r>
      <w:r w:rsidR="00327463">
        <w:rPr>
          <w:rFonts w:ascii="Times New Roman" w:hAnsi="Times New Roman" w:cs="Times New Roman"/>
        </w:rPr>
        <w:t>, zwanych dalej „</w:t>
      </w:r>
      <w:r w:rsidR="00191DF1">
        <w:rPr>
          <w:rFonts w:ascii="Times New Roman" w:hAnsi="Times New Roman" w:cs="Times New Roman"/>
        </w:rPr>
        <w:t>DWD</w:t>
      </w:r>
      <w:r w:rsidR="00327463">
        <w:rPr>
          <w:rFonts w:ascii="Times New Roman" w:hAnsi="Times New Roman" w:cs="Times New Roman"/>
        </w:rPr>
        <w:t>”</w:t>
      </w:r>
      <w:r w:rsidRPr="00B62EFB">
        <w:rPr>
          <w:rFonts w:ascii="Times New Roman" w:hAnsi="Times New Roman" w:cs="Times New Roman"/>
        </w:rPr>
        <w:t>, które w okresie marzec – maj nie mogły organizować turnusów. Problem w mniejszym zakresie pojawiał się</w:t>
      </w:r>
      <w:r w:rsidR="00BC3F7B">
        <w:rPr>
          <w:rFonts w:ascii="Times New Roman" w:hAnsi="Times New Roman" w:cs="Times New Roman"/>
        </w:rPr>
        <w:t xml:space="preserve"> w</w:t>
      </w:r>
      <w:r w:rsidRPr="00B62EFB">
        <w:rPr>
          <w:rFonts w:ascii="Times New Roman" w:hAnsi="Times New Roman" w:cs="Times New Roman"/>
        </w:rPr>
        <w:t xml:space="preserve"> szkołach w podmiotach leczniczych. Tutaj da się zaobserwować spadek liczby uczniów w przypadku niektórych szkół (część szkół ograniczało swoją działalność</w:t>
      </w:r>
      <w:r w:rsidR="006A70B2">
        <w:rPr>
          <w:rFonts w:ascii="Times New Roman" w:hAnsi="Times New Roman" w:cs="Times New Roman"/>
        </w:rPr>
        <w:t>,</w:t>
      </w:r>
      <w:r w:rsidRPr="00B62EFB">
        <w:rPr>
          <w:rFonts w:ascii="Times New Roman" w:hAnsi="Times New Roman" w:cs="Times New Roman"/>
        </w:rPr>
        <w:t xml:space="preserve"> a naukę zdalną uczniów przejmowały szkoły macierzyste). Dane za poprzedni rok szkolny </w:t>
      </w:r>
      <w:r w:rsidR="006A70B2" w:rsidRPr="00B62EFB">
        <w:rPr>
          <w:rFonts w:ascii="Times New Roman" w:hAnsi="Times New Roman" w:cs="Times New Roman"/>
        </w:rPr>
        <w:t xml:space="preserve">są </w:t>
      </w:r>
      <w:r w:rsidRPr="00B62EFB">
        <w:rPr>
          <w:rFonts w:ascii="Times New Roman" w:hAnsi="Times New Roman" w:cs="Times New Roman"/>
        </w:rPr>
        <w:t>wykorzystywane częściowo też w przypadku wychowanków internatów</w:t>
      </w:r>
      <w:r w:rsidR="00691F7F">
        <w:rPr>
          <w:rFonts w:ascii="Times New Roman" w:hAnsi="Times New Roman" w:cs="Times New Roman"/>
        </w:rPr>
        <w:t xml:space="preserve"> oraz szkolnych schronisk młodzieżowych</w:t>
      </w:r>
      <w:r w:rsidRPr="00B62EFB">
        <w:rPr>
          <w:rFonts w:ascii="Times New Roman" w:hAnsi="Times New Roman" w:cs="Times New Roman"/>
        </w:rPr>
        <w:t>. W związku z powyższym proponuje się zmianę sposobu uwzględniania danych w przypadku ww. szkół i placówek w następujący sposób:</w:t>
      </w:r>
    </w:p>
    <w:p w14:paraId="35876A4B" w14:textId="600DE342" w:rsidR="000C4A1D" w:rsidRPr="00B62EFB" w:rsidRDefault="00DB4508" w:rsidP="00004EE9">
      <w:pPr>
        <w:pStyle w:val="Akapitzlist"/>
        <w:numPr>
          <w:ilvl w:val="1"/>
          <w:numId w:val="12"/>
        </w:numPr>
        <w:spacing w:after="16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C4A1D" w:rsidRPr="00B62EFB">
        <w:rPr>
          <w:rFonts w:ascii="Times New Roman" w:hAnsi="Times New Roman" w:cs="Times New Roman"/>
        </w:rPr>
        <w:t xml:space="preserve"> przypadku szkół w podmiotach leczniczych wyliczenie tych danych do wagi P</w:t>
      </w:r>
      <w:r w:rsidR="000C4A1D" w:rsidRPr="00B62EFB">
        <w:rPr>
          <w:rFonts w:ascii="Times New Roman" w:hAnsi="Times New Roman" w:cs="Times New Roman"/>
          <w:vertAlign w:val="subscript"/>
        </w:rPr>
        <w:t>38</w:t>
      </w:r>
      <w:r w:rsidR="000C4A1D" w:rsidRPr="00B62EFB">
        <w:rPr>
          <w:rFonts w:ascii="Times New Roman" w:hAnsi="Times New Roman" w:cs="Times New Roman"/>
        </w:rPr>
        <w:t xml:space="preserve"> (oddziały szkolne) w sposób średnioroczny za okres od</w:t>
      </w:r>
      <w:r w:rsidR="009F55F4">
        <w:rPr>
          <w:rFonts w:ascii="Times New Roman" w:hAnsi="Times New Roman" w:cs="Times New Roman"/>
        </w:rPr>
        <w:t xml:space="preserve"> </w:t>
      </w:r>
      <w:r w:rsidR="000C4A1D" w:rsidRPr="00B62EFB">
        <w:rPr>
          <w:rFonts w:ascii="Times New Roman" w:hAnsi="Times New Roman" w:cs="Times New Roman"/>
        </w:rPr>
        <w:t xml:space="preserve">marca 2019 </w:t>
      </w:r>
      <w:r>
        <w:rPr>
          <w:rFonts w:ascii="Times New Roman" w:hAnsi="Times New Roman" w:cs="Times New Roman"/>
        </w:rPr>
        <w:t xml:space="preserve">r. </w:t>
      </w:r>
      <w:r w:rsidR="000C4A1D" w:rsidRPr="00B62EFB">
        <w:rPr>
          <w:rFonts w:ascii="Times New Roman" w:hAnsi="Times New Roman" w:cs="Times New Roman"/>
        </w:rPr>
        <w:t>do końca lutego 2020 r.</w:t>
      </w:r>
      <w:r w:rsidR="000C4A1D" w:rsidRPr="00B62EFB">
        <w:rPr>
          <w:rFonts w:ascii="Times New Roman" w:hAnsi="Times New Roman" w:cs="Times New Roman"/>
          <w:b/>
        </w:rPr>
        <w:t xml:space="preserve"> </w:t>
      </w:r>
      <w:r w:rsidR="000C4A1D" w:rsidRPr="00B62EFB">
        <w:rPr>
          <w:rFonts w:ascii="Times New Roman" w:hAnsi="Times New Roman" w:cs="Times New Roman"/>
        </w:rPr>
        <w:t xml:space="preserve">(poprzedni rok szkolny z pominięciem okresu epidemii </w:t>
      </w:r>
      <w:r w:rsidR="00691F7F">
        <w:rPr>
          <w:rFonts w:ascii="Times New Roman" w:hAnsi="Times New Roman" w:cs="Times New Roman"/>
        </w:rPr>
        <w:t xml:space="preserve">oraz </w:t>
      </w:r>
      <w:r w:rsidR="000C4A1D" w:rsidRPr="00B62EFB">
        <w:rPr>
          <w:rFonts w:ascii="Times New Roman" w:hAnsi="Times New Roman" w:cs="Times New Roman"/>
        </w:rPr>
        <w:t xml:space="preserve">wakacji). Z danych </w:t>
      </w:r>
      <w:r w:rsidR="00BA494A">
        <w:rPr>
          <w:rFonts w:ascii="Times New Roman" w:hAnsi="Times New Roman" w:cs="Times New Roman"/>
        </w:rPr>
        <w:t>systemu informacji oświatowej</w:t>
      </w:r>
      <w:r w:rsidR="000C4A1D" w:rsidRPr="00B62EFB">
        <w:rPr>
          <w:rFonts w:ascii="Times New Roman" w:hAnsi="Times New Roman" w:cs="Times New Roman"/>
        </w:rPr>
        <w:t xml:space="preserve"> można zaobserwować, że średnioroczna liczba uczniów szkół </w:t>
      </w:r>
      <w:r w:rsidR="0007420D">
        <w:rPr>
          <w:rFonts w:ascii="Times New Roman" w:hAnsi="Times New Roman" w:cs="Times New Roman"/>
        </w:rPr>
        <w:t>w podmiotach leczniczych</w:t>
      </w:r>
      <w:r w:rsidR="0007420D" w:rsidRPr="00B62EFB">
        <w:rPr>
          <w:rFonts w:ascii="Times New Roman" w:hAnsi="Times New Roman" w:cs="Times New Roman"/>
        </w:rPr>
        <w:t xml:space="preserve"> </w:t>
      </w:r>
      <w:r w:rsidR="000C4A1D" w:rsidRPr="00B62EFB">
        <w:rPr>
          <w:rFonts w:ascii="Times New Roman" w:hAnsi="Times New Roman" w:cs="Times New Roman"/>
        </w:rPr>
        <w:t>za rok szkolny 2019/2020 (od września 2019 r. do czerwca 2020 r.) spadła w stosunku do roku poprzedniego o 1,3 tys. uczniów, tj.</w:t>
      </w:r>
      <w:r w:rsidR="00BC3F7B">
        <w:rPr>
          <w:rFonts w:ascii="Times New Roman" w:hAnsi="Times New Roman" w:cs="Times New Roman"/>
        </w:rPr>
        <w:t> </w:t>
      </w:r>
      <w:r w:rsidR="000C4A1D" w:rsidRPr="00B62EFB">
        <w:rPr>
          <w:rFonts w:ascii="Times New Roman" w:hAnsi="Times New Roman" w:cs="Times New Roman"/>
        </w:rPr>
        <w:t xml:space="preserve">ok. 27%. Z danych średnich za poszczególne miesiące wynika, że w lutym 2020 r. wykazano 5,5 tys. uczniów w tych szkołach, w marcu </w:t>
      </w:r>
      <w:r w:rsidR="00BA494A" w:rsidRPr="00B62EFB">
        <w:rPr>
          <w:rFonts w:ascii="Times New Roman" w:hAnsi="Times New Roman" w:cs="Times New Roman"/>
        </w:rPr>
        <w:t>–</w:t>
      </w:r>
      <w:r w:rsidR="000C4A1D" w:rsidRPr="00B62EFB">
        <w:rPr>
          <w:rFonts w:ascii="Times New Roman" w:hAnsi="Times New Roman" w:cs="Times New Roman"/>
        </w:rPr>
        <w:t xml:space="preserve"> 4,3 tys. uczniów, w kwietniu </w:t>
      </w:r>
      <w:r w:rsidR="00245D6D" w:rsidRPr="00B62EFB">
        <w:rPr>
          <w:rFonts w:ascii="Times New Roman" w:hAnsi="Times New Roman" w:cs="Times New Roman"/>
        </w:rPr>
        <w:t>–</w:t>
      </w:r>
      <w:r w:rsidR="000C4A1D" w:rsidRPr="00B62EFB">
        <w:rPr>
          <w:rFonts w:ascii="Times New Roman" w:hAnsi="Times New Roman" w:cs="Times New Roman"/>
        </w:rPr>
        <w:t xml:space="preserve"> 2,4 tys. uczniów, w maju </w:t>
      </w:r>
      <w:r w:rsidR="00245D6D" w:rsidRPr="00B62EFB">
        <w:rPr>
          <w:rFonts w:ascii="Times New Roman" w:hAnsi="Times New Roman" w:cs="Times New Roman"/>
        </w:rPr>
        <w:t>–</w:t>
      </w:r>
      <w:r w:rsidR="000C4A1D" w:rsidRPr="00B62EFB">
        <w:rPr>
          <w:rFonts w:ascii="Times New Roman" w:hAnsi="Times New Roman" w:cs="Times New Roman"/>
        </w:rPr>
        <w:t xml:space="preserve"> 2,8 tys. uczniów. </w:t>
      </w:r>
      <w:r w:rsidR="00BC3F7B">
        <w:rPr>
          <w:rFonts w:ascii="Times New Roman" w:hAnsi="Times New Roman" w:cs="Times New Roman"/>
        </w:rPr>
        <w:t xml:space="preserve">Uzasadnia </w:t>
      </w:r>
      <w:r w:rsidR="000C4A1D" w:rsidRPr="00B62EFB">
        <w:rPr>
          <w:rFonts w:ascii="Times New Roman" w:hAnsi="Times New Roman" w:cs="Times New Roman"/>
        </w:rPr>
        <w:t>to konieczność zmiany sposobu wyliczania tych danych do podziału subwencji</w:t>
      </w:r>
      <w:r w:rsidR="00D82DF8">
        <w:rPr>
          <w:rFonts w:ascii="Times New Roman" w:hAnsi="Times New Roman" w:cs="Times New Roman"/>
        </w:rPr>
        <w:t xml:space="preserve"> </w:t>
      </w:r>
      <w:r w:rsidR="00245D6D">
        <w:rPr>
          <w:rFonts w:ascii="Times New Roman" w:hAnsi="Times New Roman" w:cs="Times New Roman"/>
        </w:rPr>
        <w:t xml:space="preserve">oświatowej </w:t>
      </w:r>
      <w:r w:rsidR="00D82DF8">
        <w:rPr>
          <w:rFonts w:ascii="Times New Roman" w:hAnsi="Times New Roman" w:cs="Times New Roman"/>
        </w:rPr>
        <w:t>na 2021 r</w:t>
      </w:r>
      <w:r w:rsidR="000C4A1D" w:rsidRPr="00B62EFB">
        <w:rPr>
          <w:rFonts w:ascii="Times New Roman" w:hAnsi="Times New Roman" w:cs="Times New Roman"/>
        </w:rPr>
        <w:t>.</w:t>
      </w:r>
    </w:p>
    <w:p w14:paraId="27059DE2" w14:textId="318AFBC5" w:rsidR="000C4A1D" w:rsidRPr="00B62EFB" w:rsidRDefault="00DB4508" w:rsidP="00DB4508">
      <w:pPr>
        <w:pStyle w:val="Akapitzlist"/>
        <w:numPr>
          <w:ilvl w:val="1"/>
          <w:numId w:val="12"/>
        </w:numPr>
        <w:spacing w:after="160" w:line="276" w:lineRule="auto"/>
        <w:ind w:left="567" w:hanging="3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C4A1D" w:rsidRPr="00B62EFB">
        <w:rPr>
          <w:rFonts w:ascii="Times New Roman" w:hAnsi="Times New Roman" w:cs="Times New Roman"/>
        </w:rPr>
        <w:t xml:space="preserve"> przy</w:t>
      </w:r>
      <w:r w:rsidR="009A05F3">
        <w:rPr>
          <w:rFonts w:ascii="Times New Roman" w:hAnsi="Times New Roman" w:cs="Times New Roman"/>
        </w:rPr>
        <w:t xml:space="preserve">padku </w:t>
      </w:r>
      <w:r w:rsidR="000E0EE6" w:rsidRPr="000E0EE6">
        <w:rPr>
          <w:rFonts w:ascii="Times New Roman" w:hAnsi="Times New Roman" w:cs="Times New Roman"/>
        </w:rPr>
        <w:t xml:space="preserve">wychowanków specjalnych zespołów pozalekcyjnych zajęć wychowawczych lub grup wychowawczych prowadzonych w szkołach podstawowych specjalnych, szkołach ponadpodstawowych specjalnych i klasach szkół ponadgimnazjalnych specjalnych prowadzonych w szkołach ponadpodstawowych specjalnych, zorganizowanych  </w:t>
      </w:r>
      <w:r w:rsidR="000C4A1D" w:rsidRPr="00B62EFB">
        <w:rPr>
          <w:rFonts w:ascii="Times New Roman" w:hAnsi="Times New Roman" w:cs="Times New Roman"/>
        </w:rPr>
        <w:t>w podmiotach leczniczych</w:t>
      </w:r>
      <w:r w:rsidR="00A71387">
        <w:rPr>
          <w:rFonts w:ascii="Times New Roman" w:hAnsi="Times New Roman" w:cs="Times New Roman"/>
        </w:rPr>
        <w:t>,</w:t>
      </w:r>
      <w:r w:rsidR="000C4A1D" w:rsidRPr="00B62EFB">
        <w:rPr>
          <w:rFonts w:ascii="Times New Roman" w:hAnsi="Times New Roman" w:cs="Times New Roman"/>
        </w:rPr>
        <w:t xml:space="preserve"> wyliczenie tych danych do wagi P</w:t>
      </w:r>
      <w:r w:rsidR="000C4A1D" w:rsidRPr="00B62EFB">
        <w:rPr>
          <w:rFonts w:ascii="Times New Roman" w:hAnsi="Times New Roman" w:cs="Times New Roman"/>
          <w:vertAlign w:val="subscript"/>
        </w:rPr>
        <w:t>39</w:t>
      </w:r>
      <w:r w:rsidR="000C4A1D" w:rsidRPr="00B62EFB">
        <w:rPr>
          <w:rFonts w:ascii="Times New Roman" w:hAnsi="Times New Roman" w:cs="Times New Roman"/>
        </w:rPr>
        <w:t xml:space="preserve"> w sposób średnioroczny za okres</w:t>
      </w:r>
      <w:r w:rsidR="00020063">
        <w:rPr>
          <w:rFonts w:ascii="Times New Roman" w:hAnsi="Times New Roman" w:cs="Times New Roman"/>
        </w:rPr>
        <w:t xml:space="preserve"> od</w:t>
      </w:r>
      <w:r w:rsidR="000C4A1D" w:rsidRPr="00B62EFB">
        <w:rPr>
          <w:rFonts w:ascii="Times New Roman" w:hAnsi="Times New Roman" w:cs="Times New Roman"/>
        </w:rPr>
        <w:t xml:space="preserve"> marca 2019 do końca lutego 2020 r. (poprzedni rok szkolny z pominięciem okresu epidemii) i analogicznie dla dzieci w przedszkolach specjalnych zorganizowanych w podmiotach leczniczych do wagi P</w:t>
      </w:r>
      <w:r w:rsidR="000C4A1D" w:rsidRPr="00B62EFB">
        <w:rPr>
          <w:rFonts w:ascii="Times New Roman" w:hAnsi="Times New Roman" w:cs="Times New Roman"/>
          <w:vertAlign w:val="subscript"/>
        </w:rPr>
        <w:t>54</w:t>
      </w:r>
      <w:r w:rsidR="000C4A1D" w:rsidRPr="00B62EFB">
        <w:rPr>
          <w:rFonts w:ascii="Times New Roman" w:hAnsi="Times New Roman" w:cs="Times New Roman"/>
        </w:rPr>
        <w:t xml:space="preserve">. Z danych </w:t>
      </w:r>
      <w:r w:rsidR="0014713A">
        <w:rPr>
          <w:rFonts w:ascii="Times New Roman" w:hAnsi="Times New Roman" w:cs="Times New Roman"/>
        </w:rPr>
        <w:t>systemu informacji oświatowej</w:t>
      </w:r>
      <w:r w:rsidR="000C4A1D" w:rsidRPr="00B62EFB">
        <w:rPr>
          <w:rFonts w:ascii="Times New Roman" w:hAnsi="Times New Roman" w:cs="Times New Roman"/>
        </w:rPr>
        <w:t xml:space="preserve"> można zaobserwować, że średnioroczna liczba wychowanków </w:t>
      </w:r>
      <w:r w:rsidR="0007420D" w:rsidRPr="0007420D">
        <w:rPr>
          <w:rFonts w:ascii="Times New Roman" w:hAnsi="Times New Roman" w:cs="Times New Roman"/>
        </w:rPr>
        <w:t>specjalnych działań opiekuńczo-</w:t>
      </w:r>
      <w:r w:rsidR="000C4A1D" w:rsidRPr="00B62EFB">
        <w:rPr>
          <w:rFonts w:ascii="Times New Roman" w:hAnsi="Times New Roman" w:cs="Times New Roman"/>
        </w:rPr>
        <w:t xml:space="preserve">wychowawczych szkół </w:t>
      </w:r>
      <w:r w:rsidR="0007420D">
        <w:rPr>
          <w:rFonts w:ascii="Times New Roman" w:hAnsi="Times New Roman" w:cs="Times New Roman"/>
        </w:rPr>
        <w:t>w podmiotach leczniczych</w:t>
      </w:r>
      <w:r w:rsidR="0007420D" w:rsidRPr="00B62EFB">
        <w:rPr>
          <w:rFonts w:ascii="Times New Roman" w:hAnsi="Times New Roman" w:cs="Times New Roman"/>
        </w:rPr>
        <w:t xml:space="preserve"> </w:t>
      </w:r>
      <w:r w:rsidR="000C4A1D" w:rsidRPr="00B62EFB">
        <w:rPr>
          <w:rFonts w:ascii="Times New Roman" w:hAnsi="Times New Roman" w:cs="Times New Roman"/>
        </w:rPr>
        <w:t>za rok szkolny 2019/2020 (od września 2019 r. do sierpnia 2020 r.) spadła w stosunku do roku poprzedniego o 1,1 tys. uczniów, tj.</w:t>
      </w:r>
      <w:r w:rsidR="00BC3F7B">
        <w:rPr>
          <w:rFonts w:ascii="Times New Roman" w:hAnsi="Times New Roman" w:cs="Times New Roman"/>
        </w:rPr>
        <w:t> </w:t>
      </w:r>
      <w:r w:rsidR="000C4A1D" w:rsidRPr="00B62EFB">
        <w:rPr>
          <w:rFonts w:ascii="Times New Roman" w:hAnsi="Times New Roman" w:cs="Times New Roman"/>
        </w:rPr>
        <w:t>ok 22% (dotyczy wagi P</w:t>
      </w:r>
      <w:r w:rsidR="000C4A1D" w:rsidRPr="00B62EFB">
        <w:rPr>
          <w:rFonts w:ascii="Times New Roman" w:hAnsi="Times New Roman" w:cs="Times New Roman"/>
          <w:vertAlign w:val="subscript"/>
        </w:rPr>
        <w:t>39</w:t>
      </w:r>
      <w:r w:rsidR="000C4A1D" w:rsidRPr="00B62EFB">
        <w:rPr>
          <w:rFonts w:ascii="Times New Roman" w:hAnsi="Times New Roman" w:cs="Times New Roman"/>
        </w:rPr>
        <w:t xml:space="preserve">). </w:t>
      </w:r>
      <w:r w:rsidR="00BC3F7B">
        <w:rPr>
          <w:rFonts w:ascii="Times New Roman" w:hAnsi="Times New Roman" w:cs="Times New Roman"/>
        </w:rPr>
        <w:t xml:space="preserve">Uzasadnia </w:t>
      </w:r>
      <w:r w:rsidR="000C4A1D" w:rsidRPr="00B62EFB">
        <w:rPr>
          <w:rFonts w:ascii="Times New Roman" w:hAnsi="Times New Roman" w:cs="Times New Roman"/>
        </w:rPr>
        <w:t xml:space="preserve">to konieczność zmiany sposobu wyliczania tych danych do podziału subwencji </w:t>
      </w:r>
      <w:r w:rsidR="0014713A">
        <w:rPr>
          <w:rFonts w:ascii="Times New Roman" w:hAnsi="Times New Roman" w:cs="Times New Roman"/>
        </w:rPr>
        <w:t>oś</w:t>
      </w:r>
      <w:r w:rsidR="00CF31D8">
        <w:rPr>
          <w:rFonts w:ascii="Times New Roman" w:hAnsi="Times New Roman" w:cs="Times New Roman"/>
        </w:rPr>
        <w:t xml:space="preserve">wiatowej </w:t>
      </w:r>
      <w:r w:rsidR="000C4A1D" w:rsidRPr="00B62EFB">
        <w:rPr>
          <w:rFonts w:ascii="Times New Roman" w:hAnsi="Times New Roman" w:cs="Times New Roman"/>
        </w:rPr>
        <w:t xml:space="preserve">na 2021 r.  </w:t>
      </w:r>
    </w:p>
    <w:p w14:paraId="1D86AA64" w14:textId="23783D2D" w:rsidR="000C4A1D" w:rsidRPr="001C51B7" w:rsidRDefault="005E2368" w:rsidP="00BB3821">
      <w:pPr>
        <w:pStyle w:val="Akapitzlist"/>
        <w:numPr>
          <w:ilvl w:val="1"/>
          <w:numId w:val="12"/>
        </w:numPr>
        <w:spacing w:after="16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EF72E3">
        <w:rPr>
          <w:rFonts w:ascii="Times New Roman" w:hAnsi="Times New Roman" w:cs="Times New Roman"/>
        </w:rPr>
        <w:t>w</w:t>
      </w:r>
      <w:r w:rsidR="000C4A1D" w:rsidRPr="00EF72E3">
        <w:rPr>
          <w:rFonts w:ascii="Times New Roman" w:hAnsi="Times New Roman" w:cs="Times New Roman"/>
        </w:rPr>
        <w:t xml:space="preserve"> przypadku DWD proponuje się wykorzystanie do naliczania subwencji </w:t>
      </w:r>
      <w:r w:rsidR="00327463" w:rsidRPr="00EF72E3">
        <w:rPr>
          <w:rFonts w:ascii="Times New Roman" w:hAnsi="Times New Roman" w:cs="Times New Roman"/>
        </w:rPr>
        <w:t xml:space="preserve">oświatowej </w:t>
      </w:r>
      <w:r w:rsidR="000C4A1D" w:rsidRPr="00EF72E3">
        <w:rPr>
          <w:rFonts w:ascii="Times New Roman" w:hAnsi="Times New Roman" w:cs="Times New Roman"/>
        </w:rPr>
        <w:t>na 2021 r., podobnie jak powyżej, wyliczeni</w:t>
      </w:r>
      <w:r w:rsidR="00327463" w:rsidRPr="00EF72E3">
        <w:rPr>
          <w:rFonts w:ascii="Times New Roman" w:hAnsi="Times New Roman" w:cs="Times New Roman"/>
        </w:rPr>
        <w:t>a</w:t>
      </w:r>
      <w:r w:rsidR="000C4A1D" w:rsidRPr="00EF72E3">
        <w:rPr>
          <w:rFonts w:ascii="Times New Roman" w:hAnsi="Times New Roman" w:cs="Times New Roman"/>
        </w:rPr>
        <w:t xml:space="preserve"> tych danych w sposób średnioroczny za okres od marca 2019 do końca lutego 2020 r. (poprzedni rok szkolny z pominięciem okresu epidemii). Z</w:t>
      </w:r>
      <w:r w:rsidR="00C17C45" w:rsidRPr="00EF72E3">
        <w:rPr>
          <w:rFonts w:ascii="Times New Roman" w:hAnsi="Times New Roman" w:cs="Times New Roman"/>
        </w:rPr>
        <w:t> </w:t>
      </w:r>
      <w:r w:rsidR="000C4A1D" w:rsidRPr="00EF72E3">
        <w:rPr>
          <w:rFonts w:ascii="Times New Roman" w:hAnsi="Times New Roman" w:cs="Times New Roman"/>
        </w:rPr>
        <w:t xml:space="preserve">danych </w:t>
      </w:r>
      <w:r w:rsidR="00FD65B8" w:rsidRPr="00EF72E3">
        <w:rPr>
          <w:rFonts w:ascii="Times New Roman" w:hAnsi="Times New Roman" w:cs="Times New Roman"/>
        </w:rPr>
        <w:t>systemu informacji oświatowej</w:t>
      </w:r>
      <w:r w:rsidR="000C4A1D" w:rsidRPr="00EF72E3">
        <w:rPr>
          <w:rFonts w:ascii="Times New Roman" w:hAnsi="Times New Roman" w:cs="Times New Roman"/>
        </w:rPr>
        <w:t xml:space="preserve"> można zaobserwować, że średnioroczna liczba </w:t>
      </w:r>
      <w:r w:rsidR="00FD65B8" w:rsidRPr="00EF72E3">
        <w:rPr>
          <w:rFonts w:ascii="Times New Roman" w:hAnsi="Times New Roman" w:cs="Times New Roman"/>
        </w:rPr>
        <w:t xml:space="preserve">wychowanków </w:t>
      </w:r>
      <w:r w:rsidR="000C4A1D" w:rsidRPr="00EF72E3">
        <w:rPr>
          <w:rFonts w:ascii="Times New Roman" w:hAnsi="Times New Roman" w:cs="Times New Roman"/>
        </w:rPr>
        <w:t xml:space="preserve">DWD za rok szkolny 2019/2020 (od września 2019 r. do sierpnia 2020 r.) spadła w stosunku do roku poprzedniego o 458 </w:t>
      </w:r>
      <w:r w:rsidR="00625731" w:rsidRPr="00EF72E3">
        <w:rPr>
          <w:rFonts w:ascii="Times New Roman" w:hAnsi="Times New Roman" w:cs="Times New Roman"/>
        </w:rPr>
        <w:t xml:space="preserve">wychowanków </w:t>
      </w:r>
      <w:r w:rsidR="000C4A1D" w:rsidRPr="00EF72E3">
        <w:rPr>
          <w:rFonts w:ascii="Times New Roman" w:hAnsi="Times New Roman" w:cs="Times New Roman"/>
        </w:rPr>
        <w:t>DWD (</w:t>
      </w:r>
      <w:r w:rsidR="00625731" w:rsidRPr="00EF72E3">
        <w:rPr>
          <w:rFonts w:ascii="Times New Roman" w:hAnsi="Times New Roman" w:cs="Times New Roman"/>
        </w:rPr>
        <w:t xml:space="preserve">chodzi o </w:t>
      </w:r>
      <w:r w:rsidR="000C4A1D" w:rsidRPr="00EF72E3">
        <w:rPr>
          <w:rFonts w:ascii="Times New Roman" w:hAnsi="Times New Roman" w:cs="Times New Roman"/>
        </w:rPr>
        <w:t>wychowank</w:t>
      </w:r>
      <w:r w:rsidR="00625731" w:rsidRPr="00EF72E3">
        <w:rPr>
          <w:rFonts w:ascii="Times New Roman" w:hAnsi="Times New Roman" w:cs="Times New Roman"/>
        </w:rPr>
        <w:t>ów</w:t>
      </w:r>
      <w:r w:rsidR="000C4A1D" w:rsidRPr="00EF72E3">
        <w:rPr>
          <w:rFonts w:ascii="Times New Roman" w:hAnsi="Times New Roman" w:cs="Times New Roman"/>
        </w:rPr>
        <w:t xml:space="preserve"> przelicz</w:t>
      </w:r>
      <w:r w:rsidR="00625731" w:rsidRPr="00EF72E3">
        <w:rPr>
          <w:rFonts w:ascii="Times New Roman" w:hAnsi="Times New Roman" w:cs="Times New Roman"/>
        </w:rPr>
        <w:t>onych</w:t>
      </w:r>
      <w:r w:rsidR="000C4A1D" w:rsidRPr="00EF72E3">
        <w:rPr>
          <w:rFonts w:ascii="Times New Roman" w:hAnsi="Times New Roman" w:cs="Times New Roman"/>
        </w:rPr>
        <w:t xml:space="preserve"> na cały rok), tj. ok. 34%. Potwierdza to wpływ epidemii na korzystanie z DWD. Zaproponowany sposób wyliczania </w:t>
      </w:r>
      <w:r w:rsidR="00625731" w:rsidRPr="00EF72E3">
        <w:rPr>
          <w:rFonts w:ascii="Times New Roman" w:hAnsi="Times New Roman" w:cs="Times New Roman"/>
        </w:rPr>
        <w:t xml:space="preserve">wychowanków </w:t>
      </w:r>
      <w:r w:rsidR="000C4A1D" w:rsidRPr="00EF72E3">
        <w:rPr>
          <w:rFonts w:ascii="Times New Roman" w:hAnsi="Times New Roman" w:cs="Times New Roman"/>
        </w:rPr>
        <w:t xml:space="preserve">DWD uwzględnia dane najbardziej aktualne i jednocześnie eliminuje efekt spadku liczby </w:t>
      </w:r>
      <w:r w:rsidR="000A6070" w:rsidRPr="00EF72E3">
        <w:rPr>
          <w:rFonts w:ascii="Times New Roman" w:hAnsi="Times New Roman" w:cs="Times New Roman"/>
        </w:rPr>
        <w:t xml:space="preserve">wychowanków </w:t>
      </w:r>
      <w:r w:rsidR="000C4A1D" w:rsidRPr="00EF72E3">
        <w:rPr>
          <w:rFonts w:ascii="Times New Roman" w:hAnsi="Times New Roman" w:cs="Times New Roman"/>
        </w:rPr>
        <w:t xml:space="preserve">w okresie epidemii. Przy takim sposobie wyliczenia danych liczba </w:t>
      </w:r>
      <w:r w:rsidR="000A6070" w:rsidRPr="00EF72E3">
        <w:rPr>
          <w:rFonts w:ascii="Times New Roman" w:hAnsi="Times New Roman" w:cs="Times New Roman"/>
        </w:rPr>
        <w:t>wychowanków DWD</w:t>
      </w:r>
      <w:r w:rsidR="000C4A1D" w:rsidRPr="00EF72E3">
        <w:rPr>
          <w:rFonts w:ascii="Times New Roman" w:hAnsi="Times New Roman" w:cs="Times New Roman"/>
        </w:rPr>
        <w:t xml:space="preserve"> w skali kraju pozostanie na zbliżonym poziomie w stosunku do roku ubiegłego</w:t>
      </w:r>
      <w:r w:rsidR="00FF75F7">
        <w:rPr>
          <w:rFonts w:ascii="Times New Roman" w:hAnsi="Times New Roman" w:cs="Times New Roman"/>
        </w:rPr>
        <w:t>.</w:t>
      </w:r>
      <w:r w:rsidR="000C4A1D" w:rsidRPr="001C51B7">
        <w:rPr>
          <w:rFonts w:ascii="Times New Roman" w:hAnsi="Times New Roman" w:cs="Times New Roman"/>
        </w:rPr>
        <w:t xml:space="preserve"> </w:t>
      </w:r>
      <w:r w:rsidR="00FF75F7">
        <w:rPr>
          <w:rFonts w:ascii="Times New Roman" w:hAnsi="Times New Roman" w:cs="Times New Roman"/>
        </w:rPr>
        <w:t xml:space="preserve">Jednocześnie proponuje się </w:t>
      </w:r>
      <w:r w:rsidR="00B3311C">
        <w:rPr>
          <w:rFonts w:ascii="Times New Roman" w:hAnsi="Times New Roman" w:cs="Times New Roman"/>
        </w:rPr>
        <w:t>wprowadz</w:t>
      </w:r>
      <w:r w:rsidR="00FF75F7">
        <w:rPr>
          <w:rFonts w:ascii="Times New Roman" w:hAnsi="Times New Roman" w:cs="Times New Roman"/>
        </w:rPr>
        <w:t>ić</w:t>
      </w:r>
      <w:r w:rsidR="00B3311C">
        <w:rPr>
          <w:rFonts w:ascii="Times New Roman" w:hAnsi="Times New Roman" w:cs="Times New Roman"/>
        </w:rPr>
        <w:t xml:space="preserve"> zmian</w:t>
      </w:r>
      <w:r w:rsidR="00FF75F7">
        <w:rPr>
          <w:rFonts w:ascii="Times New Roman" w:hAnsi="Times New Roman" w:cs="Times New Roman"/>
        </w:rPr>
        <w:t>ę</w:t>
      </w:r>
      <w:r w:rsidR="00B3311C">
        <w:rPr>
          <w:rFonts w:ascii="Times New Roman" w:hAnsi="Times New Roman" w:cs="Times New Roman"/>
        </w:rPr>
        <w:t xml:space="preserve"> w zakresie </w:t>
      </w:r>
      <w:r w:rsidR="00FF75F7">
        <w:rPr>
          <w:rFonts w:ascii="Times New Roman" w:hAnsi="Times New Roman" w:cs="Times New Roman"/>
        </w:rPr>
        <w:t xml:space="preserve">sposobu </w:t>
      </w:r>
      <w:r w:rsidR="00527772">
        <w:rPr>
          <w:rFonts w:ascii="Times New Roman" w:hAnsi="Times New Roman" w:cs="Times New Roman"/>
        </w:rPr>
        <w:t>wyliczania wychowanków DWD, p</w:t>
      </w:r>
      <w:r w:rsidR="00BB3821">
        <w:rPr>
          <w:rFonts w:ascii="Times New Roman" w:hAnsi="Times New Roman" w:cs="Times New Roman"/>
        </w:rPr>
        <w:t>olegającą</w:t>
      </w:r>
      <w:r w:rsidR="00423177" w:rsidRPr="00423177">
        <w:rPr>
          <w:rFonts w:ascii="Times New Roman" w:hAnsi="Times New Roman" w:cs="Times New Roman"/>
        </w:rPr>
        <w:t xml:space="preserve"> na </w:t>
      </w:r>
      <w:r w:rsidR="00940326">
        <w:rPr>
          <w:rFonts w:ascii="Times New Roman" w:hAnsi="Times New Roman" w:cs="Times New Roman"/>
        </w:rPr>
        <w:t>tym, że liczbę dób</w:t>
      </w:r>
      <w:r w:rsidR="0027786F">
        <w:rPr>
          <w:rFonts w:ascii="Times New Roman" w:hAnsi="Times New Roman" w:cs="Times New Roman"/>
        </w:rPr>
        <w:t xml:space="preserve"> </w:t>
      </w:r>
      <w:r w:rsidR="00423177" w:rsidRPr="00423177">
        <w:rPr>
          <w:rFonts w:ascii="Times New Roman" w:hAnsi="Times New Roman" w:cs="Times New Roman"/>
        </w:rPr>
        <w:t>pomniejsz</w:t>
      </w:r>
      <w:r w:rsidR="00940326">
        <w:rPr>
          <w:rFonts w:ascii="Times New Roman" w:hAnsi="Times New Roman" w:cs="Times New Roman"/>
        </w:rPr>
        <w:t>a się o jedną dobę</w:t>
      </w:r>
      <w:r w:rsidR="005B431A">
        <w:rPr>
          <w:rFonts w:ascii="Times New Roman" w:hAnsi="Times New Roman" w:cs="Times New Roman"/>
        </w:rPr>
        <w:t xml:space="preserve"> dla każdego</w:t>
      </w:r>
      <w:r w:rsidR="00423177" w:rsidRPr="00423177">
        <w:rPr>
          <w:rFonts w:ascii="Times New Roman" w:hAnsi="Times New Roman" w:cs="Times New Roman"/>
        </w:rPr>
        <w:t xml:space="preserve"> wychowanka</w:t>
      </w:r>
      <w:r w:rsidR="005B431A">
        <w:rPr>
          <w:rFonts w:ascii="Times New Roman" w:hAnsi="Times New Roman" w:cs="Times New Roman"/>
        </w:rPr>
        <w:t>.</w:t>
      </w:r>
      <w:r w:rsidR="00423177" w:rsidRPr="00423177">
        <w:rPr>
          <w:rFonts w:ascii="Times New Roman" w:hAnsi="Times New Roman" w:cs="Times New Roman"/>
        </w:rPr>
        <w:t xml:space="preserve"> Zmiana ma na celu ujednolicenie </w:t>
      </w:r>
      <w:r w:rsidR="005B431A">
        <w:rPr>
          <w:rFonts w:ascii="Times New Roman" w:hAnsi="Times New Roman" w:cs="Times New Roman"/>
        </w:rPr>
        <w:t xml:space="preserve">wyliczenia </w:t>
      </w:r>
      <w:r w:rsidR="00423177" w:rsidRPr="00423177">
        <w:rPr>
          <w:rFonts w:ascii="Times New Roman" w:hAnsi="Times New Roman" w:cs="Times New Roman"/>
        </w:rPr>
        <w:t>z definicją uwzględniania wychowanka w przypadku dotowania go przez jednostkę samorządu terytorialnego w niesamorządowych domach wczasów dziecięcych na podstawie ustawy z dnia 27 października 2017 r. o finansowaniu zadań oświatowych (Dz. U. z 2020 r. poz. 17, z późn. zm.)</w:t>
      </w:r>
      <w:r w:rsidR="00532703">
        <w:rPr>
          <w:rFonts w:ascii="Times New Roman" w:hAnsi="Times New Roman" w:cs="Times New Roman"/>
        </w:rPr>
        <w:t xml:space="preserve"> </w:t>
      </w:r>
      <w:r w:rsidR="00625077" w:rsidRPr="00B62EFB">
        <w:rPr>
          <w:rFonts w:ascii="Times New Roman" w:hAnsi="Times New Roman" w:cs="Times New Roman"/>
        </w:rPr>
        <w:t xml:space="preserve">– </w:t>
      </w:r>
      <w:r w:rsidR="00532703">
        <w:rPr>
          <w:rFonts w:ascii="Times New Roman" w:hAnsi="Times New Roman" w:cs="Times New Roman"/>
        </w:rPr>
        <w:t xml:space="preserve">zmiana </w:t>
      </w:r>
      <w:r w:rsidR="00625077">
        <w:rPr>
          <w:rFonts w:ascii="Times New Roman" w:hAnsi="Times New Roman" w:cs="Times New Roman"/>
        </w:rPr>
        <w:t xml:space="preserve">wagi </w:t>
      </w:r>
      <w:r w:rsidR="00532703">
        <w:rPr>
          <w:rFonts w:ascii="Times New Roman" w:hAnsi="Times New Roman" w:cs="Times New Roman"/>
        </w:rPr>
        <w:t>P</w:t>
      </w:r>
      <w:r w:rsidR="00532703" w:rsidRPr="001C51B7">
        <w:rPr>
          <w:rFonts w:ascii="Times New Roman" w:hAnsi="Times New Roman" w:cs="Times New Roman"/>
          <w:vertAlign w:val="subscript"/>
        </w:rPr>
        <w:t>58</w:t>
      </w:r>
      <w:r w:rsidR="00532703">
        <w:rPr>
          <w:rFonts w:ascii="Times New Roman" w:hAnsi="Times New Roman" w:cs="Times New Roman"/>
        </w:rPr>
        <w:t xml:space="preserve"> oraz uchylenie </w:t>
      </w:r>
      <w:r w:rsidR="004520BD">
        <w:rPr>
          <w:rFonts w:ascii="Times New Roman" w:hAnsi="Times New Roman" w:cs="Times New Roman"/>
        </w:rPr>
        <w:t xml:space="preserve">w </w:t>
      </w:r>
      <w:r w:rsidR="00794A0A" w:rsidRPr="00637CF9">
        <w:rPr>
          <w:rFonts w:ascii="Times New Roman" w:hAnsi="Times New Roman"/>
        </w:rPr>
        <w:t>§</w:t>
      </w:r>
      <w:r w:rsidR="00794A0A">
        <w:rPr>
          <w:rFonts w:ascii="Times New Roman" w:hAnsi="Times New Roman"/>
        </w:rPr>
        <w:t xml:space="preserve"> </w:t>
      </w:r>
      <w:r w:rsidR="004520BD">
        <w:rPr>
          <w:rFonts w:ascii="Times New Roman" w:hAnsi="Times New Roman" w:cs="Times New Roman"/>
        </w:rPr>
        <w:t>1</w:t>
      </w:r>
      <w:r w:rsidR="00532703">
        <w:rPr>
          <w:rFonts w:ascii="Times New Roman" w:hAnsi="Times New Roman" w:cs="Times New Roman"/>
        </w:rPr>
        <w:t xml:space="preserve"> ust. </w:t>
      </w:r>
      <w:r w:rsidR="00625077">
        <w:rPr>
          <w:rFonts w:ascii="Times New Roman" w:hAnsi="Times New Roman" w:cs="Times New Roman"/>
        </w:rPr>
        <w:t>2 pkt 6 projektu.</w:t>
      </w:r>
      <w:r w:rsidR="00B3311C" w:rsidRPr="00B3311C">
        <w:rPr>
          <w:rFonts w:ascii="Times New Roman" w:hAnsi="Times New Roman" w:cs="Times New Roman"/>
        </w:rPr>
        <w:t xml:space="preserve"> </w:t>
      </w:r>
      <w:r w:rsidR="00423177" w:rsidRPr="00423177">
        <w:rPr>
          <w:rFonts w:ascii="Times New Roman" w:hAnsi="Times New Roman" w:cs="Times New Roman"/>
        </w:rPr>
        <w:t xml:space="preserve">  </w:t>
      </w:r>
    </w:p>
    <w:p w14:paraId="52437626" w14:textId="07809A2A" w:rsidR="000C4A1D" w:rsidRPr="00B62EFB" w:rsidRDefault="00AD27A9" w:rsidP="0044462A">
      <w:pPr>
        <w:pStyle w:val="Akapitzlist"/>
        <w:numPr>
          <w:ilvl w:val="1"/>
          <w:numId w:val="12"/>
        </w:numPr>
        <w:spacing w:after="16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C4A1D" w:rsidRPr="00B62EFB">
        <w:rPr>
          <w:rFonts w:ascii="Times New Roman" w:hAnsi="Times New Roman" w:cs="Times New Roman"/>
        </w:rPr>
        <w:t xml:space="preserve"> przypadku internatów i burs </w:t>
      </w:r>
      <w:r w:rsidR="009A05F3" w:rsidRPr="00BD4441">
        <w:rPr>
          <w:rFonts w:ascii="Times New Roman" w:hAnsi="Times New Roman" w:cs="Times New Roman"/>
        </w:rPr>
        <w:t xml:space="preserve">proponuje się w subwencji </w:t>
      </w:r>
      <w:r w:rsidR="0078777B">
        <w:rPr>
          <w:rFonts w:ascii="Times New Roman" w:hAnsi="Times New Roman" w:cs="Times New Roman"/>
        </w:rPr>
        <w:t xml:space="preserve">oświatowej </w:t>
      </w:r>
      <w:r w:rsidR="009A05F3" w:rsidRPr="00BD4441">
        <w:rPr>
          <w:rFonts w:ascii="Times New Roman" w:hAnsi="Times New Roman" w:cs="Times New Roman"/>
        </w:rPr>
        <w:t>uwzględnić dane</w:t>
      </w:r>
      <w:r w:rsidR="009A05F3">
        <w:rPr>
          <w:rFonts w:ascii="Times New Roman" w:hAnsi="Times New Roman" w:cs="Times New Roman"/>
        </w:rPr>
        <w:t xml:space="preserve"> </w:t>
      </w:r>
      <w:r w:rsidR="009A05F3" w:rsidRPr="00BD4441">
        <w:rPr>
          <w:rFonts w:ascii="Times New Roman" w:hAnsi="Times New Roman" w:cs="Times New Roman"/>
        </w:rPr>
        <w:t>za rok szkolny 2018/2019</w:t>
      </w:r>
      <w:r w:rsidR="00E3620F">
        <w:rPr>
          <w:rFonts w:ascii="Times New Roman" w:hAnsi="Times New Roman" w:cs="Times New Roman"/>
        </w:rPr>
        <w:t xml:space="preserve"> powiększone wskaźnikiem 33%</w:t>
      </w:r>
      <w:r w:rsidR="009A05F3">
        <w:rPr>
          <w:rFonts w:ascii="Times New Roman" w:hAnsi="Times New Roman" w:cs="Times New Roman"/>
        </w:rPr>
        <w:t xml:space="preserve">, w zakresie </w:t>
      </w:r>
      <w:r w:rsidR="009A05F3" w:rsidRPr="00BD4441">
        <w:rPr>
          <w:rFonts w:ascii="Times New Roman" w:hAnsi="Times New Roman" w:cs="Times New Roman"/>
        </w:rPr>
        <w:t>wychowanków, którzy nie są uczniami szkoły</w:t>
      </w:r>
      <w:r w:rsidR="0078777B">
        <w:rPr>
          <w:rFonts w:ascii="Times New Roman" w:hAnsi="Times New Roman" w:cs="Times New Roman"/>
        </w:rPr>
        <w:t>,</w:t>
      </w:r>
      <w:r w:rsidR="009A05F3" w:rsidRPr="00BD4441">
        <w:rPr>
          <w:rFonts w:ascii="Times New Roman" w:hAnsi="Times New Roman" w:cs="Times New Roman"/>
        </w:rPr>
        <w:t xml:space="preserve"> przy której jest internat lub bursa</w:t>
      </w:r>
      <w:r w:rsidR="009A05F3">
        <w:rPr>
          <w:rFonts w:ascii="Times New Roman" w:hAnsi="Times New Roman" w:cs="Times New Roman"/>
        </w:rPr>
        <w:t>.</w:t>
      </w:r>
      <w:r w:rsidR="009A05F3" w:rsidRPr="00BD4441">
        <w:rPr>
          <w:rFonts w:ascii="Times New Roman" w:hAnsi="Times New Roman" w:cs="Times New Roman"/>
        </w:rPr>
        <w:t xml:space="preserve"> </w:t>
      </w:r>
      <w:r w:rsidR="009A05F3">
        <w:rPr>
          <w:rFonts w:ascii="Times New Roman" w:hAnsi="Times New Roman" w:cs="Times New Roman"/>
        </w:rPr>
        <w:t>D</w:t>
      </w:r>
      <w:r w:rsidR="000C4A1D" w:rsidRPr="00B62EFB">
        <w:rPr>
          <w:rFonts w:ascii="Times New Roman" w:hAnsi="Times New Roman" w:cs="Times New Roman"/>
        </w:rPr>
        <w:t xml:space="preserve">ane do subwencji </w:t>
      </w:r>
      <w:r w:rsidR="0078777B">
        <w:rPr>
          <w:rFonts w:ascii="Times New Roman" w:hAnsi="Times New Roman" w:cs="Times New Roman"/>
        </w:rPr>
        <w:t xml:space="preserve">oświatowej </w:t>
      </w:r>
      <w:r w:rsidR="000C4A1D" w:rsidRPr="00B62EFB">
        <w:rPr>
          <w:rFonts w:ascii="Times New Roman" w:hAnsi="Times New Roman" w:cs="Times New Roman"/>
        </w:rPr>
        <w:t xml:space="preserve">są </w:t>
      </w:r>
      <w:r w:rsidR="00070116" w:rsidRPr="00B62EFB">
        <w:rPr>
          <w:rFonts w:ascii="Times New Roman" w:hAnsi="Times New Roman" w:cs="Times New Roman"/>
        </w:rPr>
        <w:t xml:space="preserve">wykorzystywane </w:t>
      </w:r>
      <w:r w:rsidR="000C4A1D" w:rsidRPr="00B62EFB">
        <w:rPr>
          <w:rFonts w:ascii="Times New Roman" w:hAnsi="Times New Roman" w:cs="Times New Roman"/>
        </w:rPr>
        <w:t>na 2 sposoby</w:t>
      </w:r>
      <w:r w:rsidR="00070116">
        <w:rPr>
          <w:rFonts w:ascii="Times New Roman" w:hAnsi="Times New Roman" w:cs="Times New Roman"/>
        </w:rPr>
        <w:t>:</w:t>
      </w:r>
      <w:r w:rsidR="000C4A1D" w:rsidRPr="00B62EFB">
        <w:rPr>
          <w:rFonts w:ascii="Times New Roman" w:hAnsi="Times New Roman" w:cs="Times New Roman"/>
        </w:rPr>
        <w:t xml:space="preserve"> część danych </w:t>
      </w:r>
      <w:r w:rsidR="00070116">
        <w:rPr>
          <w:rFonts w:ascii="Times New Roman" w:hAnsi="Times New Roman" w:cs="Times New Roman"/>
        </w:rPr>
        <w:t xml:space="preserve">jest </w:t>
      </w:r>
      <w:r w:rsidR="000C4A1D" w:rsidRPr="00B62EFB">
        <w:rPr>
          <w:rFonts w:ascii="Times New Roman" w:hAnsi="Times New Roman" w:cs="Times New Roman"/>
        </w:rPr>
        <w:t>wykorzystywanych w</w:t>
      </w:r>
      <w:r w:rsidR="00070116">
        <w:rPr>
          <w:rFonts w:ascii="Times New Roman" w:hAnsi="Times New Roman" w:cs="Times New Roman"/>
        </w:rPr>
        <w:t>edług</w:t>
      </w:r>
      <w:r w:rsidR="000C4A1D" w:rsidRPr="00B62EFB">
        <w:rPr>
          <w:rFonts w:ascii="Times New Roman" w:hAnsi="Times New Roman" w:cs="Times New Roman"/>
        </w:rPr>
        <w:t xml:space="preserve"> stanu na </w:t>
      </w:r>
      <w:r w:rsidR="00070116">
        <w:rPr>
          <w:rFonts w:ascii="Times New Roman" w:hAnsi="Times New Roman" w:cs="Times New Roman"/>
        </w:rPr>
        <w:t xml:space="preserve">dzień </w:t>
      </w:r>
      <w:r w:rsidR="000C4A1D" w:rsidRPr="00B62EFB">
        <w:rPr>
          <w:rFonts w:ascii="Times New Roman" w:hAnsi="Times New Roman" w:cs="Times New Roman"/>
        </w:rPr>
        <w:t>30 września, a część danych średniorocznie za poprzedni rok szkolny (dotyczy to danych wychowanków, którzy nie są uczniami szkoły</w:t>
      </w:r>
      <w:r w:rsidR="00070116">
        <w:rPr>
          <w:rFonts w:ascii="Times New Roman" w:hAnsi="Times New Roman" w:cs="Times New Roman"/>
        </w:rPr>
        <w:t>,</w:t>
      </w:r>
      <w:r w:rsidR="000C4A1D" w:rsidRPr="00B62EFB">
        <w:rPr>
          <w:rFonts w:ascii="Times New Roman" w:hAnsi="Times New Roman" w:cs="Times New Roman"/>
        </w:rPr>
        <w:t xml:space="preserve"> przy której jest internat lub bursa). </w:t>
      </w:r>
      <w:r w:rsidR="009A05F3">
        <w:rPr>
          <w:rFonts w:ascii="Times New Roman" w:hAnsi="Times New Roman" w:cs="Times New Roman"/>
        </w:rPr>
        <w:t>N</w:t>
      </w:r>
      <w:r w:rsidR="000C4A1D" w:rsidRPr="00B62EFB">
        <w:rPr>
          <w:rFonts w:ascii="Times New Roman" w:hAnsi="Times New Roman" w:cs="Times New Roman"/>
        </w:rPr>
        <w:t>a podstawie danych o wychowankach internatów i burs</w:t>
      </w:r>
      <w:r w:rsidR="00766331">
        <w:rPr>
          <w:rFonts w:ascii="Times New Roman" w:hAnsi="Times New Roman" w:cs="Times New Roman"/>
        </w:rPr>
        <w:t>,</w:t>
      </w:r>
      <w:r w:rsidR="000C4A1D" w:rsidRPr="00B62EFB">
        <w:rPr>
          <w:rFonts w:ascii="Times New Roman" w:hAnsi="Times New Roman" w:cs="Times New Roman"/>
        </w:rPr>
        <w:t xml:space="preserve"> którzy są wykazywani w</w:t>
      </w:r>
      <w:r w:rsidR="00766331">
        <w:rPr>
          <w:rFonts w:ascii="Times New Roman" w:hAnsi="Times New Roman" w:cs="Times New Roman"/>
        </w:rPr>
        <w:t>edług</w:t>
      </w:r>
      <w:r w:rsidR="000C4A1D" w:rsidRPr="00B62EFB">
        <w:rPr>
          <w:rFonts w:ascii="Times New Roman" w:hAnsi="Times New Roman" w:cs="Times New Roman"/>
        </w:rPr>
        <w:t xml:space="preserve"> stanu na dany dzień można zaobserwować spadek liczby wychowanków w okresie epidemii. Liczba wychowanków internat</w:t>
      </w:r>
      <w:r w:rsidR="00C17C45">
        <w:rPr>
          <w:rFonts w:ascii="Times New Roman" w:hAnsi="Times New Roman" w:cs="Times New Roman"/>
        </w:rPr>
        <w:t>ów</w:t>
      </w:r>
      <w:r w:rsidR="000C4A1D" w:rsidRPr="00B62EFB">
        <w:rPr>
          <w:rFonts w:ascii="Times New Roman" w:hAnsi="Times New Roman" w:cs="Times New Roman"/>
        </w:rPr>
        <w:t xml:space="preserve"> spadła w</w:t>
      </w:r>
      <w:r w:rsidR="00C17C45">
        <w:rPr>
          <w:rFonts w:ascii="Times New Roman" w:hAnsi="Times New Roman" w:cs="Times New Roman"/>
        </w:rPr>
        <w:t> </w:t>
      </w:r>
      <w:r w:rsidR="000C4A1D" w:rsidRPr="00B62EFB">
        <w:rPr>
          <w:rFonts w:ascii="Times New Roman" w:hAnsi="Times New Roman" w:cs="Times New Roman"/>
        </w:rPr>
        <w:t>marcu 2020 r. w stosunku do wcześniejszego miesiąca o 2%, w kwietniu</w:t>
      </w:r>
      <w:r w:rsidR="00C17C45">
        <w:rPr>
          <w:rFonts w:ascii="Times New Roman" w:hAnsi="Times New Roman" w:cs="Times New Roman"/>
        </w:rPr>
        <w:t xml:space="preserve"> </w:t>
      </w:r>
      <w:r w:rsidR="00766331" w:rsidRPr="00B62EFB">
        <w:rPr>
          <w:rFonts w:ascii="Times New Roman" w:hAnsi="Times New Roman" w:cs="Times New Roman"/>
        </w:rPr>
        <w:t>–</w:t>
      </w:r>
      <w:r w:rsidR="000C4A1D" w:rsidRPr="00B62EFB">
        <w:rPr>
          <w:rFonts w:ascii="Times New Roman" w:hAnsi="Times New Roman" w:cs="Times New Roman"/>
        </w:rPr>
        <w:t xml:space="preserve"> o</w:t>
      </w:r>
      <w:r w:rsidR="00C17C45">
        <w:rPr>
          <w:rFonts w:ascii="Times New Roman" w:hAnsi="Times New Roman" w:cs="Times New Roman"/>
        </w:rPr>
        <w:t> </w:t>
      </w:r>
      <w:r w:rsidR="000C4A1D" w:rsidRPr="00B62EFB">
        <w:rPr>
          <w:rFonts w:ascii="Times New Roman" w:hAnsi="Times New Roman" w:cs="Times New Roman"/>
        </w:rPr>
        <w:t xml:space="preserve">3%, </w:t>
      </w:r>
      <w:r w:rsidR="007C7403">
        <w:rPr>
          <w:rFonts w:ascii="Times New Roman" w:hAnsi="Times New Roman" w:cs="Times New Roman"/>
        </w:rPr>
        <w:t xml:space="preserve">natomiast </w:t>
      </w:r>
      <w:r w:rsidR="000C4A1D" w:rsidRPr="00B62EFB">
        <w:rPr>
          <w:rFonts w:ascii="Times New Roman" w:hAnsi="Times New Roman" w:cs="Times New Roman"/>
        </w:rPr>
        <w:t xml:space="preserve">liczba wychowanków burs spadła w marcu 2020 r. w stosunku do </w:t>
      </w:r>
      <w:r w:rsidR="00BC3F7B" w:rsidRPr="00BC3F7B">
        <w:rPr>
          <w:rFonts w:ascii="Times New Roman" w:hAnsi="Times New Roman" w:cs="Times New Roman"/>
        </w:rPr>
        <w:t>wcześniejszego miesiąca</w:t>
      </w:r>
      <w:r w:rsidR="00BC3F7B">
        <w:rPr>
          <w:rFonts w:ascii="Times New Roman" w:hAnsi="Times New Roman" w:cs="Times New Roman"/>
        </w:rPr>
        <w:t xml:space="preserve"> </w:t>
      </w:r>
      <w:r w:rsidR="000C4A1D" w:rsidRPr="00B62EFB">
        <w:rPr>
          <w:rFonts w:ascii="Times New Roman" w:hAnsi="Times New Roman" w:cs="Times New Roman"/>
        </w:rPr>
        <w:t xml:space="preserve"> o 5%, w</w:t>
      </w:r>
      <w:r w:rsidR="00BC3F7B">
        <w:rPr>
          <w:rFonts w:ascii="Times New Roman" w:hAnsi="Times New Roman" w:cs="Times New Roman"/>
        </w:rPr>
        <w:t> </w:t>
      </w:r>
      <w:r w:rsidR="000C4A1D" w:rsidRPr="00B62EFB">
        <w:rPr>
          <w:rFonts w:ascii="Times New Roman" w:hAnsi="Times New Roman" w:cs="Times New Roman"/>
        </w:rPr>
        <w:t xml:space="preserve">kwietniu </w:t>
      </w:r>
      <w:r w:rsidR="00766331" w:rsidRPr="00B62EFB">
        <w:rPr>
          <w:rFonts w:ascii="Times New Roman" w:hAnsi="Times New Roman" w:cs="Times New Roman"/>
        </w:rPr>
        <w:t>–</w:t>
      </w:r>
      <w:r w:rsidR="00C17C45">
        <w:rPr>
          <w:rFonts w:ascii="Times New Roman" w:hAnsi="Times New Roman" w:cs="Times New Roman"/>
        </w:rPr>
        <w:t xml:space="preserve"> </w:t>
      </w:r>
      <w:r w:rsidR="000C4A1D" w:rsidRPr="00B62EFB">
        <w:rPr>
          <w:rFonts w:ascii="Times New Roman" w:hAnsi="Times New Roman" w:cs="Times New Roman"/>
        </w:rPr>
        <w:t xml:space="preserve">o 4%, w maju </w:t>
      </w:r>
      <w:r w:rsidR="00766331" w:rsidRPr="00B62EFB">
        <w:rPr>
          <w:rFonts w:ascii="Times New Roman" w:hAnsi="Times New Roman" w:cs="Times New Roman"/>
        </w:rPr>
        <w:t>–</w:t>
      </w:r>
      <w:r w:rsidR="00C17C45">
        <w:rPr>
          <w:rFonts w:ascii="Times New Roman" w:hAnsi="Times New Roman" w:cs="Times New Roman"/>
        </w:rPr>
        <w:t xml:space="preserve"> </w:t>
      </w:r>
      <w:r w:rsidR="000C4A1D" w:rsidRPr="00B62EFB">
        <w:rPr>
          <w:rFonts w:ascii="Times New Roman" w:hAnsi="Times New Roman" w:cs="Times New Roman"/>
        </w:rPr>
        <w:t xml:space="preserve">o 3%. Można </w:t>
      </w:r>
      <w:r w:rsidR="007C7403">
        <w:rPr>
          <w:rFonts w:ascii="Times New Roman" w:hAnsi="Times New Roman" w:cs="Times New Roman"/>
        </w:rPr>
        <w:t>przypuszczać</w:t>
      </w:r>
      <w:r w:rsidR="009A05F3">
        <w:rPr>
          <w:rFonts w:ascii="Times New Roman" w:hAnsi="Times New Roman" w:cs="Times New Roman"/>
        </w:rPr>
        <w:t>,</w:t>
      </w:r>
      <w:r w:rsidR="000C4A1D" w:rsidRPr="00B62EFB">
        <w:rPr>
          <w:rFonts w:ascii="Times New Roman" w:hAnsi="Times New Roman" w:cs="Times New Roman"/>
        </w:rPr>
        <w:t xml:space="preserve"> że spadki wychowanków internatów i burs nastąpiły również w okresie epidemii w przypadku wychowanków niebędących uczniami szkoły, przy której jest internat lub bursa</w:t>
      </w:r>
      <w:r w:rsidR="00D92F4C">
        <w:rPr>
          <w:rFonts w:ascii="Times New Roman" w:hAnsi="Times New Roman" w:cs="Times New Roman"/>
        </w:rPr>
        <w:t>,</w:t>
      </w:r>
      <w:r w:rsidR="000C4A1D" w:rsidRPr="00B62EFB">
        <w:rPr>
          <w:rFonts w:ascii="Times New Roman" w:hAnsi="Times New Roman" w:cs="Times New Roman"/>
        </w:rPr>
        <w:t xml:space="preserve"> czyli danych wykazywanych średniorocznie, dlatego w</w:t>
      </w:r>
      <w:r w:rsidR="00C17C45">
        <w:rPr>
          <w:rFonts w:ascii="Times New Roman" w:hAnsi="Times New Roman" w:cs="Times New Roman"/>
        </w:rPr>
        <w:t> </w:t>
      </w:r>
      <w:r w:rsidR="000C4A1D" w:rsidRPr="00B62EFB">
        <w:rPr>
          <w:rFonts w:ascii="Times New Roman" w:hAnsi="Times New Roman" w:cs="Times New Roman"/>
        </w:rPr>
        <w:t xml:space="preserve">zakresie tych danych proponuje się w subwencji </w:t>
      </w:r>
      <w:r w:rsidR="00D92F4C">
        <w:rPr>
          <w:rFonts w:ascii="Times New Roman" w:hAnsi="Times New Roman" w:cs="Times New Roman"/>
        </w:rPr>
        <w:t xml:space="preserve">oświatowej </w:t>
      </w:r>
      <w:r w:rsidR="000C4A1D" w:rsidRPr="00B62EFB">
        <w:rPr>
          <w:rFonts w:ascii="Times New Roman" w:hAnsi="Times New Roman" w:cs="Times New Roman"/>
        </w:rPr>
        <w:t>uwzględnić dane za rok szkolny 2018/2019.</w:t>
      </w:r>
      <w:r w:rsidR="00E3620F">
        <w:rPr>
          <w:rFonts w:ascii="Times New Roman" w:hAnsi="Times New Roman" w:cs="Times New Roman"/>
        </w:rPr>
        <w:t xml:space="preserve"> Ponieważ dane za rok szkolny 2018/2019 są to dane</w:t>
      </w:r>
      <w:r w:rsidR="00400DBD">
        <w:rPr>
          <w:rFonts w:ascii="Times New Roman" w:hAnsi="Times New Roman" w:cs="Times New Roman"/>
        </w:rPr>
        <w:t>,</w:t>
      </w:r>
      <w:r w:rsidR="00E3620F">
        <w:rPr>
          <w:rFonts w:ascii="Times New Roman" w:hAnsi="Times New Roman" w:cs="Times New Roman"/>
        </w:rPr>
        <w:t xml:space="preserve"> które nie uwzględniają podwójnej rekrutacji do szkół (po szkole podstawowej i</w:t>
      </w:r>
      <w:r w:rsidR="00BC3F7B">
        <w:rPr>
          <w:rFonts w:ascii="Times New Roman" w:hAnsi="Times New Roman" w:cs="Times New Roman"/>
        </w:rPr>
        <w:t> </w:t>
      </w:r>
      <w:r w:rsidR="00E3620F">
        <w:rPr>
          <w:rFonts w:ascii="Times New Roman" w:hAnsi="Times New Roman" w:cs="Times New Roman"/>
        </w:rPr>
        <w:t>gimnazjum) dane te powiększa się wskaźnikiem 33%</w:t>
      </w:r>
      <w:r w:rsidR="00BB7C89">
        <w:rPr>
          <w:rFonts w:ascii="Times New Roman" w:hAnsi="Times New Roman" w:cs="Times New Roman"/>
        </w:rPr>
        <w:t xml:space="preserve"> (zmiana </w:t>
      </w:r>
      <w:r w:rsidR="006A2838">
        <w:rPr>
          <w:rFonts w:ascii="Times New Roman" w:hAnsi="Times New Roman" w:cs="Times New Roman"/>
        </w:rPr>
        <w:t>ust. 23 w załączniku do projektu)</w:t>
      </w:r>
      <w:r w:rsidR="00F55617">
        <w:rPr>
          <w:rFonts w:ascii="Times New Roman" w:hAnsi="Times New Roman" w:cs="Times New Roman"/>
        </w:rPr>
        <w:t>.</w:t>
      </w:r>
    </w:p>
    <w:p w14:paraId="01187603" w14:textId="2E3A7D48" w:rsidR="000C4A1D" w:rsidRPr="00B62EFB" w:rsidRDefault="00A47DE2" w:rsidP="00A47DE2">
      <w:pPr>
        <w:pStyle w:val="Akapitzlist"/>
        <w:numPr>
          <w:ilvl w:val="1"/>
          <w:numId w:val="12"/>
        </w:numPr>
        <w:spacing w:after="160"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0C4A1D" w:rsidRPr="00B62EFB">
        <w:rPr>
          <w:rFonts w:ascii="Times New Roman" w:hAnsi="Times New Roman" w:cs="Times New Roman"/>
        </w:rPr>
        <w:t xml:space="preserve"> przypadku szkolnych schronisk młodzieżowych proponuje się wykorzystanie do naliczania subwencji na 2021 r., podobnie jak powyżej, danych o liczbie </w:t>
      </w:r>
      <w:r w:rsidR="000C4A1D" w:rsidRPr="001B162C">
        <w:rPr>
          <w:rFonts w:ascii="Times New Roman" w:hAnsi="Times New Roman" w:cs="Times New Roman"/>
        </w:rPr>
        <w:t xml:space="preserve">miejsc </w:t>
      </w:r>
      <w:r w:rsidR="000C4A1D" w:rsidRPr="00E01812">
        <w:rPr>
          <w:rFonts w:ascii="Times New Roman" w:hAnsi="Times New Roman" w:cs="Times New Roman"/>
        </w:rPr>
        <w:t>za okres od marca 2019 do końca lutego 2020 r.</w:t>
      </w:r>
      <w:r w:rsidR="000C4A1D" w:rsidRPr="00B62EFB">
        <w:rPr>
          <w:rFonts w:ascii="Times New Roman" w:hAnsi="Times New Roman" w:cs="Times New Roman"/>
        </w:rPr>
        <w:t xml:space="preserve"> (poprzedni rok szkolny z pominięciem okresu epidemii). Z danych </w:t>
      </w:r>
      <w:r w:rsidR="00F42E29">
        <w:rPr>
          <w:rFonts w:ascii="Times New Roman" w:hAnsi="Times New Roman" w:cs="Times New Roman"/>
        </w:rPr>
        <w:t>systemu informacji oświatowej</w:t>
      </w:r>
      <w:r w:rsidR="000C4A1D" w:rsidRPr="00B62EFB">
        <w:rPr>
          <w:rFonts w:ascii="Times New Roman" w:hAnsi="Times New Roman" w:cs="Times New Roman"/>
        </w:rPr>
        <w:t xml:space="preserve"> wynika, że w okresie epidemii liczba miejsc w </w:t>
      </w:r>
      <w:r w:rsidR="00F42E29">
        <w:rPr>
          <w:rFonts w:ascii="Times New Roman" w:hAnsi="Times New Roman" w:cs="Times New Roman"/>
        </w:rPr>
        <w:t xml:space="preserve">szkolnych </w:t>
      </w:r>
      <w:r w:rsidR="000C4A1D" w:rsidRPr="00B62EFB">
        <w:rPr>
          <w:rFonts w:ascii="Times New Roman" w:hAnsi="Times New Roman" w:cs="Times New Roman"/>
        </w:rPr>
        <w:t xml:space="preserve">schroniskach </w:t>
      </w:r>
      <w:r w:rsidR="00F42E29">
        <w:rPr>
          <w:rFonts w:ascii="Times New Roman" w:hAnsi="Times New Roman" w:cs="Times New Roman"/>
        </w:rPr>
        <w:t xml:space="preserve">młodzieżowych </w:t>
      </w:r>
      <w:r w:rsidR="000C4A1D" w:rsidRPr="00B62EFB">
        <w:rPr>
          <w:rFonts w:ascii="Times New Roman" w:hAnsi="Times New Roman" w:cs="Times New Roman"/>
        </w:rPr>
        <w:t>spadła w stosunku do analogicznego miesiąca roku poprzedniego</w:t>
      </w:r>
      <w:r w:rsidR="00F42E29">
        <w:rPr>
          <w:rFonts w:ascii="Times New Roman" w:hAnsi="Times New Roman" w:cs="Times New Roman"/>
        </w:rPr>
        <w:t>:</w:t>
      </w:r>
      <w:r w:rsidR="000C4A1D" w:rsidRPr="00B62EFB">
        <w:rPr>
          <w:rFonts w:ascii="Times New Roman" w:hAnsi="Times New Roman" w:cs="Times New Roman"/>
        </w:rPr>
        <w:t xml:space="preserve"> w marcu o 19%, w kwietniu o 24%, w maju o</w:t>
      </w:r>
      <w:r w:rsidR="00C17C45">
        <w:rPr>
          <w:rFonts w:ascii="Times New Roman" w:hAnsi="Times New Roman" w:cs="Times New Roman"/>
        </w:rPr>
        <w:t> </w:t>
      </w:r>
      <w:r w:rsidR="000C4A1D" w:rsidRPr="00B62EFB">
        <w:rPr>
          <w:rFonts w:ascii="Times New Roman" w:hAnsi="Times New Roman" w:cs="Times New Roman"/>
        </w:rPr>
        <w:t>26%,</w:t>
      </w:r>
      <w:r w:rsidR="00F42E29">
        <w:rPr>
          <w:rFonts w:ascii="Times New Roman" w:hAnsi="Times New Roman" w:cs="Times New Roman"/>
        </w:rPr>
        <w:t xml:space="preserve"> a</w:t>
      </w:r>
      <w:r w:rsidR="000C4A1D" w:rsidRPr="00B62EFB">
        <w:rPr>
          <w:rFonts w:ascii="Times New Roman" w:hAnsi="Times New Roman" w:cs="Times New Roman"/>
        </w:rPr>
        <w:t xml:space="preserve"> w</w:t>
      </w:r>
      <w:r w:rsidR="00BC3F7B">
        <w:rPr>
          <w:rFonts w:ascii="Times New Roman" w:hAnsi="Times New Roman" w:cs="Times New Roman"/>
        </w:rPr>
        <w:t> </w:t>
      </w:r>
      <w:r w:rsidR="000C4A1D" w:rsidRPr="00B62EFB">
        <w:rPr>
          <w:rFonts w:ascii="Times New Roman" w:hAnsi="Times New Roman" w:cs="Times New Roman"/>
        </w:rPr>
        <w:t>czerwcu o 27</w:t>
      </w:r>
      <w:r w:rsidR="009A05F3">
        <w:rPr>
          <w:rFonts w:ascii="Times New Roman" w:hAnsi="Times New Roman" w:cs="Times New Roman"/>
        </w:rPr>
        <w:t>%</w:t>
      </w:r>
      <w:r w:rsidR="009F0E27">
        <w:rPr>
          <w:rFonts w:ascii="Times New Roman" w:hAnsi="Times New Roman" w:cs="Times New Roman"/>
        </w:rPr>
        <w:t xml:space="preserve"> (zmiana dotycząca wagi </w:t>
      </w:r>
      <w:r w:rsidR="009F0E27" w:rsidRPr="00E01812">
        <w:rPr>
          <w:rFonts w:ascii="Times New Roman" w:hAnsi="Times New Roman" w:cs="Times New Roman"/>
        </w:rPr>
        <w:t>P</w:t>
      </w:r>
      <w:r w:rsidR="009F0E27">
        <w:rPr>
          <w:rFonts w:ascii="Times New Roman" w:hAnsi="Times New Roman" w:cs="Times New Roman"/>
          <w:vertAlign w:val="subscript"/>
        </w:rPr>
        <w:t>64</w:t>
      </w:r>
      <w:r w:rsidR="001A093F">
        <w:rPr>
          <w:rFonts w:ascii="Times New Roman" w:hAnsi="Times New Roman" w:cs="Times New Roman"/>
        </w:rPr>
        <w:t>).</w:t>
      </w:r>
    </w:p>
    <w:p w14:paraId="2273FB47" w14:textId="77777777" w:rsidR="000C4A1D" w:rsidRPr="00B62EFB" w:rsidRDefault="000C4A1D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1F760AA6" w14:textId="74F22AB0" w:rsidR="00F260FA" w:rsidRDefault="000C4A1D" w:rsidP="00561716">
      <w:pPr>
        <w:pStyle w:val="Akapitzlist"/>
        <w:numPr>
          <w:ilvl w:val="0"/>
          <w:numId w:val="12"/>
        </w:numPr>
        <w:spacing w:before="240"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Zmiana sposobu </w:t>
      </w:r>
      <w:r w:rsidRPr="001B162C">
        <w:rPr>
          <w:rFonts w:ascii="Times New Roman" w:hAnsi="Times New Roman" w:cs="Times New Roman"/>
        </w:rPr>
        <w:t xml:space="preserve">finansowania w ramach </w:t>
      </w:r>
      <w:r w:rsidRPr="00E01812">
        <w:rPr>
          <w:rFonts w:ascii="Times New Roman" w:hAnsi="Times New Roman" w:cs="Times New Roman"/>
        </w:rPr>
        <w:t xml:space="preserve">oddziałów przygotowania wojskowego </w:t>
      </w:r>
      <w:r w:rsidR="00CE793F">
        <w:rPr>
          <w:rFonts w:ascii="Times New Roman" w:hAnsi="Times New Roman" w:cs="Times New Roman"/>
        </w:rPr>
        <w:t xml:space="preserve">i </w:t>
      </w:r>
      <w:r w:rsidR="001B162C" w:rsidRPr="00E01812">
        <w:rPr>
          <w:rFonts w:ascii="Times New Roman" w:hAnsi="Times New Roman" w:cs="Times New Roman"/>
        </w:rPr>
        <w:t>wartości</w:t>
      </w:r>
      <w:r w:rsidR="00C17C45" w:rsidRPr="00E01812">
        <w:rPr>
          <w:rFonts w:ascii="Times New Roman" w:hAnsi="Times New Roman" w:cs="Times New Roman"/>
        </w:rPr>
        <w:t> </w:t>
      </w:r>
      <w:r w:rsidRPr="00E01812">
        <w:rPr>
          <w:rFonts w:ascii="Times New Roman" w:hAnsi="Times New Roman" w:cs="Times New Roman"/>
        </w:rPr>
        <w:t>wagi</w:t>
      </w:r>
      <w:r w:rsidR="001B162C" w:rsidRPr="00E01812">
        <w:rPr>
          <w:rFonts w:ascii="Times New Roman" w:hAnsi="Times New Roman" w:cs="Times New Roman"/>
        </w:rPr>
        <w:t xml:space="preserve"> P</w:t>
      </w:r>
      <w:r w:rsidR="001B162C" w:rsidRPr="00E01812">
        <w:rPr>
          <w:rFonts w:ascii="Times New Roman" w:hAnsi="Times New Roman" w:cs="Times New Roman"/>
          <w:vertAlign w:val="subscript"/>
        </w:rPr>
        <w:t>42</w:t>
      </w:r>
      <w:r w:rsidRPr="00E01812">
        <w:rPr>
          <w:rFonts w:ascii="Times New Roman" w:hAnsi="Times New Roman" w:cs="Times New Roman"/>
        </w:rPr>
        <w:t xml:space="preserve"> </w:t>
      </w:r>
      <w:r w:rsidR="001B162C" w:rsidRPr="00E01812">
        <w:rPr>
          <w:rFonts w:ascii="Times New Roman" w:hAnsi="Times New Roman" w:cs="Times New Roman"/>
        </w:rPr>
        <w:t xml:space="preserve">z </w:t>
      </w:r>
      <w:r w:rsidRPr="00E01812">
        <w:rPr>
          <w:rFonts w:ascii="Times New Roman" w:hAnsi="Times New Roman" w:cs="Times New Roman"/>
        </w:rPr>
        <w:t>0,09</w:t>
      </w:r>
      <w:r w:rsidR="00CE793F">
        <w:rPr>
          <w:rFonts w:ascii="Times New Roman" w:hAnsi="Times New Roman" w:cs="Times New Roman"/>
        </w:rPr>
        <w:t>0</w:t>
      </w:r>
      <w:r w:rsidRPr="00E01812">
        <w:rPr>
          <w:rFonts w:ascii="Times New Roman" w:hAnsi="Times New Roman" w:cs="Times New Roman"/>
        </w:rPr>
        <w:t xml:space="preserve"> na 0,04</w:t>
      </w:r>
      <w:r w:rsidR="00CE793F">
        <w:rPr>
          <w:rFonts w:ascii="Times New Roman" w:hAnsi="Times New Roman" w:cs="Times New Roman"/>
        </w:rPr>
        <w:t>0</w:t>
      </w:r>
      <w:r w:rsidRPr="001B162C">
        <w:rPr>
          <w:rFonts w:ascii="Times New Roman" w:hAnsi="Times New Roman" w:cs="Times New Roman"/>
        </w:rPr>
        <w:t xml:space="preserve">. </w:t>
      </w:r>
    </w:p>
    <w:p w14:paraId="5173AD9B" w14:textId="77777777" w:rsidR="00F260FA" w:rsidRDefault="00F260FA" w:rsidP="00FC74DD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567B9062" w14:textId="6A117B14" w:rsidR="000C4A1D" w:rsidRPr="00B62EFB" w:rsidRDefault="000C4A1D" w:rsidP="00FC74DD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1B162C">
        <w:rPr>
          <w:rFonts w:ascii="Times New Roman" w:hAnsi="Times New Roman" w:cs="Times New Roman"/>
        </w:rPr>
        <w:t>Zgodnie</w:t>
      </w:r>
      <w:r w:rsidRPr="00B62EFB">
        <w:rPr>
          <w:rFonts w:ascii="Times New Roman" w:hAnsi="Times New Roman" w:cs="Times New Roman"/>
        </w:rPr>
        <w:t xml:space="preserve"> z rozporządzeniem Ministra Obrony Narodowej </w:t>
      </w:r>
      <w:r w:rsidR="00F260FA">
        <w:rPr>
          <w:rFonts w:ascii="Times New Roman" w:hAnsi="Times New Roman" w:cs="Times New Roman"/>
        </w:rPr>
        <w:t xml:space="preserve">z dnia 21 maja 2020 r. </w:t>
      </w:r>
      <w:r w:rsidRPr="00B62EFB">
        <w:rPr>
          <w:rFonts w:ascii="Times New Roman" w:hAnsi="Times New Roman" w:cs="Times New Roman"/>
        </w:rPr>
        <w:t>w sprawie szkolenia w oddziale przygotowania wojskowego</w:t>
      </w:r>
      <w:r w:rsidR="00F260FA">
        <w:rPr>
          <w:rFonts w:ascii="Times New Roman" w:hAnsi="Times New Roman" w:cs="Times New Roman"/>
        </w:rPr>
        <w:t xml:space="preserve"> (Dz. U. poz. 977)</w:t>
      </w:r>
      <w:r w:rsidRPr="00B62EFB">
        <w:rPr>
          <w:rFonts w:ascii="Times New Roman" w:hAnsi="Times New Roman" w:cs="Times New Roman"/>
        </w:rPr>
        <w:t xml:space="preserve"> w roku szkolnym 202</w:t>
      </w:r>
      <w:r w:rsidR="00423177">
        <w:rPr>
          <w:rFonts w:ascii="Times New Roman" w:hAnsi="Times New Roman" w:cs="Times New Roman"/>
        </w:rPr>
        <w:t>0</w:t>
      </w:r>
      <w:r w:rsidRPr="00B62EFB">
        <w:rPr>
          <w:rFonts w:ascii="Times New Roman" w:hAnsi="Times New Roman" w:cs="Times New Roman"/>
        </w:rPr>
        <w:t>/202</w:t>
      </w:r>
      <w:r w:rsidR="00423177">
        <w:rPr>
          <w:rFonts w:ascii="Times New Roman" w:hAnsi="Times New Roman" w:cs="Times New Roman"/>
        </w:rPr>
        <w:t>1</w:t>
      </w:r>
      <w:r w:rsidRPr="00B62EFB">
        <w:rPr>
          <w:rFonts w:ascii="Times New Roman" w:hAnsi="Times New Roman" w:cs="Times New Roman"/>
        </w:rPr>
        <w:t xml:space="preserve"> funkcjon</w:t>
      </w:r>
      <w:r w:rsidR="00613EB3">
        <w:rPr>
          <w:rFonts w:ascii="Times New Roman" w:hAnsi="Times New Roman" w:cs="Times New Roman"/>
        </w:rPr>
        <w:t>ują</w:t>
      </w:r>
      <w:r w:rsidRPr="00B62EFB">
        <w:rPr>
          <w:rFonts w:ascii="Times New Roman" w:hAnsi="Times New Roman" w:cs="Times New Roman"/>
        </w:rPr>
        <w:t xml:space="preserve"> klasy I oddziałów przygotowania wojskowego, a w roku szkolnym 2021/2022 – </w:t>
      </w:r>
      <w:r w:rsidR="009C5CD8">
        <w:rPr>
          <w:rFonts w:ascii="Times New Roman" w:hAnsi="Times New Roman" w:cs="Times New Roman"/>
        </w:rPr>
        <w:t xml:space="preserve">będą funkcjonować </w:t>
      </w:r>
      <w:r w:rsidRPr="00B62EFB">
        <w:rPr>
          <w:rFonts w:ascii="Times New Roman" w:hAnsi="Times New Roman" w:cs="Times New Roman"/>
        </w:rPr>
        <w:t>kl</w:t>
      </w:r>
      <w:r w:rsidR="004116E9">
        <w:rPr>
          <w:rFonts w:ascii="Times New Roman" w:hAnsi="Times New Roman" w:cs="Times New Roman"/>
        </w:rPr>
        <w:t>asy</w:t>
      </w:r>
      <w:r w:rsidRPr="00B62EFB">
        <w:rPr>
          <w:rFonts w:ascii="Times New Roman" w:hAnsi="Times New Roman" w:cs="Times New Roman"/>
        </w:rPr>
        <w:t xml:space="preserve"> I i II. Oznacza to, że w roku budżetowym 2021 przez pierwsze 8 miesięcy będą funkcjonować kl</w:t>
      </w:r>
      <w:r w:rsidR="00285650">
        <w:rPr>
          <w:rFonts w:ascii="Times New Roman" w:hAnsi="Times New Roman" w:cs="Times New Roman"/>
        </w:rPr>
        <w:t>asy</w:t>
      </w:r>
      <w:r w:rsidRPr="00B62EFB">
        <w:rPr>
          <w:rFonts w:ascii="Times New Roman" w:hAnsi="Times New Roman" w:cs="Times New Roman"/>
        </w:rPr>
        <w:t xml:space="preserve"> I, a przez kolejne 4 miesiące </w:t>
      </w:r>
      <w:r w:rsidR="00285650" w:rsidRPr="00B62EFB">
        <w:rPr>
          <w:rFonts w:ascii="Times New Roman" w:hAnsi="Times New Roman" w:cs="Times New Roman"/>
        </w:rPr>
        <w:t>–</w:t>
      </w:r>
      <w:r w:rsidRPr="00B62EFB">
        <w:rPr>
          <w:rFonts w:ascii="Times New Roman" w:hAnsi="Times New Roman" w:cs="Times New Roman"/>
        </w:rPr>
        <w:t xml:space="preserve"> kl</w:t>
      </w:r>
      <w:r w:rsidR="00285650">
        <w:rPr>
          <w:rFonts w:ascii="Times New Roman" w:hAnsi="Times New Roman" w:cs="Times New Roman"/>
        </w:rPr>
        <w:t>asy</w:t>
      </w:r>
      <w:r w:rsidRPr="00B62EFB">
        <w:rPr>
          <w:rFonts w:ascii="Times New Roman" w:hAnsi="Times New Roman" w:cs="Times New Roman"/>
        </w:rPr>
        <w:t xml:space="preserve"> I i II. W klasach I będzie realizowana 1 godzina kształcenia z zakresu </w:t>
      </w:r>
      <w:r w:rsidR="00285650">
        <w:rPr>
          <w:rFonts w:ascii="Times New Roman" w:hAnsi="Times New Roman" w:cs="Times New Roman"/>
        </w:rPr>
        <w:t xml:space="preserve">przygotowania </w:t>
      </w:r>
      <w:r w:rsidRPr="00B62EFB">
        <w:rPr>
          <w:rFonts w:ascii="Times New Roman" w:hAnsi="Times New Roman" w:cs="Times New Roman"/>
        </w:rPr>
        <w:t xml:space="preserve">wojskowego, a w klasie II </w:t>
      </w:r>
      <w:r w:rsidR="00C67DB8" w:rsidRPr="00B62EFB">
        <w:rPr>
          <w:rFonts w:ascii="Times New Roman" w:hAnsi="Times New Roman" w:cs="Times New Roman"/>
        </w:rPr>
        <w:t>–</w:t>
      </w:r>
      <w:r w:rsidRPr="00B62EFB">
        <w:rPr>
          <w:rFonts w:ascii="Times New Roman" w:hAnsi="Times New Roman" w:cs="Times New Roman"/>
        </w:rPr>
        <w:t xml:space="preserve"> 2 godziny niezależnie od typu szkoły. Na rok szkolny 2020/2021 limit zezwoleń na prowadzenie oddziałów przygotowania wojskowego wynosi 130</w:t>
      </w:r>
      <w:r w:rsidRPr="00B62EFB">
        <w:rPr>
          <w:rStyle w:val="Odwoanieprzypisudolnego"/>
          <w:rFonts w:ascii="Times New Roman" w:hAnsi="Times New Roman" w:cs="Times New Roman"/>
        </w:rPr>
        <w:footnoteReference w:id="3"/>
      </w:r>
      <w:r w:rsidRPr="00B62EFB">
        <w:rPr>
          <w:rFonts w:ascii="Times New Roman" w:hAnsi="Times New Roman" w:cs="Times New Roman"/>
        </w:rPr>
        <w:t xml:space="preserve">. Z informacji </w:t>
      </w:r>
      <w:r w:rsidR="00C17C45">
        <w:rPr>
          <w:rFonts w:ascii="Times New Roman" w:hAnsi="Times New Roman" w:cs="Times New Roman"/>
        </w:rPr>
        <w:t xml:space="preserve">przekazanej przez </w:t>
      </w:r>
      <w:r w:rsidRPr="00B62EFB">
        <w:rPr>
          <w:rFonts w:ascii="Times New Roman" w:hAnsi="Times New Roman" w:cs="Times New Roman"/>
        </w:rPr>
        <w:t>Ministerstw</w:t>
      </w:r>
      <w:r w:rsidR="00C17C45">
        <w:rPr>
          <w:rFonts w:ascii="Times New Roman" w:hAnsi="Times New Roman" w:cs="Times New Roman"/>
        </w:rPr>
        <w:t>o</w:t>
      </w:r>
      <w:r w:rsidRPr="00B62EFB">
        <w:rPr>
          <w:rFonts w:ascii="Times New Roman" w:hAnsi="Times New Roman" w:cs="Times New Roman"/>
        </w:rPr>
        <w:t xml:space="preserve"> Obrony Narodowej wynika, że na rok szkolny 2021/2022 planowane jest wydanie zezwoleń na 20 dodatkowych oddziałów, z tym że szkoły, które dostały już </w:t>
      </w:r>
      <w:r w:rsidR="00361C85">
        <w:rPr>
          <w:rFonts w:ascii="Times New Roman" w:hAnsi="Times New Roman" w:cs="Times New Roman"/>
        </w:rPr>
        <w:t>zezwolenie</w:t>
      </w:r>
      <w:r w:rsidRPr="00B62EFB">
        <w:rPr>
          <w:rFonts w:ascii="Times New Roman" w:hAnsi="Times New Roman" w:cs="Times New Roman"/>
        </w:rPr>
        <w:t xml:space="preserve"> na założenie oddziału w 2020 r., w</w:t>
      </w:r>
      <w:r w:rsidR="00C17C45">
        <w:rPr>
          <w:rFonts w:ascii="Times New Roman" w:hAnsi="Times New Roman" w:cs="Times New Roman"/>
        </w:rPr>
        <w:t> </w:t>
      </w:r>
      <w:r w:rsidRPr="00B62EFB">
        <w:rPr>
          <w:rFonts w:ascii="Times New Roman" w:hAnsi="Times New Roman" w:cs="Times New Roman"/>
        </w:rPr>
        <w:t>przyszłym roku rozpoczną kształcenie nowych klas I. Łącznie więc w roku szkolnym 202</w:t>
      </w:r>
      <w:r w:rsidR="00423177">
        <w:rPr>
          <w:rFonts w:ascii="Times New Roman" w:hAnsi="Times New Roman" w:cs="Times New Roman"/>
        </w:rPr>
        <w:t>1</w:t>
      </w:r>
      <w:r w:rsidRPr="00B62EFB">
        <w:rPr>
          <w:rFonts w:ascii="Times New Roman" w:hAnsi="Times New Roman" w:cs="Times New Roman"/>
        </w:rPr>
        <w:t>/202</w:t>
      </w:r>
      <w:r w:rsidR="00423177">
        <w:rPr>
          <w:rFonts w:ascii="Times New Roman" w:hAnsi="Times New Roman" w:cs="Times New Roman"/>
        </w:rPr>
        <w:t>2</w:t>
      </w:r>
      <w:r w:rsidRPr="00B62EFB">
        <w:rPr>
          <w:rFonts w:ascii="Times New Roman" w:hAnsi="Times New Roman" w:cs="Times New Roman"/>
        </w:rPr>
        <w:t xml:space="preserve"> zakłada się, że kształcenie rozpocznie 150 oddziałów klas I i 130 oddziałów klas II (klasy II od września 2021 r.). </w:t>
      </w:r>
      <w:r w:rsidR="00D472E9">
        <w:rPr>
          <w:rFonts w:ascii="Times New Roman" w:hAnsi="Times New Roman" w:cs="Times New Roman"/>
        </w:rPr>
        <w:t>Szacuje się, że n</w:t>
      </w:r>
      <w:r w:rsidRPr="00B62EFB">
        <w:rPr>
          <w:rFonts w:ascii="Times New Roman" w:hAnsi="Times New Roman" w:cs="Times New Roman"/>
        </w:rPr>
        <w:t>a sfinansowanie tych kosztów wystarczy waga o wartości 0,04 ok. 24</w:t>
      </w:r>
      <w:r w:rsidR="00867277">
        <w:rPr>
          <w:rFonts w:ascii="Times New Roman" w:hAnsi="Times New Roman" w:cs="Times New Roman"/>
        </w:rPr>
        <w:t>4</w:t>
      </w:r>
      <w:r w:rsidRPr="00B62EFB">
        <w:rPr>
          <w:rFonts w:ascii="Times New Roman" w:hAnsi="Times New Roman" w:cs="Times New Roman"/>
        </w:rPr>
        <w:t xml:space="preserve"> zł na ucznia (przy założeniu</w:t>
      </w:r>
      <w:r w:rsidR="00830023">
        <w:rPr>
          <w:rFonts w:ascii="Times New Roman" w:hAnsi="Times New Roman" w:cs="Times New Roman"/>
        </w:rPr>
        <w:t>,</w:t>
      </w:r>
      <w:r w:rsidRPr="00B62EFB">
        <w:rPr>
          <w:rFonts w:ascii="Times New Roman" w:hAnsi="Times New Roman" w:cs="Times New Roman"/>
        </w:rPr>
        <w:t xml:space="preserve"> że w</w:t>
      </w:r>
      <w:r w:rsidR="00BC3F7B">
        <w:rPr>
          <w:rFonts w:ascii="Times New Roman" w:hAnsi="Times New Roman" w:cs="Times New Roman"/>
        </w:rPr>
        <w:t> </w:t>
      </w:r>
      <w:r w:rsidRPr="00B62EFB">
        <w:rPr>
          <w:rFonts w:ascii="Times New Roman" w:hAnsi="Times New Roman" w:cs="Times New Roman"/>
        </w:rPr>
        <w:t>oddziale uczy się średnio 22 uczniów</w:t>
      </w:r>
      <w:r w:rsidRPr="00B62EFB">
        <w:rPr>
          <w:rStyle w:val="Odwoanieprzypisudolnego"/>
          <w:rFonts w:ascii="Times New Roman" w:hAnsi="Times New Roman" w:cs="Times New Roman"/>
        </w:rPr>
        <w:footnoteReference w:id="4"/>
      </w:r>
      <w:r w:rsidRPr="00B62EFB">
        <w:rPr>
          <w:rFonts w:ascii="Times New Roman" w:hAnsi="Times New Roman" w:cs="Times New Roman"/>
        </w:rPr>
        <w:t xml:space="preserve">). Należy jednak wziąć pod uwagę, że naliczanie subwencji </w:t>
      </w:r>
      <w:r w:rsidR="00830023">
        <w:rPr>
          <w:rFonts w:ascii="Times New Roman" w:hAnsi="Times New Roman" w:cs="Times New Roman"/>
        </w:rPr>
        <w:t xml:space="preserve">oświatowej </w:t>
      </w:r>
      <w:r w:rsidRPr="00B62EFB">
        <w:rPr>
          <w:rFonts w:ascii="Times New Roman" w:hAnsi="Times New Roman" w:cs="Times New Roman"/>
        </w:rPr>
        <w:t>na 2021 r. odbywa się na uczniów wykazanych w</w:t>
      </w:r>
      <w:r w:rsidR="00830023">
        <w:rPr>
          <w:rFonts w:ascii="Times New Roman" w:hAnsi="Times New Roman" w:cs="Times New Roman"/>
        </w:rPr>
        <w:t>edług</w:t>
      </w:r>
      <w:r w:rsidRPr="00B62EFB">
        <w:rPr>
          <w:rFonts w:ascii="Times New Roman" w:hAnsi="Times New Roman" w:cs="Times New Roman"/>
        </w:rPr>
        <w:t xml:space="preserve"> stanu na </w:t>
      </w:r>
      <w:r w:rsidR="00830023">
        <w:rPr>
          <w:rFonts w:ascii="Times New Roman" w:hAnsi="Times New Roman" w:cs="Times New Roman"/>
        </w:rPr>
        <w:t xml:space="preserve">dzień </w:t>
      </w:r>
      <w:r w:rsidRPr="00B62EFB">
        <w:rPr>
          <w:rFonts w:ascii="Times New Roman" w:hAnsi="Times New Roman" w:cs="Times New Roman"/>
        </w:rPr>
        <w:t>30</w:t>
      </w:r>
      <w:r w:rsidR="00BC3F7B">
        <w:rPr>
          <w:rFonts w:ascii="Times New Roman" w:hAnsi="Times New Roman" w:cs="Times New Roman"/>
        </w:rPr>
        <w:t> </w:t>
      </w:r>
      <w:r w:rsidRPr="00B62EFB">
        <w:rPr>
          <w:rFonts w:ascii="Times New Roman" w:hAnsi="Times New Roman" w:cs="Times New Roman"/>
        </w:rPr>
        <w:t>września 2020 r.</w:t>
      </w:r>
      <w:r w:rsidR="00830023">
        <w:rPr>
          <w:rFonts w:ascii="Times New Roman" w:hAnsi="Times New Roman" w:cs="Times New Roman"/>
        </w:rPr>
        <w:t>,</w:t>
      </w:r>
      <w:r w:rsidRPr="00B62EFB">
        <w:rPr>
          <w:rFonts w:ascii="Times New Roman" w:hAnsi="Times New Roman" w:cs="Times New Roman"/>
        </w:rPr>
        <w:t xml:space="preserve"> a więc nie uwzględnia się uczniów nowych oddziałów klas I, które rozpoczną kształcenie w</w:t>
      </w:r>
      <w:r w:rsidR="007914E0">
        <w:rPr>
          <w:rFonts w:ascii="Times New Roman" w:hAnsi="Times New Roman" w:cs="Times New Roman"/>
        </w:rPr>
        <w:t> </w:t>
      </w:r>
      <w:r w:rsidRPr="00B62EFB">
        <w:rPr>
          <w:rFonts w:ascii="Times New Roman" w:hAnsi="Times New Roman" w:cs="Times New Roman"/>
        </w:rPr>
        <w:t>roku szkolnym 2021/2022. Dlatego proponuje się uczniów wykazanych w</w:t>
      </w:r>
      <w:r w:rsidR="007914E0">
        <w:rPr>
          <w:rFonts w:ascii="Times New Roman" w:hAnsi="Times New Roman" w:cs="Times New Roman"/>
        </w:rPr>
        <w:t> </w:t>
      </w:r>
      <w:r w:rsidRPr="00B62EFB">
        <w:rPr>
          <w:rFonts w:ascii="Times New Roman" w:hAnsi="Times New Roman" w:cs="Times New Roman"/>
        </w:rPr>
        <w:t>przedmiotowych oddziałach</w:t>
      </w:r>
      <w:r w:rsidR="00A4749D">
        <w:rPr>
          <w:rFonts w:ascii="Times New Roman" w:hAnsi="Times New Roman" w:cs="Times New Roman"/>
        </w:rPr>
        <w:t>,</w:t>
      </w:r>
      <w:r w:rsidRPr="00B62EFB">
        <w:rPr>
          <w:rFonts w:ascii="Times New Roman" w:hAnsi="Times New Roman" w:cs="Times New Roman"/>
        </w:rPr>
        <w:t xml:space="preserve"> wykazanych na </w:t>
      </w:r>
      <w:r w:rsidR="00A4749D">
        <w:rPr>
          <w:rFonts w:ascii="Times New Roman" w:hAnsi="Times New Roman" w:cs="Times New Roman"/>
        </w:rPr>
        <w:t xml:space="preserve">dzień </w:t>
      </w:r>
      <w:r w:rsidRPr="00B62EFB">
        <w:rPr>
          <w:rFonts w:ascii="Times New Roman" w:hAnsi="Times New Roman" w:cs="Times New Roman"/>
        </w:rPr>
        <w:t xml:space="preserve">30 września 2020 r. powiększyć o 33%. Ponadto zakłada się, że 20 dodatkowych </w:t>
      </w:r>
      <w:r w:rsidR="00087C54">
        <w:rPr>
          <w:rFonts w:ascii="Times New Roman" w:hAnsi="Times New Roman" w:cs="Times New Roman"/>
        </w:rPr>
        <w:t>zez</w:t>
      </w:r>
      <w:r w:rsidRPr="00B62EFB">
        <w:rPr>
          <w:rFonts w:ascii="Times New Roman" w:hAnsi="Times New Roman" w:cs="Times New Roman"/>
        </w:rPr>
        <w:t xml:space="preserve">woleń na założenie oddziałów w roku szkolnym 2021/2022 (ze względu, że nieznane jest, w których samorządach się </w:t>
      </w:r>
      <w:r w:rsidR="00AA728B">
        <w:rPr>
          <w:rFonts w:ascii="Times New Roman" w:hAnsi="Times New Roman" w:cs="Times New Roman"/>
        </w:rPr>
        <w:t>u</w:t>
      </w:r>
      <w:r w:rsidRPr="00B62EFB">
        <w:rPr>
          <w:rFonts w:ascii="Times New Roman" w:hAnsi="Times New Roman" w:cs="Times New Roman"/>
        </w:rPr>
        <w:t xml:space="preserve">tworzą) zostanie sfinansowane z rezerwy subwencji. W porównaniu do algorytmu na 2020 r. wartość wagi ulegnie zmniejszeniu z 0,09 do 0,04. Na etapie prac nad algorytmem na 2020 r. (jesień 2019 r.) nie znano </w:t>
      </w:r>
      <w:r w:rsidR="007914E0">
        <w:rPr>
          <w:rFonts w:ascii="Times New Roman" w:hAnsi="Times New Roman" w:cs="Times New Roman"/>
        </w:rPr>
        <w:t>ostatecznego kształtu rozwiązań w zakresie</w:t>
      </w:r>
      <w:r w:rsidRPr="00B62EFB">
        <w:rPr>
          <w:rFonts w:ascii="Times New Roman" w:hAnsi="Times New Roman" w:cs="Times New Roman"/>
        </w:rPr>
        <w:t xml:space="preserve"> </w:t>
      </w:r>
      <w:r w:rsidR="00AA728B">
        <w:rPr>
          <w:rFonts w:ascii="Times New Roman" w:hAnsi="Times New Roman" w:cs="Times New Roman"/>
        </w:rPr>
        <w:t xml:space="preserve">przygotowania </w:t>
      </w:r>
      <w:r w:rsidRPr="00B62EFB">
        <w:rPr>
          <w:rFonts w:ascii="Times New Roman" w:hAnsi="Times New Roman" w:cs="Times New Roman"/>
        </w:rPr>
        <w:t>wojskowego</w:t>
      </w:r>
      <w:r w:rsidR="00020063">
        <w:rPr>
          <w:rFonts w:ascii="Times New Roman" w:hAnsi="Times New Roman" w:cs="Times New Roman"/>
        </w:rPr>
        <w:t>,</w:t>
      </w:r>
      <w:r w:rsidRPr="00B62EFB">
        <w:rPr>
          <w:rFonts w:ascii="Times New Roman" w:hAnsi="Times New Roman" w:cs="Times New Roman"/>
        </w:rPr>
        <w:t xml:space="preserve"> gdyż rozporządzenie </w:t>
      </w:r>
      <w:r w:rsidR="00EA5683">
        <w:rPr>
          <w:rFonts w:ascii="Times New Roman" w:hAnsi="Times New Roman" w:cs="Times New Roman"/>
        </w:rPr>
        <w:t xml:space="preserve">Ministra Obrony Narodowej </w:t>
      </w:r>
      <w:r w:rsidR="007516E0">
        <w:rPr>
          <w:rFonts w:ascii="Times New Roman" w:hAnsi="Times New Roman" w:cs="Times New Roman"/>
        </w:rPr>
        <w:t xml:space="preserve">z dnia </w:t>
      </w:r>
      <w:r w:rsidR="007516E0" w:rsidRPr="00B62EFB">
        <w:rPr>
          <w:rFonts w:ascii="Times New Roman" w:hAnsi="Times New Roman" w:cs="Times New Roman"/>
        </w:rPr>
        <w:t xml:space="preserve">21 maja 2020 </w:t>
      </w:r>
      <w:r w:rsidR="007516E0">
        <w:rPr>
          <w:rFonts w:ascii="Times New Roman" w:hAnsi="Times New Roman" w:cs="Times New Roman"/>
        </w:rPr>
        <w:t xml:space="preserve">r. </w:t>
      </w:r>
      <w:r w:rsidRPr="00B62EFB">
        <w:rPr>
          <w:rFonts w:ascii="Times New Roman" w:hAnsi="Times New Roman" w:cs="Times New Roman"/>
        </w:rPr>
        <w:t>w sprawie szkolenia w</w:t>
      </w:r>
      <w:r w:rsidR="007914E0">
        <w:rPr>
          <w:rFonts w:ascii="Times New Roman" w:hAnsi="Times New Roman" w:cs="Times New Roman"/>
        </w:rPr>
        <w:t> </w:t>
      </w:r>
      <w:r w:rsidRPr="00B62EFB">
        <w:rPr>
          <w:rFonts w:ascii="Times New Roman" w:hAnsi="Times New Roman" w:cs="Times New Roman"/>
        </w:rPr>
        <w:t xml:space="preserve">oddziale przygotowania wojskowego </w:t>
      </w:r>
      <w:r w:rsidR="007516E0">
        <w:rPr>
          <w:rFonts w:ascii="Times New Roman" w:hAnsi="Times New Roman" w:cs="Times New Roman"/>
        </w:rPr>
        <w:t>weszło w życie w późniejszym okresie, tj. w dniu</w:t>
      </w:r>
      <w:r w:rsidRPr="00B62EFB">
        <w:rPr>
          <w:rFonts w:ascii="Times New Roman" w:hAnsi="Times New Roman" w:cs="Times New Roman"/>
        </w:rPr>
        <w:t xml:space="preserve"> </w:t>
      </w:r>
      <w:r w:rsidR="007516E0">
        <w:rPr>
          <w:rFonts w:ascii="Times New Roman" w:hAnsi="Times New Roman" w:cs="Times New Roman"/>
        </w:rPr>
        <w:t xml:space="preserve">3 czerwca 2020 r. </w:t>
      </w:r>
      <w:r w:rsidR="00020063">
        <w:rPr>
          <w:rFonts w:ascii="Times New Roman" w:hAnsi="Times New Roman" w:cs="Times New Roman"/>
        </w:rPr>
        <w:t>Obecnie</w:t>
      </w:r>
      <w:r w:rsidR="0082095E">
        <w:rPr>
          <w:rFonts w:ascii="Times New Roman" w:hAnsi="Times New Roman" w:cs="Times New Roman"/>
        </w:rPr>
        <w:t xml:space="preserve"> na podstawie przepisów </w:t>
      </w:r>
      <w:r w:rsidR="00EC14CD">
        <w:rPr>
          <w:rFonts w:ascii="Times New Roman" w:hAnsi="Times New Roman" w:cs="Times New Roman"/>
        </w:rPr>
        <w:t xml:space="preserve">ww. </w:t>
      </w:r>
      <w:r w:rsidR="0082095E">
        <w:rPr>
          <w:rFonts w:ascii="Times New Roman" w:hAnsi="Times New Roman" w:cs="Times New Roman"/>
        </w:rPr>
        <w:t xml:space="preserve">rozporządzenia </w:t>
      </w:r>
      <w:r w:rsidR="00EC14CD">
        <w:rPr>
          <w:rFonts w:ascii="Times New Roman" w:hAnsi="Times New Roman" w:cs="Times New Roman"/>
        </w:rPr>
        <w:t>zn</w:t>
      </w:r>
      <w:r w:rsidR="0082095E">
        <w:rPr>
          <w:rFonts w:ascii="Times New Roman" w:hAnsi="Times New Roman" w:cs="Times New Roman"/>
        </w:rPr>
        <w:t xml:space="preserve">ane już są szczegóły dotyczące </w:t>
      </w:r>
      <w:r w:rsidR="007914E0">
        <w:rPr>
          <w:rFonts w:ascii="Times New Roman" w:hAnsi="Times New Roman" w:cs="Times New Roman"/>
        </w:rPr>
        <w:t xml:space="preserve">organizacji </w:t>
      </w:r>
      <w:r w:rsidR="00EC14CD">
        <w:rPr>
          <w:rFonts w:ascii="Times New Roman" w:hAnsi="Times New Roman" w:cs="Times New Roman"/>
        </w:rPr>
        <w:t>tego przygotowania</w:t>
      </w:r>
      <w:r w:rsidR="0082095E">
        <w:rPr>
          <w:rFonts w:ascii="Times New Roman" w:hAnsi="Times New Roman" w:cs="Times New Roman"/>
        </w:rPr>
        <w:t xml:space="preserve"> i finansowanie </w:t>
      </w:r>
      <w:r w:rsidR="007914E0">
        <w:rPr>
          <w:rFonts w:ascii="Times New Roman" w:hAnsi="Times New Roman" w:cs="Times New Roman"/>
        </w:rPr>
        <w:t>na rok 202</w:t>
      </w:r>
      <w:r w:rsidR="00006FD1">
        <w:rPr>
          <w:rFonts w:ascii="Times New Roman" w:hAnsi="Times New Roman" w:cs="Times New Roman"/>
        </w:rPr>
        <w:t>1</w:t>
      </w:r>
      <w:r w:rsidR="007914E0">
        <w:rPr>
          <w:rFonts w:ascii="Times New Roman" w:hAnsi="Times New Roman" w:cs="Times New Roman"/>
        </w:rPr>
        <w:t xml:space="preserve"> </w:t>
      </w:r>
      <w:r w:rsidR="0082095E">
        <w:rPr>
          <w:rFonts w:ascii="Times New Roman" w:hAnsi="Times New Roman" w:cs="Times New Roman"/>
        </w:rPr>
        <w:t>zostało dostosowane do liczby godzin  przygotowania wojskowego</w:t>
      </w:r>
      <w:r w:rsidR="007914E0">
        <w:rPr>
          <w:rFonts w:ascii="Times New Roman" w:hAnsi="Times New Roman" w:cs="Times New Roman"/>
        </w:rPr>
        <w:t>.</w:t>
      </w:r>
    </w:p>
    <w:p w14:paraId="5D5EF0C7" w14:textId="77777777" w:rsidR="000C4A1D" w:rsidRPr="00B62EFB" w:rsidRDefault="000C4A1D">
      <w:pPr>
        <w:pStyle w:val="Akapitzlist"/>
        <w:spacing w:before="240" w:line="276" w:lineRule="auto"/>
        <w:ind w:left="714"/>
        <w:jc w:val="both"/>
        <w:rPr>
          <w:rFonts w:ascii="Times New Roman" w:hAnsi="Times New Roman" w:cs="Times New Roman"/>
        </w:rPr>
      </w:pPr>
    </w:p>
    <w:p w14:paraId="1E47FD7A" w14:textId="7D2C5059" w:rsidR="000C4A1D" w:rsidRDefault="000C4A1D" w:rsidP="00373641">
      <w:pPr>
        <w:pStyle w:val="Akapitzlist"/>
        <w:numPr>
          <w:ilvl w:val="0"/>
          <w:numId w:val="12"/>
        </w:numPr>
        <w:spacing w:before="240" w:after="1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>Kontynuacja finansowania uczniów w</w:t>
      </w:r>
      <w:r w:rsidR="008F6E9A">
        <w:rPr>
          <w:rFonts w:ascii="Times New Roman" w:hAnsi="Times New Roman" w:cs="Times New Roman"/>
        </w:rPr>
        <w:t>edłu</w:t>
      </w:r>
      <w:r w:rsidRPr="00B62EFB">
        <w:rPr>
          <w:rFonts w:ascii="Times New Roman" w:hAnsi="Times New Roman" w:cs="Times New Roman"/>
        </w:rPr>
        <w:t>g prognozy zapotrzebowania na pracowników w</w:t>
      </w:r>
      <w:r w:rsidR="007914E0">
        <w:rPr>
          <w:rFonts w:ascii="Times New Roman" w:hAnsi="Times New Roman" w:cs="Times New Roman"/>
        </w:rPr>
        <w:t> </w:t>
      </w:r>
      <w:r w:rsidRPr="00B62EFB">
        <w:rPr>
          <w:rFonts w:ascii="Times New Roman" w:hAnsi="Times New Roman" w:cs="Times New Roman"/>
        </w:rPr>
        <w:t xml:space="preserve">zawodach szkolnictwa branżowego na krajowym i wojewódzkim rynku pracy. </w:t>
      </w:r>
      <w:r w:rsidR="008843EC" w:rsidRPr="00B62EFB">
        <w:rPr>
          <w:rFonts w:ascii="Times New Roman" w:hAnsi="Times New Roman" w:cs="Times New Roman"/>
        </w:rPr>
        <w:t>W</w:t>
      </w:r>
      <w:r w:rsidR="008843EC">
        <w:rPr>
          <w:rFonts w:ascii="Times New Roman" w:hAnsi="Times New Roman" w:cs="Times New Roman"/>
        </w:rPr>
        <w:t> </w:t>
      </w:r>
      <w:r w:rsidR="008843EC" w:rsidRPr="00B62EFB">
        <w:rPr>
          <w:rFonts w:ascii="Times New Roman" w:hAnsi="Times New Roman" w:cs="Times New Roman"/>
        </w:rPr>
        <w:t xml:space="preserve">2021 r. </w:t>
      </w:r>
      <w:r w:rsidR="008843EC">
        <w:rPr>
          <w:rFonts w:ascii="Times New Roman" w:hAnsi="Times New Roman" w:cs="Times New Roman"/>
        </w:rPr>
        <w:t>w</w:t>
      </w:r>
      <w:r w:rsidR="008843EC" w:rsidRPr="00B62EFB">
        <w:rPr>
          <w:rFonts w:ascii="Times New Roman" w:hAnsi="Times New Roman" w:cs="Times New Roman"/>
        </w:rPr>
        <w:t xml:space="preserve"> prognoz</w:t>
      </w:r>
      <w:r w:rsidR="008843EC">
        <w:rPr>
          <w:rFonts w:ascii="Times New Roman" w:hAnsi="Times New Roman" w:cs="Times New Roman"/>
        </w:rPr>
        <w:t>ie</w:t>
      </w:r>
      <w:r w:rsidR="008843EC" w:rsidRPr="00B62EFB">
        <w:rPr>
          <w:rFonts w:ascii="Times New Roman" w:hAnsi="Times New Roman" w:cs="Times New Roman"/>
        </w:rPr>
        <w:t xml:space="preserve"> </w:t>
      </w:r>
      <w:r w:rsidR="008843EC">
        <w:rPr>
          <w:rFonts w:ascii="Times New Roman" w:hAnsi="Times New Roman" w:cs="Times New Roman"/>
        </w:rPr>
        <w:t>ujęte zostały</w:t>
      </w:r>
      <w:r w:rsidR="008843EC" w:rsidRPr="00B62EFB">
        <w:rPr>
          <w:rFonts w:ascii="Times New Roman" w:hAnsi="Times New Roman" w:cs="Times New Roman"/>
        </w:rPr>
        <w:t xml:space="preserve"> 4 nowe zawody:</w:t>
      </w:r>
      <w:r w:rsidRPr="00B62EFB">
        <w:rPr>
          <w:rFonts w:ascii="Times New Roman" w:hAnsi="Times New Roman" w:cs="Times New Roman"/>
        </w:rPr>
        <w:t xml:space="preserve"> </w:t>
      </w:r>
      <w:r w:rsidR="00211A54">
        <w:rPr>
          <w:rFonts w:ascii="Times New Roman" w:hAnsi="Times New Roman" w:cs="Times New Roman"/>
        </w:rPr>
        <w:t>m</w:t>
      </w:r>
      <w:r w:rsidR="00211A54" w:rsidRPr="00B62EFB">
        <w:rPr>
          <w:rFonts w:ascii="Times New Roman" w:hAnsi="Times New Roman" w:cs="Times New Roman"/>
        </w:rPr>
        <w:t>urarz</w:t>
      </w:r>
      <w:r w:rsidRPr="00B62EFB">
        <w:rPr>
          <w:rFonts w:ascii="Times New Roman" w:hAnsi="Times New Roman" w:cs="Times New Roman"/>
        </w:rPr>
        <w:t xml:space="preserve">-tynkarz, </w:t>
      </w:r>
      <w:r w:rsidR="00211A54">
        <w:rPr>
          <w:rFonts w:ascii="Times New Roman" w:hAnsi="Times New Roman" w:cs="Times New Roman"/>
        </w:rPr>
        <w:t>o</w:t>
      </w:r>
      <w:r w:rsidR="00211A54" w:rsidRPr="00B62EFB">
        <w:rPr>
          <w:rFonts w:ascii="Times New Roman" w:hAnsi="Times New Roman" w:cs="Times New Roman"/>
        </w:rPr>
        <w:t xml:space="preserve">perator </w:t>
      </w:r>
      <w:r w:rsidRPr="00B62EFB">
        <w:rPr>
          <w:rFonts w:ascii="Times New Roman" w:hAnsi="Times New Roman" w:cs="Times New Roman"/>
        </w:rPr>
        <w:t xml:space="preserve">maszyn i urządzeń do robót ziemnych i drogowych, </w:t>
      </w:r>
      <w:r w:rsidR="00211A54">
        <w:rPr>
          <w:rFonts w:ascii="Times New Roman" w:hAnsi="Times New Roman" w:cs="Times New Roman"/>
        </w:rPr>
        <w:t>t</w:t>
      </w:r>
      <w:r w:rsidR="00211A54" w:rsidRPr="00B62EFB">
        <w:rPr>
          <w:rFonts w:ascii="Times New Roman" w:hAnsi="Times New Roman" w:cs="Times New Roman"/>
        </w:rPr>
        <w:t xml:space="preserve">echnik </w:t>
      </w:r>
      <w:r w:rsidRPr="00B62EFB">
        <w:rPr>
          <w:rFonts w:ascii="Times New Roman" w:hAnsi="Times New Roman" w:cs="Times New Roman"/>
        </w:rPr>
        <w:t>budowy dróg</w:t>
      </w:r>
      <w:r w:rsidR="0098730D">
        <w:rPr>
          <w:rFonts w:ascii="Times New Roman" w:hAnsi="Times New Roman" w:cs="Times New Roman"/>
        </w:rPr>
        <w:t xml:space="preserve"> i</w:t>
      </w:r>
      <w:r w:rsidRPr="00B62EFB">
        <w:rPr>
          <w:rFonts w:ascii="Times New Roman" w:hAnsi="Times New Roman" w:cs="Times New Roman"/>
        </w:rPr>
        <w:t xml:space="preserve"> </w:t>
      </w:r>
      <w:r w:rsidR="00211A54">
        <w:rPr>
          <w:rFonts w:ascii="Times New Roman" w:hAnsi="Times New Roman" w:cs="Times New Roman"/>
        </w:rPr>
        <w:t>t</w:t>
      </w:r>
      <w:r w:rsidR="00211A54" w:rsidRPr="00B62EFB">
        <w:rPr>
          <w:rFonts w:ascii="Times New Roman" w:hAnsi="Times New Roman" w:cs="Times New Roman"/>
        </w:rPr>
        <w:t xml:space="preserve">echnik </w:t>
      </w:r>
      <w:r w:rsidRPr="00B62EFB">
        <w:rPr>
          <w:rFonts w:ascii="Times New Roman" w:hAnsi="Times New Roman" w:cs="Times New Roman"/>
        </w:rPr>
        <w:t xml:space="preserve">spawalnictwa. Zawody, które były naliczane do subwencji </w:t>
      </w:r>
      <w:r w:rsidR="0098730D">
        <w:rPr>
          <w:rFonts w:ascii="Times New Roman" w:hAnsi="Times New Roman" w:cs="Times New Roman"/>
        </w:rPr>
        <w:t xml:space="preserve">oświatowej </w:t>
      </w:r>
      <w:r w:rsidRPr="00B62EFB">
        <w:rPr>
          <w:rFonts w:ascii="Times New Roman" w:hAnsi="Times New Roman" w:cs="Times New Roman"/>
        </w:rPr>
        <w:t>ze zwiększonym finansowaniem na 2020 r. są kontynuowane w prognozie na 2021 r. Zawody w</w:t>
      </w:r>
      <w:r w:rsidR="0098730D">
        <w:rPr>
          <w:rFonts w:ascii="Times New Roman" w:hAnsi="Times New Roman" w:cs="Times New Roman"/>
        </w:rPr>
        <w:t>edłu</w:t>
      </w:r>
      <w:r w:rsidRPr="00B62EFB">
        <w:rPr>
          <w:rFonts w:ascii="Times New Roman" w:hAnsi="Times New Roman" w:cs="Times New Roman"/>
        </w:rPr>
        <w:t xml:space="preserve">g nowej prognozy zostaną </w:t>
      </w:r>
      <w:r w:rsidR="00020063">
        <w:rPr>
          <w:rFonts w:ascii="Times New Roman" w:hAnsi="Times New Roman" w:cs="Times New Roman"/>
        </w:rPr>
        <w:t>uwzględnione w przypadku</w:t>
      </w:r>
      <w:r w:rsidRPr="00B62EFB">
        <w:rPr>
          <w:rFonts w:ascii="Times New Roman" w:hAnsi="Times New Roman" w:cs="Times New Roman"/>
        </w:rPr>
        <w:t xml:space="preserve"> uczniów klas I szkół </w:t>
      </w:r>
      <w:r w:rsidR="00211A54">
        <w:rPr>
          <w:rFonts w:ascii="Times New Roman" w:hAnsi="Times New Roman" w:cs="Times New Roman"/>
        </w:rPr>
        <w:t>prowadzących kształcenie zawodowe</w:t>
      </w:r>
      <w:r w:rsidRPr="00B62EFB">
        <w:rPr>
          <w:rFonts w:ascii="Times New Roman" w:hAnsi="Times New Roman" w:cs="Times New Roman"/>
        </w:rPr>
        <w:t xml:space="preserve">. Zwiększone finansowanie w ramach subwencji </w:t>
      </w:r>
      <w:r w:rsidR="0098730D">
        <w:rPr>
          <w:rFonts w:ascii="Times New Roman" w:hAnsi="Times New Roman" w:cs="Times New Roman"/>
        </w:rPr>
        <w:t xml:space="preserve">oświatowej </w:t>
      </w:r>
      <w:r w:rsidRPr="00B62EFB">
        <w:rPr>
          <w:rFonts w:ascii="Times New Roman" w:hAnsi="Times New Roman" w:cs="Times New Roman"/>
        </w:rPr>
        <w:t>wprowadzone w subwencji na 2019 r</w:t>
      </w:r>
      <w:r w:rsidR="00020063">
        <w:rPr>
          <w:rFonts w:ascii="Times New Roman" w:hAnsi="Times New Roman" w:cs="Times New Roman"/>
        </w:rPr>
        <w:t>.</w:t>
      </w:r>
      <w:r w:rsidRPr="00B62EFB">
        <w:rPr>
          <w:rFonts w:ascii="Times New Roman" w:hAnsi="Times New Roman" w:cs="Times New Roman"/>
        </w:rPr>
        <w:t xml:space="preserve"> i</w:t>
      </w:r>
      <w:r w:rsidR="007914E0">
        <w:rPr>
          <w:rFonts w:ascii="Times New Roman" w:hAnsi="Times New Roman" w:cs="Times New Roman"/>
        </w:rPr>
        <w:t> </w:t>
      </w:r>
      <w:r w:rsidRPr="00B62EFB">
        <w:rPr>
          <w:rFonts w:ascii="Times New Roman" w:hAnsi="Times New Roman" w:cs="Times New Roman"/>
        </w:rPr>
        <w:t>na 2020 r. na zawody, w których jest prognozowane zwiększone zapotrzebowanie na rynku pracy będzie kontynuowane na uczniów w klasach, na które je naliczono.</w:t>
      </w:r>
    </w:p>
    <w:p w14:paraId="4AD3FC79" w14:textId="77777777" w:rsidR="00810C7B" w:rsidRPr="00B62EFB" w:rsidRDefault="00810C7B" w:rsidP="00B62EFB">
      <w:pPr>
        <w:pStyle w:val="Akapitzlist"/>
        <w:rPr>
          <w:rFonts w:ascii="Times New Roman" w:hAnsi="Times New Roman" w:cs="Times New Roman"/>
        </w:rPr>
      </w:pPr>
    </w:p>
    <w:p w14:paraId="5161AED6" w14:textId="3A740FEC" w:rsidR="002974AD" w:rsidRPr="00FC74DD" w:rsidRDefault="00810C7B" w:rsidP="00373641">
      <w:pPr>
        <w:pStyle w:val="Akapitzlist"/>
        <w:numPr>
          <w:ilvl w:val="0"/>
          <w:numId w:val="12"/>
        </w:numPr>
        <w:spacing w:before="240" w:after="160" w:line="276" w:lineRule="auto"/>
        <w:ind w:left="284" w:hanging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Uaktualniono zawody do wag P</w:t>
      </w:r>
      <w:r w:rsidRPr="00B62EFB">
        <w:rPr>
          <w:rFonts w:ascii="Times New Roman" w:hAnsi="Times New Roman" w:cs="Times New Roman"/>
          <w:vertAlign w:val="subscript"/>
        </w:rPr>
        <w:t>13</w:t>
      </w:r>
      <w:r>
        <w:rPr>
          <w:rFonts w:ascii="Times New Roman" w:hAnsi="Times New Roman" w:cs="Times New Roman"/>
        </w:rPr>
        <w:t>–P</w:t>
      </w:r>
      <w:r w:rsidRPr="00B62EFB">
        <w:rPr>
          <w:rFonts w:ascii="Times New Roman" w:hAnsi="Times New Roman" w:cs="Times New Roman"/>
          <w:vertAlign w:val="subscript"/>
        </w:rPr>
        <w:t>16</w:t>
      </w:r>
      <w:r>
        <w:rPr>
          <w:rFonts w:ascii="Times New Roman" w:hAnsi="Times New Roman" w:cs="Times New Roman"/>
        </w:rPr>
        <w:t xml:space="preserve"> dotyczących kształcenia zawodowego.</w:t>
      </w:r>
      <w:r>
        <w:t xml:space="preserve"> </w:t>
      </w:r>
    </w:p>
    <w:p w14:paraId="7AA0A13F" w14:textId="77777777" w:rsidR="002974AD" w:rsidRPr="00FC74DD" w:rsidRDefault="002974AD" w:rsidP="00FC74DD">
      <w:pPr>
        <w:pStyle w:val="Akapitzlist"/>
        <w:rPr>
          <w:rFonts w:ascii="Times New Roman" w:hAnsi="Times New Roman" w:cs="Times New Roman"/>
        </w:rPr>
      </w:pPr>
    </w:p>
    <w:p w14:paraId="41898EEA" w14:textId="75F7119E" w:rsidR="00810C7B" w:rsidRPr="00B62EFB" w:rsidRDefault="00810C7B" w:rsidP="00FC74DD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Dodano nowe zawody, </w:t>
      </w:r>
      <w:r w:rsidR="008627B7">
        <w:rPr>
          <w:rFonts w:ascii="Times New Roman" w:hAnsi="Times New Roman" w:cs="Times New Roman"/>
        </w:rPr>
        <w:t xml:space="preserve">w których szkoły mogą rozpocząć kształcenie od roku szkolnego 2020/2021, </w:t>
      </w:r>
      <w:r w:rsidRPr="00B62EFB">
        <w:rPr>
          <w:rFonts w:ascii="Times New Roman" w:hAnsi="Times New Roman" w:cs="Times New Roman"/>
        </w:rPr>
        <w:t>tj.:</w:t>
      </w:r>
    </w:p>
    <w:p w14:paraId="553C827F" w14:textId="7F022518" w:rsidR="00810C7B" w:rsidRPr="00B62EFB" w:rsidRDefault="00810C7B" w:rsidP="00810C7B">
      <w:pPr>
        <w:pStyle w:val="Akapitzlist"/>
        <w:numPr>
          <w:ilvl w:val="1"/>
          <w:numId w:val="12"/>
        </w:numPr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 xml:space="preserve">mechanik pojazdów kolejowych oraz technik pojazdów kolejowych </w:t>
      </w:r>
      <w:r w:rsidR="00320613" w:rsidRPr="00B62EFB">
        <w:rPr>
          <w:rFonts w:ascii="Times New Roman" w:hAnsi="Times New Roman" w:cs="Times New Roman"/>
        </w:rPr>
        <w:t>–</w:t>
      </w:r>
      <w:r w:rsidR="00320613">
        <w:rPr>
          <w:rFonts w:ascii="Times New Roman" w:hAnsi="Times New Roman" w:cs="Times New Roman"/>
        </w:rPr>
        <w:t xml:space="preserve"> </w:t>
      </w:r>
      <w:r w:rsidRPr="00B62EFB">
        <w:rPr>
          <w:rFonts w:ascii="Times New Roman" w:hAnsi="Times New Roman" w:cs="Times New Roman"/>
          <w:iCs/>
        </w:rPr>
        <w:t>do obecnej wagi P</w:t>
      </w:r>
      <w:r w:rsidRPr="00B62EFB">
        <w:rPr>
          <w:rFonts w:ascii="Times New Roman" w:hAnsi="Times New Roman" w:cs="Times New Roman"/>
          <w:iCs/>
          <w:vertAlign w:val="subscript"/>
        </w:rPr>
        <w:t>14</w:t>
      </w:r>
      <w:r w:rsidR="00D711D4">
        <w:rPr>
          <w:rFonts w:ascii="Times New Roman" w:hAnsi="Times New Roman" w:cs="Times New Roman"/>
          <w:iCs/>
        </w:rPr>
        <w:t>;</w:t>
      </w:r>
    </w:p>
    <w:p w14:paraId="0D6713AA" w14:textId="53454D62" w:rsidR="00810C7B" w:rsidRPr="00B62EFB" w:rsidRDefault="00810C7B" w:rsidP="00810C7B">
      <w:pPr>
        <w:pStyle w:val="Akapitzlist"/>
        <w:numPr>
          <w:ilvl w:val="1"/>
          <w:numId w:val="12"/>
        </w:numPr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  <w:iCs/>
        </w:rPr>
        <w:t>technik spawalnictwa</w:t>
      </w:r>
      <w:r w:rsidRPr="00B62EFB">
        <w:rPr>
          <w:rFonts w:ascii="Times New Roman" w:hAnsi="Times New Roman" w:cs="Times New Roman"/>
        </w:rPr>
        <w:t xml:space="preserve"> </w:t>
      </w:r>
      <w:r w:rsidR="00320613" w:rsidRPr="00B62EFB">
        <w:rPr>
          <w:rFonts w:ascii="Times New Roman" w:hAnsi="Times New Roman" w:cs="Times New Roman"/>
        </w:rPr>
        <w:t>–</w:t>
      </w:r>
      <w:r w:rsidR="00320613">
        <w:rPr>
          <w:rFonts w:ascii="Times New Roman" w:hAnsi="Times New Roman" w:cs="Times New Roman"/>
        </w:rPr>
        <w:t xml:space="preserve"> </w:t>
      </w:r>
      <w:r w:rsidRPr="00B62EFB">
        <w:rPr>
          <w:rFonts w:ascii="Times New Roman" w:hAnsi="Times New Roman" w:cs="Times New Roman"/>
        </w:rPr>
        <w:t>do obecnej wagi P</w:t>
      </w:r>
      <w:r w:rsidRPr="00B62EFB">
        <w:rPr>
          <w:rFonts w:ascii="Times New Roman" w:hAnsi="Times New Roman" w:cs="Times New Roman"/>
          <w:vertAlign w:val="subscript"/>
        </w:rPr>
        <w:t>15</w:t>
      </w:r>
      <w:r w:rsidR="00D711D4">
        <w:rPr>
          <w:rFonts w:ascii="Times New Roman" w:hAnsi="Times New Roman" w:cs="Times New Roman"/>
        </w:rPr>
        <w:t>;</w:t>
      </w:r>
    </w:p>
    <w:p w14:paraId="466A05D9" w14:textId="5CCE5CAC" w:rsidR="00810C7B" w:rsidRPr="00B62EFB" w:rsidRDefault="00810C7B" w:rsidP="00810C7B">
      <w:pPr>
        <w:pStyle w:val="Akapitzlist"/>
        <w:numPr>
          <w:ilvl w:val="1"/>
          <w:numId w:val="12"/>
        </w:numPr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  <w:iCs/>
        </w:rPr>
        <w:t>zdobnik ceramiki</w:t>
      </w:r>
      <w:r w:rsidRPr="00B62EFB">
        <w:rPr>
          <w:rFonts w:ascii="Times New Roman" w:hAnsi="Times New Roman" w:cs="Times New Roman"/>
        </w:rPr>
        <w:t xml:space="preserve"> </w:t>
      </w:r>
      <w:r w:rsidR="00320613" w:rsidRPr="00B62EFB">
        <w:rPr>
          <w:rFonts w:ascii="Times New Roman" w:hAnsi="Times New Roman" w:cs="Times New Roman"/>
        </w:rPr>
        <w:t>–</w:t>
      </w:r>
      <w:r w:rsidR="00320613">
        <w:rPr>
          <w:rFonts w:ascii="Times New Roman" w:hAnsi="Times New Roman" w:cs="Times New Roman"/>
        </w:rPr>
        <w:t xml:space="preserve"> </w:t>
      </w:r>
      <w:r w:rsidRPr="00B62EFB">
        <w:rPr>
          <w:rFonts w:ascii="Times New Roman" w:hAnsi="Times New Roman" w:cs="Times New Roman"/>
        </w:rPr>
        <w:t>do obecnej wagi P</w:t>
      </w:r>
      <w:r w:rsidRPr="00B62EFB">
        <w:rPr>
          <w:rFonts w:ascii="Times New Roman" w:hAnsi="Times New Roman" w:cs="Times New Roman"/>
          <w:vertAlign w:val="subscript"/>
        </w:rPr>
        <w:t>16</w:t>
      </w:r>
      <w:r w:rsidRPr="00B62EFB">
        <w:rPr>
          <w:rFonts w:ascii="Times New Roman" w:hAnsi="Times New Roman" w:cs="Times New Roman"/>
        </w:rPr>
        <w:t>.</w:t>
      </w:r>
    </w:p>
    <w:p w14:paraId="3315E041" w14:textId="5370D55B" w:rsidR="00A4390B" w:rsidRPr="0089492A" w:rsidRDefault="008627B7" w:rsidP="008627B7">
      <w:pPr>
        <w:spacing w:before="240" w:after="160" w:line="276" w:lineRule="auto"/>
        <w:ind w:left="284"/>
        <w:jc w:val="both"/>
      </w:pPr>
      <w:r w:rsidRPr="008627B7">
        <w:t>Przyporządkowanie powyższych zawodów szkolnictwa branżowego do wag zostało dokonane na podstawie analizy podstaw programowych kształcenia</w:t>
      </w:r>
      <w:r w:rsidR="008843EC">
        <w:t xml:space="preserve"> w zawodach</w:t>
      </w:r>
      <w:r w:rsidRPr="008627B7">
        <w:t xml:space="preserve"> pod kątem wyposażenia niezbędnego do kształcenia w tych zawodach.</w:t>
      </w:r>
    </w:p>
    <w:p w14:paraId="6C6F2C4C" w14:textId="01FFDD8F" w:rsidR="00810C7B" w:rsidRPr="000B2DD4" w:rsidRDefault="00810C7B" w:rsidP="00FC74DD">
      <w:pPr>
        <w:spacing w:before="240" w:after="160" w:line="276" w:lineRule="auto"/>
        <w:ind w:left="284"/>
        <w:jc w:val="both"/>
      </w:pPr>
      <w:r w:rsidRPr="000B2DD4">
        <w:t>Wykreślono zawody w wagach od P</w:t>
      </w:r>
      <w:r w:rsidRPr="000B2DD4">
        <w:rPr>
          <w:vertAlign w:val="subscript"/>
        </w:rPr>
        <w:t>13</w:t>
      </w:r>
      <w:r w:rsidRPr="000B2DD4">
        <w:t xml:space="preserve"> do P</w:t>
      </w:r>
      <w:r w:rsidRPr="000B2DD4">
        <w:rPr>
          <w:vertAlign w:val="subscript"/>
        </w:rPr>
        <w:t>15</w:t>
      </w:r>
      <w:r w:rsidR="007914E0" w:rsidRPr="000B2DD4">
        <w:t>,</w:t>
      </w:r>
      <w:r w:rsidRPr="000B2DD4">
        <w:t xml:space="preserve"> tj.</w:t>
      </w:r>
    </w:p>
    <w:p w14:paraId="000350FB" w14:textId="0069C465" w:rsidR="00810C7B" w:rsidRPr="00B62EFB" w:rsidRDefault="00F8792C" w:rsidP="0091500A">
      <w:pPr>
        <w:pStyle w:val="Akapitzlist"/>
        <w:spacing w:before="240" w:after="160" w:line="276" w:lineRule="auto"/>
        <w:ind w:left="644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810C7B">
        <w:rPr>
          <w:rFonts w:ascii="Times New Roman" w:hAnsi="Times New Roman" w:cs="Times New Roman"/>
        </w:rPr>
        <w:t>z</w:t>
      </w:r>
      <w:r w:rsidR="00810C7B" w:rsidRPr="00B62EFB">
        <w:rPr>
          <w:rFonts w:ascii="Times New Roman" w:hAnsi="Times New Roman" w:cs="Times New Roman"/>
        </w:rPr>
        <w:t xml:space="preserve"> wagi P</w:t>
      </w:r>
      <w:r w:rsidR="00810C7B" w:rsidRPr="00B62EFB">
        <w:rPr>
          <w:rFonts w:ascii="Times New Roman" w:hAnsi="Times New Roman" w:cs="Times New Roman"/>
          <w:vertAlign w:val="subscript"/>
        </w:rPr>
        <w:t>13</w:t>
      </w:r>
      <w:r w:rsidR="00810C7B" w:rsidRPr="00B62EFB">
        <w:rPr>
          <w:rFonts w:ascii="Times New Roman" w:hAnsi="Times New Roman" w:cs="Times New Roman"/>
        </w:rPr>
        <w:t xml:space="preserve"> </w:t>
      </w:r>
      <w:r w:rsidR="001A780B">
        <w:rPr>
          <w:rFonts w:ascii="Times New Roman" w:hAnsi="Times New Roman" w:cs="Times New Roman"/>
        </w:rPr>
        <w:t xml:space="preserve">wykreślono zawód </w:t>
      </w:r>
      <w:r w:rsidR="00810C7B" w:rsidRPr="00B62EFB">
        <w:rPr>
          <w:rFonts w:ascii="Times New Roman" w:hAnsi="Times New Roman" w:cs="Times New Roman"/>
        </w:rPr>
        <w:t>monter mechatronik</w:t>
      </w:r>
      <w:r w:rsidR="001A780B">
        <w:rPr>
          <w:rFonts w:ascii="Times New Roman" w:hAnsi="Times New Roman" w:cs="Times New Roman"/>
        </w:rPr>
        <w:t>;</w:t>
      </w:r>
    </w:p>
    <w:p w14:paraId="1A4659EB" w14:textId="01F66DA3" w:rsidR="00810C7B" w:rsidRDefault="00F8792C" w:rsidP="0091500A">
      <w:pPr>
        <w:pStyle w:val="Akapitzlist"/>
        <w:spacing w:before="240" w:after="160" w:line="276" w:lineRule="auto"/>
        <w:ind w:left="644" w:hanging="360"/>
        <w:jc w:val="both"/>
      </w:pPr>
      <w:r>
        <w:rPr>
          <w:rFonts w:ascii="Times New Roman" w:hAnsi="Times New Roman" w:cs="Times New Roman"/>
        </w:rPr>
        <w:t xml:space="preserve">2) </w:t>
      </w:r>
      <w:r w:rsidR="00810C7B">
        <w:rPr>
          <w:rFonts w:ascii="Times New Roman" w:hAnsi="Times New Roman" w:cs="Times New Roman"/>
        </w:rPr>
        <w:t>z</w:t>
      </w:r>
      <w:r w:rsidR="00810C7B" w:rsidRPr="00B62EFB">
        <w:rPr>
          <w:rFonts w:ascii="Times New Roman" w:hAnsi="Times New Roman" w:cs="Times New Roman"/>
        </w:rPr>
        <w:t xml:space="preserve"> wagi P</w:t>
      </w:r>
      <w:r w:rsidR="00810C7B" w:rsidRPr="00B62EFB">
        <w:rPr>
          <w:rFonts w:ascii="Times New Roman" w:hAnsi="Times New Roman" w:cs="Times New Roman"/>
          <w:vertAlign w:val="subscript"/>
        </w:rPr>
        <w:t>15</w:t>
      </w:r>
      <w:r w:rsidR="001A780B">
        <w:rPr>
          <w:rFonts w:ascii="Times New Roman" w:hAnsi="Times New Roman" w:cs="Times New Roman"/>
        </w:rPr>
        <w:t xml:space="preserve"> wykreślono zawody:</w:t>
      </w:r>
      <w:r w:rsidR="00810C7B" w:rsidRPr="00B62EFB">
        <w:rPr>
          <w:rFonts w:ascii="Times New Roman" w:hAnsi="Times New Roman" w:cs="Times New Roman"/>
        </w:rPr>
        <w:t xml:space="preserve"> technik budownictwa okrętowego, fototechnik oraz technik cyfrowych procesów graficznych. </w:t>
      </w:r>
    </w:p>
    <w:p w14:paraId="2AD0930C" w14:textId="77777777" w:rsidR="00D636C4" w:rsidRDefault="00D636C4" w:rsidP="00B62EFB">
      <w:pPr>
        <w:pStyle w:val="Akapitzlist"/>
        <w:spacing w:before="240" w:after="160" w:line="276" w:lineRule="auto"/>
        <w:ind w:left="709"/>
        <w:jc w:val="both"/>
        <w:rPr>
          <w:rFonts w:ascii="Times New Roman" w:hAnsi="Times New Roman" w:cs="Times New Roman"/>
        </w:rPr>
      </w:pPr>
    </w:p>
    <w:p w14:paraId="17F450B6" w14:textId="77777777" w:rsidR="000C4A1D" w:rsidRDefault="00810C7B" w:rsidP="00E16924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>Od 1 września 2017 r. zawody te zostały zastąpione nowymi zawodami: mechatronik, technik budowy jednostek pływających, technik fotografii i multimediów oraz technik grafiki i poligrafii cyfrowej.</w:t>
      </w:r>
    </w:p>
    <w:p w14:paraId="12C90A3C" w14:textId="77777777" w:rsidR="00810C7B" w:rsidRPr="00B62EFB" w:rsidRDefault="00810C7B" w:rsidP="00B62EFB">
      <w:pPr>
        <w:pStyle w:val="Akapitzlist"/>
        <w:spacing w:before="240" w:after="160" w:line="276" w:lineRule="auto"/>
        <w:ind w:left="709"/>
        <w:jc w:val="both"/>
        <w:rPr>
          <w:rFonts w:ascii="Times New Roman" w:hAnsi="Times New Roman" w:cs="Times New Roman"/>
        </w:rPr>
      </w:pPr>
    </w:p>
    <w:p w14:paraId="76FB7392" w14:textId="77777777" w:rsidR="007E7B2F" w:rsidRDefault="00F21EA0" w:rsidP="00D636C4">
      <w:pPr>
        <w:pStyle w:val="Akapitzlist"/>
        <w:numPr>
          <w:ilvl w:val="0"/>
          <w:numId w:val="12"/>
        </w:numPr>
        <w:spacing w:before="240" w:after="160" w:line="276" w:lineRule="auto"/>
        <w:ind w:left="284" w:hanging="289"/>
        <w:jc w:val="both"/>
        <w:rPr>
          <w:rFonts w:ascii="Times New Roman" w:hAnsi="Times New Roman" w:cs="Times New Roman"/>
        </w:rPr>
      </w:pPr>
      <w:r w:rsidRPr="00B62EFB">
        <w:rPr>
          <w:rFonts w:ascii="Times New Roman" w:hAnsi="Times New Roman" w:cs="Times New Roman"/>
        </w:rPr>
        <w:t>Uporządkowano</w:t>
      </w:r>
      <w:r w:rsidR="000C4A1D" w:rsidRPr="00B62EFB">
        <w:rPr>
          <w:rFonts w:ascii="Times New Roman" w:hAnsi="Times New Roman" w:cs="Times New Roman"/>
        </w:rPr>
        <w:t xml:space="preserve"> wag</w:t>
      </w:r>
      <w:r>
        <w:rPr>
          <w:rFonts w:ascii="Times New Roman" w:hAnsi="Times New Roman" w:cs="Times New Roman"/>
        </w:rPr>
        <w:t>i</w:t>
      </w:r>
      <w:r w:rsidR="000C4A1D" w:rsidRPr="00B62EFB">
        <w:rPr>
          <w:rFonts w:ascii="Times New Roman" w:hAnsi="Times New Roman" w:cs="Times New Roman"/>
        </w:rPr>
        <w:t xml:space="preserve"> dla dzieci z niepełnosprawnością intelektualną w stopniu głębokim. </w:t>
      </w:r>
    </w:p>
    <w:p w14:paraId="242B88AE" w14:textId="77777777" w:rsidR="007E7B2F" w:rsidRDefault="007E7B2F" w:rsidP="00FC74DD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</w:p>
    <w:p w14:paraId="459A4CCB" w14:textId="30348077" w:rsidR="000C4A1D" w:rsidRPr="007E7B2F" w:rsidRDefault="000C4A1D" w:rsidP="00FC74DD">
      <w:pPr>
        <w:pStyle w:val="Akapitzlist"/>
        <w:spacing w:before="240" w:after="160" w:line="276" w:lineRule="auto"/>
        <w:ind w:left="284"/>
        <w:jc w:val="both"/>
        <w:rPr>
          <w:rFonts w:ascii="Times New Roman" w:hAnsi="Times New Roman" w:cs="Times New Roman"/>
        </w:rPr>
      </w:pPr>
      <w:r w:rsidRPr="007E7B2F">
        <w:rPr>
          <w:rFonts w:ascii="Times New Roman" w:hAnsi="Times New Roman" w:cs="Times New Roman"/>
        </w:rPr>
        <w:t>Finansowanie pozostanie na niezmienionym poziomie (waga</w:t>
      </w:r>
      <w:r w:rsidR="007E7B2F" w:rsidRPr="007E7B2F">
        <w:rPr>
          <w:rFonts w:ascii="Times New Roman" w:hAnsi="Times New Roman" w:cs="Times New Roman"/>
        </w:rPr>
        <w:t xml:space="preserve"> P</w:t>
      </w:r>
      <w:r w:rsidR="007E7B2F">
        <w:rPr>
          <w:rFonts w:ascii="Times New Roman" w:hAnsi="Times New Roman" w:cs="Times New Roman"/>
          <w:vertAlign w:val="subscript"/>
        </w:rPr>
        <w:t xml:space="preserve">7 </w:t>
      </w:r>
      <w:r w:rsidR="007E7B2F">
        <w:rPr>
          <w:rFonts w:ascii="Times New Roman" w:hAnsi="Times New Roman" w:cs="Times New Roman"/>
        </w:rPr>
        <w:t xml:space="preserve">= </w:t>
      </w:r>
      <w:r w:rsidRPr="007E7B2F">
        <w:rPr>
          <w:rFonts w:ascii="Times New Roman" w:hAnsi="Times New Roman" w:cs="Times New Roman"/>
        </w:rPr>
        <w:t>9,5</w:t>
      </w:r>
      <w:r w:rsidR="007E7B2F">
        <w:rPr>
          <w:rFonts w:ascii="Times New Roman" w:hAnsi="Times New Roman" w:cs="Times New Roman"/>
        </w:rPr>
        <w:t>00</w:t>
      </w:r>
      <w:r w:rsidRPr="007E7B2F">
        <w:rPr>
          <w:rFonts w:ascii="Times New Roman" w:hAnsi="Times New Roman" w:cs="Times New Roman"/>
        </w:rPr>
        <w:t xml:space="preserve">) tylko </w:t>
      </w:r>
      <w:r w:rsidR="00AE3BE9">
        <w:rPr>
          <w:rFonts w:ascii="Times New Roman" w:hAnsi="Times New Roman" w:cs="Times New Roman"/>
        </w:rPr>
        <w:t>dzieci i młodzież</w:t>
      </w:r>
      <w:r w:rsidRPr="007E7B2F">
        <w:rPr>
          <w:rFonts w:ascii="Times New Roman" w:hAnsi="Times New Roman" w:cs="Times New Roman"/>
        </w:rPr>
        <w:t xml:space="preserve"> </w:t>
      </w:r>
      <w:r w:rsidR="0082095E" w:rsidRPr="007E7B2F">
        <w:rPr>
          <w:rFonts w:ascii="Times New Roman" w:hAnsi="Times New Roman" w:cs="Times New Roman"/>
        </w:rPr>
        <w:t>objęci zajęciami rewalidacyjno-wychowawczymi w placówkach wychowania przedszkolnego</w:t>
      </w:r>
      <w:r w:rsidR="00967A70" w:rsidRPr="007E7B2F">
        <w:rPr>
          <w:rFonts w:ascii="Times New Roman" w:hAnsi="Times New Roman" w:cs="Times New Roman"/>
        </w:rPr>
        <w:t>, tj. w przedszkolach, oddziałach przedszkolnych w szkołach podstawowych i innych formach wychowania przedszkolnego</w:t>
      </w:r>
      <w:r w:rsidR="0082095E" w:rsidRPr="007E7B2F">
        <w:rPr>
          <w:rFonts w:ascii="Times New Roman" w:hAnsi="Times New Roman" w:cs="Times New Roman"/>
        </w:rPr>
        <w:t xml:space="preserve"> (dotychczas wykazywani w wadze P</w:t>
      </w:r>
      <w:r w:rsidR="0082095E" w:rsidRPr="007E7B2F">
        <w:rPr>
          <w:rFonts w:ascii="Times New Roman" w:hAnsi="Times New Roman" w:cs="Times New Roman"/>
          <w:vertAlign w:val="subscript"/>
        </w:rPr>
        <w:t>67</w:t>
      </w:r>
      <w:r w:rsidR="0082095E" w:rsidRPr="007E7B2F">
        <w:rPr>
          <w:rFonts w:ascii="Times New Roman" w:hAnsi="Times New Roman" w:cs="Times New Roman"/>
        </w:rPr>
        <w:t xml:space="preserve">) </w:t>
      </w:r>
      <w:r w:rsidRPr="007E7B2F">
        <w:rPr>
          <w:rFonts w:ascii="Times New Roman" w:hAnsi="Times New Roman" w:cs="Times New Roman"/>
        </w:rPr>
        <w:t>zostaną przypisani do wagi</w:t>
      </w:r>
      <w:r w:rsidR="0082095E" w:rsidRPr="007E7B2F">
        <w:rPr>
          <w:rFonts w:ascii="Times New Roman" w:hAnsi="Times New Roman" w:cs="Times New Roman"/>
        </w:rPr>
        <w:t xml:space="preserve"> P</w:t>
      </w:r>
      <w:r w:rsidR="0082095E" w:rsidRPr="007E7B2F">
        <w:rPr>
          <w:rFonts w:ascii="Times New Roman" w:hAnsi="Times New Roman" w:cs="Times New Roman"/>
          <w:vertAlign w:val="subscript"/>
        </w:rPr>
        <w:t>7</w:t>
      </w:r>
      <w:r w:rsidR="0082095E" w:rsidRPr="007E7B2F">
        <w:rPr>
          <w:rFonts w:ascii="Times New Roman" w:hAnsi="Times New Roman" w:cs="Times New Roman"/>
        </w:rPr>
        <w:t>.</w:t>
      </w:r>
    </w:p>
    <w:p w14:paraId="4B80D14A" w14:textId="77777777" w:rsidR="000C4A1D" w:rsidRPr="00B62EFB" w:rsidRDefault="000C4A1D" w:rsidP="00B62EFB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0BCA8566" w14:textId="293A8EE7" w:rsidR="00FD199B" w:rsidRDefault="00FD199B" w:rsidP="00FC74DD">
      <w:pPr>
        <w:pStyle w:val="Tekstpodstawowy31"/>
        <w:numPr>
          <w:ilvl w:val="0"/>
          <w:numId w:val="1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Uchylono regulacje odnoszące się do dotychczasowych gimnazjó</w:t>
      </w:r>
      <w:r w:rsidR="00C20DD8">
        <w:rPr>
          <w:sz w:val="24"/>
          <w:szCs w:val="24"/>
        </w:rPr>
        <w:t>w oraz klas dotychczasowej zasadniczej szkoły zawodowej prowadzonych w branżowych szkołach I stopnia</w:t>
      </w:r>
      <w:r w:rsidR="00CB24B3">
        <w:rPr>
          <w:sz w:val="24"/>
          <w:szCs w:val="24"/>
        </w:rPr>
        <w:t>, gdyż w systemie oświaty takie szkoły i klasy już nie funkcjonują</w:t>
      </w:r>
      <w:r w:rsidR="00F25D13">
        <w:rPr>
          <w:sz w:val="24"/>
          <w:szCs w:val="24"/>
        </w:rPr>
        <w:t>.</w:t>
      </w:r>
      <w:r w:rsidR="00C20DD8">
        <w:rPr>
          <w:sz w:val="24"/>
          <w:szCs w:val="24"/>
        </w:rPr>
        <w:t xml:space="preserve"> </w:t>
      </w:r>
    </w:p>
    <w:p w14:paraId="2ACE0EF6" w14:textId="77777777" w:rsidR="00FD199B" w:rsidRDefault="00FD199B" w:rsidP="002E1B4E">
      <w:pPr>
        <w:pStyle w:val="Tekstpodstawowy31"/>
        <w:spacing w:after="120" w:line="276" w:lineRule="auto"/>
        <w:jc w:val="both"/>
        <w:rPr>
          <w:sz w:val="24"/>
          <w:szCs w:val="24"/>
        </w:rPr>
      </w:pPr>
    </w:p>
    <w:p w14:paraId="50A7027E" w14:textId="77777777" w:rsidR="006A530D" w:rsidRPr="00DD18D8" w:rsidRDefault="004707CF" w:rsidP="002E1B4E">
      <w:pPr>
        <w:pStyle w:val="Tekstpodstawowy31"/>
        <w:spacing w:after="120" w:line="276" w:lineRule="auto"/>
        <w:jc w:val="both"/>
        <w:rPr>
          <w:sz w:val="24"/>
          <w:szCs w:val="24"/>
        </w:rPr>
      </w:pPr>
      <w:r w:rsidRPr="00DD18D8">
        <w:rPr>
          <w:sz w:val="24"/>
          <w:szCs w:val="24"/>
        </w:rPr>
        <w:t xml:space="preserve">Proponuje się, aby </w:t>
      </w:r>
      <w:r w:rsidR="00267589">
        <w:rPr>
          <w:sz w:val="24"/>
          <w:szCs w:val="24"/>
        </w:rPr>
        <w:t>projektowane</w:t>
      </w:r>
      <w:r w:rsidR="00267589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>rozporządzeni</w:t>
      </w:r>
      <w:r w:rsidR="00EB60E3">
        <w:rPr>
          <w:sz w:val="24"/>
          <w:szCs w:val="24"/>
        </w:rPr>
        <w:t>e</w:t>
      </w:r>
      <w:r w:rsidRPr="00DD18D8">
        <w:rPr>
          <w:sz w:val="24"/>
          <w:szCs w:val="24"/>
        </w:rPr>
        <w:t xml:space="preserve"> weszł</w:t>
      </w:r>
      <w:r w:rsidR="00EB60E3">
        <w:rPr>
          <w:sz w:val="24"/>
          <w:szCs w:val="24"/>
        </w:rPr>
        <w:t>o</w:t>
      </w:r>
      <w:r w:rsidRPr="00DD18D8">
        <w:rPr>
          <w:sz w:val="24"/>
          <w:szCs w:val="24"/>
        </w:rPr>
        <w:t xml:space="preserve"> </w:t>
      </w:r>
      <w:r w:rsidR="00AE52C6" w:rsidRPr="00DD18D8">
        <w:rPr>
          <w:sz w:val="24"/>
          <w:szCs w:val="24"/>
        </w:rPr>
        <w:t xml:space="preserve">w życie z dniem 1 stycznia </w:t>
      </w:r>
      <w:r w:rsidR="00242321" w:rsidRPr="00DD18D8">
        <w:rPr>
          <w:sz w:val="24"/>
          <w:szCs w:val="24"/>
        </w:rPr>
        <w:t>20</w:t>
      </w:r>
      <w:r w:rsidR="00DD18D8" w:rsidRPr="00DD18D8">
        <w:rPr>
          <w:sz w:val="24"/>
          <w:szCs w:val="24"/>
        </w:rPr>
        <w:t>2</w:t>
      </w:r>
      <w:r w:rsidR="00AD77B3">
        <w:rPr>
          <w:sz w:val="24"/>
          <w:szCs w:val="24"/>
        </w:rPr>
        <w:t>1</w:t>
      </w:r>
      <w:r w:rsidR="00242321" w:rsidRPr="00DD18D8">
        <w:rPr>
          <w:sz w:val="24"/>
          <w:szCs w:val="24"/>
        </w:rPr>
        <w:t> </w:t>
      </w:r>
      <w:r w:rsidR="00AE52C6" w:rsidRPr="00DD18D8">
        <w:rPr>
          <w:sz w:val="24"/>
          <w:szCs w:val="24"/>
        </w:rPr>
        <w:t>r.</w:t>
      </w:r>
      <w:r w:rsidR="00D06F96" w:rsidRPr="00DD18D8">
        <w:rPr>
          <w:sz w:val="24"/>
          <w:szCs w:val="24"/>
        </w:rPr>
        <w:t>,</w:t>
      </w:r>
      <w:r w:rsidR="00576955" w:rsidRPr="00DD18D8">
        <w:rPr>
          <w:sz w:val="24"/>
          <w:szCs w:val="24"/>
        </w:rPr>
        <w:t xml:space="preserve"> </w:t>
      </w:r>
      <w:r w:rsidRPr="00DD18D8">
        <w:rPr>
          <w:sz w:val="24"/>
          <w:szCs w:val="24"/>
        </w:rPr>
        <w:t>co</w:t>
      </w:r>
      <w:r w:rsidR="00576955" w:rsidRPr="00DD18D8">
        <w:rPr>
          <w:sz w:val="24"/>
          <w:szCs w:val="24"/>
        </w:rPr>
        <w:t xml:space="preserve"> wynika z charakteru przedmiotowego rozporządzenia. Określa ono sposób podziału </w:t>
      </w:r>
      <w:r w:rsidR="00576955" w:rsidRPr="00DD18D8">
        <w:rPr>
          <w:bCs/>
          <w:sz w:val="24"/>
          <w:szCs w:val="24"/>
        </w:rPr>
        <w:t xml:space="preserve">części oświatowej subwencji ogólnej, jaki stosowany będzie w roku </w:t>
      </w:r>
      <w:r w:rsidR="00AD77B3" w:rsidRPr="00DD18D8">
        <w:rPr>
          <w:bCs/>
          <w:sz w:val="24"/>
          <w:szCs w:val="24"/>
        </w:rPr>
        <w:t>202</w:t>
      </w:r>
      <w:r w:rsidR="00AD77B3">
        <w:rPr>
          <w:bCs/>
          <w:sz w:val="24"/>
          <w:szCs w:val="24"/>
        </w:rPr>
        <w:t>1</w:t>
      </w:r>
      <w:r w:rsidR="00EB60E3">
        <w:rPr>
          <w:bCs/>
          <w:sz w:val="24"/>
          <w:szCs w:val="24"/>
        </w:rPr>
        <w:t>,</w:t>
      </w:r>
      <w:r w:rsidR="00242321" w:rsidRPr="00DD18D8">
        <w:rPr>
          <w:sz w:val="24"/>
          <w:szCs w:val="24"/>
        </w:rPr>
        <w:t xml:space="preserve"> </w:t>
      </w:r>
      <w:r w:rsidR="00576955" w:rsidRPr="00DD18D8">
        <w:rPr>
          <w:sz w:val="24"/>
          <w:szCs w:val="24"/>
        </w:rPr>
        <w:t xml:space="preserve">przy uwzględnieniu wartości kwotowych wynikających z założeń, które zostaną przyjęte w ustawie budżetowej na rok </w:t>
      </w:r>
      <w:r w:rsidR="00AD77B3" w:rsidRPr="00DD18D8">
        <w:rPr>
          <w:sz w:val="24"/>
          <w:szCs w:val="24"/>
        </w:rPr>
        <w:t>202</w:t>
      </w:r>
      <w:r w:rsidR="00AD77B3">
        <w:rPr>
          <w:sz w:val="24"/>
          <w:szCs w:val="24"/>
        </w:rPr>
        <w:t>1</w:t>
      </w:r>
      <w:r w:rsidR="00576955" w:rsidRPr="00DD18D8">
        <w:rPr>
          <w:sz w:val="24"/>
          <w:szCs w:val="24"/>
        </w:rPr>
        <w:t xml:space="preserve">, zatem akt ten powinien obowiązywać od początku roku budżetowego. </w:t>
      </w:r>
    </w:p>
    <w:p w14:paraId="32177A7C" w14:textId="77777777" w:rsidR="00EF3C75" w:rsidRPr="00DD18D8" w:rsidRDefault="00EF3C75" w:rsidP="001666D5">
      <w:pPr>
        <w:pStyle w:val="Tekstpodstawowy2"/>
        <w:spacing w:after="0" w:line="276" w:lineRule="auto"/>
        <w:jc w:val="both"/>
        <w:rPr>
          <w:lang w:val="pl-PL"/>
        </w:rPr>
      </w:pPr>
      <w:r w:rsidRPr="00DD18D8">
        <w:t xml:space="preserve">Zgodnie z art. 5 ustawy z dnia 7 lipca 2005 r. </w:t>
      </w:r>
      <w:r w:rsidRPr="000B1B36">
        <w:t>o działalności lobbingowej w procesie stanowienia prawa</w:t>
      </w:r>
      <w:r w:rsidRPr="00DD18D8">
        <w:rPr>
          <w:i/>
        </w:rPr>
        <w:t xml:space="preserve"> </w:t>
      </w:r>
      <w:r w:rsidRPr="00DD18D8">
        <w:t>(</w:t>
      </w:r>
      <w:r w:rsidR="00200A31" w:rsidRPr="00DD18D8">
        <w:t>Dz. U. z 2017 r. poz. 248)</w:t>
      </w:r>
      <w:r w:rsidRPr="00DD18D8">
        <w:t xml:space="preserve"> </w:t>
      </w:r>
      <w:r w:rsidR="0074596A" w:rsidRPr="00DD18D8">
        <w:rPr>
          <w:lang w:val="pl-PL"/>
        </w:rPr>
        <w:t xml:space="preserve">projekt </w:t>
      </w:r>
      <w:r w:rsidR="008752A7" w:rsidRPr="00DD18D8">
        <w:t>rozporządzeni</w:t>
      </w:r>
      <w:r w:rsidR="0074596A" w:rsidRPr="00DD18D8">
        <w:rPr>
          <w:lang w:val="pl-PL"/>
        </w:rPr>
        <w:t>a</w:t>
      </w:r>
      <w:r w:rsidRPr="00DD18D8">
        <w:t xml:space="preserve"> zosta</w:t>
      </w:r>
      <w:r w:rsidR="00C5161A">
        <w:rPr>
          <w:lang w:val="pl-PL"/>
        </w:rPr>
        <w:t>nie</w:t>
      </w:r>
      <w:r w:rsidRPr="00DD18D8">
        <w:t xml:space="preserve"> udostępnion</w:t>
      </w:r>
      <w:r w:rsidR="00867A3B" w:rsidRPr="00DD18D8">
        <w:rPr>
          <w:lang w:val="pl-PL"/>
        </w:rPr>
        <w:t>y</w:t>
      </w:r>
      <w:r w:rsidRPr="00DD18D8">
        <w:t xml:space="preserve"> w Biuletynie Informacji Publicznej na stronie internetowej Ministerstwa Edukacji Narodowej. </w:t>
      </w:r>
      <w:r w:rsidR="0074596A" w:rsidRPr="00DD18D8">
        <w:rPr>
          <w:lang w:val="pl-PL"/>
        </w:rPr>
        <w:t xml:space="preserve">Projekt </w:t>
      </w:r>
      <w:r w:rsidR="002F4AFD" w:rsidRPr="00DD18D8">
        <w:t>rozporządze</w:t>
      </w:r>
      <w:r w:rsidR="002F4AFD" w:rsidRPr="00DD18D8">
        <w:rPr>
          <w:lang w:val="pl-PL"/>
        </w:rPr>
        <w:t>nia</w:t>
      </w:r>
      <w:r w:rsidR="0099205F" w:rsidRPr="00DD18D8">
        <w:t xml:space="preserve"> zosta</w:t>
      </w:r>
      <w:r w:rsidR="00C5161A">
        <w:rPr>
          <w:lang w:val="pl-PL"/>
        </w:rPr>
        <w:t>nie</w:t>
      </w:r>
      <w:r w:rsidR="0099205F" w:rsidRPr="00DD18D8">
        <w:t xml:space="preserve"> również udostępnion</w:t>
      </w:r>
      <w:r w:rsidR="00EB7130" w:rsidRPr="00DD18D8">
        <w:rPr>
          <w:lang w:val="pl-PL"/>
        </w:rPr>
        <w:t>y</w:t>
      </w:r>
      <w:r w:rsidR="0099205F" w:rsidRPr="00DD18D8">
        <w:t xml:space="preserve"> w Biuletynie Informacji Publicznej na stronie internetowej Rządowego Centrum Legislacji.</w:t>
      </w:r>
      <w:r w:rsidR="000D5542" w:rsidRPr="00DD18D8">
        <w:t xml:space="preserve"> </w:t>
      </w:r>
    </w:p>
    <w:p w14:paraId="49C2B14D" w14:textId="43213724" w:rsidR="000C24E7" w:rsidRPr="00DD18D8" w:rsidRDefault="0074596A" w:rsidP="00F62FEE">
      <w:pPr>
        <w:pStyle w:val="Tekstpodstawowy"/>
        <w:spacing w:before="240" w:line="276" w:lineRule="auto"/>
        <w:rPr>
          <w:sz w:val="24"/>
          <w:szCs w:val="24"/>
        </w:rPr>
      </w:pPr>
      <w:r w:rsidRPr="00DD18D8">
        <w:rPr>
          <w:sz w:val="24"/>
          <w:szCs w:val="24"/>
          <w:lang w:val="pl-PL"/>
        </w:rPr>
        <w:t xml:space="preserve">Projekt </w:t>
      </w:r>
      <w:r w:rsidR="002F4AFD" w:rsidRPr="00DD18D8">
        <w:rPr>
          <w:sz w:val="24"/>
          <w:szCs w:val="24"/>
        </w:rPr>
        <w:t>rozporządzen</w:t>
      </w:r>
      <w:r w:rsidR="002F4AFD" w:rsidRPr="00DD18D8">
        <w:rPr>
          <w:sz w:val="24"/>
          <w:szCs w:val="24"/>
          <w:lang w:val="pl-PL"/>
        </w:rPr>
        <w:t>ia</w:t>
      </w:r>
      <w:r w:rsidR="00EF3C75" w:rsidRPr="00DD18D8">
        <w:rPr>
          <w:sz w:val="24"/>
          <w:szCs w:val="24"/>
        </w:rPr>
        <w:t xml:space="preserve"> nie zawiera przepisów technicznych w rozumieniu rozporządzenia Rady Ministrów z dnia 23 grudnia 2002 r. w sprawie sposobu funkcjonowania krajowego sytemu notyfikacji norm i aktów prawnych (Dz. U. poz. 2039</w:t>
      </w:r>
      <w:r w:rsidR="002B6F87" w:rsidRPr="00DD18D8">
        <w:rPr>
          <w:sz w:val="24"/>
          <w:szCs w:val="24"/>
        </w:rPr>
        <w:t xml:space="preserve"> oraz z 2004 r. poz. 597)</w:t>
      </w:r>
      <w:r w:rsidR="00EF3C75" w:rsidRPr="00DD18D8">
        <w:rPr>
          <w:sz w:val="24"/>
          <w:szCs w:val="24"/>
        </w:rPr>
        <w:t>, w</w:t>
      </w:r>
      <w:r w:rsidR="00FE0451">
        <w:rPr>
          <w:sz w:val="24"/>
          <w:szCs w:val="24"/>
          <w:lang w:val="pl-PL"/>
        </w:rPr>
        <w:t> </w:t>
      </w:r>
      <w:r w:rsidR="00EF3C75" w:rsidRPr="00DD18D8">
        <w:rPr>
          <w:sz w:val="24"/>
          <w:szCs w:val="24"/>
        </w:rPr>
        <w:t xml:space="preserve">związku z tym nie podlega notyfikacji. </w:t>
      </w:r>
    </w:p>
    <w:p w14:paraId="4D18B109" w14:textId="0785AB8D" w:rsidR="000C24E7" w:rsidRPr="00DD18D8" w:rsidRDefault="000C24E7" w:rsidP="00F62FEE">
      <w:pPr>
        <w:pStyle w:val="Tekstpodstawowy2"/>
        <w:spacing w:before="240" w:after="0" w:line="276" w:lineRule="auto"/>
        <w:jc w:val="both"/>
      </w:pPr>
      <w:r w:rsidRPr="00DD18D8">
        <w:t>Projekt rozporządzenia nie ma wpływu na działalność mikroprzedsiębiorców, małych i</w:t>
      </w:r>
      <w:r w:rsidR="00FE0451">
        <w:rPr>
          <w:lang w:val="pl-PL"/>
        </w:rPr>
        <w:t> </w:t>
      </w:r>
      <w:r w:rsidRPr="00DD18D8">
        <w:t>średnich</w:t>
      </w:r>
      <w:r w:rsidRPr="00DD18D8">
        <w:rPr>
          <w:lang w:val="pl-PL"/>
        </w:rPr>
        <w:t xml:space="preserve"> </w:t>
      </w:r>
      <w:r w:rsidRPr="00DD18D8">
        <w:t xml:space="preserve">przedsiębiorców w rozumieniu ustawy z dnia </w:t>
      </w:r>
      <w:r w:rsidR="00200A31" w:rsidRPr="00DD18D8">
        <w:rPr>
          <w:lang w:val="pl-PL"/>
        </w:rPr>
        <w:t>6</w:t>
      </w:r>
      <w:r w:rsidR="00200A31" w:rsidRPr="00DD18D8">
        <w:t xml:space="preserve"> </w:t>
      </w:r>
      <w:r w:rsidR="00200A31" w:rsidRPr="00DD18D8">
        <w:rPr>
          <w:lang w:val="pl-PL"/>
        </w:rPr>
        <w:t>marca</w:t>
      </w:r>
      <w:r w:rsidR="00200A31" w:rsidRPr="00DD18D8">
        <w:t xml:space="preserve"> </w:t>
      </w:r>
      <w:r w:rsidRPr="00DD18D8">
        <w:t>20</w:t>
      </w:r>
      <w:r w:rsidR="00200A31" w:rsidRPr="00DD18D8">
        <w:rPr>
          <w:lang w:val="pl-PL"/>
        </w:rPr>
        <w:t>18</w:t>
      </w:r>
      <w:r w:rsidRPr="00DD18D8">
        <w:t xml:space="preserve"> r.</w:t>
      </w:r>
      <w:r w:rsidR="00CA6DBE">
        <w:rPr>
          <w:lang w:val="pl-PL"/>
        </w:rPr>
        <w:t xml:space="preserve"> –</w:t>
      </w:r>
      <w:r w:rsidRPr="00DD18D8">
        <w:t xml:space="preserve"> </w:t>
      </w:r>
      <w:r w:rsidR="00200A31" w:rsidRPr="00DD18D8">
        <w:rPr>
          <w:lang w:val="pl-PL"/>
        </w:rPr>
        <w:t>Prawo przedsiębiorców</w:t>
      </w:r>
      <w:r w:rsidRPr="00DD18D8">
        <w:t xml:space="preserve"> </w:t>
      </w:r>
      <w:r w:rsidR="00200A31" w:rsidRPr="00DD18D8">
        <w:t>(</w:t>
      </w:r>
      <w:r w:rsidR="001A39D5">
        <w:t>Dz.</w:t>
      </w:r>
      <w:r w:rsidR="00416CFA">
        <w:rPr>
          <w:lang w:val="pl-PL"/>
        </w:rPr>
        <w:t xml:space="preserve"> </w:t>
      </w:r>
      <w:r w:rsidR="001A39D5">
        <w:t>U. z 2019 r. poz. 1292</w:t>
      </w:r>
      <w:r w:rsidR="001A39D5" w:rsidRPr="001A39D5" w:rsidDel="001A39D5">
        <w:t xml:space="preserve"> </w:t>
      </w:r>
      <w:r w:rsidR="00CA6DBE">
        <w:rPr>
          <w:lang w:val="pl-PL"/>
        </w:rPr>
        <w:t>, z późn. zm.</w:t>
      </w:r>
      <w:r w:rsidR="00200A31" w:rsidRPr="00DD18D8">
        <w:t>).</w:t>
      </w:r>
    </w:p>
    <w:p w14:paraId="474C8CD9" w14:textId="77777777" w:rsidR="00711E52" w:rsidRDefault="00711E52" w:rsidP="00F62FEE">
      <w:pPr>
        <w:pStyle w:val="Tekstpodstawowy2"/>
        <w:spacing w:before="240" w:after="0" w:line="276" w:lineRule="auto"/>
        <w:jc w:val="both"/>
      </w:pPr>
      <w:r w:rsidRPr="00711E52">
        <w:t xml:space="preserve">Przedmiot regulacji nie jest sprzeczny z prawem Unii Europejskiej. </w:t>
      </w:r>
    </w:p>
    <w:p w14:paraId="5EC42DDB" w14:textId="77777777" w:rsidR="00F62FEE" w:rsidRDefault="00F62FEE" w:rsidP="00DF03D9">
      <w:pPr>
        <w:pStyle w:val="Tekstpodstawowy2"/>
        <w:spacing w:after="0" w:line="276" w:lineRule="auto"/>
        <w:jc w:val="both"/>
      </w:pPr>
    </w:p>
    <w:p w14:paraId="27202046" w14:textId="77777777" w:rsidR="00F62FEE" w:rsidRDefault="000B1B36" w:rsidP="00DF03D9">
      <w:pPr>
        <w:pStyle w:val="Tekstpodstawowy2"/>
        <w:spacing w:after="0" w:line="276" w:lineRule="auto"/>
        <w:jc w:val="both"/>
      </w:pPr>
      <w:r w:rsidRPr="00DF03D9">
        <w:t>Rozporządzenie nie wymaga przedstawienia właściwym organom i instytucjom Unii Europejskiej, w tym Europejskiemu Bankowi Centralnemu w celu uzyskania opinii, dokonania powiadomienia, konsultacji albo uzgodnienia.</w:t>
      </w:r>
    </w:p>
    <w:p w14:paraId="35458AFE" w14:textId="77777777" w:rsidR="008607BC" w:rsidRDefault="008607BC" w:rsidP="00DF03D9">
      <w:pPr>
        <w:pStyle w:val="Tekstpodstawowy2"/>
        <w:spacing w:after="0" w:line="276" w:lineRule="auto"/>
        <w:jc w:val="both"/>
      </w:pPr>
    </w:p>
    <w:p w14:paraId="47F21541" w14:textId="0B0EAB4F" w:rsidR="008607BC" w:rsidRPr="00DF03D9" w:rsidRDefault="00711C93" w:rsidP="00DF03D9">
      <w:pPr>
        <w:pStyle w:val="Tekstpodstawowy2"/>
        <w:spacing w:after="0" w:line="276" w:lineRule="auto"/>
        <w:jc w:val="both"/>
      </w:pPr>
      <w:r w:rsidRPr="00711C93">
        <w:t>Odnosząc się do § 12 pkt 1 załącznika do rozporządzenia Prezesa Rady Ministrów z dnia 20 czerwca 2002 r. w sprawie „Zasad techniki prawodawczej” (Dz. U. z 2016 r. poz. 283), należy stwierdzić, że rozporządzenie uwzględnia regulacje, w stosunku do których nie ma możliwości, aby mogły być podjęte za pomocą alternatywnych środków.</w:t>
      </w:r>
    </w:p>
    <w:p w14:paraId="1682DE9F" w14:textId="77777777" w:rsidR="00CA6DBE" w:rsidRPr="00DD18D8" w:rsidRDefault="00CA6DBE" w:rsidP="00F62FEE">
      <w:pPr>
        <w:pStyle w:val="Tekstpodstawowy2"/>
        <w:spacing w:before="240" w:after="0" w:line="276" w:lineRule="auto"/>
        <w:jc w:val="both"/>
      </w:pPr>
    </w:p>
    <w:sectPr w:rsidR="00CA6DBE" w:rsidRPr="00DD18D8" w:rsidSect="004D23B3">
      <w:footerReference w:type="even" r:id="rId9"/>
      <w:footerReference w:type="default" r:id="rId10"/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AB5EB" w14:textId="77777777" w:rsidR="00321371" w:rsidRDefault="00321371" w:rsidP="00454A44">
      <w:pPr>
        <w:pStyle w:val="Nagwek"/>
      </w:pPr>
      <w:r>
        <w:separator/>
      </w:r>
    </w:p>
  </w:endnote>
  <w:endnote w:type="continuationSeparator" w:id="0">
    <w:p w14:paraId="5E53FB7E" w14:textId="77777777" w:rsidR="00321371" w:rsidRDefault="00321371" w:rsidP="00454A44">
      <w:pPr>
        <w:pStyle w:val="Nagwek"/>
      </w:pPr>
      <w:r>
        <w:continuationSeparator/>
      </w:r>
    </w:p>
  </w:endnote>
  <w:endnote w:type="continuationNotice" w:id="1">
    <w:p w14:paraId="05104825" w14:textId="77777777" w:rsidR="00321371" w:rsidRDefault="00321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4DDF9" w14:textId="77777777" w:rsidR="002974AD" w:rsidRDefault="002974AD" w:rsidP="00CD4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48580" w14:textId="77777777" w:rsidR="002974AD" w:rsidRDefault="002974AD" w:rsidP="007A1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30C" w14:textId="0054732C" w:rsidR="002974AD" w:rsidRDefault="002974AD" w:rsidP="00CD45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3A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5DDD3A" w14:textId="77777777" w:rsidR="002974AD" w:rsidRDefault="002974AD" w:rsidP="007A1E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BE02" w14:textId="77777777" w:rsidR="00321371" w:rsidRDefault="00321371" w:rsidP="00454A44">
      <w:pPr>
        <w:pStyle w:val="Nagwek"/>
      </w:pPr>
      <w:r>
        <w:separator/>
      </w:r>
    </w:p>
  </w:footnote>
  <w:footnote w:type="continuationSeparator" w:id="0">
    <w:p w14:paraId="5CE45684" w14:textId="77777777" w:rsidR="00321371" w:rsidRDefault="00321371" w:rsidP="00454A44">
      <w:pPr>
        <w:pStyle w:val="Nagwek"/>
      </w:pPr>
      <w:r>
        <w:continuationSeparator/>
      </w:r>
    </w:p>
  </w:footnote>
  <w:footnote w:type="continuationNotice" w:id="1">
    <w:p w14:paraId="7CA569E9" w14:textId="77777777" w:rsidR="00321371" w:rsidRDefault="00321371"/>
  </w:footnote>
  <w:footnote w:id="2">
    <w:p w14:paraId="746F4792" w14:textId="0DEAEC41" w:rsidR="002974AD" w:rsidRDefault="002974AD" w:rsidP="003409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58F3">
        <w:t>Kwota finansowego standardu A może ulec zmianie w przypadku korekty danych o liczbie uczniów (wychowanków) oraz liczbie etatów nauczycieli na poszczególnych stopniach awansu zawodowego w roku szkolnym 20</w:t>
      </w:r>
      <w:r>
        <w:t>20</w:t>
      </w:r>
      <w:r w:rsidRPr="009E58F3">
        <w:t>/20</w:t>
      </w:r>
      <w:r>
        <w:t>21</w:t>
      </w:r>
      <w:r w:rsidRPr="009E58F3">
        <w:t xml:space="preserve"> wykazanych w</w:t>
      </w:r>
      <w:r>
        <w:t> </w:t>
      </w:r>
      <w:r w:rsidRPr="009E58F3">
        <w:t xml:space="preserve">systemie informacji oświatowej (wg stanu na </w:t>
      </w:r>
      <w:r>
        <w:t xml:space="preserve">dzień </w:t>
      </w:r>
      <w:r w:rsidRPr="009E58F3">
        <w:t>30 września 20</w:t>
      </w:r>
      <w:r>
        <w:t>20</w:t>
      </w:r>
      <w:r w:rsidRPr="009E58F3">
        <w:t xml:space="preserve"> r. oraz </w:t>
      </w:r>
      <w:r>
        <w:t xml:space="preserve">dzień </w:t>
      </w:r>
      <w:r w:rsidRPr="009E58F3">
        <w:t>10 października 20</w:t>
      </w:r>
      <w:r>
        <w:t>20</w:t>
      </w:r>
      <w:r w:rsidRPr="009E58F3">
        <w:t xml:space="preserve"> r.).</w:t>
      </w:r>
    </w:p>
  </w:footnote>
  <w:footnote w:id="3">
    <w:p w14:paraId="2C70C09F" w14:textId="65D5DC9A" w:rsidR="002974AD" w:rsidRDefault="002974AD" w:rsidP="000C4A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Ministra Obrony Narodowej z dnia 23 grudnia 2019 r.  w sprawie określenia limitu zezwoleń na prowadzenie oddziałów przygotowania wojskowego w roku 2020 (Dz. U. poz. 2524).</w:t>
      </w:r>
    </w:p>
  </w:footnote>
  <w:footnote w:id="4">
    <w:p w14:paraId="7C9A619C" w14:textId="126BDF89" w:rsidR="002974AD" w:rsidRDefault="002974AD" w:rsidP="000C4A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Liczba 22 uczniów została przyjęta na podstawie rozporządzenia</w:t>
      </w:r>
      <w:r w:rsidRPr="00083C8B">
        <w:t xml:space="preserve"> </w:t>
      </w:r>
      <w:r>
        <w:t>Ministra O</w:t>
      </w:r>
      <w:r w:rsidRPr="00083C8B">
        <w:t xml:space="preserve">brony </w:t>
      </w:r>
      <w:r>
        <w:t>N</w:t>
      </w:r>
      <w:r w:rsidRPr="00083C8B">
        <w:t xml:space="preserve">arodowej </w:t>
      </w:r>
      <w:r>
        <w:t>z dnia</w:t>
      </w:r>
      <w:r w:rsidR="000309C3">
        <w:t xml:space="preserve"> 7 sierpnia 2020 r.</w:t>
      </w:r>
      <w:r>
        <w:t xml:space="preserve"> </w:t>
      </w:r>
      <w:r w:rsidRPr="00083C8B">
        <w:t>w sprawie wsparcia dla organu prowadzącego oddział przygotowania wojskowego</w:t>
      </w:r>
      <w:r>
        <w:t xml:space="preserve"> </w:t>
      </w:r>
      <w:r w:rsidRPr="00083C8B">
        <w:t>(Dz.</w:t>
      </w:r>
      <w:r>
        <w:t xml:space="preserve"> </w:t>
      </w:r>
      <w:r w:rsidRPr="00083C8B">
        <w:t>U. poz. 1390)</w:t>
      </w:r>
      <w:r>
        <w:t>. Dotacja na oddział jest przyznawana jeżeli oddział liczy minimum 22 uczniów.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268"/>
    <w:multiLevelType w:val="hybridMultilevel"/>
    <w:tmpl w:val="05668412"/>
    <w:lvl w:ilvl="0" w:tplc="2D1CD95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7BC254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046E9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3ED4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189E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86CB1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06E0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C4C17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8062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CB76AC"/>
    <w:multiLevelType w:val="hybridMultilevel"/>
    <w:tmpl w:val="F3B64848"/>
    <w:lvl w:ilvl="0" w:tplc="D9CCFECE">
      <w:start w:val="1"/>
      <w:numFmt w:val="bullet"/>
      <w:lvlText w:val="-"/>
      <w:lvlJc w:val="left"/>
      <w:pPr>
        <w:ind w:left="151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1043F6E"/>
    <w:multiLevelType w:val="hybridMultilevel"/>
    <w:tmpl w:val="D8EA45F6"/>
    <w:lvl w:ilvl="0" w:tplc="86308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96A"/>
    <w:multiLevelType w:val="hybridMultilevel"/>
    <w:tmpl w:val="92428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83774"/>
    <w:multiLevelType w:val="hybridMultilevel"/>
    <w:tmpl w:val="45B82EF0"/>
    <w:lvl w:ilvl="0" w:tplc="AEF215B4">
      <w:start w:val="2"/>
      <w:numFmt w:val="bullet"/>
      <w:pStyle w:val="wylicz6-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0585"/>
    <w:multiLevelType w:val="hybridMultilevel"/>
    <w:tmpl w:val="DCA8C85E"/>
    <w:lvl w:ilvl="0" w:tplc="D9CCFECE">
      <w:start w:val="1"/>
      <w:numFmt w:val="bullet"/>
      <w:lvlText w:val="-"/>
      <w:lvlJc w:val="left"/>
      <w:pPr>
        <w:ind w:left="151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AD12EAD"/>
    <w:multiLevelType w:val="hybridMultilevel"/>
    <w:tmpl w:val="CBC60F1C"/>
    <w:lvl w:ilvl="0" w:tplc="9108693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00918"/>
    <w:multiLevelType w:val="multilevel"/>
    <w:tmpl w:val="C426998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836C64"/>
    <w:multiLevelType w:val="hybridMultilevel"/>
    <w:tmpl w:val="5008AF5C"/>
    <w:lvl w:ilvl="0" w:tplc="142C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26D00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 w:tplc="3B8A7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20CE8E4" w:tentative="1">
      <w:start w:val="1"/>
      <w:numFmt w:val="decimal"/>
      <w:lvlText w:val="%4."/>
      <w:lvlJc w:val="left"/>
      <w:pPr>
        <w:ind w:left="2880" w:hanging="360"/>
      </w:pPr>
    </w:lvl>
    <w:lvl w:ilvl="4" w:tplc="25FA4540" w:tentative="1">
      <w:start w:val="1"/>
      <w:numFmt w:val="lowerLetter"/>
      <w:lvlText w:val="%5."/>
      <w:lvlJc w:val="left"/>
      <w:pPr>
        <w:ind w:left="3600" w:hanging="360"/>
      </w:pPr>
    </w:lvl>
    <w:lvl w:ilvl="5" w:tplc="13DAEE90" w:tentative="1">
      <w:start w:val="1"/>
      <w:numFmt w:val="lowerRoman"/>
      <w:lvlText w:val="%6."/>
      <w:lvlJc w:val="right"/>
      <w:pPr>
        <w:ind w:left="4320" w:hanging="180"/>
      </w:pPr>
    </w:lvl>
    <w:lvl w:ilvl="6" w:tplc="B454A9D6" w:tentative="1">
      <w:start w:val="1"/>
      <w:numFmt w:val="decimal"/>
      <w:lvlText w:val="%7."/>
      <w:lvlJc w:val="left"/>
      <w:pPr>
        <w:ind w:left="5040" w:hanging="360"/>
      </w:pPr>
    </w:lvl>
    <w:lvl w:ilvl="7" w:tplc="19B4741A" w:tentative="1">
      <w:start w:val="1"/>
      <w:numFmt w:val="lowerLetter"/>
      <w:lvlText w:val="%8."/>
      <w:lvlJc w:val="left"/>
      <w:pPr>
        <w:ind w:left="5760" w:hanging="360"/>
      </w:pPr>
    </w:lvl>
    <w:lvl w:ilvl="8" w:tplc="979E1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F32B6"/>
    <w:multiLevelType w:val="hybridMultilevel"/>
    <w:tmpl w:val="6AAE3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857A4"/>
    <w:multiLevelType w:val="hybridMultilevel"/>
    <w:tmpl w:val="DBFCF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F2344C"/>
    <w:multiLevelType w:val="hybridMultilevel"/>
    <w:tmpl w:val="E7CE5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B13EA"/>
    <w:multiLevelType w:val="hybridMultilevel"/>
    <w:tmpl w:val="E7CE5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201fbcd-3908-4282-a74c-ad25e4cea660"/>
    <w:docVar w:name="_AMO_XmlVersion" w:val="Empty"/>
  </w:docVars>
  <w:rsids>
    <w:rsidRoot w:val="00165447"/>
    <w:rsid w:val="00000E53"/>
    <w:rsid w:val="000027D0"/>
    <w:rsid w:val="00002ADF"/>
    <w:rsid w:val="0000496A"/>
    <w:rsid w:val="00004EE9"/>
    <w:rsid w:val="00006274"/>
    <w:rsid w:val="000064F0"/>
    <w:rsid w:val="00006FD1"/>
    <w:rsid w:val="00011578"/>
    <w:rsid w:val="00011DB5"/>
    <w:rsid w:val="00012A63"/>
    <w:rsid w:val="000142BE"/>
    <w:rsid w:val="00020063"/>
    <w:rsid w:val="00020A72"/>
    <w:rsid w:val="00021157"/>
    <w:rsid w:val="0002213C"/>
    <w:rsid w:val="000221D0"/>
    <w:rsid w:val="00023AF8"/>
    <w:rsid w:val="000244E0"/>
    <w:rsid w:val="0003022E"/>
    <w:rsid w:val="000309C3"/>
    <w:rsid w:val="00032115"/>
    <w:rsid w:val="000322C5"/>
    <w:rsid w:val="00036DEA"/>
    <w:rsid w:val="00036F2B"/>
    <w:rsid w:val="0004003D"/>
    <w:rsid w:val="000412EC"/>
    <w:rsid w:val="000413FA"/>
    <w:rsid w:val="00042DA2"/>
    <w:rsid w:val="00043CDA"/>
    <w:rsid w:val="00043D9D"/>
    <w:rsid w:val="0004400D"/>
    <w:rsid w:val="00044810"/>
    <w:rsid w:val="00044ADB"/>
    <w:rsid w:val="00044FAA"/>
    <w:rsid w:val="00045987"/>
    <w:rsid w:val="00051526"/>
    <w:rsid w:val="000523DA"/>
    <w:rsid w:val="000524A9"/>
    <w:rsid w:val="0005327F"/>
    <w:rsid w:val="000539AE"/>
    <w:rsid w:val="0005480A"/>
    <w:rsid w:val="00057E18"/>
    <w:rsid w:val="00060D61"/>
    <w:rsid w:val="000618C3"/>
    <w:rsid w:val="0006284C"/>
    <w:rsid w:val="00063CE4"/>
    <w:rsid w:val="0006495D"/>
    <w:rsid w:val="00064F7A"/>
    <w:rsid w:val="000660CF"/>
    <w:rsid w:val="00066112"/>
    <w:rsid w:val="00070112"/>
    <w:rsid w:val="00070116"/>
    <w:rsid w:val="00071545"/>
    <w:rsid w:val="00072DC7"/>
    <w:rsid w:val="000736A1"/>
    <w:rsid w:val="0007420D"/>
    <w:rsid w:val="00074F69"/>
    <w:rsid w:val="00075C90"/>
    <w:rsid w:val="00077641"/>
    <w:rsid w:val="00077B65"/>
    <w:rsid w:val="0008181D"/>
    <w:rsid w:val="0008196B"/>
    <w:rsid w:val="00081B57"/>
    <w:rsid w:val="0008240D"/>
    <w:rsid w:val="000829D4"/>
    <w:rsid w:val="00086470"/>
    <w:rsid w:val="00087C54"/>
    <w:rsid w:val="00087DE7"/>
    <w:rsid w:val="00090233"/>
    <w:rsid w:val="000927CB"/>
    <w:rsid w:val="00093979"/>
    <w:rsid w:val="00097156"/>
    <w:rsid w:val="000A0C69"/>
    <w:rsid w:val="000A1C1B"/>
    <w:rsid w:val="000A22B9"/>
    <w:rsid w:val="000A2BDA"/>
    <w:rsid w:val="000A3612"/>
    <w:rsid w:val="000A3639"/>
    <w:rsid w:val="000A3BB6"/>
    <w:rsid w:val="000A451B"/>
    <w:rsid w:val="000A52A8"/>
    <w:rsid w:val="000A6070"/>
    <w:rsid w:val="000A60E0"/>
    <w:rsid w:val="000A61AC"/>
    <w:rsid w:val="000A6DF8"/>
    <w:rsid w:val="000B0629"/>
    <w:rsid w:val="000B0D42"/>
    <w:rsid w:val="000B13A1"/>
    <w:rsid w:val="000B1B36"/>
    <w:rsid w:val="000B2CB2"/>
    <w:rsid w:val="000B2DD4"/>
    <w:rsid w:val="000B31B4"/>
    <w:rsid w:val="000B349F"/>
    <w:rsid w:val="000B3598"/>
    <w:rsid w:val="000B3D9B"/>
    <w:rsid w:val="000B3FA1"/>
    <w:rsid w:val="000B4F3E"/>
    <w:rsid w:val="000B6793"/>
    <w:rsid w:val="000B6BCC"/>
    <w:rsid w:val="000B6D53"/>
    <w:rsid w:val="000B6F08"/>
    <w:rsid w:val="000B7C19"/>
    <w:rsid w:val="000C2403"/>
    <w:rsid w:val="000C24E7"/>
    <w:rsid w:val="000C2DCB"/>
    <w:rsid w:val="000C4251"/>
    <w:rsid w:val="000C4393"/>
    <w:rsid w:val="000C4A1D"/>
    <w:rsid w:val="000C7706"/>
    <w:rsid w:val="000D473D"/>
    <w:rsid w:val="000D4F48"/>
    <w:rsid w:val="000D5542"/>
    <w:rsid w:val="000D5F08"/>
    <w:rsid w:val="000D64B7"/>
    <w:rsid w:val="000D77BC"/>
    <w:rsid w:val="000D7F79"/>
    <w:rsid w:val="000E07E1"/>
    <w:rsid w:val="000E0EE6"/>
    <w:rsid w:val="000E154D"/>
    <w:rsid w:val="000E17F1"/>
    <w:rsid w:val="000E1D54"/>
    <w:rsid w:val="000E2232"/>
    <w:rsid w:val="000E2D93"/>
    <w:rsid w:val="000E37C5"/>
    <w:rsid w:val="000E62D6"/>
    <w:rsid w:val="000E660E"/>
    <w:rsid w:val="000E6FE0"/>
    <w:rsid w:val="000E73F5"/>
    <w:rsid w:val="000E7C51"/>
    <w:rsid w:val="000E7D87"/>
    <w:rsid w:val="000F0185"/>
    <w:rsid w:val="000F14B1"/>
    <w:rsid w:val="000F2643"/>
    <w:rsid w:val="000F2B07"/>
    <w:rsid w:val="000F5057"/>
    <w:rsid w:val="000F66A3"/>
    <w:rsid w:val="000F6E03"/>
    <w:rsid w:val="000F712F"/>
    <w:rsid w:val="000F7CB7"/>
    <w:rsid w:val="00101257"/>
    <w:rsid w:val="001015D6"/>
    <w:rsid w:val="00102345"/>
    <w:rsid w:val="0010569C"/>
    <w:rsid w:val="00105BB8"/>
    <w:rsid w:val="00105ED8"/>
    <w:rsid w:val="00107632"/>
    <w:rsid w:val="00110268"/>
    <w:rsid w:val="00110437"/>
    <w:rsid w:val="00111873"/>
    <w:rsid w:val="001120AE"/>
    <w:rsid w:val="001162FB"/>
    <w:rsid w:val="00120A13"/>
    <w:rsid w:val="001220E2"/>
    <w:rsid w:val="00123253"/>
    <w:rsid w:val="001236E5"/>
    <w:rsid w:val="0012490F"/>
    <w:rsid w:val="0012555D"/>
    <w:rsid w:val="00125945"/>
    <w:rsid w:val="00125BFF"/>
    <w:rsid w:val="00125CFF"/>
    <w:rsid w:val="001265A9"/>
    <w:rsid w:val="001266F3"/>
    <w:rsid w:val="00126B91"/>
    <w:rsid w:val="00130271"/>
    <w:rsid w:val="001348DC"/>
    <w:rsid w:val="0014257A"/>
    <w:rsid w:val="00143C75"/>
    <w:rsid w:val="00144D0C"/>
    <w:rsid w:val="00145206"/>
    <w:rsid w:val="001456D8"/>
    <w:rsid w:val="0014587B"/>
    <w:rsid w:val="0014713A"/>
    <w:rsid w:val="001479F3"/>
    <w:rsid w:val="00151E85"/>
    <w:rsid w:val="00151EE9"/>
    <w:rsid w:val="001522EF"/>
    <w:rsid w:val="0015391D"/>
    <w:rsid w:val="00153E7E"/>
    <w:rsid w:val="00153F31"/>
    <w:rsid w:val="001554D9"/>
    <w:rsid w:val="00156BFA"/>
    <w:rsid w:val="00161E6E"/>
    <w:rsid w:val="00165447"/>
    <w:rsid w:val="00165F81"/>
    <w:rsid w:val="00166601"/>
    <w:rsid w:val="001666D5"/>
    <w:rsid w:val="00170A69"/>
    <w:rsid w:val="001711D9"/>
    <w:rsid w:val="00172390"/>
    <w:rsid w:val="00172981"/>
    <w:rsid w:val="00173B3B"/>
    <w:rsid w:val="00174D14"/>
    <w:rsid w:val="0017568B"/>
    <w:rsid w:val="00175D39"/>
    <w:rsid w:val="0017767B"/>
    <w:rsid w:val="00177961"/>
    <w:rsid w:val="0018199C"/>
    <w:rsid w:val="00183182"/>
    <w:rsid w:val="0018413F"/>
    <w:rsid w:val="0018436F"/>
    <w:rsid w:val="00184934"/>
    <w:rsid w:val="00184C96"/>
    <w:rsid w:val="001851E5"/>
    <w:rsid w:val="001859A4"/>
    <w:rsid w:val="00185D8D"/>
    <w:rsid w:val="00187E19"/>
    <w:rsid w:val="00187ECA"/>
    <w:rsid w:val="00190223"/>
    <w:rsid w:val="0019033B"/>
    <w:rsid w:val="001903A5"/>
    <w:rsid w:val="001912A1"/>
    <w:rsid w:val="00191BEB"/>
    <w:rsid w:val="00191CCC"/>
    <w:rsid w:val="00191DF1"/>
    <w:rsid w:val="00192FDC"/>
    <w:rsid w:val="00193385"/>
    <w:rsid w:val="001959FA"/>
    <w:rsid w:val="001965CA"/>
    <w:rsid w:val="001A093F"/>
    <w:rsid w:val="001A0F32"/>
    <w:rsid w:val="001A137B"/>
    <w:rsid w:val="001A1D2B"/>
    <w:rsid w:val="001A38C6"/>
    <w:rsid w:val="001A39D5"/>
    <w:rsid w:val="001A58C1"/>
    <w:rsid w:val="001A780B"/>
    <w:rsid w:val="001A7D07"/>
    <w:rsid w:val="001B0380"/>
    <w:rsid w:val="001B162C"/>
    <w:rsid w:val="001B173C"/>
    <w:rsid w:val="001B1F02"/>
    <w:rsid w:val="001B336B"/>
    <w:rsid w:val="001B437E"/>
    <w:rsid w:val="001B48D6"/>
    <w:rsid w:val="001B4B4C"/>
    <w:rsid w:val="001B4BA9"/>
    <w:rsid w:val="001B5E37"/>
    <w:rsid w:val="001B6B9D"/>
    <w:rsid w:val="001B78D6"/>
    <w:rsid w:val="001C0E0D"/>
    <w:rsid w:val="001C277F"/>
    <w:rsid w:val="001C2E6F"/>
    <w:rsid w:val="001C38BD"/>
    <w:rsid w:val="001C3910"/>
    <w:rsid w:val="001C4260"/>
    <w:rsid w:val="001C506B"/>
    <w:rsid w:val="001C51B7"/>
    <w:rsid w:val="001C5314"/>
    <w:rsid w:val="001C6A4C"/>
    <w:rsid w:val="001D486F"/>
    <w:rsid w:val="001D4D6E"/>
    <w:rsid w:val="001D6C06"/>
    <w:rsid w:val="001D7050"/>
    <w:rsid w:val="001E035A"/>
    <w:rsid w:val="001E2988"/>
    <w:rsid w:val="001E312E"/>
    <w:rsid w:val="001E4103"/>
    <w:rsid w:val="001E4E1A"/>
    <w:rsid w:val="001E58E9"/>
    <w:rsid w:val="001E5C78"/>
    <w:rsid w:val="001E5CC6"/>
    <w:rsid w:val="001E62BE"/>
    <w:rsid w:val="001E78A5"/>
    <w:rsid w:val="001F05EB"/>
    <w:rsid w:val="001F1C01"/>
    <w:rsid w:val="001F1E61"/>
    <w:rsid w:val="001F40CE"/>
    <w:rsid w:val="001F43DC"/>
    <w:rsid w:val="001F45C4"/>
    <w:rsid w:val="001F5417"/>
    <w:rsid w:val="001F6502"/>
    <w:rsid w:val="00200A31"/>
    <w:rsid w:val="00202C48"/>
    <w:rsid w:val="00204130"/>
    <w:rsid w:val="00204536"/>
    <w:rsid w:val="0020648C"/>
    <w:rsid w:val="002069E9"/>
    <w:rsid w:val="00206DB1"/>
    <w:rsid w:val="002070C6"/>
    <w:rsid w:val="0020766E"/>
    <w:rsid w:val="00211293"/>
    <w:rsid w:val="00211A54"/>
    <w:rsid w:val="00211FA7"/>
    <w:rsid w:val="002133AF"/>
    <w:rsid w:val="00216740"/>
    <w:rsid w:val="00221C2E"/>
    <w:rsid w:val="002222C9"/>
    <w:rsid w:val="00223B72"/>
    <w:rsid w:val="00225C16"/>
    <w:rsid w:val="00225C73"/>
    <w:rsid w:val="00226887"/>
    <w:rsid w:val="002269F9"/>
    <w:rsid w:val="00226AD0"/>
    <w:rsid w:val="00231598"/>
    <w:rsid w:val="00231B82"/>
    <w:rsid w:val="0023237D"/>
    <w:rsid w:val="0023332B"/>
    <w:rsid w:val="0023377E"/>
    <w:rsid w:val="00233852"/>
    <w:rsid w:val="002340A8"/>
    <w:rsid w:val="00234ABE"/>
    <w:rsid w:val="002353C1"/>
    <w:rsid w:val="00235B0F"/>
    <w:rsid w:val="00237811"/>
    <w:rsid w:val="002408D1"/>
    <w:rsid w:val="00240BA1"/>
    <w:rsid w:val="00242321"/>
    <w:rsid w:val="002428E3"/>
    <w:rsid w:val="00243065"/>
    <w:rsid w:val="002436C8"/>
    <w:rsid w:val="00243E6A"/>
    <w:rsid w:val="00245A9A"/>
    <w:rsid w:val="00245C00"/>
    <w:rsid w:val="00245D6D"/>
    <w:rsid w:val="00246615"/>
    <w:rsid w:val="00247168"/>
    <w:rsid w:val="002475EF"/>
    <w:rsid w:val="00251B0F"/>
    <w:rsid w:val="00251D68"/>
    <w:rsid w:val="0025229E"/>
    <w:rsid w:val="00253DF4"/>
    <w:rsid w:val="002551FE"/>
    <w:rsid w:val="0025522C"/>
    <w:rsid w:val="00255D58"/>
    <w:rsid w:val="0025793A"/>
    <w:rsid w:val="00257ECD"/>
    <w:rsid w:val="00261AD2"/>
    <w:rsid w:val="00265CF0"/>
    <w:rsid w:val="002660B7"/>
    <w:rsid w:val="00266C14"/>
    <w:rsid w:val="00267589"/>
    <w:rsid w:val="002701F0"/>
    <w:rsid w:val="00272E31"/>
    <w:rsid w:val="00273370"/>
    <w:rsid w:val="002751F2"/>
    <w:rsid w:val="00276144"/>
    <w:rsid w:val="00276213"/>
    <w:rsid w:val="0027786F"/>
    <w:rsid w:val="00277A04"/>
    <w:rsid w:val="002804C2"/>
    <w:rsid w:val="002811C3"/>
    <w:rsid w:val="00282C12"/>
    <w:rsid w:val="00283038"/>
    <w:rsid w:val="00283C54"/>
    <w:rsid w:val="00285650"/>
    <w:rsid w:val="00291517"/>
    <w:rsid w:val="00292CAB"/>
    <w:rsid w:val="0029390D"/>
    <w:rsid w:val="002952D1"/>
    <w:rsid w:val="00296C4C"/>
    <w:rsid w:val="002974AD"/>
    <w:rsid w:val="00297E99"/>
    <w:rsid w:val="002A0657"/>
    <w:rsid w:val="002A2FE5"/>
    <w:rsid w:val="002A480F"/>
    <w:rsid w:val="002A4AE0"/>
    <w:rsid w:val="002A647C"/>
    <w:rsid w:val="002A686D"/>
    <w:rsid w:val="002A79E8"/>
    <w:rsid w:val="002A7C70"/>
    <w:rsid w:val="002B2E21"/>
    <w:rsid w:val="002B3BEA"/>
    <w:rsid w:val="002B4A54"/>
    <w:rsid w:val="002B5C6F"/>
    <w:rsid w:val="002B5CAB"/>
    <w:rsid w:val="002B6593"/>
    <w:rsid w:val="002B6962"/>
    <w:rsid w:val="002B6F87"/>
    <w:rsid w:val="002B7232"/>
    <w:rsid w:val="002B7C89"/>
    <w:rsid w:val="002C0FF1"/>
    <w:rsid w:val="002C1EBB"/>
    <w:rsid w:val="002C30B9"/>
    <w:rsid w:val="002C3141"/>
    <w:rsid w:val="002C3198"/>
    <w:rsid w:val="002C3895"/>
    <w:rsid w:val="002C4F27"/>
    <w:rsid w:val="002C50A0"/>
    <w:rsid w:val="002C50A3"/>
    <w:rsid w:val="002C7CCA"/>
    <w:rsid w:val="002C7E12"/>
    <w:rsid w:val="002C7E27"/>
    <w:rsid w:val="002D0B50"/>
    <w:rsid w:val="002D125F"/>
    <w:rsid w:val="002D1A19"/>
    <w:rsid w:val="002D2102"/>
    <w:rsid w:val="002D2D7B"/>
    <w:rsid w:val="002D3707"/>
    <w:rsid w:val="002D51C7"/>
    <w:rsid w:val="002D5619"/>
    <w:rsid w:val="002D5886"/>
    <w:rsid w:val="002D5E98"/>
    <w:rsid w:val="002D5F88"/>
    <w:rsid w:val="002D690D"/>
    <w:rsid w:val="002D73B6"/>
    <w:rsid w:val="002D7C59"/>
    <w:rsid w:val="002D7F8D"/>
    <w:rsid w:val="002D7FCE"/>
    <w:rsid w:val="002E1B4E"/>
    <w:rsid w:val="002E1C05"/>
    <w:rsid w:val="002E2817"/>
    <w:rsid w:val="002E4DA5"/>
    <w:rsid w:val="002E5A15"/>
    <w:rsid w:val="002E6BF8"/>
    <w:rsid w:val="002E79D7"/>
    <w:rsid w:val="002E7A33"/>
    <w:rsid w:val="002F1FF5"/>
    <w:rsid w:val="002F31EE"/>
    <w:rsid w:val="002F3E77"/>
    <w:rsid w:val="002F4AFD"/>
    <w:rsid w:val="002F7A87"/>
    <w:rsid w:val="00300F7C"/>
    <w:rsid w:val="003018FC"/>
    <w:rsid w:val="00301FB4"/>
    <w:rsid w:val="00302E5E"/>
    <w:rsid w:val="00303FEA"/>
    <w:rsid w:val="00304A17"/>
    <w:rsid w:val="003054D5"/>
    <w:rsid w:val="0030564E"/>
    <w:rsid w:val="003059B9"/>
    <w:rsid w:val="00311496"/>
    <w:rsid w:val="003115E2"/>
    <w:rsid w:val="003115E8"/>
    <w:rsid w:val="00311EBE"/>
    <w:rsid w:val="003130BA"/>
    <w:rsid w:val="003138A6"/>
    <w:rsid w:val="0031462A"/>
    <w:rsid w:val="00314D33"/>
    <w:rsid w:val="0031624C"/>
    <w:rsid w:val="00316467"/>
    <w:rsid w:val="00316533"/>
    <w:rsid w:val="00316CE9"/>
    <w:rsid w:val="0031706D"/>
    <w:rsid w:val="00317994"/>
    <w:rsid w:val="00320613"/>
    <w:rsid w:val="00321371"/>
    <w:rsid w:val="00321F22"/>
    <w:rsid w:val="00322158"/>
    <w:rsid w:val="0032376B"/>
    <w:rsid w:val="00323875"/>
    <w:rsid w:val="00324D11"/>
    <w:rsid w:val="003251D9"/>
    <w:rsid w:val="00325D69"/>
    <w:rsid w:val="0032640B"/>
    <w:rsid w:val="00327463"/>
    <w:rsid w:val="003277CD"/>
    <w:rsid w:val="00330EA9"/>
    <w:rsid w:val="0033160D"/>
    <w:rsid w:val="00334227"/>
    <w:rsid w:val="00334528"/>
    <w:rsid w:val="003345EC"/>
    <w:rsid w:val="0033620E"/>
    <w:rsid w:val="00337A1D"/>
    <w:rsid w:val="00340843"/>
    <w:rsid w:val="00340887"/>
    <w:rsid w:val="0034097A"/>
    <w:rsid w:val="003414BF"/>
    <w:rsid w:val="00342C75"/>
    <w:rsid w:val="00342E7F"/>
    <w:rsid w:val="003433FD"/>
    <w:rsid w:val="00343850"/>
    <w:rsid w:val="0035072A"/>
    <w:rsid w:val="00351F73"/>
    <w:rsid w:val="00352AD3"/>
    <w:rsid w:val="003537F0"/>
    <w:rsid w:val="00354883"/>
    <w:rsid w:val="003568CA"/>
    <w:rsid w:val="00360635"/>
    <w:rsid w:val="00360945"/>
    <w:rsid w:val="00361C85"/>
    <w:rsid w:val="00362427"/>
    <w:rsid w:val="003628BE"/>
    <w:rsid w:val="00362B46"/>
    <w:rsid w:val="00362C52"/>
    <w:rsid w:val="00364061"/>
    <w:rsid w:val="0036431A"/>
    <w:rsid w:val="00364C73"/>
    <w:rsid w:val="00365045"/>
    <w:rsid w:val="003662A3"/>
    <w:rsid w:val="00366CE4"/>
    <w:rsid w:val="0036774E"/>
    <w:rsid w:val="00367D18"/>
    <w:rsid w:val="003702CA"/>
    <w:rsid w:val="00370D24"/>
    <w:rsid w:val="0037262F"/>
    <w:rsid w:val="00373617"/>
    <w:rsid w:val="00373641"/>
    <w:rsid w:val="00374D65"/>
    <w:rsid w:val="003751B8"/>
    <w:rsid w:val="00376198"/>
    <w:rsid w:val="00376500"/>
    <w:rsid w:val="003774F4"/>
    <w:rsid w:val="00380C40"/>
    <w:rsid w:val="00383F80"/>
    <w:rsid w:val="00386304"/>
    <w:rsid w:val="00386588"/>
    <w:rsid w:val="00386857"/>
    <w:rsid w:val="0039024D"/>
    <w:rsid w:val="00390275"/>
    <w:rsid w:val="00391E62"/>
    <w:rsid w:val="00392418"/>
    <w:rsid w:val="003938A6"/>
    <w:rsid w:val="003942AE"/>
    <w:rsid w:val="00396862"/>
    <w:rsid w:val="00396E6D"/>
    <w:rsid w:val="0039778A"/>
    <w:rsid w:val="003A0270"/>
    <w:rsid w:val="003A08A9"/>
    <w:rsid w:val="003A39A4"/>
    <w:rsid w:val="003A4037"/>
    <w:rsid w:val="003A497F"/>
    <w:rsid w:val="003A6AAF"/>
    <w:rsid w:val="003A6ED1"/>
    <w:rsid w:val="003A718C"/>
    <w:rsid w:val="003A73AB"/>
    <w:rsid w:val="003B5439"/>
    <w:rsid w:val="003C2982"/>
    <w:rsid w:val="003C3E59"/>
    <w:rsid w:val="003C4582"/>
    <w:rsid w:val="003C64C2"/>
    <w:rsid w:val="003C674C"/>
    <w:rsid w:val="003C6F7F"/>
    <w:rsid w:val="003C773E"/>
    <w:rsid w:val="003D1639"/>
    <w:rsid w:val="003D4C64"/>
    <w:rsid w:val="003D5415"/>
    <w:rsid w:val="003D54BA"/>
    <w:rsid w:val="003D5633"/>
    <w:rsid w:val="003D60EF"/>
    <w:rsid w:val="003D7E61"/>
    <w:rsid w:val="003E1DD9"/>
    <w:rsid w:val="003E205C"/>
    <w:rsid w:val="003E4CE6"/>
    <w:rsid w:val="003E5E13"/>
    <w:rsid w:val="003E672B"/>
    <w:rsid w:val="003F165E"/>
    <w:rsid w:val="003F439B"/>
    <w:rsid w:val="003F4CAF"/>
    <w:rsid w:val="003F5E31"/>
    <w:rsid w:val="00400DBD"/>
    <w:rsid w:val="00404902"/>
    <w:rsid w:val="00407E32"/>
    <w:rsid w:val="00407F10"/>
    <w:rsid w:val="004116E9"/>
    <w:rsid w:val="004118DE"/>
    <w:rsid w:val="00413071"/>
    <w:rsid w:val="00414CB0"/>
    <w:rsid w:val="00415389"/>
    <w:rsid w:val="00416837"/>
    <w:rsid w:val="00416CFA"/>
    <w:rsid w:val="00421282"/>
    <w:rsid w:val="00421292"/>
    <w:rsid w:val="00423177"/>
    <w:rsid w:val="00424774"/>
    <w:rsid w:val="00427EC1"/>
    <w:rsid w:val="0043018D"/>
    <w:rsid w:val="004330AD"/>
    <w:rsid w:val="00433C6C"/>
    <w:rsid w:val="00436DA2"/>
    <w:rsid w:val="00437F2E"/>
    <w:rsid w:val="00441E4F"/>
    <w:rsid w:val="0044269F"/>
    <w:rsid w:val="004442E2"/>
    <w:rsid w:val="0044462A"/>
    <w:rsid w:val="00444C56"/>
    <w:rsid w:val="00446980"/>
    <w:rsid w:val="00447D6C"/>
    <w:rsid w:val="00451147"/>
    <w:rsid w:val="00451E6D"/>
    <w:rsid w:val="00451E84"/>
    <w:rsid w:val="004520BD"/>
    <w:rsid w:val="0045260E"/>
    <w:rsid w:val="004528E8"/>
    <w:rsid w:val="004531D3"/>
    <w:rsid w:val="00453D34"/>
    <w:rsid w:val="00454A44"/>
    <w:rsid w:val="004554FC"/>
    <w:rsid w:val="00456453"/>
    <w:rsid w:val="0045682E"/>
    <w:rsid w:val="004616A6"/>
    <w:rsid w:val="00462470"/>
    <w:rsid w:val="00462A53"/>
    <w:rsid w:val="00462B64"/>
    <w:rsid w:val="00462EB8"/>
    <w:rsid w:val="00464BF2"/>
    <w:rsid w:val="00465182"/>
    <w:rsid w:val="004707CF"/>
    <w:rsid w:val="00475006"/>
    <w:rsid w:val="00475C9B"/>
    <w:rsid w:val="004762DC"/>
    <w:rsid w:val="00476D89"/>
    <w:rsid w:val="004802DC"/>
    <w:rsid w:val="00481535"/>
    <w:rsid w:val="004855F3"/>
    <w:rsid w:val="004857EF"/>
    <w:rsid w:val="00485E29"/>
    <w:rsid w:val="0048623F"/>
    <w:rsid w:val="00487E62"/>
    <w:rsid w:val="00490E54"/>
    <w:rsid w:val="00491E3C"/>
    <w:rsid w:val="00494DA7"/>
    <w:rsid w:val="00496022"/>
    <w:rsid w:val="00496121"/>
    <w:rsid w:val="00496B0B"/>
    <w:rsid w:val="00497BC6"/>
    <w:rsid w:val="00497E69"/>
    <w:rsid w:val="004A0463"/>
    <w:rsid w:val="004A37AD"/>
    <w:rsid w:val="004A37BE"/>
    <w:rsid w:val="004A4046"/>
    <w:rsid w:val="004A4634"/>
    <w:rsid w:val="004A4F0E"/>
    <w:rsid w:val="004A6138"/>
    <w:rsid w:val="004A6528"/>
    <w:rsid w:val="004A6B19"/>
    <w:rsid w:val="004A7FDF"/>
    <w:rsid w:val="004B0421"/>
    <w:rsid w:val="004B1C4B"/>
    <w:rsid w:val="004B29B9"/>
    <w:rsid w:val="004B42AC"/>
    <w:rsid w:val="004B5147"/>
    <w:rsid w:val="004B5612"/>
    <w:rsid w:val="004B60ED"/>
    <w:rsid w:val="004B721A"/>
    <w:rsid w:val="004B7291"/>
    <w:rsid w:val="004B730E"/>
    <w:rsid w:val="004B740F"/>
    <w:rsid w:val="004B7F45"/>
    <w:rsid w:val="004C193A"/>
    <w:rsid w:val="004C1B63"/>
    <w:rsid w:val="004C32BB"/>
    <w:rsid w:val="004C470F"/>
    <w:rsid w:val="004C63C1"/>
    <w:rsid w:val="004C6898"/>
    <w:rsid w:val="004D0390"/>
    <w:rsid w:val="004D0D6C"/>
    <w:rsid w:val="004D2216"/>
    <w:rsid w:val="004D23B3"/>
    <w:rsid w:val="004D73DB"/>
    <w:rsid w:val="004E00D7"/>
    <w:rsid w:val="004E2E8B"/>
    <w:rsid w:val="004E4458"/>
    <w:rsid w:val="004E6B38"/>
    <w:rsid w:val="004E7DC6"/>
    <w:rsid w:val="004F05D4"/>
    <w:rsid w:val="004F1318"/>
    <w:rsid w:val="004F3649"/>
    <w:rsid w:val="004F44DB"/>
    <w:rsid w:val="004F467D"/>
    <w:rsid w:val="004F54B3"/>
    <w:rsid w:val="004F606C"/>
    <w:rsid w:val="004F7709"/>
    <w:rsid w:val="005012C2"/>
    <w:rsid w:val="00502E7D"/>
    <w:rsid w:val="00503053"/>
    <w:rsid w:val="00505A14"/>
    <w:rsid w:val="00505DF5"/>
    <w:rsid w:val="0051264A"/>
    <w:rsid w:val="00512EEE"/>
    <w:rsid w:val="005131E1"/>
    <w:rsid w:val="005142FD"/>
    <w:rsid w:val="0051478A"/>
    <w:rsid w:val="005156FA"/>
    <w:rsid w:val="00515DE0"/>
    <w:rsid w:val="00515DE2"/>
    <w:rsid w:val="00516EB2"/>
    <w:rsid w:val="00517DE2"/>
    <w:rsid w:val="00521055"/>
    <w:rsid w:val="005226C7"/>
    <w:rsid w:val="00522E55"/>
    <w:rsid w:val="00523379"/>
    <w:rsid w:val="00523E9B"/>
    <w:rsid w:val="00527227"/>
    <w:rsid w:val="00527351"/>
    <w:rsid w:val="00527772"/>
    <w:rsid w:val="005302DC"/>
    <w:rsid w:val="00532228"/>
    <w:rsid w:val="00532703"/>
    <w:rsid w:val="00534959"/>
    <w:rsid w:val="005355DF"/>
    <w:rsid w:val="00541360"/>
    <w:rsid w:val="00541C64"/>
    <w:rsid w:val="005426EF"/>
    <w:rsid w:val="00542B6C"/>
    <w:rsid w:val="005438B0"/>
    <w:rsid w:val="00543FAA"/>
    <w:rsid w:val="00544251"/>
    <w:rsid w:val="00544BDC"/>
    <w:rsid w:val="00545160"/>
    <w:rsid w:val="00545D0B"/>
    <w:rsid w:val="00546B52"/>
    <w:rsid w:val="00546BDF"/>
    <w:rsid w:val="00547FC9"/>
    <w:rsid w:val="00553561"/>
    <w:rsid w:val="00553A10"/>
    <w:rsid w:val="00554AC8"/>
    <w:rsid w:val="00554D1B"/>
    <w:rsid w:val="00555383"/>
    <w:rsid w:val="00555D84"/>
    <w:rsid w:val="00555FE2"/>
    <w:rsid w:val="00556971"/>
    <w:rsid w:val="00557934"/>
    <w:rsid w:val="005608D7"/>
    <w:rsid w:val="00561716"/>
    <w:rsid w:val="00561ECD"/>
    <w:rsid w:val="00562100"/>
    <w:rsid w:val="00564868"/>
    <w:rsid w:val="00565022"/>
    <w:rsid w:val="00565272"/>
    <w:rsid w:val="00565C06"/>
    <w:rsid w:val="00566527"/>
    <w:rsid w:val="00570AF9"/>
    <w:rsid w:val="00570CE8"/>
    <w:rsid w:val="00570F7E"/>
    <w:rsid w:val="005715B8"/>
    <w:rsid w:val="00571627"/>
    <w:rsid w:val="00571752"/>
    <w:rsid w:val="0057200B"/>
    <w:rsid w:val="005738C5"/>
    <w:rsid w:val="00574079"/>
    <w:rsid w:val="00574DDA"/>
    <w:rsid w:val="00574F2C"/>
    <w:rsid w:val="00576955"/>
    <w:rsid w:val="00577458"/>
    <w:rsid w:val="00577A4D"/>
    <w:rsid w:val="00577CD6"/>
    <w:rsid w:val="005816E8"/>
    <w:rsid w:val="0058288A"/>
    <w:rsid w:val="00587663"/>
    <w:rsid w:val="00587C07"/>
    <w:rsid w:val="005911D6"/>
    <w:rsid w:val="0059137E"/>
    <w:rsid w:val="005916E5"/>
    <w:rsid w:val="005923A2"/>
    <w:rsid w:val="005935E2"/>
    <w:rsid w:val="005942F1"/>
    <w:rsid w:val="00595861"/>
    <w:rsid w:val="005970DD"/>
    <w:rsid w:val="0059724B"/>
    <w:rsid w:val="005A0D02"/>
    <w:rsid w:val="005A177E"/>
    <w:rsid w:val="005A1C21"/>
    <w:rsid w:val="005A2DF3"/>
    <w:rsid w:val="005A3B99"/>
    <w:rsid w:val="005A4FD5"/>
    <w:rsid w:val="005A5597"/>
    <w:rsid w:val="005A590D"/>
    <w:rsid w:val="005A59E4"/>
    <w:rsid w:val="005A5EDB"/>
    <w:rsid w:val="005A65C4"/>
    <w:rsid w:val="005A686A"/>
    <w:rsid w:val="005A7FD2"/>
    <w:rsid w:val="005B0F3C"/>
    <w:rsid w:val="005B153B"/>
    <w:rsid w:val="005B1568"/>
    <w:rsid w:val="005B2C5E"/>
    <w:rsid w:val="005B4297"/>
    <w:rsid w:val="005B431A"/>
    <w:rsid w:val="005B463E"/>
    <w:rsid w:val="005B490C"/>
    <w:rsid w:val="005B5049"/>
    <w:rsid w:val="005B578B"/>
    <w:rsid w:val="005B7665"/>
    <w:rsid w:val="005C0896"/>
    <w:rsid w:val="005C16AC"/>
    <w:rsid w:val="005C1C3A"/>
    <w:rsid w:val="005C25DA"/>
    <w:rsid w:val="005C27DE"/>
    <w:rsid w:val="005C2A7F"/>
    <w:rsid w:val="005C2C3C"/>
    <w:rsid w:val="005C3E23"/>
    <w:rsid w:val="005C4A05"/>
    <w:rsid w:val="005C4C14"/>
    <w:rsid w:val="005C5901"/>
    <w:rsid w:val="005C6A79"/>
    <w:rsid w:val="005C6C36"/>
    <w:rsid w:val="005C6C93"/>
    <w:rsid w:val="005C7AC2"/>
    <w:rsid w:val="005D01EA"/>
    <w:rsid w:val="005D0B48"/>
    <w:rsid w:val="005D10F2"/>
    <w:rsid w:val="005D1D06"/>
    <w:rsid w:val="005D3326"/>
    <w:rsid w:val="005D3C1C"/>
    <w:rsid w:val="005D3C76"/>
    <w:rsid w:val="005D3F23"/>
    <w:rsid w:val="005D46FD"/>
    <w:rsid w:val="005D554A"/>
    <w:rsid w:val="005D64CB"/>
    <w:rsid w:val="005D69C3"/>
    <w:rsid w:val="005E12EF"/>
    <w:rsid w:val="005E2368"/>
    <w:rsid w:val="005E45E5"/>
    <w:rsid w:val="005E53B1"/>
    <w:rsid w:val="005E6345"/>
    <w:rsid w:val="005E668F"/>
    <w:rsid w:val="005E6D31"/>
    <w:rsid w:val="005F0946"/>
    <w:rsid w:val="005F1248"/>
    <w:rsid w:val="005F158D"/>
    <w:rsid w:val="005F1FD7"/>
    <w:rsid w:val="005F63AA"/>
    <w:rsid w:val="005F6939"/>
    <w:rsid w:val="005F6D77"/>
    <w:rsid w:val="00601328"/>
    <w:rsid w:val="0060204C"/>
    <w:rsid w:val="0060350D"/>
    <w:rsid w:val="00603C0F"/>
    <w:rsid w:val="00603F41"/>
    <w:rsid w:val="00605470"/>
    <w:rsid w:val="006058CD"/>
    <w:rsid w:val="00605A77"/>
    <w:rsid w:val="00605F27"/>
    <w:rsid w:val="00606613"/>
    <w:rsid w:val="006069E1"/>
    <w:rsid w:val="0060702E"/>
    <w:rsid w:val="00607783"/>
    <w:rsid w:val="006111F6"/>
    <w:rsid w:val="006116EC"/>
    <w:rsid w:val="00613EB3"/>
    <w:rsid w:val="0061445F"/>
    <w:rsid w:val="006155EF"/>
    <w:rsid w:val="0061594A"/>
    <w:rsid w:val="0061655B"/>
    <w:rsid w:val="00616CE5"/>
    <w:rsid w:val="00617941"/>
    <w:rsid w:val="00620B88"/>
    <w:rsid w:val="00621129"/>
    <w:rsid w:val="00621F74"/>
    <w:rsid w:val="00623EE3"/>
    <w:rsid w:val="00624196"/>
    <w:rsid w:val="00625077"/>
    <w:rsid w:val="00625731"/>
    <w:rsid w:val="00627756"/>
    <w:rsid w:val="0063014B"/>
    <w:rsid w:val="00632508"/>
    <w:rsid w:val="00632B41"/>
    <w:rsid w:val="00633E78"/>
    <w:rsid w:val="006355F7"/>
    <w:rsid w:val="00635644"/>
    <w:rsid w:val="00636001"/>
    <w:rsid w:val="00640A62"/>
    <w:rsid w:val="00642166"/>
    <w:rsid w:val="00642330"/>
    <w:rsid w:val="00642B87"/>
    <w:rsid w:val="00642D6B"/>
    <w:rsid w:val="00643276"/>
    <w:rsid w:val="006470DF"/>
    <w:rsid w:val="00650202"/>
    <w:rsid w:val="00650F80"/>
    <w:rsid w:val="006516CC"/>
    <w:rsid w:val="00651C99"/>
    <w:rsid w:val="00652150"/>
    <w:rsid w:val="0065247A"/>
    <w:rsid w:val="00652946"/>
    <w:rsid w:val="006642EF"/>
    <w:rsid w:val="00665E3A"/>
    <w:rsid w:val="00666850"/>
    <w:rsid w:val="00666FA5"/>
    <w:rsid w:val="00671465"/>
    <w:rsid w:val="00675C13"/>
    <w:rsid w:val="00675C83"/>
    <w:rsid w:val="00675F2B"/>
    <w:rsid w:val="00676D11"/>
    <w:rsid w:val="006810A7"/>
    <w:rsid w:val="00684D96"/>
    <w:rsid w:val="00686573"/>
    <w:rsid w:val="006867E2"/>
    <w:rsid w:val="00690306"/>
    <w:rsid w:val="006911D8"/>
    <w:rsid w:val="00691F7F"/>
    <w:rsid w:val="00694034"/>
    <w:rsid w:val="006947FC"/>
    <w:rsid w:val="00694BA6"/>
    <w:rsid w:val="00695994"/>
    <w:rsid w:val="00695E8E"/>
    <w:rsid w:val="006962C2"/>
    <w:rsid w:val="00696FC5"/>
    <w:rsid w:val="006A0947"/>
    <w:rsid w:val="006A13AF"/>
    <w:rsid w:val="006A1648"/>
    <w:rsid w:val="006A1BD6"/>
    <w:rsid w:val="006A2598"/>
    <w:rsid w:val="006A2838"/>
    <w:rsid w:val="006A2B5F"/>
    <w:rsid w:val="006A38F0"/>
    <w:rsid w:val="006A40A0"/>
    <w:rsid w:val="006A4427"/>
    <w:rsid w:val="006A530D"/>
    <w:rsid w:val="006A707E"/>
    <w:rsid w:val="006A70B2"/>
    <w:rsid w:val="006A7E50"/>
    <w:rsid w:val="006B0384"/>
    <w:rsid w:val="006B15DA"/>
    <w:rsid w:val="006B2E47"/>
    <w:rsid w:val="006B3636"/>
    <w:rsid w:val="006B44D9"/>
    <w:rsid w:val="006B46DD"/>
    <w:rsid w:val="006B7835"/>
    <w:rsid w:val="006C2217"/>
    <w:rsid w:val="006C3689"/>
    <w:rsid w:val="006C3CF2"/>
    <w:rsid w:val="006C4994"/>
    <w:rsid w:val="006C6B6D"/>
    <w:rsid w:val="006C7303"/>
    <w:rsid w:val="006C7311"/>
    <w:rsid w:val="006D250E"/>
    <w:rsid w:val="006D2BE8"/>
    <w:rsid w:val="006D38D4"/>
    <w:rsid w:val="006D519C"/>
    <w:rsid w:val="006D5279"/>
    <w:rsid w:val="006D5A9B"/>
    <w:rsid w:val="006D5CA7"/>
    <w:rsid w:val="006D74EF"/>
    <w:rsid w:val="006E0513"/>
    <w:rsid w:val="006E118E"/>
    <w:rsid w:val="006E22F8"/>
    <w:rsid w:val="006E3B8F"/>
    <w:rsid w:val="006E447E"/>
    <w:rsid w:val="006E53DA"/>
    <w:rsid w:val="006E5488"/>
    <w:rsid w:val="006E5B08"/>
    <w:rsid w:val="006E649E"/>
    <w:rsid w:val="006E6C7C"/>
    <w:rsid w:val="006E73CD"/>
    <w:rsid w:val="006F0D20"/>
    <w:rsid w:val="006F28E3"/>
    <w:rsid w:val="006F3636"/>
    <w:rsid w:val="006F4BFF"/>
    <w:rsid w:val="006F558C"/>
    <w:rsid w:val="006F6052"/>
    <w:rsid w:val="006F62F0"/>
    <w:rsid w:val="006F6581"/>
    <w:rsid w:val="006F6C6D"/>
    <w:rsid w:val="006F7820"/>
    <w:rsid w:val="00700712"/>
    <w:rsid w:val="00700C9A"/>
    <w:rsid w:val="007010FD"/>
    <w:rsid w:val="00702C56"/>
    <w:rsid w:val="00705894"/>
    <w:rsid w:val="00706BB3"/>
    <w:rsid w:val="007071ED"/>
    <w:rsid w:val="007075FE"/>
    <w:rsid w:val="00711C93"/>
    <w:rsid w:val="00711E52"/>
    <w:rsid w:val="00712000"/>
    <w:rsid w:val="00712636"/>
    <w:rsid w:val="007139B8"/>
    <w:rsid w:val="00713B86"/>
    <w:rsid w:val="00716D51"/>
    <w:rsid w:val="00717941"/>
    <w:rsid w:val="00720ABF"/>
    <w:rsid w:val="00720D29"/>
    <w:rsid w:val="00720FDB"/>
    <w:rsid w:val="00722451"/>
    <w:rsid w:val="00722A62"/>
    <w:rsid w:val="007232F5"/>
    <w:rsid w:val="007242D1"/>
    <w:rsid w:val="00724E3B"/>
    <w:rsid w:val="00725720"/>
    <w:rsid w:val="007257AF"/>
    <w:rsid w:val="0072648E"/>
    <w:rsid w:val="00727029"/>
    <w:rsid w:val="00727C72"/>
    <w:rsid w:val="00730795"/>
    <w:rsid w:val="0073121E"/>
    <w:rsid w:val="007312B2"/>
    <w:rsid w:val="007315B1"/>
    <w:rsid w:val="00731A54"/>
    <w:rsid w:val="007375D0"/>
    <w:rsid w:val="00740885"/>
    <w:rsid w:val="00740B75"/>
    <w:rsid w:val="00741858"/>
    <w:rsid w:val="00741B81"/>
    <w:rsid w:val="00742149"/>
    <w:rsid w:val="007426FF"/>
    <w:rsid w:val="00743098"/>
    <w:rsid w:val="00743215"/>
    <w:rsid w:val="007442DF"/>
    <w:rsid w:val="0074533B"/>
    <w:rsid w:val="0074596A"/>
    <w:rsid w:val="00745A4C"/>
    <w:rsid w:val="00746DCD"/>
    <w:rsid w:val="007472BD"/>
    <w:rsid w:val="00747F1D"/>
    <w:rsid w:val="007516E0"/>
    <w:rsid w:val="00751B6A"/>
    <w:rsid w:val="00752CF3"/>
    <w:rsid w:val="00755352"/>
    <w:rsid w:val="0075589E"/>
    <w:rsid w:val="00757F9D"/>
    <w:rsid w:val="00761C22"/>
    <w:rsid w:val="0076564C"/>
    <w:rsid w:val="00765B04"/>
    <w:rsid w:val="0076610C"/>
    <w:rsid w:val="0076618E"/>
    <w:rsid w:val="00766331"/>
    <w:rsid w:val="00766723"/>
    <w:rsid w:val="00771B06"/>
    <w:rsid w:val="00771E22"/>
    <w:rsid w:val="007767F8"/>
    <w:rsid w:val="00777ACE"/>
    <w:rsid w:val="00777FFE"/>
    <w:rsid w:val="007802C8"/>
    <w:rsid w:val="007806F2"/>
    <w:rsid w:val="00780869"/>
    <w:rsid w:val="00780FAF"/>
    <w:rsid w:val="0078259E"/>
    <w:rsid w:val="007828CC"/>
    <w:rsid w:val="00782BCE"/>
    <w:rsid w:val="00783295"/>
    <w:rsid w:val="00784206"/>
    <w:rsid w:val="00785256"/>
    <w:rsid w:val="00786128"/>
    <w:rsid w:val="0078777B"/>
    <w:rsid w:val="00790510"/>
    <w:rsid w:val="007914E0"/>
    <w:rsid w:val="00793103"/>
    <w:rsid w:val="0079385E"/>
    <w:rsid w:val="0079401D"/>
    <w:rsid w:val="00794A0A"/>
    <w:rsid w:val="00795757"/>
    <w:rsid w:val="00795EC2"/>
    <w:rsid w:val="007A1E89"/>
    <w:rsid w:val="007A2891"/>
    <w:rsid w:val="007A2CCD"/>
    <w:rsid w:val="007A3264"/>
    <w:rsid w:val="007A7AD4"/>
    <w:rsid w:val="007A7D42"/>
    <w:rsid w:val="007B0E4C"/>
    <w:rsid w:val="007B1679"/>
    <w:rsid w:val="007B2478"/>
    <w:rsid w:val="007B2764"/>
    <w:rsid w:val="007B2900"/>
    <w:rsid w:val="007B3DF2"/>
    <w:rsid w:val="007B7758"/>
    <w:rsid w:val="007C0757"/>
    <w:rsid w:val="007C1371"/>
    <w:rsid w:val="007C17CA"/>
    <w:rsid w:val="007C1916"/>
    <w:rsid w:val="007C1B42"/>
    <w:rsid w:val="007C2FA5"/>
    <w:rsid w:val="007C37A4"/>
    <w:rsid w:val="007C4170"/>
    <w:rsid w:val="007C5CE0"/>
    <w:rsid w:val="007C6547"/>
    <w:rsid w:val="007C7403"/>
    <w:rsid w:val="007D0CBE"/>
    <w:rsid w:val="007D2ED5"/>
    <w:rsid w:val="007D362A"/>
    <w:rsid w:val="007D4628"/>
    <w:rsid w:val="007D49EC"/>
    <w:rsid w:val="007D7E2C"/>
    <w:rsid w:val="007E01EB"/>
    <w:rsid w:val="007E02B1"/>
    <w:rsid w:val="007E058C"/>
    <w:rsid w:val="007E2AB6"/>
    <w:rsid w:val="007E2ADD"/>
    <w:rsid w:val="007E40BA"/>
    <w:rsid w:val="007E4346"/>
    <w:rsid w:val="007E43AC"/>
    <w:rsid w:val="007E54AF"/>
    <w:rsid w:val="007E6FE0"/>
    <w:rsid w:val="007E70AE"/>
    <w:rsid w:val="007E7B2F"/>
    <w:rsid w:val="007F068B"/>
    <w:rsid w:val="007F2040"/>
    <w:rsid w:val="007F211A"/>
    <w:rsid w:val="007F47C6"/>
    <w:rsid w:val="007F4AED"/>
    <w:rsid w:val="007F4C3D"/>
    <w:rsid w:val="007F4F49"/>
    <w:rsid w:val="007F6362"/>
    <w:rsid w:val="008002F6"/>
    <w:rsid w:val="00802703"/>
    <w:rsid w:val="00803A66"/>
    <w:rsid w:val="008040C4"/>
    <w:rsid w:val="008053FF"/>
    <w:rsid w:val="00806409"/>
    <w:rsid w:val="008078D6"/>
    <w:rsid w:val="00810704"/>
    <w:rsid w:val="00810C7B"/>
    <w:rsid w:val="00812E1C"/>
    <w:rsid w:val="008130A1"/>
    <w:rsid w:val="00813646"/>
    <w:rsid w:val="0081597B"/>
    <w:rsid w:val="00816230"/>
    <w:rsid w:val="00816475"/>
    <w:rsid w:val="008177B4"/>
    <w:rsid w:val="0082095E"/>
    <w:rsid w:val="00820E4A"/>
    <w:rsid w:val="00823C6F"/>
    <w:rsid w:val="00824B2E"/>
    <w:rsid w:val="00824D19"/>
    <w:rsid w:val="00826825"/>
    <w:rsid w:val="00830023"/>
    <w:rsid w:val="00830E27"/>
    <w:rsid w:val="00831A16"/>
    <w:rsid w:val="00832486"/>
    <w:rsid w:val="00832BF6"/>
    <w:rsid w:val="00833F95"/>
    <w:rsid w:val="00836B3B"/>
    <w:rsid w:val="00837787"/>
    <w:rsid w:val="00837D50"/>
    <w:rsid w:val="008426C9"/>
    <w:rsid w:val="00842D04"/>
    <w:rsid w:val="008457D3"/>
    <w:rsid w:val="00846A33"/>
    <w:rsid w:val="00847A6B"/>
    <w:rsid w:val="00852786"/>
    <w:rsid w:val="00852B53"/>
    <w:rsid w:val="00853741"/>
    <w:rsid w:val="00854084"/>
    <w:rsid w:val="00855DF2"/>
    <w:rsid w:val="00856B15"/>
    <w:rsid w:val="00860200"/>
    <w:rsid w:val="008607BC"/>
    <w:rsid w:val="00862048"/>
    <w:rsid w:val="008627B7"/>
    <w:rsid w:val="00863327"/>
    <w:rsid w:val="008639D4"/>
    <w:rsid w:val="00863C08"/>
    <w:rsid w:val="00863CA9"/>
    <w:rsid w:val="00863D18"/>
    <w:rsid w:val="00866036"/>
    <w:rsid w:val="008668E0"/>
    <w:rsid w:val="00867277"/>
    <w:rsid w:val="00867A3B"/>
    <w:rsid w:val="00867DFA"/>
    <w:rsid w:val="00870CBD"/>
    <w:rsid w:val="00871D5E"/>
    <w:rsid w:val="0087322E"/>
    <w:rsid w:val="00874515"/>
    <w:rsid w:val="00874A71"/>
    <w:rsid w:val="00874EB4"/>
    <w:rsid w:val="008752A7"/>
    <w:rsid w:val="008766AE"/>
    <w:rsid w:val="008769B0"/>
    <w:rsid w:val="00880154"/>
    <w:rsid w:val="00881B3B"/>
    <w:rsid w:val="00881C89"/>
    <w:rsid w:val="0088232F"/>
    <w:rsid w:val="00882841"/>
    <w:rsid w:val="00882A69"/>
    <w:rsid w:val="00883CBB"/>
    <w:rsid w:val="00883ED1"/>
    <w:rsid w:val="0088425D"/>
    <w:rsid w:val="008843EC"/>
    <w:rsid w:val="008849F3"/>
    <w:rsid w:val="00884DC3"/>
    <w:rsid w:val="00885393"/>
    <w:rsid w:val="00885532"/>
    <w:rsid w:val="00885EB3"/>
    <w:rsid w:val="008905D5"/>
    <w:rsid w:val="00893D28"/>
    <w:rsid w:val="0089400A"/>
    <w:rsid w:val="0089492A"/>
    <w:rsid w:val="0089678A"/>
    <w:rsid w:val="00897C54"/>
    <w:rsid w:val="008A0514"/>
    <w:rsid w:val="008A0C9F"/>
    <w:rsid w:val="008A22F4"/>
    <w:rsid w:val="008A362B"/>
    <w:rsid w:val="008A46EB"/>
    <w:rsid w:val="008A7FB4"/>
    <w:rsid w:val="008B04A8"/>
    <w:rsid w:val="008B26AA"/>
    <w:rsid w:val="008B34AE"/>
    <w:rsid w:val="008B359A"/>
    <w:rsid w:val="008B3781"/>
    <w:rsid w:val="008B58FA"/>
    <w:rsid w:val="008C2DFF"/>
    <w:rsid w:val="008C35C4"/>
    <w:rsid w:val="008C42AB"/>
    <w:rsid w:val="008C5468"/>
    <w:rsid w:val="008C6629"/>
    <w:rsid w:val="008C683A"/>
    <w:rsid w:val="008C69D9"/>
    <w:rsid w:val="008C755E"/>
    <w:rsid w:val="008C78E4"/>
    <w:rsid w:val="008C7A13"/>
    <w:rsid w:val="008D22E5"/>
    <w:rsid w:val="008D2665"/>
    <w:rsid w:val="008D331D"/>
    <w:rsid w:val="008D4856"/>
    <w:rsid w:val="008D4E05"/>
    <w:rsid w:val="008D5128"/>
    <w:rsid w:val="008D5816"/>
    <w:rsid w:val="008D59F5"/>
    <w:rsid w:val="008D7679"/>
    <w:rsid w:val="008D7CAF"/>
    <w:rsid w:val="008E0944"/>
    <w:rsid w:val="008E2E84"/>
    <w:rsid w:val="008E4243"/>
    <w:rsid w:val="008E43A9"/>
    <w:rsid w:val="008E4D7A"/>
    <w:rsid w:val="008E61A6"/>
    <w:rsid w:val="008E63FE"/>
    <w:rsid w:val="008E6C6A"/>
    <w:rsid w:val="008E7B49"/>
    <w:rsid w:val="008F01C0"/>
    <w:rsid w:val="008F13DF"/>
    <w:rsid w:val="008F1B3A"/>
    <w:rsid w:val="008F268A"/>
    <w:rsid w:val="008F28DF"/>
    <w:rsid w:val="008F3583"/>
    <w:rsid w:val="008F3C92"/>
    <w:rsid w:val="008F46B2"/>
    <w:rsid w:val="008F6A76"/>
    <w:rsid w:val="008F6E9A"/>
    <w:rsid w:val="008F71BD"/>
    <w:rsid w:val="008F76B6"/>
    <w:rsid w:val="009035CF"/>
    <w:rsid w:val="009048C0"/>
    <w:rsid w:val="009050F9"/>
    <w:rsid w:val="0090556A"/>
    <w:rsid w:val="009069F1"/>
    <w:rsid w:val="009078C7"/>
    <w:rsid w:val="0091072C"/>
    <w:rsid w:val="00910E75"/>
    <w:rsid w:val="0091500A"/>
    <w:rsid w:val="00916864"/>
    <w:rsid w:val="00916E6D"/>
    <w:rsid w:val="0091702F"/>
    <w:rsid w:val="00917B29"/>
    <w:rsid w:val="00920177"/>
    <w:rsid w:val="00921BE6"/>
    <w:rsid w:val="00922029"/>
    <w:rsid w:val="0092379F"/>
    <w:rsid w:val="009244D7"/>
    <w:rsid w:val="00924A57"/>
    <w:rsid w:val="00925002"/>
    <w:rsid w:val="00926613"/>
    <w:rsid w:val="00930AB9"/>
    <w:rsid w:val="00931585"/>
    <w:rsid w:val="00933165"/>
    <w:rsid w:val="0093320E"/>
    <w:rsid w:val="009357EF"/>
    <w:rsid w:val="00935FDD"/>
    <w:rsid w:val="0093625B"/>
    <w:rsid w:val="009362D0"/>
    <w:rsid w:val="00936E24"/>
    <w:rsid w:val="00940326"/>
    <w:rsid w:val="009428A6"/>
    <w:rsid w:val="00942AB0"/>
    <w:rsid w:val="009430DC"/>
    <w:rsid w:val="0094413B"/>
    <w:rsid w:val="00945250"/>
    <w:rsid w:val="009453D9"/>
    <w:rsid w:val="00946848"/>
    <w:rsid w:val="00946C35"/>
    <w:rsid w:val="00950AE9"/>
    <w:rsid w:val="0095163B"/>
    <w:rsid w:val="00952176"/>
    <w:rsid w:val="00953373"/>
    <w:rsid w:val="009553AE"/>
    <w:rsid w:val="009554AD"/>
    <w:rsid w:val="00955F0B"/>
    <w:rsid w:val="00957A33"/>
    <w:rsid w:val="00960020"/>
    <w:rsid w:val="0096323A"/>
    <w:rsid w:val="0096372F"/>
    <w:rsid w:val="00963E23"/>
    <w:rsid w:val="00964C56"/>
    <w:rsid w:val="00965823"/>
    <w:rsid w:val="00966CF2"/>
    <w:rsid w:val="00966ED4"/>
    <w:rsid w:val="00967870"/>
    <w:rsid w:val="00967A70"/>
    <w:rsid w:val="00970565"/>
    <w:rsid w:val="009711A8"/>
    <w:rsid w:val="009713F5"/>
    <w:rsid w:val="0097542A"/>
    <w:rsid w:val="00976A17"/>
    <w:rsid w:val="0097771D"/>
    <w:rsid w:val="00977EC3"/>
    <w:rsid w:val="00982B0E"/>
    <w:rsid w:val="00983B8F"/>
    <w:rsid w:val="009857A6"/>
    <w:rsid w:val="00986779"/>
    <w:rsid w:val="0098713B"/>
    <w:rsid w:val="0098730D"/>
    <w:rsid w:val="00990A33"/>
    <w:rsid w:val="00990FC8"/>
    <w:rsid w:val="00991125"/>
    <w:rsid w:val="009914AD"/>
    <w:rsid w:val="0099205F"/>
    <w:rsid w:val="00993A67"/>
    <w:rsid w:val="00994110"/>
    <w:rsid w:val="00994AB7"/>
    <w:rsid w:val="009954F9"/>
    <w:rsid w:val="00996A66"/>
    <w:rsid w:val="00997448"/>
    <w:rsid w:val="009A05F3"/>
    <w:rsid w:val="009A1721"/>
    <w:rsid w:val="009A1D44"/>
    <w:rsid w:val="009A47FE"/>
    <w:rsid w:val="009A56C4"/>
    <w:rsid w:val="009A58D6"/>
    <w:rsid w:val="009A73CD"/>
    <w:rsid w:val="009A7A7B"/>
    <w:rsid w:val="009B4250"/>
    <w:rsid w:val="009B4334"/>
    <w:rsid w:val="009B5EE2"/>
    <w:rsid w:val="009B71E6"/>
    <w:rsid w:val="009C21F5"/>
    <w:rsid w:val="009C3BD7"/>
    <w:rsid w:val="009C489C"/>
    <w:rsid w:val="009C5CD8"/>
    <w:rsid w:val="009C63ED"/>
    <w:rsid w:val="009D2589"/>
    <w:rsid w:val="009D3C77"/>
    <w:rsid w:val="009D40C5"/>
    <w:rsid w:val="009D7288"/>
    <w:rsid w:val="009E04E1"/>
    <w:rsid w:val="009E25BA"/>
    <w:rsid w:val="009E2C30"/>
    <w:rsid w:val="009E2D1D"/>
    <w:rsid w:val="009E2D39"/>
    <w:rsid w:val="009E58F3"/>
    <w:rsid w:val="009E6182"/>
    <w:rsid w:val="009E64CB"/>
    <w:rsid w:val="009E67D4"/>
    <w:rsid w:val="009E6DDA"/>
    <w:rsid w:val="009F06C6"/>
    <w:rsid w:val="009F0789"/>
    <w:rsid w:val="009F0D3D"/>
    <w:rsid w:val="009F0E27"/>
    <w:rsid w:val="009F313E"/>
    <w:rsid w:val="009F34E0"/>
    <w:rsid w:val="009F4EB9"/>
    <w:rsid w:val="009F55F4"/>
    <w:rsid w:val="00A00A79"/>
    <w:rsid w:val="00A01D36"/>
    <w:rsid w:val="00A022A6"/>
    <w:rsid w:val="00A034A4"/>
    <w:rsid w:val="00A047EF"/>
    <w:rsid w:val="00A04CD6"/>
    <w:rsid w:val="00A05E68"/>
    <w:rsid w:val="00A062F7"/>
    <w:rsid w:val="00A06731"/>
    <w:rsid w:val="00A07595"/>
    <w:rsid w:val="00A07BC7"/>
    <w:rsid w:val="00A100DA"/>
    <w:rsid w:val="00A112F1"/>
    <w:rsid w:val="00A1156C"/>
    <w:rsid w:val="00A12034"/>
    <w:rsid w:val="00A13A06"/>
    <w:rsid w:val="00A14FD3"/>
    <w:rsid w:val="00A1588C"/>
    <w:rsid w:val="00A166FF"/>
    <w:rsid w:val="00A2010B"/>
    <w:rsid w:val="00A216C7"/>
    <w:rsid w:val="00A226C1"/>
    <w:rsid w:val="00A24503"/>
    <w:rsid w:val="00A26EC0"/>
    <w:rsid w:val="00A310E2"/>
    <w:rsid w:val="00A31821"/>
    <w:rsid w:val="00A320F7"/>
    <w:rsid w:val="00A32F6E"/>
    <w:rsid w:val="00A363C3"/>
    <w:rsid w:val="00A36F0B"/>
    <w:rsid w:val="00A40A52"/>
    <w:rsid w:val="00A43006"/>
    <w:rsid w:val="00A4344C"/>
    <w:rsid w:val="00A4390B"/>
    <w:rsid w:val="00A45165"/>
    <w:rsid w:val="00A460B0"/>
    <w:rsid w:val="00A4612B"/>
    <w:rsid w:val="00A46A98"/>
    <w:rsid w:val="00A4749D"/>
    <w:rsid w:val="00A4750E"/>
    <w:rsid w:val="00A47DE2"/>
    <w:rsid w:val="00A50161"/>
    <w:rsid w:val="00A50E02"/>
    <w:rsid w:val="00A528FD"/>
    <w:rsid w:val="00A53173"/>
    <w:rsid w:val="00A550A1"/>
    <w:rsid w:val="00A55100"/>
    <w:rsid w:val="00A5517B"/>
    <w:rsid w:val="00A56730"/>
    <w:rsid w:val="00A56DB8"/>
    <w:rsid w:val="00A56FBD"/>
    <w:rsid w:val="00A571B0"/>
    <w:rsid w:val="00A601E8"/>
    <w:rsid w:val="00A60B4B"/>
    <w:rsid w:val="00A60D07"/>
    <w:rsid w:val="00A628A0"/>
    <w:rsid w:val="00A637BD"/>
    <w:rsid w:val="00A63E1D"/>
    <w:rsid w:val="00A64D19"/>
    <w:rsid w:val="00A657E1"/>
    <w:rsid w:val="00A660D8"/>
    <w:rsid w:val="00A66B2F"/>
    <w:rsid w:val="00A71387"/>
    <w:rsid w:val="00A722DA"/>
    <w:rsid w:val="00A72C7B"/>
    <w:rsid w:val="00A731E0"/>
    <w:rsid w:val="00A755E9"/>
    <w:rsid w:val="00A75BE1"/>
    <w:rsid w:val="00A76E08"/>
    <w:rsid w:val="00A7716F"/>
    <w:rsid w:val="00A77663"/>
    <w:rsid w:val="00A77BF1"/>
    <w:rsid w:val="00A801CA"/>
    <w:rsid w:val="00A80A13"/>
    <w:rsid w:val="00A82EC4"/>
    <w:rsid w:val="00A83D20"/>
    <w:rsid w:val="00A85168"/>
    <w:rsid w:val="00A8564E"/>
    <w:rsid w:val="00A85DE9"/>
    <w:rsid w:val="00A87ECE"/>
    <w:rsid w:val="00A92893"/>
    <w:rsid w:val="00A93691"/>
    <w:rsid w:val="00A942A3"/>
    <w:rsid w:val="00A9501D"/>
    <w:rsid w:val="00A95888"/>
    <w:rsid w:val="00A96AD4"/>
    <w:rsid w:val="00A97132"/>
    <w:rsid w:val="00A97390"/>
    <w:rsid w:val="00A97B7E"/>
    <w:rsid w:val="00AA0170"/>
    <w:rsid w:val="00AA08E4"/>
    <w:rsid w:val="00AA364C"/>
    <w:rsid w:val="00AA5234"/>
    <w:rsid w:val="00AA69B1"/>
    <w:rsid w:val="00AA728B"/>
    <w:rsid w:val="00AB231D"/>
    <w:rsid w:val="00AB2CCA"/>
    <w:rsid w:val="00AB7692"/>
    <w:rsid w:val="00AC1ABC"/>
    <w:rsid w:val="00AC4159"/>
    <w:rsid w:val="00AC4448"/>
    <w:rsid w:val="00AC4CC2"/>
    <w:rsid w:val="00AC5971"/>
    <w:rsid w:val="00AC5F71"/>
    <w:rsid w:val="00AC6A8C"/>
    <w:rsid w:val="00AC71E1"/>
    <w:rsid w:val="00AD0124"/>
    <w:rsid w:val="00AD12EF"/>
    <w:rsid w:val="00AD1718"/>
    <w:rsid w:val="00AD229C"/>
    <w:rsid w:val="00AD27A9"/>
    <w:rsid w:val="00AD3331"/>
    <w:rsid w:val="00AD3DD9"/>
    <w:rsid w:val="00AD588D"/>
    <w:rsid w:val="00AD6355"/>
    <w:rsid w:val="00AD77B3"/>
    <w:rsid w:val="00AD7A25"/>
    <w:rsid w:val="00AE1B18"/>
    <w:rsid w:val="00AE2833"/>
    <w:rsid w:val="00AE3BE9"/>
    <w:rsid w:val="00AE3DD7"/>
    <w:rsid w:val="00AE4C1A"/>
    <w:rsid w:val="00AE52C6"/>
    <w:rsid w:val="00AE553F"/>
    <w:rsid w:val="00AE5781"/>
    <w:rsid w:val="00AE5986"/>
    <w:rsid w:val="00AE60C0"/>
    <w:rsid w:val="00AE709C"/>
    <w:rsid w:val="00AF0119"/>
    <w:rsid w:val="00AF0863"/>
    <w:rsid w:val="00AF1F39"/>
    <w:rsid w:val="00AF204A"/>
    <w:rsid w:val="00AF2F70"/>
    <w:rsid w:val="00AF3248"/>
    <w:rsid w:val="00AF3BCC"/>
    <w:rsid w:val="00AF5BE2"/>
    <w:rsid w:val="00AF78CD"/>
    <w:rsid w:val="00B0073C"/>
    <w:rsid w:val="00B00ABA"/>
    <w:rsid w:val="00B01282"/>
    <w:rsid w:val="00B01872"/>
    <w:rsid w:val="00B0195C"/>
    <w:rsid w:val="00B02D93"/>
    <w:rsid w:val="00B036BE"/>
    <w:rsid w:val="00B05988"/>
    <w:rsid w:val="00B06511"/>
    <w:rsid w:val="00B07A51"/>
    <w:rsid w:val="00B100DB"/>
    <w:rsid w:val="00B10424"/>
    <w:rsid w:val="00B1136A"/>
    <w:rsid w:val="00B1170B"/>
    <w:rsid w:val="00B122B5"/>
    <w:rsid w:val="00B125D0"/>
    <w:rsid w:val="00B1354F"/>
    <w:rsid w:val="00B13FAF"/>
    <w:rsid w:val="00B150CD"/>
    <w:rsid w:val="00B16B98"/>
    <w:rsid w:val="00B17570"/>
    <w:rsid w:val="00B17F0B"/>
    <w:rsid w:val="00B21250"/>
    <w:rsid w:val="00B22062"/>
    <w:rsid w:val="00B2221C"/>
    <w:rsid w:val="00B2281E"/>
    <w:rsid w:val="00B22E26"/>
    <w:rsid w:val="00B25454"/>
    <w:rsid w:val="00B25785"/>
    <w:rsid w:val="00B30C12"/>
    <w:rsid w:val="00B30E00"/>
    <w:rsid w:val="00B31B57"/>
    <w:rsid w:val="00B3221B"/>
    <w:rsid w:val="00B3311C"/>
    <w:rsid w:val="00B336BD"/>
    <w:rsid w:val="00B33966"/>
    <w:rsid w:val="00B33D19"/>
    <w:rsid w:val="00B34540"/>
    <w:rsid w:val="00B34D8C"/>
    <w:rsid w:val="00B35D5A"/>
    <w:rsid w:val="00B35EE6"/>
    <w:rsid w:val="00B37EEF"/>
    <w:rsid w:val="00B4153A"/>
    <w:rsid w:val="00B41909"/>
    <w:rsid w:val="00B41C70"/>
    <w:rsid w:val="00B4349E"/>
    <w:rsid w:val="00B443E6"/>
    <w:rsid w:val="00B4462F"/>
    <w:rsid w:val="00B45154"/>
    <w:rsid w:val="00B4526F"/>
    <w:rsid w:val="00B45CA0"/>
    <w:rsid w:val="00B47C42"/>
    <w:rsid w:val="00B505F8"/>
    <w:rsid w:val="00B50FD0"/>
    <w:rsid w:val="00B513BA"/>
    <w:rsid w:val="00B51AD6"/>
    <w:rsid w:val="00B51D4D"/>
    <w:rsid w:val="00B5206C"/>
    <w:rsid w:val="00B52E1D"/>
    <w:rsid w:val="00B55C82"/>
    <w:rsid w:val="00B55E0F"/>
    <w:rsid w:val="00B55EAB"/>
    <w:rsid w:val="00B62EFB"/>
    <w:rsid w:val="00B63046"/>
    <w:rsid w:val="00B63CA0"/>
    <w:rsid w:val="00B64ABA"/>
    <w:rsid w:val="00B65743"/>
    <w:rsid w:val="00B6593F"/>
    <w:rsid w:val="00B65CEB"/>
    <w:rsid w:val="00B66471"/>
    <w:rsid w:val="00B66F9A"/>
    <w:rsid w:val="00B70AAE"/>
    <w:rsid w:val="00B712E4"/>
    <w:rsid w:val="00B71E7C"/>
    <w:rsid w:val="00B72958"/>
    <w:rsid w:val="00B739DC"/>
    <w:rsid w:val="00B759F9"/>
    <w:rsid w:val="00B75E6A"/>
    <w:rsid w:val="00B75F9E"/>
    <w:rsid w:val="00B76272"/>
    <w:rsid w:val="00B76B30"/>
    <w:rsid w:val="00B77544"/>
    <w:rsid w:val="00B77C15"/>
    <w:rsid w:val="00B77F02"/>
    <w:rsid w:val="00B81833"/>
    <w:rsid w:val="00B82BFB"/>
    <w:rsid w:val="00B84E6F"/>
    <w:rsid w:val="00B86CCF"/>
    <w:rsid w:val="00B903FF"/>
    <w:rsid w:val="00B917ED"/>
    <w:rsid w:val="00B91DC1"/>
    <w:rsid w:val="00B9393F"/>
    <w:rsid w:val="00B93E7D"/>
    <w:rsid w:val="00B95189"/>
    <w:rsid w:val="00B955FD"/>
    <w:rsid w:val="00B963BE"/>
    <w:rsid w:val="00B97052"/>
    <w:rsid w:val="00B97B56"/>
    <w:rsid w:val="00BA3B1C"/>
    <w:rsid w:val="00BA494A"/>
    <w:rsid w:val="00BA5F1D"/>
    <w:rsid w:val="00BA6981"/>
    <w:rsid w:val="00BA765D"/>
    <w:rsid w:val="00BB085E"/>
    <w:rsid w:val="00BB10EB"/>
    <w:rsid w:val="00BB150A"/>
    <w:rsid w:val="00BB1E6D"/>
    <w:rsid w:val="00BB2059"/>
    <w:rsid w:val="00BB27E4"/>
    <w:rsid w:val="00BB2ED0"/>
    <w:rsid w:val="00BB37EC"/>
    <w:rsid w:val="00BB3821"/>
    <w:rsid w:val="00BB40FC"/>
    <w:rsid w:val="00BB7C89"/>
    <w:rsid w:val="00BB7F5F"/>
    <w:rsid w:val="00BC02E8"/>
    <w:rsid w:val="00BC0586"/>
    <w:rsid w:val="00BC0BC4"/>
    <w:rsid w:val="00BC23CF"/>
    <w:rsid w:val="00BC2D29"/>
    <w:rsid w:val="00BC3F72"/>
    <w:rsid w:val="00BC3F7B"/>
    <w:rsid w:val="00BC459F"/>
    <w:rsid w:val="00BC52DD"/>
    <w:rsid w:val="00BC5517"/>
    <w:rsid w:val="00BC6358"/>
    <w:rsid w:val="00BC686C"/>
    <w:rsid w:val="00BD17B4"/>
    <w:rsid w:val="00BD196C"/>
    <w:rsid w:val="00BD3A93"/>
    <w:rsid w:val="00BD6185"/>
    <w:rsid w:val="00BD62C5"/>
    <w:rsid w:val="00BD6611"/>
    <w:rsid w:val="00BE0D40"/>
    <w:rsid w:val="00BE1618"/>
    <w:rsid w:val="00BE1A0A"/>
    <w:rsid w:val="00BE247C"/>
    <w:rsid w:val="00BE277B"/>
    <w:rsid w:val="00BE394D"/>
    <w:rsid w:val="00BE410B"/>
    <w:rsid w:val="00BE51B7"/>
    <w:rsid w:val="00BE61FD"/>
    <w:rsid w:val="00BF0222"/>
    <w:rsid w:val="00BF12E1"/>
    <w:rsid w:val="00BF2D4E"/>
    <w:rsid w:val="00BF35FB"/>
    <w:rsid w:val="00BF3C3C"/>
    <w:rsid w:val="00BF4A86"/>
    <w:rsid w:val="00BF4D7E"/>
    <w:rsid w:val="00BF519F"/>
    <w:rsid w:val="00BF5A33"/>
    <w:rsid w:val="00C03AFD"/>
    <w:rsid w:val="00C05D53"/>
    <w:rsid w:val="00C05E11"/>
    <w:rsid w:val="00C07B08"/>
    <w:rsid w:val="00C113A9"/>
    <w:rsid w:val="00C12784"/>
    <w:rsid w:val="00C12A00"/>
    <w:rsid w:val="00C1529E"/>
    <w:rsid w:val="00C16864"/>
    <w:rsid w:val="00C168E1"/>
    <w:rsid w:val="00C176FC"/>
    <w:rsid w:val="00C17850"/>
    <w:rsid w:val="00C17C45"/>
    <w:rsid w:val="00C204CA"/>
    <w:rsid w:val="00C206E8"/>
    <w:rsid w:val="00C20A25"/>
    <w:rsid w:val="00C20DD8"/>
    <w:rsid w:val="00C215F1"/>
    <w:rsid w:val="00C235A0"/>
    <w:rsid w:val="00C24F57"/>
    <w:rsid w:val="00C27245"/>
    <w:rsid w:val="00C27528"/>
    <w:rsid w:val="00C27889"/>
    <w:rsid w:val="00C3096C"/>
    <w:rsid w:val="00C32C67"/>
    <w:rsid w:val="00C333DA"/>
    <w:rsid w:val="00C35CF7"/>
    <w:rsid w:val="00C41AA0"/>
    <w:rsid w:val="00C42031"/>
    <w:rsid w:val="00C434D0"/>
    <w:rsid w:val="00C435D9"/>
    <w:rsid w:val="00C43C84"/>
    <w:rsid w:val="00C43D29"/>
    <w:rsid w:val="00C44B83"/>
    <w:rsid w:val="00C46C9B"/>
    <w:rsid w:val="00C46D02"/>
    <w:rsid w:val="00C47EB4"/>
    <w:rsid w:val="00C505B3"/>
    <w:rsid w:val="00C5161A"/>
    <w:rsid w:val="00C52E66"/>
    <w:rsid w:val="00C53D80"/>
    <w:rsid w:val="00C556E1"/>
    <w:rsid w:val="00C56058"/>
    <w:rsid w:val="00C5636B"/>
    <w:rsid w:val="00C56E20"/>
    <w:rsid w:val="00C600B3"/>
    <w:rsid w:val="00C616AD"/>
    <w:rsid w:val="00C634F4"/>
    <w:rsid w:val="00C64CEF"/>
    <w:rsid w:val="00C66853"/>
    <w:rsid w:val="00C67DB8"/>
    <w:rsid w:val="00C7047A"/>
    <w:rsid w:val="00C70E1D"/>
    <w:rsid w:val="00C7232B"/>
    <w:rsid w:val="00C7239E"/>
    <w:rsid w:val="00C73396"/>
    <w:rsid w:val="00C74B26"/>
    <w:rsid w:val="00C7582B"/>
    <w:rsid w:val="00C76223"/>
    <w:rsid w:val="00C772DC"/>
    <w:rsid w:val="00C77E03"/>
    <w:rsid w:val="00C77FD4"/>
    <w:rsid w:val="00C80340"/>
    <w:rsid w:val="00C81860"/>
    <w:rsid w:val="00C821B6"/>
    <w:rsid w:val="00C82A53"/>
    <w:rsid w:val="00C84379"/>
    <w:rsid w:val="00C85935"/>
    <w:rsid w:val="00C86116"/>
    <w:rsid w:val="00C861A1"/>
    <w:rsid w:val="00C86B24"/>
    <w:rsid w:val="00C87674"/>
    <w:rsid w:val="00C87ED3"/>
    <w:rsid w:val="00C91963"/>
    <w:rsid w:val="00C9210D"/>
    <w:rsid w:val="00C9306B"/>
    <w:rsid w:val="00C94282"/>
    <w:rsid w:val="00C947A3"/>
    <w:rsid w:val="00C955AB"/>
    <w:rsid w:val="00C95653"/>
    <w:rsid w:val="00CA051B"/>
    <w:rsid w:val="00CA11BA"/>
    <w:rsid w:val="00CA20FE"/>
    <w:rsid w:val="00CA22B1"/>
    <w:rsid w:val="00CA2B4C"/>
    <w:rsid w:val="00CA3C30"/>
    <w:rsid w:val="00CA4AA9"/>
    <w:rsid w:val="00CA510B"/>
    <w:rsid w:val="00CA54BE"/>
    <w:rsid w:val="00CA6DBE"/>
    <w:rsid w:val="00CA7108"/>
    <w:rsid w:val="00CA720E"/>
    <w:rsid w:val="00CA777F"/>
    <w:rsid w:val="00CB0105"/>
    <w:rsid w:val="00CB0D14"/>
    <w:rsid w:val="00CB0E52"/>
    <w:rsid w:val="00CB12CD"/>
    <w:rsid w:val="00CB24B3"/>
    <w:rsid w:val="00CB2A4C"/>
    <w:rsid w:val="00CB4C75"/>
    <w:rsid w:val="00CB76E0"/>
    <w:rsid w:val="00CC141F"/>
    <w:rsid w:val="00CC17A3"/>
    <w:rsid w:val="00CC1BBA"/>
    <w:rsid w:val="00CC3254"/>
    <w:rsid w:val="00CC50E0"/>
    <w:rsid w:val="00CC5997"/>
    <w:rsid w:val="00CC7AF6"/>
    <w:rsid w:val="00CD0016"/>
    <w:rsid w:val="00CD0377"/>
    <w:rsid w:val="00CD372B"/>
    <w:rsid w:val="00CD3DB2"/>
    <w:rsid w:val="00CD4593"/>
    <w:rsid w:val="00CD64C5"/>
    <w:rsid w:val="00CD6EA0"/>
    <w:rsid w:val="00CE04CA"/>
    <w:rsid w:val="00CE2BBE"/>
    <w:rsid w:val="00CE3FF3"/>
    <w:rsid w:val="00CE40E7"/>
    <w:rsid w:val="00CE547E"/>
    <w:rsid w:val="00CE5747"/>
    <w:rsid w:val="00CE5865"/>
    <w:rsid w:val="00CE67B6"/>
    <w:rsid w:val="00CE6B48"/>
    <w:rsid w:val="00CE7686"/>
    <w:rsid w:val="00CE793F"/>
    <w:rsid w:val="00CE7E1C"/>
    <w:rsid w:val="00CF13CB"/>
    <w:rsid w:val="00CF232B"/>
    <w:rsid w:val="00CF2354"/>
    <w:rsid w:val="00CF31D8"/>
    <w:rsid w:val="00CF39EA"/>
    <w:rsid w:val="00CF3E86"/>
    <w:rsid w:val="00CF52B8"/>
    <w:rsid w:val="00CF6677"/>
    <w:rsid w:val="00CF70F7"/>
    <w:rsid w:val="00D00B0C"/>
    <w:rsid w:val="00D02101"/>
    <w:rsid w:val="00D02509"/>
    <w:rsid w:val="00D0443F"/>
    <w:rsid w:val="00D05957"/>
    <w:rsid w:val="00D05F95"/>
    <w:rsid w:val="00D06A38"/>
    <w:rsid w:val="00D06F96"/>
    <w:rsid w:val="00D108BA"/>
    <w:rsid w:val="00D10DA1"/>
    <w:rsid w:val="00D10DBD"/>
    <w:rsid w:val="00D11289"/>
    <w:rsid w:val="00D122E3"/>
    <w:rsid w:val="00D1446D"/>
    <w:rsid w:val="00D14552"/>
    <w:rsid w:val="00D14D26"/>
    <w:rsid w:val="00D157DA"/>
    <w:rsid w:val="00D15F00"/>
    <w:rsid w:val="00D20F55"/>
    <w:rsid w:val="00D22086"/>
    <w:rsid w:val="00D246DF"/>
    <w:rsid w:val="00D24850"/>
    <w:rsid w:val="00D24C63"/>
    <w:rsid w:val="00D268DF"/>
    <w:rsid w:val="00D278CA"/>
    <w:rsid w:val="00D27E3C"/>
    <w:rsid w:val="00D31D68"/>
    <w:rsid w:val="00D33731"/>
    <w:rsid w:val="00D346E8"/>
    <w:rsid w:val="00D35531"/>
    <w:rsid w:val="00D35CD5"/>
    <w:rsid w:val="00D36827"/>
    <w:rsid w:val="00D371C2"/>
    <w:rsid w:val="00D40411"/>
    <w:rsid w:val="00D40D46"/>
    <w:rsid w:val="00D43AEA"/>
    <w:rsid w:val="00D46CFF"/>
    <w:rsid w:val="00D47177"/>
    <w:rsid w:val="00D472E9"/>
    <w:rsid w:val="00D4736E"/>
    <w:rsid w:val="00D52FCD"/>
    <w:rsid w:val="00D539A9"/>
    <w:rsid w:val="00D53DCE"/>
    <w:rsid w:val="00D54038"/>
    <w:rsid w:val="00D54C75"/>
    <w:rsid w:val="00D551A6"/>
    <w:rsid w:val="00D56584"/>
    <w:rsid w:val="00D57A9D"/>
    <w:rsid w:val="00D636C4"/>
    <w:rsid w:val="00D63FBB"/>
    <w:rsid w:val="00D66081"/>
    <w:rsid w:val="00D669F0"/>
    <w:rsid w:val="00D66DD4"/>
    <w:rsid w:val="00D677C1"/>
    <w:rsid w:val="00D67F3B"/>
    <w:rsid w:val="00D711D4"/>
    <w:rsid w:val="00D714F0"/>
    <w:rsid w:val="00D74027"/>
    <w:rsid w:val="00D755E5"/>
    <w:rsid w:val="00D772D2"/>
    <w:rsid w:val="00D777C2"/>
    <w:rsid w:val="00D806B9"/>
    <w:rsid w:val="00D81336"/>
    <w:rsid w:val="00D82DF8"/>
    <w:rsid w:val="00D87F52"/>
    <w:rsid w:val="00D91EF6"/>
    <w:rsid w:val="00D91F3D"/>
    <w:rsid w:val="00D92D5A"/>
    <w:rsid w:val="00D92F4C"/>
    <w:rsid w:val="00D932DA"/>
    <w:rsid w:val="00D9383A"/>
    <w:rsid w:val="00D93DA8"/>
    <w:rsid w:val="00D945F1"/>
    <w:rsid w:val="00D94639"/>
    <w:rsid w:val="00D9666B"/>
    <w:rsid w:val="00D97653"/>
    <w:rsid w:val="00DA112A"/>
    <w:rsid w:val="00DA17EF"/>
    <w:rsid w:val="00DA1BA9"/>
    <w:rsid w:val="00DA3DAB"/>
    <w:rsid w:val="00DA4052"/>
    <w:rsid w:val="00DA543F"/>
    <w:rsid w:val="00DA59F7"/>
    <w:rsid w:val="00DA654D"/>
    <w:rsid w:val="00DA7DC8"/>
    <w:rsid w:val="00DB18DD"/>
    <w:rsid w:val="00DB20A7"/>
    <w:rsid w:val="00DB23F5"/>
    <w:rsid w:val="00DB449F"/>
    <w:rsid w:val="00DB4508"/>
    <w:rsid w:val="00DB5778"/>
    <w:rsid w:val="00DC2249"/>
    <w:rsid w:val="00DC23AE"/>
    <w:rsid w:val="00DC2457"/>
    <w:rsid w:val="00DC4847"/>
    <w:rsid w:val="00DC5286"/>
    <w:rsid w:val="00DC58E4"/>
    <w:rsid w:val="00DC5CFF"/>
    <w:rsid w:val="00DC797D"/>
    <w:rsid w:val="00DC7D0A"/>
    <w:rsid w:val="00DD017A"/>
    <w:rsid w:val="00DD06E1"/>
    <w:rsid w:val="00DD06EC"/>
    <w:rsid w:val="00DD18D8"/>
    <w:rsid w:val="00DD2E0B"/>
    <w:rsid w:val="00DD6DF3"/>
    <w:rsid w:val="00DD7416"/>
    <w:rsid w:val="00DD75AD"/>
    <w:rsid w:val="00DE0C21"/>
    <w:rsid w:val="00DE36A0"/>
    <w:rsid w:val="00DE4E84"/>
    <w:rsid w:val="00DE6249"/>
    <w:rsid w:val="00DE71DA"/>
    <w:rsid w:val="00DE7208"/>
    <w:rsid w:val="00DE7A00"/>
    <w:rsid w:val="00DF026A"/>
    <w:rsid w:val="00DF03D9"/>
    <w:rsid w:val="00DF265E"/>
    <w:rsid w:val="00DF32DD"/>
    <w:rsid w:val="00DF3CC1"/>
    <w:rsid w:val="00DF4EA0"/>
    <w:rsid w:val="00DF6E1A"/>
    <w:rsid w:val="00DF7229"/>
    <w:rsid w:val="00DF7CDC"/>
    <w:rsid w:val="00DF7DDB"/>
    <w:rsid w:val="00E0091F"/>
    <w:rsid w:val="00E00A28"/>
    <w:rsid w:val="00E00B7D"/>
    <w:rsid w:val="00E01455"/>
    <w:rsid w:val="00E01812"/>
    <w:rsid w:val="00E0246B"/>
    <w:rsid w:val="00E036D9"/>
    <w:rsid w:val="00E04A68"/>
    <w:rsid w:val="00E06670"/>
    <w:rsid w:val="00E07BA6"/>
    <w:rsid w:val="00E123C3"/>
    <w:rsid w:val="00E14EC5"/>
    <w:rsid w:val="00E16924"/>
    <w:rsid w:val="00E16C88"/>
    <w:rsid w:val="00E16CB8"/>
    <w:rsid w:val="00E20502"/>
    <w:rsid w:val="00E22D2A"/>
    <w:rsid w:val="00E22F24"/>
    <w:rsid w:val="00E23334"/>
    <w:rsid w:val="00E23502"/>
    <w:rsid w:val="00E236E5"/>
    <w:rsid w:val="00E25258"/>
    <w:rsid w:val="00E270E0"/>
    <w:rsid w:val="00E27137"/>
    <w:rsid w:val="00E27A96"/>
    <w:rsid w:val="00E307B7"/>
    <w:rsid w:val="00E31D64"/>
    <w:rsid w:val="00E32087"/>
    <w:rsid w:val="00E32A38"/>
    <w:rsid w:val="00E32B96"/>
    <w:rsid w:val="00E32D3D"/>
    <w:rsid w:val="00E33C18"/>
    <w:rsid w:val="00E33C25"/>
    <w:rsid w:val="00E33E8B"/>
    <w:rsid w:val="00E34DC7"/>
    <w:rsid w:val="00E354D3"/>
    <w:rsid w:val="00E354DE"/>
    <w:rsid w:val="00E36173"/>
    <w:rsid w:val="00E3620F"/>
    <w:rsid w:val="00E369C6"/>
    <w:rsid w:val="00E377A6"/>
    <w:rsid w:val="00E37B5A"/>
    <w:rsid w:val="00E40020"/>
    <w:rsid w:val="00E40E87"/>
    <w:rsid w:val="00E4106E"/>
    <w:rsid w:val="00E43471"/>
    <w:rsid w:val="00E45CA3"/>
    <w:rsid w:val="00E4649F"/>
    <w:rsid w:val="00E469FB"/>
    <w:rsid w:val="00E46CA4"/>
    <w:rsid w:val="00E507A4"/>
    <w:rsid w:val="00E51686"/>
    <w:rsid w:val="00E52B5C"/>
    <w:rsid w:val="00E52E45"/>
    <w:rsid w:val="00E55D5D"/>
    <w:rsid w:val="00E62C5F"/>
    <w:rsid w:val="00E637C0"/>
    <w:rsid w:val="00E64733"/>
    <w:rsid w:val="00E70B83"/>
    <w:rsid w:val="00E72BC3"/>
    <w:rsid w:val="00E75278"/>
    <w:rsid w:val="00E75B7F"/>
    <w:rsid w:val="00E76F37"/>
    <w:rsid w:val="00E77CFE"/>
    <w:rsid w:val="00E80CF1"/>
    <w:rsid w:val="00E81718"/>
    <w:rsid w:val="00E834C4"/>
    <w:rsid w:val="00E83F37"/>
    <w:rsid w:val="00E84434"/>
    <w:rsid w:val="00E848D0"/>
    <w:rsid w:val="00E90BD2"/>
    <w:rsid w:val="00E911C9"/>
    <w:rsid w:val="00E9156B"/>
    <w:rsid w:val="00E944FE"/>
    <w:rsid w:val="00E94B1A"/>
    <w:rsid w:val="00E9640A"/>
    <w:rsid w:val="00E96EF3"/>
    <w:rsid w:val="00E97F7B"/>
    <w:rsid w:val="00EA064D"/>
    <w:rsid w:val="00EA5683"/>
    <w:rsid w:val="00EA6616"/>
    <w:rsid w:val="00EA7717"/>
    <w:rsid w:val="00EA78A7"/>
    <w:rsid w:val="00EA78ED"/>
    <w:rsid w:val="00EA794A"/>
    <w:rsid w:val="00EB05BF"/>
    <w:rsid w:val="00EB0E66"/>
    <w:rsid w:val="00EB2990"/>
    <w:rsid w:val="00EB2B47"/>
    <w:rsid w:val="00EB2EB4"/>
    <w:rsid w:val="00EB2EFD"/>
    <w:rsid w:val="00EB37A5"/>
    <w:rsid w:val="00EB4961"/>
    <w:rsid w:val="00EB5231"/>
    <w:rsid w:val="00EB55C4"/>
    <w:rsid w:val="00EB60E3"/>
    <w:rsid w:val="00EB7130"/>
    <w:rsid w:val="00EC003D"/>
    <w:rsid w:val="00EC0C1E"/>
    <w:rsid w:val="00EC133A"/>
    <w:rsid w:val="00EC14CD"/>
    <w:rsid w:val="00EC2720"/>
    <w:rsid w:val="00EC3749"/>
    <w:rsid w:val="00EC39C8"/>
    <w:rsid w:val="00EC4950"/>
    <w:rsid w:val="00EC4CF1"/>
    <w:rsid w:val="00EC5AD4"/>
    <w:rsid w:val="00EC5B99"/>
    <w:rsid w:val="00EC5FE3"/>
    <w:rsid w:val="00EC7518"/>
    <w:rsid w:val="00EC76A2"/>
    <w:rsid w:val="00EC78D7"/>
    <w:rsid w:val="00ED10A7"/>
    <w:rsid w:val="00ED46C1"/>
    <w:rsid w:val="00ED4DAF"/>
    <w:rsid w:val="00ED5B1A"/>
    <w:rsid w:val="00ED61D6"/>
    <w:rsid w:val="00ED7E5B"/>
    <w:rsid w:val="00EE12BC"/>
    <w:rsid w:val="00EE1E4F"/>
    <w:rsid w:val="00EE2D96"/>
    <w:rsid w:val="00EE4EF0"/>
    <w:rsid w:val="00EE79C5"/>
    <w:rsid w:val="00EE7A39"/>
    <w:rsid w:val="00EE7AF7"/>
    <w:rsid w:val="00EF1D32"/>
    <w:rsid w:val="00EF29C3"/>
    <w:rsid w:val="00EF33E4"/>
    <w:rsid w:val="00EF38B1"/>
    <w:rsid w:val="00EF3C75"/>
    <w:rsid w:val="00EF4EE9"/>
    <w:rsid w:val="00EF5E2D"/>
    <w:rsid w:val="00EF6064"/>
    <w:rsid w:val="00EF72E3"/>
    <w:rsid w:val="00F01859"/>
    <w:rsid w:val="00F0317E"/>
    <w:rsid w:val="00F03885"/>
    <w:rsid w:val="00F05162"/>
    <w:rsid w:val="00F05930"/>
    <w:rsid w:val="00F0607D"/>
    <w:rsid w:val="00F06A64"/>
    <w:rsid w:val="00F06B46"/>
    <w:rsid w:val="00F1111F"/>
    <w:rsid w:val="00F12015"/>
    <w:rsid w:val="00F134BA"/>
    <w:rsid w:val="00F1480B"/>
    <w:rsid w:val="00F14D63"/>
    <w:rsid w:val="00F15C3E"/>
    <w:rsid w:val="00F1660A"/>
    <w:rsid w:val="00F17264"/>
    <w:rsid w:val="00F176D7"/>
    <w:rsid w:val="00F1792D"/>
    <w:rsid w:val="00F21EA0"/>
    <w:rsid w:val="00F21FFD"/>
    <w:rsid w:val="00F22434"/>
    <w:rsid w:val="00F23745"/>
    <w:rsid w:val="00F252E6"/>
    <w:rsid w:val="00F25CCE"/>
    <w:rsid w:val="00F25D13"/>
    <w:rsid w:val="00F260FA"/>
    <w:rsid w:val="00F31F15"/>
    <w:rsid w:val="00F32B7E"/>
    <w:rsid w:val="00F332D8"/>
    <w:rsid w:val="00F3350F"/>
    <w:rsid w:val="00F34FF7"/>
    <w:rsid w:val="00F35966"/>
    <w:rsid w:val="00F359BA"/>
    <w:rsid w:val="00F367E9"/>
    <w:rsid w:val="00F416F7"/>
    <w:rsid w:val="00F42E29"/>
    <w:rsid w:val="00F435C1"/>
    <w:rsid w:val="00F458EA"/>
    <w:rsid w:val="00F51894"/>
    <w:rsid w:val="00F52254"/>
    <w:rsid w:val="00F53830"/>
    <w:rsid w:val="00F53C96"/>
    <w:rsid w:val="00F5529D"/>
    <w:rsid w:val="00F55617"/>
    <w:rsid w:val="00F55D84"/>
    <w:rsid w:val="00F560A0"/>
    <w:rsid w:val="00F563EE"/>
    <w:rsid w:val="00F61082"/>
    <w:rsid w:val="00F61D3C"/>
    <w:rsid w:val="00F628A0"/>
    <w:rsid w:val="00F62FEE"/>
    <w:rsid w:val="00F63BAE"/>
    <w:rsid w:val="00F64240"/>
    <w:rsid w:val="00F66882"/>
    <w:rsid w:val="00F66B72"/>
    <w:rsid w:val="00F6727D"/>
    <w:rsid w:val="00F6748A"/>
    <w:rsid w:val="00F6778C"/>
    <w:rsid w:val="00F71D08"/>
    <w:rsid w:val="00F71E76"/>
    <w:rsid w:val="00F72CC5"/>
    <w:rsid w:val="00F73964"/>
    <w:rsid w:val="00F74BD2"/>
    <w:rsid w:val="00F760ED"/>
    <w:rsid w:val="00F779C0"/>
    <w:rsid w:val="00F80650"/>
    <w:rsid w:val="00F80A9B"/>
    <w:rsid w:val="00F81F3C"/>
    <w:rsid w:val="00F84596"/>
    <w:rsid w:val="00F84823"/>
    <w:rsid w:val="00F84CAF"/>
    <w:rsid w:val="00F8575A"/>
    <w:rsid w:val="00F871A0"/>
    <w:rsid w:val="00F8792C"/>
    <w:rsid w:val="00F92223"/>
    <w:rsid w:val="00F92226"/>
    <w:rsid w:val="00F92A0C"/>
    <w:rsid w:val="00F95921"/>
    <w:rsid w:val="00F9655F"/>
    <w:rsid w:val="00F96F9C"/>
    <w:rsid w:val="00F9737F"/>
    <w:rsid w:val="00F975A8"/>
    <w:rsid w:val="00FA0666"/>
    <w:rsid w:val="00FA1A5F"/>
    <w:rsid w:val="00FA310A"/>
    <w:rsid w:val="00FA535D"/>
    <w:rsid w:val="00FA7101"/>
    <w:rsid w:val="00FA780D"/>
    <w:rsid w:val="00FB019F"/>
    <w:rsid w:val="00FB0B61"/>
    <w:rsid w:val="00FB2E5D"/>
    <w:rsid w:val="00FB5DB0"/>
    <w:rsid w:val="00FB762B"/>
    <w:rsid w:val="00FC1287"/>
    <w:rsid w:val="00FC28C1"/>
    <w:rsid w:val="00FC2B58"/>
    <w:rsid w:val="00FC32F7"/>
    <w:rsid w:val="00FC426B"/>
    <w:rsid w:val="00FC43C7"/>
    <w:rsid w:val="00FC5AA1"/>
    <w:rsid w:val="00FC6162"/>
    <w:rsid w:val="00FC6F43"/>
    <w:rsid w:val="00FC74DD"/>
    <w:rsid w:val="00FC7D75"/>
    <w:rsid w:val="00FD06C4"/>
    <w:rsid w:val="00FD1517"/>
    <w:rsid w:val="00FD199B"/>
    <w:rsid w:val="00FD1C30"/>
    <w:rsid w:val="00FD1D8B"/>
    <w:rsid w:val="00FD235F"/>
    <w:rsid w:val="00FD25E0"/>
    <w:rsid w:val="00FD2DC7"/>
    <w:rsid w:val="00FD43D6"/>
    <w:rsid w:val="00FD4B4B"/>
    <w:rsid w:val="00FD5CD3"/>
    <w:rsid w:val="00FD5D91"/>
    <w:rsid w:val="00FD65B8"/>
    <w:rsid w:val="00FE0451"/>
    <w:rsid w:val="00FE4964"/>
    <w:rsid w:val="00FE4A0A"/>
    <w:rsid w:val="00FE5C67"/>
    <w:rsid w:val="00FE75AD"/>
    <w:rsid w:val="00FE773E"/>
    <w:rsid w:val="00FF0723"/>
    <w:rsid w:val="00FF1EC3"/>
    <w:rsid w:val="00FF3060"/>
    <w:rsid w:val="00FF308E"/>
    <w:rsid w:val="00FF3B4E"/>
    <w:rsid w:val="00FF4A5D"/>
    <w:rsid w:val="00FF669C"/>
    <w:rsid w:val="00FF708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34EE8"/>
  <w15:chartTrackingRefBased/>
  <w15:docId w15:val="{BF7FEBEC-17B7-4370-875B-465164B0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6A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C68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D69C3"/>
    <w:pPr>
      <w:keepNext/>
      <w:jc w:val="center"/>
      <w:outlineLvl w:val="2"/>
    </w:pPr>
    <w:rPr>
      <w:bCs/>
      <w:lang w:val="x-none" w:eastAsia="x-none"/>
    </w:rPr>
  </w:style>
  <w:style w:type="paragraph" w:styleId="Nagwek4">
    <w:name w:val="heading 4"/>
    <w:basedOn w:val="Normalny"/>
    <w:next w:val="Normalny"/>
    <w:qFormat/>
    <w:rsid w:val="00A771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544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link w:val="TekstpodstawowyZnak"/>
    <w:rsid w:val="00165447"/>
    <w:pPr>
      <w:jc w:val="both"/>
    </w:pPr>
    <w:rPr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rsid w:val="00165447"/>
    <w:pPr>
      <w:spacing w:after="120" w:line="480" w:lineRule="auto"/>
    </w:pPr>
    <w:rPr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165447"/>
    <w:pPr>
      <w:spacing w:line="360" w:lineRule="auto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165447"/>
    <w:pPr>
      <w:spacing w:line="360" w:lineRule="auto"/>
    </w:pPr>
    <w:rPr>
      <w:sz w:val="28"/>
    </w:rPr>
  </w:style>
  <w:style w:type="paragraph" w:customStyle="1" w:styleId="Tekstpodstawowywcity31">
    <w:name w:val="Tekst podstawowy wcięty 31"/>
    <w:basedOn w:val="Normalny"/>
    <w:rsid w:val="00165447"/>
    <w:pPr>
      <w:ind w:left="360" w:firstLine="348"/>
      <w:jc w:val="both"/>
    </w:pPr>
    <w:rPr>
      <w:sz w:val="28"/>
    </w:rPr>
  </w:style>
  <w:style w:type="paragraph" w:styleId="Stopka">
    <w:name w:val="footer"/>
    <w:basedOn w:val="Normalny"/>
    <w:rsid w:val="007A1E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1E89"/>
  </w:style>
  <w:style w:type="paragraph" w:customStyle="1" w:styleId="2">
    <w:name w:val="2"/>
    <w:basedOn w:val="Normalny"/>
    <w:rsid w:val="00330EA9"/>
    <w:rPr>
      <w:szCs w:val="24"/>
    </w:rPr>
  </w:style>
  <w:style w:type="paragraph" w:customStyle="1" w:styleId="wylicz6-">
    <w:name w:val="wylicz6-"/>
    <w:basedOn w:val="Normalny"/>
    <w:rsid w:val="00955F0B"/>
    <w:pPr>
      <w:numPr>
        <w:numId w:val="1"/>
      </w:numPr>
    </w:pPr>
  </w:style>
  <w:style w:type="character" w:customStyle="1" w:styleId="FontStyle25">
    <w:name w:val="Font Style25"/>
    <w:rsid w:val="008457D3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semiHidden/>
    <w:rsid w:val="002551FE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2551FE"/>
    <w:rPr>
      <w:szCs w:val="24"/>
    </w:rPr>
  </w:style>
  <w:style w:type="paragraph" w:customStyle="1" w:styleId="ZnakZnakZnakZnakZnakZnak">
    <w:name w:val="Znak Znak Znak Znak Znak Znak"/>
    <w:basedOn w:val="Normalny"/>
    <w:rsid w:val="00C7232B"/>
    <w:rPr>
      <w:szCs w:val="24"/>
    </w:rPr>
  </w:style>
  <w:style w:type="paragraph" w:customStyle="1" w:styleId="Znak1ZnakZnak">
    <w:name w:val="Znak1 Znak Znak"/>
    <w:basedOn w:val="Normalny"/>
    <w:rsid w:val="00F15C3E"/>
    <w:rPr>
      <w:szCs w:val="24"/>
    </w:rPr>
  </w:style>
  <w:style w:type="paragraph" w:customStyle="1" w:styleId="stand1">
    <w:name w:val="stand1"/>
    <w:basedOn w:val="Normalny"/>
    <w:rsid w:val="00546BDF"/>
    <w:pPr>
      <w:spacing w:after="240" w:line="360" w:lineRule="auto"/>
      <w:ind w:left="567" w:firstLine="709"/>
      <w:jc w:val="both"/>
    </w:pPr>
    <w:rPr>
      <w:rFonts w:ascii="Arial" w:hAnsi="Arial" w:cs="Arial"/>
      <w:szCs w:val="24"/>
    </w:rPr>
  </w:style>
  <w:style w:type="paragraph" w:customStyle="1" w:styleId="ZnakZnak1Znak">
    <w:name w:val="Znak Znak1 Znak"/>
    <w:basedOn w:val="Normalny"/>
    <w:rsid w:val="00D40D46"/>
    <w:rPr>
      <w:rFonts w:ascii="Arial" w:hAnsi="Arial" w:cs="Arial"/>
      <w:sz w:val="20"/>
    </w:rPr>
  </w:style>
  <w:style w:type="paragraph" w:customStyle="1" w:styleId="Tama">
    <w:name w:val="Taśma"/>
    <w:basedOn w:val="Normalny"/>
    <w:rsid w:val="00A7716F"/>
    <w:pPr>
      <w:spacing w:line="460" w:lineRule="atLeast"/>
      <w:jc w:val="both"/>
    </w:pPr>
    <w:rPr>
      <w:rFonts w:ascii="Courier New" w:hAnsi="Courier New"/>
      <w:sz w:val="26"/>
      <w:szCs w:val="24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AE2833"/>
    <w:rPr>
      <w:sz w:val="20"/>
    </w:rPr>
  </w:style>
  <w:style w:type="character" w:styleId="Odwoanieprzypisudolnego">
    <w:name w:val="footnote reference"/>
    <w:uiPriority w:val="99"/>
    <w:semiHidden/>
    <w:rsid w:val="00AE2833"/>
    <w:rPr>
      <w:vertAlign w:val="superscript"/>
    </w:rPr>
  </w:style>
  <w:style w:type="paragraph" w:customStyle="1" w:styleId="menfont">
    <w:name w:val="men font"/>
    <w:basedOn w:val="Normalny"/>
    <w:rsid w:val="007257AF"/>
    <w:rPr>
      <w:rFonts w:ascii="Arial" w:hAnsi="Arial" w:cs="Arial"/>
      <w:szCs w:val="24"/>
    </w:rPr>
  </w:style>
  <w:style w:type="paragraph" w:styleId="Mapadokumentu">
    <w:name w:val="Document Map"/>
    <w:basedOn w:val="Normalny"/>
    <w:semiHidden/>
    <w:rsid w:val="00FC7D75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Znak">
    <w:name w:val="Nagłówek Znak"/>
    <w:link w:val="Nagwek"/>
    <w:rsid w:val="00AE52C6"/>
  </w:style>
  <w:style w:type="paragraph" w:styleId="Akapitzlist">
    <w:name w:val="List Paragraph"/>
    <w:basedOn w:val="Normalny"/>
    <w:link w:val="AkapitzlistZnak"/>
    <w:uiPriority w:val="34"/>
    <w:qFormat/>
    <w:rsid w:val="00AE52C6"/>
    <w:pPr>
      <w:ind w:left="720"/>
      <w:contextualSpacing/>
    </w:pPr>
    <w:rPr>
      <w:rFonts w:ascii="Arial" w:hAnsi="Arial" w:cs="Arial"/>
      <w:szCs w:val="24"/>
    </w:rPr>
  </w:style>
  <w:style w:type="character" w:customStyle="1" w:styleId="Tekstpodstawowy2Znak">
    <w:name w:val="Tekst podstawowy 2 Znak"/>
    <w:link w:val="Tekstpodstawowy2"/>
    <w:rsid w:val="00587C07"/>
    <w:rPr>
      <w:sz w:val="24"/>
      <w:szCs w:val="24"/>
    </w:rPr>
  </w:style>
  <w:style w:type="character" w:customStyle="1" w:styleId="Nagwek3Znak">
    <w:name w:val="Nagłówek 3 Znak"/>
    <w:link w:val="Nagwek3"/>
    <w:rsid w:val="00587C07"/>
    <w:rPr>
      <w:bCs/>
      <w:sz w:val="24"/>
    </w:rPr>
  </w:style>
  <w:style w:type="character" w:customStyle="1" w:styleId="TekstpodstawowyZnak">
    <w:name w:val="Tekst podstawowy Znak"/>
    <w:link w:val="Tekstpodstawowy"/>
    <w:rsid w:val="00EF3C75"/>
    <w:rPr>
      <w:sz w:val="28"/>
    </w:rPr>
  </w:style>
  <w:style w:type="character" w:styleId="Odwoaniedokomentarza">
    <w:name w:val="annotation reference"/>
    <w:rsid w:val="003640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40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64061"/>
  </w:style>
  <w:style w:type="paragraph" w:styleId="Tematkomentarza">
    <w:name w:val="annotation subject"/>
    <w:basedOn w:val="Tekstkomentarza"/>
    <w:next w:val="Tekstkomentarza"/>
    <w:link w:val="TematkomentarzaZnak"/>
    <w:rsid w:val="0036406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64061"/>
    <w:rPr>
      <w:b/>
      <w:bCs/>
    </w:rPr>
  </w:style>
  <w:style w:type="character" w:styleId="Pogrubienie">
    <w:name w:val="Strong"/>
    <w:uiPriority w:val="22"/>
    <w:qFormat/>
    <w:rsid w:val="00C77FD4"/>
    <w:rPr>
      <w:b/>
      <w:bCs/>
    </w:rPr>
  </w:style>
  <w:style w:type="paragraph" w:styleId="Tekstprzypisukocowego">
    <w:name w:val="endnote text"/>
    <w:basedOn w:val="Normalny"/>
    <w:link w:val="TekstprzypisukocowegoZnak"/>
    <w:rsid w:val="00D05F9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5F95"/>
  </w:style>
  <w:style w:type="character" w:styleId="Odwoanieprzypisukocowego">
    <w:name w:val="endnote reference"/>
    <w:rsid w:val="00D05F95"/>
    <w:rPr>
      <w:vertAlign w:val="superscript"/>
    </w:rPr>
  </w:style>
  <w:style w:type="paragraph" w:customStyle="1" w:styleId="nagjed">
    <w:name w:val="nagjed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tekstjed">
    <w:name w:val="tekstjed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ustep">
    <w:name w:val="ustep"/>
    <w:basedOn w:val="Normalny"/>
    <w:rsid w:val="001D486F"/>
    <w:pPr>
      <w:spacing w:before="100" w:beforeAutospacing="1" w:after="100" w:afterAutospacing="1"/>
    </w:pPr>
    <w:rPr>
      <w:szCs w:val="24"/>
    </w:rPr>
  </w:style>
  <w:style w:type="paragraph" w:customStyle="1" w:styleId="1">
    <w:name w:val="1"/>
    <w:basedOn w:val="Normalny"/>
    <w:rsid w:val="004707CF"/>
    <w:rPr>
      <w:szCs w:val="24"/>
    </w:rPr>
  </w:style>
  <w:style w:type="paragraph" w:styleId="Poprawka">
    <w:name w:val="Revision"/>
    <w:hidden/>
    <w:uiPriority w:val="99"/>
    <w:semiHidden/>
    <w:rsid w:val="00D63FBB"/>
    <w:rPr>
      <w:sz w:val="24"/>
    </w:rPr>
  </w:style>
  <w:style w:type="character" w:styleId="Wyrnienieintensywne">
    <w:name w:val="Intense Emphasis"/>
    <w:uiPriority w:val="21"/>
    <w:qFormat/>
    <w:rsid w:val="00370D24"/>
    <w:rPr>
      <w:b/>
      <w:bCs/>
      <w:i/>
      <w:iCs/>
      <w:color w:val="4F81BD"/>
    </w:rPr>
  </w:style>
  <w:style w:type="paragraph" w:customStyle="1" w:styleId="PKTpunkt">
    <w:name w:val="PKT – punkt"/>
    <w:uiPriority w:val="16"/>
    <w:qFormat/>
    <w:rsid w:val="0091686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Nagwek1Znak">
    <w:name w:val="Nagłówek 1 Znak"/>
    <w:link w:val="Nagwek1"/>
    <w:rsid w:val="008C68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A530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0C4A1D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4A1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4BE7-9F7D-4EBA-A7DD-4A9A4DB7F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8F46F-3C22-4402-B59E-C9ABCE06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3461</Words>
  <Characters>21054</Characters>
  <Application>Microsoft Office Word</Application>
  <DocSecurity>4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MEN</Company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adach</dc:creator>
  <cp:keywords/>
  <cp:lastModifiedBy>Karnas Renata</cp:lastModifiedBy>
  <cp:revision>2</cp:revision>
  <cp:lastPrinted>2020-10-28T16:30:00Z</cp:lastPrinted>
  <dcterms:created xsi:type="dcterms:W3CDTF">2020-10-30T15:59:00Z</dcterms:created>
  <dcterms:modified xsi:type="dcterms:W3CDTF">2020-10-30T15:59:00Z</dcterms:modified>
</cp:coreProperties>
</file>