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890"/>
        <w:gridCol w:w="157"/>
        <w:gridCol w:w="257"/>
        <w:gridCol w:w="155"/>
        <w:gridCol w:w="187"/>
        <w:gridCol w:w="383"/>
        <w:gridCol w:w="435"/>
        <w:gridCol w:w="119"/>
        <w:gridCol w:w="16"/>
        <w:gridCol w:w="269"/>
        <w:gridCol w:w="300"/>
        <w:gridCol w:w="353"/>
        <w:gridCol w:w="217"/>
        <w:gridCol w:w="570"/>
        <w:gridCol w:w="80"/>
        <w:gridCol w:w="71"/>
        <w:gridCol w:w="273"/>
        <w:gridCol w:w="146"/>
        <w:gridCol w:w="113"/>
        <w:gridCol w:w="405"/>
        <w:gridCol w:w="51"/>
        <w:gridCol w:w="570"/>
        <w:gridCol w:w="317"/>
        <w:gridCol w:w="253"/>
        <w:gridCol w:w="570"/>
        <w:gridCol w:w="115"/>
        <w:gridCol w:w="1422"/>
        <w:gridCol w:w="10"/>
      </w:tblGrid>
      <w:tr w:rsidR="006A701A" w:rsidRPr="0050413F" w14:paraId="37A5E6A7" w14:textId="77777777" w:rsidTr="00676C8D">
        <w:trPr>
          <w:gridAfter w:val="1"/>
          <w:wAfter w:w="10" w:type="dxa"/>
          <w:trHeight w:val="1611"/>
        </w:trPr>
        <w:tc>
          <w:tcPr>
            <w:tcW w:w="6631" w:type="dxa"/>
            <w:gridSpan w:val="17"/>
          </w:tcPr>
          <w:p w14:paraId="4030E562" w14:textId="77777777" w:rsidR="006A701A" w:rsidRPr="0050413F" w:rsidRDefault="006A701A" w:rsidP="0050413F">
            <w:pPr>
              <w:spacing w:line="240" w:lineRule="auto"/>
              <w:ind w:left="-76"/>
              <w:rPr>
                <w:rFonts w:ascii="Times New Roman" w:hAnsi="Times New Roman"/>
                <w:color w:val="000000"/>
              </w:rPr>
            </w:pPr>
            <w:bookmarkStart w:id="0" w:name="t1"/>
            <w:r w:rsidRPr="0050413F">
              <w:rPr>
                <w:rFonts w:ascii="Times New Roman" w:hAnsi="Times New Roman"/>
                <w:b/>
                <w:color w:val="000000"/>
              </w:rPr>
              <w:t xml:space="preserve">Nazwa </w:t>
            </w:r>
            <w:r w:rsidR="001B75D8" w:rsidRPr="0050413F">
              <w:rPr>
                <w:rFonts w:ascii="Times New Roman" w:hAnsi="Times New Roman"/>
                <w:b/>
                <w:color w:val="000000"/>
              </w:rPr>
              <w:t>projektu</w:t>
            </w:r>
          </w:p>
          <w:p w14:paraId="2EDCB56C"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 xml:space="preserve">Ustawa o zmianie ustawy o </w:t>
            </w:r>
            <w:proofErr w:type="spellStart"/>
            <w:r w:rsidRPr="0050413F">
              <w:rPr>
                <w:rFonts w:ascii="Times New Roman" w:hAnsi="Times New Roman"/>
                <w:color w:val="000000"/>
              </w:rPr>
              <w:t>elektromobilności</w:t>
            </w:r>
            <w:proofErr w:type="spellEnd"/>
            <w:r w:rsidRPr="0050413F">
              <w:rPr>
                <w:rFonts w:ascii="Times New Roman" w:hAnsi="Times New Roman"/>
                <w:color w:val="000000"/>
              </w:rPr>
              <w:t xml:space="preserve"> i paliwach alternatywnych oraz niektórych innych ustaw</w:t>
            </w:r>
          </w:p>
          <w:p w14:paraId="070D363E" w14:textId="77777777" w:rsidR="0050413F" w:rsidRDefault="0050413F" w:rsidP="0050413F">
            <w:pPr>
              <w:spacing w:line="240" w:lineRule="auto"/>
              <w:ind w:left="-76"/>
              <w:rPr>
                <w:rFonts w:ascii="Times New Roman" w:hAnsi="Times New Roman"/>
                <w:b/>
                <w:color w:val="000000"/>
              </w:rPr>
            </w:pPr>
          </w:p>
          <w:p w14:paraId="6428BB63" w14:textId="07489873"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Ministerstwo wiodące i ministerstwa współpracujące</w:t>
            </w:r>
          </w:p>
          <w:bookmarkEnd w:id="0"/>
          <w:p w14:paraId="09A9A5ED" w14:textId="3445396C"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Ministerstwo Klimatu</w:t>
            </w:r>
            <w:r w:rsidR="00656825" w:rsidRPr="0050413F">
              <w:rPr>
                <w:rFonts w:ascii="Times New Roman" w:hAnsi="Times New Roman"/>
                <w:color w:val="000000"/>
              </w:rPr>
              <w:t xml:space="preserve"> </w:t>
            </w:r>
            <w:r w:rsidR="00F4378C" w:rsidRPr="0050413F">
              <w:rPr>
                <w:rFonts w:ascii="Times New Roman" w:hAnsi="Times New Roman"/>
                <w:color w:val="000000"/>
              </w:rPr>
              <w:t xml:space="preserve">i Środowiska </w:t>
            </w:r>
            <w:r w:rsidR="00656825" w:rsidRPr="0050413F">
              <w:rPr>
                <w:rFonts w:ascii="Times New Roman" w:hAnsi="Times New Roman"/>
                <w:color w:val="000000"/>
              </w:rPr>
              <w:t>we współpracy z Ministerstwem Infrastruktury</w:t>
            </w:r>
          </w:p>
          <w:p w14:paraId="4AA5160B" w14:textId="77777777" w:rsidR="0050413F" w:rsidRDefault="0050413F" w:rsidP="0050413F">
            <w:pPr>
              <w:spacing w:line="240" w:lineRule="auto"/>
              <w:ind w:left="-76"/>
              <w:rPr>
                <w:rFonts w:ascii="Times New Roman" w:hAnsi="Times New Roman"/>
                <w:b/>
              </w:rPr>
            </w:pPr>
          </w:p>
          <w:p w14:paraId="4C4F2A39" w14:textId="20E6A06C" w:rsidR="001B3460" w:rsidRPr="0050413F" w:rsidRDefault="001B3460" w:rsidP="0050413F">
            <w:pPr>
              <w:spacing w:line="240" w:lineRule="auto"/>
              <w:ind w:left="-76"/>
              <w:rPr>
                <w:rFonts w:ascii="Times New Roman" w:hAnsi="Times New Roman"/>
                <w:b/>
              </w:rPr>
            </w:pPr>
            <w:r w:rsidRPr="0050413F">
              <w:rPr>
                <w:rFonts w:ascii="Times New Roman" w:hAnsi="Times New Roman"/>
                <w:b/>
              </w:rPr>
              <w:t xml:space="preserve">Osoba odpowiedzialna za projekt w randze Ministra, Sekretarza Stanu lub Podsekretarza Stanu </w:t>
            </w:r>
          </w:p>
          <w:p w14:paraId="14139E3B" w14:textId="148D751C" w:rsidR="001B3460" w:rsidRPr="0050413F" w:rsidRDefault="001413DF" w:rsidP="0050413F">
            <w:pPr>
              <w:spacing w:line="240" w:lineRule="auto"/>
              <w:ind w:left="-76"/>
              <w:rPr>
                <w:rFonts w:ascii="Times New Roman" w:hAnsi="Times New Roman"/>
              </w:rPr>
            </w:pPr>
            <w:r w:rsidRPr="0050413F">
              <w:rPr>
                <w:rFonts w:ascii="Times New Roman" w:hAnsi="Times New Roman"/>
              </w:rPr>
              <w:t xml:space="preserve">Ireneusz Zyska </w:t>
            </w:r>
            <w:r w:rsidR="00F4378C" w:rsidRPr="0050413F">
              <w:rPr>
                <w:rFonts w:ascii="Times New Roman" w:hAnsi="Times New Roman"/>
              </w:rPr>
              <w:t xml:space="preserve"> </w:t>
            </w:r>
            <w:r w:rsidRPr="0050413F">
              <w:rPr>
                <w:rFonts w:ascii="Times New Roman" w:hAnsi="Times New Roman"/>
              </w:rPr>
              <w:t>–Sekretarz Stanu w</w:t>
            </w:r>
            <w:r w:rsidR="004E1340" w:rsidRPr="0050413F">
              <w:rPr>
                <w:rFonts w:ascii="Times New Roman" w:hAnsi="Times New Roman"/>
              </w:rPr>
              <w:t xml:space="preserve"> Minister</w:t>
            </w:r>
            <w:r w:rsidRPr="0050413F">
              <w:rPr>
                <w:rFonts w:ascii="Times New Roman" w:hAnsi="Times New Roman"/>
              </w:rPr>
              <w:t>stwie</w:t>
            </w:r>
            <w:r w:rsidR="004E1340" w:rsidRPr="0050413F">
              <w:rPr>
                <w:rFonts w:ascii="Times New Roman" w:hAnsi="Times New Roman"/>
              </w:rPr>
              <w:t xml:space="preserve"> Klimatu</w:t>
            </w:r>
            <w:r w:rsidR="00F4378C" w:rsidRPr="0050413F">
              <w:rPr>
                <w:rFonts w:ascii="Times New Roman" w:hAnsi="Times New Roman"/>
              </w:rPr>
              <w:t xml:space="preserve"> i Środowiska</w:t>
            </w:r>
          </w:p>
          <w:p w14:paraId="7B24C38F" w14:textId="77777777" w:rsidR="0050413F" w:rsidRDefault="0050413F" w:rsidP="0050413F">
            <w:pPr>
              <w:spacing w:line="240" w:lineRule="auto"/>
              <w:ind w:left="-76"/>
              <w:rPr>
                <w:rFonts w:ascii="Times New Roman" w:hAnsi="Times New Roman"/>
                <w:b/>
                <w:color w:val="000000"/>
              </w:rPr>
            </w:pPr>
          </w:p>
          <w:p w14:paraId="4FAA08E3" w14:textId="3A4B706C"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Kontakt do opiekuna merytorycznego projektu</w:t>
            </w:r>
          </w:p>
          <w:p w14:paraId="4923C2EF"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 xml:space="preserve">Szymon </w:t>
            </w:r>
            <w:proofErr w:type="spellStart"/>
            <w:r w:rsidRPr="0050413F">
              <w:rPr>
                <w:rFonts w:ascii="Times New Roman" w:hAnsi="Times New Roman"/>
                <w:color w:val="000000"/>
              </w:rPr>
              <w:t>Byliński</w:t>
            </w:r>
            <w:proofErr w:type="spellEnd"/>
            <w:r w:rsidRPr="0050413F">
              <w:rPr>
                <w:rFonts w:ascii="Times New Roman" w:hAnsi="Times New Roman"/>
                <w:color w:val="000000"/>
              </w:rPr>
              <w:t>, tel. (22) 695 81 50, szymon.bylinski@klimat.gov.pl</w:t>
            </w:r>
          </w:p>
        </w:tc>
        <w:tc>
          <w:tcPr>
            <w:tcW w:w="4306" w:type="dxa"/>
            <w:gridSpan w:val="12"/>
            <w:shd w:val="clear" w:color="auto" w:fill="FFFFFF"/>
          </w:tcPr>
          <w:p w14:paraId="7BFA15D3" w14:textId="5880FF10" w:rsidR="001B3460" w:rsidRPr="0050413F" w:rsidRDefault="001B3460" w:rsidP="0050413F">
            <w:pPr>
              <w:spacing w:line="240" w:lineRule="auto"/>
              <w:rPr>
                <w:rFonts w:ascii="Times New Roman" w:hAnsi="Times New Roman"/>
                <w:b/>
              </w:rPr>
            </w:pPr>
            <w:r w:rsidRPr="0050413F">
              <w:rPr>
                <w:rFonts w:ascii="Times New Roman" w:hAnsi="Times New Roman"/>
                <w:b/>
              </w:rPr>
              <w:t>Data sporządzenia</w:t>
            </w:r>
            <w:r w:rsidRPr="0050413F">
              <w:rPr>
                <w:rFonts w:ascii="Times New Roman" w:hAnsi="Times New Roman"/>
                <w:b/>
              </w:rPr>
              <w:br/>
            </w:r>
            <w:r w:rsidR="00F24D6C" w:rsidRPr="0050413F">
              <w:rPr>
                <w:rFonts w:ascii="Times New Roman" w:hAnsi="Times New Roman"/>
              </w:rPr>
              <w:t>1</w:t>
            </w:r>
            <w:r w:rsidR="0050413F" w:rsidRPr="0050413F">
              <w:rPr>
                <w:rFonts w:ascii="Times New Roman" w:hAnsi="Times New Roman"/>
              </w:rPr>
              <w:t>7</w:t>
            </w:r>
            <w:r w:rsidR="002433DB" w:rsidRPr="0050413F">
              <w:rPr>
                <w:rFonts w:ascii="Times New Roman" w:hAnsi="Times New Roman"/>
              </w:rPr>
              <w:t>.</w:t>
            </w:r>
            <w:r w:rsidR="00F4378C" w:rsidRPr="0050413F">
              <w:rPr>
                <w:rFonts w:ascii="Times New Roman" w:hAnsi="Times New Roman"/>
              </w:rPr>
              <w:t>1</w:t>
            </w:r>
            <w:r w:rsidR="00F24D6C" w:rsidRPr="0050413F">
              <w:rPr>
                <w:rFonts w:ascii="Times New Roman" w:hAnsi="Times New Roman"/>
              </w:rPr>
              <w:t>1</w:t>
            </w:r>
            <w:r w:rsidR="002433DB" w:rsidRPr="0050413F">
              <w:rPr>
                <w:rFonts w:ascii="Times New Roman" w:hAnsi="Times New Roman"/>
              </w:rPr>
              <w:t>.2020</w:t>
            </w:r>
            <w:r w:rsidR="0033397C" w:rsidRPr="0050413F">
              <w:rPr>
                <w:rFonts w:ascii="Times New Roman" w:hAnsi="Times New Roman"/>
              </w:rPr>
              <w:t xml:space="preserve"> r.</w:t>
            </w:r>
          </w:p>
          <w:p w14:paraId="44243909" w14:textId="77777777" w:rsidR="00F76884" w:rsidRPr="0050413F" w:rsidRDefault="00F76884" w:rsidP="0050413F">
            <w:pPr>
              <w:spacing w:line="240" w:lineRule="auto"/>
              <w:rPr>
                <w:rFonts w:ascii="Times New Roman" w:hAnsi="Times New Roman"/>
                <w:b/>
              </w:rPr>
            </w:pPr>
          </w:p>
          <w:p w14:paraId="3CACF200" w14:textId="77777777" w:rsidR="00F76884" w:rsidRPr="0050413F" w:rsidRDefault="00F76884" w:rsidP="0050413F">
            <w:pPr>
              <w:spacing w:line="240" w:lineRule="auto"/>
              <w:rPr>
                <w:rFonts w:ascii="Times New Roman" w:hAnsi="Times New Roman"/>
                <w:b/>
              </w:rPr>
            </w:pPr>
            <w:r w:rsidRPr="0050413F">
              <w:rPr>
                <w:rFonts w:ascii="Times New Roman" w:hAnsi="Times New Roman"/>
                <w:b/>
              </w:rPr>
              <w:t xml:space="preserve">Źródło: </w:t>
            </w:r>
            <w:bookmarkStart w:id="1" w:name="Lista1"/>
          </w:p>
          <w:bookmarkEnd w:id="1"/>
          <w:p w14:paraId="51CCBAC6" w14:textId="77777777" w:rsidR="00F76884" w:rsidRPr="0050413F" w:rsidRDefault="00F638E8" w:rsidP="0050413F">
            <w:pPr>
              <w:spacing w:line="240" w:lineRule="auto"/>
              <w:rPr>
                <w:rFonts w:ascii="Times New Roman" w:hAnsi="Times New Roman"/>
              </w:rPr>
            </w:pPr>
            <w:r w:rsidRPr="0050413F">
              <w:rPr>
                <w:rFonts w:ascii="Times New Roman" w:hAnsi="Times New Roman"/>
              </w:rPr>
              <w:t>Inicjatywa własna</w:t>
            </w:r>
            <w:r w:rsidR="00AA1F01" w:rsidRPr="0050413F">
              <w:rPr>
                <w:rFonts w:ascii="Times New Roman" w:hAnsi="Times New Roman"/>
              </w:rPr>
              <w:t>, wdrożenie prawa UE</w:t>
            </w:r>
          </w:p>
          <w:p w14:paraId="64FBCCA2" w14:textId="77777777" w:rsidR="0050413F" w:rsidRDefault="0050413F" w:rsidP="0050413F">
            <w:pPr>
              <w:spacing w:line="240" w:lineRule="auto"/>
              <w:rPr>
                <w:rFonts w:ascii="Times New Roman" w:hAnsi="Times New Roman"/>
                <w:b/>
                <w:color w:val="000000"/>
              </w:rPr>
            </w:pPr>
          </w:p>
          <w:p w14:paraId="3626106D" w14:textId="4C6F4D78" w:rsidR="006A701A" w:rsidRPr="0050413F" w:rsidRDefault="006A701A" w:rsidP="0050413F">
            <w:pPr>
              <w:spacing w:line="240" w:lineRule="auto"/>
              <w:rPr>
                <w:rFonts w:ascii="Times New Roman" w:hAnsi="Times New Roman"/>
                <w:b/>
                <w:color w:val="000000"/>
              </w:rPr>
            </w:pPr>
            <w:r w:rsidRPr="0050413F">
              <w:rPr>
                <w:rFonts w:ascii="Times New Roman" w:hAnsi="Times New Roman"/>
                <w:b/>
                <w:color w:val="000000"/>
              </w:rPr>
              <w:t xml:space="preserve">Nr </w:t>
            </w:r>
            <w:r w:rsidR="0057668E" w:rsidRPr="0050413F">
              <w:rPr>
                <w:rFonts w:ascii="Times New Roman" w:hAnsi="Times New Roman"/>
                <w:b/>
                <w:color w:val="000000"/>
              </w:rPr>
              <w:t>w</w:t>
            </w:r>
            <w:r w:rsidRPr="0050413F">
              <w:rPr>
                <w:rFonts w:ascii="Times New Roman" w:hAnsi="Times New Roman"/>
                <w:b/>
                <w:color w:val="000000"/>
              </w:rPr>
              <w:t xml:space="preserve"> wykaz</w:t>
            </w:r>
            <w:r w:rsidR="0057668E" w:rsidRPr="0050413F">
              <w:rPr>
                <w:rFonts w:ascii="Times New Roman" w:hAnsi="Times New Roman"/>
                <w:b/>
                <w:color w:val="000000"/>
              </w:rPr>
              <w:t>ie</w:t>
            </w:r>
            <w:r w:rsidRPr="0050413F">
              <w:rPr>
                <w:rFonts w:ascii="Times New Roman" w:hAnsi="Times New Roman"/>
                <w:b/>
                <w:color w:val="000000"/>
              </w:rPr>
              <w:t xml:space="preserve"> prac</w:t>
            </w:r>
            <w:r w:rsidR="00B04F8A" w:rsidRPr="0050413F">
              <w:rPr>
                <w:rFonts w:ascii="Times New Roman" w:hAnsi="Times New Roman"/>
                <w:b/>
                <w:color w:val="000000"/>
              </w:rPr>
              <w:t>:</w:t>
            </w:r>
          </w:p>
          <w:p w14:paraId="6D50FEE9" w14:textId="163CC38F" w:rsidR="006A701A" w:rsidRPr="0050413F" w:rsidRDefault="00B04F8A" w:rsidP="0050413F">
            <w:pPr>
              <w:spacing w:line="240" w:lineRule="auto"/>
              <w:rPr>
                <w:rFonts w:ascii="Times New Roman" w:hAnsi="Times New Roman"/>
                <w:color w:val="000000"/>
              </w:rPr>
            </w:pPr>
            <w:r w:rsidRPr="0050413F">
              <w:rPr>
                <w:rFonts w:ascii="Times New Roman" w:hAnsi="Times New Roman"/>
                <w:color w:val="000000"/>
              </w:rPr>
              <w:t>UC 65</w:t>
            </w:r>
          </w:p>
          <w:p w14:paraId="57501E43" w14:textId="77777777" w:rsidR="006A701A" w:rsidRPr="0050413F" w:rsidRDefault="006A701A" w:rsidP="0050413F">
            <w:pPr>
              <w:spacing w:line="240" w:lineRule="auto"/>
              <w:rPr>
                <w:rFonts w:ascii="Times New Roman" w:hAnsi="Times New Roman"/>
                <w:color w:val="000000"/>
              </w:rPr>
            </w:pPr>
          </w:p>
        </w:tc>
      </w:tr>
      <w:tr w:rsidR="006A701A" w:rsidRPr="0050413F" w14:paraId="5C1B6F71" w14:textId="77777777" w:rsidTr="00676C8D">
        <w:trPr>
          <w:gridAfter w:val="1"/>
          <w:wAfter w:w="10" w:type="dxa"/>
          <w:trHeight w:val="142"/>
        </w:trPr>
        <w:tc>
          <w:tcPr>
            <w:tcW w:w="10937" w:type="dxa"/>
            <w:gridSpan w:val="29"/>
            <w:shd w:val="clear" w:color="auto" w:fill="99CCFF"/>
          </w:tcPr>
          <w:p w14:paraId="728E673C" w14:textId="77777777" w:rsidR="006A701A" w:rsidRPr="0050413F" w:rsidRDefault="006A701A" w:rsidP="0050413F">
            <w:pPr>
              <w:spacing w:line="240" w:lineRule="auto"/>
              <w:ind w:left="57"/>
              <w:jc w:val="center"/>
              <w:rPr>
                <w:rFonts w:ascii="Times New Roman" w:hAnsi="Times New Roman"/>
                <w:b/>
                <w:color w:val="FFFFFF"/>
              </w:rPr>
            </w:pPr>
            <w:r w:rsidRPr="0050413F">
              <w:rPr>
                <w:rFonts w:ascii="Times New Roman" w:hAnsi="Times New Roman"/>
                <w:b/>
                <w:color w:val="FFFFFF"/>
                <w:sz w:val="32"/>
                <w:szCs w:val="32"/>
              </w:rPr>
              <w:t>OCENA SKUTKÓW REGULACJI</w:t>
            </w:r>
          </w:p>
        </w:tc>
      </w:tr>
      <w:tr w:rsidR="006A701A" w:rsidRPr="0050413F" w14:paraId="46897057" w14:textId="77777777" w:rsidTr="00676C8D">
        <w:trPr>
          <w:gridAfter w:val="1"/>
          <w:wAfter w:w="10" w:type="dxa"/>
          <w:trHeight w:val="333"/>
        </w:trPr>
        <w:tc>
          <w:tcPr>
            <w:tcW w:w="10937" w:type="dxa"/>
            <w:gridSpan w:val="29"/>
            <w:shd w:val="clear" w:color="auto" w:fill="99CCFF"/>
            <w:vAlign w:val="center"/>
          </w:tcPr>
          <w:p w14:paraId="238F2BA0" w14:textId="77777777" w:rsidR="006A701A" w:rsidRPr="0050413F" w:rsidRDefault="003D12F6"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rPr>
              <w:t xml:space="preserve">Jaki problem jest </w:t>
            </w:r>
            <w:r w:rsidR="00CC6305" w:rsidRPr="0050413F">
              <w:rPr>
                <w:rFonts w:ascii="Times New Roman" w:hAnsi="Times New Roman"/>
                <w:b/>
              </w:rPr>
              <w:t>rozwiązywany?</w:t>
            </w:r>
            <w:bookmarkStart w:id="2" w:name="Wybór1"/>
            <w:bookmarkEnd w:id="2"/>
          </w:p>
        </w:tc>
      </w:tr>
      <w:tr w:rsidR="006A701A" w:rsidRPr="0050413F" w14:paraId="0FFF27BA" w14:textId="77777777" w:rsidTr="00676C8D">
        <w:trPr>
          <w:gridAfter w:val="1"/>
          <w:wAfter w:w="10" w:type="dxa"/>
          <w:trHeight w:val="142"/>
        </w:trPr>
        <w:tc>
          <w:tcPr>
            <w:tcW w:w="10937" w:type="dxa"/>
            <w:gridSpan w:val="29"/>
            <w:shd w:val="clear" w:color="auto" w:fill="FFFFFF"/>
          </w:tcPr>
          <w:p w14:paraId="3748B1A3" w14:textId="44714186" w:rsidR="00F638E8" w:rsidRPr="0050413F" w:rsidRDefault="00AA1F0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F638E8" w:rsidRPr="0050413F">
              <w:rPr>
                <w:rFonts w:ascii="Times New Roman" w:hAnsi="Times New Roman"/>
                <w:color w:val="000000"/>
              </w:rPr>
              <w:t xml:space="preserve">Celem projektowanych zmian jest dostosowanie ustawy do założeń przedstawionych </w:t>
            </w:r>
            <w:r w:rsidR="00C92463" w:rsidRPr="0050413F">
              <w:rPr>
                <w:rFonts w:ascii="Times New Roman" w:hAnsi="Times New Roman"/>
                <w:color w:val="000000"/>
              </w:rPr>
              <w:t>przez Ministra Klimatu</w:t>
            </w:r>
            <w:r w:rsidR="00F4378C" w:rsidRPr="0050413F">
              <w:rPr>
                <w:rFonts w:ascii="Times New Roman" w:hAnsi="Times New Roman"/>
                <w:color w:val="000000"/>
              </w:rPr>
              <w:t xml:space="preserve"> – poprzednika Ministra Klimatu i Środowiska,</w:t>
            </w:r>
            <w:r w:rsidR="00C92463" w:rsidRPr="0050413F">
              <w:rPr>
                <w:rFonts w:ascii="Times New Roman" w:hAnsi="Times New Roman"/>
                <w:color w:val="000000"/>
              </w:rPr>
              <w:t xml:space="preserve"> </w:t>
            </w:r>
            <w:r w:rsidR="00F638E8" w:rsidRPr="0050413F">
              <w:rPr>
                <w:rFonts w:ascii="Times New Roman" w:hAnsi="Times New Roman"/>
                <w:color w:val="000000"/>
              </w:rPr>
              <w:t>w</w:t>
            </w:r>
            <w:r w:rsidR="00F36476" w:rsidRPr="0050413F">
              <w:rPr>
                <w:rFonts w:ascii="Times New Roman" w:hAnsi="Times New Roman"/>
                <w:color w:val="000000"/>
              </w:rPr>
              <w:t> </w:t>
            </w:r>
            <w:r w:rsidR="00F638E8" w:rsidRPr="0050413F">
              <w:rPr>
                <w:rFonts w:ascii="Times New Roman" w:hAnsi="Times New Roman"/>
                <w:color w:val="000000"/>
              </w:rPr>
              <w:t xml:space="preserve">dokumencie „Dziesiątka dla </w:t>
            </w:r>
            <w:proofErr w:type="spellStart"/>
            <w:r w:rsidR="00F638E8" w:rsidRPr="0050413F">
              <w:rPr>
                <w:rFonts w:ascii="Times New Roman" w:hAnsi="Times New Roman"/>
                <w:color w:val="000000"/>
              </w:rPr>
              <w:t>elektromobilności</w:t>
            </w:r>
            <w:proofErr w:type="spellEnd"/>
            <w:r w:rsidR="00F638E8" w:rsidRPr="0050413F">
              <w:rPr>
                <w:rFonts w:ascii="Times New Roman" w:hAnsi="Times New Roman"/>
                <w:color w:val="000000"/>
              </w:rPr>
              <w:t xml:space="preserve">”. Proponowane rozwiązania mają </w:t>
            </w:r>
            <w:r w:rsidR="0085220B" w:rsidRPr="0050413F">
              <w:rPr>
                <w:rFonts w:ascii="Times New Roman" w:hAnsi="Times New Roman"/>
                <w:color w:val="000000"/>
              </w:rPr>
              <w:t xml:space="preserve">ułatwić oraz </w:t>
            </w:r>
            <w:r w:rsidR="00F638E8" w:rsidRPr="0050413F">
              <w:rPr>
                <w:rFonts w:ascii="Times New Roman" w:hAnsi="Times New Roman"/>
                <w:color w:val="000000"/>
              </w:rPr>
              <w:t xml:space="preserve">przyspieszyć rozwój </w:t>
            </w:r>
            <w:proofErr w:type="spellStart"/>
            <w:r w:rsidR="00F638E8" w:rsidRPr="0050413F">
              <w:rPr>
                <w:rFonts w:ascii="Times New Roman" w:hAnsi="Times New Roman"/>
                <w:color w:val="000000"/>
              </w:rPr>
              <w:t>elektromobilności</w:t>
            </w:r>
            <w:proofErr w:type="spellEnd"/>
            <w:r w:rsidR="00F638E8" w:rsidRPr="0050413F">
              <w:rPr>
                <w:rFonts w:ascii="Times New Roman" w:hAnsi="Times New Roman"/>
                <w:color w:val="000000"/>
              </w:rPr>
              <w:t xml:space="preserve"> w Polsce</w:t>
            </w:r>
            <w:r w:rsidR="00A74D80" w:rsidRPr="0050413F">
              <w:rPr>
                <w:rFonts w:ascii="Times New Roman" w:hAnsi="Times New Roman"/>
                <w:color w:val="000000"/>
              </w:rPr>
              <w:t>.</w:t>
            </w:r>
          </w:p>
          <w:p w14:paraId="7AD37B53" w14:textId="77777777" w:rsidR="0085220B" w:rsidRPr="0050413F" w:rsidRDefault="00977E09" w:rsidP="0050413F">
            <w:pPr>
              <w:spacing w:line="240" w:lineRule="auto"/>
              <w:jc w:val="both"/>
              <w:rPr>
                <w:rFonts w:ascii="Times New Roman" w:hAnsi="Times New Roman"/>
                <w:color w:val="000000"/>
              </w:rPr>
            </w:pPr>
            <w:r w:rsidRPr="0050413F">
              <w:rPr>
                <w:rFonts w:ascii="Times New Roman" w:hAnsi="Times New Roman"/>
                <w:color w:val="000000"/>
              </w:rPr>
              <w:t>Rozwiązywane</w:t>
            </w:r>
            <w:r w:rsidR="00AA1F01" w:rsidRPr="0050413F">
              <w:rPr>
                <w:rFonts w:ascii="Times New Roman" w:hAnsi="Times New Roman"/>
                <w:color w:val="000000"/>
              </w:rPr>
              <w:t xml:space="preserve"> główne</w:t>
            </w:r>
            <w:r w:rsidRPr="0050413F">
              <w:rPr>
                <w:rFonts w:ascii="Times New Roman" w:hAnsi="Times New Roman"/>
                <w:color w:val="000000"/>
              </w:rPr>
              <w:t xml:space="preserve"> problemy</w:t>
            </w:r>
            <w:r w:rsidR="0085220B" w:rsidRPr="0050413F">
              <w:rPr>
                <w:rFonts w:ascii="Times New Roman" w:hAnsi="Times New Roman"/>
                <w:color w:val="000000"/>
              </w:rPr>
              <w:t>:</w:t>
            </w:r>
          </w:p>
          <w:p w14:paraId="1E2F1970" w14:textId="77777777" w:rsidR="0085220B"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konieczność </w:t>
            </w:r>
            <w:r w:rsidR="00E55332" w:rsidRPr="0050413F">
              <w:rPr>
                <w:rFonts w:ascii="Times New Roman" w:hAnsi="Times New Roman"/>
                <w:color w:val="000000"/>
              </w:rPr>
              <w:t>uelastycznieni</w:t>
            </w:r>
            <w:r w:rsidRPr="0050413F">
              <w:rPr>
                <w:rFonts w:ascii="Times New Roman" w:hAnsi="Times New Roman"/>
                <w:color w:val="000000"/>
              </w:rPr>
              <w:t>a</w:t>
            </w:r>
            <w:r w:rsidR="00977E09" w:rsidRPr="0050413F">
              <w:rPr>
                <w:rFonts w:ascii="Times New Roman" w:hAnsi="Times New Roman"/>
                <w:color w:val="000000"/>
              </w:rPr>
              <w:t xml:space="preserve"> zasad dotyczących wprowad</w:t>
            </w:r>
            <w:r w:rsidR="00E55332" w:rsidRPr="0050413F">
              <w:rPr>
                <w:rFonts w:ascii="Times New Roman" w:hAnsi="Times New Roman"/>
                <w:color w:val="000000"/>
              </w:rPr>
              <w:t>zania stref czystego transportu</w:t>
            </w:r>
            <w:r w:rsidRPr="0050413F">
              <w:rPr>
                <w:rFonts w:ascii="Times New Roman" w:hAnsi="Times New Roman"/>
                <w:color w:val="000000"/>
              </w:rPr>
              <w:t>;</w:t>
            </w:r>
          </w:p>
          <w:p w14:paraId="0FEFA1F3" w14:textId="47EB7E8E" w:rsidR="001643C9"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konieczność opracowania </w:t>
            </w:r>
            <w:r w:rsidR="001643C9" w:rsidRPr="0050413F">
              <w:rPr>
                <w:rFonts w:ascii="Times New Roman" w:hAnsi="Times New Roman"/>
                <w:color w:val="000000"/>
              </w:rPr>
              <w:t xml:space="preserve"> mechanizmów dla GDDKiA do</w:t>
            </w:r>
            <w:r w:rsidR="00B26617" w:rsidRPr="0050413F">
              <w:rPr>
                <w:rFonts w:ascii="Times New Roman" w:hAnsi="Times New Roman"/>
                <w:color w:val="000000"/>
              </w:rPr>
              <w:t>tyczących</w:t>
            </w:r>
            <w:r w:rsidR="001643C9" w:rsidRPr="0050413F">
              <w:rPr>
                <w:rFonts w:ascii="Times New Roman" w:hAnsi="Times New Roman"/>
                <w:color w:val="000000"/>
              </w:rPr>
              <w:t xml:space="preserve"> tworzenia e-pasów na drogach krajowych</w:t>
            </w:r>
            <w:r w:rsidRPr="0050413F">
              <w:rPr>
                <w:rFonts w:ascii="Times New Roman" w:hAnsi="Times New Roman"/>
                <w:color w:val="000000"/>
              </w:rPr>
              <w:t>;</w:t>
            </w:r>
          </w:p>
          <w:p w14:paraId="7724ACF5" w14:textId="77777777" w:rsidR="001643C9"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trudności w</w:t>
            </w:r>
            <w:r w:rsidR="001643C9" w:rsidRPr="0050413F">
              <w:rPr>
                <w:rFonts w:ascii="Times New Roman" w:hAnsi="Times New Roman"/>
                <w:color w:val="000000"/>
              </w:rPr>
              <w:t xml:space="preserve"> instalacji punktów ładowania w budynkach wielorodzinnych</w:t>
            </w:r>
            <w:r w:rsidRPr="0050413F">
              <w:rPr>
                <w:rFonts w:ascii="Times New Roman" w:hAnsi="Times New Roman"/>
                <w:color w:val="000000"/>
              </w:rPr>
              <w:t>;</w:t>
            </w:r>
          </w:p>
          <w:p w14:paraId="550C305C" w14:textId="3062F55D" w:rsidR="00AD69CA" w:rsidRPr="0050413F" w:rsidRDefault="00AD69CA"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wprowadzenie zerowej stawki opłat drogowych i środowiskowych dla niskoemisyjnych</w:t>
            </w:r>
            <w:r w:rsidR="00F7514B" w:rsidRPr="0050413F">
              <w:rPr>
                <w:rFonts w:ascii="Times New Roman" w:hAnsi="Times New Roman"/>
                <w:color w:val="000000"/>
              </w:rPr>
              <w:t xml:space="preserve"> pojazdów ciężarowych </w:t>
            </w:r>
            <w:r w:rsidR="00F165C1" w:rsidRPr="0050413F">
              <w:rPr>
                <w:rFonts w:ascii="Times New Roman" w:hAnsi="Times New Roman"/>
                <w:color w:val="000000"/>
              </w:rPr>
              <w:t>o</w:t>
            </w:r>
            <w:r w:rsidR="00F36476" w:rsidRPr="0050413F">
              <w:rPr>
                <w:rFonts w:ascii="Times New Roman" w:hAnsi="Times New Roman"/>
                <w:color w:val="000000"/>
              </w:rPr>
              <w:t> </w:t>
            </w:r>
            <w:r w:rsidR="00F165C1" w:rsidRPr="0050413F">
              <w:rPr>
                <w:rFonts w:ascii="Times New Roman" w:hAnsi="Times New Roman"/>
                <w:color w:val="000000"/>
              </w:rPr>
              <w:t xml:space="preserve">masie własnej powyżej 3,5 tony </w:t>
            </w:r>
            <w:r w:rsidR="00F7514B" w:rsidRPr="0050413F">
              <w:rPr>
                <w:rFonts w:ascii="Times New Roman" w:hAnsi="Times New Roman"/>
                <w:color w:val="000000"/>
              </w:rPr>
              <w:t>i autobusów</w:t>
            </w:r>
            <w:r w:rsidR="00AA1F01" w:rsidRPr="0050413F">
              <w:rPr>
                <w:rFonts w:ascii="Times New Roman" w:hAnsi="Times New Roman"/>
                <w:color w:val="000000"/>
              </w:rPr>
              <w:t>;</w:t>
            </w:r>
          </w:p>
          <w:p w14:paraId="4FA80EEA" w14:textId="77777777" w:rsidR="00AD69CA" w:rsidRPr="0050413F" w:rsidRDefault="00AD69CA"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zbyt </w:t>
            </w:r>
            <w:r w:rsidR="00AA1F01" w:rsidRPr="0050413F">
              <w:rPr>
                <w:rFonts w:ascii="Times New Roman" w:hAnsi="Times New Roman"/>
                <w:color w:val="000000"/>
              </w:rPr>
              <w:t xml:space="preserve">wąski zakres </w:t>
            </w:r>
            <w:r w:rsidRPr="0050413F">
              <w:rPr>
                <w:rFonts w:ascii="Times New Roman" w:hAnsi="Times New Roman"/>
                <w:color w:val="000000"/>
              </w:rPr>
              <w:t>uprawnie</w:t>
            </w:r>
            <w:r w:rsidR="00AA1F01" w:rsidRPr="0050413F">
              <w:rPr>
                <w:rFonts w:ascii="Times New Roman" w:hAnsi="Times New Roman"/>
                <w:color w:val="000000"/>
              </w:rPr>
              <w:t>ń</w:t>
            </w:r>
            <w:r w:rsidRPr="0050413F">
              <w:rPr>
                <w:rFonts w:ascii="Times New Roman" w:hAnsi="Times New Roman"/>
                <w:color w:val="000000"/>
              </w:rPr>
              <w:t xml:space="preserve"> kontrol</w:t>
            </w:r>
            <w:r w:rsidR="00AA1F01" w:rsidRPr="0050413F">
              <w:rPr>
                <w:rFonts w:ascii="Times New Roman" w:hAnsi="Times New Roman"/>
                <w:color w:val="000000"/>
              </w:rPr>
              <w:t>nych</w:t>
            </w:r>
            <w:r w:rsidRPr="0050413F">
              <w:rPr>
                <w:rFonts w:ascii="Times New Roman" w:hAnsi="Times New Roman"/>
                <w:color w:val="000000"/>
              </w:rPr>
              <w:t xml:space="preserve"> inspektorów U</w:t>
            </w:r>
            <w:r w:rsidR="00432119" w:rsidRPr="0050413F">
              <w:rPr>
                <w:rFonts w:ascii="Times New Roman" w:hAnsi="Times New Roman"/>
                <w:color w:val="000000"/>
              </w:rPr>
              <w:t xml:space="preserve">rzędu </w:t>
            </w:r>
            <w:r w:rsidRPr="0050413F">
              <w:rPr>
                <w:rFonts w:ascii="Times New Roman" w:hAnsi="Times New Roman"/>
                <w:color w:val="000000"/>
              </w:rPr>
              <w:t>D</w:t>
            </w:r>
            <w:r w:rsidR="00432119" w:rsidRPr="0050413F">
              <w:rPr>
                <w:rFonts w:ascii="Times New Roman" w:hAnsi="Times New Roman"/>
                <w:color w:val="000000"/>
              </w:rPr>
              <w:t xml:space="preserve">ozoru </w:t>
            </w:r>
            <w:r w:rsidRPr="0050413F">
              <w:rPr>
                <w:rFonts w:ascii="Times New Roman" w:hAnsi="Times New Roman"/>
                <w:color w:val="000000"/>
              </w:rPr>
              <w:t>T</w:t>
            </w:r>
            <w:r w:rsidR="00432119" w:rsidRPr="0050413F">
              <w:rPr>
                <w:rFonts w:ascii="Times New Roman" w:hAnsi="Times New Roman"/>
                <w:color w:val="000000"/>
              </w:rPr>
              <w:t>echnicznego (UDT)</w:t>
            </w:r>
            <w:r w:rsidR="00AA1F01" w:rsidRPr="0050413F">
              <w:rPr>
                <w:rFonts w:ascii="Times New Roman" w:hAnsi="Times New Roman"/>
                <w:color w:val="000000"/>
              </w:rPr>
              <w:t>;</w:t>
            </w:r>
          </w:p>
          <w:p w14:paraId="7D510A82" w14:textId="77777777" w:rsidR="00940341" w:rsidRPr="0050413F" w:rsidRDefault="00682D89"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brak regulacji w zakresie </w:t>
            </w:r>
            <w:r w:rsidR="00940341" w:rsidRPr="0050413F">
              <w:rPr>
                <w:rFonts w:ascii="Times New Roman" w:hAnsi="Times New Roman"/>
                <w:color w:val="000000"/>
              </w:rPr>
              <w:t>wydawani</w:t>
            </w:r>
            <w:r w:rsidRPr="0050413F">
              <w:rPr>
                <w:rFonts w:ascii="Times New Roman" w:hAnsi="Times New Roman"/>
                <w:color w:val="000000"/>
              </w:rPr>
              <w:t>a</w:t>
            </w:r>
            <w:r w:rsidR="00940341" w:rsidRPr="0050413F">
              <w:rPr>
                <w:rFonts w:ascii="Times New Roman" w:hAnsi="Times New Roman"/>
                <w:color w:val="000000"/>
              </w:rPr>
              <w:t xml:space="preserve"> kodów identyfikacyjnych dla podmiotów</w:t>
            </w:r>
            <w:r w:rsidR="00432119" w:rsidRPr="0050413F">
              <w:rPr>
                <w:rFonts w:ascii="Times New Roman" w:hAnsi="Times New Roman"/>
                <w:color w:val="000000"/>
              </w:rPr>
              <w:t xml:space="preserve"> z obszaru</w:t>
            </w:r>
            <w:r w:rsidR="00940341" w:rsidRPr="0050413F">
              <w:rPr>
                <w:rFonts w:ascii="Times New Roman" w:hAnsi="Times New Roman"/>
                <w:color w:val="000000"/>
              </w:rPr>
              <w:t xml:space="preserve"> e-mobilności</w:t>
            </w:r>
            <w:r w:rsidR="005F2FB9" w:rsidRPr="0050413F">
              <w:rPr>
                <w:rFonts w:ascii="Times New Roman" w:hAnsi="Times New Roman"/>
                <w:color w:val="000000"/>
              </w:rPr>
              <w:t xml:space="preserve"> oraz ułatwień w zakresie korzystania ze stacji ładowania</w:t>
            </w:r>
            <w:r w:rsidRPr="0050413F">
              <w:rPr>
                <w:rFonts w:ascii="Times New Roman" w:hAnsi="Times New Roman"/>
                <w:color w:val="000000"/>
              </w:rPr>
              <w:t>. Celem nadawania kodów identyfikacyjnych jest stworzenie możliwości sprawdzenia w każdym momencie statusu danej stacji ładowania w Ewidencji Infrastruktury Paliw Alternatywnych</w:t>
            </w:r>
            <w:r w:rsidR="00432119" w:rsidRPr="0050413F">
              <w:rPr>
                <w:rFonts w:ascii="Times New Roman" w:hAnsi="Times New Roman"/>
                <w:color w:val="000000"/>
              </w:rPr>
              <w:t>;</w:t>
            </w:r>
            <w:r w:rsidRPr="0050413F">
              <w:rPr>
                <w:rFonts w:ascii="Times New Roman" w:hAnsi="Times New Roman"/>
                <w:color w:val="000000"/>
              </w:rPr>
              <w:t xml:space="preserve"> </w:t>
            </w:r>
          </w:p>
          <w:p w14:paraId="290D25D3" w14:textId="77777777" w:rsidR="00940341" w:rsidRPr="0050413F" w:rsidRDefault="0094034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brak ustawowej definicji </w:t>
            </w:r>
            <w:proofErr w:type="spellStart"/>
            <w:r w:rsidRPr="0050413F">
              <w:rPr>
                <w:rFonts w:ascii="Times New Roman" w:hAnsi="Times New Roman"/>
                <w:color w:val="000000"/>
              </w:rPr>
              <w:t>carsharingu</w:t>
            </w:r>
            <w:proofErr w:type="spellEnd"/>
            <w:r w:rsidRPr="0050413F">
              <w:rPr>
                <w:rFonts w:ascii="Times New Roman" w:hAnsi="Times New Roman"/>
                <w:color w:val="000000"/>
              </w:rPr>
              <w:t xml:space="preserve"> oraz </w:t>
            </w:r>
            <w:r w:rsidR="00432119" w:rsidRPr="0050413F">
              <w:rPr>
                <w:rFonts w:ascii="Times New Roman" w:hAnsi="Times New Roman"/>
                <w:color w:val="000000"/>
              </w:rPr>
              <w:t xml:space="preserve">brak </w:t>
            </w:r>
            <w:r w:rsidRPr="0050413F">
              <w:rPr>
                <w:rFonts w:ascii="Times New Roman" w:hAnsi="Times New Roman"/>
                <w:color w:val="000000"/>
              </w:rPr>
              <w:t xml:space="preserve">ułatwień dla świadczenia </w:t>
            </w:r>
            <w:r w:rsidR="00432119" w:rsidRPr="0050413F">
              <w:rPr>
                <w:rFonts w:ascii="Times New Roman" w:hAnsi="Times New Roman"/>
                <w:color w:val="000000"/>
              </w:rPr>
              <w:t xml:space="preserve">tej </w:t>
            </w:r>
            <w:r w:rsidRPr="0050413F">
              <w:rPr>
                <w:rFonts w:ascii="Times New Roman" w:hAnsi="Times New Roman"/>
                <w:color w:val="000000"/>
              </w:rPr>
              <w:t xml:space="preserve">usług </w:t>
            </w:r>
            <w:r w:rsidR="00432119" w:rsidRPr="0050413F">
              <w:rPr>
                <w:rFonts w:ascii="Times New Roman" w:hAnsi="Times New Roman"/>
                <w:color w:val="000000"/>
              </w:rPr>
              <w:t>pomimo, że ma ona skutki pozytywne dla klimatu;</w:t>
            </w:r>
          </w:p>
          <w:p w14:paraId="7870C838" w14:textId="77777777" w:rsidR="00AA1F01" w:rsidRPr="0050413F" w:rsidRDefault="002162E4" w:rsidP="0050413F">
            <w:pPr>
              <w:spacing w:line="240" w:lineRule="auto"/>
              <w:ind w:left="-42"/>
              <w:jc w:val="both"/>
              <w:rPr>
                <w:rFonts w:ascii="Times New Roman" w:hAnsi="Times New Roman"/>
                <w:color w:val="000000"/>
              </w:rPr>
            </w:pPr>
            <w:r w:rsidRPr="0050413F">
              <w:rPr>
                <w:rFonts w:ascii="Times New Roman" w:hAnsi="Times New Roman"/>
                <w:color w:val="000000"/>
              </w:rPr>
              <w:t>8</w:t>
            </w:r>
            <w:r w:rsidR="00956AA1" w:rsidRPr="0050413F">
              <w:rPr>
                <w:rFonts w:ascii="Times New Roman" w:hAnsi="Times New Roman"/>
                <w:color w:val="000000"/>
              </w:rPr>
              <w:t xml:space="preserve">) brak kompleksowej regulacji w zakresie amortyzacji </w:t>
            </w:r>
            <w:r w:rsidR="002E5FFA" w:rsidRPr="0050413F">
              <w:rPr>
                <w:rFonts w:ascii="Times New Roman" w:hAnsi="Times New Roman"/>
                <w:color w:val="000000"/>
              </w:rPr>
              <w:t>pojazdów niskoemisyjnych;</w:t>
            </w:r>
          </w:p>
          <w:p w14:paraId="19BE11DE" w14:textId="0C5B700C" w:rsidR="007C3452" w:rsidRPr="0050413F" w:rsidRDefault="00D068EF" w:rsidP="0050413F">
            <w:pPr>
              <w:spacing w:line="240" w:lineRule="auto"/>
              <w:ind w:left="-42"/>
              <w:jc w:val="both"/>
              <w:rPr>
                <w:rFonts w:ascii="Times New Roman" w:hAnsi="Times New Roman"/>
              </w:rPr>
            </w:pPr>
            <w:r w:rsidRPr="0050413F">
              <w:rPr>
                <w:rFonts w:ascii="Times New Roman" w:hAnsi="Times New Roman"/>
              </w:rPr>
              <w:t>9</w:t>
            </w:r>
            <w:r w:rsidR="007C3452" w:rsidRPr="0050413F">
              <w:rPr>
                <w:rFonts w:ascii="Times New Roman" w:hAnsi="Times New Roman"/>
              </w:rPr>
              <w:t xml:space="preserve">) brak regulacji związanych </w:t>
            </w:r>
            <w:r w:rsidR="005F2FB9" w:rsidRPr="0050413F">
              <w:rPr>
                <w:rFonts w:ascii="Times New Roman" w:hAnsi="Times New Roman"/>
              </w:rPr>
              <w:t>z rozwojem infrastruktury tankowania wodorem</w:t>
            </w:r>
            <w:r w:rsidR="00432119" w:rsidRPr="0050413F">
              <w:rPr>
                <w:rFonts w:ascii="Times New Roman" w:hAnsi="Times New Roman"/>
              </w:rPr>
              <w:t>;</w:t>
            </w:r>
          </w:p>
          <w:p w14:paraId="2BC03F80" w14:textId="5DF39D53" w:rsidR="002E5FFA" w:rsidRPr="0050413F" w:rsidRDefault="00D068EF" w:rsidP="0050413F">
            <w:pPr>
              <w:spacing w:line="240" w:lineRule="auto"/>
              <w:ind w:left="-42"/>
              <w:jc w:val="both"/>
              <w:rPr>
                <w:rFonts w:ascii="Times New Roman" w:hAnsi="Times New Roman"/>
              </w:rPr>
            </w:pPr>
            <w:r w:rsidRPr="0050413F">
              <w:rPr>
                <w:rFonts w:ascii="Times New Roman" w:hAnsi="Times New Roman"/>
              </w:rPr>
              <w:t>10</w:t>
            </w:r>
            <w:r w:rsidR="00AA1F01" w:rsidRPr="0050413F">
              <w:rPr>
                <w:rFonts w:ascii="Times New Roman" w:hAnsi="Times New Roman"/>
              </w:rPr>
              <w:t xml:space="preserve">) konieczność wdrożenia przepisów </w:t>
            </w:r>
            <w:r w:rsidR="00656825" w:rsidRPr="0050413F">
              <w:rPr>
                <w:rFonts w:ascii="Times New Roman" w:hAnsi="Times New Roman"/>
              </w:rPr>
              <w:t>niżej wskazanych</w:t>
            </w:r>
            <w:r w:rsidR="0033397C" w:rsidRPr="0050413F">
              <w:rPr>
                <w:rFonts w:ascii="Times New Roman" w:hAnsi="Times New Roman"/>
              </w:rPr>
              <w:t xml:space="preserve"> dyrektyw:</w:t>
            </w:r>
            <w:r w:rsidR="00AA1F01" w:rsidRPr="0050413F">
              <w:rPr>
                <w:rFonts w:ascii="Times New Roman" w:hAnsi="Times New Roman"/>
              </w:rPr>
              <w:t xml:space="preserve"> </w:t>
            </w:r>
          </w:p>
          <w:p w14:paraId="7ECBEC82" w14:textId="77777777" w:rsidR="008D57F3" w:rsidRPr="0050413F" w:rsidRDefault="00AA1F01" w:rsidP="0050413F">
            <w:pPr>
              <w:spacing w:line="240" w:lineRule="auto"/>
              <w:ind w:left="-42"/>
              <w:jc w:val="both"/>
              <w:rPr>
                <w:rFonts w:ascii="Times New Roman" w:hAnsi="Times New Roman"/>
                <w:color w:val="000000"/>
              </w:rPr>
            </w:pPr>
            <w:r w:rsidRPr="0050413F">
              <w:rPr>
                <w:rFonts w:ascii="Times New Roman" w:hAnsi="Times New Roman"/>
                <w:color w:val="000000"/>
              </w:rPr>
              <w:t>2</w:t>
            </w:r>
            <w:r w:rsidR="008D57F3" w:rsidRPr="0050413F">
              <w:rPr>
                <w:rFonts w:ascii="Times New Roman" w:hAnsi="Times New Roman"/>
                <w:color w:val="000000"/>
              </w:rPr>
              <w:t>. Przepisy dyrektywy Parlamentu Europejskiego i Rady (UE) 2019/1161 z dnia 20 czerwca 2019 r. zmieniającej dyrektywę 2009/33/WE w sprawie promowania ekologicznie czystych i energooszczędnych pojazdów transportu drogowego (dalej: Dyrektywa 2019/1161/UE) nakładają na państwa członkowskie obowiązek ustanowienia minimalnych poziomów docelowych w zakresie udziału ekologicznie czystych pojazdów w całkowitej liczbie pojazdów objętych zamówieniami, które mają zostać osiągnięte w dwóch okresach odniesienia kończących się w 2025 r. i w 2030 r.</w:t>
            </w:r>
          </w:p>
          <w:p w14:paraId="703D3C99" w14:textId="65E758AF" w:rsidR="008D57F3" w:rsidRPr="0050413F" w:rsidRDefault="008D57F3" w:rsidP="0050413F">
            <w:pPr>
              <w:spacing w:line="240" w:lineRule="auto"/>
              <w:ind w:left="-42"/>
              <w:jc w:val="both"/>
              <w:rPr>
                <w:rFonts w:ascii="Times New Roman" w:hAnsi="Times New Roman"/>
                <w:color w:val="000000"/>
              </w:rPr>
            </w:pPr>
            <w:r w:rsidRPr="0050413F">
              <w:rPr>
                <w:rFonts w:ascii="Times New Roman" w:hAnsi="Times New Roman"/>
                <w:color w:val="000000"/>
              </w:rPr>
              <w:t>Zakresem niniejszej dyrektywy objęte zostały zamówienia</w:t>
            </w:r>
            <w:r w:rsidR="00432119" w:rsidRPr="0050413F">
              <w:rPr>
                <w:rFonts w:ascii="Times New Roman" w:hAnsi="Times New Roman"/>
                <w:color w:val="000000"/>
              </w:rPr>
              <w:t xml:space="preserve"> w zakresie</w:t>
            </w:r>
            <w:r w:rsidRPr="0050413F">
              <w:rPr>
                <w:rFonts w:ascii="Times New Roman" w:hAnsi="Times New Roman"/>
                <w:color w:val="000000"/>
              </w:rPr>
              <w:t xml:space="preserve"> kup</w:t>
            </w:r>
            <w:r w:rsidR="00432119" w:rsidRPr="0050413F">
              <w:rPr>
                <w:rFonts w:ascii="Times New Roman" w:hAnsi="Times New Roman"/>
                <w:color w:val="000000"/>
              </w:rPr>
              <w:t>na</w:t>
            </w:r>
            <w:r w:rsidRPr="0050413F">
              <w:rPr>
                <w:rFonts w:ascii="Times New Roman" w:hAnsi="Times New Roman"/>
                <w:color w:val="000000"/>
              </w:rPr>
              <w:t>,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dyrektywach Parlamentu Europejskiego i Rady 2014/24/UE i 2014/25//UE. Dyrektywa obejmuje także swoim zakresem zamówienia dot. świadczenia usług w zakresie drogowego publicznego transportu zbiorowego o wartości nieprzekraczającej wartości progowej określonej w art. 5 ust. 4 rozporządzenia (WE) nr</w:t>
            </w:r>
            <w:r w:rsidR="005D356E" w:rsidRPr="0050413F">
              <w:rPr>
                <w:rFonts w:ascii="Times New Roman" w:hAnsi="Times New Roman"/>
                <w:color w:val="000000"/>
              </w:rPr>
              <w:t> </w:t>
            </w:r>
            <w:r w:rsidRPr="0050413F">
              <w:rPr>
                <w:rFonts w:ascii="Times New Roman" w:hAnsi="Times New Roman"/>
                <w:color w:val="000000"/>
              </w:rPr>
              <w:t>1370/2007.</w:t>
            </w:r>
          </w:p>
          <w:p w14:paraId="15EBBEB0" w14:textId="3A87966B" w:rsidR="006A701A" w:rsidRPr="0050413F" w:rsidRDefault="00AA1F01" w:rsidP="0050413F">
            <w:pPr>
              <w:pStyle w:val="ARTartustawynprozporzdzenia"/>
              <w:spacing w:before="0" w:line="240" w:lineRule="auto"/>
              <w:ind w:firstLine="0"/>
            </w:pPr>
            <w:r w:rsidRPr="0050413F">
              <w:rPr>
                <w:rFonts w:ascii="Times New Roman" w:hAnsi="Times New Roman" w:cs="Times New Roman"/>
                <w:color w:val="000000"/>
                <w:sz w:val="22"/>
                <w:szCs w:val="22"/>
              </w:rPr>
              <w:t>3</w:t>
            </w:r>
            <w:r w:rsidR="00A85127" w:rsidRPr="0050413F">
              <w:rPr>
                <w:rFonts w:ascii="Times New Roman" w:hAnsi="Times New Roman" w:cs="Times New Roman"/>
                <w:color w:val="000000"/>
                <w:sz w:val="22"/>
                <w:szCs w:val="22"/>
              </w:rPr>
              <w:t>.</w:t>
            </w:r>
            <w:r w:rsidR="007C3452" w:rsidRPr="0050413F">
              <w:rPr>
                <w:rFonts w:ascii="Times New Roman" w:hAnsi="Times New Roman" w:cs="Times New Roman"/>
                <w:sz w:val="22"/>
                <w:szCs w:val="22"/>
              </w:rPr>
              <w:t xml:space="preserve"> Dyrektywa 2019/944 UE Parlamentu Europejskiego i Rady (UE) w sprawie wspólnych zasad rynku wewnętrznego energii elektrycznej</w:t>
            </w:r>
            <w:r w:rsidR="00432119" w:rsidRPr="0050413F">
              <w:rPr>
                <w:rFonts w:ascii="Times New Roman" w:hAnsi="Times New Roman" w:cs="Times New Roman"/>
                <w:sz w:val="22"/>
                <w:szCs w:val="22"/>
              </w:rPr>
              <w:t xml:space="preserve"> (dalej: Dyrektywa 2019/944)</w:t>
            </w:r>
            <w:r w:rsidR="007C3452" w:rsidRPr="0050413F">
              <w:rPr>
                <w:rFonts w:ascii="Times New Roman" w:hAnsi="Times New Roman" w:cs="Times New Roman"/>
                <w:sz w:val="22"/>
                <w:szCs w:val="22"/>
              </w:rPr>
              <w:t xml:space="preserve"> ustanawia zasady dotyczące wytwarzania, </w:t>
            </w:r>
            <w:proofErr w:type="spellStart"/>
            <w:r w:rsidR="007C3452" w:rsidRPr="0050413F">
              <w:rPr>
                <w:rFonts w:ascii="Times New Roman" w:hAnsi="Times New Roman" w:cs="Times New Roman"/>
                <w:sz w:val="22"/>
                <w:szCs w:val="22"/>
              </w:rPr>
              <w:t>przesyłu</w:t>
            </w:r>
            <w:proofErr w:type="spellEnd"/>
            <w:r w:rsidR="007C3452" w:rsidRPr="0050413F">
              <w:rPr>
                <w:rFonts w:ascii="Times New Roman" w:hAnsi="Times New Roman" w:cs="Times New Roman"/>
                <w:sz w:val="22"/>
                <w:szCs w:val="22"/>
              </w:rPr>
              <w:t>, dystrybucji, magazynowania energii i dostaw energii elektrycznej, wraz z przepisami dotyczącymi ochrony konsumentów, w celu stworzenia zintegrowanych, konkurencyjnych, elastycznych i przejrzystych rynków energii elektrycznej. Niniejsza dyrektywa dąży do zapewnienia wysokiego stopnia bezpieczeństwa dostaw i sprawnego przejścia na zrównoważony, niskoemisyjny system energetyczny. Ustanawia ona kluczowe zasady dotyczące organizacji i funkcjonowania sektora elektroenergetycznego m.in. otwartego dostępu do zintegrowanego rynku, dostępu stron trzecich do infrastruktury przesyłowej i dystrybucyjnej. Dyrektywa określa także warunki posiadania przez Operatora Systemu Dystrybucji stacji ładowania pojazdów</w:t>
            </w:r>
            <w:r w:rsidR="0050413F">
              <w:rPr>
                <w:rFonts w:ascii="Times New Roman" w:hAnsi="Times New Roman" w:cs="Times New Roman"/>
                <w:sz w:val="22"/>
                <w:szCs w:val="22"/>
              </w:rPr>
              <w:t>.</w:t>
            </w:r>
          </w:p>
        </w:tc>
      </w:tr>
      <w:tr w:rsidR="006A701A" w:rsidRPr="0050413F" w14:paraId="0981C438" w14:textId="77777777" w:rsidTr="00676C8D">
        <w:trPr>
          <w:gridAfter w:val="1"/>
          <w:wAfter w:w="10" w:type="dxa"/>
          <w:trHeight w:val="142"/>
        </w:trPr>
        <w:tc>
          <w:tcPr>
            <w:tcW w:w="10937" w:type="dxa"/>
            <w:gridSpan w:val="29"/>
            <w:shd w:val="clear" w:color="auto" w:fill="99CCFF"/>
            <w:vAlign w:val="center"/>
          </w:tcPr>
          <w:p w14:paraId="4AA3D07A" w14:textId="77777777" w:rsidR="006A701A" w:rsidRPr="0050413F" w:rsidRDefault="0013216E"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spacing w:val="-2"/>
              </w:rPr>
              <w:t>Rekomendowane rozwiązanie, w tym planowane narzędzia interwencji, i oczekiwany efekt</w:t>
            </w:r>
          </w:p>
        </w:tc>
      </w:tr>
      <w:tr w:rsidR="006A701A" w:rsidRPr="0050413F" w14:paraId="06518296" w14:textId="77777777" w:rsidTr="00676C8D">
        <w:trPr>
          <w:gridAfter w:val="1"/>
          <w:wAfter w:w="10" w:type="dxa"/>
          <w:trHeight w:val="142"/>
        </w:trPr>
        <w:tc>
          <w:tcPr>
            <w:tcW w:w="10937" w:type="dxa"/>
            <w:gridSpan w:val="29"/>
            <w:shd w:val="clear" w:color="auto" w:fill="auto"/>
          </w:tcPr>
          <w:p w14:paraId="171263B8" w14:textId="77777777" w:rsidR="00C92463" w:rsidRPr="0050413F" w:rsidRDefault="00053AB9"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W projektowanych przepisach stworzon</w:t>
            </w:r>
            <w:r w:rsidR="00C92463" w:rsidRPr="0050413F">
              <w:rPr>
                <w:rFonts w:ascii="Times New Roman" w:hAnsi="Times New Roman"/>
                <w:color w:val="000000"/>
                <w:spacing w:val="-2"/>
              </w:rPr>
              <w:t xml:space="preserve">e zostały wymienione poniżej narzędzia, po wprowadzeniu których spodziewany jest szybszy rozwój </w:t>
            </w:r>
            <w:proofErr w:type="spellStart"/>
            <w:r w:rsidR="00C92463" w:rsidRPr="0050413F">
              <w:rPr>
                <w:rFonts w:ascii="Times New Roman" w:hAnsi="Times New Roman"/>
                <w:color w:val="000000"/>
                <w:spacing w:val="-2"/>
              </w:rPr>
              <w:t>elektromobilności</w:t>
            </w:r>
            <w:proofErr w:type="spellEnd"/>
            <w:r w:rsidR="00C92463" w:rsidRPr="0050413F">
              <w:rPr>
                <w:rFonts w:ascii="Times New Roman" w:hAnsi="Times New Roman"/>
                <w:color w:val="000000"/>
                <w:spacing w:val="-2"/>
              </w:rPr>
              <w:t xml:space="preserve"> oraz ekologicznego transportu poprzez stworzenie bodźców dla branży oraz obywateli.</w:t>
            </w:r>
          </w:p>
          <w:p w14:paraId="37883F45" w14:textId="2643DEFE" w:rsidR="00D068EF"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lastRenderedPageBreak/>
              <w:t xml:space="preserve">Na bazie dotychczasowych doświadczeń proponuje się wprowadzenie przepisów </w:t>
            </w:r>
            <w:r w:rsidR="00B23D23" w:rsidRPr="0050413F">
              <w:rPr>
                <w:rFonts w:ascii="Times New Roman" w:hAnsi="Times New Roman"/>
                <w:color w:val="000000"/>
                <w:spacing w:val="-2"/>
              </w:rPr>
              <w:t xml:space="preserve">doprecyzowujących zasady tworzenia </w:t>
            </w:r>
            <w:r w:rsidR="00C92463" w:rsidRPr="0050413F">
              <w:rPr>
                <w:rFonts w:ascii="Times New Roman" w:hAnsi="Times New Roman"/>
                <w:color w:val="000000"/>
                <w:spacing w:val="-2"/>
              </w:rPr>
              <w:t>stref czystego transportu</w:t>
            </w:r>
            <w:r w:rsidRPr="0050413F">
              <w:rPr>
                <w:rFonts w:ascii="Times New Roman" w:hAnsi="Times New Roman"/>
                <w:color w:val="000000"/>
                <w:spacing w:val="-2"/>
              </w:rPr>
              <w:t>. M</w:t>
            </w:r>
            <w:r w:rsidR="00C92463" w:rsidRPr="0050413F">
              <w:rPr>
                <w:rFonts w:ascii="Times New Roman" w:hAnsi="Times New Roman"/>
                <w:color w:val="000000"/>
                <w:spacing w:val="-2"/>
              </w:rPr>
              <w:t>ają</w:t>
            </w:r>
            <w:r w:rsidRPr="0050413F">
              <w:rPr>
                <w:rFonts w:ascii="Times New Roman" w:hAnsi="Times New Roman"/>
                <w:color w:val="000000"/>
                <w:spacing w:val="-2"/>
              </w:rPr>
              <w:t xml:space="preserve"> one</w:t>
            </w:r>
            <w:r w:rsidR="00C92463" w:rsidRPr="0050413F">
              <w:rPr>
                <w:rFonts w:ascii="Times New Roman" w:hAnsi="Times New Roman"/>
                <w:color w:val="000000"/>
                <w:spacing w:val="-2"/>
              </w:rPr>
              <w:t xml:space="preserve"> na celu </w:t>
            </w:r>
            <w:r w:rsidR="00D068EF" w:rsidRPr="0050413F">
              <w:rPr>
                <w:rFonts w:ascii="Times New Roman" w:hAnsi="Times New Roman"/>
                <w:color w:val="000000"/>
                <w:spacing w:val="-2"/>
              </w:rPr>
              <w:t xml:space="preserve">wyznaczenie obowiązku tworzenia stref w miastach liczących powyżej 100 000 tys. mieszkańców oraz </w:t>
            </w:r>
            <w:r w:rsidR="00C92463" w:rsidRPr="0050413F">
              <w:rPr>
                <w:rFonts w:ascii="Times New Roman" w:hAnsi="Times New Roman"/>
                <w:color w:val="000000"/>
                <w:spacing w:val="-2"/>
              </w:rPr>
              <w:t>wprowadzenie możliwości ustanawiania stref we wszystkich gminach, niezależnie od liczby mieszkańców, jak również wprowadzenie specjalnych oznaczeń dla pojazdów uprawnionych do poruszania się w obrębie stref.</w:t>
            </w:r>
            <w:r w:rsidR="00D068EF" w:rsidRPr="0050413F">
              <w:rPr>
                <w:rFonts w:ascii="Times New Roman" w:hAnsi="Times New Roman"/>
                <w:color w:val="000000"/>
                <w:spacing w:val="-2"/>
              </w:rPr>
              <w:t xml:space="preserve"> Projektowane zmiany maja na celu uelastycznienie  przepisów w tym zakresie. Zwiększeniu uległ katalog pojazdów któremu nadano uprawnienia na wjazd do wyznaczonej strefy. Jednocześnie, proponuje się nałożyć obowiązek ich utworzenia na gminy liczące więcej niż 100 tys. mieszkańców, ze względu na większą emisję zanieczyszczeń powietrza pochodzących z transportu na takich terenach.</w:t>
            </w:r>
          </w:p>
          <w:p w14:paraId="00F0011A" w14:textId="77777777" w:rsidR="00C92463" w:rsidRPr="0050413F" w:rsidRDefault="00C92463"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Wprowadzenie </w:t>
            </w:r>
            <w:r w:rsidR="005C5C35" w:rsidRPr="0050413F">
              <w:rPr>
                <w:rFonts w:ascii="Times New Roman" w:hAnsi="Times New Roman"/>
                <w:color w:val="000000"/>
                <w:spacing w:val="-2"/>
              </w:rPr>
              <w:t xml:space="preserve">regulacji </w:t>
            </w:r>
            <w:r w:rsidRPr="0050413F">
              <w:rPr>
                <w:rFonts w:ascii="Times New Roman" w:hAnsi="Times New Roman"/>
                <w:color w:val="000000"/>
                <w:spacing w:val="-2"/>
              </w:rPr>
              <w:t xml:space="preserve">pozwalających w </w:t>
            </w:r>
            <w:r w:rsidR="005C5C35" w:rsidRPr="0050413F">
              <w:rPr>
                <w:rFonts w:ascii="Times New Roman" w:hAnsi="Times New Roman"/>
                <w:color w:val="000000"/>
                <w:spacing w:val="-2"/>
              </w:rPr>
              <w:t xml:space="preserve">przejrzysty i sprawny </w:t>
            </w:r>
            <w:r w:rsidRPr="0050413F">
              <w:rPr>
                <w:rFonts w:ascii="Times New Roman" w:hAnsi="Times New Roman"/>
                <w:color w:val="000000"/>
                <w:spacing w:val="-2"/>
              </w:rPr>
              <w:t>sposób tworzyć uprzywilejowane pasy ruchu dla autobusów i pojazdów elektrycznych na drogach szybkiego ruchu w miastach, w miejscach gdzie występują stałe utrudnienia w jego płynności.</w:t>
            </w:r>
            <w:r w:rsidR="00D068EF" w:rsidRPr="0050413F">
              <w:rPr>
                <w:rFonts w:ascii="Times New Roman" w:hAnsi="Times New Roman"/>
                <w:color w:val="000000"/>
                <w:spacing w:val="-2"/>
              </w:rPr>
              <w:t xml:space="preserve"> Projektowane zmiany mają na celu </w:t>
            </w:r>
            <w:r w:rsidR="00037449" w:rsidRPr="0050413F">
              <w:rPr>
                <w:rFonts w:ascii="Times New Roman" w:hAnsi="Times New Roman"/>
                <w:color w:val="000000"/>
                <w:spacing w:val="-2"/>
              </w:rPr>
              <w:t>stworzenie systemu określającego sposób działania samorządów z GDDKiA w celu ich wyznaczania. Na podstawie złożonego wniosku zostanie dokonana ocena zasadności jego wytyczenia. Projektowana procedura ułatwi tworzenie uprzywilejowanych pasów ruchu na terenach miast</w:t>
            </w:r>
            <w:r w:rsidR="002B4F51" w:rsidRPr="0050413F">
              <w:rPr>
                <w:rFonts w:ascii="Times New Roman" w:hAnsi="Times New Roman"/>
                <w:color w:val="000000"/>
                <w:spacing w:val="-2"/>
              </w:rPr>
              <w:t>, oraz przyczyni się do zwiększenia ich długości</w:t>
            </w:r>
          </w:p>
          <w:p w14:paraId="1266FD6B" w14:textId="77777777" w:rsidR="00C92463"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Uregulowanie w przepisach procedury mającej na celu instalację w budynkach wielorodzinnych punktów ładowania.  Proponowane przepisy określają </w:t>
            </w:r>
            <w:r w:rsidR="005C5C35" w:rsidRPr="0050413F">
              <w:rPr>
                <w:rFonts w:ascii="Times New Roman" w:hAnsi="Times New Roman"/>
                <w:color w:val="000000"/>
                <w:spacing w:val="-2"/>
              </w:rPr>
              <w:t>przypadk</w:t>
            </w:r>
            <w:r w:rsidRPr="0050413F">
              <w:rPr>
                <w:rFonts w:ascii="Times New Roman" w:hAnsi="Times New Roman"/>
                <w:color w:val="000000"/>
                <w:spacing w:val="-2"/>
              </w:rPr>
              <w:t>i</w:t>
            </w:r>
            <w:r w:rsidR="005C5C35" w:rsidRPr="0050413F">
              <w:rPr>
                <w:rFonts w:ascii="Times New Roman" w:hAnsi="Times New Roman"/>
                <w:color w:val="000000"/>
                <w:spacing w:val="-2"/>
              </w:rPr>
              <w:t xml:space="preserve">, </w:t>
            </w:r>
            <w:r w:rsidR="00C92463" w:rsidRPr="0050413F">
              <w:rPr>
                <w:rFonts w:ascii="Times New Roman" w:hAnsi="Times New Roman"/>
                <w:color w:val="000000"/>
                <w:spacing w:val="-2"/>
              </w:rPr>
              <w:t xml:space="preserve"> w jakich wspólnota mieszkaniowa/spółdzielnia może wydać decyzję odmowną odnośnie </w:t>
            </w:r>
            <w:r w:rsidR="005C5C35" w:rsidRPr="0050413F">
              <w:rPr>
                <w:rFonts w:ascii="Times New Roman" w:hAnsi="Times New Roman"/>
                <w:color w:val="000000"/>
                <w:spacing w:val="-2"/>
              </w:rPr>
              <w:t xml:space="preserve">do </w:t>
            </w:r>
            <w:r w:rsidR="00C92463" w:rsidRPr="0050413F">
              <w:rPr>
                <w:rFonts w:ascii="Times New Roman" w:hAnsi="Times New Roman"/>
                <w:color w:val="000000"/>
                <w:spacing w:val="-2"/>
              </w:rPr>
              <w:t>instalacji prywatnego punktu poboru energii przez mieszkańca oraz przyłączenia go do sieci poprowadzonej w nieruchomości. Dodanie zapisów o konieczności przeprowadzania ekspertyz dotyczących możliwości przyłączeniowych budynku, tak by wspólnota/spółdzielnia mieszkaniowa musiała wyrazić zgodę na instalację punktu, w przypadku gdy moce przyłączeniowe w budynku na to pozwalają</w:t>
            </w:r>
            <w:r w:rsidR="00EF3650" w:rsidRPr="0050413F">
              <w:rPr>
                <w:rFonts w:ascii="Times New Roman" w:hAnsi="Times New Roman"/>
                <w:color w:val="000000"/>
                <w:spacing w:val="-2"/>
              </w:rPr>
              <w:t>.</w:t>
            </w:r>
            <w:r w:rsidR="00037449" w:rsidRPr="0050413F">
              <w:rPr>
                <w:rFonts w:ascii="Times New Roman" w:hAnsi="Times New Roman"/>
                <w:color w:val="000000"/>
                <w:spacing w:val="-2"/>
              </w:rPr>
              <w:t xml:space="preserve"> W przypadku budynków posiadających status zabytków niezbędne jest uzyskanie zgody właściwego konserwatora zabytków. Projektowane przepisy ułatwią w znaczący sposób </w:t>
            </w:r>
            <w:r w:rsidR="00EA3191" w:rsidRPr="0050413F">
              <w:rPr>
                <w:rFonts w:ascii="Times New Roman" w:hAnsi="Times New Roman"/>
                <w:color w:val="000000"/>
                <w:spacing w:val="-2"/>
              </w:rPr>
              <w:t>montaż punktów ładowania na wniosek mieszkańców danego budynku. Działania te przyczynia się do zwiększenia liczby punktów ładowania samochodów elektrycznych. Osoby zainteresowane zakupem takiego pojazdu otrzymają możliwość ładowania go w swoim miejscu zamieszkania. Tego rodzaju model ładowania jest najkorzystniejszym rozwiązanie ponieważ odbywa się najczęściej w porze nocnej kiedy pojazd nie jest użytkowany, a zużycie prądu jest niższe niż w dzień co stabilizuje pracę sieci energetycznej.</w:t>
            </w:r>
          </w:p>
          <w:p w14:paraId="1414A37A" w14:textId="52D4C1B5" w:rsidR="00EF3650" w:rsidRPr="0050413F" w:rsidRDefault="00716C04"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Zwolnienie z </w:t>
            </w:r>
            <w:r w:rsidR="00EF3650" w:rsidRPr="0050413F">
              <w:rPr>
                <w:rFonts w:ascii="Times New Roman" w:hAnsi="Times New Roman"/>
                <w:color w:val="000000"/>
                <w:spacing w:val="-2"/>
              </w:rPr>
              <w:t xml:space="preserve"> opłat drogowych i środowiskowych dla pojazdów niskoemisyjnych </w:t>
            </w:r>
            <w:r w:rsidR="00A85127" w:rsidRPr="0050413F">
              <w:rPr>
                <w:rFonts w:ascii="Times New Roman" w:hAnsi="Times New Roman"/>
                <w:color w:val="000000"/>
                <w:spacing w:val="-2"/>
              </w:rPr>
              <w:t xml:space="preserve">o dopuszczalnej masie całkowitej przekraczającej 3,5 t (samochody ciężarowe i autobusy). Przyczyni </w:t>
            </w:r>
            <w:r w:rsidR="00EF3650" w:rsidRPr="0050413F">
              <w:rPr>
                <w:rFonts w:ascii="Times New Roman" w:hAnsi="Times New Roman"/>
                <w:color w:val="000000"/>
                <w:spacing w:val="-2"/>
              </w:rPr>
              <w:t xml:space="preserve">się </w:t>
            </w:r>
            <w:r w:rsidR="00A85127" w:rsidRPr="0050413F">
              <w:rPr>
                <w:rFonts w:ascii="Times New Roman" w:hAnsi="Times New Roman"/>
                <w:color w:val="000000"/>
                <w:spacing w:val="-2"/>
              </w:rPr>
              <w:t xml:space="preserve">to </w:t>
            </w:r>
            <w:r w:rsidR="00EF3650" w:rsidRPr="0050413F">
              <w:rPr>
                <w:rFonts w:ascii="Times New Roman" w:hAnsi="Times New Roman"/>
                <w:color w:val="000000"/>
                <w:spacing w:val="-2"/>
              </w:rPr>
              <w:t>w znacznym stopniu do zmniejszenia poziomu szkodliwych emisji w transporcie oraz poprawy stanu środowiska</w:t>
            </w:r>
            <w:r w:rsidR="00A85127" w:rsidRPr="0050413F">
              <w:rPr>
                <w:rFonts w:ascii="Times New Roman" w:hAnsi="Times New Roman"/>
                <w:color w:val="000000"/>
                <w:spacing w:val="-2"/>
              </w:rPr>
              <w:t xml:space="preserve"> </w:t>
            </w:r>
            <w:r w:rsidR="00EF3650" w:rsidRPr="0050413F">
              <w:rPr>
                <w:rFonts w:ascii="Times New Roman" w:hAnsi="Times New Roman"/>
                <w:color w:val="000000"/>
                <w:spacing w:val="-2"/>
              </w:rPr>
              <w:t>Przedsiębiorstwa transportowe otrzymają realną zachętę do wymiany floty na pojazdy niskoemisyjne, które będą tańsze w eksploatacji niż pojazdy napędzane silnikami spalinowymi.</w:t>
            </w:r>
            <w:r w:rsidR="002B4F51" w:rsidRPr="0050413F">
              <w:rPr>
                <w:rFonts w:ascii="Times New Roman" w:hAnsi="Times New Roman"/>
              </w:rPr>
              <w:t xml:space="preserve"> </w:t>
            </w:r>
            <w:r w:rsidR="002B4F51" w:rsidRPr="0050413F">
              <w:rPr>
                <w:rFonts w:ascii="Times New Roman" w:hAnsi="Times New Roman"/>
                <w:color w:val="000000"/>
                <w:spacing w:val="-2"/>
              </w:rPr>
              <w:t xml:space="preserve">Polskie firmy transportowe należą do </w:t>
            </w:r>
            <w:r w:rsidR="006755F7" w:rsidRPr="0050413F">
              <w:rPr>
                <w:rFonts w:ascii="Times New Roman" w:hAnsi="Times New Roman"/>
                <w:color w:val="000000"/>
                <w:spacing w:val="-2"/>
              </w:rPr>
              <w:t>e</w:t>
            </w:r>
            <w:r w:rsidR="002B4F51" w:rsidRPr="0050413F">
              <w:rPr>
                <w:rFonts w:ascii="Times New Roman" w:hAnsi="Times New Roman"/>
                <w:color w:val="000000"/>
                <w:spacing w:val="-2"/>
              </w:rPr>
              <w:t>uropejskich liderów w zakresie międzynarodowego przewozu towarów. Aby konkurować na wymagającym rynku Unii Europejskiej konieczne są prowadzone przez przedsiębiorców inwestycje we flotę pojazdów, aby spełniała ona najwyższe międzynarodowe standardy. Mając na uwadze powyższe, uzasadnione są działania stymulujące rozwój niskoemisyjnego transportu opartego na paliwach alternatywnych, aby przy podejmowaniu decyzji o zakupie nowych pojazdów wyposażonych w silniki wysokoprężne pojazdy zasilane gazem ziemnym stanowiły realną alternatywę. Zwolnienie pojazdów z</w:t>
            </w:r>
            <w:r w:rsidR="00F36476" w:rsidRPr="0050413F">
              <w:rPr>
                <w:rFonts w:ascii="Times New Roman" w:hAnsi="Times New Roman"/>
                <w:color w:val="000000"/>
                <w:spacing w:val="-2"/>
              </w:rPr>
              <w:t> </w:t>
            </w:r>
            <w:r w:rsidR="002B4F51" w:rsidRPr="0050413F">
              <w:rPr>
                <w:rFonts w:ascii="Times New Roman" w:hAnsi="Times New Roman"/>
                <w:color w:val="000000"/>
                <w:spacing w:val="-2"/>
              </w:rPr>
              <w:t xml:space="preserve">opłat przyczyni się do obniżenia całkowitego kosztu posiadania i eksploatacji </w:t>
            </w:r>
            <w:r w:rsidR="00244D07" w:rsidRPr="0050413F">
              <w:rPr>
                <w:rFonts w:ascii="Times New Roman" w:hAnsi="Times New Roman"/>
                <w:color w:val="000000"/>
                <w:spacing w:val="-2"/>
              </w:rPr>
              <w:t>pojazdów niskoemisyjnych. Rozwiązanie to jest stosowane w innych krajach Europejskich jak np. Niemczech. Wprowadzone zwolnienie pozwoli na stworzenie spójnego mechanizmu promującego transport niskoemisyjny na terenie Europy oraz obniżenia poziomu szkodliwych emisji.</w:t>
            </w:r>
            <w:r w:rsidR="00AD438A" w:rsidRPr="0050413F">
              <w:rPr>
                <w:rFonts w:ascii="Times New Roman" w:hAnsi="Times New Roman"/>
                <w:color w:val="000000"/>
                <w:spacing w:val="-2"/>
              </w:rPr>
              <w:t xml:space="preserve"> </w:t>
            </w:r>
          </w:p>
          <w:p w14:paraId="76D047BC" w14:textId="4428D5B8"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Rozszerzenie uprawnień posiadanych przez inspektorów U</w:t>
            </w:r>
            <w:r w:rsidR="00B04F8A" w:rsidRPr="0050413F">
              <w:rPr>
                <w:rFonts w:ascii="Times New Roman" w:hAnsi="Times New Roman"/>
                <w:color w:val="000000"/>
                <w:spacing w:val="-2"/>
              </w:rPr>
              <w:t xml:space="preserve">rzędu </w:t>
            </w:r>
            <w:r w:rsidRPr="0050413F">
              <w:rPr>
                <w:rFonts w:ascii="Times New Roman" w:hAnsi="Times New Roman"/>
                <w:color w:val="000000"/>
                <w:spacing w:val="-2"/>
              </w:rPr>
              <w:t>D</w:t>
            </w:r>
            <w:r w:rsidR="00B04F8A" w:rsidRPr="0050413F">
              <w:rPr>
                <w:rFonts w:ascii="Times New Roman" w:hAnsi="Times New Roman"/>
                <w:color w:val="000000"/>
                <w:spacing w:val="-2"/>
              </w:rPr>
              <w:t xml:space="preserve">ozoru </w:t>
            </w:r>
            <w:r w:rsidRPr="0050413F">
              <w:rPr>
                <w:rFonts w:ascii="Times New Roman" w:hAnsi="Times New Roman"/>
                <w:color w:val="000000"/>
                <w:spacing w:val="-2"/>
              </w:rPr>
              <w:t>T</w:t>
            </w:r>
            <w:r w:rsidR="00B04F8A" w:rsidRPr="0050413F">
              <w:rPr>
                <w:rFonts w:ascii="Times New Roman" w:hAnsi="Times New Roman"/>
                <w:color w:val="000000"/>
                <w:spacing w:val="-2"/>
              </w:rPr>
              <w:t>echnicznego (UDT)</w:t>
            </w:r>
            <w:r w:rsidRPr="0050413F">
              <w:rPr>
                <w:rFonts w:ascii="Times New Roman" w:hAnsi="Times New Roman"/>
                <w:color w:val="000000"/>
                <w:spacing w:val="-2"/>
              </w:rPr>
              <w:t xml:space="preserve"> o możliwość przeprowadzania kontroli</w:t>
            </w:r>
            <w:r w:rsidR="00B04F8A" w:rsidRPr="0050413F">
              <w:rPr>
                <w:rFonts w:ascii="Times New Roman" w:hAnsi="Times New Roman"/>
                <w:color w:val="000000"/>
                <w:spacing w:val="-2"/>
              </w:rPr>
              <w:t xml:space="preserve"> </w:t>
            </w:r>
            <w:r w:rsidRPr="0050413F">
              <w:rPr>
                <w:rFonts w:ascii="Times New Roman" w:hAnsi="Times New Roman"/>
                <w:color w:val="000000"/>
                <w:spacing w:val="-2"/>
              </w:rPr>
              <w:t>doraźnych.</w:t>
            </w:r>
            <w:r w:rsidR="006A2428" w:rsidRPr="0050413F">
              <w:rPr>
                <w:rFonts w:ascii="Times New Roman" w:hAnsi="Times New Roman"/>
              </w:rPr>
              <w:t xml:space="preserve"> </w:t>
            </w:r>
            <w:r w:rsidR="006A2428" w:rsidRPr="0050413F">
              <w:rPr>
                <w:rFonts w:ascii="Times New Roman" w:hAnsi="Times New Roman"/>
                <w:color w:val="000000"/>
                <w:spacing w:val="-2"/>
              </w:rPr>
              <w:t xml:space="preserve">Uprawnienia kontrolne dla UDT zostaną poszerzone o możliwość przeprowadzania kontroli doraźnych w przypadku podejrzenia wystąpienia zagrożenia dla bezpieczeństwa użytkowników, z uwagi na awarie lub uszkodzenia powstałe w trakcie eksploatacji stacji oraz punktów ładowania. </w:t>
            </w:r>
          </w:p>
          <w:p w14:paraId="2F5CF9A3" w14:textId="0FACA78A"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Doprecyzowanie przepisów </w:t>
            </w:r>
            <w:r w:rsidR="005C5C35" w:rsidRPr="0050413F">
              <w:rPr>
                <w:rFonts w:ascii="Times New Roman" w:hAnsi="Times New Roman"/>
                <w:color w:val="000000"/>
                <w:spacing w:val="-2"/>
              </w:rPr>
              <w:t>regulujących</w:t>
            </w:r>
            <w:r w:rsidR="00432119" w:rsidRPr="0050413F">
              <w:rPr>
                <w:rFonts w:ascii="Times New Roman" w:hAnsi="Times New Roman"/>
                <w:color w:val="000000"/>
                <w:spacing w:val="-2"/>
              </w:rPr>
              <w:t>,</w:t>
            </w:r>
            <w:r w:rsidR="005C5C35" w:rsidRPr="0050413F">
              <w:rPr>
                <w:rFonts w:ascii="Times New Roman" w:hAnsi="Times New Roman"/>
                <w:color w:val="000000"/>
                <w:spacing w:val="-2"/>
              </w:rPr>
              <w:t xml:space="preserve"> </w:t>
            </w:r>
            <w:r w:rsidRPr="0050413F">
              <w:rPr>
                <w:rFonts w:ascii="Times New Roman" w:hAnsi="Times New Roman"/>
                <w:color w:val="000000"/>
                <w:spacing w:val="-2"/>
              </w:rPr>
              <w:t>które stacje</w:t>
            </w:r>
            <w:r w:rsidR="005C5C35" w:rsidRPr="0050413F">
              <w:rPr>
                <w:rFonts w:ascii="Times New Roman" w:hAnsi="Times New Roman"/>
                <w:color w:val="000000"/>
                <w:spacing w:val="-2"/>
              </w:rPr>
              <w:t xml:space="preserve"> ładowania</w:t>
            </w:r>
            <w:r w:rsidRPr="0050413F">
              <w:rPr>
                <w:rFonts w:ascii="Times New Roman" w:hAnsi="Times New Roman"/>
                <w:color w:val="000000"/>
                <w:spacing w:val="-2"/>
              </w:rPr>
              <w:t xml:space="preserve"> powinny podlegać kontrolom przeprowadzanym przez UDT oraz </w:t>
            </w:r>
            <w:r w:rsidR="00682D89" w:rsidRPr="0050413F">
              <w:rPr>
                <w:rFonts w:ascii="Times New Roman" w:hAnsi="Times New Roman"/>
                <w:color w:val="000000"/>
                <w:spacing w:val="-2"/>
              </w:rPr>
              <w:t xml:space="preserve">doprecyzowanie </w:t>
            </w:r>
            <w:r w:rsidRPr="0050413F">
              <w:rPr>
                <w:rFonts w:ascii="Times New Roman" w:hAnsi="Times New Roman"/>
                <w:color w:val="000000"/>
                <w:spacing w:val="-2"/>
              </w:rPr>
              <w:t>definicji stacji ładowania.</w:t>
            </w:r>
            <w:r w:rsidR="00AD438A" w:rsidRPr="0050413F">
              <w:rPr>
                <w:rFonts w:ascii="Times New Roman" w:hAnsi="Times New Roman"/>
                <w:color w:val="000000"/>
                <w:spacing w:val="-2"/>
              </w:rPr>
              <w:t xml:space="preserve"> Obecnie występują wątpliwości odnośnie do definicji, które stacje ładowania świadczą usługę ładowania przez co podlegają obowiązkowej kontroli przeprowadzanej przez</w:t>
            </w:r>
            <w:r w:rsidR="003936D9" w:rsidRPr="0050413F">
              <w:rPr>
                <w:rFonts w:ascii="Times New Roman" w:hAnsi="Times New Roman"/>
                <w:color w:val="000000"/>
                <w:spacing w:val="-2"/>
              </w:rPr>
              <w:t xml:space="preserve"> </w:t>
            </w:r>
            <w:r w:rsidR="00AD438A" w:rsidRPr="0050413F">
              <w:rPr>
                <w:rFonts w:ascii="Times New Roman" w:hAnsi="Times New Roman"/>
                <w:color w:val="000000"/>
                <w:spacing w:val="-2"/>
              </w:rPr>
              <w:t>UDT. Rozszerzenie i doprecyzowanie definicji pozwala na jednoznaczne określenie które stacje należy określać jako obiekty świadczące usługę ładowania.</w:t>
            </w:r>
          </w:p>
          <w:p w14:paraId="1CE1A787" w14:textId="77777777" w:rsidR="00EF3650"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Proponowane przepisy wprowadzają obowiązek </w:t>
            </w:r>
            <w:r w:rsidR="007606F6" w:rsidRPr="0050413F">
              <w:rPr>
                <w:rFonts w:ascii="Times New Roman" w:hAnsi="Times New Roman"/>
                <w:color w:val="000000"/>
                <w:spacing w:val="-2"/>
              </w:rPr>
              <w:t xml:space="preserve">uzyskiwania </w:t>
            </w:r>
            <w:r w:rsidR="00432119" w:rsidRPr="0050413F">
              <w:rPr>
                <w:rFonts w:ascii="Times New Roman" w:hAnsi="Times New Roman"/>
                <w:color w:val="000000"/>
                <w:spacing w:val="-2"/>
              </w:rPr>
              <w:t xml:space="preserve">indywidualnych </w:t>
            </w:r>
            <w:r w:rsidR="00EF3650" w:rsidRPr="0050413F">
              <w:rPr>
                <w:rFonts w:ascii="Times New Roman" w:hAnsi="Times New Roman"/>
                <w:color w:val="000000"/>
                <w:spacing w:val="-2"/>
              </w:rPr>
              <w:t xml:space="preserve">kodów identyfikacyjnych dla </w:t>
            </w:r>
            <w:r w:rsidR="00432119" w:rsidRPr="0050413F">
              <w:rPr>
                <w:rFonts w:ascii="Times New Roman" w:hAnsi="Times New Roman"/>
                <w:color w:val="000000"/>
                <w:spacing w:val="-2"/>
              </w:rPr>
              <w:t>operatorów ogólnodostępnych stacji ładowania i dostawców usługi ładowania</w:t>
            </w:r>
            <w:r w:rsidR="00FB152F" w:rsidRPr="0050413F">
              <w:rPr>
                <w:rFonts w:ascii="Times New Roman" w:hAnsi="Times New Roman"/>
                <w:color w:val="000000"/>
                <w:spacing w:val="-2"/>
              </w:rPr>
              <w:t>.</w:t>
            </w:r>
            <w:r w:rsidR="006A2428" w:rsidRPr="0050413F">
              <w:rPr>
                <w:rFonts w:ascii="Times New Roman" w:eastAsia="Times New Roman" w:hAnsi="Times New Roman"/>
                <w:lang w:eastAsia="pl-PL"/>
              </w:rPr>
              <w:t xml:space="preserve"> </w:t>
            </w:r>
            <w:r w:rsidR="006A2428" w:rsidRPr="0050413F">
              <w:rPr>
                <w:rFonts w:ascii="Times New Roman" w:hAnsi="Times New Roman"/>
                <w:color w:val="000000"/>
                <w:spacing w:val="-2"/>
              </w:rPr>
              <w:t>Polska zobowiązała się do stworzenia repozytorium kodów ID w ramach programu PSA IDACS realizowanego przez KE. Konieczne jest więc wyznaczenie podmiotu nadającego kody oraz określenie zasad ich wydawania.</w:t>
            </w:r>
          </w:p>
          <w:p w14:paraId="17E49A32" w14:textId="77777777"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Wprowadzona została </w:t>
            </w:r>
            <w:r w:rsidR="00432119" w:rsidRPr="0050413F">
              <w:rPr>
                <w:rFonts w:ascii="Times New Roman" w:hAnsi="Times New Roman"/>
                <w:color w:val="000000"/>
                <w:spacing w:val="-2"/>
              </w:rPr>
              <w:t xml:space="preserve">definicja współdzielenia </w:t>
            </w:r>
            <w:r w:rsidRPr="0050413F">
              <w:rPr>
                <w:rFonts w:ascii="Times New Roman" w:hAnsi="Times New Roman"/>
                <w:color w:val="000000"/>
                <w:spacing w:val="-2"/>
              </w:rPr>
              <w:t>oraz uregulowano ułatwienia dla</w:t>
            </w:r>
            <w:r w:rsidR="00432119" w:rsidRPr="0050413F">
              <w:rPr>
                <w:rFonts w:ascii="Times New Roman" w:hAnsi="Times New Roman"/>
                <w:color w:val="000000"/>
                <w:spacing w:val="-2"/>
              </w:rPr>
              <w:t xml:space="preserve"> </w:t>
            </w:r>
            <w:r w:rsidRPr="0050413F">
              <w:rPr>
                <w:rFonts w:ascii="Times New Roman" w:hAnsi="Times New Roman"/>
                <w:color w:val="000000"/>
                <w:spacing w:val="-2"/>
              </w:rPr>
              <w:t xml:space="preserve">świadczenia </w:t>
            </w:r>
            <w:r w:rsidR="00432119" w:rsidRPr="0050413F">
              <w:rPr>
                <w:rFonts w:ascii="Times New Roman" w:hAnsi="Times New Roman"/>
                <w:color w:val="000000"/>
                <w:spacing w:val="-2"/>
              </w:rPr>
              <w:t xml:space="preserve">tej </w:t>
            </w:r>
            <w:r w:rsidRPr="0050413F">
              <w:rPr>
                <w:rFonts w:ascii="Times New Roman" w:hAnsi="Times New Roman"/>
                <w:color w:val="000000"/>
                <w:spacing w:val="-2"/>
              </w:rPr>
              <w:t>usług</w:t>
            </w:r>
            <w:r w:rsidR="00432119" w:rsidRPr="0050413F">
              <w:rPr>
                <w:rFonts w:ascii="Times New Roman" w:hAnsi="Times New Roman"/>
                <w:color w:val="000000"/>
                <w:spacing w:val="-2"/>
              </w:rPr>
              <w:t>i</w:t>
            </w:r>
            <w:r w:rsidRPr="0050413F">
              <w:rPr>
                <w:rFonts w:ascii="Times New Roman" w:hAnsi="Times New Roman"/>
                <w:color w:val="000000"/>
                <w:spacing w:val="-2"/>
              </w:rPr>
              <w:t xml:space="preserve">, w celu zwiększenia </w:t>
            </w:r>
            <w:r w:rsidR="00432119" w:rsidRPr="0050413F">
              <w:rPr>
                <w:rFonts w:ascii="Times New Roman" w:hAnsi="Times New Roman"/>
                <w:color w:val="000000"/>
                <w:spacing w:val="-2"/>
              </w:rPr>
              <w:t xml:space="preserve">jej </w:t>
            </w:r>
            <w:r w:rsidRPr="0050413F">
              <w:rPr>
                <w:rFonts w:ascii="Times New Roman" w:hAnsi="Times New Roman"/>
                <w:color w:val="000000"/>
                <w:spacing w:val="-2"/>
              </w:rPr>
              <w:t>po</w:t>
            </w:r>
            <w:r w:rsidR="008D57F3" w:rsidRPr="0050413F">
              <w:rPr>
                <w:rFonts w:ascii="Times New Roman" w:hAnsi="Times New Roman"/>
                <w:color w:val="000000"/>
                <w:spacing w:val="-2"/>
              </w:rPr>
              <w:t>pularności</w:t>
            </w:r>
            <w:r w:rsidR="00FB152F" w:rsidRPr="0050413F">
              <w:rPr>
                <w:rFonts w:ascii="Times New Roman" w:hAnsi="Times New Roman"/>
                <w:color w:val="000000"/>
                <w:spacing w:val="-2"/>
              </w:rPr>
              <w:t>.</w:t>
            </w:r>
            <w:r w:rsidR="00F74B96" w:rsidRPr="0050413F">
              <w:rPr>
                <w:rFonts w:ascii="Times New Roman" w:hAnsi="Times New Roman"/>
                <w:color w:val="000000"/>
                <w:spacing w:val="-2"/>
              </w:rPr>
              <w:t xml:space="preserve"> </w:t>
            </w:r>
            <w:r w:rsidR="00F74B96" w:rsidRPr="0050413F">
              <w:rPr>
                <w:rFonts w:ascii="Times New Roman" w:hAnsi="Times New Roman"/>
              </w:rPr>
              <w:t xml:space="preserve">Obecnie </w:t>
            </w:r>
            <w:r w:rsidR="00F74B96" w:rsidRPr="0050413F">
              <w:rPr>
                <w:rFonts w:ascii="Times New Roman" w:hAnsi="Times New Roman"/>
                <w:color w:val="000000"/>
                <w:spacing w:val="-2"/>
              </w:rPr>
              <w:t xml:space="preserve">rozwija się system polegający na krótkoterminowym najmie pojazdu samochodowego, odbywający się za pomocą platform i aplikacji, tzw. </w:t>
            </w:r>
            <w:proofErr w:type="spellStart"/>
            <w:r w:rsidR="00F74B96" w:rsidRPr="0050413F">
              <w:rPr>
                <w:rFonts w:ascii="Times New Roman" w:hAnsi="Times New Roman"/>
                <w:color w:val="000000"/>
                <w:spacing w:val="-2"/>
              </w:rPr>
              <w:t>carsharing</w:t>
            </w:r>
            <w:proofErr w:type="spellEnd"/>
            <w:r w:rsidR="00F74B96" w:rsidRPr="0050413F">
              <w:rPr>
                <w:rFonts w:ascii="Times New Roman" w:hAnsi="Times New Roman"/>
                <w:color w:val="000000"/>
                <w:spacing w:val="-2"/>
              </w:rPr>
              <w:t>. W krajowych przepisach nie ma obecnie prawnie uregulowanej definicji tej formy najmu, dlatego propozycja takiego przepisu została dodana do projektowanych zmian. Dodatkowo, stworzony został system zachęt dla użytkowników oraz operatorów zajmujących się świadczeniem takiej usługi, m.in. zwolnienie z obowiązku opłaty za parkowanie w przestrzeni miejskiej oraz możliwość poruszania się po buspasach.</w:t>
            </w:r>
          </w:p>
          <w:p w14:paraId="37FC33D3" w14:textId="77777777" w:rsidR="002E5FFA" w:rsidRPr="0050413F" w:rsidRDefault="002E5FFA"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lastRenderedPageBreak/>
              <w:t>Wprowadzono przepisy dotyczące amortyzacji pojazdów niskoemisyjnych</w:t>
            </w:r>
            <w:r w:rsidR="00FB152F" w:rsidRPr="0050413F">
              <w:rPr>
                <w:rFonts w:ascii="Times New Roman" w:hAnsi="Times New Roman"/>
                <w:color w:val="000000"/>
                <w:spacing w:val="-2"/>
              </w:rPr>
              <w:t>.</w:t>
            </w:r>
            <w:r w:rsidR="00855453" w:rsidRPr="0050413F">
              <w:rPr>
                <w:rFonts w:ascii="Times New Roman" w:hAnsi="Times New Roman"/>
                <w:color w:val="000000"/>
                <w:spacing w:val="-2"/>
              </w:rPr>
              <w:t xml:space="preserve"> Projektowane rozwiązania mają na celu określenie zasad korzystniejszej amortyzacji dla pojazdów niskoemisyjnych w aspekcie finansowym. Zaproponowane rozwiązania są korzystniejsze od obowiązujących dla pojazdów spalinowych, a co za tym idzie służą promocji pojazdów niskoemisyjnych</w:t>
            </w:r>
            <w:r w:rsidR="00B26617" w:rsidRPr="0050413F">
              <w:rPr>
                <w:rFonts w:ascii="Times New Roman" w:hAnsi="Times New Roman"/>
                <w:color w:val="000000"/>
                <w:spacing w:val="-2"/>
              </w:rPr>
              <w:t>.</w:t>
            </w:r>
          </w:p>
          <w:p w14:paraId="47E1F506" w14:textId="77777777" w:rsidR="00C64F7D" w:rsidRPr="0050413F" w:rsidRDefault="008D57F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Implementowane akty prawne</w:t>
            </w:r>
            <w:r w:rsidR="005C5C35" w:rsidRPr="0050413F">
              <w:rPr>
                <w:rFonts w:ascii="Times New Roman" w:hAnsi="Times New Roman"/>
                <w:color w:val="000000"/>
                <w:spacing w:val="-2"/>
              </w:rPr>
              <w:t>:</w:t>
            </w:r>
          </w:p>
          <w:p w14:paraId="4281B99A" w14:textId="77777777" w:rsidR="00BB6B3A" w:rsidRPr="0050413F" w:rsidRDefault="008D57F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1. </w:t>
            </w:r>
            <w:r w:rsidR="00BB6B3A" w:rsidRPr="0050413F">
              <w:rPr>
                <w:rFonts w:ascii="Times New Roman" w:hAnsi="Times New Roman"/>
                <w:color w:val="000000"/>
                <w:spacing w:val="-2"/>
              </w:rPr>
              <w:t xml:space="preserve">W Polsce istnieją przepisy, które regulują zasady i tryb udzielania zamówień publicznych, jak i zasady funkcjonowania rynku (pojazdów i infrastruktury) paliw alternatywnych w transporcie. Są to: ustawa z dnia 11 września 2019 r. Prawo zamówień publicznych (Dz.U. poz. 2019) ) oraz ustawa z dnia 11 listopada 2018 r. o </w:t>
            </w:r>
            <w:proofErr w:type="spellStart"/>
            <w:r w:rsidR="00BB6B3A" w:rsidRPr="0050413F">
              <w:rPr>
                <w:rFonts w:ascii="Times New Roman" w:hAnsi="Times New Roman"/>
                <w:color w:val="000000"/>
                <w:spacing w:val="-2"/>
              </w:rPr>
              <w:t>elektromobilności</w:t>
            </w:r>
            <w:proofErr w:type="spellEnd"/>
            <w:r w:rsidR="00BB6B3A" w:rsidRPr="0050413F">
              <w:rPr>
                <w:rFonts w:ascii="Times New Roman" w:hAnsi="Times New Roman"/>
                <w:color w:val="000000"/>
                <w:spacing w:val="-2"/>
              </w:rPr>
              <w:t xml:space="preserve"> i</w:t>
            </w:r>
            <w:r w:rsidR="007C3452" w:rsidRPr="0050413F">
              <w:rPr>
                <w:rFonts w:ascii="Times New Roman" w:hAnsi="Times New Roman"/>
                <w:color w:val="000000"/>
                <w:spacing w:val="-2"/>
              </w:rPr>
              <w:t> </w:t>
            </w:r>
            <w:r w:rsidR="00BB6B3A" w:rsidRPr="0050413F">
              <w:rPr>
                <w:rFonts w:ascii="Times New Roman" w:hAnsi="Times New Roman"/>
                <w:color w:val="000000"/>
                <w:spacing w:val="-2"/>
              </w:rPr>
              <w:t>paliwach alternatywnych. Jednak</w:t>
            </w:r>
            <w:r w:rsidR="00C05729" w:rsidRPr="0050413F">
              <w:rPr>
                <w:rFonts w:ascii="Times New Roman" w:hAnsi="Times New Roman"/>
                <w:color w:val="000000"/>
                <w:spacing w:val="-2"/>
              </w:rPr>
              <w:t>że</w:t>
            </w:r>
            <w:r w:rsidR="00BB6B3A" w:rsidRPr="0050413F">
              <w:rPr>
                <w:rFonts w:ascii="Times New Roman" w:hAnsi="Times New Roman"/>
                <w:color w:val="000000"/>
                <w:spacing w:val="-2"/>
              </w:rPr>
              <w:t xml:space="preserve"> przeprowadzone analizy wskazują, iż przepisy te nie są wystarczające do osiągnięcia celów dyrektywy 2019/1161/UE.</w:t>
            </w:r>
          </w:p>
          <w:p w14:paraId="05BA1B4C" w14:textId="77777777" w:rsidR="00BB6B3A" w:rsidRPr="0050413F" w:rsidRDefault="00BB6B3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Projektowane rozwiązanie </w:t>
            </w:r>
            <w:r w:rsidR="005C5C35" w:rsidRPr="0050413F">
              <w:rPr>
                <w:rFonts w:ascii="Times New Roman" w:hAnsi="Times New Roman"/>
                <w:color w:val="000000"/>
                <w:spacing w:val="-2"/>
              </w:rPr>
              <w:t xml:space="preserve">w tym zakresie polega m.in., na: </w:t>
            </w:r>
          </w:p>
          <w:p w14:paraId="4FB5D7A0" w14:textId="3BF78348" w:rsidR="00BB6B3A" w:rsidRPr="0050413F" w:rsidRDefault="005C5C35"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 określeniu  </w:t>
            </w:r>
            <w:r w:rsidR="00BB6B3A" w:rsidRPr="0050413F">
              <w:rPr>
                <w:rFonts w:ascii="Times New Roman" w:hAnsi="Times New Roman"/>
                <w:color w:val="000000"/>
                <w:spacing w:val="-2"/>
              </w:rPr>
              <w:t>minimaln</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poziom</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docelow</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w zakresie udziału ekologicznie czystych pojazdów w całkowitej liczbie pojazdów objętych zamówieniami, które mają zostać osiągnięte w dwóch okresach odniesienia kończących się w 2025 r. i</w:t>
            </w:r>
            <w:r w:rsidR="00F36476" w:rsidRPr="0050413F">
              <w:rPr>
                <w:rFonts w:ascii="Times New Roman" w:hAnsi="Times New Roman"/>
                <w:color w:val="000000"/>
                <w:spacing w:val="-2"/>
              </w:rPr>
              <w:t> </w:t>
            </w:r>
            <w:r w:rsidR="00BB6B3A" w:rsidRPr="0050413F">
              <w:rPr>
                <w:rFonts w:ascii="Times New Roman" w:hAnsi="Times New Roman"/>
                <w:color w:val="000000"/>
                <w:spacing w:val="-2"/>
              </w:rPr>
              <w:t>w 2030 r.</w:t>
            </w:r>
            <w:r w:rsidR="00C05729" w:rsidRPr="0050413F">
              <w:rPr>
                <w:rFonts w:ascii="Times New Roman" w:hAnsi="Times New Roman"/>
                <w:color w:val="000000"/>
                <w:spacing w:val="-2"/>
              </w:rPr>
              <w:t>,</w:t>
            </w:r>
          </w:p>
          <w:p w14:paraId="0E1DE4A1" w14:textId="77777777" w:rsidR="00BB6B3A" w:rsidRPr="0050413F" w:rsidRDefault="005C5C35"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n</w:t>
            </w:r>
            <w:r w:rsidR="00BB6B3A" w:rsidRPr="0050413F">
              <w:rPr>
                <w:rFonts w:ascii="Times New Roman" w:hAnsi="Times New Roman"/>
                <w:color w:val="000000"/>
                <w:spacing w:val="-2"/>
              </w:rPr>
              <w:t>a</w:t>
            </w:r>
            <w:r w:rsidRPr="0050413F">
              <w:rPr>
                <w:rFonts w:ascii="Times New Roman" w:hAnsi="Times New Roman"/>
                <w:color w:val="000000"/>
                <w:spacing w:val="-2"/>
              </w:rPr>
              <w:t>łożeniu</w:t>
            </w:r>
            <w:r w:rsidR="00BB6B3A" w:rsidRPr="0050413F">
              <w:rPr>
                <w:rFonts w:ascii="Times New Roman" w:hAnsi="Times New Roman"/>
                <w:color w:val="000000"/>
                <w:spacing w:val="-2"/>
              </w:rPr>
              <w:t xml:space="preserve"> now</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obowiązk</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na zamawiających (publicznych i sektorowych), w tym organizatorów publicznego transportu zbiorowego, w zakresie uzyskania minimalnych poziomów docelowych, jak i </w:t>
            </w:r>
            <w:r w:rsidRPr="0050413F">
              <w:rPr>
                <w:rFonts w:ascii="Times New Roman" w:hAnsi="Times New Roman"/>
                <w:color w:val="000000"/>
                <w:spacing w:val="-2"/>
              </w:rPr>
              <w:t xml:space="preserve">nałożeniu </w:t>
            </w:r>
            <w:r w:rsidR="00BB6B3A" w:rsidRPr="0050413F">
              <w:rPr>
                <w:rFonts w:ascii="Times New Roman" w:hAnsi="Times New Roman"/>
                <w:color w:val="000000"/>
                <w:spacing w:val="-2"/>
              </w:rPr>
              <w:t>obowiązk</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informacyjn</w:t>
            </w:r>
            <w:r w:rsidRPr="0050413F">
              <w:rPr>
                <w:rFonts w:ascii="Times New Roman" w:hAnsi="Times New Roman"/>
                <w:color w:val="000000"/>
                <w:spacing w:val="-2"/>
              </w:rPr>
              <w:t>ych</w:t>
            </w:r>
            <w:r w:rsidR="00BB6B3A" w:rsidRPr="0050413F">
              <w:rPr>
                <w:rFonts w:ascii="Times New Roman" w:hAnsi="Times New Roman"/>
                <w:color w:val="000000"/>
                <w:spacing w:val="-2"/>
              </w:rPr>
              <w:t>/</w:t>
            </w:r>
            <w:r w:rsidR="00FB152F" w:rsidRPr="0050413F">
              <w:rPr>
                <w:rFonts w:ascii="Times New Roman" w:hAnsi="Times New Roman"/>
                <w:color w:val="000000"/>
                <w:spacing w:val="-2"/>
              </w:rPr>
              <w:t xml:space="preserve"> </w:t>
            </w:r>
            <w:r w:rsidR="00BB6B3A" w:rsidRPr="0050413F">
              <w:rPr>
                <w:rFonts w:ascii="Times New Roman" w:hAnsi="Times New Roman"/>
                <w:color w:val="000000"/>
                <w:spacing w:val="-2"/>
              </w:rPr>
              <w:t>sprawozdawcz</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w tym zakresie. </w:t>
            </w:r>
          </w:p>
          <w:p w14:paraId="2BD89D40" w14:textId="77777777" w:rsidR="008D57F3" w:rsidRPr="0050413F" w:rsidRDefault="00BB6B3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Oczekiwanym efektem jest pobudzenie rynku </w:t>
            </w:r>
            <w:r w:rsidR="006E54BC" w:rsidRPr="0050413F">
              <w:rPr>
                <w:rFonts w:ascii="Times New Roman" w:hAnsi="Times New Roman"/>
                <w:color w:val="000000"/>
                <w:spacing w:val="-2"/>
              </w:rPr>
              <w:t>ekologicznie czystych i energooszczędnych</w:t>
            </w:r>
            <w:r w:rsidRPr="0050413F">
              <w:rPr>
                <w:rFonts w:ascii="Times New Roman" w:hAnsi="Times New Roman"/>
                <w:color w:val="000000"/>
                <w:spacing w:val="-2"/>
              </w:rPr>
              <w:t xml:space="preserve"> pojazdów transportu drogowego poprzez stworzenie bodźców po stronie popytu na takie pojazdy.</w:t>
            </w:r>
          </w:p>
          <w:p w14:paraId="2195AE6E" w14:textId="35652F9A" w:rsidR="00033D31" w:rsidRPr="0050413F" w:rsidRDefault="00033D31" w:rsidP="0050413F">
            <w:pPr>
              <w:pStyle w:val="ARTartustawynprozporzdzenia"/>
              <w:spacing w:before="0" w:line="240" w:lineRule="auto"/>
              <w:ind w:firstLine="0"/>
              <w:rPr>
                <w:rFonts w:ascii="Times New Roman" w:hAnsi="Times New Roman" w:cs="Times New Roman"/>
                <w:sz w:val="22"/>
                <w:szCs w:val="22"/>
              </w:rPr>
            </w:pPr>
            <w:r w:rsidRPr="0050413F">
              <w:rPr>
                <w:rFonts w:ascii="Times New Roman" w:hAnsi="Times New Roman" w:cs="Times New Roman"/>
                <w:color w:val="000000"/>
                <w:sz w:val="22"/>
                <w:szCs w:val="22"/>
              </w:rPr>
              <w:t>2.</w:t>
            </w:r>
            <w:r w:rsidRPr="0050413F">
              <w:rPr>
                <w:rFonts w:ascii="Times New Roman" w:hAnsi="Times New Roman" w:cs="Times New Roman"/>
                <w:sz w:val="22"/>
                <w:szCs w:val="22"/>
              </w:rPr>
              <w:t xml:space="preserve"> Dyrektywa 2019/944 UE Parlamentu Europejskiego i Rady (UE) w sprawie wspólnych zasad rynku wewnętrznego energii elektrycznej (dalej: Dyrektywa 2019/944) ustanawia zasady dotyczące wytwarzania, </w:t>
            </w:r>
            <w:proofErr w:type="spellStart"/>
            <w:r w:rsidRPr="0050413F">
              <w:rPr>
                <w:rFonts w:ascii="Times New Roman" w:hAnsi="Times New Roman" w:cs="Times New Roman"/>
                <w:sz w:val="22"/>
                <w:szCs w:val="22"/>
              </w:rPr>
              <w:t>przesyłu</w:t>
            </w:r>
            <w:proofErr w:type="spellEnd"/>
            <w:r w:rsidRPr="0050413F">
              <w:rPr>
                <w:rFonts w:ascii="Times New Roman" w:hAnsi="Times New Roman" w:cs="Times New Roman"/>
                <w:sz w:val="22"/>
                <w:szCs w:val="22"/>
              </w:rPr>
              <w:t>, dystrybucji, magazynowania energii i dostaw energii elektrycznej, wraz z przepisami dotyczącymi ochrony konsumentów, w celu stworzenia zintegrowanych, konkurencyjnych, elastycznych i przejrzystych rynków energii elektrycznej. Niniejsza dyrektywa dąży do zapewnienia wysokiego stopnia bezpieczeństwa dostaw i sprawnego przejścia na zrównoważony, niskoemisyjny system energetyczny. Ustanawia ona kluczowe zasady dotyczące organizacji i funkcjonowania sektora elektroenergetycznego m.in. otwartego dostępu do zintegrowanego rynku, dostępu stron trzecich do infrastruktury przesyłowej i dystrybucyjnej. Dyrektywa określa także warunki posiadania przez Operatora Systemu Dystrybucji stacji ładowania pojazdów – implementacja tych zasada zawarta jest w art. 1 pkt 15.</w:t>
            </w:r>
          </w:p>
        </w:tc>
      </w:tr>
      <w:tr w:rsidR="006A701A" w:rsidRPr="0050413F" w14:paraId="532FC947" w14:textId="77777777" w:rsidTr="00676C8D">
        <w:trPr>
          <w:gridAfter w:val="1"/>
          <w:wAfter w:w="10" w:type="dxa"/>
          <w:trHeight w:val="307"/>
        </w:trPr>
        <w:tc>
          <w:tcPr>
            <w:tcW w:w="10937" w:type="dxa"/>
            <w:gridSpan w:val="29"/>
            <w:shd w:val="clear" w:color="auto" w:fill="99CCFF"/>
            <w:vAlign w:val="center"/>
          </w:tcPr>
          <w:p w14:paraId="000B790E" w14:textId="77777777" w:rsidR="006A701A" w:rsidRPr="0050413F" w:rsidRDefault="009E3C4B"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spacing w:val="-2"/>
              </w:rPr>
              <w:lastRenderedPageBreak/>
              <w:t>Jak problem został rozwiązany w innych krajach, w szczególności krajach członkowskich OECD/UE</w:t>
            </w:r>
            <w:r w:rsidR="006A701A" w:rsidRPr="0050413F">
              <w:rPr>
                <w:rFonts w:ascii="Times New Roman" w:hAnsi="Times New Roman"/>
                <w:b/>
                <w:color w:val="000000"/>
              </w:rPr>
              <w:t>?</w:t>
            </w:r>
            <w:r w:rsidR="006A701A" w:rsidRPr="0050413F">
              <w:rPr>
                <w:rFonts w:ascii="Times New Roman" w:hAnsi="Times New Roman"/>
                <w:i/>
                <w:color w:val="000000"/>
              </w:rPr>
              <w:t xml:space="preserve"> </w:t>
            </w:r>
          </w:p>
        </w:tc>
      </w:tr>
      <w:tr w:rsidR="006A701A" w:rsidRPr="0050413F" w14:paraId="688AB6D4" w14:textId="77777777" w:rsidTr="00676C8D">
        <w:trPr>
          <w:gridAfter w:val="1"/>
          <w:wAfter w:w="10" w:type="dxa"/>
          <w:trHeight w:val="142"/>
        </w:trPr>
        <w:tc>
          <w:tcPr>
            <w:tcW w:w="10937" w:type="dxa"/>
            <w:gridSpan w:val="29"/>
            <w:shd w:val="clear" w:color="auto" w:fill="auto"/>
          </w:tcPr>
          <w:p w14:paraId="6B4995AA" w14:textId="77777777" w:rsidR="006A701A" w:rsidRPr="0050413F" w:rsidRDefault="008D3B7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„Europejska strategia na rzecz mobilności niskoemisyjnej” podkreśla konieczność dekarbonizacji sektora transportu oraz zmniejszenia emisji w tym sektorze, zwłaszcza na obszarach miejskich, wskazuje także na istotną rolę, jaką </w:t>
            </w:r>
            <w:proofErr w:type="spellStart"/>
            <w:r w:rsidRPr="0050413F">
              <w:rPr>
                <w:rFonts w:ascii="Times New Roman" w:hAnsi="Times New Roman"/>
                <w:color w:val="000000"/>
                <w:spacing w:val="-2"/>
              </w:rPr>
              <w:t>elektromobilnoś</w:t>
            </w:r>
            <w:r w:rsidR="005C5C35" w:rsidRPr="0050413F">
              <w:rPr>
                <w:rFonts w:ascii="Times New Roman" w:hAnsi="Times New Roman"/>
                <w:color w:val="000000"/>
                <w:spacing w:val="-2"/>
              </w:rPr>
              <w:t>ć</w:t>
            </w:r>
            <w:proofErr w:type="spellEnd"/>
            <w:r w:rsidRPr="0050413F">
              <w:rPr>
                <w:rFonts w:ascii="Times New Roman" w:hAnsi="Times New Roman"/>
                <w:color w:val="000000"/>
                <w:spacing w:val="-2"/>
              </w:rPr>
              <w:t xml:space="preserve"> może odegrać w osiąganiu tych celów. Wdrażanie </w:t>
            </w:r>
            <w:proofErr w:type="spellStart"/>
            <w:r w:rsidRPr="0050413F">
              <w:rPr>
                <w:rFonts w:ascii="Times New Roman" w:hAnsi="Times New Roman"/>
                <w:color w:val="000000"/>
                <w:spacing w:val="-2"/>
              </w:rPr>
              <w:t>elektromobilności</w:t>
            </w:r>
            <w:proofErr w:type="spellEnd"/>
            <w:r w:rsidRPr="0050413F">
              <w:rPr>
                <w:rFonts w:ascii="Times New Roman" w:hAnsi="Times New Roman"/>
                <w:color w:val="000000"/>
                <w:spacing w:val="-2"/>
              </w:rPr>
              <w:t xml:space="preserve"> stanowi ponadto ważny element transformacji energetyki.</w:t>
            </w:r>
          </w:p>
          <w:p w14:paraId="00FF7F51" w14:textId="7F4DDC3F" w:rsidR="00363309" w:rsidRPr="0050413F" w:rsidRDefault="008D3B73" w:rsidP="0050413F">
            <w:pPr>
              <w:spacing w:line="240" w:lineRule="auto"/>
              <w:jc w:val="both"/>
              <w:rPr>
                <w:rFonts w:ascii="Times New Roman" w:hAnsi="Times New Roman"/>
                <w:bCs/>
                <w:color w:val="000000"/>
                <w:spacing w:val="-2"/>
              </w:rPr>
            </w:pPr>
            <w:r w:rsidRPr="0050413F">
              <w:rPr>
                <w:rFonts w:ascii="Times New Roman" w:hAnsi="Times New Roman"/>
                <w:bCs/>
                <w:color w:val="000000"/>
                <w:spacing w:val="-2"/>
              </w:rPr>
              <w:t xml:space="preserve">Mechanizmy wsparcia rozwoju </w:t>
            </w:r>
            <w:proofErr w:type="spellStart"/>
            <w:r w:rsidRPr="0050413F">
              <w:rPr>
                <w:rFonts w:ascii="Times New Roman" w:hAnsi="Times New Roman"/>
                <w:bCs/>
                <w:color w:val="000000"/>
                <w:spacing w:val="-2"/>
              </w:rPr>
              <w:t>elektromobilności</w:t>
            </w:r>
            <w:proofErr w:type="spellEnd"/>
            <w:r w:rsidRPr="0050413F">
              <w:rPr>
                <w:rFonts w:ascii="Times New Roman" w:hAnsi="Times New Roman"/>
                <w:bCs/>
                <w:color w:val="000000"/>
                <w:spacing w:val="-2"/>
              </w:rPr>
              <w:t xml:space="preserve"> i </w:t>
            </w:r>
            <w:proofErr w:type="spellStart"/>
            <w:r w:rsidRPr="0050413F">
              <w:rPr>
                <w:rFonts w:ascii="Times New Roman" w:hAnsi="Times New Roman"/>
                <w:bCs/>
                <w:color w:val="000000"/>
                <w:spacing w:val="-2"/>
              </w:rPr>
              <w:t>carsharingu</w:t>
            </w:r>
            <w:proofErr w:type="spellEnd"/>
            <w:r w:rsidR="00C05729" w:rsidRPr="0050413F">
              <w:rPr>
                <w:rFonts w:ascii="Times New Roman" w:hAnsi="Times New Roman"/>
                <w:bCs/>
                <w:color w:val="000000"/>
                <w:spacing w:val="-2"/>
              </w:rPr>
              <w:t xml:space="preserve"> (współdzielenia)</w:t>
            </w:r>
            <w:r w:rsidRPr="0050413F">
              <w:rPr>
                <w:rFonts w:ascii="Times New Roman" w:hAnsi="Times New Roman"/>
                <w:bCs/>
                <w:color w:val="000000"/>
                <w:spacing w:val="-2"/>
              </w:rPr>
              <w:t xml:space="preserve"> polegające np. na zwolnieniach z</w:t>
            </w:r>
            <w:r w:rsidR="00F36476" w:rsidRPr="0050413F">
              <w:rPr>
                <w:rFonts w:ascii="Times New Roman" w:hAnsi="Times New Roman"/>
                <w:bCs/>
                <w:color w:val="000000"/>
                <w:spacing w:val="-2"/>
              </w:rPr>
              <w:t> </w:t>
            </w:r>
            <w:r w:rsidRPr="0050413F">
              <w:rPr>
                <w:rFonts w:ascii="Times New Roman" w:hAnsi="Times New Roman"/>
                <w:bCs/>
                <w:color w:val="000000"/>
                <w:spacing w:val="-2"/>
              </w:rPr>
              <w:t>podatków drogowych, podatków rejestracyjnych, korzyściach finansowych, możliwość bezpłatnego parkowania w</w:t>
            </w:r>
            <w:r w:rsidR="00F36476" w:rsidRPr="0050413F">
              <w:rPr>
                <w:rFonts w:ascii="Times New Roman" w:hAnsi="Times New Roman"/>
                <w:bCs/>
                <w:color w:val="000000"/>
                <w:spacing w:val="-2"/>
              </w:rPr>
              <w:t> </w:t>
            </w:r>
            <w:r w:rsidRPr="0050413F">
              <w:rPr>
                <w:rFonts w:ascii="Times New Roman" w:hAnsi="Times New Roman"/>
                <w:bCs/>
                <w:color w:val="000000"/>
                <w:spacing w:val="-2"/>
              </w:rPr>
              <w:t>miastach, tworzeniu stref niskiej emisji są stosowane w większości krajów Unii Europejskiej. Wyróżnić tu można kraje</w:t>
            </w:r>
            <w:r w:rsidR="005C5C35" w:rsidRPr="0050413F">
              <w:rPr>
                <w:rFonts w:ascii="Times New Roman" w:hAnsi="Times New Roman"/>
                <w:bCs/>
                <w:color w:val="000000"/>
                <w:spacing w:val="-2"/>
              </w:rPr>
              <w:t>,</w:t>
            </w:r>
            <w:r w:rsidRPr="0050413F">
              <w:rPr>
                <w:rFonts w:ascii="Times New Roman" w:hAnsi="Times New Roman"/>
                <w:bCs/>
                <w:color w:val="000000"/>
                <w:spacing w:val="-2"/>
              </w:rPr>
              <w:t xml:space="preserve"> które dążą do jak najszybszego rozwoju </w:t>
            </w:r>
            <w:proofErr w:type="spellStart"/>
            <w:r w:rsidRPr="0050413F">
              <w:rPr>
                <w:rFonts w:ascii="Times New Roman" w:hAnsi="Times New Roman"/>
                <w:bCs/>
                <w:color w:val="000000"/>
                <w:spacing w:val="-2"/>
              </w:rPr>
              <w:t>elektromobilności</w:t>
            </w:r>
            <w:proofErr w:type="spellEnd"/>
            <w:r w:rsidR="00AA2242" w:rsidRPr="0050413F">
              <w:rPr>
                <w:rFonts w:ascii="Times New Roman" w:hAnsi="Times New Roman"/>
                <w:bCs/>
                <w:color w:val="000000"/>
                <w:spacing w:val="-2"/>
              </w:rPr>
              <w:t>, takie</w:t>
            </w:r>
            <w:r w:rsidRPr="0050413F">
              <w:rPr>
                <w:rFonts w:ascii="Times New Roman" w:hAnsi="Times New Roman"/>
                <w:bCs/>
                <w:color w:val="000000"/>
                <w:spacing w:val="-2"/>
              </w:rPr>
              <w:t xml:space="preserve"> jak Niemcy, Francja, Włochy, Hiszpania.</w:t>
            </w:r>
          </w:p>
          <w:p w14:paraId="4BFDF41C" w14:textId="05E00668" w:rsidR="006A701A" w:rsidRPr="0050413F" w:rsidRDefault="00DB6642" w:rsidP="0050413F">
            <w:pPr>
              <w:spacing w:line="240" w:lineRule="auto"/>
              <w:jc w:val="both"/>
              <w:rPr>
                <w:rFonts w:ascii="Times New Roman" w:hAnsi="Times New Roman"/>
                <w:color w:val="000000"/>
                <w:spacing w:val="-2"/>
              </w:rPr>
            </w:pPr>
            <w:r w:rsidRPr="0050413F">
              <w:rPr>
                <w:rFonts w:ascii="Times New Roman" w:hAnsi="Times New Roman"/>
                <w:bCs/>
                <w:color w:val="000000"/>
                <w:spacing w:val="-2"/>
              </w:rPr>
              <w:t>W Europie już od kilku lat z powodzeniem funkcjonują strefy niskoemisyjne</w:t>
            </w:r>
            <w:r w:rsidR="00FB152F" w:rsidRPr="0050413F">
              <w:rPr>
                <w:rFonts w:ascii="Times New Roman" w:hAnsi="Times New Roman"/>
                <w:bCs/>
                <w:color w:val="000000"/>
                <w:spacing w:val="-2"/>
              </w:rPr>
              <w:t xml:space="preserve"> (tzw. LEZ – </w:t>
            </w:r>
            <w:proofErr w:type="spellStart"/>
            <w:r w:rsidR="00FB152F" w:rsidRPr="0050413F">
              <w:rPr>
                <w:rFonts w:ascii="Times New Roman" w:hAnsi="Times New Roman"/>
                <w:bCs/>
                <w:color w:val="000000"/>
                <w:spacing w:val="-2"/>
              </w:rPr>
              <w:t>Low</w:t>
            </w:r>
            <w:proofErr w:type="spellEnd"/>
            <w:r w:rsidR="00FB152F" w:rsidRPr="0050413F">
              <w:rPr>
                <w:rFonts w:ascii="Times New Roman" w:hAnsi="Times New Roman"/>
                <w:bCs/>
                <w:color w:val="000000"/>
                <w:spacing w:val="-2"/>
              </w:rPr>
              <w:t xml:space="preserve"> </w:t>
            </w:r>
            <w:proofErr w:type="spellStart"/>
            <w:r w:rsidR="00FB152F" w:rsidRPr="0050413F">
              <w:rPr>
                <w:rFonts w:ascii="Times New Roman" w:hAnsi="Times New Roman"/>
                <w:bCs/>
                <w:color w:val="000000"/>
                <w:spacing w:val="-2"/>
              </w:rPr>
              <w:t>Emission</w:t>
            </w:r>
            <w:proofErr w:type="spellEnd"/>
            <w:r w:rsidR="00FB152F" w:rsidRPr="0050413F">
              <w:rPr>
                <w:rFonts w:ascii="Times New Roman" w:hAnsi="Times New Roman"/>
                <w:bCs/>
                <w:color w:val="000000"/>
                <w:spacing w:val="-2"/>
              </w:rPr>
              <w:t xml:space="preserve"> Zone)</w:t>
            </w:r>
            <w:r w:rsidRPr="0050413F">
              <w:rPr>
                <w:rFonts w:ascii="Times New Roman" w:hAnsi="Times New Roman"/>
                <w:bCs/>
                <w:color w:val="000000"/>
                <w:spacing w:val="-2"/>
              </w:rPr>
              <w:t>. Najwięcej takich stref powstało we Włoszech oraz</w:t>
            </w:r>
            <w:r w:rsidR="005C5C35" w:rsidRPr="0050413F">
              <w:rPr>
                <w:rFonts w:ascii="Times New Roman" w:hAnsi="Times New Roman"/>
                <w:bCs/>
                <w:color w:val="000000"/>
                <w:spacing w:val="-2"/>
              </w:rPr>
              <w:t xml:space="preserve"> w</w:t>
            </w:r>
            <w:r w:rsidRPr="0050413F">
              <w:rPr>
                <w:rFonts w:ascii="Times New Roman" w:hAnsi="Times New Roman"/>
                <w:bCs/>
                <w:color w:val="000000"/>
                <w:spacing w:val="-2"/>
              </w:rPr>
              <w:t xml:space="preserve"> Niemczech. Jedynie w krajach Europy Wschodniej, na Bałkanach oraz w Polsce strefy nie są tworzone. Strefy niskoemisyjne zostały dobrze przyjęte w krajach europejskich przede </w:t>
            </w:r>
            <w:r w:rsidR="00AA2242" w:rsidRPr="0050413F">
              <w:rPr>
                <w:rFonts w:ascii="Times New Roman" w:hAnsi="Times New Roman"/>
                <w:bCs/>
                <w:color w:val="000000"/>
                <w:spacing w:val="-2"/>
              </w:rPr>
              <w:t xml:space="preserve">wszystkim </w:t>
            </w:r>
            <w:r w:rsidRPr="0050413F">
              <w:rPr>
                <w:rFonts w:ascii="Times New Roman" w:hAnsi="Times New Roman"/>
                <w:bCs/>
                <w:color w:val="000000"/>
                <w:spacing w:val="-2"/>
              </w:rPr>
              <w:t xml:space="preserve">dlatego, że nie są </w:t>
            </w:r>
            <w:r w:rsidR="005C5C35" w:rsidRPr="0050413F">
              <w:rPr>
                <w:rFonts w:ascii="Times New Roman" w:hAnsi="Times New Roman"/>
                <w:bCs/>
                <w:color w:val="000000"/>
                <w:spacing w:val="-2"/>
              </w:rPr>
              <w:t xml:space="preserve">to regulacje zbyt </w:t>
            </w:r>
            <w:r w:rsidRPr="0050413F">
              <w:rPr>
                <w:rFonts w:ascii="Times New Roman" w:hAnsi="Times New Roman"/>
                <w:bCs/>
                <w:color w:val="000000"/>
                <w:spacing w:val="-2"/>
              </w:rPr>
              <w:t>restrykcyjne</w:t>
            </w:r>
            <w:r w:rsidR="005C5C35" w:rsidRPr="0050413F">
              <w:rPr>
                <w:rFonts w:ascii="Times New Roman" w:hAnsi="Times New Roman"/>
                <w:bCs/>
                <w:color w:val="000000"/>
                <w:spacing w:val="-2"/>
              </w:rPr>
              <w:t xml:space="preserve"> dla obywateli</w:t>
            </w:r>
            <w:r w:rsidRPr="0050413F">
              <w:rPr>
                <w:rFonts w:ascii="Times New Roman" w:hAnsi="Times New Roman"/>
                <w:bCs/>
                <w:color w:val="000000"/>
                <w:spacing w:val="-2"/>
              </w:rPr>
              <w:t xml:space="preserve"> i w większości z nich ograniczenia wjazdu zostały podzielone na etapy, stopniowo eliminując kolejne rodzaje pojazdów, które będą miały zakaz poruszania się po strefie. Pojazdy uprawnione do wjazdu do strefy posiadają specjalne oznaczenia, </w:t>
            </w:r>
            <w:r w:rsidR="005C5C35" w:rsidRPr="0050413F">
              <w:rPr>
                <w:rFonts w:ascii="Times New Roman" w:hAnsi="Times New Roman"/>
                <w:bCs/>
                <w:color w:val="000000"/>
                <w:spacing w:val="-2"/>
              </w:rPr>
              <w:t>np.,</w:t>
            </w:r>
            <w:r w:rsidRPr="0050413F">
              <w:rPr>
                <w:rFonts w:ascii="Times New Roman" w:hAnsi="Times New Roman"/>
                <w:bCs/>
                <w:color w:val="000000"/>
                <w:spacing w:val="-2"/>
              </w:rPr>
              <w:t xml:space="preserve"> w Wiedniu i Zagłębiu Ruhry są to specjalne nalepki umieszczane na przedniej szybie, natomiast w Brukseli i Oksfordzie stosowana jest weryfikacja </w:t>
            </w:r>
            <w:r w:rsidR="00872A79" w:rsidRPr="0050413F">
              <w:rPr>
                <w:rFonts w:ascii="Times New Roman" w:hAnsi="Times New Roman"/>
                <w:bCs/>
                <w:color w:val="000000"/>
                <w:spacing w:val="-2"/>
              </w:rPr>
              <w:t xml:space="preserve">na </w:t>
            </w:r>
            <w:r w:rsidRPr="0050413F">
              <w:rPr>
                <w:rFonts w:ascii="Times New Roman" w:hAnsi="Times New Roman"/>
                <w:bCs/>
                <w:color w:val="000000"/>
                <w:spacing w:val="-2"/>
              </w:rPr>
              <w:t>po</w:t>
            </w:r>
            <w:r w:rsidR="00872A79" w:rsidRPr="0050413F">
              <w:rPr>
                <w:rFonts w:ascii="Times New Roman" w:hAnsi="Times New Roman"/>
                <w:bCs/>
                <w:color w:val="000000"/>
                <w:spacing w:val="-2"/>
              </w:rPr>
              <w:t xml:space="preserve">dstawie </w:t>
            </w:r>
            <w:r w:rsidRPr="0050413F">
              <w:rPr>
                <w:rFonts w:ascii="Times New Roman" w:hAnsi="Times New Roman"/>
                <w:bCs/>
                <w:color w:val="000000"/>
                <w:spacing w:val="-2"/>
              </w:rPr>
              <w:t xml:space="preserve"> tablic rejestracyjnych.</w:t>
            </w:r>
          </w:p>
        </w:tc>
      </w:tr>
      <w:tr w:rsidR="006A701A" w:rsidRPr="0050413F" w14:paraId="62EF9A47" w14:textId="77777777" w:rsidTr="00676C8D">
        <w:trPr>
          <w:gridAfter w:val="1"/>
          <w:wAfter w:w="10" w:type="dxa"/>
          <w:trHeight w:val="359"/>
        </w:trPr>
        <w:tc>
          <w:tcPr>
            <w:tcW w:w="10937" w:type="dxa"/>
            <w:gridSpan w:val="29"/>
            <w:shd w:val="clear" w:color="auto" w:fill="99CCFF"/>
            <w:vAlign w:val="center"/>
          </w:tcPr>
          <w:p w14:paraId="2C94C8FF" w14:textId="77777777" w:rsidR="006A701A" w:rsidRPr="0050413F" w:rsidRDefault="006A701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Podmioty, na które oddziałuje projekt</w:t>
            </w:r>
          </w:p>
        </w:tc>
      </w:tr>
      <w:tr w:rsidR="00260F33" w:rsidRPr="0050413F" w14:paraId="64B6E286" w14:textId="77777777" w:rsidTr="0050413F">
        <w:trPr>
          <w:gridAfter w:val="1"/>
          <w:wAfter w:w="10" w:type="dxa"/>
          <w:trHeight w:val="142"/>
        </w:trPr>
        <w:tc>
          <w:tcPr>
            <w:tcW w:w="3290" w:type="dxa"/>
            <w:gridSpan w:val="4"/>
            <w:shd w:val="clear" w:color="auto" w:fill="auto"/>
          </w:tcPr>
          <w:p w14:paraId="1CFE861D"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Grupa</w:t>
            </w:r>
          </w:p>
        </w:tc>
        <w:tc>
          <w:tcPr>
            <w:tcW w:w="1417" w:type="dxa"/>
            <w:gridSpan w:val="5"/>
            <w:shd w:val="clear" w:color="auto" w:fill="auto"/>
          </w:tcPr>
          <w:p w14:paraId="6B6BC4B9" w14:textId="77777777" w:rsidR="00260F33" w:rsidRPr="0050413F" w:rsidRDefault="00563199"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Wielkość</w:t>
            </w:r>
          </w:p>
        </w:tc>
        <w:tc>
          <w:tcPr>
            <w:tcW w:w="2268" w:type="dxa"/>
            <w:gridSpan w:val="10"/>
            <w:shd w:val="clear" w:color="auto" w:fill="auto"/>
          </w:tcPr>
          <w:p w14:paraId="2066E445"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Źródło danych</w:t>
            </w:r>
            <w:r w:rsidRPr="0050413F" w:rsidDel="00260F33">
              <w:rPr>
                <w:rFonts w:ascii="Times New Roman" w:hAnsi="Times New Roman"/>
                <w:color w:val="000000"/>
                <w:spacing w:val="-2"/>
              </w:rPr>
              <w:t xml:space="preserve"> </w:t>
            </w:r>
          </w:p>
        </w:tc>
        <w:tc>
          <w:tcPr>
            <w:tcW w:w="3962" w:type="dxa"/>
            <w:gridSpan w:val="10"/>
            <w:shd w:val="clear" w:color="auto" w:fill="auto"/>
          </w:tcPr>
          <w:p w14:paraId="264FF6AC"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Oddziaływanie</w:t>
            </w:r>
          </w:p>
        </w:tc>
      </w:tr>
      <w:tr w:rsidR="008D3B73" w:rsidRPr="0050413F" w14:paraId="54F0C321" w14:textId="77777777" w:rsidTr="0050413F">
        <w:trPr>
          <w:gridAfter w:val="1"/>
          <w:wAfter w:w="10" w:type="dxa"/>
          <w:trHeight w:val="142"/>
        </w:trPr>
        <w:tc>
          <w:tcPr>
            <w:tcW w:w="3290" w:type="dxa"/>
            <w:gridSpan w:val="4"/>
            <w:shd w:val="clear" w:color="auto" w:fill="auto"/>
          </w:tcPr>
          <w:p w14:paraId="571D17CE" w14:textId="77777777" w:rsidR="008D3B73" w:rsidRPr="0050413F" w:rsidRDefault="008D3B73" w:rsidP="0050413F">
            <w:pPr>
              <w:spacing w:line="240" w:lineRule="auto"/>
              <w:rPr>
                <w:rFonts w:ascii="Times New Roman" w:hAnsi="Times New Roman"/>
              </w:rPr>
            </w:pPr>
            <w:r w:rsidRPr="0050413F">
              <w:rPr>
                <w:rFonts w:ascii="Times New Roman" w:hAnsi="Times New Roman"/>
              </w:rPr>
              <w:t xml:space="preserve">Podmioty zobowiązane do stosowania procedur udzielania zamówień publicznych na podstawie ustawy – Prawo zamówień publicznych (w tym jednostki sektora finansów publicznych, państwowe jednostki organizacyjne nieposiadające osobowości prawnej, podmioty prawa publicznego, związki tych jednostek lub podmiotów oraz przedsiębiorstwa działające w </w:t>
            </w:r>
            <w:r w:rsidRPr="0050413F">
              <w:rPr>
                <w:rFonts w:ascii="Times New Roman" w:hAnsi="Times New Roman"/>
              </w:rPr>
              <w:lastRenderedPageBreak/>
              <w:t>sektorach transportu i usług pocztowych)</w:t>
            </w:r>
          </w:p>
          <w:p w14:paraId="12270D9C" w14:textId="77777777" w:rsidR="008D3B73" w:rsidRPr="0050413F" w:rsidRDefault="008D3B73" w:rsidP="0050413F">
            <w:pPr>
              <w:spacing w:line="240" w:lineRule="auto"/>
              <w:rPr>
                <w:rFonts w:ascii="Times New Roman" w:hAnsi="Times New Roman"/>
              </w:rPr>
            </w:pPr>
          </w:p>
        </w:tc>
        <w:tc>
          <w:tcPr>
            <w:tcW w:w="1417" w:type="dxa"/>
            <w:gridSpan w:val="5"/>
            <w:shd w:val="clear" w:color="auto" w:fill="auto"/>
          </w:tcPr>
          <w:p w14:paraId="7F41CFFE"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lastRenderedPageBreak/>
              <w:t>ok. 33 000</w:t>
            </w:r>
          </w:p>
        </w:tc>
        <w:tc>
          <w:tcPr>
            <w:tcW w:w="2268" w:type="dxa"/>
            <w:gridSpan w:val="10"/>
            <w:shd w:val="clear" w:color="auto" w:fill="auto"/>
          </w:tcPr>
          <w:p w14:paraId="1AD53791"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t>Sprawozdanie Prezesa Urzędu Zamówień Publicznych o funkcjonowaniu systemu zamówień publicznych w 2018 r.</w:t>
            </w:r>
          </w:p>
        </w:tc>
        <w:tc>
          <w:tcPr>
            <w:tcW w:w="3962" w:type="dxa"/>
            <w:gridSpan w:val="10"/>
            <w:shd w:val="clear" w:color="auto" w:fill="auto"/>
          </w:tcPr>
          <w:p w14:paraId="00C1658F"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Wydatki związane z obowiązkiem zakupu ekologicznie czystych pojazdów </w:t>
            </w:r>
          </w:p>
          <w:p w14:paraId="1661D50D"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Redukcja kosztów eksploatacji na skutek zastąpienia części floty ekologicznie czystymi pojazdami </w:t>
            </w:r>
          </w:p>
          <w:p w14:paraId="42370CBF" w14:textId="77777777" w:rsidR="008D3B73" w:rsidRPr="0050413F" w:rsidRDefault="008D3B73" w:rsidP="0050413F">
            <w:pPr>
              <w:pStyle w:val="Akapitzlist"/>
              <w:spacing w:line="240" w:lineRule="auto"/>
              <w:ind w:left="174"/>
              <w:rPr>
                <w:rFonts w:ascii="Times New Roman" w:hAnsi="Times New Roman"/>
                <w:color w:val="000000"/>
                <w:spacing w:val="-2"/>
              </w:rPr>
            </w:pPr>
          </w:p>
        </w:tc>
      </w:tr>
      <w:tr w:rsidR="00956AA1" w:rsidRPr="0050413F" w14:paraId="63729427" w14:textId="77777777" w:rsidTr="0050413F">
        <w:trPr>
          <w:gridAfter w:val="1"/>
          <w:wAfter w:w="10" w:type="dxa"/>
          <w:trHeight w:val="142"/>
        </w:trPr>
        <w:tc>
          <w:tcPr>
            <w:tcW w:w="3290" w:type="dxa"/>
            <w:gridSpan w:val="4"/>
            <w:shd w:val="clear" w:color="auto" w:fill="auto"/>
          </w:tcPr>
          <w:p w14:paraId="337AB2F0"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usługi ładowania pojazdów elektrycznych</w:t>
            </w:r>
          </w:p>
        </w:tc>
        <w:tc>
          <w:tcPr>
            <w:tcW w:w="1417" w:type="dxa"/>
            <w:gridSpan w:val="5"/>
            <w:shd w:val="clear" w:color="auto" w:fill="auto"/>
          </w:tcPr>
          <w:p w14:paraId="052F74E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 xml:space="preserve">20 </w:t>
            </w:r>
          </w:p>
        </w:tc>
        <w:tc>
          <w:tcPr>
            <w:tcW w:w="2268" w:type="dxa"/>
            <w:gridSpan w:val="10"/>
            <w:shd w:val="clear" w:color="auto" w:fill="auto"/>
          </w:tcPr>
          <w:p w14:paraId="08A3D7D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Dane własne</w:t>
            </w:r>
          </w:p>
        </w:tc>
        <w:tc>
          <w:tcPr>
            <w:tcW w:w="3962" w:type="dxa"/>
            <w:gridSpan w:val="10"/>
            <w:shd w:val="clear" w:color="auto" w:fill="auto"/>
          </w:tcPr>
          <w:p w14:paraId="109B6557"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 xml:space="preserve">Wzrost liczby podmiotów oferujących usługi ładowania </w:t>
            </w:r>
          </w:p>
          <w:p w14:paraId="348B6A1C"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obrotów działających już firm, na skutek impulsu do zwiększania liczby pojazdów elektrycznych</w:t>
            </w:r>
          </w:p>
        </w:tc>
      </w:tr>
      <w:tr w:rsidR="00694D8F" w:rsidRPr="0050413F" w14:paraId="087F101D" w14:textId="77777777" w:rsidTr="0050413F">
        <w:trPr>
          <w:gridAfter w:val="1"/>
          <w:wAfter w:w="10" w:type="dxa"/>
          <w:trHeight w:val="142"/>
        </w:trPr>
        <w:tc>
          <w:tcPr>
            <w:tcW w:w="3290" w:type="dxa"/>
            <w:gridSpan w:val="4"/>
            <w:shd w:val="clear" w:color="auto" w:fill="auto"/>
          </w:tcPr>
          <w:p w14:paraId="3DAA9028" w14:textId="77777777" w:rsidR="00694D8F" w:rsidRPr="0050413F" w:rsidRDefault="00694D8F" w:rsidP="0050413F">
            <w:pPr>
              <w:spacing w:line="240" w:lineRule="auto"/>
              <w:rPr>
                <w:rFonts w:ascii="Times New Roman" w:hAnsi="Times New Roman"/>
              </w:rPr>
            </w:pPr>
            <w:r w:rsidRPr="0050413F">
              <w:rPr>
                <w:rFonts w:ascii="Times New Roman" w:hAnsi="Times New Roman"/>
              </w:rPr>
              <w:t>Przedsiębiorstwa</w:t>
            </w:r>
          </w:p>
        </w:tc>
        <w:tc>
          <w:tcPr>
            <w:tcW w:w="1417" w:type="dxa"/>
            <w:gridSpan w:val="5"/>
            <w:shd w:val="clear" w:color="auto" w:fill="auto"/>
          </w:tcPr>
          <w:p w14:paraId="53692F43" w14:textId="77777777" w:rsidR="00694D8F" w:rsidRPr="0050413F" w:rsidRDefault="00694D8F" w:rsidP="0050413F">
            <w:pPr>
              <w:spacing w:line="240" w:lineRule="auto"/>
              <w:rPr>
                <w:rFonts w:ascii="Times New Roman" w:hAnsi="Times New Roman"/>
              </w:rPr>
            </w:pPr>
            <w:r w:rsidRPr="0050413F">
              <w:rPr>
                <w:rFonts w:ascii="Times New Roman" w:hAnsi="Times New Roman"/>
              </w:rPr>
              <w:t xml:space="preserve">2 077 tys. </w:t>
            </w:r>
          </w:p>
        </w:tc>
        <w:tc>
          <w:tcPr>
            <w:tcW w:w="2268" w:type="dxa"/>
            <w:gridSpan w:val="10"/>
            <w:shd w:val="clear" w:color="auto" w:fill="auto"/>
          </w:tcPr>
          <w:p w14:paraId="05470A4A" w14:textId="77777777" w:rsidR="00694D8F" w:rsidRPr="0050413F" w:rsidRDefault="00694D8F" w:rsidP="0050413F">
            <w:pPr>
              <w:spacing w:line="240" w:lineRule="auto"/>
              <w:rPr>
                <w:rFonts w:ascii="Times New Roman" w:hAnsi="Times New Roman"/>
              </w:rPr>
            </w:pPr>
            <w:r w:rsidRPr="0050413F">
              <w:rPr>
                <w:rFonts w:ascii="Times New Roman" w:hAnsi="Times New Roman"/>
              </w:rPr>
              <w:t>PARP</w:t>
            </w:r>
          </w:p>
        </w:tc>
        <w:tc>
          <w:tcPr>
            <w:tcW w:w="3962" w:type="dxa"/>
            <w:gridSpan w:val="10"/>
            <w:shd w:val="clear" w:color="auto" w:fill="auto"/>
          </w:tcPr>
          <w:p w14:paraId="11627068" w14:textId="77777777" w:rsidR="00694D8F" w:rsidRPr="0050413F" w:rsidRDefault="00694D8F"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Zmniejszenie dochodów przedsiębiorców z tytuły zmniejszonych odpisów amortyzacyjnych</w:t>
            </w:r>
          </w:p>
        </w:tc>
      </w:tr>
      <w:tr w:rsidR="002C75EF" w:rsidRPr="0050413F" w14:paraId="5BF3035D" w14:textId="77777777" w:rsidTr="0050413F">
        <w:trPr>
          <w:gridAfter w:val="1"/>
          <w:wAfter w:w="10" w:type="dxa"/>
          <w:trHeight w:val="142"/>
        </w:trPr>
        <w:tc>
          <w:tcPr>
            <w:tcW w:w="3290" w:type="dxa"/>
            <w:gridSpan w:val="4"/>
            <w:shd w:val="clear" w:color="auto" w:fill="auto"/>
          </w:tcPr>
          <w:p w14:paraId="0D99E335"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gazu ziemnego (CNG, LNG) do celów napędowych</w:t>
            </w:r>
          </w:p>
        </w:tc>
        <w:tc>
          <w:tcPr>
            <w:tcW w:w="1417" w:type="dxa"/>
            <w:gridSpan w:val="5"/>
            <w:shd w:val="clear" w:color="auto" w:fill="auto"/>
          </w:tcPr>
          <w:p w14:paraId="63AE2458" w14:textId="77777777" w:rsidR="002C75EF" w:rsidRPr="0050413F" w:rsidRDefault="00956AA1" w:rsidP="0050413F">
            <w:pPr>
              <w:spacing w:line="240" w:lineRule="auto"/>
              <w:rPr>
                <w:rFonts w:ascii="Times New Roman" w:hAnsi="Times New Roman"/>
                <w:spacing w:val="-2"/>
              </w:rPr>
            </w:pPr>
            <w:r w:rsidRPr="0050413F">
              <w:rPr>
                <w:rFonts w:ascii="Times New Roman" w:hAnsi="Times New Roman"/>
                <w:spacing w:val="-2"/>
              </w:rPr>
              <w:t>13</w:t>
            </w:r>
          </w:p>
        </w:tc>
        <w:tc>
          <w:tcPr>
            <w:tcW w:w="2268" w:type="dxa"/>
            <w:gridSpan w:val="10"/>
            <w:shd w:val="clear" w:color="auto" w:fill="auto"/>
          </w:tcPr>
          <w:p w14:paraId="2AB537BC"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spacing w:val="-2"/>
              </w:rPr>
              <w:t xml:space="preserve">Strona internetowa </w:t>
            </w:r>
            <w:hyperlink r:id="rId8" w:tgtFrame="_blank" w:history="1">
              <w:r w:rsidR="00956AA1" w:rsidRPr="0050413F">
                <w:rPr>
                  <w:rStyle w:val="Hipercze"/>
                  <w:rFonts w:ascii="Times New Roman" w:hAnsi="Times New Roman"/>
                  <w:color w:val="005A95"/>
                  <w:shd w:val="clear" w:color="auto" w:fill="FFFFFF"/>
                </w:rPr>
                <w:t>http://lcng.pimot.eu/adresy-stacji-cng-lng-polska/</w:t>
              </w:r>
            </w:hyperlink>
          </w:p>
          <w:p w14:paraId="0527F321"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68A6E592" w14:textId="77777777" w:rsidR="002C75EF" w:rsidRPr="0050413F" w:rsidRDefault="002C75EF" w:rsidP="0050413F">
            <w:pPr>
              <w:pStyle w:val="Akapitzlist"/>
              <w:numPr>
                <w:ilvl w:val="0"/>
                <w:numId w:val="25"/>
              </w:numPr>
              <w:spacing w:line="240" w:lineRule="auto"/>
              <w:ind w:left="174" w:hanging="218"/>
              <w:rPr>
                <w:rFonts w:ascii="Times New Roman" w:hAnsi="Times New Roman"/>
                <w:spacing w:val="-2"/>
              </w:rPr>
            </w:pPr>
            <w:r w:rsidRPr="0050413F">
              <w:rPr>
                <w:rFonts w:ascii="Times New Roman" w:hAnsi="Times New Roman"/>
                <w:color w:val="000000"/>
                <w:spacing w:val="-2"/>
              </w:rPr>
              <w:t xml:space="preserve">Wzrost obrotów działających już firm, na skutek impulsu do zwiększania liczby pojazdów napędzanych paliwami gazowymi </w:t>
            </w:r>
          </w:p>
          <w:p w14:paraId="65C1EECC" w14:textId="77777777" w:rsidR="002C75EF" w:rsidRPr="0050413F" w:rsidRDefault="002C75EF" w:rsidP="0050413F">
            <w:pPr>
              <w:spacing w:line="240" w:lineRule="auto"/>
              <w:ind w:left="-44"/>
              <w:rPr>
                <w:rFonts w:ascii="Times New Roman" w:hAnsi="Times New Roman"/>
                <w:spacing w:val="-2"/>
              </w:rPr>
            </w:pPr>
          </w:p>
        </w:tc>
      </w:tr>
      <w:tr w:rsidR="002C75EF" w:rsidRPr="0050413F" w14:paraId="73864DDC" w14:textId="77777777" w:rsidTr="0050413F">
        <w:trPr>
          <w:gridAfter w:val="1"/>
          <w:wAfter w:w="10" w:type="dxa"/>
          <w:trHeight w:val="142"/>
        </w:trPr>
        <w:tc>
          <w:tcPr>
            <w:tcW w:w="3290" w:type="dxa"/>
            <w:gridSpan w:val="4"/>
            <w:shd w:val="clear" w:color="auto" w:fill="auto"/>
          </w:tcPr>
          <w:p w14:paraId="14D4FF46" w14:textId="77777777" w:rsidR="002C75EF" w:rsidRPr="0050413F" w:rsidRDefault="002C75EF" w:rsidP="0050413F">
            <w:pPr>
              <w:spacing w:line="240" w:lineRule="auto"/>
              <w:rPr>
                <w:rFonts w:ascii="Times New Roman" w:hAnsi="Times New Roman"/>
              </w:rPr>
            </w:pPr>
            <w:r w:rsidRPr="0050413F">
              <w:rPr>
                <w:rFonts w:ascii="Times New Roman" w:hAnsi="Times New Roman"/>
              </w:rPr>
              <w:t>Producenci i sprzedawcy pojazdów oraz podzespołów</w:t>
            </w:r>
          </w:p>
        </w:tc>
        <w:tc>
          <w:tcPr>
            <w:tcW w:w="1417" w:type="dxa"/>
            <w:gridSpan w:val="5"/>
            <w:shd w:val="clear" w:color="auto" w:fill="auto"/>
          </w:tcPr>
          <w:p w14:paraId="4A51D6E7"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color w:val="000000"/>
                <w:spacing w:val="-2"/>
              </w:rPr>
              <w:t>Wszystkie podmioty działające na rynku</w:t>
            </w:r>
          </w:p>
        </w:tc>
        <w:tc>
          <w:tcPr>
            <w:tcW w:w="2268" w:type="dxa"/>
            <w:gridSpan w:val="10"/>
            <w:shd w:val="clear" w:color="auto" w:fill="auto"/>
          </w:tcPr>
          <w:p w14:paraId="40AE37C8"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769EC1A7" w14:textId="77777777"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liczby pojazdów elektrycznych i napędzanych gazem ziemnym</w:t>
            </w:r>
          </w:p>
          <w:p w14:paraId="4378273E" w14:textId="572F93B2"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obrotu producentów i</w:t>
            </w:r>
            <w:r w:rsidR="00F36476" w:rsidRPr="0050413F">
              <w:rPr>
                <w:rFonts w:ascii="Times New Roman" w:hAnsi="Times New Roman"/>
                <w:color w:val="000000"/>
                <w:spacing w:val="-2"/>
              </w:rPr>
              <w:t> </w:t>
            </w:r>
            <w:r w:rsidRPr="0050413F">
              <w:rPr>
                <w:rFonts w:ascii="Times New Roman" w:hAnsi="Times New Roman"/>
                <w:color w:val="000000"/>
                <w:spacing w:val="-2"/>
              </w:rPr>
              <w:t>sprzedawców nowych pojazdów oraz podzespołów</w:t>
            </w:r>
          </w:p>
        </w:tc>
      </w:tr>
      <w:tr w:rsidR="002C75EF" w:rsidRPr="0050413F" w14:paraId="633F98AD" w14:textId="77777777" w:rsidTr="0050413F">
        <w:trPr>
          <w:gridAfter w:val="1"/>
          <w:wAfter w:w="10" w:type="dxa"/>
          <w:trHeight w:val="142"/>
        </w:trPr>
        <w:tc>
          <w:tcPr>
            <w:tcW w:w="3290" w:type="dxa"/>
            <w:gridSpan w:val="4"/>
            <w:shd w:val="clear" w:color="auto" w:fill="auto"/>
          </w:tcPr>
          <w:p w14:paraId="0265F70C" w14:textId="77777777" w:rsidR="002C75EF" w:rsidRPr="0050413F" w:rsidRDefault="00DB6642" w:rsidP="0050413F">
            <w:pPr>
              <w:tabs>
                <w:tab w:val="left" w:pos="1560"/>
              </w:tabs>
              <w:spacing w:line="240" w:lineRule="auto"/>
              <w:rPr>
                <w:rFonts w:ascii="Times New Roman" w:hAnsi="Times New Roman"/>
                <w:color w:val="000000"/>
              </w:rPr>
            </w:pPr>
            <w:r w:rsidRPr="0050413F">
              <w:rPr>
                <w:rFonts w:ascii="Times New Roman" w:hAnsi="Times New Roman"/>
                <w:color w:val="000000"/>
              </w:rPr>
              <w:t>Jednostki samorządu terytorialnego</w:t>
            </w:r>
          </w:p>
        </w:tc>
        <w:tc>
          <w:tcPr>
            <w:tcW w:w="1417" w:type="dxa"/>
            <w:gridSpan w:val="5"/>
            <w:shd w:val="clear" w:color="auto" w:fill="auto"/>
          </w:tcPr>
          <w:p w14:paraId="1CC3403C" w14:textId="77777777" w:rsidR="002C75EF" w:rsidRPr="0050413F" w:rsidRDefault="00502C98" w:rsidP="0050413F">
            <w:pPr>
              <w:spacing w:line="240" w:lineRule="auto"/>
              <w:rPr>
                <w:rFonts w:ascii="Times New Roman" w:hAnsi="Times New Roman"/>
                <w:color w:val="000000"/>
                <w:spacing w:val="-2"/>
              </w:rPr>
            </w:pPr>
            <w:r w:rsidRPr="0050413F">
              <w:rPr>
                <w:rFonts w:ascii="Times New Roman" w:hAnsi="Times New Roman"/>
                <w:color w:val="000000"/>
                <w:spacing w:val="-2"/>
              </w:rPr>
              <w:t>Powyżej 100 tys. mieszkańców</w:t>
            </w:r>
          </w:p>
        </w:tc>
        <w:tc>
          <w:tcPr>
            <w:tcW w:w="2268" w:type="dxa"/>
            <w:gridSpan w:val="10"/>
            <w:shd w:val="clear" w:color="auto" w:fill="auto"/>
          </w:tcPr>
          <w:p w14:paraId="0983EC1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25059C08" w14:textId="77777777" w:rsidR="002C75EF" w:rsidRPr="0050413F" w:rsidRDefault="00502C98" w:rsidP="0050413F">
            <w:pPr>
              <w:spacing w:line="240" w:lineRule="auto"/>
              <w:ind w:left="17"/>
              <w:rPr>
                <w:rFonts w:ascii="Times New Roman" w:hAnsi="Times New Roman"/>
                <w:color w:val="000000"/>
                <w:spacing w:val="-2"/>
              </w:rPr>
            </w:pPr>
            <w:r w:rsidRPr="0050413F">
              <w:rPr>
                <w:rFonts w:ascii="Times New Roman" w:hAnsi="Times New Roman"/>
                <w:color w:val="000000"/>
                <w:spacing w:val="-2"/>
              </w:rPr>
              <w:t>Obowiązek ustanowienia strefy czystego transportu na terenie miasta od roku 2030</w:t>
            </w:r>
          </w:p>
        </w:tc>
      </w:tr>
      <w:tr w:rsidR="002C75EF" w:rsidRPr="0050413F" w14:paraId="10E07CE1" w14:textId="77777777" w:rsidTr="0050413F">
        <w:trPr>
          <w:gridAfter w:val="1"/>
          <w:wAfter w:w="10" w:type="dxa"/>
          <w:trHeight w:val="142"/>
        </w:trPr>
        <w:tc>
          <w:tcPr>
            <w:tcW w:w="3290" w:type="dxa"/>
            <w:gridSpan w:val="4"/>
            <w:shd w:val="clear" w:color="auto" w:fill="auto"/>
          </w:tcPr>
          <w:p w14:paraId="19D1006A" w14:textId="77777777" w:rsidR="002C75EF" w:rsidRPr="0050413F" w:rsidRDefault="005C5C35" w:rsidP="0050413F">
            <w:pPr>
              <w:tabs>
                <w:tab w:val="left" w:pos="1560"/>
              </w:tabs>
              <w:spacing w:line="240" w:lineRule="auto"/>
              <w:rPr>
                <w:rFonts w:ascii="Times New Roman" w:hAnsi="Times New Roman"/>
                <w:color w:val="000000"/>
              </w:rPr>
            </w:pPr>
            <w:r w:rsidRPr="0050413F">
              <w:rPr>
                <w:rFonts w:ascii="Times New Roman" w:hAnsi="Times New Roman"/>
                <w:color w:val="000000"/>
              </w:rPr>
              <w:t>Minister właściwy do spraw transportu</w:t>
            </w:r>
          </w:p>
        </w:tc>
        <w:tc>
          <w:tcPr>
            <w:tcW w:w="1417" w:type="dxa"/>
            <w:gridSpan w:val="5"/>
            <w:shd w:val="clear" w:color="auto" w:fill="auto"/>
          </w:tcPr>
          <w:p w14:paraId="020994A4"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1</w:t>
            </w:r>
          </w:p>
        </w:tc>
        <w:tc>
          <w:tcPr>
            <w:tcW w:w="2268" w:type="dxa"/>
            <w:gridSpan w:val="10"/>
            <w:shd w:val="clear" w:color="auto" w:fill="auto"/>
          </w:tcPr>
          <w:p w14:paraId="4497F88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1526E9B5"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Konieczność przygotowania sprawozdania dla Komisji Europejskiej w zakresie poziomów </w:t>
            </w:r>
          </w:p>
        </w:tc>
      </w:tr>
      <w:tr w:rsidR="003E3B81" w:rsidRPr="0050413F" w14:paraId="1154CBD4" w14:textId="77777777" w:rsidTr="0050413F">
        <w:trPr>
          <w:gridAfter w:val="1"/>
          <w:wAfter w:w="10" w:type="dxa"/>
          <w:trHeight w:val="142"/>
        </w:trPr>
        <w:tc>
          <w:tcPr>
            <w:tcW w:w="3290" w:type="dxa"/>
            <w:gridSpan w:val="4"/>
            <w:shd w:val="clear" w:color="auto" w:fill="auto"/>
          </w:tcPr>
          <w:p w14:paraId="0F237917" w14:textId="77777777"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Prezes UDT i inspektorzy</w:t>
            </w:r>
          </w:p>
        </w:tc>
        <w:tc>
          <w:tcPr>
            <w:tcW w:w="1417" w:type="dxa"/>
            <w:gridSpan w:val="5"/>
            <w:shd w:val="clear" w:color="auto" w:fill="auto"/>
          </w:tcPr>
          <w:p w14:paraId="5EE9276B"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1</w:t>
            </w:r>
          </w:p>
        </w:tc>
        <w:tc>
          <w:tcPr>
            <w:tcW w:w="2268" w:type="dxa"/>
            <w:gridSpan w:val="10"/>
            <w:shd w:val="clear" w:color="auto" w:fill="auto"/>
          </w:tcPr>
          <w:p w14:paraId="319A1953"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7FCA5CBD"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Nowe obowiązki w zakresie kontroli stacji ładowania pojazdów</w:t>
            </w:r>
          </w:p>
        </w:tc>
      </w:tr>
      <w:tr w:rsidR="002C75EF" w:rsidRPr="0050413F" w14:paraId="45D8FE33" w14:textId="77777777" w:rsidTr="0050413F">
        <w:trPr>
          <w:gridAfter w:val="1"/>
          <w:wAfter w:w="10" w:type="dxa"/>
          <w:trHeight w:val="142"/>
        </w:trPr>
        <w:tc>
          <w:tcPr>
            <w:tcW w:w="3290" w:type="dxa"/>
            <w:gridSpan w:val="4"/>
            <w:shd w:val="clear" w:color="auto" w:fill="auto"/>
          </w:tcPr>
          <w:p w14:paraId="7D1C3F95" w14:textId="77777777" w:rsidR="002C75EF" w:rsidRPr="0050413F" w:rsidRDefault="003E3B81" w:rsidP="0050413F">
            <w:pPr>
              <w:tabs>
                <w:tab w:val="left" w:pos="1560"/>
              </w:tabs>
              <w:spacing w:line="240" w:lineRule="auto"/>
              <w:rPr>
                <w:rFonts w:ascii="Times New Roman" w:hAnsi="Times New Roman"/>
                <w:color w:val="000000"/>
              </w:rPr>
            </w:pPr>
            <w:proofErr w:type="spellStart"/>
            <w:r w:rsidRPr="0050413F">
              <w:rPr>
                <w:rFonts w:ascii="Times New Roman" w:hAnsi="Times New Roman"/>
                <w:color w:val="000000"/>
              </w:rPr>
              <w:t>OSDe</w:t>
            </w:r>
            <w:proofErr w:type="spellEnd"/>
          </w:p>
        </w:tc>
        <w:tc>
          <w:tcPr>
            <w:tcW w:w="1417" w:type="dxa"/>
            <w:gridSpan w:val="5"/>
            <w:shd w:val="clear" w:color="auto" w:fill="auto"/>
          </w:tcPr>
          <w:p w14:paraId="3FC0207A"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4</w:t>
            </w:r>
          </w:p>
        </w:tc>
        <w:tc>
          <w:tcPr>
            <w:tcW w:w="2268" w:type="dxa"/>
            <w:gridSpan w:val="10"/>
            <w:shd w:val="clear" w:color="auto" w:fill="auto"/>
          </w:tcPr>
          <w:p w14:paraId="48AAD125"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5C2656B3"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Konieczność przeprowadzania przetargów na wyłonienie operatorów ogólnodostępnych stacji ładowania. </w:t>
            </w:r>
          </w:p>
        </w:tc>
      </w:tr>
      <w:tr w:rsidR="003E3B81" w:rsidRPr="0050413F" w14:paraId="4B9BDA77" w14:textId="77777777" w:rsidTr="0050413F">
        <w:trPr>
          <w:gridAfter w:val="1"/>
          <w:wAfter w:w="10" w:type="dxa"/>
          <w:trHeight w:val="142"/>
        </w:trPr>
        <w:tc>
          <w:tcPr>
            <w:tcW w:w="3290" w:type="dxa"/>
            <w:gridSpan w:val="4"/>
            <w:shd w:val="clear" w:color="auto" w:fill="auto"/>
          </w:tcPr>
          <w:p w14:paraId="309CB6F5" w14:textId="77777777"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Operatorzy stacji ładowania</w:t>
            </w:r>
          </w:p>
        </w:tc>
        <w:tc>
          <w:tcPr>
            <w:tcW w:w="1417" w:type="dxa"/>
            <w:gridSpan w:val="5"/>
            <w:shd w:val="clear" w:color="auto" w:fill="auto"/>
          </w:tcPr>
          <w:p w14:paraId="072392F9"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20</w:t>
            </w:r>
          </w:p>
        </w:tc>
        <w:tc>
          <w:tcPr>
            <w:tcW w:w="2268" w:type="dxa"/>
            <w:gridSpan w:val="10"/>
            <w:shd w:val="clear" w:color="auto" w:fill="auto"/>
          </w:tcPr>
          <w:p w14:paraId="7ACA163F"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35C46D24"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Konieczność uzyskiwania kodów identyfikacji</w:t>
            </w:r>
          </w:p>
        </w:tc>
      </w:tr>
      <w:tr w:rsidR="002C75EF" w:rsidRPr="0050413F" w14:paraId="1648A3AC" w14:textId="77777777" w:rsidTr="00676C8D">
        <w:trPr>
          <w:gridAfter w:val="1"/>
          <w:wAfter w:w="10" w:type="dxa"/>
          <w:trHeight w:val="302"/>
        </w:trPr>
        <w:tc>
          <w:tcPr>
            <w:tcW w:w="10937" w:type="dxa"/>
            <w:gridSpan w:val="29"/>
            <w:shd w:val="clear" w:color="auto" w:fill="99CCFF"/>
            <w:vAlign w:val="center"/>
          </w:tcPr>
          <w:p w14:paraId="3518DFA6" w14:textId="77777777" w:rsidR="002C75EF" w:rsidRPr="0050413F" w:rsidRDefault="002C75EF"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Informacje na temat zakresu, czasu trwania i podsumowanie wyników konsultacji</w:t>
            </w:r>
          </w:p>
        </w:tc>
      </w:tr>
      <w:tr w:rsidR="00CB5261" w:rsidRPr="0050413F" w14:paraId="5123E683" w14:textId="77777777" w:rsidTr="002433DB">
        <w:trPr>
          <w:gridAfter w:val="1"/>
          <w:wAfter w:w="10" w:type="dxa"/>
          <w:trHeight w:val="342"/>
        </w:trPr>
        <w:tc>
          <w:tcPr>
            <w:tcW w:w="10937" w:type="dxa"/>
            <w:gridSpan w:val="29"/>
            <w:shd w:val="clear" w:color="auto" w:fill="auto"/>
          </w:tcPr>
          <w:p w14:paraId="7BBBB215" w14:textId="77777777" w:rsidR="00CB5261" w:rsidRPr="0050413F" w:rsidRDefault="00CB5261" w:rsidP="0050413F">
            <w:pPr>
              <w:tabs>
                <w:tab w:val="left" w:pos="280"/>
              </w:tabs>
              <w:spacing w:line="240" w:lineRule="auto"/>
              <w:jc w:val="both"/>
              <w:rPr>
                <w:rFonts w:ascii="Times New Roman" w:hAnsi="Times New Roman"/>
                <w:spacing w:val="-2"/>
              </w:rPr>
            </w:pPr>
            <w:r w:rsidRPr="0050413F">
              <w:rPr>
                <w:rFonts w:ascii="Times New Roman" w:hAnsi="Times New Roman"/>
                <w:spacing w:val="-2"/>
              </w:rPr>
              <w:t>Projekt zosta</w:t>
            </w:r>
            <w:r w:rsidR="003E3B81" w:rsidRPr="0050413F">
              <w:rPr>
                <w:rFonts w:ascii="Times New Roman" w:hAnsi="Times New Roman"/>
                <w:spacing w:val="-2"/>
              </w:rPr>
              <w:t>nie</w:t>
            </w:r>
            <w:r w:rsidRPr="0050413F">
              <w:rPr>
                <w:rFonts w:ascii="Times New Roman" w:hAnsi="Times New Roman"/>
                <w:spacing w:val="-2"/>
              </w:rPr>
              <w:t xml:space="preserve"> zamieszczony w Biuletynie Informacji Publicznej, na stronie podmiotowej Rządowego Centrum Legislacji, w serwisie Rządowy Proces Legislacyjny, zgodnie z ustawą z dnia 7 lipca 2005 r. o działalności lobbingowej w procesie stanowienia prawa (Dz. U. z 2017 r. poz. 248).</w:t>
            </w:r>
          </w:p>
          <w:p w14:paraId="6AABBD19" w14:textId="34C715E1" w:rsidR="00CB5261" w:rsidRPr="0050413F" w:rsidRDefault="00CB5261" w:rsidP="0050413F">
            <w:pPr>
              <w:tabs>
                <w:tab w:val="left" w:pos="270"/>
              </w:tabs>
              <w:spacing w:line="240" w:lineRule="auto"/>
              <w:jc w:val="both"/>
              <w:rPr>
                <w:rFonts w:ascii="Times New Roman" w:hAnsi="Times New Roman"/>
                <w:spacing w:val="-2"/>
              </w:rPr>
            </w:pPr>
            <w:r w:rsidRPr="0050413F">
              <w:rPr>
                <w:rFonts w:ascii="Times New Roman" w:hAnsi="Times New Roman"/>
                <w:spacing w:val="-2"/>
              </w:rPr>
              <w:t>Projekt w ramach konsultacji publicznych otrzyma</w:t>
            </w:r>
            <w:r w:rsidR="003E3B81" w:rsidRPr="0050413F">
              <w:rPr>
                <w:rFonts w:ascii="Times New Roman" w:hAnsi="Times New Roman"/>
                <w:spacing w:val="-2"/>
              </w:rPr>
              <w:t xml:space="preserve">ją </w:t>
            </w:r>
            <w:r w:rsidR="0050413F" w:rsidRPr="0050413F">
              <w:rPr>
                <w:rFonts w:ascii="Times New Roman" w:hAnsi="Times New Roman"/>
                <w:spacing w:val="-2"/>
              </w:rPr>
              <w:t xml:space="preserve">(21 dni) </w:t>
            </w:r>
            <w:r w:rsidRPr="0050413F">
              <w:rPr>
                <w:rFonts w:ascii="Times New Roman" w:hAnsi="Times New Roman"/>
                <w:spacing w:val="-2"/>
              </w:rPr>
              <w:t xml:space="preserve">następujące </w:t>
            </w:r>
            <w:r w:rsidR="000B7ADB" w:rsidRPr="0050413F">
              <w:rPr>
                <w:rFonts w:ascii="Times New Roman" w:hAnsi="Times New Roman"/>
                <w:spacing w:val="-2"/>
              </w:rPr>
              <w:t>podmioty</w:t>
            </w:r>
            <w:r w:rsidRPr="0050413F">
              <w:rPr>
                <w:rFonts w:ascii="Times New Roman" w:hAnsi="Times New Roman"/>
                <w:spacing w:val="-2"/>
              </w:rPr>
              <w:t xml:space="preserve"> związane bezpośrednio lub pośrednio z</w:t>
            </w:r>
            <w:r w:rsidR="00F36476" w:rsidRPr="0050413F">
              <w:rPr>
                <w:rFonts w:ascii="Times New Roman" w:hAnsi="Times New Roman"/>
                <w:spacing w:val="-2"/>
              </w:rPr>
              <w:t> </w:t>
            </w:r>
            <w:r w:rsidRPr="0050413F">
              <w:rPr>
                <w:rFonts w:ascii="Times New Roman" w:hAnsi="Times New Roman"/>
                <w:spacing w:val="-2"/>
              </w:rPr>
              <w:t>rozwojem sektora paliw alternatywnych:</w:t>
            </w:r>
          </w:p>
          <w:p w14:paraId="59825075"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Sieci Elektroenergetyczne SA;</w:t>
            </w:r>
          </w:p>
          <w:p w14:paraId="7755735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Towarzystwo Obrotu Energią;</w:t>
            </w:r>
          </w:p>
          <w:p w14:paraId="2435C9F6"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 xml:space="preserve">Polskie Towarzystwo </w:t>
            </w:r>
            <w:proofErr w:type="spellStart"/>
            <w:r w:rsidRPr="0050413F">
              <w:rPr>
                <w:sz w:val="22"/>
                <w:szCs w:val="22"/>
              </w:rPr>
              <w:t>Przesyłu</w:t>
            </w:r>
            <w:proofErr w:type="spellEnd"/>
            <w:r w:rsidRPr="0050413F">
              <w:rPr>
                <w:sz w:val="22"/>
                <w:szCs w:val="22"/>
              </w:rPr>
              <w:t xml:space="preserve"> i Rozdziału Energii Elektrycznej;</w:t>
            </w:r>
          </w:p>
          <w:p w14:paraId="3E91AC9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Federacja Konsumentów;</w:t>
            </w:r>
          </w:p>
          <w:p w14:paraId="759829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Komitet Energii Elektrycznej;</w:t>
            </w:r>
          </w:p>
          <w:p w14:paraId="69896A3A"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 Elektroniki i Telekomunikacji;</w:t>
            </w:r>
          </w:p>
          <w:p w14:paraId="57BD268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Stowarzyszenie Paliw Alternatywnych;</w:t>
            </w:r>
          </w:p>
          <w:p w14:paraId="0E7C2C17"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Fundacja Promocji Pojazdów Elektrycznych;</w:t>
            </w:r>
          </w:p>
          <w:p w14:paraId="4CB42B6C"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 xml:space="preserve">Polskie Stowarzyszenie </w:t>
            </w:r>
            <w:proofErr w:type="spellStart"/>
            <w:r w:rsidRPr="0050413F">
              <w:rPr>
                <w:sz w:val="22"/>
                <w:szCs w:val="22"/>
              </w:rPr>
              <w:t>Elektromobilności</w:t>
            </w:r>
            <w:proofErr w:type="spellEnd"/>
            <w:r w:rsidRPr="0050413F">
              <w:rPr>
                <w:sz w:val="22"/>
                <w:szCs w:val="22"/>
              </w:rPr>
              <w:t>;</w:t>
            </w:r>
          </w:p>
          <w:p w14:paraId="36F2A97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w:t>
            </w:r>
            <w:bookmarkStart w:id="3" w:name="OLE_LINK1"/>
            <w:bookmarkStart w:id="4" w:name="OLE_LINK2"/>
            <w:r w:rsidRPr="0050413F">
              <w:rPr>
                <w:sz w:val="22"/>
                <w:szCs w:val="22"/>
              </w:rPr>
              <w:t>;</w:t>
            </w:r>
          </w:p>
          <w:p w14:paraId="165D501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Polska Izba Motoryzacji;</w:t>
            </w:r>
          </w:p>
          <w:p w14:paraId="14D766B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Związek Przemysłu Motoryzacyjnego</w:t>
            </w:r>
            <w:bookmarkEnd w:id="3"/>
            <w:bookmarkEnd w:id="4"/>
            <w:r w:rsidRPr="0050413F">
              <w:rPr>
                <w:sz w:val="22"/>
                <w:szCs w:val="22"/>
              </w:rPr>
              <w:t>;</w:t>
            </w:r>
          </w:p>
          <w:p w14:paraId="268C4F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Kongres Drogowy;</w:t>
            </w:r>
          </w:p>
          <w:p w14:paraId="6FDF273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Związek Dealerów Samochodowych;</w:t>
            </w:r>
          </w:p>
          <w:p w14:paraId="5EF079D1"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Polska Platforma LNG;</w:t>
            </w:r>
          </w:p>
          <w:p w14:paraId="4A7E251C" w14:textId="77777777" w:rsidR="00CB5261" w:rsidRPr="0050413F" w:rsidRDefault="00CB5261" w:rsidP="0050413F">
            <w:pPr>
              <w:pStyle w:val="trescpisma"/>
              <w:numPr>
                <w:ilvl w:val="0"/>
                <w:numId w:val="27"/>
              </w:numPr>
              <w:spacing w:after="0" w:line="240" w:lineRule="auto"/>
              <w:ind w:left="350" w:hanging="350"/>
              <w:rPr>
                <w:sz w:val="22"/>
                <w:szCs w:val="22"/>
                <w:lang w:val="en-GB"/>
              </w:rPr>
            </w:pPr>
            <w:r w:rsidRPr="0050413F">
              <w:rPr>
                <w:rFonts w:eastAsia="Times New Roman"/>
                <w:bCs/>
                <w:sz w:val="22"/>
                <w:szCs w:val="22"/>
                <w:lang w:val="en-GB"/>
              </w:rPr>
              <w:t xml:space="preserve">Greenway Sp. z </w:t>
            </w:r>
            <w:proofErr w:type="spellStart"/>
            <w:r w:rsidRPr="0050413F">
              <w:rPr>
                <w:rFonts w:eastAsia="Times New Roman"/>
                <w:bCs/>
                <w:sz w:val="22"/>
                <w:szCs w:val="22"/>
                <w:lang w:val="en-GB"/>
              </w:rPr>
              <w:t>o.o</w:t>
            </w:r>
            <w:proofErr w:type="spellEnd"/>
            <w:r w:rsidRPr="0050413F">
              <w:rPr>
                <w:rFonts w:eastAsia="Times New Roman"/>
                <w:bCs/>
                <w:sz w:val="22"/>
                <w:szCs w:val="22"/>
                <w:lang w:val="en-GB"/>
              </w:rPr>
              <w:t>.</w:t>
            </w:r>
          </w:p>
          <w:p w14:paraId="6462895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PKN Orlen S.A.</w:t>
            </w:r>
          </w:p>
          <w:p w14:paraId="333CF86D"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TAURON S.A.,</w:t>
            </w:r>
          </w:p>
          <w:p w14:paraId="45132B3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ENERGA S.A.</w:t>
            </w:r>
          </w:p>
          <w:p w14:paraId="0B6CB61E"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lastRenderedPageBreak/>
              <w:t xml:space="preserve">LOTOS S.A. </w:t>
            </w:r>
          </w:p>
          <w:p w14:paraId="6493630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ENEA S.A.</w:t>
            </w:r>
          </w:p>
          <w:p w14:paraId="054B045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PGE S.A.</w:t>
            </w:r>
          </w:p>
          <w:p w14:paraId="29F28707" w14:textId="35D8BB10" w:rsidR="0013433E" w:rsidRPr="0050413F" w:rsidRDefault="0013433E" w:rsidP="0050413F">
            <w:pPr>
              <w:pStyle w:val="trescpisma"/>
              <w:numPr>
                <w:ilvl w:val="0"/>
                <w:numId w:val="27"/>
              </w:numPr>
              <w:spacing w:after="0" w:line="240" w:lineRule="auto"/>
              <w:ind w:left="350" w:hanging="350"/>
              <w:rPr>
                <w:sz w:val="22"/>
                <w:szCs w:val="22"/>
              </w:rPr>
            </w:pPr>
            <w:r w:rsidRPr="0050413F">
              <w:rPr>
                <w:sz w:val="22"/>
                <w:szCs w:val="22"/>
              </w:rPr>
              <w:t>Izba Gospodarcza Komunikacji Miejskiej</w:t>
            </w:r>
            <w:r w:rsidR="0050413F" w:rsidRPr="0050413F">
              <w:rPr>
                <w:sz w:val="22"/>
                <w:szCs w:val="22"/>
              </w:rPr>
              <w:t>;</w:t>
            </w:r>
          </w:p>
          <w:p w14:paraId="7E692CA7" w14:textId="6E44A153"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Architektów Polskich</w:t>
            </w:r>
            <w:r>
              <w:rPr>
                <w:sz w:val="22"/>
                <w:szCs w:val="22"/>
              </w:rPr>
              <w:t>;</w:t>
            </w:r>
          </w:p>
          <w:p w14:paraId="23E30BB7" w14:textId="59EDEF14"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Architektury Krajobrazu</w:t>
            </w:r>
            <w:r>
              <w:rPr>
                <w:sz w:val="22"/>
                <w:szCs w:val="22"/>
              </w:rPr>
              <w:t>;</w:t>
            </w:r>
          </w:p>
          <w:p w14:paraId="5845277F" w14:textId="17F9AAE9"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Urbaniści Polscy</w:t>
            </w:r>
            <w:r>
              <w:rPr>
                <w:sz w:val="22"/>
                <w:szCs w:val="22"/>
              </w:rPr>
              <w:t>;</w:t>
            </w:r>
          </w:p>
          <w:p w14:paraId="568D1613" w14:textId="601E5B8C"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Towarzystwo Urbanistów Polskich</w:t>
            </w:r>
            <w:r>
              <w:rPr>
                <w:sz w:val="22"/>
                <w:szCs w:val="22"/>
              </w:rPr>
              <w:t>.</w:t>
            </w:r>
          </w:p>
          <w:p w14:paraId="4347435D" w14:textId="53B3E83A" w:rsidR="0050413F" w:rsidRPr="0050413F" w:rsidRDefault="0050413F" w:rsidP="0050413F">
            <w:pPr>
              <w:spacing w:line="240" w:lineRule="auto"/>
              <w:jc w:val="both"/>
              <w:rPr>
                <w:rFonts w:ascii="Times New Roman" w:hAnsi="Times New Roman"/>
              </w:rPr>
            </w:pPr>
            <w:r w:rsidRPr="0050413F">
              <w:rPr>
                <w:rFonts w:ascii="Times New Roman" w:hAnsi="Times New Roman"/>
              </w:rPr>
              <w:t xml:space="preserve">Projekt zostanie przekazany do zaopiniowania </w:t>
            </w:r>
            <w:r w:rsidRPr="0050413F">
              <w:rPr>
                <w:rFonts w:ascii="Times New Roman" w:hAnsi="Times New Roman"/>
              </w:rPr>
              <w:t>(21 dni)</w:t>
            </w:r>
            <w:r w:rsidRPr="0050413F">
              <w:rPr>
                <w:rFonts w:ascii="Times New Roman" w:hAnsi="Times New Roman"/>
              </w:rPr>
              <w:t xml:space="preserve"> następującym podmiotom</w:t>
            </w:r>
            <w:r w:rsidRPr="0050413F">
              <w:rPr>
                <w:rFonts w:ascii="Times New Roman" w:hAnsi="Times New Roman"/>
              </w:rPr>
              <w:t>:</w:t>
            </w:r>
          </w:p>
          <w:p w14:paraId="2E0A1BD1" w14:textId="32696713"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Regulacji Energetyki;</w:t>
            </w:r>
          </w:p>
          <w:p w14:paraId="54D9EC3A" w14:textId="7945482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Dozoru Technicznego;</w:t>
            </w:r>
          </w:p>
          <w:p w14:paraId="47485BF7" w14:textId="4B0F604D"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Ochrony Konkurencji i Konsumenta;</w:t>
            </w:r>
          </w:p>
          <w:p w14:paraId="3DFCE5FA" w14:textId="11375AF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Prokuratorii Generalnej Rzeczypospolitej Polskiej;</w:t>
            </w:r>
          </w:p>
          <w:p w14:paraId="2A0F7A18" w14:textId="4527B722"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Zamówień Publicznych;</w:t>
            </w:r>
          </w:p>
          <w:p w14:paraId="2ECBAF21" w14:textId="6E298A9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Rzecznik Małych i Średnich Przedsiębiorstw;</w:t>
            </w:r>
          </w:p>
          <w:p w14:paraId="570A589B" w14:textId="76FA4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Główny Inspektor Nadzoru Budowlanego;</w:t>
            </w:r>
          </w:p>
          <w:p w14:paraId="42F6276C" w14:textId="3BC471D8"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Konserwator Zabytków;</w:t>
            </w:r>
          </w:p>
          <w:p w14:paraId="78533066" w14:textId="1F5AD06F"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Komendant Główny Państwowej Straży Pożarnej;</w:t>
            </w:r>
          </w:p>
          <w:p w14:paraId="2A74B4EA" w14:textId="1087295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Dyrektor Dróg Krajowych i Autostrad;</w:t>
            </w:r>
          </w:p>
          <w:p w14:paraId="19084E6C" w14:textId="426DF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Dyrektor Transportowego Dozoru Technicznego.</w:t>
            </w:r>
          </w:p>
          <w:p w14:paraId="306107F4" w14:textId="4E0E6367" w:rsidR="000B7ADB" w:rsidRPr="0050413F" w:rsidRDefault="000B7ADB" w:rsidP="0050413F">
            <w:pPr>
              <w:spacing w:line="240" w:lineRule="auto"/>
              <w:jc w:val="both"/>
              <w:rPr>
                <w:rFonts w:ascii="Times New Roman" w:hAnsi="Times New Roman"/>
              </w:rPr>
            </w:pPr>
            <w:r w:rsidRPr="0050413F">
              <w:rPr>
                <w:rFonts w:ascii="Times New Roman" w:hAnsi="Times New Roman"/>
              </w:rPr>
              <w:t xml:space="preserve">Projekt zostanie przekazany do następujących reprezentatywnych organizacji pracodawców:  </w:t>
            </w:r>
          </w:p>
          <w:p w14:paraId="157AF19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Pracodawcy RP, </w:t>
            </w:r>
          </w:p>
          <w:p w14:paraId="2892C815"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Konfederacja Lewiatan, </w:t>
            </w:r>
          </w:p>
          <w:p w14:paraId="22129723"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Rzemiosła Polskiego, </w:t>
            </w:r>
          </w:p>
          <w:p w14:paraId="3E3CD47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Pracodawców </w:t>
            </w:r>
            <w:proofErr w:type="spellStart"/>
            <w:r w:rsidRPr="0050413F">
              <w:rPr>
                <w:rFonts w:ascii="Times New Roman" w:hAnsi="Times New Roman"/>
              </w:rPr>
              <w:t>Bussiness</w:t>
            </w:r>
            <w:proofErr w:type="spellEnd"/>
            <w:r w:rsidRPr="0050413F">
              <w:rPr>
                <w:rFonts w:ascii="Times New Roman" w:hAnsi="Times New Roman"/>
              </w:rPr>
              <w:t xml:space="preserve"> Centre Club, </w:t>
            </w:r>
          </w:p>
          <w:p w14:paraId="3EAF75EE" w14:textId="77777777" w:rsidR="006C0FD1"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Związek Przedsiębiorców i Pracodawców.</w:t>
            </w:r>
          </w:p>
          <w:p w14:paraId="6648F1DE"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rPr>
              <w:t>Z uwagi na zakres</w:t>
            </w:r>
            <w:r w:rsidR="003E3B81" w:rsidRPr="0050413F">
              <w:rPr>
                <w:rFonts w:ascii="Times New Roman" w:hAnsi="Times New Roman"/>
              </w:rPr>
              <w:t xml:space="preserve"> przedmiotowy</w:t>
            </w:r>
            <w:r w:rsidRPr="0050413F">
              <w:rPr>
                <w:rFonts w:ascii="Times New Roman" w:hAnsi="Times New Roman"/>
              </w:rPr>
              <w:t xml:space="preserve"> projektu, który nie dotyczy praw i interesów oraz zadań związków zawodowych projekt nie podlega opiniowaniu przez reprezentatywne organizacje związków zawodowych na zasadach przewidzianych w przepisach odrębnych. </w:t>
            </w:r>
          </w:p>
          <w:p w14:paraId="76387A27" w14:textId="77777777" w:rsidR="0050413F" w:rsidRPr="0050413F" w:rsidRDefault="0050413F" w:rsidP="0050413F">
            <w:pPr>
              <w:spacing w:line="240" w:lineRule="auto"/>
              <w:jc w:val="both"/>
              <w:rPr>
                <w:rFonts w:ascii="Times New Roman" w:hAnsi="Times New Roman"/>
                <w:spacing w:val="-2"/>
              </w:rPr>
            </w:pPr>
            <w:r w:rsidRPr="0050413F">
              <w:rPr>
                <w:rFonts w:ascii="Times New Roman" w:hAnsi="Times New Roman"/>
                <w:spacing w:val="-2"/>
              </w:rPr>
              <w:t xml:space="preserve">Z uwagi fakt, że proponowane zmiany dotyczą kwestii dotyczących jednostek samorządu terytorialnego projekt zostanie przekazany do rozpatrzenia przez Komisję Wspólną Rządu i Samorządu Terytorialnego. </w:t>
            </w:r>
          </w:p>
          <w:p w14:paraId="1773C484"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Projekt nie dotyczy spraw, o których mowa w art. 1 ustawy z dnia 24 lipca 2015 r. o Radzie Dialogu Społecznego i innych instytucjach dialogu społecznego (Dz. U. z 2018 r. poz. 2232), dlatego nie podlega opiniowaniu przez Radę Dialogu Społecznego.</w:t>
            </w:r>
          </w:p>
          <w:p w14:paraId="2A4C6DFA" w14:textId="6FB3257F" w:rsidR="0085383F"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Wyniki przeprowadzonych konsultacji publicznych zostaną zamieszczone w Biuletynie Informacji Publicznej, na stronie podmiotowej Rządowego Centrum Legislacji, w serwisie Rządowy Proces Legislacyjny.</w:t>
            </w:r>
          </w:p>
        </w:tc>
      </w:tr>
      <w:tr w:rsidR="002E5FFA" w:rsidRPr="0050413F" w14:paraId="19126829" w14:textId="77777777" w:rsidTr="00676C8D">
        <w:trPr>
          <w:gridAfter w:val="1"/>
          <w:wAfter w:w="10" w:type="dxa"/>
          <w:trHeight w:val="363"/>
        </w:trPr>
        <w:tc>
          <w:tcPr>
            <w:tcW w:w="10937" w:type="dxa"/>
            <w:gridSpan w:val="29"/>
            <w:shd w:val="clear" w:color="auto" w:fill="99CCFF"/>
            <w:vAlign w:val="center"/>
          </w:tcPr>
          <w:p w14:paraId="694F0F7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lastRenderedPageBreak/>
              <w:t xml:space="preserve"> Wpływ na sektor finansów publicznych</w:t>
            </w:r>
          </w:p>
        </w:tc>
      </w:tr>
      <w:tr w:rsidR="002E5FFA" w:rsidRPr="0050413F" w14:paraId="344A6878" w14:textId="77777777" w:rsidTr="00676C8D">
        <w:trPr>
          <w:gridAfter w:val="1"/>
          <w:wAfter w:w="10" w:type="dxa"/>
          <w:trHeight w:val="142"/>
        </w:trPr>
        <w:tc>
          <w:tcPr>
            <w:tcW w:w="3133" w:type="dxa"/>
            <w:gridSpan w:val="3"/>
            <w:vMerge w:val="restart"/>
            <w:shd w:val="clear" w:color="auto" w:fill="FFFFFF"/>
          </w:tcPr>
          <w:p w14:paraId="7232AB62" w14:textId="77777777" w:rsidR="002E5FFA" w:rsidRPr="0050413F" w:rsidRDefault="002E5FFA" w:rsidP="0050413F">
            <w:pPr>
              <w:spacing w:line="240" w:lineRule="auto"/>
              <w:rPr>
                <w:rFonts w:ascii="Times New Roman" w:hAnsi="Times New Roman"/>
                <w:i/>
                <w:color w:val="000000"/>
              </w:rPr>
            </w:pPr>
            <w:r w:rsidRPr="0050413F">
              <w:rPr>
                <w:rFonts w:ascii="Times New Roman" w:hAnsi="Times New Roman"/>
                <w:color w:val="000000"/>
              </w:rPr>
              <w:t>(ceny stałe z …… r.)</w:t>
            </w:r>
          </w:p>
        </w:tc>
        <w:tc>
          <w:tcPr>
            <w:tcW w:w="7804" w:type="dxa"/>
            <w:gridSpan w:val="26"/>
            <w:shd w:val="clear" w:color="auto" w:fill="FFFFFF"/>
          </w:tcPr>
          <w:p w14:paraId="1CE5BB2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color w:val="000000"/>
              </w:rPr>
              <w:t>Skutki w okresie 10 lat od wejścia w życie zmian [mln zł]</w:t>
            </w:r>
          </w:p>
        </w:tc>
      </w:tr>
      <w:tr w:rsidR="002E5FFA" w:rsidRPr="0050413F" w14:paraId="32FD1F75" w14:textId="77777777" w:rsidTr="00676C8D">
        <w:trPr>
          <w:gridAfter w:val="1"/>
          <w:wAfter w:w="10" w:type="dxa"/>
          <w:trHeight w:val="142"/>
        </w:trPr>
        <w:tc>
          <w:tcPr>
            <w:tcW w:w="3133" w:type="dxa"/>
            <w:gridSpan w:val="3"/>
            <w:vMerge/>
            <w:shd w:val="clear" w:color="auto" w:fill="FFFFFF"/>
          </w:tcPr>
          <w:p w14:paraId="25968323" w14:textId="77777777" w:rsidR="002E5FFA" w:rsidRPr="0050413F" w:rsidRDefault="002E5FFA" w:rsidP="0050413F">
            <w:pPr>
              <w:spacing w:line="240" w:lineRule="auto"/>
              <w:rPr>
                <w:rFonts w:ascii="Times New Roman" w:hAnsi="Times New Roman"/>
                <w:i/>
                <w:color w:val="000000"/>
              </w:rPr>
            </w:pPr>
          </w:p>
        </w:tc>
        <w:tc>
          <w:tcPr>
            <w:tcW w:w="569" w:type="dxa"/>
            <w:gridSpan w:val="3"/>
            <w:shd w:val="clear" w:color="auto" w:fill="FFFFFF"/>
          </w:tcPr>
          <w:p w14:paraId="1A318A6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570" w:type="dxa"/>
            <w:gridSpan w:val="2"/>
            <w:shd w:val="clear" w:color="auto" w:fill="FFFFFF"/>
          </w:tcPr>
          <w:p w14:paraId="7996EC6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570" w:type="dxa"/>
            <w:gridSpan w:val="3"/>
            <w:shd w:val="clear" w:color="auto" w:fill="FFFFFF"/>
          </w:tcPr>
          <w:p w14:paraId="2DF80F99"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569" w:type="dxa"/>
            <w:gridSpan w:val="2"/>
            <w:shd w:val="clear" w:color="auto" w:fill="FFFFFF"/>
          </w:tcPr>
          <w:p w14:paraId="207B34E1"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570" w:type="dxa"/>
            <w:gridSpan w:val="2"/>
            <w:shd w:val="clear" w:color="auto" w:fill="FFFFFF"/>
          </w:tcPr>
          <w:p w14:paraId="31A85C7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4</w:t>
            </w:r>
          </w:p>
        </w:tc>
        <w:tc>
          <w:tcPr>
            <w:tcW w:w="570" w:type="dxa"/>
            <w:shd w:val="clear" w:color="auto" w:fill="FFFFFF"/>
          </w:tcPr>
          <w:p w14:paraId="22F08BC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570" w:type="dxa"/>
            <w:gridSpan w:val="4"/>
            <w:shd w:val="clear" w:color="auto" w:fill="FFFFFF"/>
          </w:tcPr>
          <w:p w14:paraId="012E90B5"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6</w:t>
            </w:r>
          </w:p>
        </w:tc>
        <w:tc>
          <w:tcPr>
            <w:tcW w:w="569" w:type="dxa"/>
            <w:gridSpan w:val="3"/>
            <w:shd w:val="clear" w:color="auto" w:fill="FFFFFF"/>
          </w:tcPr>
          <w:p w14:paraId="72723390"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7</w:t>
            </w:r>
          </w:p>
        </w:tc>
        <w:tc>
          <w:tcPr>
            <w:tcW w:w="570" w:type="dxa"/>
            <w:shd w:val="clear" w:color="auto" w:fill="FFFFFF"/>
          </w:tcPr>
          <w:p w14:paraId="223103E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8</w:t>
            </w:r>
          </w:p>
        </w:tc>
        <w:tc>
          <w:tcPr>
            <w:tcW w:w="570" w:type="dxa"/>
            <w:gridSpan w:val="2"/>
            <w:shd w:val="clear" w:color="auto" w:fill="FFFFFF"/>
          </w:tcPr>
          <w:p w14:paraId="4D6FFCE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9</w:t>
            </w:r>
          </w:p>
        </w:tc>
        <w:tc>
          <w:tcPr>
            <w:tcW w:w="570" w:type="dxa"/>
            <w:shd w:val="clear" w:color="auto" w:fill="FFFFFF"/>
          </w:tcPr>
          <w:p w14:paraId="5C45FC0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537" w:type="dxa"/>
            <w:gridSpan w:val="2"/>
            <w:shd w:val="clear" w:color="auto" w:fill="FFFFFF"/>
          </w:tcPr>
          <w:p w14:paraId="03E2E879"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 (0-10)</w:t>
            </w:r>
          </w:p>
        </w:tc>
      </w:tr>
      <w:tr w:rsidR="006C4216" w:rsidRPr="0050413F" w14:paraId="55297291" w14:textId="77777777" w:rsidTr="00D35DC4">
        <w:trPr>
          <w:trHeight w:val="321"/>
        </w:trPr>
        <w:tc>
          <w:tcPr>
            <w:tcW w:w="3133" w:type="dxa"/>
            <w:gridSpan w:val="3"/>
            <w:shd w:val="clear" w:color="auto" w:fill="FFFFFF"/>
            <w:vAlign w:val="center"/>
          </w:tcPr>
          <w:p w14:paraId="33AC9981"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b/>
                <w:color w:val="000000"/>
              </w:rPr>
              <w:t>Dochody ogółem</w:t>
            </w:r>
          </w:p>
        </w:tc>
        <w:tc>
          <w:tcPr>
            <w:tcW w:w="569" w:type="dxa"/>
            <w:gridSpan w:val="3"/>
            <w:shd w:val="clear" w:color="auto" w:fill="FFFFFF"/>
            <w:vAlign w:val="center"/>
          </w:tcPr>
          <w:p w14:paraId="7F89C712" w14:textId="17DF586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63A6FC3E" w14:textId="6E50042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3"/>
            <w:shd w:val="clear" w:color="auto" w:fill="FFFFFF"/>
            <w:vAlign w:val="center"/>
          </w:tcPr>
          <w:p w14:paraId="1827B65C" w14:textId="0EBBE24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69" w:type="dxa"/>
            <w:gridSpan w:val="2"/>
            <w:shd w:val="clear" w:color="auto" w:fill="FFFFFF"/>
            <w:vAlign w:val="center"/>
          </w:tcPr>
          <w:p w14:paraId="468BA71C" w14:textId="58E46162"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7696C625" w14:textId="4C78D128"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-15</w:t>
            </w:r>
          </w:p>
        </w:tc>
        <w:tc>
          <w:tcPr>
            <w:tcW w:w="570" w:type="dxa"/>
            <w:shd w:val="clear" w:color="auto" w:fill="FFFFFF"/>
            <w:vAlign w:val="center"/>
          </w:tcPr>
          <w:p w14:paraId="113C65A4" w14:textId="51FCBC3A"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644</w:t>
            </w:r>
          </w:p>
        </w:tc>
        <w:tc>
          <w:tcPr>
            <w:tcW w:w="570" w:type="dxa"/>
            <w:gridSpan w:val="4"/>
            <w:shd w:val="clear" w:color="auto" w:fill="FFFFFF"/>
            <w:vAlign w:val="center"/>
          </w:tcPr>
          <w:p w14:paraId="55140324" w14:textId="67CDEEF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1 303</w:t>
            </w:r>
          </w:p>
        </w:tc>
        <w:tc>
          <w:tcPr>
            <w:tcW w:w="569" w:type="dxa"/>
            <w:gridSpan w:val="3"/>
            <w:shd w:val="clear" w:color="auto" w:fill="FFFFFF"/>
            <w:vAlign w:val="center"/>
          </w:tcPr>
          <w:p w14:paraId="7BC96F9D" w14:textId="625530C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1 963</w:t>
            </w:r>
          </w:p>
        </w:tc>
        <w:tc>
          <w:tcPr>
            <w:tcW w:w="570" w:type="dxa"/>
            <w:shd w:val="clear" w:color="auto" w:fill="FFFFFF"/>
            <w:vAlign w:val="center"/>
          </w:tcPr>
          <w:p w14:paraId="79CBDDAE" w14:textId="793E15B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2 622</w:t>
            </w:r>
          </w:p>
        </w:tc>
        <w:tc>
          <w:tcPr>
            <w:tcW w:w="570" w:type="dxa"/>
            <w:gridSpan w:val="2"/>
            <w:shd w:val="clear" w:color="auto" w:fill="FFFFFF"/>
            <w:vAlign w:val="center"/>
          </w:tcPr>
          <w:p w14:paraId="1D0461F6" w14:textId="5DD4073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570" w:type="dxa"/>
            <w:shd w:val="clear" w:color="auto" w:fill="FFFFFF"/>
            <w:vAlign w:val="center"/>
          </w:tcPr>
          <w:p w14:paraId="4C2ED6AF" w14:textId="2A268F72"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1547" w:type="dxa"/>
            <w:gridSpan w:val="3"/>
            <w:shd w:val="clear" w:color="auto" w:fill="FFFFFF"/>
            <w:vAlign w:val="center"/>
          </w:tcPr>
          <w:p w14:paraId="3BEED9E1" w14:textId="2459CB8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13 030</w:t>
            </w:r>
          </w:p>
        </w:tc>
      </w:tr>
      <w:tr w:rsidR="006C4216" w:rsidRPr="0050413F" w14:paraId="065E23FE" w14:textId="77777777" w:rsidTr="00D35DC4">
        <w:trPr>
          <w:trHeight w:val="321"/>
        </w:trPr>
        <w:tc>
          <w:tcPr>
            <w:tcW w:w="3133" w:type="dxa"/>
            <w:gridSpan w:val="3"/>
            <w:shd w:val="clear" w:color="auto" w:fill="FFFFFF"/>
            <w:vAlign w:val="center"/>
          </w:tcPr>
          <w:p w14:paraId="321CF8BF"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1C7F8996" w14:textId="23E2B079"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63CDFCEE" w14:textId="4A98DA0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3"/>
            <w:shd w:val="clear" w:color="auto" w:fill="FFFFFF"/>
            <w:vAlign w:val="center"/>
          </w:tcPr>
          <w:p w14:paraId="706D3490" w14:textId="64F1816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69" w:type="dxa"/>
            <w:gridSpan w:val="2"/>
            <w:shd w:val="clear" w:color="auto" w:fill="FFFFFF"/>
            <w:vAlign w:val="center"/>
          </w:tcPr>
          <w:p w14:paraId="28866D0D" w14:textId="1FFF43F6"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48126590" w14:textId="1EDEF688"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w:t>
            </w:r>
          </w:p>
        </w:tc>
        <w:tc>
          <w:tcPr>
            <w:tcW w:w="570" w:type="dxa"/>
            <w:shd w:val="clear" w:color="auto" w:fill="FFFFFF"/>
            <w:vAlign w:val="center"/>
          </w:tcPr>
          <w:p w14:paraId="04CF16FD" w14:textId="6AA481C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657</w:t>
            </w:r>
          </w:p>
        </w:tc>
        <w:tc>
          <w:tcPr>
            <w:tcW w:w="570" w:type="dxa"/>
            <w:gridSpan w:val="4"/>
            <w:shd w:val="clear" w:color="auto" w:fill="FFFFFF"/>
            <w:vAlign w:val="center"/>
          </w:tcPr>
          <w:p w14:paraId="17B19AF0" w14:textId="4414200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1 317</w:t>
            </w:r>
          </w:p>
        </w:tc>
        <w:tc>
          <w:tcPr>
            <w:tcW w:w="569" w:type="dxa"/>
            <w:gridSpan w:val="3"/>
            <w:shd w:val="clear" w:color="auto" w:fill="FFFFFF"/>
            <w:vAlign w:val="center"/>
          </w:tcPr>
          <w:p w14:paraId="1391B76A" w14:textId="531DEA8F"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1 976</w:t>
            </w:r>
          </w:p>
        </w:tc>
        <w:tc>
          <w:tcPr>
            <w:tcW w:w="570" w:type="dxa"/>
            <w:shd w:val="clear" w:color="auto" w:fill="FFFFFF"/>
            <w:vAlign w:val="center"/>
          </w:tcPr>
          <w:p w14:paraId="58362942" w14:textId="3DBC625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2 636</w:t>
            </w:r>
          </w:p>
        </w:tc>
        <w:tc>
          <w:tcPr>
            <w:tcW w:w="570" w:type="dxa"/>
            <w:gridSpan w:val="2"/>
            <w:shd w:val="clear" w:color="auto" w:fill="FFFFFF"/>
            <w:vAlign w:val="center"/>
          </w:tcPr>
          <w:p w14:paraId="30D9BB52" w14:textId="7F1671A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570" w:type="dxa"/>
            <w:shd w:val="clear" w:color="auto" w:fill="FFFFFF"/>
            <w:vAlign w:val="center"/>
          </w:tcPr>
          <w:p w14:paraId="2BF3F34F" w14:textId="1B124A9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1547" w:type="dxa"/>
            <w:gridSpan w:val="3"/>
            <w:shd w:val="clear" w:color="auto" w:fill="FFFFFF"/>
            <w:vAlign w:val="center"/>
          </w:tcPr>
          <w:p w14:paraId="48C9F238" w14:textId="27C53F21"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13 178</w:t>
            </w:r>
          </w:p>
        </w:tc>
      </w:tr>
      <w:tr w:rsidR="00C5247D" w:rsidRPr="0050413F" w14:paraId="40A5FD61" w14:textId="77777777" w:rsidTr="0033397C">
        <w:trPr>
          <w:trHeight w:val="344"/>
        </w:trPr>
        <w:tc>
          <w:tcPr>
            <w:tcW w:w="3133" w:type="dxa"/>
            <w:gridSpan w:val="3"/>
            <w:shd w:val="clear" w:color="auto" w:fill="FFFFFF"/>
            <w:vAlign w:val="center"/>
          </w:tcPr>
          <w:p w14:paraId="64976BFD"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2016A2E7"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0,1</w:t>
            </w:r>
          </w:p>
        </w:tc>
        <w:tc>
          <w:tcPr>
            <w:tcW w:w="570" w:type="dxa"/>
            <w:gridSpan w:val="2"/>
            <w:shd w:val="clear" w:color="auto" w:fill="FFFFFF"/>
            <w:vAlign w:val="center"/>
          </w:tcPr>
          <w:p w14:paraId="1F74312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gridSpan w:val="3"/>
            <w:shd w:val="clear" w:color="auto" w:fill="FFFFFF"/>
            <w:vAlign w:val="center"/>
          </w:tcPr>
          <w:p w14:paraId="478EE96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69" w:type="dxa"/>
            <w:gridSpan w:val="2"/>
            <w:shd w:val="clear" w:color="auto" w:fill="FFFFFF"/>
            <w:vAlign w:val="center"/>
          </w:tcPr>
          <w:p w14:paraId="509D09C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gridSpan w:val="2"/>
            <w:shd w:val="clear" w:color="auto" w:fill="FFFFFF"/>
            <w:vAlign w:val="center"/>
          </w:tcPr>
          <w:p w14:paraId="338C1C3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shd w:val="clear" w:color="auto" w:fill="FFFFFF"/>
            <w:vAlign w:val="center"/>
          </w:tcPr>
          <w:p w14:paraId="21222692"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gridSpan w:val="4"/>
            <w:shd w:val="clear" w:color="auto" w:fill="FFFFFF"/>
            <w:vAlign w:val="center"/>
          </w:tcPr>
          <w:p w14:paraId="362E6D4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69" w:type="dxa"/>
            <w:gridSpan w:val="3"/>
            <w:shd w:val="clear" w:color="auto" w:fill="FFFFFF"/>
            <w:vAlign w:val="center"/>
          </w:tcPr>
          <w:p w14:paraId="2E24210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shd w:val="clear" w:color="auto" w:fill="FFFFFF"/>
            <w:vAlign w:val="center"/>
          </w:tcPr>
          <w:p w14:paraId="3B12EAC5"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gridSpan w:val="2"/>
            <w:shd w:val="clear" w:color="auto" w:fill="FFFFFF"/>
            <w:vAlign w:val="center"/>
          </w:tcPr>
          <w:p w14:paraId="5FC5656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shd w:val="clear" w:color="auto" w:fill="FFFFFF"/>
            <w:vAlign w:val="center"/>
          </w:tcPr>
          <w:p w14:paraId="32CEFD9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1547" w:type="dxa"/>
            <w:gridSpan w:val="3"/>
            <w:shd w:val="clear" w:color="auto" w:fill="FFFFFF"/>
            <w:vAlign w:val="center"/>
          </w:tcPr>
          <w:p w14:paraId="49E3BBBC"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6</w:t>
            </w:r>
          </w:p>
        </w:tc>
      </w:tr>
      <w:tr w:rsidR="0066322F" w:rsidRPr="0050413F" w14:paraId="6F50D3B0" w14:textId="77777777" w:rsidTr="0033397C">
        <w:trPr>
          <w:trHeight w:val="344"/>
        </w:trPr>
        <w:tc>
          <w:tcPr>
            <w:tcW w:w="3133" w:type="dxa"/>
            <w:gridSpan w:val="3"/>
            <w:shd w:val="clear" w:color="auto" w:fill="FFFFFF"/>
            <w:vAlign w:val="center"/>
          </w:tcPr>
          <w:p w14:paraId="3AF64329"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147B5C55"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5B91D39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3"/>
            <w:shd w:val="clear" w:color="auto" w:fill="FFFFFF"/>
            <w:vAlign w:val="center"/>
          </w:tcPr>
          <w:p w14:paraId="046F0FD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2"/>
            <w:shd w:val="clear" w:color="auto" w:fill="FFFFFF"/>
            <w:vAlign w:val="center"/>
          </w:tcPr>
          <w:p w14:paraId="33C05A1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754DF9A7"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4B6F63D1"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4"/>
            <w:shd w:val="clear" w:color="auto" w:fill="FFFFFF"/>
            <w:vAlign w:val="center"/>
          </w:tcPr>
          <w:p w14:paraId="0B55355A"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3"/>
            <w:shd w:val="clear" w:color="auto" w:fill="FFFFFF"/>
            <w:vAlign w:val="center"/>
          </w:tcPr>
          <w:p w14:paraId="5EEC6ACD"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ECA21A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1B79BBB8"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823303A"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1547" w:type="dxa"/>
            <w:gridSpan w:val="3"/>
            <w:shd w:val="clear" w:color="auto" w:fill="FFFFFF"/>
            <w:vAlign w:val="center"/>
          </w:tcPr>
          <w:p w14:paraId="68FDE541"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-152</w:t>
            </w:r>
          </w:p>
        </w:tc>
      </w:tr>
      <w:tr w:rsidR="006C4216" w:rsidRPr="0050413F" w14:paraId="70EC98FE" w14:textId="77777777" w:rsidTr="00D35DC4">
        <w:trPr>
          <w:trHeight w:val="344"/>
        </w:trPr>
        <w:tc>
          <w:tcPr>
            <w:tcW w:w="3133" w:type="dxa"/>
            <w:gridSpan w:val="3"/>
            <w:shd w:val="clear" w:color="auto" w:fill="FFFFFF"/>
            <w:vAlign w:val="center"/>
          </w:tcPr>
          <w:p w14:paraId="0AD6086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500D9F8D"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35AEC448"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0CACD2C1"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5D1DEC5C"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600172BE"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329BBD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4"/>
            <w:shd w:val="clear" w:color="auto" w:fill="FFFFFF"/>
            <w:vAlign w:val="center"/>
          </w:tcPr>
          <w:p w14:paraId="1BBD5B0E" w14:textId="77777777" w:rsidR="002E5FFA" w:rsidRPr="0050413F" w:rsidRDefault="002E5FFA" w:rsidP="0050413F">
            <w:pPr>
              <w:spacing w:line="240" w:lineRule="auto"/>
              <w:ind w:left="-272" w:firstLine="141"/>
              <w:jc w:val="right"/>
              <w:rPr>
                <w:rFonts w:ascii="Times New Roman" w:hAnsi="Times New Roman"/>
                <w:color w:val="000000"/>
              </w:rPr>
            </w:pPr>
          </w:p>
        </w:tc>
        <w:tc>
          <w:tcPr>
            <w:tcW w:w="569" w:type="dxa"/>
            <w:gridSpan w:val="3"/>
            <w:shd w:val="clear" w:color="auto" w:fill="FFFFFF"/>
            <w:vAlign w:val="center"/>
          </w:tcPr>
          <w:p w14:paraId="4A5AE4A1"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1C01C557"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2"/>
            <w:shd w:val="clear" w:color="auto" w:fill="FFFFFF"/>
            <w:vAlign w:val="center"/>
          </w:tcPr>
          <w:p w14:paraId="0AFC4DB6"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0C3DEDF3" w14:textId="77777777" w:rsidR="002E5FFA" w:rsidRPr="0050413F" w:rsidRDefault="002E5FFA" w:rsidP="0050413F">
            <w:pPr>
              <w:spacing w:line="240" w:lineRule="auto"/>
              <w:ind w:left="-272" w:firstLine="141"/>
              <w:jc w:val="right"/>
              <w:rPr>
                <w:rFonts w:ascii="Times New Roman" w:hAnsi="Times New Roman"/>
                <w:color w:val="000000"/>
              </w:rPr>
            </w:pPr>
          </w:p>
        </w:tc>
        <w:tc>
          <w:tcPr>
            <w:tcW w:w="1547" w:type="dxa"/>
            <w:gridSpan w:val="3"/>
            <w:shd w:val="clear" w:color="auto" w:fill="FFFFFF"/>
            <w:vAlign w:val="center"/>
          </w:tcPr>
          <w:p w14:paraId="3EDE4AE9" w14:textId="77777777" w:rsidR="002E5FFA" w:rsidRPr="0050413F" w:rsidRDefault="002E5FFA" w:rsidP="0050413F">
            <w:pPr>
              <w:spacing w:line="240" w:lineRule="auto"/>
              <w:ind w:left="-272" w:firstLine="141"/>
              <w:jc w:val="right"/>
              <w:rPr>
                <w:rFonts w:ascii="Times New Roman" w:hAnsi="Times New Roman"/>
                <w:color w:val="000000"/>
              </w:rPr>
            </w:pPr>
          </w:p>
        </w:tc>
      </w:tr>
      <w:tr w:rsidR="006C4216" w:rsidRPr="0050413F" w14:paraId="4217AAA1" w14:textId="77777777" w:rsidTr="00D35DC4">
        <w:trPr>
          <w:trHeight w:val="344"/>
        </w:trPr>
        <w:tc>
          <w:tcPr>
            <w:tcW w:w="3133" w:type="dxa"/>
            <w:gridSpan w:val="3"/>
            <w:shd w:val="clear" w:color="auto" w:fill="FFFFFF"/>
            <w:vAlign w:val="center"/>
          </w:tcPr>
          <w:p w14:paraId="3FB64BF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4F8E5C10"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236EB744"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6979834B"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75AEBB0B"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4B4A9D4A"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08810950"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4"/>
            <w:shd w:val="clear" w:color="auto" w:fill="FFFFFF"/>
            <w:vAlign w:val="center"/>
          </w:tcPr>
          <w:p w14:paraId="594EE4FA" w14:textId="77777777" w:rsidR="002E5FFA" w:rsidRPr="0050413F" w:rsidRDefault="002E5FFA" w:rsidP="0050413F">
            <w:pPr>
              <w:spacing w:line="240" w:lineRule="auto"/>
              <w:ind w:left="-272" w:firstLine="141"/>
              <w:jc w:val="right"/>
              <w:rPr>
                <w:rFonts w:ascii="Times New Roman" w:hAnsi="Times New Roman"/>
                <w:color w:val="000000"/>
              </w:rPr>
            </w:pPr>
          </w:p>
        </w:tc>
        <w:tc>
          <w:tcPr>
            <w:tcW w:w="569" w:type="dxa"/>
            <w:gridSpan w:val="3"/>
            <w:shd w:val="clear" w:color="auto" w:fill="FFFFFF"/>
            <w:vAlign w:val="center"/>
          </w:tcPr>
          <w:p w14:paraId="42B33D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7146CE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2"/>
            <w:shd w:val="clear" w:color="auto" w:fill="FFFFFF"/>
            <w:vAlign w:val="center"/>
          </w:tcPr>
          <w:p w14:paraId="44689A7C"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7BFB5DE3" w14:textId="77777777" w:rsidR="002E5FFA" w:rsidRPr="0050413F" w:rsidRDefault="002E5FFA" w:rsidP="0050413F">
            <w:pPr>
              <w:spacing w:line="240" w:lineRule="auto"/>
              <w:ind w:left="-272" w:firstLine="141"/>
              <w:jc w:val="right"/>
              <w:rPr>
                <w:rFonts w:ascii="Times New Roman" w:hAnsi="Times New Roman"/>
                <w:color w:val="000000"/>
              </w:rPr>
            </w:pPr>
          </w:p>
        </w:tc>
        <w:tc>
          <w:tcPr>
            <w:tcW w:w="1547" w:type="dxa"/>
            <w:gridSpan w:val="3"/>
            <w:shd w:val="clear" w:color="auto" w:fill="FFFFFF"/>
            <w:vAlign w:val="center"/>
          </w:tcPr>
          <w:p w14:paraId="754DBB4F" w14:textId="77777777" w:rsidR="002E5FFA" w:rsidRPr="0050413F" w:rsidRDefault="002E5FFA" w:rsidP="0050413F">
            <w:pPr>
              <w:spacing w:line="240" w:lineRule="auto"/>
              <w:ind w:left="-272" w:firstLine="141"/>
              <w:jc w:val="right"/>
              <w:rPr>
                <w:rFonts w:ascii="Times New Roman" w:hAnsi="Times New Roman"/>
                <w:color w:val="000000"/>
              </w:rPr>
            </w:pPr>
          </w:p>
        </w:tc>
      </w:tr>
      <w:tr w:rsidR="006C4216" w:rsidRPr="0050413F" w14:paraId="3FB117CB" w14:textId="77777777" w:rsidTr="00D35DC4">
        <w:trPr>
          <w:trHeight w:val="330"/>
        </w:trPr>
        <w:tc>
          <w:tcPr>
            <w:tcW w:w="3133" w:type="dxa"/>
            <w:gridSpan w:val="3"/>
            <w:shd w:val="clear" w:color="auto" w:fill="FFFFFF"/>
            <w:vAlign w:val="center"/>
          </w:tcPr>
          <w:p w14:paraId="20F9AFBE"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b/>
                <w:color w:val="000000"/>
              </w:rPr>
              <w:t>Wydatki ogółem</w:t>
            </w:r>
          </w:p>
        </w:tc>
        <w:tc>
          <w:tcPr>
            <w:tcW w:w="569" w:type="dxa"/>
            <w:gridSpan w:val="3"/>
            <w:shd w:val="clear" w:color="auto" w:fill="FFFFFF"/>
            <w:vAlign w:val="center"/>
          </w:tcPr>
          <w:p w14:paraId="25D7C9EB"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6269F132"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3"/>
            <w:shd w:val="clear" w:color="auto" w:fill="FFFFFF"/>
            <w:vAlign w:val="center"/>
          </w:tcPr>
          <w:p w14:paraId="1556E72E"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69" w:type="dxa"/>
            <w:gridSpan w:val="2"/>
            <w:shd w:val="clear" w:color="auto" w:fill="FFFFFF"/>
            <w:vAlign w:val="center"/>
          </w:tcPr>
          <w:p w14:paraId="41EF8549"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1CD9167E"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4F409280"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4"/>
            <w:shd w:val="clear" w:color="auto" w:fill="FFFFFF"/>
            <w:vAlign w:val="center"/>
          </w:tcPr>
          <w:p w14:paraId="7B411136"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69" w:type="dxa"/>
            <w:gridSpan w:val="3"/>
            <w:shd w:val="clear" w:color="auto" w:fill="FFFFFF"/>
            <w:vAlign w:val="center"/>
          </w:tcPr>
          <w:p w14:paraId="0A3E4739"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123EF9E7"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1505BC22"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180F1415"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1547" w:type="dxa"/>
            <w:gridSpan w:val="3"/>
            <w:shd w:val="clear" w:color="auto" w:fill="FFFFFF"/>
            <w:vAlign w:val="center"/>
          </w:tcPr>
          <w:p w14:paraId="15823828"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3</w:t>
            </w:r>
          </w:p>
        </w:tc>
      </w:tr>
      <w:tr w:rsidR="006C4216" w:rsidRPr="0050413F" w14:paraId="21597D3D" w14:textId="77777777" w:rsidTr="00D35DC4">
        <w:trPr>
          <w:trHeight w:val="330"/>
        </w:trPr>
        <w:tc>
          <w:tcPr>
            <w:tcW w:w="3133" w:type="dxa"/>
            <w:gridSpan w:val="3"/>
            <w:shd w:val="clear" w:color="auto" w:fill="FFFFFF"/>
            <w:vAlign w:val="center"/>
          </w:tcPr>
          <w:p w14:paraId="07EAA89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5052FE53"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AF3A2F3"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0FBF143B"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3077C7A4"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E32BEDC"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7BD0E76B"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184AEA7C"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0D125F35"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4DB24A9"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361A27E9"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2479D82F"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716741F0" w14:textId="77777777" w:rsidR="002E5FFA" w:rsidRPr="0050413F" w:rsidRDefault="002E5FFA" w:rsidP="0050413F">
            <w:pPr>
              <w:spacing w:line="240" w:lineRule="auto"/>
              <w:ind w:left="-272" w:firstLine="141"/>
              <w:jc w:val="right"/>
              <w:rPr>
                <w:rFonts w:ascii="Times New Roman" w:hAnsi="Times New Roman"/>
              </w:rPr>
            </w:pPr>
          </w:p>
        </w:tc>
      </w:tr>
      <w:tr w:rsidR="00C5247D" w:rsidRPr="0050413F" w14:paraId="3B38B9D4" w14:textId="77777777" w:rsidTr="0033397C">
        <w:trPr>
          <w:trHeight w:val="344"/>
        </w:trPr>
        <w:tc>
          <w:tcPr>
            <w:tcW w:w="3133" w:type="dxa"/>
            <w:gridSpan w:val="3"/>
            <w:shd w:val="clear" w:color="auto" w:fill="FFFFFF"/>
            <w:vAlign w:val="center"/>
          </w:tcPr>
          <w:p w14:paraId="01265A1E"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375BD2EB"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58B746A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3"/>
            <w:shd w:val="clear" w:color="auto" w:fill="FFFFFF"/>
            <w:vAlign w:val="center"/>
          </w:tcPr>
          <w:p w14:paraId="0A1F673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69" w:type="dxa"/>
            <w:gridSpan w:val="2"/>
            <w:shd w:val="clear" w:color="auto" w:fill="FFFFFF"/>
            <w:vAlign w:val="center"/>
          </w:tcPr>
          <w:p w14:paraId="71C67E7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66EDA55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45EDEBC7"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4"/>
            <w:shd w:val="clear" w:color="auto" w:fill="FFFFFF"/>
            <w:vAlign w:val="center"/>
          </w:tcPr>
          <w:p w14:paraId="537B08F5"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69" w:type="dxa"/>
            <w:gridSpan w:val="3"/>
            <w:shd w:val="clear" w:color="auto" w:fill="FFFFFF"/>
            <w:vAlign w:val="center"/>
          </w:tcPr>
          <w:p w14:paraId="32138CC6"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330C65B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7DA7ED6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2E4AADC2"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1547" w:type="dxa"/>
            <w:gridSpan w:val="3"/>
            <w:shd w:val="clear" w:color="auto" w:fill="FFFFFF"/>
            <w:vAlign w:val="center"/>
          </w:tcPr>
          <w:p w14:paraId="01F8A75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3</w:t>
            </w:r>
          </w:p>
        </w:tc>
      </w:tr>
      <w:tr w:rsidR="0066322F" w:rsidRPr="0050413F" w14:paraId="7FB21BB5" w14:textId="77777777" w:rsidTr="0033397C">
        <w:trPr>
          <w:trHeight w:val="344"/>
        </w:trPr>
        <w:tc>
          <w:tcPr>
            <w:tcW w:w="3133" w:type="dxa"/>
            <w:gridSpan w:val="3"/>
            <w:shd w:val="clear" w:color="auto" w:fill="FFFFFF"/>
            <w:vAlign w:val="center"/>
          </w:tcPr>
          <w:p w14:paraId="0A3DD23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00B62415"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692F18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2E488EDA" w14:textId="77777777" w:rsidR="0066322F" w:rsidRPr="0050413F" w:rsidRDefault="0066322F"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309D191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5D83D4F"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23B4AAC9"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6508A581" w14:textId="77777777" w:rsidR="0066322F" w:rsidRPr="0050413F" w:rsidRDefault="0066322F"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17C22074"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0D63CCC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48B3781C"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28139C25" w14:textId="77777777" w:rsidR="0066322F" w:rsidRPr="0050413F" w:rsidRDefault="0066322F"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135A0658" w14:textId="77777777" w:rsidR="0066322F" w:rsidRPr="0050413F" w:rsidRDefault="0066322F" w:rsidP="0050413F">
            <w:pPr>
              <w:spacing w:line="240" w:lineRule="auto"/>
              <w:ind w:left="-272" w:firstLine="141"/>
              <w:jc w:val="right"/>
              <w:rPr>
                <w:rFonts w:ascii="Times New Roman" w:hAnsi="Times New Roman"/>
              </w:rPr>
            </w:pPr>
          </w:p>
        </w:tc>
      </w:tr>
      <w:tr w:rsidR="006C4216" w:rsidRPr="0050413F" w14:paraId="24FB9EE9" w14:textId="77777777" w:rsidTr="00D35DC4">
        <w:trPr>
          <w:trHeight w:val="351"/>
        </w:trPr>
        <w:tc>
          <w:tcPr>
            <w:tcW w:w="3133" w:type="dxa"/>
            <w:gridSpan w:val="3"/>
            <w:shd w:val="clear" w:color="auto" w:fill="FFFFFF"/>
            <w:vAlign w:val="center"/>
          </w:tcPr>
          <w:p w14:paraId="6EDDE25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5142147A"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F186E8C"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1755F616"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57CE5BF8"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22AB18DB"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8E54248"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2E2C8AE4"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7DD91249"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0B9F62F9"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CA4A606"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53821D87"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41B3ACDE" w14:textId="77777777" w:rsidR="002E5FFA" w:rsidRPr="0050413F" w:rsidRDefault="002E5FFA" w:rsidP="0050413F">
            <w:pPr>
              <w:spacing w:line="240" w:lineRule="auto"/>
              <w:ind w:left="-272" w:firstLine="141"/>
              <w:jc w:val="right"/>
              <w:rPr>
                <w:rFonts w:ascii="Times New Roman" w:hAnsi="Times New Roman"/>
              </w:rPr>
            </w:pPr>
          </w:p>
        </w:tc>
      </w:tr>
      <w:tr w:rsidR="006C4216" w:rsidRPr="0050413F" w14:paraId="279F169C" w14:textId="77777777" w:rsidTr="00D35DC4">
        <w:trPr>
          <w:trHeight w:val="351"/>
        </w:trPr>
        <w:tc>
          <w:tcPr>
            <w:tcW w:w="3133" w:type="dxa"/>
            <w:gridSpan w:val="3"/>
            <w:shd w:val="clear" w:color="auto" w:fill="FFFFFF"/>
            <w:vAlign w:val="center"/>
          </w:tcPr>
          <w:p w14:paraId="640C1773"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3EEC8991"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3666402"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5A175C85"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4D453235"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2A3F790"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75D4720"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707E5B2F"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3A7CFBA2"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67CE3C82"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DF42C14"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4B4BE7D6"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3A09DE39" w14:textId="77777777" w:rsidR="002E5FFA" w:rsidRPr="0050413F" w:rsidRDefault="002E5FFA" w:rsidP="0050413F">
            <w:pPr>
              <w:spacing w:line="240" w:lineRule="auto"/>
              <w:ind w:left="-272" w:firstLine="141"/>
              <w:jc w:val="right"/>
              <w:rPr>
                <w:rFonts w:ascii="Times New Roman" w:hAnsi="Times New Roman"/>
              </w:rPr>
            </w:pPr>
          </w:p>
        </w:tc>
      </w:tr>
      <w:tr w:rsidR="006C4216" w:rsidRPr="0050413F" w14:paraId="35C7D235" w14:textId="77777777" w:rsidTr="00D35DC4">
        <w:trPr>
          <w:trHeight w:val="360"/>
        </w:trPr>
        <w:tc>
          <w:tcPr>
            <w:tcW w:w="3133" w:type="dxa"/>
            <w:gridSpan w:val="3"/>
            <w:shd w:val="clear" w:color="auto" w:fill="FFFFFF"/>
            <w:vAlign w:val="center"/>
          </w:tcPr>
          <w:p w14:paraId="1D3339B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b/>
                <w:color w:val="000000"/>
              </w:rPr>
              <w:t>Saldo ogółem</w:t>
            </w:r>
          </w:p>
        </w:tc>
        <w:tc>
          <w:tcPr>
            <w:tcW w:w="569" w:type="dxa"/>
            <w:gridSpan w:val="3"/>
            <w:shd w:val="clear" w:color="auto" w:fill="FFFFFF"/>
            <w:vAlign w:val="center"/>
          </w:tcPr>
          <w:p w14:paraId="5139C931" w14:textId="5513A383"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30E840FB" w14:textId="6D74C03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3"/>
            <w:shd w:val="clear" w:color="auto" w:fill="FFFFFF"/>
            <w:vAlign w:val="center"/>
          </w:tcPr>
          <w:p w14:paraId="5911B167" w14:textId="32FEDFD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69" w:type="dxa"/>
            <w:gridSpan w:val="2"/>
            <w:shd w:val="clear" w:color="auto" w:fill="FFFFFF"/>
            <w:vAlign w:val="center"/>
          </w:tcPr>
          <w:p w14:paraId="16CF9C8E" w14:textId="76DDF74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35B5A8C9" w14:textId="3C640CC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-15</w:t>
            </w:r>
          </w:p>
        </w:tc>
        <w:tc>
          <w:tcPr>
            <w:tcW w:w="570" w:type="dxa"/>
            <w:shd w:val="clear" w:color="auto" w:fill="FFFFFF"/>
            <w:vAlign w:val="center"/>
          </w:tcPr>
          <w:p w14:paraId="1518FF83" w14:textId="654BDC54"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644</w:t>
            </w:r>
          </w:p>
        </w:tc>
        <w:tc>
          <w:tcPr>
            <w:tcW w:w="570" w:type="dxa"/>
            <w:gridSpan w:val="4"/>
            <w:shd w:val="clear" w:color="auto" w:fill="FFFFFF"/>
            <w:vAlign w:val="center"/>
          </w:tcPr>
          <w:p w14:paraId="7B0F0BEB" w14:textId="2A5063C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1 303</w:t>
            </w:r>
          </w:p>
        </w:tc>
        <w:tc>
          <w:tcPr>
            <w:tcW w:w="569" w:type="dxa"/>
            <w:gridSpan w:val="3"/>
            <w:shd w:val="clear" w:color="auto" w:fill="FFFFFF"/>
            <w:vAlign w:val="center"/>
          </w:tcPr>
          <w:p w14:paraId="0B493394" w14:textId="691073E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1 963</w:t>
            </w:r>
          </w:p>
        </w:tc>
        <w:tc>
          <w:tcPr>
            <w:tcW w:w="570" w:type="dxa"/>
            <w:shd w:val="clear" w:color="auto" w:fill="FFFFFF"/>
            <w:vAlign w:val="center"/>
          </w:tcPr>
          <w:p w14:paraId="124C7C53" w14:textId="373C3280"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2 622</w:t>
            </w:r>
          </w:p>
        </w:tc>
        <w:tc>
          <w:tcPr>
            <w:tcW w:w="570" w:type="dxa"/>
            <w:gridSpan w:val="2"/>
            <w:shd w:val="clear" w:color="auto" w:fill="FFFFFF"/>
            <w:vAlign w:val="center"/>
          </w:tcPr>
          <w:p w14:paraId="1B4A418A" w14:textId="1B6A2574"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570" w:type="dxa"/>
            <w:shd w:val="clear" w:color="auto" w:fill="FFFFFF"/>
            <w:vAlign w:val="center"/>
          </w:tcPr>
          <w:p w14:paraId="0AC10641" w14:textId="522B9B8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1547" w:type="dxa"/>
            <w:gridSpan w:val="3"/>
            <w:shd w:val="clear" w:color="auto" w:fill="FFFFFF"/>
            <w:vAlign w:val="center"/>
          </w:tcPr>
          <w:p w14:paraId="2A19AB27" w14:textId="6DFA28FC"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13 030</w:t>
            </w:r>
          </w:p>
        </w:tc>
      </w:tr>
      <w:tr w:rsidR="006C4216" w:rsidRPr="0050413F" w14:paraId="00B1D088" w14:textId="77777777" w:rsidTr="00D35DC4">
        <w:trPr>
          <w:trHeight w:val="360"/>
        </w:trPr>
        <w:tc>
          <w:tcPr>
            <w:tcW w:w="3133" w:type="dxa"/>
            <w:gridSpan w:val="3"/>
            <w:shd w:val="clear" w:color="auto" w:fill="FFFFFF"/>
            <w:vAlign w:val="center"/>
          </w:tcPr>
          <w:p w14:paraId="4DD80954"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lastRenderedPageBreak/>
              <w:t>budżet państwa</w:t>
            </w:r>
          </w:p>
        </w:tc>
        <w:tc>
          <w:tcPr>
            <w:tcW w:w="569" w:type="dxa"/>
            <w:gridSpan w:val="3"/>
            <w:shd w:val="clear" w:color="auto" w:fill="FFFFFF"/>
            <w:vAlign w:val="center"/>
          </w:tcPr>
          <w:p w14:paraId="73EABFB1" w14:textId="31034C6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0FC8E3E3" w14:textId="6697B54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3"/>
            <w:shd w:val="clear" w:color="auto" w:fill="FFFFFF"/>
            <w:vAlign w:val="center"/>
          </w:tcPr>
          <w:p w14:paraId="28DB353C" w14:textId="65117FA3"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69" w:type="dxa"/>
            <w:gridSpan w:val="2"/>
            <w:shd w:val="clear" w:color="auto" w:fill="FFFFFF"/>
            <w:vAlign w:val="center"/>
          </w:tcPr>
          <w:p w14:paraId="7C961A5B" w14:textId="6B5A882C"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257E13EA" w14:textId="0B26F8C6"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w:t>
            </w:r>
          </w:p>
        </w:tc>
        <w:tc>
          <w:tcPr>
            <w:tcW w:w="570" w:type="dxa"/>
            <w:shd w:val="clear" w:color="auto" w:fill="FFFFFF"/>
            <w:vAlign w:val="center"/>
          </w:tcPr>
          <w:p w14:paraId="70CEBF69" w14:textId="71226FE9"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657</w:t>
            </w:r>
          </w:p>
        </w:tc>
        <w:tc>
          <w:tcPr>
            <w:tcW w:w="570" w:type="dxa"/>
            <w:gridSpan w:val="4"/>
            <w:shd w:val="clear" w:color="auto" w:fill="FFFFFF"/>
            <w:vAlign w:val="center"/>
          </w:tcPr>
          <w:p w14:paraId="46922351" w14:textId="512C2F63"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1 317</w:t>
            </w:r>
          </w:p>
        </w:tc>
        <w:tc>
          <w:tcPr>
            <w:tcW w:w="569" w:type="dxa"/>
            <w:gridSpan w:val="3"/>
            <w:shd w:val="clear" w:color="auto" w:fill="FFFFFF"/>
            <w:vAlign w:val="center"/>
          </w:tcPr>
          <w:p w14:paraId="6F61C426" w14:textId="2722B89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1 976</w:t>
            </w:r>
          </w:p>
        </w:tc>
        <w:tc>
          <w:tcPr>
            <w:tcW w:w="570" w:type="dxa"/>
            <w:shd w:val="clear" w:color="auto" w:fill="FFFFFF"/>
            <w:vAlign w:val="center"/>
          </w:tcPr>
          <w:p w14:paraId="14AECAF6" w14:textId="7A113C18"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2 636</w:t>
            </w:r>
          </w:p>
        </w:tc>
        <w:tc>
          <w:tcPr>
            <w:tcW w:w="570" w:type="dxa"/>
            <w:gridSpan w:val="2"/>
            <w:shd w:val="clear" w:color="auto" w:fill="FFFFFF"/>
            <w:vAlign w:val="center"/>
          </w:tcPr>
          <w:p w14:paraId="10ACFB3D" w14:textId="023B557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570" w:type="dxa"/>
            <w:shd w:val="clear" w:color="auto" w:fill="FFFFFF"/>
            <w:vAlign w:val="center"/>
          </w:tcPr>
          <w:p w14:paraId="572F0BA8" w14:textId="394B5E1F"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1547" w:type="dxa"/>
            <w:gridSpan w:val="3"/>
            <w:shd w:val="clear" w:color="auto" w:fill="FFFFFF"/>
            <w:vAlign w:val="center"/>
          </w:tcPr>
          <w:p w14:paraId="42DF0439" w14:textId="1B66B09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13 178</w:t>
            </w:r>
          </w:p>
        </w:tc>
      </w:tr>
      <w:tr w:rsidR="00C5247D" w:rsidRPr="0050413F" w14:paraId="0589DCD7" w14:textId="77777777" w:rsidTr="0033397C">
        <w:trPr>
          <w:trHeight w:val="344"/>
        </w:trPr>
        <w:tc>
          <w:tcPr>
            <w:tcW w:w="3133" w:type="dxa"/>
            <w:gridSpan w:val="3"/>
            <w:shd w:val="clear" w:color="auto" w:fill="FFFFFF"/>
            <w:vAlign w:val="center"/>
          </w:tcPr>
          <w:p w14:paraId="4099B25F"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635CAC7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-0,2</w:t>
            </w:r>
          </w:p>
        </w:tc>
        <w:tc>
          <w:tcPr>
            <w:tcW w:w="570" w:type="dxa"/>
            <w:gridSpan w:val="2"/>
            <w:shd w:val="clear" w:color="auto" w:fill="FFFFFF"/>
            <w:vAlign w:val="center"/>
          </w:tcPr>
          <w:p w14:paraId="75525C1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0,1</w:t>
            </w:r>
          </w:p>
        </w:tc>
        <w:tc>
          <w:tcPr>
            <w:tcW w:w="570" w:type="dxa"/>
            <w:gridSpan w:val="3"/>
            <w:shd w:val="clear" w:color="auto" w:fill="FFFFFF"/>
            <w:vAlign w:val="center"/>
          </w:tcPr>
          <w:p w14:paraId="73A434B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0,2</w:t>
            </w:r>
          </w:p>
        </w:tc>
        <w:tc>
          <w:tcPr>
            <w:tcW w:w="569" w:type="dxa"/>
            <w:gridSpan w:val="2"/>
            <w:shd w:val="clear" w:color="auto" w:fill="FFFFFF"/>
            <w:vAlign w:val="center"/>
          </w:tcPr>
          <w:p w14:paraId="7D8790F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54D16C5C"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0136DF6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4"/>
            <w:shd w:val="clear" w:color="auto" w:fill="FFFFFF"/>
            <w:vAlign w:val="center"/>
          </w:tcPr>
          <w:p w14:paraId="31259EC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69" w:type="dxa"/>
            <w:gridSpan w:val="3"/>
            <w:shd w:val="clear" w:color="auto" w:fill="FFFFFF"/>
            <w:vAlign w:val="center"/>
          </w:tcPr>
          <w:p w14:paraId="0B482344"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shd w:val="clear" w:color="auto" w:fill="FFFFFF"/>
            <w:vAlign w:val="center"/>
          </w:tcPr>
          <w:p w14:paraId="697D9BD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gridSpan w:val="2"/>
            <w:shd w:val="clear" w:color="auto" w:fill="FFFFFF"/>
            <w:vAlign w:val="center"/>
          </w:tcPr>
          <w:p w14:paraId="12CF744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shd w:val="clear" w:color="auto" w:fill="FFFFFF"/>
            <w:vAlign w:val="center"/>
          </w:tcPr>
          <w:p w14:paraId="3BACDE1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1547" w:type="dxa"/>
            <w:gridSpan w:val="3"/>
            <w:shd w:val="clear" w:color="auto" w:fill="FFFFFF"/>
            <w:vAlign w:val="center"/>
          </w:tcPr>
          <w:p w14:paraId="71D14D2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3</w:t>
            </w:r>
          </w:p>
        </w:tc>
      </w:tr>
      <w:tr w:rsidR="0066322F" w:rsidRPr="0050413F" w14:paraId="5AE65C80" w14:textId="77777777" w:rsidTr="0033397C">
        <w:trPr>
          <w:trHeight w:val="344"/>
        </w:trPr>
        <w:tc>
          <w:tcPr>
            <w:tcW w:w="3133" w:type="dxa"/>
            <w:gridSpan w:val="3"/>
            <w:shd w:val="clear" w:color="auto" w:fill="FFFFFF"/>
            <w:vAlign w:val="center"/>
          </w:tcPr>
          <w:p w14:paraId="14E9C76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67935CBC"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1B59797B"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3"/>
            <w:shd w:val="clear" w:color="auto" w:fill="FFFFFF"/>
            <w:vAlign w:val="center"/>
          </w:tcPr>
          <w:p w14:paraId="52962DB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2"/>
            <w:shd w:val="clear" w:color="auto" w:fill="FFFFFF"/>
            <w:vAlign w:val="center"/>
          </w:tcPr>
          <w:p w14:paraId="66648AA3"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3A278228"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18B90470"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4"/>
            <w:shd w:val="clear" w:color="auto" w:fill="FFFFFF"/>
            <w:vAlign w:val="center"/>
          </w:tcPr>
          <w:p w14:paraId="0CEBF03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3"/>
            <w:shd w:val="clear" w:color="auto" w:fill="FFFFFF"/>
            <w:vAlign w:val="center"/>
          </w:tcPr>
          <w:p w14:paraId="526C2CCD"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1AFF89B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58540C9F"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B751E5C"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1547" w:type="dxa"/>
            <w:gridSpan w:val="3"/>
            <w:shd w:val="clear" w:color="auto" w:fill="FFFFFF"/>
            <w:vAlign w:val="center"/>
          </w:tcPr>
          <w:p w14:paraId="471A66CB"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-152</w:t>
            </w:r>
          </w:p>
        </w:tc>
      </w:tr>
      <w:tr w:rsidR="006C4216" w:rsidRPr="0050413F" w14:paraId="2E74DB77" w14:textId="77777777" w:rsidTr="00D35DC4">
        <w:trPr>
          <w:trHeight w:val="357"/>
        </w:trPr>
        <w:tc>
          <w:tcPr>
            <w:tcW w:w="3133" w:type="dxa"/>
            <w:gridSpan w:val="3"/>
            <w:shd w:val="clear" w:color="auto" w:fill="FFFFFF"/>
            <w:vAlign w:val="center"/>
          </w:tcPr>
          <w:p w14:paraId="527783C6"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4E0724A3"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031555AA"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64840311"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377698BE"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5BCE7B47"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1B5C2CDC" w14:textId="77777777" w:rsidR="002E5FFA" w:rsidRPr="0050413F" w:rsidRDefault="002E5FFA" w:rsidP="0050413F">
            <w:pPr>
              <w:spacing w:line="240" w:lineRule="auto"/>
              <w:jc w:val="right"/>
              <w:rPr>
                <w:rFonts w:ascii="Times New Roman" w:hAnsi="Times New Roman"/>
                <w:color w:val="000000"/>
              </w:rPr>
            </w:pPr>
          </w:p>
        </w:tc>
        <w:tc>
          <w:tcPr>
            <w:tcW w:w="570" w:type="dxa"/>
            <w:gridSpan w:val="4"/>
            <w:shd w:val="clear" w:color="auto" w:fill="FFFFFF"/>
            <w:vAlign w:val="center"/>
          </w:tcPr>
          <w:p w14:paraId="3A31B423" w14:textId="77777777" w:rsidR="002E5FFA" w:rsidRPr="0050413F" w:rsidRDefault="002E5FFA" w:rsidP="0050413F">
            <w:pPr>
              <w:spacing w:line="240" w:lineRule="auto"/>
              <w:jc w:val="right"/>
              <w:rPr>
                <w:rFonts w:ascii="Times New Roman" w:hAnsi="Times New Roman"/>
                <w:color w:val="000000"/>
              </w:rPr>
            </w:pPr>
          </w:p>
        </w:tc>
        <w:tc>
          <w:tcPr>
            <w:tcW w:w="569" w:type="dxa"/>
            <w:gridSpan w:val="3"/>
            <w:shd w:val="clear" w:color="auto" w:fill="FFFFFF"/>
            <w:vAlign w:val="center"/>
          </w:tcPr>
          <w:p w14:paraId="1FD86FBE"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4D439B5F"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35AC7310"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3C707B4" w14:textId="77777777" w:rsidR="002E5FFA" w:rsidRPr="0050413F" w:rsidRDefault="002E5FFA" w:rsidP="0050413F">
            <w:pPr>
              <w:spacing w:line="240" w:lineRule="auto"/>
              <w:jc w:val="right"/>
              <w:rPr>
                <w:rFonts w:ascii="Times New Roman" w:hAnsi="Times New Roman"/>
                <w:color w:val="000000"/>
              </w:rPr>
            </w:pPr>
          </w:p>
        </w:tc>
        <w:tc>
          <w:tcPr>
            <w:tcW w:w="1547" w:type="dxa"/>
            <w:gridSpan w:val="3"/>
            <w:shd w:val="clear" w:color="auto" w:fill="FFFFFF"/>
            <w:vAlign w:val="center"/>
          </w:tcPr>
          <w:p w14:paraId="757F4487" w14:textId="77777777" w:rsidR="002E5FFA" w:rsidRPr="0050413F" w:rsidRDefault="002E5FFA" w:rsidP="0050413F">
            <w:pPr>
              <w:spacing w:line="240" w:lineRule="auto"/>
              <w:jc w:val="right"/>
              <w:rPr>
                <w:rFonts w:ascii="Times New Roman" w:hAnsi="Times New Roman"/>
                <w:color w:val="000000"/>
              </w:rPr>
            </w:pPr>
          </w:p>
        </w:tc>
      </w:tr>
      <w:tr w:rsidR="006C4216" w:rsidRPr="0050413F" w14:paraId="539D0FB7" w14:textId="77777777" w:rsidTr="00D35DC4">
        <w:trPr>
          <w:trHeight w:val="357"/>
        </w:trPr>
        <w:tc>
          <w:tcPr>
            <w:tcW w:w="3133" w:type="dxa"/>
            <w:gridSpan w:val="3"/>
            <w:shd w:val="clear" w:color="auto" w:fill="FFFFFF"/>
            <w:vAlign w:val="center"/>
          </w:tcPr>
          <w:p w14:paraId="541437C6"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26AC9513"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45DFD431"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36DC30EC"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384D8E66"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125CAF88"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08C6AB08" w14:textId="77777777" w:rsidR="002E5FFA" w:rsidRPr="0050413F" w:rsidRDefault="002E5FFA" w:rsidP="0050413F">
            <w:pPr>
              <w:spacing w:line="240" w:lineRule="auto"/>
              <w:jc w:val="right"/>
              <w:rPr>
                <w:rFonts w:ascii="Times New Roman" w:hAnsi="Times New Roman"/>
                <w:color w:val="000000"/>
              </w:rPr>
            </w:pPr>
          </w:p>
        </w:tc>
        <w:tc>
          <w:tcPr>
            <w:tcW w:w="570" w:type="dxa"/>
            <w:gridSpan w:val="4"/>
            <w:shd w:val="clear" w:color="auto" w:fill="FFFFFF"/>
            <w:vAlign w:val="center"/>
          </w:tcPr>
          <w:p w14:paraId="489C1557" w14:textId="77777777" w:rsidR="002E5FFA" w:rsidRPr="0050413F" w:rsidRDefault="002E5FFA" w:rsidP="0050413F">
            <w:pPr>
              <w:spacing w:line="240" w:lineRule="auto"/>
              <w:jc w:val="right"/>
              <w:rPr>
                <w:rFonts w:ascii="Times New Roman" w:hAnsi="Times New Roman"/>
                <w:color w:val="000000"/>
              </w:rPr>
            </w:pPr>
          </w:p>
        </w:tc>
        <w:tc>
          <w:tcPr>
            <w:tcW w:w="569" w:type="dxa"/>
            <w:gridSpan w:val="3"/>
            <w:shd w:val="clear" w:color="auto" w:fill="FFFFFF"/>
            <w:vAlign w:val="center"/>
          </w:tcPr>
          <w:p w14:paraId="26EB96BB"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7023B88"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6BB2A1B3"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EF2534D" w14:textId="77777777" w:rsidR="002E5FFA" w:rsidRPr="0050413F" w:rsidRDefault="002E5FFA" w:rsidP="0050413F">
            <w:pPr>
              <w:spacing w:line="240" w:lineRule="auto"/>
              <w:jc w:val="right"/>
              <w:rPr>
                <w:rFonts w:ascii="Times New Roman" w:hAnsi="Times New Roman"/>
                <w:color w:val="000000"/>
              </w:rPr>
            </w:pPr>
          </w:p>
        </w:tc>
        <w:tc>
          <w:tcPr>
            <w:tcW w:w="1547" w:type="dxa"/>
            <w:gridSpan w:val="3"/>
            <w:shd w:val="clear" w:color="auto" w:fill="FFFFFF"/>
            <w:vAlign w:val="center"/>
          </w:tcPr>
          <w:p w14:paraId="717293CD" w14:textId="77777777" w:rsidR="002E5FFA" w:rsidRPr="0050413F" w:rsidRDefault="002E5FFA" w:rsidP="0050413F">
            <w:pPr>
              <w:spacing w:line="240" w:lineRule="auto"/>
              <w:jc w:val="right"/>
              <w:rPr>
                <w:rFonts w:ascii="Times New Roman" w:hAnsi="Times New Roman"/>
                <w:color w:val="000000"/>
              </w:rPr>
            </w:pPr>
          </w:p>
        </w:tc>
      </w:tr>
      <w:tr w:rsidR="002E5FFA" w:rsidRPr="0050413F" w14:paraId="0EA31A93" w14:textId="77777777" w:rsidTr="00676C8D">
        <w:trPr>
          <w:gridAfter w:val="1"/>
          <w:wAfter w:w="10" w:type="dxa"/>
          <w:trHeight w:val="348"/>
        </w:trPr>
        <w:tc>
          <w:tcPr>
            <w:tcW w:w="2243" w:type="dxa"/>
            <w:gridSpan w:val="2"/>
            <w:shd w:val="clear" w:color="auto" w:fill="FFFFFF"/>
            <w:vAlign w:val="center"/>
          </w:tcPr>
          <w:p w14:paraId="4B70BD37"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Źródła finansowania </w:t>
            </w:r>
          </w:p>
        </w:tc>
        <w:tc>
          <w:tcPr>
            <w:tcW w:w="8694" w:type="dxa"/>
            <w:gridSpan w:val="27"/>
            <w:shd w:val="clear" w:color="auto" w:fill="FFFFFF"/>
            <w:vAlign w:val="center"/>
          </w:tcPr>
          <w:p w14:paraId="3F17C9BD"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Finansowanie planowane jest z ukierunkowanych środków wsparcia na zakup ekologicznie czystych pojazdów, w tym w szczególności europejskich funduszy strukturalnych i inwestycyjnych, instrumentu „Łącząc Europę”, a także środków NFOŚiGW. Środki pochodzić będą także z budżetu państwa oraz budżetów jednostek samorządu terytorialnego.</w:t>
            </w:r>
          </w:p>
        </w:tc>
      </w:tr>
      <w:tr w:rsidR="002E5FFA" w:rsidRPr="0050413F" w14:paraId="7EB7BFEB" w14:textId="77777777" w:rsidTr="00676C8D">
        <w:trPr>
          <w:gridAfter w:val="1"/>
          <w:wAfter w:w="10" w:type="dxa"/>
          <w:trHeight w:val="1926"/>
        </w:trPr>
        <w:tc>
          <w:tcPr>
            <w:tcW w:w="2243" w:type="dxa"/>
            <w:gridSpan w:val="2"/>
            <w:shd w:val="clear" w:color="auto" w:fill="FFFFFF"/>
          </w:tcPr>
          <w:p w14:paraId="223F34B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6DD757D4" w14:textId="4D908B55" w:rsidR="005C1330"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1. Obliczenia w zakresie implementacji </w:t>
            </w:r>
            <w:r w:rsidR="005C1330" w:rsidRPr="0050413F">
              <w:rPr>
                <w:rFonts w:ascii="Times New Roman" w:hAnsi="Times New Roman"/>
                <w:spacing w:val="-2"/>
              </w:rPr>
              <w:t xml:space="preserve">przepisów </w:t>
            </w:r>
            <w:r w:rsidR="005C1330" w:rsidRPr="0050413F">
              <w:rPr>
                <w:rFonts w:ascii="Times New Roman" w:hAnsi="Times New Roman"/>
                <w:color w:val="000000"/>
              </w:rPr>
              <w:t>Dyrektywy 2019/1161/UE</w:t>
            </w:r>
          </w:p>
          <w:p w14:paraId="7951550D"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Nie jest możliwe oszacowanie skutków na sektor finansów publicznych w poszczególnych latach od wejścia w życie zmian ustawy, z uwagi na brak odpowiednich danych w tym zakresie.</w:t>
            </w:r>
          </w:p>
          <w:p w14:paraId="4038C96F" w14:textId="567374A1"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Prognozy zamówień na lata 2020-2030 (ekspertyza pn</w:t>
            </w:r>
            <w:r w:rsidRPr="0050413F">
              <w:rPr>
                <w:rFonts w:ascii="Times New Roman" w:hAnsi="Times New Roman"/>
                <w:i/>
                <w:spacing w:val="-2"/>
              </w:rPr>
              <w:t>. Przygotowanie bazy informacyjnej i</w:t>
            </w:r>
            <w:r w:rsidR="00F36476" w:rsidRPr="0050413F">
              <w:rPr>
                <w:rFonts w:ascii="Times New Roman" w:hAnsi="Times New Roman"/>
                <w:i/>
                <w:spacing w:val="-2"/>
              </w:rPr>
              <w:t> </w:t>
            </w:r>
            <w:r w:rsidRPr="0050413F">
              <w:rPr>
                <w:rFonts w:ascii="Times New Roman" w:hAnsi="Times New Roman"/>
                <w:i/>
                <w:spacing w:val="-2"/>
              </w:rPr>
              <w:t>propozycji rozwiązań implementujących znowelizowaną dyrektywę w sprawie promocji czystych pojazdów,</w:t>
            </w:r>
            <w:r w:rsidRPr="0050413F">
              <w:rPr>
                <w:rFonts w:ascii="Times New Roman" w:hAnsi="Times New Roman"/>
                <w:spacing w:val="-2"/>
              </w:rPr>
              <w:t xml:space="preserve"> </w:t>
            </w:r>
            <w:proofErr w:type="spellStart"/>
            <w:r w:rsidRPr="0050413F">
              <w:rPr>
                <w:rFonts w:ascii="Times New Roman" w:hAnsi="Times New Roman"/>
                <w:spacing w:val="-2"/>
              </w:rPr>
              <w:t>Atmoterm</w:t>
            </w:r>
            <w:proofErr w:type="spellEnd"/>
            <w:r w:rsidRPr="0050413F">
              <w:rPr>
                <w:rFonts w:ascii="Times New Roman" w:hAnsi="Times New Roman"/>
                <w:spacing w:val="-2"/>
              </w:rPr>
              <w:t xml:space="preserve">, 2019), uwzględniające realizacje wymagań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i</w:t>
            </w:r>
            <w:r w:rsidR="00F36476" w:rsidRPr="0050413F">
              <w:rPr>
                <w:rFonts w:ascii="Times New Roman" w:hAnsi="Times New Roman"/>
                <w:spacing w:val="-2"/>
              </w:rPr>
              <w:t> </w:t>
            </w:r>
            <w:r w:rsidRPr="0050413F">
              <w:rPr>
                <w:rFonts w:ascii="Times New Roman" w:hAnsi="Times New Roman"/>
                <w:spacing w:val="-2"/>
              </w:rPr>
              <w:t>paliwach alternatywnych w zakresie zakupu i eksploatacji pojazdów opartych na paliwach alternatywnych wykazują, że minimalne poziomy udziału ekologicznie czystych pojazdów w</w:t>
            </w:r>
            <w:r w:rsidR="00F36476" w:rsidRPr="0050413F">
              <w:rPr>
                <w:rFonts w:ascii="Times New Roman" w:hAnsi="Times New Roman"/>
                <w:spacing w:val="-2"/>
              </w:rPr>
              <w:t> </w:t>
            </w:r>
            <w:r w:rsidRPr="0050413F">
              <w:rPr>
                <w:rFonts w:ascii="Times New Roman" w:hAnsi="Times New Roman"/>
                <w:spacing w:val="-2"/>
              </w:rPr>
              <w:t>zamówieniach, określone przez dyrektywę 2019/1161/UE, w tym okresie mogą być dotrzymane niemalże we wszystkich kategoriach (tylko w odniesieniu do udziału czystych ekologicznie autobusów szacowany jest niewielki niedobór).</w:t>
            </w:r>
          </w:p>
          <w:p w14:paraId="5D948EF3" w14:textId="1F895BB2"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Prognozy udziału ekologicznie czystych pojazdów w zamówieniach publicznych w latach 2021-2025 oraz 2026-2030 sporządzono w oparciu o założenia dotyczące realizacji przez naczelne i</w:t>
            </w:r>
            <w:r w:rsidR="005D356E" w:rsidRPr="0050413F">
              <w:rPr>
                <w:rFonts w:ascii="Times New Roman" w:hAnsi="Times New Roman"/>
                <w:spacing w:val="-2"/>
              </w:rPr>
              <w:t> </w:t>
            </w:r>
            <w:r w:rsidRPr="0050413F">
              <w:rPr>
                <w:rFonts w:ascii="Times New Roman" w:hAnsi="Times New Roman"/>
                <w:spacing w:val="-2"/>
              </w:rPr>
              <w:t xml:space="preserve">centralne organy administracji państwowej oraz JST powyżej 50 tys. mieszkańców wymogów wynikających z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(w zakresie zapewnienia odnośnego udziału pojazdów elektrycznych, napędzanych CNG/LNG, autobusów zeroemisyjnych we flotach), planów wybranych jednostek, objętych wymaganiami dyrektywy 2019/1161/UE w zakresie wymian pojazdów oraz wykorzystania istniejących instrumentów prawnych i wsparcia. Określono udziały [%] „ekologicznie czystych pojazdów” w łącznej liczbie pojazdów objętych zamówieniami publicznymi (dla dwóch przedmiotowych okresów) i porównano je z</w:t>
            </w:r>
            <w:r w:rsidR="00F36476" w:rsidRPr="0050413F">
              <w:rPr>
                <w:rFonts w:ascii="Times New Roman" w:hAnsi="Times New Roman"/>
                <w:spacing w:val="-2"/>
              </w:rPr>
              <w:t> </w:t>
            </w:r>
            <w:r w:rsidRPr="0050413F">
              <w:rPr>
                <w:rFonts w:ascii="Times New Roman" w:hAnsi="Times New Roman"/>
                <w:spacing w:val="-2"/>
              </w:rPr>
              <w:t>minimalnymi poziomami określonymi dla Polski.</w:t>
            </w:r>
          </w:p>
          <w:p w14:paraId="273CE223" w14:textId="6442403C"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Oceniono, że w pierwszym okresie (od 2 sierpnia 2021 roku - do 31 grudnia 2025 roku) w</w:t>
            </w:r>
            <w:r w:rsidR="005D356E" w:rsidRPr="0050413F">
              <w:rPr>
                <w:rFonts w:ascii="Times New Roman" w:hAnsi="Times New Roman"/>
                <w:spacing w:val="-2"/>
              </w:rPr>
              <w:t> </w:t>
            </w:r>
            <w:r w:rsidRPr="0050413F">
              <w:rPr>
                <w:rFonts w:ascii="Times New Roman" w:hAnsi="Times New Roman"/>
                <w:spacing w:val="-2"/>
              </w:rPr>
              <w:t>przypadku autobusów zostanie osiągnięty poziom ok. 32% „ekologicznie czystych autobusów” w łącznej liczbie autobusów objętych zamówieniami (umowy typu a, b i c), przy wymaganym dla pierwszego okresu poziomie 32%, głównie w drodze zamówień na „autobusy zeroemisyjne”. W</w:t>
            </w:r>
            <w:r w:rsidR="00F36476" w:rsidRPr="0050413F">
              <w:rPr>
                <w:rFonts w:ascii="Times New Roman" w:hAnsi="Times New Roman"/>
                <w:spacing w:val="-2"/>
              </w:rPr>
              <w:t> </w:t>
            </w:r>
            <w:r w:rsidRPr="0050413F">
              <w:rPr>
                <w:rFonts w:ascii="Times New Roman" w:hAnsi="Times New Roman"/>
                <w:spacing w:val="-2"/>
              </w:rPr>
              <w:t>drugim okresie (od 1 stycznia 2026 – do 31 grudnia 2030 roku) prognozowane jest osiągnięcie udziału „ekologicznie czystych autobusów” w łącznej liczbie autobusów objętych zamówieniami na poziomie ok. 40,6%, przy poziomie docelowym udziału „ekologicznie czystych autobusów” 46%. Należy podkreślić, że różnica pomiędzy ww. poziomami, wynosząca ok. 5,4% może być osiągnięta w drodze zamówień na „ekologicznie czyste autobusy” z napędem na inne niż energia elektryczna paliwa alternatywne.</w:t>
            </w:r>
          </w:p>
          <w:p w14:paraId="65BC14BB"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Średni udział „ekologicznie czystych pojazdów lekkich” w całkowitej liczbie pojazdów lekkich objętych zamówieniami publicznymi (umowy typu a i c) w pierwszym okresie wyniesie 36,7%, natomiast w drugim okresie wyniesie 23,0%, wobec wymaganego poziomu 22%. W obu przypadkach pozwoli to na osiągnięcie poziomów docelowych określonych w dyrektywie 2019/1161/UE.</w:t>
            </w:r>
          </w:p>
          <w:p w14:paraId="7B7436BA" w14:textId="5CA72B1E"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Na postawie prognoz dla pojazdów ciężarowych oszacowano, że średni udział „ekologicznie czystych pojazdów” w całkowitej liczbie pojazdów ciężarowych objętych zamówieniami (umowy typu a i c) w pierwszym okresie wyniesie 15,7% wobec wymaganego poziomu 7%, natomiast w</w:t>
            </w:r>
            <w:r w:rsidR="00F36476" w:rsidRPr="0050413F">
              <w:rPr>
                <w:rFonts w:ascii="Times New Roman" w:hAnsi="Times New Roman"/>
                <w:spacing w:val="-2"/>
              </w:rPr>
              <w:t> </w:t>
            </w:r>
            <w:r w:rsidRPr="0050413F">
              <w:rPr>
                <w:rFonts w:ascii="Times New Roman" w:hAnsi="Times New Roman"/>
                <w:spacing w:val="-2"/>
              </w:rPr>
              <w:t>drugim okresie wyniesie 12,1%, wobec wymaganego poziomu 9%. W obu przypadkach pozwoli to na osiągnięcie poziomów docelowych określonych w dyrektywie 2019/1161/UE.</w:t>
            </w:r>
          </w:p>
          <w:p w14:paraId="346473E2" w14:textId="4299FE6D"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Nakłady dodatkowe, tzn. wynikające z wyższych cen pojazdów o napędach nisko- i</w:t>
            </w:r>
            <w:r w:rsidR="00F36476" w:rsidRPr="0050413F">
              <w:rPr>
                <w:rFonts w:ascii="Times New Roman" w:hAnsi="Times New Roman"/>
                <w:spacing w:val="-2"/>
              </w:rPr>
              <w:t> </w:t>
            </w:r>
            <w:r w:rsidRPr="0050413F">
              <w:rPr>
                <w:rFonts w:ascii="Times New Roman" w:hAnsi="Times New Roman"/>
                <w:spacing w:val="-2"/>
              </w:rPr>
              <w:t>zeroemisyjnych względem pojazdów z napędami konwencjonalnymi, wymagane do poniesienia w związku z dotrzymaniem wymagań nałożonych dyrektywą 2019/1161/UE odnośnie udziału czystych ekologicznie pojazdów przy planowanej wymianie foty, oszacowano na poziomie ok. 8,5 mld zł w dwóch okresach odniesienia (ok. 4,5 mld zł w pierwszym okresie oraz ok. 4 mld zł w</w:t>
            </w:r>
            <w:r w:rsidR="00F36476" w:rsidRPr="0050413F">
              <w:rPr>
                <w:rFonts w:ascii="Times New Roman" w:hAnsi="Times New Roman"/>
                <w:spacing w:val="-2"/>
              </w:rPr>
              <w:t> </w:t>
            </w:r>
            <w:r w:rsidRPr="0050413F">
              <w:rPr>
                <w:rFonts w:ascii="Times New Roman" w:hAnsi="Times New Roman"/>
                <w:spacing w:val="-2"/>
              </w:rPr>
              <w:t xml:space="preserve">drugim okresie). </w:t>
            </w:r>
          </w:p>
          <w:p w14:paraId="0CBE77C0" w14:textId="2783D859"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lastRenderedPageBreak/>
              <w:t>Jak wskazano wcześniej</w:t>
            </w:r>
            <w:r w:rsidR="003936D9" w:rsidRPr="0050413F">
              <w:rPr>
                <w:rFonts w:ascii="Times New Roman" w:hAnsi="Times New Roman"/>
                <w:spacing w:val="-2"/>
              </w:rPr>
              <w:t>,</w:t>
            </w:r>
            <w:r w:rsidRPr="0050413F">
              <w:rPr>
                <w:rFonts w:ascii="Times New Roman" w:hAnsi="Times New Roman"/>
                <w:spacing w:val="-2"/>
              </w:rPr>
              <w:t xml:space="preserve"> eksperckie prognozy zamówień publicznych na lata 2021-2030, uwzględniające realizację wymagań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wskazują uzyskanie minimalnych poziomów udziału „ekologicznie czystych pojazdów” w zamówieniach, określone przez dyrektywę 2019/1161/UE, choć w przypadku autobusów w drugim okresie rozliczeniowym prognozowany udział pojazdów czystych wynosi 40,6% a wymagane jest 46%. Tym samym można przyjąć, że nakład dodatkowy względem już planowanych wydatków stanowić będzie poniesienie kosztów związanych z wymianą 5,4% autobusów na niskoemisyjne (np. gazowe) w</w:t>
            </w:r>
            <w:r w:rsidR="00F36476" w:rsidRPr="0050413F">
              <w:rPr>
                <w:rFonts w:ascii="Times New Roman" w:hAnsi="Times New Roman"/>
                <w:spacing w:val="-2"/>
              </w:rPr>
              <w:t> </w:t>
            </w:r>
            <w:r w:rsidRPr="0050413F">
              <w:rPr>
                <w:rFonts w:ascii="Times New Roman" w:hAnsi="Times New Roman"/>
                <w:spacing w:val="-2"/>
              </w:rPr>
              <w:t>drugim okresie odniesienia tj. w latach  2026-2030. Zakładając, że średnia cena autobusów z</w:t>
            </w:r>
            <w:r w:rsidR="00F36476" w:rsidRPr="0050413F">
              <w:rPr>
                <w:rFonts w:ascii="Times New Roman" w:hAnsi="Times New Roman"/>
                <w:spacing w:val="-2"/>
              </w:rPr>
              <w:t> </w:t>
            </w:r>
            <w:r w:rsidRPr="0050413F">
              <w:rPr>
                <w:rFonts w:ascii="Times New Roman" w:hAnsi="Times New Roman"/>
                <w:spacing w:val="-2"/>
              </w:rPr>
              <w:t>napędem gazowym spadać będzie w tempie 2,5% rocznie (w okresie 2026-2030 różnica cen względem autobusów z</w:t>
            </w:r>
            <w:r w:rsidR="00D807C5" w:rsidRPr="0050413F">
              <w:rPr>
                <w:rFonts w:ascii="Times New Roman" w:hAnsi="Times New Roman"/>
                <w:spacing w:val="-2"/>
              </w:rPr>
              <w:t> </w:t>
            </w:r>
            <w:r w:rsidRPr="0050413F">
              <w:rPr>
                <w:rFonts w:ascii="Times New Roman" w:hAnsi="Times New Roman"/>
                <w:spacing w:val="-2"/>
              </w:rPr>
              <w:t xml:space="preserve">napędem konwencjonalnym  zmniejszyłaby  się z obecnego poziomu ok. 130 tys. zł do poziomu ok. 30 tys. zł),  ten dodatkowy koszt szacowany jest na ok. </w:t>
            </w:r>
            <w:r w:rsidR="00933A3A" w:rsidRPr="0050413F">
              <w:rPr>
                <w:rFonts w:ascii="Times New Roman" w:hAnsi="Times New Roman"/>
                <w:spacing w:val="-2"/>
              </w:rPr>
              <w:t>17</w:t>
            </w:r>
            <w:r w:rsidR="0013433E" w:rsidRPr="0050413F">
              <w:rPr>
                <w:rFonts w:ascii="Times New Roman" w:hAnsi="Times New Roman"/>
                <w:spacing w:val="-2"/>
              </w:rPr>
              <w:t>,</w:t>
            </w:r>
            <w:r w:rsidR="00933A3A" w:rsidRPr="0050413F">
              <w:rPr>
                <w:rFonts w:ascii="Times New Roman" w:hAnsi="Times New Roman"/>
                <w:spacing w:val="-2"/>
              </w:rPr>
              <w:t>5</w:t>
            </w:r>
            <w:r w:rsidRPr="0050413F">
              <w:rPr>
                <w:rFonts w:ascii="Times New Roman" w:hAnsi="Times New Roman"/>
                <w:spacing w:val="-2"/>
              </w:rPr>
              <w:t>mln zł.</w:t>
            </w:r>
          </w:p>
          <w:p w14:paraId="0204C1A4" w14:textId="77777777" w:rsidR="005C1330" w:rsidRPr="0050413F" w:rsidRDefault="005C1330" w:rsidP="0050413F">
            <w:pPr>
              <w:spacing w:line="240" w:lineRule="auto"/>
              <w:jc w:val="both"/>
              <w:rPr>
                <w:rFonts w:ascii="Times New Roman" w:hAnsi="Times New Roman"/>
                <w:spacing w:val="-2"/>
                <w:u w:val="single"/>
              </w:rPr>
            </w:pPr>
            <w:r w:rsidRPr="0050413F">
              <w:rPr>
                <w:rFonts w:ascii="Times New Roman" w:hAnsi="Times New Roman"/>
                <w:spacing w:val="-2"/>
                <w:u w:val="single"/>
              </w:rPr>
              <w:t>Przyjęte założenia przy szacowaniu kosztów:</w:t>
            </w:r>
          </w:p>
          <w:p w14:paraId="0B856F99"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 xml:space="preserve">Obowiązki wynikające z obowiązującej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i paliwach alternatywnych będę realizowane wg przyjętego harmonogramu.</w:t>
            </w:r>
          </w:p>
          <w:p w14:paraId="1916EAD9"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Osiągniecie minimalnych udziałów ekologicznie czystych pojazdów w zamówieniach publicznych, określonych w dyrektywie 2019/1161/UE.</w:t>
            </w:r>
          </w:p>
          <w:p w14:paraId="1F3C3C06"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Cele minimalne z dyrektywy 2019/1161/UE będą osiągane w pierwszej kolejności przez pojazdy niskoemisyjne, dopiero później przez zeroemisyjne.</w:t>
            </w:r>
          </w:p>
          <w:p w14:paraId="64D77B6C"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Koszt ceny pojazdu konwencjonalnego nie ulegnie istotnej zmianie w analizowanym okresie.</w:t>
            </w:r>
          </w:p>
          <w:p w14:paraId="39A6BA22"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Spadek, na skutek rozwoju technologicznego napędów</w:t>
            </w:r>
            <w:r w:rsidRPr="0050413F" w:rsidDel="004E694A">
              <w:rPr>
                <w:rFonts w:ascii="Times New Roman" w:hAnsi="Times New Roman"/>
                <w:spacing w:val="-2"/>
              </w:rPr>
              <w:t xml:space="preserve"> </w:t>
            </w:r>
            <w:r w:rsidRPr="0050413F">
              <w:rPr>
                <w:rFonts w:ascii="Times New Roman" w:hAnsi="Times New Roman"/>
                <w:spacing w:val="-2"/>
              </w:rPr>
              <w:t>i efektu skali, cen pojazdów ekologicznie czystych będzie na poziomie 2,5% / rocznie w odniesieniu do przyjętych cen z roku 2020.</w:t>
            </w:r>
          </w:p>
          <w:p w14:paraId="4C3F8F0E" w14:textId="2C5C0AC9"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Korzyści dla budżetu państwa wynikać będą z wyższych wpływów z podatku VAT związanego z</w:t>
            </w:r>
            <w:r w:rsidR="00F36476" w:rsidRPr="0050413F">
              <w:rPr>
                <w:rFonts w:ascii="Times New Roman" w:hAnsi="Times New Roman"/>
                <w:spacing w:val="-2"/>
              </w:rPr>
              <w:t> </w:t>
            </w:r>
            <w:r w:rsidRPr="0050413F">
              <w:rPr>
                <w:rFonts w:ascii="Times New Roman" w:hAnsi="Times New Roman"/>
                <w:spacing w:val="-2"/>
              </w:rPr>
              <w:t>zakupem pojazdów o napędach elektrycznych i gazowych, których cena przewyższa pojazdy z</w:t>
            </w:r>
            <w:r w:rsidR="00F36476" w:rsidRPr="0050413F">
              <w:rPr>
                <w:rFonts w:ascii="Times New Roman" w:hAnsi="Times New Roman"/>
                <w:spacing w:val="-2"/>
              </w:rPr>
              <w:t> </w:t>
            </w:r>
            <w:r w:rsidRPr="0050413F">
              <w:rPr>
                <w:rFonts w:ascii="Times New Roman" w:hAnsi="Times New Roman"/>
                <w:spacing w:val="-2"/>
              </w:rPr>
              <w:t xml:space="preserve">napędami konwencjonalnymi. </w:t>
            </w:r>
          </w:p>
          <w:p w14:paraId="3D5FEAB9"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 xml:space="preserve">Ustawa wpłynie na zmniejszenie poziomu konsumpcji paliw płynnych i wzrost zużycia energii elektrycznej, co skutkować będzie zmniejszeniem wpływu do budżetu państwa z tytułu podatków paliwowych, gdyż tej różnicy nie pokryje wzrost konsumpcji energii elektrycznej (która z zasady ma być tańsza niż paliwa konwencjonalne). Niższe koszty eksploatacji pojazdów elektrycznych spowodują oszczędności wydatków ich użytkowników, ale jednocześnie zmniejszenie wpływów do budżetu z tytułu podatku VAT związanego z usługami eksploatacyjnymi. </w:t>
            </w:r>
          </w:p>
          <w:p w14:paraId="23BC7E7F"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 xml:space="preserve">Niższa emisja zanieczyszczeń, względem pojazdów spalinowych, spowoduje pozytywny efekt zdrowotny i środowiskowy, co przełoży się na zmniejszenie wydatków budżetu państwa na ochronę zdrowia związaną z chorobami układu oddechowego i krążenia. Równoczesny spadek emisji gazów cieplarnianych może przyczynić się do obniżenia kosztów interwencji i działań adaptacyjnych w związku ze zmianami klimatu. </w:t>
            </w:r>
          </w:p>
          <w:p w14:paraId="114D85F6"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Wzrost obciążeń dla zamawiających zostanie w większości zrównoważony mniejszymi kosztami eksploatacyjnymi floty pojazdów oraz korzyściami dla sektora przedsiębiorstw. Wydatki budżetu państwa potencjalnie zostaną zrównoważone większymi wpływami na skutek rozwoju przemysłu motoryzacyjnego i elektrotechnicznego jak i wskazanym powyżej zmniejszeniem wydatków.</w:t>
            </w:r>
          </w:p>
          <w:p w14:paraId="6618EE34" w14:textId="57A2D2F2"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Koszt wymiany floty przedsiębiorstw świadczących usługi transportu publicznego zostanie w</w:t>
            </w:r>
            <w:r w:rsidR="00D807C5" w:rsidRPr="0050413F">
              <w:rPr>
                <w:rFonts w:ascii="Times New Roman" w:hAnsi="Times New Roman"/>
                <w:spacing w:val="-2"/>
              </w:rPr>
              <w:t> </w:t>
            </w:r>
            <w:r w:rsidRPr="0050413F">
              <w:rPr>
                <w:rFonts w:ascii="Times New Roman" w:hAnsi="Times New Roman"/>
                <w:spacing w:val="-2"/>
              </w:rPr>
              <w:t xml:space="preserve"> znacznym stopniu przełożony na JST, co może być rekompensowane przy użyciu dostępnych instrumentów wsparcia. Niższe koszty eksploatacji nie pokryją pełnego kosztu wymiany floty w</w:t>
            </w:r>
            <w:r w:rsidR="00D807C5" w:rsidRPr="0050413F">
              <w:rPr>
                <w:rFonts w:ascii="Times New Roman" w:hAnsi="Times New Roman"/>
                <w:spacing w:val="-2"/>
              </w:rPr>
              <w:t> </w:t>
            </w:r>
            <w:r w:rsidRPr="0050413F">
              <w:rPr>
                <w:rFonts w:ascii="Times New Roman" w:hAnsi="Times New Roman"/>
                <w:spacing w:val="-2"/>
              </w:rPr>
              <w:t xml:space="preserve">analizowanym okresie, dlatego też obowiązek ten będzie stanowić koszt. </w:t>
            </w:r>
          </w:p>
          <w:p w14:paraId="657737CD"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Koszt wymiany floty operatorów świadczących usługi w zakresie specjalnych usług doręczania przesyłek pocztowych i paczek oraz usług wywozu odpadów powinien zostać złagodzony przez maksymalne wykorzystanie instrumentów wsparcia, tak aby nie został  przełożony na końcowych odbiorców usług</w:t>
            </w:r>
            <w:r w:rsidR="00AA2242" w:rsidRPr="0050413F">
              <w:rPr>
                <w:rFonts w:ascii="Times New Roman" w:hAnsi="Times New Roman"/>
                <w:spacing w:val="-2"/>
              </w:rPr>
              <w:t>.</w:t>
            </w:r>
          </w:p>
          <w:p w14:paraId="29A4976E" w14:textId="62168D5F" w:rsidR="005C1330" w:rsidRPr="0050413F" w:rsidRDefault="005C1330" w:rsidP="0050413F">
            <w:pPr>
              <w:spacing w:line="240" w:lineRule="auto"/>
              <w:jc w:val="both"/>
              <w:rPr>
                <w:rFonts w:ascii="Times New Roman" w:hAnsi="Times New Roman"/>
              </w:rPr>
            </w:pPr>
            <w:r w:rsidRPr="0050413F">
              <w:rPr>
                <w:rFonts w:ascii="Times New Roman" w:hAnsi="Times New Roman"/>
                <w:spacing w:val="-2"/>
              </w:rPr>
              <w:t>Jak wskazano wcześniej, wynikające z obecnie droższej technologii napędowej dodatkowe wydatki w zakresie wymiany taboru mogą zostać zbilansowane poprzez skorzystanie z</w:t>
            </w:r>
            <w:r w:rsidR="00F36476" w:rsidRPr="0050413F">
              <w:rPr>
                <w:rFonts w:ascii="Times New Roman" w:hAnsi="Times New Roman"/>
                <w:spacing w:val="-2"/>
              </w:rPr>
              <w:t> </w:t>
            </w:r>
            <w:r w:rsidRPr="0050413F">
              <w:rPr>
                <w:rFonts w:ascii="Times New Roman" w:hAnsi="Times New Roman"/>
                <w:spacing w:val="-2"/>
              </w:rPr>
              <w:t xml:space="preserve">instrumentów finansowych ukierunkowanych na wsparcie nabycia ekologicznie czystych pojazdów. </w:t>
            </w:r>
          </w:p>
          <w:p w14:paraId="2A521647" w14:textId="163A52E0"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2. Obliczenia w zakresie zwolnienia pojazdów niskoemisyjnych za przejazd drogami krajowymi i</w:t>
            </w:r>
            <w:r w:rsidR="00F36476" w:rsidRPr="0050413F">
              <w:rPr>
                <w:rFonts w:ascii="Times New Roman" w:hAnsi="Times New Roman"/>
                <w:spacing w:val="-2"/>
              </w:rPr>
              <w:t> </w:t>
            </w:r>
            <w:r w:rsidRPr="0050413F">
              <w:rPr>
                <w:rFonts w:ascii="Times New Roman" w:hAnsi="Times New Roman"/>
                <w:spacing w:val="-2"/>
              </w:rPr>
              <w:t xml:space="preserve">autostradami. </w:t>
            </w:r>
          </w:p>
          <w:p w14:paraId="2A2D67ED" w14:textId="4E44CD8B"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W tabeli wskazano wyniki obliczeń. Metodologia wraz z uzasadnieniem w załączniku. </w:t>
            </w:r>
          </w:p>
          <w:p w14:paraId="408E3220" w14:textId="2607927A" w:rsidR="00803866" w:rsidRPr="0050413F" w:rsidRDefault="00803866" w:rsidP="0050413F">
            <w:pPr>
              <w:spacing w:line="240" w:lineRule="auto"/>
              <w:jc w:val="both"/>
              <w:rPr>
                <w:rFonts w:ascii="Times New Roman" w:hAnsi="Times New Roman"/>
                <w:spacing w:val="-2"/>
              </w:rPr>
            </w:pPr>
            <w:r w:rsidRPr="0050413F">
              <w:rPr>
                <w:rFonts w:ascii="Times New Roman" w:hAnsi="Times New Roman"/>
                <w:spacing w:val="-2"/>
              </w:rPr>
              <w:t>Ministerstwo Klimatu i Środowiska w dalszym ciągu oczekuje na przekazanie szacunków z</w:t>
            </w:r>
            <w:r w:rsidR="00D807C5" w:rsidRPr="0050413F">
              <w:rPr>
                <w:rFonts w:ascii="Times New Roman" w:hAnsi="Times New Roman"/>
                <w:spacing w:val="-2"/>
              </w:rPr>
              <w:t> </w:t>
            </w:r>
            <w:r w:rsidRPr="0050413F">
              <w:rPr>
                <w:rFonts w:ascii="Times New Roman" w:hAnsi="Times New Roman"/>
                <w:spacing w:val="-2"/>
              </w:rPr>
              <w:t>M</w:t>
            </w:r>
            <w:r w:rsidR="00D807C5" w:rsidRPr="0050413F">
              <w:rPr>
                <w:rFonts w:ascii="Times New Roman" w:hAnsi="Times New Roman"/>
                <w:spacing w:val="-2"/>
              </w:rPr>
              <w:t xml:space="preserve">inisterstwa </w:t>
            </w:r>
            <w:r w:rsidRPr="0050413F">
              <w:rPr>
                <w:rFonts w:ascii="Times New Roman" w:hAnsi="Times New Roman"/>
                <w:spacing w:val="-2"/>
              </w:rPr>
              <w:t>I</w:t>
            </w:r>
            <w:r w:rsidR="00D807C5" w:rsidRPr="0050413F">
              <w:rPr>
                <w:rFonts w:ascii="Times New Roman" w:hAnsi="Times New Roman"/>
                <w:spacing w:val="-2"/>
              </w:rPr>
              <w:t>nfrastruktury</w:t>
            </w:r>
            <w:r w:rsidRPr="0050413F">
              <w:rPr>
                <w:rFonts w:ascii="Times New Roman" w:hAnsi="Times New Roman"/>
                <w:spacing w:val="-2"/>
              </w:rPr>
              <w:t xml:space="preserve"> w zakresie wpływów do Krajowego Funduszu Drogowego w celu ewentualnej korekty wyliczeń. Informacje w tym zakresie zostaną uzupełnione na kolejnych etapach prac legislacyjnych. </w:t>
            </w:r>
          </w:p>
          <w:p w14:paraId="2AF8C98A" w14:textId="7777777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3. Obliczenia w zakresie zmiany przepisów dotyczących amortyzacji pojazdów.</w:t>
            </w:r>
          </w:p>
          <w:p w14:paraId="25586FD4" w14:textId="0B45BD6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lastRenderedPageBreak/>
              <w:t xml:space="preserve">W tabeli wskazano wyniki obliczeń. Metodologia wraz z uzasadnieniem w załączniku. </w:t>
            </w:r>
          </w:p>
          <w:p w14:paraId="4CC6D070" w14:textId="7777777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4. Obliczenia w zakresie zmian przepisów dotyczących stref czystego transportu</w:t>
            </w:r>
          </w:p>
          <w:p w14:paraId="023729EA" w14:textId="0D7FD1E4" w:rsidR="002E5FFA" w:rsidRPr="0050413F" w:rsidRDefault="002E5FFA" w:rsidP="0050413F">
            <w:pPr>
              <w:spacing w:line="240" w:lineRule="auto"/>
              <w:jc w:val="both"/>
              <w:rPr>
                <w:rFonts w:ascii="Times New Roman" w:hAnsi="Times New Roman"/>
                <w:spacing w:val="-2"/>
              </w:rPr>
            </w:pPr>
            <w:r w:rsidRPr="0050413F">
              <w:rPr>
                <w:rFonts w:ascii="Times New Roman" w:hAnsi="Times New Roman"/>
                <w:spacing w:val="-2"/>
              </w:rPr>
              <w:t xml:space="preserve">Stworzenie przez samorządy stref niskiej emisji z możliwością pobierania opłat dla pojazdów innych niż nisko emisyjne, będzie </w:t>
            </w:r>
            <w:r w:rsidR="00B00688" w:rsidRPr="0050413F">
              <w:rPr>
                <w:rFonts w:ascii="Times New Roman" w:hAnsi="Times New Roman"/>
                <w:spacing w:val="-2"/>
              </w:rPr>
              <w:t xml:space="preserve">potencjalnie </w:t>
            </w:r>
            <w:r w:rsidRPr="0050413F">
              <w:rPr>
                <w:rFonts w:ascii="Times New Roman" w:hAnsi="Times New Roman"/>
                <w:spacing w:val="-2"/>
              </w:rPr>
              <w:t>stanowiło dodatkowe źródło wpływów do budżetu</w:t>
            </w:r>
            <w:r w:rsidR="00585DBD" w:rsidRPr="0050413F">
              <w:rPr>
                <w:rFonts w:ascii="Times New Roman" w:hAnsi="Times New Roman"/>
                <w:spacing w:val="-2"/>
              </w:rPr>
              <w:t xml:space="preserve"> jednostek samorządu terytorialnego</w:t>
            </w:r>
            <w:r w:rsidRPr="0050413F">
              <w:rPr>
                <w:rFonts w:ascii="Times New Roman" w:hAnsi="Times New Roman"/>
                <w:spacing w:val="-2"/>
              </w:rPr>
              <w:t xml:space="preserve">. </w:t>
            </w:r>
            <w:r w:rsidR="00B00688" w:rsidRPr="0050413F">
              <w:rPr>
                <w:rFonts w:ascii="Times New Roman" w:hAnsi="Times New Roman"/>
                <w:spacing w:val="-2"/>
              </w:rPr>
              <w:t>Ze względu na brak obowiązku i dobrowolność samorządów</w:t>
            </w:r>
            <w:r w:rsidR="00585DBD" w:rsidRPr="0050413F">
              <w:rPr>
                <w:rFonts w:ascii="Times New Roman" w:hAnsi="Times New Roman"/>
                <w:spacing w:val="-2"/>
              </w:rPr>
              <w:t xml:space="preserve"> </w:t>
            </w:r>
            <w:r w:rsidR="00B00688" w:rsidRPr="0050413F">
              <w:rPr>
                <w:rFonts w:ascii="Times New Roman" w:hAnsi="Times New Roman"/>
                <w:spacing w:val="-2"/>
              </w:rPr>
              <w:t xml:space="preserve">w zakresie tworzenia </w:t>
            </w:r>
            <w:r w:rsidR="00585DBD" w:rsidRPr="0050413F">
              <w:rPr>
                <w:rFonts w:ascii="Times New Roman" w:hAnsi="Times New Roman"/>
                <w:spacing w:val="-2"/>
              </w:rPr>
              <w:t xml:space="preserve">stref w miastach liczących poniżej 100 tyś mieszkańców nie da się przewidzieć na jakich obszarach powstaną. </w:t>
            </w:r>
            <w:r w:rsidR="00BB3769" w:rsidRPr="0050413F">
              <w:rPr>
                <w:rFonts w:ascii="Times New Roman" w:hAnsi="Times New Roman"/>
                <w:spacing w:val="-2"/>
              </w:rPr>
              <w:t xml:space="preserve">Aktualne przepisy określają </w:t>
            </w:r>
            <w:r w:rsidR="00585DBD" w:rsidRPr="0050413F">
              <w:rPr>
                <w:rFonts w:ascii="Times New Roman" w:hAnsi="Times New Roman"/>
                <w:spacing w:val="-2"/>
              </w:rPr>
              <w:t>maksymalną stawkę opłaty jaka może być pobierana za wjazd do strefy.</w:t>
            </w:r>
            <w:r w:rsidR="00BB3769" w:rsidRPr="0050413F">
              <w:rPr>
                <w:rFonts w:ascii="Times New Roman" w:hAnsi="Times New Roman"/>
                <w:spacing w:val="-2"/>
              </w:rPr>
              <w:t xml:space="preserve"> W tym zakresie projektowane przepisy nie wprowadzają zmiany. </w:t>
            </w:r>
            <w:r w:rsidR="00154E4C" w:rsidRPr="0050413F">
              <w:rPr>
                <w:rFonts w:ascii="Times New Roman" w:hAnsi="Times New Roman"/>
                <w:spacing w:val="-2"/>
              </w:rPr>
              <w:t>Miasta w których powstaną strefy, posiadają różną strukturę floty pojazdów pod względem spełnianych norm emisji spalin Euro oraz ich sumaryczną liczbę. W</w:t>
            </w:r>
            <w:r w:rsidR="00A53FBC" w:rsidRPr="0050413F">
              <w:rPr>
                <w:rFonts w:ascii="Times New Roman" w:hAnsi="Times New Roman"/>
                <w:spacing w:val="-2"/>
              </w:rPr>
              <w:t> </w:t>
            </w:r>
            <w:r w:rsidR="00154E4C" w:rsidRPr="0050413F">
              <w:rPr>
                <w:rFonts w:ascii="Times New Roman" w:hAnsi="Times New Roman"/>
                <w:spacing w:val="-2"/>
              </w:rPr>
              <w:t xml:space="preserve">związku z powyższym brak jest możliwości oszacowania, nawet w przybliżony sposób wysokości dodatkowych wpływów </w:t>
            </w:r>
            <w:r w:rsidR="008A28B1" w:rsidRPr="0050413F">
              <w:rPr>
                <w:rFonts w:ascii="Times New Roman" w:hAnsi="Times New Roman"/>
                <w:spacing w:val="-2"/>
              </w:rPr>
              <w:t>do budżetu jednostek samorządu terytorialnego.</w:t>
            </w:r>
            <w:r w:rsidR="00154E4C" w:rsidRPr="0050413F">
              <w:rPr>
                <w:rFonts w:ascii="Times New Roman" w:hAnsi="Times New Roman"/>
                <w:spacing w:val="-2"/>
              </w:rPr>
              <w:t xml:space="preserve"> </w:t>
            </w:r>
            <w:r w:rsidR="00585DBD" w:rsidRPr="0050413F">
              <w:rPr>
                <w:rFonts w:ascii="Times New Roman" w:hAnsi="Times New Roman"/>
                <w:spacing w:val="-2"/>
              </w:rPr>
              <w:t xml:space="preserve"> </w:t>
            </w:r>
          </w:p>
          <w:p w14:paraId="194FA597" w14:textId="428F2F5F"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5. Obliczenia w zakresie zmian przepisów dotyczących Urzędu Dozoru Technicznego</w:t>
            </w:r>
          </w:p>
          <w:p w14:paraId="1F905273" w14:textId="77777777" w:rsidR="002E5FFA"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Źródłem finansowania nowych obowiązków nałożonych na Prezesa UDT będą wpływy z tytułu opłat za nadawanie numerów EIPA. W tabeli wskazano wyniki obliczeń. Metodologia </w:t>
            </w:r>
            <w:r w:rsidR="00A53FBC" w:rsidRPr="0050413F">
              <w:rPr>
                <w:rFonts w:ascii="Times New Roman" w:hAnsi="Times New Roman"/>
                <w:spacing w:val="-2"/>
              </w:rPr>
              <w:t>Została zaprezentowana</w:t>
            </w:r>
            <w:r w:rsidRPr="0050413F">
              <w:rPr>
                <w:rFonts w:ascii="Times New Roman" w:hAnsi="Times New Roman"/>
                <w:spacing w:val="-2"/>
              </w:rPr>
              <w:t xml:space="preserve"> </w:t>
            </w:r>
            <w:r w:rsidR="0033397C" w:rsidRPr="0050413F">
              <w:rPr>
                <w:rFonts w:ascii="Times New Roman" w:hAnsi="Times New Roman"/>
                <w:spacing w:val="-2"/>
              </w:rPr>
              <w:t xml:space="preserve">w załączniku. </w:t>
            </w:r>
          </w:p>
        </w:tc>
      </w:tr>
      <w:tr w:rsidR="002E5FFA" w:rsidRPr="0050413F" w14:paraId="4AD3CE41" w14:textId="77777777" w:rsidTr="00676C8D">
        <w:trPr>
          <w:gridAfter w:val="1"/>
          <w:wAfter w:w="10" w:type="dxa"/>
          <w:trHeight w:val="345"/>
        </w:trPr>
        <w:tc>
          <w:tcPr>
            <w:tcW w:w="10937" w:type="dxa"/>
            <w:gridSpan w:val="29"/>
            <w:shd w:val="clear" w:color="auto" w:fill="99CCFF"/>
          </w:tcPr>
          <w:p w14:paraId="6A4A98C6" w14:textId="77777777" w:rsidR="002E5FFA" w:rsidRPr="0050413F" w:rsidRDefault="002E5FFA" w:rsidP="0050413F">
            <w:pPr>
              <w:numPr>
                <w:ilvl w:val="0"/>
                <w:numId w:val="3"/>
              </w:numPr>
              <w:spacing w:line="240" w:lineRule="auto"/>
              <w:jc w:val="both"/>
              <w:rPr>
                <w:rFonts w:ascii="Times New Roman" w:hAnsi="Times New Roman"/>
                <w:b/>
                <w:color w:val="000000"/>
                <w:spacing w:val="-2"/>
              </w:rPr>
            </w:pPr>
            <w:r w:rsidRPr="0050413F">
              <w:rPr>
                <w:rFonts w:ascii="Times New Roman" w:hAnsi="Times New Roman"/>
                <w:b/>
                <w:color w:val="000000"/>
                <w:spacing w:val="-2"/>
              </w:rPr>
              <w:lastRenderedPageBreak/>
              <w:t xml:space="preserve">Wpływ na </w:t>
            </w:r>
            <w:r w:rsidRPr="0050413F">
              <w:rPr>
                <w:rFonts w:ascii="Times New Roman" w:hAnsi="Times New Roman"/>
                <w:b/>
                <w:color w:val="000000"/>
              </w:rPr>
              <w:t xml:space="preserve">konkurencyjność gospodarki i przedsiębiorczość, w tym funkcjonowanie przedsiębiorców oraz na rodzinę, </w:t>
            </w:r>
            <w:r w:rsidR="003E3B81" w:rsidRPr="0050413F">
              <w:rPr>
                <w:rFonts w:ascii="Times New Roman" w:hAnsi="Times New Roman"/>
                <w:b/>
                <w:color w:val="000000"/>
              </w:rPr>
              <w:t>osoby starsze, osoby niepełnosprawne</w:t>
            </w:r>
            <w:r w:rsidRPr="0050413F">
              <w:rPr>
                <w:rFonts w:ascii="Times New Roman" w:hAnsi="Times New Roman"/>
                <w:b/>
                <w:color w:val="000000"/>
              </w:rPr>
              <w:t xml:space="preserve"> i gospodarstwa domowe </w:t>
            </w:r>
          </w:p>
        </w:tc>
      </w:tr>
      <w:tr w:rsidR="002E5FFA" w:rsidRPr="0050413F" w14:paraId="1CACFD7F" w14:textId="77777777" w:rsidTr="00676C8D">
        <w:trPr>
          <w:gridAfter w:val="1"/>
          <w:wAfter w:w="10" w:type="dxa"/>
          <w:trHeight w:val="142"/>
        </w:trPr>
        <w:tc>
          <w:tcPr>
            <w:tcW w:w="10937" w:type="dxa"/>
            <w:gridSpan w:val="29"/>
            <w:shd w:val="clear" w:color="auto" w:fill="FFFFFF"/>
          </w:tcPr>
          <w:p w14:paraId="3A9C63CA" w14:textId="77777777" w:rsidR="002E5FFA" w:rsidRPr="0050413F" w:rsidRDefault="002E5FFA"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Skutki</w:t>
            </w:r>
          </w:p>
        </w:tc>
      </w:tr>
      <w:tr w:rsidR="002E5FFA" w:rsidRPr="0050413F" w14:paraId="0AB171A0" w14:textId="77777777" w:rsidTr="00676C8D">
        <w:trPr>
          <w:gridAfter w:val="1"/>
          <w:wAfter w:w="10" w:type="dxa"/>
          <w:trHeight w:val="142"/>
        </w:trPr>
        <w:tc>
          <w:tcPr>
            <w:tcW w:w="3889" w:type="dxa"/>
            <w:gridSpan w:val="7"/>
            <w:shd w:val="clear" w:color="auto" w:fill="FFFFFF"/>
          </w:tcPr>
          <w:p w14:paraId="3385C5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Czas w latach od wejścia w życie zmian</w:t>
            </w:r>
          </w:p>
        </w:tc>
        <w:tc>
          <w:tcPr>
            <w:tcW w:w="937" w:type="dxa"/>
            <w:gridSpan w:val="3"/>
            <w:shd w:val="clear" w:color="auto" w:fill="FFFFFF"/>
          </w:tcPr>
          <w:p w14:paraId="2DE594B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938" w:type="dxa"/>
            <w:gridSpan w:val="4"/>
            <w:shd w:val="clear" w:color="auto" w:fill="FFFFFF"/>
          </w:tcPr>
          <w:p w14:paraId="5B86CFCD"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938" w:type="dxa"/>
            <w:gridSpan w:val="4"/>
            <w:shd w:val="clear" w:color="auto" w:fill="FFFFFF"/>
          </w:tcPr>
          <w:p w14:paraId="5DDEC27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937" w:type="dxa"/>
            <w:gridSpan w:val="4"/>
            <w:shd w:val="clear" w:color="auto" w:fill="FFFFFF"/>
          </w:tcPr>
          <w:p w14:paraId="45D724A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938" w:type="dxa"/>
            <w:gridSpan w:val="3"/>
            <w:shd w:val="clear" w:color="auto" w:fill="FFFFFF"/>
          </w:tcPr>
          <w:p w14:paraId="69A5D0D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938" w:type="dxa"/>
            <w:gridSpan w:val="3"/>
            <w:shd w:val="clear" w:color="auto" w:fill="FFFFFF"/>
          </w:tcPr>
          <w:p w14:paraId="1949AE7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422" w:type="dxa"/>
            <w:shd w:val="clear" w:color="auto" w:fill="FFFFFF"/>
          </w:tcPr>
          <w:p w14:paraId="3AB69CF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w:t>
            </w:r>
            <w:r w:rsidRPr="0050413F" w:rsidDel="0073273A">
              <w:rPr>
                <w:rFonts w:ascii="Times New Roman" w:hAnsi="Times New Roman"/>
                <w:i/>
                <w:color w:val="000000"/>
                <w:spacing w:val="-2"/>
              </w:rPr>
              <w:t xml:space="preserve"> </w:t>
            </w:r>
            <w:r w:rsidRPr="0050413F">
              <w:rPr>
                <w:rFonts w:ascii="Times New Roman" w:hAnsi="Times New Roman"/>
                <w:i/>
                <w:color w:val="000000"/>
                <w:spacing w:val="-2"/>
              </w:rPr>
              <w:t>(0-10)</w:t>
            </w:r>
          </w:p>
        </w:tc>
      </w:tr>
      <w:tr w:rsidR="006C4216" w:rsidRPr="0050413F" w14:paraId="6A0E1E7B" w14:textId="77777777" w:rsidTr="00D35DC4">
        <w:trPr>
          <w:gridAfter w:val="1"/>
          <w:wAfter w:w="10" w:type="dxa"/>
          <w:trHeight w:val="505"/>
        </w:trPr>
        <w:tc>
          <w:tcPr>
            <w:tcW w:w="1596" w:type="dxa"/>
            <w:vMerge w:val="restart"/>
            <w:shd w:val="clear" w:color="auto" w:fill="FFFFFF"/>
          </w:tcPr>
          <w:p w14:paraId="5460C730"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W ujęciu pieniężnym</w:t>
            </w:r>
          </w:p>
          <w:p w14:paraId="1FC661E5" w14:textId="77777777" w:rsidR="00D06C51" w:rsidRPr="0050413F" w:rsidRDefault="00D06C51" w:rsidP="0050413F">
            <w:pPr>
              <w:spacing w:line="240" w:lineRule="auto"/>
              <w:rPr>
                <w:rFonts w:ascii="Times New Roman" w:hAnsi="Times New Roman"/>
                <w:spacing w:val="-2"/>
              </w:rPr>
            </w:pPr>
            <w:r w:rsidRPr="0050413F">
              <w:rPr>
                <w:rFonts w:ascii="Times New Roman" w:hAnsi="Times New Roman"/>
                <w:spacing w:val="-2"/>
              </w:rPr>
              <w:t xml:space="preserve">(w mln zł, </w:t>
            </w:r>
          </w:p>
          <w:p w14:paraId="18A63F6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spacing w:val="-2"/>
              </w:rPr>
              <w:t>ceny stałe z …… r.)</w:t>
            </w:r>
          </w:p>
        </w:tc>
        <w:tc>
          <w:tcPr>
            <w:tcW w:w="2293" w:type="dxa"/>
            <w:gridSpan w:val="6"/>
            <w:shd w:val="clear" w:color="auto" w:fill="FFFFFF"/>
            <w:vAlign w:val="center"/>
          </w:tcPr>
          <w:p w14:paraId="3CDBD2A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937" w:type="dxa"/>
            <w:gridSpan w:val="3"/>
            <w:shd w:val="clear" w:color="auto" w:fill="FFFFFF"/>
            <w:vAlign w:val="center"/>
          </w:tcPr>
          <w:p w14:paraId="582DF26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5B9B5D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0827B3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7" w:type="dxa"/>
            <w:gridSpan w:val="4"/>
            <w:shd w:val="clear" w:color="auto" w:fill="FFFFFF"/>
            <w:vAlign w:val="center"/>
          </w:tcPr>
          <w:p w14:paraId="58BE7D3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3"/>
            <w:shd w:val="clear" w:color="auto" w:fill="FFFFFF"/>
            <w:vAlign w:val="center"/>
          </w:tcPr>
          <w:p w14:paraId="1ED5BD4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-206</w:t>
            </w:r>
          </w:p>
        </w:tc>
        <w:tc>
          <w:tcPr>
            <w:tcW w:w="938" w:type="dxa"/>
            <w:gridSpan w:val="3"/>
            <w:shd w:val="clear" w:color="auto" w:fill="FFFFFF"/>
            <w:vAlign w:val="center"/>
          </w:tcPr>
          <w:p w14:paraId="08CA5B8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-1 051</w:t>
            </w:r>
          </w:p>
        </w:tc>
        <w:tc>
          <w:tcPr>
            <w:tcW w:w="1422" w:type="dxa"/>
            <w:shd w:val="clear" w:color="auto" w:fill="FFFFFF"/>
            <w:vAlign w:val="center"/>
          </w:tcPr>
          <w:p w14:paraId="56252520"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-4 171</w:t>
            </w:r>
          </w:p>
        </w:tc>
      </w:tr>
      <w:tr w:rsidR="006C4216" w:rsidRPr="0050413F" w14:paraId="74221457" w14:textId="77777777" w:rsidTr="00D35DC4">
        <w:trPr>
          <w:gridAfter w:val="1"/>
          <w:wAfter w:w="10" w:type="dxa"/>
          <w:trHeight w:val="142"/>
        </w:trPr>
        <w:tc>
          <w:tcPr>
            <w:tcW w:w="1596" w:type="dxa"/>
            <w:vMerge/>
            <w:shd w:val="clear" w:color="auto" w:fill="FFFFFF"/>
          </w:tcPr>
          <w:p w14:paraId="3AB43711" w14:textId="77777777" w:rsidR="00D06C51" w:rsidRPr="0050413F" w:rsidRDefault="00D06C51" w:rsidP="0050413F">
            <w:pPr>
              <w:spacing w:line="240" w:lineRule="auto"/>
              <w:rPr>
                <w:rFonts w:ascii="Times New Roman" w:hAnsi="Times New Roman"/>
                <w:color w:val="000000"/>
              </w:rPr>
            </w:pPr>
          </w:p>
        </w:tc>
        <w:tc>
          <w:tcPr>
            <w:tcW w:w="2293" w:type="dxa"/>
            <w:gridSpan w:val="6"/>
            <w:shd w:val="clear" w:color="auto" w:fill="FFFFFF"/>
          </w:tcPr>
          <w:p w14:paraId="2EB14D9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937" w:type="dxa"/>
            <w:gridSpan w:val="3"/>
            <w:shd w:val="clear" w:color="auto" w:fill="FFFFFF"/>
            <w:vAlign w:val="center"/>
          </w:tcPr>
          <w:p w14:paraId="62FB299E"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58788B55"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23861C2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7" w:type="dxa"/>
            <w:gridSpan w:val="4"/>
            <w:shd w:val="clear" w:color="auto" w:fill="FFFFFF"/>
            <w:vAlign w:val="center"/>
          </w:tcPr>
          <w:p w14:paraId="6AF33A6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3"/>
            <w:shd w:val="clear" w:color="auto" w:fill="FFFFFF"/>
            <w:vAlign w:val="center"/>
          </w:tcPr>
          <w:p w14:paraId="101404F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-438</w:t>
            </w:r>
          </w:p>
        </w:tc>
        <w:tc>
          <w:tcPr>
            <w:tcW w:w="938" w:type="dxa"/>
            <w:gridSpan w:val="3"/>
            <w:shd w:val="clear" w:color="auto" w:fill="FFFFFF"/>
            <w:vAlign w:val="center"/>
          </w:tcPr>
          <w:p w14:paraId="6B0E59B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-2 233</w:t>
            </w:r>
          </w:p>
        </w:tc>
        <w:tc>
          <w:tcPr>
            <w:tcW w:w="1422" w:type="dxa"/>
            <w:shd w:val="clear" w:color="auto" w:fill="FFFFFF"/>
            <w:vAlign w:val="center"/>
          </w:tcPr>
          <w:p w14:paraId="20944B86"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-8 862</w:t>
            </w:r>
          </w:p>
        </w:tc>
      </w:tr>
      <w:tr w:rsidR="002E5FFA" w:rsidRPr="0050413F" w14:paraId="23B702B4" w14:textId="77777777" w:rsidTr="008A5095">
        <w:trPr>
          <w:gridAfter w:val="1"/>
          <w:wAfter w:w="10" w:type="dxa"/>
          <w:trHeight w:val="142"/>
        </w:trPr>
        <w:tc>
          <w:tcPr>
            <w:tcW w:w="1596" w:type="dxa"/>
            <w:vMerge/>
            <w:shd w:val="clear" w:color="auto" w:fill="FFFFFF"/>
          </w:tcPr>
          <w:p w14:paraId="5A734471"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315803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rPr>
              <w:t xml:space="preserve">rodzina, </w:t>
            </w:r>
            <w:r w:rsidR="003E3B81" w:rsidRPr="0050413F">
              <w:rPr>
                <w:rFonts w:ascii="Times New Roman" w:hAnsi="Times New Roman"/>
              </w:rPr>
              <w:t xml:space="preserve">osoby starsze, osoby niepełnosprawne </w:t>
            </w:r>
            <w:r w:rsidRPr="0050413F">
              <w:rPr>
                <w:rFonts w:ascii="Times New Roman" w:hAnsi="Times New Roman"/>
              </w:rPr>
              <w:t>oraz gospodarstwa domowe</w:t>
            </w:r>
          </w:p>
        </w:tc>
        <w:tc>
          <w:tcPr>
            <w:tcW w:w="937" w:type="dxa"/>
            <w:gridSpan w:val="3"/>
            <w:shd w:val="clear" w:color="auto" w:fill="FFFFFF"/>
          </w:tcPr>
          <w:p w14:paraId="3AE382CF"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451E2314"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303494FA" w14:textId="77777777" w:rsidR="002E5FFA" w:rsidRPr="0050413F" w:rsidRDefault="002E5FFA" w:rsidP="0050413F">
            <w:pPr>
              <w:spacing w:line="240" w:lineRule="auto"/>
              <w:rPr>
                <w:rFonts w:ascii="Times New Roman" w:hAnsi="Times New Roman"/>
                <w:color w:val="000000"/>
              </w:rPr>
            </w:pPr>
          </w:p>
        </w:tc>
        <w:tc>
          <w:tcPr>
            <w:tcW w:w="937" w:type="dxa"/>
            <w:gridSpan w:val="4"/>
            <w:shd w:val="clear" w:color="auto" w:fill="FFFFFF"/>
          </w:tcPr>
          <w:p w14:paraId="6C440512"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088383F8"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386A8175" w14:textId="77777777" w:rsidR="002E5FFA" w:rsidRPr="0050413F" w:rsidRDefault="002E5FFA" w:rsidP="0050413F">
            <w:pPr>
              <w:spacing w:line="240" w:lineRule="auto"/>
              <w:rPr>
                <w:rFonts w:ascii="Times New Roman" w:hAnsi="Times New Roman"/>
                <w:color w:val="000000"/>
              </w:rPr>
            </w:pPr>
          </w:p>
        </w:tc>
        <w:tc>
          <w:tcPr>
            <w:tcW w:w="1422" w:type="dxa"/>
            <w:shd w:val="clear" w:color="auto" w:fill="FFFFFF"/>
          </w:tcPr>
          <w:p w14:paraId="68F54077" w14:textId="77777777" w:rsidR="002E5FFA" w:rsidRPr="0050413F" w:rsidRDefault="002E5FFA" w:rsidP="0050413F">
            <w:pPr>
              <w:spacing w:line="240" w:lineRule="auto"/>
              <w:rPr>
                <w:rFonts w:ascii="Times New Roman" w:hAnsi="Times New Roman"/>
                <w:color w:val="000000"/>
                <w:spacing w:val="-2"/>
              </w:rPr>
            </w:pPr>
          </w:p>
        </w:tc>
      </w:tr>
      <w:tr w:rsidR="002E5FFA" w:rsidRPr="0050413F" w14:paraId="46BA2512" w14:textId="77777777" w:rsidTr="00676C8D">
        <w:trPr>
          <w:gridAfter w:val="1"/>
          <w:wAfter w:w="10" w:type="dxa"/>
          <w:trHeight w:val="142"/>
        </w:trPr>
        <w:tc>
          <w:tcPr>
            <w:tcW w:w="1596" w:type="dxa"/>
            <w:vMerge w:val="restart"/>
            <w:shd w:val="clear" w:color="auto" w:fill="FFFFFF"/>
          </w:tcPr>
          <w:p w14:paraId="3EEF7554"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W ujęciu niepieniężnym</w:t>
            </w:r>
          </w:p>
        </w:tc>
        <w:tc>
          <w:tcPr>
            <w:tcW w:w="2293" w:type="dxa"/>
            <w:gridSpan w:val="6"/>
            <w:shd w:val="clear" w:color="auto" w:fill="FFFFFF"/>
          </w:tcPr>
          <w:p w14:paraId="0374EB5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7048" w:type="dxa"/>
            <w:gridSpan w:val="22"/>
            <w:shd w:val="clear" w:color="auto" w:fill="FFFFFF"/>
          </w:tcPr>
          <w:p w14:paraId="37760C14"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 </w:t>
            </w:r>
          </w:p>
        </w:tc>
      </w:tr>
      <w:tr w:rsidR="002E5FFA" w:rsidRPr="0050413F" w14:paraId="78265DA5" w14:textId="77777777" w:rsidTr="00676C8D">
        <w:trPr>
          <w:gridAfter w:val="1"/>
          <w:wAfter w:w="10" w:type="dxa"/>
          <w:trHeight w:val="142"/>
        </w:trPr>
        <w:tc>
          <w:tcPr>
            <w:tcW w:w="1596" w:type="dxa"/>
            <w:vMerge/>
            <w:shd w:val="clear" w:color="auto" w:fill="FFFFFF"/>
          </w:tcPr>
          <w:p w14:paraId="6E2CFA27"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4E85A97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7048" w:type="dxa"/>
            <w:gridSpan w:val="22"/>
            <w:shd w:val="clear" w:color="auto" w:fill="FFFFFF"/>
          </w:tcPr>
          <w:p w14:paraId="78C351CF"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tc>
      </w:tr>
      <w:tr w:rsidR="002E5FFA" w:rsidRPr="0050413F" w14:paraId="7D8851F3" w14:textId="77777777" w:rsidTr="00676C8D">
        <w:trPr>
          <w:gridAfter w:val="1"/>
          <w:wAfter w:w="10" w:type="dxa"/>
          <w:trHeight w:val="596"/>
        </w:trPr>
        <w:tc>
          <w:tcPr>
            <w:tcW w:w="1596" w:type="dxa"/>
            <w:vMerge/>
            <w:shd w:val="clear" w:color="auto" w:fill="FFFFFF"/>
          </w:tcPr>
          <w:p w14:paraId="72E36F0F"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A2896DA" w14:textId="77777777" w:rsidR="002E5FFA" w:rsidRPr="0050413F" w:rsidRDefault="002E5FFA" w:rsidP="0050413F">
            <w:pPr>
              <w:tabs>
                <w:tab w:val="right" w:pos="1936"/>
              </w:tabs>
              <w:spacing w:line="240" w:lineRule="auto"/>
              <w:rPr>
                <w:rFonts w:ascii="Times New Roman" w:hAnsi="Times New Roman"/>
                <w:color w:val="000000"/>
              </w:rPr>
            </w:pPr>
            <w:r w:rsidRPr="0050413F">
              <w:rPr>
                <w:rFonts w:ascii="Times New Roman" w:hAnsi="Times New Roman"/>
              </w:rPr>
              <w:t>rodzina,</w:t>
            </w:r>
            <w:r w:rsidR="003E3B81" w:rsidRPr="0050413F">
              <w:rPr>
                <w:rFonts w:ascii="Times New Roman" w:hAnsi="Times New Roman"/>
              </w:rPr>
              <w:t xml:space="preserve"> osoby starsze, osoby niepełnosprawne</w:t>
            </w:r>
            <w:r w:rsidRPr="0050413F">
              <w:rPr>
                <w:rFonts w:ascii="Times New Roman" w:hAnsi="Times New Roman"/>
              </w:rPr>
              <w:t xml:space="preserve"> oraz gospodarstwa domowe</w:t>
            </w:r>
            <w:r w:rsidRPr="0050413F">
              <w:rPr>
                <w:rFonts w:ascii="Times New Roman" w:hAnsi="Times New Roman"/>
                <w:color w:val="000000"/>
              </w:rPr>
              <w:t xml:space="preserve"> </w:t>
            </w:r>
          </w:p>
        </w:tc>
        <w:tc>
          <w:tcPr>
            <w:tcW w:w="7048" w:type="dxa"/>
            <w:gridSpan w:val="22"/>
            <w:shd w:val="clear" w:color="auto" w:fill="FFFFFF"/>
          </w:tcPr>
          <w:p w14:paraId="222FDB2D"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p w14:paraId="20F806BF" w14:textId="77777777" w:rsidR="0013433E" w:rsidRPr="0050413F" w:rsidRDefault="0013433E"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Rodziny posiadające samochody elektryczne odniosą korzyści niematerialne związane z zapisanymi w ustawie przywilejami oraz korzyści finansowe związane z niższymi kosztami eksploatacji tych pojazdów.</w:t>
            </w:r>
          </w:p>
          <w:p w14:paraId="6627861B" w14:textId="0A19150C" w:rsidR="0013433E"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pozytywnie wpłynie na efekt zdrowotny w związku z obniżeniem poziomu spalin i hałasu, skutkując niższymi prywatnymi </w:t>
            </w:r>
            <w:r w:rsidR="0013433E" w:rsidRPr="0050413F">
              <w:rPr>
                <w:rFonts w:ascii="Times New Roman" w:hAnsi="Times New Roman"/>
                <w:color w:val="000000"/>
                <w:spacing w:val="-2"/>
              </w:rPr>
              <w:t>oraz finansowymi z</w:t>
            </w:r>
            <w:r w:rsidR="00F36476" w:rsidRPr="0050413F">
              <w:rPr>
                <w:rFonts w:ascii="Times New Roman" w:hAnsi="Times New Roman"/>
                <w:color w:val="000000"/>
                <w:spacing w:val="-2"/>
              </w:rPr>
              <w:t> </w:t>
            </w:r>
            <w:r w:rsidR="0013433E" w:rsidRPr="0050413F">
              <w:rPr>
                <w:rFonts w:ascii="Times New Roman" w:hAnsi="Times New Roman"/>
                <w:color w:val="000000"/>
                <w:spacing w:val="-2"/>
              </w:rPr>
              <w:t xml:space="preserve">budżetu Państwa wydatkami na ochronę zdrowia. Rozwój </w:t>
            </w:r>
            <w:proofErr w:type="spellStart"/>
            <w:r w:rsidR="0013433E" w:rsidRPr="0050413F">
              <w:rPr>
                <w:rFonts w:ascii="Times New Roman" w:hAnsi="Times New Roman"/>
                <w:color w:val="000000"/>
                <w:spacing w:val="-2"/>
              </w:rPr>
              <w:t>elektromobilności</w:t>
            </w:r>
            <w:proofErr w:type="spellEnd"/>
            <w:r w:rsidR="0013433E" w:rsidRPr="0050413F">
              <w:rPr>
                <w:rFonts w:ascii="Times New Roman" w:hAnsi="Times New Roman"/>
                <w:color w:val="000000"/>
                <w:spacing w:val="-2"/>
              </w:rPr>
              <w:t xml:space="preserve"> przyczyni się do poprawy stanu środowiska naturalnego. Pozwoli także zniwelować jego szkodliwe skutki jak np. zanieczyszczania powietrza w</w:t>
            </w:r>
            <w:r w:rsidR="00F36476" w:rsidRPr="0050413F">
              <w:rPr>
                <w:rFonts w:ascii="Times New Roman" w:hAnsi="Times New Roman"/>
                <w:color w:val="000000"/>
                <w:spacing w:val="-2"/>
              </w:rPr>
              <w:t> </w:t>
            </w:r>
            <w:r w:rsidR="0013433E" w:rsidRPr="0050413F">
              <w:rPr>
                <w:rFonts w:ascii="Times New Roman" w:hAnsi="Times New Roman"/>
                <w:color w:val="000000"/>
                <w:spacing w:val="-2"/>
              </w:rPr>
              <w:t xml:space="preserve">obszarach miejskich których negatywne skutki odczuwają głównie osoby starsze niepełnosprawne posiadające schorzenia dróg oddechowych oraz dzieci. </w:t>
            </w:r>
          </w:p>
          <w:p w14:paraId="1550A6E8" w14:textId="77777777" w:rsidR="00F36476" w:rsidRPr="0050413F" w:rsidRDefault="00F36476" w:rsidP="0050413F">
            <w:pPr>
              <w:spacing w:line="240" w:lineRule="auto"/>
              <w:jc w:val="both"/>
              <w:rPr>
                <w:rFonts w:ascii="Times New Roman" w:hAnsi="Times New Roman"/>
                <w:color w:val="000000"/>
              </w:rPr>
            </w:pPr>
            <w:r w:rsidRPr="0050413F">
              <w:rPr>
                <w:rFonts w:ascii="Times New Roman" w:hAnsi="Times New Roman"/>
                <w:color w:val="000000"/>
              </w:rPr>
              <w:t xml:space="preserve">Należy zauważyć, że regulacje zawarte w projekcie dotyczą w przeważającej części przedsiębiorców – oprócz przepisów dotyczących stref czystego transportu - i nie będą miały wpływu na </w:t>
            </w:r>
            <w:r w:rsidRPr="0050413F">
              <w:rPr>
                <w:rFonts w:ascii="Times New Roman" w:hAnsi="Times New Roman"/>
              </w:rPr>
              <w:t xml:space="preserve">rodzinę, osoby starsze, osoby niepełnosprawne oprócz ww. pozytywnych skutków dla zdrowia społeczeństwa. </w:t>
            </w:r>
          </w:p>
          <w:p w14:paraId="521FD7BD" w14:textId="77777777" w:rsidR="00F36476" w:rsidRPr="0050413F" w:rsidRDefault="00F36476" w:rsidP="0050413F">
            <w:pPr>
              <w:spacing w:line="240" w:lineRule="auto"/>
              <w:jc w:val="both"/>
              <w:rPr>
                <w:rFonts w:ascii="Times New Roman" w:hAnsi="Times New Roman"/>
                <w:color w:val="000000"/>
                <w:spacing w:val="-2"/>
              </w:rPr>
            </w:pPr>
          </w:p>
          <w:p w14:paraId="2AA4561D" w14:textId="77777777" w:rsidR="002E5FFA" w:rsidRPr="0050413F" w:rsidRDefault="002E5FFA" w:rsidP="0050413F">
            <w:pPr>
              <w:spacing w:line="240" w:lineRule="auto"/>
              <w:jc w:val="both"/>
              <w:rPr>
                <w:rFonts w:ascii="Times New Roman" w:hAnsi="Times New Roman"/>
                <w:color w:val="000000"/>
                <w:spacing w:val="-2"/>
              </w:rPr>
            </w:pPr>
          </w:p>
        </w:tc>
      </w:tr>
      <w:tr w:rsidR="002E5FFA" w:rsidRPr="0050413F" w14:paraId="3ADBFD35" w14:textId="77777777" w:rsidTr="00676C8D">
        <w:trPr>
          <w:gridAfter w:val="1"/>
          <w:wAfter w:w="10" w:type="dxa"/>
          <w:trHeight w:val="142"/>
        </w:trPr>
        <w:tc>
          <w:tcPr>
            <w:tcW w:w="1596" w:type="dxa"/>
            <w:shd w:val="clear" w:color="auto" w:fill="FFFFFF"/>
          </w:tcPr>
          <w:p w14:paraId="71BCD90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lastRenderedPageBreak/>
              <w:t>Niemierzalne</w:t>
            </w:r>
          </w:p>
        </w:tc>
        <w:tc>
          <w:tcPr>
            <w:tcW w:w="2293" w:type="dxa"/>
            <w:gridSpan w:val="6"/>
            <w:shd w:val="clear" w:color="auto" w:fill="FFFFFF"/>
          </w:tcPr>
          <w:p w14:paraId="74DFB8A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przedsiębiorstwa (w tym MŚP)</w:t>
            </w:r>
          </w:p>
        </w:tc>
        <w:tc>
          <w:tcPr>
            <w:tcW w:w="7048" w:type="dxa"/>
            <w:gridSpan w:val="22"/>
            <w:shd w:val="clear" w:color="auto" w:fill="FFFFFF"/>
          </w:tcPr>
          <w:p w14:paraId="45BB3B3A"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Wzrost innowacyjności przedsiębiorstw i rozwój badań nad nowymi technologiami, na skutek rozwoju rynku paliw alternatywnych (szczególnie </w:t>
            </w:r>
            <w:proofErr w:type="spellStart"/>
            <w:r w:rsidRPr="0050413F">
              <w:rPr>
                <w:rFonts w:ascii="Times New Roman" w:hAnsi="Times New Roman"/>
                <w:color w:val="000000"/>
                <w:spacing w:val="-2"/>
              </w:rPr>
              <w:t>elektromobilności</w:t>
            </w:r>
            <w:proofErr w:type="spellEnd"/>
            <w:r w:rsidRPr="0050413F">
              <w:rPr>
                <w:rFonts w:ascii="Times New Roman" w:hAnsi="Times New Roman"/>
                <w:color w:val="000000"/>
                <w:spacing w:val="-2"/>
              </w:rPr>
              <w:t>) może przyczynić się do rozwoju przedsiębiorstw związanych z przemysłem samochodowym, produkcją akumulatorów i magazynowaniem energii, przedsiębiorstw energetycznych, teleinformatycznych oraz telekomunikacyjnych produkujących lub świadczących usługi na potrzeby transportu.</w:t>
            </w:r>
          </w:p>
        </w:tc>
      </w:tr>
      <w:tr w:rsidR="002E5FFA" w:rsidRPr="0050413F" w14:paraId="5D7AED98" w14:textId="77777777" w:rsidTr="00676C8D">
        <w:trPr>
          <w:gridAfter w:val="1"/>
          <w:wAfter w:w="10" w:type="dxa"/>
          <w:trHeight w:val="1643"/>
        </w:trPr>
        <w:tc>
          <w:tcPr>
            <w:tcW w:w="2243" w:type="dxa"/>
            <w:gridSpan w:val="2"/>
            <w:shd w:val="clear" w:color="auto" w:fill="FFFFFF"/>
          </w:tcPr>
          <w:p w14:paraId="248DAB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5CBD1928" w14:textId="46B278BD"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Projektowane przepis ma</w:t>
            </w:r>
            <w:r w:rsidR="00436BE3" w:rsidRPr="0050413F">
              <w:rPr>
                <w:rFonts w:ascii="Times New Roman" w:hAnsi="Times New Roman"/>
                <w:color w:val="000000"/>
              </w:rPr>
              <w:t>ją</w:t>
            </w:r>
            <w:r w:rsidRPr="0050413F">
              <w:rPr>
                <w:rFonts w:ascii="Times New Roman" w:hAnsi="Times New Roman"/>
                <w:color w:val="000000"/>
              </w:rPr>
              <w:t xml:space="preserve"> na celu pobudzenie rynku ekologicznie czystych i energooszczędnych pojazdów w tym transportu drogowego poprzez stworzenie bodźców po stronie popytu, a tym samym synergii między sektorem energetycznym, gazowym i motoryzacyjnym.</w:t>
            </w:r>
            <w:r w:rsidR="00436BE3" w:rsidRPr="0050413F">
              <w:rPr>
                <w:rFonts w:ascii="Times New Roman" w:hAnsi="Times New Roman"/>
                <w:color w:val="000000"/>
              </w:rPr>
              <w:t xml:space="preserve"> </w:t>
            </w:r>
            <w:r w:rsidRPr="0050413F">
              <w:rPr>
                <w:rFonts w:ascii="Times New Roman" w:hAnsi="Times New Roman"/>
                <w:color w:val="000000"/>
              </w:rPr>
              <w:t>Jest to obszar wciąż niezagospodarowany, w którym istnieje ogromny potencjał wzrostu, a bariery wejścia, i tym samym możliwości dla podmiotów z nowymi modelami biznesowymi, są zdecydowanie mniejsze niż w transporcie opartym o napęd spalinowy. Polska posiada znaczący potencjał wiedzy i zasoby kadrowe, również w sektorze ICT, co jest bardzo istotnym elementem dla rozwoju pojazdów napędzanych energią elektryczną.</w:t>
            </w:r>
            <w:r w:rsidR="00436BE3" w:rsidRPr="0050413F">
              <w:rPr>
                <w:rFonts w:ascii="Times New Roman" w:hAnsi="Times New Roman"/>
                <w:color w:val="000000"/>
              </w:rPr>
              <w:t xml:space="preserve"> </w:t>
            </w:r>
            <w:r w:rsidRPr="0050413F">
              <w:rPr>
                <w:rFonts w:ascii="Times New Roman" w:hAnsi="Times New Roman"/>
                <w:color w:val="000000"/>
              </w:rPr>
              <w:t xml:space="preserve">Rozwój </w:t>
            </w:r>
            <w:proofErr w:type="spellStart"/>
            <w:r w:rsidRPr="0050413F">
              <w:rPr>
                <w:rFonts w:ascii="Times New Roman" w:hAnsi="Times New Roman"/>
                <w:color w:val="000000"/>
              </w:rPr>
              <w:t>elektromobilności</w:t>
            </w:r>
            <w:proofErr w:type="spellEnd"/>
            <w:r w:rsidRPr="0050413F">
              <w:rPr>
                <w:rFonts w:ascii="Times New Roman" w:hAnsi="Times New Roman"/>
                <w:color w:val="000000"/>
              </w:rPr>
              <w:t xml:space="preserve"> przyczyni się do dalszych inwestycji w sektorze motoryzacyjnym na terenie polski. Zwiększenie krajowego popytu stworzy mechanizmy stymulujące rozwój rynku pojazdów niskoemisyjnych oraz ich infrastruktury a także obsługi. </w:t>
            </w:r>
          </w:p>
        </w:tc>
      </w:tr>
      <w:tr w:rsidR="002E5FFA" w:rsidRPr="0050413F" w14:paraId="3C4C4D23" w14:textId="77777777" w:rsidTr="00676C8D">
        <w:trPr>
          <w:gridAfter w:val="1"/>
          <w:wAfter w:w="10" w:type="dxa"/>
          <w:trHeight w:val="342"/>
        </w:trPr>
        <w:tc>
          <w:tcPr>
            <w:tcW w:w="10937" w:type="dxa"/>
            <w:gridSpan w:val="29"/>
            <w:shd w:val="clear" w:color="auto" w:fill="99CCFF"/>
            <w:vAlign w:val="center"/>
          </w:tcPr>
          <w:p w14:paraId="4FF9C6CC"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 xml:space="preserve"> Zmiana obciążeń regulacyjnych (w tym obowiązków informacyjnych) wynikających z projektu</w:t>
            </w:r>
          </w:p>
        </w:tc>
      </w:tr>
      <w:tr w:rsidR="002E5FFA" w:rsidRPr="0050413F" w14:paraId="3E73D85D" w14:textId="77777777" w:rsidTr="00676C8D">
        <w:trPr>
          <w:gridAfter w:val="1"/>
          <w:wAfter w:w="10" w:type="dxa"/>
          <w:trHeight w:val="151"/>
        </w:trPr>
        <w:tc>
          <w:tcPr>
            <w:tcW w:w="10937" w:type="dxa"/>
            <w:gridSpan w:val="29"/>
            <w:shd w:val="clear" w:color="auto" w:fill="FFFFFF"/>
          </w:tcPr>
          <w:p w14:paraId="5638071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nie dotyczy</w:t>
            </w:r>
          </w:p>
        </w:tc>
      </w:tr>
      <w:tr w:rsidR="002E5FFA" w:rsidRPr="0050413F" w14:paraId="1CFD097E" w14:textId="77777777" w:rsidTr="00676C8D">
        <w:trPr>
          <w:gridAfter w:val="1"/>
          <w:wAfter w:w="10" w:type="dxa"/>
          <w:trHeight w:val="946"/>
        </w:trPr>
        <w:tc>
          <w:tcPr>
            <w:tcW w:w="5111" w:type="dxa"/>
            <w:gridSpan w:val="12"/>
            <w:shd w:val="clear" w:color="auto" w:fill="FFFFFF"/>
          </w:tcPr>
          <w:p w14:paraId="7D4042AB"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Wprowadzane są obciążenia </w:t>
            </w:r>
            <w:r w:rsidR="00AA2242" w:rsidRPr="0050413F">
              <w:rPr>
                <w:rFonts w:ascii="Times New Roman" w:hAnsi="Times New Roman"/>
                <w:color w:val="000000"/>
                <w:spacing w:val="-2"/>
              </w:rPr>
              <w:t>wykraczające ponad</w:t>
            </w:r>
            <w:r w:rsidRPr="0050413F">
              <w:rPr>
                <w:rFonts w:ascii="Times New Roman" w:hAnsi="Times New Roman"/>
                <w:color w:val="000000"/>
                <w:spacing w:val="-2"/>
              </w:rPr>
              <w:t xml:space="preserve"> </w:t>
            </w:r>
            <w:r w:rsidR="00AA2242" w:rsidRPr="0050413F">
              <w:rPr>
                <w:rFonts w:ascii="Times New Roman" w:hAnsi="Times New Roman"/>
                <w:color w:val="000000"/>
                <w:spacing w:val="-2"/>
              </w:rPr>
              <w:t xml:space="preserve">wymagane </w:t>
            </w:r>
            <w:r w:rsidRPr="0050413F">
              <w:rPr>
                <w:rFonts w:ascii="Times New Roman" w:hAnsi="Times New Roman"/>
                <w:color w:val="000000"/>
                <w:spacing w:val="-2"/>
              </w:rPr>
              <w:t xml:space="preserve">przez UE </w:t>
            </w:r>
            <w:r w:rsidRPr="0050413F">
              <w:rPr>
                <w:rFonts w:ascii="Times New Roman" w:hAnsi="Times New Roman"/>
                <w:color w:val="000000"/>
              </w:rPr>
              <w:t>(szczegóły w odwróconej tabeli zgodności).</w:t>
            </w:r>
          </w:p>
        </w:tc>
        <w:tc>
          <w:tcPr>
            <w:tcW w:w="5826" w:type="dxa"/>
            <w:gridSpan w:val="17"/>
            <w:shd w:val="clear" w:color="auto" w:fill="FFFFFF"/>
          </w:tcPr>
          <w:p w14:paraId="254AA6F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3BF4FDF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X nie</w:t>
            </w:r>
          </w:p>
          <w:p w14:paraId="40BFE69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tc>
      </w:tr>
      <w:tr w:rsidR="002E5FFA" w:rsidRPr="0050413F" w14:paraId="02CC3984" w14:textId="77777777" w:rsidTr="00676C8D">
        <w:trPr>
          <w:gridAfter w:val="1"/>
          <w:wAfter w:w="10" w:type="dxa"/>
          <w:trHeight w:val="1245"/>
        </w:trPr>
        <w:tc>
          <w:tcPr>
            <w:tcW w:w="5111" w:type="dxa"/>
            <w:gridSpan w:val="12"/>
            <w:shd w:val="clear" w:color="auto" w:fill="FFFFFF"/>
          </w:tcPr>
          <w:p w14:paraId="3261DED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zmniejszenie liczby dokumentów </w:t>
            </w:r>
          </w:p>
          <w:p w14:paraId="6FADF308"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zmniejszenie liczby procedur</w:t>
            </w:r>
          </w:p>
          <w:p w14:paraId="7F51647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skrócenie czasu na załatwienie sprawy</w:t>
            </w:r>
          </w:p>
          <w:p w14:paraId="70879B5E" w14:textId="77777777" w:rsidR="002E5FFA" w:rsidRPr="0050413F" w:rsidRDefault="002E5FFA" w:rsidP="0050413F">
            <w:pPr>
              <w:spacing w:line="240" w:lineRule="auto"/>
              <w:rPr>
                <w:rFonts w:ascii="Times New Roman" w:hAnsi="Times New Roman"/>
                <w:b/>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5826" w:type="dxa"/>
            <w:gridSpan w:val="17"/>
            <w:shd w:val="clear" w:color="auto" w:fill="FFFFFF"/>
          </w:tcPr>
          <w:p w14:paraId="1D604E46" w14:textId="7F493669"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dokumentów</w:t>
            </w:r>
          </w:p>
          <w:p w14:paraId="12A7A747" w14:textId="36B95E2B"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procedur</w:t>
            </w:r>
          </w:p>
          <w:p w14:paraId="44C90C16"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wydłużenie czasu na załatwienie sprawy</w:t>
            </w:r>
          </w:p>
          <w:p w14:paraId="6FE171C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p w14:paraId="36D775BA" w14:textId="77777777" w:rsidR="002E5FFA" w:rsidRPr="0050413F" w:rsidRDefault="002E5FFA" w:rsidP="0050413F">
            <w:pPr>
              <w:spacing w:line="240" w:lineRule="auto"/>
              <w:rPr>
                <w:rFonts w:ascii="Times New Roman" w:hAnsi="Times New Roman"/>
                <w:color w:val="000000"/>
              </w:rPr>
            </w:pPr>
          </w:p>
        </w:tc>
      </w:tr>
      <w:tr w:rsidR="002E5FFA" w:rsidRPr="0050413F" w14:paraId="155238E6" w14:textId="77777777" w:rsidTr="00676C8D">
        <w:trPr>
          <w:gridAfter w:val="1"/>
          <w:wAfter w:w="10" w:type="dxa"/>
          <w:trHeight w:val="870"/>
        </w:trPr>
        <w:tc>
          <w:tcPr>
            <w:tcW w:w="5111" w:type="dxa"/>
            <w:gridSpan w:val="12"/>
            <w:shd w:val="clear" w:color="auto" w:fill="FFFFFF"/>
          </w:tcPr>
          <w:p w14:paraId="6FC7215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557F7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5AC3BC3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w:t>
            </w:r>
          </w:p>
          <w:p w14:paraId="22189D4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p w14:paraId="2556FDC5" w14:textId="77777777" w:rsidR="002E5FFA" w:rsidRPr="0050413F" w:rsidRDefault="002E5FFA" w:rsidP="0050413F">
            <w:pPr>
              <w:spacing w:line="240" w:lineRule="auto"/>
              <w:rPr>
                <w:rFonts w:ascii="Times New Roman" w:hAnsi="Times New Roman"/>
                <w:color w:val="000000"/>
              </w:rPr>
            </w:pPr>
          </w:p>
        </w:tc>
      </w:tr>
      <w:tr w:rsidR="002E5FFA" w:rsidRPr="0050413F" w14:paraId="3FED5F4C" w14:textId="77777777" w:rsidTr="00676C8D">
        <w:trPr>
          <w:gridAfter w:val="1"/>
          <w:wAfter w:w="10" w:type="dxa"/>
          <w:trHeight w:val="630"/>
        </w:trPr>
        <w:tc>
          <w:tcPr>
            <w:tcW w:w="10937" w:type="dxa"/>
            <w:gridSpan w:val="29"/>
            <w:shd w:val="clear" w:color="auto" w:fill="FFFFFF"/>
          </w:tcPr>
          <w:p w14:paraId="358C8F2A" w14:textId="77777777" w:rsidR="00DE0A70"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DE0A70" w:rsidRPr="0050413F">
              <w:rPr>
                <w:rFonts w:ascii="Times New Roman" w:hAnsi="Times New Roman"/>
                <w:color w:val="000000"/>
              </w:rPr>
              <w:t>Obowiązek informacyjny na temat udziału ekologicznie czystych pojazdów w zamówieniach publicznych.</w:t>
            </w:r>
          </w:p>
          <w:p w14:paraId="6C5D0BA8" w14:textId="77777777"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 xml:space="preserve">Projektowany akt prawny </w:t>
            </w:r>
            <w:r w:rsidR="008230D8" w:rsidRPr="0050413F">
              <w:rPr>
                <w:rFonts w:ascii="Times New Roman" w:hAnsi="Times New Roman"/>
                <w:color w:val="000000"/>
              </w:rPr>
              <w:t xml:space="preserve">zgodnie z przepisami dyrektywy 2019/1161/UE </w:t>
            </w:r>
            <w:r w:rsidRPr="0050413F">
              <w:rPr>
                <w:rFonts w:ascii="Times New Roman" w:hAnsi="Times New Roman"/>
                <w:color w:val="000000"/>
              </w:rPr>
              <w:t>przewiduje nałożenie na zamawiających obowiązku przekazywania informacji na temat uzyskania minimalnych poziomów docelowych udziału ekologicznie czystych i zeroemisyjnych pojazdów transportu drogowego w całkowitej liczbie pojazdów objętych zamówieniami</w:t>
            </w:r>
            <w:r w:rsidR="001A45EE" w:rsidRPr="0050413F">
              <w:rPr>
                <w:rFonts w:ascii="Times New Roman" w:hAnsi="Times New Roman"/>
                <w:color w:val="000000"/>
              </w:rPr>
              <w:t xml:space="preserve"> publicznymi o których mowa w </w:t>
            </w:r>
            <w:r w:rsidR="00AA2242" w:rsidRPr="0050413F">
              <w:rPr>
                <w:rFonts w:ascii="Times New Roman" w:hAnsi="Times New Roman"/>
                <w:color w:val="000000"/>
              </w:rPr>
              <w:t xml:space="preserve">dodawanym do ustawy z dnia 11 stycznia 2018 r. o </w:t>
            </w:r>
            <w:proofErr w:type="spellStart"/>
            <w:r w:rsidR="00AA2242" w:rsidRPr="0050413F">
              <w:rPr>
                <w:rFonts w:ascii="Times New Roman" w:hAnsi="Times New Roman"/>
                <w:color w:val="000000"/>
              </w:rPr>
              <w:t>elektromobilności</w:t>
            </w:r>
            <w:proofErr w:type="spellEnd"/>
            <w:r w:rsidR="00AA2242" w:rsidRPr="0050413F">
              <w:rPr>
                <w:rFonts w:ascii="Times New Roman" w:hAnsi="Times New Roman"/>
                <w:color w:val="000000"/>
              </w:rPr>
              <w:t xml:space="preserve"> i paliwach alternatywnych </w:t>
            </w:r>
            <w:r w:rsidR="001A45EE" w:rsidRPr="0050413F">
              <w:rPr>
                <w:rFonts w:ascii="Times New Roman" w:hAnsi="Times New Roman"/>
                <w:color w:val="000000"/>
              </w:rPr>
              <w:t xml:space="preserve">art. </w:t>
            </w:r>
            <w:r w:rsidR="00AA2242" w:rsidRPr="0050413F">
              <w:rPr>
                <w:rFonts w:ascii="Times New Roman" w:hAnsi="Times New Roman"/>
                <w:color w:val="000000"/>
              </w:rPr>
              <w:t>68b</w:t>
            </w:r>
            <w:r w:rsidR="001A45EE" w:rsidRPr="0050413F">
              <w:rPr>
                <w:rFonts w:ascii="Times New Roman" w:hAnsi="Times New Roman"/>
                <w:color w:val="000000"/>
              </w:rPr>
              <w:t xml:space="preserve">, w tym o pojazdach elektrycznych, napędzanych wodorem oraz napędzanych innymi paliwami alternatywnymi. Informacje te powinny być przekazywane przez zamawiających do 31 stycznia każdego roku ministrowi właściwemu do spraw transport. </w:t>
            </w:r>
          </w:p>
          <w:p w14:paraId="48951E39" w14:textId="77777777" w:rsidR="00033D31"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2. </w:t>
            </w:r>
            <w:r w:rsidR="00DE0A70" w:rsidRPr="0050413F">
              <w:rPr>
                <w:rFonts w:ascii="Times New Roman" w:hAnsi="Times New Roman"/>
                <w:color w:val="000000"/>
              </w:rPr>
              <w:t>W</w:t>
            </w:r>
            <w:r w:rsidRPr="0050413F">
              <w:rPr>
                <w:rFonts w:ascii="Times New Roman" w:hAnsi="Times New Roman"/>
                <w:color w:val="000000"/>
              </w:rPr>
              <w:t xml:space="preserve">niosek o instalacje punktu </w:t>
            </w:r>
            <w:r w:rsidR="00BB3769" w:rsidRPr="0050413F">
              <w:rPr>
                <w:rFonts w:ascii="Times New Roman" w:hAnsi="Times New Roman"/>
                <w:color w:val="000000"/>
              </w:rPr>
              <w:t>ładowania</w:t>
            </w:r>
            <w:r w:rsidRPr="0050413F">
              <w:rPr>
                <w:rFonts w:ascii="Times New Roman" w:hAnsi="Times New Roman"/>
                <w:color w:val="000000"/>
              </w:rPr>
              <w:t xml:space="preserve"> </w:t>
            </w:r>
            <w:r w:rsidR="00DE0A70" w:rsidRPr="0050413F">
              <w:rPr>
                <w:rFonts w:ascii="Times New Roman" w:hAnsi="Times New Roman"/>
                <w:color w:val="000000"/>
              </w:rPr>
              <w:t xml:space="preserve">w budynku </w:t>
            </w:r>
            <w:r w:rsidRPr="0050413F">
              <w:rPr>
                <w:rFonts w:ascii="Times New Roman" w:hAnsi="Times New Roman"/>
                <w:color w:val="000000"/>
              </w:rPr>
              <w:t>i konsultacje z konserwatorem zabytków</w:t>
            </w:r>
            <w:r w:rsidR="00DE0A70" w:rsidRPr="0050413F">
              <w:rPr>
                <w:rFonts w:ascii="Times New Roman" w:hAnsi="Times New Roman"/>
                <w:color w:val="000000"/>
              </w:rPr>
              <w:t>.</w:t>
            </w:r>
            <w:r w:rsidRPr="0050413F">
              <w:rPr>
                <w:rFonts w:ascii="Times New Roman" w:hAnsi="Times New Roman"/>
                <w:color w:val="000000"/>
              </w:rPr>
              <w:t xml:space="preserve"> </w:t>
            </w:r>
          </w:p>
          <w:p w14:paraId="1BB543A8" w14:textId="77777777" w:rsidR="00DE0A70"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wniosku o instalację punktu ładowania składanego do zarządcy nieruchomości. W przypadku budynków posiadających status zabytku konsultacja możliwości montażu z właściwym konserwatorem zabytków.</w:t>
            </w:r>
          </w:p>
          <w:p w14:paraId="13F13A6F" w14:textId="77777777" w:rsidR="00933A3A"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3. </w:t>
            </w:r>
            <w:r w:rsidR="00933A3A" w:rsidRPr="0050413F">
              <w:rPr>
                <w:rFonts w:ascii="Times New Roman" w:hAnsi="Times New Roman"/>
                <w:color w:val="000000"/>
              </w:rPr>
              <w:t>O</w:t>
            </w:r>
            <w:r w:rsidRPr="0050413F">
              <w:rPr>
                <w:rFonts w:ascii="Times New Roman" w:hAnsi="Times New Roman"/>
                <w:color w:val="000000"/>
              </w:rPr>
              <w:t xml:space="preserve">bowiązek </w:t>
            </w:r>
            <w:r w:rsidR="00933A3A" w:rsidRPr="0050413F">
              <w:rPr>
                <w:rFonts w:ascii="Times New Roman" w:hAnsi="Times New Roman"/>
                <w:color w:val="000000"/>
              </w:rPr>
              <w:t>oznaczania</w:t>
            </w:r>
            <w:r w:rsidRPr="0050413F">
              <w:rPr>
                <w:rFonts w:ascii="Times New Roman" w:hAnsi="Times New Roman"/>
                <w:color w:val="000000"/>
              </w:rPr>
              <w:t xml:space="preserve"> pojazdów uprawnionych do wjazdu  </w:t>
            </w:r>
            <w:r w:rsidR="00933A3A" w:rsidRPr="0050413F">
              <w:rPr>
                <w:rFonts w:ascii="Times New Roman" w:hAnsi="Times New Roman"/>
                <w:color w:val="000000"/>
              </w:rPr>
              <w:t>na obszar strefy czystego transportu.</w:t>
            </w:r>
          </w:p>
          <w:p w14:paraId="285B62DB" w14:textId="77777777" w:rsidR="00033D31"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systemu identyfikacji wizualnej, pozwalającego określić czy dany pojazd ma prawo wjazdu do wyznaczonej strefy czystego transportu.</w:t>
            </w:r>
            <w:r w:rsidR="00033D31" w:rsidRPr="0050413F">
              <w:rPr>
                <w:rFonts w:ascii="Times New Roman" w:hAnsi="Times New Roman"/>
                <w:color w:val="000000"/>
              </w:rPr>
              <w:t xml:space="preserve"> </w:t>
            </w:r>
            <w:r w:rsidRPr="0050413F">
              <w:rPr>
                <w:rFonts w:ascii="Times New Roman" w:hAnsi="Times New Roman"/>
                <w:color w:val="000000"/>
              </w:rPr>
              <w:t xml:space="preserve"> </w:t>
            </w:r>
          </w:p>
          <w:p w14:paraId="54EC3DAE" w14:textId="77777777" w:rsidR="002E5FFA"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4. </w:t>
            </w:r>
            <w:r w:rsidR="00933A3A" w:rsidRPr="0050413F">
              <w:rPr>
                <w:rFonts w:ascii="Times New Roman" w:hAnsi="Times New Roman"/>
                <w:color w:val="000000"/>
              </w:rPr>
              <w:t>W</w:t>
            </w:r>
            <w:r w:rsidRPr="0050413F">
              <w:rPr>
                <w:rFonts w:ascii="Times New Roman" w:hAnsi="Times New Roman"/>
                <w:color w:val="000000"/>
              </w:rPr>
              <w:t xml:space="preserve">prowadzono wniosek o wyznaczenie </w:t>
            </w:r>
            <w:r w:rsidR="00933A3A" w:rsidRPr="0050413F">
              <w:rPr>
                <w:rFonts w:ascii="Times New Roman" w:hAnsi="Times New Roman"/>
                <w:color w:val="000000"/>
              </w:rPr>
              <w:t xml:space="preserve">uprzywilejowanego </w:t>
            </w:r>
            <w:r w:rsidRPr="0050413F">
              <w:rPr>
                <w:rFonts w:ascii="Times New Roman" w:hAnsi="Times New Roman"/>
                <w:color w:val="000000"/>
              </w:rPr>
              <w:t xml:space="preserve">pasa </w:t>
            </w:r>
            <w:r w:rsidR="00933A3A" w:rsidRPr="0050413F">
              <w:rPr>
                <w:rFonts w:ascii="Times New Roman" w:hAnsi="Times New Roman"/>
                <w:color w:val="000000"/>
              </w:rPr>
              <w:t>drogowego na drogach szybkiego ruchu.</w:t>
            </w:r>
          </w:p>
          <w:p w14:paraId="0607190D" w14:textId="77777777" w:rsidR="00933A3A" w:rsidRPr="0050413F" w:rsidRDefault="00D94E5B" w:rsidP="0050413F">
            <w:pPr>
              <w:spacing w:line="240" w:lineRule="auto"/>
              <w:jc w:val="both"/>
              <w:rPr>
                <w:rFonts w:ascii="Times New Roman" w:hAnsi="Times New Roman"/>
                <w:color w:val="000000"/>
              </w:rPr>
            </w:pPr>
            <w:r w:rsidRPr="0050413F">
              <w:rPr>
                <w:rFonts w:ascii="Times New Roman" w:hAnsi="Times New Roman"/>
                <w:color w:val="000000"/>
              </w:rPr>
              <w:t>Wprowadzenie wniosku składanego przez samorząd do GDDKiA o wyznaczenie ,,</w:t>
            </w:r>
            <w:proofErr w:type="spellStart"/>
            <w:r w:rsidRPr="0050413F">
              <w:rPr>
                <w:rFonts w:ascii="Times New Roman" w:hAnsi="Times New Roman"/>
                <w:color w:val="000000"/>
              </w:rPr>
              <w:t>bus</w:t>
            </w:r>
            <w:proofErr w:type="spellEnd"/>
            <w:r w:rsidRPr="0050413F">
              <w:rPr>
                <w:rFonts w:ascii="Times New Roman" w:hAnsi="Times New Roman"/>
                <w:color w:val="000000"/>
              </w:rPr>
              <w:t xml:space="preserve"> pasów” na drogach ekspresowych i autostradach znajdujących się na terenach miejskich</w:t>
            </w:r>
            <w:r w:rsidR="00E70304" w:rsidRPr="0050413F">
              <w:rPr>
                <w:rFonts w:ascii="Times New Roman" w:hAnsi="Times New Roman"/>
                <w:color w:val="000000"/>
              </w:rPr>
              <w:t>,</w:t>
            </w:r>
            <w:r w:rsidRPr="0050413F">
              <w:rPr>
                <w:rFonts w:ascii="Times New Roman" w:hAnsi="Times New Roman"/>
                <w:color w:val="000000"/>
              </w:rPr>
              <w:t xml:space="preserve"> w miejscach występowania utrudnień w płynności ruchu drogowego</w:t>
            </w:r>
          </w:p>
          <w:p w14:paraId="5958BD38" w14:textId="77777777" w:rsidR="00033D31"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5. </w:t>
            </w:r>
            <w:r w:rsidR="00D94E5B" w:rsidRPr="0050413F">
              <w:rPr>
                <w:rFonts w:ascii="Times New Roman" w:hAnsi="Times New Roman"/>
                <w:color w:val="000000"/>
              </w:rPr>
              <w:t>Rozszerzenie zakresu k</w:t>
            </w:r>
            <w:r w:rsidRPr="0050413F">
              <w:rPr>
                <w:rFonts w:ascii="Times New Roman" w:hAnsi="Times New Roman"/>
                <w:color w:val="000000"/>
              </w:rPr>
              <w:t>ontrol</w:t>
            </w:r>
            <w:r w:rsidR="00D94E5B" w:rsidRPr="0050413F">
              <w:rPr>
                <w:rFonts w:ascii="Times New Roman" w:hAnsi="Times New Roman"/>
                <w:color w:val="000000"/>
              </w:rPr>
              <w:t>i</w:t>
            </w:r>
            <w:r w:rsidRPr="0050413F">
              <w:rPr>
                <w:rFonts w:ascii="Times New Roman" w:hAnsi="Times New Roman"/>
                <w:color w:val="000000"/>
              </w:rPr>
              <w:t xml:space="preserve"> </w:t>
            </w:r>
            <w:r w:rsidR="00D94E5B" w:rsidRPr="0050413F">
              <w:rPr>
                <w:rFonts w:ascii="Times New Roman" w:hAnsi="Times New Roman"/>
                <w:color w:val="000000"/>
              </w:rPr>
              <w:t xml:space="preserve">przeprowadzanych przez </w:t>
            </w:r>
            <w:r w:rsidRPr="0050413F">
              <w:rPr>
                <w:rFonts w:ascii="Times New Roman" w:hAnsi="Times New Roman"/>
                <w:color w:val="000000"/>
              </w:rPr>
              <w:t>UDT</w:t>
            </w:r>
            <w:r w:rsidR="00D94E5B" w:rsidRPr="0050413F">
              <w:rPr>
                <w:rFonts w:ascii="Times New Roman" w:hAnsi="Times New Roman"/>
                <w:color w:val="000000"/>
              </w:rPr>
              <w:t>.</w:t>
            </w:r>
          </w:p>
          <w:p w14:paraId="3C6001B5" w14:textId="77777777" w:rsidR="00647D76" w:rsidRPr="0050413F" w:rsidRDefault="00AB57EF" w:rsidP="0050413F">
            <w:pPr>
              <w:spacing w:line="240" w:lineRule="auto"/>
              <w:jc w:val="both"/>
              <w:rPr>
                <w:rFonts w:ascii="Times New Roman" w:hAnsi="Times New Roman"/>
                <w:color w:val="000000"/>
              </w:rPr>
            </w:pPr>
            <w:r w:rsidRPr="0050413F">
              <w:rPr>
                <w:rFonts w:ascii="Times New Roman" w:hAnsi="Times New Roman"/>
                <w:color w:val="000000"/>
              </w:rPr>
              <w:t>UDT będzie mógł przeprowadzać okresowe kontrole stacji ładowania oraz punktów ładowania stanowiących element infrastruktury ładowania drogowego transportu publicznego w zakresie ich bezpiecznej eksploatacji. Uprawnienia zostaną również poszerzone o możliwość przeprowadzania kontroli doraźnych w przypadku podejrzenia wystąpienia zagrożenia dla bezpieczeństwa użytkowników, z uwagi na awarie lub uszkodzenia powstałe w trakcie eksploatacji stacji oraz punktów ładowania.</w:t>
            </w:r>
          </w:p>
          <w:p w14:paraId="4A2E59F7" w14:textId="77777777" w:rsidR="00E70304" w:rsidRPr="0050413F" w:rsidRDefault="00E70304" w:rsidP="0050413F">
            <w:pPr>
              <w:spacing w:line="240" w:lineRule="auto"/>
              <w:jc w:val="both"/>
              <w:rPr>
                <w:rFonts w:ascii="Times New Roman" w:hAnsi="Times New Roman"/>
                <w:color w:val="000000"/>
              </w:rPr>
            </w:pPr>
            <w:r w:rsidRPr="0050413F">
              <w:rPr>
                <w:rFonts w:ascii="Times New Roman" w:hAnsi="Times New Roman"/>
                <w:color w:val="000000"/>
              </w:rPr>
              <w:t>6.</w:t>
            </w:r>
            <w:r w:rsidRPr="0050413F">
              <w:rPr>
                <w:rFonts w:ascii="Times New Roman" w:hAnsi="Times New Roman"/>
              </w:rPr>
              <w:t xml:space="preserve"> </w:t>
            </w:r>
            <w:r w:rsidRPr="0050413F">
              <w:rPr>
                <w:rFonts w:ascii="Times New Roman" w:hAnsi="Times New Roman"/>
                <w:color w:val="000000"/>
              </w:rPr>
              <w:t>Obowiązek zgłaszania stacji ładowania i zasilania pojazdów w paliwa alternatywne do rejestru EIPA .</w:t>
            </w:r>
          </w:p>
          <w:p w14:paraId="6F3E3112" w14:textId="77777777" w:rsidR="00033D31" w:rsidRPr="0050413F" w:rsidRDefault="00E70304" w:rsidP="0050413F">
            <w:pPr>
              <w:spacing w:line="240" w:lineRule="auto"/>
              <w:jc w:val="both"/>
              <w:rPr>
                <w:rFonts w:ascii="Times New Roman" w:hAnsi="Times New Roman"/>
                <w:color w:val="000000"/>
              </w:rPr>
            </w:pPr>
            <w:r w:rsidRPr="0050413F">
              <w:rPr>
                <w:rFonts w:ascii="Times New Roman" w:hAnsi="Times New Roman"/>
                <w:color w:val="000000"/>
              </w:rPr>
              <w:t>Nałożenie obowiązku wydawania indywidualnych kodów identyfikacyjnych oraz wprowadzenie odpłatności za wydawanie tych kodów.</w:t>
            </w:r>
          </w:p>
        </w:tc>
      </w:tr>
      <w:tr w:rsidR="002E5FFA" w:rsidRPr="0050413F" w14:paraId="5E4BC423" w14:textId="77777777" w:rsidTr="00676C8D">
        <w:trPr>
          <w:gridAfter w:val="1"/>
          <w:wAfter w:w="10" w:type="dxa"/>
          <w:trHeight w:val="142"/>
        </w:trPr>
        <w:tc>
          <w:tcPr>
            <w:tcW w:w="10937" w:type="dxa"/>
            <w:gridSpan w:val="29"/>
            <w:shd w:val="clear" w:color="auto" w:fill="99CCFF"/>
          </w:tcPr>
          <w:p w14:paraId="106DC5D9"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lastRenderedPageBreak/>
              <w:t xml:space="preserve">Wpływ na rynek pracy </w:t>
            </w:r>
          </w:p>
        </w:tc>
      </w:tr>
      <w:tr w:rsidR="002E5FFA" w:rsidRPr="0050413F" w14:paraId="1F794428" w14:textId="77777777" w:rsidTr="00676C8D">
        <w:trPr>
          <w:gridAfter w:val="1"/>
          <w:wAfter w:w="10" w:type="dxa"/>
          <w:trHeight w:val="142"/>
        </w:trPr>
        <w:tc>
          <w:tcPr>
            <w:tcW w:w="10937" w:type="dxa"/>
            <w:gridSpan w:val="29"/>
            <w:shd w:val="clear" w:color="auto" w:fill="auto"/>
          </w:tcPr>
          <w:p w14:paraId="56EB6472" w14:textId="47CED163"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W związku ze skalą przemysłu motoryzacyjnego w Polsce przewiduje się pozytywny wpływ na rynek pracy związany z rozwojem segmentu produkcji motoryzacyjnej, sektora energetycznego oraz branż powiązanych (teleinformatyka i telekomunikacja, produkcja akumulatorów i magazynów energii).</w:t>
            </w:r>
            <w:r w:rsidR="00436BE3" w:rsidRPr="0050413F">
              <w:rPr>
                <w:rFonts w:ascii="Times New Roman" w:hAnsi="Times New Roman"/>
                <w:color w:val="000000"/>
              </w:rPr>
              <w:t xml:space="preserve"> </w:t>
            </w:r>
            <w:r w:rsidRPr="0050413F">
              <w:rPr>
                <w:rFonts w:ascii="Times New Roman" w:hAnsi="Times New Roman"/>
                <w:color w:val="000000"/>
              </w:rPr>
              <w:t xml:space="preserve">Zwiększenie popularności pojazdów niskoemisyjnych przyczyni się do wzrostu zatrudnienia w punktach ich sprzedaży oraz powstania nowych punktów ich obsługi. </w:t>
            </w:r>
          </w:p>
        </w:tc>
      </w:tr>
      <w:tr w:rsidR="002E5FFA" w:rsidRPr="0050413F" w14:paraId="307D4E99" w14:textId="77777777" w:rsidTr="00676C8D">
        <w:trPr>
          <w:gridAfter w:val="1"/>
          <w:wAfter w:w="10" w:type="dxa"/>
          <w:trHeight w:val="142"/>
        </w:trPr>
        <w:tc>
          <w:tcPr>
            <w:tcW w:w="10937" w:type="dxa"/>
            <w:gridSpan w:val="29"/>
            <w:shd w:val="clear" w:color="auto" w:fill="99CCFF"/>
          </w:tcPr>
          <w:p w14:paraId="0A3864BD"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t>Wpływ na pozostałe obszary</w:t>
            </w:r>
          </w:p>
        </w:tc>
      </w:tr>
      <w:tr w:rsidR="002E5FFA" w:rsidRPr="0050413F" w14:paraId="414C7908" w14:textId="77777777" w:rsidTr="00676C8D">
        <w:trPr>
          <w:gridAfter w:val="1"/>
          <w:wAfter w:w="10" w:type="dxa"/>
          <w:trHeight w:val="1031"/>
        </w:trPr>
        <w:tc>
          <w:tcPr>
            <w:tcW w:w="3547" w:type="dxa"/>
            <w:gridSpan w:val="5"/>
            <w:shd w:val="clear" w:color="auto" w:fill="FFFFFF"/>
          </w:tcPr>
          <w:p w14:paraId="523D164D" w14:textId="77777777" w:rsidR="002E5FFA" w:rsidRPr="0050413F" w:rsidRDefault="002E5FFA" w:rsidP="0050413F">
            <w:pPr>
              <w:spacing w:line="240" w:lineRule="auto"/>
              <w:rPr>
                <w:rFonts w:ascii="Times New Roman" w:hAnsi="Times New Roman"/>
                <w:color w:val="000000"/>
              </w:rPr>
            </w:pPr>
          </w:p>
          <w:p w14:paraId="0C8D763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środowisko naturalne</w:t>
            </w:r>
          </w:p>
          <w:p w14:paraId="29FC17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sytuacja i rozwój regionalny</w:t>
            </w:r>
          </w:p>
          <w:p w14:paraId="470D6B7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inne: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3687" w:type="dxa"/>
            <w:gridSpan w:val="16"/>
            <w:shd w:val="clear" w:color="auto" w:fill="FFFFFF"/>
          </w:tcPr>
          <w:p w14:paraId="68DFDBD0" w14:textId="77777777" w:rsidR="002E5FFA" w:rsidRPr="0050413F" w:rsidRDefault="002E5FFA" w:rsidP="0050413F">
            <w:pPr>
              <w:spacing w:line="240" w:lineRule="auto"/>
              <w:rPr>
                <w:rFonts w:ascii="Times New Roman" w:hAnsi="Times New Roman"/>
                <w:color w:val="000000"/>
              </w:rPr>
            </w:pPr>
          </w:p>
          <w:p w14:paraId="6F00ADE0"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demografia</w:t>
            </w:r>
          </w:p>
          <w:p w14:paraId="081B591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mienie państwowe</w:t>
            </w:r>
          </w:p>
        </w:tc>
        <w:tc>
          <w:tcPr>
            <w:tcW w:w="3703" w:type="dxa"/>
            <w:gridSpan w:val="8"/>
            <w:shd w:val="clear" w:color="auto" w:fill="FFFFFF"/>
          </w:tcPr>
          <w:p w14:paraId="1C36BFB9" w14:textId="77777777" w:rsidR="002E5FFA" w:rsidRPr="0050413F" w:rsidRDefault="002E5FFA" w:rsidP="0050413F">
            <w:pPr>
              <w:spacing w:line="240" w:lineRule="auto"/>
              <w:rPr>
                <w:rFonts w:ascii="Times New Roman" w:hAnsi="Times New Roman"/>
                <w:color w:val="000000"/>
              </w:rPr>
            </w:pPr>
          </w:p>
          <w:p w14:paraId="7B65DE4A"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informatyzacja</w:t>
            </w:r>
          </w:p>
          <w:p w14:paraId="0E0DC50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7038DE" w:rsidRPr="0050413F">
              <w:rPr>
                <w:rFonts w:ascii="Times New Roman" w:hAnsi="Times New Roman"/>
                <w:color w:val="000000"/>
              </w:rPr>
            </w:r>
            <w:r w:rsidR="007038DE" w:rsidRPr="0050413F">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zdrowie</w:t>
            </w:r>
          </w:p>
        </w:tc>
      </w:tr>
      <w:tr w:rsidR="002E5FFA" w:rsidRPr="0050413F" w14:paraId="12DCB5D4" w14:textId="77777777" w:rsidTr="00676C8D">
        <w:trPr>
          <w:gridAfter w:val="1"/>
          <w:wAfter w:w="10" w:type="dxa"/>
          <w:trHeight w:val="712"/>
        </w:trPr>
        <w:tc>
          <w:tcPr>
            <w:tcW w:w="2243" w:type="dxa"/>
            <w:gridSpan w:val="2"/>
            <w:shd w:val="clear" w:color="auto" w:fill="FFFFFF"/>
            <w:vAlign w:val="center"/>
          </w:tcPr>
          <w:p w14:paraId="2DCBF96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Omówienie wpływu</w:t>
            </w:r>
          </w:p>
        </w:tc>
        <w:tc>
          <w:tcPr>
            <w:tcW w:w="8694" w:type="dxa"/>
            <w:gridSpan w:val="27"/>
            <w:shd w:val="clear" w:color="auto" w:fill="FFFFFF"/>
            <w:vAlign w:val="center"/>
          </w:tcPr>
          <w:p w14:paraId="052CBC6B"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Zwiększenie udziału ekologicznie czystych i zeroemisyjnych pojazdów spowoduje spadek emisji szkodliwych pyłów i substancji pochodzących z sektora transportu, co w efekcie może rozwiązać problem związany z zanieczyszczonym powietrzem w miastach i na obszarach gęsto zaludnionych.</w:t>
            </w:r>
          </w:p>
          <w:p w14:paraId="204504FA" w14:textId="77777777" w:rsidR="002E5FFA" w:rsidRPr="0050413F" w:rsidRDefault="002E5FFA" w:rsidP="0050413F">
            <w:pPr>
              <w:spacing w:line="240" w:lineRule="auto"/>
              <w:jc w:val="both"/>
              <w:rPr>
                <w:rFonts w:ascii="Times New Roman" w:hAnsi="Times New Roman"/>
                <w:color w:val="000000"/>
                <w:spacing w:val="-2"/>
              </w:rPr>
            </w:pPr>
          </w:p>
        </w:tc>
      </w:tr>
      <w:tr w:rsidR="002E5FFA" w:rsidRPr="0050413F" w14:paraId="5EFCD436" w14:textId="77777777" w:rsidTr="00676C8D">
        <w:trPr>
          <w:gridAfter w:val="1"/>
          <w:wAfter w:w="10" w:type="dxa"/>
          <w:trHeight w:val="142"/>
        </w:trPr>
        <w:tc>
          <w:tcPr>
            <w:tcW w:w="10937" w:type="dxa"/>
            <w:gridSpan w:val="29"/>
            <w:shd w:val="clear" w:color="auto" w:fill="99CCFF"/>
          </w:tcPr>
          <w:p w14:paraId="383832AC" w14:textId="77777777" w:rsidR="002E5FFA" w:rsidRPr="0050413F" w:rsidRDefault="002E5FFA" w:rsidP="0050413F">
            <w:pPr>
              <w:numPr>
                <w:ilvl w:val="0"/>
                <w:numId w:val="3"/>
              </w:numPr>
              <w:spacing w:line="240" w:lineRule="auto"/>
              <w:ind w:left="318" w:hanging="284"/>
              <w:jc w:val="both"/>
              <w:rPr>
                <w:rFonts w:ascii="Times New Roman" w:hAnsi="Times New Roman"/>
                <w:b/>
              </w:rPr>
            </w:pPr>
            <w:r w:rsidRPr="0050413F">
              <w:rPr>
                <w:rFonts w:ascii="Times New Roman" w:hAnsi="Times New Roman"/>
                <w:b/>
                <w:spacing w:val="-2"/>
              </w:rPr>
              <w:t>Planowane wykonanie przepisów aktu prawnego</w:t>
            </w:r>
          </w:p>
        </w:tc>
      </w:tr>
      <w:tr w:rsidR="002E5FFA" w:rsidRPr="0050413F" w14:paraId="4FB18D10" w14:textId="77777777" w:rsidTr="00676C8D">
        <w:trPr>
          <w:gridAfter w:val="1"/>
          <w:wAfter w:w="10" w:type="dxa"/>
          <w:trHeight w:val="142"/>
        </w:trPr>
        <w:tc>
          <w:tcPr>
            <w:tcW w:w="10937" w:type="dxa"/>
            <w:gridSpan w:val="29"/>
            <w:shd w:val="clear" w:color="auto" w:fill="FFFFFF"/>
          </w:tcPr>
          <w:p w14:paraId="246612C1" w14:textId="77777777" w:rsidR="00CE2EF2" w:rsidRPr="0050413F" w:rsidRDefault="00CE2EF2"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Proponuje się, aby przepisy weszły w życie po upływie 14 dni od ogłoszenia, za wyjątkiem:</w:t>
            </w:r>
          </w:p>
          <w:p w14:paraId="1AD8B5BA" w14:textId="42F08A1B" w:rsidR="00F24D6C" w:rsidRPr="0050413F" w:rsidRDefault="00F24D6C"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1) art. 1 pkt 11, który wchodzi w życie z dniem 1 stycznia 2022 r.</w:t>
            </w:r>
            <w:r w:rsidR="00BB6B7D" w:rsidRPr="0050413F">
              <w:rPr>
                <w:rFonts w:ascii="Times New Roman" w:hAnsi="Times New Roman" w:cs="Times New Roman"/>
                <w:sz w:val="22"/>
                <w:szCs w:val="22"/>
              </w:rPr>
              <w:t>;</w:t>
            </w:r>
            <w:r w:rsidRPr="0050413F">
              <w:rPr>
                <w:rFonts w:ascii="Times New Roman" w:hAnsi="Times New Roman" w:cs="Times New Roman"/>
                <w:sz w:val="22"/>
                <w:szCs w:val="22"/>
              </w:rPr>
              <w:t xml:space="preserve"> </w:t>
            </w:r>
          </w:p>
          <w:p w14:paraId="79568A38" w14:textId="0A986461" w:rsidR="00BB6B7D" w:rsidRPr="0050413F" w:rsidRDefault="00BB6B7D"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2) art. 1 pkt 16 lit. b, który wchodzi w życie z dniem 1 stycznia 2030 r.;</w:t>
            </w:r>
          </w:p>
          <w:p w14:paraId="06C07252" w14:textId="6E55AF50" w:rsidR="00F24D6C" w:rsidRPr="0050413F" w:rsidRDefault="00BB6B7D"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3</w:t>
            </w:r>
            <w:r w:rsidR="00F24D6C" w:rsidRPr="0050413F">
              <w:rPr>
                <w:rFonts w:ascii="Times New Roman" w:hAnsi="Times New Roman" w:cs="Times New Roman"/>
                <w:sz w:val="22"/>
                <w:szCs w:val="22"/>
              </w:rPr>
              <w:t>) art. 1 pkt 21 w zakresie dodawanego art. 68h, który wchodzą w życie z dniem 1 stycznia 2025 r.;</w:t>
            </w:r>
          </w:p>
          <w:p w14:paraId="0EB84EBE" w14:textId="64439DED" w:rsidR="002E5FFA" w:rsidRPr="0050413F" w:rsidRDefault="00B7307F"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4</w:t>
            </w:r>
            <w:r w:rsidR="00F24D6C" w:rsidRPr="0050413F">
              <w:rPr>
                <w:rFonts w:ascii="Times New Roman" w:hAnsi="Times New Roman" w:cs="Times New Roman"/>
                <w:sz w:val="22"/>
                <w:szCs w:val="22"/>
              </w:rPr>
              <w:t>) art. 3 lit. a oraz art. 4 pkt 1, które wchodzą w życie z dniem 1 stycznia 2026 r.</w:t>
            </w:r>
          </w:p>
        </w:tc>
      </w:tr>
      <w:tr w:rsidR="002E5FFA" w:rsidRPr="0050413F" w14:paraId="0FD4D5F6" w14:textId="77777777" w:rsidTr="00676C8D">
        <w:trPr>
          <w:gridAfter w:val="1"/>
          <w:wAfter w:w="10" w:type="dxa"/>
          <w:trHeight w:val="142"/>
        </w:trPr>
        <w:tc>
          <w:tcPr>
            <w:tcW w:w="10937" w:type="dxa"/>
            <w:gridSpan w:val="29"/>
            <w:shd w:val="clear" w:color="auto" w:fill="99CCFF"/>
          </w:tcPr>
          <w:p w14:paraId="697D87E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 xml:space="preserve"> </w:t>
            </w:r>
            <w:r w:rsidRPr="0050413F">
              <w:rPr>
                <w:rFonts w:ascii="Times New Roman" w:hAnsi="Times New Roman"/>
                <w:b/>
                <w:spacing w:val="-2"/>
              </w:rPr>
              <w:t>W jaki sposób i kiedy nastąpi ewaluacja efektów projektu oraz jakie mierniki zostaną zastosowane?</w:t>
            </w:r>
          </w:p>
        </w:tc>
      </w:tr>
      <w:tr w:rsidR="002E5FFA" w:rsidRPr="0050413F" w14:paraId="451E9C86" w14:textId="77777777" w:rsidTr="00676C8D">
        <w:trPr>
          <w:gridAfter w:val="1"/>
          <w:wAfter w:w="10" w:type="dxa"/>
          <w:trHeight w:val="142"/>
        </w:trPr>
        <w:tc>
          <w:tcPr>
            <w:tcW w:w="10937" w:type="dxa"/>
            <w:gridSpan w:val="29"/>
            <w:shd w:val="clear" w:color="auto" w:fill="FFFFFF"/>
          </w:tcPr>
          <w:p w14:paraId="13DA9F51" w14:textId="110E7A92"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Projektowany akt prawny zakłada, że minister właściwy do spraw transportu dokonuje co roku oceny poziomu osiągnięcia celów projektowanej ustawy. Na podstawie tej oceny sporządza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co 3 lata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sprawozdanie, które przekazuje Komisji Europejskiej (zgodnie z przepisami dyrektywy 2019/1161/UE).</w:t>
            </w:r>
          </w:p>
        </w:tc>
      </w:tr>
      <w:tr w:rsidR="002E5FFA" w:rsidRPr="0050413F" w14:paraId="1C74686C" w14:textId="77777777" w:rsidTr="00676C8D">
        <w:trPr>
          <w:gridAfter w:val="1"/>
          <w:wAfter w:w="10" w:type="dxa"/>
          <w:trHeight w:val="142"/>
        </w:trPr>
        <w:tc>
          <w:tcPr>
            <w:tcW w:w="10937" w:type="dxa"/>
            <w:gridSpan w:val="29"/>
            <w:shd w:val="clear" w:color="auto" w:fill="99CCFF"/>
          </w:tcPr>
          <w:p w14:paraId="4267A010"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spacing w:val="-2"/>
              </w:rPr>
            </w:pPr>
            <w:r w:rsidRPr="0050413F">
              <w:rPr>
                <w:rFonts w:ascii="Times New Roman" w:hAnsi="Times New Roman"/>
                <w:b/>
                <w:color w:val="000000"/>
                <w:spacing w:val="-2"/>
              </w:rPr>
              <w:t xml:space="preserve">Załączniki </w:t>
            </w:r>
            <w:r w:rsidRPr="0050413F">
              <w:rPr>
                <w:rFonts w:ascii="Times New Roman" w:hAnsi="Times New Roman"/>
                <w:b/>
                <w:spacing w:val="-2"/>
              </w:rPr>
              <w:t>(istotne dokumenty źródłowe, badania, analizy itp.</w:t>
            </w:r>
            <w:r w:rsidRPr="0050413F">
              <w:rPr>
                <w:rFonts w:ascii="Times New Roman" w:hAnsi="Times New Roman"/>
                <w:b/>
                <w:color w:val="000000"/>
                <w:spacing w:val="-2"/>
              </w:rPr>
              <w:t xml:space="preserve">) </w:t>
            </w:r>
          </w:p>
        </w:tc>
      </w:tr>
      <w:tr w:rsidR="002E5FFA" w:rsidRPr="0050413F" w14:paraId="25B50536" w14:textId="77777777" w:rsidTr="00676C8D">
        <w:trPr>
          <w:gridAfter w:val="1"/>
          <w:wAfter w:w="10" w:type="dxa"/>
          <w:trHeight w:val="142"/>
        </w:trPr>
        <w:tc>
          <w:tcPr>
            <w:tcW w:w="10937" w:type="dxa"/>
            <w:gridSpan w:val="29"/>
            <w:shd w:val="clear" w:color="auto" w:fill="FFFFFF"/>
          </w:tcPr>
          <w:p w14:paraId="7BB33995" w14:textId="7380F4F9" w:rsidR="002E5FFA" w:rsidRPr="0050413F" w:rsidRDefault="00647D76"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Załączniki dotyczące wykonanych obliczeń w zakresie skutków dla sektora finansów. </w:t>
            </w:r>
            <w:bookmarkStart w:id="5" w:name="_GoBack"/>
            <w:bookmarkEnd w:id="5"/>
          </w:p>
        </w:tc>
      </w:tr>
    </w:tbl>
    <w:p w14:paraId="2C95BAAA" w14:textId="77777777" w:rsidR="006176ED" w:rsidRPr="0050413F" w:rsidRDefault="006176ED" w:rsidP="0050413F">
      <w:pPr>
        <w:spacing w:line="240" w:lineRule="auto"/>
        <w:ind w:left="360"/>
        <w:jc w:val="both"/>
        <w:rPr>
          <w:rFonts w:ascii="Times New Roman" w:hAnsi="Times New Roman"/>
        </w:rPr>
      </w:pPr>
    </w:p>
    <w:sectPr w:rsidR="006176ED" w:rsidRPr="0050413F" w:rsidSect="00725DE7">
      <w:headerReference w:type="default" r:id="rId9"/>
      <w:footerReference w:type="default" r:id="rId10"/>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4AFA" w14:textId="77777777" w:rsidR="007038DE" w:rsidRDefault="007038DE" w:rsidP="00044739">
      <w:pPr>
        <w:spacing w:line="240" w:lineRule="auto"/>
      </w:pPr>
      <w:r>
        <w:separator/>
      </w:r>
    </w:p>
  </w:endnote>
  <w:endnote w:type="continuationSeparator" w:id="0">
    <w:p w14:paraId="2719FAFC" w14:textId="77777777" w:rsidR="007038DE" w:rsidRDefault="007038DE" w:rsidP="00044739">
      <w:pPr>
        <w:spacing w:line="240" w:lineRule="auto"/>
      </w:pPr>
      <w:r>
        <w:continuationSeparator/>
      </w:r>
    </w:p>
  </w:endnote>
  <w:endnote w:type="continuationNotice" w:id="1">
    <w:p w14:paraId="614659E0" w14:textId="77777777" w:rsidR="007038DE" w:rsidRDefault="007038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3432" w14:textId="77777777" w:rsidR="00B04F8A" w:rsidRDefault="00B04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9EB1" w14:textId="77777777" w:rsidR="007038DE" w:rsidRDefault="007038DE" w:rsidP="00044739">
      <w:pPr>
        <w:spacing w:line="240" w:lineRule="auto"/>
      </w:pPr>
      <w:r>
        <w:separator/>
      </w:r>
    </w:p>
  </w:footnote>
  <w:footnote w:type="continuationSeparator" w:id="0">
    <w:p w14:paraId="368F25D8" w14:textId="77777777" w:rsidR="007038DE" w:rsidRDefault="007038DE" w:rsidP="00044739">
      <w:pPr>
        <w:spacing w:line="240" w:lineRule="auto"/>
      </w:pPr>
      <w:r>
        <w:continuationSeparator/>
      </w:r>
    </w:p>
  </w:footnote>
  <w:footnote w:type="continuationNotice" w:id="1">
    <w:p w14:paraId="4C9A1AC4" w14:textId="77777777" w:rsidR="007038DE" w:rsidRDefault="007038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50C0" w14:textId="77777777" w:rsidR="00B04F8A" w:rsidRDefault="00B04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300D1"/>
    <w:multiLevelType w:val="hybridMultilevel"/>
    <w:tmpl w:val="6F6AD63A"/>
    <w:lvl w:ilvl="0" w:tplc="D43A42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2196E2F"/>
    <w:multiLevelType w:val="hybridMultilevel"/>
    <w:tmpl w:val="A8BCD5B0"/>
    <w:lvl w:ilvl="0" w:tplc="52D66E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0E56AC"/>
    <w:multiLevelType w:val="hybridMultilevel"/>
    <w:tmpl w:val="F1E2ED5A"/>
    <w:lvl w:ilvl="0" w:tplc="04150011">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32206"/>
    <w:multiLevelType w:val="hybridMultilevel"/>
    <w:tmpl w:val="7FE01E46"/>
    <w:lvl w:ilvl="0" w:tplc="BCA80F84">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92AD6"/>
    <w:multiLevelType w:val="hybridMultilevel"/>
    <w:tmpl w:val="2478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4DDB7D34"/>
    <w:multiLevelType w:val="hybridMultilevel"/>
    <w:tmpl w:val="D9647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27FE"/>
    <w:multiLevelType w:val="hybridMultilevel"/>
    <w:tmpl w:val="EE5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6" w15:restartNumberingAfterBreak="0">
    <w:nsid w:val="681D6D83"/>
    <w:multiLevelType w:val="hybridMultilevel"/>
    <w:tmpl w:val="E3641E7E"/>
    <w:lvl w:ilvl="0" w:tplc="8EB06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B869E1"/>
    <w:multiLevelType w:val="hybridMultilevel"/>
    <w:tmpl w:val="66C88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A7A6D"/>
    <w:multiLevelType w:val="hybridMultilevel"/>
    <w:tmpl w:val="DF100E0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575609"/>
    <w:multiLevelType w:val="hybridMultilevel"/>
    <w:tmpl w:val="D12AB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24"/>
  </w:num>
  <w:num w:numId="5">
    <w:abstractNumId w:val="1"/>
  </w:num>
  <w:num w:numId="6">
    <w:abstractNumId w:val="10"/>
  </w:num>
  <w:num w:numId="7">
    <w:abstractNumId w:val="16"/>
  </w:num>
  <w:num w:numId="8">
    <w:abstractNumId w:val="6"/>
  </w:num>
  <w:num w:numId="9">
    <w:abstractNumId w:val="20"/>
  </w:num>
  <w:num w:numId="10">
    <w:abstractNumId w:val="15"/>
  </w:num>
  <w:num w:numId="11">
    <w:abstractNumId w:val="17"/>
  </w:num>
  <w:num w:numId="12">
    <w:abstractNumId w:val="4"/>
  </w:num>
  <w:num w:numId="13">
    <w:abstractNumId w:val="14"/>
  </w:num>
  <w:num w:numId="14">
    <w:abstractNumId w:val="25"/>
  </w:num>
  <w:num w:numId="15">
    <w:abstractNumId w:val="21"/>
  </w:num>
  <w:num w:numId="16">
    <w:abstractNumId w:val="23"/>
  </w:num>
  <w:num w:numId="17">
    <w:abstractNumId w:val="8"/>
  </w:num>
  <w:num w:numId="18">
    <w:abstractNumId w:val="27"/>
  </w:num>
  <w:num w:numId="19">
    <w:abstractNumId w:val="30"/>
  </w:num>
  <w:num w:numId="20">
    <w:abstractNumId w:val="22"/>
  </w:num>
  <w:num w:numId="21">
    <w:abstractNumId w:val="9"/>
  </w:num>
  <w:num w:numId="22">
    <w:abstractNumId w:val="26"/>
  </w:num>
  <w:num w:numId="23">
    <w:abstractNumId w:val="7"/>
  </w:num>
  <w:num w:numId="24">
    <w:abstractNumId w:val="19"/>
  </w:num>
  <w:num w:numId="25">
    <w:abstractNumId w:val="28"/>
  </w:num>
  <w:num w:numId="26">
    <w:abstractNumId w:val="31"/>
  </w:num>
  <w:num w:numId="27">
    <w:abstractNumId w:val="3"/>
  </w:num>
  <w:num w:numId="28">
    <w:abstractNumId w:val="18"/>
  </w:num>
  <w:num w:numId="29">
    <w:abstractNumId w:val="29"/>
  </w:num>
  <w:num w:numId="30">
    <w:abstractNumId w:val="11"/>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1C98"/>
    <w:rsid w:val="00012B0D"/>
    <w:rsid w:val="00012D11"/>
    <w:rsid w:val="00013B10"/>
    <w:rsid w:val="00013EB5"/>
    <w:rsid w:val="00023836"/>
    <w:rsid w:val="00023CDA"/>
    <w:rsid w:val="000259AC"/>
    <w:rsid w:val="00033D31"/>
    <w:rsid w:val="000356A9"/>
    <w:rsid w:val="00037449"/>
    <w:rsid w:val="00044138"/>
    <w:rsid w:val="00044739"/>
    <w:rsid w:val="00051637"/>
    <w:rsid w:val="00053AB9"/>
    <w:rsid w:val="00056681"/>
    <w:rsid w:val="000648A7"/>
    <w:rsid w:val="0006618B"/>
    <w:rsid w:val="000670C0"/>
    <w:rsid w:val="00071B99"/>
    <w:rsid w:val="000756E5"/>
    <w:rsid w:val="0007704E"/>
    <w:rsid w:val="00080EC8"/>
    <w:rsid w:val="00081EEF"/>
    <w:rsid w:val="000944AC"/>
    <w:rsid w:val="00094CB9"/>
    <w:rsid w:val="000956B2"/>
    <w:rsid w:val="000969E7"/>
    <w:rsid w:val="000A23DE"/>
    <w:rsid w:val="000A4020"/>
    <w:rsid w:val="000B54FB"/>
    <w:rsid w:val="000B7ADB"/>
    <w:rsid w:val="000C29B0"/>
    <w:rsid w:val="000C76FC"/>
    <w:rsid w:val="000D0E2A"/>
    <w:rsid w:val="000D38FC"/>
    <w:rsid w:val="000D4D90"/>
    <w:rsid w:val="000E2D10"/>
    <w:rsid w:val="000F3204"/>
    <w:rsid w:val="0010548B"/>
    <w:rsid w:val="001072D1"/>
    <w:rsid w:val="00117017"/>
    <w:rsid w:val="001232E2"/>
    <w:rsid w:val="0012470D"/>
    <w:rsid w:val="00130E8E"/>
    <w:rsid w:val="0013216E"/>
    <w:rsid w:val="0013433E"/>
    <w:rsid w:val="001379CA"/>
    <w:rsid w:val="001401B5"/>
    <w:rsid w:val="001413DF"/>
    <w:rsid w:val="001422B9"/>
    <w:rsid w:val="0014665F"/>
    <w:rsid w:val="00153464"/>
    <w:rsid w:val="001541B3"/>
    <w:rsid w:val="00154E4C"/>
    <w:rsid w:val="00155B15"/>
    <w:rsid w:val="001625BE"/>
    <w:rsid w:val="00163987"/>
    <w:rsid w:val="001643A4"/>
    <w:rsid w:val="001643C9"/>
    <w:rsid w:val="00164A2B"/>
    <w:rsid w:val="001727BB"/>
    <w:rsid w:val="00177559"/>
    <w:rsid w:val="00180D25"/>
    <w:rsid w:val="0018318D"/>
    <w:rsid w:val="0018572C"/>
    <w:rsid w:val="00187E79"/>
    <w:rsid w:val="00187F0D"/>
    <w:rsid w:val="00192CC5"/>
    <w:rsid w:val="001956A7"/>
    <w:rsid w:val="001A118A"/>
    <w:rsid w:val="001A27F4"/>
    <w:rsid w:val="001A2D95"/>
    <w:rsid w:val="001A45EE"/>
    <w:rsid w:val="001B3460"/>
    <w:rsid w:val="001B4CA1"/>
    <w:rsid w:val="001B75D8"/>
    <w:rsid w:val="001C1060"/>
    <w:rsid w:val="001C3C63"/>
    <w:rsid w:val="001C6663"/>
    <w:rsid w:val="001D1CAE"/>
    <w:rsid w:val="001D4732"/>
    <w:rsid w:val="001D6A3C"/>
    <w:rsid w:val="001D6D51"/>
    <w:rsid w:val="001E79B7"/>
    <w:rsid w:val="001F653A"/>
    <w:rsid w:val="001F6979"/>
    <w:rsid w:val="00202BC6"/>
    <w:rsid w:val="00205141"/>
    <w:rsid w:val="0020516B"/>
    <w:rsid w:val="00205AA1"/>
    <w:rsid w:val="00211EBC"/>
    <w:rsid w:val="00213559"/>
    <w:rsid w:val="00213EFD"/>
    <w:rsid w:val="002162E4"/>
    <w:rsid w:val="002172F1"/>
    <w:rsid w:val="002212DC"/>
    <w:rsid w:val="00223C7B"/>
    <w:rsid w:val="00224AB1"/>
    <w:rsid w:val="0022687A"/>
    <w:rsid w:val="00230728"/>
    <w:rsid w:val="00234040"/>
    <w:rsid w:val="00235CD2"/>
    <w:rsid w:val="0024264C"/>
    <w:rsid w:val="002433DB"/>
    <w:rsid w:val="00244D07"/>
    <w:rsid w:val="00254DED"/>
    <w:rsid w:val="0025519A"/>
    <w:rsid w:val="002552BD"/>
    <w:rsid w:val="00255619"/>
    <w:rsid w:val="00255DAD"/>
    <w:rsid w:val="00256108"/>
    <w:rsid w:val="00256306"/>
    <w:rsid w:val="00260F33"/>
    <w:rsid w:val="002613BD"/>
    <w:rsid w:val="002624F1"/>
    <w:rsid w:val="00270C81"/>
    <w:rsid w:val="00271558"/>
    <w:rsid w:val="00274862"/>
    <w:rsid w:val="00282D72"/>
    <w:rsid w:val="00283402"/>
    <w:rsid w:val="002861D1"/>
    <w:rsid w:val="00290FD6"/>
    <w:rsid w:val="002941DB"/>
    <w:rsid w:val="00294259"/>
    <w:rsid w:val="002A2C81"/>
    <w:rsid w:val="002A52CF"/>
    <w:rsid w:val="002B3D1A"/>
    <w:rsid w:val="002B4F51"/>
    <w:rsid w:val="002B5444"/>
    <w:rsid w:val="002C1609"/>
    <w:rsid w:val="002C1F7D"/>
    <w:rsid w:val="002C27D0"/>
    <w:rsid w:val="002C2C9B"/>
    <w:rsid w:val="002C75EF"/>
    <w:rsid w:val="002C780B"/>
    <w:rsid w:val="002D17D6"/>
    <w:rsid w:val="002D18D7"/>
    <w:rsid w:val="002D21CE"/>
    <w:rsid w:val="002E3DA3"/>
    <w:rsid w:val="002E450F"/>
    <w:rsid w:val="002E5FFA"/>
    <w:rsid w:val="002E6B38"/>
    <w:rsid w:val="002E6D63"/>
    <w:rsid w:val="002E6E2B"/>
    <w:rsid w:val="002E75B9"/>
    <w:rsid w:val="002F500B"/>
    <w:rsid w:val="002F532C"/>
    <w:rsid w:val="00300991"/>
    <w:rsid w:val="00301959"/>
    <w:rsid w:val="003047BB"/>
    <w:rsid w:val="00305B8A"/>
    <w:rsid w:val="00317717"/>
    <w:rsid w:val="00320D5E"/>
    <w:rsid w:val="00331BF9"/>
    <w:rsid w:val="00333261"/>
    <w:rsid w:val="0033397C"/>
    <w:rsid w:val="0033495E"/>
    <w:rsid w:val="00334A79"/>
    <w:rsid w:val="00334D8D"/>
    <w:rsid w:val="00337345"/>
    <w:rsid w:val="00337DD2"/>
    <w:rsid w:val="003404D1"/>
    <w:rsid w:val="003443FF"/>
    <w:rsid w:val="003513F8"/>
    <w:rsid w:val="00355808"/>
    <w:rsid w:val="00362C7E"/>
    <w:rsid w:val="00363309"/>
    <w:rsid w:val="00363601"/>
    <w:rsid w:val="003672C5"/>
    <w:rsid w:val="00376AC9"/>
    <w:rsid w:val="00393032"/>
    <w:rsid w:val="003936D9"/>
    <w:rsid w:val="00394B69"/>
    <w:rsid w:val="00397078"/>
    <w:rsid w:val="003A0414"/>
    <w:rsid w:val="003A6953"/>
    <w:rsid w:val="003B6083"/>
    <w:rsid w:val="003C3838"/>
    <w:rsid w:val="003C5847"/>
    <w:rsid w:val="003D0681"/>
    <w:rsid w:val="003D12F6"/>
    <w:rsid w:val="003D1426"/>
    <w:rsid w:val="003E2F4E"/>
    <w:rsid w:val="003E3B81"/>
    <w:rsid w:val="003E4B30"/>
    <w:rsid w:val="003E720A"/>
    <w:rsid w:val="003F3F83"/>
    <w:rsid w:val="00403E6E"/>
    <w:rsid w:val="004129B4"/>
    <w:rsid w:val="00417EF0"/>
    <w:rsid w:val="00422181"/>
    <w:rsid w:val="004236B1"/>
    <w:rsid w:val="004244A8"/>
    <w:rsid w:val="00425F72"/>
    <w:rsid w:val="00427736"/>
    <w:rsid w:val="00432119"/>
    <w:rsid w:val="00436BE3"/>
    <w:rsid w:val="00441787"/>
    <w:rsid w:val="00444F2D"/>
    <w:rsid w:val="00452034"/>
    <w:rsid w:val="00455915"/>
    <w:rsid w:val="00455FA6"/>
    <w:rsid w:val="00457051"/>
    <w:rsid w:val="00466C70"/>
    <w:rsid w:val="004702C9"/>
    <w:rsid w:val="00472E45"/>
    <w:rsid w:val="00473FEA"/>
    <w:rsid w:val="0047579D"/>
    <w:rsid w:val="00483262"/>
    <w:rsid w:val="00484107"/>
    <w:rsid w:val="00485CC5"/>
    <w:rsid w:val="0049343F"/>
    <w:rsid w:val="004964FC"/>
    <w:rsid w:val="004A0998"/>
    <w:rsid w:val="004A145E"/>
    <w:rsid w:val="004A1F15"/>
    <w:rsid w:val="004A2A81"/>
    <w:rsid w:val="004A7BD7"/>
    <w:rsid w:val="004C15C2"/>
    <w:rsid w:val="004C36D8"/>
    <w:rsid w:val="004C6A0C"/>
    <w:rsid w:val="004C7841"/>
    <w:rsid w:val="004D1248"/>
    <w:rsid w:val="004D1E3C"/>
    <w:rsid w:val="004D3DE2"/>
    <w:rsid w:val="004D4169"/>
    <w:rsid w:val="004D6E14"/>
    <w:rsid w:val="004E1340"/>
    <w:rsid w:val="004E5CED"/>
    <w:rsid w:val="004E72C0"/>
    <w:rsid w:val="004F4E17"/>
    <w:rsid w:val="0050082F"/>
    <w:rsid w:val="00500C56"/>
    <w:rsid w:val="00501713"/>
    <w:rsid w:val="00502527"/>
    <w:rsid w:val="00502C98"/>
    <w:rsid w:val="0050413F"/>
    <w:rsid w:val="00506568"/>
    <w:rsid w:val="005106C8"/>
    <w:rsid w:val="00513EB3"/>
    <w:rsid w:val="00514131"/>
    <w:rsid w:val="0051551B"/>
    <w:rsid w:val="00520C57"/>
    <w:rsid w:val="00522D94"/>
    <w:rsid w:val="00525FB6"/>
    <w:rsid w:val="00533D89"/>
    <w:rsid w:val="00536564"/>
    <w:rsid w:val="00544597"/>
    <w:rsid w:val="00544FFE"/>
    <w:rsid w:val="005473F5"/>
    <w:rsid w:val="005477E7"/>
    <w:rsid w:val="00552794"/>
    <w:rsid w:val="005610AC"/>
    <w:rsid w:val="00563199"/>
    <w:rsid w:val="00564874"/>
    <w:rsid w:val="00567963"/>
    <w:rsid w:val="0057009A"/>
    <w:rsid w:val="00571260"/>
    <w:rsid w:val="0057189C"/>
    <w:rsid w:val="00573FC1"/>
    <w:rsid w:val="005741EE"/>
    <w:rsid w:val="0057668E"/>
    <w:rsid w:val="00585DBD"/>
    <w:rsid w:val="00595E83"/>
    <w:rsid w:val="00596530"/>
    <w:rsid w:val="005967F3"/>
    <w:rsid w:val="005A06DF"/>
    <w:rsid w:val="005A4881"/>
    <w:rsid w:val="005A5527"/>
    <w:rsid w:val="005A5AE6"/>
    <w:rsid w:val="005B1206"/>
    <w:rsid w:val="005B37E8"/>
    <w:rsid w:val="005B5E70"/>
    <w:rsid w:val="005C0056"/>
    <w:rsid w:val="005C1330"/>
    <w:rsid w:val="005C5C35"/>
    <w:rsid w:val="005D356E"/>
    <w:rsid w:val="005D61D6"/>
    <w:rsid w:val="005D6929"/>
    <w:rsid w:val="005D6EAD"/>
    <w:rsid w:val="005E0D13"/>
    <w:rsid w:val="005E5047"/>
    <w:rsid w:val="005E7205"/>
    <w:rsid w:val="005E7371"/>
    <w:rsid w:val="005F116C"/>
    <w:rsid w:val="005F2131"/>
    <w:rsid w:val="005F2FB9"/>
    <w:rsid w:val="005F658F"/>
    <w:rsid w:val="0060287A"/>
    <w:rsid w:val="00605EF6"/>
    <w:rsid w:val="00606455"/>
    <w:rsid w:val="00613692"/>
    <w:rsid w:val="00614929"/>
    <w:rsid w:val="00614B04"/>
    <w:rsid w:val="00616511"/>
    <w:rsid w:val="006176ED"/>
    <w:rsid w:val="006202F3"/>
    <w:rsid w:val="0062097A"/>
    <w:rsid w:val="00621DA6"/>
    <w:rsid w:val="00623CFE"/>
    <w:rsid w:val="00627221"/>
    <w:rsid w:val="00627EE8"/>
    <w:rsid w:val="006316FA"/>
    <w:rsid w:val="00633541"/>
    <w:rsid w:val="00633CFA"/>
    <w:rsid w:val="006370D2"/>
    <w:rsid w:val="0064074F"/>
    <w:rsid w:val="00640772"/>
    <w:rsid w:val="00641F55"/>
    <w:rsid w:val="00645E4A"/>
    <w:rsid w:val="00647D76"/>
    <w:rsid w:val="00650C1E"/>
    <w:rsid w:val="00653688"/>
    <w:rsid w:val="00656825"/>
    <w:rsid w:val="0066091B"/>
    <w:rsid w:val="0066322F"/>
    <w:rsid w:val="006660E9"/>
    <w:rsid w:val="00667249"/>
    <w:rsid w:val="00667558"/>
    <w:rsid w:val="00671523"/>
    <w:rsid w:val="006754EF"/>
    <w:rsid w:val="006755F7"/>
    <w:rsid w:val="00675E0F"/>
    <w:rsid w:val="00676C8D"/>
    <w:rsid w:val="00676F1F"/>
    <w:rsid w:val="00677381"/>
    <w:rsid w:val="00677414"/>
    <w:rsid w:val="00682D89"/>
    <w:rsid w:val="006832CF"/>
    <w:rsid w:val="0068601E"/>
    <w:rsid w:val="0069486B"/>
    <w:rsid w:val="00694D8F"/>
    <w:rsid w:val="006A2428"/>
    <w:rsid w:val="006A4904"/>
    <w:rsid w:val="006A4E6D"/>
    <w:rsid w:val="006A548F"/>
    <w:rsid w:val="006A701A"/>
    <w:rsid w:val="006B64DC"/>
    <w:rsid w:val="006B7A91"/>
    <w:rsid w:val="006C0FD1"/>
    <w:rsid w:val="006C4216"/>
    <w:rsid w:val="006D4704"/>
    <w:rsid w:val="006D6A2D"/>
    <w:rsid w:val="006D7AA7"/>
    <w:rsid w:val="006E1E18"/>
    <w:rsid w:val="006E31CE"/>
    <w:rsid w:val="006E34D3"/>
    <w:rsid w:val="006E50F2"/>
    <w:rsid w:val="006E54BC"/>
    <w:rsid w:val="006E6404"/>
    <w:rsid w:val="006E7171"/>
    <w:rsid w:val="006E7743"/>
    <w:rsid w:val="006F1435"/>
    <w:rsid w:val="006F78C4"/>
    <w:rsid w:val="007024B3"/>
    <w:rsid w:val="007031A0"/>
    <w:rsid w:val="007038DE"/>
    <w:rsid w:val="00705A29"/>
    <w:rsid w:val="00707498"/>
    <w:rsid w:val="00711A65"/>
    <w:rsid w:val="00714133"/>
    <w:rsid w:val="00714DA4"/>
    <w:rsid w:val="007158B2"/>
    <w:rsid w:val="00716081"/>
    <w:rsid w:val="00716C04"/>
    <w:rsid w:val="00722B48"/>
    <w:rsid w:val="00724164"/>
    <w:rsid w:val="00725DE7"/>
    <w:rsid w:val="0072636A"/>
    <w:rsid w:val="00726B44"/>
    <w:rsid w:val="007318DD"/>
    <w:rsid w:val="00733167"/>
    <w:rsid w:val="00740D2C"/>
    <w:rsid w:val="00744BF9"/>
    <w:rsid w:val="00752623"/>
    <w:rsid w:val="007606F6"/>
    <w:rsid w:val="00760F1F"/>
    <w:rsid w:val="0076423E"/>
    <w:rsid w:val="007646CB"/>
    <w:rsid w:val="007659A2"/>
    <w:rsid w:val="0076658F"/>
    <w:rsid w:val="00767D4B"/>
    <w:rsid w:val="007700CC"/>
    <w:rsid w:val="0077040A"/>
    <w:rsid w:val="00772D64"/>
    <w:rsid w:val="00792609"/>
    <w:rsid w:val="00792887"/>
    <w:rsid w:val="007943E2"/>
    <w:rsid w:val="00794F2C"/>
    <w:rsid w:val="007A3BC7"/>
    <w:rsid w:val="007A5AC4"/>
    <w:rsid w:val="007B0FDD"/>
    <w:rsid w:val="007B4802"/>
    <w:rsid w:val="007B6668"/>
    <w:rsid w:val="007B6B33"/>
    <w:rsid w:val="007C1438"/>
    <w:rsid w:val="007C2701"/>
    <w:rsid w:val="007C3452"/>
    <w:rsid w:val="007D2192"/>
    <w:rsid w:val="007D5185"/>
    <w:rsid w:val="007E5B4F"/>
    <w:rsid w:val="007F0021"/>
    <w:rsid w:val="007F2F52"/>
    <w:rsid w:val="007F4A34"/>
    <w:rsid w:val="00801F71"/>
    <w:rsid w:val="00803866"/>
    <w:rsid w:val="00805F28"/>
    <w:rsid w:val="0080749F"/>
    <w:rsid w:val="00811D46"/>
    <w:rsid w:val="008125B0"/>
    <w:rsid w:val="008144CB"/>
    <w:rsid w:val="00821717"/>
    <w:rsid w:val="008230D8"/>
    <w:rsid w:val="00824210"/>
    <w:rsid w:val="008263C0"/>
    <w:rsid w:val="00840412"/>
    <w:rsid w:val="00841422"/>
    <w:rsid w:val="00841D3B"/>
    <w:rsid w:val="0084314C"/>
    <w:rsid w:val="00843171"/>
    <w:rsid w:val="00851E8F"/>
    <w:rsid w:val="0085220B"/>
    <w:rsid w:val="0085383F"/>
    <w:rsid w:val="00855453"/>
    <w:rsid w:val="008575C3"/>
    <w:rsid w:val="00863D28"/>
    <w:rsid w:val="008648C3"/>
    <w:rsid w:val="00870049"/>
    <w:rsid w:val="00872A79"/>
    <w:rsid w:val="00880F26"/>
    <w:rsid w:val="00882E3C"/>
    <w:rsid w:val="008925E1"/>
    <w:rsid w:val="00896C2E"/>
    <w:rsid w:val="008A28B1"/>
    <w:rsid w:val="008A5095"/>
    <w:rsid w:val="008A608F"/>
    <w:rsid w:val="008B1A9A"/>
    <w:rsid w:val="008B42A3"/>
    <w:rsid w:val="008B4FE6"/>
    <w:rsid w:val="008B6C37"/>
    <w:rsid w:val="008C0A9A"/>
    <w:rsid w:val="008C4523"/>
    <w:rsid w:val="008D3B73"/>
    <w:rsid w:val="008D57F3"/>
    <w:rsid w:val="008D6667"/>
    <w:rsid w:val="008E18F7"/>
    <w:rsid w:val="008E1E10"/>
    <w:rsid w:val="008E291B"/>
    <w:rsid w:val="008E4F2F"/>
    <w:rsid w:val="008E74B0"/>
    <w:rsid w:val="009008A8"/>
    <w:rsid w:val="00905DF0"/>
    <w:rsid w:val="009063B0"/>
    <w:rsid w:val="00907106"/>
    <w:rsid w:val="009107FD"/>
    <w:rsid w:val="0091137C"/>
    <w:rsid w:val="00911567"/>
    <w:rsid w:val="00917AAE"/>
    <w:rsid w:val="009251A9"/>
    <w:rsid w:val="00930699"/>
    <w:rsid w:val="00931F69"/>
    <w:rsid w:val="00933A3A"/>
    <w:rsid w:val="00934123"/>
    <w:rsid w:val="00940341"/>
    <w:rsid w:val="009406A1"/>
    <w:rsid w:val="00955774"/>
    <w:rsid w:val="009560B5"/>
    <w:rsid w:val="00956AA1"/>
    <w:rsid w:val="00964C90"/>
    <w:rsid w:val="00970120"/>
    <w:rsid w:val="009703D6"/>
    <w:rsid w:val="0097181B"/>
    <w:rsid w:val="00976DC5"/>
    <w:rsid w:val="00977E09"/>
    <w:rsid w:val="00981726"/>
    <w:rsid w:val="009818C7"/>
    <w:rsid w:val="00982DD4"/>
    <w:rsid w:val="009841E5"/>
    <w:rsid w:val="0098479F"/>
    <w:rsid w:val="00984A8A"/>
    <w:rsid w:val="009857B6"/>
    <w:rsid w:val="00985A8D"/>
    <w:rsid w:val="00986610"/>
    <w:rsid w:val="009877DC"/>
    <w:rsid w:val="00991F96"/>
    <w:rsid w:val="00996F0A"/>
    <w:rsid w:val="009A1D86"/>
    <w:rsid w:val="009A5C47"/>
    <w:rsid w:val="009B049C"/>
    <w:rsid w:val="009B11C8"/>
    <w:rsid w:val="009B2BCF"/>
    <w:rsid w:val="009B2FF8"/>
    <w:rsid w:val="009B5BA3"/>
    <w:rsid w:val="009C1C67"/>
    <w:rsid w:val="009C6408"/>
    <w:rsid w:val="009D0027"/>
    <w:rsid w:val="009D0655"/>
    <w:rsid w:val="009D7CA6"/>
    <w:rsid w:val="009E1E98"/>
    <w:rsid w:val="009E3ABE"/>
    <w:rsid w:val="009E3BA0"/>
    <w:rsid w:val="009E3C4B"/>
    <w:rsid w:val="009E69EA"/>
    <w:rsid w:val="009F0637"/>
    <w:rsid w:val="009F6057"/>
    <w:rsid w:val="009F62A6"/>
    <w:rsid w:val="009F674F"/>
    <w:rsid w:val="009F799E"/>
    <w:rsid w:val="00A0092C"/>
    <w:rsid w:val="00A02020"/>
    <w:rsid w:val="00A056CB"/>
    <w:rsid w:val="00A07A29"/>
    <w:rsid w:val="00A10FF1"/>
    <w:rsid w:val="00A11782"/>
    <w:rsid w:val="00A1506B"/>
    <w:rsid w:val="00A17CB2"/>
    <w:rsid w:val="00A23191"/>
    <w:rsid w:val="00A23B9C"/>
    <w:rsid w:val="00A25EBC"/>
    <w:rsid w:val="00A319C0"/>
    <w:rsid w:val="00A33560"/>
    <w:rsid w:val="00A364E4"/>
    <w:rsid w:val="00A371A5"/>
    <w:rsid w:val="00A41A23"/>
    <w:rsid w:val="00A47BDF"/>
    <w:rsid w:val="00A51CD7"/>
    <w:rsid w:val="00A52ADB"/>
    <w:rsid w:val="00A533E8"/>
    <w:rsid w:val="00A53FBC"/>
    <w:rsid w:val="00A542D9"/>
    <w:rsid w:val="00A56E64"/>
    <w:rsid w:val="00A6059D"/>
    <w:rsid w:val="00A624C3"/>
    <w:rsid w:val="00A6641C"/>
    <w:rsid w:val="00A74D80"/>
    <w:rsid w:val="00A767D2"/>
    <w:rsid w:val="00A77616"/>
    <w:rsid w:val="00A805DA"/>
    <w:rsid w:val="00A811B4"/>
    <w:rsid w:val="00A83E2C"/>
    <w:rsid w:val="00A85127"/>
    <w:rsid w:val="00A87CDE"/>
    <w:rsid w:val="00A91B6B"/>
    <w:rsid w:val="00A92BAF"/>
    <w:rsid w:val="00A94737"/>
    <w:rsid w:val="00A94BA3"/>
    <w:rsid w:val="00A95B01"/>
    <w:rsid w:val="00A96CBA"/>
    <w:rsid w:val="00AA1F01"/>
    <w:rsid w:val="00AA2242"/>
    <w:rsid w:val="00AA28DB"/>
    <w:rsid w:val="00AB1ACD"/>
    <w:rsid w:val="00AB277F"/>
    <w:rsid w:val="00AB4099"/>
    <w:rsid w:val="00AB449A"/>
    <w:rsid w:val="00AB57EF"/>
    <w:rsid w:val="00AC0C4C"/>
    <w:rsid w:val="00AD14F9"/>
    <w:rsid w:val="00AD35D6"/>
    <w:rsid w:val="00AD438A"/>
    <w:rsid w:val="00AD58C5"/>
    <w:rsid w:val="00AD69CA"/>
    <w:rsid w:val="00AE36C4"/>
    <w:rsid w:val="00AE472C"/>
    <w:rsid w:val="00AE5375"/>
    <w:rsid w:val="00AE6CF8"/>
    <w:rsid w:val="00AF19CE"/>
    <w:rsid w:val="00AF4CAC"/>
    <w:rsid w:val="00B00688"/>
    <w:rsid w:val="00B02793"/>
    <w:rsid w:val="00B03E0D"/>
    <w:rsid w:val="00B04F8A"/>
    <w:rsid w:val="00B054F8"/>
    <w:rsid w:val="00B2219A"/>
    <w:rsid w:val="00B23D23"/>
    <w:rsid w:val="00B26617"/>
    <w:rsid w:val="00B3581B"/>
    <w:rsid w:val="00B36B81"/>
    <w:rsid w:val="00B36FEE"/>
    <w:rsid w:val="00B37C80"/>
    <w:rsid w:val="00B5092B"/>
    <w:rsid w:val="00B5194E"/>
    <w:rsid w:val="00B51AF5"/>
    <w:rsid w:val="00B531FC"/>
    <w:rsid w:val="00B55347"/>
    <w:rsid w:val="00B55F93"/>
    <w:rsid w:val="00B57E5E"/>
    <w:rsid w:val="00B61F37"/>
    <w:rsid w:val="00B643AA"/>
    <w:rsid w:val="00B7307F"/>
    <w:rsid w:val="00B7770F"/>
    <w:rsid w:val="00B77A89"/>
    <w:rsid w:val="00B77B27"/>
    <w:rsid w:val="00B8134E"/>
    <w:rsid w:val="00B81B55"/>
    <w:rsid w:val="00B84613"/>
    <w:rsid w:val="00B85250"/>
    <w:rsid w:val="00B87AF0"/>
    <w:rsid w:val="00B9037B"/>
    <w:rsid w:val="00B910BD"/>
    <w:rsid w:val="00B93834"/>
    <w:rsid w:val="00B96469"/>
    <w:rsid w:val="00BA0DA2"/>
    <w:rsid w:val="00BA2981"/>
    <w:rsid w:val="00BA42EE"/>
    <w:rsid w:val="00BA48F9"/>
    <w:rsid w:val="00BA656F"/>
    <w:rsid w:val="00BA6914"/>
    <w:rsid w:val="00BB0DCA"/>
    <w:rsid w:val="00BB2666"/>
    <w:rsid w:val="00BB3769"/>
    <w:rsid w:val="00BB6B3A"/>
    <w:rsid w:val="00BB6B7D"/>
    <w:rsid w:val="00BB6B80"/>
    <w:rsid w:val="00BC3773"/>
    <w:rsid w:val="00BC380D"/>
    <w:rsid w:val="00BC381A"/>
    <w:rsid w:val="00BD0962"/>
    <w:rsid w:val="00BD1EED"/>
    <w:rsid w:val="00BF0DA2"/>
    <w:rsid w:val="00BF109C"/>
    <w:rsid w:val="00BF32CD"/>
    <w:rsid w:val="00BF34FA"/>
    <w:rsid w:val="00BF58A1"/>
    <w:rsid w:val="00C004B6"/>
    <w:rsid w:val="00C047A7"/>
    <w:rsid w:val="00C05729"/>
    <w:rsid w:val="00C05DE5"/>
    <w:rsid w:val="00C20837"/>
    <w:rsid w:val="00C33027"/>
    <w:rsid w:val="00C37667"/>
    <w:rsid w:val="00C435DB"/>
    <w:rsid w:val="00C438C9"/>
    <w:rsid w:val="00C44D73"/>
    <w:rsid w:val="00C46AC1"/>
    <w:rsid w:val="00C50B42"/>
    <w:rsid w:val="00C516FF"/>
    <w:rsid w:val="00C5247D"/>
    <w:rsid w:val="00C52BFA"/>
    <w:rsid w:val="00C53D1D"/>
    <w:rsid w:val="00C53F26"/>
    <w:rsid w:val="00C540BC"/>
    <w:rsid w:val="00C6219C"/>
    <w:rsid w:val="00C64F7D"/>
    <w:rsid w:val="00C67309"/>
    <w:rsid w:val="00C7614E"/>
    <w:rsid w:val="00C77BF1"/>
    <w:rsid w:val="00C80D60"/>
    <w:rsid w:val="00C82FBD"/>
    <w:rsid w:val="00C85267"/>
    <w:rsid w:val="00C8721B"/>
    <w:rsid w:val="00C92463"/>
    <w:rsid w:val="00C9372C"/>
    <w:rsid w:val="00C93A91"/>
    <w:rsid w:val="00C9470E"/>
    <w:rsid w:val="00C95CEB"/>
    <w:rsid w:val="00C976CC"/>
    <w:rsid w:val="00CA1054"/>
    <w:rsid w:val="00CA63EB"/>
    <w:rsid w:val="00CA69F1"/>
    <w:rsid w:val="00CB5261"/>
    <w:rsid w:val="00CB6991"/>
    <w:rsid w:val="00CC31BE"/>
    <w:rsid w:val="00CC6194"/>
    <w:rsid w:val="00CC6305"/>
    <w:rsid w:val="00CC78A5"/>
    <w:rsid w:val="00CD0516"/>
    <w:rsid w:val="00CD756B"/>
    <w:rsid w:val="00CE2EF2"/>
    <w:rsid w:val="00CE734F"/>
    <w:rsid w:val="00CF112E"/>
    <w:rsid w:val="00CF5F4F"/>
    <w:rsid w:val="00D068EF"/>
    <w:rsid w:val="00D06C51"/>
    <w:rsid w:val="00D133CB"/>
    <w:rsid w:val="00D218DC"/>
    <w:rsid w:val="00D24E56"/>
    <w:rsid w:val="00D31643"/>
    <w:rsid w:val="00D31AEB"/>
    <w:rsid w:val="00D32ECD"/>
    <w:rsid w:val="00D35DC4"/>
    <w:rsid w:val="00D361E4"/>
    <w:rsid w:val="00D42A8F"/>
    <w:rsid w:val="00D439F6"/>
    <w:rsid w:val="00D459C6"/>
    <w:rsid w:val="00D50729"/>
    <w:rsid w:val="00D50C19"/>
    <w:rsid w:val="00D5379E"/>
    <w:rsid w:val="00D5481C"/>
    <w:rsid w:val="00D62643"/>
    <w:rsid w:val="00D64C0F"/>
    <w:rsid w:val="00D72EFE"/>
    <w:rsid w:val="00D76227"/>
    <w:rsid w:val="00D77DF1"/>
    <w:rsid w:val="00D802A3"/>
    <w:rsid w:val="00D807C5"/>
    <w:rsid w:val="00D86AFF"/>
    <w:rsid w:val="00D86C53"/>
    <w:rsid w:val="00D94E5B"/>
    <w:rsid w:val="00D95A44"/>
    <w:rsid w:val="00D95D16"/>
    <w:rsid w:val="00D97C76"/>
    <w:rsid w:val="00DA0188"/>
    <w:rsid w:val="00DB02B4"/>
    <w:rsid w:val="00DB08CA"/>
    <w:rsid w:val="00DB538D"/>
    <w:rsid w:val="00DB6642"/>
    <w:rsid w:val="00DC275C"/>
    <w:rsid w:val="00DC3874"/>
    <w:rsid w:val="00DC4B0D"/>
    <w:rsid w:val="00DC7FE1"/>
    <w:rsid w:val="00DD3F3F"/>
    <w:rsid w:val="00DD5572"/>
    <w:rsid w:val="00DE0A70"/>
    <w:rsid w:val="00DE30FC"/>
    <w:rsid w:val="00DE56CF"/>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3EEE"/>
    <w:rsid w:val="00E24BD7"/>
    <w:rsid w:val="00E26523"/>
    <w:rsid w:val="00E26809"/>
    <w:rsid w:val="00E3412D"/>
    <w:rsid w:val="00E55332"/>
    <w:rsid w:val="00E57322"/>
    <w:rsid w:val="00E628CB"/>
    <w:rsid w:val="00E62AD9"/>
    <w:rsid w:val="00E638C8"/>
    <w:rsid w:val="00E70304"/>
    <w:rsid w:val="00E7509B"/>
    <w:rsid w:val="00E830E2"/>
    <w:rsid w:val="00E86590"/>
    <w:rsid w:val="00E907FF"/>
    <w:rsid w:val="00EA3191"/>
    <w:rsid w:val="00EA42D1"/>
    <w:rsid w:val="00EA42EF"/>
    <w:rsid w:val="00EB2DD1"/>
    <w:rsid w:val="00EB6B37"/>
    <w:rsid w:val="00EC29FE"/>
    <w:rsid w:val="00EC3C70"/>
    <w:rsid w:val="00ED3A3D"/>
    <w:rsid w:val="00ED538A"/>
    <w:rsid w:val="00ED6FBC"/>
    <w:rsid w:val="00EE2A1E"/>
    <w:rsid w:val="00EE2F16"/>
    <w:rsid w:val="00EE3861"/>
    <w:rsid w:val="00EF2E73"/>
    <w:rsid w:val="00EF3650"/>
    <w:rsid w:val="00EF7683"/>
    <w:rsid w:val="00EF7A2D"/>
    <w:rsid w:val="00F04F8D"/>
    <w:rsid w:val="00F10AD0"/>
    <w:rsid w:val="00F116CC"/>
    <w:rsid w:val="00F12BD1"/>
    <w:rsid w:val="00F15327"/>
    <w:rsid w:val="00F165C1"/>
    <w:rsid w:val="00F168CF"/>
    <w:rsid w:val="00F24D6C"/>
    <w:rsid w:val="00F2555C"/>
    <w:rsid w:val="00F31DF3"/>
    <w:rsid w:val="00F33AE5"/>
    <w:rsid w:val="00F3597D"/>
    <w:rsid w:val="00F36476"/>
    <w:rsid w:val="00F4376D"/>
    <w:rsid w:val="00F4378C"/>
    <w:rsid w:val="00F45399"/>
    <w:rsid w:val="00F465EA"/>
    <w:rsid w:val="00F53BDF"/>
    <w:rsid w:val="00F54E7B"/>
    <w:rsid w:val="00F55A88"/>
    <w:rsid w:val="00F638E8"/>
    <w:rsid w:val="00F64C18"/>
    <w:rsid w:val="00F70A9E"/>
    <w:rsid w:val="00F74005"/>
    <w:rsid w:val="00F74B96"/>
    <w:rsid w:val="00F7514B"/>
    <w:rsid w:val="00F76884"/>
    <w:rsid w:val="00F83D24"/>
    <w:rsid w:val="00F83DD9"/>
    <w:rsid w:val="00F83F40"/>
    <w:rsid w:val="00FA117A"/>
    <w:rsid w:val="00FA75CA"/>
    <w:rsid w:val="00FB152F"/>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B1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rescpisma">
    <w:name w:val="tresc.pisma"/>
    <w:basedOn w:val="Normalny"/>
    <w:qFormat/>
    <w:rsid w:val="002E5FFA"/>
    <w:pPr>
      <w:spacing w:after="60" w:line="360" w:lineRule="auto"/>
      <w:ind w:firstLine="709"/>
      <w:jc w:val="both"/>
    </w:pPr>
    <w:rPr>
      <w:rFonts w:ascii="Times New Roman" w:hAnsi="Times New Roman"/>
      <w:sz w:val="24"/>
      <w:szCs w:val="24"/>
      <w:lang w:eastAsia="pl-PL"/>
    </w:rPr>
  </w:style>
  <w:style w:type="paragraph" w:customStyle="1" w:styleId="ARTartustawynprozporzdzenia">
    <w:name w:val="ART(§) – art. ustawy (§ np. rozporządzenia)"/>
    <w:uiPriority w:val="11"/>
    <w:qFormat/>
    <w:rsid w:val="007C3452"/>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Poprawka">
    <w:name w:val="Revision"/>
    <w:hidden/>
    <w:uiPriority w:val="99"/>
    <w:semiHidden/>
    <w:rsid w:val="001343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ng.pimot.eu/adresy-stacji-cng-lng-pol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B2C5-C615-461F-AF97-D782F0FD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5841</Words>
  <Characters>35050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40810</CharactersWithSpaces>
  <SharedDoc>false</SharedDoc>
  <HLinks>
    <vt:vector size="6" baseType="variant">
      <vt:variant>
        <vt:i4>4063358</vt:i4>
      </vt:variant>
      <vt:variant>
        <vt:i4>3</vt:i4>
      </vt:variant>
      <vt:variant>
        <vt:i4>0</vt:i4>
      </vt:variant>
      <vt:variant>
        <vt:i4>5</vt:i4>
      </vt:variant>
      <vt:variant>
        <vt:lpwstr>http://lcng.pimot.eu/adresy-stacji-cng-lng-polska/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2020-11-13T07:29:00Z</dcterms:created>
  <dcterms:modified xsi:type="dcterms:W3CDTF">2020-11-17T15:44:00Z</dcterms:modified>
</cp:coreProperties>
</file>