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DCE5E" w14:textId="77777777" w:rsidR="00F1576E" w:rsidRPr="002A066F" w:rsidRDefault="000E5708" w:rsidP="00EF6F97">
      <w:pPr>
        <w:pStyle w:val="Tekstpodstawowywcity3"/>
        <w:spacing w:after="0" w:line="360" w:lineRule="auto"/>
        <w:ind w:left="0"/>
        <w:jc w:val="center"/>
        <w:rPr>
          <w:caps/>
          <w:color w:val="000000"/>
          <w:sz w:val="24"/>
          <w:szCs w:val="24"/>
        </w:rPr>
      </w:pPr>
      <w:bookmarkStart w:id="0" w:name="_GoBack"/>
      <w:bookmarkEnd w:id="0"/>
      <w:r w:rsidRPr="002A066F">
        <w:rPr>
          <w:caps/>
          <w:color w:val="000000"/>
          <w:sz w:val="24"/>
          <w:szCs w:val="24"/>
        </w:rPr>
        <w:t>Uzasadnienie</w:t>
      </w:r>
    </w:p>
    <w:p w14:paraId="4432E6F5" w14:textId="77777777" w:rsidR="008E1B7A" w:rsidRPr="00EF6F97" w:rsidRDefault="008E1B7A" w:rsidP="00EF6F97">
      <w:pPr>
        <w:spacing w:line="360" w:lineRule="auto"/>
        <w:jc w:val="both"/>
        <w:rPr>
          <w:rFonts w:ascii="Times New Roman" w:hAnsi="Times New Roman" w:cs="Times New Roman"/>
          <w:sz w:val="24"/>
          <w:szCs w:val="24"/>
        </w:rPr>
      </w:pPr>
    </w:p>
    <w:p w14:paraId="6FD313C0" w14:textId="77777777" w:rsidR="00BF36D4" w:rsidRPr="00EF6F97" w:rsidRDefault="00BF36D4"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Projekt ustawy wprowadza zmiany w następujących obszarach: </w:t>
      </w:r>
    </w:p>
    <w:p w14:paraId="0FA9A949" w14:textId="77777777" w:rsidR="008E1B7A" w:rsidRPr="00EF6F97" w:rsidRDefault="00BF36D4"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Umożliwia się wykonanie przepisów rozporządzenia Parlamentu Europejskiego</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 xml:space="preserve">Rady (UE) 2015/1222 </w:t>
      </w:r>
      <w:r w:rsidR="001D0628">
        <w:rPr>
          <w:rFonts w:ascii="Times New Roman" w:hAnsi="Times New Roman" w:cs="Times New Roman"/>
          <w:sz w:val="24"/>
          <w:szCs w:val="24"/>
        </w:rPr>
        <w:t>z </w:t>
      </w:r>
      <w:r w:rsidRPr="00EF6F97">
        <w:rPr>
          <w:rFonts w:ascii="Times New Roman" w:hAnsi="Times New Roman" w:cs="Times New Roman"/>
          <w:sz w:val="24"/>
          <w:szCs w:val="24"/>
        </w:rPr>
        <w:t>dnia 24 lipca 2015</w:t>
      </w:r>
      <w:r w:rsidR="001D0628">
        <w:rPr>
          <w:rFonts w:ascii="Times New Roman" w:hAnsi="Times New Roman" w:cs="Times New Roman"/>
          <w:sz w:val="24"/>
          <w:szCs w:val="24"/>
        </w:rPr>
        <w:t> r.</w:t>
      </w:r>
      <w:r w:rsidRPr="00EF6F97">
        <w:rPr>
          <w:rFonts w:ascii="Times New Roman" w:hAnsi="Times New Roman" w:cs="Times New Roman"/>
          <w:sz w:val="24"/>
          <w:szCs w:val="24"/>
        </w:rPr>
        <w:t xml:space="preserve"> ustanawiającego wytyczne dotyczące alokacji zdolności przesyłowych</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zarządzania ograniczeniami przesyłowymi</w:t>
      </w:r>
      <w:r w:rsidR="009A0461" w:rsidRPr="00EF6F97">
        <w:rPr>
          <w:rFonts w:ascii="Times New Roman" w:hAnsi="Times New Roman" w:cs="Times New Roman"/>
          <w:sz w:val="24"/>
          <w:szCs w:val="24"/>
        </w:rPr>
        <w:t>, w tym ogólne zasady głosowania w sprawie decyzji dotyczących wnioskó</w:t>
      </w:r>
      <w:r w:rsidR="00FB4C05" w:rsidRPr="00EF6F97">
        <w:rPr>
          <w:rFonts w:ascii="Times New Roman" w:hAnsi="Times New Roman" w:cs="Times New Roman"/>
          <w:sz w:val="24"/>
          <w:szCs w:val="24"/>
        </w:rPr>
        <w:t>w przygotowywanych prze</w:t>
      </w:r>
      <w:r w:rsidR="001D0628">
        <w:rPr>
          <w:rFonts w:ascii="Times New Roman" w:hAnsi="Times New Roman" w:cs="Times New Roman"/>
          <w:sz w:val="24"/>
          <w:szCs w:val="24"/>
        </w:rPr>
        <w:t>z </w:t>
      </w:r>
      <w:r w:rsidR="00FB4C05" w:rsidRPr="00EF6F97">
        <w:rPr>
          <w:rFonts w:ascii="Times New Roman" w:hAnsi="Times New Roman" w:cs="Times New Roman"/>
          <w:sz w:val="24"/>
          <w:szCs w:val="24"/>
        </w:rPr>
        <w:t>wyznaczo</w:t>
      </w:r>
      <w:r w:rsidR="009A0461" w:rsidRPr="00EF6F97">
        <w:rPr>
          <w:rFonts w:ascii="Times New Roman" w:hAnsi="Times New Roman" w:cs="Times New Roman"/>
          <w:sz w:val="24"/>
          <w:szCs w:val="24"/>
        </w:rPr>
        <w:t>nych operatorów</w:t>
      </w:r>
      <w:r w:rsidR="00930D82" w:rsidRPr="00EF6F97">
        <w:rPr>
          <w:rFonts w:ascii="Times New Roman" w:hAnsi="Times New Roman" w:cs="Times New Roman"/>
          <w:sz w:val="24"/>
          <w:szCs w:val="24"/>
        </w:rPr>
        <w:t xml:space="preserve"> rynku energii elektrycznej</w:t>
      </w:r>
      <w:r w:rsidRPr="00EF6F97">
        <w:rPr>
          <w:rFonts w:ascii="Times New Roman" w:hAnsi="Times New Roman" w:cs="Times New Roman"/>
          <w:sz w:val="24"/>
          <w:szCs w:val="24"/>
        </w:rPr>
        <w:t>;</w:t>
      </w:r>
    </w:p>
    <w:p w14:paraId="7AD004CC" w14:textId="77777777" w:rsidR="00357A30" w:rsidRPr="00EF6F97" w:rsidRDefault="00B52F70"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Stwarza się podstawę prawną dla rekuperacji energii elektryczn</w:t>
      </w:r>
      <w:r w:rsidR="00141291" w:rsidRPr="00EF6F97">
        <w:rPr>
          <w:rFonts w:ascii="Times New Roman" w:hAnsi="Times New Roman" w:cs="Times New Roman"/>
          <w:sz w:val="24"/>
          <w:szCs w:val="24"/>
        </w:rPr>
        <w:t>ej zwróc</w:t>
      </w:r>
      <w:r w:rsidRPr="00EF6F97">
        <w:rPr>
          <w:rFonts w:ascii="Times New Roman" w:hAnsi="Times New Roman" w:cs="Times New Roman"/>
          <w:sz w:val="24"/>
          <w:szCs w:val="24"/>
        </w:rPr>
        <w:t>onej do sieci trakcyjnej w następstwie hamowania pojazdów</w:t>
      </w:r>
      <w:r w:rsidR="00407418" w:rsidRPr="00EF6F97">
        <w:rPr>
          <w:rFonts w:ascii="Times New Roman" w:hAnsi="Times New Roman" w:cs="Times New Roman"/>
          <w:sz w:val="24"/>
          <w:szCs w:val="24"/>
        </w:rPr>
        <w:t xml:space="preserve"> ora</w:t>
      </w:r>
      <w:r w:rsidR="001D0628">
        <w:rPr>
          <w:rFonts w:ascii="Times New Roman" w:hAnsi="Times New Roman" w:cs="Times New Roman"/>
          <w:sz w:val="24"/>
          <w:szCs w:val="24"/>
        </w:rPr>
        <w:t>z </w:t>
      </w:r>
      <w:r w:rsidR="00407418" w:rsidRPr="00EF6F97">
        <w:rPr>
          <w:rFonts w:ascii="Times New Roman" w:hAnsi="Times New Roman" w:cs="Times New Roman"/>
          <w:sz w:val="24"/>
          <w:szCs w:val="24"/>
        </w:rPr>
        <w:t>odbioru energii elektrycznej prze</w:t>
      </w:r>
      <w:r w:rsidR="001D0628">
        <w:rPr>
          <w:rFonts w:ascii="Times New Roman" w:hAnsi="Times New Roman" w:cs="Times New Roman"/>
          <w:sz w:val="24"/>
          <w:szCs w:val="24"/>
        </w:rPr>
        <w:t>z </w:t>
      </w:r>
      <w:r w:rsidR="00407418" w:rsidRPr="00EF6F97">
        <w:rPr>
          <w:rFonts w:ascii="Times New Roman" w:hAnsi="Times New Roman" w:cs="Times New Roman"/>
          <w:sz w:val="24"/>
          <w:szCs w:val="24"/>
        </w:rPr>
        <w:t xml:space="preserve">punkt ładowania </w:t>
      </w:r>
      <w:r w:rsidR="001D0628">
        <w:rPr>
          <w:rFonts w:ascii="Times New Roman" w:hAnsi="Times New Roman" w:cs="Times New Roman"/>
          <w:sz w:val="24"/>
          <w:szCs w:val="24"/>
        </w:rPr>
        <w:t>z </w:t>
      </w:r>
      <w:r w:rsidR="00407418" w:rsidRPr="00EF6F97">
        <w:rPr>
          <w:rFonts w:ascii="Times New Roman" w:hAnsi="Times New Roman" w:cs="Times New Roman"/>
          <w:sz w:val="24"/>
          <w:szCs w:val="24"/>
        </w:rPr>
        <w:t>pojazdu elektrycznego</w:t>
      </w:r>
      <w:r w:rsidRPr="00EF6F97">
        <w:rPr>
          <w:rFonts w:ascii="Times New Roman" w:hAnsi="Times New Roman" w:cs="Times New Roman"/>
          <w:sz w:val="24"/>
          <w:szCs w:val="24"/>
        </w:rPr>
        <w:t>;</w:t>
      </w:r>
    </w:p>
    <w:p w14:paraId="1954F78E" w14:textId="77777777" w:rsidR="00354FAB" w:rsidRPr="00EF6F97" w:rsidRDefault="00354FAB"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Wprowadza </w:t>
      </w:r>
      <w:r w:rsidR="00C777A5" w:rsidRPr="00EF6F97">
        <w:rPr>
          <w:rFonts w:ascii="Times New Roman" w:hAnsi="Times New Roman" w:cs="Times New Roman"/>
          <w:sz w:val="24"/>
          <w:szCs w:val="24"/>
        </w:rPr>
        <w:t xml:space="preserve">się </w:t>
      </w:r>
      <w:r w:rsidRPr="00EF6F97">
        <w:rPr>
          <w:rFonts w:ascii="Times New Roman" w:hAnsi="Times New Roman" w:cs="Times New Roman"/>
          <w:sz w:val="24"/>
          <w:szCs w:val="24"/>
        </w:rPr>
        <w:t>obowiązek opracowywania prze</w:t>
      </w:r>
      <w:r w:rsidR="001D0628">
        <w:rPr>
          <w:rFonts w:ascii="Times New Roman" w:hAnsi="Times New Roman" w:cs="Times New Roman"/>
          <w:sz w:val="24"/>
          <w:szCs w:val="24"/>
        </w:rPr>
        <w:t>z </w:t>
      </w:r>
      <w:r w:rsidRPr="00EF6F97">
        <w:rPr>
          <w:rFonts w:ascii="Times New Roman" w:hAnsi="Times New Roman" w:cs="Times New Roman"/>
          <w:sz w:val="24"/>
          <w:szCs w:val="24"/>
        </w:rPr>
        <w:t>operatora systemu magazynowania instrukcji ruchu</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eksploatacji instalacji magazynowej;</w:t>
      </w:r>
    </w:p>
    <w:p w14:paraId="6BA9B65C" w14:textId="77777777" w:rsidR="00FC0980" w:rsidRPr="00EF6F97" w:rsidRDefault="000C64B3"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Prezes URE będzie organem właściwym do uznawania kwalifikacji osób wykonujących prace przy urządzeniach, instalacjach</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sieciach energetycznych nabytych w państwach członkowskich UE, Konfederacji Szwajcarskiej lub państwach członkowskich EFTA; wszystkie świadectwa będą tracić ważność po upływie 5 lat od dnia ich</w:t>
      </w:r>
      <w:r w:rsidR="003E48C5" w:rsidRPr="00EF6F97">
        <w:rPr>
          <w:rFonts w:ascii="Times New Roman" w:hAnsi="Times New Roman" w:cs="Times New Roman"/>
          <w:sz w:val="24"/>
          <w:szCs w:val="24"/>
        </w:rPr>
        <w:t xml:space="preserve"> wydania</w:t>
      </w:r>
      <w:r w:rsidRPr="00EF6F97">
        <w:rPr>
          <w:rFonts w:ascii="Times New Roman" w:hAnsi="Times New Roman" w:cs="Times New Roman"/>
          <w:sz w:val="24"/>
          <w:szCs w:val="24"/>
        </w:rPr>
        <w:t>;</w:t>
      </w:r>
    </w:p>
    <w:p w14:paraId="68C5D4F7" w14:textId="6D863D8B" w:rsidR="00FC0980" w:rsidRPr="00EF6F97" w:rsidRDefault="00772387" w:rsidP="00772387">
      <w:pPr>
        <w:numPr>
          <w:ilvl w:val="0"/>
          <w:numId w:val="12"/>
        </w:numPr>
        <w:spacing w:line="360" w:lineRule="auto"/>
        <w:jc w:val="both"/>
        <w:rPr>
          <w:rFonts w:ascii="Times New Roman" w:hAnsi="Times New Roman" w:cs="Times New Roman"/>
          <w:sz w:val="24"/>
          <w:szCs w:val="24"/>
        </w:rPr>
      </w:pPr>
      <w:r w:rsidRPr="00772387">
        <w:rPr>
          <w:rFonts w:ascii="Times New Roman" w:hAnsi="Times New Roman" w:cs="Times New Roman"/>
          <w:sz w:val="24"/>
          <w:szCs w:val="24"/>
        </w:rPr>
        <w:t>Prezes URE zatwierdzi instrukcję tylko wtedy</w:t>
      </w:r>
      <w:r w:rsidR="00DA175B">
        <w:rPr>
          <w:rFonts w:ascii="Times New Roman" w:hAnsi="Times New Roman" w:cs="Times New Roman"/>
          <w:sz w:val="24"/>
          <w:szCs w:val="24"/>
        </w:rPr>
        <w:t>,</w:t>
      </w:r>
      <w:r w:rsidRPr="00772387">
        <w:rPr>
          <w:rFonts w:ascii="Times New Roman" w:hAnsi="Times New Roman" w:cs="Times New Roman"/>
          <w:sz w:val="24"/>
          <w:szCs w:val="24"/>
        </w:rPr>
        <w:t xml:space="preserve"> jeżeli spełnia ona wymagania określone w ustawie, równoważy interesy użytkowników systemu oraz nie stanowi zagrożenia dla rozwoju konkurencji na rynku energii elektrycznej lub gazu ziemnego. W innym przypadku Prezes URE będzie mógł wezwać operatora systemu przesyłowego lub operatora systemu dystrybucyjnego, który przedłożył instrukcję, do jej zmiany w oznaczonym zakresie, wyznaczając mu w tym celu odpowiedni termin. W razie niewykonania wezwania w terminie, Prezes URE będzie mógł samodzielnie zmienić instrukcję w zakresie objętym wezwaniem i zatwierdzić ją w brzmieniu uwzględniający</w:t>
      </w:r>
      <w:r>
        <w:rPr>
          <w:rFonts w:ascii="Times New Roman" w:hAnsi="Times New Roman" w:cs="Times New Roman"/>
          <w:sz w:val="24"/>
          <w:szCs w:val="24"/>
        </w:rPr>
        <w:t>m wprowadzone przez nią zmiany;</w:t>
      </w:r>
    </w:p>
    <w:p w14:paraId="0887F727" w14:textId="7DB6988D" w:rsidR="000C64B3" w:rsidRPr="00EF6F97" w:rsidRDefault="000C64B3"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Prezes URE będzie mógł cofnąć koncesję w przypadku wydania prze</w:t>
      </w:r>
      <w:r w:rsidR="001D0628">
        <w:rPr>
          <w:rFonts w:ascii="Times New Roman" w:hAnsi="Times New Roman" w:cs="Times New Roman"/>
          <w:sz w:val="24"/>
          <w:szCs w:val="24"/>
        </w:rPr>
        <w:t>z </w:t>
      </w:r>
      <w:r w:rsidRPr="00EF6F97">
        <w:rPr>
          <w:rFonts w:ascii="Times New Roman" w:hAnsi="Times New Roman" w:cs="Times New Roman"/>
          <w:sz w:val="24"/>
          <w:szCs w:val="24"/>
        </w:rPr>
        <w:t>Prezesa Urzędu Ochrony Konkurencji</w:t>
      </w:r>
      <w:r w:rsidR="001D0628">
        <w:rPr>
          <w:rFonts w:ascii="Times New Roman" w:hAnsi="Times New Roman" w:cs="Times New Roman"/>
          <w:sz w:val="24"/>
          <w:szCs w:val="24"/>
        </w:rPr>
        <w:t>i </w:t>
      </w:r>
      <w:r w:rsidRPr="00EF6F97">
        <w:rPr>
          <w:rFonts w:ascii="Times New Roman" w:hAnsi="Times New Roman" w:cs="Times New Roman"/>
          <w:sz w:val="24"/>
          <w:szCs w:val="24"/>
        </w:rPr>
        <w:t>Konsumentów wobec przedsiębiorstwa energetycznego decyzji o uznaniu praktyki za naruszającą zbiorowe interesy konsumentów w rozumieniu art.</w:t>
      </w:r>
      <w:r w:rsidR="00DA175B">
        <w:rPr>
          <w:rFonts w:ascii="Times New Roman" w:hAnsi="Times New Roman" w:cs="Times New Roman"/>
          <w:sz w:val="24"/>
          <w:szCs w:val="24"/>
        </w:rPr>
        <w:t> </w:t>
      </w:r>
      <w:r w:rsidRPr="00EF6F97">
        <w:rPr>
          <w:rFonts w:ascii="Times New Roman" w:hAnsi="Times New Roman" w:cs="Times New Roman"/>
          <w:sz w:val="24"/>
          <w:szCs w:val="24"/>
        </w:rPr>
        <w:t xml:space="preserve">24 ustawy </w:t>
      </w:r>
      <w:r w:rsidR="001D0628">
        <w:rPr>
          <w:rFonts w:ascii="Times New Roman" w:hAnsi="Times New Roman" w:cs="Times New Roman"/>
          <w:sz w:val="24"/>
          <w:szCs w:val="24"/>
        </w:rPr>
        <w:t>z </w:t>
      </w:r>
      <w:r w:rsidRPr="00EF6F97">
        <w:rPr>
          <w:rFonts w:ascii="Times New Roman" w:hAnsi="Times New Roman" w:cs="Times New Roman"/>
          <w:sz w:val="24"/>
          <w:szCs w:val="24"/>
        </w:rPr>
        <w:t>dnia 16 lutego 2007</w:t>
      </w:r>
      <w:r w:rsidR="001D0628">
        <w:rPr>
          <w:rFonts w:ascii="Times New Roman" w:hAnsi="Times New Roman" w:cs="Times New Roman"/>
          <w:sz w:val="24"/>
          <w:szCs w:val="24"/>
        </w:rPr>
        <w:t> r.</w:t>
      </w:r>
      <w:r w:rsidRPr="00EF6F97">
        <w:rPr>
          <w:rFonts w:ascii="Times New Roman" w:hAnsi="Times New Roman" w:cs="Times New Roman"/>
          <w:sz w:val="24"/>
          <w:szCs w:val="24"/>
        </w:rPr>
        <w:t xml:space="preserve"> o ochronie konkurencji</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konsumentów</w:t>
      </w:r>
      <w:r w:rsidR="00A47788" w:rsidRPr="00EF6F97">
        <w:rPr>
          <w:rFonts w:ascii="Times New Roman" w:hAnsi="Times New Roman" w:cs="Times New Roman"/>
          <w:sz w:val="24"/>
          <w:szCs w:val="24"/>
        </w:rPr>
        <w:t xml:space="preserve"> (Dz. U. </w:t>
      </w:r>
      <w:r w:rsidR="001D0628">
        <w:rPr>
          <w:rFonts w:ascii="Times New Roman" w:hAnsi="Times New Roman" w:cs="Times New Roman"/>
          <w:sz w:val="24"/>
          <w:szCs w:val="24"/>
        </w:rPr>
        <w:t>z </w:t>
      </w:r>
      <w:r w:rsidR="00B64FAC">
        <w:rPr>
          <w:rFonts w:ascii="Times New Roman" w:hAnsi="Times New Roman" w:cs="Times New Roman"/>
          <w:sz w:val="24"/>
          <w:szCs w:val="24"/>
        </w:rPr>
        <w:t>2020 r. poz. 1076 i 1086</w:t>
      </w:r>
      <w:r w:rsidR="005808DE">
        <w:rPr>
          <w:rFonts w:ascii="Times New Roman" w:hAnsi="Times New Roman" w:cs="Times New Roman"/>
          <w:sz w:val="24"/>
          <w:szCs w:val="24"/>
        </w:rPr>
        <w:t>);</w:t>
      </w:r>
    </w:p>
    <w:p w14:paraId="63214A77" w14:textId="77777777" w:rsidR="000C64B3" w:rsidRPr="00EF6F97" w:rsidRDefault="000C64B3"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Wprowadza się podstawy prawne dla funkcjonowania zamkniętych systemów dystrybucyjnych;</w:t>
      </w:r>
    </w:p>
    <w:p w14:paraId="0F329305" w14:textId="77777777" w:rsidR="000C64B3" w:rsidRPr="00EF6F97" w:rsidRDefault="000C64B3"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lastRenderedPageBreak/>
        <w:t>W</w:t>
      </w:r>
      <w:r w:rsidR="006607B7" w:rsidRPr="00EF6F97">
        <w:rPr>
          <w:rFonts w:ascii="Times New Roman" w:hAnsi="Times New Roman" w:cs="Times New Roman"/>
          <w:sz w:val="24"/>
          <w:szCs w:val="24"/>
        </w:rPr>
        <w:t>prowadza się</w:t>
      </w:r>
      <w:r w:rsidRPr="00EF6F97">
        <w:rPr>
          <w:rFonts w:ascii="Times New Roman" w:hAnsi="Times New Roman" w:cs="Times New Roman"/>
          <w:sz w:val="24"/>
          <w:szCs w:val="24"/>
        </w:rPr>
        <w:t xml:space="preserve"> kompleksowe rozwiązania dla funkcjonowania</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rozwoju magazynów energii elektrycznej;</w:t>
      </w:r>
    </w:p>
    <w:p w14:paraId="223EEDDA" w14:textId="77777777" w:rsidR="005C3FB7" w:rsidRPr="00EF6F97" w:rsidRDefault="005C3FB7"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Dokonuje się zmian w zakresie przepisów regulujących politykę energetyczną państwa w sposób pozwalający na elastyczne kształtowanie formuły dokumentu</w:t>
      </w:r>
      <w:r w:rsidR="002533ED" w:rsidRPr="00EF6F97">
        <w:rPr>
          <w:rFonts w:ascii="Times New Roman" w:hAnsi="Times New Roman" w:cs="Times New Roman"/>
          <w:sz w:val="24"/>
          <w:szCs w:val="24"/>
        </w:rPr>
        <w:t>;</w:t>
      </w:r>
    </w:p>
    <w:p w14:paraId="63377F29" w14:textId="25CB4955" w:rsidR="00624CAA" w:rsidRPr="00EF6F97" w:rsidRDefault="00624CAA"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Doprecyzowuje się przepisy dotyczące taryf</w:t>
      </w:r>
      <w:r w:rsidR="00B64FAC">
        <w:rPr>
          <w:rFonts w:ascii="Times New Roman" w:hAnsi="Times New Roman" w:cs="Times New Roman"/>
          <w:sz w:val="24"/>
          <w:szCs w:val="24"/>
        </w:rPr>
        <w:t xml:space="preserve"> </w:t>
      </w:r>
      <w:r w:rsidR="00407418" w:rsidRPr="00EF6F97">
        <w:rPr>
          <w:rFonts w:ascii="Times New Roman" w:hAnsi="Times New Roman" w:cs="Times New Roman"/>
          <w:sz w:val="24"/>
          <w:szCs w:val="24"/>
        </w:rPr>
        <w:t>ora</w:t>
      </w:r>
      <w:r w:rsidR="001D0628">
        <w:rPr>
          <w:rFonts w:ascii="Times New Roman" w:hAnsi="Times New Roman" w:cs="Times New Roman"/>
          <w:sz w:val="24"/>
          <w:szCs w:val="24"/>
        </w:rPr>
        <w:t>z </w:t>
      </w:r>
      <w:r w:rsidR="00407418" w:rsidRPr="00EF6F97">
        <w:rPr>
          <w:rFonts w:ascii="Times New Roman" w:hAnsi="Times New Roman" w:cs="Times New Roman"/>
          <w:sz w:val="24"/>
          <w:szCs w:val="24"/>
        </w:rPr>
        <w:t xml:space="preserve">zmienia się miejsce publikacji taryf dla ciepła </w:t>
      </w:r>
      <w:r w:rsidR="001D0628">
        <w:rPr>
          <w:rFonts w:ascii="Times New Roman" w:hAnsi="Times New Roman" w:cs="Times New Roman"/>
          <w:sz w:val="24"/>
          <w:szCs w:val="24"/>
        </w:rPr>
        <w:t>z </w:t>
      </w:r>
      <w:r w:rsidR="00407418" w:rsidRPr="00EF6F97">
        <w:rPr>
          <w:rFonts w:ascii="Times New Roman" w:hAnsi="Times New Roman" w:cs="Times New Roman"/>
          <w:sz w:val="24"/>
          <w:szCs w:val="24"/>
        </w:rPr>
        <w:t>dziennika wojewódzkiego na Biuletyn URE</w:t>
      </w:r>
      <w:r w:rsidRPr="00EF6F97">
        <w:rPr>
          <w:rFonts w:ascii="Times New Roman" w:hAnsi="Times New Roman" w:cs="Times New Roman"/>
          <w:sz w:val="24"/>
          <w:szCs w:val="24"/>
        </w:rPr>
        <w:t>;</w:t>
      </w:r>
    </w:p>
    <w:p w14:paraId="63164639" w14:textId="21191084" w:rsidR="00BD2E7C" w:rsidRPr="00EF6F97" w:rsidRDefault="00C146D2"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Wprowadzono środki mające na celu przeciwdziałanie nieuczciwym praktykom niektórych sprzedawców</w:t>
      </w:r>
      <w:r w:rsidR="00DA175B">
        <w:rPr>
          <w:rFonts w:ascii="Times New Roman" w:hAnsi="Times New Roman" w:cs="Times New Roman"/>
          <w:sz w:val="24"/>
          <w:szCs w:val="24"/>
        </w:rPr>
        <w:t>,</w:t>
      </w:r>
      <w:r w:rsidRPr="00EF6F97">
        <w:rPr>
          <w:rFonts w:ascii="Times New Roman" w:hAnsi="Times New Roman" w:cs="Times New Roman"/>
          <w:sz w:val="24"/>
          <w:szCs w:val="24"/>
        </w:rPr>
        <w:t xml:space="preserve"> wprowadzając </w:t>
      </w:r>
      <w:r w:rsidR="00BD2E7C" w:rsidRPr="00EF6F97">
        <w:rPr>
          <w:rFonts w:ascii="Times New Roman" w:hAnsi="Times New Roman" w:cs="Times New Roman"/>
          <w:sz w:val="24"/>
          <w:szCs w:val="24"/>
        </w:rPr>
        <w:t>zakaz</w:t>
      </w:r>
      <w:r w:rsidRPr="00EF6F97">
        <w:rPr>
          <w:rFonts w:ascii="Times New Roman" w:hAnsi="Times New Roman" w:cs="Times New Roman"/>
          <w:sz w:val="24"/>
          <w:szCs w:val="24"/>
        </w:rPr>
        <w:t xml:space="preserve"> zawierania umów sprzedaży paliw gazowych</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energii elektrycznej poza lokalem przedsiębiorstwa;</w:t>
      </w:r>
    </w:p>
    <w:p w14:paraId="6890DBFC" w14:textId="3A2A49AE" w:rsidR="009A0461" w:rsidRPr="00EF6F97" w:rsidRDefault="006607B7"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Umożliwia się</w:t>
      </w:r>
      <w:r w:rsidR="00793A1B" w:rsidRPr="00EF6F97">
        <w:rPr>
          <w:rFonts w:ascii="Times New Roman" w:hAnsi="Times New Roman" w:cs="Times New Roman"/>
          <w:sz w:val="24"/>
          <w:szCs w:val="24"/>
        </w:rPr>
        <w:t xml:space="preserve"> prowadzenie</w:t>
      </w:r>
      <w:r w:rsidR="00A47788" w:rsidRPr="00EF6F97">
        <w:rPr>
          <w:rFonts w:ascii="Times New Roman" w:hAnsi="Times New Roman" w:cs="Times New Roman"/>
          <w:sz w:val="24"/>
          <w:szCs w:val="24"/>
        </w:rPr>
        <w:t xml:space="preserve"> postę</w:t>
      </w:r>
      <w:r w:rsidR="009A0461" w:rsidRPr="00EF6F97">
        <w:rPr>
          <w:rFonts w:ascii="Times New Roman" w:hAnsi="Times New Roman" w:cs="Times New Roman"/>
          <w:sz w:val="24"/>
          <w:szCs w:val="24"/>
        </w:rPr>
        <w:t xml:space="preserve">powań </w:t>
      </w:r>
      <w:r w:rsidR="00A47788" w:rsidRPr="00EF6F97">
        <w:rPr>
          <w:rFonts w:ascii="Times New Roman" w:hAnsi="Times New Roman" w:cs="Times New Roman"/>
          <w:sz w:val="24"/>
          <w:szCs w:val="24"/>
        </w:rPr>
        <w:t xml:space="preserve">w sprawie pozasądowego rozwiązywania sporów </w:t>
      </w:r>
      <w:r w:rsidR="00930D82" w:rsidRPr="00EF6F97">
        <w:rPr>
          <w:rFonts w:ascii="Times New Roman" w:hAnsi="Times New Roman" w:cs="Times New Roman"/>
          <w:sz w:val="24"/>
          <w:szCs w:val="24"/>
        </w:rPr>
        <w:t>(ADR -</w:t>
      </w:r>
      <w:r w:rsidR="00DA175B">
        <w:rPr>
          <w:rFonts w:ascii="Times New Roman" w:hAnsi="Times New Roman" w:cs="Times New Roman"/>
          <w:sz w:val="24"/>
          <w:szCs w:val="24"/>
        </w:rPr>
        <w:t xml:space="preserve"> </w:t>
      </w:r>
      <w:r w:rsidR="001D0628">
        <w:rPr>
          <w:rFonts w:ascii="Times New Roman" w:hAnsi="Times New Roman" w:cs="Times New Roman"/>
          <w:sz w:val="24"/>
          <w:szCs w:val="24"/>
        </w:rPr>
        <w:t>z </w:t>
      </w:r>
      <w:r w:rsidR="00A47788" w:rsidRPr="00EF6F97">
        <w:rPr>
          <w:rFonts w:ascii="Times New Roman" w:hAnsi="Times New Roman" w:cs="Times New Roman"/>
          <w:sz w:val="24"/>
          <w:szCs w:val="24"/>
        </w:rPr>
        <w:t xml:space="preserve">ang. alternative dispute resolution) </w:t>
      </w:r>
      <w:r w:rsidR="009A0461" w:rsidRPr="00EF6F97">
        <w:rPr>
          <w:rFonts w:ascii="Times New Roman" w:hAnsi="Times New Roman" w:cs="Times New Roman"/>
          <w:sz w:val="24"/>
          <w:szCs w:val="24"/>
        </w:rPr>
        <w:t>osobom zajmującym się obsługą Koordynatora;</w:t>
      </w:r>
    </w:p>
    <w:p w14:paraId="1854463D" w14:textId="77777777" w:rsidR="00BD2E7C" w:rsidRPr="00EF6F97" w:rsidRDefault="00BD2E7C"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Szczegółowo uregulowano kwestię zabezpieczenia majątkowego w celu zaspokojenia roszczeń osób trzecich, mogących powstać wskutek niewłaściwego prowadzenia działalności objętej koncesją;</w:t>
      </w:r>
    </w:p>
    <w:p w14:paraId="74175704" w14:textId="02C90A57" w:rsidR="000C64B3" w:rsidRPr="00EF6F97" w:rsidRDefault="000F4042"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Doprecyzowano definicję</w:t>
      </w:r>
      <w:r w:rsidR="000C64B3" w:rsidRPr="00EF6F97">
        <w:rPr>
          <w:rFonts w:ascii="Times New Roman" w:hAnsi="Times New Roman" w:cs="Times New Roman"/>
          <w:sz w:val="24"/>
          <w:szCs w:val="24"/>
        </w:rPr>
        <w:t xml:space="preserve"> uczestnika rynku (włączając jednostki organizacyjne nieposiadające osobowości prawnej) ora</w:t>
      </w:r>
      <w:r w:rsidR="001D0628">
        <w:rPr>
          <w:rFonts w:ascii="Times New Roman" w:hAnsi="Times New Roman" w:cs="Times New Roman"/>
          <w:sz w:val="24"/>
          <w:szCs w:val="24"/>
        </w:rPr>
        <w:t>z </w:t>
      </w:r>
      <w:r w:rsidR="000C64B3" w:rsidRPr="00EF6F97">
        <w:rPr>
          <w:rFonts w:ascii="Times New Roman" w:hAnsi="Times New Roman" w:cs="Times New Roman"/>
          <w:sz w:val="24"/>
          <w:szCs w:val="24"/>
        </w:rPr>
        <w:t xml:space="preserve">przepisy karne w zakresie </w:t>
      </w:r>
      <w:r w:rsidR="00AC25F5" w:rsidRPr="00EF6F97">
        <w:rPr>
          <w:rFonts w:ascii="Times New Roman" w:hAnsi="Times New Roman" w:cs="Times New Roman"/>
          <w:sz w:val="24"/>
          <w:szCs w:val="24"/>
        </w:rPr>
        <w:t>rozporządzenia Parlamentu Europejskiego</w:t>
      </w:r>
      <w:r w:rsidR="001D0628">
        <w:rPr>
          <w:rFonts w:ascii="Times New Roman" w:hAnsi="Times New Roman" w:cs="Times New Roman"/>
          <w:sz w:val="24"/>
          <w:szCs w:val="24"/>
        </w:rPr>
        <w:t xml:space="preserve"> i </w:t>
      </w:r>
      <w:r w:rsidR="00AC25F5" w:rsidRPr="00EF6F97">
        <w:rPr>
          <w:rFonts w:ascii="Times New Roman" w:hAnsi="Times New Roman" w:cs="Times New Roman"/>
          <w:sz w:val="24"/>
          <w:szCs w:val="24"/>
        </w:rPr>
        <w:t xml:space="preserve">Rady (UE) nr 1227/2011 </w:t>
      </w:r>
      <w:r w:rsidR="001D0628">
        <w:rPr>
          <w:rFonts w:ascii="Times New Roman" w:hAnsi="Times New Roman" w:cs="Times New Roman"/>
          <w:sz w:val="24"/>
          <w:szCs w:val="24"/>
        </w:rPr>
        <w:t>z </w:t>
      </w:r>
      <w:r w:rsidR="00AC25F5" w:rsidRPr="00EF6F97">
        <w:rPr>
          <w:rFonts w:ascii="Times New Roman" w:hAnsi="Times New Roman" w:cs="Times New Roman"/>
          <w:sz w:val="24"/>
          <w:szCs w:val="24"/>
        </w:rPr>
        <w:t>dnia 25 października 2011</w:t>
      </w:r>
      <w:r w:rsidR="001D0628">
        <w:rPr>
          <w:rFonts w:ascii="Times New Roman" w:hAnsi="Times New Roman" w:cs="Times New Roman"/>
          <w:sz w:val="24"/>
          <w:szCs w:val="24"/>
        </w:rPr>
        <w:t> r.</w:t>
      </w:r>
      <w:r w:rsidR="00AC25F5" w:rsidRPr="00EF6F97">
        <w:rPr>
          <w:rFonts w:ascii="Times New Roman" w:hAnsi="Times New Roman" w:cs="Times New Roman"/>
          <w:sz w:val="24"/>
          <w:szCs w:val="24"/>
        </w:rPr>
        <w:t xml:space="preserve"> w sprawie integralności</w:t>
      </w:r>
      <w:r w:rsidR="001D0628">
        <w:rPr>
          <w:rFonts w:ascii="Times New Roman" w:hAnsi="Times New Roman" w:cs="Times New Roman"/>
          <w:sz w:val="24"/>
          <w:szCs w:val="24"/>
        </w:rPr>
        <w:t xml:space="preserve"> i </w:t>
      </w:r>
      <w:r w:rsidR="00AC25F5" w:rsidRPr="00EF6F97">
        <w:rPr>
          <w:rFonts w:ascii="Times New Roman" w:hAnsi="Times New Roman" w:cs="Times New Roman"/>
          <w:sz w:val="24"/>
          <w:szCs w:val="24"/>
        </w:rPr>
        <w:t>przejrzystości hurtowego rynku energii (Dz.</w:t>
      </w:r>
      <w:r w:rsidR="004C47FB">
        <w:rPr>
          <w:rFonts w:ascii="Times New Roman" w:hAnsi="Times New Roman" w:cs="Times New Roman"/>
          <w:sz w:val="24"/>
          <w:szCs w:val="24"/>
        </w:rPr>
        <w:t xml:space="preserve"> </w:t>
      </w:r>
      <w:r w:rsidR="00AC25F5" w:rsidRPr="00EF6F97">
        <w:rPr>
          <w:rFonts w:ascii="Times New Roman" w:hAnsi="Times New Roman" w:cs="Times New Roman"/>
          <w:sz w:val="24"/>
          <w:szCs w:val="24"/>
        </w:rPr>
        <w:t>U</w:t>
      </w:r>
      <w:r w:rsidR="004C47FB">
        <w:rPr>
          <w:rFonts w:ascii="Times New Roman" w:hAnsi="Times New Roman" w:cs="Times New Roman"/>
          <w:sz w:val="24"/>
          <w:szCs w:val="24"/>
        </w:rPr>
        <w:t>rz</w:t>
      </w:r>
      <w:r w:rsidR="00AC25F5" w:rsidRPr="00EF6F97">
        <w:rPr>
          <w:rFonts w:ascii="Times New Roman" w:hAnsi="Times New Roman" w:cs="Times New Roman"/>
          <w:sz w:val="24"/>
          <w:szCs w:val="24"/>
        </w:rPr>
        <w:t>.</w:t>
      </w:r>
      <w:r w:rsidR="004C47FB">
        <w:rPr>
          <w:rFonts w:ascii="Times New Roman" w:hAnsi="Times New Roman" w:cs="Times New Roman"/>
          <w:sz w:val="24"/>
          <w:szCs w:val="24"/>
        </w:rPr>
        <w:t xml:space="preserve"> </w:t>
      </w:r>
      <w:r w:rsidR="00AC25F5" w:rsidRPr="00EF6F97">
        <w:rPr>
          <w:rFonts w:ascii="Times New Roman" w:hAnsi="Times New Roman" w:cs="Times New Roman"/>
          <w:sz w:val="24"/>
          <w:szCs w:val="24"/>
        </w:rPr>
        <w:t>UE</w:t>
      </w:r>
      <w:r w:rsidR="004C47FB">
        <w:rPr>
          <w:rFonts w:ascii="Times New Roman" w:hAnsi="Times New Roman" w:cs="Times New Roman"/>
          <w:sz w:val="24"/>
          <w:szCs w:val="24"/>
        </w:rPr>
        <w:t xml:space="preserve"> </w:t>
      </w:r>
      <w:r w:rsidR="00AC25F5" w:rsidRPr="00EF6F97">
        <w:rPr>
          <w:rFonts w:ascii="Times New Roman" w:hAnsi="Times New Roman" w:cs="Times New Roman"/>
          <w:sz w:val="24"/>
          <w:szCs w:val="24"/>
        </w:rPr>
        <w:t>L</w:t>
      </w:r>
      <w:r w:rsidR="004C47FB">
        <w:rPr>
          <w:rFonts w:ascii="Times New Roman" w:hAnsi="Times New Roman" w:cs="Times New Roman"/>
          <w:sz w:val="24"/>
          <w:szCs w:val="24"/>
        </w:rPr>
        <w:t xml:space="preserve"> 326</w:t>
      </w:r>
      <w:r w:rsidR="00EB13A7">
        <w:rPr>
          <w:rFonts w:ascii="Times New Roman" w:hAnsi="Times New Roman" w:cs="Times New Roman"/>
          <w:sz w:val="24"/>
          <w:szCs w:val="24"/>
        </w:rPr>
        <w:t xml:space="preserve"> </w:t>
      </w:r>
      <w:r w:rsidR="004C47FB">
        <w:rPr>
          <w:rFonts w:ascii="Times New Roman" w:hAnsi="Times New Roman" w:cs="Times New Roman"/>
          <w:sz w:val="24"/>
          <w:szCs w:val="24"/>
        </w:rPr>
        <w:t xml:space="preserve">z </w:t>
      </w:r>
      <w:r w:rsidR="00B64FAC">
        <w:rPr>
          <w:rFonts w:ascii="Times New Roman" w:hAnsi="Times New Roman" w:cs="Times New Roman"/>
          <w:sz w:val="24"/>
          <w:szCs w:val="24"/>
        </w:rPr>
        <w:t>0</w:t>
      </w:r>
      <w:r w:rsidR="004C47FB">
        <w:rPr>
          <w:rFonts w:ascii="Times New Roman" w:hAnsi="Times New Roman" w:cs="Times New Roman"/>
          <w:sz w:val="24"/>
          <w:szCs w:val="24"/>
        </w:rPr>
        <w:t>8.12.2011, str. 1</w:t>
      </w:r>
      <w:r w:rsidR="00AC25F5" w:rsidRPr="00EF6F97">
        <w:rPr>
          <w:rFonts w:ascii="Times New Roman" w:hAnsi="Times New Roman" w:cs="Times New Roman"/>
          <w:sz w:val="24"/>
          <w:szCs w:val="24"/>
        </w:rPr>
        <w:t>), zwanego dalej „</w:t>
      </w:r>
      <w:r w:rsidR="000C64B3" w:rsidRPr="00EF6F97">
        <w:rPr>
          <w:rFonts w:ascii="Times New Roman" w:hAnsi="Times New Roman" w:cs="Times New Roman"/>
          <w:sz w:val="24"/>
          <w:szCs w:val="24"/>
        </w:rPr>
        <w:t>REMIT</w:t>
      </w:r>
      <w:r w:rsidR="00AC25F5" w:rsidRPr="00EF6F97">
        <w:rPr>
          <w:rFonts w:ascii="Times New Roman" w:hAnsi="Times New Roman" w:cs="Times New Roman"/>
          <w:sz w:val="24"/>
          <w:szCs w:val="24"/>
        </w:rPr>
        <w:t>em”</w:t>
      </w:r>
      <w:r w:rsidR="00880D81" w:rsidRPr="00EF6F97">
        <w:rPr>
          <w:rFonts w:ascii="Times New Roman" w:hAnsi="Times New Roman" w:cs="Times New Roman"/>
          <w:sz w:val="24"/>
          <w:szCs w:val="24"/>
        </w:rPr>
        <w:t xml:space="preserve"> zgodnie </w:t>
      </w:r>
      <w:r w:rsidR="001D0628">
        <w:rPr>
          <w:rFonts w:ascii="Times New Roman" w:hAnsi="Times New Roman" w:cs="Times New Roman"/>
          <w:sz w:val="24"/>
          <w:szCs w:val="24"/>
        </w:rPr>
        <w:t>z </w:t>
      </w:r>
      <w:r w:rsidR="00880D81" w:rsidRPr="00EF6F97">
        <w:rPr>
          <w:rFonts w:ascii="Times New Roman" w:hAnsi="Times New Roman" w:cs="Times New Roman"/>
          <w:sz w:val="24"/>
          <w:szCs w:val="24"/>
        </w:rPr>
        <w:t>uwagami Prezesa URE;</w:t>
      </w:r>
    </w:p>
    <w:p w14:paraId="3E7231E2" w14:textId="77777777" w:rsidR="00880D81" w:rsidRPr="00EF6F97" w:rsidRDefault="00880D81"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Sprzedawca paliw gazowych lub energii elektrycznej został zobowiązany do zapewnienia publicznego dostępu </w:t>
      </w:r>
      <w:r w:rsidR="000F4042" w:rsidRPr="00EF6F97">
        <w:rPr>
          <w:rFonts w:ascii="Times New Roman" w:hAnsi="Times New Roman" w:cs="Times New Roman"/>
          <w:sz w:val="24"/>
          <w:szCs w:val="24"/>
        </w:rPr>
        <w:t xml:space="preserve">do </w:t>
      </w:r>
      <w:r w:rsidRPr="00EF6F97">
        <w:rPr>
          <w:rFonts w:ascii="Times New Roman" w:hAnsi="Times New Roman" w:cs="Times New Roman"/>
          <w:sz w:val="24"/>
          <w:szCs w:val="24"/>
        </w:rPr>
        <w:t xml:space="preserve">aktualnego stanu prawnego związanego </w:t>
      </w:r>
      <w:r w:rsidR="001D0628">
        <w:rPr>
          <w:rFonts w:ascii="Times New Roman" w:hAnsi="Times New Roman" w:cs="Times New Roman"/>
          <w:sz w:val="24"/>
          <w:szCs w:val="24"/>
        </w:rPr>
        <w:t>z </w:t>
      </w:r>
      <w:r w:rsidRPr="00EF6F97">
        <w:rPr>
          <w:rFonts w:ascii="Times New Roman" w:hAnsi="Times New Roman" w:cs="Times New Roman"/>
          <w:sz w:val="24"/>
          <w:szCs w:val="24"/>
        </w:rPr>
        <w:t>prawami konsumenta energii;</w:t>
      </w:r>
    </w:p>
    <w:p w14:paraId="4F905E91" w14:textId="78A2FAC1" w:rsidR="009A1099" w:rsidRPr="00EF6F97" w:rsidRDefault="00141291"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W</w:t>
      </w:r>
      <w:r w:rsidR="009A1099" w:rsidRPr="00EF6F97">
        <w:rPr>
          <w:rFonts w:ascii="Times New Roman" w:hAnsi="Times New Roman" w:cs="Times New Roman"/>
          <w:sz w:val="24"/>
          <w:szCs w:val="24"/>
        </w:rPr>
        <w:t xml:space="preserve">prowadza się systemowe rozwiązania w zakresie </w:t>
      </w:r>
      <w:r w:rsidR="00A84F2A" w:rsidRPr="00EF6F97">
        <w:rPr>
          <w:rFonts w:ascii="Times New Roman" w:hAnsi="Times New Roman" w:cs="Times New Roman"/>
          <w:sz w:val="24"/>
          <w:szCs w:val="24"/>
        </w:rPr>
        <w:t xml:space="preserve">systemu </w:t>
      </w:r>
      <w:r w:rsidR="009A1099" w:rsidRPr="00EF6F97">
        <w:rPr>
          <w:rFonts w:ascii="Times New Roman" w:hAnsi="Times New Roman" w:cs="Times New Roman"/>
          <w:sz w:val="24"/>
          <w:szCs w:val="24"/>
        </w:rPr>
        <w:t>inteligentnego opomiarowania polegające na obowiązku instalacji do dnia 31 grudnia 202</w:t>
      </w:r>
      <w:r w:rsidR="00430319" w:rsidRPr="00EF6F97">
        <w:rPr>
          <w:rFonts w:ascii="Times New Roman" w:hAnsi="Times New Roman" w:cs="Times New Roman"/>
          <w:sz w:val="24"/>
          <w:szCs w:val="24"/>
        </w:rPr>
        <w:t>8</w:t>
      </w:r>
      <w:r w:rsidR="001D0628">
        <w:rPr>
          <w:rFonts w:ascii="Times New Roman" w:hAnsi="Times New Roman" w:cs="Times New Roman"/>
          <w:sz w:val="24"/>
          <w:szCs w:val="24"/>
        </w:rPr>
        <w:t> r.</w:t>
      </w:r>
      <w:r w:rsidR="009A1099" w:rsidRPr="00EF6F97">
        <w:rPr>
          <w:rFonts w:ascii="Times New Roman" w:hAnsi="Times New Roman" w:cs="Times New Roman"/>
          <w:sz w:val="24"/>
          <w:szCs w:val="24"/>
        </w:rPr>
        <w:t xml:space="preserve"> liczników zdalnego odczytu skomunikowanych </w:t>
      </w:r>
      <w:r w:rsidR="001D0628">
        <w:rPr>
          <w:rFonts w:ascii="Times New Roman" w:hAnsi="Times New Roman" w:cs="Times New Roman"/>
          <w:sz w:val="24"/>
          <w:szCs w:val="24"/>
        </w:rPr>
        <w:t>z </w:t>
      </w:r>
      <w:r w:rsidR="009A1099" w:rsidRPr="00EF6F97">
        <w:rPr>
          <w:rFonts w:ascii="Times New Roman" w:hAnsi="Times New Roman" w:cs="Times New Roman"/>
          <w:sz w:val="24"/>
          <w:szCs w:val="24"/>
        </w:rPr>
        <w:t xml:space="preserve">systemem zdalnego odczytu w punktach </w:t>
      </w:r>
      <w:r w:rsidR="00C06659">
        <w:rPr>
          <w:rFonts w:ascii="Times New Roman" w:hAnsi="Times New Roman" w:cs="Times New Roman"/>
          <w:sz w:val="24"/>
          <w:szCs w:val="24"/>
        </w:rPr>
        <w:t xml:space="preserve">poboru energii </w:t>
      </w:r>
      <w:r w:rsidR="009A1099" w:rsidRPr="00EF6F97">
        <w:rPr>
          <w:rFonts w:ascii="Times New Roman" w:hAnsi="Times New Roman" w:cs="Times New Roman"/>
          <w:sz w:val="24"/>
          <w:szCs w:val="24"/>
        </w:rPr>
        <w:t xml:space="preserve">stanowiących co najmniej 80% łącznej liczby punktów </w:t>
      </w:r>
      <w:r w:rsidR="00B64FAC">
        <w:rPr>
          <w:rFonts w:ascii="Times New Roman" w:hAnsi="Times New Roman" w:cs="Times New Roman"/>
          <w:sz w:val="24"/>
          <w:szCs w:val="24"/>
        </w:rPr>
        <w:t xml:space="preserve">poboru energii </w:t>
      </w:r>
      <w:r w:rsidR="009A1099" w:rsidRPr="00EF6F97">
        <w:rPr>
          <w:rFonts w:ascii="Times New Roman" w:hAnsi="Times New Roman" w:cs="Times New Roman"/>
          <w:sz w:val="24"/>
          <w:szCs w:val="24"/>
        </w:rPr>
        <w:t xml:space="preserve">u odbiorców końcowych przyłączonych do sieci o napięciu znamionowym nie wyższym niż 1 kV należących do tego operatora, zgodnie </w:t>
      </w:r>
      <w:r w:rsidR="001D0628">
        <w:rPr>
          <w:rFonts w:ascii="Times New Roman" w:hAnsi="Times New Roman" w:cs="Times New Roman"/>
          <w:sz w:val="24"/>
          <w:szCs w:val="24"/>
        </w:rPr>
        <w:t>z </w:t>
      </w:r>
      <w:r w:rsidR="009A1099" w:rsidRPr="00EF6F97">
        <w:rPr>
          <w:rFonts w:ascii="Times New Roman" w:hAnsi="Times New Roman" w:cs="Times New Roman"/>
          <w:sz w:val="24"/>
          <w:szCs w:val="24"/>
        </w:rPr>
        <w:t>harmonogramem określonym w ustawie</w:t>
      </w:r>
      <w:r w:rsidR="00A84F2A" w:rsidRPr="00EF6F97">
        <w:rPr>
          <w:rFonts w:ascii="Times New Roman" w:hAnsi="Times New Roman" w:cs="Times New Roman"/>
          <w:sz w:val="24"/>
          <w:szCs w:val="24"/>
        </w:rPr>
        <w:t xml:space="preserve"> (określonych dalej jako system pomiarowy) </w:t>
      </w:r>
      <w:r w:rsidR="009A1099" w:rsidRPr="00EF6F97">
        <w:rPr>
          <w:rFonts w:ascii="Times New Roman" w:hAnsi="Times New Roman" w:cs="Times New Roman"/>
          <w:sz w:val="24"/>
          <w:szCs w:val="24"/>
        </w:rPr>
        <w:t>ora</w:t>
      </w:r>
      <w:r w:rsidR="001D0628">
        <w:rPr>
          <w:rFonts w:ascii="Times New Roman" w:hAnsi="Times New Roman" w:cs="Times New Roman"/>
          <w:sz w:val="24"/>
          <w:szCs w:val="24"/>
        </w:rPr>
        <w:t>z </w:t>
      </w:r>
      <w:r w:rsidR="009A1099" w:rsidRPr="00EF6F97">
        <w:rPr>
          <w:rFonts w:ascii="Times New Roman" w:hAnsi="Times New Roman" w:cs="Times New Roman"/>
          <w:sz w:val="24"/>
          <w:szCs w:val="24"/>
        </w:rPr>
        <w:t xml:space="preserve">na powołaniu </w:t>
      </w:r>
      <w:r w:rsidR="00C06659">
        <w:rPr>
          <w:rFonts w:ascii="Times New Roman" w:hAnsi="Times New Roman" w:cs="Times New Roman"/>
          <w:sz w:val="24"/>
          <w:szCs w:val="24"/>
        </w:rPr>
        <w:t>o</w:t>
      </w:r>
      <w:r w:rsidR="009A1099" w:rsidRPr="00EF6F97">
        <w:rPr>
          <w:rFonts w:ascii="Times New Roman" w:hAnsi="Times New Roman" w:cs="Times New Roman"/>
          <w:sz w:val="24"/>
          <w:szCs w:val="24"/>
        </w:rPr>
        <w:t xml:space="preserve">peratora </w:t>
      </w:r>
      <w:r w:rsidR="00C06659">
        <w:rPr>
          <w:rFonts w:ascii="Times New Roman" w:hAnsi="Times New Roman" w:cs="Times New Roman"/>
          <w:sz w:val="24"/>
          <w:szCs w:val="24"/>
        </w:rPr>
        <w:t>i</w:t>
      </w:r>
      <w:r w:rsidR="009A1099" w:rsidRPr="00EF6F97">
        <w:rPr>
          <w:rFonts w:ascii="Times New Roman" w:hAnsi="Times New Roman" w:cs="Times New Roman"/>
          <w:sz w:val="24"/>
          <w:szCs w:val="24"/>
        </w:rPr>
        <w:t xml:space="preserve">nformacji </w:t>
      </w:r>
      <w:r w:rsidR="00C06659">
        <w:rPr>
          <w:rFonts w:ascii="Times New Roman" w:hAnsi="Times New Roman" w:cs="Times New Roman"/>
          <w:sz w:val="24"/>
          <w:szCs w:val="24"/>
        </w:rPr>
        <w:t>r</w:t>
      </w:r>
      <w:r w:rsidR="00430319" w:rsidRPr="00EF6F97">
        <w:rPr>
          <w:rFonts w:ascii="Times New Roman" w:hAnsi="Times New Roman" w:cs="Times New Roman"/>
          <w:sz w:val="24"/>
          <w:szCs w:val="24"/>
        </w:rPr>
        <w:t xml:space="preserve">ynku </w:t>
      </w:r>
      <w:r w:rsidR="00C06659">
        <w:rPr>
          <w:rFonts w:ascii="Times New Roman" w:hAnsi="Times New Roman" w:cs="Times New Roman"/>
          <w:sz w:val="24"/>
          <w:szCs w:val="24"/>
        </w:rPr>
        <w:t>e</w:t>
      </w:r>
      <w:r w:rsidR="00430319" w:rsidRPr="00EF6F97">
        <w:rPr>
          <w:rFonts w:ascii="Times New Roman" w:hAnsi="Times New Roman" w:cs="Times New Roman"/>
          <w:sz w:val="24"/>
          <w:szCs w:val="24"/>
        </w:rPr>
        <w:t>nergii</w:t>
      </w:r>
      <w:r w:rsidR="00DA175B">
        <w:rPr>
          <w:rFonts w:ascii="Times New Roman" w:hAnsi="Times New Roman" w:cs="Times New Roman"/>
          <w:sz w:val="24"/>
          <w:szCs w:val="24"/>
        </w:rPr>
        <w:t>,</w:t>
      </w:r>
      <w:r w:rsidR="00A84F2A" w:rsidRPr="00EF6F97">
        <w:rPr>
          <w:rFonts w:ascii="Times New Roman" w:hAnsi="Times New Roman" w:cs="Times New Roman"/>
          <w:sz w:val="24"/>
          <w:szCs w:val="24"/>
        </w:rPr>
        <w:t xml:space="preserve"> którego rolą będzie utworzenie</w:t>
      </w:r>
      <w:r w:rsidR="001D0628">
        <w:rPr>
          <w:rFonts w:ascii="Times New Roman" w:hAnsi="Times New Roman" w:cs="Times New Roman"/>
          <w:sz w:val="24"/>
          <w:szCs w:val="24"/>
        </w:rPr>
        <w:t xml:space="preserve"> i </w:t>
      </w:r>
      <w:r w:rsidR="00A84F2A" w:rsidRPr="00EF6F97">
        <w:rPr>
          <w:rFonts w:ascii="Times New Roman" w:hAnsi="Times New Roman" w:cs="Times New Roman"/>
          <w:sz w:val="24"/>
          <w:szCs w:val="24"/>
        </w:rPr>
        <w:t>rozwój centralnego systemu informacji rynku energii. Obecny projekt ustawy dokonuje rozdziału przepisów dotyczących systemu pomiarowego</w:t>
      </w:r>
      <w:r w:rsidR="001D0628">
        <w:rPr>
          <w:rFonts w:ascii="Times New Roman" w:hAnsi="Times New Roman" w:cs="Times New Roman"/>
          <w:sz w:val="24"/>
          <w:szCs w:val="24"/>
        </w:rPr>
        <w:t xml:space="preserve"> i </w:t>
      </w:r>
      <w:r w:rsidR="00A84F2A" w:rsidRPr="00EF6F97">
        <w:rPr>
          <w:rFonts w:ascii="Times New Roman" w:hAnsi="Times New Roman" w:cs="Times New Roman"/>
          <w:sz w:val="24"/>
          <w:szCs w:val="24"/>
        </w:rPr>
        <w:t xml:space="preserve">centralnego systemu informacji rynku energii. Podział ten odpowiada podziałowi </w:t>
      </w:r>
      <w:r w:rsidR="00A84F2A" w:rsidRPr="00EF6F97">
        <w:rPr>
          <w:rFonts w:ascii="Times New Roman" w:hAnsi="Times New Roman" w:cs="Times New Roman"/>
          <w:sz w:val="24"/>
          <w:szCs w:val="24"/>
        </w:rPr>
        <w:lastRenderedPageBreak/>
        <w:t>odpowiedzialności tych dwóch zakresów:</w:t>
      </w:r>
      <w:r w:rsidR="007A4643" w:rsidRPr="00EF6F97">
        <w:rPr>
          <w:rFonts w:ascii="Times New Roman" w:hAnsi="Times New Roman" w:cs="Times New Roman"/>
          <w:sz w:val="24"/>
          <w:szCs w:val="24"/>
        </w:rPr>
        <w:t xml:space="preserve"> odpowiedzialność za system pomiarowy jest przypisana do operatorów systemów elektroenergetycznych, przede wszystkim do operatorów dystrybucyjnych, natomiast obowiązki związane </w:t>
      </w:r>
      <w:r w:rsidR="001D0628">
        <w:rPr>
          <w:rFonts w:ascii="Times New Roman" w:hAnsi="Times New Roman" w:cs="Times New Roman"/>
          <w:sz w:val="24"/>
          <w:szCs w:val="24"/>
        </w:rPr>
        <w:t>z </w:t>
      </w:r>
      <w:r w:rsidR="007A4643" w:rsidRPr="00EF6F97">
        <w:rPr>
          <w:rFonts w:ascii="Times New Roman" w:hAnsi="Times New Roman" w:cs="Times New Roman"/>
          <w:sz w:val="24"/>
          <w:szCs w:val="24"/>
        </w:rPr>
        <w:t>utworzeniem operatora informacji rynku energii</w:t>
      </w:r>
      <w:r w:rsidR="001D0628">
        <w:rPr>
          <w:rFonts w:ascii="Times New Roman" w:hAnsi="Times New Roman" w:cs="Times New Roman"/>
          <w:sz w:val="24"/>
          <w:szCs w:val="24"/>
        </w:rPr>
        <w:t xml:space="preserve"> i </w:t>
      </w:r>
      <w:r w:rsidR="007A4643" w:rsidRPr="00EF6F97">
        <w:rPr>
          <w:rFonts w:ascii="Times New Roman" w:hAnsi="Times New Roman" w:cs="Times New Roman"/>
          <w:sz w:val="24"/>
          <w:szCs w:val="24"/>
        </w:rPr>
        <w:t>centralnego systemu informacji rynki energii dotyczą wszystkich użytkowników systemu elektroenergetycznego, w szczególny obowiązek spoczywa na operatorze systemu przesyłowego elektroenergetycznego, który będzie pełnił rolę operatora informacji rynku energii</w:t>
      </w:r>
      <w:r w:rsidR="00B64FAC">
        <w:rPr>
          <w:rFonts w:ascii="Times New Roman" w:hAnsi="Times New Roman" w:cs="Times New Roman"/>
          <w:sz w:val="24"/>
          <w:szCs w:val="24"/>
        </w:rPr>
        <w:t>;</w:t>
      </w:r>
      <w:r w:rsidR="007A4643" w:rsidRPr="00EF6F97">
        <w:rPr>
          <w:rFonts w:ascii="Times New Roman" w:hAnsi="Times New Roman" w:cs="Times New Roman"/>
          <w:sz w:val="24"/>
          <w:szCs w:val="24"/>
        </w:rPr>
        <w:t xml:space="preserve"> </w:t>
      </w:r>
    </w:p>
    <w:p w14:paraId="7088BF28" w14:textId="77777777" w:rsidR="00141291" w:rsidRPr="00EF6F97" w:rsidRDefault="00141291"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Wzmacnia się kompetencje nadzorcze Prezesa URE nad rynkiem paliw ciekłych w </w:t>
      </w:r>
      <w:r w:rsidR="008E4C53" w:rsidRPr="00EF6F97">
        <w:rPr>
          <w:rFonts w:ascii="Times New Roman" w:hAnsi="Times New Roman" w:cs="Times New Roman"/>
          <w:sz w:val="24"/>
          <w:szCs w:val="24"/>
        </w:rPr>
        <w:t>celu zapobiegania sygnalizowanym</w:t>
      </w:r>
      <w:r w:rsidRPr="00EF6F97">
        <w:rPr>
          <w:rFonts w:ascii="Times New Roman" w:hAnsi="Times New Roman" w:cs="Times New Roman"/>
          <w:sz w:val="24"/>
          <w:szCs w:val="24"/>
        </w:rPr>
        <w:t xml:space="preserve"> prze</w:t>
      </w:r>
      <w:r w:rsidR="001D0628">
        <w:rPr>
          <w:rFonts w:ascii="Times New Roman" w:hAnsi="Times New Roman" w:cs="Times New Roman"/>
          <w:sz w:val="24"/>
          <w:szCs w:val="24"/>
        </w:rPr>
        <w:t>z </w:t>
      </w:r>
      <w:r w:rsidRPr="00EF6F97">
        <w:rPr>
          <w:rFonts w:ascii="Times New Roman" w:hAnsi="Times New Roman" w:cs="Times New Roman"/>
          <w:sz w:val="24"/>
          <w:szCs w:val="24"/>
        </w:rPr>
        <w:t>ten organ nieprawidłowościom;</w:t>
      </w:r>
    </w:p>
    <w:p w14:paraId="491A639B" w14:textId="599B649B" w:rsidR="0065641E" w:rsidRPr="00EF6F97" w:rsidRDefault="00141291"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Ponadto projekt usuwa zidentyfikowane luki w prawie ora</w:t>
      </w:r>
      <w:r w:rsidR="001D0628">
        <w:rPr>
          <w:rFonts w:ascii="Times New Roman" w:hAnsi="Times New Roman" w:cs="Times New Roman"/>
          <w:sz w:val="24"/>
          <w:szCs w:val="24"/>
        </w:rPr>
        <w:t>z </w:t>
      </w:r>
      <w:r w:rsidRPr="00EF6F97">
        <w:rPr>
          <w:rFonts w:ascii="Times New Roman" w:hAnsi="Times New Roman" w:cs="Times New Roman"/>
          <w:sz w:val="24"/>
          <w:szCs w:val="24"/>
        </w:rPr>
        <w:t>doprecyzowuje przepisy wywołujące rozbieżności interpretacyjne</w:t>
      </w:r>
      <w:r w:rsidR="0065641E" w:rsidRPr="00EF6F97">
        <w:rPr>
          <w:rFonts w:ascii="Times New Roman" w:hAnsi="Times New Roman" w:cs="Times New Roman"/>
          <w:sz w:val="24"/>
          <w:szCs w:val="24"/>
        </w:rPr>
        <w:t>;</w:t>
      </w:r>
    </w:p>
    <w:p w14:paraId="146C17BD" w14:textId="77777777" w:rsidR="00DB0148" w:rsidRDefault="0065641E" w:rsidP="00EF6F97">
      <w:pPr>
        <w:numPr>
          <w:ilvl w:val="0"/>
          <w:numId w:val="12"/>
        </w:num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Wprowadza się odroczenie legalizacji ponownej przyrządów pomiarowych w związku </w:t>
      </w:r>
      <w:r w:rsidR="001D0628">
        <w:rPr>
          <w:rFonts w:ascii="Times New Roman" w:hAnsi="Times New Roman" w:cs="Times New Roman"/>
          <w:sz w:val="24"/>
          <w:szCs w:val="24"/>
        </w:rPr>
        <w:t>z </w:t>
      </w:r>
      <w:r w:rsidRPr="00EF6F97">
        <w:rPr>
          <w:rFonts w:ascii="Times New Roman" w:hAnsi="Times New Roman" w:cs="Times New Roman"/>
          <w:sz w:val="24"/>
          <w:szCs w:val="24"/>
        </w:rPr>
        <w:t>COVID – 19</w:t>
      </w:r>
      <w:r w:rsidR="00DB0148">
        <w:rPr>
          <w:rFonts w:ascii="Times New Roman" w:hAnsi="Times New Roman" w:cs="Times New Roman"/>
          <w:sz w:val="24"/>
          <w:szCs w:val="24"/>
        </w:rPr>
        <w:t>;</w:t>
      </w:r>
    </w:p>
    <w:p w14:paraId="11D76CC1" w14:textId="77777777" w:rsidR="00141291" w:rsidRPr="00EF6F97" w:rsidRDefault="00DB0148" w:rsidP="00DB0148">
      <w:pPr>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Usprawnia się procedurę przeprowadzania aukcji uregulowanej w </w:t>
      </w:r>
      <w:r w:rsidRPr="00DB0148">
        <w:rPr>
          <w:rFonts w:ascii="Times New Roman" w:hAnsi="Times New Roman" w:cs="Times New Roman"/>
          <w:sz w:val="24"/>
          <w:szCs w:val="24"/>
        </w:rPr>
        <w:t>ustawie z dnia 14 grudnia 2018 r. o promowaniu energii elektrycznej z wysokosprawnej kogeneracji</w:t>
      </w:r>
      <w:r>
        <w:rPr>
          <w:rFonts w:ascii="Times New Roman" w:hAnsi="Times New Roman" w:cs="Times New Roman"/>
          <w:sz w:val="24"/>
          <w:szCs w:val="24"/>
        </w:rPr>
        <w:t>.</w:t>
      </w:r>
    </w:p>
    <w:p w14:paraId="1073D958" w14:textId="77777777" w:rsidR="00BE449A" w:rsidRPr="00EF6F97" w:rsidRDefault="00BE449A" w:rsidP="00EF6F97">
      <w:pPr>
        <w:spacing w:line="360" w:lineRule="auto"/>
        <w:jc w:val="both"/>
        <w:rPr>
          <w:rFonts w:ascii="Times New Roman" w:hAnsi="Times New Roman" w:cs="Times New Roman"/>
          <w:sz w:val="24"/>
          <w:szCs w:val="24"/>
        </w:rPr>
      </w:pPr>
    </w:p>
    <w:p w14:paraId="4765C568" w14:textId="396F612E" w:rsidR="00F3785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5C3FB7" w:rsidRPr="00EF6F97">
        <w:rPr>
          <w:rFonts w:ascii="Times New Roman" w:hAnsi="Times New Roman" w:cs="Times New Roman"/>
          <w:sz w:val="24"/>
          <w:szCs w:val="24"/>
        </w:rPr>
        <w:t xml:space="preserve">Ad 1. </w:t>
      </w:r>
      <w:r w:rsidR="00F3785E" w:rsidRPr="00EF6F97">
        <w:rPr>
          <w:rFonts w:ascii="Times New Roman" w:hAnsi="Times New Roman" w:cs="Times New Roman"/>
          <w:sz w:val="24"/>
          <w:szCs w:val="24"/>
        </w:rPr>
        <w:t>W projekcie ustawy wprowadza się przepisy niezbędne do prawidłowego</w:t>
      </w:r>
      <w:r w:rsidR="001D0628">
        <w:rPr>
          <w:rFonts w:ascii="Times New Roman" w:hAnsi="Times New Roman" w:cs="Times New Roman"/>
          <w:sz w:val="24"/>
          <w:szCs w:val="24"/>
        </w:rPr>
        <w:t xml:space="preserve"> i </w:t>
      </w:r>
      <w:r w:rsidR="00F3785E" w:rsidRPr="00EF6F97">
        <w:rPr>
          <w:rFonts w:ascii="Times New Roman" w:hAnsi="Times New Roman" w:cs="Times New Roman"/>
          <w:sz w:val="24"/>
          <w:szCs w:val="24"/>
        </w:rPr>
        <w:t>skutecznego stosowania przepisów rozporządzenia Parlamentu Europejskiego</w:t>
      </w:r>
      <w:r w:rsidR="001D0628">
        <w:rPr>
          <w:rFonts w:ascii="Times New Roman" w:hAnsi="Times New Roman" w:cs="Times New Roman"/>
          <w:sz w:val="24"/>
          <w:szCs w:val="24"/>
        </w:rPr>
        <w:t xml:space="preserve"> i </w:t>
      </w:r>
      <w:r w:rsidR="00F3785E" w:rsidRPr="00EF6F97">
        <w:rPr>
          <w:rFonts w:ascii="Times New Roman" w:hAnsi="Times New Roman" w:cs="Times New Roman"/>
          <w:sz w:val="24"/>
          <w:szCs w:val="24"/>
        </w:rPr>
        <w:t xml:space="preserve">Rady (UE) 2015/1222 </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dnia 24 lipca 2015</w:t>
      </w:r>
      <w:r w:rsidR="001D0628">
        <w:rPr>
          <w:rFonts w:ascii="Times New Roman" w:hAnsi="Times New Roman" w:cs="Times New Roman"/>
          <w:sz w:val="24"/>
          <w:szCs w:val="24"/>
        </w:rPr>
        <w:t> r.</w:t>
      </w:r>
      <w:r w:rsidR="00F3785E" w:rsidRPr="00EF6F97">
        <w:rPr>
          <w:rFonts w:ascii="Times New Roman" w:hAnsi="Times New Roman" w:cs="Times New Roman"/>
          <w:sz w:val="24"/>
          <w:szCs w:val="24"/>
        </w:rPr>
        <w:t xml:space="preserve"> ustanawiającego wytyczne dotyczące alokacji zdolności przesyłowych</w:t>
      </w:r>
      <w:r w:rsidR="001D0628">
        <w:rPr>
          <w:rFonts w:ascii="Times New Roman" w:hAnsi="Times New Roman" w:cs="Times New Roman"/>
          <w:sz w:val="24"/>
          <w:szCs w:val="24"/>
        </w:rPr>
        <w:t xml:space="preserve"> i </w:t>
      </w:r>
      <w:r w:rsidR="00F3785E" w:rsidRPr="00EF6F97">
        <w:rPr>
          <w:rFonts w:ascii="Times New Roman" w:hAnsi="Times New Roman" w:cs="Times New Roman"/>
          <w:sz w:val="24"/>
          <w:szCs w:val="24"/>
        </w:rPr>
        <w:t xml:space="preserve">zarządzania ograniczeniami przesyłowymi (Dz. Urz. UE L 197 </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25.</w:t>
      </w:r>
      <w:r w:rsidR="00B64FAC">
        <w:rPr>
          <w:rFonts w:ascii="Times New Roman" w:hAnsi="Times New Roman" w:cs="Times New Roman"/>
          <w:sz w:val="24"/>
          <w:szCs w:val="24"/>
        </w:rPr>
        <w:t>0</w:t>
      </w:r>
      <w:r w:rsidR="00F3785E" w:rsidRPr="00EF6F97">
        <w:rPr>
          <w:rFonts w:ascii="Times New Roman" w:hAnsi="Times New Roman" w:cs="Times New Roman"/>
          <w:sz w:val="24"/>
          <w:szCs w:val="24"/>
        </w:rPr>
        <w:t>7.2015, str. 24</w:t>
      </w:r>
      <w:r w:rsidR="00B64FAC">
        <w:rPr>
          <w:rFonts w:ascii="Times New Roman" w:hAnsi="Times New Roman" w:cs="Times New Roman"/>
          <w:sz w:val="24"/>
          <w:szCs w:val="24"/>
        </w:rPr>
        <w:t>, z późn.zm.</w:t>
      </w:r>
      <w:r w:rsidR="00F3785E" w:rsidRPr="00EF6F97">
        <w:rPr>
          <w:rFonts w:ascii="Times New Roman" w:hAnsi="Times New Roman" w:cs="Times New Roman"/>
          <w:sz w:val="24"/>
          <w:szCs w:val="24"/>
        </w:rPr>
        <w:t xml:space="preserve">), (capacity allocation and congestion management), zwanego dalej „Rozporządzeniem CACM”. </w:t>
      </w:r>
    </w:p>
    <w:p w14:paraId="265308B7" w14:textId="5B814432" w:rsidR="00F3785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F3785E" w:rsidRPr="00EF6F97">
        <w:rPr>
          <w:rFonts w:ascii="Times New Roman" w:hAnsi="Times New Roman" w:cs="Times New Roman"/>
          <w:sz w:val="24"/>
          <w:szCs w:val="24"/>
        </w:rPr>
        <w:t>Rozporządzenie CACM nakłada na regulatora obowiązek zapewnienia przestrzegania prze</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nomin</w:t>
      </w:r>
      <w:r w:rsidR="00A47788" w:rsidRPr="00EF6F97">
        <w:rPr>
          <w:rFonts w:ascii="Times New Roman" w:hAnsi="Times New Roman" w:cs="Times New Roman"/>
          <w:sz w:val="24"/>
          <w:szCs w:val="24"/>
        </w:rPr>
        <w:t>owanego operatora rynku energii, zwanego dalej „NEMO”</w:t>
      </w:r>
      <w:r w:rsidR="00B64FAC">
        <w:rPr>
          <w:rFonts w:ascii="Times New Roman" w:hAnsi="Times New Roman" w:cs="Times New Roman"/>
          <w:sz w:val="24"/>
          <w:szCs w:val="24"/>
        </w:rPr>
        <w:t xml:space="preserve">, </w:t>
      </w:r>
      <w:r w:rsidR="00F3785E" w:rsidRPr="00EF6F97">
        <w:rPr>
          <w:rFonts w:ascii="Times New Roman" w:hAnsi="Times New Roman" w:cs="Times New Roman"/>
          <w:sz w:val="24"/>
          <w:szCs w:val="24"/>
        </w:rPr>
        <w:t>przepisów Rozporządzenia CACM ora</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oceny spełniania prze</w:t>
      </w:r>
      <w:r w:rsidR="001D0628">
        <w:rPr>
          <w:rFonts w:ascii="Times New Roman" w:hAnsi="Times New Roman" w:cs="Times New Roman"/>
          <w:sz w:val="24"/>
          <w:szCs w:val="24"/>
        </w:rPr>
        <w:t>z </w:t>
      </w:r>
      <w:r w:rsidR="00032DC8" w:rsidRPr="00EF6F97">
        <w:rPr>
          <w:rFonts w:ascii="Times New Roman" w:hAnsi="Times New Roman" w:cs="Times New Roman"/>
          <w:sz w:val="24"/>
          <w:szCs w:val="24"/>
        </w:rPr>
        <w:t xml:space="preserve">NEMO </w:t>
      </w:r>
      <w:r w:rsidR="00F3785E" w:rsidRPr="00EF6F97">
        <w:rPr>
          <w:rFonts w:ascii="Times New Roman" w:hAnsi="Times New Roman" w:cs="Times New Roman"/>
          <w:sz w:val="24"/>
          <w:szCs w:val="24"/>
        </w:rPr>
        <w:t>kryteriów wyznaczenia na nominowanego</w:t>
      </w:r>
      <w:r w:rsidR="009F3D5A" w:rsidRPr="00EF6F97">
        <w:rPr>
          <w:rFonts w:ascii="Times New Roman" w:hAnsi="Times New Roman" w:cs="Times New Roman"/>
          <w:sz w:val="24"/>
          <w:szCs w:val="24"/>
        </w:rPr>
        <w:t xml:space="preserve"> (wyznaczonego)</w:t>
      </w:r>
      <w:r w:rsidR="00F3785E" w:rsidRPr="00EF6F97">
        <w:rPr>
          <w:rFonts w:ascii="Times New Roman" w:hAnsi="Times New Roman" w:cs="Times New Roman"/>
          <w:sz w:val="24"/>
          <w:szCs w:val="24"/>
        </w:rPr>
        <w:t xml:space="preserve"> operatora rynku energii określonych w art. 6 Rozporządzenia CACM.</w:t>
      </w:r>
    </w:p>
    <w:p w14:paraId="5A821777" w14:textId="77777777" w:rsidR="00F3785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F3785E" w:rsidRPr="00EF6F97">
        <w:rPr>
          <w:rFonts w:ascii="Times New Roman" w:hAnsi="Times New Roman" w:cs="Times New Roman"/>
          <w:sz w:val="24"/>
          <w:szCs w:val="24"/>
        </w:rPr>
        <w:t xml:space="preserve">Przedmiotowy projekt przewiduje rozszerzenie </w:t>
      </w:r>
      <w:r w:rsidR="000F4042" w:rsidRPr="00EF6F97">
        <w:rPr>
          <w:rFonts w:ascii="Times New Roman" w:hAnsi="Times New Roman" w:cs="Times New Roman"/>
          <w:sz w:val="24"/>
          <w:szCs w:val="24"/>
        </w:rPr>
        <w:t xml:space="preserve">niektórych </w:t>
      </w:r>
      <w:r w:rsidR="00F3785E" w:rsidRPr="00EF6F97">
        <w:rPr>
          <w:rFonts w:ascii="Times New Roman" w:hAnsi="Times New Roman" w:cs="Times New Roman"/>
          <w:sz w:val="24"/>
          <w:szCs w:val="24"/>
        </w:rPr>
        <w:t>uprawień organu regulacyjnego ora</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określenie sankcji za dokonywanie naruszeń obowiązków przewidzianych w przepisach Rozporządzenia CACM. W Rozporządzeniu CACM przewidziane są następujące zasady w zakresie nadzorowania, monitorowania</w:t>
      </w:r>
      <w:r w:rsidR="001D0628">
        <w:rPr>
          <w:rFonts w:ascii="Times New Roman" w:hAnsi="Times New Roman" w:cs="Times New Roman"/>
          <w:sz w:val="24"/>
          <w:szCs w:val="24"/>
        </w:rPr>
        <w:t xml:space="preserve"> i </w:t>
      </w:r>
      <w:r w:rsidR="00F3785E" w:rsidRPr="00EF6F97">
        <w:rPr>
          <w:rFonts w:ascii="Times New Roman" w:hAnsi="Times New Roman" w:cs="Times New Roman"/>
          <w:sz w:val="24"/>
          <w:szCs w:val="24"/>
        </w:rPr>
        <w:t>kontroli działań NEMO:</w:t>
      </w:r>
    </w:p>
    <w:p w14:paraId="4BCB18E8" w14:textId="77777777" w:rsidR="00F3785E" w:rsidRPr="00215A1D" w:rsidRDefault="00032DC8" w:rsidP="00215A1D">
      <w:pPr>
        <w:pStyle w:val="Akapitzlist"/>
        <w:numPr>
          <w:ilvl w:val="0"/>
          <w:numId w:val="20"/>
        </w:numPr>
        <w:spacing w:after="0" w:line="360" w:lineRule="auto"/>
        <w:jc w:val="both"/>
        <w:rPr>
          <w:rFonts w:ascii="Times New Roman" w:hAnsi="Times New Roman"/>
          <w:sz w:val="24"/>
          <w:szCs w:val="24"/>
        </w:rPr>
      </w:pPr>
      <w:r w:rsidRPr="00215A1D">
        <w:rPr>
          <w:rFonts w:ascii="Times New Roman" w:hAnsi="Times New Roman"/>
          <w:sz w:val="24"/>
          <w:szCs w:val="24"/>
        </w:rPr>
        <w:t>Z</w:t>
      </w:r>
      <w:r w:rsidR="00F3785E" w:rsidRPr="00215A1D">
        <w:rPr>
          <w:rFonts w:ascii="Times New Roman" w:hAnsi="Times New Roman"/>
          <w:sz w:val="24"/>
          <w:szCs w:val="24"/>
        </w:rPr>
        <w:t xml:space="preserve">godnie </w:t>
      </w:r>
      <w:r w:rsidR="001D0628">
        <w:rPr>
          <w:rFonts w:ascii="Times New Roman" w:hAnsi="Times New Roman"/>
          <w:sz w:val="24"/>
          <w:szCs w:val="24"/>
        </w:rPr>
        <w:t>z </w:t>
      </w:r>
      <w:r w:rsidR="00F3785E" w:rsidRPr="00215A1D">
        <w:rPr>
          <w:rFonts w:ascii="Times New Roman" w:hAnsi="Times New Roman"/>
          <w:sz w:val="24"/>
          <w:szCs w:val="24"/>
        </w:rPr>
        <w:t>art. 4 ust. 3 Rozporządzenia CACM za monitorowanie spełnienia kryteriów wyznaczenia na NEMO odpowiedzialny jest krajow</w:t>
      </w:r>
      <w:r w:rsidRPr="00215A1D">
        <w:rPr>
          <w:rFonts w:ascii="Times New Roman" w:hAnsi="Times New Roman"/>
          <w:sz w:val="24"/>
          <w:szCs w:val="24"/>
        </w:rPr>
        <w:t>y organ regulacyjny</w:t>
      </w:r>
      <w:r w:rsidR="00F3785E" w:rsidRPr="00215A1D">
        <w:rPr>
          <w:rFonts w:ascii="Times New Roman" w:hAnsi="Times New Roman"/>
          <w:sz w:val="24"/>
          <w:szCs w:val="24"/>
        </w:rPr>
        <w:t>;</w:t>
      </w:r>
    </w:p>
    <w:p w14:paraId="49874C9B" w14:textId="00EFF782" w:rsidR="00F3785E" w:rsidRPr="00215A1D" w:rsidRDefault="00032DC8" w:rsidP="00215A1D">
      <w:pPr>
        <w:pStyle w:val="Akapitzlist"/>
        <w:numPr>
          <w:ilvl w:val="0"/>
          <w:numId w:val="20"/>
        </w:numPr>
        <w:spacing w:after="0" w:line="360" w:lineRule="auto"/>
        <w:jc w:val="both"/>
        <w:rPr>
          <w:rFonts w:ascii="Times New Roman" w:hAnsi="Times New Roman"/>
          <w:sz w:val="24"/>
          <w:szCs w:val="24"/>
        </w:rPr>
      </w:pPr>
      <w:r w:rsidRPr="00215A1D">
        <w:rPr>
          <w:rFonts w:ascii="Times New Roman" w:hAnsi="Times New Roman"/>
          <w:sz w:val="24"/>
          <w:szCs w:val="24"/>
        </w:rPr>
        <w:lastRenderedPageBreak/>
        <w:t>Z</w:t>
      </w:r>
      <w:r w:rsidR="00F3785E" w:rsidRPr="00215A1D">
        <w:rPr>
          <w:rFonts w:ascii="Times New Roman" w:hAnsi="Times New Roman"/>
          <w:sz w:val="24"/>
          <w:szCs w:val="24"/>
        </w:rPr>
        <w:t xml:space="preserve">godnie </w:t>
      </w:r>
      <w:r w:rsidR="001D0628">
        <w:rPr>
          <w:rFonts w:ascii="Times New Roman" w:hAnsi="Times New Roman"/>
          <w:sz w:val="24"/>
          <w:szCs w:val="24"/>
        </w:rPr>
        <w:t>z </w:t>
      </w:r>
      <w:r w:rsidR="00F3785E" w:rsidRPr="00215A1D">
        <w:rPr>
          <w:rFonts w:ascii="Times New Roman" w:hAnsi="Times New Roman"/>
          <w:sz w:val="24"/>
          <w:szCs w:val="24"/>
        </w:rPr>
        <w:t xml:space="preserve">art. 4 ust. 5 Rozporządzenia </w:t>
      </w:r>
      <w:r w:rsidRPr="00215A1D">
        <w:rPr>
          <w:rFonts w:ascii="Times New Roman" w:hAnsi="Times New Roman"/>
          <w:sz w:val="24"/>
          <w:szCs w:val="24"/>
        </w:rPr>
        <w:t>CACM organ wyznaczający</w:t>
      </w:r>
      <w:r w:rsidR="00F3785E" w:rsidRPr="00215A1D">
        <w:rPr>
          <w:rFonts w:ascii="Times New Roman" w:hAnsi="Times New Roman"/>
          <w:sz w:val="24"/>
          <w:szCs w:val="24"/>
        </w:rPr>
        <w:t xml:space="preserve"> monitoruje ora</w:t>
      </w:r>
      <w:r w:rsidR="001D0628">
        <w:rPr>
          <w:rFonts w:ascii="Times New Roman" w:hAnsi="Times New Roman"/>
          <w:sz w:val="24"/>
          <w:szCs w:val="24"/>
        </w:rPr>
        <w:t>z </w:t>
      </w:r>
      <w:r w:rsidR="00F3785E" w:rsidRPr="00215A1D">
        <w:rPr>
          <w:rFonts w:ascii="Times New Roman" w:hAnsi="Times New Roman"/>
          <w:sz w:val="24"/>
          <w:szCs w:val="24"/>
        </w:rPr>
        <w:t>zapewnia przestrzeganie Rozporządzenia CACM prze</w:t>
      </w:r>
      <w:r w:rsidR="001D0628">
        <w:rPr>
          <w:rFonts w:ascii="Times New Roman" w:hAnsi="Times New Roman"/>
          <w:sz w:val="24"/>
          <w:szCs w:val="24"/>
        </w:rPr>
        <w:t>z </w:t>
      </w:r>
      <w:r w:rsidR="00F3785E" w:rsidRPr="00215A1D">
        <w:rPr>
          <w:rFonts w:ascii="Times New Roman" w:hAnsi="Times New Roman"/>
          <w:sz w:val="24"/>
          <w:szCs w:val="24"/>
        </w:rPr>
        <w:t>wszystkich NEMO dokonujących jednolitego łączenia rynków dnia następnego lub rynków dnia bieżącego w danym państwie członkowskim, be</w:t>
      </w:r>
      <w:r w:rsidR="001D0628">
        <w:rPr>
          <w:rFonts w:ascii="Times New Roman" w:hAnsi="Times New Roman"/>
          <w:sz w:val="24"/>
          <w:szCs w:val="24"/>
        </w:rPr>
        <w:t>z </w:t>
      </w:r>
      <w:r w:rsidR="00F3785E" w:rsidRPr="00215A1D">
        <w:rPr>
          <w:rFonts w:ascii="Times New Roman" w:hAnsi="Times New Roman"/>
          <w:sz w:val="24"/>
          <w:szCs w:val="24"/>
        </w:rPr>
        <w:t>względu na to, gdzie wyznaczono NEMO;</w:t>
      </w:r>
    </w:p>
    <w:p w14:paraId="6692A55B" w14:textId="77777777" w:rsidR="00F3785E" w:rsidRPr="00215A1D" w:rsidRDefault="00032DC8" w:rsidP="00215A1D">
      <w:pPr>
        <w:pStyle w:val="Akapitzlist"/>
        <w:numPr>
          <w:ilvl w:val="0"/>
          <w:numId w:val="20"/>
        </w:numPr>
        <w:spacing w:after="0" w:line="360" w:lineRule="auto"/>
        <w:jc w:val="both"/>
        <w:rPr>
          <w:rFonts w:ascii="Times New Roman" w:hAnsi="Times New Roman"/>
          <w:sz w:val="24"/>
          <w:szCs w:val="24"/>
        </w:rPr>
      </w:pPr>
      <w:r w:rsidRPr="00215A1D">
        <w:rPr>
          <w:rFonts w:ascii="Times New Roman" w:hAnsi="Times New Roman"/>
          <w:sz w:val="24"/>
          <w:szCs w:val="24"/>
        </w:rPr>
        <w:t>O</w:t>
      </w:r>
      <w:r w:rsidR="00F3785E" w:rsidRPr="00215A1D">
        <w:rPr>
          <w:rFonts w:ascii="Times New Roman" w:hAnsi="Times New Roman"/>
          <w:sz w:val="24"/>
          <w:szCs w:val="24"/>
        </w:rPr>
        <w:t>rgan wyznaczający dysponuje ponadto następującymi kompetencjami w zakresie kontrolowania działalności prowadzonej prze</w:t>
      </w:r>
      <w:r w:rsidR="001D0628">
        <w:rPr>
          <w:rFonts w:ascii="Times New Roman" w:hAnsi="Times New Roman"/>
          <w:sz w:val="24"/>
          <w:szCs w:val="24"/>
        </w:rPr>
        <w:t>z </w:t>
      </w:r>
      <w:r w:rsidR="00F3785E" w:rsidRPr="00215A1D">
        <w:rPr>
          <w:rFonts w:ascii="Times New Roman" w:hAnsi="Times New Roman"/>
          <w:sz w:val="24"/>
          <w:szCs w:val="24"/>
        </w:rPr>
        <w:t>NEMO</w:t>
      </w:r>
      <w:r w:rsidR="001D0628">
        <w:rPr>
          <w:rFonts w:ascii="Times New Roman" w:hAnsi="Times New Roman"/>
          <w:sz w:val="24"/>
          <w:szCs w:val="24"/>
        </w:rPr>
        <w:t xml:space="preserve"> i </w:t>
      </w:r>
      <w:r w:rsidR="00F3785E" w:rsidRPr="00215A1D">
        <w:rPr>
          <w:rFonts w:ascii="Times New Roman" w:hAnsi="Times New Roman"/>
          <w:sz w:val="24"/>
          <w:szCs w:val="24"/>
        </w:rPr>
        <w:t>przes</w:t>
      </w:r>
      <w:r w:rsidRPr="00215A1D">
        <w:rPr>
          <w:rFonts w:ascii="Times New Roman" w:hAnsi="Times New Roman"/>
          <w:sz w:val="24"/>
          <w:szCs w:val="24"/>
        </w:rPr>
        <w:t>trzegania kryteriów wyznaczenia:</w:t>
      </w:r>
    </w:p>
    <w:p w14:paraId="22DE861A" w14:textId="16816DE9" w:rsidR="00F3785E" w:rsidRPr="00215A1D" w:rsidRDefault="00F3785E" w:rsidP="00261934">
      <w:pPr>
        <w:pStyle w:val="Akapitzlist"/>
        <w:numPr>
          <w:ilvl w:val="0"/>
          <w:numId w:val="22"/>
        </w:numPr>
        <w:spacing w:after="0" w:line="360" w:lineRule="auto"/>
        <w:ind w:left="993" w:hanging="284"/>
        <w:jc w:val="both"/>
        <w:rPr>
          <w:rFonts w:ascii="Times New Roman" w:hAnsi="Times New Roman"/>
          <w:sz w:val="24"/>
          <w:szCs w:val="24"/>
        </w:rPr>
      </w:pPr>
      <w:r w:rsidRPr="00215A1D">
        <w:rPr>
          <w:rFonts w:ascii="Times New Roman" w:hAnsi="Times New Roman"/>
          <w:sz w:val="24"/>
          <w:szCs w:val="24"/>
        </w:rPr>
        <w:t>w stosunku do wyznaczonego prze</w:t>
      </w:r>
      <w:r w:rsidR="001D0628">
        <w:rPr>
          <w:rFonts w:ascii="Times New Roman" w:hAnsi="Times New Roman"/>
          <w:sz w:val="24"/>
          <w:szCs w:val="24"/>
        </w:rPr>
        <w:t>z </w:t>
      </w:r>
      <w:r w:rsidRPr="00215A1D">
        <w:rPr>
          <w:rFonts w:ascii="Times New Roman" w:hAnsi="Times New Roman"/>
          <w:sz w:val="24"/>
          <w:szCs w:val="24"/>
        </w:rPr>
        <w:t>siebie NEMO jest obowiązany cofnąć wyznaczenie w przypadku gdy dany NEMO przestał wypełniać kryteria wyznaczenia</w:t>
      </w:r>
      <w:r w:rsidR="001D0628">
        <w:rPr>
          <w:rFonts w:ascii="Times New Roman" w:hAnsi="Times New Roman"/>
          <w:sz w:val="24"/>
          <w:szCs w:val="24"/>
        </w:rPr>
        <w:t xml:space="preserve"> i </w:t>
      </w:r>
      <w:r w:rsidRPr="00215A1D">
        <w:rPr>
          <w:rFonts w:ascii="Times New Roman" w:hAnsi="Times New Roman"/>
          <w:sz w:val="24"/>
          <w:szCs w:val="24"/>
        </w:rPr>
        <w:t xml:space="preserve">nie przywrócił stanu zgodnego </w:t>
      </w:r>
      <w:r w:rsidR="001D0628">
        <w:rPr>
          <w:rFonts w:ascii="Times New Roman" w:hAnsi="Times New Roman"/>
          <w:sz w:val="24"/>
          <w:szCs w:val="24"/>
        </w:rPr>
        <w:t>z </w:t>
      </w:r>
      <w:r w:rsidRPr="00215A1D">
        <w:rPr>
          <w:rFonts w:ascii="Times New Roman" w:hAnsi="Times New Roman"/>
          <w:sz w:val="24"/>
          <w:szCs w:val="24"/>
        </w:rPr>
        <w:t>tymi kryteriami w ciągu 6 miesięcy od przesłania informacji o uchybieniu;</w:t>
      </w:r>
    </w:p>
    <w:p w14:paraId="4DCB5874" w14:textId="7E623611" w:rsidR="00F3785E" w:rsidRPr="00215A1D" w:rsidRDefault="00F3785E" w:rsidP="00261934">
      <w:pPr>
        <w:pStyle w:val="Akapitzlist"/>
        <w:numPr>
          <w:ilvl w:val="0"/>
          <w:numId w:val="22"/>
        </w:numPr>
        <w:spacing w:after="0" w:line="360" w:lineRule="auto"/>
        <w:ind w:left="993" w:hanging="284"/>
        <w:jc w:val="both"/>
        <w:rPr>
          <w:rFonts w:ascii="Times New Roman" w:hAnsi="Times New Roman"/>
          <w:sz w:val="24"/>
          <w:szCs w:val="24"/>
        </w:rPr>
      </w:pPr>
      <w:r w:rsidRPr="00215A1D">
        <w:rPr>
          <w:rFonts w:ascii="Times New Roman" w:hAnsi="Times New Roman"/>
          <w:sz w:val="24"/>
          <w:szCs w:val="24"/>
        </w:rPr>
        <w:t>w odniesieniu do NEMO, które działa na terytorium danego państw</w:t>
      </w:r>
      <w:r w:rsidR="00B64FAC">
        <w:rPr>
          <w:rFonts w:ascii="Times New Roman" w:hAnsi="Times New Roman"/>
          <w:sz w:val="24"/>
          <w:szCs w:val="24"/>
        </w:rPr>
        <w:t>a</w:t>
      </w:r>
      <w:r w:rsidRPr="00215A1D">
        <w:rPr>
          <w:rFonts w:ascii="Times New Roman" w:hAnsi="Times New Roman"/>
          <w:sz w:val="24"/>
          <w:szCs w:val="24"/>
        </w:rPr>
        <w:t xml:space="preserve"> członkowskiego w oparciu o art. 4 ust. 5 (czyli na podstawie wyznaczenia w innym państwie</w:t>
      </w:r>
      <w:r w:rsidR="001D0628">
        <w:rPr>
          <w:rFonts w:ascii="Times New Roman" w:hAnsi="Times New Roman"/>
          <w:sz w:val="24"/>
          <w:szCs w:val="24"/>
        </w:rPr>
        <w:t xml:space="preserve"> i </w:t>
      </w:r>
      <w:r w:rsidRPr="00215A1D">
        <w:rPr>
          <w:rFonts w:ascii="Times New Roman" w:hAnsi="Times New Roman"/>
          <w:sz w:val="24"/>
          <w:szCs w:val="24"/>
        </w:rPr>
        <w:t>zawiadomienia o chęci prowadzenia działalności w danym państwie członkowskim), organ wyznaczający może zawiesić prawo do oferowania usług obrotu energią na rynkach dnia następnego</w:t>
      </w:r>
      <w:r w:rsidR="001D0628">
        <w:rPr>
          <w:rFonts w:ascii="Times New Roman" w:hAnsi="Times New Roman"/>
          <w:sz w:val="24"/>
          <w:szCs w:val="24"/>
        </w:rPr>
        <w:t xml:space="preserve"> i </w:t>
      </w:r>
      <w:r w:rsidRPr="00215A1D">
        <w:rPr>
          <w:rFonts w:ascii="Times New Roman" w:hAnsi="Times New Roman"/>
          <w:sz w:val="24"/>
          <w:szCs w:val="24"/>
        </w:rPr>
        <w:t>dnia bieżącego w tym państwie członkowskim, o ile uzna, że dany NEMO nie spełnia kryteriów wyznaczenia</w:t>
      </w:r>
      <w:r w:rsidR="001D0628">
        <w:rPr>
          <w:rFonts w:ascii="Times New Roman" w:hAnsi="Times New Roman"/>
          <w:sz w:val="24"/>
          <w:szCs w:val="24"/>
        </w:rPr>
        <w:t xml:space="preserve"> i </w:t>
      </w:r>
      <w:r w:rsidRPr="00215A1D">
        <w:rPr>
          <w:rFonts w:ascii="Times New Roman" w:hAnsi="Times New Roman"/>
          <w:sz w:val="24"/>
          <w:szCs w:val="24"/>
        </w:rPr>
        <w:t>nie doprowadzi do stanu zgodności w ciągu 3 miesięcy od przesłania informacji o uchybieniu.</w:t>
      </w:r>
    </w:p>
    <w:p w14:paraId="0D0D3F26" w14:textId="77777777" w:rsidR="00F3785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F3785E" w:rsidRPr="00EF6F97">
        <w:rPr>
          <w:rFonts w:ascii="Times New Roman" w:hAnsi="Times New Roman" w:cs="Times New Roman"/>
          <w:sz w:val="24"/>
          <w:szCs w:val="24"/>
        </w:rPr>
        <w:t xml:space="preserve">Ponadto, zgodnie </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art. 82 Rozporządzenia CACM, podmiot lub podmioty wykonujące funkcje operatora łączenia rynków (tzw. MCO) są monitorowane prze</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organy regulacyjne lub organy właściwe dla terytor</w:t>
      </w:r>
      <w:r w:rsidR="00032DC8" w:rsidRPr="00EF6F97">
        <w:rPr>
          <w:rFonts w:ascii="Times New Roman" w:hAnsi="Times New Roman" w:cs="Times New Roman"/>
          <w:sz w:val="24"/>
          <w:szCs w:val="24"/>
        </w:rPr>
        <w:t>ium, na którym są zlokalizowane</w:t>
      </w:r>
      <w:r w:rsidR="00F3785E" w:rsidRPr="00EF6F97">
        <w:rPr>
          <w:rFonts w:ascii="Times New Roman" w:hAnsi="Times New Roman" w:cs="Times New Roman"/>
          <w:sz w:val="24"/>
          <w:szCs w:val="24"/>
        </w:rPr>
        <w:t xml:space="preserve">. </w:t>
      </w:r>
    </w:p>
    <w:p w14:paraId="503C4296" w14:textId="18C133BF" w:rsidR="00F3785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F3785E" w:rsidRPr="00EF6F97">
        <w:rPr>
          <w:rFonts w:ascii="Times New Roman" w:hAnsi="Times New Roman" w:cs="Times New Roman"/>
          <w:sz w:val="24"/>
          <w:szCs w:val="24"/>
        </w:rPr>
        <w:t>Przywołane powyżej przepisy Rozporządzenia CACM jednoznacznie wskazują na i</w:t>
      </w:r>
      <w:r w:rsidR="00032DC8" w:rsidRPr="00EF6F97">
        <w:rPr>
          <w:rFonts w:ascii="Times New Roman" w:hAnsi="Times New Roman" w:cs="Times New Roman"/>
          <w:sz w:val="24"/>
          <w:szCs w:val="24"/>
        </w:rPr>
        <w:t>stotne kompetencje monitorująco-</w:t>
      </w:r>
      <w:r w:rsidR="00F3785E" w:rsidRPr="00EF6F97">
        <w:rPr>
          <w:rFonts w:ascii="Times New Roman" w:hAnsi="Times New Roman" w:cs="Times New Roman"/>
          <w:sz w:val="24"/>
          <w:szCs w:val="24"/>
        </w:rPr>
        <w:t>kontrolne, które posiada</w:t>
      </w:r>
      <w:r w:rsidR="001D0628">
        <w:rPr>
          <w:rFonts w:ascii="Times New Roman" w:hAnsi="Times New Roman" w:cs="Times New Roman"/>
          <w:sz w:val="24"/>
          <w:szCs w:val="24"/>
        </w:rPr>
        <w:t xml:space="preserve"> i </w:t>
      </w:r>
      <w:r w:rsidR="00F3785E" w:rsidRPr="00EF6F97">
        <w:rPr>
          <w:rFonts w:ascii="Times New Roman" w:hAnsi="Times New Roman" w:cs="Times New Roman"/>
          <w:sz w:val="24"/>
          <w:szCs w:val="24"/>
        </w:rPr>
        <w:t>powinien być w stanie realizować</w:t>
      </w:r>
      <w:r w:rsidR="00032DC8" w:rsidRPr="00EF6F97">
        <w:rPr>
          <w:rFonts w:ascii="Times New Roman" w:hAnsi="Times New Roman" w:cs="Times New Roman"/>
          <w:sz w:val="24"/>
          <w:szCs w:val="24"/>
        </w:rPr>
        <w:t xml:space="preserve"> regulator</w:t>
      </w:r>
      <w:r w:rsidR="00F3785E" w:rsidRPr="00EF6F97">
        <w:rPr>
          <w:rFonts w:ascii="Times New Roman" w:hAnsi="Times New Roman" w:cs="Times New Roman"/>
          <w:sz w:val="24"/>
          <w:szCs w:val="24"/>
        </w:rPr>
        <w:t>, zarówno w odniesieniu do NEMO wyznaczonych prze</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siebie, jak</w:t>
      </w:r>
      <w:r w:rsidR="001D0628">
        <w:rPr>
          <w:rFonts w:ascii="Times New Roman" w:hAnsi="Times New Roman" w:cs="Times New Roman"/>
          <w:sz w:val="24"/>
          <w:szCs w:val="24"/>
        </w:rPr>
        <w:t xml:space="preserve"> i </w:t>
      </w:r>
      <w:r w:rsidR="00F3785E" w:rsidRPr="00EF6F97">
        <w:rPr>
          <w:rFonts w:ascii="Times New Roman" w:hAnsi="Times New Roman" w:cs="Times New Roman"/>
          <w:sz w:val="24"/>
          <w:szCs w:val="24"/>
        </w:rPr>
        <w:t>wyznaczonych w innych państwach członkowskich ale działających na terytorium RP na podstawie art. 4 ust. 5 Rozporządzenia CACM. Ponadto wymienione wyżej kompetencje</w:t>
      </w:r>
      <w:r w:rsidR="001D0628">
        <w:rPr>
          <w:rFonts w:ascii="Times New Roman" w:hAnsi="Times New Roman" w:cs="Times New Roman"/>
          <w:sz w:val="24"/>
          <w:szCs w:val="24"/>
        </w:rPr>
        <w:t xml:space="preserve"> i </w:t>
      </w:r>
      <w:r w:rsidR="00F3785E" w:rsidRPr="00EF6F97">
        <w:rPr>
          <w:rFonts w:ascii="Times New Roman" w:hAnsi="Times New Roman" w:cs="Times New Roman"/>
          <w:sz w:val="24"/>
          <w:szCs w:val="24"/>
        </w:rPr>
        <w:t>obowiązki krajowych organów regulacyjnych w stosunku do NEMO</w:t>
      </w:r>
      <w:r w:rsidR="001D0628">
        <w:rPr>
          <w:rFonts w:ascii="Times New Roman" w:hAnsi="Times New Roman" w:cs="Times New Roman"/>
          <w:sz w:val="24"/>
          <w:szCs w:val="24"/>
        </w:rPr>
        <w:t xml:space="preserve"> i </w:t>
      </w:r>
      <w:r w:rsidR="00F3785E" w:rsidRPr="00EF6F97">
        <w:rPr>
          <w:rFonts w:ascii="Times New Roman" w:hAnsi="Times New Roman" w:cs="Times New Roman"/>
          <w:sz w:val="24"/>
          <w:szCs w:val="24"/>
        </w:rPr>
        <w:t>MCO mają charakter ogólny</w:t>
      </w:r>
      <w:r w:rsidR="001D0628">
        <w:rPr>
          <w:rFonts w:ascii="Times New Roman" w:hAnsi="Times New Roman" w:cs="Times New Roman"/>
          <w:sz w:val="24"/>
          <w:szCs w:val="24"/>
        </w:rPr>
        <w:t xml:space="preserve"> i </w:t>
      </w:r>
      <w:r w:rsidR="00F3785E" w:rsidRPr="00EF6F97">
        <w:rPr>
          <w:rFonts w:ascii="Times New Roman" w:hAnsi="Times New Roman" w:cs="Times New Roman"/>
          <w:sz w:val="24"/>
          <w:szCs w:val="24"/>
        </w:rPr>
        <w:t xml:space="preserve">wymagają doprecyzowania w przepisach krajowych, w celu zapewnienia pełnej skuteczności rozwiązaniom zawartym w Rozporządzeniu CACM. </w:t>
      </w:r>
    </w:p>
    <w:p w14:paraId="32D34DA8" w14:textId="514500D7" w:rsidR="00F3785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F3785E" w:rsidRPr="00EF6F97">
        <w:rPr>
          <w:rFonts w:ascii="Times New Roman" w:hAnsi="Times New Roman" w:cs="Times New Roman"/>
          <w:sz w:val="24"/>
          <w:szCs w:val="24"/>
        </w:rPr>
        <w:t xml:space="preserve">Należy przy tym podnieść argument o różnej sytuacji NEMO będących giełdą towarową w rozumieniu ustawy </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dnia 26 października 2000</w:t>
      </w:r>
      <w:r w:rsidR="001D0628">
        <w:rPr>
          <w:rFonts w:ascii="Times New Roman" w:hAnsi="Times New Roman" w:cs="Times New Roman"/>
          <w:sz w:val="24"/>
          <w:szCs w:val="24"/>
        </w:rPr>
        <w:t> r.</w:t>
      </w:r>
      <w:r w:rsidR="00F3785E" w:rsidRPr="00EF6F97">
        <w:rPr>
          <w:rFonts w:ascii="Times New Roman" w:hAnsi="Times New Roman" w:cs="Times New Roman"/>
          <w:sz w:val="24"/>
          <w:szCs w:val="24"/>
        </w:rPr>
        <w:t xml:space="preserve"> o giełdach towarowych (Dz.</w:t>
      </w:r>
      <w:r w:rsidR="00261934">
        <w:rPr>
          <w:rFonts w:ascii="Times New Roman" w:hAnsi="Times New Roman" w:cs="Times New Roman"/>
          <w:sz w:val="24"/>
          <w:szCs w:val="24"/>
        </w:rPr>
        <w:t> </w:t>
      </w:r>
      <w:r w:rsidR="00F3785E" w:rsidRPr="00EF6F97">
        <w:rPr>
          <w:rFonts w:ascii="Times New Roman" w:hAnsi="Times New Roman" w:cs="Times New Roman"/>
          <w:sz w:val="24"/>
          <w:szCs w:val="24"/>
        </w:rPr>
        <w:t xml:space="preserve">U. </w:t>
      </w:r>
      <w:r w:rsidR="004C47FB">
        <w:rPr>
          <w:rFonts w:ascii="Times New Roman" w:hAnsi="Times New Roman" w:cs="Times New Roman"/>
          <w:sz w:val="24"/>
          <w:szCs w:val="24"/>
        </w:rPr>
        <w:t xml:space="preserve">z </w:t>
      </w:r>
      <w:r w:rsidR="00F3785E" w:rsidRPr="00EF6F97">
        <w:rPr>
          <w:rFonts w:ascii="Times New Roman" w:hAnsi="Times New Roman" w:cs="Times New Roman"/>
          <w:sz w:val="24"/>
          <w:szCs w:val="24"/>
        </w:rPr>
        <w:t>201</w:t>
      </w:r>
      <w:r w:rsidR="00B64FAC">
        <w:rPr>
          <w:rFonts w:ascii="Times New Roman" w:hAnsi="Times New Roman" w:cs="Times New Roman"/>
          <w:sz w:val="24"/>
          <w:szCs w:val="24"/>
        </w:rPr>
        <w:t>9</w:t>
      </w:r>
      <w:r w:rsidR="00F3785E" w:rsidRPr="00EF6F97">
        <w:rPr>
          <w:rFonts w:ascii="Times New Roman" w:hAnsi="Times New Roman" w:cs="Times New Roman"/>
          <w:sz w:val="24"/>
          <w:szCs w:val="24"/>
        </w:rPr>
        <w:t xml:space="preserve"> </w:t>
      </w:r>
      <w:r w:rsidR="004C47FB">
        <w:rPr>
          <w:rFonts w:ascii="Times New Roman" w:hAnsi="Times New Roman" w:cs="Times New Roman"/>
          <w:sz w:val="24"/>
          <w:szCs w:val="24"/>
        </w:rPr>
        <w:t xml:space="preserve">r. </w:t>
      </w:r>
      <w:r w:rsidR="00F3785E" w:rsidRPr="00EF6F97">
        <w:rPr>
          <w:rFonts w:ascii="Times New Roman" w:hAnsi="Times New Roman" w:cs="Times New Roman"/>
          <w:sz w:val="24"/>
          <w:szCs w:val="24"/>
        </w:rPr>
        <w:t>poz.</w:t>
      </w:r>
      <w:r w:rsidR="00B64FAC">
        <w:rPr>
          <w:rFonts w:ascii="Times New Roman" w:hAnsi="Times New Roman" w:cs="Times New Roman"/>
          <w:sz w:val="24"/>
          <w:szCs w:val="24"/>
        </w:rPr>
        <w:t xml:space="preserve"> 312</w:t>
      </w:r>
      <w:r w:rsidR="00F3785E" w:rsidRPr="00EF6F97">
        <w:rPr>
          <w:rFonts w:ascii="Times New Roman" w:hAnsi="Times New Roman" w:cs="Times New Roman"/>
          <w:sz w:val="24"/>
          <w:szCs w:val="24"/>
        </w:rPr>
        <w:t>) ora</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 xml:space="preserve">NEMO niespełniającego tego warunku. Wyznaczenie na </w:t>
      </w:r>
      <w:r w:rsidR="00F3785E" w:rsidRPr="00EF6F97">
        <w:rPr>
          <w:rFonts w:ascii="Times New Roman" w:hAnsi="Times New Roman" w:cs="Times New Roman"/>
          <w:sz w:val="24"/>
          <w:szCs w:val="24"/>
        </w:rPr>
        <w:lastRenderedPageBreak/>
        <w:t>NEMO prze</w:t>
      </w:r>
      <w:r w:rsidR="001D0628">
        <w:rPr>
          <w:rFonts w:ascii="Times New Roman" w:hAnsi="Times New Roman" w:cs="Times New Roman"/>
          <w:sz w:val="24"/>
          <w:szCs w:val="24"/>
        </w:rPr>
        <w:t>z </w:t>
      </w:r>
      <w:r w:rsidR="00032DC8" w:rsidRPr="00EF6F97">
        <w:rPr>
          <w:rFonts w:ascii="Times New Roman" w:hAnsi="Times New Roman" w:cs="Times New Roman"/>
          <w:sz w:val="24"/>
          <w:szCs w:val="24"/>
        </w:rPr>
        <w:t xml:space="preserve">regulatora </w:t>
      </w:r>
      <w:r w:rsidR="00F3785E" w:rsidRPr="00EF6F97">
        <w:rPr>
          <w:rFonts w:ascii="Times New Roman" w:hAnsi="Times New Roman" w:cs="Times New Roman"/>
          <w:sz w:val="24"/>
          <w:szCs w:val="24"/>
        </w:rPr>
        <w:t>(lub pełnienie takiej funkcji prze</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 xml:space="preserve">podmiot wyznaczony w innym państwie członkowskim) nie jest równoznaczne </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przyznaniem statusu giełdy towarowej w rozumieniu</w:t>
      </w:r>
      <w:r w:rsidR="004C47FB">
        <w:rPr>
          <w:rFonts w:ascii="Times New Roman" w:hAnsi="Times New Roman" w:cs="Times New Roman"/>
          <w:sz w:val="24"/>
          <w:szCs w:val="24"/>
        </w:rPr>
        <w:t xml:space="preserve"> </w:t>
      </w:r>
      <w:r w:rsidR="00F3785E" w:rsidRPr="00EF6F97">
        <w:rPr>
          <w:rFonts w:ascii="Times New Roman" w:hAnsi="Times New Roman" w:cs="Times New Roman"/>
          <w:sz w:val="24"/>
          <w:szCs w:val="24"/>
        </w:rPr>
        <w:t xml:space="preserve">ustawy </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dnia 26 października 2000</w:t>
      </w:r>
      <w:r w:rsidR="001D0628">
        <w:rPr>
          <w:rFonts w:ascii="Times New Roman" w:hAnsi="Times New Roman" w:cs="Times New Roman"/>
          <w:sz w:val="24"/>
          <w:szCs w:val="24"/>
        </w:rPr>
        <w:t> r.</w:t>
      </w:r>
      <w:r w:rsidR="00F3785E" w:rsidRPr="00EF6F97">
        <w:rPr>
          <w:rFonts w:ascii="Times New Roman" w:hAnsi="Times New Roman" w:cs="Times New Roman"/>
          <w:sz w:val="24"/>
          <w:szCs w:val="24"/>
        </w:rPr>
        <w:t xml:space="preserve"> o giełdach towarowych. O ile zatem w stosunku do NEMO niebędąceg</w:t>
      </w:r>
      <w:r w:rsidR="00032DC8" w:rsidRPr="00EF6F97">
        <w:rPr>
          <w:rFonts w:ascii="Times New Roman" w:hAnsi="Times New Roman" w:cs="Times New Roman"/>
          <w:sz w:val="24"/>
          <w:szCs w:val="24"/>
        </w:rPr>
        <w:t>o giełdą towarową ani krajowy regulator</w:t>
      </w:r>
      <w:r w:rsidR="00F3785E" w:rsidRPr="00EF6F97">
        <w:rPr>
          <w:rFonts w:ascii="Times New Roman" w:hAnsi="Times New Roman" w:cs="Times New Roman"/>
          <w:sz w:val="24"/>
          <w:szCs w:val="24"/>
        </w:rPr>
        <w:t xml:space="preserve">, ani inne organy regulacyjne nie dysponują żadnymi kompetencjami, przewidzianymi w prawie krajowym, o tyle istnieją możliwości wykonywania nadzoru w stosunku do giełd towarowych (pełniącymi przy okazji funkcje NEMO). </w:t>
      </w:r>
    </w:p>
    <w:p w14:paraId="6F5705B6" w14:textId="77777777" w:rsidR="00F3785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F3785E" w:rsidRPr="00EF6F97">
        <w:rPr>
          <w:rFonts w:ascii="Times New Roman" w:hAnsi="Times New Roman" w:cs="Times New Roman"/>
          <w:sz w:val="24"/>
          <w:szCs w:val="24"/>
        </w:rPr>
        <w:t>Powyższy argument opiera się na wskazanej wyżej różnicy polegającej na dysponowaniu instrumentami regulacyjnymi (choć także niewystarczającymi) w stosunku do NEMO będącego jednocześnie giełdą towarową ora</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NEMO, który nie spełnia tego kryterium (zagraniczne NEMO). O ile bowiem, na podstawie obowiązujących przepis</w:t>
      </w:r>
      <w:r w:rsidR="00032DC8" w:rsidRPr="00EF6F97">
        <w:rPr>
          <w:rFonts w:ascii="Times New Roman" w:hAnsi="Times New Roman" w:cs="Times New Roman"/>
          <w:sz w:val="24"/>
          <w:szCs w:val="24"/>
        </w:rPr>
        <w:t>ów krajowych, zarówno regulator</w:t>
      </w:r>
      <w:r w:rsidR="00F3785E" w:rsidRPr="00EF6F97">
        <w:rPr>
          <w:rFonts w:ascii="Times New Roman" w:hAnsi="Times New Roman" w:cs="Times New Roman"/>
          <w:sz w:val="24"/>
          <w:szCs w:val="24"/>
        </w:rPr>
        <w:t>, jak</w:t>
      </w:r>
      <w:r w:rsidR="001D0628">
        <w:rPr>
          <w:rFonts w:ascii="Times New Roman" w:hAnsi="Times New Roman" w:cs="Times New Roman"/>
          <w:sz w:val="24"/>
          <w:szCs w:val="24"/>
        </w:rPr>
        <w:t xml:space="preserve"> i </w:t>
      </w:r>
      <w:r w:rsidR="00F3785E" w:rsidRPr="00EF6F97">
        <w:rPr>
          <w:rFonts w:ascii="Times New Roman" w:hAnsi="Times New Roman" w:cs="Times New Roman"/>
          <w:sz w:val="24"/>
          <w:szCs w:val="24"/>
        </w:rPr>
        <w:t>Komisja Nadzoru Finansowego są w stanie nadzorować działalność giełdy towarowej jako NEMO, o tyle nie dysponują praktycznie żadnymi uprawnieniami w prawie krajowym w odniesieniu do zagranicznych NEMO. Jedyną możliwością wpływania na zachowania tych podmiotów są unormowane w rozporządzeniu CACM daleko idące sankcje w postaci cofnięcia wyznaczenia lub (w przypadku NEMO świadczącego usługi na podstawie tzw. paszportu) – zawieszenie możliwości wykonywania funkcji NEMO</w:t>
      </w:r>
      <w:r w:rsidR="00032DC8" w:rsidRPr="00EF6F97">
        <w:rPr>
          <w:rFonts w:ascii="Times New Roman" w:hAnsi="Times New Roman" w:cs="Times New Roman"/>
          <w:sz w:val="24"/>
          <w:szCs w:val="24"/>
        </w:rPr>
        <w:t>.</w:t>
      </w:r>
    </w:p>
    <w:p w14:paraId="78831598" w14:textId="6B3C1900" w:rsidR="00F3785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F3785E" w:rsidRPr="00EF6F97">
        <w:rPr>
          <w:rFonts w:ascii="Times New Roman" w:hAnsi="Times New Roman" w:cs="Times New Roman"/>
          <w:sz w:val="24"/>
          <w:szCs w:val="24"/>
        </w:rPr>
        <w:t>Istnieje zatem konieczność uregulowania na poziomie krajowym zasad nadzoru nad NEMO, które dotyczyłby wszystk</w:t>
      </w:r>
      <w:r w:rsidR="000F4042" w:rsidRPr="00EF6F97">
        <w:rPr>
          <w:rFonts w:ascii="Times New Roman" w:hAnsi="Times New Roman" w:cs="Times New Roman"/>
          <w:sz w:val="24"/>
          <w:szCs w:val="24"/>
        </w:rPr>
        <w:t>ich NEMO, zarówno podmiotów nie</w:t>
      </w:r>
      <w:r w:rsidR="00F3785E" w:rsidRPr="00EF6F97">
        <w:rPr>
          <w:rFonts w:ascii="Times New Roman" w:hAnsi="Times New Roman" w:cs="Times New Roman"/>
          <w:sz w:val="24"/>
          <w:szCs w:val="24"/>
        </w:rPr>
        <w:t>będących giełdami towarowymi w rozumieniu ustawy o giełdach towarowych, a więc tzw. zagranicznych NEMO</w:t>
      </w:r>
      <w:r w:rsidR="00261934">
        <w:rPr>
          <w:rFonts w:ascii="Times New Roman" w:hAnsi="Times New Roman" w:cs="Times New Roman"/>
          <w:sz w:val="24"/>
          <w:szCs w:val="24"/>
        </w:rPr>
        <w:t>,</w:t>
      </w:r>
      <w:r w:rsidR="001D0628">
        <w:rPr>
          <w:rFonts w:ascii="Times New Roman" w:hAnsi="Times New Roman" w:cs="Times New Roman"/>
          <w:sz w:val="24"/>
          <w:szCs w:val="24"/>
        </w:rPr>
        <w:t xml:space="preserve"> i </w:t>
      </w:r>
      <w:r w:rsidR="00F3785E" w:rsidRPr="00EF6F97">
        <w:rPr>
          <w:rFonts w:ascii="Times New Roman" w:hAnsi="Times New Roman" w:cs="Times New Roman"/>
          <w:sz w:val="24"/>
          <w:szCs w:val="24"/>
        </w:rPr>
        <w:t>podmiotów będącymi giełdami towarowymi w rozumieniu ustawy o giełdach towarowych.</w:t>
      </w:r>
    </w:p>
    <w:p w14:paraId="57E0596F" w14:textId="77777777" w:rsidR="00F3785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F3785E" w:rsidRPr="00EF6F97">
        <w:rPr>
          <w:rFonts w:ascii="Times New Roman" w:hAnsi="Times New Roman" w:cs="Times New Roman"/>
          <w:sz w:val="24"/>
          <w:szCs w:val="24"/>
        </w:rPr>
        <w:t>Konieczne jest przyjęcie przepisów umożliwiających bieżący</w:t>
      </w:r>
      <w:r w:rsidR="001D0628">
        <w:rPr>
          <w:rFonts w:ascii="Times New Roman" w:hAnsi="Times New Roman" w:cs="Times New Roman"/>
          <w:sz w:val="24"/>
          <w:szCs w:val="24"/>
        </w:rPr>
        <w:t xml:space="preserve"> i </w:t>
      </w:r>
      <w:r w:rsidR="00F3785E" w:rsidRPr="00EF6F97">
        <w:rPr>
          <w:rFonts w:ascii="Times New Roman" w:hAnsi="Times New Roman" w:cs="Times New Roman"/>
          <w:sz w:val="24"/>
          <w:szCs w:val="24"/>
        </w:rPr>
        <w:t>regularny (np. coroczny) monitoring działalności prowadzonej prze</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wszystkich NEMO, w kontekście wypełniania prze</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te podmioty kryteriów wyznaczenia ora</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prawidłowego realizowania zadań NEMO</w:t>
      </w:r>
      <w:r w:rsidR="001D0628">
        <w:rPr>
          <w:rFonts w:ascii="Times New Roman" w:hAnsi="Times New Roman" w:cs="Times New Roman"/>
          <w:sz w:val="24"/>
          <w:szCs w:val="24"/>
        </w:rPr>
        <w:t xml:space="preserve"> i </w:t>
      </w:r>
      <w:r w:rsidR="00F3785E" w:rsidRPr="00EF6F97">
        <w:rPr>
          <w:rFonts w:ascii="Times New Roman" w:hAnsi="Times New Roman" w:cs="Times New Roman"/>
          <w:sz w:val="24"/>
          <w:szCs w:val="24"/>
        </w:rPr>
        <w:t>MCO</w:t>
      </w:r>
      <w:r w:rsidR="00032DC8" w:rsidRPr="00EF6F97">
        <w:rPr>
          <w:rFonts w:ascii="Times New Roman" w:hAnsi="Times New Roman" w:cs="Times New Roman"/>
          <w:sz w:val="24"/>
          <w:szCs w:val="24"/>
        </w:rPr>
        <w:t>.</w:t>
      </w:r>
    </w:p>
    <w:p w14:paraId="54D3E2D8" w14:textId="54824662" w:rsidR="00F3785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F3785E" w:rsidRPr="00EF6F97">
        <w:rPr>
          <w:rFonts w:ascii="Times New Roman" w:hAnsi="Times New Roman" w:cs="Times New Roman"/>
          <w:sz w:val="24"/>
          <w:szCs w:val="24"/>
        </w:rPr>
        <w:t xml:space="preserve">Celowe jest przyjęcie przepisów </w:t>
      </w:r>
      <w:r w:rsidR="00032DC8" w:rsidRPr="00EF6F97">
        <w:rPr>
          <w:rFonts w:ascii="Times New Roman" w:hAnsi="Times New Roman" w:cs="Times New Roman"/>
          <w:sz w:val="24"/>
          <w:szCs w:val="24"/>
        </w:rPr>
        <w:t>krajowych dających krajowemu regulatorowi</w:t>
      </w:r>
      <w:r w:rsidR="00F3785E" w:rsidRPr="00EF6F97">
        <w:rPr>
          <w:rFonts w:ascii="Times New Roman" w:hAnsi="Times New Roman" w:cs="Times New Roman"/>
          <w:sz w:val="24"/>
          <w:szCs w:val="24"/>
        </w:rPr>
        <w:t xml:space="preserve"> kompetencje do stałego monitorowania działalności prze</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 xml:space="preserve">te podmioty (w kontekście realizacji zadań wynikających </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Rozporządzenia CACM, w szczególności określonych w</w:t>
      </w:r>
      <w:r w:rsidR="00242812">
        <w:rPr>
          <w:rFonts w:ascii="Times New Roman" w:hAnsi="Times New Roman" w:cs="Times New Roman"/>
          <w:sz w:val="24"/>
          <w:szCs w:val="24"/>
        </w:rPr>
        <w:t> </w:t>
      </w:r>
      <w:r w:rsidR="00F3785E" w:rsidRPr="00EF6F97">
        <w:rPr>
          <w:rFonts w:ascii="Times New Roman" w:hAnsi="Times New Roman" w:cs="Times New Roman"/>
          <w:sz w:val="24"/>
          <w:szCs w:val="24"/>
        </w:rPr>
        <w:t>art.</w:t>
      </w:r>
      <w:r w:rsidR="00242812">
        <w:rPr>
          <w:rFonts w:ascii="Times New Roman" w:hAnsi="Times New Roman" w:cs="Times New Roman"/>
          <w:sz w:val="24"/>
          <w:szCs w:val="24"/>
        </w:rPr>
        <w:t> </w:t>
      </w:r>
      <w:r w:rsidR="00F3785E" w:rsidRPr="00EF6F97">
        <w:rPr>
          <w:rFonts w:ascii="Times New Roman" w:hAnsi="Times New Roman" w:cs="Times New Roman"/>
          <w:sz w:val="24"/>
          <w:szCs w:val="24"/>
        </w:rPr>
        <w:t>7) ora</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do periodycznej weryfikacji spełniania prze</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 xml:space="preserve">nie kryteriów wyznaczenia zawartych w art. 6 Rozporządzenia CACM. Jak wspomniano powyżej, wprowadzenie takich przepisów jest niezbędne, </w:t>
      </w:r>
      <w:r w:rsidR="001D0628">
        <w:rPr>
          <w:rFonts w:ascii="Times New Roman" w:hAnsi="Times New Roman" w:cs="Times New Roman"/>
          <w:sz w:val="24"/>
          <w:szCs w:val="24"/>
        </w:rPr>
        <w:t>z </w:t>
      </w:r>
      <w:r w:rsidR="00F3785E" w:rsidRPr="00EF6F97">
        <w:rPr>
          <w:rFonts w:ascii="Times New Roman" w:hAnsi="Times New Roman" w:cs="Times New Roman"/>
          <w:sz w:val="24"/>
          <w:szCs w:val="24"/>
        </w:rPr>
        <w:t>uwagi na szczątkowe regulacje w tym zakresie zawarte w Rozporządzeniu CACM (pozwalające tylko na zastosowanie ostatecznego środka w postaci zaprzestania działalności prze NEMO,</w:t>
      </w:r>
      <w:r w:rsidR="001D0628">
        <w:rPr>
          <w:rFonts w:ascii="Times New Roman" w:hAnsi="Times New Roman" w:cs="Times New Roman"/>
          <w:sz w:val="24"/>
          <w:szCs w:val="24"/>
        </w:rPr>
        <w:t xml:space="preserve"> i </w:t>
      </w:r>
      <w:r w:rsidR="00F3785E" w:rsidRPr="00EF6F97">
        <w:rPr>
          <w:rFonts w:ascii="Times New Roman" w:hAnsi="Times New Roman" w:cs="Times New Roman"/>
          <w:sz w:val="24"/>
          <w:szCs w:val="24"/>
        </w:rPr>
        <w:t xml:space="preserve">to tylko w przypadku zaprzestania wypełniania </w:t>
      </w:r>
      <w:r w:rsidR="00F3785E" w:rsidRPr="00EF6F97">
        <w:rPr>
          <w:rFonts w:ascii="Times New Roman" w:hAnsi="Times New Roman" w:cs="Times New Roman"/>
          <w:sz w:val="24"/>
          <w:szCs w:val="24"/>
        </w:rPr>
        <w:lastRenderedPageBreak/>
        <w:t xml:space="preserve">kryteriów wyznaczenia). </w:t>
      </w:r>
    </w:p>
    <w:p w14:paraId="5FB26B68" w14:textId="77777777" w:rsidR="00E577E0" w:rsidRPr="00EF6F97" w:rsidRDefault="00E577E0"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W związku </w:t>
      </w:r>
      <w:r w:rsidR="001D0628">
        <w:rPr>
          <w:rFonts w:ascii="Times New Roman" w:hAnsi="Times New Roman" w:cs="Times New Roman"/>
          <w:sz w:val="24"/>
          <w:szCs w:val="24"/>
        </w:rPr>
        <w:t>z </w:t>
      </w:r>
      <w:r w:rsidRPr="00EF6F97">
        <w:rPr>
          <w:rFonts w:ascii="Times New Roman" w:hAnsi="Times New Roman" w:cs="Times New Roman"/>
          <w:sz w:val="24"/>
          <w:szCs w:val="24"/>
        </w:rPr>
        <w:t>powyższym w ustawie wprowadza się następujące zmiany:</w:t>
      </w:r>
    </w:p>
    <w:p w14:paraId="5ACF670C" w14:textId="77777777" w:rsidR="00E577E0" w:rsidRPr="00215A1D" w:rsidRDefault="00E577E0" w:rsidP="00215A1D">
      <w:pPr>
        <w:pStyle w:val="Akapitzlist"/>
        <w:numPr>
          <w:ilvl w:val="0"/>
          <w:numId w:val="19"/>
        </w:numPr>
        <w:spacing w:after="0" w:line="360" w:lineRule="auto"/>
        <w:jc w:val="both"/>
        <w:rPr>
          <w:rFonts w:ascii="Times New Roman" w:hAnsi="Times New Roman"/>
          <w:sz w:val="24"/>
          <w:szCs w:val="24"/>
        </w:rPr>
      </w:pPr>
      <w:r w:rsidRPr="00215A1D">
        <w:rPr>
          <w:rFonts w:ascii="Times New Roman" w:hAnsi="Times New Roman"/>
          <w:sz w:val="24"/>
          <w:szCs w:val="24"/>
        </w:rPr>
        <w:t>zdefiniowano NEMO,</w:t>
      </w:r>
    </w:p>
    <w:p w14:paraId="61B11146" w14:textId="77777777" w:rsidR="00E577E0" w:rsidRPr="00215A1D" w:rsidRDefault="00E577E0" w:rsidP="00215A1D">
      <w:pPr>
        <w:pStyle w:val="Akapitzlist"/>
        <w:numPr>
          <w:ilvl w:val="0"/>
          <w:numId w:val="19"/>
        </w:numPr>
        <w:spacing w:after="0" w:line="360" w:lineRule="auto"/>
        <w:jc w:val="both"/>
        <w:rPr>
          <w:rFonts w:ascii="Times New Roman" w:hAnsi="Times New Roman"/>
          <w:sz w:val="24"/>
          <w:szCs w:val="24"/>
        </w:rPr>
      </w:pPr>
      <w:r w:rsidRPr="00215A1D">
        <w:rPr>
          <w:rFonts w:ascii="Times New Roman" w:hAnsi="Times New Roman"/>
          <w:sz w:val="24"/>
          <w:szCs w:val="24"/>
        </w:rPr>
        <w:t>nadano regulatorowi kompetencje do ustalania zasad podziału uprawnień do głosowania prze</w:t>
      </w:r>
      <w:r w:rsidR="001D0628">
        <w:rPr>
          <w:rFonts w:ascii="Times New Roman" w:hAnsi="Times New Roman"/>
          <w:sz w:val="24"/>
          <w:szCs w:val="24"/>
        </w:rPr>
        <w:t>z </w:t>
      </w:r>
      <w:r w:rsidRPr="00215A1D">
        <w:rPr>
          <w:rFonts w:ascii="Times New Roman" w:hAnsi="Times New Roman"/>
          <w:sz w:val="24"/>
          <w:szCs w:val="24"/>
        </w:rPr>
        <w:t>NEMO</w:t>
      </w:r>
      <w:r w:rsidR="001D0628">
        <w:rPr>
          <w:rFonts w:ascii="Times New Roman" w:hAnsi="Times New Roman"/>
          <w:sz w:val="24"/>
          <w:szCs w:val="24"/>
        </w:rPr>
        <w:t xml:space="preserve"> i </w:t>
      </w:r>
      <w:r w:rsidRPr="00215A1D">
        <w:rPr>
          <w:rFonts w:ascii="Times New Roman" w:hAnsi="Times New Roman"/>
          <w:sz w:val="24"/>
          <w:szCs w:val="24"/>
        </w:rPr>
        <w:t>podział tych uprawnień w rozumieniu art. 9 ust. 2 akapit 4 Rozporządzenia CACM,</w:t>
      </w:r>
    </w:p>
    <w:p w14:paraId="60F08311" w14:textId="2DF674AA" w:rsidR="00E577E0" w:rsidRPr="00215A1D" w:rsidRDefault="00E577E0" w:rsidP="00215A1D">
      <w:pPr>
        <w:pStyle w:val="Akapitzlist"/>
        <w:numPr>
          <w:ilvl w:val="0"/>
          <w:numId w:val="19"/>
        </w:numPr>
        <w:spacing w:after="0" w:line="360" w:lineRule="auto"/>
        <w:jc w:val="both"/>
        <w:rPr>
          <w:rFonts w:ascii="Times New Roman" w:hAnsi="Times New Roman"/>
          <w:sz w:val="24"/>
          <w:szCs w:val="24"/>
        </w:rPr>
      </w:pPr>
      <w:r w:rsidRPr="00215A1D">
        <w:rPr>
          <w:rFonts w:ascii="Times New Roman" w:hAnsi="Times New Roman"/>
          <w:sz w:val="24"/>
          <w:szCs w:val="24"/>
        </w:rPr>
        <w:t>przyznano regulatorowi prawo do żądania od NEMO</w:t>
      </w:r>
      <w:r w:rsidR="00B64FAC">
        <w:rPr>
          <w:rFonts w:ascii="Times New Roman" w:hAnsi="Times New Roman"/>
          <w:sz w:val="24"/>
          <w:szCs w:val="24"/>
        </w:rPr>
        <w:t xml:space="preserve"> </w:t>
      </w:r>
      <w:r w:rsidR="00A90B74" w:rsidRPr="00215A1D">
        <w:rPr>
          <w:rFonts w:ascii="Times New Roman" w:hAnsi="Times New Roman"/>
          <w:sz w:val="24"/>
          <w:szCs w:val="24"/>
        </w:rPr>
        <w:t xml:space="preserve">przedstawienia informacji lub dokumentów dotyczących wykonywanej działalności </w:t>
      </w:r>
      <w:r w:rsidR="00374EF3">
        <w:rPr>
          <w:rFonts w:ascii="Times New Roman" w:hAnsi="Times New Roman"/>
          <w:sz w:val="24"/>
          <w:szCs w:val="24"/>
        </w:rPr>
        <w:t>wyznaczo</w:t>
      </w:r>
      <w:r w:rsidR="00A90B74" w:rsidRPr="00215A1D">
        <w:rPr>
          <w:rFonts w:ascii="Times New Roman" w:hAnsi="Times New Roman"/>
          <w:sz w:val="24"/>
          <w:szCs w:val="24"/>
        </w:rPr>
        <w:t>nego operatora rynku energii elektrycznej</w:t>
      </w:r>
      <w:r w:rsidRPr="00215A1D">
        <w:rPr>
          <w:rFonts w:ascii="Times New Roman" w:hAnsi="Times New Roman"/>
          <w:sz w:val="24"/>
          <w:szCs w:val="24"/>
        </w:rPr>
        <w:t xml:space="preserve">. </w:t>
      </w:r>
    </w:p>
    <w:p w14:paraId="05E11ED0" w14:textId="6C2C181C" w:rsidR="00E577E0"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F17363" w:rsidRPr="00EF6F97">
        <w:rPr>
          <w:rFonts w:ascii="Times New Roman" w:hAnsi="Times New Roman" w:cs="Times New Roman"/>
          <w:sz w:val="24"/>
          <w:szCs w:val="24"/>
        </w:rPr>
        <w:t xml:space="preserve">W projekcie określono również sankcje dla NEMO za nieprzestrzeganie obowiązków wynikających </w:t>
      </w:r>
      <w:r w:rsidR="001D0628">
        <w:rPr>
          <w:rFonts w:ascii="Times New Roman" w:hAnsi="Times New Roman" w:cs="Times New Roman"/>
          <w:sz w:val="24"/>
          <w:szCs w:val="24"/>
        </w:rPr>
        <w:t>z </w:t>
      </w:r>
      <w:r w:rsidR="00F17363" w:rsidRPr="00EF6F97">
        <w:rPr>
          <w:rFonts w:ascii="Times New Roman" w:hAnsi="Times New Roman" w:cs="Times New Roman"/>
          <w:sz w:val="24"/>
          <w:szCs w:val="24"/>
        </w:rPr>
        <w:t>przepisów Rozporządzenia CACM, nieprzekazywanie ACERowi</w:t>
      </w:r>
      <w:r w:rsidR="00211759" w:rsidRPr="00EF6F97">
        <w:rPr>
          <w:rFonts w:ascii="Times New Roman" w:hAnsi="Times New Roman" w:cs="Times New Roman"/>
          <w:sz w:val="24"/>
          <w:szCs w:val="24"/>
        </w:rPr>
        <w:t xml:space="preserve"> lub Prezesowi</w:t>
      </w:r>
      <w:r w:rsidR="00B64FAC">
        <w:rPr>
          <w:rFonts w:ascii="Times New Roman" w:hAnsi="Times New Roman" w:cs="Times New Roman"/>
          <w:sz w:val="24"/>
          <w:szCs w:val="24"/>
        </w:rPr>
        <w:t xml:space="preserve"> </w:t>
      </w:r>
      <w:r w:rsidR="00211759" w:rsidRPr="00EF6F97">
        <w:rPr>
          <w:rFonts w:ascii="Times New Roman" w:hAnsi="Times New Roman" w:cs="Times New Roman"/>
          <w:sz w:val="24"/>
          <w:szCs w:val="24"/>
        </w:rPr>
        <w:t>U</w:t>
      </w:r>
      <w:r w:rsidR="0053461A" w:rsidRPr="00EF6F97">
        <w:rPr>
          <w:rFonts w:ascii="Times New Roman" w:hAnsi="Times New Roman" w:cs="Times New Roman"/>
          <w:sz w:val="24"/>
          <w:szCs w:val="24"/>
        </w:rPr>
        <w:t>RE informacji, w tym przekazywanie informacji nieprawdziwych lub niepełnych.</w:t>
      </w:r>
    </w:p>
    <w:p w14:paraId="2867B9CD" w14:textId="3027A31A" w:rsidR="00956630" w:rsidRPr="00EF6F97" w:rsidRDefault="00C44398"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W projekcie ustawy określono również ogólne zasady głosowania w sprawie decyzji dotyczących wniosków przygotowywanych prze</w:t>
      </w:r>
      <w:r w:rsidR="001D0628">
        <w:rPr>
          <w:rFonts w:ascii="Times New Roman" w:hAnsi="Times New Roman" w:cs="Times New Roman"/>
          <w:sz w:val="24"/>
          <w:szCs w:val="24"/>
        </w:rPr>
        <w:t>z </w:t>
      </w:r>
      <w:r w:rsidRPr="00EF6F97">
        <w:rPr>
          <w:rFonts w:ascii="Times New Roman" w:hAnsi="Times New Roman" w:cs="Times New Roman"/>
          <w:sz w:val="24"/>
          <w:szCs w:val="24"/>
        </w:rPr>
        <w:t>NEMO</w:t>
      </w:r>
      <w:r w:rsidR="000F4042" w:rsidRPr="00EF6F97">
        <w:rPr>
          <w:rFonts w:ascii="Times New Roman" w:hAnsi="Times New Roman" w:cs="Times New Roman"/>
          <w:sz w:val="24"/>
          <w:szCs w:val="24"/>
        </w:rPr>
        <w:t>, które</w:t>
      </w:r>
      <w:r w:rsidRPr="00EF6F97">
        <w:rPr>
          <w:rFonts w:ascii="Times New Roman" w:hAnsi="Times New Roman" w:cs="Times New Roman"/>
          <w:sz w:val="24"/>
          <w:szCs w:val="24"/>
        </w:rPr>
        <w:t xml:space="preserve"> zostały opisane w art. 9 ust. 2 Rozporządzenia CACM. Zaproponowano </w:t>
      </w:r>
      <w:r w:rsidR="00F44FCB" w:rsidRPr="00EF6F97">
        <w:rPr>
          <w:rFonts w:ascii="Times New Roman" w:hAnsi="Times New Roman" w:cs="Times New Roman"/>
          <w:sz w:val="24"/>
          <w:szCs w:val="24"/>
        </w:rPr>
        <w:t xml:space="preserve">model, zgodnie </w:t>
      </w:r>
      <w:r w:rsidR="001D0628">
        <w:rPr>
          <w:rFonts w:ascii="Times New Roman" w:hAnsi="Times New Roman" w:cs="Times New Roman"/>
          <w:sz w:val="24"/>
          <w:szCs w:val="24"/>
        </w:rPr>
        <w:t>z </w:t>
      </w:r>
      <w:r w:rsidR="00F44FCB" w:rsidRPr="00EF6F97">
        <w:rPr>
          <w:rFonts w:ascii="Times New Roman" w:hAnsi="Times New Roman" w:cs="Times New Roman"/>
          <w:sz w:val="24"/>
          <w:szCs w:val="24"/>
        </w:rPr>
        <w:t xml:space="preserve">którym </w:t>
      </w:r>
      <w:r w:rsidR="00770679" w:rsidRPr="00EF6F97">
        <w:rPr>
          <w:rFonts w:ascii="Times New Roman" w:hAnsi="Times New Roman" w:cs="Times New Roman"/>
          <w:sz w:val="24"/>
          <w:szCs w:val="24"/>
        </w:rPr>
        <w:t>wyznaczonemu operatorowi rynku energii elektrycznej przysługuje liczba głosów równa ułamkowi wyrażającemu udział obrotu energią elektryczną dokonanego prze</w:t>
      </w:r>
      <w:r w:rsidR="001D0628">
        <w:rPr>
          <w:rFonts w:ascii="Times New Roman" w:hAnsi="Times New Roman" w:cs="Times New Roman"/>
          <w:sz w:val="24"/>
          <w:szCs w:val="24"/>
        </w:rPr>
        <w:t>z </w:t>
      </w:r>
      <w:r w:rsidR="00770679" w:rsidRPr="00EF6F97">
        <w:rPr>
          <w:rFonts w:ascii="Times New Roman" w:hAnsi="Times New Roman" w:cs="Times New Roman"/>
          <w:sz w:val="24"/>
          <w:szCs w:val="24"/>
        </w:rPr>
        <w:t>tego operatora na terytorium Rzeczypospolitej Polskiej w ogólnej wielkości obrotu energią elektryczną na terytorium Rzeczypospolitej Polskiej w poprzednim roku</w:t>
      </w:r>
      <w:r w:rsidR="00B64FAC">
        <w:rPr>
          <w:rFonts w:ascii="Times New Roman" w:hAnsi="Times New Roman" w:cs="Times New Roman"/>
          <w:sz w:val="24"/>
          <w:szCs w:val="24"/>
        </w:rPr>
        <w:t xml:space="preserve"> budżetowym</w:t>
      </w:r>
      <w:r w:rsidR="00770679" w:rsidRPr="00EF6F97">
        <w:rPr>
          <w:rFonts w:ascii="Times New Roman" w:hAnsi="Times New Roman" w:cs="Times New Roman"/>
          <w:sz w:val="24"/>
          <w:szCs w:val="24"/>
        </w:rPr>
        <w:t>.</w:t>
      </w:r>
    </w:p>
    <w:p w14:paraId="2E4FB5B4" w14:textId="77777777" w:rsidR="009D3534" w:rsidRPr="00EF6F97" w:rsidRDefault="009D3534" w:rsidP="00EF6F97">
      <w:pPr>
        <w:spacing w:line="360" w:lineRule="auto"/>
        <w:jc w:val="both"/>
        <w:rPr>
          <w:rFonts w:ascii="Times New Roman" w:hAnsi="Times New Roman" w:cs="Times New Roman"/>
          <w:sz w:val="24"/>
          <w:szCs w:val="24"/>
        </w:rPr>
      </w:pPr>
    </w:p>
    <w:p w14:paraId="42FA9820" w14:textId="72A5CF06" w:rsidR="00141291"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141291" w:rsidRPr="00EF6F97">
        <w:rPr>
          <w:rFonts w:ascii="Times New Roman" w:hAnsi="Times New Roman" w:cs="Times New Roman"/>
          <w:sz w:val="24"/>
          <w:szCs w:val="24"/>
        </w:rPr>
        <w:t xml:space="preserve">Ad 2. Projekt ustawy stwarza podstawę prawną dla tzw. rekuperacji energii elektrycznej zwracanej do sieci trakcyjnej w następstwie hamowania pojazdów. </w:t>
      </w:r>
      <w:r w:rsidR="001D0628">
        <w:rPr>
          <w:rFonts w:ascii="Times New Roman" w:hAnsi="Times New Roman" w:cs="Times New Roman"/>
          <w:sz w:val="24"/>
          <w:szCs w:val="24"/>
        </w:rPr>
        <w:t>Z </w:t>
      </w:r>
      <w:r w:rsidR="00141291" w:rsidRPr="00EF6F97">
        <w:rPr>
          <w:rFonts w:ascii="Times New Roman" w:hAnsi="Times New Roman" w:cs="Times New Roman"/>
          <w:sz w:val="24"/>
          <w:szCs w:val="24"/>
        </w:rPr>
        <w:t xml:space="preserve">zagadnieniem tym zmierzyły się już niektóre Państwa Członkowskie UE. </w:t>
      </w:r>
      <w:r w:rsidR="00FA0991">
        <w:rPr>
          <w:rFonts w:ascii="Times New Roman" w:hAnsi="Times New Roman" w:cs="Times New Roman"/>
          <w:sz w:val="24"/>
          <w:szCs w:val="24"/>
        </w:rPr>
        <w:t xml:space="preserve">Przykładowo </w:t>
      </w:r>
      <w:r w:rsidR="00141291" w:rsidRPr="00EF6F97">
        <w:rPr>
          <w:rFonts w:ascii="Times New Roman" w:hAnsi="Times New Roman" w:cs="Times New Roman"/>
          <w:sz w:val="24"/>
          <w:szCs w:val="24"/>
        </w:rPr>
        <w:t>w Niemczech przyjęto model, w którym zwracanie energii elektrycznej prze</w:t>
      </w:r>
      <w:r w:rsidR="001D0628">
        <w:rPr>
          <w:rFonts w:ascii="Times New Roman" w:hAnsi="Times New Roman" w:cs="Times New Roman"/>
          <w:sz w:val="24"/>
          <w:szCs w:val="24"/>
        </w:rPr>
        <w:t>z </w:t>
      </w:r>
      <w:r w:rsidR="00141291" w:rsidRPr="00EF6F97">
        <w:rPr>
          <w:rFonts w:ascii="Times New Roman" w:hAnsi="Times New Roman" w:cs="Times New Roman"/>
          <w:sz w:val="24"/>
          <w:szCs w:val="24"/>
        </w:rPr>
        <w:t>pojazdy kolejowe w ramach procesu rekuperacji nie podlega szczególnym ograniczeniom prawnym. Energia ta może być sprzedawana prze</w:t>
      </w:r>
      <w:r w:rsidR="001D0628">
        <w:rPr>
          <w:rFonts w:ascii="Times New Roman" w:hAnsi="Times New Roman" w:cs="Times New Roman"/>
          <w:sz w:val="24"/>
          <w:szCs w:val="24"/>
        </w:rPr>
        <w:t>z </w:t>
      </w:r>
      <w:r w:rsidR="00141291" w:rsidRPr="00EF6F97">
        <w:rPr>
          <w:rFonts w:ascii="Times New Roman" w:hAnsi="Times New Roman" w:cs="Times New Roman"/>
          <w:sz w:val="24"/>
          <w:szCs w:val="24"/>
        </w:rPr>
        <w:t>przewoźnika kolejowego eksploatującego pojazd kolejowy, którego silniki trakcyjne generują</w:t>
      </w:r>
      <w:r w:rsidR="00FA0991">
        <w:rPr>
          <w:rFonts w:ascii="Times New Roman" w:hAnsi="Times New Roman" w:cs="Times New Roman"/>
          <w:sz w:val="24"/>
          <w:szCs w:val="24"/>
        </w:rPr>
        <w:t xml:space="preserve"> </w:t>
      </w:r>
      <w:r w:rsidR="00141291" w:rsidRPr="00EF6F97">
        <w:rPr>
          <w:rFonts w:ascii="Times New Roman" w:hAnsi="Times New Roman" w:cs="Times New Roman"/>
          <w:sz w:val="24"/>
          <w:szCs w:val="24"/>
        </w:rPr>
        <w:t>energię elektryczną w trybie pracy prądnicowej</w:t>
      </w:r>
      <w:r w:rsidR="001D0628">
        <w:rPr>
          <w:rFonts w:ascii="Times New Roman" w:hAnsi="Times New Roman" w:cs="Times New Roman"/>
          <w:sz w:val="24"/>
          <w:szCs w:val="24"/>
        </w:rPr>
        <w:t xml:space="preserve"> i </w:t>
      </w:r>
      <w:r w:rsidR="00141291" w:rsidRPr="00EF6F97">
        <w:rPr>
          <w:rFonts w:ascii="Times New Roman" w:hAnsi="Times New Roman" w:cs="Times New Roman"/>
          <w:sz w:val="24"/>
          <w:szCs w:val="24"/>
        </w:rPr>
        <w:t>zwraca ją do sieci trakcyjnej. Prawo niemieckie przewiduje stawki na energię elektryczną zwróconą do sieci trakcyjnej w wyniku procesu rekuperacji, lekko zróżnicowane w zależności od tego</w:t>
      </w:r>
      <w:r w:rsidR="00242812">
        <w:rPr>
          <w:rFonts w:ascii="Times New Roman" w:hAnsi="Times New Roman" w:cs="Times New Roman"/>
          <w:sz w:val="24"/>
          <w:szCs w:val="24"/>
        </w:rPr>
        <w:t>,</w:t>
      </w:r>
      <w:r w:rsidR="00141291" w:rsidRPr="00EF6F97">
        <w:rPr>
          <w:rFonts w:ascii="Times New Roman" w:hAnsi="Times New Roman" w:cs="Times New Roman"/>
          <w:sz w:val="24"/>
          <w:szCs w:val="24"/>
        </w:rPr>
        <w:t xml:space="preserve"> czy energia elektryczna jest wprowadzana w szczycie</w:t>
      </w:r>
      <w:r w:rsidR="004C47FB">
        <w:rPr>
          <w:rFonts w:ascii="Times New Roman" w:hAnsi="Times New Roman" w:cs="Times New Roman"/>
          <w:sz w:val="24"/>
          <w:szCs w:val="24"/>
        </w:rPr>
        <w:t>,</w:t>
      </w:r>
      <w:r w:rsidR="00141291" w:rsidRPr="00EF6F97">
        <w:rPr>
          <w:rFonts w:ascii="Times New Roman" w:hAnsi="Times New Roman" w:cs="Times New Roman"/>
          <w:sz w:val="24"/>
          <w:szCs w:val="24"/>
        </w:rPr>
        <w:t xml:space="preserve"> czy poza szczytem. Pozwala ono przewoźnikowi kolejowemu – uznanemu za wytwórcę rozproszonego – na otrzymywanie wynagrodzenia </w:t>
      </w:r>
      <w:r w:rsidR="001D0628">
        <w:rPr>
          <w:rFonts w:ascii="Times New Roman" w:hAnsi="Times New Roman" w:cs="Times New Roman"/>
          <w:sz w:val="24"/>
          <w:szCs w:val="24"/>
        </w:rPr>
        <w:t>z </w:t>
      </w:r>
      <w:r w:rsidR="00141291" w:rsidRPr="00EF6F97">
        <w:rPr>
          <w:rFonts w:ascii="Times New Roman" w:hAnsi="Times New Roman" w:cs="Times New Roman"/>
          <w:sz w:val="24"/>
          <w:szCs w:val="24"/>
        </w:rPr>
        <w:t xml:space="preserve">tytułu unikniętych w wyniku rekuperacji kosztów korzystania </w:t>
      </w:r>
      <w:r w:rsidR="001D0628">
        <w:rPr>
          <w:rFonts w:ascii="Times New Roman" w:hAnsi="Times New Roman" w:cs="Times New Roman"/>
          <w:sz w:val="24"/>
          <w:szCs w:val="24"/>
        </w:rPr>
        <w:t>z </w:t>
      </w:r>
      <w:r w:rsidR="00141291" w:rsidRPr="00EF6F97">
        <w:rPr>
          <w:rFonts w:ascii="Times New Roman" w:hAnsi="Times New Roman" w:cs="Times New Roman"/>
          <w:sz w:val="24"/>
          <w:szCs w:val="24"/>
        </w:rPr>
        <w:t>sieci elektroenergetycznej.</w:t>
      </w:r>
    </w:p>
    <w:p w14:paraId="22AAE662" w14:textId="5E0405E6" w:rsidR="00770679"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141291" w:rsidRPr="00EF6F97">
        <w:rPr>
          <w:rFonts w:ascii="Times New Roman" w:hAnsi="Times New Roman" w:cs="Times New Roman"/>
          <w:sz w:val="24"/>
          <w:szCs w:val="24"/>
        </w:rPr>
        <w:t xml:space="preserve">Zaproponowane w projekcie ustawy rozwiązania obejmą swoim zakresem </w:t>
      </w:r>
      <w:r w:rsidR="00141291" w:rsidRPr="00EF6F97">
        <w:rPr>
          <w:rFonts w:ascii="Times New Roman" w:hAnsi="Times New Roman" w:cs="Times New Roman"/>
          <w:sz w:val="24"/>
          <w:szCs w:val="24"/>
        </w:rPr>
        <w:lastRenderedPageBreak/>
        <w:t>podmiotowym pojazdy kolejowe (w tym metro), tramwaje</w:t>
      </w:r>
      <w:r w:rsidR="001D0628">
        <w:rPr>
          <w:rFonts w:ascii="Times New Roman" w:hAnsi="Times New Roman" w:cs="Times New Roman"/>
          <w:sz w:val="24"/>
          <w:szCs w:val="24"/>
        </w:rPr>
        <w:t xml:space="preserve"> i </w:t>
      </w:r>
      <w:r w:rsidR="00141291" w:rsidRPr="00EF6F97">
        <w:rPr>
          <w:rFonts w:ascii="Times New Roman" w:hAnsi="Times New Roman" w:cs="Times New Roman"/>
          <w:sz w:val="24"/>
          <w:szCs w:val="24"/>
        </w:rPr>
        <w:t xml:space="preserve">trolejbusy. </w:t>
      </w:r>
      <w:r w:rsidR="00770679" w:rsidRPr="00EF6F97">
        <w:rPr>
          <w:rFonts w:ascii="Times New Roman" w:hAnsi="Times New Roman" w:cs="Times New Roman"/>
          <w:sz w:val="24"/>
          <w:szCs w:val="24"/>
        </w:rPr>
        <w:t>Rozliczanie dostarczanej energii elektrycznej, w przypadku jej zwrotu do sieci trakcyjnej przyłączonej do sieci dystrybucyjnej operatora systemu dystrybucyjnego elektroenergetycznego albo sieci dystrybucyjnej operatora systemu dystrybucyjnego elektroenergetycznego w następstwie hamowania pojazdu kolejowego, tramwaju ora</w:t>
      </w:r>
      <w:r w:rsidR="001D0628">
        <w:rPr>
          <w:rFonts w:ascii="Times New Roman" w:hAnsi="Times New Roman" w:cs="Times New Roman"/>
          <w:sz w:val="24"/>
          <w:szCs w:val="24"/>
        </w:rPr>
        <w:t>z </w:t>
      </w:r>
      <w:r w:rsidR="00770679" w:rsidRPr="00EF6F97">
        <w:rPr>
          <w:rFonts w:ascii="Times New Roman" w:hAnsi="Times New Roman" w:cs="Times New Roman"/>
          <w:sz w:val="24"/>
          <w:szCs w:val="24"/>
        </w:rPr>
        <w:t>trolejbusa</w:t>
      </w:r>
      <w:r w:rsidR="00242812">
        <w:rPr>
          <w:rFonts w:ascii="Times New Roman" w:hAnsi="Times New Roman" w:cs="Times New Roman"/>
          <w:sz w:val="24"/>
          <w:szCs w:val="24"/>
        </w:rPr>
        <w:t>,</w:t>
      </w:r>
      <w:r w:rsidR="00770679" w:rsidRPr="00EF6F97">
        <w:rPr>
          <w:rFonts w:ascii="Times New Roman" w:hAnsi="Times New Roman" w:cs="Times New Roman"/>
          <w:sz w:val="24"/>
          <w:szCs w:val="24"/>
        </w:rPr>
        <w:t xml:space="preserve"> będzie następowało na podstawie różnicy ilości energii elektrycznej pobranej</w:t>
      </w:r>
      <w:r w:rsidR="001D0628">
        <w:rPr>
          <w:rFonts w:ascii="Times New Roman" w:hAnsi="Times New Roman" w:cs="Times New Roman"/>
          <w:sz w:val="24"/>
          <w:szCs w:val="24"/>
        </w:rPr>
        <w:t xml:space="preserve"> i </w:t>
      </w:r>
      <w:r w:rsidR="00770679" w:rsidRPr="00EF6F97">
        <w:rPr>
          <w:rFonts w:ascii="Times New Roman" w:hAnsi="Times New Roman" w:cs="Times New Roman"/>
          <w:sz w:val="24"/>
          <w:szCs w:val="24"/>
        </w:rPr>
        <w:t>zwróconej prze</w:t>
      </w:r>
      <w:r w:rsidR="001D0628">
        <w:rPr>
          <w:rFonts w:ascii="Times New Roman" w:hAnsi="Times New Roman" w:cs="Times New Roman"/>
          <w:sz w:val="24"/>
          <w:szCs w:val="24"/>
        </w:rPr>
        <w:t>z </w:t>
      </w:r>
      <w:r w:rsidR="00770679" w:rsidRPr="00EF6F97">
        <w:rPr>
          <w:rFonts w:ascii="Times New Roman" w:hAnsi="Times New Roman" w:cs="Times New Roman"/>
          <w:sz w:val="24"/>
          <w:szCs w:val="24"/>
        </w:rPr>
        <w:t>danego odbiorcę, ustalanej w oparciu o rzeczywiste wskazania urządzeń pomiarowo-rozliczeniowych. Rozliczanie strat energii elektrycznej powstałych w sieci trakcyjnej przyłączonej do sieci dystrybucyjnej ora</w:t>
      </w:r>
      <w:r w:rsidR="001D0628">
        <w:rPr>
          <w:rFonts w:ascii="Times New Roman" w:hAnsi="Times New Roman" w:cs="Times New Roman"/>
          <w:sz w:val="24"/>
          <w:szCs w:val="24"/>
        </w:rPr>
        <w:t>z </w:t>
      </w:r>
      <w:r w:rsidR="00770679" w:rsidRPr="00EF6F97">
        <w:rPr>
          <w:rFonts w:ascii="Times New Roman" w:hAnsi="Times New Roman" w:cs="Times New Roman"/>
          <w:sz w:val="24"/>
          <w:szCs w:val="24"/>
        </w:rPr>
        <w:t>w sieci dystrybucyjnej podczas dostarczania lub zwrotu tej energii będzie następowało na podstawie umowy.</w:t>
      </w:r>
    </w:p>
    <w:p w14:paraId="11550084" w14:textId="77777777" w:rsidR="00141291" w:rsidRPr="00EF6F97" w:rsidRDefault="00141291" w:rsidP="00EF6F97">
      <w:pPr>
        <w:spacing w:line="360" w:lineRule="auto"/>
        <w:jc w:val="both"/>
        <w:rPr>
          <w:rFonts w:ascii="Times New Roman" w:hAnsi="Times New Roman" w:cs="Times New Roman"/>
          <w:sz w:val="24"/>
          <w:szCs w:val="24"/>
        </w:rPr>
      </w:pPr>
    </w:p>
    <w:p w14:paraId="0501834D" w14:textId="2AAE6708" w:rsidR="00354FAB"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56630" w:rsidRPr="00EF6F97">
        <w:rPr>
          <w:rFonts w:ascii="Times New Roman" w:hAnsi="Times New Roman" w:cs="Times New Roman"/>
          <w:sz w:val="24"/>
          <w:szCs w:val="24"/>
        </w:rPr>
        <w:t>Ad 3</w:t>
      </w:r>
      <w:r w:rsidR="00F86AB1" w:rsidRPr="00EF6F97">
        <w:rPr>
          <w:rFonts w:ascii="Times New Roman" w:hAnsi="Times New Roman" w:cs="Times New Roman"/>
          <w:sz w:val="24"/>
          <w:szCs w:val="24"/>
        </w:rPr>
        <w:t xml:space="preserve">. </w:t>
      </w:r>
      <w:r w:rsidR="00736325" w:rsidRPr="00EF6F97">
        <w:rPr>
          <w:rFonts w:ascii="Times New Roman" w:hAnsi="Times New Roman" w:cs="Times New Roman"/>
          <w:sz w:val="24"/>
          <w:szCs w:val="24"/>
        </w:rPr>
        <w:t>Projekt ustawy wprowadza przepisy ustanawiające obowiązek sporządzania prze</w:t>
      </w:r>
      <w:r w:rsidR="001D0628">
        <w:rPr>
          <w:rFonts w:ascii="Times New Roman" w:hAnsi="Times New Roman" w:cs="Times New Roman"/>
          <w:sz w:val="24"/>
          <w:szCs w:val="24"/>
        </w:rPr>
        <w:t>z </w:t>
      </w:r>
      <w:r w:rsidR="00736325" w:rsidRPr="00EF6F97">
        <w:rPr>
          <w:rFonts w:ascii="Times New Roman" w:hAnsi="Times New Roman" w:cs="Times New Roman"/>
          <w:sz w:val="24"/>
          <w:szCs w:val="24"/>
        </w:rPr>
        <w:t>operatora systemu magazynowania instrukcji ruchu</w:t>
      </w:r>
      <w:r w:rsidR="001D0628">
        <w:rPr>
          <w:rFonts w:ascii="Times New Roman" w:hAnsi="Times New Roman" w:cs="Times New Roman"/>
          <w:sz w:val="24"/>
          <w:szCs w:val="24"/>
        </w:rPr>
        <w:t xml:space="preserve"> i </w:t>
      </w:r>
      <w:r w:rsidR="00736325" w:rsidRPr="00EF6F97">
        <w:rPr>
          <w:rFonts w:ascii="Times New Roman" w:hAnsi="Times New Roman" w:cs="Times New Roman"/>
          <w:sz w:val="24"/>
          <w:szCs w:val="24"/>
        </w:rPr>
        <w:t>eksploatacji instalacji magazynowej ora</w:t>
      </w:r>
      <w:r w:rsidR="001D0628">
        <w:rPr>
          <w:rFonts w:ascii="Times New Roman" w:hAnsi="Times New Roman" w:cs="Times New Roman"/>
          <w:sz w:val="24"/>
          <w:szCs w:val="24"/>
        </w:rPr>
        <w:t>z </w:t>
      </w:r>
      <w:r w:rsidR="00736325" w:rsidRPr="00EF6F97">
        <w:rPr>
          <w:rFonts w:ascii="Times New Roman" w:hAnsi="Times New Roman" w:cs="Times New Roman"/>
          <w:sz w:val="24"/>
          <w:szCs w:val="24"/>
        </w:rPr>
        <w:t xml:space="preserve">skonsultowania jej </w:t>
      </w:r>
      <w:r w:rsidR="001D0628">
        <w:rPr>
          <w:rFonts w:ascii="Times New Roman" w:hAnsi="Times New Roman" w:cs="Times New Roman"/>
          <w:sz w:val="24"/>
          <w:szCs w:val="24"/>
        </w:rPr>
        <w:t>z </w:t>
      </w:r>
      <w:r w:rsidR="00736325" w:rsidRPr="00EF6F97">
        <w:rPr>
          <w:rFonts w:ascii="Times New Roman" w:hAnsi="Times New Roman" w:cs="Times New Roman"/>
          <w:sz w:val="24"/>
          <w:szCs w:val="24"/>
        </w:rPr>
        <w:t>użytkownikami systemu</w:t>
      </w:r>
      <w:r w:rsidR="001D0628">
        <w:rPr>
          <w:rFonts w:ascii="Times New Roman" w:hAnsi="Times New Roman" w:cs="Times New Roman"/>
          <w:sz w:val="24"/>
          <w:szCs w:val="24"/>
        </w:rPr>
        <w:t xml:space="preserve"> i </w:t>
      </w:r>
      <w:r w:rsidR="00736325" w:rsidRPr="00EF6F97">
        <w:rPr>
          <w:rFonts w:ascii="Times New Roman" w:hAnsi="Times New Roman" w:cs="Times New Roman"/>
          <w:sz w:val="24"/>
          <w:szCs w:val="24"/>
        </w:rPr>
        <w:t>przedłożenia do zatwierdzenia prze</w:t>
      </w:r>
      <w:r w:rsidR="001D0628">
        <w:rPr>
          <w:rFonts w:ascii="Times New Roman" w:hAnsi="Times New Roman" w:cs="Times New Roman"/>
          <w:sz w:val="24"/>
          <w:szCs w:val="24"/>
        </w:rPr>
        <w:t>z </w:t>
      </w:r>
      <w:r w:rsidR="00736325" w:rsidRPr="00EF6F97">
        <w:rPr>
          <w:rFonts w:ascii="Times New Roman" w:hAnsi="Times New Roman" w:cs="Times New Roman"/>
          <w:sz w:val="24"/>
          <w:szCs w:val="24"/>
        </w:rPr>
        <w:t>Prezesa URE na wzór obecnie funkcjonującego obowiązku sporządzenia instrukcji ruchu</w:t>
      </w:r>
      <w:r w:rsidR="001D0628">
        <w:rPr>
          <w:rFonts w:ascii="Times New Roman" w:hAnsi="Times New Roman" w:cs="Times New Roman"/>
          <w:sz w:val="24"/>
          <w:szCs w:val="24"/>
        </w:rPr>
        <w:t xml:space="preserve"> i </w:t>
      </w:r>
      <w:r w:rsidR="00736325" w:rsidRPr="00EF6F97">
        <w:rPr>
          <w:rFonts w:ascii="Times New Roman" w:hAnsi="Times New Roman" w:cs="Times New Roman"/>
          <w:sz w:val="24"/>
          <w:szCs w:val="24"/>
        </w:rPr>
        <w:t>eksploatacji sieci, zarówno prze</w:t>
      </w:r>
      <w:r w:rsidR="001D0628">
        <w:rPr>
          <w:rFonts w:ascii="Times New Roman" w:hAnsi="Times New Roman" w:cs="Times New Roman"/>
          <w:sz w:val="24"/>
          <w:szCs w:val="24"/>
        </w:rPr>
        <w:t>z </w:t>
      </w:r>
      <w:r w:rsidR="00736325" w:rsidRPr="00EF6F97">
        <w:rPr>
          <w:rFonts w:ascii="Times New Roman" w:hAnsi="Times New Roman" w:cs="Times New Roman"/>
          <w:sz w:val="24"/>
          <w:szCs w:val="24"/>
        </w:rPr>
        <w:t>operatora systemu dystrybucyjnego, jak</w:t>
      </w:r>
      <w:r w:rsidR="001D0628">
        <w:rPr>
          <w:rFonts w:ascii="Times New Roman" w:hAnsi="Times New Roman" w:cs="Times New Roman"/>
          <w:sz w:val="24"/>
          <w:szCs w:val="24"/>
        </w:rPr>
        <w:t xml:space="preserve"> i </w:t>
      </w:r>
      <w:r w:rsidR="00736325" w:rsidRPr="00EF6F97">
        <w:rPr>
          <w:rFonts w:ascii="Times New Roman" w:hAnsi="Times New Roman" w:cs="Times New Roman"/>
          <w:sz w:val="24"/>
          <w:szCs w:val="24"/>
        </w:rPr>
        <w:t xml:space="preserve">operatora systemu przesyłowego. Projektowane przepisy określają zawartość instrukcji, którą powinien przygotować operator systemu magazynowania. Zgodnie </w:t>
      </w:r>
      <w:r w:rsidR="001D0628">
        <w:rPr>
          <w:rFonts w:ascii="Times New Roman" w:hAnsi="Times New Roman" w:cs="Times New Roman"/>
          <w:sz w:val="24"/>
          <w:szCs w:val="24"/>
        </w:rPr>
        <w:t>z </w:t>
      </w:r>
      <w:r w:rsidR="00736325" w:rsidRPr="00EF6F97">
        <w:rPr>
          <w:rFonts w:ascii="Times New Roman" w:hAnsi="Times New Roman" w:cs="Times New Roman"/>
          <w:sz w:val="24"/>
          <w:szCs w:val="24"/>
        </w:rPr>
        <w:t>projektem instrukcja powinna określać</w:t>
      </w:r>
      <w:r w:rsidR="00F44FCB" w:rsidRPr="00EF6F97">
        <w:rPr>
          <w:rFonts w:ascii="Times New Roman" w:hAnsi="Times New Roman" w:cs="Times New Roman"/>
          <w:sz w:val="24"/>
          <w:szCs w:val="24"/>
        </w:rPr>
        <w:t xml:space="preserve"> m.in.</w:t>
      </w:r>
      <w:r w:rsidR="00736325" w:rsidRPr="00EF6F97">
        <w:rPr>
          <w:rFonts w:ascii="Times New Roman" w:hAnsi="Times New Roman" w:cs="Times New Roman"/>
          <w:sz w:val="24"/>
          <w:szCs w:val="24"/>
        </w:rPr>
        <w:t xml:space="preserve">: </w:t>
      </w:r>
      <w:r w:rsidR="00736325" w:rsidRPr="00EF6F97">
        <w:rPr>
          <w:rFonts w:ascii="Times New Roman" w:hAnsi="Times New Roman" w:cs="Times New Roman"/>
          <w:bCs/>
          <w:sz w:val="24"/>
          <w:szCs w:val="24"/>
        </w:rPr>
        <w:t>tryb zawierania umów o świadczenie usług magazynowania, procedury udostępniania zdolności magazynowych, sposób zarządzania ograniczeniami systemu gazowego, kryteria bezpieczeństwa funkcjonowania systemu gazowego</w:t>
      </w:r>
      <w:bookmarkStart w:id="1" w:name="mip42648098"/>
      <w:bookmarkEnd w:id="1"/>
      <w:r w:rsidR="00736325" w:rsidRPr="00EF6F97">
        <w:rPr>
          <w:rFonts w:ascii="Times New Roman" w:hAnsi="Times New Roman" w:cs="Times New Roman"/>
          <w:bCs/>
          <w:sz w:val="24"/>
          <w:szCs w:val="24"/>
        </w:rPr>
        <w:t>, sposób postępowania w stanach zagrożenia bezpieczeństwa zaopatrzenia w paliwa gazowe, współpracę pomiędzy operatorami systemów gazowych</w:t>
      </w:r>
      <w:bookmarkStart w:id="2" w:name="mip42648099"/>
      <w:bookmarkEnd w:id="2"/>
      <w:r w:rsidR="00736325" w:rsidRPr="00EF6F97">
        <w:rPr>
          <w:rFonts w:ascii="Times New Roman" w:hAnsi="Times New Roman" w:cs="Times New Roman"/>
          <w:bCs/>
          <w:sz w:val="24"/>
          <w:szCs w:val="24"/>
        </w:rPr>
        <w:t>, przekazywanie informacji pomiędzy przedsiębiorstwami energetycznymi ora</w:t>
      </w:r>
      <w:r w:rsidR="001D0628">
        <w:rPr>
          <w:rFonts w:ascii="Times New Roman" w:hAnsi="Times New Roman" w:cs="Times New Roman"/>
          <w:bCs/>
          <w:sz w:val="24"/>
          <w:szCs w:val="24"/>
        </w:rPr>
        <w:t>z </w:t>
      </w:r>
      <w:r w:rsidR="00736325" w:rsidRPr="00EF6F97">
        <w:rPr>
          <w:rFonts w:ascii="Times New Roman" w:hAnsi="Times New Roman" w:cs="Times New Roman"/>
          <w:bCs/>
          <w:sz w:val="24"/>
          <w:szCs w:val="24"/>
        </w:rPr>
        <w:t>pomiędzy przedsiębiorstwami energetycznymi a odbiorcami</w:t>
      </w:r>
      <w:bookmarkStart w:id="3" w:name="mip42648100"/>
      <w:bookmarkEnd w:id="3"/>
      <w:r w:rsidR="00736325" w:rsidRPr="00EF6F97">
        <w:rPr>
          <w:rFonts w:ascii="Times New Roman" w:hAnsi="Times New Roman" w:cs="Times New Roman"/>
          <w:bCs/>
          <w:sz w:val="24"/>
          <w:szCs w:val="24"/>
        </w:rPr>
        <w:t xml:space="preserve"> ora</w:t>
      </w:r>
      <w:r w:rsidR="001D0628">
        <w:rPr>
          <w:rFonts w:ascii="Times New Roman" w:hAnsi="Times New Roman" w:cs="Times New Roman"/>
          <w:bCs/>
          <w:sz w:val="24"/>
          <w:szCs w:val="24"/>
        </w:rPr>
        <w:t>z </w:t>
      </w:r>
      <w:r w:rsidR="00736325" w:rsidRPr="00EF6F97">
        <w:rPr>
          <w:rFonts w:ascii="Times New Roman" w:hAnsi="Times New Roman" w:cs="Times New Roman"/>
          <w:sz w:val="24"/>
          <w:szCs w:val="24"/>
        </w:rPr>
        <w:t>parametry jakościowe paliw gazowych</w:t>
      </w:r>
      <w:r w:rsidR="001D0628">
        <w:rPr>
          <w:rFonts w:ascii="Times New Roman" w:hAnsi="Times New Roman" w:cs="Times New Roman"/>
          <w:sz w:val="24"/>
          <w:szCs w:val="24"/>
        </w:rPr>
        <w:t xml:space="preserve"> i </w:t>
      </w:r>
      <w:r w:rsidR="00736325" w:rsidRPr="00EF6F97">
        <w:rPr>
          <w:rFonts w:ascii="Times New Roman" w:hAnsi="Times New Roman" w:cs="Times New Roman"/>
          <w:sz w:val="24"/>
          <w:szCs w:val="24"/>
        </w:rPr>
        <w:t>standardy jakościowe obsługi użytkowników systemu.</w:t>
      </w:r>
    </w:p>
    <w:p w14:paraId="2616CF0E" w14:textId="77777777" w:rsidR="00736325"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736325" w:rsidRPr="00EF6F97">
        <w:rPr>
          <w:rFonts w:ascii="Times New Roman" w:hAnsi="Times New Roman" w:cs="Times New Roman"/>
          <w:sz w:val="24"/>
          <w:szCs w:val="24"/>
        </w:rPr>
        <w:t>Proponowana zmiana pozwoli na zwiększenie zakresu nadzoru nad warunkami świadczenia usług magazynowania</w:t>
      </w:r>
      <w:r w:rsidR="001D0628">
        <w:rPr>
          <w:rFonts w:ascii="Times New Roman" w:hAnsi="Times New Roman" w:cs="Times New Roman"/>
          <w:sz w:val="24"/>
          <w:szCs w:val="24"/>
        </w:rPr>
        <w:t xml:space="preserve"> i </w:t>
      </w:r>
      <w:r w:rsidR="00736325" w:rsidRPr="00EF6F97">
        <w:rPr>
          <w:rFonts w:ascii="Times New Roman" w:hAnsi="Times New Roman" w:cs="Times New Roman"/>
          <w:sz w:val="24"/>
          <w:szCs w:val="24"/>
        </w:rPr>
        <w:t>przyczyni się do zwiększenia przejrzystości zasad funkcjonowania operatora systemu magazynowania.</w:t>
      </w:r>
    </w:p>
    <w:p w14:paraId="54121AC2" w14:textId="77777777" w:rsidR="009D3534" w:rsidRPr="00EF6F97" w:rsidRDefault="009D3534" w:rsidP="00215A1D">
      <w:pPr>
        <w:spacing w:line="360" w:lineRule="auto"/>
        <w:jc w:val="both"/>
        <w:rPr>
          <w:rFonts w:ascii="Times New Roman" w:hAnsi="Times New Roman" w:cs="Times New Roman"/>
          <w:sz w:val="24"/>
          <w:szCs w:val="24"/>
        </w:rPr>
      </w:pPr>
    </w:p>
    <w:p w14:paraId="55997A0A" w14:textId="7FB37651" w:rsidR="00F86AB1" w:rsidRPr="00EF6F97" w:rsidRDefault="00D20DB5"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444CBD" w:rsidRPr="00EF6F97">
        <w:rPr>
          <w:rFonts w:ascii="Times New Roman" w:hAnsi="Times New Roman" w:cs="Times New Roman"/>
          <w:sz w:val="24"/>
          <w:szCs w:val="24"/>
        </w:rPr>
        <w:t xml:space="preserve">Ad </w:t>
      </w:r>
      <w:r w:rsidR="00D0483F" w:rsidRPr="00EF6F97">
        <w:rPr>
          <w:rFonts w:ascii="Times New Roman" w:hAnsi="Times New Roman" w:cs="Times New Roman"/>
          <w:sz w:val="24"/>
          <w:szCs w:val="24"/>
        </w:rPr>
        <w:t>4</w:t>
      </w:r>
      <w:r w:rsidR="00F86AB1" w:rsidRPr="00EF6F97">
        <w:rPr>
          <w:rFonts w:ascii="Times New Roman" w:hAnsi="Times New Roman" w:cs="Times New Roman"/>
          <w:sz w:val="24"/>
          <w:szCs w:val="24"/>
        </w:rPr>
        <w:t>. Urządzenia, instalacje lub sieci mają wpływ na bezpieczeństwo osób</w:t>
      </w:r>
      <w:r w:rsidR="001D0628">
        <w:rPr>
          <w:rFonts w:ascii="Times New Roman" w:hAnsi="Times New Roman" w:cs="Times New Roman"/>
          <w:sz w:val="24"/>
          <w:szCs w:val="24"/>
        </w:rPr>
        <w:t xml:space="preserve"> i </w:t>
      </w:r>
      <w:r w:rsidR="00F86AB1" w:rsidRPr="00EF6F97">
        <w:rPr>
          <w:rFonts w:ascii="Times New Roman" w:hAnsi="Times New Roman" w:cs="Times New Roman"/>
          <w:sz w:val="24"/>
          <w:szCs w:val="24"/>
        </w:rPr>
        <w:t>pracy systemu elektroenergetycznego</w:t>
      </w:r>
      <w:r w:rsidR="001D0628">
        <w:rPr>
          <w:rFonts w:ascii="Times New Roman" w:hAnsi="Times New Roman" w:cs="Times New Roman"/>
          <w:sz w:val="24"/>
          <w:szCs w:val="24"/>
        </w:rPr>
        <w:t xml:space="preserve"> i </w:t>
      </w:r>
      <w:r w:rsidR="00F86AB1" w:rsidRPr="00EF6F97">
        <w:rPr>
          <w:rFonts w:ascii="Times New Roman" w:hAnsi="Times New Roman" w:cs="Times New Roman"/>
          <w:sz w:val="24"/>
          <w:szCs w:val="24"/>
        </w:rPr>
        <w:t xml:space="preserve">ciepłowniczego, dlatego w projekcie ustawy </w:t>
      </w:r>
      <w:r w:rsidR="008E0113" w:rsidRPr="00EF6F97">
        <w:rPr>
          <w:rFonts w:ascii="Times New Roman" w:hAnsi="Times New Roman" w:cs="Times New Roman"/>
          <w:sz w:val="24"/>
          <w:szCs w:val="24"/>
        </w:rPr>
        <w:t xml:space="preserve">nieco </w:t>
      </w:r>
      <w:r w:rsidR="00F86AB1" w:rsidRPr="00EF6F97">
        <w:rPr>
          <w:rFonts w:ascii="Times New Roman" w:hAnsi="Times New Roman" w:cs="Times New Roman"/>
          <w:sz w:val="24"/>
          <w:szCs w:val="24"/>
        </w:rPr>
        <w:t>przebudowano model ich uznawania w ten sposób</w:t>
      </w:r>
      <w:r w:rsidR="00242812">
        <w:rPr>
          <w:rFonts w:ascii="Times New Roman" w:hAnsi="Times New Roman" w:cs="Times New Roman"/>
          <w:sz w:val="24"/>
          <w:szCs w:val="24"/>
        </w:rPr>
        <w:t>,</w:t>
      </w:r>
      <w:r w:rsidR="00F86AB1" w:rsidRPr="00EF6F97">
        <w:rPr>
          <w:rFonts w:ascii="Times New Roman" w:hAnsi="Times New Roman" w:cs="Times New Roman"/>
          <w:sz w:val="24"/>
          <w:szCs w:val="24"/>
        </w:rPr>
        <w:t xml:space="preserve"> aby maksymalnie go usprawnić.</w:t>
      </w:r>
    </w:p>
    <w:p w14:paraId="7BEBAB3E" w14:textId="22CF0E85" w:rsidR="00F86AB1" w:rsidRPr="00EF6F97" w:rsidRDefault="00D20DB5"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AE688C" w:rsidRPr="00EF6F97">
        <w:rPr>
          <w:rFonts w:ascii="Times New Roman" w:hAnsi="Times New Roman" w:cs="Times New Roman"/>
          <w:sz w:val="24"/>
          <w:szCs w:val="24"/>
        </w:rPr>
        <w:t xml:space="preserve">Prezes URE </w:t>
      </w:r>
      <w:r w:rsidR="00F86AB1" w:rsidRPr="00EF6F97">
        <w:rPr>
          <w:rFonts w:ascii="Times New Roman" w:hAnsi="Times New Roman" w:cs="Times New Roman"/>
          <w:sz w:val="24"/>
          <w:szCs w:val="24"/>
        </w:rPr>
        <w:t xml:space="preserve">będzie organem właściwym do uznawania kwalifikacji osób </w:t>
      </w:r>
      <w:r w:rsidR="00F86AB1" w:rsidRPr="00EF6F97">
        <w:rPr>
          <w:rFonts w:ascii="Times New Roman" w:hAnsi="Times New Roman" w:cs="Times New Roman"/>
          <w:sz w:val="24"/>
          <w:szCs w:val="24"/>
        </w:rPr>
        <w:lastRenderedPageBreak/>
        <w:t>wykonujących prace przy urządzeniach, instalacjach</w:t>
      </w:r>
      <w:r w:rsidR="001D0628">
        <w:rPr>
          <w:rFonts w:ascii="Times New Roman" w:hAnsi="Times New Roman" w:cs="Times New Roman"/>
          <w:sz w:val="24"/>
          <w:szCs w:val="24"/>
        </w:rPr>
        <w:t xml:space="preserve"> i </w:t>
      </w:r>
      <w:r w:rsidR="00F86AB1" w:rsidRPr="00EF6F97">
        <w:rPr>
          <w:rFonts w:ascii="Times New Roman" w:hAnsi="Times New Roman" w:cs="Times New Roman"/>
          <w:sz w:val="24"/>
          <w:szCs w:val="24"/>
        </w:rPr>
        <w:t>sieciach energetycznych nabytych w państwach członkowskich UE, Konfederacji Szwajcarskiej lub</w:t>
      </w:r>
      <w:r w:rsidR="00404078" w:rsidRPr="00EF6F97">
        <w:rPr>
          <w:rFonts w:ascii="Times New Roman" w:hAnsi="Times New Roman" w:cs="Times New Roman"/>
          <w:sz w:val="24"/>
          <w:szCs w:val="24"/>
        </w:rPr>
        <w:t xml:space="preserve"> państwach członkowskich EFTA. W przedsiębiorstwach energetycznych zatrudniających</w:t>
      </w:r>
      <w:r w:rsidR="00F86AB1" w:rsidRPr="00EF6F97">
        <w:rPr>
          <w:rFonts w:ascii="Times New Roman" w:hAnsi="Times New Roman" w:cs="Times New Roman"/>
          <w:sz w:val="24"/>
          <w:szCs w:val="24"/>
        </w:rPr>
        <w:t xml:space="preserve"> co najmniej 200 osób ora</w:t>
      </w:r>
      <w:r w:rsidR="001D0628">
        <w:rPr>
          <w:rFonts w:ascii="Times New Roman" w:hAnsi="Times New Roman" w:cs="Times New Roman"/>
          <w:sz w:val="24"/>
          <w:szCs w:val="24"/>
        </w:rPr>
        <w:t>z </w:t>
      </w:r>
      <w:r w:rsidR="00F86AB1" w:rsidRPr="00EF6F97">
        <w:rPr>
          <w:rFonts w:ascii="Times New Roman" w:hAnsi="Times New Roman" w:cs="Times New Roman"/>
          <w:sz w:val="24"/>
          <w:szCs w:val="24"/>
        </w:rPr>
        <w:t>przy stowarzyszeniach naukowo</w:t>
      </w:r>
      <w:r w:rsidR="00242812">
        <w:rPr>
          <w:rFonts w:ascii="Times New Roman" w:hAnsi="Times New Roman" w:cs="Times New Roman"/>
          <w:sz w:val="24"/>
          <w:szCs w:val="24"/>
        </w:rPr>
        <w:t>-</w:t>
      </w:r>
      <w:r w:rsidR="00F86AB1" w:rsidRPr="00EF6F97">
        <w:rPr>
          <w:rFonts w:ascii="Times New Roman" w:hAnsi="Times New Roman" w:cs="Times New Roman"/>
          <w:sz w:val="24"/>
          <w:szCs w:val="24"/>
        </w:rPr>
        <w:t xml:space="preserve">technicznych </w:t>
      </w:r>
      <w:r w:rsidR="003D0342" w:rsidRPr="00EF6F97">
        <w:rPr>
          <w:rFonts w:ascii="Times New Roman" w:hAnsi="Times New Roman" w:cs="Times New Roman"/>
          <w:sz w:val="24"/>
          <w:szCs w:val="24"/>
        </w:rPr>
        <w:t>zrzeszających co najmniej 2</w:t>
      </w:r>
      <w:r w:rsidR="00404078" w:rsidRPr="00EF6F97">
        <w:rPr>
          <w:rFonts w:ascii="Times New Roman" w:hAnsi="Times New Roman" w:cs="Times New Roman"/>
          <w:sz w:val="24"/>
          <w:szCs w:val="24"/>
        </w:rPr>
        <w:t xml:space="preserve">00 członków </w:t>
      </w:r>
      <w:r w:rsidR="00F86AB1" w:rsidRPr="00EF6F97">
        <w:rPr>
          <w:rFonts w:ascii="Times New Roman" w:hAnsi="Times New Roman" w:cs="Times New Roman"/>
          <w:sz w:val="24"/>
          <w:szCs w:val="24"/>
        </w:rPr>
        <w:t>komisje kwalifikacy</w:t>
      </w:r>
      <w:r w:rsidR="00AE688C" w:rsidRPr="00EF6F97">
        <w:rPr>
          <w:rFonts w:ascii="Times New Roman" w:hAnsi="Times New Roman" w:cs="Times New Roman"/>
          <w:sz w:val="24"/>
          <w:szCs w:val="24"/>
        </w:rPr>
        <w:t>jne będzie powoływał Prezes URE.</w:t>
      </w:r>
    </w:p>
    <w:p w14:paraId="1B157305" w14:textId="77777777" w:rsidR="00661DB4" w:rsidRPr="00EF6F97" w:rsidRDefault="00D20DB5"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F86AB1" w:rsidRPr="00EF6F97">
        <w:rPr>
          <w:rFonts w:ascii="Times New Roman" w:hAnsi="Times New Roman" w:cs="Times New Roman"/>
          <w:sz w:val="24"/>
          <w:szCs w:val="24"/>
        </w:rPr>
        <w:t>Wszystkie świadectwa kwalifikacyjne wydane osobom zajmującym się eksploatacją urządzeń, instalacji lub sieci ora</w:t>
      </w:r>
      <w:r w:rsidR="001D0628">
        <w:rPr>
          <w:rFonts w:ascii="Times New Roman" w:hAnsi="Times New Roman" w:cs="Times New Roman"/>
          <w:sz w:val="24"/>
          <w:szCs w:val="24"/>
        </w:rPr>
        <w:t>z </w:t>
      </w:r>
      <w:r w:rsidR="00F86AB1" w:rsidRPr="00EF6F97">
        <w:rPr>
          <w:rFonts w:ascii="Times New Roman" w:hAnsi="Times New Roman" w:cs="Times New Roman"/>
          <w:sz w:val="24"/>
          <w:szCs w:val="24"/>
        </w:rPr>
        <w:t>wpisy do rejestru świadectw kwalifikacyjnych będą tracić ważność po upływie 5 lat od dnia ich wpisu w rejestrze świadectw kwalifikacyjnych.</w:t>
      </w:r>
    </w:p>
    <w:p w14:paraId="20EA4648" w14:textId="45C1781F" w:rsidR="00F86AB1" w:rsidRPr="00EF6F97" w:rsidRDefault="00D20DB5"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61DB4" w:rsidRPr="00EF6F97">
        <w:rPr>
          <w:rFonts w:ascii="Times New Roman" w:hAnsi="Times New Roman" w:cs="Times New Roman"/>
          <w:sz w:val="24"/>
          <w:szCs w:val="24"/>
        </w:rPr>
        <w:t>Utrata ważności prze</w:t>
      </w:r>
      <w:r w:rsidR="001D0628">
        <w:rPr>
          <w:rFonts w:ascii="Times New Roman" w:hAnsi="Times New Roman" w:cs="Times New Roman"/>
          <w:sz w:val="24"/>
          <w:szCs w:val="24"/>
        </w:rPr>
        <w:t>z </w:t>
      </w:r>
      <w:r w:rsidR="00661DB4" w:rsidRPr="00EF6F97">
        <w:rPr>
          <w:rFonts w:ascii="Times New Roman" w:hAnsi="Times New Roman" w:cs="Times New Roman"/>
          <w:sz w:val="24"/>
          <w:szCs w:val="24"/>
        </w:rPr>
        <w:t xml:space="preserve">świadectwa kwalifikacyjne po upływie 5 lat wobec wszystkich osób zajmujących się eksploatacją urządzeń, instalacji lub sieci wiąże się </w:t>
      </w:r>
      <w:r w:rsidR="001D0628">
        <w:rPr>
          <w:rFonts w:ascii="Times New Roman" w:hAnsi="Times New Roman" w:cs="Times New Roman"/>
          <w:sz w:val="24"/>
          <w:szCs w:val="24"/>
        </w:rPr>
        <w:t>z </w:t>
      </w:r>
      <w:r w:rsidR="00661DB4" w:rsidRPr="00EF6F97">
        <w:rPr>
          <w:rFonts w:ascii="Times New Roman" w:hAnsi="Times New Roman" w:cs="Times New Roman"/>
          <w:sz w:val="24"/>
          <w:szCs w:val="24"/>
        </w:rPr>
        <w:t>tym, że osoby te prowadzą prace na tożsamych urządzeniach, instalacjach</w:t>
      </w:r>
      <w:r w:rsidR="001D0628">
        <w:rPr>
          <w:rFonts w:ascii="Times New Roman" w:hAnsi="Times New Roman" w:cs="Times New Roman"/>
          <w:sz w:val="24"/>
          <w:szCs w:val="24"/>
        </w:rPr>
        <w:t xml:space="preserve"> i </w:t>
      </w:r>
      <w:r w:rsidR="00661DB4" w:rsidRPr="00EF6F97">
        <w:rPr>
          <w:rFonts w:ascii="Times New Roman" w:hAnsi="Times New Roman" w:cs="Times New Roman"/>
          <w:sz w:val="24"/>
          <w:szCs w:val="24"/>
        </w:rPr>
        <w:t>sieciach, be</w:t>
      </w:r>
      <w:r w:rsidR="001D0628">
        <w:rPr>
          <w:rFonts w:ascii="Times New Roman" w:hAnsi="Times New Roman" w:cs="Times New Roman"/>
          <w:sz w:val="24"/>
          <w:szCs w:val="24"/>
        </w:rPr>
        <w:t>z </w:t>
      </w:r>
      <w:r w:rsidR="00661DB4" w:rsidRPr="00EF6F97">
        <w:rPr>
          <w:rFonts w:ascii="Times New Roman" w:hAnsi="Times New Roman" w:cs="Times New Roman"/>
          <w:sz w:val="24"/>
          <w:szCs w:val="24"/>
        </w:rPr>
        <w:t>względu na to</w:t>
      </w:r>
      <w:r w:rsidR="00242812">
        <w:rPr>
          <w:rFonts w:ascii="Times New Roman" w:hAnsi="Times New Roman" w:cs="Times New Roman"/>
          <w:sz w:val="24"/>
          <w:szCs w:val="24"/>
        </w:rPr>
        <w:t>,</w:t>
      </w:r>
      <w:r w:rsidR="00661DB4" w:rsidRPr="00EF6F97">
        <w:rPr>
          <w:rFonts w:ascii="Times New Roman" w:hAnsi="Times New Roman" w:cs="Times New Roman"/>
          <w:sz w:val="24"/>
          <w:szCs w:val="24"/>
        </w:rPr>
        <w:t xml:space="preserve"> u kogo</w:t>
      </w:r>
      <w:r w:rsidR="001D0628">
        <w:rPr>
          <w:rFonts w:ascii="Times New Roman" w:hAnsi="Times New Roman" w:cs="Times New Roman"/>
          <w:sz w:val="24"/>
          <w:szCs w:val="24"/>
        </w:rPr>
        <w:t xml:space="preserve"> i </w:t>
      </w:r>
      <w:r w:rsidR="00661DB4" w:rsidRPr="00EF6F97">
        <w:rPr>
          <w:rFonts w:ascii="Times New Roman" w:hAnsi="Times New Roman" w:cs="Times New Roman"/>
          <w:sz w:val="24"/>
          <w:szCs w:val="24"/>
        </w:rPr>
        <w:t>na jakiej podstawie zostały zatrudnione. Kwestia eksploatacji tych urządzeń u małego czy dużego przedsiębiorcy nie powinna stanowić podstawy do rozróżniania w zakresie okresu ważności świadectw kwalifikacyjnych. Zarówno bowiem w jednym</w:t>
      </w:r>
      <w:r w:rsidR="00242812">
        <w:rPr>
          <w:rFonts w:ascii="Times New Roman" w:hAnsi="Times New Roman" w:cs="Times New Roman"/>
          <w:sz w:val="24"/>
          <w:szCs w:val="24"/>
        </w:rPr>
        <w:t>,</w:t>
      </w:r>
      <w:r w:rsidR="00661DB4" w:rsidRPr="00EF6F97">
        <w:rPr>
          <w:rFonts w:ascii="Times New Roman" w:hAnsi="Times New Roman" w:cs="Times New Roman"/>
          <w:sz w:val="24"/>
          <w:szCs w:val="24"/>
        </w:rPr>
        <w:t xml:space="preserve"> jak</w:t>
      </w:r>
      <w:r w:rsidR="001D0628">
        <w:rPr>
          <w:rFonts w:ascii="Times New Roman" w:hAnsi="Times New Roman" w:cs="Times New Roman"/>
          <w:sz w:val="24"/>
          <w:szCs w:val="24"/>
        </w:rPr>
        <w:t xml:space="preserve"> i </w:t>
      </w:r>
      <w:r w:rsidR="00661DB4" w:rsidRPr="00EF6F97">
        <w:rPr>
          <w:rFonts w:ascii="Times New Roman" w:hAnsi="Times New Roman" w:cs="Times New Roman"/>
          <w:sz w:val="24"/>
          <w:szCs w:val="24"/>
        </w:rPr>
        <w:t>drugim przypadku należy zapewnić</w:t>
      </w:r>
      <w:r w:rsidR="00242812">
        <w:rPr>
          <w:rFonts w:ascii="Times New Roman" w:hAnsi="Times New Roman" w:cs="Times New Roman"/>
          <w:sz w:val="24"/>
          <w:szCs w:val="24"/>
        </w:rPr>
        <w:t>,</w:t>
      </w:r>
      <w:r w:rsidR="00661DB4" w:rsidRPr="00EF6F97">
        <w:rPr>
          <w:rFonts w:ascii="Times New Roman" w:hAnsi="Times New Roman" w:cs="Times New Roman"/>
          <w:sz w:val="24"/>
          <w:szCs w:val="24"/>
        </w:rPr>
        <w:t xml:space="preserve"> aby eksploatacja ta była dokonywana w sposób bezpieczny dla życia</w:t>
      </w:r>
      <w:r w:rsidR="001D0628">
        <w:rPr>
          <w:rFonts w:ascii="Times New Roman" w:hAnsi="Times New Roman" w:cs="Times New Roman"/>
          <w:sz w:val="24"/>
          <w:szCs w:val="24"/>
        </w:rPr>
        <w:t xml:space="preserve"> i </w:t>
      </w:r>
      <w:r w:rsidR="00661DB4" w:rsidRPr="00EF6F97">
        <w:rPr>
          <w:rFonts w:ascii="Times New Roman" w:hAnsi="Times New Roman" w:cs="Times New Roman"/>
          <w:sz w:val="24"/>
          <w:szCs w:val="24"/>
        </w:rPr>
        <w:t>zdrowia ludzkiego.</w:t>
      </w:r>
    </w:p>
    <w:p w14:paraId="56970C3A" w14:textId="77777777" w:rsidR="00404078" w:rsidRPr="00EF6F97" w:rsidRDefault="00D20DB5"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404078" w:rsidRPr="00EF6F97">
        <w:rPr>
          <w:rFonts w:ascii="Times New Roman" w:hAnsi="Times New Roman" w:cs="Times New Roman"/>
          <w:sz w:val="24"/>
          <w:szCs w:val="24"/>
        </w:rPr>
        <w:t>Pracodawca będzie mógł dopuścić do wykonywania prac eksploatacyjnych przy urządzeniach energetycznych, pod nadzorem osoby uprawnionej, osoby nieposiadające świadectw kwalifikacyjnych:</w:t>
      </w:r>
    </w:p>
    <w:p w14:paraId="7BBCDF43" w14:textId="77777777" w:rsidR="00404078" w:rsidRPr="00215A1D" w:rsidRDefault="00404078" w:rsidP="00242812">
      <w:pPr>
        <w:pStyle w:val="Akapitzlist"/>
        <w:numPr>
          <w:ilvl w:val="0"/>
          <w:numId w:val="24"/>
        </w:numPr>
        <w:spacing w:after="0" w:line="360" w:lineRule="auto"/>
        <w:ind w:left="426" w:hanging="426"/>
        <w:jc w:val="both"/>
        <w:rPr>
          <w:rFonts w:ascii="Times New Roman" w:hAnsi="Times New Roman"/>
          <w:sz w:val="24"/>
          <w:szCs w:val="24"/>
        </w:rPr>
      </w:pPr>
      <w:r w:rsidRPr="00215A1D">
        <w:rPr>
          <w:rFonts w:ascii="Times New Roman" w:hAnsi="Times New Roman"/>
          <w:sz w:val="24"/>
          <w:szCs w:val="24"/>
        </w:rPr>
        <w:t xml:space="preserve">w celu przyuczenia do zawodu </w:t>
      </w:r>
      <w:r w:rsidR="001D0628">
        <w:rPr>
          <w:rFonts w:ascii="Times New Roman" w:hAnsi="Times New Roman"/>
          <w:sz w:val="24"/>
          <w:szCs w:val="24"/>
        </w:rPr>
        <w:t>z </w:t>
      </w:r>
      <w:r w:rsidRPr="00215A1D">
        <w:rPr>
          <w:rFonts w:ascii="Times New Roman" w:hAnsi="Times New Roman"/>
          <w:sz w:val="24"/>
          <w:szCs w:val="24"/>
        </w:rPr>
        <w:t>uwzględnieniem przepisów dotyczących zatrudnienia młodocianych;</w:t>
      </w:r>
    </w:p>
    <w:p w14:paraId="17CE1783" w14:textId="77777777" w:rsidR="00404078" w:rsidRPr="00215A1D" w:rsidRDefault="00404078" w:rsidP="00242812">
      <w:pPr>
        <w:pStyle w:val="Akapitzlist"/>
        <w:numPr>
          <w:ilvl w:val="0"/>
          <w:numId w:val="24"/>
        </w:numPr>
        <w:spacing w:after="0" w:line="360" w:lineRule="auto"/>
        <w:ind w:left="426" w:hanging="426"/>
        <w:jc w:val="both"/>
        <w:rPr>
          <w:rFonts w:ascii="Times New Roman" w:hAnsi="Times New Roman"/>
          <w:sz w:val="24"/>
          <w:szCs w:val="24"/>
        </w:rPr>
      </w:pPr>
      <w:r w:rsidRPr="00215A1D">
        <w:rPr>
          <w:rFonts w:ascii="Times New Roman" w:hAnsi="Times New Roman"/>
          <w:sz w:val="24"/>
          <w:szCs w:val="24"/>
        </w:rPr>
        <w:t>reprezentujące organy nadzoru;</w:t>
      </w:r>
    </w:p>
    <w:p w14:paraId="5868ADF7" w14:textId="77777777" w:rsidR="00404078" w:rsidRPr="00215A1D" w:rsidRDefault="00404078" w:rsidP="00242812">
      <w:pPr>
        <w:pStyle w:val="Akapitzlist"/>
        <w:numPr>
          <w:ilvl w:val="0"/>
          <w:numId w:val="24"/>
        </w:numPr>
        <w:spacing w:after="0" w:line="360" w:lineRule="auto"/>
        <w:ind w:left="426" w:hanging="426"/>
        <w:jc w:val="both"/>
        <w:rPr>
          <w:rFonts w:ascii="Times New Roman" w:hAnsi="Times New Roman"/>
          <w:sz w:val="24"/>
          <w:szCs w:val="24"/>
        </w:rPr>
      </w:pPr>
      <w:r w:rsidRPr="00215A1D">
        <w:rPr>
          <w:rFonts w:ascii="Times New Roman" w:hAnsi="Times New Roman"/>
          <w:sz w:val="24"/>
          <w:szCs w:val="24"/>
        </w:rPr>
        <w:t>prowadzące specjalistyczne prace serwisowe.</w:t>
      </w:r>
    </w:p>
    <w:p w14:paraId="42E6D178" w14:textId="7C6CB8FD" w:rsidR="00296AE8" w:rsidRDefault="00D20DB5"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46221" w:rsidRPr="00EF6F97">
        <w:rPr>
          <w:rFonts w:ascii="Times New Roman" w:hAnsi="Times New Roman" w:cs="Times New Roman"/>
          <w:sz w:val="24"/>
          <w:szCs w:val="24"/>
        </w:rPr>
        <w:t>W propozycjach przepisów uregulowano również kwestie wydanych świadectw kwalifikacyjnych ora</w:t>
      </w:r>
      <w:r w:rsidR="001D0628">
        <w:rPr>
          <w:rFonts w:ascii="Times New Roman" w:hAnsi="Times New Roman" w:cs="Times New Roman"/>
          <w:sz w:val="24"/>
          <w:szCs w:val="24"/>
        </w:rPr>
        <w:t>z </w:t>
      </w:r>
      <w:r w:rsidR="00646221" w:rsidRPr="00EF6F97">
        <w:rPr>
          <w:rFonts w:ascii="Times New Roman" w:hAnsi="Times New Roman" w:cs="Times New Roman"/>
          <w:sz w:val="24"/>
          <w:szCs w:val="24"/>
        </w:rPr>
        <w:t>istniejących komisji kwalifikacyjnych. Świadectwa wydane prze</w:t>
      </w:r>
      <w:r w:rsidR="001D0628">
        <w:rPr>
          <w:rFonts w:ascii="Times New Roman" w:hAnsi="Times New Roman" w:cs="Times New Roman"/>
          <w:sz w:val="24"/>
          <w:szCs w:val="24"/>
        </w:rPr>
        <w:t>z </w:t>
      </w:r>
      <w:r w:rsidR="00646221" w:rsidRPr="00EF6F97">
        <w:rPr>
          <w:rFonts w:ascii="Times New Roman" w:hAnsi="Times New Roman" w:cs="Times New Roman"/>
          <w:sz w:val="24"/>
          <w:szCs w:val="24"/>
        </w:rPr>
        <w:t>komisje kwalifikacyjne osobom</w:t>
      </w:r>
      <w:r w:rsidR="00646221" w:rsidRPr="00EF6F97">
        <w:rPr>
          <w:rFonts w:ascii="Times New Roman" w:hAnsi="Times New Roman" w:cs="Times New Roman"/>
        </w:rPr>
        <w:t xml:space="preserve"> ś</w:t>
      </w:r>
      <w:r w:rsidR="00646221" w:rsidRPr="00EF6F97">
        <w:rPr>
          <w:rFonts w:ascii="Times New Roman" w:hAnsi="Times New Roman" w:cs="Times New Roman"/>
          <w:sz w:val="24"/>
          <w:szCs w:val="24"/>
        </w:rPr>
        <w:t>wiadczącym usługi na rzec</w:t>
      </w:r>
      <w:r w:rsidR="001D0628">
        <w:rPr>
          <w:rFonts w:ascii="Times New Roman" w:hAnsi="Times New Roman" w:cs="Times New Roman"/>
          <w:sz w:val="24"/>
          <w:szCs w:val="24"/>
        </w:rPr>
        <w:t>z </w:t>
      </w:r>
      <w:r w:rsidR="00646221" w:rsidRPr="00EF6F97">
        <w:rPr>
          <w:rFonts w:ascii="Times New Roman" w:hAnsi="Times New Roman" w:cs="Times New Roman"/>
          <w:sz w:val="24"/>
          <w:szCs w:val="24"/>
        </w:rPr>
        <w:t>konsumentów ora</w:t>
      </w:r>
      <w:r w:rsidR="001D0628">
        <w:rPr>
          <w:rFonts w:ascii="Times New Roman" w:hAnsi="Times New Roman" w:cs="Times New Roman"/>
          <w:sz w:val="24"/>
          <w:szCs w:val="24"/>
        </w:rPr>
        <w:t>z </w:t>
      </w:r>
      <w:r w:rsidR="00646221" w:rsidRPr="00EF6F97">
        <w:rPr>
          <w:rFonts w:ascii="Times New Roman" w:hAnsi="Times New Roman" w:cs="Times New Roman"/>
          <w:sz w:val="24"/>
          <w:szCs w:val="24"/>
        </w:rPr>
        <w:t>mikroprzedsiębiorców, małych lub średnich przedsiębiorców, zachowują ważność prze</w:t>
      </w:r>
      <w:r w:rsidR="001D0628">
        <w:rPr>
          <w:rFonts w:ascii="Times New Roman" w:hAnsi="Times New Roman" w:cs="Times New Roman"/>
          <w:sz w:val="24"/>
          <w:szCs w:val="24"/>
        </w:rPr>
        <w:t>z </w:t>
      </w:r>
      <w:r w:rsidR="00646221" w:rsidRPr="00EF6F97">
        <w:rPr>
          <w:rFonts w:ascii="Times New Roman" w:hAnsi="Times New Roman" w:cs="Times New Roman"/>
          <w:sz w:val="24"/>
          <w:szCs w:val="24"/>
        </w:rPr>
        <w:t>okres</w:t>
      </w:r>
      <w:r w:rsidR="00242812">
        <w:rPr>
          <w:rFonts w:ascii="Times New Roman" w:hAnsi="Times New Roman" w:cs="Times New Roman"/>
          <w:sz w:val="24"/>
          <w:szCs w:val="24"/>
        </w:rPr>
        <w:t>,</w:t>
      </w:r>
      <w:r w:rsidR="00646221" w:rsidRPr="00EF6F97">
        <w:rPr>
          <w:rFonts w:ascii="Times New Roman" w:hAnsi="Times New Roman" w:cs="Times New Roman"/>
          <w:sz w:val="24"/>
          <w:szCs w:val="24"/>
        </w:rPr>
        <w:t xml:space="preserve"> na jaki zostały wydane; wydane zaś innym osobom zachowują ważność prze</w:t>
      </w:r>
      <w:r w:rsidR="001D0628">
        <w:rPr>
          <w:rFonts w:ascii="Times New Roman" w:hAnsi="Times New Roman" w:cs="Times New Roman"/>
          <w:sz w:val="24"/>
          <w:szCs w:val="24"/>
        </w:rPr>
        <w:t>z </w:t>
      </w:r>
      <w:r w:rsidR="00FA0991">
        <w:rPr>
          <w:rFonts w:ascii="Times New Roman" w:hAnsi="Times New Roman" w:cs="Times New Roman"/>
          <w:sz w:val="24"/>
          <w:szCs w:val="24"/>
        </w:rPr>
        <w:t>okres</w:t>
      </w:r>
      <w:r w:rsidR="00242812">
        <w:rPr>
          <w:rFonts w:ascii="Times New Roman" w:hAnsi="Times New Roman" w:cs="Times New Roman"/>
          <w:sz w:val="24"/>
          <w:szCs w:val="24"/>
        </w:rPr>
        <w:t>,</w:t>
      </w:r>
      <w:r w:rsidR="00FA0991">
        <w:rPr>
          <w:rFonts w:ascii="Times New Roman" w:hAnsi="Times New Roman" w:cs="Times New Roman"/>
          <w:sz w:val="24"/>
          <w:szCs w:val="24"/>
        </w:rPr>
        <w:t xml:space="preserve"> na jaki zostały wydane, ale nie dłużej niż 5 lat </w:t>
      </w:r>
      <w:r w:rsidR="00646221" w:rsidRPr="00EF6F97">
        <w:rPr>
          <w:rFonts w:ascii="Times New Roman" w:hAnsi="Times New Roman" w:cs="Times New Roman"/>
          <w:sz w:val="24"/>
          <w:szCs w:val="24"/>
        </w:rPr>
        <w:t>od dnia wejścia w życie niniejszej ustawy.</w:t>
      </w:r>
      <w:r w:rsidR="000A38CE" w:rsidRPr="00EF6F97">
        <w:rPr>
          <w:rFonts w:ascii="Times New Roman" w:hAnsi="Times New Roman" w:cs="Times New Roman"/>
          <w:sz w:val="24"/>
          <w:szCs w:val="24"/>
        </w:rPr>
        <w:t xml:space="preserve"> Komisje kwalifikacyjne powołane na podstawie dotychczasowych przepisów stają się komisjami kwalifikacyjnym</w:t>
      </w:r>
      <w:r w:rsidR="00296AE8" w:rsidRPr="00EF6F97">
        <w:rPr>
          <w:rFonts w:ascii="Times New Roman" w:hAnsi="Times New Roman" w:cs="Times New Roman"/>
          <w:sz w:val="24"/>
          <w:szCs w:val="24"/>
        </w:rPr>
        <w:t>i wskazanymi w projekcie ustawy</w:t>
      </w:r>
      <w:r w:rsidR="000A38CE" w:rsidRPr="00EF6F97">
        <w:rPr>
          <w:rFonts w:ascii="Times New Roman" w:hAnsi="Times New Roman" w:cs="Times New Roman"/>
          <w:sz w:val="24"/>
          <w:szCs w:val="24"/>
        </w:rPr>
        <w:t xml:space="preserve">. </w:t>
      </w:r>
      <w:r w:rsidR="00296AE8" w:rsidRPr="00EF6F97">
        <w:rPr>
          <w:rFonts w:ascii="Times New Roman" w:hAnsi="Times New Roman" w:cs="Times New Roman"/>
          <w:sz w:val="24"/>
          <w:szCs w:val="24"/>
        </w:rPr>
        <w:t>Dotyczy to komisji kwalifikacyjnych powołanych</w:t>
      </w:r>
      <w:r w:rsidR="00FA0991">
        <w:rPr>
          <w:rFonts w:ascii="Times New Roman" w:hAnsi="Times New Roman" w:cs="Times New Roman"/>
          <w:sz w:val="24"/>
          <w:szCs w:val="24"/>
        </w:rPr>
        <w:t xml:space="preserve"> przez</w:t>
      </w:r>
      <w:r w:rsidR="00296AE8" w:rsidRPr="00EF6F97">
        <w:rPr>
          <w:rFonts w:ascii="Times New Roman" w:hAnsi="Times New Roman" w:cs="Times New Roman"/>
          <w:sz w:val="24"/>
          <w:szCs w:val="24"/>
        </w:rPr>
        <w:t xml:space="preserve">: </w:t>
      </w:r>
    </w:p>
    <w:p w14:paraId="2BFEC249" w14:textId="77777777" w:rsidR="00D03FA8" w:rsidRPr="00EF6F97" w:rsidRDefault="00D03FA8" w:rsidP="00215A1D">
      <w:pPr>
        <w:spacing w:line="360" w:lineRule="auto"/>
        <w:jc w:val="both"/>
        <w:rPr>
          <w:rFonts w:ascii="Times New Roman" w:hAnsi="Times New Roman" w:cs="Times New Roman"/>
          <w:sz w:val="24"/>
          <w:szCs w:val="24"/>
        </w:rPr>
      </w:pPr>
      <w:r w:rsidRPr="00D03FA8">
        <w:rPr>
          <w:rFonts w:ascii="Times New Roman" w:hAnsi="Times New Roman" w:cs="Times New Roman"/>
          <w:sz w:val="24"/>
          <w:szCs w:val="24"/>
        </w:rPr>
        <w:t>1) Prezesa URE:</w:t>
      </w:r>
    </w:p>
    <w:p w14:paraId="67702E41" w14:textId="77777777" w:rsidR="00296AE8" w:rsidRPr="00EF6F97" w:rsidRDefault="00C33B05" w:rsidP="00242812">
      <w:pPr>
        <w:pStyle w:val="Akapitzlist"/>
        <w:numPr>
          <w:ilvl w:val="1"/>
          <w:numId w:val="27"/>
        </w:numPr>
        <w:spacing w:after="0" w:line="360" w:lineRule="auto"/>
        <w:ind w:left="851" w:hanging="425"/>
        <w:jc w:val="both"/>
        <w:rPr>
          <w:rFonts w:ascii="Times New Roman" w:hAnsi="Times New Roman"/>
          <w:sz w:val="24"/>
          <w:szCs w:val="24"/>
        </w:rPr>
      </w:pPr>
      <w:r w:rsidRPr="00EF6F97">
        <w:rPr>
          <w:rFonts w:ascii="Times New Roman" w:hAnsi="Times New Roman"/>
          <w:sz w:val="24"/>
          <w:szCs w:val="24"/>
        </w:rPr>
        <w:lastRenderedPageBreak/>
        <w:t>w przedsiębiorstwach energetycznych zatrudniających</w:t>
      </w:r>
      <w:r w:rsidR="00296AE8" w:rsidRPr="00EF6F97">
        <w:rPr>
          <w:rFonts w:ascii="Times New Roman" w:hAnsi="Times New Roman"/>
          <w:sz w:val="24"/>
          <w:szCs w:val="24"/>
        </w:rPr>
        <w:t xml:space="preserve"> co najmniej 200 osób wykonujących prace, o których mowa w przepisac</w:t>
      </w:r>
      <w:r w:rsidR="000937D0" w:rsidRPr="00EF6F97">
        <w:rPr>
          <w:rFonts w:ascii="Times New Roman" w:hAnsi="Times New Roman"/>
          <w:sz w:val="24"/>
          <w:szCs w:val="24"/>
        </w:rPr>
        <w:t>h wydanych na podstawie art. 54 ust. 7</w:t>
      </w:r>
      <w:r w:rsidR="00296AE8" w:rsidRPr="00EF6F97">
        <w:rPr>
          <w:rFonts w:ascii="Times New Roman" w:hAnsi="Times New Roman"/>
          <w:sz w:val="24"/>
          <w:szCs w:val="24"/>
        </w:rPr>
        <w:t>,</w:t>
      </w:r>
    </w:p>
    <w:p w14:paraId="55AB553E" w14:textId="68FF2DA0" w:rsidR="00296AE8" w:rsidRPr="00EF6F97" w:rsidRDefault="00296AE8" w:rsidP="00242812">
      <w:pPr>
        <w:pStyle w:val="Akapitzlist"/>
        <w:numPr>
          <w:ilvl w:val="1"/>
          <w:numId w:val="27"/>
        </w:numPr>
        <w:spacing w:after="0" w:line="360" w:lineRule="auto"/>
        <w:ind w:left="851" w:hanging="425"/>
        <w:jc w:val="both"/>
        <w:rPr>
          <w:rFonts w:ascii="Times New Roman" w:hAnsi="Times New Roman"/>
          <w:sz w:val="24"/>
          <w:szCs w:val="24"/>
        </w:rPr>
      </w:pPr>
      <w:r w:rsidRPr="00EF6F97">
        <w:rPr>
          <w:rFonts w:ascii="Times New Roman" w:hAnsi="Times New Roman"/>
          <w:sz w:val="24"/>
          <w:szCs w:val="24"/>
        </w:rPr>
        <w:t>przy stowarzyszeniach naukowo</w:t>
      </w:r>
      <w:r w:rsidR="00242812">
        <w:rPr>
          <w:rFonts w:ascii="Times New Roman" w:hAnsi="Times New Roman"/>
          <w:sz w:val="24"/>
          <w:szCs w:val="24"/>
        </w:rPr>
        <w:t>-</w:t>
      </w:r>
      <w:r w:rsidRPr="00EF6F97">
        <w:rPr>
          <w:rFonts w:ascii="Times New Roman" w:hAnsi="Times New Roman"/>
          <w:sz w:val="24"/>
          <w:szCs w:val="24"/>
        </w:rPr>
        <w:t>technicznych</w:t>
      </w:r>
      <w:r w:rsidR="00101607">
        <w:rPr>
          <w:rFonts w:ascii="Times New Roman" w:hAnsi="Times New Roman"/>
          <w:sz w:val="24"/>
          <w:szCs w:val="24"/>
        </w:rPr>
        <w:t xml:space="preserve"> </w:t>
      </w:r>
      <w:r w:rsidR="003D0342" w:rsidRPr="00EF6F97">
        <w:rPr>
          <w:rFonts w:ascii="Times New Roman" w:hAnsi="Times New Roman"/>
          <w:sz w:val="24"/>
          <w:szCs w:val="24"/>
        </w:rPr>
        <w:t>zrzeszających co najmniej 2</w:t>
      </w:r>
      <w:r w:rsidR="00C33B05" w:rsidRPr="00EF6F97">
        <w:rPr>
          <w:rFonts w:ascii="Times New Roman" w:hAnsi="Times New Roman"/>
          <w:sz w:val="24"/>
          <w:szCs w:val="24"/>
        </w:rPr>
        <w:t>00 członków</w:t>
      </w:r>
      <w:r w:rsidRPr="00EF6F97">
        <w:rPr>
          <w:rFonts w:ascii="Times New Roman" w:hAnsi="Times New Roman"/>
          <w:sz w:val="24"/>
          <w:szCs w:val="24"/>
        </w:rPr>
        <w:t>, jeżeli statuty tych stowarzyszeń zawierają postanowienia określające zakres wykonywanej działalności na rzec</w:t>
      </w:r>
      <w:r w:rsidR="001D0628">
        <w:rPr>
          <w:rFonts w:ascii="Times New Roman" w:hAnsi="Times New Roman"/>
          <w:sz w:val="24"/>
          <w:szCs w:val="24"/>
        </w:rPr>
        <w:t>z </w:t>
      </w:r>
      <w:r w:rsidRPr="00EF6F97">
        <w:rPr>
          <w:rFonts w:ascii="Times New Roman" w:hAnsi="Times New Roman"/>
          <w:sz w:val="24"/>
          <w:szCs w:val="24"/>
        </w:rPr>
        <w:t>gospodarki energetycznej;</w:t>
      </w:r>
    </w:p>
    <w:p w14:paraId="28F21F5D" w14:textId="208631FD" w:rsidR="00296AE8" w:rsidRPr="00EF6F97" w:rsidRDefault="00296AE8" w:rsidP="00242812">
      <w:pPr>
        <w:spacing w:line="360" w:lineRule="auto"/>
        <w:ind w:left="284" w:hanging="284"/>
        <w:jc w:val="both"/>
        <w:rPr>
          <w:rFonts w:ascii="Times New Roman" w:hAnsi="Times New Roman" w:cs="Times New Roman"/>
          <w:sz w:val="24"/>
          <w:szCs w:val="24"/>
        </w:rPr>
      </w:pPr>
      <w:r w:rsidRPr="00EF6F97">
        <w:rPr>
          <w:rFonts w:ascii="Times New Roman" w:hAnsi="Times New Roman" w:cs="Times New Roman"/>
          <w:sz w:val="24"/>
          <w:szCs w:val="24"/>
        </w:rPr>
        <w:t>2) właściwych ministrów ora</w:t>
      </w:r>
      <w:r w:rsidR="001D0628">
        <w:rPr>
          <w:rFonts w:ascii="Times New Roman" w:hAnsi="Times New Roman" w:cs="Times New Roman"/>
          <w:sz w:val="24"/>
          <w:szCs w:val="24"/>
        </w:rPr>
        <w:t>z </w:t>
      </w:r>
      <w:r w:rsidRPr="00EF6F97">
        <w:rPr>
          <w:rFonts w:ascii="Times New Roman" w:hAnsi="Times New Roman" w:cs="Times New Roman"/>
          <w:sz w:val="24"/>
          <w:szCs w:val="24"/>
        </w:rPr>
        <w:t>Szefów Agencji, o których mowa w art. 21a, w zakresie eksploatacji urządzeń, instalacji lub sieci w jednostkach organizacyjnych nadzorowanych lub podległych tym ministrom lub Szefom Agencji</w:t>
      </w:r>
      <w:r w:rsidR="00242812">
        <w:rPr>
          <w:rFonts w:ascii="Times New Roman" w:hAnsi="Times New Roman" w:cs="Times New Roman"/>
          <w:sz w:val="24"/>
          <w:szCs w:val="24"/>
        </w:rPr>
        <w:t>;</w:t>
      </w:r>
    </w:p>
    <w:p w14:paraId="6BAA0594" w14:textId="77777777" w:rsidR="00296AE8" w:rsidRPr="00EF6F97" w:rsidRDefault="00296AE8" w:rsidP="00242812">
      <w:pPr>
        <w:spacing w:line="360" w:lineRule="auto"/>
        <w:ind w:left="284" w:hanging="284"/>
        <w:jc w:val="both"/>
        <w:rPr>
          <w:rFonts w:ascii="Times New Roman" w:hAnsi="Times New Roman" w:cs="Times New Roman"/>
          <w:sz w:val="24"/>
          <w:szCs w:val="24"/>
        </w:rPr>
      </w:pPr>
      <w:r w:rsidRPr="00EF6F97">
        <w:rPr>
          <w:rFonts w:ascii="Times New Roman" w:hAnsi="Times New Roman" w:cs="Times New Roman"/>
          <w:sz w:val="24"/>
          <w:szCs w:val="24"/>
        </w:rPr>
        <w:t>3) ministra właściwego do spraw transportu, w zakresie eksploatacji urządzeń, instalacji lub sieci energetycznych eksploatowanych w jednostkach organizacyjnych transportu kolejowego.</w:t>
      </w:r>
    </w:p>
    <w:p w14:paraId="74A4F3F3" w14:textId="160F57AD" w:rsidR="00646221"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46221" w:rsidRPr="00EF6F97">
        <w:rPr>
          <w:rFonts w:ascii="Times New Roman" w:hAnsi="Times New Roman" w:cs="Times New Roman"/>
          <w:sz w:val="24"/>
          <w:szCs w:val="24"/>
        </w:rPr>
        <w:t xml:space="preserve">Komisje kwalifikacyjne powołane na podstawie </w:t>
      </w:r>
      <w:r w:rsidR="000A38CE" w:rsidRPr="00EF6F97">
        <w:rPr>
          <w:rFonts w:ascii="Times New Roman" w:hAnsi="Times New Roman" w:cs="Times New Roman"/>
          <w:sz w:val="24"/>
          <w:szCs w:val="24"/>
        </w:rPr>
        <w:t xml:space="preserve">dotychczasowych przepisów </w:t>
      </w:r>
      <w:r w:rsidR="00646221" w:rsidRPr="00EF6F97">
        <w:rPr>
          <w:rFonts w:ascii="Times New Roman" w:hAnsi="Times New Roman" w:cs="Times New Roman"/>
          <w:sz w:val="24"/>
          <w:szCs w:val="24"/>
        </w:rPr>
        <w:t>działają prze</w:t>
      </w:r>
      <w:r w:rsidR="001D0628">
        <w:rPr>
          <w:rFonts w:ascii="Times New Roman" w:hAnsi="Times New Roman" w:cs="Times New Roman"/>
          <w:sz w:val="24"/>
          <w:szCs w:val="24"/>
        </w:rPr>
        <w:t>z </w:t>
      </w:r>
      <w:r w:rsidR="00646221" w:rsidRPr="00EF6F97">
        <w:rPr>
          <w:rFonts w:ascii="Times New Roman" w:hAnsi="Times New Roman" w:cs="Times New Roman"/>
          <w:sz w:val="24"/>
          <w:szCs w:val="24"/>
        </w:rPr>
        <w:t>okres</w:t>
      </w:r>
      <w:r w:rsidR="00242812">
        <w:rPr>
          <w:rFonts w:ascii="Times New Roman" w:hAnsi="Times New Roman" w:cs="Times New Roman"/>
          <w:sz w:val="24"/>
          <w:szCs w:val="24"/>
        </w:rPr>
        <w:t>,</w:t>
      </w:r>
      <w:r w:rsidR="00646221" w:rsidRPr="00EF6F97">
        <w:rPr>
          <w:rFonts w:ascii="Times New Roman" w:hAnsi="Times New Roman" w:cs="Times New Roman"/>
          <w:sz w:val="24"/>
          <w:szCs w:val="24"/>
        </w:rPr>
        <w:t xml:space="preserve"> na jaki zostały powołane.</w:t>
      </w:r>
    </w:p>
    <w:p w14:paraId="772FB4C6" w14:textId="573868BD" w:rsidR="00A64316"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A64316" w:rsidRPr="00EF6F97">
        <w:rPr>
          <w:rFonts w:ascii="Times New Roman" w:hAnsi="Times New Roman" w:cs="Times New Roman"/>
          <w:sz w:val="24"/>
          <w:szCs w:val="24"/>
        </w:rPr>
        <w:t>Jednocześnie doprecyzowuje się</w:t>
      </w:r>
      <w:r w:rsidR="00242812">
        <w:rPr>
          <w:rFonts w:ascii="Times New Roman" w:hAnsi="Times New Roman" w:cs="Times New Roman"/>
          <w:sz w:val="24"/>
          <w:szCs w:val="24"/>
        </w:rPr>
        <w:t>,</w:t>
      </w:r>
      <w:r w:rsidR="00A64316" w:rsidRPr="00EF6F97">
        <w:rPr>
          <w:rFonts w:ascii="Times New Roman" w:hAnsi="Times New Roman" w:cs="Times New Roman"/>
          <w:sz w:val="24"/>
          <w:szCs w:val="24"/>
        </w:rPr>
        <w:t xml:space="preserve"> jakie komisje kwalifikacyjne będą powoływane prze</w:t>
      </w:r>
      <w:r w:rsidR="001D0628">
        <w:rPr>
          <w:rFonts w:ascii="Times New Roman" w:hAnsi="Times New Roman" w:cs="Times New Roman"/>
          <w:sz w:val="24"/>
          <w:szCs w:val="24"/>
        </w:rPr>
        <w:t>z </w:t>
      </w:r>
      <w:r w:rsidR="00A64316" w:rsidRPr="00EF6F97">
        <w:rPr>
          <w:rFonts w:ascii="Times New Roman" w:hAnsi="Times New Roman" w:cs="Times New Roman"/>
          <w:sz w:val="24"/>
          <w:szCs w:val="24"/>
        </w:rPr>
        <w:t xml:space="preserve">Prezesa URE w celu uniknięcia wątpliwości interpretacyjnych, </w:t>
      </w:r>
      <w:r w:rsidR="001D0628">
        <w:rPr>
          <w:rFonts w:ascii="Times New Roman" w:hAnsi="Times New Roman" w:cs="Times New Roman"/>
          <w:sz w:val="24"/>
          <w:szCs w:val="24"/>
        </w:rPr>
        <w:t>z </w:t>
      </w:r>
      <w:r w:rsidR="00A64316" w:rsidRPr="00EF6F97">
        <w:rPr>
          <w:rFonts w:ascii="Times New Roman" w:hAnsi="Times New Roman" w:cs="Times New Roman"/>
          <w:sz w:val="24"/>
          <w:szCs w:val="24"/>
        </w:rPr>
        <w:t>którymi miał do czynienia ten organ. Są to komisje powoływane w przedsiębiorstwach energetycznych zatrudniających co najmniej 200 osób wykonujących prace, o których mowa w przepisach wydanych na podstawie art. 54 ust. 7</w:t>
      </w:r>
      <w:r w:rsidR="00FA0991">
        <w:rPr>
          <w:rFonts w:ascii="Times New Roman" w:hAnsi="Times New Roman" w:cs="Times New Roman"/>
          <w:sz w:val="24"/>
          <w:szCs w:val="24"/>
        </w:rPr>
        <w:t>,</w:t>
      </w:r>
      <w:r w:rsidR="00A64316" w:rsidRPr="00EF6F97">
        <w:rPr>
          <w:rFonts w:ascii="Times New Roman" w:hAnsi="Times New Roman" w:cs="Times New Roman"/>
          <w:sz w:val="24"/>
          <w:szCs w:val="24"/>
        </w:rPr>
        <w:t xml:space="preserve"> ora</w:t>
      </w:r>
      <w:r w:rsidR="001D0628">
        <w:rPr>
          <w:rFonts w:ascii="Times New Roman" w:hAnsi="Times New Roman" w:cs="Times New Roman"/>
          <w:sz w:val="24"/>
          <w:szCs w:val="24"/>
        </w:rPr>
        <w:t>z </w:t>
      </w:r>
      <w:r w:rsidR="00A64316" w:rsidRPr="00EF6F97">
        <w:rPr>
          <w:rFonts w:ascii="Times New Roman" w:hAnsi="Times New Roman" w:cs="Times New Roman"/>
          <w:sz w:val="24"/>
          <w:szCs w:val="24"/>
        </w:rPr>
        <w:t>przy stowarzyszeniach naukowo-technicznych zrzeszających co najmniej 200 członków, jeżeli statuty tych stowarzyszeń zawierają postanowienia określające zakres wykonywanej działalności na rzec</w:t>
      </w:r>
      <w:r w:rsidR="001D0628">
        <w:rPr>
          <w:rFonts w:ascii="Times New Roman" w:hAnsi="Times New Roman" w:cs="Times New Roman"/>
          <w:sz w:val="24"/>
          <w:szCs w:val="24"/>
        </w:rPr>
        <w:t>z </w:t>
      </w:r>
      <w:r w:rsidR="00A64316" w:rsidRPr="00EF6F97">
        <w:rPr>
          <w:rFonts w:ascii="Times New Roman" w:hAnsi="Times New Roman" w:cs="Times New Roman"/>
          <w:sz w:val="24"/>
          <w:szCs w:val="24"/>
        </w:rPr>
        <w:t>gospodarki energetycznej. Wskazanie rodzaju podmiotu ora</w:t>
      </w:r>
      <w:r w:rsidR="001D0628">
        <w:rPr>
          <w:rFonts w:ascii="Times New Roman" w:hAnsi="Times New Roman" w:cs="Times New Roman"/>
          <w:sz w:val="24"/>
          <w:szCs w:val="24"/>
        </w:rPr>
        <w:t>z </w:t>
      </w:r>
      <w:r w:rsidR="00A64316" w:rsidRPr="00EF6F97">
        <w:rPr>
          <w:rFonts w:ascii="Times New Roman" w:hAnsi="Times New Roman" w:cs="Times New Roman"/>
          <w:sz w:val="24"/>
          <w:szCs w:val="24"/>
        </w:rPr>
        <w:t>ustalenie progu 200 osób ma na celu zagwarantowanie, że komisje kwalifikacyjne będą ustanawiane w/przy podmiotach posiadających stabilną pozycję na rynku ora</w:t>
      </w:r>
      <w:r w:rsidR="001D0628">
        <w:rPr>
          <w:rFonts w:ascii="Times New Roman" w:hAnsi="Times New Roman" w:cs="Times New Roman"/>
          <w:sz w:val="24"/>
          <w:szCs w:val="24"/>
        </w:rPr>
        <w:t>z </w:t>
      </w:r>
      <w:r w:rsidR="00A64316" w:rsidRPr="00EF6F97">
        <w:rPr>
          <w:rFonts w:ascii="Times New Roman" w:hAnsi="Times New Roman" w:cs="Times New Roman"/>
          <w:sz w:val="24"/>
          <w:szCs w:val="24"/>
        </w:rPr>
        <w:t xml:space="preserve">wieloletnie doświadczenie. </w:t>
      </w:r>
      <w:r w:rsidR="00360DD7" w:rsidRPr="00EF6F97">
        <w:rPr>
          <w:rFonts w:ascii="Times New Roman" w:hAnsi="Times New Roman" w:cs="Times New Roman"/>
          <w:sz w:val="24"/>
          <w:szCs w:val="24"/>
        </w:rPr>
        <w:t>To ośrodki w postaci przedsiębiorstw energetycznych ora</w:t>
      </w:r>
      <w:r w:rsidR="001D0628">
        <w:rPr>
          <w:rFonts w:ascii="Times New Roman" w:hAnsi="Times New Roman" w:cs="Times New Roman"/>
          <w:sz w:val="24"/>
          <w:szCs w:val="24"/>
        </w:rPr>
        <w:t>z </w:t>
      </w:r>
      <w:r w:rsidR="00360DD7" w:rsidRPr="00EF6F97">
        <w:rPr>
          <w:rFonts w:ascii="Times New Roman" w:hAnsi="Times New Roman" w:cs="Times New Roman"/>
          <w:sz w:val="24"/>
          <w:szCs w:val="24"/>
        </w:rPr>
        <w:t>stowarzyszeń naukowo-technicznych dzia</w:t>
      </w:r>
      <w:r w:rsidR="0076671F" w:rsidRPr="00EF6F97">
        <w:rPr>
          <w:rFonts w:ascii="Times New Roman" w:hAnsi="Times New Roman" w:cs="Times New Roman"/>
          <w:sz w:val="24"/>
          <w:szCs w:val="24"/>
        </w:rPr>
        <w:t>łających w branży</w:t>
      </w:r>
      <w:r w:rsidR="00360DD7" w:rsidRPr="00EF6F97">
        <w:rPr>
          <w:rFonts w:ascii="Times New Roman" w:hAnsi="Times New Roman" w:cs="Times New Roman"/>
          <w:sz w:val="24"/>
          <w:szCs w:val="24"/>
        </w:rPr>
        <w:t xml:space="preserve"> energetycznej stanowią gwarancję należytego przeprowadzenia egzaminów</w:t>
      </w:r>
      <w:r w:rsidR="0076671F" w:rsidRPr="00EF6F97">
        <w:rPr>
          <w:rFonts w:ascii="Times New Roman" w:hAnsi="Times New Roman" w:cs="Times New Roman"/>
          <w:sz w:val="24"/>
          <w:szCs w:val="24"/>
        </w:rPr>
        <w:t xml:space="preserve"> w zawodzie elektryka. Osoby będące pracownikami ww. podmiotów maj</w:t>
      </w:r>
      <w:r w:rsidR="006F5599">
        <w:rPr>
          <w:rFonts w:ascii="Times New Roman" w:hAnsi="Times New Roman" w:cs="Times New Roman"/>
          <w:sz w:val="24"/>
          <w:szCs w:val="24"/>
        </w:rPr>
        <w:t>ą</w:t>
      </w:r>
      <w:r w:rsidR="0076671F" w:rsidRPr="00EF6F97">
        <w:rPr>
          <w:rFonts w:ascii="Times New Roman" w:hAnsi="Times New Roman" w:cs="Times New Roman"/>
          <w:sz w:val="24"/>
          <w:szCs w:val="24"/>
        </w:rPr>
        <w:t xml:space="preserve"> wieloletnie</w:t>
      </w:r>
      <w:r w:rsidR="001D0628">
        <w:rPr>
          <w:rFonts w:ascii="Times New Roman" w:hAnsi="Times New Roman" w:cs="Times New Roman"/>
          <w:sz w:val="24"/>
          <w:szCs w:val="24"/>
        </w:rPr>
        <w:t xml:space="preserve"> i </w:t>
      </w:r>
      <w:r w:rsidR="0076671F" w:rsidRPr="00EF6F97">
        <w:rPr>
          <w:rFonts w:ascii="Times New Roman" w:hAnsi="Times New Roman" w:cs="Times New Roman"/>
          <w:sz w:val="24"/>
          <w:szCs w:val="24"/>
        </w:rPr>
        <w:t xml:space="preserve">praktyczne doświadczenie związane </w:t>
      </w:r>
      <w:r w:rsidR="001D0628">
        <w:rPr>
          <w:rFonts w:ascii="Times New Roman" w:hAnsi="Times New Roman" w:cs="Times New Roman"/>
          <w:sz w:val="24"/>
          <w:szCs w:val="24"/>
        </w:rPr>
        <w:t>z </w:t>
      </w:r>
      <w:r w:rsidR="0076671F" w:rsidRPr="00EF6F97">
        <w:rPr>
          <w:rFonts w:ascii="Times New Roman" w:hAnsi="Times New Roman" w:cs="Times New Roman"/>
          <w:sz w:val="24"/>
          <w:szCs w:val="24"/>
        </w:rPr>
        <w:t xml:space="preserve">pracą urządzeń elektrycznych. Zawężenie do ww. kategorii podmiotów ma na celu wyeliminowanie sytuacji, w której osoby niemające </w:t>
      </w:r>
      <w:r w:rsidR="00FA0991">
        <w:rPr>
          <w:rFonts w:ascii="Times New Roman" w:hAnsi="Times New Roman" w:cs="Times New Roman"/>
          <w:sz w:val="24"/>
          <w:szCs w:val="24"/>
        </w:rPr>
        <w:t xml:space="preserve">odpowiedniej wiedzy </w:t>
      </w:r>
      <w:r w:rsidR="0076671F" w:rsidRPr="00EF6F97">
        <w:rPr>
          <w:rFonts w:ascii="Times New Roman" w:hAnsi="Times New Roman" w:cs="Times New Roman"/>
          <w:sz w:val="24"/>
          <w:szCs w:val="24"/>
        </w:rPr>
        <w:t xml:space="preserve">na temat funkcjonowania energetyki przyznają uprawnienia właśnie w tej dziedzinie. </w:t>
      </w:r>
      <w:r w:rsidR="00A64316" w:rsidRPr="00EF6F97">
        <w:rPr>
          <w:rFonts w:ascii="Times New Roman" w:hAnsi="Times New Roman" w:cs="Times New Roman"/>
          <w:sz w:val="24"/>
          <w:szCs w:val="24"/>
        </w:rPr>
        <w:t>Ministerstwu była wielokrotnie sygnalizowana kwestia powoływania stowarzyszenia jedynie w celu osiągania korzyści materialnych związanych ze zbieraniem opłat za przeprowadzenie egzaminu ora</w:t>
      </w:r>
      <w:r w:rsidR="001D0628">
        <w:rPr>
          <w:rFonts w:ascii="Times New Roman" w:hAnsi="Times New Roman" w:cs="Times New Roman"/>
          <w:sz w:val="24"/>
          <w:szCs w:val="24"/>
        </w:rPr>
        <w:t>z </w:t>
      </w:r>
      <w:r w:rsidR="00A64316" w:rsidRPr="00EF6F97">
        <w:rPr>
          <w:rFonts w:ascii="Times New Roman" w:hAnsi="Times New Roman" w:cs="Times New Roman"/>
          <w:sz w:val="24"/>
          <w:szCs w:val="24"/>
        </w:rPr>
        <w:t xml:space="preserve">wydanie świadectwa kwalifikacyjnego. Niekiedy dochodziło do nadużyć związanych </w:t>
      </w:r>
      <w:r w:rsidR="001D0628">
        <w:rPr>
          <w:rFonts w:ascii="Times New Roman" w:hAnsi="Times New Roman" w:cs="Times New Roman"/>
          <w:sz w:val="24"/>
          <w:szCs w:val="24"/>
        </w:rPr>
        <w:t>z </w:t>
      </w:r>
      <w:r w:rsidR="00A64316" w:rsidRPr="00EF6F97">
        <w:rPr>
          <w:rFonts w:ascii="Times New Roman" w:hAnsi="Times New Roman" w:cs="Times New Roman"/>
          <w:sz w:val="24"/>
          <w:szCs w:val="24"/>
        </w:rPr>
        <w:t xml:space="preserve">tym, że egzaminy były przeprowadzane </w:t>
      </w:r>
      <w:r w:rsidR="00A64316" w:rsidRPr="00EF6F97">
        <w:rPr>
          <w:rFonts w:ascii="Times New Roman" w:hAnsi="Times New Roman" w:cs="Times New Roman"/>
          <w:sz w:val="24"/>
          <w:szCs w:val="24"/>
        </w:rPr>
        <w:lastRenderedPageBreak/>
        <w:t>prze</w:t>
      </w:r>
      <w:r w:rsidR="001D0628">
        <w:rPr>
          <w:rFonts w:ascii="Times New Roman" w:hAnsi="Times New Roman" w:cs="Times New Roman"/>
          <w:sz w:val="24"/>
          <w:szCs w:val="24"/>
        </w:rPr>
        <w:t>z </w:t>
      </w:r>
      <w:r w:rsidR="00A64316" w:rsidRPr="00EF6F97">
        <w:rPr>
          <w:rFonts w:ascii="Times New Roman" w:hAnsi="Times New Roman" w:cs="Times New Roman"/>
          <w:sz w:val="24"/>
          <w:szCs w:val="24"/>
        </w:rPr>
        <w:t>niewykwalifikowane osoby</w:t>
      </w:r>
      <w:r w:rsidR="00FA0991">
        <w:rPr>
          <w:rFonts w:ascii="Times New Roman" w:hAnsi="Times New Roman" w:cs="Times New Roman"/>
          <w:sz w:val="24"/>
          <w:szCs w:val="24"/>
        </w:rPr>
        <w:t>,</w:t>
      </w:r>
      <w:r w:rsidR="00A64316" w:rsidRPr="00EF6F97">
        <w:rPr>
          <w:rFonts w:ascii="Times New Roman" w:hAnsi="Times New Roman" w:cs="Times New Roman"/>
          <w:sz w:val="24"/>
          <w:szCs w:val="24"/>
        </w:rPr>
        <w:t xml:space="preserve"> co negatywnie odbijało się na jakości świadczonych usług (dopuszczanie do zawodu osób be</w:t>
      </w:r>
      <w:r w:rsidR="001D0628">
        <w:rPr>
          <w:rFonts w:ascii="Times New Roman" w:hAnsi="Times New Roman" w:cs="Times New Roman"/>
          <w:sz w:val="24"/>
          <w:szCs w:val="24"/>
        </w:rPr>
        <w:t>z </w:t>
      </w:r>
      <w:r w:rsidR="00A64316" w:rsidRPr="00EF6F97">
        <w:rPr>
          <w:rFonts w:ascii="Times New Roman" w:hAnsi="Times New Roman" w:cs="Times New Roman"/>
          <w:sz w:val="24"/>
          <w:szCs w:val="24"/>
        </w:rPr>
        <w:t>wymaganych kwalifik</w:t>
      </w:r>
      <w:r w:rsidR="007A0BFA" w:rsidRPr="00EF6F97">
        <w:rPr>
          <w:rFonts w:ascii="Times New Roman" w:hAnsi="Times New Roman" w:cs="Times New Roman"/>
          <w:sz w:val="24"/>
          <w:szCs w:val="24"/>
        </w:rPr>
        <w:t>acji ani</w:t>
      </w:r>
      <w:r w:rsidR="00A64316" w:rsidRPr="00EF6F97">
        <w:rPr>
          <w:rFonts w:ascii="Times New Roman" w:hAnsi="Times New Roman" w:cs="Times New Roman"/>
          <w:sz w:val="24"/>
          <w:szCs w:val="24"/>
        </w:rPr>
        <w:t xml:space="preserve"> doświadczenia) ora</w:t>
      </w:r>
      <w:r w:rsidR="001D0628">
        <w:rPr>
          <w:rFonts w:ascii="Times New Roman" w:hAnsi="Times New Roman" w:cs="Times New Roman"/>
          <w:sz w:val="24"/>
          <w:szCs w:val="24"/>
        </w:rPr>
        <w:t>z </w:t>
      </w:r>
      <w:r w:rsidR="00A64316" w:rsidRPr="00EF6F97">
        <w:rPr>
          <w:rFonts w:ascii="Times New Roman" w:hAnsi="Times New Roman" w:cs="Times New Roman"/>
          <w:sz w:val="24"/>
          <w:szCs w:val="24"/>
        </w:rPr>
        <w:t>stwarzało zagrożenie</w:t>
      </w:r>
      <w:r w:rsidR="007A0BFA" w:rsidRPr="00EF6F97">
        <w:rPr>
          <w:rFonts w:ascii="Times New Roman" w:hAnsi="Times New Roman" w:cs="Times New Roman"/>
          <w:sz w:val="24"/>
          <w:szCs w:val="24"/>
        </w:rPr>
        <w:t xml:space="preserve"> zdrowia</w:t>
      </w:r>
      <w:r w:rsidR="001D0628">
        <w:rPr>
          <w:rFonts w:ascii="Times New Roman" w:hAnsi="Times New Roman" w:cs="Times New Roman"/>
          <w:sz w:val="24"/>
          <w:szCs w:val="24"/>
        </w:rPr>
        <w:t xml:space="preserve"> i </w:t>
      </w:r>
      <w:r w:rsidR="007A0BFA" w:rsidRPr="00EF6F97">
        <w:rPr>
          <w:rFonts w:ascii="Times New Roman" w:hAnsi="Times New Roman" w:cs="Times New Roman"/>
          <w:sz w:val="24"/>
          <w:szCs w:val="24"/>
        </w:rPr>
        <w:t>życia</w:t>
      </w:r>
      <w:r w:rsidR="00A64316" w:rsidRPr="00EF6F97">
        <w:rPr>
          <w:rFonts w:ascii="Times New Roman" w:hAnsi="Times New Roman" w:cs="Times New Roman"/>
          <w:sz w:val="24"/>
          <w:szCs w:val="24"/>
        </w:rPr>
        <w:t xml:space="preserve"> zarówno dla elektryków</w:t>
      </w:r>
      <w:r w:rsidR="00FA0991">
        <w:rPr>
          <w:rFonts w:ascii="Times New Roman" w:hAnsi="Times New Roman" w:cs="Times New Roman"/>
          <w:sz w:val="24"/>
          <w:szCs w:val="24"/>
        </w:rPr>
        <w:t>,</w:t>
      </w:r>
      <w:r w:rsidR="00A64316" w:rsidRPr="00EF6F97">
        <w:rPr>
          <w:rFonts w:ascii="Times New Roman" w:hAnsi="Times New Roman" w:cs="Times New Roman"/>
          <w:sz w:val="24"/>
          <w:szCs w:val="24"/>
        </w:rPr>
        <w:t xml:space="preserve"> jak</w:t>
      </w:r>
      <w:r w:rsidR="001D0628">
        <w:rPr>
          <w:rFonts w:ascii="Times New Roman" w:hAnsi="Times New Roman" w:cs="Times New Roman"/>
          <w:sz w:val="24"/>
          <w:szCs w:val="24"/>
        </w:rPr>
        <w:t xml:space="preserve"> i </w:t>
      </w:r>
      <w:r w:rsidR="00A64316" w:rsidRPr="00EF6F97">
        <w:rPr>
          <w:rFonts w:ascii="Times New Roman" w:hAnsi="Times New Roman" w:cs="Times New Roman"/>
          <w:sz w:val="24"/>
          <w:szCs w:val="24"/>
        </w:rPr>
        <w:t xml:space="preserve">osób, które korzystały </w:t>
      </w:r>
      <w:r w:rsidR="001D0628">
        <w:rPr>
          <w:rFonts w:ascii="Times New Roman" w:hAnsi="Times New Roman" w:cs="Times New Roman"/>
          <w:sz w:val="24"/>
          <w:szCs w:val="24"/>
        </w:rPr>
        <w:t>z </w:t>
      </w:r>
      <w:r w:rsidR="00A64316" w:rsidRPr="00EF6F97">
        <w:rPr>
          <w:rFonts w:ascii="Times New Roman" w:hAnsi="Times New Roman" w:cs="Times New Roman"/>
          <w:sz w:val="24"/>
          <w:szCs w:val="24"/>
        </w:rPr>
        <w:t>ich usług.</w:t>
      </w:r>
      <w:r w:rsidR="007A0BFA" w:rsidRPr="00EF6F97">
        <w:rPr>
          <w:rFonts w:ascii="Times New Roman" w:hAnsi="Times New Roman" w:cs="Times New Roman"/>
          <w:sz w:val="24"/>
          <w:szCs w:val="24"/>
        </w:rPr>
        <w:t xml:space="preserve"> Na marginesie należy zauważyć, że zgodnie </w:t>
      </w:r>
      <w:r w:rsidR="001D0628">
        <w:rPr>
          <w:rFonts w:ascii="Times New Roman" w:hAnsi="Times New Roman" w:cs="Times New Roman"/>
          <w:sz w:val="24"/>
          <w:szCs w:val="24"/>
        </w:rPr>
        <w:t>z </w:t>
      </w:r>
      <w:r w:rsidR="007A0BFA" w:rsidRPr="00EF6F97">
        <w:rPr>
          <w:rFonts w:ascii="Times New Roman" w:hAnsi="Times New Roman" w:cs="Times New Roman"/>
          <w:sz w:val="24"/>
          <w:szCs w:val="24"/>
        </w:rPr>
        <w:t xml:space="preserve">art. 9 ustawy </w:t>
      </w:r>
      <w:r w:rsidR="001D0628">
        <w:rPr>
          <w:rFonts w:ascii="Times New Roman" w:hAnsi="Times New Roman" w:cs="Times New Roman"/>
          <w:sz w:val="24"/>
          <w:szCs w:val="24"/>
        </w:rPr>
        <w:t>z </w:t>
      </w:r>
      <w:r w:rsidR="007A0BFA" w:rsidRPr="00EF6F97">
        <w:rPr>
          <w:rFonts w:ascii="Times New Roman" w:hAnsi="Times New Roman" w:cs="Times New Roman"/>
          <w:sz w:val="24"/>
          <w:szCs w:val="24"/>
        </w:rPr>
        <w:t>dnia 7</w:t>
      </w:r>
      <w:r w:rsidR="0047498B">
        <w:rPr>
          <w:rFonts w:ascii="Times New Roman" w:hAnsi="Times New Roman" w:cs="Times New Roman"/>
          <w:sz w:val="24"/>
          <w:szCs w:val="24"/>
        </w:rPr>
        <w:t> </w:t>
      </w:r>
      <w:r w:rsidR="007A0BFA" w:rsidRPr="00EF6F97">
        <w:rPr>
          <w:rFonts w:ascii="Times New Roman" w:hAnsi="Times New Roman" w:cs="Times New Roman"/>
          <w:sz w:val="24"/>
          <w:szCs w:val="24"/>
        </w:rPr>
        <w:t>kwietnia 1989</w:t>
      </w:r>
      <w:r w:rsidRPr="00EF6F97">
        <w:rPr>
          <w:rFonts w:ascii="Times New Roman" w:hAnsi="Times New Roman" w:cs="Times New Roman"/>
          <w:sz w:val="24"/>
          <w:szCs w:val="24"/>
        </w:rPr>
        <w:t> </w:t>
      </w:r>
      <w:r w:rsidR="001D0628">
        <w:rPr>
          <w:rFonts w:ascii="Times New Roman" w:hAnsi="Times New Roman" w:cs="Times New Roman"/>
          <w:sz w:val="24"/>
          <w:szCs w:val="24"/>
        </w:rPr>
        <w:t> r.</w:t>
      </w:r>
      <w:r w:rsidR="007A0BFA" w:rsidRPr="00EF6F97">
        <w:rPr>
          <w:rFonts w:ascii="Times New Roman" w:hAnsi="Times New Roman" w:cs="Times New Roman"/>
          <w:sz w:val="24"/>
          <w:szCs w:val="24"/>
        </w:rPr>
        <w:t xml:space="preserve"> – Prawo o stowarzyszeniach (Dz.</w:t>
      </w:r>
      <w:r w:rsidR="00101607">
        <w:rPr>
          <w:rFonts w:ascii="Times New Roman" w:hAnsi="Times New Roman" w:cs="Times New Roman"/>
          <w:sz w:val="24"/>
          <w:szCs w:val="24"/>
        </w:rPr>
        <w:t xml:space="preserve"> </w:t>
      </w:r>
      <w:r w:rsidR="007A0BFA" w:rsidRPr="00EF6F97">
        <w:rPr>
          <w:rFonts w:ascii="Times New Roman" w:hAnsi="Times New Roman" w:cs="Times New Roman"/>
          <w:sz w:val="24"/>
          <w:szCs w:val="24"/>
        </w:rPr>
        <w:t>U.</w:t>
      </w:r>
      <w:r w:rsidR="00101607">
        <w:rPr>
          <w:rFonts w:ascii="Times New Roman" w:hAnsi="Times New Roman" w:cs="Times New Roman"/>
          <w:sz w:val="24"/>
          <w:szCs w:val="24"/>
        </w:rPr>
        <w:t xml:space="preserve"> </w:t>
      </w:r>
      <w:r w:rsidR="001D0628">
        <w:rPr>
          <w:rFonts w:ascii="Times New Roman" w:hAnsi="Times New Roman" w:cs="Times New Roman"/>
          <w:sz w:val="24"/>
          <w:szCs w:val="24"/>
        </w:rPr>
        <w:t>z </w:t>
      </w:r>
      <w:r w:rsidR="007A0BFA" w:rsidRPr="00EF6F97">
        <w:rPr>
          <w:rFonts w:ascii="Times New Roman" w:hAnsi="Times New Roman" w:cs="Times New Roman"/>
          <w:sz w:val="24"/>
          <w:szCs w:val="24"/>
        </w:rPr>
        <w:t>2019</w:t>
      </w:r>
      <w:r w:rsidR="001D0628">
        <w:rPr>
          <w:rFonts w:ascii="Times New Roman" w:hAnsi="Times New Roman" w:cs="Times New Roman"/>
          <w:sz w:val="24"/>
          <w:szCs w:val="24"/>
        </w:rPr>
        <w:t> r.</w:t>
      </w:r>
      <w:r w:rsidR="007A0BFA" w:rsidRPr="00EF6F97">
        <w:rPr>
          <w:rFonts w:ascii="Times New Roman" w:hAnsi="Times New Roman" w:cs="Times New Roman"/>
          <w:sz w:val="24"/>
          <w:szCs w:val="24"/>
        </w:rPr>
        <w:t xml:space="preserve"> poz. 713</w:t>
      </w:r>
      <w:r w:rsidR="005808DE">
        <w:rPr>
          <w:rFonts w:ascii="Times New Roman" w:hAnsi="Times New Roman" w:cs="Times New Roman"/>
          <w:sz w:val="24"/>
          <w:szCs w:val="24"/>
        </w:rPr>
        <w:t>, z późn. zm.</w:t>
      </w:r>
      <w:r w:rsidR="007A0BFA" w:rsidRPr="00EF6F97">
        <w:rPr>
          <w:rFonts w:ascii="Times New Roman" w:hAnsi="Times New Roman" w:cs="Times New Roman"/>
          <w:sz w:val="24"/>
          <w:szCs w:val="24"/>
        </w:rPr>
        <w:t xml:space="preserve">) do założenia stowarzyszenia wymagane jest jedynie siedmiu członków. </w:t>
      </w:r>
    </w:p>
    <w:p w14:paraId="7C3707BD" w14:textId="77777777" w:rsidR="00F86AB1" w:rsidRPr="00EF6F97" w:rsidRDefault="00F86AB1" w:rsidP="00EF6F97">
      <w:pPr>
        <w:spacing w:line="360" w:lineRule="auto"/>
        <w:jc w:val="both"/>
        <w:rPr>
          <w:rFonts w:ascii="Times New Roman" w:hAnsi="Times New Roman" w:cs="Times New Roman"/>
          <w:sz w:val="24"/>
          <w:szCs w:val="24"/>
        </w:rPr>
      </w:pPr>
    </w:p>
    <w:p w14:paraId="788BDDC2" w14:textId="3C3E7C68" w:rsidR="000653BF"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444CBD" w:rsidRPr="00EF6F97">
        <w:rPr>
          <w:rFonts w:ascii="Times New Roman" w:hAnsi="Times New Roman" w:cs="Times New Roman"/>
          <w:sz w:val="24"/>
          <w:szCs w:val="24"/>
        </w:rPr>
        <w:t xml:space="preserve">Ad </w:t>
      </w:r>
      <w:r w:rsidR="00D0483F" w:rsidRPr="00EF6F97">
        <w:rPr>
          <w:rFonts w:ascii="Times New Roman" w:hAnsi="Times New Roman" w:cs="Times New Roman"/>
          <w:sz w:val="24"/>
          <w:szCs w:val="24"/>
        </w:rPr>
        <w:t>5</w:t>
      </w:r>
      <w:r w:rsidR="00F86AB1" w:rsidRPr="00EF6F97">
        <w:rPr>
          <w:rFonts w:ascii="Times New Roman" w:hAnsi="Times New Roman" w:cs="Times New Roman"/>
          <w:sz w:val="24"/>
          <w:szCs w:val="24"/>
        </w:rPr>
        <w:t xml:space="preserve">. </w:t>
      </w:r>
      <w:r w:rsidR="00F052A0">
        <w:rPr>
          <w:rFonts w:ascii="Times New Roman" w:hAnsi="Times New Roman" w:cs="Times New Roman"/>
          <w:sz w:val="24"/>
          <w:szCs w:val="24"/>
        </w:rPr>
        <w:t>M</w:t>
      </w:r>
      <w:r w:rsidR="0053461A" w:rsidRPr="00EF6F97">
        <w:rPr>
          <w:rFonts w:ascii="Times New Roman" w:hAnsi="Times New Roman" w:cs="Times New Roman"/>
          <w:sz w:val="24"/>
          <w:szCs w:val="24"/>
        </w:rPr>
        <w:t>imo wielu lat funkcjonowania przep</w:t>
      </w:r>
      <w:r w:rsidR="006C4234" w:rsidRPr="00EF6F97">
        <w:rPr>
          <w:rFonts w:ascii="Times New Roman" w:hAnsi="Times New Roman" w:cs="Times New Roman"/>
          <w:sz w:val="24"/>
          <w:szCs w:val="24"/>
        </w:rPr>
        <w:t>isów ustawy – Prawo energetyczne</w:t>
      </w:r>
      <w:r w:rsidR="0053461A" w:rsidRPr="00EF6F97">
        <w:rPr>
          <w:rFonts w:ascii="Times New Roman" w:hAnsi="Times New Roman" w:cs="Times New Roman"/>
          <w:sz w:val="24"/>
          <w:szCs w:val="24"/>
        </w:rPr>
        <w:t>, które wdrażały do polskiego systemu prawnego kolejne pakiety energetyczne UE</w:t>
      </w:r>
      <w:r w:rsidR="00F052A0">
        <w:rPr>
          <w:rFonts w:ascii="Times New Roman" w:hAnsi="Times New Roman" w:cs="Times New Roman"/>
          <w:sz w:val="24"/>
          <w:szCs w:val="24"/>
        </w:rPr>
        <w:t>,</w:t>
      </w:r>
      <w:r w:rsidR="0053461A" w:rsidRPr="00EF6F97">
        <w:rPr>
          <w:rFonts w:ascii="Times New Roman" w:hAnsi="Times New Roman" w:cs="Times New Roman"/>
          <w:sz w:val="24"/>
          <w:szCs w:val="24"/>
        </w:rPr>
        <w:t xml:space="preserve"> nie zostały przełamane monopole </w:t>
      </w:r>
      <w:r w:rsidR="005A44C5" w:rsidRPr="00EF6F97">
        <w:rPr>
          <w:rFonts w:ascii="Times New Roman" w:hAnsi="Times New Roman" w:cs="Times New Roman"/>
          <w:sz w:val="24"/>
          <w:szCs w:val="24"/>
        </w:rPr>
        <w:t>grup energetycznych na sprzedaż energii elektrycznej do odbiorców końcowych. Kolejne dyrektywy rynkowe UE kładły</w:t>
      </w:r>
      <w:r w:rsidR="001D0628">
        <w:rPr>
          <w:rFonts w:ascii="Times New Roman" w:hAnsi="Times New Roman" w:cs="Times New Roman"/>
          <w:sz w:val="24"/>
          <w:szCs w:val="24"/>
        </w:rPr>
        <w:t xml:space="preserve"> i </w:t>
      </w:r>
      <w:r w:rsidR="005A44C5" w:rsidRPr="00EF6F97">
        <w:rPr>
          <w:rFonts w:ascii="Times New Roman" w:hAnsi="Times New Roman" w:cs="Times New Roman"/>
          <w:sz w:val="24"/>
          <w:szCs w:val="24"/>
        </w:rPr>
        <w:t>kładą cora</w:t>
      </w:r>
      <w:r w:rsidR="001D0628">
        <w:rPr>
          <w:rFonts w:ascii="Times New Roman" w:hAnsi="Times New Roman" w:cs="Times New Roman"/>
          <w:sz w:val="24"/>
          <w:szCs w:val="24"/>
        </w:rPr>
        <w:t>z</w:t>
      </w:r>
      <w:r w:rsidR="00F052A0">
        <w:rPr>
          <w:rFonts w:ascii="Times New Roman" w:hAnsi="Times New Roman" w:cs="Times New Roman"/>
          <w:sz w:val="24"/>
          <w:szCs w:val="24"/>
        </w:rPr>
        <w:t xml:space="preserve"> </w:t>
      </w:r>
      <w:r w:rsidR="005A44C5" w:rsidRPr="00EF6F97">
        <w:rPr>
          <w:rFonts w:ascii="Times New Roman" w:hAnsi="Times New Roman" w:cs="Times New Roman"/>
          <w:sz w:val="24"/>
          <w:szCs w:val="24"/>
        </w:rPr>
        <w:t>silniejszy nacisk na rozdzielenie działalności polegającej na dystrybucji energii elektrycznej od sprzedaży tej energii ora</w:t>
      </w:r>
      <w:r w:rsidR="001D0628">
        <w:rPr>
          <w:rFonts w:ascii="Times New Roman" w:hAnsi="Times New Roman" w:cs="Times New Roman"/>
          <w:sz w:val="24"/>
          <w:szCs w:val="24"/>
        </w:rPr>
        <w:t>z </w:t>
      </w:r>
      <w:r w:rsidR="005A44C5" w:rsidRPr="00EF6F97">
        <w:rPr>
          <w:rFonts w:ascii="Times New Roman" w:hAnsi="Times New Roman" w:cs="Times New Roman"/>
          <w:sz w:val="24"/>
          <w:szCs w:val="24"/>
        </w:rPr>
        <w:t xml:space="preserve">na prawo odbiorcy do wyboru sprzedawcy </w:t>
      </w:r>
      <w:r w:rsidR="001D0628">
        <w:rPr>
          <w:rFonts w:ascii="Times New Roman" w:hAnsi="Times New Roman" w:cs="Times New Roman"/>
          <w:sz w:val="24"/>
          <w:szCs w:val="24"/>
        </w:rPr>
        <w:t>z </w:t>
      </w:r>
      <w:r w:rsidR="005A44C5" w:rsidRPr="00EF6F97">
        <w:rPr>
          <w:rFonts w:ascii="Times New Roman" w:hAnsi="Times New Roman" w:cs="Times New Roman"/>
          <w:sz w:val="24"/>
          <w:szCs w:val="24"/>
        </w:rPr>
        <w:t>poszanowaniem zasady ochrony interesów odbiorców końcowych ora</w:t>
      </w:r>
      <w:r w:rsidR="001D0628">
        <w:rPr>
          <w:rFonts w:ascii="Times New Roman" w:hAnsi="Times New Roman" w:cs="Times New Roman"/>
          <w:sz w:val="24"/>
          <w:szCs w:val="24"/>
        </w:rPr>
        <w:t>z </w:t>
      </w:r>
      <w:r w:rsidR="005A44C5" w:rsidRPr="00EF6F97">
        <w:rPr>
          <w:rFonts w:ascii="Times New Roman" w:hAnsi="Times New Roman" w:cs="Times New Roman"/>
          <w:sz w:val="24"/>
          <w:szCs w:val="24"/>
        </w:rPr>
        <w:t>równoprawnego traktowania stron umowy. W rzeczywistości jednak nie ma mowy o jednakowej pozycji stron</w:t>
      </w:r>
      <w:r w:rsidR="001D0628">
        <w:rPr>
          <w:rFonts w:ascii="Times New Roman" w:hAnsi="Times New Roman" w:cs="Times New Roman"/>
          <w:sz w:val="24"/>
          <w:szCs w:val="24"/>
        </w:rPr>
        <w:t xml:space="preserve"> i </w:t>
      </w:r>
      <w:r w:rsidR="005A44C5" w:rsidRPr="00EF6F97">
        <w:rPr>
          <w:rFonts w:ascii="Times New Roman" w:hAnsi="Times New Roman" w:cs="Times New Roman"/>
          <w:sz w:val="24"/>
          <w:szCs w:val="24"/>
        </w:rPr>
        <w:t>nienarzucaniu warunków umów prze</w:t>
      </w:r>
      <w:r w:rsidR="001D0628">
        <w:rPr>
          <w:rFonts w:ascii="Times New Roman" w:hAnsi="Times New Roman" w:cs="Times New Roman"/>
          <w:sz w:val="24"/>
          <w:szCs w:val="24"/>
        </w:rPr>
        <w:t>z </w:t>
      </w:r>
      <w:r w:rsidR="005A44C5" w:rsidRPr="00EF6F97">
        <w:rPr>
          <w:rFonts w:ascii="Times New Roman" w:hAnsi="Times New Roman" w:cs="Times New Roman"/>
          <w:sz w:val="24"/>
          <w:szCs w:val="24"/>
        </w:rPr>
        <w:t xml:space="preserve">stronę silniejszą. </w:t>
      </w:r>
      <w:r w:rsidR="00424DA5" w:rsidRPr="00EF6F97">
        <w:rPr>
          <w:rFonts w:ascii="Times New Roman" w:hAnsi="Times New Roman" w:cs="Times New Roman"/>
          <w:sz w:val="24"/>
          <w:szCs w:val="24"/>
        </w:rPr>
        <w:t xml:space="preserve">Sytuacja ta wprost prowadzi do hamowania rozwoju konkurencji na rynku energii elektrycznej. </w:t>
      </w:r>
      <w:r w:rsidR="00F052A0">
        <w:rPr>
          <w:rFonts w:ascii="Times New Roman" w:hAnsi="Times New Roman" w:cs="Times New Roman"/>
          <w:sz w:val="24"/>
          <w:szCs w:val="24"/>
        </w:rPr>
        <w:t>Ab</w:t>
      </w:r>
      <w:r w:rsidR="00424DA5" w:rsidRPr="00EF6F97">
        <w:rPr>
          <w:rFonts w:ascii="Times New Roman" w:hAnsi="Times New Roman" w:cs="Times New Roman"/>
          <w:sz w:val="24"/>
          <w:szCs w:val="24"/>
        </w:rPr>
        <w:t>y powyższemu, negatywnemu zjawisku zapobiec</w:t>
      </w:r>
      <w:r w:rsidR="00F052A0">
        <w:rPr>
          <w:rFonts w:ascii="Times New Roman" w:hAnsi="Times New Roman" w:cs="Times New Roman"/>
          <w:sz w:val="24"/>
          <w:szCs w:val="24"/>
        </w:rPr>
        <w:t>,</w:t>
      </w:r>
      <w:r w:rsidR="00424DA5" w:rsidRPr="00EF6F97">
        <w:rPr>
          <w:rFonts w:ascii="Times New Roman" w:hAnsi="Times New Roman" w:cs="Times New Roman"/>
          <w:sz w:val="24"/>
          <w:szCs w:val="24"/>
        </w:rPr>
        <w:t xml:space="preserve"> wyposażono regulatora w odpowiednie narzędzia pozwalające </w:t>
      </w:r>
      <w:r w:rsidR="00772387">
        <w:rPr>
          <w:rFonts w:ascii="Times New Roman" w:hAnsi="Times New Roman" w:cs="Times New Roman"/>
          <w:sz w:val="24"/>
          <w:szCs w:val="24"/>
        </w:rPr>
        <w:t>mu</w:t>
      </w:r>
      <w:r w:rsidR="00C83D86">
        <w:rPr>
          <w:rFonts w:ascii="Times New Roman" w:hAnsi="Times New Roman" w:cs="Times New Roman"/>
          <w:sz w:val="24"/>
          <w:szCs w:val="24"/>
        </w:rPr>
        <w:t xml:space="preserve"> </w:t>
      </w:r>
      <w:r w:rsidR="000653BF" w:rsidRPr="00EF6F97">
        <w:rPr>
          <w:rFonts w:ascii="Times New Roman" w:hAnsi="Times New Roman" w:cs="Times New Roman"/>
          <w:sz w:val="24"/>
          <w:szCs w:val="24"/>
        </w:rPr>
        <w:t>zatwierdzi</w:t>
      </w:r>
      <w:r w:rsidR="00772387">
        <w:rPr>
          <w:rFonts w:ascii="Times New Roman" w:hAnsi="Times New Roman" w:cs="Times New Roman"/>
          <w:sz w:val="24"/>
          <w:szCs w:val="24"/>
        </w:rPr>
        <w:t>ć</w:t>
      </w:r>
      <w:r w:rsidR="000653BF" w:rsidRPr="00EF6F97">
        <w:rPr>
          <w:rFonts w:ascii="Times New Roman" w:hAnsi="Times New Roman" w:cs="Times New Roman"/>
          <w:sz w:val="24"/>
          <w:szCs w:val="24"/>
        </w:rPr>
        <w:t xml:space="preserve"> instrukcję </w:t>
      </w:r>
      <w:r w:rsidR="00C83D86">
        <w:rPr>
          <w:rFonts w:ascii="Times New Roman" w:hAnsi="Times New Roman" w:cs="Times New Roman"/>
          <w:sz w:val="24"/>
          <w:szCs w:val="24"/>
        </w:rPr>
        <w:t xml:space="preserve">ruchu </w:t>
      </w:r>
      <w:r w:rsidR="00C06659">
        <w:rPr>
          <w:rFonts w:ascii="Times New Roman" w:hAnsi="Times New Roman" w:cs="Times New Roman"/>
          <w:sz w:val="24"/>
          <w:szCs w:val="24"/>
        </w:rPr>
        <w:t xml:space="preserve">i eksploatacji </w:t>
      </w:r>
      <w:r w:rsidR="000653BF" w:rsidRPr="00EF6F97">
        <w:rPr>
          <w:rFonts w:ascii="Times New Roman" w:hAnsi="Times New Roman" w:cs="Times New Roman"/>
          <w:sz w:val="24"/>
          <w:szCs w:val="24"/>
        </w:rPr>
        <w:t>tylko wtedy</w:t>
      </w:r>
      <w:r w:rsidR="00F052A0">
        <w:rPr>
          <w:rFonts w:ascii="Times New Roman" w:hAnsi="Times New Roman" w:cs="Times New Roman"/>
          <w:sz w:val="24"/>
          <w:szCs w:val="24"/>
        </w:rPr>
        <w:t>,</w:t>
      </w:r>
      <w:r w:rsidR="000653BF" w:rsidRPr="00EF6F97">
        <w:rPr>
          <w:rFonts w:ascii="Times New Roman" w:hAnsi="Times New Roman" w:cs="Times New Roman"/>
          <w:sz w:val="24"/>
          <w:szCs w:val="24"/>
        </w:rPr>
        <w:t xml:space="preserve"> jeżeli spełnia ona wymagania określone w ustawie, równoważy interesy użytkowników systemu ora</w:t>
      </w:r>
      <w:r w:rsidR="001D0628">
        <w:rPr>
          <w:rFonts w:ascii="Times New Roman" w:hAnsi="Times New Roman" w:cs="Times New Roman"/>
          <w:sz w:val="24"/>
          <w:szCs w:val="24"/>
        </w:rPr>
        <w:t>z </w:t>
      </w:r>
      <w:r w:rsidR="000653BF" w:rsidRPr="00EF6F97">
        <w:rPr>
          <w:rFonts w:ascii="Times New Roman" w:hAnsi="Times New Roman" w:cs="Times New Roman"/>
          <w:sz w:val="24"/>
          <w:szCs w:val="24"/>
        </w:rPr>
        <w:t>nie stanowi zagrożenia dla rozwoju konkurencji na rynku energii elektrycznej lub gazu ziemnego.</w:t>
      </w:r>
      <w:r w:rsidR="00296AE8" w:rsidRPr="00EF6F97">
        <w:rPr>
          <w:rFonts w:ascii="Times New Roman" w:hAnsi="Times New Roman" w:cs="Times New Roman"/>
          <w:sz w:val="24"/>
          <w:szCs w:val="24"/>
        </w:rPr>
        <w:t xml:space="preserve"> W innym przypadku Prezes U</w:t>
      </w:r>
      <w:r w:rsidR="000653BF" w:rsidRPr="00EF6F97">
        <w:rPr>
          <w:rFonts w:ascii="Times New Roman" w:hAnsi="Times New Roman" w:cs="Times New Roman"/>
          <w:sz w:val="24"/>
          <w:szCs w:val="24"/>
        </w:rPr>
        <w:t xml:space="preserve">RE </w:t>
      </w:r>
      <w:r w:rsidR="000F4042" w:rsidRPr="00EF6F97">
        <w:rPr>
          <w:rFonts w:ascii="Times New Roman" w:hAnsi="Times New Roman" w:cs="Times New Roman"/>
          <w:sz w:val="24"/>
          <w:szCs w:val="24"/>
        </w:rPr>
        <w:t>będzie mógł</w:t>
      </w:r>
      <w:r w:rsidR="006F0C38" w:rsidRPr="00EF6F97">
        <w:rPr>
          <w:rFonts w:ascii="Times New Roman" w:hAnsi="Times New Roman" w:cs="Times New Roman"/>
          <w:sz w:val="24"/>
          <w:szCs w:val="24"/>
        </w:rPr>
        <w:t xml:space="preserve"> wezwać</w:t>
      </w:r>
      <w:r w:rsidR="000653BF" w:rsidRPr="00EF6F97">
        <w:rPr>
          <w:rFonts w:ascii="Times New Roman" w:hAnsi="Times New Roman" w:cs="Times New Roman"/>
          <w:sz w:val="24"/>
          <w:szCs w:val="24"/>
        </w:rPr>
        <w:t xml:space="preserve"> operatora systemu przesyłowego lub operatora systemu dystrybucyjnego, który przedłożył instrukcję, do jej zmiany w oznaczonym zakresie, wyznaczając mu w tym celu odpowiedni termin. W razie niewykonania wezwania w ter</w:t>
      </w:r>
      <w:r w:rsidR="00296AE8" w:rsidRPr="00EF6F97">
        <w:rPr>
          <w:rFonts w:ascii="Times New Roman" w:hAnsi="Times New Roman" w:cs="Times New Roman"/>
          <w:sz w:val="24"/>
          <w:szCs w:val="24"/>
        </w:rPr>
        <w:t>minie, Prezes U</w:t>
      </w:r>
      <w:r w:rsidR="000F4042" w:rsidRPr="00EF6F97">
        <w:rPr>
          <w:rFonts w:ascii="Times New Roman" w:hAnsi="Times New Roman" w:cs="Times New Roman"/>
          <w:sz w:val="24"/>
          <w:szCs w:val="24"/>
        </w:rPr>
        <w:t>RE będzie mógł</w:t>
      </w:r>
      <w:r w:rsidR="000653BF" w:rsidRPr="00EF6F97">
        <w:rPr>
          <w:rFonts w:ascii="Times New Roman" w:hAnsi="Times New Roman" w:cs="Times New Roman"/>
          <w:sz w:val="24"/>
          <w:szCs w:val="24"/>
        </w:rPr>
        <w:t xml:space="preserve"> samodzielnie zmienić instrukcję w zakresie objętym wezwaniem</w:t>
      </w:r>
      <w:r w:rsidR="001D0628">
        <w:rPr>
          <w:rFonts w:ascii="Times New Roman" w:hAnsi="Times New Roman" w:cs="Times New Roman"/>
          <w:sz w:val="24"/>
          <w:szCs w:val="24"/>
        </w:rPr>
        <w:t xml:space="preserve"> i </w:t>
      </w:r>
      <w:r w:rsidR="000653BF" w:rsidRPr="00EF6F97">
        <w:rPr>
          <w:rFonts w:ascii="Times New Roman" w:hAnsi="Times New Roman" w:cs="Times New Roman"/>
          <w:sz w:val="24"/>
          <w:szCs w:val="24"/>
        </w:rPr>
        <w:t>zatwierdzić ją w brzmieniu uwzględniającym wprowadzone prze</w:t>
      </w:r>
      <w:r w:rsidR="001D0628">
        <w:rPr>
          <w:rFonts w:ascii="Times New Roman" w:hAnsi="Times New Roman" w:cs="Times New Roman"/>
          <w:sz w:val="24"/>
          <w:szCs w:val="24"/>
        </w:rPr>
        <w:t>z </w:t>
      </w:r>
      <w:r w:rsidR="000653BF" w:rsidRPr="00EF6F97">
        <w:rPr>
          <w:rFonts w:ascii="Times New Roman" w:hAnsi="Times New Roman" w:cs="Times New Roman"/>
          <w:sz w:val="24"/>
          <w:szCs w:val="24"/>
        </w:rPr>
        <w:t xml:space="preserve">nią zmiany. </w:t>
      </w:r>
    </w:p>
    <w:p w14:paraId="28C74F51" w14:textId="77777777" w:rsidR="00D20DB5" w:rsidRPr="00EF6F97" w:rsidRDefault="00D20DB5" w:rsidP="00EF6F97">
      <w:pPr>
        <w:spacing w:line="360" w:lineRule="auto"/>
        <w:jc w:val="both"/>
        <w:rPr>
          <w:rFonts w:ascii="Times New Roman" w:hAnsi="Times New Roman" w:cs="Times New Roman"/>
          <w:sz w:val="24"/>
          <w:szCs w:val="24"/>
        </w:rPr>
      </w:pPr>
    </w:p>
    <w:p w14:paraId="013AA960" w14:textId="1C6C5885" w:rsidR="00DE0FEF"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444CBD" w:rsidRPr="00EF6F97">
        <w:rPr>
          <w:rFonts w:ascii="Times New Roman" w:hAnsi="Times New Roman" w:cs="Times New Roman"/>
          <w:sz w:val="24"/>
          <w:szCs w:val="24"/>
        </w:rPr>
        <w:t xml:space="preserve">Ad </w:t>
      </w:r>
      <w:r w:rsidR="00D0483F" w:rsidRPr="00EF6F97">
        <w:rPr>
          <w:rFonts w:ascii="Times New Roman" w:hAnsi="Times New Roman" w:cs="Times New Roman"/>
          <w:sz w:val="24"/>
          <w:szCs w:val="24"/>
        </w:rPr>
        <w:t>6</w:t>
      </w:r>
      <w:r w:rsidR="00F86AB1" w:rsidRPr="00EF6F97">
        <w:rPr>
          <w:rFonts w:ascii="Times New Roman" w:hAnsi="Times New Roman" w:cs="Times New Roman"/>
          <w:sz w:val="24"/>
          <w:szCs w:val="24"/>
        </w:rPr>
        <w:t xml:space="preserve">. </w:t>
      </w:r>
      <w:r w:rsidR="00296AE8" w:rsidRPr="00EF6F97">
        <w:rPr>
          <w:rFonts w:ascii="Times New Roman" w:hAnsi="Times New Roman" w:cs="Times New Roman"/>
          <w:sz w:val="24"/>
          <w:szCs w:val="24"/>
        </w:rPr>
        <w:t>Prezes URE będzie mógł cofnąć koncesję w przypadku wydania prze</w:t>
      </w:r>
      <w:r w:rsidR="001D0628">
        <w:rPr>
          <w:rFonts w:ascii="Times New Roman" w:hAnsi="Times New Roman" w:cs="Times New Roman"/>
          <w:sz w:val="24"/>
          <w:szCs w:val="24"/>
        </w:rPr>
        <w:t>z </w:t>
      </w:r>
      <w:r w:rsidR="00296AE8" w:rsidRPr="00EF6F97">
        <w:rPr>
          <w:rFonts w:ascii="Times New Roman" w:hAnsi="Times New Roman" w:cs="Times New Roman"/>
          <w:sz w:val="24"/>
          <w:szCs w:val="24"/>
        </w:rPr>
        <w:t>Prezesa Urzędu Ochrony Konkurencji</w:t>
      </w:r>
      <w:r w:rsidR="001D0628">
        <w:rPr>
          <w:rFonts w:ascii="Times New Roman" w:hAnsi="Times New Roman" w:cs="Times New Roman"/>
          <w:sz w:val="24"/>
          <w:szCs w:val="24"/>
        </w:rPr>
        <w:t xml:space="preserve"> i </w:t>
      </w:r>
      <w:r w:rsidR="00296AE8" w:rsidRPr="00EF6F97">
        <w:rPr>
          <w:rFonts w:ascii="Times New Roman" w:hAnsi="Times New Roman" w:cs="Times New Roman"/>
          <w:sz w:val="24"/>
          <w:szCs w:val="24"/>
        </w:rPr>
        <w:t>Konsumentów</w:t>
      </w:r>
      <w:r w:rsidR="00C83D86">
        <w:rPr>
          <w:rFonts w:ascii="Times New Roman" w:hAnsi="Times New Roman" w:cs="Times New Roman"/>
          <w:sz w:val="24"/>
          <w:szCs w:val="24"/>
        </w:rPr>
        <w:t xml:space="preserve">, </w:t>
      </w:r>
      <w:r w:rsidR="00DE0FEF" w:rsidRPr="00EF6F97">
        <w:rPr>
          <w:rFonts w:ascii="Times New Roman" w:hAnsi="Times New Roman" w:cs="Times New Roman"/>
          <w:sz w:val="24"/>
          <w:szCs w:val="24"/>
        </w:rPr>
        <w:t>zwan</w:t>
      </w:r>
      <w:r w:rsidR="00C83D86">
        <w:rPr>
          <w:rFonts w:ascii="Times New Roman" w:hAnsi="Times New Roman" w:cs="Times New Roman"/>
          <w:sz w:val="24"/>
          <w:szCs w:val="24"/>
        </w:rPr>
        <w:t>ego</w:t>
      </w:r>
      <w:r w:rsidR="00DE0FEF" w:rsidRPr="00EF6F97">
        <w:rPr>
          <w:rFonts w:ascii="Times New Roman" w:hAnsi="Times New Roman" w:cs="Times New Roman"/>
          <w:sz w:val="24"/>
          <w:szCs w:val="24"/>
        </w:rPr>
        <w:t xml:space="preserve"> dalej „Pr</w:t>
      </w:r>
      <w:r w:rsidR="000F4042" w:rsidRPr="00EF6F97">
        <w:rPr>
          <w:rFonts w:ascii="Times New Roman" w:hAnsi="Times New Roman" w:cs="Times New Roman"/>
          <w:sz w:val="24"/>
          <w:szCs w:val="24"/>
        </w:rPr>
        <w:t>ezesem UOKiK</w:t>
      </w:r>
      <w:r w:rsidR="00DE0FEF" w:rsidRPr="00EF6F97">
        <w:rPr>
          <w:rFonts w:ascii="Times New Roman" w:hAnsi="Times New Roman" w:cs="Times New Roman"/>
          <w:sz w:val="24"/>
          <w:szCs w:val="24"/>
        </w:rPr>
        <w:t>”</w:t>
      </w:r>
      <w:r w:rsidR="00C83D86">
        <w:rPr>
          <w:rFonts w:ascii="Times New Roman" w:hAnsi="Times New Roman" w:cs="Times New Roman"/>
          <w:sz w:val="24"/>
          <w:szCs w:val="24"/>
        </w:rPr>
        <w:t>,</w:t>
      </w:r>
      <w:r w:rsidR="00DE0FEF" w:rsidRPr="00EF6F97">
        <w:rPr>
          <w:rFonts w:ascii="Times New Roman" w:hAnsi="Times New Roman" w:cs="Times New Roman"/>
          <w:sz w:val="24"/>
          <w:szCs w:val="24"/>
        </w:rPr>
        <w:t xml:space="preserve"> </w:t>
      </w:r>
      <w:r w:rsidR="00296AE8" w:rsidRPr="00EF6F97">
        <w:rPr>
          <w:rFonts w:ascii="Times New Roman" w:hAnsi="Times New Roman" w:cs="Times New Roman"/>
          <w:sz w:val="24"/>
          <w:szCs w:val="24"/>
        </w:rPr>
        <w:t xml:space="preserve">wobec przedsiębiorstwa energetycznego decyzji o uznaniu praktyki za naruszającą zbiorowe interesy konsumentów w rozumieniu art. 24 ustawy </w:t>
      </w:r>
      <w:r w:rsidR="001D0628">
        <w:rPr>
          <w:rFonts w:ascii="Times New Roman" w:hAnsi="Times New Roman" w:cs="Times New Roman"/>
          <w:sz w:val="24"/>
          <w:szCs w:val="24"/>
        </w:rPr>
        <w:t>z </w:t>
      </w:r>
      <w:r w:rsidR="00296AE8" w:rsidRPr="00EF6F97">
        <w:rPr>
          <w:rFonts w:ascii="Times New Roman" w:hAnsi="Times New Roman" w:cs="Times New Roman"/>
          <w:sz w:val="24"/>
          <w:szCs w:val="24"/>
        </w:rPr>
        <w:t>dnia 16 lutego 2007</w:t>
      </w:r>
      <w:r w:rsidR="001D0628">
        <w:rPr>
          <w:rFonts w:ascii="Times New Roman" w:hAnsi="Times New Roman" w:cs="Times New Roman"/>
          <w:sz w:val="24"/>
          <w:szCs w:val="24"/>
        </w:rPr>
        <w:t> r.</w:t>
      </w:r>
      <w:r w:rsidR="00296AE8" w:rsidRPr="00EF6F97">
        <w:rPr>
          <w:rFonts w:ascii="Times New Roman" w:hAnsi="Times New Roman" w:cs="Times New Roman"/>
          <w:sz w:val="24"/>
          <w:szCs w:val="24"/>
        </w:rPr>
        <w:t xml:space="preserve"> o och</w:t>
      </w:r>
      <w:r w:rsidR="00DE0FEF" w:rsidRPr="00EF6F97">
        <w:rPr>
          <w:rFonts w:ascii="Times New Roman" w:hAnsi="Times New Roman" w:cs="Times New Roman"/>
          <w:sz w:val="24"/>
          <w:szCs w:val="24"/>
        </w:rPr>
        <w:t>ronie konkurencji</w:t>
      </w:r>
      <w:r w:rsidR="001D0628">
        <w:rPr>
          <w:rFonts w:ascii="Times New Roman" w:hAnsi="Times New Roman" w:cs="Times New Roman"/>
          <w:sz w:val="24"/>
          <w:szCs w:val="24"/>
        </w:rPr>
        <w:t xml:space="preserve"> i </w:t>
      </w:r>
      <w:r w:rsidR="00DE0FEF" w:rsidRPr="00EF6F97">
        <w:rPr>
          <w:rFonts w:ascii="Times New Roman" w:hAnsi="Times New Roman" w:cs="Times New Roman"/>
          <w:sz w:val="24"/>
          <w:szCs w:val="24"/>
        </w:rPr>
        <w:t>konsumentów. Prezes UOKiK ma kompetencje m.in. do prowadzenia post</w:t>
      </w:r>
      <w:r w:rsidR="00F052A0">
        <w:rPr>
          <w:rFonts w:ascii="Times New Roman" w:hAnsi="Times New Roman" w:cs="Times New Roman"/>
          <w:sz w:val="24"/>
          <w:szCs w:val="24"/>
        </w:rPr>
        <w:t>ę</w:t>
      </w:r>
      <w:r w:rsidR="00DE0FEF" w:rsidRPr="00EF6F97">
        <w:rPr>
          <w:rFonts w:ascii="Times New Roman" w:hAnsi="Times New Roman" w:cs="Times New Roman"/>
          <w:sz w:val="24"/>
          <w:szCs w:val="24"/>
        </w:rPr>
        <w:t>powań w sprawie praktyk naruszających zbiorowe interesy konsumentów.</w:t>
      </w:r>
    </w:p>
    <w:p w14:paraId="42807E46" w14:textId="77777777" w:rsidR="00DE0FEF"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DE0FEF" w:rsidRPr="00EF6F97">
        <w:rPr>
          <w:rFonts w:ascii="Times New Roman" w:hAnsi="Times New Roman" w:cs="Times New Roman"/>
          <w:sz w:val="24"/>
          <w:szCs w:val="24"/>
        </w:rPr>
        <w:t xml:space="preserve">Prezes UOKiK wielokrotnie wykorzystywał przysługujące mu kompetencje, celem </w:t>
      </w:r>
      <w:r w:rsidR="00DE0FEF" w:rsidRPr="00EF6F97">
        <w:rPr>
          <w:rFonts w:ascii="Times New Roman" w:hAnsi="Times New Roman" w:cs="Times New Roman"/>
          <w:sz w:val="24"/>
          <w:szCs w:val="24"/>
        </w:rPr>
        <w:lastRenderedPageBreak/>
        <w:t xml:space="preserve">eliminacji negatywnych praktyk na rynku energii. </w:t>
      </w:r>
    </w:p>
    <w:p w14:paraId="56791853" w14:textId="77777777" w:rsidR="00DE0FEF"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DE0FEF" w:rsidRPr="00EF6F97">
        <w:rPr>
          <w:rFonts w:ascii="Times New Roman" w:hAnsi="Times New Roman" w:cs="Times New Roman"/>
          <w:sz w:val="24"/>
          <w:szCs w:val="24"/>
        </w:rPr>
        <w:t>Szczególnie rozpowszechnionymi praktykami na rynku energii są:</w:t>
      </w:r>
    </w:p>
    <w:p w14:paraId="7EA705BC" w14:textId="43B87522" w:rsidR="00DE0FEF" w:rsidRPr="00EF6F97" w:rsidRDefault="00DE0FEF" w:rsidP="000E5F84">
      <w:pPr>
        <w:pStyle w:val="Akapitzlist"/>
        <w:numPr>
          <w:ilvl w:val="0"/>
          <w:numId w:val="28"/>
        </w:numPr>
        <w:spacing w:after="0" w:line="360" w:lineRule="auto"/>
        <w:ind w:left="426"/>
        <w:jc w:val="both"/>
        <w:rPr>
          <w:rFonts w:ascii="Times New Roman" w:hAnsi="Times New Roman"/>
          <w:sz w:val="24"/>
          <w:szCs w:val="24"/>
        </w:rPr>
      </w:pPr>
      <w:r w:rsidRPr="00EF6F97">
        <w:rPr>
          <w:rFonts w:ascii="Times New Roman" w:hAnsi="Times New Roman"/>
          <w:sz w:val="24"/>
          <w:szCs w:val="24"/>
        </w:rPr>
        <w:t>wprowadzanie prze</w:t>
      </w:r>
      <w:r w:rsidR="001D0628">
        <w:rPr>
          <w:rFonts w:ascii="Times New Roman" w:hAnsi="Times New Roman"/>
          <w:sz w:val="24"/>
          <w:szCs w:val="24"/>
        </w:rPr>
        <w:t>z </w:t>
      </w:r>
      <w:r w:rsidRPr="00EF6F97">
        <w:rPr>
          <w:rFonts w:ascii="Times New Roman" w:hAnsi="Times New Roman"/>
          <w:sz w:val="24"/>
          <w:szCs w:val="24"/>
        </w:rPr>
        <w:t>przedstawicieli przedsiębiorstwa konsumentów w błąd co do</w:t>
      </w:r>
      <w:r w:rsidR="00C83D86">
        <w:rPr>
          <w:rFonts w:ascii="Times New Roman" w:hAnsi="Times New Roman"/>
          <w:sz w:val="24"/>
          <w:szCs w:val="24"/>
        </w:rPr>
        <w:t xml:space="preserve"> </w:t>
      </w:r>
      <w:r w:rsidRPr="00EF6F97">
        <w:rPr>
          <w:rFonts w:ascii="Times New Roman" w:hAnsi="Times New Roman"/>
          <w:sz w:val="24"/>
          <w:szCs w:val="24"/>
        </w:rPr>
        <w:t>tożsamości, prze</w:t>
      </w:r>
      <w:r w:rsidR="001D0628">
        <w:rPr>
          <w:rFonts w:ascii="Times New Roman" w:hAnsi="Times New Roman"/>
          <w:sz w:val="24"/>
          <w:szCs w:val="24"/>
        </w:rPr>
        <w:t>z </w:t>
      </w:r>
      <w:r w:rsidRPr="00EF6F97">
        <w:rPr>
          <w:rFonts w:ascii="Times New Roman" w:hAnsi="Times New Roman"/>
          <w:sz w:val="24"/>
          <w:szCs w:val="24"/>
        </w:rPr>
        <w:t>podszywanie się pod dotychczasowego sprzedawcę prądu</w:t>
      </w:r>
      <w:r w:rsidR="00371F92">
        <w:rPr>
          <w:rFonts w:ascii="Times New Roman" w:hAnsi="Times New Roman"/>
          <w:sz w:val="24"/>
          <w:szCs w:val="24"/>
        </w:rPr>
        <w:t>,</w:t>
      </w:r>
    </w:p>
    <w:p w14:paraId="6893F87A" w14:textId="16727C8F" w:rsidR="00DE0FEF" w:rsidRPr="00EF6F97" w:rsidRDefault="00DE0FEF" w:rsidP="000E5F84">
      <w:pPr>
        <w:pStyle w:val="Akapitzlist"/>
        <w:numPr>
          <w:ilvl w:val="0"/>
          <w:numId w:val="28"/>
        </w:numPr>
        <w:spacing w:after="0" w:line="360" w:lineRule="auto"/>
        <w:ind w:left="426"/>
        <w:jc w:val="both"/>
        <w:rPr>
          <w:rFonts w:ascii="Times New Roman" w:hAnsi="Times New Roman"/>
          <w:sz w:val="24"/>
          <w:szCs w:val="24"/>
        </w:rPr>
      </w:pPr>
      <w:r w:rsidRPr="00EF6F97">
        <w:rPr>
          <w:rFonts w:ascii="Times New Roman" w:hAnsi="Times New Roman"/>
          <w:sz w:val="24"/>
          <w:szCs w:val="24"/>
        </w:rPr>
        <w:t xml:space="preserve">sugerowanie, że przedkładane do podpisu dokumenty stanowią aneks do umowy </w:t>
      </w:r>
      <w:r w:rsidR="001D0628">
        <w:rPr>
          <w:rFonts w:ascii="Times New Roman" w:hAnsi="Times New Roman"/>
          <w:sz w:val="24"/>
          <w:szCs w:val="24"/>
        </w:rPr>
        <w:t>z </w:t>
      </w:r>
      <w:r w:rsidRPr="00EF6F97">
        <w:rPr>
          <w:rFonts w:ascii="Times New Roman" w:hAnsi="Times New Roman"/>
          <w:sz w:val="24"/>
          <w:szCs w:val="24"/>
        </w:rPr>
        <w:t xml:space="preserve">dotychczasowym sprzedawcą energii bądź wymóg ich podpisania wynika ze zmiany przepisów prawa, likwidacji sprzedawcy energii elektrycznej, </w:t>
      </w:r>
      <w:r w:rsidR="001D0628">
        <w:rPr>
          <w:rFonts w:ascii="Times New Roman" w:hAnsi="Times New Roman"/>
          <w:sz w:val="24"/>
          <w:szCs w:val="24"/>
        </w:rPr>
        <w:t>z </w:t>
      </w:r>
      <w:r w:rsidRPr="00EF6F97">
        <w:rPr>
          <w:rFonts w:ascii="Times New Roman" w:hAnsi="Times New Roman"/>
          <w:sz w:val="24"/>
          <w:szCs w:val="24"/>
        </w:rPr>
        <w:t>którego usług korzystał dotychczas konsument</w:t>
      </w:r>
      <w:r w:rsidR="00371F92">
        <w:rPr>
          <w:rFonts w:ascii="Times New Roman" w:hAnsi="Times New Roman"/>
          <w:sz w:val="24"/>
          <w:szCs w:val="24"/>
        </w:rPr>
        <w:t>,</w:t>
      </w:r>
      <w:r w:rsidRPr="00EF6F97">
        <w:rPr>
          <w:rFonts w:ascii="Times New Roman" w:hAnsi="Times New Roman"/>
          <w:sz w:val="24"/>
          <w:szCs w:val="24"/>
        </w:rPr>
        <w:t xml:space="preserve"> lub połączenia tego przedsiębiorcy </w:t>
      </w:r>
      <w:r w:rsidR="001D0628">
        <w:rPr>
          <w:rFonts w:ascii="Times New Roman" w:hAnsi="Times New Roman"/>
          <w:sz w:val="24"/>
          <w:szCs w:val="24"/>
        </w:rPr>
        <w:t>z </w:t>
      </w:r>
      <w:r w:rsidRPr="00EF6F97">
        <w:rPr>
          <w:rFonts w:ascii="Times New Roman" w:hAnsi="Times New Roman"/>
          <w:sz w:val="24"/>
          <w:szCs w:val="24"/>
        </w:rPr>
        <w:t>innym przedsiębiorcą,</w:t>
      </w:r>
    </w:p>
    <w:p w14:paraId="0FB051D7" w14:textId="0A0DECE8" w:rsidR="00DE0FEF" w:rsidRPr="00EF6F97" w:rsidRDefault="00DE0FEF" w:rsidP="000E5F84">
      <w:pPr>
        <w:pStyle w:val="Akapitzlist"/>
        <w:numPr>
          <w:ilvl w:val="0"/>
          <w:numId w:val="28"/>
        </w:numPr>
        <w:spacing w:after="0" w:line="360" w:lineRule="auto"/>
        <w:ind w:left="426"/>
        <w:jc w:val="both"/>
        <w:rPr>
          <w:rFonts w:ascii="Times New Roman" w:hAnsi="Times New Roman"/>
          <w:sz w:val="24"/>
          <w:szCs w:val="24"/>
        </w:rPr>
      </w:pPr>
      <w:r w:rsidRPr="00EF6F97">
        <w:rPr>
          <w:rFonts w:ascii="Times New Roman" w:hAnsi="Times New Roman"/>
          <w:sz w:val="24"/>
          <w:szCs w:val="24"/>
        </w:rPr>
        <w:t>stosowanie przymusu</w:t>
      </w:r>
      <w:r w:rsidR="001D0628">
        <w:rPr>
          <w:rFonts w:ascii="Times New Roman" w:hAnsi="Times New Roman"/>
          <w:sz w:val="24"/>
          <w:szCs w:val="24"/>
        </w:rPr>
        <w:t xml:space="preserve"> i </w:t>
      </w:r>
      <w:r w:rsidRPr="00EF6F97">
        <w:rPr>
          <w:rFonts w:ascii="Times New Roman" w:hAnsi="Times New Roman"/>
          <w:sz w:val="24"/>
          <w:szCs w:val="24"/>
        </w:rPr>
        <w:t>wywieraniu na konsumentach presji prze</w:t>
      </w:r>
      <w:r w:rsidR="001D0628">
        <w:rPr>
          <w:rFonts w:ascii="Times New Roman" w:hAnsi="Times New Roman"/>
          <w:sz w:val="24"/>
          <w:szCs w:val="24"/>
        </w:rPr>
        <w:t>z</w:t>
      </w:r>
      <w:r w:rsidR="00371F92">
        <w:rPr>
          <w:rFonts w:ascii="Times New Roman" w:hAnsi="Times New Roman"/>
          <w:sz w:val="24"/>
          <w:szCs w:val="24"/>
        </w:rPr>
        <w:t xml:space="preserve"> </w:t>
      </w:r>
      <w:r w:rsidRPr="00EF6F97">
        <w:rPr>
          <w:rFonts w:ascii="Times New Roman" w:hAnsi="Times New Roman"/>
          <w:sz w:val="24"/>
          <w:szCs w:val="24"/>
        </w:rPr>
        <w:t>sugerowanie konsumentowi, że jeżeli nie podpisze dokumentów, pozbawiony zostanie prądu albo jego dotychczasowa umowa wygaśnie</w:t>
      </w:r>
      <w:r w:rsidR="00371F92">
        <w:rPr>
          <w:rFonts w:ascii="Times New Roman" w:hAnsi="Times New Roman"/>
          <w:sz w:val="24"/>
          <w:szCs w:val="24"/>
        </w:rPr>
        <w:t>,</w:t>
      </w:r>
    </w:p>
    <w:p w14:paraId="7A405FB2" w14:textId="77777777" w:rsidR="00DE0FEF" w:rsidRPr="00EF6F97" w:rsidRDefault="00DE0FEF" w:rsidP="000E5F84">
      <w:pPr>
        <w:pStyle w:val="Akapitzlist"/>
        <w:numPr>
          <w:ilvl w:val="0"/>
          <w:numId w:val="28"/>
        </w:numPr>
        <w:spacing w:after="0" w:line="360" w:lineRule="auto"/>
        <w:ind w:left="426"/>
        <w:jc w:val="both"/>
        <w:rPr>
          <w:rFonts w:ascii="Times New Roman" w:hAnsi="Times New Roman"/>
          <w:sz w:val="24"/>
          <w:szCs w:val="24"/>
        </w:rPr>
      </w:pPr>
      <w:r w:rsidRPr="00EF6F97">
        <w:rPr>
          <w:rFonts w:ascii="Times New Roman" w:hAnsi="Times New Roman"/>
          <w:sz w:val="24"/>
          <w:szCs w:val="24"/>
        </w:rPr>
        <w:t>manipulowanie informacjami o niższych rachunkach za energię,</w:t>
      </w:r>
    </w:p>
    <w:p w14:paraId="12A43185" w14:textId="77777777" w:rsidR="00DE0FEF" w:rsidRPr="00EF6F97" w:rsidRDefault="00DE0FEF" w:rsidP="000E5F84">
      <w:pPr>
        <w:pStyle w:val="Akapitzlist"/>
        <w:numPr>
          <w:ilvl w:val="0"/>
          <w:numId w:val="28"/>
        </w:numPr>
        <w:spacing w:after="0" w:line="360" w:lineRule="auto"/>
        <w:ind w:left="426"/>
        <w:jc w:val="both"/>
        <w:rPr>
          <w:rFonts w:ascii="Times New Roman" w:hAnsi="Times New Roman"/>
          <w:sz w:val="24"/>
          <w:szCs w:val="24"/>
        </w:rPr>
      </w:pPr>
      <w:r w:rsidRPr="00EF6F97">
        <w:rPr>
          <w:rFonts w:ascii="Times New Roman" w:hAnsi="Times New Roman"/>
          <w:sz w:val="24"/>
          <w:szCs w:val="24"/>
        </w:rPr>
        <w:t xml:space="preserve">niezostawianie konsumentom podpisanych dokumentów. </w:t>
      </w:r>
    </w:p>
    <w:p w14:paraId="400C668D" w14:textId="534639D3" w:rsidR="00DE0FEF"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0F4042" w:rsidRPr="00EF6F97">
        <w:rPr>
          <w:rFonts w:ascii="Times New Roman" w:hAnsi="Times New Roman" w:cs="Times New Roman"/>
          <w:sz w:val="24"/>
          <w:szCs w:val="24"/>
        </w:rPr>
        <w:t>Prezes UOKiK</w:t>
      </w:r>
      <w:r w:rsidR="000E5F84">
        <w:rPr>
          <w:rFonts w:ascii="Times New Roman" w:hAnsi="Times New Roman" w:cs="Times New Roman"/>
          <w:sz w:val="24"/>
          <w:szCs w:val="24"/>
        </w:rPr>
        <w:t>,</w:t>
      </w:r>
      <w:r w:rsidR="00DE0FEF" w:rsidRPr="00EF6F97">
        <w:rPr>
          <w:rFonts w:ascii="Times New Roman" w:hAnsi="Times New Roman" w:cs="Times New Roman"/>
          <w:sz w:val="24"/>
          <w:szCs w:val="24"/>
        </w:rPr>
        <w:t xml:space="preserve"> w decyzji kończącej postępowanie w sprawie praktyk naruszających zbiorowe interesy konsumentów</w:t>
      </w:r>
      <w:r w:rsidR="000E5F84">
        <w:rPr>
          <w:rFonts w:ascii="Times New Roman" w:hAnsi="Times New Roman" w:cs="Times New Roman"/>
          <w:sz w:val="24"/>
          <w:szCs w:val="24"/>
        </w:rPr>
        <w:t>,</w:t>
      </w:r>
      <w:r w:rsidR="00DE0FEF" w:rsidRPr="00EF6F97">
        <w:rPr>
          <w:rFonts w:ascii="Times New Roman" w:hAnsi="Times New Roman" w:cs="Times New Roman"/>
          <w:sz w:val="24"/>
          <w:szCs w:val="24"/>
        </w:rPr>
        <w:t xml:space="preserve"> może nałożyć karę pieniężną w wysokości nie większej niż 10% obrotu osiągniętego w roku obrotowym poprzedzającym rok nałożenia kary. Takie kary nakładane były również na przedsiębiorstwa energetyczne.</w:t>
      </w:r>
    </w:p>
    <w:p w14:paraId="36C701A5" w14:textId="77777777" w:rsidR="00DE0FEF"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DE0FEF" w:rsidRPr="00EF6F97">
        <w:rPr>
          <w:rFonts w:ascii="Times New Roman" w:hAnsi="Times New Roman" w:cs="Times New Roman"/>
          <w:sz w:val="24"/>
          <w:szCs w:val="24"/>
        </w:rPr>
        <w:t>Zauważyć jednak należy, iż mimo wypełnienia prze</w:t>
      </w:r>
      <w:r w:rsidR="001D0628">
        <w:rPr>
          <w:rFonts w:ascii="Times New Roman" w:hAnsi="Times New Roman" w:cs="Times New Roman"/>
          <w:sz w:val="24"/>
          <w:szCs w:val="24"/>
        </w:rPr>
        <w:t>z </w:t>
      </w:r>
      <w:r w:rsidR="00DE0FEF" w:rsidRPr="00EF6F97">
        <w:rPr>
          <w:rFonts w:ascii="Times New Roman" w:hAnsi="Times New Roman" w:cs="Times New Roman"/>
          <w:sz w:val="24"/>
          <w:szCs w:val="24"/>
        </w:rPr>
        <w:t>Prezesa UOKiK jego ustawowych obowiązków</w:t>
      </w:r>
      <w:r w:rsidR="001D0628">
        <w:rPr>
          <w:rFonts w:ascii="Times New Roman" w:hAnsi="Times New Roman" w:cs="Times New Roman"/>
          <w:sz w:val="24"/>
          <w:szCs w:val="24"/>
        </w:rPr>
        <w:t xml:space="preserve"> i </w:t>
      </w:r>
      <w:r w:rsidR="00DE0FEF" w:rsidRPr="00EF6F97">
        <w:rPr>
          <w:rFonts w:ascii="Times New Roman" w:hAnsi="Times New Roman" w:cs="Times New Roman"/>
          <w:sz w:val="24"/>
          <w:szCs w:val="24"/>
        </w:rPr>
        <w:t>wydania decyzji nakładającej karę pieniężną, przedsiębiorca może zaskarżyć decyzję do sądu</w:t>
      </w:r>
      <w:r w:rsidR="001D0628">
        <w:rPr>
          <w:rFonts w:ascii="Times New Roman" w:hAnsi="Times New Roman" w:cs="Times New Roman"/>
          <w:sz w:val="24"/>
          <w:szCs w:val="24"/>
        </w:rPr>
        <w:t xml:space="preserve"> i </w:t>
      </w:r>
      <w:r w:rsidR="00DE0FEF" w:rsidRPr="00EF6F97">
        <w:rPr>
          <w:rFonts w:ascii="Times New Roman" w:hAnsi="Times New Roman" w:cs="Times New Roman"/>
          <w:sz w:val="24"/>
          <w:szCs w:val="24"/>
        </w:rPr>
        <w:t>w dalszym ciągu dopuszczać się naruszeń.</w:t>
      </w:r>
    </w:p>
    <w:p w14:paraId="0B96E94B" w14:textId="482540AC" w:rsidR="00DE0FEF"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0F4042" w:rsidRPr="00EF6F97">
        <w:rPr>
          <w:rFonts w:ascii="Times New Roman" w:hAnsi="Times New Roman" w:cs="Times New Roman"/>
          <w:sz w:val="24"/>
          <w:szCs w:val="24"/>
        </w:rPr>
        <w:t>W praktyce UOKiK</w:t>
      </w:r>
      <w:r w:rsidR="00DE0FEF" w:rsidRPr="00EF6F97">
        <w:rPr>
          <w:rFonts w:ascii="Times New Roman" w:hAnsi="Times New Roman" w:cs="Times New Roman"/>
          <w:sz w:val="24"/>
          <w:szCs w:val="24"/>
        </w:rPr>
        <w:t xml:space="preserve"> zdarzało się, że przedstawiciele ukaranego przedsiębiorstwa notorycznie dopuszczali się działań, które były tożsame </w:t>
      </w:r>
      <w:r w:rsidR="001D0628">
        <w:rPr>
          <w:rFonts w:ascii="Times New Roman" w:hAnsi="Times New Roman" w:cs="Times New Roman"/>
          <w:sz w:val="24"/>
          <w:szCs w:val="24"/>
        </w:rPr>
        <w:t>z </w:t>
      </w:r>
      <w:r w:rsidR="00DE0FEF" w:rsidRPr="00EF6F97">
        <w:rPr>
          <w:rFonts w:ascii="Times New Roman" w:hAnsi="Times New Roman" w:cs="Times New Roman"/>
          <w:sz w:val="24"/>
          <w:szCs w:val="24"/>
        </w:rPr>
        <w:t xml:space="preserve">tymi, które stanowiły podstawę do wszczęcia postępowania o cofnięcie koncesji przeciwko takiemu przedsiębiorcy. Dlatego też Prezes UOKiK zwracał się do Prezesa URE o podjęcie działań mających na celu odebranie koncesjiprzedsiębiorcom dopuszczającym się opisanych wyżej naruszeń. </w:t>
      </w:r>
    </w:p>
    <w:p w14:paraId="37808743" w14:textId="582EEB56" w:rsidR="00DE0FEF"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DE0FEF" w:rsidRPr="00EF6F97">
        <w:rPr>
          <w:rFonts w:ascii="Times New Roman" w:hAnsi="Times New Roman" w:cs="Times New Roman"/>
          <w:sz w:val="24"/>
          <w:szCs w:val="24"/>
        </w:rPr>
        <w:t xml:space="preserve">Na przedsiębiorcy, który uzyskał koncesję na działalność określoną </w:t>
      </w:r>
      <w:r w:rsidR="006C4234" w:rsidRPr="00EF6F97">
        <w:rPr>
          <w:rFonts w:ascii="Times New Roman" w:hAnsi="Times New Roman" w:cs="Times New Roman"/>
          <w:sz w:val="24"/>
          <w:szCs w:val="24"/>
        </w:rPr>
        <w:t xml:space="preserve">w przepisach ustawy </w:t>
      </w:r>
      <w:r w:rsidR="000E5F84">
        <w:rPr>
          <w:rFonts w:ascii="Times New Roman" w:hAnsi="Times New Roman" w:cs="Times New Roman"/>
          <w:sz w:val="24"/>
          <w:szCs w:val="24"/>
        </w:rPr>
        <w:t>–</w:t>
      </w:r>
      <w:r w:rsidR="006C4234" w:rsidRPr="00EF6F97">
        <w:rPr>
          <w:rFonts w:ascii="Times New Roman" w:hAnsi="Times New Roman" w:cs="Times New Roman"/>
          <w:sz w:val="24"/>
          <w:szCs w:val="24"/>
        </w:rPr>
        <w:t xml:space="preserve"> P</w:t>
      </w:r>
      <w:r w:rsidR="00DE0FEF" w:rsidRPr="00EF6F97">
        <w:rPr>
          <w:rFonts w:ascii="Times New Roman" w:hAnsi="Times New Roman" w:cs="Times New Roman"/>
          <w:sz w:val="24"/>
          <w:szCs w:val="24"/>
        </w:rPr>
        <w:t>rawo energetyczne</w:t>
      </w:r>
      <w:r w:rsidR="000E5F84">
        <w:rPr>
          <w:rFonts w:ascii="Times New Roman" w:hAnsi="Times New Roman" w:cs="Times New Roman"/>
          <w:sz w:val="24"/>
          <w:szCs w:val="24"/>
        </w:rPr>
        <w:t>,</w:t>
      </w:r>
      <w:r w:rsidR="00DE0FEF" w:rsidRPr="00EF6F97">
        <w:rPr>
          <w:rFonts w:ascii="Times New Roman" w:hAnsi="Times New Roman" w:cs="Times New Roman"/>
          <w:sz w:val="24"/>
          <w:szCs w:val="24"/>
        </w:rPr>
        <w:t xml:space="preserve"> ciążą obowiązki wynikające </w:t>
      </w:r>
      <w:r w:rsidR="001D0628">
        <w:rPr>
          <w:rFonts w:ascii="Times New Roman" w:hAnsi="Times New Roman" w:cs="Times New Roman"/>
          <w:sz w:val="24"/>
          <w:szCs w:val="24"/>
        </w:rPr>
        <w:t>z </w:t>
      </w:r>
      <w:r w:rsidR="00DE0FEF" w:rsidRPr="00EF6F97">
        <w:rPr>
          <w:rFonts w:ascii="Times New Roman" w:hAnsi="Times New Roman" w:cs="Times New Roman"/>
          <w:sz w:val="24"/>
          <w:szCs w:val="24"/>
        </w:rPr>
        <w:t>warunków udzielonej koncesji ora</w:t>
      </w:r>
      <w:r w:rsidR="001D0628">
        <w:rPr>
          <w:rFonts w:ascii="Times New Roman" w:hAnsi="Times New Roman" w:cs="Times New Roman"/>
          <w:sz w:val="24"/>
          <w:szCs w:val="24"/>
        </w:rPr>
        <w:t>z </w:t>
      </w:r>
      <w:r w:rsidR="00DE0FEF" w:rsidRPr="00EF6F97">
        <w:rPr>
          <w:rFonts w:ascii="Times New Roman" w:hAnsi="Times New Roman" w:cs="Times New Roman"/>
          <w:sz w:val="24"/>
          <w:szCs w:val="24"/>
        </w:rPr>
        <w:t>przepisów prawa.</w:t>
      </w:r>
    </w:p>
    <w:p w14:paraId="58D1E4D6" w14:textId="608E891B" w:rsidR="00DE0FEF"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1D0628">
        <w:rPr>
          <w:rFonts w:ascii="Times New Roman" w:hAnsi="Times New Roman" w:cs="Times New Roman"/>
          <w:sz w:val="24"/>
          <w:szCs w:val="24"/>
        </w:rPr>
        <w:t>Z </w:t>
      </w:r>
      <w:r w:rsidR="00DE0FEF" w:rsidRPr="00EF6F97">
        <w:rPr>
          <w:rFonts w:ascii="Times New Roman" w:hAnsi="Times New Roman" w:cs="Times New Roman"/>
          <w:sz w:val="24"/>
          <w:szCs w:val="24"/>
        </w:rPr>
        <w:t>treści komunikatów, które pojawiały się na stronie internetowej Urzędu Regulacji Energetyki</w:t>
      </w:r>
      <w:r w:rsidR="000E5F84">
        <w:rPr>
          <w:rFonts w:ascii="Times New Roman" w:hAnsi="Times New Roman" w:cs="Times New Roman"/>
          <w:sz w:val="24"/>
          <w:szCs w:val="24"/>
        </w:rPr>
        <w:t>,</w:t>
      </w:r>
      <w:r w:rsidR="00DE0FEF" w:rsidRPr="00EF6F97">
        <w:rPr>
          <w:rFonts w:ascii="Times New Roman" w:hAnsi="Times New Roman" w:cs="Times New Roman"/>
          <w:sz w:val="24"/>
          <w:szCs w:val="24"/>
        </w:rPr>
        <w:t xml:space="preserve"> wynika natomiast, że dla wszystkich przedsiębiorstw energetycznych prowadzących działalność gospodarczą w zakresie obrotu gazem</w:t>
      </w:r>
      <w:r w:rsidR="001D0628">
        <w:rPr>
          <w:rFonts w:ascii="Times New Roman" w:hAnsi="Times New Roman" w:cs="Times New Roman"/>
          <w:sz w:val="24"/>
          <w:szCs w:val="24"/>
        </w:rPr>
        <w:t xml:space="preserve"> i </w:t>
      </w:r>
      <w:r w:rsidR="00DE0FEF" w:rsidRPr="00EF6F97">
        <w:rPr>
          <w:rFonts w:ascii="Times New Roman" w:hAnsi="Times New Roman" w:cs="Times New Roman"/>
          <w:sz w:val="24"/>
          <w:szCs w:val="24"/>
        </w:rPr>
        <w:t>energią elektryczną Prezes URE wprowadził nowy warunek koncesyjny, nakładający na koncesjonariuszy obowiązek przestrzegania chronionych prawem interesów odbiorców, w tym prze</w:t>
      </w:r>
      <w:r w:rsidR="001D0628">
        <w:rPr>
          <w:rFonts w:ascii="Times New Roman" w:hAnsi="Times New Roman" w:cs="Times New Roman"/>
          <w:sz w:val="24"/>
          <w:szCs w:val="24"/>
        </w:rPr>
        <w:t>z </w:t>
      </w:r>
      <w:r w:rsidR="00DE0FEF" w:rsidRPr="00EF6F97">
        <w:rPr>
          <w:rFonts w:ascii="Times New Roman" w:hAnsi="Times New Roman" w:cs="Times New Roman"/>
          <w:sz w:val="24"/>
          <w:szCs w:val="24"/>
        </w:rPr>
        <w:t xml:space="preserve">udzielanie odbiorcom </w:t>
      </w:r>
      <w:r w:rsidR="00DE0FEF" w:rsidRPr="00EF6F97">
        <w:rPr>
          <w:rFonts w:ascii="Times New Roman" w:hAnsi="Times New Roman" w:cs="Times New Roman"/>
          <w:sz w:val="24"/>
          <w:szCs w:val="24"/>
        </w:rPr>
        <w:lastRenderedPageBreak/>
        <w:t>końcowym pełnych, rzetelnych</w:t>
      </w:r>
      <w:r w:rsidR="001D0628">
        <w:rPr>
          <w:rFonts w:ascii="Times New Roman" w:hAnsi="Times New Roman" w:cs="Times New Roman"/>
          <w:sz w:val="24"/>
          <w:szCs w:val="24"/>
        </w:rPr>
        <w:t xml:space="preserve"> i </w:t>
      </w:r>
      <w:r w:rsidR="00DE0FEF" w:rsidRPr="00EF6F97">
        <w:rPr>
          <w:rFonts w:ascii="Times New Roman" w:hAnsi="Times New Roman" w:cs="Times New Roman"/>
          <w:sz w:val="24"/>
          <w:szCs w:val="24"/>
        </w:rPr>
        <w:t>wyczerpujących informacji dotyczących ich uprawnień</w:t>
      </w:r>
      <w:r w:rsidR="001D0628">
        <w:rPr>
          <w:rFonts w:ascii="Times New Roman" w:hAnsi="Times New Roman" w:cs="Times New Roman"/>
          <w:sz w:val="24"/>
          <w:szCs w:val="24"/>
        </w:rPr>
        <w:t xml:space="preserve"> i </w:t>
      </w:r>
      <w:r w:rsidR="00DE0FEF" w:rsidRPr="00EF6F97">
        <w:rPr>
          <w:rFonts w:ascii="Times New Roman" w:hAnsi="Times New Roman" w:cs="Times New Roman"/>
          <w:sz w:val="24"/>
          <w:szCs w:val="24"/>
        </w:rPr>
        <w:t>obowiązków. W świetle powyższego</w:t>
      </w:r>
      <w:r w:rsidR="00101607">
        <w:rPr>
          <w:rFonts w:ascii="Times New Roman" w:hAnsi="Times New Roman" w:cs="Times New Roman"/>
          <w:sz w:val="24"/>
          <w:szCs w:val="24"/>
        </w:rPr>
        <w:t xml:space="preserve"> </w:t>
      </w:r>
      <w:r w:rsidR="00DE0FEF" w:rsidRPr="00EF6F97">
        <w:rPr>
          <w:rFonts w:ascii="Times New Roman" w:hAnsi="Times New Roman" w:cs="Times New Roman"/>
          <w:sz w:val="24"/>
          <w:szCs w:val="24"/>
        </w:rPr>
        <w:t>koncesjonarius</w:t>
      </w:r>
      <w:r w:rsidR="001D0628">
        <w:rPr>
          <w:rFonts w:ascii="Times New Roman" w:hAnsi="Times New Roman" w:cs="Times New Roman"/>
          <w:sz w:val="24"/>
          <w:szCs w:val="24"/>
        </w:rPr>
        <w:t>z</w:t>
      </w:r>
      <w:r w:rsidR="000E5F84">
        <w:rPr>
          <w:rFonts w:ascii="Times New Roman" w:hAnsi="Times New Roman" w:cs="Times New Roman"/>
          <w:sz w:val="24"/>
          <w:szCs w:val="24"/>
        </w:rPr>
        <w:t xml:space="preserve"> </w:t>
      </w:r>
      <w:r w:rsidR="00DE0FEF" w:rsidRPr="00EF6F97">
        <w:rPr>
          <w:rFonts w:ascii="Times New Roman" w:hAnsi="Times New Roman" w:cs="Times New Roman"/>
          <w:sz w:val="24"/>
          <w:szCs w:val="24"/>
        </w:rPr>
        <w:t xml:space="preserve">nie powinien stosować praktyk powodujących wprowadzenie odbiorców w błąd co do ich uprawnień lub obowiązków. Postanowienia umów zawieranych </w:t>
      </w:r>
      <w:r w:rsidR="001D0628">
        <w:rPr>
          <w:rFonts w:ascii="Times New Roman" w:hAnsi="Times New Roman" w:cs="Times New Roman"/>
          <w:sz w:val="24"/>
          <w:szCs w:val="24"/>
        </w:rPr>
        <w:t>z </w:t>
      </w:r>
      <w:r w:rsidR="00DE0FEF" w:rsidRPr="00EF6F97">
        <w:rPr>
          <w:rFonts w:ascii="Times New Roman" w:hAnsi="Times New Roman" w:cs="Times New Roman"/>
          <w:sz w:val="24"/>
          <w:szCs w:val="24"/>
        </w:rPr>
        <w:t>odbiorcami powinny być czytelne</w:t>
      </w:r>
      <w:r w:rsidR="001D0628">
        <w:rPr>
          <w:rFonts w:ascii="Times New Roman" w:hAnsi="Times New Roman" w:cs="Times New Roman"/>
          <w:sz w:val="24"/>
          <w:szCs w:val="24"/>
        </w:rPr>
        <w:t xml:space="preserve"> i </w:t>
      </w:r>
      <w:r w:rsidR="00DE0FEF" w:rsidRPr="00EF6F97">
        <w:rPr>
          <w:rFonts w:ascii="Times New Roman" w:hAnsi="Times New Roman" w:cs="Times New Roman"/>
          <w:sz w:val="24"/>
          <w:szCs w:val="24"/>
        </w:rPr>
        <w:t xml:space="preserve">zrozumiałe, a postanowienia inne niż związane </w:t>
      </w:r>
      <w:r w:rsidR="001D0628">
        <w:rPr>
          <w:rFonts w:ascii="Times New Roman" w:hAnsi="Times New Roman" w:cs="Times New Roman"/>
          <w:sz w:val="24"/>
          <w:szCs w:val="24"/>
        </w:rPr>
        <w:t>z </w:t>
      </w:r>
      <w:r w:rsidR="00DE0FEF" w:rsidRPr="00EF6F97">
        <w:rPr>
          <w:rFonts w:ascii="Times New Roman" w:hAnsi="Times New Roman" w:cs="Times New Roman"/>
          <w:sz w:val="24"/>
          <w:szCs w:val="24"/>
        </w:rPr>
        <w:t>dostarczaniem paliw lub energii (ar</w:t>
      </w:r>
      <w:r w:rsidR="006C4234" w:rsidRPr="00EF6F97">
        <w:rPr>
          <w:rFonts w:ascii="Times New Roman" w:hAnsi="Times New Roman" w:cs="Times New Roman"/>
          <w:sz w:val="24"/>
          <w:szCs w:val="24"/>
        </w:rPr>
        <w:t>t. 5 ustawy – Prawo energetyczne</w:t>
      </w:r>
      <w:r w:rsidR="00DE0FEF" w:rsidRPr="00EF6F97">
        <w:rPr>
          <w:rFonts w:ascii="Times New Roman" w:hAnsi="Times New Roman" w:cs="Times New Roman"/>
          <w:sz w:val="24"/>
          <w:szCs w:val="24"/>
        </w:rPr>
        <w:t>) powinny być odrębnie</w:t>
      </w:r>
      <w:r w:rsidR="001D0628">
        <w:rPr>
          <w:rFonts w:ascii="Times New Roman" w:hAnsi="Times New Roman" w:cs="Times New Roman"/>
          <w:sz w:val="24"/>
          <w:szCs w:val="24"/>
        </w:rPr>
        <w:t xml:space="preserve"> i </w:t>
      </w:r>
      <w:r w:rsidR="00DE0FEF" w:rsidRPr="00EF6F97">
        <w:rPr>
          <w:rFonts w:ascii="Times New Roman" w:hAnsi="Times New Roman" w:cs="Times New Roman"/>
          <w:sz w:val="24"/>
          <w:szCs w:val="24"/>
        </w:rPr>
        <w:t>wyraźnie oznaczone. Uzupełnianie koncesji prze</w:t>
      </w:r>
      <w:r w:rsidR="001D0628">
        <w:rPr>
          <w:rFonts w:ascii="Times New Roman" w:hAnsi="Times New Roman" w:cs="Times New Roman"/>
          <w:sz w:val="24"/>
          <w:szCs w:val="24"/>
        </w:rPr>
        <w:t>z </w:t>
      </w:r>
      <w:r w:rsidR="00DE0FEF" w:rsidRPr="00EF6F97">
        <w:rPr>
          <w:rFonts w:ascii="Times New Roman" w:hAnsi="Times New Roman" w:cs="Times New Roman"/>
          <w:sz w:val="24"/>
          <w:szCs w:val="24"/>
        </w:rPr>
        <w:t>dodanie do nich ww</w:t>
      </w:r>
      <w:r w:rsidR="000E5F84">
        <w:rPr>
          <w:rFonts w:ascii="Times New Roman" w:hAnsi="Times New Roman" w:cs="Times New Roman"/>
          <w:sz w:val="24"/>
          <w:szCs w:val="24"/>
        </w:rPr>
        <w:t>.</w:t>
      </w:r>
      <w:r w:rsidR="00DE0FEF" w:rsidRPr="00EF6F97">
        <w:rPr>
          <w:rFonts w:ascii="Times New Roman" w:hAnsi="Times New Roman" w:cs="Times New Roman"/>
          <w:sz w:val="24"/>
          <w:szCs w:val="24"/>
        </w:rPr>
        <w:t xml:space="preserve"> warunku stanowi realizację prze</w:t>
      </w:r>
      <w:r w:rsidR="001D0628">
        <w:rPr>
          <w:rFonts w:ascii="Times New Roman" w:hAnsi="Times New Roman" w:cs="Times New Roman"/>
          <w:sz w:val="24"/>
          <w:szCs w:val="24"/>
        </w:rPr>
        <w:t>z </w:t>
      </w:r>
      <w:r w:rsidR="00DE0FEF" w:rsidRPr="00EF6F97">
        <w:rPr>
          <w:rFonts w:ascii="Times New Roman" w:hAnsi="Times New Roman" w:cs="Times New Roman"/>
          <w:sz w:val="24"/>
          <w:szCs w:val="24"/>
        </w:rPr>
        <w:t>Prezesa URE jego ustawowych zadań, tj. równoważenia interesów przedsiębiorstw energetycznych</w:t>
      </w:r>
      <w:r w:rsidR="001D0628">
        <w:rPr>
          <w:rFonts w:ascii="Times New Roman" w:hAnsi="Times New Roman" w:cs="Times New Roman"/>
          <w:sz w:val="24"/>
          <w:szCs w:val="24"/>
        </w:rPr>
        <w:t xml:space="preserve"> i </w:t>
      </w:r>
      <w:r w:rsidR="00DE0FEF" w:rsidRPr="00EF6F97">
        <w:rPr>
          <w:rFonts w:ascii="Times New Roman" w:hAnsi="Times New Roman" w:cs="Times New Roman"/>
          <w:sz w:val="24"/>
          <w:szCs w:val="24"/>
        </w:rPr>
        <w:t>odbiorców paliw</w:t>
      </w:r>
      <w:r w:rsidR="001D0628">
        <w:rPr>
          <w:rFonts w:ascii="Times New Roman" w:hAnsi="Times New Roman" w:cs="Times New Roman"/>
          <w:sz w:val="24"/>
          <w:szCs w:val="24"/>
        </w:rPr>
        <w:t xml:space="preserve"> i </w:t>
      </w:r>
      <w:r w:rsidR="00DE0FEF" w:rsidRPr="00EF6F97">
        <w:rPr>
          <w:rFonts w:ascii="Times New Roman" w:hAnsi="Times New Roman" w:cs="Times New Roman"/>
          <w:sz w:val="24"/>
          <w:szCs w:val="24"/>
        </w:rPr>
        <w:t>energii m.in. prze</w:t>
      </w:r>
      <w:r w:rsidR="001D0628">
        <w:rPr>
          <w:rFonts w:ascii="Times New Roman" w:hAnsi="Times New Roman" w:cs="Times New Roman"/>
          <w:sz w:val="24"/>
          <w:szCs w:val="24"/>
        </w:rPr>
        <w:t>z </w:t>
      </w:r>
      <w:r w:rsidR="00DE0FEF" w:rsidRPr="00EF6F97">
        <w:rPr>
          <w:rFonts w:ascii="Times New Roman" w:hAnsi="Times New Roman" w:cs="Times New Roman"/>
          <w:sz w:val="24"/>
          <w:szCs w:val="24"/>
        </w:rPr>
        <w:t>przeciwdziałanie praktykom przedsiębiorstw energetycznych ograniczających konkurencję. Powyższy warunek zamieszczany jest we wszystkich nowo udzielanych koncesjach dotyczących obrotu paliwami gazowymi</w:t>
      </w:r>
      <w:r w:rsidR="001D0628">
        <w:rPr>
          <w:rFonts w:ascii="Times New Roman" w:hAnsi="Times New Roman" w:cs="Times New Roman"/>
          <w:sz w:val="24"/>
          <w:szCs w:val="24"/>
        </w:rPr>
        <w:t xml:space="preserve"> i </w:t>
      </w:r>
      <w:r w:rsidR="00DE0FEF" w:rsidRPr="00EF6F97">
        <w:rPr>
          <w:rFonts w:ascii="Times New Roman" w:hAnsi="Times New Roman" w:cs="Times New Roman"/>
          <w:sz w:val="24"/>
          <w:szCs w:val="24"/>
        </w:rPr>
        <w:t xml:space="preserve">energią. </w:t>
      </w:r>
    </w:p>
    <w:p w14:paraId="0744DB3C" w14:textId="77777777" w:rsidR="00AD41DE"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8232A8" w:rsidRPr="00EF6F97">
        <w:rPr>
          <w:rFonts w:ascii="Times New Roman" w:hAnsi="Times New Roman" w:cs="Times New Roman"/>
          <w:sz w:val="24"/>
          <w:szCs w:val="24"/>
        </w:rPr>
        <w:t>Wzmocnienie powyższych rozwiązań przepisami umożliwiającymi cofnięcie koncesji prze</w:t>
      </w:r>
      <w:r w:rsidR="001D0628">
        <w:rPr>
          <w:rFonts w:ascii="Times New Roman" w:hAnsi="Times New Roman" w:cs="Times New Roman"/>
          <w:sz w:val="24"/>
          <w:szCs w:val="24"/>
        </w:rPr>
        <w:t>z </w:t>
      </w:r>
      <w:r w:rsidR="008232A8" w:rsidRPr="00EF6F97">
        <w:rPr>
          <w:rFonts w:ascii="Times New Roman" w:hAnsi="Times New Roman" w:cs="Times New Roman"/>
          <w:sz w:val="24"/>
          <w:szCs w:val="24"/>
        </w:rPr>
        <w:t>Prezesa URE w przypadku praktyk naruszających zbiorowe interesy konsumentów pozwoli na skuteczną realizację obowiązków prze</w:t>
      </w:r>
      <w:r w:rsidR="001D0628">
        <w:rPr>
          <w:rFonts w:ascii="Times New Roman" w:hAnsi="Times New Roman" w:cs="Times New Roman"/>
          <w:sz w:val="24"/>
          <w:szCs w:val="24"/>
        </w:rPr>
        <w:t>z </w:t>
      </w:r>
      <w:r w:rsidR="008232A8" w:rsidRPr="00EF6F97">
        <w:rPr>
          <w:rFonts w:ascii="Times New Roman" w:hAnsi="Times New Roman" w:cs="Times New Roman"/>
          <w:sz w:val="24"/>
          <w:szCs w:val="24"/>
        </w:rPr>
        <w:t>regulatora ora</w:t>
      </w:r>
      <w:r w:rsidR="001D0628">
        <w:rPr>
          <w:rFonts w:ascii="Times New Roman" w:hAnsi="Times New Roman" w:cs="Times New Roman"/>
          <w:sz w:val="24"/>
          <w:szCs w:val="24"/>
        </w:rPr>
        <w:t>z </w:t>
      </w:r>
      <w:r w:rsidR="008232A8" w:rsidRPr="00EF6F97">
        <w:rPr>
          <w:rFonts w:ascii="Times New Roman" w:hAnsi="Times New Roman" w:cs="Times New Roman"/>
          <w:sz w:val="24"/>
          <w:szCs w:val="24"/>
        </w:rPr>
        <w:t>równoważenie pozycji przedsiębiorcy</w:t>
      </w:r>
      <w:r w:rsidR="001D0628">
        <w:rPr>
          <w:rFonts w:ascii="Times New Roman" w:hAnsi="Times New Roman" w:cs="Times New Roman"/>
          <w:sz w:val="24"/>
          <w:szCs w:val="24"/>
        </w:rPr>
        <w:t xml:space="preserve"> i </w:t>
      </w:r>
      <w:r w:rsidR="008232A8" w:rsidRPr="00EF6F97">
        <w:rPr>
          <w:rFonts w:ascii="Times New Roman" w:hAnsi="Times New Roman" w:cs="Times New Roman"/>
          <w:sz w:val="24"/>
          <w:szCs w:val="24"/>
        </w:rPr>
        <w:t>konsumenta energii.</w:t>
      </w:r>
    </w:p>
    <w:p w14:paraId="779B3914" w14:textId="74E816A6" w:rsidR="00AD41DE" w:rsidRPr="00EF6F97" w:rsidRDefault="00AD41DE" w:rsidP="00AD41D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marginesie należy zaznaczyć, że </w:t>
      </w:r>
      <w:r w:rsidRPr="00AD41DE">
        <w:rPr>
          <w:rFonts w:ascii="Times New Roman" w:hAnsi="Times New Roman" w:cs="Times New Roman"/>
          <w:sz w:val="24"/>
          <w:szCs w:val="24"/>
        </w:rPr>
        <w:t xml:space="preserve">zgodnie z </w:t>
      </w:r>
      <w:r>
        <w:rPr>
          <w:rFonts w:ascii="Times New Roman" w:hAnsi="Times New Roman" w:cs="Times New Roman"/>
          <w:sz w:val="24"/>
          <w:szCs w:val="24"/>
        </w:rPr>
        <w:t xml:space="preserve">propozycja zawartą w </w:t>
      </w:r>
      <w:r w:rsidRPr="00AD41DE">
        <w:rPr>
          <w:rFonts w:ascii="Times New Roman" w:hAnsi="Times New Roman" w:cs="Times New Roman"/>
          <w:sz w:val="24"/>
          <w:szCs w:val="24"/>
        </w:rPr>
        <w:t>art. 41 ust. 4 Prezes URE może cofnąć koncesję</w:t>
      </w:r>
      <w:r w:rsidR="00101607">
        <w:rPr>
          <w:rFonts w:ascii="Times New Roman" w:hAnsi="Times New Roman" w:cs="Times New Roman"/>
          <w:sz w:val="24"/>
          <w:szCs w:val="24"/>
        </w:rPr>
        <w:t>,</w:t>
      </w:r>
      <w:r w:rsidRPr="00AD41DE">
        <w:rPr>
          <w:rFonts w:ascii="Times New Roman" w:hAnsi="Times New Roman" w:cs="Times New Roman"/>
          <w:sz w:val="24"/>
          <w:szCs w:val="24"/>
        </w:rPr>
        <w:t xml:space="preserve"> ale nie </w:t>
      </w:r>
      <w:r w:rsidR="00473144">
        <w:rPr>
          <w:rFonts w:ascii="Times New Roman" w:hAnsi="Times New Roman" w:cs="Times New Roman"/>
          <w:sz w:val="24"/>
          <w:szCs w:val="24"/>
        </w:rPr>
        <w:t>jest to obligatoryjne</w:t>
      </w:r>
      <w:r w:rsidRPr="00AD41DE">
        <w:rPr>
          <w:rFonts w:ascii="Times New Roman" w:hAnsi="Times New Roman" w:cs="Times New Roman"/>
          <w:sz w:val="24"/>
          <w:szCs w:val="24"/>
        </w:rPr>
        <w:t>. Dodatkowo, zgodnie z art. 56 ust. 6 ustawy – Prawo energetyczne</w:t>
      </w:r>
      <w:r w:rsidR="00473144">
        <w:rPr>
          <w:rFonts w:ascii="Times New Roman" w:hAnsi="Times New Roman" w:cs="Times New Roman"/>
          <w:sz w:val="24"/>
          <w:szCs w:val="24"/>
        </w:rPr>
        <w:t>,</w:t>
      </w:r>
      <w:r w:rsidRPr="00AD41DE">
        <w:rPr>
          <w:rFonts w:ascii="Times New Roman" w:hAnsi="Times New Roman" w:cs="Times New Roman"/>
          <w:sz w:val="24"/>
          <w:szCs w:val="24"/>
        </w:rPr>
        <w:t xml:space="preserve"> ustalając wysokość  kary pieniężnej, Prezes URE uwzględnia stopień szkodliwości czynu, stopień zawinienia oraz dotychczasowe zachowanie podmiotu i jego możliwości finansowe. Tak więc w przypadku wykonania decyzji Prezesa UOKiK, Prezes URE ma ustawowy obowiązek uwzględnienia tej okoliczności i powinien odstąpić od wymierzenia kary</w:t>
      </w:r>
      <w:r>
        <w:rPr>
          <w:rFonts w:ascii="Times New Roman" w:hAnsi="Times New Roman" w:cs="Times New Roman"/>
          <w:sz w:val="24"/>
          <w:szCs w:val="24"/>
        </w:rPr>
        <w:t xml:space="preserve"> albo zdecydowanie złagodzić jej wymiar</w:t>
      </w:r>
      <w:r w:rsidRPr="00AD41DE">
        <w:rPr>
          <w:rFonts w:ascii="Times New Roman" w:hAnsi="Times New Roman" w:cs="Times New Roman"/>
          <w:sz w:val="24"/>
          <w:szCs w:val="24"/>
        </w:rPr>
        <w:t>.</w:t>
      </w:r>
    </w:p>
    <w:p w14:paraId="54FFFC7B" w14:textId="6BFB88FD" w:rsidR="00665C47"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p>
    <w:p w14:paraId="7B85D93D" w14:textId="06B9C449"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 xml:space="preserve">Ad </w:t>
      </w:r>
      <w:r w:rsidR="00D0483F" w:rsidRPr="00EF6F97">
        <w:rPr>
          <w:rFonts w:ascii="Times New Roman" w:hAnsi="Times New Roman" w:cs="Times New Roman"/>
          <w:sz w:val="24"/>
          <w:szCs w:val="24"/>
        </w:rPr>
        <w:t>7</w:t>
      </w:r>
      <w:r w:rsidR="0097130C" w:rsidRPr="00EF6F97">
        <w:rPr>
          <w:rFonts w:ascii="Times New Roman" w:hAnsi="Times New Roman" w:cs="Times New Roman"/>
          <w:sz w:val="24"/>
          <w:szCs w:val="24"/>
        </w:rPr>
        <w:t xml:space="preserve">. </w:t>
      </w:r>
      <w:r w:rsidR="00AD422A" w:rsidRPr="00EF6F97">
        <w:rPr>
          <w:rFonts w:ascii="Times New Roman" w:hAnsi="Times New Roman" w:cs="Times New Roman"/>
          <w:sz w:val="24"/>
          <w:szCs w:val="24"/>
        </w:rPr>
        <w:t xml:space="preserve">Na wstępie należy zaznaczyć, że projektowane rozwiązania co do zasady nie służą wdrożeniu dyrektywy 2019/944, bowiem przedmiotowa dyrektywa nawiązuje w obszarze zamkniętych systemów dystrybucyjnych (ZSD) do nowych instytucji prawnych, które są wypracowywane w ramach oddzielnej nowelizacji implementującej w całości IV pakiet energetyczny. </w:t>
      </w:r>
      <w:r w:rsidR="0097130C" w:rsidRPr="00EF6F97">
        <w:rPr>
          <w:rFonts w:ascii="Times New Roman" w:hAnsi="Times New Roman" w:cs="Times New Roman"/>
          <w:sz w:val="24"/>
          <w:szCs w:val="24"/>
        </w:rPr>
        <w:t>Impulsem do podjęcia anali</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w zakresie zasadn</w:t>
      </w:r>
      <w:r w:rsidR="000F4042" w:rsidRPr="00EF6F97">
        <w:rPr>
          <w:rFonts w:ascii="Times New Roman" w:hAnsi="Times New Roman" w:cs="Times New Roman"/>
          <w:sz w:val="24"/>
          <w:szCs w:val="24"/>
        </w:rPr>
        <w:t>ości wprowadzenia instytucji ZSD</w:t>
      </w:r>
      <w:r w:rsidR="0097130C" w:rsidRPr="00EF6F97">
        <w:rPr>
          <w:rFonts w:ascii="Times New Roman" w:hAnsi="Times New Roman" w:cs="Times New Roman"/>
          <w:sz w:val="24"/>
          <w:szCs w:val="24"/>
        </w:rPr>
        <w:t xml:space="preserve"> do ustawy </w:t>
      </w:r>
      <w:r w:rsidR="00101607">
        <w:rPr>
          <w:rFonts w:ascii="Times New Roman" w:hAnsi="Times New Roman" w:cs="Times New Roman"/>
          <w:sz w:val="24"/>
          <w:szCs w:val="24"/>
        </w:rPr>
        <w:t>–</w:t>
      </w:r>
      <w:r w:rsidR="00101607" w:rsidRPr="00EF6F97">
        <w:rPr>
          <w:rFonts w:ascii="Times New Roman" w:hAnsi="Times New Roman" w:cs="Times New Roman"/>
          <w:sz w:val="24"/>
          <w:szCs w:val="24"/>
        </w:rPr>
        <w:t xml:space="preserve"> </w:t>
      </w:r>
      <w:r w:rsidR="0097130C" w:rsidRPr="00EF6F97">
        <w:rPr>
          <w:rFonts w:ascii="Times New Roman" w:hAnsi="Times New Roman" w:cs="Times New Roman"/>
          <w:sz w:val="24"/>
          <w:szCs w:val="24"/>
        </w:rPr>
        <w:t xml:space="preserve">Prawo energetyczne były wyraźne sygnały zarówno po stronie </w:t>
      </w:r>
      <w:r w:rsidR="006C4234" w:rsidRPr="00EF6F97">
        <w:rPr>
          <w:rFonts w:ascii="Times New Roman" w:hAnsi="Times New Roman" w:cs="Times New Roman"/>
          <w:sz w:val="24"/>
          <w:szCs w:val="24"/>
        </w:rPr>
        <w:t>OSD</w:t>
      </w:r>
      <w:r w:rsidR="00564D77">
        <w:rPr>
          <w:rFonts w:ascii="Times New Roman" w:hAnsi="Times New Roman" w:cs="Times New Roman"/>
          <w:sz w:val="24"/>
          <w:szCs w:val="24"/>
        </w:rPr>
        <w:t xml:space="preserve">, </w:t>
      </w:r>
      <w:r w:rsidR="0097130C" w:rsidRPr="00EF6F97">
        <w:rPr>
          <w:rFonts w:ascii="Times New Roman" w:hAnsi="Times New Roman" w:cs="Times New Roman"/>
          <w:sz w:val="24"/>
          <w:szCs w:val="24"/>
        </w:rPr>
        <w:t>jak</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przedsiębiorstw, których głównym przedmiotem działalności nie jest działalność energetyczna, natomiast warunki, w jakich funkcjonują</w:t>
      </w:r>
      <w:r w:rsidR="008A3538">
        <w:rPr>
          <w:rFonts w:ascii="Times New Roman" w:hAnsi="Times New Roman" w:cs="Times New Roman"/>
          <w:sz w:val="24"/>
          <w:szCs w:val="24"/>
        </w:rPr>
        <w:t>,</w:t>
      </w:r>
      <w:r w:rsidR="0097130C" w:rsidRPr="00EF6F97">
        <w:rPr>
          <w:rFonts w:ascii="Times New Roman" w:hAnsi="Times New Roman" w:cs="Times New Roman"/>
          <w:sz w:val="24"/>
          <w:szCs w:val="24"/>
        </w:rPr>
        <w:t xml:space="preserve"> niejako wymuszają uzyskanie prze</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 xml:space="preserve">nich statusu OSD. Obowiązki administracyjne, jakie ustawa </w:t>
      </w:r>
      <w:r w:rsidR="00101607">
        <w:rPr>
          <w:rFonts w:ascii="Times New Roman" w:hAnsi="Times New Roman" w:cs="Times New Roman"/>
          <w:sz w:val="24"/>
          <w:szCs w:val="24"/>
        </w:rPr>
        <w:t>–</w:t>
      </w:r>
      <w:r w:rsidR="00101607" w:rsidRPr="00EF6F97">
        <w:rPr>
          <w:rFonts w:ascii="Times New Roman" w:hAnsi="Times New Roman" w:cs="Times New Roman"/>
          <w:sz w:val="24"/>
          <w:szCs w:val="24"/>
        </w:rPr>
        <w:t xml:space="preserve"> </w:t>
      </w:r>
      <w:r w:rsidR="0097130C" w:rsidRPr="00EF6F97">
        <w:rPr>
          <w:rFonts w:ascii="Times New Roman" w:hAnsi="Times New Roman" w:cs="Times New Roman"/>
          <w:sz w:val="24"/>
          <w:szCs w:val="24"/>
        </w:rPr>
        <w:t>Prawo energetyczne nakłada na tych przedsiębiorców</w:t>
      </w:r>
      <w:r w:rsidR="008A3538">
        <w:rPr>
          <w:rFonts w:ascii="Times New Roman" w:hAnsi="Times New Roman" w:cs="Times New Roman"/>
          <w:sz w:val="24"/>
          <w:szCs w:val="24"/>
        </w:rPr>
        <w:t>,</w:t>
      </w:r>
      <w:r w:rsidR="0097130C" w:rsidRPr="00EF6F97">
        <w:rPr>
          <w:rFonts w:ascii="Times New Roman" w:hAnsi="Times New Roman" w:cs="Times New Roman"/>
          <w:sz w:val="24"/>
          <w:szCs w:val="24"/>
        </w:rPr>
        <w:t xml:space="preserve"> są niewspółmierne do skali działalności, jaką w rzeczywistości wykonują. </w:t>
      </w:r>
    </w:p>
    <w:p w14:paraId="58EC0234" w14:textId="16BAE711"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lastRenderedPageBreak/>
        <w:tab/>
      </w:r>
      <w:r w:rsidR="0097130C" w:rsidRPr="00EF6F97">
        <w:rPr>
          <w:rFonts w:ascii="Times New Roman" w:hAnsi="Times New Roman" w:cs="Times New Roman"/>
          <w:sz w:val="24"/>
          <w:szCs w:val="24"/>
        </w:rPr>
        <w:t xml:space="preserve">Po pierwsze należy wskazać </w:t>
      </w:r>
      <w:r w:rsidR="000F4042" w:rsidRPr="00EF6F97">
        <w:rPr>
          <w:rFonts w:ascii="Times New Roman" w:hAnsi="Times New Roman" w:cs="Times New Roman"/>
          <w:sz w:val="24"/>
          <w:szCs w:val="24"/>
        </w:rPr>
        <w:t xml:space="preserve">na jeden </w:t>
      </w:r>
      <w:r w:rsidR="001D0628">
        <w:rPr>
          <w:rFonts w:ascii="Times New Roman" w:hAnsi="Times New Roman" w:cs="Times New Roman"/>
          <w:sz w:val="24"/>
          <w:szCs w:val="24"/>
        </w:rPr>
        <w:t>z </w:t>
      </w:r>
      <w:r w:rsidR="000F4042" w:rsidRPr="00EF6F97">
        <w:rPr>
          <w:rFonts w:ascii="Times New Roman" w:hAnsi="Times New Roman" w:cs="Times New Roman"/>
          <w:sz w:val="24"/>
          <w:szCs w:val="24"/>
        </w:rPr>
        <w:t>modelowych rodzajów ZSD</w:t>
      </w:r>
      <w:r w:rsidR="0097130C" w:rsidRPr="00EF6F97">
        <w:rPr>
          <w:rFonts w:ascii="Times New Roman" w:hAnsi="Times New Roman" w:cs="Times New Roman"/>
          <w:sz w:val="24"/>
          <w:szCs w:val="24"/>
        </w:rPr>
        <w:t xml:space="preserve">, jakimi są duże zakłady przemysłowe, których warunki funkcjonowania, w związku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zaszłościami historycznymi, podyktowane są ich wcześniejszym statusem. W ramach dawnej struktury gospodarczej zapewniały dostawę energii elektrycznej głównie na potrzeby swoich oddziałów czy działów produkcyjnych</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 xml:space="preserve">jednocześnie dla wszystkich innych podmiotów lub jednostek zlokalizowanych na terenie przedsiębiorstwa.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biegiem czasu przedsiębiorstwa te ulegały przekształceniom restrukturyzacyjnym, produkcyjnym</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funkcjonalnym, często także własnościowym. Nie następowały natomiast zmiany w konfiguracji</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 xml:space="preserve">funkcjonowaniu układu elektroenergetycznego. Wobec tego przedsiębiorstwa przyłączone do sieci dystrybucyjnej (lub przesyłowej) wciąż zapewniają dostawę energii elektrycznej do wielu swoich historycznych pododbiorców, a zgodnie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 xml:space="preserve">przepisami ustawy </w:t>
      </w:r>
      <w:r w:rsidR="008A3538">
        <w:rPr>
          <w:rFonts w:ascii="Times New Roman" w:hAnsi="Times New Roman" w:cs="Times New Roman"/>
          <w:sz w:val="24"/>
          <w:szCs w:val="24"/>
        </w:rPr>
        <w:t>–</w:t>
      </w:r>
      <w:r w:rsidR="0097130C" w:rsidRPr="00EF6F97">
        <w:rPr>
          <w:rFonts w:ascii="Times New Roman" w:hAnsi="Times New Roman" w:cs="Times New Roman"/>
          <w:sz w:val="24"/>
          <w:szCs w:val="24"/>
        </w:rPr>
        <w:t xml:space="preserve"> Prawo energetyczne muszą uzyskać status przedsiębiorstw energetycznych, choć działalność polegająca na dystrybucji</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obrocie nie wchodzi w zakres ich podstawowej działalności gospodarczej.</w:t>
      </w:r>
    </w:p>
    <w:p w14:paraId="711D6745" w14:textId="317FE124"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1D0628">
        <w:rPr>
          <w:rFonts w:ascii="Times New Roman" w:hAnsi="Times New Roman" w:cs="Times New Roman"/>
          <w:sz w:val="24"/>
          <w:szCs w:val="24"/>
        </w:rPr>
        <w:t>Z </w:t>
      </w:r>
      <w:r w:rsidR="0097130C" w:rsidRPr="00EF6F97">
        <w:rPr>
          <w:rFonts w:ascii="Times New Roman" w:hAnsi="Times New Roman" w:cs="Times New Roman"/>
          <w:sz w:val="24"/>
          <w:szCs w:val="24"/>
        </w:rPr>
        <w:t>technicznego punktu widzenia przyłącza odbiorców pracują na wysokim napięciu (WN) lub średnich napięciach (SN)</w:t>
      </w:r>
      <w:r w:rsidR="001D0628">
        <w:rPr>
          <w:rFonts w:ascii="Times New Roman" w:hAnsi="Times New Roman" w:cs="Times New Roman"/>
          <w:sz w:val="24"/>
          <w:szCs w:val="24"/>
        </w:rPr>
        <w:t xml:space="preserve"> i</w:t>
      </w:r>
      <w:r w:rsidR="008A3538">
        <w:rPr>
          <w:rFonts w:ascii="Times New Roman" w:hAnsi="Times New Roman" w:cs="Times New Roman"/>
          <w:sz w:val="24"/>
          <w:szCs w:val="24"/>
        </w:rPr>
        <w:t xml:space="preserve"> </w:t>
      </w:r>
      <w:r w:rsidR="0097130C" w:rsidRPr="00EF6F97">
        <w:rPr>
          <w:rFonts w:ascii="Times New Roman" w:hAnsi="Times New Roman" w:cs="Times New Roman"/>
          <w:sz w:val="24"/>
          <w:szCs w:val="24"/>
        </w:rPr>
        <w:t>prze</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układy transformatorowe, linie napowietrzne lub kablowe redystrybuują energię na SN lub niskie napięcia (nN) do układów pomiarowych</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 xml:space="preserve">końcowego zużycia. Zgodnie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 xml:space="preserve">przepisami ustawy </w:t>
      </w:r>
      <w:r w:rsidR="008A3538">
        <w:rPr>
          <w:rFonts w:ascii="Times New Roman" w:hAnsi="Times New Roman" w:cs="Times New Roman"/>
          <w:sz w:val="24"/>
          <w:szCs w:val="24"/>
        </w:rPr>
        <w:t>–</w:t>
      </w:r>
      <w:r w:rsidR="0097130C" w:rsidRPr="00EF6F97">
        <w:rPr>
          <w:rFonts w:ascii="Times New Roman" w:hAnsi="Times New Roman" w:cs="Times New Roman"/>
          <w:sz w:val="24"/>
          <w:szCs w:val="24"/>
        </w:rPr>
        <w:t xml:space="preserve"> Prawo energetyczne, przedsiębiorstwa te muszą uzyskać status przedsiębiorstw energetycznych, choć działalność polegająca na dystrybucji energii elektrycznej</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 xml:space="preserve">jej obrocie nie wchodzi w zakres ich podstawowej działalności gospodarczej. </w:t>
      </w:r>
    </w:p>
    <w:p w14:paraId="100FAEDE" w14:textId="47EE818E"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Inny modelowy rodzaj systemu dystrybucyjnego zamkniętego to stosunkowo nowe rozwiązanie, które pojawiło się na gospodarczej mapie Polski wra</w:t>
      </w:r>
      <w:r w:rsidR="001D0628">
        <w:rPr>
          <w:rFonts w:ascii="Times New Roman" w:hAnsi="Times New Roman" w:cs="Times New Roman"/>
          <w:sz w:val="24"/>
          <w:szCs w:val="24"/>
        </w:rPr>
        <w:t>z z </w:t>
      </w:r>
      <w:r w:rsidR="0097130C" w:rsidRPr="00EF6F97">
        <w:rPr>
          <w:rFonts w:ascii="Times New Roman" w:hAnsi="Times New Roman" w:cs="Times New Roman"/>
          <w:sz w:val="24"/>
          <w:szCs w:val="24"/>
        </w:rPr>
        <w:t>powstaniem</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rozwojem specjalnych stref ekonomicznych, kompleksów</w:t>
      </w:r>
      <w:r w:rsidR="001D0628">
        <w:rPr>
          <w:rFonts w:ascii="Times New Roman" w:hAnsi="Times New Roman" w:cs="Times New Roman"/>
          <w:sz w:val="24"/>
          <w:szCs w:val="24"/>
        </w:rPr>
        <w:t xml:space="preserve"> i</w:t>
      </w:r>
      <w:r w:rsidR="00AF230E">
        <w:rPr>
          <w:rFonts w:ascii="Times New Roman" w:hAnsi="Times New Roman" w:cs="Times New Roman"/>
          <w:sz w:val="24"/>
          <w:szCs w:val="24"/>
        </w:rPr>
        <w:t xml:space="preserve"> </w:t>
      </w:r>
      <w:r w:rsidR="0097130C" w:rsidRPr="00EF6F97">
        <w:rPr>
          <w:rFonts w:ascii="Times New Roman" w:hAnsi="Times New Roman" w:cs="Times New Roman"/>
          <w:sz w:val="24"/>
          <w:szCs w:val="24"/>
        </w:rPr>
        <w:t>centrów handlowych (wielkopowierzchniowych), centrów biurowych, wydzielonych osiedli mieszkaniowych ora</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 xml:space="preserve">innych miejsc świadczenia usług wspólnych obsługujących łącznie wiele tysięcy nowych odbiorców energii elektrycznej. Podobnie jak zakłady przemysłowe, także w odniesieniu do wymienionych powyżej obiektów mamy do czynienia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 xml:space="preserve">obiektem przyłączonym liniami kablowymi do sieci WN lub sieci SN, gdzie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reguły wewnątr</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podmiotu przyłączonego prze</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rozdzielnice, stacje transformatorowe, złącza kablowe</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elastycznie konfigurowane szynoprzewody ora</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 xml:space="preserve">układy pomiarowe energia elektryczna doprowadzona jest do odbiorcy końcowego. </w:t>
      </w:r>
    </w:p>
    <w:p w14:paraId="44B4243C" w14:textId="589E2E1A"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W każdym przypadku uzyskanie statusu przed</w:t>
      </w:r>
      <w:r w:rsidR="00F71EAD" w:rsidRPr="00EF6F97">
        <w:rPr>
          <w:rFonts w:ascii="Times New Roman" w:hAnsi="Times New Roman" w:cs="Times New Roman"/>
          <w:sz w:val="24"/>
          <w:szCs w:val="24"/>
        </w:rPr>
        <w:t>siębiorstwa energetycznego wiąże</w:t>
      </w:r>
      <w:r w:rsidR="0097130C" w:rsidRPr="00EF6F97">
        <w:rPr>
          <w:rFonts w:ascii="Times New Roman" w:hAnsi="Times New Roman" w:cs="Times New Roman"/>
          <w:sz w:val="24"/>
          <w:szCs w:val="24"/>
        </w:rPr>
        <w:t xml:space="preserve"> się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koniecznością sprostania ponadstandardowym wymaganiom, takim jak</w:t>
      </w:r>
      <w:r w:rsidR="00AF230E">
        <w:rPr>
          <w:rFonts w:ascii="Times New Roman" w:hAnsi="Times New Roman" w:cs="Times New Roman"/>
          <w:sz w:val="24"/>
          <w:szCs w:val="24"/>
        </w:rPr>
        <w:t>:</w:t>
      </w:r>
      <w:r w:rsidR="0097130C" w:rsidRPr="00EF6F97">
        <w:rPr>
          <w:rFonts w:ascii="Times New Roman" w:hAnsi="Times New Roman" w:cs="Times New Roman"/>
          <w:sz w:val="24"/>
          <w:szCs w:val="24"/>
        </w:rPr>
        <w:t xml:space="preserve"> uzyskanie koncesji, zatwierdzanie taryfy, przedkładanie różnego rodzaju sprawozdań itp. W związku </w:t>
      </w:r>
      <w:r w:rsidR="001D0628">
        <w:rPr>
          <w:rFonts w:ascii="Times New Roman" w:hAnsi="Times New Roman" w:cs="Times New Roman"/>
          <w:sz w:val="24"/>
          <w:szCs w:val="24"/>
        </w:rPr>
        <w:lastRenderedPageBreak/>
        <w:t>z </w:t>
      </w:r>
      <w:r w:rsidR="0097130C" w:rsidRPr="00EF6F97">
        <w:rPr>
          <w:rFonts w:ascii="Times New Roman" w:hAnsi="Times New Roman" w:cs="Times New Roman"/>
          <w:sz w:val="24"/>
          <w:szCs w:val="24"/>
        </w:rPr>
        <w:t>powyższym o koncesję na dystrybucję energii elektrycznej, a także status OSD, występują podmioty prowadzące galerie handlowe, zamknięte osiedla</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 xml:space="preserve">przede wszystkim duże zakłady przemysłowe. </w:t>
      </w:r>
    </w:p>
    <w:p w14:paraId="4DDEE45E" w14:textId="475B791B"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 xml:space="preserve">Co więcej, ustawa </w:t>
      </w:r>
      <w:r w:rsidR="00101607">
        <w:rPr>
          <w:rFonts w:ascii="Times New Roman" w:hAnsi="Times New Roman" w:cs="Times New Roman"/>
          <w:sz w:val="24"/>
          <w:szCs w:val="24"/>
        </w:rPr>
        <w:t>–</w:t>
      </w:r>
      <w:r w:rsidR="00101607" w:rsidRPr="00EF6F97">
        <w:rPr>
          <w:rFonts w:ascii="Times New Roman" w:hAnsi="Times New Roman" w:cs="Times New Roman"/>
          <w:sz w:val="24"/>
          <w:szCs w:val="24"/>
        </w:rPr>
        <w:t xml:space="preserve"> </w:t>
      </w:r>
      <w:r w:rsidR="0097130C" w:rsidRPr="00EF6F97">
        <w:rPr>
          <w:rFonts w:ascii="Times New Roman" w:hAnsi="Times New Roman" w:cs="Times New Roman"/>
          <w:sz w:val="24"/>
          <w:szCs w:val="24"/>
        </w:rPr>
        <w:t xml:space="preserve">Prawo energetyczne nie rozróżnia spółek ze względu na skalę działalności energetycznej.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małymi wyjątkami, tak samo traktuje te, które obsługują miliony odbiorców końcowych, jak</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 xml:space="preserve">te, które mają tych odbiorców kilkunastu lub kilkudziesięciu. Przepisy ustawy </w:t>
      </w:r>
      <w:r w:rsidR="00AF230E">
        <w:rPr>
          <w:rFonts w:ascii="Times New Roman" w:hAnsi="Times New Roman" w:cs="Times New Roman"/>
          <w:sz w:val="24"/>
          <w:szCs w:val="24"/>
        </w:rPr>
        <w:t>–</w:t>
      </w:r>
      <w:r w:rsidR="0097130C" w:rsidRPr="00EF6F97">
        <w:rPr>
          <w:rFonts w:ascii="Times New Roman" w:hAnsi="Times New Roman" w:cs="Times New Roman"/>
          <w:sz w:val="24"/>
          <w:szCs w:val="24"/>
        </w:rPr>
        <w:t xml:space="preserve"> Prawo energetyczne narzucają jednakowe obowiązki na podmioty podejmujące zamierzoną lub wymuszoną działalność dystrybucyjną, w postaci konieczności uzyskania koncesji na prowadzenie takiej działalności ora</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statusu OSD.</w:t>
      </w:r>
    </w:p>
    <w:p w14:paraId="7AEBCA6E" w14:textId="77777777" w:rsidR="0097130C" w:rsidRPr="00EF6F97" w:rsidRDefault="0097130C"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Zgodnie </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danymi ze strony Urzędu Regulacji Energetyki (dalej jako: „URE”) liczba OSD rośnie od 2009 roku. Poniższe zestawienia obrazują wzrost ilości </w:t>
      </w:r>
      <w:r w:rsidR="006C4234" w:rsidRPr="00EF6F97">
        <w:rPr>
          <w:rFonts w:ascii="Times New Roman" w:hAnsi="Times New Roman" w:cs="Times New Roman"/>
          <w:sz w:val="24"/>
          <w:szCs w:val="24"/>
        </w:rPr>
        <w:t xml:space="preserve">OSD </w:t>
      </w:r>
      <w:r w:rsidRPr="00EF6F97">
        <w:rPr>
          <w:rFonts w:ascii="Times New Roman" w:hAnsi="Times New Roman" w:cs="Times New Roman"/>
          <w:sz w:val="24"/>
          <w:szCs w:val="24"/>
        </w:rPr>
        <w:t>aż o 1960%</w:t>
      </w:r>
      <w:r w:rsidRPr="00EF6F97">
        <w:rPr>
          <w:rFonts w:ascii="Times New Roman" w:hAnsi="Times New Roman" w:cs="Times New Roman"/>
          <w:sz w:val="24"/>
          <w:szCs w:val="24"/>
          <w:vertAlign w:val="superscript"/>
        </w:rPr>
        <w:footnoteReference w:id="1"/>
      </w:r>
      <w:r w:rsidRPr="00EF6F97">
        <w:rPr>
          <w:rFonts w:ascii="Times New Roman" w:hAnsi="Times New Roman" w:cs="Times New Roman"/>
          <w:sz w:val="24"/>
          <w:szCs w:val="24"/>
        </w:rPr>
        <w:t xml:space="preserve"> od 2008</w:t>
      </w:r>
      <w:r w:rsidR="001D0628">
        <w:rPr>
          <w:rFonts w:ascii="Times New Roman" w:hAnsi="Times New Roman" w:cs="Times New Roman"/>
          <w:sz w:val="24"/>
          <w:szCs w:val="24"/>
        </w:rPr>
        <w:t> r.</w:t>
      </w:r>
      <w:r w:rsidRPr="00EF6F97">
        <w:rPr>
          <w:rFonts w:ascii="Times New Roman" w:hAnsi="Times New Roman" w:cs="Times New Roman"/>
          <w:sz w:val="24"/>
          <w:szCs w:val="24"/>
        </w:rPr>
        <w:t>:</w:t>
      </w:r>
    </w:p>
    <w:tbl>
      <w:tblPr>
        <w:tblpPr w:leftFromText="141" w:rightFromText="141" w:vertAnchor="text" w:horzAnchor="margin" w:tblpX="-994" w:tblpY="131"/>
        <w:tblW w:w="10278" w:type="dxa"/>
        <w:tblLayout w:type="fixed"/>
        <w:tblCellMar>
          <w:left w:w="70" w:type="dxa"/>
          <w:right w:w="70" w:type="dxa"/>
        </w:tblCellMar>
        <w:tblLook w:val="04A0" w:firstRow="1" w:lastRow="0" w:firstColumn="1" w:lastColumn="0" w:noHBand="0" w:noVBand="1"/>
      </w:tblPr>
      <w:tblGrid>
        <w:gridCol w:w="1773"/>
        <w:gridCol w:w="709"/>
        <w:gridCol w:w="709"/>
        <w:gridCol w:w="708"/>
        <w:gridCol w:w="709"/>
        <w:gridCol w:w="709"/>
        <w:gridCol w:w="709"/>
        <w:gridCol w:w="708"/>
        <w:gridCol w:w="709"/>
        <w:gridCol w:w="709"/>
        <w:gridCol w:w="709"/>
        <w:gridCol w:w="708"/>
        <w:gridCol w:w="709"/>
      </w:tblGrid>
      <w:tr w:rsidR="0097130C" w:rsidRPr="00EF6F97" w14:paraId="742C9538" w14:textId="77777777" w:rsidTr="0097130C">
        <w:trPr>
          <w:trHeight w:val="317"/>
        </w:trPr>
        <w:tc>
          <w:tcPr>
            <w:tcW w:w="1773" w:type="dxa"/>
            <w:tcBorders>
              <w:top w:val="nil"/>
              <w:left w:val="nil"/>
              <w:bottom w:val="nil"/>
              <w:right w:val="nil"/>
            </w:tcBorders>
            <w:shd w:val="clear" w:color="auto" w:fill="auto"/>
            <w:noWrap/>
            <w:vAlign w:val="bottom"/>
            <w:hideMark/>
          </w:tcPr>
          <w:p w14:paraId="42C1C776" w14:textId="77777777" w:rsidR="0097130C" w:rsidRPr="00EF6F97" w:rsidRDefault="0097130C" w:rsidP="00EF6F97">
            <w:pPr>
              <w:spacing w:line="360" w:lineRule="auto"/>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C5E0B3"/>
            <w:noWrap/>
            <w:vAlign w:val="center"/>
            <w:hideMark/>
          </w:tcPr>
          <w:p w14:paraId="1F0DCA1E" w14:textId="77777777" w:rsidR="0097130C" w:rsidRPr="00EF6F97" w:rsidRDefault="0097130C" w:rsidP="00EF6F97">
            <w:pPr>
              <w:spacing w:line="360" w:lineRule="auto"/>
              <w:jc w:val="both"/>
              <w:rPr>
                <w:rFonts w:ascii="Times New Roman" w:hAnsi="Times New Roman" w:cs="Times New Roman"/>
                <w:b/>
                <w:bCs/>
                <w:sz w:val="24"/>
                <w:szCs w:val="24"/>
              </w:rPr>
            </w:pPr>
            <w:r w:rsidRPr="00EF6F97">
              <w:rPr>
                <w:rFonts w:ascii="Times New Roman" w:hAnsi="Times New Roman" w:cs="Times New Roman"/>
                <w:b/>
                <w:bCs/>
                <w:sz w:val="24"/>
                <w:szCs w:val="24"/>
              </w:rPr>
              <w:t>2006</w:t>
            </w:r>
          </w:p>
        </w:tc>
        <w:tc>
          <w:tcPr>
            <w:tcW w:w="709" w:type="dxa"/>
            <w:tcBorders>
              <w:top w:val="single" w:sz="4" w:space="0" w:color="auto"/>
              <w:left w:val="nil"/>
              <w:bottom w:val="single" w:sz="4" w:space="0" w:color="auto"/>
              <w:right w:val="single" w:sz="4" w:space="0" w:color="auto"/>
            </w:tcBorders>
            <w:shd w:val="clear" w:color="auto" w:fill="C5E0B3"/>
            <w:noWrap/>
            <w:vAlign w:val="center"/>
            <w:hideMark/>
          </w:tcPr>
          <w:p w14:paraId="6F0FA8FA" w14:textId="77777777" w:rsidR="0097130C" w:rsidRPr="00EF6F97" w:rsidRDefault="0097130C" w:rsidP="00EF6F97">
            <w:pPr>
              <w:spacing w:line="360" w:lineRule="auto"/>
              <w:jc w:val="both"/>
              <w:rPr>
                <w:rFonts w:ascii="Times New Roman" w:hAnsi="Times New Roman" w:cs="Times New Roman"/>
                <w:b/>
                <w:bCs/>
                <w:sz w:val="24"/>
                <w:szCs w:val="24"/>
              </w:rPr>
            </w:pPr>
            <w:r w:rsidRPr="00EF6F97">
              <w:rPr>
                <w:rFonts w:ascii="Times New Roman" w:hAnsi="Times New Roman" w:cs="Times New Roman"/>
                <w:b/>
                <w:bCs/>
                <w:sz w:val="24"/>
                <w:szCs w:val="24"/>
              </w:rPr>
              <w:t>2007</w:t>
            </w:r>
          </w:p>
        </w:tc>
        <w:tc>
          <w:tcPr>
            <w:tcW w:w="708" w:type="dxa"/>
            <w:tcBorders>
              <w:top w:val="single" w:sz="4" w:space="0" w:color="auto"/>
              <w:left w:val="nil"/>
              <w:bottom w:val="single" w:sz="4" w:space="0" w:color="auto"/>
              <w:right w:val="single" w:sz="4" w:space="0" w:color="auto"/>
            </w:tcBorders>
            <w:shd w:val="clear" w:color="auto" w:fill="C5E0B3"/>
            <w:noWrap/>
            <w:vAlign w:val="center"/>
            <w:hideMark/>
          </w:tcPr>
          <w:p w14:paraId="46D274FB" w14:textId="77777777" w:rsidR="0097130C" w:rsidRPr="00EF6F97" w:rsidRDefault="0097130C" w:rsidP="00EF6F97">
            <w:pPr>
              <w:spacing w:line="360" w:lineRule="auto"/>
              <w:jc w:val="both"/>
              <w:rPr>
                <w:rFonts w:ascii="Times New Roman" w:hAnsi="Times New Roman" w:cs="Times New Roman"/>
                <w:b/>
                <w:bCs/>
                <w:sz w:val="24"/>
                <w:szCs w:val="24"/>
              </w:rPr>
            </w:pPr>
            <w:r w:rsidRPr="00EF6F97">
              <w:rPr>
                <w:rFonts w:ascii="Times New Roman" w:hAnsi="Times New Roman" w:cs="Times New Roman"/>
                <w:b/>
                <w:bCs/>
                <w:sz w:val="24"/>
                <w:szCs w:val="24"/>
              </w:rPr>
              <w:t>2008</w:t>
            </w:r>
          </w:p>
        </w:tc>
        <w:tc>
          <w:tcPr>
            <w:tcW w:w="709" w:type="dxa"/>
            <w:tcBorders>
              <w:top w:val="single" w:sz="4" w:space="0" w:color="auto"/>
              <w:left w:val="nil"/>
              <w:bottom w:val="single" w:sz="4" w:space="0" w:color="auto"/>
              <w:right w:val="single" w:sz="4" w:space="0" w:color="auto"/>
            </w:tcBorders>
            <w:shd w:val="clear" w:color="auto" w:fill="C5E0B3"/>
            <w:noWrap/>
            <w:vAlign w:val="center"/>
            <w:hideMark/>
          </w:tcPr>
          <w:p w14:paraId="12DEAC42" w14:textId="77777777" w:rsidR="0097130C" w:rsidRPr="00EF6F97" w:rsidRDefault="0097130C" w:rsidP="00EF6F97">
            <w:pPr>
              <w:spacing w:line="360" w:lineRule="auto"/>
              <w:jc w:val="both"/>
              <w:rPr>
                <w:rFonts w:ascii="Times New Roman" w:hAnsi="Times New Roman" w:cs="Times New Roman"/>
                <w:b/>
                <w:bCs/>
                <w:sz w:val="24"/>
                <w:szCs w:val="24"/>
              </w:rPr>
            </w:pPr>
            <w:r w:rsidRPr="00EF6F97">
              <w:rPr>
                <w:rFonts w:ascii="Times New Roman" w:hAnsi="Times New Roman" w:cs="Times New Roman"/>
                <w:b/>
                <w:bCs/>
                <w:sz w:val="24"/>
                <w:szCs w:val="24"/>
              </w:rPr>
              <w:t>2009</w:t>
            </w:r>
          </w:p>
        </w:tc>
        <w:tc>
          <w:tcPr>
            <w:tcW w:w="709" w:type="dxa"/>
            <w:tcBorders>
              <w:top w:val="single" w:sz="4" w:space="0" w:color="auto"/>
              <w:left w:val="nil"/>
              <w:bottom w:val="single" w:sz="4" w:space="0" w:color="auto"/>
              <w:right w:val="single" w:sz="4" w:space="0" w:color="auto"/>
            </w:tcBorders>
            <w:shd w:val="clear" w:color="auto" w:fill="C5E0B3"/>
            <w:noWrap/>
            <w:vAlign w:val="center"/>
            <w:hideMark/>
          </w:tcPr>
          <w:p w14:paraId="0383291C" w14:textId="77777777" w:rsidR="0097130C" w:rsidRPr="00EF6F97" w:rsidRDefault="0097130C" w:rsidP="00EF6F97">
            <w:pPr>
              <w:spacing w:line="360" w:lineRule="auto"/>
              <w:jc w:val="both"/>
              <w:rPr>
                <w:rFonts w:ascii="Times New Roman" w:hAnsi="Times New Roman" w:cs="Times New Roman"/>
                <w:b/>
                <w:bCs/>
                <w:sz w:val="24"/>
                <w:szCs w:val="24"/>
              </w:rPr>
            </w:pPr>
            <w:r w:rsidRPr="00EF6F97">
              <w:rPr>
                <w:rFonts w:ascii="Times New Roman" w:hAnsi="Times New Roman" w:cs="Times New Roman"/>
                <w:b/>
                <w:bCs/>
                <w:sz w:val="24"/>
                <w:szCs w:val="24"/>
              </w:rPr>
              <w:t>2010</w:t>
            </w:r>
          </w:p>
        </w:tc>
        <w:tc>
          <w:tcPr>
            <w:tcW w:w="709" w:type="dxa"/>
            <w:tcBorders>
              <w:top w:val="single" w:sz="4" w:space="0" w:color="auto"/>
              <w:left w:val="nil"/>
              <w:bottom w:val="single" w:sz="4" w:space="0" w:color="auto"/>
              <w:right w:val="single" w:sz="4" w:space="0" w:color="auto"/>
            </w:tcBorders>
            <w:shd w:val="clear" w:color="auto" w:fill="C5E0B3"/>
            <w:noWrap/>
            <w:vAlign w:val="center"/>
            <w:hideMark/>
          </w:tcPr>
          <w:p w14:paraId="59CCD570" w14:textId="77777777" w:rsidR="0097130C" w:rsidRPr="00EF6F97" w:rsidRDefault="0097130C" w:rsidP="00EF6F97">
            <w:pPr>
              <w:spacing w:line="360" w:lineRule="auto"/>
              <w:jc w:val="both"/>
              <w:rPr>
                <w:rFonts w:ascii="Times New Roman" w:hAnsi="Times New Roman" w:cs="Times New Roman"/>
                <w:b/>
                <w:bCs/>
                <w:sz w:val="24"/>
                <w:szCs w:val="24"/>
              </w:rPr>
            </w:pPr>
            <w:r w:rsidRPr="00EF6F97">
              <w:rPr>
                <w:rFonts w:ascii="Times New Roman" w:hAnsi="Times New Roman" w:cs="Times New Roman"/>
                <w:b/>
                <w:bCs/>
                <w:sz w:val="24"/>
                <w:szCs w:val="24"/>
              </w:rPr>
              <w:t>2011</w:t>
            </w:r>
          </w:p>
        </w:tc>
        <w:tc>
          <w:tcPr>
            <w:tcW w:w="708" w:type="dxa"/>
            <w:tcBorders>
              <w:top w:val="single" w:sz="4" w:space="0" w:color="auto"/>
              <w:left w:val="nil"/>
              <w:bottom w:val="single" w:sz="4" w:space="0" w:color="auto"/>
              <w:right w:val="single" w:sz="4" w:space="0" w:color="auto"/>
            </w:tcBorders>
            <w:shd w:val="clear" w:color="auto" w:fill="C5E0B3"/>
            <w:noWrap/>
            <w:vAlign w:val="center"/>
            <w:hideMark/>
          </w:tcPr>
          <w:p w14:paraId="2225015B" w14:textId="77777777" w:rsidR="0097130C" w:rsidRPr="00EF6F97" w:rsidRDefault="0097130C" w:rsidP="00EF6F97">
            <w:pPr>
              <w:spacing w:line="360" w:lineRule="auto"/>
              <w:jc w:val="both"/>
              <w:rPr>
                <w:rFonts w:ascii="Times New Roman" w:hAnsi="Times New Roman" w:cs="Times New Roman"/>
                <w:b/>
                <w:bCs/>
                <w:sz w:val="24"/>
                <w:szCs w:val="24"/>
              </w:rPr>
            </w:pPr>
            <w:r w:rsidRPr="00EF6F97">
              <w:rPr>
                <w:rFonts w:ascii="Times New Roman" w:hAnsi="Times New Roman" w:cs="Times New Roman"/>
                <w:b/>
                <w:bCs/>
                <w:sz w:val="24"/>
                <w:szCs w:val="24"/>
              </w:rPr>
              <w:t>2012</w:t>
            </w:r>
          </w:p>
        </w:tc>
        <w:tc>
          <w:tcPr>
            <w:tcW w:w="709" w:type="dxa"/>
            <w:tcBorders>
              <w:top w:val="single" w:sz="4" w:space="0" w:color="auto"/>
              <w:left w:val="nil"/>
              <w:bottom w:val="single" w:sz="4" w:space="0" w:color="auto"/>
              <w:right w:val="single" w:sz="4" w:space="0" w:color="auto"/>
            </w:tcBorders>
            <w:shd w:val="clear" w:color="auto" w:fill="C5E0B3"/>
            <w:noWrap/>
            <w:vAlign w:val="center"/>
            <w:hideMark/>
          </w:tcPr>
          <w:p w14:paraId="00B1C778" w14:textId="77777777" w:rsidR="0097130C" w:rsidRPr="00EF6F97" w:rsidRDefault="0097130C" w:rsidP="00EF6F97">
            <w:pPr>
              <w:spacing w:line="360" w:lineRule="auto"/>
              <w:jc w:val="both"/>
              <w:rPr>
                <w:rFonts w:ascii="Times New Roman" w:hAnsi="Times New Roman" w:cs="Times New Roman"/>
                <w:b/>
                <w:bCs/>
                <w:sz w:val="24"/>
                <w:szCs w:val="24"/>
              </w:rPr>
            </w:pPr>
            <w:r w:rsidRPr="00EF6F97">
              <w:rPr>
                <w:rFonts w:ascii="Times New Roman" w:hAnsi="Times New Roman" w:cs="Times New Roman"/>
                <w:b/>
                <w:bCs/>
                <w:sz w:val="24"/>
                <w:szCs w:val="24"/>
              </w:rPr>
              <w:t>2013</w:t>
            </w:r>
          </w:p>
        </w:tc>
        <w:tc>
          <w:tcPr>
            <w:tcW w:w="709" w:type="dxa"/>
            <w:tcBorders>
              <w:top w:val="single" w:sz="4" w:space="0" w:color="auto"/>
              <w:left w:val="nil"/>
              <w:bottom w:val="single" w:sz="4" w:space="0" w:color="auto"/>
              <w:right w:val="single" w:sz="4" w:space="0" w:color="auto"/>
            </w:tcBorders>
            <w:shd w:val="clear" w:color="auto" w:fill="C5E0B3"/>
            <w:noWrap/>
            <w:vAlign w:val="center"/>
            <w:hideMark/>
          </w:tcPr>
          <w:p w14:paraId="3F3DFE0B" w14:textId="77777777" w:rsidR="0097130C" w:rsidRPr="00EF6F97" w:rsidRDefault="0097130C" w:rsidP="00EF6F97">
            <w:pPr>
              <w:spacing w:line="360" w:lineRule="auto"/>
              <w:jc w:val="both"/>
              <w:rPr>
                <w:rFonts w:ascii="Times New Roman" w:hAnsi="Times New Roman" w:cs="Times New Roman"/>
                <w:b/>
                <w:bCs/>
                <w:sz w:val="24"/>
                <w:szCs w:val="24"/>
              </w:rPr>
            </w:pPr>
            <w:r w:rsidRPr="00EF6F97">
              <w:rPr>
                <w:rFonts w:ascii="Times New Roman" w:hAnsi="Times New Roman" w:cs="Times New Roman"/>
                <w:b/>
                <w:bCs/>
                <w:sz w:val="24"/>
                <w:szCs w:val="24"/>
              </w:rPr>
              <w:t>2014</w:t>
            </w:r>
          </w:p>
        </w:tc>
        <w:tc>
          <w:tcPr>
            <w:tcW w:w="709" w:type="dxa"/>
            <w:tcBorders>
              <w:top w:val="single" w:sz="4" w:space="0" w:color="auto"/>
              <w:left w:val="nil"/>
              <w:bottom w:val="single" w:sz="4" w:space="0" w:color="auto"/>
              <w:right w:val="single" w:sz="4" w:space="0" w:color="auto"/>
            </w:tcBorders>
            <w:shd w:val="clear" w:color="auto" w:fill="C5E0B3"/>
            <w:noWrap/>
            <w:vAlign w:val="center"/>
            <w:hideMark/>
          </w:tcPr>
          <w:p w14:paraId="4847AF5C" w14:textId="77777777" w:rsidR="0097130C" w:rsidRPr="00EF6F97" w:rsidRDefault="0097130C" w:rsidP="00EF6F97">
            <w:pPr>
              <w:spacing w:line="360" w:lineRule="auto"/>
              <w:jc w:val="both"/>
              <w:rPr>
                <w:rFonts w:ascii="Times New Roman" w:hAnsi="Times New Roman" w:cs="Times New Roman"/>
                <w:b/>
                <w:bCs/>
                <w:sz w:val="24"/>
                <w:szCs w:val="24"/>
              </w:rPr>
            </w:pPr>
            <w:r w:rsidRPr="00EF6F97">
              <w:rPr>
                <w:rFonts w:ascii="Times New Roman" w:hAnsi="Times New Roman" w:cs="Times New Roman"/>
                <w:b/>
                <w:bCs/>
                <w:sz w:val="24"/>
                <w:szCs w:val="24"/>
              </w:rPr>
              <w:t>2015</w:t>
            </w:r>
          </w:p>
        </w:tc>
        <w:tc>
          <w:tcPr>
            <w:tcW w:w="708" w:type="dxa"/>
            <w:tcBorders>
              <w:top w:val="single" w:sz="4" w:space="0" w:color="auto"/>
              <w:left w:val="nil"/>
              <w:bottom w:val="single" w:sz="4" w:space="0" w:color="auto"/>
              <w:right w:val="single" w:sz="4" w:space="0" w:color="auto"/>
            </w:tcBorders>
            <w:shd w:val="clear" w:color="auto" w:fill="C5E0B3"/>
            <w:noWrap/>
            <w:vAlign w:val="center"/>
            <w:hideMark/>
          </w:tcPr>
          <w:p w14:paraId="011F26AE" w14:textId="77777777" w:rsidR="0097130C" w:rsidRPr="00EF6F97" w:rsidRDefault="0097130C" w:rsidP="00EF6F97">
            <w:pPr>
              <w:spacing w:line="360" w:lineRule="auto"/>
              <w:jc w:val="both"/>
              <w:rPr>
                <w:rFonts w:ascii="Times New Roman" w:hAnsi="Times New Roman" w:cs="Times New Roman"/>
                <w:b/>
                <w:bCs/>
                <w:sz w:val="24"/>
                <w:szCs w:val="24"/>
              </w:rPr>
            </w:pPr>
            <w:r w:rsidRPr="00EF6F97">
              <w:rPr>
                <w:rFonts w:ascii="Times New Roman" w:hAnsi="Times New Roman" w:cs="Times New Roman"/>
                <w:b/>
                <w:bCs/>
                <w:sz w:val="24"/>
                <w:szCs w:val="24"/>
              </w:rPr>
              <w:t>2016</w:t>
            </w:r>
          </w:p>
        </w:tc>
        <w:tc>
          <w:tcPr>
            <w:tcW w:w="709" w:type="dxa"/>
            <w:tcBorders>
              <w:top w:val="single" w:sz="4" w:space="0" w:color="auto"/>
              <w:left w:val="nil"/>
              <w:bottom w:val="single" w:sz="4" w:space="0" w:color="auto"/>
              <w:right w:val="single" w:sz="4" w:space="0" w:color="auto"/>
            </w:tcBorders>
            <w:shd w:val="clear" w:color="auto" w:fill="C5E0B3"/>
            <w:vAlign w:val="center"/>
          </w:tcPr>
          <w:p w14:paraId="231B94EA" w14:textId="77777777" w:rsidR="0097130C" w:rsidRPr="00EF6F97" w:rsidRDefault="0097130C" w:rsidP="00EF6F97">
            <w:pPr>
              <w:spacing w:line="360" w:lineRule="auto"/>
              <w:jc w:val="both"/>
              <w:rPr>
                <w:rFonts w:ascii="Times New Roman" w:hAnsi="Times New Roman" w:cs="Times New Roman"/>
                <w:b/>
                <w:bCs/>
                <w:sz w:val="24"/>
                <w:szCs w:val="24"/>
              </w:rPr>
            </w:pPr>
            <w:r w:rsidRPr="00EF6F97">
              <w:rPr>
                <w:rFonts w:ascii="Times New Roman" w:hAnsi="Times New Roman" w:cs="Times New Roman"/>
                <w:b/>
                <w:bCs/>
                <w:sz w:val="24"/>
                <w:szCs w:val="24"/>
              </w:rPr>
              <w:t>2017</w:t>
            </w:r>
          </w:p>
        </w:tc>
      </w:tr>
      <w:tr w:rsidR="0097130C" w:rsidRPr="00EF6F97" w14:paraId="12D828AD" w14:textId="77777777" w:rsidTr="0097130C">
        <w:trPr>
          <w:trHeight w:val="634"/>
        </w:trPr>
        <w:tc>
          <w:tcPr>
            <w:tcW w:w="1773" w:type="dxa"/>
            <w:tcBorders>
              <w:top w:val="single" w:sz="4" w:space="0" w:color="auto"/>
              <w:left w:val="single" w:sz="4" w:space="0" w:color="auto"/>
              <w:bottom w:val="single" w:sz="4" w:space="0" w:color="auto"/>
              <w:right w:val="single" w:sz="4" w:space="0" w:color="auto"/>
            </w:tcBorders>
            <w:shd w:val="clear" w:color="000000" w:fill="E7E6E6"/>
            <w:vAlign w:val="bottom"/>
            <w:hideMark/>
          </w:tcPr>
          <w:p w14:paraId="6D65843B" w14:textId="77777777" w:rsidR="0097130C" w:rsidRPr="00EF6F97" w:rsidRDefault="0097130C"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OSD wyznaczeni w danym roku</w:t>
            </w:r>
          </w:p>
        </w:tc>
        <w:tc>
          <w:tcPr>
            <w:tcW w:w="709" w:type="dxa"/>
            <w:tcBorders>
              <w:top w:val="nil"/>
              <w:left w:val="nil"/>
              <w:bottom w:val="single" w:sz="4" w:space="0" w:color="auto"/>
              <w:right w:val="single" w:sz="4" w:space="0" w:color="auto"/>
            </w:tcBorders>
            <w:shd w:val="clear" w:color="auto" w:fill="auto"/>
            <w:noWrap/>
            <w:vAlign w:val="center"/>
            <w:hideMark/>
          </w:tcPr>
          <w:p w14:paraId="6A8ECFD4"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14:paraId="03C7F6B9"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4</w:t>
            </w:r>
          </w:p>
        </w:tc>
        <w:tc>
          <w:tcPr>
            <w:tcW w:w="708" w:type="dxa"/>
            <w:tcBorders>
              <w:top w:val="nil"/>
              <w:left w:val="nil"/>
              <w:bottom w:val="single" w:sz="4" w:space="0" w:color="auto"/>
              <w:right w:val="single" w:sz="4" w:space="0" w:color="auto"/>
            </w:tcBorders>
            <w:shd w:val="clear" w:color="auto" w:fill="auto"/>
            <w:noWrap/>
            <w:vAlign w:val="center"/>
            <w:hideMark/>
          </w:tcPr>
          <w:p w14:paraId="2950D09B"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4</w:t>
            </w:r>
          </w:p>
        </w:tc>
        <w:tc>
          <w:tcPr>
            <w:tcW w:w="709" w:type="dxa"/>
            <w:tcBorders>
              <w:top w:val="nil"/>
              <w:left w:val="nil"/>
              <w:bottom w:val="single" w:sz="4" w:space="0" w:color="auto"/>
              <w:right w:val="single" w:sz="4" w:space="0" w:color="auto"/>
            </w:tcBorders>
            <w:shd w:val="clear" w:color="auto" w:fill="auto"/>
            <w:noWrap/>
            <w:vAlign w:val="center"/>
            <w:hideMark/>
          </w:tcPr>
          <w:p w14:paraId="1C5F8308"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14:paraId="173290A4"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9</w:t>
            </w:r>
          </w:p>
        </w:tc>
        <w:tc>
          <w:tcPr>
            <w:tcW w:w="709" w:type="dxa"/>
            <w:tcBorders>
              <w:top w:val="nil"/>
              <w:left w:val="nil"/>
              <w:bottom w:val="single" w:sz="4" w:space="0" w:color="auto"/>
              <w:right w:val="single" w:sz="4" w:space="0" w:color="auto"/>
            </w:tcBorders>
            <w:shd w:val="clear" w:color="auto" w:fill="auto"/>
            <w:noWrap/>
            <w:vAlign w:val="center"/>
            <w:hideMark/>
          </w:tcPr>
          <w:p w14:paraId="09E3A90A"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52</w:t>
            </w:r>
          </w:p>
        </w:tc>
        <w:tc>
          <w:tcPr>
            <w:tcW w:w="708" w:type="dxa"/>
            <w:tcBorders>
              <w:top w:val="nil"/>
              <w:left w:val="nil"/>
              <w:bottom w:val="single" w:sz="4" w:space="0" w:color="auto"/>
              <w:right w:val="single" w:sz="4" w:space="0" w:color="auto"/>
            </w:tcBorders>
            <w:shd w:val="clear" w:color="auto" w:fill="auto"/>
            <w:noWrap/>
            <w:vAlign w:val="center"/>
            <w:hideMark/>
          </w:tcPr>
          <w:p w14:paraId="7DD8A6B7"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59</w:t>
            </w:r>
          </w:p>
        </w:tc>
        <w:tc>
          <w:tcPr>
            <w:tcW w:w="709" w:type="dxa"/>
            <w:tcBorders>
              <w:top w:val="nil"/>
              <w:left w:val="nil"/>
              <w:bottom w:val="single" w:sz="4" w:space="0" w:color="auto"/>
              <w:right w:val="single" w:sz="4" w:space="0" w:color="auto"/>
            </w:tcBorders>
            <w:shd w:val="clear" w:color="auto" w:fill="auto"/>
            <w:noWrap/>
            <w:vAlign w:val="center"/>
            <w:hideMark/>
          </w:tcPr>
          <w:p w14:paraId="7B80C29F"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12</w:t>
            </w:r>
          </w:p>
        </w:tc>
        <w:tc>
          <w:tcPr>
            <w:tcW w:w="709" w:type="dxa"/>
            <w:tcBorders>
              <w:top w:val="nil"/>
              <w:left w:val="nil"/>
              <w:bottom w:val="single" w:sz="4" w:space="0" w:color="auto"/>
              <w:right w:val="single" w:sz="4" w:space="0" w:color="auto"/>
            </w:tcBorders>
            <w:shd w:val="clear" w:color="auto" w:fill="auto"/>
            <w:noWrap/>
            <w:vAlign w:val="center"/>
            <w:hideMark/>
          </w:tcPr>
          <w:p w14:paraId="15B74F9E"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15</w:t>
            </w:r>
          </w:p>
        </w:tc>
        <w:tc>
          <w:tcPr>
            <w:tcW w:w="709" w:type="dxa"/>
            <w:tcBorders>
              <w:top w:val="nil"/>
              <w:left w:val="nil"/>
              <w:bottom w:val="single" w:sz="4" w:space="0" w:color="auto"/>
              <w:right w:val="single" w:sz="4" w:space="0" w:color="auto"/>
            </w:tcBorders>
            <w:shd w:val="clear" w:color="auto" w:fill="auto"/>
            <w:noWrap/>
            <w:vAlign w:val="center"/>
            <w:hideMark/>
          </w:tcPr>
          <w:p w14:paraId="34760BA2"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10</w:t>
            </w:r>
          </w:p>
        </w:tc>
        <w:tc>
          <w:tcPr>
            <w:tcW w:w="708" w:type="dxa"/>
            <w:tcBorders>
              <w:top w:val="nil"/>
              <w:left w:val="nil"/>
              <w:bottom w:val="single" w:sz="4" w:space="0" w:color="auto"/>
              <w:right w:val="single" w:sz="4" w:space="0" w:color="auto"/>
            </w:tcBorders>
            <w:shd w:val="clear" w:color="auto" w:fill="auto"/>
            <w:noWrap/>
            <w:vAlign w:val="center"/>
            <w:hideMark/>
          </w:tcPr>
          <w:p w14:paraId="2FA91846"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9</w:t>
            </w:r>
          </w:p>
        </w:tc>
        <w:tc>
          <w:tcPr>
            <w:tcW w:w="709" w:type="dxa"/>
            <w:tcBorders>
              <w:top w:val="nil"/>
              <w:left w:val="nil"/>
              <w:bottom w:val="single" w:sz="4" w:space="0" w:color="auto"/>
              <w:right w:val="single" w:sz="4" w:space="0" w:color="auto"/>
            </w:tcBorders>
            <w:shd w:val="clear" w:color="auto" w:fill="auto"/>
            <w:vAlign w:val="center"/>
          </w:tcPr>
          <w:p w14:paraId="051507C8"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7</w:t>
            </w:r>
          </w:p>
        </w:tc>
      </w:tr>
      <w:tr w:rsidR="0097130C" w:rsidRPr="00EF6F97" w14:paraId="0B3C9DC5" w14:textId="77777777" w:rsidTr="0097130C">
        <w:trPr>
          <w:trHeight w:val="952"/>
        </w:trPr>
        <w:tc>
          <w:tcPr>
            <w:tcW w:w="1773" w:type="dxa"/>
            <w:tcBorders>
              <w:top w:val="nil"/>
              <w:left w:val="single" w:sz="4" w:space="0" w:color="auto"/>
              <w:bottom w:val="single" w:sz="4" w:space="0" w:color="auto"/>
              <w:right w:val="single" w:sz="4" w:space="0" w:color="auto"/>
            </w:tcBorders>
            <w:shd w:val="clear" w:color="000000" w:fill="E7E6E6"/>
            <w:vAlign w:val="bottom"/>
            <w:hideMark/>
          </w:tcPr>
          <w:p w14:paraId="099D1DFD" w14:textId="77777777" w:rsidR="0097130C" w:rsidRPr="00EF6F97" w:rsidRDefault="0097130C"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Suma OSD w poszczególnych latach</w:t>
            </w:r>
          </w:p>
        </w:tc>
        <w:tc>
          <w:tcPr>
            <w:tcW w:w="709" w:type="dxa"/>
            <w:tcBorders>
              <w:top w:val="nil"/>
              <w:left w:val="nil"/>
              <w:bottom w:val="single" w:sz="4" w:space="0" w:color="auto"/>
              <w:right w:val="single" w:sz="4" w:space="0" w:color="auto"/>
            </w:tcBorders>
            <w:shd w:val="clear" w:color="auto" w:fill="auto"/>
            <w:noWrap/>
            <w:vAlign w:val="center"/>
            <w:hideMark/>
          </w:tcPr>
          <w:p w14:paraId="6B941BAB"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14:paraId="2BF66822"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5</w:t>
            </w:r>
          </w:p>
        </w:tc>
        <w:tc>
          <w:tcPr>
            <w:tcW w:w="708" w:type="dxa"/>
            <w:tcBorders>
              <w:top w:val="nil"/>
              <w:left w:val="nil"/>
              <w:bottom w:val="single" w:sz="4" w:space="0" w:color="auto"/>
              <w:right w:val="single" w:sz="4" w:space="0" w:color="auto"/>
            </w:tcBorders>
            <w:shd w:val="clear" w:color="auto" w:fill="auto"/>
            <w:noWrap/>
            <w:vAlign w:val="center"/>
            <w:hideMark/>
          </w:tcPr>
          <w:p w14:paraId="2705A151"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9</w:t>
            </w:r>
          </w:p>
        </w:tc>
        <w:tc>
          <w:tcPr>
            <w:tcW w:w="709" w:type="dxa"/>
            <w:tcBorders>
              <w:top w:val="nil"/>
              <w:left w:val="nil"/>
              <w:bottom w:val="single" w:sz="4" w:space="0" w:color="auto"/>
              <w:right w:val="single" w:sz="4" w:space="0" w:color="auto"/>
            </w:tcBorders>
            <w:shd w:val="clear" w:color="auto" w:fill="auto"/>
            <w:noWrap/>
            <w:vAlign w:val="center"/>
            <w:hideMark/>
          </w:tcPr>
          <w:p w14:paraId="1E0A6669"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10</w:t>
            </w:r>
          </w:p>
        </w:tc>
        <w:tc>
          <w:tcPr>
            <w:tcW w:w="709" w:type="dxa"/>
            <w:tcBorders>
              <w:top w:val="nil"/>
              <w:left w:val="nil"/>
              <w:bottom w:val="single" w:sz="4" w:space="0" w:color="auto"/>
              <w:right w:val="single" w:sz="4" w:space="0" w:color="auto"/>
            </w:tcBorders>
            <w:shd w:val="clear" w:color="auto" w:fill="auto"/>
            <w:noWrap/>
            <w:vAlign w:val="center"/>
            <w:hideMark/>
          </w:tcPr>
          <w:p w14:paraId="100796A6"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19</w:t>
            </w:r>
          </w:p>
        </w:tc>
        <w:tc>
          <w:tcPr>
            <w:tcW w:w="709" w:type="dxa"/>
            <w:tcBorders>
              <w:top w:val="nil"/>
              <w:left w:val="nil"/>
              <w:bottom w:val="single" w:sz="4" w:space="0" w:color="auto"/>
              <w:right w:val="single" w:sz="4" w:space="0" w:color="auto"/>
            </w:tcBorders>
            <w:shd w:val="clear" w:color="auto" w:fill="auto"/>
            <w:noWrap/>
            <w:vAlign w:val="center"/>
            <w:hideMark/>
          </w:tcPr>
          <w:p w14:paraId="0E2B233E"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71</w:t>
            </w:r>
          </w:p>
        </w:tc>
        <w:tc>
          <w:tcPr>
            <w:tcW w:w="708" w:type="dxa"/>
            <w:tcBorders>
              <w:top w:val="nil"/>
              <w:left w:val="nil"/>
              <w:bottom w:val="single" w:sz="4" w:space="0" w:color="auto"/>
              <w:right w:val="single" w:sz="4" w:space="0" w:color="auto"/>
            </w:tcBorders>
            <w:shd w:val="clear" w:color="auto" w:fill="auto"/>
            <w:noWrap/>
            <w:vAlign w:val="center"/>
            <w:hideMark/>
          </w:tcPr>
          <w:p w14:paraId="27F3B932"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130</w:t>
            </w:r>
          </w:p>
        </w:tc>
        <w:tc>
          <w:tcPr>
            <w:tcW w:w="709" w:type="dxa"/>
            <w:tcBorders>
              <w:top w:val="nil"/>
              <w:left w:val="nil"/>
              <w:bottom w:val="single" w:sz="4" w:space="0" w:color="auto"/>
              <w:right w:val="single" w:sz="4" w:space="0" w:color="auto"/>
            </w:tcBorders>
            <w:shd w:val="clear" w:color="auto" w:fill="auto"/>
            <w:noWrap/>
            <w:vAlign w:val="center"/>
            <w:hideMark/>
          </w:tcPr>
          <w:p w14:paraId="4C148B6E"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142</w:t>
            </w:r>
          </w:p>
        </w:tc>
        <w:tc>
          <w:tcPr>
            <w:tcW w:w="709" w:type="dxa"/>
            <w:tcBorders>
              <w:top w:val="nil"/>
              <w:left w:val="nil"/>
              <w:bottom w:val="single" w:sz="4" w:space="0" w:color="auto"/>
              <w:right w:val="single" w:sz="4" w:space="0" w:color="auto"/>
            </w:tcBorders>
            <w:shd w:val="clear" w:color="auto" w:fill="auto"/>
            <w:noWrap/>
            <w:vAlign w:val="center"/>
            <w:hideMark/>
          </w:tcPr>
          <w:p w14:paraId="4B35D3C0"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157</w:t>
            </w:r>
          </w:p>
        </w:tc>
        <w:tc>
          <w:tcPr>
            <w:tcW w:w="709" w:type="dxa"/>
            <w:tcBorders>
              <w:top w:val="nil"/>
              <w:left w:val="nil"/>
              <w:bottom w:val="single" w:sz="4" w:space="0" w:color="auto"/>
              <w:right w:val="single" w:sz="4" w:space="0" w:color="auto"/>
            </w:tcBorders>
            <w:shd w:val="clear" w:color="auto" w:fill="auto"/>
            <w:noWrap/>
            <w:vAlign w:val="center"/>
            <w:hideMark/>
          </w:tcPr>
          <w:p w14:paraId="6B094FF4"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167</w:t>
            </w:r>
          </w:p>
        </w:tc>
        <w:tc>
          <w:tcPr>
            <w:tcW w:w="708" w:type="dxa"/>
            <w:tcBorders>
              <w:top w:val="nil"/>
              <w:left w:val="nil"/>
              <w:bottom w:val="single" w:sz="4" w:space="0" w:color="auto"/>
              <w:right w:val="single" w:sz="4" w:space="0" w:color="auto"/>
            </w:tcBorders>
            <w:shd w:val="clear" w:color="auto" w:fill="auto"/>
            <w:noWrap/>
            <w:vAlign w:val="center"/>
            <w:hideMark/>
          </w:tcPr>
          <w:p w14:paraId="5F4D305C"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176</w:t>
            </w:r>
          </w:p>
        </w:tc>
        <w:tc>
          <w:tcPr>
            <w:tcW w:w="709" w:type="dxa"/>
            <w:tcBorders>
              <w:top w:val="nil"/>
              <w:left w:val="nil"/>
              <w:bottom w:val="single" w:sz="4" w:space="0" w:color="auto"/>
              <w:right w:val="single" w:sz="4" w:space="0" w:color="auto"/>
            </w:tcBorders>
            <w:shd w:val="clear" w:color="auto" w:fill="auto"/>
            <w:vAlign w:val="center"/>
          </w:tcPr>
          <w:p w14:paraId="2F4528D7"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183</w:t>
            </w:r>
          </w:p>
        </w:tc>
      </w:tr>
      <w:tr w:rsidR="0097130C" w:rsidRPr="00EF6F97" w14:paraId="7425BD96" w14:textId="77777777" w:rsidTr="0097130C">
        <w:trPr>
          <w:trHeight w:val="317"/>
        </w:trPr>
        <w:tc>
          <w:tcPr>
            <w:tcW w:w="1773" w:type="dxa"/>
            <w:tcBorders>
              <w:top w:val="nil"/>
              <w:left w:val="single" w:sz="4" w:space="0" w:color="auto"/>
              <w:bottom w:val="single" w:sz="4" w:space="0" w:color="auto"/>
              <w:right w:val="single" w:sz="4" w:space="0" w:color="auto"/>
            </w:tcBorders>
            <w:shd w:val="clear" w:color="000000" w:fill="E7E6E6"/>
            <w:vAlign w:val="bottom"/>
            <w:hideMark/>
          </w:tcPr>
          <w:p w14:paraId="2F7D43FE" w14:textId="77777777" w:rsidR="0097130C" w:rsidRPr="00EF6F97" w:rsidRDefault="0097130C"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Wzrost</w:t>
            </w:r>
          </w:p>
        </w:tc>
        <w:tc>
          <w:tcPr>
            <w:tcW w:w="709" w:type="dxa"/>
            <w:tcBorders>
              <w:top w:val="nil"/>
              <w:left w:val="nil"/>
              <w:bottom w:val="single" w:sz="4" w:space="0" w:color="auto"/>
              <w:right w:val="single" w:sz="4" w:space="0" w:color="auto"/>
            </w:tcBorders>
            <w:shd w:val="clear" w:color="000000" w:fill="E7E6E6"/>
            <w:noWrap/>
            <w:vAlign w:val="center"/>
            <w:hideMark/>
          </w:tcPr>
          <w:p w14:paraId="73A62E4D"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n/a</w:t>
            </w:r>
          </w:p>
        </w:tc>
        <w:tc>
          <w:tcPr>
            <w:tcW w:w="709" w:type="dxa"/>
            <w:tcBorders>
              <w:top w:val="nil"/>
              <w:left w:val="nil"/>
              <w:bottom w:val="single" w:sz="4" w:space="0" w:color="auto"/>
              <w:right w:val="single" w:sz="4" w:space="0" w:color="auto"/>
            </w:tcBorders>
            <w:shd w:val="clear" w:color="000000" w:fill="E7E6E6"/>
            <w:noWrap/>
            <w:vAlign w:val="center"/>
            <w:hideMark/>
          </w:tcPr>
          <w:p w14:paraId="494B47AB"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400%</w:t>
            </w:r>
          </w:p>
        </w:tc>
        <w:tc>
          <w:tcPr>
            <w:tcW w:w="708" w:type="dxa"/>
            <w:tcBorders>
              <w:top w:val="nil"/>
              <w:left w:val="nil"/>
              <w:bottom w:val="single" w:sz="4" w:space="0" w:color="auto"/>
              <w:right w:val="single" w:sz="4" w:space="0" w:color="auto"/>
            </w:tcBorders>
            <w:shd w:val="clear" w:color="000000" w:fill="E7E6E6"/>
            <w:noWrap/>
            <w:vAlign w:val="center"/>
            <w:hideMark/>
          </w:tcPr>
          <w:p w14:paraId="68094329"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80%</w:t>
            </w:r>
          </w:p>
        </w:tc>
        <w:tc>
          <w:tcPr>
            <w:tcW w:w="709" w:type="dxa"/>
            <w:tcBorders>
              <w:top w:val="nil"/>
              <w:left w:val="nil"/>
              <w:bottom w:val="single" w:sz="4" w:space="0" w:color="auto"/>
              <w:right w:val="single" w:sz="4" w:space="0" w:color="auto"/>
            </w:tcBorders>
            <w:shd w:val="clear" w:color="000000" w:fill="E7E6E6"/>
            <w:noWrap/>
            <w:vAlign w:val="center"/>
            <w:hideMark/>
          </w:tcPr>
          <w:p w14:paraId="46626625"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11%</w:t>
            </w:r>
          </w:p>
        </w:tc>
        <w:tc>
          <w:tcPr>
            <w:tcW w:w="709" w:type="dxa"/>
            <w:tcBorders>
              <w:top w:val="nil"/>
              <w:left w:val="nil"/>
              <w:bottom w:val="single" w:sz="4" w:space="0" w:color="auto"/>
              <w:right w:val="single" w:sz="4" w:space="0" w:color="auto"/>
            </w:tcBorders>
            <w:shd w:val="clear" w:color="000000" w:fill="E7E6E6"/>
            <w:noWrap/>
            <w:vAlign w:val="center"/>
            <w:hideMark/>
          </w:tcPr>
          <w:p w14:paraId="47F562A5"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90%</w:t>
            </w:r>
          </w:p>
        </w:tc>
        <w:tc>
          <w:tcPr>
            <w:tcW w:w="709" w:type="dxa"/>
            <w:tcBorders>
              <w:top w:val="nil"/>
              <w:left w:val="nil"/>
              <w:bottom w:val="single" w:sz="4" w:space="0" w:color="auto"/>
              <w:right w:val="single" w:sz="4" w:space="0" w:color="auto"/>
            </w:tcBorders>
            <w:shd w:val="clear" w:color="000000" w:fill="E7E6E6"/>
            <w:noWrap/>
            <w:vAlign w:val="center"/>
            <w:hideMark/>
          </w:tcPr>
          <w:p w14:paraId="2BD63F8A"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274%</w:t>
            </w:r>
          </w:p>
        </w:tc>
        <w:tc>
          <w:tcPr>
            <w:tcW w:w="708" w:type="dxa"/>
            <w:tcBorders>
              <w:top w:val="nil"/>
              <w:left w:val="nil"/>
              <w:bottom w:val="single" w:sz="4" w:space="0" w:color="auto"/>
              <w:right w:val="single" w:sz="4" w:space="0" w:color="auto"/>
            </w:tcBorders>
            <w:shd w:val="clear" w:color="000000" w:fill="E7E6E6"/>
            <w:noWrap/>
            <w:vAlign w:val="center"/>
            <w:hideMark/>
          </w:tcPr>
          <w:p w14:paraId="555064AD"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83%</w:t>
            </w:r>
          </w:p>
        </w:tc>
        <w:tc>
          <w:tcPr>
            <w:tcW w:w="709" w:type="dxa"/>
            <w:tcBorders>
              <w:top w:val="nil"/>
              <w:left w:val="nil"/>
              <w:bottom w:val="single" w:sz="4" w:space="0" w:color="auto"/>
              <w:right w:val="single" w:sz="4" w:space="0" w:color="auto"/>
            </w:tcBorders>
            <w:shd w:val="clear" w:color="000000" w:fill="E7E6E6"/>
            <w:noWrap/>
            <w:vAlign w:val="center"/>
            <w:hideMark/>
          </w:tcPr>
          <w:p w14:paraId="08332EFF"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9%</w:t>
            </w:r>
          </w:p>
        </w:tc>
        <w:tc>
          <w:tcPr>
            <w:tcW w:w="709" w:type="dxa"/>
            <w:tcBorders>
              <w:top w:val="nil"/>
              <w:left w:val="nil"/>
              <w:bottom w:val="single" w:sz="4" w:space="0" w:color="auto"/>
              <w:right w:val="single" w:sz="4" w:space="0" w:color="auto"/>
            </w:tcBorders>
            <w:shd w:val="clear" w:color="000000" w:fill="E7E6E6"/>
            <w:noWrap/>
            <w:vAlign w:val="center"/>
            <w:hideMark/>
          </w:tcPr>
          <w:p w14:paraId="2E9EA090"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11%</w:t>
            </w:r>
          </w:p>
        </w:tc>
        <w:tc>
          <w:tcPr>
            <w:tcW w:w="709" w:type="dxa"/>
            <w:tcBorders>
              <w:top w:val="nil"/>
              <w:left w:val="nil"/>
              <w:bottom w:val="single" w:sz="4" w:space="0" w:color="auto"/>
              <w:right w:val="single" w:sz="4" w:space="0" w:color="auto"/>
            </w:tcBorders>
            <w:shd w:val="clear" w:color="000000" w:fill="E7E6E6"/>
            <w:noWrap/>
            <w:vAlign w:val="center"/>
            <w:hideMark/>
          </w:tcPr>
          <w:p w14:paraId="1682896F"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6%</w:t>
            </w:r>
          </w:p>
        </w:tc>
        <w:tc>
          <w:tcPr>
            <w:tcW w:w="708" w:type="dxa"/>
            <w:tcBorders>
              <w:top w:val="nil"/>
              <w:left w:val="nil"/>
              <w:bottom w:val="single" w:sz="4" w:space="0" w:color="auto"/>
              <w:right w:val="single" w:sz="4" w:space="0" w:color="auto"/>
            </w:tcBorders>
            <w:shd w:val="clear" w:color="000000" w:fill="E7E6E6"/>
            <w:noWrap/>
            <w:vAlign w:val="center"/>
            <w:hideMark/>
          </w:tcPr>
          <w:p w14:paraId="28DF27FD"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5%</w:t>
            </w:r>
          </w:p>
        </w:tc>
        <w:tc>
          <w:tcPr>
            <w:tcW w:w="709" w:type="dxa"/>
            <w:tcBorders>
              <w:top w:val="nil"/>
              <w:left w:val="nil"/>
              <w:bottom w:val="single" w:sz="4" w:space="0" w:color="auto"/>
              <w:right w:val="single" w:sz="4" w:space="0" w:color="auto"/>
            </w:tcBorders>
            <w:shd w:val="clear" w:color="000000" w:fill="E7E6E6"/>
            <w:vAlign w:val="center"/>
          </w:tcPr>
          <w:p w14:paraId="140DE563" w14:textId="77777777" w:rsidR="0097130C" w:rsidRPr="00EF6F97" w:rsidRDefault="0097130C" w:rsidP="00EF6F97">
            <w:pPr>
              <w:spacing w:line="360" w:lineRule="auto"/>
              <w:jc w:val="center"/>
              <w:rPr>
                <w:rFonts w:ascii="Times New Roman" w:hAnsi="Times New Roman" w:cs="Times New Roman"/>
                <w:sz w:val="24"/>
                <w:szCs w:val="24"/>
              </w:rPr>
            </w:pPr>
            <w:r w:rsidRPr="00EF6F97">
              <w:rPr>
                <w:rFonts w:ascii="Times New Roman" w:hAnsi="Times New Roman" w:cs="Times New Roman"/>
                <w:sz w:val="24"/>
                <w:szCs w:val="24"/>
              </w:rPr>
              <w:t>4%</w:t>
            </w:r>
          </w:p>
        </w:tc>
      </w:tr>
    </w:tbl>
    <w:p w14:paraId="66E70D4A" w14:textId="77777777" w:rsidR="0097130C" w:rsidRPr="00EF6F97" w:rsidRDefault="0097130C" w:rsidP="00EF6F97">
      <w:pPr>
        <w:spacing w:line="360" w:lineRule="auto"/>
        <w:jc w:val="both"/>
        <w:rPr>
          <w:rFonts w:ascii="Times New Roman" w:hAnsi="Times New Roman" w:cs="Times New Roman"/>
          <w:sz w:val="24"/>
          <w:szCs w:val="24"/>
        </w:rPr>
      </w:pPr>
    </w:p>
    <w:p w14:paraId="48F5BC01" w14:textId="1B41DC99" w:rsidR="0097130C" w:rsidRPr="00EF6F97" w:rsidDel="008B2C8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 xml:space="preserve">Wskazany wzrost nie jest uzasadniony dynamiczną rozbudową systemu dystrybucyjnego. Znaczną część spółek wyznaczonych na operatorów sieci dystrybucyjnej stanowią przedsiębiorstwa, których funkcjonowanie niejako wymusza uzyskanie takiego statusu </w:t>
      </w:r>
      <w:r w:rsidR="005426F8">
        <w:rPr>
          <w:rFonts w:ascii="Times New Roman" w:hAnsi="Times New Roman" w:cs="Times New Roman"/>
          <w:sz w:val="24"/>
          <w:szCs w:val="24"/>
        </w:rPr>
        <w:t>–</w:t>
      </w:r>
      <w:r w:rsidR="0097130C" w:rsidRPr="00EF6F97">
        <w:rPr>
          <w:rFonts w:ascii="Times New Roman" w:hAnsi="Times New Roman" w:cs="Times New Roman"/>
          <w:sz w:val="24"/>
          <w:szCs w:val="24"/>
        </w:rPr>
        <w:t xml:space="preserve"> chodzi tu przede wszystkim o wspomniane duże zakłady produkcyjne, sp</w:t>
      </w:r>
      <w:r w:rsidR="00CB5761" w:rsidRPr="00EF6F97">
        <w:rPr>
          <w:rFonts w:ascii="Times New Roman" w:hAnsi="Times New Roman" w:cs="Times New Roman"/>
          <w:sz w:val="24"/>
          <w:szCs w:val="24"/>
        </w:rPr>
        <w:t>ecjalne strefy ekonomiczne, centra</w:t>
      </w:r>
      <w:r w:rsidR="001D0628">
        <w:rPr>
          <w:rFonts w:ascii="Times New Roman" w:hAnsi="Times New Roman" w:cs="Times New Roman"/>
          <w:sz w:val="24"/>
          <w:szCs w:val="24"/>
        </w:rPr>
        <w:t xml:space="preserve"> i </w:t>
      </w:r>
      <w:r w:rsidR="00CB5761" w:rsidRPr="00EF6F97">
        <w:rPr>
          <w:rFonts w:ascii="Times New Roman" w:hAnsi="Times New Roman" w:cs="Times New Roman"/>
          <w:sz w:val="24"/>
          <w:szCs w:val="24"/>
        </w:rPr>
        <w:t>kompleksy handlowe ora</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biurowe.</w:t>
      </w:r>
    </w:p>
    <w:p w14:paraId="163A5054" w14:textId="25DA561E"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F71EAD" w:rsidRPr="00EF6F97">
        <w:rPr>
          <w:rFonts w:ascii="Times New Roman" w:hAnsi="Times New Roman" w:cs="Times New Roman"/>
          <w:sz w:val="24"/>
          <w:szCs w:val="24"/>
        </w:rPr>
        <w:t xml:space="preserve">Ustawa </w:t>
      </w:r>
      <w:r w:rsidR="00101607">
        <w:rPr>
          <w:rFonts w:ascii="Times New Roman" w:hAnsi="Times New Roman" w:cs="Times New Roman"/>
          <w:sz w:val="24"/>
          <w:szCs w:val="24"/>
        </w:rPr>
        <w:t>–</w:t>
      </w:r>
      <w:r w:rsidR="00101607" w:rsidRPr="00EF6F97">
        <w:rPr>
          <w:rFonts w:ascii="Times New Roman" w:hAnsi="Times New Roman" w:cs="Times New Roman"/>
          <w:sz w:val="24"/>
          <w:szCs w:val="24"/>
        </w:rPr>
        <w:t xml:space="preserve"> </w:t>
      </w:r>
      <w:r w:rsidR="00F71EAD" w:rsidRPr="00EF6F97">
        <w:rPr>
          <w:rFonts w:ascii="Times New Roman" w:hAnsi="Times New Roman" w:cs="Times New Roman"/>
          <w:sz w:val="24"/>
          <w:szCs w:val="24"/>
        </w:rPr>
        <w:t>P</w:t>
      </w:r>
      <w:r w:rsidR="0097130C" w:rsidRPr="00EF6F97">
        <w:rPr>
          <w:rFonts w:ascii="Times New Roman" w:hAnsi="Times New Roman" w:cs="Times New Roman"/>
          <w:sz w:val="24"/>
          <w:szCs w:val="24"/>
        </w:rPr>
        <w:t>rawo energetyczne nakłada na operatorów systemów dystrybucyjnych szereg obowiązków, których spełnianie zapewnia ochronę użytkowników sieci dystrybucyjnej, zachowanie jej w należytym stanie technicznym ora</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jej rozbudowę. Celowość nałożenia tych samych obowiązków na przedsiębiorstwa funkcjonujące w sektorze energetyki zawodowej, przedsiębiorstwa produkcyjne posiadające ograniczone systemy dystrybucyjne ora</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galerie handlowe</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 xml:space="preserve">centra biurowe jest co najmniej wątpliwa – w </w:t>
      </w:r>
      <w:r w:rsidR="0097130C" w:rsidRPr="00EF6F97">
        <w:rPr>
          <w:rFonts w:ascii="Times New Roman" w:hAnsi="Times New Roman" w:cs="Times New Roman"/>
          <w:sz w:val="24"/>
          <w:szCs w:val="24"/>
        </w:rPr>
        <w:lastRenderedPageBreak/>
        <w:t xml:space="preserve">większości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nich brak jest odbiorców będących gospodarstwami domowymi. Dodatkowo przedsiębiorstwa posiadające ograniczone systemy dystrybucji nie są, co do zasady, zainteresowane rozbudową własnej sieci</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 xml:space="preserve">przyłączaniem nowych odbiorców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uwagi na fakt, że głównym profilem ich działalności nie jest dystrybucja energii, zaś sama sieć dystrybucyjna pozostająca do ich dyspozycji jest ograniczona do terenu obiektu/obszaru. Ponadto takie przedsiębiorstwa przeznaczają znaczne zasoby finansowe, ludzkie ora</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 xml:space="preserve">organizacyjne w celu spełnienia wymagań administracyjnych wynikających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 xml:space="preserve">ustawy </w:t>
      </w:r>
      <w:r w:rsidR="005426F8">
        <w:rPr>
          <w:rFonts w:ascii="Times New Roman" w:hAnsi="Times New Roman" w:cs="Times New Roman"/>
          <w:sz w:val="24"/>
          <w:szCs w:val="24"/>
        </w:rPr>
        <w:t>–</w:t>
      </w:r>
      <w:r w:rsidR="0097130C" w:rsidRPr="00EF6F97">
        <w:rPr>
          <w:rFonts w:ascii="Times New Roman" w:hAnsi="Times New Roman" w:cs="Times New Roman"/>
          <w:sz w:val="24"/>
          <w:szCs w:val="24"/>
        </w:rPr>
        <w:t xml:space="preserve"> Prawo energetyczne. Koszty ponoszone prze</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tego rodzaju OSD są nieporównywalne w skali odniesienia tych samych nakładów prze</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spółki dystrybucyjne, których działalność nastawiona jest wyłącznie na dystrybucję</w:t>
      </w:r>
      <w:r w:rsidR="005426F8">
        <w:rPr>
          <w:rFonts w:ascii="Times New Roman" w:hAnsi="Times New Roman" w:cs="Times New Roman"/>
          <w:sz w:val="24"/>
          <w:szCs w:val="24"/>
        </w:rPr>
        <w:t>,</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 xml:space="preserve">nieproporcjonalne do profilu prowadzonej działalności regulowanej. </w:t>
      </w:r>
    </w:p>
    <w:p w14:paraId="56285173" w14:textId="77777777"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Brak definicji pojęcia zamkniętego systemu dystrybucyjnego został wskazany w opracowanej prze</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 xml:space="preserve">Konfederację Lewiatan „Czarnej Liście Barier dla rozwoju przedsiębiorczości”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zakresu ochrony środowiska</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 xml:space="preserve">energetyki.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inicjatywami legislacyjnymi w zakresie zamkniętych systemów dystrybucyjnych wystąpiło szereg Wojewódzkich Rad Dialogu Społecznego.</w:t>
      </w:r>
    </w:p>
    <w:p w14:paraId="63C985B0" w14:textId="442679F7"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 xml:space="preserve">Innym ważnym argumentem przemawiającym za przyjęciem nowelizacji w proponowanym zakresie jest odciążenie organu regulacyjnego </w:t>
      </w:r>
      <w:r w:rsidR="005426F8">
        <w:rPr>
          <w:rFonts w:ascii="Times New Roman" w:hAnsi="Times New Roman" w:cs="Times New Roman"/>
          <w:sz w:val="24"/>
          <w:szCs w:val="24"/>
        </w:rPr>
        <w:t>–</w:t>
      </w:r>
      <w:r w:rsidR="0097130C" w:rsidRPr="00EF6F97">
        <w:rPr>
          <w:rFonts w:ascii="Times New Roman" w:hAnsi="Times New Roman" w:cs="Times New Roman"/>
          <w:sz w:val="24"/>
          <w:szCs w:val="24"/>
        </w:rPr>
        <w:t xml:space="preserve"> Prezesa Urzędu Regulacji Energetyki. Biorąc pod uwagę zakres kompetencji Prezesa URE</w:t>
      </w:r>
      <w:r w:rsidR="001D0628">
        <w:rPr>
          <w:rFonts w:ascii="Times New Roman" w:hAnsi="Times New Roman" w:cs="Times New Roman"/>
          <w:sz w:val="24"/>
          <w:szCs w:val="24"/>
        </w:rPr>
        <w:t xml:space="preserve"> i</w:t>
      </w:r>
      <w:r w:rsidR="00340266">
        <w:rPr>
          <w:rFonts w:ascii="Times New Roman" w:hAnsi="Times New Roman" w:cs="Times New Roman"/>
          <w:sz w:val="24"/>
          <w:szCs w:val="24"/>
        </w:rPr>
        <w:t xml:space="preserve"> </w:t>
      </w:r>
      <w:r w:rsidR="0097130C" w:rsidRPr="00EF6F97">
        <w:rPr>
          <w:rFonts w:ascii="Times New Roman" w:hAnsi="Times New Roman" w:cs="Times New Roman"/>
          <w:sz w:val="24"/>
          <w:szCs w:val="24"/>
        </w:rPr>
        <w:t>cora</w:t>
      </w:r>
      <w:r w:rsidR="001D0628">
        <w:rPr>
          <w:rFonts w:ascii="Times New Roman" w:hAnsi="Times New Roman" w:cs="Times New Roman"/>
          <w:sz w:val="24"/>
          <w:szCs w:val="24"/>
        </w:rPr>
        <w:t>z</w:t>
      </w:r>
      <w:r w:rsidR="00340266">
        <w:rPr>
          <w:rFonts w:ascii="Times New Roman" w:hAnsi="Times New Roman" w:cs="Times New Roman"/>
          <w:sz w:val="24"/>
          <w:szCs w:val="24"/>
        </w:rPr>
        <w:t xml:space="preserve"> </w:t>
      </w:r>
      <w:r w:rsidR="0097130C" w:rsidRPr="00EF6F97">
        <w:rPr>
          <w:rFonts w:ascii="Times New Roman" w:hAnsi="Times New Roman" w:cs="Times New Roman"/>
          <w:sz w:val="24"/>
          <w:szCs w:val="24"/>
        </w:rPr>
        <w:t>większą liczbę spraw administracyjnych załatwianych prze</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URE, nieproporcjonalną do przyznawanego budżetu</w:t>
      </w:r>
      <w:r w:rsidR="0097130C" w:rsidRPr="00EF6F97">
        <w:rPr>
          <w:rStyle w:val="Odwoanieprzypisudolnego"/>
          <w:rFonts w:ascii="Times New Roman" w:hAnsi="Times New Roman" w:cs="Times New Roman"/>
          <w:sz w:val="24"/>
          <w:szCs w:val="24"/>
        </w:rPr>
        <w:footnoteReference w:id="2"/>
      </w:r>
      <w:r w:rsidR="0097130C" w:rsidRPr="00EF6F97">
        <w:rPr>
          <w:rFonts w:ascii="Times New Roman" w:hAnsi="Times New Roman" w:cs="Times New Roman"/>
          <w:sz w:val="24"/>
          <w:szCs w:val="24"/>
        </w:rPr>
        <w:t xml:space="preserve"> należy wskazać, że ograniczenie niektórych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obowiązków a</w:t>
      </w:r>
      <w:r w:rsidR="004614CC" w:rsidRPr="00EF6F97">
        <w:rPr>
          <w:rFonts w:ascii="Times New Roman" w:hAnsi="Times New Roman" w:cs="Times New Roman"/>
          <w:sz w:val="24"/>
          <w:szCs w:val="24"/>
        </w:rPr>
        <w:t xml:space="preserve">dministracyjnych nałożonych na operatora </w:t>
      </w:r>
      <w:r w:rsidR="0097130C" w:rsidRPr="00EF6F97">
        <w:rPr>
          <w:rFonts w:ascii="Times New Roman" w:hAnsi="Times New Roman" w:cs="Times New Roman"/>
          <w:sz w:val="24"/>
          <w:szCs w:val="24"/>
        </w:rPr>
        <w:t>SD</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 xml:space="preserve">wpłynie pozytywnie na nakład pracy URE, nie uchybiając tym samym skuteczności w nadzorze rynku energii. </w:t>
      </w:r>
    </w:p>
    <w:p w14:paraId="451A93C5" w14:textId="13CE9A42"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0F4042" w:rsidRPr="00EF6F97">
        <w:rPr>
          <w:rFonts w:ascii="Times New Roman" w:hAnsi="Times New Roman" w:cs="Times New Roman"/>
          <w:sz w:val="24"/>
          <w:szCs w:val="24"/>
        </w:rPr>
        <w:t>Wprowadzenie instytucji ZSD</w:t>
      </w:r>
      <w:r w:rsidR="0097130C" w:rsidRPr="00EF6F97">
        <w:rPr>
          <w:rFonts w:ascii="Times New Roman" w:hAnsi="Times New Roman" w:cs="Times New Roman"/>
          <w:sz w:val="24"/>
          <w:szCs w:val="24"/>
        </w:rPr>
        <w:t xml:space="preserve"> do polskiego porządku prawnego wpłynie pozytywnie również na status odbiorców końcowych. W obecnym momencie duża część systemów, które mogłyby zostać uznane za dystrybucyjne, nie uzyskuje takiego statusu,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obawy przed wysokim stopniem obciążeń administracyjnych ciążących na operatorach. Prowadzi to do sytuacji, w których odbiorcom energii elektrycznej dużo łatwiej jest udostępniać media swoim pododbiorcom na zasadzie refaktury</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 xml:space="preserve">obciążać ich kosztami dostarczania mediów. W związku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 xml:space="preserve">powyższym w chwili obecnej pododbiorcy </w:t>
      </w:r>
      <w:r w:rsidR="00340266">
        <w:rPr>
          <w:rFonts w:ascii="Times New Roman" w:hAnsi="Times New Roman" w:cs="Times New Roman"/>
          <w:sz w:val="24"/>
          <w:szCs w:val="24"/>
        </w:rPr>
        <w:t>–</w:t>
      </w:r>
      <w:r w:rsidR="0097130C" w:rsidRPr="00EF6F97">
        <w:rPr>
          <w:rFonts w:ascii="Times New Roman" w:hAnsi="Times New Roman" w:cs="Times New Roman"/>
          <w:sz w:val="24"/>
          <w:szCs w:val="24"/>
        </w:rPr>
        <w:t xml:space="preserve"> głównie mali</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średni przedsiębiorcy, pozbawieni są swoich podstawowych praw, np. prawa do zmiany sprzedawcy. Ponadto pododbiorcy ponoszą obecnie znacznie wyższe koszty niż te, które ponosiliby w przyp</w:t>
      </w:r>
      <w:r w:rsidR="000F4042" w:rsidRPr="00EF6F97">
        <w:rPr>
          <w:rFonts w:ascii="Times New Roman" w:hAnsi="Times New Roman" w:cs="Times New Roman"/>
          <w:sz w:val="24"/>
          <w:szCs w:val="24"/>
        </w:rPr>
        <w:t>adku wprowadzenia instytucji ZSD. Dodatkowo funkcjonowanie ZSD</w:t>
      </w:r>
      <w:r w:rsidR="0097130C" w:rsidRPr="00EF6F97">
        <w:rPr>
          <w:rFonts w:ascii="Times New Roman" w:hAnsi="Times New Roman" w:cs="Times New Roman"/>
          <w:sz w:val="24"/>
          <w:szCs w:val="24"/>
        </w:rPr>
        <w:t xml:space="preserve"> wpłynie pozytywnie na </w:t>
      </w:r>
      <w:r w:rsidR="0097130C" w:rsidRPr="00EF6F97">
        <w:rPr>
          <w:rFonts w:ascii="Times New Roman" w:hAnsi="Times New Roman" w:cs="Times New Roman"/>
          <w:sz w:val="24"/>
          <w:szCs w:val="24"/>
        </w:rPr>
        <w:lastRenderedPageBreak/>
        <w:t xml:space="preserve">propagowanie konkurencji na rynku energii elektrycznej,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 xml:space="preserve">uwagi na fakt, </w:t>
      </w:r>
      <w:r w:rsidR="00564D77">
        <w:rPr>
          <w:rFonts w:ascii="Times New Roman" w:hAnsi="Times New Roman" w:cs="Times New Roman"/>
          <w:sz w:val="24"/>
          <w:szCs w:val="24"/>
        </w:rPr>
        <w:t>ż</w:t>
      </w:r>
      <w:r w:rsidR="0097130C" w:rsidRPr="00EF6F97">
        <w:rPr>
          <w:rFonts w:ascii="Times New Roman" w:hAnsi="Times New Roman" w:cs="Times New Roman"/>
          <w:sz w:val="24"/>
          <w:szCs w:val="24"/>
        </w:rPr>
        <w:t xml:space="preserve">e pododobiorcy będą mogli w pełni korzystać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 xml:space="preserve">prawa do zmiany sprzedawcy. </w:t>
      </w:r>
    </w:p>
    <w:p w14:paraId="27A3B673" w14:textId="47585C4E"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 xml:space="preserve">Przygotowany projekt nowelizacji ustawy </w:t>
      </w:r>
      <w:r w:rsidR="00340266">
        <w:rPr>
          <w:rFonts w:ascii="Times New Roman" w:hAnsi="Times New Roman" w:cs="Times New Roman"/>
          <w:sz w:val="24"/>
          <w:szCs w:val="24"/>
        </w:rPr>
        <w:t>–</w:t>
      </w:r>
      <w:r w:rsidR="0097130C" w:rsidRPr="00EF6F97">
        <w:rPr>
          <w:rFonts w:ascii="Times New Roman" w:hAnsi="Times New Roman" w:cs="Times New Roman"/>
          <w:sz w:val="24"/>
          <w:szCs w:val="24"/>
        </w:rPr>
        <w:t xml:space="preserve"> Prawo energetyczne </w:t>
      </w:r>
      <w:r w:rsidR="000F4042" w:rsidRPr="00EF6F97">
        <w:rPr>
          <w:rFonts w:ascii="Times New Roman" w:hAnsi="Times New Roman" w:cs="Times New Roman"/>
          <w:sz w:val="24"/>
          <w:szCs w:val="24"/>
        </w:rPr>
        <w:t>określa</w:t>
      </w:r>
      <w:r w:rsidR="00340266">
        <w:rPr>
          <w:rFonts w:ascii="Times New Roman" w:hAnsi="Times New Roman" w:cs="Times New Roman"/>
          <w:sz w:val="24"/>
          <w:szCs w:val="24"/>
        </w:rPr>
        <w:t>,</w:t>
      </w:r>
      <w:r w:rsidR="000F4042" w:rsidRPr="00EF6F97">
        <w:rPr>
          <w:rFonts w:ascii="Times New Roman" w:hAnsi="Times New Roman" w:cs="Times New Roman"/>
          <w:sz w:val="24"/>
          <w:szCs w:val="24"/>
        </w:rPr>
        <w:t xml:space="preserve"> czym jest ZSD</w:t>
      </w:r>
      <w:r w:rsidR="00340266">
        <w:rPr>
          <w:rFonts w:ascii="Times New Roman" w:hAnsi="Times New Roman" w:cs="Times New Roman"/>
          <w:sz w:val="24"/>
          <w:szCs w:val="24"/>
        </w:rPr>
        <w:t>,</w:t>
      </w:r>
      <w:r w:rsidR="0097130C" w:rsidRPr="00EF6F97">
        <w:rPr>
          <w:rFonts w:ascii="Times New Roman" w:hAnsi="Times New Roman" w:cs="Times New Roman"/>
          <w:sz w:val="24"/>
          <w:szCs w:val="24"/>
        </w:rPr>
        <w:t xml:space="preserve"> ora</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reguluje jego status prawny. Wniosek o uznani</w:t>
      </w:r>
      <w:r w:rsidR="000F4042" w:rsidRPr="00EF6F97">
        <w:rPr>
          <w:rFonts w:ascii="Times New Roman" w:hAnsi="Times New Roman" w:cs="Times New Roman"/>
          <w:sz w:val="24"/>
          <w:szCs w:val="24"/>
        </w:rPr>
        <w:t>e systemu dystrybucyjnego za ZSD</w:t>
      </w:r>
      <w:r w:rsidR="0097130C" w:rsidRPr="00EF6F97">
        <w:rPr>
          <w:rFonts w:ascii="Times New Roman" w:hAnsi="Times New Roman" w:cs="Times New Roman"/>
          <w:sz w:val="24"/>
          <w:szCs w:val="24"/>
        </w:rPr>
        <w:t xml:space="preserve"> ma dotyczyć systemu dystrybucyjnego zlokalizowanego na ograniczonym obszarze geograficznym, w tym w szczególności na obszarze zakładu przemysłowego ora</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w jego najbliższym otoczeniu, na obszarze obiektu handlowego lub miejsca świadczenia usług wspólnych. Chodzi tu o przypadki, o których mowa w pierwszej części uzasadnienia, w których funkcjonowanie systemu dystrybucyjnego oparte jest o specyfikę danego zespołu obiektów. Dodatkowym obostrzeniem jest wykluczenie możliwości funkcjonowania odbiorców k</w:t>
      </w:r>
      <w:r w:rsidR="000F111F" w:rsidRPr="00EF6F97">
        <w:rPr>
          <w:rFonts w:ascii="Times New Roman" w:hAnsi="Times New Roman" w:cs="Times New Roman"/>
          <w:sz w:val="24"/>
          <w:szCs w:val="24"/>
        </w:rPr>
        <w:t xml:space="preserve">omunalnych niepowiązanych </w:t>
      </w:r>
      <w:r w:rsidR="001D0628">
        <w:rPr>
          <w:rFonts w:ascii="Times New Roman" w:hAnsi="Times New Roman" w:cs="Times New Roman"/>
          <w:sz w:val="24"/>
          <w:szCs w:val="24"/>
        </w:rPr>
        <w:t>z </w:t>
      </w:r>
      <w:r w:rsidR="000F111F" w:rsidRPr="00EF6F97">
        <w:rPr>
          <w:rFonts w:ascii="Times New Roman" w:hAnsi="Times New Roman" w:cs="Times New Roman"/>
          <w:sz w:val="24"/>
          <w:szCs w:val="24"/>
        </w:rPr>
        <w:t xml:space="preserve">operatorem </w:t>
      </w:r>
      <w:r w:rsidR="000F4042" w:rsidRPr="00EF6F97">
        <w:rPr>
          <w:rFonts w:ascii="Times New Roman" w:hAnsi="Times New Roman" w:cs="Times New Roman"/>
          <w:sz w:val="24"/>
          <w:szCs w:val="24"/>
        </w:rPr>
        <w:t>ZSD</w:t>
      </w:r>
      <w:r w:rsidR="0097130C" w:rsidRPr="00EF6F97">
        <w:rPr>
          <w:rFonts w:ascii="Times New Roman" w:hAnsi="Times New Roman" w:cs="Times New Roman"/>
          <w:sz w:val="24"/>
          <w:szCs w:val="24"/>
        </w:rPr>
        <w:t xml:space="preserve">. </w:t>
      </w:r>
    </w:p>
    <w:p w14:paraId="4E9B1100" w14:textId="77777777"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 xml:space="preserve">Zgodnie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projektem ustawy za zamknięty system dystrybucyjny Prezes URE może uznać w szczególności zakłady przemysłowe, centra handlowe</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centra usług wspólnych, jeżeli spełniają przesłanki wskazane w ww. artykule. Proponowany przepis wyklucza natomiast możliwość przyznania statusu systemu zamkniętego spółdzielniom mieszkaniowym</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deweloperom. Jednocześnie nie jest wykluczone przyznanie go podmiotom posiadającym osiedla przyzakładowe, w których zamieszkują pracownicy</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emerytowani pracownicy danego podmiotu.</w:t>
      </w:r>
    </w:p>
    <w:p w14:paraId="2DE801D2" w14:textId="23D9F1FB"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 xml:space="preserve">Należy podkreślić, że uzyskanie statusu </w:t>
      </w:r>
      <w:r w:rsidR="000F4042" w:rsidRPr="00EF6F97">
        <w:rPr>
          <w:rFonts w:ascii="Times New Roman" w:hAnsi="Times New Roman" w:cs="Times New Roman"/>
          <w:sz w:val="24"/>
          <w:szCs w:val="24"/>
        </w:rPr>
        <w:t>ZSD</w:t>
      </w:r>
      <w:r w:rsidR="0097130C" w:rsidRPr="00EF6F97">
        <w:rPr>
          <w:rFonts w:ascii="Times New Roman" w:hAnsi="Times New Roman" w:cs="Times New Roman"/>
          <w:sz w:val="24"/>
          <w:szCs w:val="24"/>
        </w:rPr>
        <w:t xml:space="preserve"> może nastąpić tylko na wniosek operatora systemu dystrybucyjnego. Taki wniosek należy złożyć do Prezes URE, który stwierdza w drodze decyzji administracyjnej, że dany system dystrybucyjny jest zamkniętym systemem dystrybucyjnym</w:t>
      </w:r>
      <w:r w:rsidR="00340266">
        <w:rPr>
          <w:rFonts w:ascii="Times New Roman" w:hAnsi="Times New Roman" w:cs="Times New Roman"/>
          <w:sz w:val="24"/>
          <w:szCs w:val="24"/>
        </w:rPr>
        <w:t>,</w:t>
      </w:r>
      <w:r w:rsidR="0097130C" w:rsidRPr="00EF6F97">
        <w:rPr>
          <w:rFonts w:ascii="Times New Roman" w:hAnsi="Times New Roman" w:cs="Times New Roman"/>
          <w:sz w:val="24"/>
          <w:szCs w:val="24"/>
        </w:rPr>
        <w:t xml:space="preserve"> w przypadku gdy spełnione są łącznie przesłanki wskazane </w:t>
      </w:r>
      <w:r w:rsidR="00340266">
        <w:rPr>
          <w:rFonts w:ascii="Times New Roman" w:hAnsi="Times New Roman" w:cs="Times New Roman"/>
          <w:sz w:val="24"/>
          <w:szCs w:val="24"/>
        </w:rPr>
        <w:t>w </w:t>
      </w:r>
      <w:r w:rsidR="0097130C" w:rsidRPr="00EF6F97">
        <w:rPr>
          <w:rFonts w:ascii="Times New Roman" w:hAnsi="Times New Roman" w:cs="Times New Roman"/>
          <w:sz w:val="24"/>
          <w:szCs w:val="24"/>
        </w:rPr>
        <w:t>projektowanych przepisach. Tak skonstruowany przepis zawęża krąg podmiotów, mogących ubiegać się o wydanie decyzji w sprawie uznani</w:t>
      </w:r>
      <w:r w:rsidR="000F4042" w:rsidRPr="00EF6F97">
        <w:rPr>
          <w:rFonts w:ascii="Times New Roman" w:hAnsi="Times New Roman" w:cs="Times New Roman"/>
          <w:sz w:val="24"/>
          <w:szCs w:val="24"/>
        </w:rPr>
        <w:t>a systemu dystrybucyjnego za ZSD</w:t>
      </w:r>
      <w:r w:rsidR="0097130C" w:rsidRPr="00EF6F97">
        <w:rPr>
          <w:rFonts w:ascii="Times New Roman" w:hAnsi="Times New Roman" w:cs="Times New Roman"/>
          <w:sz w:val="24"/>
          <w:szCs w:val="24"/>
        </w:rPr>
        <w:t>, jedynie do podmiotu, który wcześniej uzyskał status operatora systemu dystrybucyjnego</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posiada koncesje na dystrybucję energii elektrycznej</w:t>
      </w:r>
      <w:r w:rsidR="00D7302F" w:rsidRPr="00EF6F97">
        <w:rPr>
          <w:rFonts w:ascii="Times New Roman" w:hAnsi="Times New Roman" w:cs="Times New Roman"/>
          <w:sz w:val="24"/>
          <w:szCs w:val="24"/>
        </w:rPr>
        <w:t xml:space="preserve"> lub paliw gazowych</w:t>
      </w:r>
      <w:r w:rsidR="0097130C" w:rsidRPr="00EF6F97">
        <w:rPr>
          <w:rFonts w:ascii="Times New Roman" w:hAnsi="Times New Roman" w:cs="Times New Roman"/>
          <w:sz w:val="24"/>
          <w:szCs w:val="24"/>
        </w:rPr>
        <w:t xml:space="preserve">. </w:t>
      </w:r>
    </w:p>
    <w:p w14:paraId="389AA071" w14:textId="77777777"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 xml:space="preserve">Oznacza to, że podmiot, który chce uzyskać status operatora </w:t>
      </w:r>
      <w:r w:rsidR="000F4042" w:rsidRPr="00EF6F97">
        <w:rPr>
          <w:rFonts w:ascii="Times New Roman" w:hAnsi="Times New Roman" w:cs="Times New Roman"/>
          <w:sz w:val="24"/>
          <w:szCs w:val="24"/>
        </w:rPr>
        <w:t>ZSD</w:t>
      </w:r>
      <w:r w:rsidR="0097130C" w:rsidRPr="00EF6F97">
        <w:rPr>
          <w:rFonts w:ascii="Times New Roman" w:hAnsi="Times New Roman" w:cs="Times New Roman"/>
          <w:sz w:val="24"/>
          <w:szCs w:val="24"/>
        </w:rPr>
        <w:t>, przed złożeniem wniosku o wydanie przedmiotowej decyzji jest zobowiązany (i) uzyskać koncesję na dystrybucję energii elektrycznej (ii) złożyć wniosek o przyznanie statusu OSD ora</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(iii) przedłożyć Prezesowi URE pierwszą taryfę do zatwierdzenia. Dopiero po uzyskaniu statusu OSD</w:t>
      </w:r>
      <w:r w:rsidR="001D0628">
        <w:rPr>
          <w:rFonts w:ascii="Times New Roman" w:hAnsi="Times New Roman" w:cs="Times New Roman"/>
          <w:sz w:val="24"/>
          <w:szCs w:val="24"/>
        </w:rPr>
        <w:t xml:space="preserve"> i </w:t>
      </w:r>
      <w:r w:rsidR="0097130C" w:rsidRPr="00EF6F97">
        <w:rPr>
          <w:rFonts w:ascii="Times New Roman" w:hAnsi="Times New Roman" w:cs="Times New Roman"/>
          <w:sz w:val="24"/>
          <w:szCs w:val="24"/>
        </w:rPr>
        <w:t>zatwierdzeniu pierwszej taryfy zainteresowany podmiot będzie mógł złożyć wniosek w trybie nowych przepisów.</w:t>
      </w:r>
    </w:p>
    <w:p w14:paraId="1F09F003" w14:textId="77777777"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 xml:space="preserve">Należy również podkreślić, że operator </w:t>
      </w:r>
      <w:r w:rsidR="000F4042" w:rsidRPr="00EF6F97">
        <w:rPr>
          <w:rFonts w:ascii="Times New Roman" w:hAnsi="Times New Roman" w:cs="Times New Roman"/>
          <w:sz w:val="24"/>
          <w:szCs w:val="24"/>
        </w:rPr>
        <w:t>ZSD</w:t>
      </w:r>
      <w:r w:rsidR="0097130C" w:rsidRPr="00EF6F97">
        <w:rPr>
          <w:rFonts w:ascii="Times New Roman" w:hAnsi="Times New Roman" w:cs="Times New Roman"/>
          <w:sz w:val="24"/>
          <w:szCs w:val="24"/>
        </w:rPr>
        <w:t xml:space="preserve">, który zarządza kilkoma niezależnymi od siebie zamkniętymi systemami dystrybucyjnymi, musi spełnić powyższe wymagania w </w:t>
      </w:r>
      <w:r w:rsidR="0097130C" w:rsidRPr="00EF6F97">
        <w:rPr>
          <w:rFonts w:ascii="Times New Roman" w:hAnsi="Times New Roman" w:cs="Times New Roman"/>
          <w:sz w:val="24"/>
          <w:szCs w:val="24"/>
        </w:rPr>
        <w:lastRenderedPageBreak/>
        <w:t xml:space="preserve">stosunku do każdego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 xml:space="preserve">zamkniętych systemów dystrybucyjnych, co wiąże się m.in.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obo</w:t>
      </w:r>
      <w:r w:rsidR="00CB5761" w:rsidRPr="00EF6F97">
        <w:rPr>
          <w:rFonts w:ascii="Times New Roman" w:hAnsi="Times New Roman" w:cs="Times New Roman"/>
          <w:sz w:val="24"/>
          <w:szCs w:val="24"/>
        </w:rPr>
        <w:t>wiązkiem rozszerzenia koncesji na</w:t>
      </w:r>
      <w:r w:rsidR="0097130C" w:rsidRPr="00EF6F97">
        <w:rPr>
          <w:rFonts w:ascii="Times New Roman" w:hAnsi="Times New Roman" w:cs="Times New Roman"/>
          <w:sz w:val="24"/>
          <w:szCs w:val="24"/>
        </w:rPr>
        <w:t xml:space="preserve"> obszary, na których zlokalizowane będą kolejne zamknięte systemy dystrybucyjne.</w:t>
      </w:r>
    </w:p>
    <w:p w14:paraId="5B495836" w14:textId="7B24F542" w:rsidR="00E237C5"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 xml:space="preserve">W przypadku </w:t>
      </w:r>
      <w:r w:rsidR="00E237C5" w:rsidRPr="00EF6F97">
        <w:rPr>
          <w:rFonts w:ascii="Times New Roman" w:hAnsi="Times New Roman" w:cs="Times New Roman"/>
          <w:sz w:val="24"/>
          <w:szCs w:val="24"/>
        </w:rPr>
        <w:t xml:space="preserve">gdy system dystrybucyjny przestał spełniać co najmniej jeden </w:t>
      </w:r>
      <w:r w:rsidR="001D0628">
        <w:rPr>
          <w:rFonts w:ascii="Times New Roman" w:hAnsi="Times New Roman" w:cs="Times New Roman"/>
          <w:sz w:val="24"/>
          <w:szCs w:val="24"/>
        </w:rPr>
        <w:t>z </w:t>
      </w:r>
      <w:r w:rsidR="00E237C5" w:rsidRPr="00EF6F97">
        <w:rPr>
          <w:rFonts w:ascii="Times New Roman" w:hAnsi="Times New Roman" w:cs="Times New Roman"/>
          <w:sz w:val="24"/>
          <w:szCs w:val="24"/>
        </w:rPr>
        <w:t>warunków określonych przepisach lub mimo wezwania nie dokonał zmiany w sposób spełniający warunki, o których mowa w tych przepisach</w:t>
      </w:r>
      <w:r w:rsidR="00340266">
        <w:rPr>
          <w:rFonts w:ascii="Times New Roman" w:hAnsi="Times New Roman" w:cs="Times New Roman"/>
          <w:sz w:val="24"/>
          <w:szCs w:val="24"/>
        </w:rPr>
        <w:t>,</w:t>
      </w:r>
      <w:r w:rsidR="00E237C5" w:rsidRPr="00EF6F97">
        <w:rPr>
          <w:rFonts w:ascii="Times New Roman" w:hAnsi="Times New Roman" w:cs="Times New Roman"/>
          <w:sz w:val="24"/>
          <w:szCs w:val="24"/>
        </w:rPr>
        <w:t xml:space="preserve"> </w:t>
      </w:r>
      <w:r w:rsidR="0097130C" w:rsidRPr="00EF6F97">
        <w:rPr>
          <w:rFonts w:ascii="Times New Roman" w:hAnsi="Times New Roman" w:cs="Times New Roman"/>
          <w:sz w:val="24"/>
          <w:szCs w:val="24"/>
        </w:rPr>
        <w:t xml:space="preserve">Prezes URE </w:t>
      </w:r>
      <w:r w:rsidR="00E237C5" w:rsidRPr="00EF6F97">
        <w:rPr>
          <w:rFonts w:ascii="Times New Roman" w:hAnsi="Times New Roman" w:cs="Times New Roman"/>
          <w:sz w:val="24"/>
          <w:szCs w:val="24"/>
        </w:rPr>
        <w:t xml:space="preserve">uchyli </w:t>
      </w:r>
      <w:r w:rsidR="0097130C" w:rsidRPr="00EF6F97">
        <w:rPr>
          <w:rFonts w:ascii="Times New Roman" w:hAnsi="Times New Roman" w:cs="Times New Roman"/>
          <w:sz w:val="24"/>
          <w:szCs w:val="24"/>
        </w:rPr>
        <w:t xml:space="preserve">decyzję </w:t>
      </w:r>
      <w:r w:rsidR="000F4042" w:rsidRPr="00EF6F97">
        <w:rPr>
          <w:rFonts w:ascii="Times New Roman" w:hAnsi="Times New Roman" w:cs="Times New Roman"/>
          <w:sz w:val="24"/>
          <w:szCs w:val="24"/>
        </w:rPr>
        <w:t>w sprawie uznania systemu za ZSD</w:t>
      </w:r>
      <w:r w:rsidR="0097130C" w:rsidRPr="00EF6F97">
        <w:rPr>
          <w:rFonts w:ascii="Times New Roman" w:hAnsi="Times New Roman" w:cs="Times New Roman"/>
          <w:sz w:val="24"/>
          <w:szCs w:val="24"/>
        </w:rPr>
        <w:t xml:space="preserve">. </w:t>
      </w:r>
    </w:p>
    <w:p w14:paraId="27CA0781" w14:textId="77341E20"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Operator zamkniętego systemu dystrybucyjnego, tj. systemu</w:t>
      </w:r>
      <w:r w:rsidR="00340266">
        <w:rPr>
          <w:rFonts w:ascii="Times New Roman" w:hAnsi="Times New Roman" w:cs="Times New Roman"/>
          <w:sz w:val="24"/>
          <w:szCs w:val="24"/>
        </w:rPr>
        <w:t>,</w:t>
      </w:r>
      <w:r w:rsidR="0097130C" w:rsidRPr="00EF6F97">
        <w:rPr>
          <w:rFonts w:ascii="Times New Roman" w:hAnsi="Times New Roman" w:cs="Times New Roman"/>
          <w:sz w:val="24"/>
          <w:szCs w:val="24"/>
        </w:rPr>
        <w:t xml:space="preserve"> w odniesieniu do którego została wydana przedmiotowa decyzja</w:t>
      </w:r>
      <w:r w:rsidR="00340266">
        <w:rPr>
          <w:rFonts w:ascii="Times New Roman" w:hAnsi="Times New Roman" w:cs="Times New Roman"/>
          <w:sz w:val="24"/>
          <w:szCs w:val="24"/>
        </w:rPr>
        <w:t>,</w:t>
      </w:r>
      <w:r w:rsidR="0097130C" w:rsidRPr="00EF6F97">
        <w:rPr>
          <w:rFonts w:ascii="Times New Roman" w:hAnsi="Times New Roman" w:cs="Times New Roman"/>
          <w:sz w:val="24"/>
          <w:szCs w:val="24"/>
        </w:rPr>
        <w:t xml:space="preserve"> zostaje </w:t>
      </w:r>
      <w:r w:rsidR="0097130C" w:rsidRPr="008F7945">
        <w:rPr>
          <w:rFonts w:ascii="Times New Roman" w:hAnsi="Times New Roman" w:cs="Times New Roman"/>
          <w:i/>
          <w:sz w:val="24"/>
          <w:szCs w:val="24"/>
        </w:rPr>
        <w:t>ex lege</w:t>
      </w:r>
      <w:r w:rsidR="0097130C" w:rsidRPr="00EF6F97">
        <w:rPr>
          <w:rFonts w:ascii="Times New Roman" w:hAnsi="Times New Roman" w:cs="Times New Roman"/>
          <w:sz w:val="24"/>
          <w:szCs w:val="24"/>
        </w:rPr>
        <w:t xml:space="preserve"> zwolniony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 xml:space="preserve">obowiązków wskazanych </w:t>
      </w:r>
      <w:r w:rsidR="0097130C" w:rsidRPr="00EF6F97">
        <w:rPr>
          <w:rFonts w:ascii="Times New Roman" w:hAnsi="Times New Roman" w:cs="Times New Roman"/>
          <w:sz w:val="24"/>
          <w:szCs w:val="24"/>
        </w:rPr>
        <w:br/>
        <w:t>w sposób enumeratywny w projekcie ustawy.</w:t>
      </w:r>
    </w:p>
    <w:p w14:paraId="0C8EAB52" w14:textId="4E9DB830"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 xml:space="preserve">Należy podkreślić, że mimo przyznania </w:t>
      </w:r>
      <w:r w:rsidR="00E237C5" w:rsidRPr="00EF6F97">
        <w:rPr>
          <w:rFonts w:ascii="Times New Roman" w:hAnsi="Times New Roman" w:cs="Times New Roman"/>
          <w:sz w:val="24"/>
          <w:szCs w:val="24"/>
        </w:rPr>
        <w:t xml:space="preserve">pewnych </w:t>
      </w:r>
      <w:r w:rsidR="0097130C" w:rsidRPr="00EF6F97">
        <w:rPr>
          <w:rFonts w:ascii="Times New Roman" w:hAnsi="Times New Roman" w:cs="Times New Roman"/>
          <w:sz w:val="24"/>
          <w:szCs w:val="24"/>
        </w:rPr>
        <w:t xml:space="preserve">zwolnień, przedsiębiorstwo, które uzyskało status operatora </w:t>
      </w:r>
      <w:r w:rsidR="000F4042" w:rsidRPr="00EF6F97">
        <w:rPr>
          <w:rFonts w:ascii="Times New Roman" w:hAnsi="Times New Roman" w:cs="Times New Roman"/>
          <w:sz w:val="24"/>
          <w:szCs w:val="24"/>
        </w:rPr>
        <w:t>ZSD</w:t>
      </w:r>
      <w:r w:rsidR="00340266">
        <w:rPr>
          <w:rFonts w:ascii="Times New Roman" w:hAnsi="Times New Roman" w:cs="Times New Roman"/>
          <w:sz w:val="24"/>
          <w:szCs w:val="24"/>
        </w:rPr>
        <w:t>,</w:t>
      </w:r>
      <w:r w:rsidR="0097130C" w:rsidRPr="00EF6F97">
        <w:rPr>
          <w:rFonts w:ascii="Times New Roman" w:hAnsi="Times New Roman" w:cs="Times New Roman"/>
          <w:sz w:val="24"/>
          <w:szCs w:val="24"/>
        </w:rPr>
        <w:t xml:space="preserve"> ma obowiązek prowadzić politykę księgowo-finansową zgodnie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art. 44</w:t>
      </w:r>
      <w:r w:rsidR="006C4234" w:rsidRPr="00EF6F97">
        <w:rPr>
          <w:rFonts w:ascii="Times New Roman" w:hAnsi="Times New Roman" w:cs="Times New Roman"/>
          <w:sz w:val="24"/>
          <w:szCs w:val="24"/>
        </w:rPr>
        <w:t xml:space="preserve"> ustawy – Prawo energetyczne</w:t>
      </w:r>
      <w:r w:rsidR="0097130C" w:rsidRPr="00EF6F97">
        <w:rPr>
          <w:rFonts w:ascii="Times New Roman" w:hAnsi="Times New Roman" w:cs="Times New Roman"/>
          <w:sz w:val="24"/>
          <w:szCs w:val="24"/>
        </w:rPr>
        <w:t>, tj. ma obowiązek stosowania transparentnych metod rozliczeniowych ora</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zapewnienia równoprawnego traktowania odbiorców.</w:t>
      </w:r>
    </w:p>
    <w:p w14:paraId="584F18E4" w14:textId="384627A5" w:rsidR="0097130C"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7130C" w:rsidRPr="00EF6F97">
        <w:rPr>
          <w:rFonts w:ascii="Times New Roman" w:hAnsi="Times New Roman" w:cs="Times New Roman"/>
          <w:sz w:val="24"/>
          <w:szCs w:val="24"/>
        </w:rPr>
        <w:t xml:space="preserve">Szczególnie istotnym obowiązkiem wyłączonym w stosunku do operatorów </w:t>
      </w:r>
      <w:r w:rsidR="000F111F" w:rsidRPr="00EF6F97">
        <w:rPr>
          <w:rFonts w:ascii="Times New Roman" w:hAnsi="Times New Roman" w:cs="Times New Roman"/>
          <w:sz w:val="24"/>
          <w:szCs w:val="24"/>
        </w:rPr>
        <w:t>ZSD</w:t>
      </w:r>
      <w:r w:rsidR="00340266">
        <w:rPr>
          <w:rFonts w:ascii="Times New Roman" w:hAnsi="Times New Roman" w:cs="Times New Roman"/>
          <w:sz w:val="24"/>
          <w:szCs w:val="24"/>
        </w:rPr>
        <w:t xml:space="preserve"> </w:t>
      </w:r>
      <w:r w:rsidR="0097130C" w:rsidRPr="00EF6F97">
        <w:rPr>
          <w:rFonts w:ascii="Times New Roman" w:hAnsi="Times New Roman" w:cs="Times New Roman"/>
          <w:sz w:val="24"/>
          <w:szCs w:val="24"/>
        </w:rPr>
        <w:t xml:space="preserve">jest przedkładanie taryf do zatwierdzenia Prezesowi URE. W odróżnieniu od pozostałych zwolnień, które mają charakter pełny, zwolnienie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obowiązku przedkładania taryf ma charakter ograniczony.</w:t>
      </w:r>
      <w:r w:rsidR="000F111F" w:rsidRPr="00EF6F97">
        <w:rPr>
          <w:rFonts w:ascii="Times New Roman" w:hAnsi="Times New Roman" w:cs="Times New Roman"/>
          <w:sz w:val="24"/>
          <w:szCs w:val="24"/>
        </w:rPr>
        <w:t xml:space="preserve"> Operator ZSD</w:t>
      </w:r>
      <w:r w:rsidR="0097130C" w:rsidRPr="00EF6F97">
        <w:rPr>
          <w:rFonts w:ascii="Times New Roman" w:hAnsi="Times New Roman" w:cs="Times New Roman"/>
          <w:sz w:val="24"/>
          <w:szCs w:val="24"/>
        </w:rPr>
        <w:t xml:space="preserve"> będzie zwolniony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obowiązku przedkładania taryf do zatwierdzenia</w:t>
      </w:r>
      <w:r w:rsidR="00340266">
        <w:rPr>
          <w:rFonts w:ascii="Times New Roman" w:hAnsi="Times New Roman" w:cs="Times New Roman"/>
          <w:sz w:val="24"/>
          <w:szCs w:val="24"/>
        </w:rPr>
        <w:t>,</w:t>
      </w:r>
      <w:r w:rsidR="0097130C" w:rsidRPr="00EF6F97">
        <w:rPr>
          <w:rFonts w:ascii="Times New Roman" w:hAnsi="Times New Roman" w:cs="Times New Roman"/>
          <w:sz w:val="24"/>
          <w:szCs w:val="24"/>
        </w:rPr>
        <w:t xml:space="preserve"> pod warunkiem że </w:t>
      </w:r>
      <w:r w:rsidR="00D7302F" w:rsidRPr="00EF6F97">
        <w:rPr>
          <w:rFonts w:ascii="Times New Roman" w:hAnsi="Times New Roman" w:cs="Times New Roman"/>
          <w:sz w:val="24"/>
          <w:szCs w:val="24"/>
        </w:rPr>
        <w:t xml:space="preserve">należność za energię elektryczną lub paliwa gazowe dostarczone każdemu </w:t>
      </w:r>
      <w:r w:rsidR="001D0628">
        <w:rPr>
          <w:rFonts w:ascii="Times New Roman" w:hAnsi="Times New Roman" w:cs="Times New Roman"/>
          <w:sz w:val="24"/>
          <w:szCs w:val="24"/>
        </w:rPr>
        <w:t>z </w:t>
      </w:r>
      <w:r w:rsidR="00D7302F" w:rsidRPr="00EF6F97">
        <w:rPr>
          <w:rFonts w:ascii="Times New Roman" w:hAnsi="Times New Roman" w:cs="Times New Roman"/>
          <w:sz w:val="24"/>
          <w:szCs w:val="24"/>
        </w:rPr>
        <w:t>odbiorców końcowych, którzy są użytkownikami zamkniętego systemu dystrybucyjnego, obliczona na podstawie skalkulowanych prze</w:t>
      </w:r>
      <w:r w:rsidR="001D0628">
        <w:rPr>
          <w:rFonts w:ascii="Times New Roman" w:hAnsi="Times New Roman" w:cs="Times New Roman"/>
          <w:sz w:val="24"/>
          <w:szCs w:val="24"/>
        </w:rPr>
        <w:t>z </w:t>
      </w:r>
      <w:r w:rsidR="00D7302F" w:rsidRPr="00EF6F97">
        <w:rPr>
          <w:rFonts w:ascii="Times New Roman" w:hAnsi="Times New Roman" w:cs="Times New Roman"/>
          <w:sz w:val="24"/>
          <w:szCs w:val="24"/>
        </w:rPr>
        <w:t xml:space="preserve">tego operatora stawek opłat dla usług dystrybucji, nie będzie wyższa niż płatność obliczona według stawek opłat wynikających </w:t>
      </w:r>
      <w:r w:rsidR="001D0628">
        <w:rPr>
          <w:rFonts w:ascii="Times New Roman" w:hAnsi="Times New Roman" w:cs="Times New Roman"/>
          <w:sz w:val="24"/>
          <w:szCs w:val="24"/>
        </w:rPr>
        <w:t>z </w:t>
      </w:r>
      <w:r w:rsidR="00D7302F" w:rsidRPr="00EF6F97">
        <w:rPr>
          <w:rFonts w:ascii="Times New Roman" w:hAnsi="Times New Roman" w:cs="Times New Roman"/>
          <w:sz w:val="24"/>
          <w:szCs w:val="24"/>
        </w:rPr>
        <w:t>zatwierdzonej prze</w:t>
      </w:r>
      <w:r w:rsidR="001D0628">
        <w:rPr>
          <w:rFonts w:ascii="Times New Roman" w:hAnsi="Times New Roman" w:cs="Times New Roman"/>
          <w:sz w:val="24"/>
          <w:szCs w:val="24"/>
        </w:rPr>
        <w:t>z </w:t>
      </w:r>
      <w:r w:rsidR="00D7302F" w:rsidRPr="00EF6F97">
        <w:rPr>
          <w:rFonts w:ascii="Times New Roman" w:hAnsi="Times New Roman" w:cs="Times New Roman"/>
          <w:sz w:val="24"/>
          <w:szCs w:val="24"/>
        </w:rPr>
        <w:t>Prezesa Urzędu Regulacji Energetyki taryfy przedsiębiorstwa energetycznego, do którego sieci jest przyłączony</w:t>
      </w:r>
      <w:r w:rsidR="00340266">
        <w:rPr>
          <w:rFonts w:ascii="Times New Roman" w:hAnsi="Times New Roman" w:cs="Times New Roman"/>
          <w:sz w:val="24"/>
          <w:szCs w:val="24"/>
        </w:rPr>
        <w:t>,</w:t>
      </w:r>
      <w:r w:rsidR="00D7302F" w:rsidRPr="00EF6F97">
        <w:rPr>
          <w:rFonts w:ascii="Times New Roman" w:hAnsi="Times New Roman" w:cs="Times New Roman"/>
          <w:sz w:val="24"/>
          <w:szCs w:val="24"/>
        </w:rPr>
        <w:t xml:space="preserve"> albo w przypadku braku takiego przyłączenia, na którego obszarze działania zamknięty system dystrybucyjny jest położony, ora</w:t>
      </w:r>
      <w:r w:rsidR="001D0628">
        <w:rPr>
          <w:rFonts w:ascii="Times New Roman" w:hAnsi="Times New Roman" w:cs="Times New Roman"/>
          <w:sz w:val="24"/>
          <w:szCs w:val="24"/>
        </w:rPr>
        <w:t>z </w:t>
      </w:r>
      <w:r w:rsidR="00D7302F" w:rsidRPr="00EF6F97">
        <w:rPr>
          <w:rFonts w:ascii="Times New Roman" w:hAnsi="Times New Roman" w:cs="Times New Roman"/>
          <w:sz w:val="24"/>
          <w:szCs w:val="24"/>
        </w:rPr>
        <w:t>zasady rozliczeń</w:t>
      </w:r>
      <w:r w:rsidR="001D0628">
        <w:rPr>
          <w:rFonts w:ascii="Times New Roman" w:hAnsi="Times New Roman" w:cs="Times New Roman"/>
          <w:sz w:val="24"/>
          <w:szCs w:val="24"/>
        </w:rPr>
        <w:t xml:space="preserve"> i </w:t>
      </w:r>
      <w:r w:rsidR="00D7302F" w:rsidRPr="00EF6F97">
        <w:rPr>
          <w:rFonts w:ascii="Times New Roman" w:hAnsi="Times New Roman" w:cs="Times New Roman"/>
          <w:sz w:val="24"/>
          <w:szCs w:val="24"/>
        </w:rPr>
        <w:t>warunki stosowania tej taryfy są takie same jak w taryfie tego przedsiębiorstwa energetycznego.</w:t>
      </w:r>
      <w:r w:rsidR="000F111F" w:rsidRPr="00EF6F97">
        <w:rPr>
          <w:rFonts w:ascii="Times New Roman" w:hAnsi="Times New Roman" w:cs="Times New Roman"/>
          <w:sz w:val="24"/>
          <w:szCs w:val="24"/>
        </w:rPr>
        <w:t xml:space="preserve"> Operator ZSD</w:t>
      </w:r>
      <w:r w:rsidR="00EB7C3D">
        <w:rPr>
          <w:rFonts w:ascii="Times New Roman" w:hAnsi="Times New Roman" w:cs="Times New Roman"/>
          <w:sz w:val="24"/>
          <w:szCs w:val="24"/>
        </w:rPr>
        <w:t>,</w:t>
      </w:r>
      <w:r w:rsidR="0097130C" w:rsidRPr="00EF6F97">
        <w:rPr>
          <w:rFonts w:ascii="Times New Roman" w:hAnsi="Times New Roman" w:cs="Times New Roman"/>
          <w:sz w:val="24"/>
          <w:szCs w:val="24"/>
        </w:rPr>
        <w:t xml:space="preserve"> w sytuacji gdy jednocześnie prowadzi działalność polegającą na obrocie energią elektryczną, w rozliczeniach </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odbiorcami w gospodarstwach domowych będzie stosował ceny energii elektrycznej ni</w:t>
      </w:r>
      <w:r w:rsidR="006E552E" w:rsidRPr="00EF6F97">
        <w:rPr>
          <w:rFonts w:ascii="Times New Roman" w:hAnsi="Times New Roman" w:cs="Times New Roman"/>
          <w:sz w:val="24"/>
          <w:szCs w:val="24"/>
        </w:rPr>
        <w:t>e wyższe niż zawarte w taryfie</w:t>
      </w:r>
      <w:r w:rsidR="00EB7C3D">
        <w:rPr>
          <w:rFonts w:ascii="Times New Roman" w:hAnsi="Times New Roman" w:cs="Times New Roman"/>
          <w:sz w:val="24"/>
          <w:szCs w:val="24"/>
        </w:rPr>
        <w:t>,</w:t>
      </w:r>
      <w:r w:rsidR="006E552E" w:rsidRPr="00EF6F97">
        <w:rPr>
          <w:rFonts w:ascii="Times New Roman" w:hAnsi="Times New Roman" w:cs="Times New Roman"/>
          <w:sz w:val="24"/>
          <w:szCs w:val="24"/>
        </w:rPr>
        <w:t xml:space="preserve"> ale nie wyższe niż ceny zawarte w taryfie sprzedawcy </w:t>
      </w:r>
      <w:r w:rsidR="001D0628">
        <w:rPr>
          <w:rFonts w:ascii="Times New Roman" w:hAnsi="Times New Roman" w:cs="Times New Roman"/>
          <w:sz w:val="24"/>
          <w:szCs w:val="24"/>
        </w:rPr>
        <w:t>z </w:t>
      </w:r>
      <w:r w:rsidR="006E552E" w:rsidRPr="00EF6F97">
        <w:rPr>
          <w:rFonts w:ascii="Times New Roman" w:hAnsi="Times New Roman" w:cs="Times New Roman"/>
          <w:sz w:val="24"/>
          <w:szCs w:val="24"/>
        </w:rPr>
        <w:t>urzędu działającego na obszarze, na którym prowadzi działalność ten operator, zatwierdzanej prze</w:t>
      </w:r>
      <w:r w:rsidR="001D0628">
        <w:rPr>
          <w:rFonts w:ascii="Times New Roman" w:hAnsi="Times New Roman" w:cs="Times New Roman"/>
          <w:sz w:val="24"/>
          <w:szCs w:val="24"/>
        </w:rPr>
        <w:t>z </w:t>
      </w:r>
      <w:r w:rsidR="006E552E" w:rsidRPr="00EF6F97">
        <w:rPr>
          <w:rFonts w:ascii="Times New Roman" w:hAnsi="Times New Roman" w:cs="Times New Roman"/>
          <w:sz w:val="24"/>
          <w:szCs w:val="24"/>
        </w:rPr>
        <w:t xml:space="preserve">Prezesa URE, jeżeli sprzedawca </w:t>
      </w:r>
      <w:r w:rsidR="001D0628">
        <w:rPr>
          <w:rFonts w:ascii="Times New Roman" w:hAnsi="Times New Roman" w:cs="Times New Roman"/>
          <w:sz w:val="24"/>
          <w:szCs w:val="24"/>
        </w:rPr>
        <w:t>z </w:t>
      </w:r>
      <w:r w:rsidR="006E552E" w:rsidRPr="00EF6F97">
        <w:rPr>
          <w:rFonts w:ascii="Times New Roman" w:hAnsi="Times New Roman" w:cs="Times New Roman"/>
          <w:sz w:val="24"/>
          <w:szCs w:val="24"/>
        </w:rPr>
        <w:t xml:space="preserve">urzędu nie został zwolniony </w:t>
      </w:r>
      <w:r w:rsidR="001D0628">
        <w:rPr>
          <w:rFonts w:ascii="Times New Roman" w:hAnsi="Times New Roman" w:cs="Times New Roman"/>
          <w:sz w:val="24"/>
          <w:szCs w:val="24"/>
        </w:rPr>
        <w:t>z </w:t>
      </w:r>
      <w:r w:rsidR="006E552E" w:rsidRPr="00EF6F97">
        <w:rPr>
          <w:rFonts w:ascii="Times New Roman" w:hAnsi="Times New Roman" w:cs="Times New Roman"/>
          <w:sz w:val="24"/>
          <w:szCs w:val="24"/>
        </w:rPr>
        <w:t>obowiązku przedłożenia taryfy do zatwierdzenia</w:t>
      </w:r>
      <w:r w:rsidR="0097130C" w:rsidRPr="00EF6F97">
        <w:rPr>
          <w:rFonts w:ascii="Times New Roman" w:hAnsi="Times New Roman" w:cs="Times New Roman"/>
          <w:sz w:val="24"/>
          <w:szCs w:val="24"/>
        </w:rPr>
        <w:t>. Prezes URE, na pisemny wniosek użytkownika zamkniętego systemu dystrybucyjnego, w uzasadnionych przypadkach, będzie mógł przeprowadzić kontrolę cen</w:t>
      </w:r>
      <w:r w:rsidR="001D0628">
        <w:rPr>
          <w:rFonts w:ascii="Times New Roman" w:hAnsi="Times New Roman" w:cs="Times New Roman"/>
          <w:sz w:val="24"/>
          <w:szCs w:val="24"/>
        </w:rPr>
        <w:t xml:space="preserve"> </w:t>
      </w:r>
      <w:r w:rsidR="001D0628">
        <w:rPr>
          <w:rFonts w:ascii="Times New Roman" w:hAnsi="Times New Roman" w:cs="Times New Roman"/>
          <w:sz w:val="24"/>
          <w:szCs w:val="24"/>
        </w:rPr>
        <w:lastRenderedPageBreak/>
        <w:t>i </w:t>
      </w:r>
      <w:r w:rsidR="0097130C" w:rsidRPr="00EF6F97">
        <w:rPr>
          <w:rFonts w:ascii="Times New Roman" w:hAnsi="Times New Roman" w:cs="Times New Roman"/>
          <w:sz w:val="24"/>
          <w:szCs w:val="24"/>
        </w:rPr>
        <w:t>stawek opłat ora</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warunków ich stosowania ustalonych prze</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operatora</w:t>
      </w:r>
      <w:r w:rsidR="000F111F" w:rsidRPr="00EF6F97">
        <w:rPr>
          <w:rFonts w:ascii="Times New Roman" w:hAnsi="Times New Roman" w:cs="Times New Roman"/>
          <w:sz w:val="24"/>
          <w:szCs w:val="24"/>
        </w:rPr>
        <w:t xml:space="preserve"> ZSD</w:t>
      </w:r>
      <w:r w:rsidR="0097130C" w:rsidRPr="00EF6F97">
        <w:rPr>
          <w:rFonts w:ascii="Times New Roman" w:hAnsi="Times New Roman" w:cs="Times New Roman"/>
          <w:sz w:val="24"/>
          <w:szCs w:val="24"/>
        </w:rPr>
        <w:t>. W sytuacji gdy w wyniku przeprowadzonej kontroli Prezes URE stwierdzi, że stosowane ceny lub stawki opłat ora</w:t>
      </w:r>
      <w:r w:rsidR="001D0628">
        <w:rPr>
          <w:rFonts w:ascii="Times New Roman" w:hAnsi="Times New Roman" w:cs="Times New Roman"/>
          <w:sz w:val="24"/>
          <w:szCs w:val="24"/>
        </w:rPr>
        <w:t>z </w:t>
      </w:r>
      <w:r w:rsidR="0097130C" w:rsidRPr="00EF6F97">
        <w:rPr>
          <w:rFonts w:ascii="Times New Roman" w:hAnsi="Times New Roman" w:cs="Times New Roman"/>
          <w:sz w:val="24"/>
          <w:szCs w:val="24"/>
        </w:rPr>
        <w:t>warunki ich stosowania nie spełniają warunków określonych w prawie</w:t>
      </w:r>
      <w:r w:rsidR="00EB7C3D">
        <w:rPr>
          <w:rFonts w:ascii="Times New Roman" w:hAnsi="Times New Roman" w:cs="Times New Roman"/>
          <w:sz w:val="24"/>
          <w:szCs w:val="24"/>
        </w:rPr>
        <w:t>,</w:t>
      </w:r>
      <w:r w:rsidR="0097130C" w:rsidRPr="00EF6F97">
        <w:rPr>
          <w:rFonts w:ascii="Times New Roman" w:hAnsi="Times New Roman" w:cs="Times New Roman"/>
          <w:sz w:val="24"/>
          <w:szCs w:val="24"/>
        </w:rPr>
        <w:t xml:space="preserve"> wezwie operatora</w:t>
      </w:r>
      <w:r w:rsidR="000F111F" w:rsidRPr="00EF6F97">
        <w:rPr>
          <w:rFonts w:ascii="Times New Roman" w:hAnsi="Times New Roman" w:cs="Times New Roman"/>
          <w:sz w:val="24"/>
          <w:szCs w:val="24"/>
        </w:rPr>
        <w:t xml:space="preserve"> ZSD</w:t>
      </w:r>
      <w:r w:rsidR="0097130C" w:rsidRPr="00EF6F97">
        <w:rPr>
          <w:rFonts w:ascii="Times New Roman" w:hAnsi="Times New Roman" w:cs="Times New Roman"/>
          <w:sz w:val="24"/>
          <w:szCs w:val="24"/>
        </w:rPr>
        <w:t xml:space="preserve"> do ich skalkulowania lub zmiany w sposób spełniający powyższe warunki.</w:t>
      </w:r>
    </w:p>
    <w:p w14:paraId="1C2B5530" w14:textId="77777777" w:rsidR="00B25FE4" w:rsidRPr="00EF6F97" w:rsidRDefault="00B25FE4" w:rsidP="00EF6F97">
      <w:pPr>
        <w:spacing w:line="360" w:lineRule="auto"/>
        <w:jc w:val="both"/>
        <w:rPr>
          <w:rFonts w:ascii="Times New Roman" w:hAnsi="Times New Roman" w:cs="Times New Roman"/>
          <w:sz w:val="24"/>
          <w:szCs w:val="24"/>
        </w:rPr>
      </w:pPr>
    </w:p>
    <w:p w14:paraId="456FCFCE" w14:textId="766BAFCB" w:rsidR="00A00414"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D55610" w:rsidRPr="00EF6F97">
        <w:rPr>
          <w:rFonts w:ascii="Times New Roman" w:hAnsi="Times New Roman" w:cs="Times New Roman"/>
          <w:sz w:val="24"/>
          <w:szCs w:val="24"/>
        </w:rPr>
        <w:t xml:space="preserve">Ad </w:t>
      </w:r>
      <w:r w:rsidR="00D0483F" w:rsidRPr="00EF6F97">
        <w:rPr>
          <w:rFonts w:ascii="Times New Roman" w:hAnsi="Times New Roman" w:cs="Times New Roman"/>
          <w:sz w:val="24"/>
          <w:szCs w:val="24"/>
        </w:rPr>
        <w:t>8</w:t>
      </w:r>
      <w:r w:rsidR="00B25FE4" w:rsidRPr="00EF6F97">
        <w:rPr>
          <w:rFonts w:ascii="Times New Roman" w:hAnsi="Times New Roman" w:cs="Times New Roman"/>
          <w:sz w:val="24"/>
          <w:szCs w:val="24"/>
        </w:rPr>
        <w:t>. Projekt ustawy wprowadza kompleksowe rozwiązania w zakresie funkcjonowania magazynów energii elektrycznej w Krajowym</w:t>
      </w:r>
      <w:r w:rsidR="006C4234" w:rsidRPr="00EF6F97">
        <w:rPr>
          <w:rFonts w:ascii="Times New Roman" w:hAnsi="Times New Roman" w:cs="Times New Roman"/>
          <w:sz w:val="24"/>
          <w:szCs w:val="24"/>
        </w:rPr>
        <w:t xml:space="preserve"> Systemie Elektroenergetycznym, </w:t>
      </w:r>
      <w:r w:rsidR="00B25FE4" w:rsidRPr="00EF6F97">
        <w:rPr>
          <w:rFonts w:ascii="Times New Roman" w:hAnsi="Times New Roman" w:cs="Times New Roman"/>
          <w:sz w:val="24"/>
          <w:szCs w:val="24"/>
        </w:rPr>
        <w:t xml:space="preserve">zwanym dalej „KSE”. </w:t>
      </w:r>
    </w:p>
    <w:p w14:paraId="19CA30D0" w14:textId="77777777" w:rsidR="00EB7C3D" w:rsidRPr="00EF6F97" w:rsidRDefault="00EB7C3D" w:rsidP="00EF6F97">
      <w:pPr>
        <w:spacing w:line="360" w:lineRule="auto"/>
        <w:jc w:val="both"/>
        <w:rPr>
          <w:rFonts w:ascii="Times New Roman" w:hAnsi="Times New Roman" w:cs="Times New Roman"/>
          <w:sz w:val="24"/>
          <w:szCs w:val="24"/>
        </w:rPr>
      </w:pPr>
    </w:p>
    <w:p w14:paraId="6D83E29B" w14:textId="77777777" w:rsidR="00A00414" w:rsidRPr="00EF6F97" w:rsidRDefault="00A00414" w:rsidP="00EF6F97">
      <w:pPr>
        <w:spacing w:line="360" w:lineRule="auto"/>
        <w:jc w:val="both"/>
        <w:rPr>
          <w:rFonts w:ascii="Times New Roman" w:hAnsi="Times New Roman" w:cs="Times New Roman"/>
          <w:b/>
          <w:sz w:val="24"/>
          <w:szCs w:val="24"/>
        </w:rPr>
      </w:pPr>
      <w:r w:rsidRPr="00EF6F97">
        <w:rPr>
          <w:rFonts w:ascii="Times New Roman" w:hAnsi="Times New Roman" w:cs="Times New Roman"/>
          <w:b/>
          <w:sz w:val="24"/>
          <w:szCs w:val="24"/>
        </w:rPr>
        <w:t>Potrzeba</w:t>
      </w:r>
      <w:r w:rsidR="001D0628">
        <w:rPr>
          <w:rFonts w:ascii="Times New Roman" w:hAnsi="Times New Roman" w:cs="Times New Roman"/>
          <w:b/>
          <w:sz w:val="24"/>
          <w:szCs w:val="24"/>
        </w:rPr>
        <w:t xml:space="preserve"> i </w:t>
      </w:r>
      <w:r w:rsidR="00CB5761" w:rsidRPr="00EF6F97">
        <w:rPr>
          <w:rFonts w:ascii="Times New Roman" w:hAnsi="Times New Roman" w:cs="Times New Roman"/>
          <w:b/>
          <w:sz w:val="24"/>
          <w:szCs w:val="24"/>
        </w:rPr>
        <w:t xml:space="preserve">cel </w:t>
      </w:r>
      <w:r w:rsidRPr="00EF6F97">
        <w:rPr>
          <w:rFonts w:ascii="Times New Roman" w:hAnsi="Times New Roman" w:cs="Times New Roman"/>
          <w:b/>
          <w:sz w:val="24"/>
          <w:szCs w:val="24"/>
        </w:rPr>
        <w:t>uchwalenia projektowanej ustawy</w:t>
      </w:r>
    </w:p>
    <w:p w14:paraId="77994D2A" w14:textId="77777777" w:rsidR="00B25FE4"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B25FE4" w:rsidRPr="00EF6F97">
        <w:rPr>
          <w:rFonts w:ascii="Times New Roman" w:hAnsi="Times New Roman" w:cs="Times New Roman"/>
          <w:sz w:val="24"/>
          <w:szCs w:val="24"/>
        </w:rPr>
        <w:t xml:space="preserve">Regulacja ma na celu stworzenie warunków dla rozwoju zastosowań magazynów energii elektrycznej, w tym usunięcie barier, które obecnie uniemożliwiają inwestorom uzyskanie korzyści ekonomicznych ze stosowania magazynowania energii elektrycznej. </w:t>
      </w:r>
    </w:p>
    <w:p w14:paraId="4F324403" w14:textId="1C43EA32" w:rsidR="00B25FE4"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B25FE4" w:rsidRPr="00EF6F97">
        <w:rPr>
          <w:rFonts w:ascii="Times New Roman" w:hAnsi="Times New Roman" w:cs="Times New Roman"/>
          <w:sz w:val="24"/>
          <w:szCs w:val="24"/>
        </w:rPr>
        <w:t xml:space="preserve">Obserwowany w ostatnich latach szybki rozwój technologii magazynowania energii elektrycznej, w szczególności w oparciu o technologie bateryjne, otworzył nowe możliwości jej praktycznego wykorzystania w różnych obszarach systemu elektroenergetycznego, czego obecny system regulacji nie uwzględnia. Ocenia się, że magazynowanie energii elektrycznej na szeroką skalę będzie stanowić kluczowy czynnik usprawniający funkcjonowanie systemu elektroenergetycznego, w szczególności wpływając </w:t>
      </w:r>
      <w:r w:rsidR="001D0628">
        <w:rPr>
          <w:rFonts w:ascii="Times New Roman" w:hAnsi="Times New Roman" w:cs="Times New Roman"/>
          <w:sz w:val="24"/>
          <w:szCs w:val="24"/>
        </w:rPr>
        <w:t>z </w:t>
      </w:r>
      <w:r w:rsidR="00B25FE4" w:rsidRPr="00EF6F97">
        <w:rPr>
          <w:rFonts w:ascii="Times New Roman" w:hAnsi="Times New Roman" w:cs="Times New Roman"/>
          <w:sz w:val="24"/>
          <w:szCs w:val="24"/>
        </w:rPr>
        <w:t xml:space="preserve">jednej strony na możliwość absorpcji większych wolumenów generacji ze </w:t>
      </w:r>
      <w:r w:rsidR="006C4234" w:rsidRPr="00EF6F97">
        <w:rPr>
          <w:rFonts w:ascii="Times New Roman" w:hAnsi="Times New Roman" w:cs="Times New Roman"/>
          <w:sz w:val="24"/>
          <w:szCs w:val="24"/>
        </w:rPr>
        <w:t>odnawialnych źródeł energii, zwanych dalej „</w:t>
      </w:r>
      <w:r w:rsidR="00B25FE4" w:rsidRPr="00EF6F97">
        <w:rPr>
          <w:rFonts w:ascii="Times New Roman" w:hAnsi="Times New Roman" w:cs="Times New Roman"/>
          <w:sz w:val="24"/>
          <w:szCs w:val="24"/>
        </w:rPr>
        <w:t>źródł</w:t>
      </w:r>
      <w:r w:rsidR="00430319" w:rsidRPr="00EF6F97">
        <w:rPr>
          <w:rFonts w:ascii="Times New Roman" w:hAnsi="Times New Roman" w:cs="Times New Roman"/>
          <w:sz w:val="24"/>
          <w:szCs w:val="24"/>
        </w:rPr>
        <w:t>ami</w:t>
      </w:r>
      <w:r w:rsidR="00B25FE4" w:rsidRPr="00EF6F97">
        <w:rPr>
          <w:rFonts w:ascii="Times New Roman" w:hAnsi="Times New Roman" w:cs="Times New Roman"/>
          <w:sz w:val="24"/>
          <w:szCs w:val="24"/>
        </w:rPr>
        <w:t xml:space="preserve"> OZE</w:t>
      </w:r>
      <w:r w:rsidR="00430319" w:rsidRPr="00EF6F97">
        <w:rPr>
          <w:rFonts w:ascii="Times New Roman" w:hAnsi="Times New Roman" w:cs="Times New Roman"/>
          <w:sz w:val="24"/>
          <w:szCs w:val="24"/>
        </w:rPr>
        <w:t>”</w:t>
      </w:r>
      <w:r w:rsidR="00B25FE4" w:rsidRPr="00EF6F97">
        <w:rPr>
          <w:rFonts w:ascii="Times New Roman" w:hAnsi="Times New Roman" w:cs="Times New Roman"/>
          <w:sz w:val="24"/>
          <w:szCs w:val="24"/>
        </w:rPr>
        <w:t xml:space="preserve">, </w:t>
      </w:r>
      <w:r w:rsidR="001D0628">
        <w:rPr>
          <w:rFonts w:ascii="Times New Roman" w:hAnsi="Times New Roman" w:cs="Times New Roman"/>
          <w:sz w:val="24"/>
          <w:szCs w:val="24"/>
        </w:rPr>
        <w:t>z </w:t>
      </w:r>
      <w:r w:rsidR="00B25FE4" w:rsidRPr="00EF6F97">
        <w:rPr>
          <w:rFonts w:ascii="Times New Roman" w:hAnsi="Times New Roman" w:cs="Times New Roman"/>
          <w:sz w:val="24"/>
          <w:szCs w:val="24"/>
        </w:rPr>
        <w:t>drugiej zaś na poprawę bezpieczeństwa dostaw energii elektrycznej. W szczególności wykorzystanie magazynowania energii elektrycznej stworzy możliwości szybkiej reakcji na zmieniające się</w:t>
      </w:r>
      <w:r w:rsidR="00CB5761" w:rsidRPr="00EF6F97">
        <w:rPr>
          <w:rFonts w:ascii="Times New Roman" w:hAnsi="Times New Roman" w:cs="Times New Roman"/>
          <w:sz w:val="24"/>
          <w:szCs w:val="24"/>
        </w:rPr>
        <w:t xml:space="preserve"> zapotrzebowania na moc w KSE</w:t>
      </w:r>
      <w:r w:rsidR="00B25FE4" w:rsidRPr="00EF6F97">
        <w:rPr>
          <w:rFonts w:ascii="Times New Roman" w:hAnsi="Times New Roman" w:cs="Times New Roman"/>
          <w:sz w:val="24"/>
          <w:szCs w:val="24"/>
        </w:rPr>
        <w:t>, poprawi warunki napięciowe funkcjonowania sieci, pozytywnie wpłynie na zakres</w:t>
      </w:r>
      <w:r w:rsidR="00CA423C">
        <w:rPr>
          <w:rFonts w:ascii="Times New Roman" w:hAnsi="Times New Roman" w:cs="Times New Roman"/>
          <w:sz w:val="24"/>
          <w:szCs w:val="24"/>
        </w:rPr>
        <w:t xml:space="preserve"> </w:t>
      </w:r>
      <w:r w:rsidR="00B25FE4" w:rsidRPr="00EF6F97">
        <w:rPr>
          <w:rFonts w:ascii="Times New Roman" w:hAnsi="Times New Roman" w:cs="Times New Roman"/>
          <w:sz w:val="24"/>
          <w:szCs w:val="24"/>
        </w:rPr>
        <w:t>prowadzonych inwestycji w sieć dzięki możliwości wykorzystania magazynowania energii elektrycznej zamiast inwestycji sieciowych</w:t>
      </w:r>
      <w:r w:rsidR="00695DE8" w:rsidRPr="00EF6F97">
        <w:rPr>
          <w:rFonts w:ascii="Times New Roman" w:hAnsi="Times New Roman" w:cs="Times New Roman"/>
          <w:sz w:val="24"/>
          <w:szCs w:val="24"/>
        </w:rPr>
        <w:t xml:space="preserve"> tam</w:t>
      </w:r>
      <w:r w:rsidR="00CA423C">
        <w:rPr>
          <w:rFonts w:ascii="Times New Roman" w:hAnsi="Times New Roman" w:cs="Times New Roman"/>
          <w:sz w:val="24"/>
          <w:szCs w:val="24"/>
        </w:rPr>
        <w:t>,</w:t>
      </w:r>
      <w:r w:rsidR="00695DE8" w:rsidRPr="00EF6F97">
        <w:rPr>
          <w:rFonts w:ascii="Times New Roman" w:hAnsi="Times New Roman" w:cs="Times New Roman"/>
          <w:sz w:val="24"/>
          <w:szCs w:val="24"/>
        </w:rPr>
        <w:t xml:space="preserve"> gdzie to będzie opłacalne</w:t>
      </w:r>
      <w:r w:rsidR="00B25FE4" w:rsidRPr="00EF6F97">
        <w:rPr>
          <w:rFonts w:ascii="Times New Roman" w:hAnsi="Times New Roman" w:cs="Times New Roman"/>
          <w:sz w:val="24"/>
          <w:szCs w:val="24"/>
        </w:rPr>
        <w:t>, pozwoli na poprawę wykorzystania energii ze źródeł OZE o niestabilnej charakterystyce itd.</w:t>
      </w:r>
    </w:p>
    <w:p w14:paraId="5906FAE2" w14:textId="77777777" w:rsidR="00EB7C3D" w:rsidRPr="00EF6F97" w:rsidRDefault="00EB7C3D" w:rsidP="00EF6F97">
      <w:pPr>
        <w:spacing w:line="360" w:lineRule="auto"/>
        <w:jc w:val="both"/>
        <w:rPr>
          <w:rFonts w:ascii="Times New Roman" w:hAnsi="Times New Roman" w:cs="Times New Roman"/>
          <w:sz w:val="24"/>
          <w:szCs w:val="24"/>
        </w:rPr>
      </w:pPr>
    </w:p>
    <w:p w14:paraId="5667F564" w14:textId="77777777" w:rsidR="00A00414" w:rsidRPr="00EF6F97" w:rsidRDefault="00A00414" w:rsidP="00EF6F97">
      <w:pPr>
        <w:spacing w:line="360" w:lineRule="auto"/>
        <w:jc w:val="both"/>
        <w:rPr>
          <w:rFonts w:ascii="Times New Roman" w:hAnsi="Times New Roman" w:cs="Times New Roman"/>
          <w:b/>
          <w:sz w:val="24"/>
          <w:szCs w:val="24"/>
        </w:rPr>
      </w:pPr>
      <w:r w:rsidRPr="00EF6F97">
        <w:rPr>
          <w:rFonts w:ascii="Times New Roman" w:hAnsi="Times New Roman" w:cs="Times New Roman"/>
          <w:b/>
          <w:sz w:val="24"/>
          <w:szCs w:val="24"/>
        </w:rPr>
        <w:t>Zidentyfikowane bariery prawne</w:t>
      </w:r>
      <w:r w:rsidR="001D0628">
        <w:rPr>
          <w:rFonts w:ascii="Times New Roman" w:hAnsi="Times New Roman" w:cs="Times New Roman"/>
          <w:b/>
          <w:sz w:val="24"/>
          <w:szCs w:val="24"/>
        </w:rPr>
        <w:t xml:space="preserve"> i </w:t>
      </w:r>
      <w:r w:rsidRPr="00EF6F97">
        <w:rPr>
          <w:rFonts w:ascii="Times New Roman" w:hAnsi="Times New Roman" w:cs="Times New Roman"/>
          <w:b/>
          <w:sz w:val="24"/>
          <w:szCs w:val="24"/>
        </w:rPr>
        <w:t>regulacyjne</w:t>
      </w:r>
    </w:p>
    <w:p w14:paraId="6D3DD00C" w14:textId="77777777" w:rsidR="00B25FE4"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B25FE4" w:rsidRPr="00EF6F97">
        <w:rPr>
          <w:rFonts w:ascii="Times New Roman" w:hAnsi="Times New Roman" w:cs="Times New Roman"/>
          <w:sz w:val="24"/>
          <w:szCs w:val="24"/>
        </w:rPr>
        <w:t xml:space="preserve">W oparciu o dotychczasowe doświadczenia związane </w:t>
      </w:r>
      <w:r w:rsidR="001D0628">
        <w:rPr>
          <w:rFonts w:ascii="Times New Roman" w:hAnsi="Times New Roman" w:cs="Times New Roman"/>
          <w:sz w:val="24"/>
          <w:szCs w:val="24"/>
        </w:rPr>
        <w:t>z </w:t>
      </w:r>
      <w:r w:rsidR="00B25FE4" w:rsidRPr="00EF6F97">
        <w:rPr>
          <w:rFonts w:ascii="Times New Roman" w:hAnsi="Times New Roman" w:cs="Times New Roman"/>
          <w:sz w:val="24"/>
          <w:szCs w:val="24"/>
        </w:rPr>
        <w:t>realizowanymi lub przygotowywanymi projektami wykorzystania magazynów energii elektrycznej w KSE zidentyfikowane zostały następujące bariery:</w:t>
      </w:r>
    </w:p>
    <w:p w14:paraId="77634A93" w14:textId="4CC6E560" w:rsidR="00B25FE4" w:rsidRPr="00EF6F97" w:rsidRDefault="00B25FE4" w:rsidP="00EF6F97">
      <w:pPr>
        <w:pStyle w:val="Akapitzlist"/>
        <w:numPr>
          <w:ilvl w:val="0"/>
          <w:numId w:val="30"/>
        </w:numPr>
        <w:spacing w:after="0" w:line="360" w:lineRule="auto"/>
        <w:ind w:left="426"/>
        <w:jc w:val="both"/>
        <w:rPr>
          <w:rFonts w:ascii="Times New Roman" w:hAnsi="Times New Roman"/>
          <w:sz w:val="24"/>
          <w:szCs w:val="24"/>
        </w:rPr>
      </w:pPr>
      <w:r w:rsidRPr="00EF6F97">
        <w:rPr>
          <w:rFonts w:ascii="Times New Roman" w:hAnsi="Times New Roman"/>
          <w:sz w:val="24"/>
          <w:szCs w:val="24"/>
        </w:rPr>
        <w:t>Niespójne definicje</w:t>
      </w:r>
      <w:r w:rsidR="001D0628">
        <w:rPr>
          <w:rFonts w:ascii="Times New Roman" w:hAnsi="Times New Roman"/>
          <w:sz w:val="24"/>
          <w:szCs w:val="24"/>
        </w:rPr>
        <w:t xml:space="preserve"> i </w:t>
      </w:r>
      <w:r w:rsidRPr="00EF6F97">
        <w:rPr>
          <w:rFonts w:ascii="Times New Roman" w:hAnsi="Times New Roman"/>
          <w:sz w:val="24"/>
          <w:szCs w:val="24"/>
        </w:rPr>
        <w:t>brak określenia magazynowania energii elektrycznej jako procesu energetycznego;</w:t>
      </w:r>
    </w:p>
    <w:p w14:paraId="3730F119" w14:textId="055A622E" w:rsidR="00B25FE4" w:rsidRPr="00EF6F97" w:rsidRDefault="00B25FE4" w:rsidP="00EF6F97">
      <w:pPr>
        <w:pStyle w:val="Akapitzlist"/>
        <w:numPr>
          <w:ilvl w:val="0"/>
          <w:numId w:val="30"/>
        </w:numPr>
        <w:spacing w:after="0" w:line="360" w:lineRule="auto"/>
        <w:ind w:left="426"/>
        <w:jc w:val="both"/>
        <w:rPr>
          <w:rFonts w:ascii="Times New Roman" w:hAnsi="Times New Roman"/>
          <w:sz w:val="24"/>
          <w:szCs w:val="24"/>
        </w:rPr>
      </w:pPr>
      <w:r w:rsidRPr="00EF6F97">
        <w:rPr>
          <w:rFonts w:ascii="Times New Roman" w:hAnsi="Times New Roman"/>
          <w:sz w:val="24"/>
          <w:szCs w:val="24"/>
        </w:rPr>
        <w:lastRenderedPageBreak/>
        <w:t>Nieokreślony status magazynowania energii elektrycznej w kontekście taryfowania</w:t>
      </w:r>
      <w:r w:rsidR="001D0628">
        <w:rPr>
          <w:rFonts w:ascii="Times New Roman" w:hAnsi="Times New Roman"/>
          <w:sz w:val="24"/>
          <w:szCs w:val="24"/>
        </w:rPr>
        <w:t xml:space="preserve"> i </w:t>
      </w:r>
      <w:r w:rsidRPr="00EF6F97">
        <w:rPr>
          <w:rFonts w:ascii="Times New Roman" w:hAnsi="Times New Roman"/>
          <w:sz w:val="24"/>
          <w:szCs w:val="24"/>
        </w:rPr>
        <w:t>obowiązków koncesyjnych;</w:t>
      </w:r>
    </w:p>
    <w:p w14:paraId="6B9E241F" w14:textId="77752B11" w:rsidR="00B25FE4" w:rsidRPr="00EF6F97" w:rsidRDefault="00B25FE4" w:rsidP="00EF6F97">
      <w:pPr>
        <w:pStyle w:val="Akapitzlist"/>
        <w:numPr>
          <w:ilvl w:val="0"/>
          <w:numId w:val="30"/>
        </w:numPr>
        <w:spacing w:after="0" w:line="360" w:lineRule="auto"/>
        <w:ind w:left="426"/>
        <w:jc w:val="both"/>
        <w:rPr>
          <w:rFonts w:ascii="Times New Roman" w:hAnsi="Times New Roman"/>
          <w:sz w:val="24"/>
          <w:szCs w:val="24"/>
        </w:rPr>
      </w:pPr>
      <w:r w:rsidRPr="00EF6F97">
        <w:rPr>
          <w:rFonts w:ascii="Times New Roman" w:hAnsi="Times New Roman"/>
          <w:sz w:val="24"/>
          <w:szCs w:val="24"/>
        </w:rPr>
        <w:t>Brak przepisów określających szczegółowe wymagania techniczne</w:t>
      </w:r>
      <w:r w:rsidR="001D0628">
        <w:rPr>
          <w:rFonts w:ascii="Times New Roman" w:hAnsi="Times New Roman"/>
          <w:sz w:val="24"/>
          <w:szCs w:val="24"/>
        </w:rPr>
        <w:t xml:space="preserve"> i </w:t>
      </w:r>
      <w:r w:rsidRPr="00EF6F97">
        <w:rPr>
          <w:rFonts w:ascii="Times New Roman" w:hAnsi="Times New Roman"/>
          <w:sz w:val="24"/>
          <w:szCs w:val="24"/>
        </w:rPr>
        <w:t>zasady przyłączenia do sieci magazynu energii elektrycznej;</w:t>
      </w:r>
    </w:p>
    <w:p w14:paraId="2CDCA383" w14:textId="65021965" w:rsidR="00B25FE4" w:rsidRPr="00EF6F97" w:rsidRDefault="00B25FE4" w:rsidP="00EF6F97">
      <w:pPr>
        <w:pStyle w:val="Akapitzlist"/>
        <w:numPr>
          <w:ilvl w:val="0"/>
          <w:numId w:val="30"/>
        </w:numPr>
        <w:spacing w:after="0" w:line="360" w:lineRule="auto"/>
        <w:ind w:left="426"/>
        <w:jc w:val="both"/>
        <w:rPr>
          <w:rFonts w:ascii="Times New Roman" w:hAnsi="Times New Roman"/>
          <w:sz w:val="24"/>
          <w:szCs w:val="24"/>
        </w:rPr>
      </w:pPr>
      <w:r w:rsidRPr="00EF6F97">
        <w:rPr>
          <w:rFonts w:ascii="Times New Roman" w:hAnsi="Times New Roman"/>
          <w:sz w:val="24"/>
          <w:szCs w:val="24"/>
        </w:rPr>
        <w:t xml:space="preserve">Brak przepisów określających zasady współpracy magazynu energii elektrycznej </w:t>
      </w:r>
      <w:r w:rsidR="001D0628">
        <w:rPr>
          <w:rFonts w:ascii="Times New Roman" w:hAnsi="Times New Roman"/>
          <w:sz w:val="24"/>
          <w:szCs w:val="24"/>
        </w:rPr>
        <w:t>z </w:t>
      </w:r>
      <w:r w:rsidRPr="00EF6F97">
        <w:rPr>
          <w:rFonts w:ascii="Times New Roman" w:hAnsi="Times New Roman"/>
          <w:sz w:val="24"/>
          <w:szCs w:val="24"/>
        </w:rPr>
        <w:t>siecią elektroenergetyczną;</w:t>
      </w:r>
    </w:p>
    <w:p w14:paraId="2779A1F2" w14:textId="7DBF96AB" w:rsidR="00B25FE4" w:rsidRPr="00EF6F97" w:rsidRDefault="00B25FE4" w:rsidP="00EF6F97">
      <w:pPr>
        <w:pStyle w:val="Akapitzlist"/>
        <w:numPr>
          <w:ilvl w:val="0"/>
          <w:numId w:val="30"/>
        </w:numPr>
        <w:spacing w:after="0" w:line="360" w:lineRule="auto"/>
        <w:ind w:left="426"/>
        <w:jc w:val="both"/>
        <w:rPr>
          <w:rFonts w:ascii="Times New Roman" w:hAnsi="Times New Roman"/>
          <w:sz w:val="24"/>
          <w:szCs w:val="24"/>
        </w:rPr>
      </w:pPr>
      <w:r w:rsidRPr="00EF6F97">
        <w:rPr>
          <w:rFonts w:ascii="Times New Roman" w:hAnsi="Times New Roman"/>
          <w:sz w:val="24"/>
          <w:szCs w:val="24"/>
        </w:rPr>
        <w:t xml:space="preserve">Brak przepisów określających zasady współpracy magazynów energii elektrycznej </w:t>
      </w:r>
      <w:r w:rsidR="001D0628">
        <w:rPr>
          <w:rFonts w:ascii="Times New Roman" w:hAnsi="Times New Roman"/>
          <w:sz w:val="24"/>
          <w:szCs w:val="24"/>
        </w:rPr>
        <w:t>z </w:t>
      </w:r>
      <w:r w:rsidRPr="00EF6F97">
        <w:rPr>
          <w:rFonts w:ascii="Times New Roman" w:hAnsi="Times New Roman"/>
          <w:sz w:val="24"/>
          <w:szCs w:val="24"/>
        </w:rPr>
        <w:t>jednostkami wytwórczymi, w tym ze źródłami OZE, których część stanowią</w:t>
      </w:r>
      <w:r w:rsidR="00EB7C3D">
        <w:rPr>
          <w:rFonts w:ascii="Times New Roman" w:hAnsi="Times New Roman"/>
          <w:sz w:val="24"/>
          <w:szCs w:val="24"/>
        </w:rPr>
        <w:t>,</w:t>
      </w:r>
      <w:r w:rsidRPr="00EF6F97">
        <w:rPr>
          <w:rFonts w:ascii="Times New Roman" w:hAnsi="Times New Roman"/>
          <w:sz w:val="24"/>
          <w:szCs w:val="24"/>
        </w:rPr>
        <w:t xml:space="preserve"> ora</w:t>
      </w:r>
      <w:r w:rsidR="001D0628">
        <w:rPr>
          <w:rFonts w:ascii="Times New Roman" w:hAnsi="Times New Roman"/>
          <w:sz w:val="24"/>
          <w:szCs w:val="24"/>
        </w:rPr>
        <w:t>z z </w:t>
      </w:r>
      <w:r w:rsidRPr="00EF6F97">
        <w:rPr>
          <w:rFonts w:ascii="Times New Roman" w:hAnsi="Times New Roman"/>
          <w:sz w:val="24"/>
          <w:szCs w:val="24"/>
        </w:rPr>
        <w:t>instalacjami odbiorców końcowych;</w:t>
      </w:r>
    </w:p>
    <w:p w14:paraId="00469417" w14:textId="1EEDD326" w:rsidR="00B25FE4" w:rsidRPr="00EF6F97" w:rsidRDefault="00B25FE4" w:rsidP="00EF6F97">
      <w:pPr>
        <w:pStyle w:val="Akapitzlist"/>
        <w:numPr>
          <w:ilvl w:val="0"/>
          <w:numId w:val="30"/>
        </w:numPr>
        <w:spacing w:after="0" w:line="360" w:lineRule="auto"/>
        <w:ind w:left="426"/>
        <w:jc w:val="both"/>
        <w:rPr>
          <w:rFonts w:ascii="Times New Roman" w:hAnsi="Times New Roman"/>
          <w:sz w:val="24"/>
          <w:szCs w:val="24"/>
        </w:rPr>
      </w:pPr>
      <w:r w:rsidRPr="00EF6F97">
        <w:rPr>
          <w:rFonts w:ascii="Times New Roman" w:hAnsi="Times New Roman"/>
          <w:sz w:val="24"/>
          <w:szCs w:val="24"/>
        </w:rPr>
        <w:t xml:space="preserve">Instalacje OZE </w:t>
      </w:r>
      <w:r w:rsidR="001D0628">
        <w:rPr>
          <w:rFonts w:ascii="Times New Roman" w:hAnsi="Times New Roman"/>
          <w:sz w:val="24"/>
          <w:szCs w:val="24"/>
        </w:rPr>
        <w:t>z </w:t>
      </w:r>
      <w:r w:rsidRPr="00EF6F97">
        <w:rPr>
          <w:rFonts w:ascii="Times New Roman" w:hAnsi="Times New Roman"/>
          <w:sz w:val="24"/>
          <w:szCs w:val="24"/>
        </w:rPr>
        <w:t xml:space="preserve">magazynami energii elektrycznej nie mają możliwości wykorzystania pełnego potencjału magazynowania w związku </w:t>
      </w:r>
      <w:r w:rsidR="001D0628">
        <w:rPr>
          <w:rFonts w:ascii="Times New Roman" w:hAnsi="Times New Roman"/>
          <w:sz w:val="24"/>
          <w:szCs w:val="24"/>
        </w:rPr>
        <w:t>z </w:t>
      </w:r>
      <w:r w:rsidRPr="00EF6F97">
        <w:rPr>
          <w:rFonts w:ascii="Times New Roman" w:hAnsi="Times New Roman"/>
          <w:sz w:val="24"/>
          <w:szCs w:val="24"/>
        </w:rPr>
        <w:t xml:space="preserve">zagrożeniem utraty wsparcia w sytuacji poboru energii </w:t>
      </w:r>
      <w:r w:rsidR="00695DE8" w:rsidRPr="00EF6F97">
        <w:rPr>
          <w:rFonts w:ascii="Times New Roman" w:hAnsi="Times New Roman"/>
          <w:sz w:val="24"/>
          <w:szCs w:val="24"/>
        </w:rPr>
        <w:t>prze</w:t>
      </w:r>
      <w:r w:rsidR="001D0628">
        <w:rPr>
          <w:rFonts w:ascii="Times New Roman" w:hAnsi="Times New Roman"/>
          <w:sz w:val="24"/>
          <w:szCs w:val="24"/>
        </w:rPr>
        <w:t>z </w:t>
      </w:r>
      <w:r w:rsidR="00695DE8" w:rsidRPr="00EF6F97">
        <w:rPr>
          <w:rFonts w:ascii="Times New Roman" w:hAnsi="Times New Roman"/>
          <w:sz w:val="24"/>
          <w:szCs w:val="24"/>
        </w:rPr>
        <w:t xml:space="preserve">magazyn </w:t>
      </w:r>
      <w:r w:rsidR="001D0628">
        <w:rPr>
          <w:rFonts w:ascii="Times New Roman" w:hAnsi="Times New Roman"/>
          <w:sz w:val="24"/>
          <w:szCs w:val="24"/>
        </w:rPr>
        <w:t>z </w:t>
      </w:r>
      <w:r w:rsidRPr="00EF6F97">
        <w:rPr>
          <w:rFonts w:ascii="Times New Roman" w:hAnsi="Times New Roman"/>
          <w:sz w:val="24"/>
          <w:szCs w:val="24"/>
        </w:rPr>
        <w:t>sieci elektroenergetycznej;</w:t>
      </w:r>
    </w:p>
    <w:p w14:paraId="2EABDB4C" w14:textId="7386254E" w:rsidR="00B25FE4" w:rsidRPr="00EF6F97" w:rsidRDefault="00B25FE4" w:rsidP="00EF6F97">
      <w:pPr>
        <w:pStyle w:val="Akapitzlist"/>
        <w:numPr>
          <w:ilvl w:val="0"/>
          <w:numId w:val="30"/>
        </w:numPr>
        <w:spacing w:after="0" w:line="360" w:lineRule="auto"/>
        <w:ind w:left="426"/>
        <w:jc w:val="both"/>
        <w:rPr>
          <w:rFonts w:ascii="Times New Roman" w:hAnsi="Times New Roman"/>
          <w:sz w:val="24"/>
          <w:szCs w:val="24"/>
        </w:rPr>
      </w:pPr>
      <w:r w:rsidRPr="00EF6F97">
        <w:rPr>
          <w:rFonts w:ascii="Times New Roman" w:hAnsi="Times New Roman"/>
          <w:sz w:val="24"/>
          <w:szCs w:val="24"/>
        </w:rPr>
        <w:t xml:space="preserve">Brak w regulacjach dotyczących taryfowania odrębnych przepisów uwzględniających fakt, że energia </w:t>
      </w:r>
      <w:r w:rsidR="0031660F" w:rsidRPr="00EF6F97">
        <w:rPr>
          <w:rFonts w:ascii="Times New Roman" w:hAnsi="Times New Roman"/>
          <w:sz w:val="24"/>
          <w:szCs w:val="24"/>
        </w:rPr>
        <w:t xml:space="preserve">elektryczna </w:t>
      </w:r>
      <w:r w:rsidRPr="00EF6F97">
        <w:rPr>
          <w:rFonts w:ascii="Times New Roman" w:hAnsi="Times New Roman"/>
          <w:sz w:val="24"/>
          <w:szCs w:val="24"/>
        </w:rPr>
        <w:t>pobierana prze</w:t>
      </w:r>
      <w:r w:rsidR="001D0628">
        <w:rPr>
          <w:rFonts w:ascii="Times New Roman" w:hAnsi="Times New Roman"/>
          <w:sz w:val="24"/>
          <w:szCs w:val="24"/>
        </w:rPr>
        <w:t>z </w:t>
      </w:r>
      <w:r w:rsidR="00CB5761" w:rsidRPr="00EF6F97">
        <w:rPr>
          <w:rFonts w:ascii="Times New Roman" w:hAnsi="Times New Roman"/>
          <w:sz w:val="24"/>
          <w:szCs w:val="24"/>
        </w:rPr>
        <w:t xml:space="preserve">magazyn energii elektrycznej, </w:t>
      </w:r>
      <w:r w:rsidRPr="00EF6F97">
        <w:rPr>
          <w:rFonts w:ascii="Times New Roman" w:hAnsi="Times New Roman"/>
          <w:sz w:val="24"/>
          <w:szCs w:val="24"/>
        </w:rPr>
        <w:t>która następnie jest wprowadzana do sieci</w:t>
      </w:r>
      <w:r w:rsidR="00EB7C3D">
        <w:rPr>
          <w:rFonts w:ascii="Times New Roman" w:hAnsi="Times New Roman"/>
          <w:sz w:val="24"/>
          <w:szCs w:val="24"/>
        </w:rPr>
        <w:t>,</w:t>
      </w:r>
      <w:r w:rsidRPr="00EF6F97">
        <w:rPr>
          <w:rFonts w:ascii="Times New Roman" w:hAnsi="Times New Roman"/>
          <w:sz w:val="24"/>
          <w:szCs w:val="24"/>
        </w:rPr>
        <w:t xml:space="preserve"> nie jest zużyciem końcowym;</w:t>
      </w:r>
    </w:p>
    <w:p w14:paraId="1208BB25" w14:textId="5CD3DDED" w:rsidR="00B25FE4" w:rsidRDefault="00B25FE4" w:rsidP="00EF6F97">
      <w:pPr>
        <w:pStyle w:val="Akapitzlist"/>
        <w:numPr>
          <w:ilvl w:val="0"/>
          <w:numId w:val="30"/>
        </w:numPr>
        <w:spacing w:after="0" w:line="360" w:lineRule="auto"/>
        <w:ind w:left="426"/>
        <w:jc w:val="both"/>
        <w:rPr>
          <w:rFonts w:ascii="Times New Roman" w:hAnsi="Times New Roman"/>
          <w:sz w:val="24"/>
          <w:szCs w:val="24"/>
        </w:rPr>
      </w:pPr>
      <w:r w:rsidRPr="00EF6F97">
        <w:rPr>
          <w:rFonts w:ascii="Times New Roman" w:hAnsi="Times New Roman"/>
          <w:sz w:val="24"/>
          <w:szCs w:val="24"/>
        </w:rPr>
        <w:t>Niezdefiniowany status energii elektrycznej wprowadzanej do magazynu energii elektrycznej ora</w:t>
      </w:r>
      <w:r w:rsidR="001D0628">
        <w:rPr>
          <w:rFonts w:ascii="Times New Roman" w:hAnsi="Times New Roman"/>
          <w:sz w:val="24"/>
          <w:szCs w:val="24"/>
        </w:rPr>
        <w:t>z </w:t>
      </w:r>
      <w:r w:rsidRPr="00EF6F97">
        <w:rPr>
          <w:rFonts w:ascii="Times New Roman" w:hAnsi="Times New Roman"/>
          <w:sz w:val="24"/>
          <w:szCs w:val="24"/>
        </w:rPr>
        <w:t xml:space="preserve">energii wyprowadzanej </w:t>
      </w:r>
      <w:r w:rsidR="001D0628">
        <w:rPr>
          <w:rFonts w:ascii="Times New Roman" w:hAnsi="Times New Roman"/>
          <w:sz w:val="24"/>
          <w:szCs w:val="24"/>
        </w:rPr>
        <w:t>z </w:t>
      </w:r>
      <w:r w:rsidRPr="00EF6F97">
        <w:rPr>
          <w:rFonts w:ascii="Times New Roman" w:hAnsi="Times New Roman"/>
          <w:sz w:val="24"/>
          <w:szCs w:val="24"/>
        </w:rPr>
        <w:t xml:space="preserve">uwzględnieniem strat </w:t>
      </w:r>
      <w:r w:rsidR="001D0628">
        <w:rPr>
          <w:rFonts w:ascii="Times New Roman" w:hAnsi="Times New Roman"/>
          <w:sz w:val="24"/>
          <w:szCs w:val="24"/>
        </w:rPr>
        <w:t>z </w:t>
      </w:r>
      <w:r w:rsidRPr="00EF6F97">
        <w:rPr>
          <w:rFonts w:ascii="Times New Roman" w:hAnsi="Times New Roman"/>
          <w:sz w:val="24"/>
          <w:szCs w:val="24"/>
        </w:rPr>
        <w:t>magazynu energii elektrycznej w kontekście podatku akcyzowego ora</w:t>
      </w:r>
      <w:r w:rsidR="001D0628">
        <w:rPr>
          <w:rFonts w:ascii="Times New Roman" w:hAnsi="Times New Roman"/>
          <w:sz w:val="24"/>
          <w:szCs w:val="24"/>
        </w:rPr>
        <w:t>z </w:t>
      </w:r>
      <w:r w:rsidRPr="00EF6F97">
        <w:rPr>
          <w:rFonts w:ascii="Times New Roman" w:hAnsi="Times New Roman"/>
          <w:sz w:val="24"/>
          <w:szCs w:val="24"/>
        </w:rPr>
        <w:t>obowiązków przedstawiania do umorzenia świadectw pochodzenia (</w:t>
      </w:r>
      <w:r w:rsidR="001D0628">
        <w:rPr>
          <w:rFonts w:ascii="Times New Roman" w:hAnsi="Times New Roman"/>
          <w:sz w:val="24"/>
          <w:szCs w:val="24"/>
        </w:rPr>
        <w:t>z </w:t>
      </w:r>
      <w:r w:rsidRPr="00EF6F97">
        <w:rPr>
          <w:rFonts w:ascii="Times New Roman" w:hAnsi="Times New Roman"/>
          <w:sz w:val="24"/>
          <w:szCs w:val="24"/>
        </w:rPr>
        <w:t xml:space="preserve">OZE, </w:t>
      </w:r>
      <w:r w:rsidR="001D0628">
        <w:rPr>
          <w:rFonts w:ascii="Times New Roman" w:hAnsi="Times New Roman"/>
          <w:sz w:val="24"/>
          <w:szCs w:val="24"/>
        </w:rPr>
        <w:t>z </w:t>
      </w:r>
      <w:r w:rsidRPr="00EF6F97">
        <w:rPr>
          <w:rFonts w:ascii="Times New Roman" w:hAnsi="Times New Roman"/>
          <w:sz w:val="24"/>
          <w:szCs w:val="24"/>
        </w:rPr>
        <w:t>kogeneracji</w:t>
      </w:r>
      <w:r w:rsidR="001D0628">
        <w:rPr>
          <w:rFonts w:ascii="Times New Roman" w:hAnsi="Times New Roman"/>
          <w:sz w:val="24"/>
          <w:szCs w:val="24"/>
        </w:rPr>
        <w:t xml:space="preserve"> i </w:t>
      </w:r>
      <w:r w:rsidRPr="00EF6F97">
        <w:rPr>
          <w:rFonts w:ascii="Times New Roman" w:hAnsi="Times New Roman"/>
          <w:sz w:val="24"/>
          <w:szCs w:val="24"/>
        </w:rPr>
        <w:t>efektywności energetycznej).</w:t>
      </w:r>
    </w:p>
    <w:p w14:paraId="46F5A5BD" w14:textId="77777777" w:rsidR="00EB7C3D" w:rsidRPr="00EF6F97" w:rsidRDefault="00EB7C3D" w:rsidP="00EB7C3D">
      <w:pPr>
        <w:pStyle w:val="Akapitzlist"/>
        <w:spacing w:after="0" w:line="360" w:lineRule="auto"/>
        <w:ind w:left="426"/>
        <w:jc w:val="both"/>
        <w:rPr>
          <w:rFonts w:ascii="Times New Roman" w:hAnsi="Times New Roman"/>
          <w:sz w:val="24"/>
          <w:szCs w:val="24"/>
        </w:rPr>
      </w:pPr>
    </w:p>
    <w:p w14:paraId="740035B5" w14:textId="77777777" w:rsidR="0031660F" w:rsidRPr="00EF6F97" w:rsidRDefault="0031660F" w:rsidP="00EF6F97">
      <w:pPr>
        <w:spacing w:line="360" w:lineRule="auto"/>
        <w:jc w:val="both"/>
        <w:rPr>
          <w:rFonts w:ascii="Times New Roman" w:hAnsi="Times New Roman" w:cs="Times New Roman"/>
          <w:b/>
          <w:sz w:val="24"/>
          <w:szCs w:val="24"/>
        </w:rPr>
      </w:pPr>
      <w:r w:rsidRPr="00EF6F97">
        <w:rPr>
          <w:rFonts w:ascii="Times New Roman" w:hAnsi="Times New Roman" w:cs="Times New Roman"/>
          <w:b/>
          <w:sz w:val="24"/>
          <w:szCs w:val="24"/>
        </w:rPr>
        <w:t>Zakres proponowanych zmian obejmuje:</w:t>
      </w:r>
    </w:p>
    <w:p w14:paraId="47195498" w14:textId="747C45EB" w:rsidR="0031660F" w:rsidRPr="00EF6F97" w:rsidRDefault="0031660F"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W przypadku ustawy </w:t>
      </w:r>
      <w:r w:rsidR="003B64D6" w:rsidRPr="00EF6F97">
        <w:rPr>
          <w:rFonts w:ascii="Times New Roman" w:hAnsi="Times New Roman" w:cs="Times New Roman"/>
          <w:sz w:val="24"/>
          <w:szCs w:val="24"/>
        </w:rPr>
        <w:t>–</w:t>
      </w:r>
      <w:r w:rsidRPr="00EF6F97">
        <w:rPr>
          <w:rFonts w:ascii="Times New Roman" w:hAnsi="Times New Roman" w:cs="Times New Roman"/>
          <w:sz w:val="24"/>
          <w:szCs w:val="24"/>
        </w:rPr>
        <w:t xml:space="preserve"> Prawo energetyczne:</w:t>
      </w:r>
    </w:p>
    <w:p w14:paraId="31CF1E2A" w14:textId="77777777" w:rsidR="0031660F" w:rsidRPr="00EF6F97" w:rsidRDefault="0031660F" w:rsidP="00EF6F97">
      <w:pPr>
        <w:pStyle w:val="Akapitzlist"/>
        <w:numPr>
          <w:ilvl w:val="0"/>
          <w:numId w:val="32"/>
        </w:numPr>
        <w:spacing w:after="0" w:line="360" w:lineRule="auto"/>
        <w:ind w:left="426"/>
        <w:jc w:val="both"/>
        <w:rPr>
          <w:rFonts w:ascii="Times New Roman" w:hAnsi="Times New Roman"/>
          <w:sz w:val="24"/>
          <w:szCs w:val="24"/>
        </w:rPr>
      </w:pPr>
      <w:r w:rsidRPr="00EF6F97">
        <w:rPr>
          <w:rFonts w:ascii="Times New Roman" w:hAnsi="Times New Roman"/>
          <w:sz w:val="24"/>
          <w:szCs w:val="24"/>
        </w:rPr>
        <w:t>Wprowadzenie</w:t>
      </w:r>
      <w:r w:rsidR="001D0628">
        <w:rPr>
          <w:rFonts w:ascii="Times New Roman" w:hAnsi="Times New Roman"/>
          <w:sz w:val="24"/>
          <w:szCs w:val="24"/>
        </w:rPr>
        <w:t xml:space="preserve"> i </w:t>
      </w:r>
      <w:r w:rsidRPr="00EF6F97">
        <w:rPr>
          <w:rFonts w:ascii="Times New Roman" w:hAnsi="Times New Roman"/>
          <w:sz w:val="24"/>
          <w:szCs w:val="24"/>
        </w:rPr>
        <w:t>zmiana wybranych definicji;</w:t>
      </w:r>
    </w:p>
    <w:p w14:paraId="71C50E04" w14:textId="77777777" w:rsidR="0031660F" w:rsidRPr="00EF6F97" w:rsidRDefault="0031660F" w:rsidP="00EF6F97">
      <w:pPr>
        <w:pStyle w:val="Akapitzlist"/>
        <w:numPr>
          <w:ilvl w:val="0"/>
          <w:numId w:val="32"/>
        </w:numPr>
        <w:spacing w:after="0" w:line="360" w:lineRule="auto"/>
        <w:ind w:left="426"/>
        <w:jc w:val="both"/>
        <w:rPr>
          <w:rFonts w:ascii="Times New Roman" w:hAnsi="Times New Roman"/>
          <w:sz w:val="24"/>
          <w:szCs w:val="24"/>
        </w:rPr>
      </w:pPr>
      <w:r w:rsidRPr="00EF6F97">
        <w:rPr>
          <w:rFonts w:ascii="Times New Roman" w:hAnsi="Times New Roman"/>
          <w:sz w:val="24"/>
          <w:szCs w:val="24"/>
        </w:rPr>
        <w:t xml:space="preserve">Wyłączenie magazynowania energii elektrycznej </w:t>
      </w:r>
      <w:r w:rsidR="001D0628">
        <w:rPr>
          <w:rFonts w:ascii="Times New Roman" w:hAnsi="Times New Roman"/>
          <w:sz w:val="24"/>
          <w:szCs w:val="24"/>
        </w:rPr>
        <w:t>z </w:t>
      </w:r>
      <w:r w:rsidRPr="00EF6F97">
        <w:rPr>
          <w:rFonts w:ascii="Times New Roman" w:hAnsi="Times New Roman"/>
          <w:sz w:val="24"/>
          <w:szCs w:val="24"/>
        </w:rPr>
        <w:t>obowiązku sporządzania taryf;</w:t>
      </w:r>
    </w:p>
    <w:p w14:paraId="2FB7AAB6" w14:textId="77777777" w:rsidR="0031660F" w:rsidRPr="00EF6F97" w:rsidRDefault="0031660F" w:rsidP="00EF6F97">
      <w:pPr>
        <w:pStyle w:val="Akapitzlist"/>
        <w:numPr>
          <w:ilvl w:val="0"/>
          <w:numId w:val="32"/>
        </w:numPr>
        <w:spacing w:after="0" w:line="360" w:lineRule="auto"/>
        <w:ind w:left="426"/>
        <w:jc w:val="both"/>
        <w:rPr>
          <w:rFonts w:ascii="Times New Roman" w:hAnsi="Times New Roman"/>
          <w:sz w:val="24"/>
          <w:szCs w:val="24"/>
        </w:rPr>
      </w:pPr>
      <w:r w:rsidRPr="00EF6F97">
        <w:rPr>
          <w:rFonts w:ascii="Times New Roman" w:hAnsi="Times New Roman"/>
          <w:sz w:val="24"/>
          <w:szCs w:val="24"/>
        </w:rPr>
        <w:t>Określenie wymagań dotyczących koncesjonowania magazynowania energii elektrycznej</w:t>
      </w:r>
      <w:r w:rsidR="001D0628">
        <w:rPr>
          <w:rFonts w:ascii="Times New Roman" w:hAnsi="Times New Roman"/>
          <w:sz w:val="24"/>
          <w:szCs w:val="24"/>
        </w:rPr>
        <w:t xml:space="preserve"> i </w:t>
      </w:r>
      <w:r w:rsidRPr="00EF6F97">
        <w:rPr>
          <w:rFonts w:ascii="Times New Roman" w:hAnsi="Times New Roman"/>
          <w:sz w:val="24"/>
          <w:szCs w:val="24"/>
        </w:rPr>
        <w:t>rejestracji magazynów energii elektrycznej;</w:t>
      </w:r>
    </w:p>
    <w:p w14:paraId="341CDA51" w14:textId="77777777" w:rsidR="0031660F" w:rsidRPr="00EF6F97" w:rsidRDefault="0031660F" w:rsidP="00EF6F97">
      <w:pPr>
        <w:pStyle w:val="Akapitzlist"/>
        <w:numPr>
          <w:ilvl w:val="0"/>
          <w:numId w:val="32"/>
        </w:numPr>
        <w:spacing w:after="0" w:line="360" w:lineRule="auto"/>
        <w:ind w:left="426"/>
        <w:jc w:val="both"/>
        <w:rPr>
          <w:rFonts w:ascii="Times New Roman" w:hAnsi="Times New Roman"/>
          <w:sz w:val="24"/>
          <w:szCs w:val="24"/>
        </w:rPr>
      </w:pPr>
      <w:r w:rsidRPr="00EF6F97">
        <w:rPr>
          <w:rFonts w:ascii="Times New Roman" w:hAnsi="Times New Roman"/>
          <w:sz w:val="24"/>
          <w:szCs w:val="24"/>
        </w:rPr>
        <w:t>Określenie ogólnych wymagań dotyczących warunków przyłączenia do sieci magazynu energii elektrycznej lub urządzeń wytwórczych</w:t>
      </w:r>
      <w:r w:rsidR="001D0628">
        <w:rPr>
          <w:rFonts w:ascii="Times New Roman" w:hAnsi="Times New Roman"/>
          <w:sz w:val="24"/>
          <w:szCs w:val="24"/>
        </w:rPr>
        <w:t xml:space="preserve"> i </w:t>
      </w:r>
      <w:r w:rsidRPr="00EF6F97">
        <w:rPr>
          <w:rFonts w:ascii="Times New Roman" w:hAnsi="Times New Roman"/>
          <w:sz w:val="24"/>
          <w:szCs w:val="24"/>
        </w:rPr>
        <w:t>instalacji odbiorcy końcowego obejmujących magazyn energii elektrycznej;</w:t>
      </w:r>
    </w:p>
    <w:p w14:paraId="51F012DE" w14:textId="5E934CB1" w:rsidR="0031660F" w:rsidRPr="00EF6F97" w:rsidRDefault="0031660F" w:rsidP="00EF6F97">
      <w:pPr>
        <w:pStyle w:val="Akapitzlist"/>
        <w:numPr>
          <w:ilvl w:val="0"/>
          <w:numId w:val="32"/>
        </w:numPr>
        <w:spacing w:after="0" w:line="360" w:lineRule="auto"/>
        <w:ind w:left="426"/>
        <w:jc w:val="both"/>
        <w:rPr>
          <w:rFonts w:ascii="Times New Roman" w:hAnsi="Times New Roman"/>
          <w:sz w:val="24"/>
          <w:szCs w:val="24"/>
        </w:rPr>
      </w:pPr>
      <w:r w:rsidRPr="00EF6F97">
        <w:rPr>
          <w:rFonts w:ascii="Times New Roman" w:hAnsi="Times New Roman"/>
          <w:sz w:val="24"/>
          <w:szCs w:val="24"/>
        </w:rPr>
        <w:t>Określenie warunków technicznych</w:t>
      </w:r>
      <w:r w:rsidR="00D518ED">
        <w:rPr>
          <w:rFonts w:ascii="Times New Roman" w:hAnsi="Times New Roman"/>
          <w:sz w:val="24"/>
          <w:szCs w:val="24"/>
        </w:rPr>
        <w:t>,</w:t>
      </w:r>
      <w:r w:rsidRPr="00EF6F97">
        <w:rPr>
          <w:rFonts w:ascii="Times New Roman" w:hAnsi="Times New Roman"/>
          <w:sz w:val="24"/>
          <w:szCs w:val="24"/>
        </w:rPr>
        <w:t xml:space="preserve"> na jakich magazyn energii współpracuje </w:t>
      </w:r>
      <w:r w:rsidR="001D0628">
        <w:rPr>
          <w:rFonts w:ascii="Times New Roman" w:hAnsi="Times New Roman"/>
          <w:sz w:val="24"/>
          <w:szCs w:val="24"/>
        </w:rPr>
        <w:t>z </w:t>
      </w:r>
      <w:r w:rsidRPr="00EF6F97">
        <w:rPr>
          <w:rFonts w:ascii="Times New Roman" w:hAnsi="Times New Roman"/>
          <w:sz w:val="24"/>
          <w:szCs w:val="24"/>
        </w:rPr>
        <w:t>siecią</w:t>
      </w:r>
      <w:r w:rsidR="00D518ED">
        <w:rPr>
          <w:rFonts w:ascii="Times New Roman" w:hAnsi="Times New Roman"/>
          <w:sz w:val="24"/>
          <w:szCs w:val="24"/>
        </w:rPr>
        <w:t>;</w:t>
      </w:r>
    </w:p>
    <w:p w14:paraId="0210A665" w14:textId="0BE4A9AD" w:rsidR="0031660F" w:rsidRPr="00EF6F97" w:rsidRDefault="0031660F" w:rsidP="00EF6F97">
      <w:pPr>
        <w:pStyle w:val="Akapitzlist"/>
        <w:numPr>
          <w:ilvl w:val="0"/>
          <w:numId w:val="32"/>
        </w:numPr>
        <w:spacing w:after="0" w:line="360" w:lineRule="auto"/>
        <w:ind w:left="426"/>
        <w:jc w:val="both"/>
        <w:rPr>
          <w:rFonts w:ascii="Times New Roman" w:hAnsi="Times New Roman"/>
          <w:sz w:val="24"/>
          <w:szCs w:val="24"/>
        </w:rPr>
      </w:pPr>
      <w:r w:rsidRPr="00EF6F97">
        <w:rPr>
          <w:rFonts w:ascii="Times New Roman" w:hAnsi="Times New Roman"/>
          <w:sz w:val="24"/>
          <w:szCs w:val="24"/>
        </w:rPr>
        <w:t>Określenie warunków</w:t>
      </w:r>
      <w:r w:rsidR="00D518ED">
        <w:rPr>
          <w:rFonts w:ascii="Times New Roman" w:hAnsi="Times New Roman"/>
          <w:sz w:val="24"/>
          <w:szCs w:val="24"/>
        </w:rPr>
        <w:t>,</w:t>
      </w:r>
      <w:r w:rsidRPr="00EF6F97">
        <w:rPr>
          <w:rFonts w:ascii="Times New Roman" w:hAnsi="Times New Roman"/>
          <w:sz w:val="24"/>
          <w:szCs w:val="24"/>
        </w:rPr>
        <w:t xml:space="preserve"> na jakich magazyn energii elektrycznej może być uwzględniony w planie rozwoju jako substytut rozbudowy sieci;</w:t>
      </w:r>
    </w:p>
    <w:p w14:paraId="53CC18B4" w14:textId="53F21A1C" w:rsidR="0031660F" w:rsidRPr="00EF6F97" w:rsidRDefault="0031660F" w:rsidP="00EF6F97">
      <w:pPr>
        <w:pStyle w:val="Akapitzlist"/>
        <w:numPr>
          <w:ilvl w:val="0"/>
          <w:numId w:val="32"/>
        </w:numPr>
        <w:spacing w:after="0" w:line="360" w:lineRule="auto"/>
        <w:ind w:left="426"/>
        <w:jc w:val="both"/>
        <w:rPr>
          <w:rFonts w:ascii="Times New Roman" w:hAnsi="Times New Roman"/>
          <w:sz w:val="24"/>
          <w:szCs w:val="24"/>
        </w:rPr>
      </w:pPr>
      <w:r w:rsidRPr="00EF6F97">
        <w:rPr>
          <w:rFonts w:ascii="Times New Roman" w:hAnsi="Times New Roman"/>
          <w:sz w:val="24"/>
          <w:szCs w:val="24"/>
        </w:rPr>
        <w:lastRenderedPageBreak/>
        <w:t>Zmian</w:t>
      </w:r>
      <w:r w:rsidR="00F52D76">
        <w:rPr>
          <w:rFonts w:ascii="Times New Roman" w:hAnsi="Times New Roman"/>
          <w:sz w:val="24"/>
          <w:szCs w:val="24"/>
        </w:rPr>
        <w:t>ę</w:t>
      </w:r>
      <w:r w:rsidRPr="00EF6F97">
        <w:rPr>
          <w:rFonts w:ascii="Times New Roman" w:hAnsi="Times New Roman"/>
          <w:sz w:val="24"/>
          <w:szCs w:val="24"/>
        </w:rPr>
        <w:t xml:space="preserve"> zasad rozliczania energii elektrycznej pobranej </w:t>
      </w:r>
      <w:r w:rsidR="001D0628">
        <w:rPr>
          <w:rFonts w:ascii="Times New Roman" w:hAnsi="Times New Roman"/>
          <w:sz w:val="24"/>
          <w:szCs w:val="24"/>
        </w:rPr>
        <w:t>z </w:t>
      </w:r>
      <w:r w:rsidRPr="00EF6F97">
        <w:rPr>
          <w:rFonts w:ascii="Times New Roman" w:hAnsi="Times New Roman"/>
          <w:sz w:val="24"/>
          <w:szCs w:val="24"/>
        </w:rPr>
        <w:t>sieci na potrzeby magazynowania energii elektrycznej</w:t>
      </w:r>
      <w:r w:rsidR="00CA423C">
        <w:rPr>
          <w:rFonts w:ascii="Times New Roman" w:hAnsi="Times New Roman"/>
          <w:sz w:val="24"/>
          <w:szCs w:val="24"/>
        </w:rPr>
        <w:t>;</w:t>
      </w:r>
    </w:p>
    <w:p w14:paraId="57DC8B15" w14:textId="06DB8D69" w:rsidR="0031660F" w:rsidRPr="00EF6F97" w:rsidRDefault="0031660F" w:rsidP="00EF6F97">
      <w:pPr>
        <w:pStyle w:val="Akapitzlist"/>
        <w:numPr>
          <w:ilvl w:val="0"/>
          <w:numId w:val="32"/>
        </w:numPr>
        <w:spacing w:after="0" w:line="360" w:lineRule="auto"/>
        <w:ind w:left="426"/>
        <w:jc w:val="both"/>
        <w:rPr>
          <w:rFonts w:ascii="Times New Roman" w:hAnsi="Times New Roman"/>
          <w:sz w:val="24"/>
          <w:szCs w:val="24"/>
        </w:rPr>
      </w:pPr>
      <w:r w:rsidRPr="00EF6F97">
        <w:rPr>
          <w:rFonts w:ascii="Times New Roman" w:hAnsi="Times New Roman"/>
          <w:sz w:val="24"/>
          <w:szCs w:val="24"/>
        </w:rPr>
        <w:t>Zmian</w:t>
      </w:r>
      <w:r w:rsidR="00F52D76">
        <w:rPr>
          <w:rFonts w:ascii="Times New Roman" w:hAnsi="Times New Roman"/>
          <w:sz w:val="24"/>
          <w:szCs w:val="24"/>
        </w:rPr>
        <w:t>ę</w:t>
      </w:r>
      <w:r w:rsidRPr="00EF6F97">
        <w:rPr>
          <w:rFonts w:ascii="Times New Roman" w:hAnsi="Times New Roman"/>
          <w:sz w:val="24"/>
          <w:szCs w:val="24"/>
        </w:rPr>
        <w:t xml:space="preserve"> dotycząc</w:t>
      </w:r>
      <w:r w:rsidR="00F52D76">
        <w:rPr>
          <w:rFonts w:ascii="Times New Roman" w:hAnsi="Times New Roman"/>
          <w:sz w:val="24"/>
          <w:szCs w:val="24"/>
        </w:rPr>
        <w:t>ą</w:t>
      </w:r>
      <w:r w:rsidRPr="00EF6F97">
        <w:rPr>
          <w:rFonts w:ascii="Times New Roman" w:hAnsi="Times New Roman"/>
          <w:sz w:val="24"/>
          <w:szCs w:val="24"/>
        </w:rPr>
        <w:t xml:space="preserve"> delegacji do opracowania rozporządzenia taryfowego;</w:t>
      </w:r>
    </w:p>
    <w:p w14:paraId="42D07F5E" w14:textId="2FCC9969" w:rsidR="0031660F" w:rsidRPr="00EF6F97" w:rsidRDefault="0031660F" w:rsidP="00EF6F97">
      <w:pPr>
        <w:pStyle w:val="Akapitzlist"/>
        <w:numPr>
          <w:ilvl w:val="0"/>
          <w:numId w:val="32"/>
        </w:numPr>
        <w:spacing w:after="0" w:line="360" w:lineRule="auto"/>
        <w:ind w:left="426"/>
        <w:jc w:val="both"/>
        <w:rPr>
          <w:rFonts w:ascii="Times New Roman" w:hAnsi="Times New Roman"/>
          <w:sz w:val="24"/>
          <w:szCs w:val="24"/>
        </w:rPr>
      </w:pPr>
      <w:r w:rsidRPr="00EF6F97">
        <w:rPr>
          <w:rFonts w:ascii="Times New Roman" w:hAnsi="Times New Roman"/>
          <w:sz w:val="24"/>
          <w:szCs w:val="24"/>
        </w:rPr>
        <w:t xml:space="preserve">Zwolnienie </w:t>
      </w:r>
      <w:r w:rsidR="001D0628">
        <w:rPr>
          <w:rFonts w:ascii="Times New Roman" w:hAnsi="Times New Roman"/>
          <w:sz w:val="24"/>
          <w:szCs w:val="24"/>
        </w:rPr>
        <w:t>z </w:t>
      </w:r>
      <w:r w:rsidRPr="00EF6F97">
        <w:rPr>
          <w:rFonts w:ascii="Times New Roman" w:hAnsi="Times New Roman"/>
          <w:sz w:val="24"/>
          <w:szCs w:val="24"/>
        </w:rPr>
        <w:t>obowiązku przedstawiania do umorzenia świadectw pochodzenia w odniesieniu do energii elektrycznej pobranej</w:t>
      </w:r>
      <w:r w:rsidR="001D0628">
        <w:rPr>
          <w:rFonts w:ascii="Times New Roman" w:hAnsi="Times New Roman"/>
          <w:sz w:val="24"/>
          <w:szCs w:val="24"/>
        </w:rPr>
        <w:t xml:space="preserve"> i </w:t>
      </w:r>
      <w:r w:rsidRPr="00EF6F97">
        <w:rPr>
          <w:rFonts w:ascii="Times New Roman" w:hAnsi="Times New Roman"/>
          <w:sz w:val="24"/>
          <w:szCs w:val="24"/>
        </w:rPr>
        <w:t>zużytej prze</w:t>
      </w:r>
      <w:r w:rsidR="001D0628">
        <w:rPr>
          <w:rFonts w:ascii="Times New Roman" w:hAnsi="Times New Roman"/>
          <w:sz w:val="24"/>
          <w:szCs w:val="24"/>
        </w:rPr>
        <w:t>z </w:t>
      </w:r>
      <w:r w:rsidRPr="00EF6F97">
        <w:rPr>
          <w:rFonts w:ascii="Times New Roman" w:hAnsi="Times New Roman"/>
          <w:sz w:val="24"/>
          <w:szCs w:val="24"/>
        </w:rPr>
        <w:t>magazyn energii elektrycznej na potrzeby magazynowania energii elektrycznej</w:t>
      </w:r>
      <w:r w:rsidR="00D518ED">
        <w:rPr>
          <w:rFonts w:ascii="Times New Roman" w:hAnsi="Times New Roman"/>
          <w:sz w:val="24"/>
          <w:szCs w:val="24"/>
        </w:rPr>
        <w:t>;</w:t>
      </w:r>
    </w:p>
    <w:p w14:paraId="53B311B6" w14:textId="77777777" w:rsidR="0031660F" w:rsidRPr="00EF6F97" w:rsidRDefault="0031660F" w:rsidP="00EF6F97">
      <w:pPr>
        <w:pStyle w:val="Akapitzlist"/>
        <w:numPr>
          <w:ilvl w:val="0"/>
          <w:numId w:val="32"/>
        </w:numPr>
        <w:spacing w:after="0" w:line="360" w:lineRule="auto"/>
        <w:ind w:left="426"/>
        <w:jc w:val="both"/>
        <w:rPr>
          <w:rFonts w:ascii="Times New Roman" w:hAnsi="Times New Roman"/>
          <w:sz w:val="24"/>
          <w:szCs w:val="24"/>
        </w:rPr>
      </w:pPr>
      <w:r w:rsidRPr="00EF6F97">
        <w:rPr>
          <w:rFonts w:ascii="Times New Roman" w:hAnsi="Times New Roman"/>
          <w:sz w:val="24"/>
          <w:szCs w:val="24"/>
        </w:rPr>
        <w:t>Wprowadzenie uprawnienia do posiadania magazynów energii elektrycznej prze</w:t>
      </w:r>
      <w:r w:rsidR="001D0628">
        <w:rPr>
          <w:rFonts w:ascii="Times New Roman" w:hAnsi="Times New Roman"/>
          <w:sz w:val="24"/>
          <w:szCs w:val="24"/>
        </w:rPr>
        <w:t>z </w:t>
      </w:r>
      <w:r w:rsidRPr="00EF6F97">
        <w:rPr>
          <w:rFonts w:ascii="Times New Roman" w:hAnsi="Times New Roman"/>
          <w:sz w:val="24"/>
          <w:szCs w:val="24"/>
        </w:rPr>
        <w:t>OSP</w:t>
      </w:r>
      <w:r w:rsidR="001D0628">
        <w:rPr>
          <w:rFonts w:ascii="Times New Roman" w:hAnsi="Times New Roman"/>
          <w:sz w:val="24"/>
          <w:szCs w:val="24"/>
        </w:rPr>
        <w:t xml:space="preserve"> i </w:t>
      </w:r>
      <w:r w:rsidRPr="00EF6F97">
        <w:rPr>
          <w:rFonts w:ascii="Times New Roman" w:hAnsi="Times New Roman"/>
          <w:sz w:val="24"/>
          <w:szCs w:val="24"/>
        </w:rPr>
        <w:t>OSD;</w:t>
      </w:r>
    </w:p>
    <w:p w14:paraId="17BB67C9" w14:textId="77777777" w:rsidR="0031660F" w:rsidRPr="00EF6F97" w:rsidRDefault="0031660F" w:rsidP="00EF6F97">
      <w:pPr>
        <w:pStyle w:val="Akapitzlist"/>
        <w:numPr>
          <w:ilvl w:val="0"/>
          <w:numId w:val="32"/>
        </w:numPr>
        <w:spacing w:after="0" w:line="360" w:lineRule="auto"/>
        <w:ind w:left="426"/>
        <w:jc w:val="both"/>
        <w:rPr>
          <w:rFonts w:ascii="Times New Roman" w:hAnsi="Times New Roman"/>
          <w:sz w:val="24"/>
          <w:szCs w:val="24"/>
        </w:rPr>
      </w:pPr>
      <w:r w:rsidRPr="00EF6F97">
        <w:rPr>
          <w:rFonts w:ascii="Times New Roman" w:hAnsi="Times New Roman"/>
          <w:sz w:val="24"/>
          <w:szCs w:val="24"/>
        </w:rPr>
        <w:t xml:space="preserve">Wprowadzenie regulacji dotyczących istniejących magazynów energii elektrycznej, w tym elektrowni szczytowo-pompowych; </w:t>
      </w:r>
    </w:p>
    <w:p w14:paraId="0B893661" w14:textId="216B5177" w:rsidR="0031660F" w:rsidRPr="00EF6F97" w:rsidRDefault="0031660F" w:rsidP="00EF6F97">
      <w:pPr>
        <w:pStyle w:val="Akapitzlist"/>
        <w:numPr>
          <w:ilvl w:val="0"/>
          <w:numId w:val="32"/>
        </w:numPr>
        <w:spacing w:after="0" w:line="360" w:lineRule="auto"/>
        <w:ind w:left="426"/>
        <w:jc w:val="both"/>
        <w:rPr>
          <w:rFonts w:ascii="Times New Roman" w:hAnsi="Times New Roman"/>
          <w:sz w:val="24"/>
          <w:szCs w:val="24"/>
        </w:rPr>
      </w:pPr>
      <w:r w:rsidRPr="00EF6F97">
        <w:rPr>
          <w:rFonts w:ascii="Times New Roman" w:hAnsi="Times New Roman"/>
          <w:sz w:val="24"/>
          <w:szCs w:val="24"/>
        </w:rPr>
        <w:t xml:space="preserve">Wprowadzenie </w:t>
      </w:r>
      <w:r w:rsidR="00CD6568">
        <w:rPr>
          <w:rFonts w:ascii="Times New Roman" w:hAnsi="Times New Roman"/>
          <w:sz w:val="24"/>
          <w:szCs w:val="24"/>
        </w:rPr>
        <w:t xml:space="preserve">obniżenia </w:t>
      </w:r>
      <w:r w:rsidRPr="00EF6F97">
        <w:rPr>
          <w:rFonts w:ascii="Times New Roman" w:hAnsi="Times New Roman"/>
          <w:sz w:val="24"/>
          <w:szCs w:val="24"/>
        </w:rPr>
        <w:t>opłat</w:t>
      </w:r>
      <w:r w:rsidR="00CD6568">
        <w:rPr>
          <w:rFonts w:ascii="Times New Roman" w:hAnsi="Times New Roman"/>
          <w:sz w:val="24"/>
          <w:szCs w:val="24"/>
        </w:rPr>
        <w:t>y</w:t>
      </w:r>
      <w:r w:rsidRPr="00EF6F97">
        <w:rPr>
          <w:rFonts w:ascii="Times New Roman" w:hAnsi="Times New Roman"/>
          <w:sz w:val="24"/>
          <w:szCs w:val="24"/>
        </w:rPr>
        <w:t xml:space="preserve"> za przyłączenie do sieci magazynów energii elektrycznej.</w:t>
      </w:r>
    </w:p>
    <w:p w14:paraId="29F7EF19" w14:textId="77777777" w:rsidR="0031660F" w:rsidRPr="00EF6F97" w:rsidRDefault="0031660F"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W przypadku ustawy o odnawialnych źródłach energii:</w:t>
      </w:r>
    </w:p>
    <w:p w14:paraId="279C4CFA" w14:textId="6DCD5CE8" w:rsidR="0031660F" w:rsidRPr="00EF6F97" w:rsidRDefault="0031660F" w:rsidP="00EF6F97">
      <w:pPr>
        <w:pStyle w:val="Akapitzlist"/>
        <w:numPr>
          <w:ilvl w:val="3"/>
          <w:numId w:val="34"/>
        </w:numPr>
        <w:spacing w:after="0" w:line="360" w:lineRule="auto"/>
        <w:ind w:left="426"/>
        <w:jc w:val="both"/>
        <w:rPr>
          <w:rFonts w:ascii="Times New Roman" w:hAnsi="Times New Roman"/>
          <w:sz w:val="24"/>
          <w:szCs w:val="24"/>
        </w:rPr>
      </w:pPr>
      <w:r w:rsidRPr="00EF6F97">
        <w:rPr>
          <w:rFonts w:ascii="Times New Roman" w:hAnsi="Times New Roman"/>
          <w:sz w:val="24"/>
          <w:szCs w:val="24"/>
        </w:rPr>
        <w:t>Zmian</w:t>
      </w:r>
      <w:r w:rsidR="00F52D76">
        <w:rPr>
          <w:rFonts w:ascii="Times New Roman" w:hAnsi="Times New Roman"/>
          <w:sz w:val="24"/>
          <w:szCs w:val="24"/>
        </w:rPr>
        <w:t>ę</w:t>
      </w:r>
      <w:r w:rsidRPr="00EF6F97">
        <w:rPr>
          <w:rFonts w:ascii="Times New Roman" w:hAnsi="Times New Roman"/>
          <w:sz w:val="24"/>
          <w:szCs w:val="24"/>
        </w:rPr>
        <w:t xml:space="preserve"> istniejących definicji odpowiednio do zmian w ustawie </w:t>
      </w:r>
      <w:r w:rsidR="00F52D76" w:rsidRPr="00EF6F97">
        <w:rPr>
          <w:rFonts w:ascii="Times New Roman" w:hAnsi="Times New Roman"/>
          <w:sz w:val="24"/>
          <w:szCs w:val="24"/>
        </w:rPr>
        <w:t>–</w:t>
      </w:r>
      <w:r w:rsidRPr="00EF6F97">
        <w:rPr>
          <w:rFonts w:ascii="Times New Roman" w:hAnsi="Times New Roman"/>
          <w:sz w:val="24"/>
          <w:szCs w:val="24"/>
        </w:rPr>
        <w:t xml:space="preserve"> Prawo energetyczne;</w:t>
      </w:r>
    </w:p>
    <w:p w14:paraId="3241E3D2" w14:textId="6538B893" w:rsidR="0031660F" w:rsidRPr="00EF6F97" w:rsidRDefault="0031660F" w:rsidP="00EF6F97">
      <w:pPr>
        <w:pStyle w:val="Akapitzlist"/>
        <w:numPr>
          <w:ilvl w:val="3"/>
          <w:numId w:val="34"/>
        </w:numPr>
        <w:spacing w:after="0" w:line="360" w:lineRule="auto"/>
        <w:ind w:left="426"/>
        <w:jc w:val="both"/>
        <w:rPr>
          <w:rFonts w:ascii="Times New Roman" w:hAnsi="Times New Roman"/>
          <w:sz w:val="24"/>
          <w:szCs w:val="24"/>
        </w:rPr>
      </w:pPr>
      <w:r w:rsidRPr="00EF6F97">
        <w:rPr>
          <w:rFonts w:ascii="Times New Roman" w:hAnsi="Times New Roman"/>
          <w:sz w:val="24"/>
          <w:szCs w:val="24"/>
        </w:rPr>
        <w:t xml:space="preserve">Wprowadzenie możliwości pobierania energii elektrycznej </w:t>
      </w:r>
      <w:r w:rsidR="001D0628">
        <w:rPr>
          <w:rFonts w:ascii="Times New Roman" w:hAnsi="Times New Roman"/>
          <w:sz w:val="24"/>
          <w:szCs w:val="24"/>
        </w:rPr>
        <w:t>z </w:t>
      </w:r>
      <w:r w:rsidRPr="00EF6F97">
        <w:rPr>
          <w:rFonts w:ascii="Times New Roman" w:hAnsi="Times New Roman"/>
          <w:sz w:val="24"/>
          <w:szCs w:val="24"/>
        </w:rPr>
        <w:t>sieci prze</w:t>
      </w:r>
      <w:r w:rsidR="001D0628">
        <w:rPr>
          <w:rFonts w:ascii="Times New Roman" w:hAnsi="Times New Roman"/>
          <w:sz w:val="24"/>
          <w:szCs w:val="24"/>
        </w:rPr>
        <w:t>z </w:t>
      </w:r>
      <w:r w:rsidRPr="00EF6F97">
        <w:rPr>
          <w:rFonts w:ascii="Times New Roman" w:hAnsi="Times New Roman"/>
          <w:sz w:val="24"/>
          <w:szCs w:val="24"/>
        </w:rPr>
        <w:t>magazyn energii elektrycznej stanowiący część instalacji odnawialnego źródła energii lub hybrydowej instalacji odnawialnego źródła energii be</w:t>
      </w:r>
      <w:r w:rsidR="001D0628">
        <w:rPr>
          <w:rFonts w:ascii="Times New Roman" w:hAnsi="Times New Roman"/>
          <w:sz w:val="24"/>
          <w:szCs w:val="24"/>
        </w:rPr>
        <w:t>z </w:t>
      </w:r>
      <w:r w:rsidRPr="00EF6F97">
        <w:rPr>
          <w:rFonts w:ascii="Times New Roman" w:hAnsi="Times New Roman"/>
          <w:sz w:val="24"/>
          <w:szCs w:val="24"/>
        </w:rPr>
        <w:t>utraty praw do certyfikatów</w:t>
      </w:r>
      <w:r w:rsidR="001D0628">
        <w:rPr>
          <w:rFonts w:ascii="Times New Roman" w:hAnsi="Times New Roman"/>
          <w:sz w:val="24"/>
          <w:szCs w:val="24"/>
        </w:rPr>
        <w:t xml:space="preserve"> i </w:t>
      </w:r>
      <w:r w:rsidRPr="00EF6F97">
        <w:rPr>
          <w:rFonts w:ascii="Times New Roman" w:hAnsi="Times New Roman"/>
          <w:sz w:val="24"/>
          <w:szCs w:val="24"/>
        </w:rPr>
        <w:t xml:space="preserve">uprawnień wynikających </w:t>
      </w:r>
      <w:r w:rsidR="001D0628">
        <w:rPr>
          <w:rFonts w:ascii="Times New Roman" w:hAnsi="Times New Roman"/>
          <w:sz w:val="24"/>
          <w:szCs w:val="24"/>
        </w:rPr>
        <w:t>z </w:t>
      </w:r>
      <w:r w:rsidRPr="00EF6F97">
        <w:rPr>
          <w:rFonts w:ascii="Times New Roman" w:hAnsi="Times New Roman"/>
          <w:sz w:val="24"/>
          <w:szCs w:val="24"/>
        </w:rPr>
        <w:t>innych systemów wsparcia</w:t>
      </w:r>
      <w:r w:rsidR="00F52D76">
        <w:rPr>
          <w:rFonts w:ascii="Times New Roman" w:hAnsi="Times New Roman"/>
          <w:sz w:val="24"/>
          <w:szCs w:val="24"/>
        </w:rPr>
        <w:t>;</w:t>
      </w:r>
    </w:p>
    <w:p w14:paraId="24CDB054" w14:textId="77777777" w:rsidR="0031660F" w:rsidRPr="00EF6F97" w:rsidRDefault="0031660F" w:rsidP="00EF6F97">
      <w:pPr>
        <w:pStyle w:val="Akapitzlist"/>
        <w:numPr>
          <w:ilvl w:val="3"/>
          <w:numId w:val="34"/>
        </w:numPr>
        <w:spacing w:after="0" w:line="360" w:lineRule="auto"/>
        <w:ind w:left="426"/>
        <w:jc w:val="both"/>
        <w:rPr>
          <w:rFonts w:ascii="Times New Roman" w:hAnsi="Times New Roman"/>
          <w:sz w:val="24"/>
          <w:szCs w:val="24"/>
        </w:rPr>
      </w:pPr>
      <w:r w:rsidRPr="00EF6F97">
        <w:rPr>
          <w:rFonts w:ascii="Times New Roman" w:hAnsi="Times New Roman"/>
          <w:sz w:val="24"/>
          <w:szCs w:val="24"/>
        </w:rPr>
        <w:t>Wprowadzenie obowiązków opomiarowania źródeł OZE</w:t>
      </w:r>
      <w:r w:rsidR="001D0628">
        <w:rPr>
          <w:rFonts w:ascii="Times New Roman" w:hAnsi="Times New Roman"/>
          <w:sz w:val="24"/>
          <w:szCs w:val="24"/>
        </w:rPr>
        <w:t xml:space="preserve"> i </w:t>
      </w:r>
      <w:r w:rsidRPr="00EF6F97">
        <w:rPr>
          <w:rFonts w:ascii="Times New Roman" w:hAnsi="Times New Roman"/>
          <w:sz w:val="24"/>
          <w:szCs w:val="24"/>
        </w:rPr>
        <w:t>uzależnienie praw do certyfikatów</w:t>
      </w:r>
      <w:r w:rsidR="001D0628">
        <w:rPr>
          <w:rFonts w:ascii="Times New Roman" w:hAnsi="Times New Roman"/>
          <w:sz w:val="24"/>
          <w:szCs w:val="24"/>
        </w:rPr>
        <w:t xml:space="preserve"> i </w:t>
      </w:r>
      <w:r w:rsidRPr="00EF6F97">
        <w:rPr>
          <w:rFonts w:ascii="Times New Roman" w:hAnsi="Times New Roman"/>
          <w:sz w:val="24"/>
          <w:szCs w:val="24"/>
        </w:rPr>
        <w:t xml:space="preserve">uprawnień wynikających </w:t>
      </w:r>
      <w:r w:rsidR="001D0628">
        <w:rPr>
          <w:rFonts w:ascii="Times New Roman" w:hAnsi="Times New Roman"/>
          <w:sz w:val="24"/>
          <w:szCs w:val="24"/>
        </w:rPr>
        <w:t>z </w:t>
      </w:r>
      <w:r w:rsidRPr="00EF6F97">
        <w:rPr>
          <w:rFonts w:ascii="Times New Roman" w:hAnsi="Times New Roman"/>
          <w:sz w:val="24"/>
          <w:szCs w:val="24"/>
        </w:rPr>
        <w:t>innych systemów wsparcia od prawidłowego opomiarowania magazynu energii elektrycznej.</w:t>
      </w:r>
    </w:p>
    <w:p w14:paraId="01F25379" w14:textId="77777777" w:rsidR="0031660F"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31660F" w:rsidRPr="00EF6F97">
        <w:rPr>
          <w:rFonts w:ascii="Times New Roman" w:hAnsi="Times New Roman" w:cs="Times New Roman"/>
          <w:sz w:val="24"/>
          <w:szCs w:val="24"/>
        </w:rPr>
        <w:t>Ponadto proponuje się wprowadzenie odpowiednich zmian w ustawie o rynku mocy</w:t>
      </w:r>
      <w:r w:rsidR="001D0628">
        <w:rPr>
          <w:rFonts w:ascii="Times New Roman" w:hAnsi="Times New Roman" w:cs="Times New Roman"/>
          <w:sz w:val="24"/>
          <w:szCs w:val="24"/>
        </w:rPr>
        <w:t xml:space="preserve"> i </w:t>
      </w:r>
      <w:r w:rsidR="0031660F" w:rsidRPr="00EF6F97">
        <w:rPr>
          <w:rFonts w:ascii="Times New Roman" w:hAnsi="Times New Roman" w:cs="Times New Roman"/>
          <w:sz w:val="24"/>
          <w:szCs w:val="24"/>
        </w:rPr>
        <w:t>ustawie o podatku akcyzowym.</w:t>
      </w:r>
    </w:p>
    <w:p w14:paraId="4878EAF9" w14:textId="77777777" w:rsidR="00695DE8" w:rsidRPr="00EF6F97" w:rsidRDefault="00695DE8" w:rsidP="00EF6F97">
      <w:pPr>
        <w:spacing w:line="360" w:lineRule="auto"/>
        <w:jc w:val="both"/>
        <w:rPr>
          <w:rFonts w:ascii="Times New Roman" w:hAnsi="Times New Roman" w:cs="Times New Roman"/>
          <w:b/>
          <w:sz w:val="24"/>
          <w:szCs w:val="24"/>
        </w:rPr>
      </w:pPr>
    </w:p>
    <w:p w14:paraId="61DB3E21" w14:textId="77777777" w:rsidR="00A00414" w:rsidRPr="00EF6F97" w:rsidRDefault="00A00414" w:rsidP="00EF6F97">
      <w:pPr>
        <w:spacing w:line="360" w:lineRule="auto"/>
        <w:jc w:val="both"/>
        <w:rPr>
          <w:rFonts w:ascii="Times New Roman" w:hAnsi="Times New Roman" w:cs="Times New Roman"/>
          <w:b/>
          <w:sz w:val="24"/>
          <w:szCs w:val="24"/>
        </w:rPr>
      </w:pPr>
      <w:r w:rsidRPr="00EF6F97">
        <w:rPr>
          <w:rFonts w:ascii="Times New Roman" w:hAnsi="Times New Roman" w:cs="Times New Roman"/>
          <w:b/>
          <w:sz w:val="24"/>
          <w:szCs w:val="24"/>
        </w:rPr>
        <w:t>W kontekście realizacji celów polityki energetycznej, w tym ograniczenia emisji CO</w:t>
      </w:r>
      <w:r w:rsidRPr="00EB2609">
        <w:rPr>
          <w:rFonts w:ascii="Times New Roman" w:hAnsi="Times New Roman" w:cs="Times New Roman"/>
          <w:b/>
          <w:sz w:val="24"/>
          <w:szCs w:val="24"/>
          <w:vertAlign w:val="subscript"/>
        </w:rPr>
        <w:t>2</w:t>
      </w:r>
    </w:p>
    <w:p w14:paraId="32EB6981" w14:textId="081729AE"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34DCE" w:rsidRPr="00EF6F97">
        <w:rPr>
          <w:rFonts w:ascii="Times New Roman" w:hAnsi="Times New Roman" w:cs="Times New Roman"/>
          <w:sz w:val="24"/>
          <w:szCs w:val="24"/>
        </w:rPr>
        <w:t xml:space="preserve">Polityka klimatyczna UE postrzega technologie magazynowania energii elektrycznej jako kluczowe dla wzrostu wykorzystania energii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OZE. Większe wykorzystanie magazynów energii wspiera zatem realizowanie ambitnych celów unijnej polityki w zakresie en</w:t>
      </w:r>
      <w:r w:rsidR="00CB5761" w:rsidRPr="00EF6F97">
        <w:rPr>
          <w:rFonts w:ascii="Times New Roman" w:hAnsi="Times New Roman" w:cs="Times New Roman"/>
          <w:sz w:val="24"/>
          <w:szCs w:val="24"/>
        </w:rPr>
        <w:t>ergii</w:t>
      </w:r>
      <w:r w:rsidR="001D0628">
        <w:rPr>
          <w:rFonts w:ascii="Times New Roman" w:hAnsi="Times New Roman" w:cs="Times New Roman"/>
          <w:sz w:val="24"/>
          <w:szCs w:val="24"/>
        </w:rPr>
        <w:t xml:space="preserve"> i </w:t>
      </w:r>
      <w:r w:rsidR="00CB5761" w:rsidRPr="00EF6F97">
        <w:rPr>
          <w:rFonts w:ascii="Times New Roman" w:hAnsi="Times New Roman" w:cs="Times New Roman"/>
          <w:sz w:val="24"/>
          <w:szCs w:val="24"/>
        </w:rPr>
        <w:t xml:space="preserve">klimatu, przewidującej </w:t>
      </w:r>
      <w:r w:rsidR="00634DCE" w:rsidRPr="00EF6F97">
        <w:rPr>
          <w:rFonts w:ascii="Times New Roman" w:hAnsi="Times New Roman" w:cs="Times New Roman"/>
          <w:sz w:val="24"/>
          <w:szCs w:val="24"/>
        </w:rPr>
        <w:t>ograniczenie emisji gazów cieplarnianych o 20% w 2020</w:t>
      </w:r>
      <w:r w:rsidR="001D0628">
        <w:rPr>
          <w:rFonts w:ascii="Times New Roman" w:hAnsi="Times New Roman" w:cs="Times New Roman"/>
          <w:sz w:val="24"/>
          <w:szCs w:val="24"/>
        </w:rPr>
        <w:t> r.</w:t>
      </w:r>
      <w:r w:rsidR="00634DCE" w:rsidRPr="00EF6F97">
        <w:rPr>
          <w:rFonts w:ascii="Times New Roman" w:hAnsi="Times New Roman" w:cs="Times New Roman"/>
          <w:sz w:val="24"/>
          <w:szCs w:val="24"/>
        </w:rPr>
        <w:t>, 40% w 2030</w:t>
      </w:r>
      <w:r w:rsidR="001D0628">
        <w:rPr>
          <w:rFonts w:ascii="Times New Roman" w:hAnsi="Times New Roman" w:cs="Times New Roman"/>
          <w:sz w:val="24"/>
          <w:szCs w:val="24"/>
        </w:rPr>
        <w:t> r.</w:t>
      </w:r>
      <w:r w:rsidR="00634DCE" w:rsidRPr="00EF6F97">
        <w:rPr>
          <w:rFonts w:ascii="Times New Roman" w:hAnsi="Times New Roman" w:cs="Times New Roman"/>
          <w:sz w:val="24"/>
          <w:szCs w:val="24"/>
        </w:rPr>
        <w:t xml:space="preserve">, a następnie 80% w roku 2050, zgodnie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założeniami EU Energy Roadmap. Realizacja powyższych ora</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 xml:space="preserve">podejmowanie dalszych inicjatyw w obszarze rozwoju niskoemisyjnej gospodarki, jest dodatkowo wspierana </w:t>
      </w:r>
      <w:r w:rsidR="00930D82" w:rsidRPr="00EF6F97">
        <w:rPr>
          <w:rFonts w:ascii="Times New Roman" w:hAnsi="Times New Roman" w:cs="Times New Roman"/>
          <w:sz w:val="24"/>
          <w:szCs w:val="24"/>
        </w:rPr>
        <w:t>prze</w:t>
      </w:r>
      <w:r w:rsidR="001D0628">
        <w:rPr>
          <w:rFonts w:ascii="Times New Roman" w:hAnsi="Times New Roman" w:cs="Times New Roman"/>
          <w:sz w:val="24"/>
          <w:szCs w:val="24"/>
        </w:rPr>
        <w:t>z </w:t>
      </w:r>
      <w:r w:rsidR="00930D82" w:rsidRPr="00EF6F97">
        <w:rPr>
          <w:rFonts w:ascii="Times New Roman" w:hAnsi="Times New Roman" w:cs="Times New Roman"/>
          <w:sz w:val="24"/>
          <w:szCs w:val="24"/>
        </w:rPr>
        <w:t>konkluzje porozumienia 21</w:t>
      </w:r>
      <w:r w:rsidR="00F52D76">
        <w:rPr>
          <w:rFonts w:ascii="Times New Roman" w:hAnsi="Times New Roman" w:cs="Times New Roman"/>
          <w:sz w:val="24"/>
          <w:szCs w:val="24"/>
        </w:rPr>
        <w:t> </w:t>
      </w:r>
      <w:r w:rsidR="00930D82" w:rsidRPr="00EF6F97">
        <w:rPr>
          <w:rFonts w:ascii="Times New Roman" w:hAnsi="Times New Roman" w:cs="Times New Roman"/>
          <w:sz w:val="24"/>
          <w:szCs w:val="24"/>
        </w:rPr>
        <w:t xml:space="preserve">Ramowej konwencji Narodów Zjednoczonych w sprawie zmian klimatu </w:t>
      </w:r>
      <w:r w:rsidR="001D0628">
        <w:rPr>
          <w:rFonts w:ascii="Times New Roman" w:hAnsi="Times New Roman" w:cs="Times New Roman"/>
          <w:sz w:val="24"/>
          <w:szCs w:val="24"/>
        </w:rPr>
        <w:t>z </w:t>
      </w:r>
      <w:r w:rsidR="00930D82" w:rsidRPr="00EF6F97">
        <w:rPr>
          <w:rFonts w:ascii="Times New Roman" w:hAnsi="Times New Roman" w:cs="Times New Roman"/>
          <w:sz w:val="24"/>
          <w:szCs w:val="24"/>
        </w:rPr>
        <w:t>dnia 9 maja 1992</w:t>
      </w:r>
      <w:r w:rsidR="001D0628">
        <w:rPr>
          <w:rFonts w:ascii="Times New Roman" w:hAnsi="Times New Roman" w:cs="Times New Roman"/>
          <w:sz w:val="24"/>
          <w:szCs w:val="24"/>
        </w:rPr>
        <w:t> r.</w:t>
      </w:r>
      <w:r w:rsidR="00930D82" w:rsidRPr="00EF6F97">
        <w:rPr>
          <w:rFonts w:ascii="Times New Roman" w:hAnsi="Times New Roman" w:cs="Times New Roman"/>
          <w:sz w:val="24"/>
          <w:szCs w:val="24"/>
        </w:rPr>
        <w:t xml:space="preserve"> (ang: United Nations Framework Convention on Climate Change – UNFCCC)</w:t>
      </w:r>
      <w:r w:rsidR="00634DCE" w:rsidRPr="00EF6F97">
        <w:rPr>
          <w:rFonts w:ascii="Times New Roman" w:hAnsi="Times New Roman" w:cs="Times New Roman"/>
          <w:sz w:val="24"/>
          <w:szCs w:val="24"/>
        </w:rPr>
        <w:t xml:space="preserve">, czyli </w:t>
      </w:r>
      <w:r w:rsidR="00634DCE" w:rsidRPr="00EF6F97">
        <w:rPr>
          <w:rFonts w:ascii="Times New Roman" w:hAnsi="Times New Roman" w:cs="Times New Roman"/>
          <w:sz w:val="24"/>
          <w:szCs w:val="24"/>
        </w:rPr>
        <w:lastRenderedPageBreak/>
        <w:t>tzw. Porozumienia Paryskiego, które stały się wiążące w listopadzie 2016</w:t>
      </w:r>
      <w:r w:rsidR="001D0628">
        <w:rPr>
          <w:rFonts w:ascii="Times New Roman" w:hAnsi="Times New Roman" w:cs="Times New Roman"/>
          <w:sz w:val="24"/>
          <w:szCs w:val="24"/>
        </w:rPr>
        <w:t> r.</w:t>
      </w:r>
    </w:p>
    <w:p w14:paraId="0C3B5AD3" w14:textId="77777777"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34DCE" w:rsidRPr="00EF6F97">
        <w:rPr>
          <w:rFonts w:ascii="Times New Roman" w:hAnsi="Times New Roman" w:cs="Times New Roman"/>
          <w:sz w:val="24"/>
          <w:szCs w:val="24"/>
        </w:rPr>
        <w:t>Obniżanie emisji gazów cieplarnianych w horyzoncie 2050</w:t>
      </w:r>
      <w:r w:rsidR="001D0628">
        <w:rPr>
          <w:rFonts w:ascii="Times New Roman" w:hAnsi="Times New Roman" w:cs="Times New Roman"/>
          <w:sz w:val="24"/>
          <w:szCs w:val="24"/>
        </w:rPr>
        <w:t> r.</w:t>
      </w:r>
      <w:r w:rsidR="00634DCE" w:rsidRPr="00EF6F97">
        <w:rPr>
          <w:rFonts w:ascii="Times New Roman" w:hAnsi="Times New Roman" w:cs="Times New Roman"/>
          <w:sz w:val="24"/>
          <w:szCs w:val="24"/>
        </w:rPr>
        <w:t xml:space="preserve"> w różnych sektorach gospodarki przedstawia poniższy rysunek.</w:t>
      </w:r>
    </w:p>
    <w:p w14:paraId="5C1805C6" w14:textId="77777777" w:rsidR="00634DCE" w:rsidRPr="00EF6F97" w:rsidRDefault="000C0C31" w:rsidP="00EF6F97">
      <w:pPr>
        <w:spacing w:line="360" w:lineRule="auto"/>
        <w:jc w:val="both"/>
        <w:rPr>
          <w:rFonts w:ascii="Times New Roman" w:hAnsi="Times New Roman" w:cs="Times New Roman"/>
          <w:sz w:val="24"/>
          <w:szCs w:val="24"/>
        </w:rPr>
      </w:pPr>
      <w:r w:rsidRPr="00EF6F97">
        <w:rPr>
          <w:rFonts w:ascii="Times New Roman" w:hAnsi="Times New Roman" w:cs="Times New Roman"/>
          <w:noProof/>
        </w:rPr>
        <w:drawing>
          <wp:inline distT="0" distB="0" distL="0" distR="0" wp14:anchorId="38A5467B" wp14:editId="378DBACB">
            <wp:extent cx="3886200" cy="2876550"/>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3886200" cy="2876550"/>
                    </a:xfrm>
                    <a:prstGeom prst="rect">
                      <a:avLst/>
                    </a:prstGeom>
                    <a:noFill/>
                    <a:ln w="9525">
                      <a:noFill/>
                      <a:miter lim="800000"/>
                      <a:headEnd/>
                      <a:tailEnd/>
                    </a:ln>
                  </pic:spPr>
                </pic:pic>
              </a:graphicData>
            </a:graphic>
          </wp:inline>
        </w:drawing>
      </w:r>
    </w:p>
    <w:p w14:paraId="20A274D1" w14:textId="77777777"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34DCE" w:rsidRPr="00EF6F97">
        <w:rPr>
          <w:rFonts w:ascii="Times New Roman" w:hAnsi="Times New Roman" w:cs="Times New Roman"/>
          <w:sz w:val="24"/>
          <w:szCs w:val="24"/>
        </w:rPr>
        <w:t>Powyższe zobowiązania w zakresie ochrony klimatu</w:t>
      </w:r>
      <w:r w:rsidR="001D0628">
        <w:rPr>
          <w:rFonts w:ascii="Times New Roman" w:hAnsi="Times New Roman" w:cs="Times New Roman"/>
          <w:sz w:val="24"/>
          <w:szCs w:val="24"/>
        </w:rPr>
        <w:t xml:space="preserve"> i </w:t>
      </w:r>
      <w:r w:rsidR="00634DCE" w:rsidRPr="00EF6F97">
        <w:rPr>
          <w:rFonts w:ascii="Times New Roman" w:hAnsi="Times New Roman" w:cs="Times New Roman"/>
          <w:sz w:val="24"/>
          <w:szCs w:val="24"/>
        </w:rPr>
        <w:t>zmniejszania emisji w najbliższych dziesięcioleciach będą wpływać na podejmowanie dalszych działań w obszarze rozwoju</w:t>
      </w:r>
      <w:r w:rsidR="001D0628">
        <w:rPr>
          <w:rFonts w:ascii="Times New Roman" w:hAnsi="Times New Roman" w:cs="Times New Roman"/>
          <w:sz w:val="24"/>
          <w:szCs w:val="24"/>
        </w:rPr>
        <w:t xml:space="preserve"> i </w:t>
      </w:r>
      <w:r w:rsidR="00634DCE" w:rsidRPr="00EF6F97">
        <w:rPr>
          <w:rFonts w:ascii="Times New Roman" w:hAnsi="Times New Roman" w:cs="Times New Roman"/>
          <w:sz w:val="24"/>
          <w:szCs w:val="24"/>
        </w:rPr>
        <w:t>wykorzystania niskoemisyjnych źródeł energii elektrycznej, a także rozwiązań, które będą wspomagać wykorzystanie tych źródeł</w:t>
      </w:r>
      <w:r w:rsidR="001D0628">
        <w:rPr>
          <w:rFonts w:ascii="Times New Roman" w:hAnsi="Times New Roman" w:cs="Times New Roman"/>
          <w:sz w:val="24"/>
          <w:szCs w:val="24"/>
        </w:rPr>
        <w:t xml:space="preserve"> i </w:t>
      </w:r>
      <w:r w:rsidR="00634DCE" w:rsidRPr="00EF6F97">
        <w:rPr>
          <w:rFonts w:ascii="Times New Roman" w:hAnsi="Times New Roman" w:cs="Times New Roman"/>
          <w:sz w:val="24"/>
          <w:szCs w:val="24"/>
        </w:rPr>
        <w:t xml:space="preserve">stabilizować pracę sieci elektroenergetycznych. </w:t>
      </w:r>
    </w:p>
    <w:p w14:paraId="13684162" w14:textId="4490E708"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34DCE" w:rsidRPr="00EF6F97">
        <w:rPr>
          <w:rFonts w:ascii="Times New Roman" w:hAnsi="Times New Roman" w:cs="Times New Roman"/>
          <w:sz w:val="24"/>
          <w:szCs w:val="24"/>
        </w:rPr>
        <w:t>Warto zaznaczyć, że mimo iż magazyny energii elektrycznej nie są wprost wymienione w dokumentach strategicznych dla sektora energetycznego w Polsce, to prze</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wspieranie integracji OZE wpisują się w realizację obowiązującej obecnie „Polityki energetycznej Polski do 2030 roku”. Dokument ten zakłada zwiększenie udziału odnawialnych źródeł energii w finalnym zużyciu energii co najmniej do poziomu 15% w 2020 r</w:t>
      </w:r>
      <w:r w:rsidR="00CA423C">
        <w:rPr>
          <w:rFonts w:ascii="Times New Roman" w:hAnsi="Times New Roman" w:cs="Times New Roman"/>
          <w:sz w:val="24"/>
          <w:szCs w:val="24"/>
        </w:rPr>
        <w:t>.</w:t>
      </w:r>
      <w:r w:rsidR="00634DCE" w:rsidRPr="00EF6F97">
        <w:rPr>
          <w:rFonts w:ascii="Times New Roman" w:hAnsi="Times New Roman" w:cs="Times New Roman"/>
          <w:sz w:val="24"/>
          <w:szCs w:val="24"/>
        </w:rPr>
        <w:t xml:space="preserve"> ora</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 xml:space="preserve">sukcesywne zwiększanie udziału tych źródeł </w:t>
      </w:r>
      <w:r w:rsidR="00CB5761" w:rsidRPr="00EF6F97">
        <w:rPr>
          <w:rFonts w:ascii="Times New Roman" w:hAnsi="Times New Roman" w:cs="Times New Roman"/>
          <w:sz w:val="24"/>
          <w:szCs w:val="24"/>
        </w:rPr>
        <w:t xml:space="preserve">w </w:t>
      </w:r>
      <w:r w:rsidR="00634DCE" w:rsidRPr="00EF6F97">
        <w:rPr>
          <w:rFonts w:ascii="Times New Roman" w:hAnsi="Times New Roman" w:cs="Times New Roman"/>
          <w:sz w:val="24"/>
          <w:szCs w:val="24"/>
        </w:rPr>
        <w:t>latach następnych.</w:t>
      </w:r>
    </w:p>
    <w:p w14:paraId="21A0FCB5" w14:textId="77777777" w:rsidR="00695DE8" w:rsidRPr="00EF6F97" w:rsidRDefault="00695DE8" w:rsidP="00EF6F97">
      <w:pPr>
        <w:spacing w:line="360" w:lineRule="auto"/>
        <w:jc w:val="both"/>
        <w:rPr>
          <w:rFonts w:ascii="Times New Roman" w:hAnsi="Times New Roman" w:cs="Times New Roman"/>
          <w:b/>
          <w:sz w:val="24"/>
          <w:szCs w:val="24"/>
        </w:rPr>
      </w:pPr>
    </w:p>
    <w:p w14:paraId="380B76C2" w14:textId="77777777" w:rsidR="00A00414" w:rsidRPr="00EF6F97" w:rsidRDefault="00A00414" w:rsidP="00EF6F97">
      <w:pPr>
        <w:spacing w:line="360" w:lineRule="auto"/>
        <w:jc w:val="both"/>
        <w:rPr>
          <w:rFonts w:ascii="Times New Roman" w:hAnsi="Times New Roman" w:cs="Times New Roman"/>
          <w:b/>
          <w:sz w:val="24"/>
          <w:szCs w:val="24"/>
        </w:rPr>
      </w:pPr>
      <w:r w:rsidRPr="00EF6F97">
        <w:rPr>
          <w:rFonts w:ascii="Times New Roman" w:hAnsi="Times New Roman" w:cs="Times New Roman"/>
          <w:b/>
          <w:sz w:val="24"/>
          <w:szCs w:val="24"/>
        </w:rPr>
        <w:t>W kontekście obowiązujących kodeksów sieciowych wprowadzonych w życie rozporządzeniami Komisji</w:t>
      </w:r>
      <w:r w:rsidR="00CB5761" w:rsidRPr="00EF6F97">
        <w:rPr>
          <w:rFonts w:ascii="Times New Roman" w:hAnsi="Times New Roman" w:cs="Times New Roman"/>
          <w:b/>
          <w:sz w:val="24"/>
          <w:szCs w:val="24"/>
        </w:rPr>
        <w:t xml:space="preserve"> Europejskiej</w:t>
      </w:r>
    </w:p>
    <w:p w14:paraId="2AD7C380" w14:textId="05FC0815"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34DCE" w:rsidRPr="00EF6F97">
        <w:rPr>
          <w:rFonts w:ascii="Times New Roman" w:hAnsi="Times New Roman" w:cs="Times New Roman"/>
          <w:sz w:val="24"/>
          <w:szCs w:val="24"/>
        </w:rPr>
        <w:t xml:space="preserve">Wśród celów </w:t>
      </w:r>
      <w:r w:rsidR="001663EC">
        <w:rPr>
          <w:rFonts w:ascii="Times New Roman" w:hAnsi="Times New Roman" w:cs="Times New Roman"/>
          <w:sz w:val="24"/>
          <w:szCs w:val="24"/>
        </w:rPr>
        <w:t>r</w:t>
      </w:r>
      <w:r w:rsidR="00634DCE" w:rsidRPr="00EF6F97">
        <w:rPr>
          <w:rFonts w:ascii="Times New Roman" w:hAnsi="Times New Roman" w:cs="Times New Roman"/>
          <w:sz w:val="24"/>
          <w:szCs w:val="24"/>
        </w:rPr>
        <w:t xml:space="preserve">ozporządzenia Komisji (UE) 2017/2195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dnia 23 listopada 2017</w:t>
      </w:r>
      <w:r w:rsidR="001D0628">
        <w:rPr>
          <w:rFonts w:ascii="Times New Roman" w:hAnsi="Times New Roman" w:cs="Times New Roman"/>
          <w:sz w:val="24"/>
          <w:szCs w:val="24"/>
        </w:rPr>
        <w:t> r.</w:t>
      </w:r>
      <w:r w:rsidR="00634DCE" w:rsidRPr="00EF6F97">
        <w:rPr>
          <w:rFonts w:ascii="Times New Roman" w:hAnsi="Times New Roman" w:cs="Times New Roman"/>
          <w:sz w:val="24"/>
          <w:szCs w:val="24"/>
        </w:rPr>
        <w:t xml:space="preserve"> ustanawiającego wytyczne dotyczące bilansowania wymienia się: „ułatwienie udziału usług zarządzania stroną popytową, w tym zagregowanych instalacji odbiorczych ora</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 xml:space="preserve">magazynów energii, przy jednoczesnym zapewnieniu im równych szans w konkurencji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 xml:space="preserve">innymi usługami bilansującymi, a w razie potrzeby zapewnieniu im możliwości niezależnego działania przy </w:t>
      </w:r>
      <w:r w:rsidR="00634DCE" w:rsidRPr="00EF6F97">
        <w:rPr>
          <w:rFonts w:ascii="Times New Roman" w:hAnsi="Times New Roman" w:cs="Times New Roman"/>
          <w:sz w:val="24"/>
          <w:szCs w:val="24"/>
        </w:rPr>
        <w:lastRenderedPageBreak/>
        <w:t xml:space="preserve">obsłudze pojedynczej instalacji odbiorczej”. </w:t>
      </w:r>
    </w:p>
    <w:p w14:paraId="3273C2DE" w14:textId="30CECFDE"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34DCE" w:rsidRPr="00EF6F97">
        <w:rPr>
          <w:rFonts w:ascii="Times New Roman" w:hAnsi="Times New Roman" w:cs="Times New Roman"/>
          <w:sz w:val="24"/>
          <w:szCs w:val="24"/>
        </w:rPr>
        <w:t xml:space="preserve">Magazynowanie, traktowane jako usługa zarządzania stroną popytową, ma mieć zatem zagwarantowane równe szanse w konkurencji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innymi usługami bilansującymi. Dodatkowo, je</w:t>
      </w:r>
      <w:r w:rsidR="001663EC">
        <w:rPr>
          <w:rFonts w:ascii="Times New Roman" w:hAnsi="Times New Roman" w:cs="Times New Roman"/>
          <w:sz w:val="24"/>
          <w:szCs w:val="24"/>
        </w:rPr>
        <w:t>że</w:t>
      </w:r>
      <w:r w:rsidR="00634DCE" w:rsidRPr="00EF6F97">
        <w:rPr>
          <w:rFonts w:ascii="Times New Roman" w:hAnsi="Times New Roman" w:cs="Times New Roman"/>
          <w:sz w:val="24"/>
          <w:szCs w:val="24"/>
        </w:rPr>
        <w:t xml:space="preserve">li wystąpi taka potrzeba, ma mieć możliwość niezależnego działania przy obsłudze pojedynczej instalacji odbiorczej. </w:t>
      </w:r>
    </w:p>
    <w:p w14:paraId="1E078F6C" w14:textId="77777777"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34DCE" w:rsidRPr="00EF6F97">
        <w:rPr>
          <w:rFonts w:ascii="Times New Roman" w:hAnsi="Times New Roman" w:cs="Times New Roman"/>
          <w:sz w:val="24"/>
          <w:szCs w:val="24"/>
        </w:rPr>
        <w:t>Na podstawie przepisów tego samego rozporządzenia, w warunkach dla dostawców usług bilansujących należy umożliwić zakładom magazynowania (ang. energy storage facilities) świadczenie usług bilansujących ora</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 xml:space="preserve">uzyskanie statusu dostawców usług bilansujących. </w:t>
      </w:r>
    </w:p>
    <w:p w14:paraId="2315F4BC" w14:textId="09094102"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34DCE" w:rsidRPr="00EF6F97">
        <w:rPr>
          <w:rFonts w:ascii="Times New Roman" w:hAnsi="Times New Roman" w:cs="Times New Roman"/>
          <w:sz w:val="24"/>
          <w:szCs w:val="24"/>
        </w:rPr>
        <w:t xml:space="preserve">Rozporządzenie Komisji (UE) 2016/631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dnia 14 kwietnia 2016</w:t>
      </w:r>
      <w:r w:rsidR="001D0628">
        <w:rPr>
          <w:rFonts w:ascii="Times New Roman" w:hAnsi="Times New Roman" w:cs="Times New Roman"/>
          <w:sz w:val="24"/>
          <w:szCs w:val="24"/>
        </w:rPr>
        <w:t> r.</w:t>
      </w:r>
      <w:r w:rsidR="00634DCE" w:rsidRPr="00EF6F97">
        <w:rPr>
          <w:rFonts w:ascii="Times New Roman" w:hAnsi="Times New Roman" w:cs="Times New Roman"/>
          <w:sz w:val="24"/>
          <w:szCs w:val="24"/>
        </w:rPr>
        <w:t xml:space="preserve"> ustanawiające kodeks sieci dotyczący wymogów w zakresie przyłączenia jednostek wytwórczych do sieci odnosi się do kwestii magazynów w przepisach dot. zakresu jego stosowania, stanowiąc wprost, że nie należy przedmiotowego rozporządzenia stosować do urządzeń magazynowania,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 xml:space="preserve">wyjątkiem szczytowo-pompowych modułów wytwarzania energii. Analogiczny przepis znajduje się w </w:t>
      </w:r>
      <w:r w:rsidR="001663EC">
        <w:rPr>
          <w:rFonts w:ascii="Times New Roman" w:hAnsi="Times New Roman" w:cs="Times New Roman"/>
          <w:sz w:val="24"/>
          <w:szCs w:val="24"/>
        </w:rPr>
        <w:t>r</w:t>
      </w:r>
      <w:r w:rsidR="00634DCE" w:rsidRPr="00EF6F97">
        <w:rPr>
          <w:rFonts w:ascii="Times New Roman" w:hAnsi="Times New Roman" w:cs="Times New Roman"/>
          <w:sz w:val="24"/>
          <w:szCs w:val="24"/>
        </w:rPr>
        <w:t xml:space="preserve">ozporządzeniu Komisji (UE) 2016/1388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dnia 17 sierpnia 2016</w:t>
      </w:r>
      <w:r w:rsidR="001D0628">
        <w:rPr>
          <w:rFonts w:ascii="Times New Roman" w:hAnsi="Times New Roman" w:cs="Times New Roman"/>
          <w:sz w:val="24"/>
          <w:szCs w:val="24"/>
        </w:rPr>
        <w:t> r.</w:t>
      </w:r>
      <w:r w:rsidR="00634DCE" w:rsidRPr="00EF6F97">
        <w:rPr>
          <w:rFonts w:ascii="Times New Roman" w:hAnsi="Times New Roman" w:cs="Times New Roman"/>
          <w:sz w:val="24"/>
          <w:szCs w:val="24"/>
        </w:rPr>
        <w:t xml:space="preserve"> ustanawiającym kodeks sieci dotyczący przyłączenia odbioru. </w:t>
      </w:r>
    </w:p>
    <w:p w14:paraId="1C5A8340" w14:textId="430F9689"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34DCE" w:rsidRPr="00EF6F97">
        <w:rPr>
          <w:rFonts w:ascii="Times New Roman" w:hAnsi="Times New Roman" w:cs="Times New Roman"/>
          <w:sz w:val="24"/>
          <w:szCs w:val="24"/>
        </w:rPr>
        <w:t>Zatem rozporządzenia dotyczące przyłączenia jednostek wytwórczych</w:t>
      </w:r>
      <w:r w:rsidR="001D0628">
        <w:rPr>
          <w:rFonts w:ascii="Times New Roman" w:hAnsi="Times New Roman" w:cs="Times New Roman"/>
          <w:sz w:val="24"/>
          <w:szCs w:val="24"/>
        </w:rPr>
        <w:t xml:space="preserve"> i </w:t>
      </w:r>
      <w:r w:rsidR="00634DCE" w:rsidRPr="00EF6F97">
        <w:rPr>
          <w:rFonts w:ascii="Times New Roman" w:hAnsi="Times New Roman" w:cs="Times New Roman"/>
          <w:sz w:val="24"/>
          <w:szCs w:val="24"/>
        </w:rPr>
        <w:t xml:space="preserve">instalacji odbiorczych nie regulują kwestii przyłączenia magazynów energii elektrycznej do sieci,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wyjątkiem przypadków dotyczących modułów wytwarzania energii elektrowni szczytowo</w:t>
      </w:r>
      <w:r w:rsidR="001663EC">
        <w:rPr>
          <w:rFonts w:ascii="Times New Roman" w:hAnsi="Times New Roman" w:cs="Times New Roman"/>
          <w:sz w:val="24"/>
          <w:szCs w:val="24"/>
        </w:rPr>
        <w:noBreakHyphen/>
      </w:r>
      <w:r w:rsidR="00634DCE" w:rsidRPr="00EF6F97">
        <w:rPr>
          <w:rFonts w:ascii="Times New Roman" w:hAnsi="Times New Roman" w:cs="Times New Roman"/>
          <w:sz w:val="24"/>
          <w:szCs w:val="24"/>
        </w:rPr>
        <w:t xml:space="preserve">pompowych. </w:t>
      </w:r>
    </w:p>
    <w:p w14:paraId="5769F581" w14:textId="77777777" w:rsidR="00634DCE" w:rsidRPr="00EF6F97" w:rsidRDefault="001D0628" w:rsidP="00EF6F97">
      <w:pPr>
        <w:spacing w:line="360" w:lineRule="auto"/>
        <w:jc w:val="both"/>
        <w:rPr>
          <w:rFonts w:ascii="Times New Roman" w:hAnsi="Times New Roman" w:cs="Times New Roman"/>
          <w:sz w:val="24"/>
          <w:szCs w:val="24"/>
        </w:rPr>
      </w:pPr>
      <w:r>
        <w:rPr>
          <w:rFonts w:ascii="Times New Roman" w:hAnsi="Times New Roman" w:cs="Times New Roman"/>
          <w:sz w:val="24"/>
          <w:szCs w:val="24"/>
        </w:rPr>
        <w:t>Z </w:t>
      </w:r>
      <w:r w:rsidR="00634DCE" w:rsidRPr="00EF6F97">
        <w:rPr>
          <w:rFonts w:ascii="Times New Roman" w:hAnsi="Times New Roman" w:cs="Times New Roman"/>
          <w:sz w:val="24"/>
          <w:szCs w:val="24"/>
        </w:rPr>
        <w:t>kolei rozporządzenie Komisji ustanawiające kodeks sieci dotyczący stanu zagrożenia</w:t>
      </w:r>
      <w:r>
        <w:rPr>
          <w:rFonts w:ascii="Times New Roman" w:hAnsi="Times New Roman" w:cs="Times New Roman"/>
          <w:sz w:val="24"/>
          <w:szCs w:val="24"/>
        </w:rPr>
        <w:t xml:space="preserve"> i </w:t>
      </w:r>
      <w:r w:rsidR="00634DCE" w:rsidRPr="00EF6F97">
        <w:rPr>
          <w:rFonts w:ascii="Times New Roman" w:hAnsi="Times New Roman" w:cs="Times New Roman"/>
          <w:sz w:val="24"/>
          <w:szCs w:val="24"/>
        </w:rPr>
        <w:t xml:space="preserve">stanu odbudowy systemów elektroenergetycznych reguluje wyłącznie kwestię wykorzystania jednostek magazynowania energii SGU w sytuacjach kryzysowych. </w:t>
      </w:r>
    </w:p>
    <w:p w14:paraId="16FC4C1A" w14:textId="77777777" w:rsidR="00695DE8" w:rsidRPr="00EF6F97" w:rsidRDefault="00695DE8" w:rsidP="00EF6F97">
      <w:pPr>
        <w:spacing w:line="360" w:lineRule="auto"/>
        <w:jc w:val="both"/>
        <w:rPr>
          <w:rFonts w:ascii="Times New Roman" w:hAnsi="Times New Roman" w:cs="Times New Roman"/>
          <w:b/>
          <w:sz w:val="24"/>
          <w:szCs w:val="24"/>
        </w:rPr>
      </w:pPr>
    </w:p>
    <w:p w14:paraId="68004D0C" w14:textId="77777777" w:rsidR="00A00414" w:rsidRPr="00EF6F97" w:rsidRDefault="00A00414" w:rsidP="00EF6F97">
      <w:pPr>
        <w:spacing w:line="360" w:lineRule="auto"/>
        <w:jc w:val="both"/>
        <w:rPr>
          <w:rFonts w:ascii="Times New Roman" w:hAnsi="Times New Roman" w:cs="Times New Roman"/>
          <w:b/>
          <w:sz w:val="24"/>
          <w:szCs w:val="24"/>
        </w:rPr>
      </w:pPr>
      <w:r w:rsidRPr="00EF6F97">
        <w:rPr>
          <w:rFonts w:ascii="Times New Roman" w:hAnsi="Times New Roman" w:cs="Times New Roman"/>
          <w:b/>
          <w:sz w:val="24"/>
          <w:szCs w:val="24"/>
        </w:rPr>
        <w:t xml:space="preserve">W kontekście Planu Rozwoju Elektromobilności </w:t>
      </w:r>
      <w:r w:rsidR="00CB5761" w:rsidRPr="00EF6F97">
        <w:rPr>
          <w:rFonts w:ascii="Times New Roman" w:hAnsi="Times New Roman" w:cs="Times New Roman"/>
          <w:b/>
          <w:sz w:val="24"/>
          <w:szCs w:val="24"/>
        </w:rPr>
        <w:t xml:space="preserve">w Polsce </w:t>
      </w:r>
      <w:r w:rsidRPr="00EF6F97">
        <w:rPr>
          <w:rFonts w:ascii="Times New Roman" w:hAnsi="Times New Roman" w:cs="Times New Roman"/>
          <w:b/>
          <w:sz w:val="24"/>
          <w:szCs w:val="24"/>
        </w:rPr>
        <w:t>(PRE)</w:t>
      </w:r>
    </w:p>
    <w:p w14:paraId="6E98A9C3" w14:textId="54212E32"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34DCE" w:rsidRPr="00EF6F97">
        <w:rPr>
          <w:rFonts w:ascii="Times New Roman" w:hAnsi="Times New Roman" w:cs="Times New Roman"/>
          <w:sz w:val="24"/>
          <w:szCs w:val="24"/>
        </w:rPr>
        <w:t>Przyjęty prze</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Radę Ministrów w dniu 16 marca 2017</w:t>
      </w:r>
      <w:r w:rsidR="001D0628">
        <w:rPr>
          <w:rFonts w:ascii="Times New Roman" w:hAnsi="Times New Roman" w:cs="Times New Roman"/>
          <w:sz w:val="24"/>
          <w:szCs w:val="24"/>
        </w:rPr>
        <w:t> r.</w:t>
      </w:r>
      <w:r w:rsidR="00634DCE" w:rsidRPr="00EF6F97">
        <w:rPr>
          <w:rFonts w:ascii="Times New Roman" w:hAnsi="Times New Roman" w:cs="Times New Roman"/>
          <w:sz w:val="24"/>
          <w:szCs w:val="24"/>
        </w:rPr>
        <w:t xml:space="preserve"> Plan </w:t>
      </w:r>
      <w:r w:rsidR="00CB5761" w:rsidRPr="00EF6F97">
        <w:rPr>
          <w:rFonts w:ascii="Times New Roman" w:hAnsi="Times New Roman" w:cs="Times New Roman"/>
          <w:sz w:val="24"/>
          <w:szCs w:val="24"/>
        </w:rPr>
        <w:t>Rozw</w:t>
      </w:r>
      <w:r w:rsidR="00930D82" w:rsidRPr="00EF6F97">
        <w:rPr>
          <w:rFonts w:ascii="Times New Roman" w:hAnsi="Times New Roman" w:cs="Times New Roman"/>
          <w:sz w:val="24"/>
          <w:szCs w:val="24"/>
        </w:rPr>
        <w:t>oju Elektromobilności w Polsce, zwany dalej „PRE”</w:t>
      </w:r>
      <w:r w:rsidR="00CA423C">
        <w:rPr>
          <w:rFonts w:ascii="Times New Roman" w:hAnsi="Times New Roman" w:cs="Times New Roman"/>
          <w:sz w:val="24"/>
          <w:szCs w:val="24"/>
        </w:rPr>
        <w:t xml:space="preserve">, </w:t>
      </w:r>
      <w:r w:rsidR="00634DCE" w:rsidRPr="00EF6F97">
        <w:rPr>
          <w:rFonts w:ascii="Times New Roman" w:hAnsi="Times New Roman" w:cs="Times New Roman"/>
          <w:sz w:val="24"/>
          <w:szCs w:val="24"/>
        </w:rPr>
        <w:t>wyznacza cel 1 mln pojazdów elektrycznych w Polsce do roku 2025</w:t>
      </w:r>
      <w:r w:rsidR="001D0628">
        <w:rPr>
          <w:rFonts w:ascii="Times New Roman" w:hAnsi="Times New Roman" w:cs="Times New Roman"/>
          <w:sz w:val="24"/>
          <w:szCs w:val="24"/>
        </w:rPr>
        <w:t> r.</w:t>
      </w:r>
      <w:r w:rsidR="00634DCE" w:rsidRPr="00EF6F97">
        <w:rPr>
          <w:rFonts w:ascii="Times New Roman" w:hAnsi="Times New Roman" w:cs="Times New Roman"/>
          <w:sz w:val="24"/>
          <w:szCs w:val="24"/>
        </w:rPr>
        <w:t xml:space="preserve"> Osiągnięcie tego celu wiązać się będzie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dodatkowym popytem na moc</w:t>
      </w:r>
      <w:r w:rsidR="001D0628">
        <w:rPr>
          <w:rFonts w:ascii="Times New Roman" w:hAnsi="Times New Roman" w:cs="Times New Roman"/>
          <w:sz w:val="24"/>
          <w:szCs w:val="24"/>
        </w:rPr>
        <w:t xml:space="preserve"> i </w:t>
      </w:r>
      <w:r w:rsidR="00634DCE" w:rsidRPr="00EF6F97">
        <w:rPr>
          <w:rFonts w:ascii="Times New Roman" w:hAnsi="Times New Roman" w:cs="Times New Roman"/>
          <w:sz w:val="24"/>
          <w:szCs w:val="24"/>
        </w:rPr>
        <w:t>energię elektryczną</w:t>
      </w:r>
      <w:r w:rsidR="001D0628">
        <w:rPr>
          <w:rFonts w:ascii="Times New Roman" w:hAnsi="Times New Roman" w:cs="Times New Roman"/>
          <w:sz w:val="24"/>
          <w:szCs w:val="24"/>
        </w:rPr>
        <w:t xml:space="preserve"> i </w:t>
      </w:r>
      <w:r w:rsidR="00634DCE" w:rsidRPr="00EF6F97">
        <w:rPr>
          <w:rFonts w:ascii="Times New Roman" w:hAnsi="Times New Roman" w:cs="Times New Roman"/>
          <w:sz w:val="24"/>
          <w:szCs w:val="24"/>
        </w:rPr>
        <w:t>stworzeniem odpowiednich warunków dla rozwoju elektromobilności. Rozwój elektromobilności jest również szansą na rozwój systemów magazynowania energii.</w:t>
      </w:r>
    </w:p>
    <w:p w14:paraId="71B586F6" w14:textId="77777777"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34DCE" w:rsidRPr="00EF6F97">
        <w:rPr>
          <w:rFonts w:ascii="Times New Roman" w:hAnsi="Times New Roman" w:cs="Times New Roman"/>
          <w:sz w:val="24"/>
          <w:szCs w:val="24"/>
        </w:rPr>
        <w:t xml:space="preserve">Zgodnie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PRE:</w:t>
      </w:r>
    </w:p>
    <w:p w14:paraId="5C078593" w14:textId="38432B66" w:rsidR="00634DCE" w:rsidRPr="00EF6F97" w:rsidRDefault="00634DCE"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punktu widzenia wykorzystania pojazdów elektrycznych dla stabilizacji pracy sieci niezbędne jest zoptymalizowanie rozmieszczenia stacji ładowania, zwłaszcza szybkich stacji </w:t>
      </w:r>
      <w:r w:rsidRPr="00EF6F97">
        <w:rPr>
          <w:rFonts w:ascii="Times New Roman" w:hAnsi="Times New Roman" w:cs="Times New Roman"/>
          <w:sz w:val="24"/>
          <w:szCs w:val="24"/>
        </w:rPr>
        <w:lastRenderedPageBreak/>
        <w:t>ładowania, pod kątem parametrów sieci. W celu uniknięcia kosztownej modernizacji sieci na potrzeby szybkich punktów ładowania uzasadniona jest instalacja zasobników energii elektrycznej. Zasobniki ładowałyby się w nocy, oddając energię w dzień zarówno na potrzeby pojazdów elektrycznych, jak</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 xml:space="preserve">sieci gdy zajdzie taka konieczność. Podwójna rola zasobników pozwoli skrócić okres zwrotu </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inwestycji, który w przypadku budowania samych stacji ładowania jest dziś nieakceptowalnie długi </w:t>
      </w:r>
      <w:r w:rsidR="001D0628">
        <w:rPr>
          <w:rFonts w:ascii="Times New Roman" w:hAnsi="Times New Roman" w:cs="Times New Roman"/>
          <w:sz w:val="24"/>
          <w:szCs w:val="24"/>
        </w:rPr>
        <w:t>z </w:t>
      </w:r>
      <w:r w:rsidRPr="00EF6F97">
        <w:rPr>
          <w:rFonts w:ascii="Times New Roman" w:hAnsi="Times New Roman" w:cs="Times New Roman"/>
          <w:sz w:val="24"/>
          <w:szCs w:val="24"/>
        </w:rPr>
        <w:t>punktu widzenia inwestycji stricte komercyjnych. Wymaga to stworzenia nowego modelu biznesowego, w którym podmiot odpowiedzialny za stabilność pracy KSE wynagradza właściciela stacji wyposażonej w zasobnik za gotowość świadczenia usługi na rzec</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sieci.” </w:t>
      </w:r>
      <w:r w:rsidR="00441D83">
        <w:rPr>
          <w:rFonts w:ascii="Times New Roman" w:hAnsi="Times New Roman" w:cs="Times New Roman"/>
          <w:sz w:val="24"/>
          <w:szCs w:val="24"/>
        </w:rPr>
        <w:t>(</w:t>
      </w:r>
      <w:r w:rsidRPr="00EF6F97">
        <w:rPr>
          <w:rFonts w:ascii="Times New Roman" w:hAnsi="Times New Roman" w:cs="Times New Roman"/>
          <w:sz w:val="24"/>
          <w:szCs w:val="24"/>
        </w:rPr>
        <w:t>str. 28</w:t>
      </w:r>
      <w:r w:rsidR="00441D83">
        <w:rPr>
          <w:rFonts w:ascii="Times New Roman" w:hAnsi="Times New Roman" w:cs="Times New Roman"/>
          <w:sz w:val="24"/>
          <w:szCs w:val="24"/>
        </w:rPr>
        <w:t>)</w:t>
      </w:r>
      <w:r w:rsidR="00063A5A">
        <w:rPr>
          <w:rFonts w:ascii="Times New Roman" w:hAnsi="Times New Roman" w:cs="Times New Roman"/>
          <w:sz w:val="24"/>
          <w:szCs w:val="24"/>
        </w:rPr>
        <w:t>.</w:t>
      </w:r>
    </w:p>
    <w:p w14:paraId="279C3C22" w14:textId="5CA6A06C" w:rsidR="00634DCE" w:rsidRPr="00EF6F97" w:rsidRDefault="00634DCE"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„Warunkiem skutecznego przesunięcia zapotrzebowania na moc w ciągu doby jest wywołanie reakcji cenowej u konsumentów, co można osiągnąć poprze</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zróżnicowanie cen energii w zależności od zapotrzebowania rynku. W tym celu konieczne jest dostosowanie taryf strefowych lub wprowadzenie chwilowych sygnałów cenowych dla odbiorcy (tzw. taryfy dynamiczne). Niezbędnym dopełnieniem rozbudowanego systemu taryfowego jest upowszechnienie rozwiązań </w:t>
      </w:r>
      <w:r w:rsidR="001D0628">
        <w:rPr>
          <w:rFonts w:ascii="Times New Roman" w:hAnsi="Times New Roman" w:cs="Times New Roman"/>
          <w:sz w:val="24"/>
          <w:szCs w:val="24"/>
        </w:rPr>
        <w:t>z </w:t>
      </w:r>
      <w:r w:rsidRPr="00EF6F97">
        <w:rPr>
          <w:rFonts w:ascii="Times New Roman" w:hAnsi="Times New Roman" w:cs="Times New Roman"/>
          <w:sz w:val="24"/>
          <w:szCs w:val="24"/>
        </w:rPr>
        <w:t>zakresu inteligentnej sieci, w tym liczników zdalnego odczytu ora</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zasobników energii, tam gdzie </w:t>
      </w:r>
      <w:r w:rsidR="00A00414" w:rsidRPr="00EF6F97">
        <w:rPr>
          <w:rFonts w:ascii="Times New Roman" w:hAnsi="Times New Roman" w:cs="Times New Roman"/>
          <w:sz w:val="24"/>
          <w:szCs w:val="24"/>
        </w:rPr>
        <w:t>będzie to uzasadnione</w:t>
      </w:r>
      <w:r w:rsidR="00063A5A">
        <w:rPr>
          <w:rFonts w:ascii="Times New Roman" w:hAnsi="Times New Roman" w:cs="Times New Roman"/>
          <w:sz w:val="24"/>
          <w:szCs w:val="24"/>
        </w:rPr>
        <w:t>.</w:t>
      </w:r>
      <w:r w:rsidR="00A00414" w:rsidRPr="00EF6F97">
        <w:rPr>
          <w:rFonts w:ascii="Times New Roman" w:hAnsi="Times New Roman" w:cs="Times New Roman"/>
          <w:sz w:val="24"/>
          <w:szCs w:val="24"/>
        </w:rPr>
        <w:t xml:space="preserve">” </w:t>
      </w:r>
      <w:r w:rsidR="00441D83">
        <w:rPr>
          <w:rFonts w:ascii="Times New Roman" w:hAnsi="Times New Roman" w:cs="Times New Roman"/>
          <w:sz w:val="24"/>
          <w:szCs w:val="24"/>
        </w:rPr>
        <w:t>(</w:t>
      </w:r>
      <w:r w:rsidR="00A00414" w:rsidRPr="00EF6F97">
        <w:rPr>
          <w:rFonts w:ascii="Times New Roman" w:hAnsi="Times New Roman" w:cs="Times New Roman"/>
          <w:sz w:val="24"/>
          <w:szCs w:val="24"/>
        </w:rPr>
        <w:t>str. 14</w:t>
      </w:r>
      <w:r w:rsidR="00441D83">
        <w:rPr>
          <w:rFonts w:ascii="Times New Roman" w:hAnsi="Times New Roman" w:cs="Times New Roman"/>
          <w:sz w:val="24"/>
          <w:szCs w:val="24"/>
        </w:rPr>
        <w:t>)</w:t>
      </w:r>
      <w:r w:rsidR="00063A5A">
        <w:rPr>
          <w:rFonts w:ascii="Times New Roman" w:hAnsi="Times New Roman" w:cs="Times New Roman"/>
          <w:sz w:val="24"/>
          <w:szCs w:val="24"/>
        </w:rPr>
        <w:t>.</w:t>
      </w:r>
    </w:p>
    <w:p w14:paraId="2FBBB520" w14:textId="77777777"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34DCE" w:rsidRPr="00EF6F97">
        <w:rPr>
          <w:rFonts w:ascii="Times New Roman" w:hAnsi="Times New Roman" w:cs="Times New Roman"/>
          <w:sz w:val="24"/>
          <w:szCs w:val="24"/>
        </w:rPr>
        <w:t>Wśród działań wykonawczych, w Załączniku nr 5 do PRE, w proponowanych działaniach wskazana została instalacja zasobników energii elektrycznej</w:t>
      </w:r>
      <w:r w:rsidR="001D0628">
        <w:rPr>
          <w:rFonts w:ascii="Times New Roman" w:hAnsi="Times New Roman" w:cs="Times New Roman"/>
          <w:sz w:val="24"/>
          <w:szCs w:val="24"/>
        </w:rPr>
        <w:t xml:space="preserve"> i </w:t>
      </w:r>
      <w:r w:rsidR="00634DCE" w:rsidRPr="00EF6F97">
        <w:rPr>
          <w:rFonts w:ascii="Times New Roman" w:hAnsi="Times New Roman" w:cs="Times New Roman"/>
          <w:sz w:val="24"/>
          <w:szCs w:val="24"/>
        </w:rPr>
        <w:t>oczekiwane efekty w kolejnych latach.</w:t>
      </w:r>
    </w:p>
    <w:p w14:paraId="4F205F1F" w14:textId="480ED113"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930D82" w:rsidRPr="00EF6F97">
        <w:rPr>
          <w:rFonts w:ascii="Times New Roman" w:hAnsi="Times New Roman" w:cs="Times New Roman"/>
          <w:sz w:val="24"/>
          <w:szCs w:val="24"/>
        </w:rPr>
        <w:t xml:space="preserve">Zgodnie </w:t>
      </w:r>
      <w:r w:rsidR="001D0628">
        <w:rPr>
          <w:rFonts w:ascii="Times New Roman" w:hAnsi="Times New Roman" w:cs="Times New Roman"/>
          <w:sz w:val="24"/>
          <w:szCs w:val="24"/>
        </w:rPr>
        <w:t>z </w:t>
      </w:r>
      <w:r w:rsidR="00930D82" w:rsidRPr="00EF6F97">
        <w:rPr>
          <w:rFonts w:ascii="Times New Roman" w:hAnsi="Times New Roman" w:cs="Times New Roman"/>
          <w:sz w:val="24"/>
          <w:szCs w:val="24"/>
        </w:rPr>
        <w:t>projektem planu rozwoju sieci p</w:t>
      </w:r>
      <w:r w:rsidR="00634DCE" w:rsidRPr="00EF6F97">
        <w:rPr>
          <w:rFonts w:ascii="Times New Roman" w:hAnsi="Times New Roman" w:cs="Times New Roman"/>
          <w:sz w:val="24"/>
          <w:szCs w:val="24"/>
        </w:rPr>
        <w:t>rzesyłowej, w kontekści</w:t>
      </w:r>
      <w:r w:rsidR="00930D82" w:rsidRPr="00EF6F97">
        <w:rPr>
          <w:rFonts w:ascii="Times New Roman" w:hAnsi="Times New Roman" w:cs="Times New Roman"/>
          <w:sz w:val="24"/>
          <w:szCs w:val="24"/>
        </w:rPr>
        <w:t>e rozwoju elektromobilności, Polskie Sieci Elektroenergetyczne S.A.</w:t>
      </w:r>
      <w:r w:rsidR="00634DCE" w:rsidRPr="00EF6F97">
        <w:rPr>
          <w:rFonts w:ascii="Times New Roman" w:hAnsi="Times New Roman" w:cs="Times New Roman"/>
          <w:sz w:val="24"/>
          <w:szCs w:val="24"/>
        </w:rPr>
        <w:t xml:space="preserve"> zamierza</w:t>
      </w:r>
      <w:r w:rsidR="00930D82" w:rsidRPr="00EF6F97">
        <w:rPr>
          <w:rFonts w:ascii="Times New Roman" w:hAnsi="Times New Roman" w:cs="Times New Roman"/>
          <w:sz w:val="24"/>
          <w:szCs w:val="24"/>
        </w:rPr>
        <w:t>ją</w:t>
      </w:r>
      <w:r w:rsidR="00634DCE" w:rsidRPr="00EF6F97">
        <w:rPr>
          <w:rFonts w:ascii="Times New Roman" w:hAnsi="Times New Roman" w:cs="Times New Roman"/>
          <w:sz w:val="24"/>
          <w:szCs w:val="24"/>
        </w:rPr>
        <w:t xml:space="preserve"> m.in. zidentyfikować możliwe mechanizmy, których wdrożenie mogłoby pozwolić na zarządzanie zwiększonym zapotrzebowaniem na moc</w:t>
      </w:r>
      <w:r w:rsidR="001D0628">
        <w:rPr>
          <w:rFonts w:ascii="Times New Roman" w:hAnsi="Times New Roman" w:cs="Times New Roman"/>
          <w:sz w:val="24"/>
          <w:szCs w:val="24"/>
        </w:rPr>
        <w:t xml:space="preserve"> i </w:t>
      </w:r>
      <w:r w:rsidR="00634DCE" w:rsidRPr="00EF6F97">
        <w:rPr>
          <w:rFonts w:ascii="Times New Roman" w:hAnsi="Times New Roman" w:cs="Times New Roman"/>
          <w:sz w:val="24"/>
          <w:szCs w:val="24"/>
        </w:rPr>
        <w:t>energię. Głównym celem tych mechanizmów będzie stymulowanie procesów ładowania pojazdów, w taki sposób, aby przy maksymalizacji użyteczności dla użytkowników aut elektrycznych zapewnić optymalny przebieg krzywej zapotrzebowania na moc generowanego prze</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pojazdy elektryczne.</w:t>
      </w:r>
    </w:p>
    <w:p w14:paraId="27EE0194" w14:textId="77777777"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34DCE" w:rsidRPr="00EF6F97">
        <w:rPr>
          <w:rFonts w:ascii="Times New Roman" w:hAnsi="Times New Roman" w:cs="Times New Roman"/>
          <w:sz w:val="24"/>
          <w:szCs w:val="24"/>
        </w:rPr>
        <w:t xml:space="preserve">Ponadto zgodnie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ww. planem w kontekście zmian zachodzących na rynku energii pojawia się potrzeba zwiększenia elastyczności</w:t>
      </w:r>
      <w:r w:rsidR="001D0628">
        <w:rPr>
          <w:rFonts w:ascii="Times New Roman" w:hAnsi="Times New Roman" w:cs="Times New Roman"/>
          <w:sz w:val="24"/>
          <w:szCs w:val="24"/>
        </w:rPr>
        <w:t xml:space="preserve"> i </w:t>
      </w:r>
      <w:r w:rsidR="00634DCE" w:rsidRPr="00EF6F97">
        <w:rPr>
          <w:rFonts w:ascii="Times New Roman" w:hAnsi="Times New Roman" w:cs="Times New Roman"/>
          <w:sz w:val="24"/>
          <w:szCs w:val="24"/>
        </w:rPr>
        <w:t>bezpieczeństwa KSE ora</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konieczność zwiększenia po</w:t>
      </w:r>
      <w:r w:rsidR="00A00414" w:rsidRPr="00EF6F97">
        <w:rPr>
          <w:rFonts w:ascii="Times New Roman" w:hAnsi="Times New Roman" w:cs="Times New Roman"/>
          <w:sz w:val="24"/>
          <w:szCs w:val="24"/>
        </w:rPr>
        <w:t>ziomu mocy rezerwowych w KSE.</w:t>
      </w:r>
    </w:p>
    <w:p w14:paraId="70BF5205" w14:textId="77777777" w:rsidR="00695DE8" w:rsidRPr="00EF6F97" w:rsidRDefault="00695DE8" w:rsidP="00EF6F97">
      <w:pPr>
        <w:spacing w:line="360" w:lineRule="auto"/>
        <w:jc w:val="both"/>
        <w:rPr>
          <w:rFonts w:ascii="Times New Roman" w:hAnsi="Times New Roman" w:cs="Times New Roman"/>
          <w:b/>
          <w:sz w:val="24"/>
          <w:szCs w:val="24"/>
        </w:rPr>
      </w:pPr>
    </w:p>
    <w:p w14:paraId="76BA800D" w14:textId="77777777" w:rsidR="00634DCE" w:rsidRPr="00EF6F97" w:rsidRDefault="00634DCE" w:rsidP="00EF6F97">
      <w:pPr>
        <w:spacing w:line="360" w:lineRule="auto"/>
        <w:jc w:val="both"/>
        <w:rPr>
          <w:rFonts w:ascii="Times New Roman" w:hAnsi="Times New Roman" w:cs="Times New Roman"/>
          <w:b/>
          <w:sz w:val="24"/>
          <w:szCs w:val="24"/>
        </w:rPr>
      </w:pPr>
      <w:r w:rsidRPr="00EF6F97">
        <w:rPr>
          <w:rFonts w:ascii="Times New Roman" w:hAnsi="Times New Roman" w:cs="Times New Roman"/>
          <w:b/>
          <w:sz w:val="24"/>
          <w:szCs w:val="24"/>
        </w:rPr>
        <w:t>Alternatywne środki osiągnięcia celów</w:t>
      </w:r>
    </w:p>
    <w:p w14:paraId="6BCF64D6" w14:textId="77777777" w:rsidR="00634DCE" w:rsidRPr="00EF6F97" w:rsidRDefault="00634DCE" w:rsidP="00EF6F97">
      <w:pPr>
        <w:pStyle w:val="Akapitzlist"/>
        <w:numPr>
          <w:ilvl w:val="0"/>
          <w:numId w:val="35"/>
        </w:numPr>
        <w:spacing w:after="0" w:line="360" w:lineRule="auto"/>
        <w:jc w:val="both"/>
        <w:rPr>
          <w:rFonts w:ascii="Times New Roman" w:hAnsi="Times New Roman"/>
          <w:sz w:val="24"/>
          <w:szCs w:val="24"/>
        </w:rPr>
      </w:pPr>
      <w:r w:rsidRPr="00EF6F97">
        <w:rPr>
          <w:rFonts w:ascii="Times New Roman" w:hAnsi="Times New Roman"/>
          <w:sz w:val="24"/>
          <w:szCs w:val="24"/>
        </w:rPr>
        <w:t xml:space="preserve">Kontynuować stan obecny </w:t>
      </w:r>
    </w:p>
    <w:p w14:paraId="0E5C5829" w14:textId="54BEA360" w:rsidR="00634DCE" w:rsidRPr="00EF6F97" w:rsidRDefault="00634DCE" w:rsidP="00063A5A">
      <w:pPr>
        <w:spacing w:line="360" w:lineRule="auto"/>
        <w:ind w:left="709"/>
        <w:jc w:val="both"/>
        <w:rPr>
          <w:rFonts w:ascii="Times New Roman" w:hAnsi="Times New Roman" w:cs="Times New Roman"/>
          <w:sz w:val="24"/>
          <w:szCs w:val="24"/>
        </w:rPr>
      </w:pPr>
      <w:r w:rsidRPr="00EF6F97">
        <w:rPr>
          <w:rFonts w:ascii="Times New Roman" w:hAnsi="Times New Roman" w:cs="Times New Roman"/>
          <w:sz w:val="24"/>
          <w:szCs w:val="24"/>
        </w:rPr>
        <w:t>Scenarius</w:t>
      </w:r>
      <w:r w:rsidR="001D0628">
        <w:rPr>
          <w:rFonts w:ascii="Times New Roman" w:hAnsi="Times New Roman" w:cs="Times New Roman"/>
          <w:sz w:val="24"/>
          <w:szCs w:val="24"/>
        </w:rPr>
        <w:t>z </w:t>
      </w:r>
      <w:r w:rsidRPr="00EF6F97">
        <w:rPr>
          <w:rFonts w:ascii="Times New Roman" w:hAnsi="Times New Roman" w:cs="Times New Roman"/>
          <w:sz w:val="24"/>
          <w:szCs w:val="24"/>
        </w:rPr>
        <w:t>zakładający utrzymanie obecnego stanu prawnego, be</w:t>
      </w:r>
      <w:r w:rsidR="001D0628">
        <w:rPr>
          <w:rFonts w:ascii="Times New Roman" w:hAnsi="Times New Roman" w:cs="Times New Roman"/>
          <w:sz w:val="24"/>
          <w:szCs w:val="24"/>
        </w:rPr>
        <w:t>z </w:t>
      </w:r>
      <w:r w:rsidRPr="00EF6F97">
        <w:rPr>
          <w:rFonts w:ascii="Times New Roman" w:hAnsi="Times New Roman" w:cs="Times New Roman"/>
          <w:sz w:val="24"/>
          <w:szCs w:val="24"/>
        </w:rPr>
        <w:t>jakichkolwiek zmian regulacji, spowoduje prze</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utrzymanie barier brak możliwości rozwoju </w:t>
      </w:r>
      <w:r w:rsidRPr="00EF6F97">
        <w:rPr>
          <w:rFonts w:ascii="Times New Roman" w:hAnsi="Times New Roman" w:cs="Times New Roman"/>
          <w:sz w:val="24"/>
          <w:szCs w:val="24"/>
        </w:rPr>
        <w:lastRenderedPageBreak/>
        <w:t>magazynowania energii elektrycznej</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uniemożliwi uzyskanie efektywności ekonomicznej inwestycji w magazyny energii elektrycznej.</w:t>
      </w:r>
    </w:p>
    <w:p w14:paraId="07AEDE76" w14:textId="7B778E6E" w:rsidR="00634DCE" w:rsidRPr="00EF6F97" w:rsidRDefault="00634DCE" w:rsidP="00EF6F97">
      <w:pPr>
        <w:pStyle w:val="Akapitzlist"/>
        <w:numPr>
          <w:ilvl w:val="0"/>
          <w:numId w:val="35"/>
        </w:numPr>
        <w:spacing w:after="0" w:line="360" w:lineRule="auto"/>
        <w:jc w:val="both"/>
        <w:rPr>
          <w:rFonts w:ascii="Times New Roman" w:hAnsi="Times New Roman"/>
          <w:sz w:val="24"/>
          <w:szCs w:val="24"/>
        </w:rPr>
      </w:pPr>
      <w:r w:rsidRPr="00EF6F97">
        <w:rPr>
          <w:rFonts w:ascii="Times New Roman" w:hAnsi="Times New Roman"/>
          <w:sz w:val="24"/>
          <w:szCs w:val="24"/>
        </w:rPr>
        <w:t xml:space="preserve">Wprowadzić proponowane regulacje prawne </w:t>
      </w:r>
    </w:p>
    <w:p w14:paraId="5A9905DE" w14:textId="503C6E49" w:rsidR="00634DCE" w:rsidRPr="00EF6F97" w:rsidRDefault="00634DCE" w:rsidP="00063A5A">
      <w:pPr>
        <w:spacing w:line="360" w:lineRule="auto"/>
        <w:ind w:left="709"/>
        <w:jc w:val="both"/>
        <w:rPr>
          <w:rFonts w:ascii="Times New Roman" w:hAnsi="Times New Roman" w:cs="Times New Roman"/>
          <w:sz w:val="24"/>
          <w:szCs w:val="24"/>
        </w:rPr>
      </w:pPr>
      <w:r w:rsidRPr="00EF6F97">
        <w:rPr>
          <w:rFonts w:ascii="Times New Roman" w:hAnsi="Times New Roman" w:cs="Times New Roman"/>
          <w:sz w:val="24"/>
          <w:szCs w:val="24"/>
        </w:rPr>
        <w:t>Scenarius</w:t>
      </w:r>
      <w:r w:rsidR="001D0628">
        <w:rPr>
          <w:rFonts w:ascii="Times New Roman" w:hAnsi="Times New Roman" w:cs="Times New Roman"/>
          <w:sz w:val="24"/>
          <w:szCs w:val="24"/>
        </w:rPr>
        <w:t>z </w:t>
      </w:r>
      <w:r w:rsidRPr="00EF6F97">
        <w:rPr>
          <w:rFonts w:ascii="Times New Roman" w:hAnsi="Times New Roman" w:cs="Times New Roman"/>
          <w:sz w:val="24"/>
          <w:szCs w:val="24"/>
        </w:rPr>
        <w:t>uwzględniający zmianę regulacji prawnych, polegający przede wszystkim na usunięciu barier, stworzy warunki do rozwoju magazynowania energii elektrycznej.</w:t>
      </w:r>
      <w:r w:rsidR="00063A5A">
        <w:rPr>
          <w:rFonts w:ascii="Times New Roman" w:hAnsi="Times New Roman" w:cs="Times New Roman"/>
          <w:sz w:val="24"/>
          <w:szCs w:val="24"/>
        </w:rPr>
        <w:t xml:space="preserve"> </w:t>
      </w:r>
      <w:r w:rsidRPr="00EF6F97">
        <w:rPr>
          <w:rFonts w:ascii="Times New Roman" w:hAnsi="Times New Roman" w:cs="Times New Roman"/>
          <w:sz w:val="24"/>
          <w:szCs w:val="24"/>
        </w:rPr>
        <w:t xml:space="preserve">Nie przewiduje się na obecnym etapie szczególnych zachęt dla magazynowania energii elektrycznej, poza </w:t>
      </w:r>
      <w:r w:rsidR="00CD6568">
        <w:rPr>
          <w:rFonts w:ascii="Times New Roman" w:hAnsi="Times New Roman" w:cs="Times New Roman"/>
          <w:sz w:val="24"/>
          <w:szCs w:val="24"/>
        </w:rPr>
        <w:t xml:space="preserve">obniżeniem </w:t>
      </w:r>
      <w:r w:rsidRPr="00EF6F97">
        <w:rPr>
          <w:rFonts w:ascii="Times New Roman" w:hAnsi="Times New Roman" w:cs="Times New Roman"/>
          <w:sz w:val="24"/>
          <w:szCs w:val="24"/>
        </w:rPr>
        <w:t xml:space="preserve">opłaty za przyłączenie magazynu energii elektrycznej do sieci. </w:t>
      </w:r>
    </w:p>
    <w:p w14:paraId="3B830DE9" w14:textId="77777777" w:rsidR="005D3849" w:rsidRPr="00063A5A" w:rsidRDefault="005D3849" w:rsidP="00EF6F97">
      <w:pPr>
        <w:spacing w:line="360" w:lineRule="auto"/>
        <w:jc w:val="both"/>
        <w:rPr>
          <w:rFonts w:ascii="Times New Roman" w:hAnsi="Times New Roman" w:cs="Times New Roman"/>
          <w:sz w:val="16"/>
          <w:szCs w:val="16"/>
        </w:rPr>
      </w:pPr>
    </w:p>
    <w:p w14:paraId="2DB96B94" w14:textId="77777777" w:rsidR="005D3849" w:rsidRPr="00EF6F97" w:rsidRDefault="005D3849" w:rsidP="00EF6F97">
      <w:pPr>
        <w:spacing w:line="360" w:lineRule="auto"/>
        <w:rPr>
          <w:rFonts w:ascii="Times New Roman" w:hAnsi="Times New Roman" w:cs="Times New Roman"/>
          <w:b/>
          <w:sz w:val="24"/>
          <w:szCs w:val="24"/>
          <w:shd w:val="clear" w:color="auto" w:fill="FFFFFF"/>
        </w:rPr>
      </w:pPr>
      <w:r w:rsidRPr="00EF6F97">
        <w:rPr>
          <w:rFonts w:ascii="Times New Roman" w:hAnsi="Times New Roman" w:cs="Times New Roman"/>
          <w:b/>
          <w:sz w:val="24"/>
          <w:szCs w:val="24"/>
          <w:shd w:val="clear" w:color="auto" w:fill="FFFFFF"/>
        </w:rPr>
        <w:t>Wsparcie dla rozwoju technologii magazynowania energii w wybranych państwach</w:t>
      </w:r>
    </w:p>
    <w:p w14:paraId="3D60CEA1" w14:textId="77777777" w:rsidR="005D3849" w:rsidRPr="00EF6F97" w:rsidRDefault="005D3849" w:rsidP="00EF6F97">
      <w:pPr>
        <w:pStyle w:val="NormalnyWeb"/>
        <w:shd w:val="clear" w:color="auto" w:fill="FFFFFF"/>
        <w:spacing w:before="0" w:beforeAutospacing="0" w:after="0" w:afterAutospacing="0" w:line="360" w:lineRule="auto"/>
        <w:rPr>
          <w:b/>
        </w:rPr>
      </w:pPr>
      <w:r w:rsidRPr="00EF6F97">
        <w:rPr>
          <w:b/>
        </w:rPr>
        <w:t>Ogólne informacje o magazynowaniu energii</w:t>
      </w:r>
    </w:p>
    <w:p w14:paraId="45E3C35D" w14:textId="77777777" w:rsidR="005D3849" w:rsidRPr="00EF6F97" w:rsidRDefault="005D3849" w:rsidP="00EF6F97">
      <w:pPr>
        <w:pStyle w:val="NormalnyWeb"/>
        <w:shd w:val="clear" w:color="auto" w:fill="FFFFFF"/>
        <w:spacing w:before="0" w:beforeAutospacing="0" w:after="0" w:afterAutospacing="0" w:line="360" w:lineRule="auto"/>
      </w:pPr>
      <w:r w:rsidRPr="00EF6F97">
        <w:t xml:space="preserve">Zastosowania magazynu energii można podzielić na trzy grupy: </w:t>
      </w:r>
    </w:p>
    <w:p w14:paraId="4DCAAE8F" w14:textId="77777777" w:rsidR="005D3849" w:rsidRPr="00EF6F97" w:rsidRDefault="005D3849" w:rsidP="002C166E">
      <w:pPr>
        <w:pStyle w:val="NormalnyWeb"/>
        <w:numPr>
          <w:ilvl w:val="0"/>
          <w:numId w:val="37"/>
        </w:numPr>
        <w:shd w:val="clear" w:color="auto" w:fill="FFFFFF"/>
        <w:spacing w:before="0" w:beforeAutospacing="0" w:after="0" w:afterAutospacing="0" w:line="360" w:lineRule="auto"/>
        <w:ind w:hanging="436"/>
      </w:pPr>
      <w:r w:rsidRPr="00EF6F97">
        <w:t>Wsparcie dla podsektora wytwórczego,</w:t>
      </w:r>
    </w:p>
    <w:p w14:paraId="739793BD" w14:textId="77777777" w:rsidR="005D3849" w:rsidRPr="00EF6F97" w:rsidRDefault="005D3849" w:rsidP="002C166E">
      <w:pPr>
        <w:pStyle w:val="NormalnyWeb"/>
        <w:numPr>
          <w:ilvl w:val="0"/>
          <w:numId w:val="37"/>
        </w:numPr>
        <w:shd w:val="clear" w:color="auto" w:fill="FFFFFF"/>
        <w:spacing w:before="0" w:beforeAutospacing="0" w:after="0" w:afterAutospacing="0" w:line="360" w:lineRule="auto"/>
        <w:ind w:hanging="436"/>
      </w:pPr>
      <w:r w:rsidRPr="00EF6F97">
        <w:t>Wsparcie dla podsektora przesyłu</w:t>
      </w:r>
      <w:r w:rsidR="001D0628">
        <w:t xml:space="preserve"> i </w:t>
      </w:r>
      <w:r w:rsidRPr="00EF6F97">
        <w:t>dystrybucji energii elektrycznej,</w:t>
      </w:r>
    </w:p>
    <w:p w14:paraId="190BBA2A" w14:textId="3BE977A1" w:rsidR="005D3849" w:rsidRPr="00EF6F97" w:rsidRDefault="005D3849" w:rsidP="002C166E">
      <w:pPr>
        <w:pStyle w:val="NormalnyWeb"/>
        <w:numPr>
          <w:ilvl w:val="0"/>
          <w:numId w:val="37"/>
        </w:numPr>
        <w:shd w:val="clear" w:color="auto" w:fill="FFFFFF"/>
        <w:spacing w:before="0" w:beforeAutospacing="0" w:after="0" w:afterAutospacing="0" w:line="360" w:lineRule="auto"/>
        <w:ind w:hanging="436"/>
        <w:rPr>
          <w:b/>
          <w:bCs/>
        </w:rPr>
      </w:pPr>
      <w:r w:rsidRPr="00EF6F97">
        <w:t>Wsparcie dla odbiorcy końcowego/prosumenta.</w:t>
      </w:r>
    </w:p>
    <w:p w14:paraId="71F1A483" w14:textId="77777777" w:rsidR="005D3849" w:rsidRPr="00EF6F97" w:rsidRDefault="005D3849" w:rsidP="002C166E">
      <w:pPr>
        <w:pStyle w:val="NormalnyWeb"/>
        <w:numPr>
          <w:ilvl w:val="0"/>
          <w:numId w:val="37"/>
        </w:numPr>
        <w:shd w:val="clear" w:color="auto" w:fill="FFFFFF"/>
        <w:spacing w:before="0" w:beforeAutospacing="0" w:after="0" w:afterAutospacing="0" w:line="360" w:lineRule="auto"/>
        <w:ind w:hanging="436"/>
      </w:pPr>
      <w:r w:rsidRPr="00EF6F97">
        <w:t>Kryteria techniczne</w:t>
      </w:r>
      <w:r w:rsidR="001D0628">
        <w:t xml:space="preserve"> i </w:t>
      </w:r>
      <w:r w:rsidRPr="00EF6F97">
        <w:t>ekonomiczne wyboru odpowiedniej technologii magazynowania:</w:t>
      </w:r>
    </w:p>
    <w:p w14:paraId="5E412BD3" w14:textId="484F76E0" w:rsidR="005D3849" w:rsidRPr="00EF6F97" w:rsidRDefault="005D3849" w:rsidP="002C166E">
      <w:pPr>
        <w:pStyle w:val="NormalnyWeb"/>
        <w:numPr>
          <w:ilvl w:val="0"/>
          <w:numId w:val="37"/>
        </w:numPr>
        <w:shd w:val="clear" w:color="auto" w:fill="FFFFFF"/>
        <w:spacing w:before="0" w:beforeAutospacing="0" w:after="0" w:afterAutospacing="0" w:line="360" w:lineRule="auto"/>
        <w:ind w:left="709" w:hanging="436"/>
      </w:pPr>
      <w:r w:rsidRPr="00EF6F97">
        <w:t>Gęstość energii</w:t>
      </w:r>
      <w:r w:rsidR="001D0628">
        <w:t xml:space="preserve"> i </w:t>
      </w:r>
      <w:r w:rsidRPr="00EF6F97">
        <w:t>mocy</w:t>
      </w:r>
      <w:r w:rsidR="00CD6568">
        <w:t>,</w:t>
      </w:r>
      <w:r w:rsidRPr="00EF6F97">
        <w:t xml:space="preserve"> </w:t>
      </w:r>
    </w:p>
    <w:p w14:paraId="053B2FC6" w14:textId="2B9046AB" w:rsidR="005D3849" w:rsidRPr="00EF6F97" w:rsidRDefault="005D3849" w:rsidP="002C166E">
      <w:pPr>
        <w:pStyle w:val="NormalnyWeb"/>
        <w:numPr>
          <w:ilvl w:val="0"/>
          <w:numId w:val="37"/>
        </w:numPr>
        <w:shd w:val="clear" w:color="auto" w:fill="FFFFFF"/>
        <w:spacing w:before="0" w:beforeAutospacing="0" w:after="0" w:afterAutospacing="0" w:line="360" w:lineRule="auto"/>
        <w:ind w:left="709" w:hanging="436"/>
      </w:pPr>
      <w:r w:rsidRPr="00EF6F97">
        <w:t>Czas odpowiedzi</w:t>
      </w:r>
      <w:r w:rsidR="00CD6568">
        <w:t>,</w:t>
      </w:r>
    </w:p>
    <w:p w14:paraId="4AA4648B" w14:textId="2FD5193C" w:rsidR="005D3849" w:rsidRPr="00EF6F97" w:rsidRDefault="005D3849" w:rsidP="002C166E">
      <w:pPr>
        <w:pStyle w:val="NormalnyWeb"/>
        <w:numPr>
          <w:ilvl w:val="0"/>
          <w:numId w:val="37"/>
        </w:numPr>
        <w:shd w:val="clear" w:color="auto" w:fill="FFFFFF"/>
        <w:spacing w:before="0" w:beforeAutospacing="0" w:after="0" w:afterAutospacing="0" w:line="360" w:lineRule="auto"/>
        <w:ind w:left="709" w:hanging="436"/>
      </w:pPr>
      <w:r w:rsidRPr="00EF6F97">
        <w:t>Koszty jednostkowe</w:t>
      </w:r>
      <w:r w:rsidR="001D0628">
        <w:t xml:space="preserve"> i </w:t>
      </w:r>
      <w:r w:rsidRPr="00EF6F97">
        <w:t>ekonomika skali</w:t>
      </w:r>
      <w:r w:rsidR="00CD6568">
        <w:t>,</w:t>
      </w:r>
    </w:p>
    <w:p w14:paraId="1FB20961" w14:textId="1DDA93C7" w:rsidR="005D3849" w:rsidRPr="00EF6F97" w:rsidRDefault="005D3849" w:rsidP="002C166E">
      <w:pPr>
        <w:pStyle w:val="NormalnyWeb"/>
        <w:numPr>
          <w:ilvl w:val="0"/>
          <w:numId w:val="37"/>
        </w:numPr>
        <w:shd w:val="clear" w:color="auto" w:fill="FFFFFF"/>
        <w:spacing w:before="0" w:beforeAutospacing="0" w:after="0" w:afterAutospacing="0" w:line="360" w:lineRule="auto"/>
        <w:ind w:left="709" w:hanging="436"/>
      </w:pPr>
      <w:r w:rsidRPr="00EF6F97">
        <w:t>Lokalizacja</w:t>
      </w:r>
      <w:r w:rsidR="001D0628">
        <w:t xml:space="preserve"> i </w:t>
      </w:r>
      <w:r w:rsidRPr="00EF6F97">
        <w:t>sposób przyłączenia do systemu</w:t>
      </w:r>
      <w:r w:rsidR="00CD6568">
        <w:t>,</w:t>
      </w:r>
    </w:p>
    <w:p w14:paraId="0C1EA2C3" w14:textId="6563FAC7" w:rsidR="005D3849" w:rsidRPr="00EF6F97" w:rsidRDefault="005D3849" w:rsidP="002C166E">
      <w:pPr>
        <w:pStyle w:val="NormalnyWeb"/>
        <w:numPr>
          <w:ilvl w:val="0"/>
          <w:numId w:val="37"/>
        </w:numPr>
        <w:shd w:val="clear" w:color="auto" w:fill="FFFFFF"/>
        <w:spacing w:before="0" w:beforeAutospacing="0" w:after="0" w:afterAutospacing="0" w:line="360" w:lineRule="auto"/>
        <w:ind w:left="709" w:hanging="436"/>
      </w:pPr>
      <w:r w:rsidRPr="00EF6F97">
        <w:t>Wyposażenie monitorujące</w:t>
      </w:r>
      <w:r w:rsidR="001D0628">
        <w:t xml:space="preserve"> i </w:t>
      </w:r>
      <w:r w:rsidRPr="00EF6F97">
        <w:t>kontrolne</w:t>
      </w:r>
      <w:r w:rsidR="00CD6568">
        <w:t>,</w:t>
      </w:r>
      <w:r w:rsidRPr="00EF6F97">
        <w:t xml:space="preserve"> </w:t>
      </w:r>
    </w:p>
    <w:p w14:paraId="0E56C21F" w14:textId="123E66B7" w:rsidR="005D3849" w:rsidRDefault="005D3849" w:rsidP="002C166E">
      <w:pPr>
        <w:pStyle w:val="NormalnyWeb"/>
        <w:numPr>
          <w:ilvl w:val="0"/>
          <w:numId w:val="37"/>
        </w:numPr>
        <w:shd w:val="clear" w:color="auto" w:fill="FFFFFF"/>
        <w:spacing w:before="0" w:beforeAutospacing="0" w:after="0" w:afterAutospacing="0" w:line="360" w:lineRule="auto"/>
        <w:ind w:left="709" w:hanging="436"/>
      </w:pPr>
      <w:r w:rsidRPr="00EF6F97">
        <w:t>Sprawność magazynowania</w:t>
      </w:r>
      <w:r w:rsidR="001D0628">
        <w:t xml:space="preserve"> i </w:t>
      </w:r>
      <w:r w:rsidRPr="00EF6F97">
        <w:t>poziom niezawodności</w:t>
      </w:r>
      <w:r w:rsidR="00CD6568">
        <w:t>.</w:t>
      </w:r>
    </w:p>
    <w:p w14:paraId="7EF73871" w14:textId="77777777" w:rsidR="00063A5A" w:rsidRPr="00063A5A" w:rsidRDefault="00063A5A" w:rsidP="00063A5A">
      <w:pPr>
        <w:pStyle w:val="NormalnyWeb"/>
        <w:shd w:val="clear" w:color="auto" w:fill="FFFFFF"/>
        <w:spacing w:before="0" w:beforeAutospacing="0" w:after="0" w:afterAutospacing="0" w:line="360" w:lineRule="auto"/>
        <w:ind w:left="709"/>
        <w:rPr>
          <w:sz w:val="8"/>
          <w:szCs w:val="8"/>
        </w:rPr>
      </w:pPr>
    </w:p>
    <w:p w14:paraId="3161EA57" w14:textId="77777777" w:rsidR="005D3849" w:rsidRPr="00EF6F97" w:rsidRDefault="005D3849" w:rsidP="00EF6F97">
      <w:pPr>
        <w:pStyle w:val="Default"/>
        <w:spacing w:line="360" w:lineRule="auto"/>
        <w:rPr>
          <w:rFonts w:ascii="Times New Roman" w:hAnsi="Times New Roman" w:cs="Times New Roman"/>
          <w:b/>
          <w:color w:val="auto"/>
        </w:rPr>
      </w:pPr>
      <w:r w:rsidRPr="00EF6F97">
        <w:rPr>
          <w:rFonts w:ascii="Times New Roman" w:hAnsi="Times New Roman" w:cs="Times New Roman"/>
          <w:b/>
          <w:color w:val="auto"/>
        </w:rPr>
        <w:t>Technologie magazynowania energii według mocy</w:t>
      </w:r>
    </w:p>
    <w:p w14:paraId="1467E599" w14:textId="77777777" w:rsidR="005D3849" w:rsidRPr="00EF6F97" w:rsidRDefault="005D3849" w:rsidP="00EF6F97">
      <w:pPr>
        <w:pStyle w:val="Default"/>
        <w:spacing w:line="360" w:lineRule="auto"/>
        <w:rPr>
          <w:rFonts w:ascii="Times New Roman" w:hAnsi="Times New Roman" w:cs="Times New Roman"/>
          <w:b/>
          <w:color w:val="auto"/>
        </w:rPr>
      </w:pPr>
    </w:p>
    <w:p w14:paraId="70DFD7D3" w14:textId="77777777" w:rsidR="005D3849" w:rsidRPr="00EF6F97" w:rsidRDefault="000C0C31" w:rsidP="00EF6F97">
      <w:pPr>
        <w:pStyle w:val="Default"/>
        <w:spacing w:line="360" w:lineRule="auto"/>
        <w:jc w:val="center"/>
        <w:rPr>
          <w:rFonts w:ascii="Times New Roman" w:hAnsi="Times New Roman" w:cs="Times New Roman"/>
          <w:color w:val="auto"/>
        </w:rPr>
        <w:sectPr w:rsidR="005D3849" w:rsidRPr="00EF6F97" w:rsidSect="002A066F">
          <w:headerReference w:type="default" r:id="rId9"/>
          <w:footerReference w:type="default" r:id="rId10"/>
          <w:pgSz w:w="11906" w:h="16838"/>
          <w:pgMar w:top="1417" w:right="1417" w:bottom="1417" w:left="1417" w:header="708" w:footer="708" w:gutter="0"/>
          <w:cols w:space="708"/>
          <w:titlePg/>
          <w:docGrid w:linePitch="360"/>
        </w:sectPr>
      </w:pPr>
      <w:r w:rsidRPr="00EF6F97">
        <w:rPr>
          <w:rFonts w:ascii="Times New Roman" w:hAnsi="Times New Roman" w:cs="Times New Roman"/>
          <w:noProof/>
          <w:color w:val="auto"/>
          <w:lang w:eastAsia="pl-PL"/>
        </w:rPr>
        <w:lastRenderedPageBreak/>
        <w:drawing>
          <wp:inline distT="0" distB="0" distL="0" distR="0" wp14:anchorId="5343DCFB" wp14:editId="6D815DDA">
            <wp:extent cx="5743575" cy="3019425"/>
            <wp:effectExtent l="19050" t="0" r="9525" b="0"/>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1" cstate="print"/>
                    <a:srcRect/>
                    <a:stretch>
                      <a:fillRect/>
                    </a:stretch>
                  </pic:blipFill>
                  <pic:spPr bwMode="auto">
                    <a:xfrm>
                      <a:off x="0" y="0"/>
                      <a:ext cx="5743575" cy="3019425"/>
                    </a:xfrm>
                    <a:prstGeom prst="rect">
                      <a:avLst/>
                    </a:prstGeom>
                    <a:noFill/>
                    <a:ln w="9525">
                      <a:noFill/>
                      <a:miter lim="800000"/>
                      <a:headEnd/>
                      <a:tailEnd/>
                    </a:ln>
                  </pic:spPr>
                </pic:pic>
              </a:graphicData>
            </a:graphic>
          </wp:inline>
        </w:drawing>
      </w:r>
    </w:p>
    <w:p w14:paraId="5667B129" w14:textId="77777777" w:rsidR="005D3849" w:rsidRPr="00EF6F97" w:rsidRDefault="005D3849" w:rsidP="00EF6F97">
      <w:pPr>
        <w:spacing w:line="360" w:lineRule="auto"/>
        <w:rPr>
          <w:rFonts w:ascii="Times New Roman" w:hAnsi="Times New Roman" w:cs="Times New Roman"/>
          <w:b/>
          <w:sz w:val="24"/>
          <w:szCs w:val="24"/>
          <w:shd w:val="clear" w:color="auto" w:fill="FFFFFF"/>
        </w:rPr>
      </w:pPr>
      <w:r w:rsidRPr="00EF6F97">
        <w:rPr>
          <w:rStyle w:val="Pogrubienie"/>
          <w:rFonts w:ascii="Times New Roman" w:hAnsi="Times New Roman" w:cs="Times New Roman"/>
          <w:sz w:val="24"/>
          <w:szCs w:val="24"/>
        </w:rPr>
        <w:lastRenderedPageBreak/>
        <w:t>Magazynowanie energii w wybranych państwach</w:t>
      </w:r>
    </w:p>
    <w:p w14:paraId="6304674E" w14:textId="77777777" w:rsidR="005D3849" w:rsidRPr="00EF6F97" w:rsidRDefault="005D3849" w:rsidP="00EF6F97">
      <w:pPr>
        <w:pStyle w:val="Akapitzlist"/>
        <w:numPr>
          <w:ilvl w:val="0"/>
          <w:numId w:val="16"/>
        </w:numPr>
        <w:spacing w:after="0" w:line="360" w:lineRule="auto"/>
        <w:jc w:val="both"/>
        <w:rPr>
          <w:rFonts w:ascii="Times New Roman" w:hAnsi="Times New Roman"/>
          <w:b/>
          <w:i/>
          <w:sz w:val="24"/>
          <w:szCs w:val="24"/>
          <w:shd w:val="clear" w:color="auto" w:fill="FFFFFF"/>
        </w:rPr>
      </w:pPr>
      <w:r w:rsidRPr="00EF6F97">
        <w:rPr>
          <w:rFonts w:ascii="Times New Roman" w:hAnsi="Times New Roman"/>
          <w:b/>
          <w:i/>
          <w:sz w:val="24"/>
          <w:szCs w:val="24"/>
          <w:shd w:val="clear" w:color="auto" w:fill="FFFFFF"/>
        </w:rPr>
        <w:t>USA</w:t>
      </w:r>
    </w:p>
    <w:p w14:paraId="3AFC0D61" w14:textId="77777777" w:rsidR="005D3849" w:rsidRPr="00EF6F97" w:rsidRDefault="005D3849" w:rsidP="00EF6F97">
      <w:pPr>
        <w:spacing w:line="360" w:lineRule="auto"/>
        <w:jc w:val="both"/>
        <w:rPr>
          <w:rFonts w:ascii="Times New Roman" w:hAnsi="Times New Roman" w:cs="Times New Roman"/>
          <w:sz w:val="24"/>
          <w:szCs w:val="24"/>
          <w:shd w:val="clear" w:color="auto" w:fill="FFFFFF"/>
          <w:lang w:val="en-US"/>
        </w:rPr>
      </w:pPr>
      <w:r w:rsidRPr="00EF6F97">
        <w:rPr>
          <w:rFonts w:ascii="Times New Roman" w:hAnsi="Times New Roman" w:cs="Times New Roman"/>
          <w:sz w:val="24"/>
          <w:szCs w:val="24"/>
          <w:shd w:val="clear" w:color="auto" w:fill="FFFFFF"/>
          <w:lang w:val="en-US"/>
        </w:rPr>
        <w:t xml:space="preserve">Definicja magazynu energii: </w:t>
      </w:r>
      <w:r w:rsidRPr="00EF6F97">
        <w:rPr>
          <w:rFonts w:ascii="Times New Roman" w:hAnsi="Times New Roman" w:cs="Times New Roman"/>
          <w:i/>
          <w:sz w:val="24"/>
          <w:szCs w:val="24"/>
          <w:shd w:val="clear" w:color="auto" w:fill="FFFFFF"/>
          <w:lang w:val="en-US"/>
        </w:rPr>
        <w:t>“a resource capable of receiving electric energy from the grid and storing it for later injection of electricity back to the grid”</w:t>
      </w:r>
    </w:p>
    <w:p w14:paraId="729A073F" w14:textId="77777777" w:rsidR="005D3849" w:rsidRPr="00EF6F97" w:rsidRDefault="005D3849" w:rsidP="00EF6F97">
      <w:pPr>
        <w:spacing w:line="360" w:lineRule="auto"/>
        <w:jc w:val="both"/>
        <w:rPr>
          <w:rFonts w:ascii="Times New Roman" w:hAnsi="Times New Roman" w:cs="Times New Roman"/>
          <w:sz w:val="24"/>
          <w:szCs w:val="24"/>
          <w:shd w:val="clear" w:color="auto" w:fill="FFFFFF"/>
        </w:rPr>
      </w:pPr>
      <w:r w:rsidRPr="00EF6F97">
        <w:rPr>
          <w:rFonts w:ascii="Times New Roman" w:hAnsi="Times New Roman" w:cs="Times New Roman"/>
          <w:sz w:val="24"/>
          <w:szCs w:val="24"/>
          <w:shd w:val="clear" w:color="auto" w:fill="FFFFFF"/>
        </w:rPr>
        <w:t xml:space="preserve">Tłumaczenie: </w:t>
      </w:r>
      <w:r w:rsidRPr="00EF6F97">
        <w:rPr>
          <w:rFonts w:ascii="Times New Roman" w:hAnsi="Times New Roman" w:cs="Times New Roman"/>
          <w:i/>
          <w:sz w:val="24"/>
          <w:szCs w:val="24"/>
          <w:shd w:val="clear" w:color="auto" w:fill="FFFFFF"/>
        </w:rPr>
        <w:t xml:space="preserve">zasób zdolny do odbierania energii elektrycznej </w:t>
      </w:r>
      <w:r w:rsidR="001D0628">
        <w:rPr>
          <w:rFonts w:ascii="Times New Roman" w:hAnsi="Times New Roman" w:cs="Times New Roman"/>
          <w:i/>
          <w:sz w:val="24"/>
          <w:szCs w:val="24"/>
          <w:shd w:val="clear" w:color="auto" w:fill="FFFFFF"/>
        </w:rPr>
        <w:t>z </w:t>
      </w:r>
      <w:r w:rsidRPr="00EF6F97">
        <w:rPr>
          <w:rFonts w:ascii="Times New Roman" w:hAnsi="Times New Roman" w:cs="Times New Roman"/>
          <w:i/>
          <w:sz w:val="24"/>
          <w:szCs w:val="24"/>
          <w:shd w:val="clear" w:color="auto" w:fill="FFFFFF"/>
        </w:rPr>
        <w:t>sieci</w:t>
      </w:r>
      <w:r w:rsidR="001D0628">
        <w:rPr>
          <w:rFonts w:ascii="Times New Roman" w:hAnsi="Times New Roman" w:cs="Times New Roman"/>
          <w:i/>
          <w:sz w:val="24"/>
          <w:szCs w:val="24"/>
          <w:shd w:val="clear" w:color="auto" w:fill="FFFFFF"/>
        </w:rPr>
        <w:t xml:space="preserve"> i </w:t>
      </w:r>
      <w:r w:rsidRPr="00EF6F97">
        <w:rPr>
          <w:rFonts w:ascii="Times New Roman" w:hAnsi="Times New Roman" w:cs="Times New Roman"/>
          <w:i/>
          <w:sz w:val="24"/>
          <w:szCs w:val="24"/>
          <w:shd w:val="clear" w:color="auto" w:fill="FFFFFF"/>
        </w:rPr>
        <w:t xml:space="preserve">przechowywania jej do późniejszego oddania energii elektrycznej </w:t>
      </w:r>
      <w:r w:rsidR="001D0628">
        <w:rPr>
          <w:rFonts w:ascii="Times New Roman" w:hAnsi="Times New Roman" w:cs="Times New Roman"/>
          <w:i/>
          <w:sz w:val="24"/>
          <w:szCs w:val="24"/>
          <w:shd w:val="clear" w:color="auto" w:fill="FFFFFF"/>
        </w:rPr>
        <w:t>z </w:t>
      </w:r>
      <w:r w:rsidRPr="00EF6F97">
        <w:rPr>
          <w:rFonts w:ascii="Times New Roman" w:hAnsi="Times New Roman" w:cs="Times New Roman"/>
          <w:i/>
          <w:sz w:val="24"/>
          <w:szCs w:val="24"/>
          <w:shd w:val="clear" w:color="auto" w:fill="FFFFFF"/>
        </w:rPr>
        <w:t>powrotem do sieci</w:t>
      </w:r>
    </w:p>
    <w:p w14:paraId="1A14E0E5" w14:textId="77777777" w:rsidR="005D3849" w:rsidRPr="00EF6F97" w:rsidRDefault="005D3849" w:rsidP="00EF6F97">
      <w:pPr>
        <w:spacing w:line="360" w:lineRule="auto"/>
        <w:jc w:val="both"/>
        <w:rPr>
          <w:rFonts w:ascii="Times New Roman" w:hAnsi="Times New Roman" w:cs="Times New Roman"/>
          <w:i/>
          <w:sz w:val="24"/>
          <w:szCs w:val="24"/>
          <w:lang w:val="en-US"/>
        </w:rPr>
      </w:pPr>
      <w:r w:rsidRPr="00EF6F97">
        <w:rPr>
          <w:rFonts w:ascii="Times New Roman" w:hAnsi="Times New Roman" w:cs="Times New Roman"/>
          <w:i/>
          <w:sz w:val="24"/>
          <w:szCs w:val="24"/>
          <w:lang w:val="en-US"/>
        </w:rPr>
        <w:t>Źródło: Electric Storage Participation in Markets Operated by Regional Transmission Organizations and Independent System Operators, Order No. 841, 162 FERC 61,127 (2018)</w:t>
      </w:r>
    </w:p>
    <w:p w14:paraId="2E045EF9" w14:textId="77777777" w:rsidR="005D3849" w:rsidRPr="00EF6F97" w:rsidRDefault="005D3849" w:rsidP="00EF6F97">
      <w:pPr>
        <w:spacing w:line="360" w:lineRule="auto"/>
        <w:jc w:val="both"/>
        <w:rPr>
          <w:rFonts w:ascii="Times New Roman" w:hAnsi="Times New Roman" w:cs="Times New Roman"/>
          <w:sz w:val="24"/>
          <w:szCs w:val="24"/>
          <w:shd w:val="clear" w:color="auto" w:fill="FFFFFF"/>
          <w:lang w:val="en-US"/>
        </w:rPr>
      </w:pPr>
    </w:p>
    <w:p w14:paraId="78BC4F9E" w14:textId="77777777" w:rsidR="005D3849" w:rsidRPr="00EF6F97" w:rsidRDefault="005D3849" w:rsidP="00EF6F97">
      <w:pPr>
        <w:spacing w:line="360" w:lineRule="auto"/>
        <w:jc w:val="both"/>
        <w:rPr>
          <w:rFonts w:ascii="Times New Roman" w:hAnsi="Times New Roman" w:cs="Times New Roman"/>
          <w:b/>
          <w:sz w:val="24"/>
          <w:szCs w:val="24"/>
          <w:shd w:val="clear" w:color="auto" w:fill="FFFFFF"/>
        </w:rPr>
      </w:pPr>
      <w:r w:rsidRPr="00EF6F97">
        <w:rPr>
          <w:rFonts w:ascii="Times New Roman" w:hAnsi="Times New Roman" w:cs="Times New Roman"/>
          <w:b/>
          <w:sz w:val="24"/>
          <w:szCs w:val="24"/>
          <w:shd w:val="clear" w:color="auto" w:fill="FFFFFF"/>
        </w:rPr>
        <w:t xml:space="preserve">Obecny stan mocy magazynowej USA </w:t>
      </w:r>
      <w:r w:rsidR="001D0628">
        <w:rPr>
          <w:rFonts w:ascii="Times New Roman" w:hAnsi="Times New Roman" w:cs="Times New Roman"/>
          <w:b/>
          <w:sz w:val="24"/>
          <w:szCs w:val="24"/>
          <w:shd w:val="clear" w:color="auto" w:fill="FFFFFF"/>
        </w:rPr>
        <w:t>z </w:t>
      </w:r>
      <w:r w:rsidRPr="00EF6F97">
        <w:rPr>
          <w:rFonts w:ascii="Times New Roman" w:hAnsi="Times New Roman" w:cs="Times New Roman"/>
          <w:b/>
          <w:sz w:val="24"/>
          <w:szCs w:val="24"/>
          <w:shd w:val="clear" w:color="auto" w:fill="FFFFFF"/>
        </w:rPr>
        <w:t>podziałem na technologie</w:t>
      </w:r>
    </w:p>
    <w:p w14:paraId="6B476671" w14:textId="77777777" w:rsidR="005D3849" w:rsidRPr="00EF6F97" w:rsidRDefault="000C0C31" w:rsidP="00EF6F97">
      <w:pPr>
        <w:spacing w:line="360" w:lineRule="auto"/>
        <w:jc w:val="center"/>
        <w:rPr>
          <w:rFonts w:ascii="Times New Roman" w:hAnsi="Times New Roman" w:cs="Times New Roman"/>
          <w:sz w:val="24"/>
          <w:szCs w:val="24"/>
          <w:shd w:val="clear" w:color="auto" w:fill="FFFFFF"/>
        </w:rPr>
      </w:pPr>
      <w:r w:rsidRPr="00EF6F97">
        <w:rPr>
          <w:rFonts w:ascii="Times New Roman" w:hAnsi="Times New Roman" w:cs="Times New Roman"/>
          <w:noProof/>
          <w:sz w:val="24"/>
          <w:szCs w:val="24"/>
          <w:shd w:val="clear" w:color="auto" w:fill="FFFFFF"/>
        </w:rPr>
        <w:drawing>
          <wp:inline distT="0" distB="0" distL="0" distR="0" wp14:anchorId="16FA57C7" wp14:editId="1D063035">
            <wp:extent cx="5829300" cy="2314575"/>
            <wp:effectExtent l="19050" t="0" r="0" b="0"/>
            <wp:docPr id="3"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2" cstate="print"/>
                    <a:srcRect/>
                    <a:stretch>
                      <a:fillRect/>
                    </a:stretch>
                  </pic:blipFill>
                  <pic:spPr bwMode="auto">
                    <a:xfrm>
                      <a:off x="0" y="0"/>
                      <a:ext cx="5829300" cy="2314575"/>
                    </a:xfrm>
                    <a:prstGeom prst="rect">
                      <a:avLst/>
                    </a:prstGeom>
                    <a:noFill/>
                    <a:ln w="9525">
                      <a:noFill/>
                      <a:miter lim="800000"/>
                      <a:headEnd/>
                      <a:tailEnd/>
                    </a:ln>
                  </pic:spPr>
                </pic:pic>
              </a:graphicData>
            </a:graphic>
          </wp:inline>
        </w:drawing>
      </w:r>
    </w:p>
    <w:p w14:paraId="2D31FB9B" w14:textId="77777777" w:rsidR="005D3849" w:rsidRPr="00EF6F97" w:rsidRDefault="005D3849" w:rsidP="00EF6F97">
      <w:pPr>
        <w:spacing w:line="360" w:lineRule="auto"/>
        <w:jc w:val="both"/>
        <w:rPr>
          <w:rFonts w:ascii="Times New Roman" w:hAnsi="Times New Roman" w:cs="Times New Roman"/>
          <w:i/>
          <w:sz w:val="24"/>
          <w:szCs w:val="24"/>
          <w:shd w:val="clear" w:color="auto" w:fill="FFFFFF"/>
          <w:lang w:val="en-US"/>
        </w:rPr>
      </w:pPr>
      <w:r w:rsidRPr="00EF6F97">
        <w:rPr>
          <w:rFonts w:ascii="Times New Roman" w:hAnsi="Times New Roman" w:cs="Times New Roman"/>
          <w:i/>
          <w:sz w:val="24"/>
          <w:szCs w:val="24"/>
          <w:shd w:val="clear" w:color="auto" w:fill="FFFFFF"/>
          <w:lang w:val="en-US"/>
        </w:rPr>
        <w:t>Źródło: epa.gov/energy/electricity-storage</w:t>
      </w:r>
    </w:p>
    <w:p w14:paraId="718E3B34" w14:textId="77777777" w:rsidR="005D3849" w:rsidRPr="00EF6F97" w:rsidRDefault="005D3849" w:rsidP="00EF6F97">
      <w:pPr>
        <w:spacing w:line="360" w:lineRule="auto"/>
        <w:jc w:val="both"/>
        <w:rPr>
          <w:rFonts w:ascii="Times New Roman" w:hAnsi="Times New Roman" w:cs="Times New Roman"/>
          <w:sz w:val="24"/>
          <w:szCs w:val="24"/>
          <w:shd w:val="clear" w:color="auto" w:fill="FFFFFF"/>
          <w:lang w:val="en-US"/>
        </w:rPr>
      </w:pPr>
    </w:p>
    <w:p w14:paraId="7882282F" w14:textId="6472637A" w:rsidR="005D3849" w:rsidRPr="00EF6F97" w:rsidRDefault="00D20DB5" w:rsidP="00EF6F97">
      <w:pPr>
        <w:spacing w:line="360" w:lineRule="auto"/>
        <w:jc w:val="both"/>
        <w:rPr>
          <w:rFonts w:ascii="Times New Roman" w:hAnsi="Times New Roman" w:cs="Times New Roman"/>
          <w:sz w:val="24"/>
          <w:szCs w:val="24"/>
          <w:shd w:val="clear" w:color="auto" w:fill="FFFFFF"/>
        </w:rPr>
      </w:pPr>
      <w:r w:rsidRPr="001D0628">
        <w:rPr>
          <w:rFonts w:ascii="Times New Roman" w:hAnsi="Times New Roman" w:cs="Times New Roman"/>
          <w:sz w:val="24"/>
          <w:szCs w:val="24"/>
          <w:shd w:val="clear" w:color="auto" w:fill="FFFFFF"/>
          <w:lang w:val="en-US"/>
        </w:rPr>
        <w:tab/>
      </w:r>
      <w:r w:rsidR="005D3849" w:rsidRPr="00EF6F97">
        <w:rPr>
          <w:rFonts w:ascii="Times New Roman" w:hAnsi="Times New Roman" w:cs="Times New Roman"/>
          <w:sz w:val="24"/>
          <w:szCs w:val="24"/>
          <w:shd w:val="clear" w:color="auto" w:fill="FFFFFF"/>
        </w:rPr>
        <w:t xml:space="preserve">Nowy Jork jest drugim stanem we wschodnich Stanach Zjednoczonych, który przyjął ustawę (AB 6571) dotyczącą magazynowania energii. Pierwszy </w:t>
      </w:r>
      <w:r w:rsidR="00117FBD" w:rsidRPr="00EF6F97">
        <w:rPr>
          <w:rFonts w:ascii="Times New Roman" w:hAnsi="Times New Roman" w:cs="Times New Roman"/>
          <w:sz w:val="24"/>
          <w:szCs w:val="24"/>
          <w:shd w:val="clear" w:color="auto" w:fill="FFFFFF"/>
        </w:rPr>
        <w:t>to Kalifornia</w:t>
      </w:r>
      <w:r w:rsidR="00063A5A">
        <w:rPr>
          <w:rFonts w:ascii="Times New Roman" w:hAnsi="Times New Roman" w:cs="Times New Roman"/>
          <w:sz w:val="24"/>
          <w:szCs w:val="24"/>
          <w:shd w:val="clear" w:color="auto" w:fill="FFFFFF"/>
        </w:rPr>
        <w:t>,</w:t>
      </w:r>
      <w:r w:rsidR="00117FBD" w:rsidRPr="00EF6F97">
        <w:rPr>
          <w:rFonts w:ascii="Times New Roman" w:hAnsi="Times New Roman" w:cs="Times New Roman"/>
          <w:sz w:val="24"/>
          <w:szCs w:val="24"/>
          <w:shd w:val="clear" w:color="auto" w:fill="FFFFFF"/>
        </w:rPr>
        <w:t xml:space="preserve"> gdzie w roku 2010 uchwalono AssemblyBill 2514. Massachusetts</w:t>
      </w:r>
      <w:r w:rsidR="005D3849" w:rsidRPr="00EF6F97">
        <w:rPr>
          <w:rFonts w:ascii="Times New Roman" w:hAnsi="Times New Roman" w:cs="Times New Roman"/>
          <w:sz w:val="24"/>
          <w:szCs w:val="24"/>
          <w:shd w:val="clear" w:color="auto" w:fill="FFFFFF"/>
        </w:rPr>
        <w:t xml:space="preserve"> wyznaczył cel 200 MWh magazynowania energii do 2020 r. Cel Kalifornii na 2020 r</w:t>
      </w:r>
      <w:r w:rsidR="00CD6568">
        <w:rPr>
          <w:rFonts w:ascii="Times New Roman" w:hAnsi="Times New Roman" w:cs="Times New Roman"/>
          <w:sz w:val="24"/>
          <w:szCs w:val="24"/>
          <w:shd w:val="clear" w:color="auto" w:fill="FFFFFF"/>
        </w:rPr>
        <w:t>.</w:t>
      </w:r>
      <w:r w:rsidR="005D3849" w:rsidRPr="00EF6F97">
        <w:rPr>
          <w:rFonts w:ascii="Times New Roman" w:hAnsi="Times New Roman" w:cs="Times New Roman"/>
          <w:sz w:val="24"/>
          <w:szCs w:val="24"/>
          <w:shd w:val="clear" w:color="auto" w:fill="FFFFFF"/>
        </w:rPr>
        <w:t xml:space="preserve"> to 1,3 GW energii magazynowej. Do tego czasu udział źródeł odnawialnych w kalifornijskim miksie energii elektrycznej ma wzrosnąć do 33%, a w roku 2030 OZE ma odpowiadać za 50% produkcji energii w Kalifornii.</w:t>
      </w:r>
    </w:p>
    <w:p w14:paraId="344C7B4D" w14:textId="77777777" w:rsidR="005D3849" w:rsidRPr="00EF6F97" w:rsidRDefault="005D3849" w:rsidP="00EF6F97">
      <w:pPr>
        <w:spacing w:line="360" w:lineRule="auto"/>
        <w:jc w:val="both"/>
        <w:rPr>
          <w:rFonts w:ascii="Times New Roman" w:hAnsi="Times New Roman" w:cs="Times New Roman"/>
          <w:b/>
          <w:sz w:val="24"/>
          <w:szCs w:val="24"/>
          <w:shd w:val="clear" w:color="auto" w:fill="FFFFFF"/>
        </w:rPr>
      </w:pPr>
      <w:r w:rsidRPr="00EF6F97">
        <w:rPr>
          <w:rFonts w:ascii="Times New Roman" w:hAnsi="Times New Roman" w:cs="Times New Roman"/>
          <w:b/>
          <w:sz w:val="24"/>
          <w:szCs w:val="24"/>
          <w:shd w:val="clear" w:color="auto" w:fill="FFFFFF"/>
        </w:rPr>
        <w:t>Regulacje prawne:</w:t>
      </w:r>
    </w:p>
    <w:p w14:paraId="752305EC" w14:textId="77777777" w:rsidR="005D3849" w:rsidRPr="00EF6F97" w:rsidRDefault="00D20DB5" w:rsidP="00EF6F97">
      <w:pPr>
        <w:spacing w:line="360" w:lineRule="auto"/>
        <w:jc w:val="both"/>
        <w:rPr>
          <w:rFonts w:ascii="Times New Roman" w:hAnsi="Times New Roman" w:cs="Times New Roman"/>
          <w:sz w:val="24"/>
          <w:szCs w:val="24"/>
          <w:shd w:val="clear" w:color="auto" w:fill="FFFFFF"/>
        </w:rPr>
      </w:pPr>
      <w:r w:rsidRPr="00EF6F97">
        <w:rPr>
          <w:rFonts w:ascii="Times New Roman" w:hAnsi="Times New Roman" w:cs="Times New Roman"/>
          <w:sz w:val="24"/>
          <w:szCs w:val="24"/>
          <w:shd w:val="clear" w:color="auto" w:fill="FFFFFF"/>
        </w:rPr>
        <w:tab/>
      </w:r>
      <w:r w:rsidR="005D3849" w:rsidRPr="00EF6F97">
        <w:rPr>
          <w:rFonts w:ascii="Times New Roman" w:hAnsi="Times New Roman" w:cs="Times New Roman"/>
          <w:sz w:val="24"/>
          <w:szCs w:val="24"/>
          <w:shd w:val="clear" w:color="auto" w:fill="FFFFFF"/>
        </w:rPr>
        <w:t>Gubernator stanu Nowy Jork Andrew Cuomo podpisał ustawę (AB 6571) w celu opracowania programu wdrażania magazynowania energii, w tym celu dotyczącego magazynowania w 2030</w:t>
      </w:r>
      <w:r w:rsidR="001D0628">
        <w:rPr>
          <w:rFonts w:ascii="Times New Roman" w:hAnsi="Times New Roman" w:cs="Times New Roman"/>
          <w:sz w:val="24"/>
          <w:szCs w:val="24"/>
          <w:shd w:val="clear" w:color="auto" w:fill="FFFFFF"/>
        </w:rPr>
        <w:t> r.</w:t>
      </w:r>
      <w:r w:rsidR="005D3849" w:rsidRPr="00EF6F97">
        <w:rPr>
          <w:rFonts w:ascii="Times New Roman" w:hAnsi="Times New Roman" w:cs="Times New Roman"/>
          <w:sz w:val="24"/>
          <w:szCs w:val="24"/>
          <w:shd w:val="clear" w:color="auto" w:fill="FFFFFF"/>
        </w:rPr>
        <w:t xml:space="preserve"> Głównym celem ustawy jest wsparcie nowojorskiego projektu, który mówi o 50% udziału OZE do 2030</w:t>
      </w:r>
      <w:r w:rsidR="001D0628">
        <w:rPr>
          <w:rFonts w:ascii="Times New Roman" w:hAnsi="Times New Roman" w:cs="Times New Roman"/>
          <w:sz w:val="24"/>
          <w:szCs w:val="24"/>
          <w:shd w:val="clear" w:color="auto" w:fill="FFFFFF"/>
        </w:rPr>
        <w:t> r.</w:t>
      </w:r>
      <w:r w:rsidR="005D3849" w:rsidRPr="00EF6F97">
        <w:rPr>
          <w:rFonts w:ascii="Times New Roman" w:hAnsi="Times New Roman" w:cs="Times New Roman"/>
          <w:sz w:val="24"/>
          <w:szCs w:val="24"/>
          <w:shd w:val="clear" w:color="auto" w:fill="FFFFFF"/>
        </w:rPr>
        <w:t xml:space="preserve"> Projekt jest kontynuacją programu NY-Sun wprowadzonego prze</w:t>
      </w:r>
      <w:r w:rsidR="001D0628">
        <w:rPr>
          <w:rFonts w:ascii="Times New Roman" w:hAnsi="Times New Roman" w:cs="Times New Roman"/>
          <w:sz w:val="24"/>
          <w:szCs w:val="24"/>
          <w:shd w:val="clear" w:color="auto" w:fill="FFFFFF"/>
        </w:rPr>
        <w:t>z </w:t>
      </w:r>
      <w:r w:rsidR="005D3849" w:rsidRPr="00EF6F97">
        <w:rPr>
          <w:rFonts w:ascii="Times New Roman" w:hAnsi="Times New Roman" w:cs="Times New Roman"/>
          <w:sz w:val="24"/>
          <w:szCs w:val="24"/>
          <w:shd w:val="clear" w:color="auto" w:fill="FFFFFF"/>
        </w:rPr>
        <w:t>gubernatora Cuomo w 2012</w:t>
      </w:r>
      <w:r w:rsidR="001D0628">
        <w:rPr>
          <w:rFonts w:ascii="Times New Roman" w:hAnsi="Times New Roman" w:cs="Times New Roman"/>
          <w:sz w:val="24"/>
          <w:szCs w:val="24"/>
          <w:shd w:val="clear" w:color="auto" w:fill="FFFFFF"/>
        </w:rPr>
        <w:t> r.</w:t>
      </w:r>
      <w:r w:rsidR="005D3849" w:rsidRPr="00EF6F97">
        <w:rPr>
          <w:rFonts w:ascii="Times New Roman" w:hAnsi="Times New Roman" w:cs="Times New Roman"/>
          <w:sz w:val="24"/>
          <w:szCs w:val="24"/>
          <w:shd w:val="clear" w:color="auto" w:fill="FFFFFF"/>
        </w:rPr>
        <w:t xml:space="preserve"> który przewiduje:</w:t>
      </w:r>
    </w:p>
    <w:p w14:paraId="5BA71D7A" w14:textId="77777777" w:rsidR="005D3849" w:rsidRPr="00EF6F97" w:rsidRDefault="005D3849" w:rsidP="00EF6F97">
      <w:pPr>
        <w:pStyle w:val="Akapitzlist"/>
        <w:numPr>
          <w:ilvl w:val="0"/>
          <w:numId w:val="38"/>
        </w:numPr>
        <w:spacing w:after="0" w:line="360" w:lineRule="auto"/>
        <w:jc w:val="both"/>
        <w:rPr>
          <w:rFonts w:ascii="Times New Roman" w:hAnsi="Times New Roman"/>
          <w:sz w:val="24"/>
          <w:szCs w:val="24"/>
          <w:shd w:val="clear" w:color="auto" w:fill="FFFFFF"/>
        </w:rPr>
      </w:pPr>
      <w:r w:rsidRPr="00EF6F97">
        <w:rPr>
          <w:rFonts w:ascii="Times New Roman" w:hAnsi="Times New Roman"/>
          <w:sz w:val="24"/>
          <w:szCs w:val="24"/>
          <w:shd w:val="clear" w:color="auto" w:fill="FFFFFF"/>
        </w:rPr>
        <w:lastRenderedPageBreak/>
        <w:t>1 miliard USD na rozwój rynku energii słonecznej w ciągu 10 lat,</w:t>
      </w:r>
    </w:p>
    <w:p w14:paraId="3522BD25" w14:textId="77777777" w:rsidR="005D3849" w:rsidRPr="00EF6F97" w:rsidRDefault="005D3849" w:rsidP="00EF6F97">
      <w:pPr>
        <w:pStyle w:val="Akapitzlist"/>
        <w:numPr>
          <w:ilvl w:val="0"/>
          <w:numId w:val="38"/>
        </w:numPr>
        <w:spacing w:after="0" w:line="360" w:lineRule="auto"/>
        <w:jc w:val="both"/>
        <w:rPr>
          <w:rFonts w:ascii="Times New Roman" w:hAnsi="Times New Roman"/>
          <w:sz w:val="24"/>
          <w:szCs w:val="24"/>
          <w:shd w:val="clear" w:color="auto" w:fill="FFFFFF"/>
        </w:rPr>
      </w:pPr>
      <w:r w:rsidRPr="00EF6F97">
        <w:rPr>
          <w:rFonts w:ascii="Times New Roman" w:hAnsi="Times New Roman"/>
          <w:sz w:val="24"/>
          <w:szCs w:val="24"/>
          <w:shd w:val="clear" w:color="auto" w:fill="FFFFFF"/>
        </w:rPr>
        <w:t>dodanie ponad 3000 MW mocy słonecznej w stanie do 2023</w:t>
      </w:r>
      <w:r w:rsidR="001D0628">
        <w:rPr>
          <w:rFonts w:ascii="Times New Roman" w:hAnsi="Times New Roman"/>
          <w:sz w:val="24"/>
          <w:szCs w:val="24"/>
          <w:shd w:val="clear" w:color="auto" w:fill="FFFFFF"/>
        </w:rPr>
        <w:t> r.</w:t>
      </w:r>
      <w:r w:rsidRPr="00EF6F97">
        <w:rPr>
          <w:rFonts w:ascii="Times New Roman" w:hAnsi="Times New Roman"/>
          <w:sz w:val="24"/>
          <w:szCs w:val="24"/>
          <w:shd w:val="clear" w:color="auto" w:fill="FFFFFF"/>
        </w:rPr>
        <w:t>,</w:t>
      </w:r>
    </w:p>
    <w:p w14:paraId="10BEF688" w14:textId="77777777" w:rsidR="005D3849" w:rsidRPr="00EF6F97" w:rsidRDefault="005D3849" w:rsidP="00EF6F97">
      <w:pPr>
        <w:pStyle w:val="Akapitzlist"/>
        <w:numPr>
          <w:ilvl w:val="0"/>
          <w:numId w:val="38"/>
        </w:numPr>
        <w:spacing w:after="0" w:line="360" w:lineRule="auto"/>
        <w:jc w:val="both"/>
        <w:rPr>
          <w:rFonts w:ascii="Times New Roman" w:hAnsi="Times New Roman"/>
          <w:sz w:val="24"/>
          <w:szCs w:val="24"/>
          <w:shd w:val="clear" w:color="auto" w:fill="FFFFFF"/>
        </w:rPr>
      </w:pPr>
      <w:r w:rsidRPr="00EF6F97">
        <w:rPr>
          <w:rFonts w:ascii="Times New Roman" w:hAnsi="Times New Roman"/>
          <w:sz w:val="24"/>
          <w:szCs w:val="24"/>
          <w:shd w:val="clear" w:color="auto" w:fill="FFFFFF"/>
        </w:rPr>
        <w:t>osiągnięcie wzrostu o 181% na państwowym rynku energii słonecznej.</w:t>
      </w:r>
    </w:p>
    <w:p w14:paraId="09047AD4" w14:textId="77777777" w:rsidR="005D3849" w:rsidRPr="00EF6F97" w:rsidRDefault="005D3849" w:rsidP="00EF6F97">
      <w:pPr>
        <w:spacing w:line="360" w:lineRule="auto"/>
        <w:jc w:val="both"/>
        <w:rPr>
          <w:rFonts w:ascii="Times New Roman" w:hAnsi="Times New Roman" w:cs="Times New Roman"/>
          <w:i/>
          <w:sz w:val="24"/>
          <w:szCs w:val="24"/>
          <w:shd w:val="clear" w:color="auto" w:fill="FFFFFF"/>
          <w:lang w:val="en-US"/>
        </w:rPr>
      </w:pPr>
      <w:r w:rsidRPr="00EF6F97">
        <w:rPr>
          <w:rFonts w:ascii="Times New Roman" w:hAnsi="Times New Roman" w:cs="Times New Roman"/>
          <w:i/>
          <w:sz w:val="24"/>
          <w:szCs w:val="24"/>
          <w:shd w:val="clear" w:color="auto" w:fill="FFFFFF"/>
          <w:lang w:val="en-US"/>
        </w:rPr>
        <w:t>Źródło: electrek.co/2017/12/01/new-york-energy-storage-targets/</w:t>
      </w:r>
    </w:p>
    <w:p w14:paraId="0BE8CC12" w14:textId="77777777" w:rsidR="005D3849" w:rsidRPr="00EF6F97" w:rsidRDefault="00D20DB5" w:rsidP="00EF6F97">
      <w:pPr>
        <w:spacing w:line="360" w:lineRule="auto"/>
        <w:jc w:val="both"/>
        <w:rPr>
          <w:rFonts w:ascii="Times New Roman" w:hAnsi="Times New Roman" w:cs="Times New Roman"/>
          <w:sz w:val="24"/>
          <w:szCs w:val="24"/>
          <w:shd w:val="clear" w:color="auto" w:fill="FFFFFF"/>
        </w:rPr>
      </w:pPr>
      <w:r w:rsidRPr="001D0628">
        <w:rPr>
          <w:rFonts w:ascii="Times New Roman" w:hAnsi="Times New Roman" w:cs="Times New Roman"/>
          <w:sz w:val="24"/>
          <w:szCs w:val="24"/>
          <w:shd w:val="clear" w:color="auto" w:fill="FFFFFF"/>
          <w:lang w:val="en-US"/>
        </w:rPr>
        <w:tab/>
      </w:r>
      <w:r w:rsidR="005D3849" w:rsidRPr="00EF6F97">
        <w:rPr>
          <w:rFonts w:ascii="Times New Roman" w:hAnsi="Times New Roman" w:cs="Times New Roman"/>
          <w:sz w:val="24"/>
          <w:szCs w:val="24"/>
          <w:shd w:val="clear" w:color="auto" w:fill="FFFFFF"/>
        </w:rPr>
        <w:t>Federalna Komisja Regulacji Energetyki (FERC) wydała regulacje ułatwiające wprowadzenie magazynów energii do systemu elektroenergetycznego. The Final Rule</w:t>
      </w:r>
      <w:r w:rsidR="005D3849" w:rsidRPr="00EF6F97">
        <w:rPr>
          <w:rStyle w:val="Odwoanieprzypisudolnego"/>
          <w:rFonts w:ascii="Times New Roman" w:hAnsi="Times New Roman" w:cs="Times New Roman"/>
          <w:sz w:val="24"/>
          <w:szCs w:val="24"/>
          <w:shd w:val="clear" w:color="auto" w:fill="FFFFFF"/>
        </w:rPr>
        <w:footnoteReference w:id="3"/>
      </w:r>
      <w:r w:rsidR="005D3849" w:rsidRPr="00EF6F97">
        <w:rPr>
          <w:rFonts w:ascii="Times New Roman" w:hAnsi="Times New Roman" w:cs="Times New Roman"/>
          <w:sz w:val="24"/>
          <w:szCs w:val="24"/>
          <w:shd w:val="clear" w:color="auto" w:fill="FFFFFF"/>
        </w:rPr>
        <w:t xml:space="preserve"> ustala model uczestnictwa: </w:t>
      </w:r>
    </w:p>
    <w:p w14:paraId="7CE972BA" w14:textId="77777777" w:rsidR="005D3849" w:rsidRPr="00EF6F97" w:rsidRDefault="005D3849" w:rsidP="00EF6F97">
      <w:pPr>
        <w:pStyle w:val="Akapitzlist"/>
        <w:numPr>
          <w:ilvl w:val="0"/>
          <w:numId w:val="39"/>
        </w:numPr>
        <w:spacing w:after="0" w:line="360" w:lineRule="auto"/>
        <w:jc w:val="both"/>
        <w:rPr>
          <w:rFonts w:ascii="Times New Roman" w:hAnsi="Times New Roman"/>
          <w:sz w:val="24"/>
          <w:szCs w:val="24"/>
          <w:shd w:val="clear" w:color="auto" w:fill="FFFFFF"/>
        </w:rPr>
      </w:pPr>
      <w:r w:rsidRPr="00EF6F97">
        <w:rPr>
          <w:rFonts w:ascii="Times New Roman" w:hAnsi="Times New Roman"/>
          <w:sz w:val="24"/>
          <w:szCs w:val="24"/>
          <w:shd w:val="clear" w:color="auto" w:fill="FFFFFF"/>
        </w:rPr>
        <w:t>FERC wprowadziła dodatkowe opłaty za usług</w:t>
      </w:r>
      <w:r w:rsidR="00695DE8" w:rsidRPr="00EF6F97">
        <w:rPr>
          <w:rFonts w:ascii="Times New Roman" w:hAnsi="Times New Roman"/>
          <w:sz w:val="24"/>
          <w:szCs w:val="24"/>
          <w:shd w:val="clear" w:color="auto" w:fill="FFFFFF"/>
        </w:rPr>
        <w:t>i regulacyjne</w:t>
      </w:r>
      <w:r w:rsidRPr="00EF6F97">
        <w:rPr>
          <w:rFonts w:ascii="Times New Roman" w:hAnsi="Times New Roman"/>
          <w:sz w:val="24"/>
          <w:szCs w:val="24"/>
          <w:shd w:val="clear" w:color="auto" w:fill="FFFFFF"/>
        </w:rPr>
        <w:t xml:space="preserve"> – do opłaty za moc dodała opłaty za możliwą szybkość interwencji w sieci prze</w:t>
      </w:r>
      <w:r w:rsidR="001D0628">
        <w:rPr>
          <w:rFonts w:ascii="Times New Roman" w:hAnsi="Times New Roman"/>
          <w:sz w:val="24"/>
          <w:szCs w:val="24"/>
          <w:shd w:val="clear" w:color="auto" w:fill="FFFFFF"/>
        </w:rPr>
        <w:t>z </w:t>
      </w:r>
      <w:r w:rsidRPr="00EF6F97">
        <w:rPr>
          <w:rFonts w:ascii="Times New Roman" w:hAnsi="Times New Roman"/>
          <w:sz w:val="24"/>
          <w:szCs w:val="24"/>
          <w:shd w:val="clear" w:color="auto" w:fill="FFFFFF"/>
        </w:rPr>
        <w:t>dane źródło, co spowodowało prawie dwukrotny wzrost opłacalności biznesu polegającego na oferowaniu rezerw interwencyjnych w postaci magazynów energii w systemie energetycznym USA. W tej usłudze została doceniona nie tylko wielkość mocy, jaką posiada dane źródło, ale też możliwość szybkiej reakcji na zakłócenia częstotliwości w sieci. </w:t>
      </w:r>
    </w:p>
    <w:p w14:paraId="22E33F82" w14:textId="77777777" w:rsidR="005D3849" w:rsidRPr="00EF6F97" w:rsidRDefault="005D3849" w:rsidP="00EF6F97">
      <w:pPr>
        <w:pStyle w:val="Akapitzlist"/>
        <w:numPr>
          <w:ilvl w:val="0"/>
          <w:numId w:val="39"/>
        </w:numPr>
        <w:spacing w:after="0" w:line="360" w:lineRule="auto"/>
        <w:jc w:val="both"/>
        <w:rPr>
          <w:rFonts w:ascii="Times New Roman" w:hAnsi="Times New Roman"/>
          <w:sz w:val="24"/>
          <w:szCs w:val="24"/>
          <w:shd w:val="clear" w:color="auto" w:fill="FFFFFF"/>
        </w:rPr>
      </w:pPr>
      <w:r w:rsidRPr="00EF6F97">
        <w:rPr>
          <w:rFonts w:ascii="Times New Roman" w:hAnsi="Times New Roman"/>
          <w:sz w:val="24"/>
          <w:szCs w:val="24"/>
          <w:shd w:val="clear" w:color="auto" w:fill="FFFFFF"/>
        </w:rPr>
        <w:t xml:space="preserve">Model uczestnictwa musi określić zasady rynkowe, które mają gwarantować, że magazyny korzystające </w:t>
      </w:r>
      <w:r w:rsidR="001D0628">
        <w:rPr>
          <w:rFonts w:ascii="Times New Roman" w:hAnsi="Times New Roman"/>
          <w:sz w:val="24"/>
          <w:szCs w:val="24"/>
          <w:shd w:val="clear" w:color="auto" w:fill="FFFFFF"/>
        </w:rPr>
        <w:t>z </w:t>
      </w:r>
      <w:r w:rsidRPr="00EF6F97">
        <w:rPr>
          <w:rFonts w:ascii="Times New Roman" w:hAnsi="Times New Roman"/>
          <w:sz w:val="24"/>
          <w:szCs w:val="24"/>
          <w:shd w:val="clear" w:color="auto" w:fill="FFFFFF"/>
        </w:rPr>
        <w:t>tego modelu są zdolne do zapewnienia wszystkich mocy produkcyjnych, energetycznych</w:t>
      </w:r>
      <w:r w:rsidR="001D0628">
        <w:rPr>
          <w:rFonts w:ascii="Times New Roman" w:hAnsi="Times New Roman"/>
          <w:sz w:val="24"/>
          <w:szCs w:val="24"/>
          <w:shd w:val="clear" w:color="auto" w:fill="FFFFFF"/>
        </w:rPr>
        <w:t xml:space="preserve"> i </w:t>
      </w:r>
      <w:r w:rsidRPr="00EF6F97">
        <w:rPr>
          <w:rFonts w:ascii="Times New Roman" w:hAnsi="Times New Roman"/>
          <w:sz w:val="24"/>
          <w:szCs w:val="24"/>
          <w:shd w:val="clear" w:color="auto" w:fill="FFFFFF"/>
        </w:rPr>
        <w:t>pomocniczych, które są w stanie technicznie zapewnić.</w:t>
      </w:r>
    </w:p>
    <w:p w14:paraId="03083479" w14:textId="572EBA62" w:rsidR="005D3849" w:rsidRPr="00EF6F97" w:rsidRDefault="005D3849" w:rsidP="00EF6F97">
      <w:pPr>
        <w:pStyle w:val="Akapitzlist"/>
        <w:numPr>
          <w:ilvl w:val="0"/>
          <w:numId w:val="39"/>
        </w:numPr>
        <w:spacing w:after="0" w:line="360" w:lineRule="auto"/>
        <w:jc w:val="both"/>
        <w:rPr>
          <w:rFonts w:ascii="Times New Roman" w:hAnsi="Times New Roman"/>
          <w:sz w:val="24"/>
          <w:szCs w:val="24"/>
          <w:shd w:val="clear" w:color="auto" w:fill="FFFFFF"/>
        </w:rPr>
      </w:pPr>
      <w:r w:rsidRPr="00EF6F97">
        <w:rPr>
          <w:rFonts w:ascii="Times New Roman" w:hAnsi="Times New Roman"/>
          <w:sz w:val="24"/>
          <w:szCs w:val="24"/>
          <w:shd w:val="clear" w:color="auto" w:fill="FFFFFF"/>
        </w:rPr>
        <w:t>Akumulatory, koła zamachowe</w:t>
      </w:r>
      <w:r w:rsidR="001D0628">
        <w:rPr>
          <w:rFonts w:ascii="Times New Roman" w:hAnsi="Times New Roman"/>
          <w:sz w:val="24"/>
          <w:szCs w:val="24"/>
          <w:shd w:val="clear" w:color="auto" w:fill="FFFFFF"/>
        </w:rPr>
        <w:t xml:space="preserve"> i </w:t>
      </w:r>
      <w:r w:rsidRPr="00EF6F97">
        <w:rPr>
          <w:rFonts w:ascii="Times New Roman" w:hAnsi="Times New Roman"/>
          <w:sz w:val="24"/>
          <w:szCs w:val="24"/>
          <w:shd w:val="clear" w:color="auto" w:fill="FFFFFF"/>
        </w:rPr>
        <w:t>inne technologie umożliwiają przepływ mocy w obie strony</w:t>
      </w:r>
      <w:r w:rsidR="001D0628">
        <w:rPr>
          <w:rFonts w:ascii="Times New Roman" w:hAnsi="Times New Roman"/>
          <w:sz w:val="24"/>
          <w:szCs w:val="24"/>
          <w:shd w:val="clear" w:color="auto" w:fill="FFFFFF"/>
        </w:rPr>
        <w:t xml:space="preserve"> i </w:t>
      </w:r>
      <w:r w:rsidRPr="00EF6F97">
        <w:rPr>
          <w:rFonts w:ascii="Times New Roman" w:hAnsi="Times New Roman"/>
          <w:sz w:val="24"/>
          <w:szCs w:val="24"/>
          <w:shd w:val="clear" w:color="auto" w:fill="FFFFFF"/>
        </w:rPr>
        <w:t>reagują znacznie szybciej</w:t>
      </w:r>
      <w:r w:rsidR="00695DE8" w:rsidRPr="00EF6F97">
        <w:rPr>
          <w:rFonts w:ascii="Times New Roman" w:hAnsi="Times New Roman"/>
          <w:sz w:val="24"/>
          <w:szCs w:val="24"/>
          <w:shd w:val="clear" w:color="auto" w:fill="FFFFFF"/>
        </w:rPr>
        <w:t xml:space="preserve"> niż rozwiązania tradycyjne</w:t>
      </w:r>
      <w:r w:rsidRPr="00EF6F97">
        <w:rPr>
          <w:rFonts w:ascii="Times New Roman" w:hAnsi="Times New Roman"/>
          <w:sz w:val="24"/>
          <w:szCs w:val="24"/>
          <w:shd w:val="clear" w:color="auto" w:fill="FFFFFF"/>
        </w:rPr>
        <w:t>. FERC zauważyła, że zasady rynkowe opracowane dla tradycyjnych metod wytwarzania mogą stwarzać bariery wejścia dla nowych technologii, takich jak magazyny energii. Zaproponowała, aby operatorzy sieci stworzyli odpowiednie taryfy w celu określenia modelu uczestnictwa, analizując fizyczne</w:t>
      </w:r>
      <w:r w:rsidR="001D0628">
        <w:rPr>
          <w:rFonts w:ascii="Times New Roman" w:hAnsi="Times New Roman"/>
          <w:sz w:val="24"/>
          <w:szCs w:val="24"/>
          <w:shd w:val="clear" w:color="auto" w:fill="FFFFFF"/>
        </w:rPr>
        <w:t xml:space="preserve"> i </w:t>
      </w:r>
      <w:r w:rsidRPr="00EF6F97">
        <w:rPr>
          <w:rFonts w:ascii="Times New Roman" w:hAnsi="Times New Roman"/>
          <w:sz w:val="24"/>
          <w:szCs w:val="24"/>
          <w:shd w:val="clear" w:color="auto" w:fill="FFFFFF"/>
        </w:rPr>
        <w:t>operacyjne właściwości magazynów, co zwiększy konkurencję</w:t>
      </w:r>
      <w:r w:rsidR="001D0628">
        <w:rPr>
          <w:rFonts w:ascii="Times New Roman" w:hAnsi="Times New Roman"/>
          <w:sz w:val="24"/>
          <w:szCs w:val="24"/>
          <w:shd w:val="clear" w:color="auto" w:fill="FFFFFF"/>
        </w:rPr>
        <w:t xml:space="preserve"> i </w:t>
      </w:r>
      <w:r w:rsidRPr="00EF6F97">
        <w:rPr>
          <w:rFonts w:ascii="Times New Roman" w:hAnsi="Times New Roman"/>
          <w:sz w:val="24"/>
          <w:szCs w:val="24"/>
          <w:shd w:val="clear" w:color="auto" w:fill="FFFFFF"/>
        </w:rPr>
        <w:t>ograniczy stawki. FERC zaproponowała, aby każdy operator zdefiniował kryteria w swojej taryfie, które nie mogą ograniczać uczestnictwa różnych typów magazynów. Uczestnictwo będzie uwzględniało jedynie parametry fizyczne</w:t>
      </w:r>
      <w:r w:rsidR="001D0628">
        <w:rPr>
          <w:rFonts w:ascii="Times New Roman" w:hAnsi="Times New Roman"/>
          <w:sz w:val="24"/>
          <w:szCs w:val="24"/>
          <w:shd w:val="clear" w:color="auto" w:fill="FFFFFF"/>
        </w:rPr>
        <w:t xml:space="preserve"> i </w:t>
      </w:r>
      <w:r w:rsidRPr="00EF6F97">
        <w:rPr>
          <w:rFonts w:ascii="Times New Roman" w:hAnsi="Times New Roman"/>
          <w:sz w:val="24"/>
          <w:szCs w:val="24"/>
          <w:shd w:val="clear" w:color="auto" w:fill="FFFFFF"/>
        </w:rPr>
        <w:t>operacyjne, co umożliwi wprowadzenie nowych technologii be</w:t>
      </w:r>
      <w:r w:rsidR="001D0628">
        <w:rPr>
          <w:rFonts w:ascii="Times New Roman" w:hAnsi="Times New Roman"/>
          <w:sz w:val="24"/>
          <w:szCs w:val="24"/>
          <w:shd w:val="clear" w:color="auto" w:fill="FFFFFF"/>
        </w:rPr>
        <w:t>z </w:t>
      </w:r>
      <w:r w:rsidRPr="00EF6F97">
        <w:rPr>
          <w:rFonts w:ascii="Times New Roman" w:hAnsi="Times New Roman"/>
          <w:sz w:val="24"/>
          <w:szCs w:val="24"/>
          <w:shd w:val="clear" w:color="auto" w:fill="FFFFFF"/>
        </w:rPr>
        <w:t>potrzeby zmiany taryf.</w:t>
      </w:r>
    </w:p>
    <w:p w14:paraId="6CD1BC0E" w14:textId="77777777" w:rsidR="005D3849" w:rsidRPr="00EF6F97" w:rsidRDefault="005D3849" w:rsidP="00EF6F97">
      <w:pPr>
        <w:pStyle w:val="Akapitzlist"/>
        <w:numPr>
          <w:ilvl w:val="0"/>
          <w:numId w:val="39"/>
        </w:numPr>
        <w:spacing w:after="0" w:line="360" w:lineRule="auto"/>
        <w:jc w:val="both"/>
        <w:rPr>
          <w:rFonts w:ascii="Times New Roman" w:hAnsi="Times New Roman"/>
          <w:sz w:val="24"/>
          <w:szCs w:val="24"/>
          <w:shd w:val="clear" w:color="auto" w:fill="FFFFFF"/>
        </w:rPr>
      </w:pPr>
      <w:r w:rsidRPr="00EF6F97">
        <w:rPr>
          <w:rFonts w:ascii="Times New Roman" w:hAnsi="Times New Roman"/>
          <w:sz w:val="24"/>
          <w:szCs w:val="24"/>
          <w:shd w:val="clear" w:color="auto" w:fill="FFFFFF"/>
        </w:rPr>
        <w:t xml:space="preserve">FERC wymaga, aby taryfy określające model uczestnictwa magazynów energii uwzględniały jedynie magazyny o mocy co najmniej 100 kW. Ten wymóg obejmuje </w:t>
      </w:r>
      <w:r w:rsidRPr="00EF6F97">
        <w:rPr>
          <w:rFonts w:ascii="Times New Roman" w:hAnsi="Times New Roman"/>
          <w:sz w:val="24"/>
          <w:szCs w:val="24"/>
          <w:shd w:val="clear" w:color="auto" w:fill="FFFFFF"/>
        </w:rPr>
        <w:lastRenderedPageBreak/>
        <w:t>wszystkie minimalne wymagania dotyczące pojemności, minimalną ofertę sprzedaży ora</w:t>
      </w:r>
      <w:r w:rsidR="001D0628">
        <w:rPr>
          <w:rFonts w:ascii="Times New Roman" w:hAnsi="Times New Roman"/>
          <w:sz w:val="24"/>
          <w:szCs w:val="24"/>
          <w:shd w:val="clear" w:color="auto" w:fill="FFFFFF"/>
        </w:rPr>
        <w:t>z </w:t>
      </w:r>
      <w:r w:rsidRPr="00EF6F97">
        <w:rPr>
          <w:rFonts w:ascii="Times New Roman" w:hAnsi="Times New Roman"/>
          <w:sz w:val="24"/>
          <w:szCs w:val="24"/>
          <w:shd w:val="clear" w:color="auto" w:fill="FFFFFF"/>
        </w:rPr>
        <w:t>zakupu.</w:t>
      </w:r>
    </w:p>
    <w:p w14:paraId="45284479" w14:textId="77777777" w:rsidR="005D3849" w:rsidRPr="00EF6F97" w:rsidRDefault="005D3849" w:rsidP="00EF6F97">
      <w:pPr>
        <w:pStyle w:val="Akapitzlist"/>
        <w:numPr>
          <w:ilvl w:val="0"/>
          <w:numId w:val="39"/>
        </w:numPr>
        <w:spacing w:after="0" w:line="360" w:lineRule="auto"/>
        <w:jc w:val="both"/>
        <w:rPr>
          <w:rFonts w:ascii="Times New Roman" w:hAnsi="Times New Roman"/>
          <w:sz w:val="24"/>
          <w:szCs w:val="24"/>
          <w:shd w:val="clear" w:color="auto" w:fill="FFFFFF"/>
        </w:rPr>
      </w:pPr>
      <w:r w:rsidRPr="00EF6F97">
        <w:rPr>
          <w:rFonts w:ascii="Times New Roman" w:hAnsi="Times New Roman"/>
          <w:sz w:val="24"/>
          <w:szCs w:val="24"/>
          <w:shd w:val="clear" w:color="auto" w:fill="FFFFFF"/>
        </w:rPr>
        <w:t xml:space="preserve">FERC wymaga, aby sprzedaż energii elektrycznej </w:t>
      </w:r>
      <w:r w:rsidR="001D0628">
        <w:rPr>
          <w:rFonts w:ascii="Times New Roman" w:hAnsi="Times New Roman"/>
          <w:sz w:val="24"/>
          <w:szCs w:val="24"/>
          <w:shd w:val="clear" w:color="auto" w:fill="FFFFFF"/>
        </w:rPr>
        <w:t>z </w:t>
      </w:r>
      <w:r w:rsidRPr="00EF6F97">
        <w:rPr>
          <w:rFonts w:ascii="Times New Roman" w:hAnsi="Times New Roman"/>
          <w:sz w:val="24"/>
          <w:szCs w:val="24"/>
          <w:shd w:val="clear" w:color="auto" w:fill="FFFFFF"/>
        </w:rPr>
        <w:t>rynku OSD</w:t>
      </w:r>
      <w:r w:rsidR="001D0628">
        <w:rPr>
          <w:rFonts w:ascii="Times New Roman" w:hAnsi="Times New Roman"/>
          <w:sz w:val="24"/>
          <w:szCs w:val="24"/>
          <w:shd w:val="clear" w:color="auto" w:fill="FFFFFF"/>
        </w:rPr>
        <w:t xml:space="preserve"> i </w:t>
      </w:r>
      <w:r w:rsidRPr="00EF6F97">
        <w:rPr>
          <w:rFonts w:ascii="Times New Roman" w:hAnsi="Times New Roman"/>
          <w:sz w:val="24"/>
          <w:szCs w:val="24"/>
          <w:shd w:val="clear" w:color="auto" w:fill="FFFFFF"/>
        </w:rPr>
        <w:t xml:space="preserve">OSP do magazynu energii, którą następnie odsprzeda </w:t>
      </w:r>
      <w:r w:rsidR="001D0628">
        <w:rPr>
          <w:rFonts w:ascii="Times New Roman" w:hAnsi="Times New Roman"/>
          <w:sz w:val="24"/>
          <w:szCs w:val="24"/>
          <w:shd w:val="clear" w:color="auto" w:fill="FFFFFF"/>
        </w:rPr>
        <w:t>z </w:t>
      </w:r>
      <w:r w:rsidRPr="00EF6F97">
        <w:rPr>
          <w:rFonts w:ascii="Times New Roman" w:hAnsi="Times New Roman"/>
          <w:sz w:val="24"/>
          <w:szCs w:val="24"/>
          <w:shd w:val="clear" w:color="auto" w:fill="FFFFFF"/>
        </w:rPr>
        <w:t>powrotem na te rynki, odbywała się po cenie hurtowej za energię elektryczną. Ponadto wymaga od operatorów posiadania liczników mierzących całą energię wchodzącą</w:t>
      </w:r>
      <w:r w:rsidR="001D0628">
        <w:rPr>
          <w:rFonts w:ascii="Times New Roman" w:hAnsi="Times New Roman"/>
          <w:sz w:val="24"/>
          <w:szCs w:val="24"/>
          <w:shd w:val="clear" w:color="auto" w:fill="FFFFFF"/>
        </w:rPr>
        <w:t xml:space="preserve"> i </w:t>
      </w:r>
      <w:r w:rsidRPr="00EF6F97">
        <w:rPr>
          <w:rFonts w:ascii="Times New Roman" w:hAnsi="Times New Roman"/>
          <w:sz w:val="24"/>
          <w:szCs w:val="24"/>
          <w:shd w:val="clear" w:color="auto" w:fill="FFFFFF"/>
        </w:rPr>
        <w:t>wychodzącą. Natomiast magazyny OSD</w:t>
      </w:r>
      <w:r w:rsidR="001D0628">
        <w:rPr>
          <w:rFonts w:ascii="Times New Roman" w:hAnsi="Times New Roman"/>
          <w:sz w:val="24"/>
          <w:szCs w:val="24"/>
          <w:shd w:val="clear" w:color="auto" w:fill="FFFFFF"/>
        </w:rPr>
        <w:t xml:space="preserve"> i </w:t>
      </w:r>
      <w:r w:rsidRPr="00EF6F97">
        <w:rPr>
          <w:rFonts w:ascii="Times New Roman" w:hAnsi="Times New Roman"/>
          <w:sz w:val="24"/>
          <w:szCs w:val="24"/>
          <w:shd w:val="clear" w:color="auto" w:fill="FFFFFF"/>
        </w:rPr>
        <w:t>u odbiorcy za licznikiem wymagają innego rozwiązania.</w:t>
      </w:r>
    </w:p>
    <w:p w14:paraId="34D7A934" w14:textId="77777777" w:rsidR="005D3849" w:rsidRPr="00EF6F97" w:rsidRDefault="005D3849" w:rsidP="00EF6F97">
      <w:pPr>
        <w:spacing w:line="360" w:lineRule="auto"/>
        <w:jc w:val="both"/>
        <w:rPr>
          <w:rFonts w:ascii="Times New Roman" w:hAnsi="Times New Roman" w:cs="Times New Roman"/>
          <w:i/>
          <w:sz w:val="24"/>
          <w:szCs w:val="24"/>
          <w:shd w:val="clear" w:color="auto" w:fill="FFFFFF"/>
          <w:lang w:val="en-US"/>
        </w:rPr>
      </w:pPr>
      <w:r w:rsidRPr="00EF6F97">
        <w:rPr>
          <w:rFonts w:ascii="Times New Roman" w:hAnsi="Times New Roman" w:cs="Times New Roman"/>
          <w:i/>
          <w:sz w:val="24"/>
          <w:szCs w:val="24"/>
          <w:shd w:val="clear" w:color="auto" w:fill="FFFFFF"/>
          <w:lang w:val="en-US"/>
        </w:rPr>
        <w:t>Źródło: ferc.gov/media/news-releases/2018/2018-1/02-15-18-E-1.asp#.W07oOtIzbct</w:t>
      </w:r>
    </w:p>
    <w:p w14:paraId="50830229" w14:textId="77777777" w:rsidR="005D3849" w:rsidRPr="00EF6F97" w:rsidRDefault="005D3849" w:rsidP="00EF6F97">
      <w:pPr>
        <w:spacing w:line="360" w:lineRule="auto"/>
        <w:jc w:val="both"/>
        <w:rPr>
          <w:rFonts w:ascii="Times New Roman" w:hAnsi="Times New Roman" w:cs="Times New Roman"/>
          <w:i/>
          <w:sz w:val="24"/>
          <w:szCs w:val="24"/>
          <w:shd w:val="clear" w:color="auto" w:fill="FFFFFF"/>
          <w:lang w:val="en-US"/>
        </w:rPr>
      </w:pPr>
      <w:r w:rsidRPr="00EF6F97">
        <w:rPr>
          <w:rFonts w:ascii="Times New Roman" w:hAnsi="Times New Roman" w:cs="Times New Roman"/>
          <w:i/>
          <w:sz w:val="24"/>
          <w:szCs w:val="24"/>
          <w:shd w:val="clear" w:color="auto" w:fill="FFFFFF"/>
          <w:lang w:val="en-US"/>
        </w:rPr>
        <w:t>ferc.gov/whats-new/comm-meet/2018/021518/E-1.pdf</w:t>
      </w:r>
    </w:p>
    <w:p w14:paraId="4CF6C9AB" w14:textId="77777777" w:rsidR="005D3849" w:rsidRPr="00EF6F97" w:rsidRDefault="005D3849" w:rsidP="00EF6F97">
      <w:pPr>
        <w:pStyle w:val="Akapitzlist"/>
        <w:numPr>
          <w:ilvl w:val="0"/>
          <w:numId w:val="16"/>
        </w:numPr>
        <w:spacing w:after="0" w:line="360" w:lineRule="auto"/>
        <w:jc w:val="both"/>
        <w:rPr>
          <w:rFonts w:ascii="Times New Roman" w:hAnsi="Times New Roman"/>
          <w:b/>
          <w:i/>
          <w:sz w:val="24"/>
          <w:szCs w:val="24"/>
          <w:shd w:val="clear" w:color="auto" w:fill="FFFFFF"/>
        </w:rPr>
      </w:pPr>
      <w:r w:rsidRPr="00EF6F97">
        <w:rPr>
          <w:rFonts w:ascii="Times New Roman" w:hAnsi="Times New Roman"/>
          <w:b/>
          <w:i/>
          <w:sz w:val="24"/>
          <w:szCs w:val="24"/>
          <w:shd w:val="clear" w:color="auto" w:fill="FFFFFF"/>
        </w:rPr>
        <w:t>JAPONIA</w:t>
      </w:r>
    </w:p>
    <w:p w14:paraId="32A378BE" w14:textId="77777777" w:rsidR="005D3849" w:rsidRPr="00EF6F97" w:rsidRDefault="005D3849" w:rsidP="00EF6F97">
      <w:pPr>
        <w:spacing w:line="360" w:lineRule="auto"/>
        <w:jc w:val="both"/>
        <w:rPr>
          <w:rFonts w:ascii="Times New Roman" w:hAnsi="Times New Roman" w:cs="Times New Roman"/>
          <w:b/>
          <w:sz w:val="24"/>
          <w:szCs w:val="24"/>
        </w:rPr>
      </w:pPr>
      <w:r w:rsidRPr="00EF6F97">
        <w:rPr>
          <w:rFonts w:ascii="Times New Roman" w:hAnsi="Times New Roman" w:cs="Times New Roman"/>
          <w:b/>
          <w:sz w:val="24"/>
          <w:szCs w:val="24"/>
        </w:rPr>
        <w:t>Obecny stan</w:t>
      </w:r>
    </w:p>
    <w:p w14:paraId="445BDFC6" w14:textId="7AE8B262" w:rsidR="005D3849"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5D3849" w:rsidRPr="00EF6F97">
        <w:rPr>
          <w:rFonts w:ascii="Times New Roman" w:hAnsi="Times New Roman" w:cs="Times New Roman"/>
          <w:sz w:val="24"/>
          <w:szCs w:val="24"/>
        </w:rPr>
        <w:t>Po katastrofie jądrowej w Fukushimie, japoński rząd zmienił swoją strategię energetyczną, aby położyć większy nacisk na odnawialne źródła energii. Japońska Rada ds. Promocji Nowej Energii (NEPC) otrzymała 2,57 mld USD na wsparcie ”Large-Scale Grid-Balancing Battery Energy Demonstration Projects”. Japoński rząd ustalił także cel rozwoju, który zakłada, że do 2020</w:t>
      </w:r>
      <w:r w:rsidR="001D0628">
        <w:rPr>
          <w:rFonts w:ascii="Times New Roman" w:hAnsi="Times New Roman" w:cs="Times New Roman"/>
          <w:sz w:val="24"/>
          <w:szCs w:val="24"/>
        </w:rPr>
        <w:t> r.</w:t>
      </w:r>
      <w:r w:rsidR="005D3849" w:rsidRPr="00EF6F97">
        <w:rPr>
          <w:rFonts w:ascii="Times New Roman" w:hAnsi="Times New Roman" w:cs="Times New Roman"/>
          <w:sz w:val="24"/>
          <w:szCs w:val="24"/>
        </w:rPr>
        <w:t xml:space="preserve"> japońscy producenci magazynów energii powinni kontrolować 50% udziału w światowym rynku. Aby osiągnąć ten cel, Japonia zobowiązała się do wdrożenia mechanizmów wspierających zastosowanie magazynowania energii w wytwarzaniu, przesyle, dystrybucji</w:t>
      </w:r>
      <w:r w:rsidR="001D0628">
        <w:rPr>
          <w:rFonts w:ascii="Times New Roman" w:hAnsi="Times New Roman" w:cs="Times New Roman"/>
          <w:sz w:val="24"/>
          <w:szCs w:val="24"/>
        </w:rPr>
        <w:t xml:space="preserve"> i </w:t>
      </w:r>
      <w:r w:rsidR="005D3849" w:rsidRPr="00EF6F97">
        <w:rPr>
          <w:rFonts w:ascii="Times New Roman" w:hAnsi="Times New Roman" w:cs="Times New Roman"/>
          <w:sz w:val="24"/>
          <w:szCs w:val="24"/>
        </w:rPr>
        <w:t>zużyciu energii.</w:t>
      </w:r>
    </w:p>
    <w:p w14:paraId="13A4851A" w14:textId="049A1077" w:rsidR="005D3849"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5D3849" w:rsidRPr="00EF6F97">
        <w:rPr>
          <w:rFonts w:ascii="Times New Roman" w:hAnsi="Times New Roman" w:cs="Times New Roman"/>
          <w:sz w:val="24"/>
          <w:szCs w:val="24"/>
        </w:rPr>
        <w:t>Japońskie Ministerstwo Gospodarki, Handlu</w:t>
      </w:r>
      <w:r w:rsidR="001D0628">
        <w:rPr>
          <w:rFonts w:ascii="Times New Roman" w:hAnsi="Times New Roman" w:cs="Times New Roman"/>
          <w:sz w:val="24"/>
          <w:szCs w:val="24"/>
        </w:rPr>
        <w:t xml:space="preserve"> i </w:t>
      </w:r>
      <w:r w:rsidR="005D3849" w:rsidRPr="00EF6F97">
        <w:rPr>
          <w:rFonts w:ascii="Times New Roman" w:hAnsi="Times New Roman" w:cs="Times New Roman"/>
          <w:sz w:val="24"/>
          <w:szCs w:val="24"/>
        </w:rPr>
        <w:t>Przemysłu (METI) rozpoczęło w 2014</w:t>
      </w:r>
      <w:r w:rsidR="001D0628">
        <w:rPr>
          <w:rFonts w:ascii="Times New Roman" w:hAnsi="Times New Roman" w:cs="Times New Roman"/>
          <w:sz w:val="24"/>
          <w:szCs w:val="24"/>
        </w:rPr>
        <w:t> r.</w:t>
      </w:r>
      <w:r w:rsidR="005D3849" w:rsidRPr="00EF6F97">
        <w:rPr>
          <w:rFonts w:ascii="Times New Roman" w:hAnsi="Times New Roman" w:cs="Times New Roman"/>
          <w:sz w:val="24"/>
          <w:szCs w:val="24"/>
        </w:rPr>
        <w:t xml:space="preserve"> program zachęt dla systemów magazynowania energii Li-ion o wartości co najmniej 1</w:t>
      </w:r>
      <w:r w:rsidR="001A323E">
        <w:rPr>
          <w:rFonts w:ascii="Times New Roman" w:hAnsi="Times New Roman" w:cs="Times New Roman"/>
          <w:sz w:val="24"/>
          <w:szCs w:val="24"/>
        </w:rPr>
        <w:t> </w:t>
      </w:r>
      <w:r w:rsidR="005D3849" w:rsidRPr="00EF6F97">
        <w:rPr>
          <w:rFonts w:ascii="Times New Roman" w:hAnsi="Times New Roman" w:cs="Times New Roman"/>
          <w:sz w:val="24"/>
          <w:szCs w:val="24"/>
        </w:rPr>
        <w:t>kWh, przeznaczając na fundus</w:t>
      </w:r>
      <w:r w:rsidR="001D0628">
        <w:rPr>
          <w:rFonts w:ascii="Times New Roman" w:hAnsi="Times New Roman" w:cs="Times New Roman"/>
          <w:sz w:val="24"/>
          <w:szCs w:val="24"/>
        </w:rPr>
        <w:t>z </w:t>
      </w:r>
      <w:r w:rsidR="005D3849" w:rsidRPr="00EF6F97">
        <w:rPr>
          <w:rFonts w:ascii="Times New Roman" w:hAnsi="Times New Roman" w:cs="Times New Roman"/>
          <w:sz w:val="24"/>
          <w:szCs w:val="24"/>
        </w:rPr>
        <w:t>prawie 100 milionów USD. Nabywcy systemów akumulatorów litowo-jonowych mogą uzyskać do 2/3 dofinansowania, maksymalnie 10</w:t>
      </w:r>
      <w:r w:rsidR="001A323E">
        <w:rPr>
          <w:rFonts w:ascii="Times New Roman" w:hAnsi="Times New Roman" w:cs="Times New Roman"/>
          <w:sz w:val="24"/>
          <w:szCs w:val="24"/>
        </w:rPr>
        <w:t> </w:t>
      </w:r>
      <w:r w:rsidR="005D3849" w:rsidRPr="00EF6F97">
        <w:rPr>
          <w:rFonts w:ascii="Times New Roman" w:hAnsi="Times New Roman" w:cs="Times New Roman"/>
          <w:sz w:val="24"/>
          <w:szCs w:val="24"/>
        </w:rPr>
        <w:t>000</w:t>
      </w:r>
      <w:r w:rsidR="001A323E">
        <w:rPr>
          <w:rFonts w:ascii="Times New Roman" w:hAnsi="Times New Roman" w:cs="Times New Roman"/>
          <w:sz w:val="24"/>
          <w:szCs w:val="24"/>
        </w:rPr>
        <w:t> </w:t>
      </w:r>
      <w:r w:rsidR="005D3849" w:rsidRPr="00EF6F97">
        <w:rPr>
          <w:rFonts w:ascii="Times New Roman" w:hAnsi="Times New Roman" w:cs="Times New Roman"/>
          <w:sz w:val="24"/>
          <w:szCs w:val="24"/>
        </w:rPr>
        <w:t>USD dla gospodarstw domowych ora</w:t>
      </w:r>
      <w:r w:rsidR="001D0628">
        <w:rPr>
          <w:rFonts w:ascii="Times New Roman" w:hAnsi="Times New Roman" w:cs="Times New Roman"/>
          <w:sz w:val="24"/>
          <w:szCs w:val="24"/>
        </w:rPr>
        <w:t>z </w:t>
      </w:r>
      <w:r w:rsidR="005D3849" w:rsidRPr="00EF6F97">
        <w:rPr>
          <w:rFonts w:ascii="Times New Roman" w:hAnsi="Times New Roman" w:cs="Times New Roman"/>
          <w:sz w:val="24"/>
          <w:szCs w:val="24"/>
        </w:rPr>
        <w:t>100 000 USD dla firm.</w:t>
      </w:r>
    </w:p>
    <w:p w14:paraId="2992E594" w14:textId="77777777" w:rsidR="005D3849" w:rsidRPr="00EF6F97" w:rsidRDefault="005D3849" w:rsidP="00EF6F97">
      <w:pPr>
        <w:spacing w:line="360" w:lineRule="auto"/>
        <w:jc w:val="both"/>
        <w:rPr>
          <w:rFonts w:ascii="Times New Roman" w:hAnsi="Times New Roman" w:cs="Times New Roman"/>
          <w:i/>
          <w:sz w:val="24"/>
          <w:szCs w:val="24"/>
          <w:shd w:val="clear" w:color="auto" w:fill="FFFFFF"/>
          <w:lang w:val="en-US"/>
        </w:rPr>
      </w:pPr>
      <w:r w:rsidRPr="00EF6F97">
        <w:rPr>
          <w:rFonts w:ascii="Times New Roman" w:hAnsi="Times New Roman" w:cs="Times New Roman"/>
          <w:i/>
          <w:sz w:val="24"/>
          <w:szCs w:val="24"/>
          <w:shd w:val="clear" w:color="auto" w:fill="FFFFFF"/>
          <w:lang w:val="en-US"/>
        </w:rPr>
        <w:t>Źródło: engerati.com/article/japan-introduces-energy-storage-subsidy</w:t>
      </w:r>
    </w:p>
    <w:p w14:paraId="037E1BE9" w14:textId="77777777" w:rsidR="005D3849" w:rsidRPr="00EF6F97" w:rsidRDefault="005D3849" w:rsidP="00EF6F97">
      <w:pPr>
        <w:spacing w:line="360" w:lineRule="auto"/>
        <w:jc w:val="both"/>
        <w:rPr>
          <w:rFonts w:ascii="Times New Roman" w:hAnsi="Times New Roman" w:cs="Times New Roman"/>
          <w:b/>
          <w:i/>
          <w:sz w:val="24"/>
          <w:szCs w:val="24"/>
          <w:shd w:val="clear" w:color="auto" w:fill="FFFFFF"/>
        </w:rPr>
      </w:pPr>
      <w:r w:rsidRPr="00EF6F97">
        <w:rPr>
          <w:rFonts w:ascii="Times New Roman" w:hAnsi="Times New Roman" w:cs="Times New Roman"/>
          <w:b/>
          <w:sz w:val="24"/>
          <w:szCs w:val="24"/>
        </w:rPr>
        <w:t>Regulacje prawne w Japonii</w:t>
      </w:r>
    </w:p>
    <w:p w14:paraId="18017584" w14:textId="77777777" w:rsidR="005D3849" w:rsidRPr="00EF6F97" w:rsidRDefault="00D20DB5" w:rsidP="00EF6F97">
      <w:pPr>
        <w:spacing w:line="360" w:lineRule="auto"/>
        <w:jc w:val="both"/>
        <w:rPr>
          <w:rFonts w:ascii="Times New Roman" w:hAnsi="Times New Roman" w:cs="Times New Roman"/>
          <w:sz w:val="24"/>
          <w:szCs w:val="24"/>
          <w:shd w:val="clear" w:color="auto" w:fill="FFFFFF"/>
        </w:rPr>
      </w:pPr>
      <w:r w:rsidRPr="00EF6F97">
        <w:rPr>
          <w:rFonts w:ascii="Times New Roman" w:hAnsi="Times New Roman" w:cs="Times New Roman"/>
          <w:sz w:val="24"/>
          <w:szCs w:val="24"/>
          <w:shd w:val="clear" w:color="auto" w:fill="FFFFFF"/>
        </w:rPr>
        <w:tab/>
      </w:r>
      <w:r w:rsidR="005D3849" w:rsidRPr="00EF6F97">
        <w:rPr>
          <w:rFonts w:ascii="Times New Roman" w:hAnsi="Times New Roman" w:cs="Times New Roman"/>
          <w:sz w:val="24"/>
          <w:szCs w:val="24"/>
          <w:shd w:val="clear" w:color="auto" w:fill="FFFFFF"/>
        </w:rPr>
        <w:t>W przypadku instalacji magazynowania energii w Japonii wymagane są określone pozwolenia, które zostały omówione w poniższej tabeli.</w:t>
      </w:r>
    </w:p>
    <w:tbl>
      <w:tblPr>
        <w:tblW w:w="9629" w:type="dxa"/>
        <w:jc w:val="center"/>
        <w:tblLayout w:type="fixed"/>
        <w:tblCellMar>
          <w:left w:w="0" w:type="dxa"/>
          <w:right w:w="0" w:type="dxa"/>
        </w:tblCellMar>
        <w:tblLook w:val="04A0" w:firstRow="1" w:lastRow="0" w:firstColumn="1" w:lastColumn="0" w:noHBand="0" w:noVBand="1"/>
      </w:tblPr>
      <w:tblGrid>
        <w:gridCol w:w="1429"/>
        <w:gridCol w:w="2410"/>
        <w:gridCol w:w="3118"/>
        <w:gridCol w:w="2672"/>
      </w:tblGrid>
      <w:tr w:rsidR="005D3849" w:rsidRPr="00EF6F97" w14:paraId="4E241756" w14:textId="77777777" w:rsidTr="005D3849">
        <w:trPr>
          <w:trHeight w:val="250"/>
          <w:jc w:val="center"/>
        </w:trPr>
        <w:tc>
          <w:tcPr>
            <w:tcW w:w="1429" w:type="dxa"/>
            <w:tcBorders>
              <w:top w:val="single" w:sz="8" w:space="0" w:color="auto"/>
              <w:left w:val="single" w:sz="8" w:space="0" w:color="auto"/>
              <w:bottom w:val="single" w:sz="8" w:space="0" w:color="auto"/>
              <w:right w:val="single" w:sz="8" w:space="0" w:color="auto"/>
            </w:tcBorders>
            <w:shd w:val="clear" w:color="auto" w:fill="04498C"/>
            <w:vAlign w:val="center"/>
          </w:tcPr>
          <w:p w14:paraId="0B060174" w14:textId="77777777" w:rsidR="005D3849" w:rsidRPr="00EF6F97" w:rsidRDefault="005D3849" w:rsidP="00EF6F97">
            <w:pPr>
              <w:spacing w:line="360" w:lineRule="auto"/>
              <w:jc w:val="center"/>
              <w:rPr>
                <w:rFonts w:ascii="Times New Roman" w:hAnsi="Times New Roman" w:cs="Times New Roman"/>
                <w:b/>
                <w:sz w:val="24"/>
              </w:rPr>
            </w:pPr>
            <w:r w:rsidRPr="00EF6F97">
              <w:rPr>
                <w:rFonts w:ascii="Times New Roman" w:hAnsi="Times New Roman" w:cs="Times New Roman"/>
                <w:b/>
                <w:sz w:val="24"/>
              </w:rPr>
              <w:t>Typ</w:t>
            </w:r>
          </w:p>
        </w:tc>
        <w:tc>
          <w:tcPr>
            <w:tcW w:w="5528" w:type="dxa"/>
            <w:gridSpan w:val="2"/>
            <w:tcBorders>
              <w:top w:val="single" w:sz="8" w:space="0" w:color="auto"/>
              <w:bottom w:val="single" w:sz="8" w:space="0" w:color="auto"/>
              <w:right w:val="single" w:sz="8" w:space="0" w:color="auto"/>
            </w:tcBorders>
            <w:shd w:val="clear" w:color="auto" w:fill="04498C"/>
            <w:vAlign w:val="center"/>
          </w:tcPr>
          <w:p w14:paraId="007270F9" w14:textId="77777777" w:rsidR="005D3849" w:rsidRPr="00EF6F97" w:rsidRDefault="005D3849" w:rsidP="00EF6F97">
            <w:pPr>
              <w:spacing w:line="360" w:lineRule="auto"/>
              <w:jc w:val="center"/>
              <w:rPr>
                <w:rFonts w:ascii="Times New Roman" w:hAnsi="Times New Roman" w:cs="Times New Roman"/>
                <w:b/>
                <w:sz w:val="24"/>
              </w:rPr>
            </w:pPr>
            <w:r w:rsidRPr="00EF6F97">
              <w:rPr>
                <w:rFonts w:ascii="Times New Roman" w:hAnsi="Times New Roman" w:cs="Times New Roman"/>
                <w:b/>
                <w:sz w:val="24"/>
              </w:rPr>
              <w:t>Regulacje prawne</w:t>
            </w:r>
          </w:p>
        </w:tc>
        <w:tc>
          <w:tcPr>
            <w:tcW w:w="2672" w:type="dxa"/>
            <w:tcBorders>
              <w:top w:val="single" w:sz="8" w:space="0" w:color="auto"/>
              <w:bottom w:val="single" w:sz="8" w:space="0" w:color="auto"/>
              <w:right w:val="single" w:sz="8" w:space="0" w:color="auto"/>
            </w:tcBorders>
            <w:shd w:val="clear" w:color="auto" w:fill="04498C"/>
            <w:vAlign w:val="center"/>
          </w:tcPr>
          <w:p w14:paraId="4164ABEA" w14:textId="77777777" w:rsidR="005D3849" w:rsidRPr="00EF6F97" w:rsidRDefault="005D3849" w:rsidP="00EF6F97">
            <w:pPr>
              <w:spacing w:line="360" w:lineRule="auto"/>
              <w:jc w:val="center"/>
              <w:rPr>
                <w:rFonts w:ascii="Times New Roman" w:hAnsi="Times New Roman" w:cs="Times New Roman"/>
                <w:b/>
                <w:sz w:val="24"/>
              </w:rPr>
            </w:pPr>
            <w:r w:rsidRPr="00EF6F97">
              <w:rPr>
                <w:rFonts w:ascii="Times New Roman" w:hAnsi="Times New Roman" w:cs="Times New Roman"/>
                <w:b/>
                <w:sz w:val="24"/>
              </w:rPr>
              <w:t>Organizacja</w:t>
            </w:r>
          </w:p>
        </w:tc>
      </w:tr>
      <w:tr w:rsidR="005D3849" w:rsidRPr="00EF6F97" w14:paraId="0D0A0561" w14:textId="77777777" w:rsidTr="005D3849">
        <w:trPr>
          <w:trHeight w:val="120"/>
          <w:jc w:val="center"/>
        </w:trPr>
        <w:tc>
          <w:tcPr>
            <w:tcW w:w="1429" w:type="dxa"/>
            <w:vMerge w:val="restart"/>
            <w:tcBorders>
              <w:top w:val="single" w:sz="8" w:space="0" w:color="auto"/>
              <w:left w:val="single" w:sz="8" w:space="0" w:color="auto"/>
              <w:right w:val="single" w:sz="8" w:space="0" w:color="auto"/>
            </w:tcBorders>
            <w:shd w:val="clear" w:color="auto" w:fill="FFFFFF"/>
            <w:vAlign w:val="center"/>
          </w:tcPr>
          <w:p w14:paraId="59A00FB0" w14:textId="77777777" w:rsidR="005D3849" w:rsidRPr="00EF6F97" w:rsidRDefault="005D3849" w:rsidP="00EF6F97">
            <w:pPr>
              <w:spacing w:line="360" w:lineRule="auto"/>
              <w:jc w:val="center"/>
              <w:rPr>
                <w:rFonts w:ascii="Times New Roman" w:hAnsi="Times New Roman" w:cs="Times New Roman"/>
              </w:rPr>
            </w:pPr>
            <w:r w:rsidRPr="00EF6F97">
              <w:rPr>
                <w:rFonts w:ascii="Times New Roman" w:hAnsi="Times New Roman" w:cs="Times New Roman"/>
              </w:rPr>
              <w:t>Wytyczne (Wymagania techniczne)</w:t>
            </w:r>
          </w:p>
        </w:tc>
        <w:tc>
          <w:tcPr>
            <w:tcW w:w="552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6C86BDC8" w14:textId="77777777" w:rsidR="005D3849" w:rsidRPr="00EF6F97" w:rsidRDefault="005D3849" w:rsidP="00EF6F97">
            <w:pPr>
              <w:spacing w:line="360" w:lineRule="auto"/>
              <w:ind w:left="100"/>
              <w:jc w:val="center"/>
              <w:rPr>
                <w:rFonts w:ascii="Times New Roman" w:hAnsi="Times New Roman" w:cs="Times New Roman"/>
              </w:rPr>
            </w:pPr>
            <w:r w:rsidRPr="00EF6F97">
              <w:rPr>
                <w:rFonts w:ascii="Times New Roman" w:hAnsi="Times New Roman" w:cs="Times New Roman"/>
              </w:rPr>
              <w:t>Wytyczne techniczne dotyczące połączeń sieci w celu zapewnienia bezpiecznej jakości energii elektrycznej (2013)</w:t>
            </w:r>
          </w:p>
        </w:tc>
        <w:tc>
          <w:tcPr>
            <w:tcW w:w="2672" w:type="dxa"/>
            <w:tcBorders>
              <w:top w:val="single" w:sz="8" w:space="0" w:color="auto"/>
              <w:left w:val="single" w:sz="8" w:space="0" w:color="auto"/>
              <w:bottom w:val="single" w:sz="8" w:space="0" w:color="auto"/>
              <w:right w:val="single" w:sz="8" w:space="0" w:color="auto"/>
            </w:tcBorders>
            <w:shd w:val="clear" w:color="auto" w:fill="FFFFFF"/>
            <w:vAlign w:val="center"/>
          </w:tcPr>
          <w:p w14:paraId="082BA29D" w14:textId="77777777" w:rsidR="005D3849" w:rsidRPr="00EF6F97" w:rsidRDefault="005D3849" w:rsidP="00EF6F97">
            <w:pPr>
              <w:spacing w:line="360" w:lineRule="auto"/>
              <w:jc w:val="center"/>
              <w:rPr>
                <w:rFonts w:ascii="Times New Roman" w:hAnsi="Times New Roman" w:cs="Times New Roman"/>
              </w:rPr>
            </w:pPr>
            <w:r w:rsidRPr="00EF6F97">
              <w:rPr>
                <w:rFonts w:ascii="Times New Roman" w:hAnsi="Times New Roman" w:cs="Times New Roman"/>
              </w:rPr>
              <w:t>Ministerstwo Gospodarki, Handlu</w:t>
            </w:r>
            <w:r w:rsidR="001D0628">
              <w:rPr>
                <w:rFonts w:ascii="Times New Roman" w:hAnsi="Times New Roman" w:cs="Times New Roman"/>
              </w:rPr>
              <w:t xml:space="preserve"> i </w:t>
            </w:r>
            <w:r w:rsidRPr="00EF6F97">
              <w:rPr>
                <w:rFonts w:ascii="Times New Roman" w:hAnsi="Times New Roman" w:cs="Times New Roman"/>
              </w:rPr>
              <w:t>Przemysłu (METI)</w:t>
            </w:r>
          </w:p>
        </w:tc>
      </w:tr>
      <w:tr w:rsidR="005D3849" w:rsidRPr="00EF6F97" w14:paraId="32C5D21C" w14:textId="77777777" w:rsidTr="005D3849">
        <w:trPr>
          <w:trHeight w:val="572"/>
          <w:jc w:val="center"/>
        </w:trPr>
        <w:tc>
          <w:tcPr>
            <w:tcW w:w="1429" w:type="dxa"/>
            <w:vMerge/>
            <w:tcBorders>
              <w:left w:val="single" w:sz="8" w:space="0" w:color="auto"/>
              <w:bottom w:val="single" w:sz="8" w:space="0" w:color="auto"/>
              <w:right w:val="single" w:sz="8" w:space="0" w:color="auto"/>
            </w:tcBorders>
            <w:shd w:val="clear" w:color="auto" w:fill="FFFFFF"/>
            <w:vAlign w:val="center"/>
          </w:tcPr>
          <w:p w14:paraId="547D1162" w14:textId="77777777" w:rsidR="005D3849" w:rsidRPr="00EF6F97" w:rsidRDefault="005D3849" w:rsidP="00EF6F97">
            <w:pPr>
              <w:spacing w:line="360" w:lineRule="auto"/>
              <w:ind w:left="120"/>
              <w:jc w:val="both"/>
              <w:rPr>
                <w:rFonts w:ascii="Times New Roman" w:hAnsi="Times New Roman" w:cs="Times New Roman"/>
              </w:rPr>
            </w:pPr>
          </w:p>
        </w:tc>
        <w:tc>
          <w:tcPr>
            <w:tcW w:w="5528" w:type="dxa"/>
            <w:gridSpan w:val="2"/>
            <w:tcBorders>
              <w:top w:val="single" w:sz="8" w:space="0" w:color="auto"/>
              <w:right w:val="single" w:sz="8" w:space="0" w:color="auto"/>
            </w:tcBorders>
            <w:shd w:val="clear" w:color="auto" w:fill="FFFFFF"/>
            <w:vAlign w:val="center"/>
          </w:tcPr>
          <w:p w14:paraId="5D10D0D0" w14:textId="77777777" w:rsidR="005D3849" w:rsidRPr="00EF6F97" w:rsidRDefault="005D3849" w:rsidP="00EF6F97">
            <w:pPr>
              <w:spacing w:line="360" w:lineRule="auto"/>
              <w:ind w:left="100"/>
              <w:jc w:val="center"/>
              <w:rPr>
                <w:rFonts w:ascii="Times New Roman" w:hAnsi="Times New Roman" w:cs="Times New Roman"/>
              </w:rPr>
            </w:pPr>
            <w:r w:rsidRPr="00EF6F97">
              <w:rPr>
                <w:rFonts w:ascii="Times New Roman" w:hAnsi="Times New Roman" w:cs="Times New Roman"/>
              </w:rPr>
              <w:t>Kodeks połączeń sieciowych (JEAC 9701-2012)</w:t>
            </w:r>
          </w:p>
        </w:tc>
        <w:tc>
          <w:tcPr>
            <w:tcW w:w="2672" w:type="dxa"/>
            <w:tcBorders>
              <w:top w:val="single" w:sz="8" w:space="0" w:color="auto"/>
              <w:right w:val="single" w:sz="8" w:space="0" w:color="auto"/>
            </w:tcBorders>
            <w:shd w:val="clear" w:color="auto" w:fill="FFFFFF"/>
            <w:vAlign w:val="center"/>
          </w:tcPr>
          <w:p w14:paraId="6927B133" w14:textId="77777777" w:rsidR="005D3849" w:rsidRPr="00EF6F97" w:rsidRDefault="005D3849" w:rsidP="00EF6F97">
            <w:pPr>
              <w:spacing w:line="360" w:lineRule="auto"/>
              <w:ind w:left="100"/>
              <w:jc w:val="center"/>
              <w:rPr>
                <w:rFonts w:ascii="Times New Roman" w:hAnsi="Times New Roman" w:cs="Times New Roman"/>
              </w:rPr>
            </w:pPr>
            <w:r w:rsidRPr="00EF6F97">
              <w:rPr>
                <w:rFonts w:ascii="Times New Roman" w:hAnsi="Times New Roman" w:cs="Times New Roman"/>
              </w:rPr>
              <w:t>Stowarzyszenie Elektryki Japonii (JEA)</w:t>
            </w:r>
          </w:p>
        </w:tc>
      </w:tr>
      <w:tr w:rsidR="005D3849" w:rsidRPr="00EF6F97" w14:paraId="2BA9C89C" w14:textId="77777777" w:rsidTr="005D3849">
        <w:trPr>
          <w:trHeight w:val="242"/>
          <w:jc w:val="center"/>
        </w:trPr>
        <w:tc>
          <w:tcPr>
            <w:tcW w:w="1429" w:type="dxa"/>
            <w:vMerge w:val="restart"/>
            <w:tcBorders>
              <w:top w:val="single" w:sz="8" w:space="0" w:color="auto"/>
              <w:left w:val="single" w:sz="8" w:space="0" w:color="auto"/>
              <w:right w:val="single" w:sz="8" w:space="0" w:color="auto"/>
            </w:tcBorders>
            <w:shd w:val="clear" w:color="auto" w:fill="FFFFFF"/>
            <w:vAlign w:val="center"/>
          </w:tcPr>
          <w:p w14:paraId="6A1A5B2E" w14:textId="77777777" w:rsidR="005D3849" w:rsidRPr="00EF6F97" w:rsidRDefault="005D3849" w:rsidP="00EF6F97">
            <w:pPr>
              <w:spacing w:line="360" w:lineRule="auto"/>
              <w:jc w:val="center"/>
              <w:rPr>
                <w:rFonts w:ascii="Times New Roman" w:hAnsi="Times New Roman" w:cs="Times New Roman"/>
              </w:rPr>
            </w:pPr>
            <w:r w:rsidRPr="00EF6F97">
              <w:rPr>
                <w:rFonts w:ascii="Times New Roman" w:hAnsi="Times New Roman" w:cs="Times New Roman"/>
              </w:rPr>
              <w:t>Pozostałe</w:t>
            </w:r>
          </w:p>
        </w:tc>
        <w:tc>
          <w:tcPr>
            <w:tcW w:w="2410" w:type="dxa"/>
            <w:tcBorders>
              <w:top w:val="single" w:sz="8" w:space="0" w:color="auto"/>
              <w:bottom w:val="single" w:sz="8" w:space="0" w:color="auto"/>
              <w:right w:val="single" w:sz="8" w:space="0" w:color="auto"/>
            </w:tcBorders>
            <w:shd w:val="clear" w:color="auto" w:fill="FFFFFF"/>
            <w:vAlign w:val="center"/>
          </w:tcPr>
          <w:p w14:paraId="1028D9D7" w14:textId="77777777" w:rsidR="005D3849" w:rsidRPr="00EF6F97" w:rsidRDefault="005D3849" w:rsidP="00EF6F97">
            <w:pPr>
              <w:spacing w:line="360" w:lineRule="auto"/>
              <w:ind w:left="100"/>
              <w:jc w:val="center"/>
              <w:rPr>
                <w:rFonts w:ascii="Times New Roman" w:hAnsi="Times New Roman" w:cs="Times New Roman"/>
              </w:rPr>
            </w:pPr>
            <w:r w:rsidRPr="00EF6F97">
              <w:rPr>
                <w:rFonts w:ascii="Times New Roman" w:hAnsi="Times New Roman" w:cs="Times New Roman"/>
              </w:rPr>
              <w:t xml:space="preserve">Akt prawny dotyczący </w:t>
            </w:r>
            <w:r w:rsidRPr="00EF6F97">
              <w:rPr>
                <w:rFonts w:ascii="Times New Roman" w:hAnsi="Times New Roman" w:cs="Times New Roman"/>
              </w:rPr>
              <w:lastRenderedPageBreak/>
              <w:t>energii elektrycznej</w:t>
            </w:r>
          </w:p>
        </w:tc>
        <w:tc>
          <w:tcPr>
            <w:tcW w:w="3118" w:type="dxa"/>
            <w:tcBorders>
              <w:top w:val="single" w:sz="8" w:space="0" w:color="auto"/>
              <w:bottom w:val="single" w:sz="8" w:space="0" w:color="auto"/>
              <w:right w:val="single" w:sz="8" w:space="0" w:color="auto"/>
            </w:tcBorders>
            <w:shd w:val="clear" w:color="auto" w:fill="FFFFFF"/>
            <w:vAlign w:val="center"/>
          </w:tcPr>
          <w:p w14:paraId="0A39D6B0" w14:textId="19335120" w:rsidR="005D3849" w:rsidRPr="00EF6F97" w:rsidRDefault="005D3849" w:rsidP="00EF6F97">
            <w:pPr>
              <w:spacing w:line="360" w:lineRule="auto"/>
              <w:ind w:left="100"/>
              <w:jc w:val="center"/>
              <w:rPr>
                <w:rFonts w:ascii="Times New Roman" w:hAnsi="Times New Roman" w:cs="Times New Roman"/>
              </w:rPr>
            </w:pPr>
            <w:r w:rsidRPr="00EF6F97">
              <w:rPr>
                <w:rFonts w:ascii="Times New Roman" w:hAnsi="Times New Roman" w:cs="Times New Roman"/>
              </w:rPr>
              <w:lastRenderedPageBreak/>
              <w:t>Wymagane zatwierdzenie dla dużych</w:t>
            </w:r>
            <w:r w:rsidR="001A323E">
              <w:rPr>
                <w:rFonts w:ascii="Times New Roman" w:hAnsi="Times New Roman" w:cs="Times New Roman"/>
              </w:rPr>
              <w:t xml:space="preserve"> </w:t>
            </w:r>
            <w:r w:rsidRPr="00EF6F97">
              <w:rPr>
                <w:rFonts w:ascii="Times New Roman" w:hAnsi="Times New Roman" w:cs="Times New Roman"/>
              </w:rPr>
              <w:lastRenderedPageBreak/>
              <w:t>magazynów energii (większych niż 80,000kWh)</w:t>
            </w:r>
          </w:p>
        </w:tc>
        <w:tc>
          <w:tcPr>
            <w:tcW w:w="2672" w:type="dxa"/>
            <w:tcBorders>
              <w:top w:val="single" w:sz="8" w:space="0" w:color="auto"/>
              <w:bottom w:val="single" w:sz="8" w:space="0" w:color="auto"/>
              <w:right w:val="single" w:sz="8" w:space="0" w:color="auto"/>
            </w:tcBorders>
            <w:shd w:val="clear" w:color="auto" w:fill="FFFFFF"/>
            <w:vAlign w:val="center"/>
          </w:tcPr>
          <w:p w14:paraId="67EDDFA6" w14:textId="77777777" w:rsidR="005D3849" w:rsidRPr="00EF6F97" w:rsidRDefault="005D3849" w:rsidP="00EF6F97">
            <w:pPr>
              <w:spacing w:line="360" w:lineRule="auto"/>
              <w:ind w:left="100"/>
              <w:jc w:val="center"/>
              <w:rPr>
                <w:rFonts w:ascii="Times New Roman" w:hAnsi="Times New Roman" w:cs="Times New Roman"/>
              </w:rPr>
            </w:pPr>
            <w:r w:rsidRPr="00EF6F97">
              <w:rPr>
                <w:rFonts w:ascii="Times New Roman" w:hAnsi="Times New Roman" w:cs="Times New Roman"/>
              </w:rPr>
              <w:lastRenderedPageBreak/>
              <w:t xml:space="preserve">Ministerstwo Gospodarki, </w:t>
            </w:r>
            <w:r w:rsidRPr="00EF6F97">
              <w:rPr>
                <w:rFonts w:ascii="Times New Roman" w:hAnsi="Times New Roman" w:cs="Times New Roman"/>
              </w:rPr>
              <w:lastRenderedPageBreak/>
              <w:t>Handlu</w:t>
            </w:r>
            <w:r w:rsidR="001D0628">
              <w:rPr>
                <w:rFonts w:ascii="Times New Roman" w:hAnsi="Times New Roman" w:cs="Times New Roman"/>
              </w:rPr>
              <w:t xml:space="preserve"> i </w:t>
            </w:r>
            <w:r w:rsidRPr="00EF6F97">
              <w:rPr>
                <w:rFonts w:ascii="Times New Roman" w:hAnsi="Times New Roman" w:cs="Times New Roman"/>
              </w:rPr>
              <w:t>Przemysłu (METI)</w:t>
            </w:r>
          </w:p>
        </w:tc>
      </w:tr>
      <w:tr w:rsidR="005D3849" w:rsidRPr="00EF6F97" w14:paraId="29AB38F2" w14:textId="77777777" w:rsidTr="005D3849">
        <w:trPr>
          <w:trHeight w:val="177"/>
          <w:jc w:val="center"/>
        </w:trPr>
        <w:tc>
          <w:tcPr>
            <w:tcW w:w="1429" w:type="dxa"/>
            <w:vMerge/>
            <w:tcBorders>
              <w:left w:val="single" w:sz="8" w:space="0" w:color="auto"/>
              <w:right w:val="single" w:sz="8" w:space="0" w:color="auto"/>
            </w:tcBorders>
            <w:shd w:val="clear" w:color="auto" w:fill="FFFFFF"/>
            <w:vAlign w:val="center"/>
          </w:tcPr>
          <w:p w14:paraId="2B81D254" w14:textId="77777777" w:rsidR="005D3849" w:rsidRPr="00EF6F97" w:rsidRDefault="005D3849" w:rsidP="00EF6F97">
            <w:pPr>
              <w:spacing w:line="360" w:lineRule="auto"/>
              <w:ind w:left="120"/>
              <w:jc w:val="center"/>
              <w:rPr>
                <w:rFonts w:ascii="Times New Roman" w:hAnsi="Times New Roman" w:cs="Times New Roman"/>
              </w:rPr>
            </w:pPr>
          </w:p>
        </w:tc>
        <w:tc>
          <w:tcPr>
            <w:tcW w:w="2410" w:type="dxa"/>
            <w:tcBorders>
              <w:top w:val="single" w:sz="8" w:space="0" w:color="auto"/>
              <w:bottom w:val="single" w:sz="8" w:space="0" w:color="auto"/>
              <w:right w:val="single" w:sz="8" w:space="0" w:color="auto"/>
            </w:tcBorders>
            <w:shd w:val="clear" w:color="auto" w:fill="FFFFFF"/>
            <w:vAlign w:val="center"/>
          </w:tcPr>
          <w:p w14:paraId="2E6EA933" w14:textId="77777777" w:rsidR="005D3849" w:rsidRPr="00EF6F97" w:rsidRDefault="005D3849" w:rsidP="00EF6F97">
            <w:pPr>
              <w:spacing w:line="360" w:lineRule="auto"/>
              <w:ind w:left="100"/>
              <w:jc w:val="center"/>
              <w:rPr>
                <w:rFonts w:ascii="Times New Roman" w:hAnsi="Times New Roman" w:cs="Times New Roman"/>
              </w:rPr>
            </w:pPr>
            <w:r w:rsidRPr="00EF6F97">
              <w:rPr>
                <w:rFonts w:ascii="Times New Roman" w:hAnsi="Times New Roman" w:cs="Times New Roman"/>
              </w:rPr>
              <w:t>Przepisy przeciwpożarowe</w:t>
            </w:r>
          </w:p>
        </w:tc>
        <w:tc>
          <w:tcPr>
            <w:tcW w:w="3118" w:type="dxa"/>
            <w:tcBorders>
              <w:top w:val="single" w:sz="8" w:space="0" w:color="auto"/>
              <w:bottom w:val="single" w:sz="8" w:space="0" w:color="auto"/>
              <w:right w:val="single" w:sz="8" w:space="0" w:color="auto"/>
            </w:tcBorders>
            <w:shd w:val="clear" w:color="auto" w:fill="FFFFFF"/>
            <w:vAlign w:val="center"/>
          </w:tcPr>
          <w:p w14:paraId="665DC458" w14:textId="77777777" w:rsidR="005D3849" w:rsidRPr="00EF6F97" w:rsidRDefault="005D3849" w:rsidP="00EF6F97">
            <w:pPr>
              <w:spacing w:line="360" w:lineRule="auto"/>
              <w:ind w:left="100"/>
              <w:jc w:val="center"/>
              <w:rPr>
                <w:rFonts w:ascii="Times New Roman" w:hAnsi="Times New Roman" w:cs="Times New Roman"/>
              </w:rPr>
            </w:pPr>
            <w:r w:rsidRPr="00EF6F97">
              <w:rPr>
                <w:rFonts w:ascii="Times New Roman" w:hAnsi="Times New Roman" w:cs="Times New Roman"/>
              </w:rPr>
              <w:t>Niebezpieczny materiał dla ponad 1,000l organicznego roztworu elektrolitu</w:t>
            </w:r>
          </w:p>
        </w:tc>
        <w:tc>
          <w:tcPr>
            <w:tcW w:w="2672" w:type="dxa"/>
            <w:vMerge w:val="restart"/>
            <w:tcBorders>
              <w:top w:val="single" w:sz="8" w:space="0" w:color="auto"/>
              <w:right w:val="single" w:sz="8" w:space="0" w:color="auto"/>
            </w:tcBorders>
            <w:shd w:val="clear" w:color="auto" w:fill="FFFFFF"/>
            <w:vAlign w:val="center"/>
          </w:tcPr>
          <w:p w14:paraId="3642545D" w14:textId="77777777" w:rsidR="005D3849" w:rsidRPr="00EF6F97" w:rsidRDefault="005D3849" w:rsidP="00EF6F97">
            <w:pPr>
              <w:spacing w:line="360" w:lineRule="auto"/>
              <w:jc w:val="center"/>
              <w:rPr>
                <w:rFonts w:ascii="Times New Roman" w:hAnsi="Times New Roman" w:cs="Times New Roman"/>
              </w:rPr>
            </w:pPr>
            <w:r w:rsidRPr="00EF6F97">
              <w:rPr>
                <w:rFonts w:ascii="Times New Roman" w:hAnsi="Times New Roman" w:cs="Times New Roman"/>
              </w:rPr>
              <w:t>Agencja Zarządzania Pożarami</w:t>
            </w:r>
            <w:r w:rsidR="001D0628">
              <w:rPr>
                <w:rFonts w:ascii="Times New Roman" w:hAnsi="Times New Roman" w:cs="Times New Roman"/>
              </w:rPr>
              <w:t xml:space="preserve"> i </w:t>
            </w:r>
            <w:r w:rsidRPr="00EF6F97">
              <w:rPr>
                <w:rFonts w:ascii="Times New Roman" w:hAnsi="Times New Roman" w:cs="Times New Roman"/>
              </w:rPr>
              <w:t>Katastrofami, Ministerstwo Spraw Wewnętrznych</w:t>
            </w:r>
            <w:r w:rsidR="001D0628">
              <w:rPr>
                <w:rFonts w:ascii="Times New Roman" w:hAnsi="Times New Roman" w:cs="Times New Roman"/>
              </w:rPr>
              <w:t xml:space="preserve"> i </w:t>
            </w:r>
            <w:r w:rsidRPr="00EF6F97">
              <w:rPr>
                <w:rFonts w:ascii="Times New Roman" w:hAnsi="Times New Roman" w:cs="Times New Roman"/>
              </w:rPr>
              <w:t>Komunikacji</w:t>
            </w:r>
          </w:p>
        </w:tc>
      </w:tr>
      <w:tr w:rsidR="005D3849" w:rsidRPr="00EF6F97" w14:paraId="12742FF5" w14:textId="77777777" w:rsidTr="005D3849">
        <w:trPr>
          <w:trHeight w:val="572"/>
          <w:jc w:val="center"/>
        </w:trPr>
        <w:tc>
          <w:tcPr>
            <w:tcW w:w="1429" w:type="dxa"/>
            <w:vMerge/>
            <w:tcBorders>
              <w:left w:val="single" w:sz="8" w:space="0" w:color="auto"/>
              <w:right w:val="single" w:sz="8" w:space="0" w:color="auto"/>
            </w:tcBorders>
            <w:shd w:val="clear" w:color="auto" w:fill="FFFFFF"/>
            <w:vAlign w:val="center"/>
          </w:tcPr>
          <w:p w14:paraId="28B4687E" w14:textId="77777777" w:rsidR="005D3849" w:rsidRPr="00EF6F97" w:rsidRDefault="005D3849" w:rsidP="00EF6F97">
            <w:pPr>
              <w:spacing w:line="360" w:lineRule="auto"/>
              <w:ind w:left="120"/>
              <w:jc w:val="center"/>
              <w:rPr>
                <w:rFonts w:ascii="Times New Roman" w:hAnsi="Times New Roman" w:cs="Times New Roman"/>
              </w:rPr>
            </w:pPr>
          </w:p>
        </w:tc>
        <w:tc>
          <w:tcPr>
            <w:tcW w:w="2410" w:type="dxa"/>
            <w:tcBorders>
              <w:top w:val="single" w:sz="8" w:space="0" w:color="auto"/>
              <w:right w:val="single" w:sz="8" w:space="0" w:color="auto"/>
            </w:tcBorders>
            <w:shd w:val="clear" w:color="auto" w:fill="FFFFFF"/>
            <w:vAlign w:val="center"/>
          </w:tcPr>
          <w:p w14:paraId="2C1975AD" w14:textId="77777777" w:rsidR="005D3849" w:rsidRPr="00EF6F97" w:rsidRDefault="005D3849" w:rsidP="00EF6F97">
            <w:pPr>
              <w:spacing w:line="360" w:lineRule="auto"/>
              <w:ind w:left="100"/>
              <w:jc w:val="center"/>
              <w:rPr>
                <w:rFonts w:ascii="Times New Roman" w:hAnsi="Times New Roman" w:cs="Times New Roman"/>
              </w:rPr>
            </w:pPr>
            <w:r w:rsidRPr="00EF6F97">
              <w:rPr>
                <w:rFonts w:ascii="Times New Roman" w:hAnsi="Times New Roman" w:cs="Times New Roman"/>
              </w:rPr>
              <w:t>Rozporządzenie przeciwpożarowe</w:t>
            </w:r>
          </w:p>
        </w:tc>
        <w:tc>
          <w:tcPr>
            <w:tcW w:w="3118" w:type="dxa"/>
            <w:tcBorders>
              <w:top w:val="single" w:sz="8" w:space="0" w:color="auto"/>
              <w:right w:val="single" w:sz="8" w:space="0" w:color="auto"/>
            </w:tcBorders>
            <w:shd w:val="clear" w:color="auto" w:fill="FFFFFF"/>
            <w:vAlign w:val="center"/>
          </w:tcPr>
          <w:p w14:paraId="67C447C2" w14:textId="77777777" w:rsidR="005D3849" w:rsidRPr="00EF6F97" w:rsidRDefault="005D3849" w:rsidP="00EF6F97">
            <w:pPr>
              <w:spacing w:line="360" w:lineRule="auto"/>
              <w:ind w:left="100"/>
              <w:jc w:val="center"/>
              <w:rPr>
                <w:rFonts w:ascii="Times New Roman" w:hAnsi="Times New Roman" w:cs="Times New Roman"/>
              </w:rPr>
            </w:pPr>
            <w:r w:rsidRPr="00EF6F97">
              <w:rPr>
                <w:rFonts w:ascii="Times New Roman" w:hAnsi="Times New Roman" w:cs="Times New Roman"/>
              </w:rPr>
              <w:t>Wymagane pozwolenie dla dużych baterii (4,800Ah/ogniwo)</w:t>
            </w:r>
          </w:p>
        </w:tc>
        <w:tc>
          <w:tcPr>
            <w:tcW w:w="2672" w:type="dxa"/>
            <w:vMerge/>
            <w:tcBorders>
              <w:right w:val="single" w:sz="8" w:space="0" w:color="auto"/>
            </w:tcBorders>
            <w:shd w:val="clear" w:color="auto" w:fill="FFFFFF"/>
            <w:vAlign w:val="center"/>
          </w:tcPr>
          <w:p w14:paraId="7001DC7A" w14:textId="77777777" w:rsidR="005D3849" w:rsidRPr="00EF6F97" w:rsidRDefault="005D3849" w:rsidP="00EF6F97">
            <w:pPr>
              <w:spacing w:line="360" w:lineRule="auto"/>
              <w:ind w:left="100"/>
              <w:jc w:val="center"/>
              <w:rPr>
                <w:rFonts w:ascii="Times New Roman" w:hAnsi="Times New Roman" w:cs="Times New Roman"/>
              </w:rPr>
            </w:pPr>
          </w:p>
        </w:tc>
      </w:tr>
      <w:tr w:rsidR="005D3849" w:rsidRPr="00EF6F97" w14:paraId="4F7ABA81" w14:textId="77777777" w:rsidTr="005D3849">
        <w:trPr>
          <w:trHeight w:val="240"/>
          <w:jc w:val="center"/>
        </w:trPr>
        <w:tc>
          <w:tcPr>
            <w:tcW w:w="1429" w:type="dxa"/>
            <w:vMerge/>
            <w:tcBorders>
              <w:left w:val="single" w:sz="8" w:space="0" w:color="auto"/>
              <w:bottom w:val="single" w:sz="8" w:space="0" w:color="auto"/>
              <w:right w:val="single" w:sz="8" w:space="0" w:color="auto"/>
            </w:tcBorders>
            <w:shd w:val="clear" w:color="auto" w:fill="FFFFFF"/>
            <w:vAlign w:val="center"/>
          </w:tcPr>
          <w:p w14:paraId="0E607265" w14:textId="77777777" w:rsidR="005D3849" w:rsidRPr="00EF6F97" w:rsidRDefault="005D3849" w:rsidP="00EF6F97">
            <w:pPr>
              <w:spacing w:line="360" w:lineRule="auto"/>
              <w:ind w:left="120"/>
              <w:jc w:val="center"/>
              <w:rPr>
                <w:rFonts w:ascii="Times New Roman" w:hAnsi="Times New Roman" w:cs="Times New Roman"/>
              </w:rPr>
            </w:pPr>
          </w:p>
        </w:tc>
        <w:tc>
          <w:tcPr>
            <w:tcW w:w="2410" w:type="dxa"/>
            <w:tcBorders>
              <w:top w:val="single" w:sz="8" w:space="0" w:color="auto"/>
              <w:left w:val="single" w:sz="8" w:space="0" w:color="auto"/>
              <w:bottom w:val="single" w:sz="8" w:space="0" w:color="auto"/>
              <w:right w:val="single" w:sz="8" w:space="0" w:color="auto"/>
            </w:tcBorders>
            <w:shd w:val="clear" w:color="auto" w:fill="FFFFFF"/>
            <w:vAlign w:val="center"/>
          </w:tcPr>
          <w:p w14:paraId="25113C7F" w14:textId="77777777" w:rsidR="005D3849" w:rsidRPr="00EF6F97" w:rsidRDefault="005D3849" w:rsidP="00EF6F97">
            <w:pPr>
              <w:spacing w:line="360" w:lineRule="auto"/>
              <w:ind w:left="100"/>
              <w:jc w:val="center"/>
              <w:rPr>
                <w:rFonts w:ascii="Times New Roman" w:hAnsi="Times New Roman" w:cs="Times New Roman"/>
              </w:rPr>
            </w:pPr>
            <w:r w:rsidRPr="00EF6F97">
              <w:rPr>
                <w:rFonts w:ascii="Times New Roman" w:hAnsi="Times New Roman" w:cs="Times New Roman"/>
              </w:rPr>
              <w:t>Przepisy budowlane</w:t>
            </w:r>
          </w:p>
        </w:tc>
        <w:tc>
          <w:tcPr>
            <w:tcW w:w="3118" w:type="dxa"/>
            <w:tcBorders>
              <w:top w:val="single" w:sz="8" w:space="0" w:color="auto"/>
              <w:left w:val="single" w:sz="8" w:space="0" w:color="auto"/>
              <w:bottom w:val="single" w:sz="8" w:space="0" w:color="auto"/>
              <w:right w:val="single" w:sz="8" w:space="0" w:color="auto"/>
            </w:tcBorders>
            <w:shd w:val="clear" w:color="auto" w:fill="FFFFFF"/>
            <w:vAlign w:val="center"/>
          </w:tcPr>
          <w:p w14:paraId="214AA9A2" w14:textId="77777777" w:rsidR="005D3849" w:rsidRPr="00EF6F97" w:rsidRDefault="005D3849" w:rsidP="00EF6F97">
            <w:pPr>
              <w:spacing w:line="360" w:lineRule="auto"/>
              <w:ind w:left="100"/>
              <w:jc w:val="center"/>
              <w:rPr>
                <w:rFonts w:ascii="Times New Roman" w:hAnsi="Times New Roman" w:cs="Times New Roman"/>
              </w:rPr>
            </w:pPr>
            <w:r w:rsidRPr="00EF6F97">
              <w:rPr>
                <w:rFonts w:ascii="Times New Roman" w:hAnsi="Times New Roman" w:cs="Times New Roman"/>
              </w:rPr>
              <w:t>Aplikacja budowlana dla budynku w zakresie właściwości przeciwpożarowych</w:t>
            </w:r>
          </w:p>
        </w:tc>
        <w:tc>
          <w:tcPr>
            <w:tcW w:w="2672" w:type="dxa"/>
            <w:tcBorders>
              <w:top w:val="single" w:sz="8" w:space="0" w:color="auto"/>
              <w:left w:val="single" w:sz="8" w:space="0" w:color="auto"/>
              <w:bottom w:val="single" w:sz="8" w:space="0" w:color="auto"/>
              <w:right w:val="single" w:sz="8" w:space="0" w:color="auto"/>
            </w:tcBorders>
            <w:shd w:val="clear" w:color="auto" w:fill="FFFFFF"/>
            <w:vAlign w:val="center"/>
          </w:tcPr>
          <w:p w14:paraId="485A68FE" w14:textId="77777777" w:rsidR="005D3849" w:rsidRPr="00EF6F97" w:rsidRDefault="005D3849" w:rsidP="00EF6F97">
            <w:pPr>
              <w:spacing w:line="360" w:lineRule="auto"/>
              <w:jc w:val="center"/>
              <w:rPr>
                <w:rFonts w:ascii="Times New Roman" w:hAnsi="Times New Roman" w:cs="Times New Roman"/>
              </w:rPr>
            </w:pPr>
            <w:r w:rsidRPr="00EF6F97">
              <w:rPr>
                <w:rFonts w:ascii="Times New Roman" w:hAnsi="Times New Roman" w:cs="Times New Roman"/>
              </w:rPr>
              <w:t>Ministerstwo Infrastruktury, Transportu</w:t>
            </w:r>
            <w:r w:rsidR="001D0628">
              <w:rPr>
                <w:rFonts w:ascii="Times New Roman" w:hAnsi="Times New Roman" w:cs="Times New Roman"/>
              </w:rPr>
              <w:t xml:space="preserve"> i </w:t>
            </w:r>
            <w:r w:rsidRPr="00EF6F97">
              <w:rPr>
                <w:rFonts w:ascii="Times New Roman" w:hAnsi="Times New Roman" w:cs="Times New Roman"/>
              </w:rPr>
              <w:t>Turystyki</w:t>
            </w:r>
          </w:p>
        </w:tc>
      </w:tr>
    </w:tbl>
    <w:p w14:paraId="3251C5B9" w14:textId="77777777" w:rsidR="005D3849" w:rsidRPr="00EF6F97" w:rsidRDefault="005D3849" w:rsidP="00EF6F97">
      <w:pPr>
        <w:spacing w:line="360" w:lineRule="auto"/>
        <w:jc w:val="both"/>
        <w:rPr>
          <w:rFonts w:ascii="Times New Roman" w:hAnsi="Times New Roman" w:cs="Times New Roman"/>
          <w:b/>
          <w:sz w:val="24"/>
          <w:szCs w:val="24"/>
          <w:shd w:val="clear" w:color="auto" w:fill="FFFFFF"/>
        </w:rPr>
      </w:pPr>
    </w:p>
    <w:p w14:paraId="061B2267" w14:textId="77777777" w:rsidR="00695DE8" w:rsidRPr="00215A1D" w:rsidRDefault="00D20DB5" w:rsidP="00EF6F97">
      <w:pPr>
        <w:spacing w:line="360" w:lineRule="auto"/>
        <w:jc w:val="both"/>
        <w:rPr>
          <w:rFonts w:ascii="Times New Roman" w:hAnsi="Times New Roman" w:cs="Times New Roman"/>
        </w:rPr>
      </w:pPr>
      <w:r w:rsidRPr="00EF6F97">
        <w:rPr>
          <w:rFonts w:ascii="Times New Roman" w:hAnsi="Times New Roman" w:cs="Times New Roman"/>
          <w:sz w:val="24"/>
          <w:szCs w:val="24"/>
        </w:rPr>
        <w:tab/>
      </w:r>
      <w:r w:rsidR="00695DE8" w:rsidRPr="00EF6F97">
        <w:rPr>
          <w:rFonts w:ascii="Times New Roman" w:hAnsi="Times New Roman" w:cs="Times New Roman"/>
          <w:sz w:val="24"/>
          <w:szCs w:val="24"/>
        </w:rPr>
        <w:t xml:space="preserve">Baza danych wszystkich projektów zrealizowanych na świecie w zakresie magazynowania energii znajduje się pod adresem: </w:t>
      </w:r>
      <w:hyperlink r:id="rId13" w:history="1">
        <w:r w:rsidR="00695DE8" w:rsidRPr="00215A1D">
          <w:rPr>
            <w:rStyle w:val="Hipercze"/>
            <w:rFonts w:ascii="Times New Roman" w:hAnsi="Times New Roman" w:cs="Times New Roman"/>
          </w:rPr>
          <w:t>https://www.energystorageexchange.org/projects</w:t>
        </w:r>
      </w:hyperlink>
    </w:p>
    <w:p w14:paraId="5A0374E0" w14:textId="77777777" w:rsidR="00695DE8" w:rsidRPr="00EF6F97" w:rsidRDefault="00695DE8" w:rsidP="00EF6F97">
      <w:pPr>
        <w:spacing w:line="360" w:lineRule="auto"/>
        <w:jc w:val="both"/>
        <w:rPr>
          <w:rFonts w:ascii="Times New Roman" w:hAnsi="Times New Roman" w:cs="Times New Roman"/>
          <w:sz w:val="24"/>
          <w:szCs w:val="24"/>
        </w:rPr>
      </w:pPr>
    </w:p>
    <w:p w14:paraId="51A79CB3" w14:textId="25764946" w:rsidR="00634DCE" w:rsidRPr="00EF6F97" w:rsidRDefault="00634DCE" w:rsidP="00EF6F97">
      <w:pPr>
        <w:spacing w:line="360" w:lineRule="auto"/>
        <w:jc w:val="both"/>
        <w:rPr>
          <w:rFonts w:ascii="Times New Roman" w:hAnsi="Times New Roman" w:cs="Times New Roman"/>
          <w:b/>
          <w:sz w:val="24"/>
          <w:szCs w:val="24"/>
        </w:rPr>
      </w:pPr>
      <w:r w:rsidRPr="00EF6F97">
        <w:rPr>
          <w:rFonts w:ascii="Times New Roman" w:hAnsi="Times New Roman" w:cs="Times New Roman"/>
          <w:b/>
          <w:sz w:val="24"/>
          <w:szCs w:val="24"/>
        </w:rPr>
        <w:t xml:space="preserve">Przewidywane skutki finansowe dla budżetu </w:t>
      </w:r>
      <w:r w:rsidR="001A323E">
        <w:rPr>
          <w:rFonts w:ascii="Times New Roman" w:hAnsi="Times New Roman" w:cs="Times New Roman"/>
          <w:b/>
          <w:sz w:val="24"/>
          <w:szCs w:val="24"/>
        </w:rPr>
        <w:t>p</w:t>
      </w:r>
      <w:r w:rsidRPr="00EF6F97">
        <w:rPr>
          <w:rFonts w:ascii="Times New Roman" w:hAnsi="Times New Roman" w:cs="Times New Roman"/>
          <w:b/>
          <w:sz w:val="24"/>
          <w:szCs w:val="24"/>
        </w:rPr>
        <w:t xml:space="preserve">aństwa uchwalenia projektowanej ustawy </w:t>
      </w:r>
    </w:p>
    <w:p w14:paraId="26336B60" w14:textId="77777777"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34DCE" w:rsidRPr="00EF6F97">
        <w:rPr>
          <w:rFonts w:ascii="Times New Roman" w:hAnsi="Times New Roman" w:cs="Times New Roman"/>
          <w:sz w:val="24"/>
          <w:szCs w:val="24"/>
        </w:rPr>
        <w:t xml:space="preserve">Proponowane regulacje przewidują wprowadzenie opłaty koncesyjnej dla określonych typów magazynów energii elektrycznej. Spodziewanym efektem tego rozwiązania będzie wzrost przychodów sektora finansów publicznych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tytułu opłat koncesyjnych. W przyszłości, wra</w:t>
      </w:r>
      <w:r w:rsidR="001D0628">
        <w:rPr>
          <w:rFonts w:ascii="Times New Roman" w:hAnsi="Times New Roman" w:cs="Times New Roman"/>
          <w:sz w:val="24"/>
          <w:szCs w:val="24"/>
        </w:rPr>
        <w:t>z z </w:t>
      </w:r>
      <w:r w:rsidR="00634DCE" w:rsidRPr="00EF6F97">
        <w:rPr>
          <w:rFonts w:ascii="Times New Roman" w:hAnsi="Times New Roman" w:cs="Times New Roman"/>
          <w:sz w:val="24"/>
          <w:szCs w:val="24"/>
        </w:rPr>
        <w:t>wzrostem liczby podmiotów ubiegających się o koncesję, regulacja może generować dodatkowe koszty pracy po stronie Urzędu Regulacji Energetyki.</w:t>
      </w:r>
    </w:p>
    <w:p w14:paraId="1DAB0E61" w14:textId="1A9F9E83" w:rsidR="00634DCE"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34DCE" w:rsidRPr="00EF6F97">
        <w:rPr>
          <w:rFonts w:ascii="Times New Roman" w:hAnsi="Times New Roman" w:cs="Times New Roman"/>
          <w:sz w:val="24"/>
          <w:szCs w:val="24"/>
        </w:rPr>
        <w:t>W kontekście wpływu proponowanych regulacji na konkurencyjność gospodarki</w:t>
      </w:r>
      <w:r w:rsidR="001D0628">
        <w:rPr>
          <w:rFonts w:ascii="Times New Roman" w:hAnsi="Times New Roman" w:cs="Times New Roman"/>
          <w:sz w:val="24"/>
          <w:szCs w:val="24"/>
        </w:rPr>
        <w:t xml:space="preserve"> i </w:t>
      </w:r>
      <w:r w:rsidR="00634DCE" w:rsidRPr="00EF6F97">
        <w:rPr>
          <w:rFonts w:ascii="Times New Roman" w:hAnsi="Times New Roman" w:cs="Times New Roman"/>
          <w:sz w:val="24"/>
          <w:szCs w:val="24"/>
        </w:rPr>
        <w:t xml:space="preserve">przedsiębiorczość spodziewanym efektem regulacji będzie rozwój przedsiębiorstw w sektorach związanych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wytwarzaniem energii w odnawialnych źródłach, magazynowaniem energii elektrycznej ora</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 xml:space="preserve">branżach związanych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 xml:space="preserve">dostarczaniem komponentów do instalacji – </w:t>
      </w:r>
      <w:r w:rsidR="001A323E">
        <w:rPr>
          <w:rFonts w:ascii="Times New Roman" w:hAnsi="Times New Roman" w:cs="Times New Roman"/>
          <w:sz w:val="24"/>
          <w:szCs w:val="24"/>
        </w:rPr>
        <w:t>w </w:t>
      </w:r>
      <w:r w:rsidR="00634DCE" w:rsidRPr="00EF6F97">
        <w:rPr>
          <w:rFonts w:ascii="Times New Roman" w:hAnsi="Times New Roman" w:cs="Times New Roman"/>
          <w:sz w:val="24"/>
          <w:szCs w:val="24"/>
        </w:rPr>
        <w:t xml:space="preserve">szczególności podmiotów importujących baterie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krajów azjatyckich, a także branżach usługowych dla tego sektora. Oczekuje się, że rozwój sektora OZE, magazynowania energii elektrycznej</w:t>
      </w:r>
      <w:r w:rsidR="001D0628">
        <w:rPr>
          <w:rFonts w:ascii="Times New Roman" w:hAnsi="Times New Roman" w:cs="Times New Roman"/>
          <w:sz w:val="24"/>
          <w:szCs w:val="24"/>
        </w:rPr>
        <w:t xml:space="preserve"> i </w:t>
      </w:r>
      <w:r w:rsidR="00634DCE" w:rsidRPr="00EF6F97">
        <w:rPr>
          <w:rFonts w:ascii="Times New Roman" w:hAnsi="Times New Roman" w:cs="Times New Roman"/>
          <w:sz w:val="24"/>
          <w:szCs w:val="24"/>
        </w:rPr>
        <w:t xml:space="preserve">powiązanych branż wpłynie na wzrost przychodów do budżetu państwa </w:t>
      </w:r>
      <w:r w:rsidR="001D0628">
        <w:rPr>
          <w:rFonts w:ascii="Times New Roman" w:hAnsi="Times New Roman" w:cs="Times New Roman"/>
          <w:sz w:val="24"/>
          <w:szCs w:val="24"/>
        </w:rPr>
        <w:t>z </w:t>
      </w:r>
      <w:r w:rsidR="00634DCE" w:rsidRPr="00EF6F97">
        <w:rPr>
          <w:rFonts w:ascii="Times New Roman" w:hAnsi="Times New Roman" w:cs="Times New Roman"/>
          <w:sz w:val="24"/>
          <w:szCs w:val="24"/>
        </w:rPr>
        <w:t>tytułu podatków. Spodziewany jest także wzrost zatrudnienia w ww. obszarach.</w:t>
      </w:r>
    </w:p>
    <w:p w14:paraId="4653642C" w14:textId="77777777" w:rsidR="001970B8" w:rsidRPr="00EF6F97" w:rsidRDefault="001970B8" w:rsidP="00EF6F97">
      <w:pPr>
        <w:spacing w:line="360" w:lineRule="auto"/>
        <w:jc w:val="both"/>
        <w:rPr>
          <w:rFonts w:ascii="Times New Roman" w:hAnsi="Times New Roman" w:cs="Times New Roman"/>
          <w:b/>
          <w:sz w:val="24"/>
          <w:szCs w:val="24"/>
        </w:rPr>
      </w:pPr>
    </w:p>
    <w:p w14:paraId="0836CA06" w14:textId="77777777" w:rsidR="004E2823" w:rsidRPr="00EF6F97" w:rsidRDefault="004E2823" w:rsidP="00EF6F97">
      <w:pPr>
        <w:spacing w:line="360" w:lineRule="auto"/>
        <w:jc w:val="both"/>
        <w:rPr>
          <w:rFonts w:ascii="Times New Roman" w:hAnsi="Times New Roman" w:cs="Times New Roman"/>
          <w:b/>
          <w:sz w:val="24"/>
          <w:szCs w:val="24"/>
        </w:rPr>
      </w:pPr>
      <w:r w:rsidRPr="00EF6F97">
        <w:rPr>
          <w:rFonts w:ascii="Times New Roman" w:hAnsi="Times New Roman" w:cs="Times New Roman"/>
          <w:b/>
          <w:sz w:val="24"/>
          <w:szCs w:val="24"/>
        </w:rPr>
        <w:t xml:space="preserve">Aktualny stan prawny </w:t>
      </w:r>
    </w:p>
    <w:p w14:paraId="38F0FA15" w14:textId="77777777" w:rsidR="004E2823" w:rsidRPr="00EF6F97" w:rsidRDefault="004E2823" w:rsidP="00EF6F97">
      <w:pPr>
        <w:spacing w:line="360" w:lineRule="auto"/>
        <w:jc w:val="both"/>
        <w:rPr>
          <w:rFonts w:ascii="Times New Roman" w:hAnsi="Times New Roman" w:cs="Times New Roman"/>
          <w:sz w:val="24"/>
          <w:szCs w:val="24"/>
          <w:u w:val="single"/>
        </w:rPr>
      </w:pPr>
      <w:r w:rsidRPr="00EF6F97">
        <w:rPr>
          <w:rFonts w:ascii="Times New Roman" w:hAnsi="Times New Roman" w:cs="Times New Roman"/>
          <w:sz w:val="24"/>
          <w:szCs w:val="24"/>
          <w:u w:val="single"/>
        </w:rPr>
        <w:t>W zakresie definicji</w:t>
      </w:r>
    </w:p>
    <w:p w14:paraId="0FB6D06C" w14:textId="77777777" w:rsidR="004E2823"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4E2823" w:rsidRPr="00EF6F97">
        <w:rPr>
          <w:rFonts w:ascii="Times New Roman" w:hAnsi="Times New Roman" w:cs="Times New Roman"/>
          <w:sz w:val="24"/>
          <w:szCs w:val="24"/>
        </w:rPr>
        <w:t xml:space="preserve">Obecnie magazynowanie energii jest uznane za proces energetyczny (art. 3 </w:t>
      </w:r>
      <w:r w:rsidR="001D0628">
        <w:rPr>
          <w:rFonts w:ascii="Times New Roman" w:hAnsi="Times New Roman" w:cs="Times New Roman"/>
          <w:sz w:val="24"/>
          <w:szCs w:val="24"/>
        </w:rPr>
        <w:t>pkt</w:t>
      </w:r>
      <w:r w:rsidR="004E2823" w:rsidRPr="00EF6F97">
        <w:rPr>
          <w:rFonts w:ascii="Times New Roman" w:hAnsi="Times New Roman" w:cs="Times New Roman"/>
          <w:sz w:val="24"/>
          <w:szCs w:val="24"/>
        </w:rPr>
        <w:t xml:space="preserve"> 7 ustawy – Prawo energetyczne), a podmiot prowadzący działalność w zakresie magazynowania energii jest uznany za przedsiębiorstwo energetyczne (art. 3 </w:t>
      </w:r>
      <w:r w:rsidR="001D0628">
        <w:rPr>
          <w:rFonts w:ascii="Times New Roman" w:hAnsi="Times New Roman" w:cs="Times New Roman"/>
          <w:sz w:val="24"/>
          <w:szCs w:val="24"/>
        </w:rPr>
        <w:t>pkt</w:t>
      </w:r>
      <w:r w:rsidR="004E2823" w:rsidRPr="00EF6F97">
        <w:rPr>
          <w:rFonts w:ascii="Times New Roman" w:hAnsi="Times New Roman" w:cs="Times New Roman"/>
          <w:sz w:val="24"/>
          <w:szCs w:val="24"/>
        </w:rPr>
        <w:t xml:space="preserve"> 12 ustawy – Prawo energetyczne). </w:t>
      </w:r>
    </w:p>
    <w:p w14:paraId="73667C13" w14:textId="77777777" w:rsidR="004E2823" w:rsidRPr="00EF6F97" w:rsidRDefault="00D20DB5"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lastRenderedPageBreak/>
        <w:tab/>
      </w:r>
      <w:r w:rsidR="004E2823" w:rsidRPr="00EF6F97">
        <w:rPr>
          <w:rFonts w:ascii="Times New Roman" w:hAnsi="Times New Roman" w:cs="Times New Roman"/>
          <w:sz w:val="24"/>
          <w:szCs w:val="24"/>
        </w:rPr>
        <w:t>Istnieją obecnie dwie różne definicje magazynu energii:</w:t>
      </w:r>
    </w:p>
    <w:p w14:paraId="3DB2D1A0" w14:textId="7890D55D" w:rsidR="004E2823" w:rsidRPr="00EF6F97" w:rsidRDefault="004E2823" w:rsidP="00EF6F97">
      <w:pPr>
        <w:pStyle w:val="Akapitzlist"/>
        <w:numPr>
          <w:ilvl w:val="0"/>
          <w:numId w:val="40"/>
        </w:numPr>
        <w:spacing w:after="0" w:line="360" w:lineRule="auto"/>
        <w:jc w:val="both"/>
        <w:rPr>
          <w:rFonts w:ascii="Times New Roman" w:hAnsi="Times New Roman"/>
          <w:sz w:val="24"/>
          <w:szCs w:val="24"/>
        </w:rPr>
      </w:pPr>
      <w:r w:rsidRPr="00EF6F97">
        <w:rPr>
          <w:rFonts w:ascii="Times New Roman" w:hAnsi="Times New Roman"/>
          <w:sz w:val="24"/>
          <w:szCs w:val="24"/>
        </w:rPr>
        <w:t xml:space="preserve">w ustawie </w:t>
      </w:r>
      <w:r w:rsidR="001A323E">
        <w:rPr>
          <w:rFonts w:ascii="Times New Roman" w:hAnsi="Times New Roman"/>
          <w:sz w:val="24"/>
          <w:szCs w:val="24"/>
        </w:rPr>
        <w:t>–</w:t>
      </w:r>
      <w:r w:rsidRPr="00EF6F97">
        <w:rPr>
          <w:rFonts w:ascii="Times New Roman" w:hAnsi="Times New Roman"/>
          <w:sz w:val="24"/>
          <w:szCs w:val="24"/>
        </w:rPr>
        <w:t xml:space="preserve"> Prawo energetyczne art. 3 </w:t>
      </w:r>
      <w:r w:rsidR="001D0628">
        <w:rPr>
          <w:rFonts w:ascii="Times New Roman" w:hAnsi="Times New Roman"/>
          <w:sz w:val="24"/>
          <w:szCs w:val="24"/>
        </w:rPr>
        <w:t>pkt</w:t>
      </w:r>
      <w:r w:rsidRPr="00EF6F97">
        <w:rPr>
          <w:rFonts w:ascii="Times New Roman" w:hAnsi="Times New Roman"/>
          <w:sz w:val="24"/>
          <w:szCs w:val="24"/>
        </w:rPr>
        <w:t xml:space="preserve"> 10k:</w:t>
      </w:r>
    </w:p>
    <w:p w14:paraId="1020B02F" w14:textId="67563F74" w:rsidR="004E2823" w:rsidRPr="00EF6F97" w:rsidRDefault="00173903" w:rsidP="00296771">
      <w:pPr>
        <w:pStyle w:val="Akapitzlist"/>
        <w:spacing w:after="0" w:line="360" w:lineRule="auto"/>
        <w:ind w:left="1134" w:hanging="425"/>
        <w:jc w:val="both"/>
        <w:rPr>
          <w:rFonts w:ascii="Times New Roman" w:hAnsi="Times New Roman"/>
          <w:sz w:val="24"/>
          <w:szCs w:val="24"/>
        </w:rPr>
      </w:pPr>
      <w:r w:rsidRPr="00EF6F97">
        <w:rPr>
          <w:rFonts w:ascii="Times New Roman" w:hAnsi="Times New Roman"/>
          <w:sz w:val="24"/>
          <w:szCs w:val="24"/>
        </w:rPr>
        <w:t>„</w:t>
      </w:r>
      <w:r w:rsidR="004E2823" w:rsidRPr="00EF6F97">
        <w:rPr>
          <w:rFonts w:ascii="Times New Roman" w:hAnsi="Times New Roman"/>
          <w:sz w:val="24"/>
          <w:szCs w:val="24"/>
        </w:rPr>
        <w:t xml:space="preserve">10k) magazyn energii </w:t>
      </w:r>
      <w:r w:rsidR="001A323E">
        <w:rPr>
          <w:rFonts w:ascii="Times New Roman" w:hAnsi="Times New Roman"/>
          <w:sz w:val="24"/>
          <w:szCs w:val="24"/>
        </w:rPr>
        <w:t>–</w:t>
      </w:r>
      <w:r w:rsidR="004E2823" w:rsidRPr="00EF6F97">
        <w:rPr>
          <w:rFonts w:ascii="Times New Roman" w:hAnsi="Times New Roman"/>
          <w:sz w:val="24"/>
          <w:szCs w:val="24"/>
        </w:rPr>
        <w:t xml:space="preserve"> instalację służącą do przechowywania energii, przyłączoną do sieci, mającą zdolność do dostawy energii elektrycznej do sieci;</w:t>
      </w:r>
      <w:r w:rsidRPr="00EF6F97">
        <w:rPr>
          <w:rFonts w:ascii="Times New Roman" w:hAnsi="Times New Roman"/>
          <w:sz w:val="24"/>
          <w:szCs w:val="24"/>
        </w:rPr>
        <w:t>”,</w:t>
      </w:r>
    </w:p>
    <w:p w14:paraId="5113B25F" w14:textId="77777777" w:rsidR="00173903" w:rsidRPr="00EF6F97" w:rsidRDefault="004E2823" w:rsidP="00EF6F97">
      <w:pPr>
        <w:pStyle w:val="Akapitzlist"/>
        <w:numPr>
          <w:ilvl w:val="0"/>
          <w:numId w:val="40"/>
        </w:numPr>
        <w:spacing w:after="0" w:line="360" w:lineRule="auto"/>
        <w:jc w:val="both"/>
        <w:rPr>
          <w:rFonts w:ascii="Times New Roman" w:hAnsi="Times New Roman"/>
          <w:sz w:val="24"/>
          <w:szCs w:val="24"/>
        </w:rPr>
      </w:pPr>
      <w:r w:rsidRPr="00EF6F97">
        <w:rPr>
          <w:rFonts w:ascii="Times New Roman" w:hAnsi="Times New Roman"/>
          <w:sz w:val="24"/>
          <w:szCs w:val="24"/>
        </w:rPr>
        <w:t xml:space="preserve">w ustawie o OZE art. 2 </w:t>
      </w:r>
      <w:r w:rsidR="001D0628">
        <w:rPr>
          <w:rFonts w:ascii="Times New Roman" w:hAnsi="Times New Roman"/>
          <w:sz w:val="24"/>
          <w:szCs w:val="24"/>
        </w:rPr>
        <w:t>pkt</w:t>
      </w:r>
      <w:r w:rsidRPr="00EF6F97">
        <w:rPr>
          <w:rFonts w:ascii="Times New Roman" w:hAnsi="Times New Roman"/>
          <w:sz w:val="24"/>
          <w:szCs w:val="24"/>
        </w:rPr>
        <w:t xml:space="preserve"> 17:</w:t>
      </w:r>
    </w:p>
    <w:p w14:paraId="7BAEC24C" w14:textId="77777777" w:rsidR="004E2823" w:rsidRPr="00EF6F97" w:rsidRDefault="00173903" w:rsidP="00296771">
      <w:pPr>
        <w:pStyle w:val="Akapitzlist"/>
        <w:spacing w:after="0" w:line="360" w:lineRule="auto"/>
        <w:ind w:left="1134" w:hanging="425"/>
        <w:jc w:val="both"/>
        <w:rPr>
          <w:rFonts w:ascii="Times New Roman" w:hAnsi="Times New Roman"/>
          <w:sz w:val="24"/>
          <w:szCs w:val="24"/>
        </w:rPr>
      </w:pPr>
      <w:r w:rsidRPr="00EF6F97">
        <w:rPr>
          <w:rFonts w:ascii="Times New Roman" w:hAnsi="Times New Roman"/>
          <w:sz w:val="24"/>
          <w:szCs w:val="24"/>
        </w:rPr>
        <w:t>„</w:t>
      </w:r>
      <w:r w:rsidR="004E2823" w:rsidRPr="00EF6F97">
        <w:rPr>
          <w:rFonts w:ascii="Times New Roman" w:hAnsi="Times New Roman"/>
          <w:sz w:val="24"/>
          <w:szCs w:val="24"/>
        </w:rPr>
        <w:t>17) magazyn energii – wyodrębnione urządzenie lub zespół urządzeń służących do przechowywania energii w dowolnej postaci, niepowodujących emisji będących obciążeniem dla środowiska, w sposób pozwalający co najmniej na jej częściowe odzyskanie;</w:t>
      </w:r>
      <w:r w:rsidRPr="00EF6F97">
        <w:rPr>
          <w:rFonts w:ascii="Times New Roman" w:hAnsi="Times New Roman"/>
          <w:sz w:val="24"/>
          <w:szCs w:val="24"/>
        </w:rPr>
        <w:t>”.</w:t>
      </w:r>
    </w:p>
    <w:p w14:paraId="7A60CB00" w14:textId="72CD29EB" w:rsidR="004E2823" w:rsidRPr="00EF6F97" w:rsidRDefault="004E282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Istnieje również w ustawie </w:t>
      </w:r>
      <w:r w:rsidR="0072626A">
        <w:rPr>
          <w:rFonts w:ascii="Times New Roman" w:hAnsi="Times New Roman" w:cs="Times New Roman"/>
          <w:sz w:val="24"/>
          <w:szCs w:val="24"/>
        </w:rPr>
        <w:t>–</w:t>
      </w:r>
      <w:r w:rsidRPr="00EF6F97">
        <w:rPr>
          <w:rFonts w:ascii="Times New Roman" w:hAnsi="Times New Roman" w:cs="Times New Roman"/>
          <w:sz w:val="24"/>
          <w:szCs w:val="24"/>
        </w:rPr>
        <w:t xml:space="preserve"> Prawo energetyczne definicja ma</w:t>
      </w:r>
      <w:r w:rsidR="00CB5761" w:rsidRPr="00EF6F97">
        <w:rPr>
          <w:rFonts w:ascii="Times New Roman" w:hAnsi="Times New Roman" w:cs="Times New Roman"/>
          <w:sz w:val="24"/>
          <w:szCs w:val="24"/>
        </w:rPr>
        <w:t>gazynowania energii (art. 3 pkt</w:t>
      </w:r>
      <w:r w:rsidR="0072626A">
        <w:rPr>
          <w:rFonts w:ascii="Times New Roman" w:hAnsi="Times New Roman" w:cs="Times New Roman"/>
          <w:sz w:val="24"/>
          <w:szCs w:val="24"/>
        </w:rPr>
        <w:t> </w:t>
      </w:r>
      <w:r w:rsidRPr="00EF6F97">
        <w:rPr>
          <w:rFonts w:ascii="Times New Roman" w:hAnsi="Times New Roman" w:cs="Times New Roman"/>
          <w:sz w:val="24"/>
          <w:szCs w:val="24"/>
        </w:rPr>
        <w:t>59):</w:t>
      </w:r>
    </w:p>
    <w:p w14:paraId="6E58C6B1" w14:textId="43CE01F9" w:rsidR="004E2823" w:rsidRPr="00EF6F97" w:rsidRDefault="00173903" w:rsidP="0072626A">
      <w:pPr>
        <w:spacing w:line="360" w:lineRule="auto"/>
        <w:ind w:left="426" w:hanging="426"/>
        <w:jc w:val="both"/>
        <w:rPr>
          <w:rFonts w:ascii="Times New Roman" w:hAnsi="Times New Roman" w:cs="Times New Roman"/>
          <w:sz w:val="24"/>
          <w:szCs w:val="24"/>
        </w:rPr>
      </w:pPr>
      <w:r w:rsidRPr="00EF6F97">
        <w:rPr>
          <w:rFonts w:ascii="Times New Roman" w:hAnsi="Times New Roman" w:cs="Times New Roman"/>
          <w:sz w:val="24"/>
          <w:szCs w:val="24"/>
        </w:rPr>
        <w:t>„</w:t>
      </w:r>
      <w:r w:rsidR="004E2823" w:rsidRPr="00EF6F97">
        <w:rPr>
          <w:rFonts w:ascii="Times New Roman" w:hAnsi="Times New Roman" w:cs="Times New Roman"/>
          <w:sz w:val="24"/>
          <w:szCs w:val="24"/>
        </w:rPr>
        <w:t xml:space="preserve">59) magazynowanie energii </w:t>
      </w:r>
      <w:r w:rsidR="0072626A">
        <w:rPr>
          <w:rFonts w:ascii="Times New Roman" w:hAnsi="Times New Roman" w:cs="Times New Roman"/>
          <w:sz w:val="24"/>
          <w:szCs w:val="24"/>
        </w:rPr>
        <w:t>–</w:t>
      </w:r>
      <w:r w:rsidR="004E2823" w:rsidRPr="00EF6F97">
        <w:rPr>
          <w:rFonts w:ascii="Times New Roman" w:hAnsi="Times New Roman" w:cs="Times New Roman"/>
          <w:sz w:val="24"/>
          <w:szCs w:val="24"/>
        </w:rPr>
        <w:t xml:space="preserve"> świadczenie usług przechowywania energii w magazynie energii.</w:t>
      </w:r>
      <w:r w:rsidRPr="00EF6F97">
        <w:rPr>
          <w:rFonts w:ascii="Times New Roman" w:hAnsi="Times New Roman" w:cs="Times New Roman"/>
          <w:sz w:val="24"/>
          <w:szCs w:val="24"/>
        </w:rPr>
        <w:t>”.</w:t>
      </w:r>
    </w:p>
    <w:p w14:paraId="5ECB72B4" w14:textId="512E92FC" w:rsidR="004E2823"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4E2823" w:rsidRPr="00EF6F97">
        <w:rPr>
          <w:rFonts w:ascii="Times New Roman" w:hAnsi="Times New Roman" w:cs="Times New Roman"/>
          <w:sz w:val="24"/>
          <w:szCs w:val="24"/>
        </w:rPr>
        <w:t xml:space="preserve">Ponadto w ustawie </w:t>
      </w:r>
      <w:r w:rsidR="0072626A">
        <w:rPr>
          <w:rFonts w:ascii="Times New Roman" w:hAnsi="Times New Roman" w:cs="Times New Roman"/>
          <w:sz w:val="24"/>
          <w:szCs w:val="24"/>
        </w:rPr>
        <w:t>–</w:t>
      </w:r>
      <w:r w:rsidR="004E2823" w:rsidRPr="00EF6F97">
        <w:rPr>
          <w:rFonts w:ascii="Times New Roman" w:hAnsi="Times New Roman" w:cs="Times New Roman"/>
          <w:sz w:val="24"/>
          <w:szCs w:val="24"/>
        </w:rPr>
        <w:t xml:space="preserve"> Prawo energetyczne wra</w:t>
      </w:r>
      <w:r w:rsidR="001D0628">
        <w:rPr>
          <w:rFonts w:ascii="Times New Roman" w:hAnsi="Times New Roman" w:cs="Times New Roman"/>
          <w:sz w:val="24"/>
          <w:szCs w:val="24"/>
        </w:rPr>
        <w:t>z z </w:t>
      </w:r>
      <w:r w:rsidR="004E2823" w:rsidRPr="00EF6F97">
        <w:rPr>
          <w:rFonts w:ascii="Times New Roman" w:hAnsi="Times New Roman" w:cs="Times New Roman"/>
          <w:sz w:val="24"/>
          <w:szCs w:val="24"/>
        </w:rPr>
        <w:t>wejściem w życie ustawy o elektromobilności</w:t>
      </w:r>
      <w:r w:rsidR="001D0628">
        <w:rPr>
          <w:rFonts w:ascii="Times New Roman" w:hAnsi="Times New Roman" w:cs="Times New Roman"/>
          <w:sz w:val="24"/>
          <w:szCs w:val="24"/>
        </w:rPr>
        <w:t xml:space="preserve"> i </w:t>
      </w:r>
      <w:r w:rsidR="004E2823" w:rsidRPr="00EF6F97">
        <w:rPr>
          <w:rFonts w:ascii="Times New Roman" w:hAnsi="Times New Roman" w:cs="Times New Roman"/>
          <w:sz w:val="24"/>
          <w:szCs w:val="24"/>
        </w:rPr>
        <w:t>paliwach alternatywnych wprowadzono definicję instalacji zarządzania popytem w poniższym brzemieniu:</w:t>
      </w:r>
    </w:p>
    <w:p w14:paraId="3DFC4DB7" w14:textId="02C9AC1C" w:rsidR="004E2823" w:rsidRPr="00EF6F97" w:rsidRDefault="004E2823" w:rsidP="0072626A">
      <w:pPr>
        <w:spacing w:line="360" w:lineRule="auto"/>
        <w:ind w:left="426" w:hanging="426"/>
        <w:jc w:val="both"/>
        <w:rPr>
          <w:rFonts w:ascii="Times New Roman" w:hAnsi="Times New Roman" w:cs="Times New Roman"/>
          <w:sz w:val="24"/>
          <w:szCs w:val="24"/>
        </w:rPr>
      </w:pPr>
      <w:r w:rsidRPr="00EF6F97">
        <w:rPr>
          <w:rFonts w:ascii="Times New Roman" w:hAnsi="Times New Roman" w:cs="Times New Roman"/>
          <w:sz w:val="24"/>
          <w:szCs w:val="24"/>
        </w:rPr>
        <w:t xml:space="preserve">„11i) instalacja zarządzania popytem </w:t>
      </w:r>
      <w:r w:rsidR="0072626A">
        <w:rPr>
          <w:rFonts w:ascii="Times New Roman" w:hAnsi="Times New Roman" w:cs="Times New Roman"/>
          <w:sz w:val="24"/>
          <w:szCs w:val="24"/>
        </w:rPr>
        <w:t>–</w:t>
      </w:r>
      <w:r w:rsidR="00117FBD" w:rsidRPr="00EF6F97">
        <w:rPr>
          <w:rFonts w:ascii="Times New Roman" w:hAnsi="Times New Roman" w:cs="Times New Roman"/>
          <w:sz w:val="24"/>
          <w:szCs w:val="24"/>
        </w:rPr>
        <w:t xml:space="preserve"> instalację odbiorcy końcowego, której urządzenia umożliwiają zmianę profilu poboru energii elektrycznej na żądanie operatora systemu dystrybucyjnego, operatora systemu przesyłowego lub operatora systemu połączonego, na którą może składać się w szczególności magazyn energii, instalacja wytwórcza niewspółpracująca bezpośrednio </w:t>
      </w:r>
      <w:r w:rsidR="001D0628">
        <w:rPr>
          <w:rFonts w:ascii="Times New Roman" w:hAnsi="Times New Roman" w:cs="Times New Roman"/>
          <w:sz w:val="24"/>
          <w:szCs w:val="24"/>
        </w:rPr>
        <w:t>z </w:t>
      </w:r>
      <w:r w:rsidR="00117FBD" w:rsidRPr="00EF6F97">
        <w:rPr>
          <w:rFonts w:ascii="Times New Roman" w:hAnsi="Times New Roman" w:cs="Times New Roman"/>
          <w:sz w:val="24"/>
          <w:szCs w:val="24"/>
        </w:rPr>
        <w:t xml:space="preserve">siecią lub punkt ładowania w rozumieniu art. 2 pkt 17 ustawy </w:t>
      </w:r>
      <w:r w:rsidR="001D0628">
        <w:rPr>
          <w:rFonts w:ascii="Times New Roman" w:hAnsi="Times New Roman" w:cs="Times New Roman"/>
          <w:sz w:val="24"/>
          <w:szCs w:val="24"/>
        </w:rPr>
        <w:t>z </w:t>
      </w:r>
      <w:r w:rsidR="00117FBD" w:rsidRPr="00EF6F97">
        <w:rPr>
          <w:rFonts w:ascii="Times New Roman" w:hAnsi="Times New Roman" w:cs="Times New Roman"/>
          <w:sz w:val="24"/>
          <w:szCs w:val="24"/>
        </w:rPr>
        <w:t>dnia 11 stycznia 2018</w:t>
      </w:r>
      <w:r w:rsidR="001D0628">
        <w:rPr>
          <w:rFonts w:ascii="Times New Roman" w:hAnsi="Times New Roman" w:cs="Times New Roman"/>
          <w:sz w:val="24"/>
          <w:szCs w:val="24"/>
        </w:rPr>
        <w:t> r.</w:t>
      </w:r>
      <w:r w:rsidR="00117FBD" w:rsidRPr="00EF6F97">
        <w:rPr>
          <w:rFonts w:ascii="Times New Roman" w:hAnsi="Times New Roman" w:cs="Times New Roman"/>
          <w:sz w:val="24"/>
          <w:szCs w:val="24"/>
        </w:rPr>
        <w:t xml:space="preserve"> o elektromobilności</w:t>
      </w:r>
      <w:r w:rsidR="001D0628">
        <w:rPr>
          <w:rFonts w:ascii="Times New Roman" w:hAnsi="Times New Roman" w:cs="Times New Roman"/>
          <w:sz w:val="24"/>
          <w:szCs w:val="24"/>
        </w:rPr>
        <w:t xml:space="preserve"> i </w:t>
      </w:r>
      <w:r w:rsidR="00117FBD" w:rsidRPr="00EF6F97">
        <w:rPr>
          <w:rFonts w:ascii="Times New Roman" w:hAnsi="Times New Roman" w:cs="Times New Roman"/>
          <w:sz w:val="24"/>
          <w:szCs w:val="24"/>
        </w:rPr>
        <w:t>paliwach alternatywnych</w:t>
      </w:r>
      <w:r w:rsidRPr="00EF6F97">
        <w:rPr>
          <w:rFonts w:ascii="Times New Roman" w:hAnsi="Times New Roman" w:cs="Times New Roman"/>
          <w:sz w:val="24"/>
          <w:szCs w:val="24"/>
        </w:rPr>
        <w:t>;</w:t>
      </w:r>
      <w:r w:rsidR="00173903" w:rsidRPr="00EF6F97">
        <w:rPr>
          <w:rFonts w:ascii="Times New Roman" w:hAnsi="Times New Roman" w:cs="Times New Roman"/>
          <w:sz w:val="24"/>
          <w:szCs w:val="24"/>
        </w:rPr>
        <w:t>”.</w:t>
      </w:r>
    </w:p>
    <w:p w14:paraId="133E35A8" w14:textId="77777777" w:rsidR="004E2823" w:rsidRPr="00EF6F97" w:rsidRDefault="004E282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Definicja ta sugeruje, że magazyn energii może stanowić część instalacji odbiorcy końcowego. </w:t>
      </w:r>
    </w:p>
    <w:p w14:paraId="549D2F25" w14:textId="77777777" w:rsidR="004E2823" w:rsidRPr="00EF6F97" w:rsidRDefault="004E282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u w:val="single"/>
        </w:rPr>
        <w:t>W ustawie o OZE</w:t>
      </w:r>
      <w:r w:rsidRPr="00EF6F97">
        <w:rPr>
          <w:rFonts w:ascii="Times New Roman" w:hAnsi="Times New Roman" w:cs="Times New Roman"/>
          <w:sz w:val="24"/>
          <w:szCs w:val="24"/>
        </w:rPr>
        <w:t xml:space="preserve"> występują również definicje (art. 2) wykorzystujące w następujący sposób magazyny energii:</w:t>
      </w:r>
    </w:p>
    <w:p w14:paraId="2D26725D" w14:textId="77777777" w:rsidR="00117FBD" w:rsidRPr="00EF6F97" w:rsidRDefault="00173903" w:rsidP="0072626A">
      <w:pPr>
        <w:spacing w:line="360" w:lineRule="auto"/>
        <w:ind w:left="426" w:hanging="426"/>
        <w:jc w:val="both"/>
        <w:rPr>
          <w:rFonts w:ascii="Times New Roman" w:hAnsi="Times New Roman" w:cs="Times New Roman"/>
          <w:sz w:val="24"/>
          <w:szCs w:val="24"/>
        </w:rPr>
      </w:pPr>
      <w:r w:rsidRPr="00EF6F97">
        <w:rPr>
          <w:rFonts w:ascii="Times New Roman" w:hAnsi="Times New Roman" w:cs="Times New Roman"/>
          <w:sz w:val="24"/>
          <w:szCs w:val="24"/>
        </w:rPr>
        <w:t>„</w:t>
      </w:r>
      <w:r w:rsidR="004E2823" w:rsidRPr="00EF6F97">
        <w:rPr>
          <w:rFonts w:ascii="Times New Roman" w:hAnsi="Times New Roman" w:cs="Times New Roman"/>
          <w:sz w:val="24"/>
          <w:szCs w:val="24"/>
        </w:rPr>
        <w:t>11a) hybrydowa instalacja odnawialnego źródła energii –</w:t>
      </w:r>
      <w:r w:rsidR="00117FBD" w:rsidRPr="00EF6F97">
        <w:rPr>
          <w:rFonts w:ascii="Times New Roman" w:hAnsi="Times New Roman" w:cs="Times New Roman"/>
          <w:sz w:val="24"/>
          <w:szCs w:val="24"/>
        </w:rPr>
        <w:t xml:space="preserve"> wyodrębniony zespół urządzeń opisanych prze</w:t>
      </w:r>
      <w:r w:rsidR="001D0628">
        <w:rPr>
          <w:rFonts w:ascii="Times New Roman" w:hAnsi="Times New Roman" w:cs="Times New Roman"/>
          <w:sz w:val="24"/>
          <w:szCs w:val="24"/>
        </w:rPr>
        <w:t>z </w:t>
      </w:r>
      <w:r w:rsidR="00117FBD" w:rsidRPr="00EF6F97">
        <w:rPr>
          <w:rFonts w:ascii="Times New Roman" w:hAnsi="Times New Roman" w:cs="Times New Roman"/>
          <w:sz w:val="24"/>
          <w:szCs w:val="24"/>
        </w:rPr>
        <w:t>dane techniczne</w:t>
      </w:r>
      <w:r w:rsidR="001D0628">
        <w:rPr>
          <w:rFonts w:ascii="Times New Roman" w:hAnsi="Times New Roman" w:cs="Times New Roman"/>
          <w:sz w:val="24"/>
          <w:szCs w:val="24"/>
        </w:rPr>
        <w:t xml:space="preserve"> i </w:t>
      </w:r>
      <w:r w:rsidR="00117FBD" w:rsidRPr="00EF6F97">
        <w:rPr>
          <w:rFonts w:ascii="Times New Roman" w:hAnsi="Times New Roman" w:cs="Times New Roman"/>
          <w:sz w:val="24"/>
          <w:szCs w:val="24"/>
        </w:rPr>
        <w:t xml:space="preserve">handlowe, przyłączonych do tej samej sieci dystrybucyjnej lub przesyłowej o napięciu znamionowym nie wyższym niż 110 kV, w których energia elektryczna jest wytwarzana wyłącznie </w:t>
      </w:r>
      <w:r w:rsidR="001D0628">
        <w:rPr>
          <w:rFonts w:ascii="Times New Roman" w:hAnsi="Times New Roman" w:cs="Times New Roman"/>
          <w:sz w:val="24"/>
          <w:szCs w:val="24"/>
        </w:rPr>
        <w:t>z </w:t>
      </w:r>
      <w:r w:rsidR="00117FBD" w:rsidRPr="00EF6F97">
        <w:rPr>
          <w:rFonts w:ascii="Times New Roman" w:hAnsi="Times New Roman" w:cs="Times New Roman"/>
          <w:sz w:val="24"/>
          <w:szCs w:val="24"/>
        </w:rPr>
        <w:t>odnawialnych źródeł energii, różniących się rodzajem ora</w:t>
      </w:r>
      <w:r w:rsidR="001D0628">
        <w:rPr>
          <w:rFonts w:ascii="Times New Roman" w:hAnsi="Times New Roman" w:cs="Times New Roman"/>
          <w:sz w:val="24"/>
          <w:szCs w:val="24"/>
        </w:rPr>
        <w:t>z </w:t>
      </w:r>
      <w:r w:rsidR="00117FBD" w:rsidRPr="00EF6F97">
        <w:rPr>
          <w:rFonts w:ascii="Times New Roman" w:hAnsi="Times New Roman" w:cs="Times New Roman"/>
          <w:sz w:val="24"/>
          <w:szCs w:val="24"/>
        </w:rPr>
        <w:t xml:space="preserve">charakterystyką dyspozycyjności wytwarzanej energii elektrycznej, oraz: </w:t>
      </w:r>
    </w:p>
    <w:p w14:paraId="36FE1E0C" w14:textId="77777777" w:rsidR="00117FBD" w:rsidRPr="00EF6F97" w:rsidRDefault="00117FBD" w:rsidP="00BD0EC5">
      <w:pPr>
        <w:spacing w:line="360" w:lineRule="auto"/>
        <w:ind w:left="709" w:hanging="283"/>
        <w:jc w:val="both"/>
        <w:rPr>
          <w:rFonts w:ascii="Times New Roman" w:hAnsi="Times New Roman" w:cs="Times New Roman"/>
          <w:sz w:val="24"/>
          <w:szCs w:val="24"/>
        </w:rPr>
      </w:pPr>
      <w:r w:rsidRPr="00EF6F97">
        <w:rPr>
          <w:rFonts w:ascii="Times New Roman" w:hAnsi="Times New Roman" w:cs="Times New Roman"/>
          <w:sz w:val="24"/>
          <w:szCs w:val="24"/>
        </w:rPr>
        <w:t xml:space="preserve">a) żadne </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urządzeń wytwórczych nie ma mocy zainstalowanej elektrycznej większej niż 80% łącznej mocy zainstalowanej elektrycznej tego zespołu, </w:t>
      </w:r>
    </w:p>
    <w:p w14:paraId="4DD3780B" w14:textId="77777777" w:rsidR="00117FBD" w:rsidRPr="00EF6F97" w:rsidRDefault="00117FBD" w:rsidP="00BD0EC5">
      <w:pPr>
        <w:spacing w:line="360" w:lineRule="auto"/>
        <w:ind w:left="709" w:hanging="283"/>
        <w:jc w:val="both"/>
        <w:rPr>
          <w:rFonts w:ascii="Times New Roman" w:hAnsi="Times New Roman" w:cs="Times New Roman"/>
          <w:sz w:val="24"/>
          <w:szCs w:val="24"/>
        </w:rPr>
      </w:pPr>
      <w:r w:rsidRPr="00EF6F97">
        <w:rPr>
          <w:rFonts w:ascii="Times New Roman" w:hAnsi="Times New Roman" w:cs="Times New Roman"/>
          <w:sz w:val="24"/>
          <w:szCs w:val="24"/>
        </w:rPr>
        <w:lastRenderedPageBreak/>
        <w:t xml:space="preserve">b) urządzenia wytwórcze wchodzące w skład tego zespołu mogą być wyposażone w jeden albo w kilka układów wyprowadzenia mocy, w ramach jednego albo kilku punktów przyłączenia, </w:t>
      </w:r>
    </w:p>
    <w:p w14:paraId="44B114FD" w14:textId="77777777" w:rsidR="00117FBD" w:rsidRPr="00EF6F97" w:rsidRDefault="00117FBD" w:rsidP="00BD0EC5">
      <w:pPr>
        <w:spacing w:line="360" w:lineRule="auto"/>
        <w:ind w:left="709" w:hanging="283"/>
        <w:jc w:val="both"/>
        <w:rPr>
          <w:rFonts w:ascii="Times New Roman" w:hAnsi="Times New Roman" w:cs="Times New Roman"/>
          <w:sz w:val="24"/>
          <w:szCs w:val="24"/>
        </w:rPr>
      </w:pPr>
      <w:r w:rsidRPr="00EF6F97">
        <w:rPr>
          <w:rFonts w:ascii="Times New Roman" w:hAnsi="Times New Roman" w:cs="Times New Roman"/>
          <w:sz w:val="24"/>
          <w:szCs w:val="24"/>
        </w:rPr>
        <w:t xml:space="preserve">c) łączny stopień wykorzystania mocy zainstalowanej elektrycznej tego zespołu jest większy niż 3504 MWh/MW/rok, </w:t>
      </w:r>
    </w:p>
    <w:p w14:paraId="587F0354" w14:textId="77777777" w:rsidR="00117FBD" w:rsidRPr="00EF6F97" w:rsidRDefault="00117FBD" w:rsidP="00BD0EC5">
      <w:pPr>
        <w:spacing w:line="360" w:lineRule="auto"/>
        <w:ind w:left="709" w:hanging="283"/>
        <w:jc w:val="both"/>
        <w:rPr>
          <w:rFonts w:ascii="Times New Roman" w:hAnsi="Times New Roman" w:cs="Times New Roman"/>
          <w:sz w:val="24"/>
          <w:szCs w:val="24"/>
        </w:rPr>
      </w:pPr>
      <w:r w:rsidRPr="00EF6F97">
        <w:rPr>
          <w:rFonts w:ascii="Times New Roman" w:hAnsi="Times New Roman" w:cs="Times New Roman"/>
          <w:sz w:val="24"/>
          <w:szCs w:val="24"/>
        </w:rPr>
        <w:t xml:space="preserve">d) zespół ten jest zlokalizowany na obszarze jednego powiatu albo nie więcej niż 5 gmin graniczących ze sobą </w:t>
      </w:r>
    </w:p>
    <w:p w14:paraId="1BAF8A0E" w14:textId="5943AC4F" w:rsidR="004E2823" w:rsidRPr="00EF6F97" w:rsidRDefault="00BD0EC5" w:rsidP="00BD0EC5">
      <w:pPr>
        <w:spacing w:line="360" w:lineRule="auto"/>
        <w:ind w:left="426"/>
        <w:jc w:val="both"/>
        <w:rPr>
          <w:rFonts w:ascii="Times New Roman" w:hAnsi="Times New Roman" w:cs="Times New Roman"/>
          <w:sz w:val="24"/>
          <w:szCs w:val="24"/>
        </w:rPr>
      </w:pPr>
      <w:r w:rsidRPr="00EF6F97">
        <w:rPr>
          <w:rFonts w:ascii="Times New Roman" w:hAnsi="Times New Roman" w:cs="Times New Roman"/>
          <w:sz w:val="24"/>
          <w:szCs w:val="24"/>
        </w:rPr>
        <w:t>–</w:t>
      </w:r>
      <w:r w:rsidR="00117FBD" w:rsidRPr="00EF6F97">
        <w:rPr>
          <w:rFonts w:ascii="Times New Roman" w:hAnsi="Times New Roman" w:cs="Times New Roman"/>
          <w:sz w:val="24"/>
          <w:szCs w:val="24"/>
        </w:rPr>
        <w:t xml:space="preserve"> przy czym taki zespół urządzeń wytwórczych może być wspomagany magazynem energii służącym do magazynowania energii wytworzonej </w:t>
      </w:r>
      <w:r w:rsidR="001D0628">
        <w:rPr>
          <w:rFonts w:ascii="Times New Roman" w:hAnsi="Times New Roman" w:cs="Times New Roman"/>
          <w:sz w:val="24"/>
          <w:szCs w:val="24"/>
        </w:rPr>
        <w:t>z </w:t>
      </w:r>
      <w:r w:rsidR="00117FBD" w:rsidRPr="00EF6F97">
        <w:rPr>
          <w:rFonts w:ascii="Times New Roman" w:hAnsi="Times New Roman" w:cs="Times New Roman"/>
          <w:sz w:val="24"/>
          <w:szCs w:val="24"/>
        </w:rPr>
        <w:t>tego zespołu</w:t>
      </w:r>
      <w:r w:rsidR="001D0628">
        <w:rPr>
          <w:rFonts w:ascii="Times New Roman" w:hAnsi="Times New Roman" w:cs="Times New Roman"/>
          <w:sz w:val="24"/>
          <w:szCs w:val="24"/>
        </w:rPr>
        <w:t xml:space="preserve"> i </w:t>
      </w:r>
      <w:r w:rsidR="00117FBD" w:rsidRPr="00EF6F97">
        <w:rPr>
          <w:rFonts w:ascii="Times New Roman" w:hAnsi="Times New Roman" w:cs="Times New Roman"/>
          <w:sz w:val="24"/>
          <w:szCs w:val="24"/>
        </w:rPr>
        <w:t xml:space="preserve">wówczas oddawana </w:t>
      </w:r>
      <w:r w:rsidR="001D0628">
        <w:rPr>
          <w:rFonts w:ascii="Times New Roman" w:hAnsi="Times New Roman" w:cs="Times New Roman"/>
          <w:sz w:val="24"/>
          <w:szCs w:val="24"/>
        </w:rPr>
        <w:t>z </w:t>
      </w:r>
      <w:r w:rsidR="00117FBD" w:rsidRPr="00EF6F97">
        <w:rPr>
          <w:rFonts w:ascii="Times New Roman" w:hAnsi="Times New Roman" w:cs="Times New Roman"/>
          <w:sz w:val="24"/>
          <w:szCs w:val="24"/>
        </w:rPr>
        <w:t xml:space="preserve">niego energia jest traktowana jako energia </w:t>
      </w:r>
      <w:r w:rsidR="001D0628">
        <w:rPr>
          <w:rFonts w:ascii="Times New Roman" w:hAnsi="Times New Roman" w:cs="Times New Roman"/>
          <w:sz w:val="24"/>
          <w:szCs w:val="24"/>
        </w:rPr>
        <w:t>z </w:t>
      </w:r>
      <w:r w:rsidR="00117FBD" w:rsidRPr="00EF6F97">
        <w:rPr>
          <w:rFonts w:ascii="Times New Roman" w:hAnsi="Times New Roman" w:cs="Times New Roman"/>
          <w:sz w:val="24"/>
          <w:szCs w:val="24"/>
        </w:rPr>
        <w:t>odnawialnego źródła energii</w:t>
      </w:r>
      <w:r w:rsidR="004E2823" w:rsidRPr="00EF6F97">
        <w:rPr>
          <w:rFonts w:ascii="Times New Roman" w:hAnsi="Times New Roman" w:cs="Times New Roman"/>
          <w:sz w:val="24"/>
          <w:szCs w:val="24"/>
        </w:rPr>
        <w:t>;</w:t>
      </w:r>
      <w:r w:rsidR="00173903" w:rsidRPr="00EF6F97">
        <w:rPr>
          <w:rFonts w:ascii="Times New Roman" w:hAnsi="Times New Roman" w:cs="Times New Roman"/>
          <w:sz w:val="24"/>
          <w:szCs w:val="24"/>
        </w:rPr>
        <w:t>”</w:t>
      </w:r>
    </w:p>
    <w:p w14:paraId="384FFB13" w14:textId="77777777" w:rsidR="004E2823" w:rsidRPr="00EF6F97" w:rsidRDefault="004E282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oraz</w:t>
      </w:r>
    </w:p>
    <w:p w14:paraId="6F5FE662" w14:textId="77777777" w:rsidR="00117FBD"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w:t>
      </w:r>
      <w:r w:rsidR="004E2823" w:rsidRPr="00EF6F97">
        <w:rPr>
          <w:rFonts w:ascii="Times New Roman" w:hAnsi="Times New Roman" w:cs="Times New Roman"/>
          <w:sz w:val="24"/>
          <w:szCs w:val="24"/>
        </w:rPr>
        <w:t>13) instalacja odnawialnego źródła energii –</w:t>
      </w:r>
      <w:r w:rsidR="00117FBD" w:rsidRPr="00EF6F97">
        <w:rPr>
          <w:rFonts w:ascii="Times New Roman" w:hAnsi="Times New Roman" w:cs="Times New Roman"/>
          <w:sz w:val="24"/>
          <w:szCs w:val="24"/>
        </w:rPr>
        <w:t xml:space="preserve"> instalację stanowiącą wyodrębniony zespół: </w:t>
      </w:r>
    </w:p>
    <w:p w14:paraId="4D163FAD" w14:textId="77777777" w:rsidR="00117FBD" w:rsidRPr="00EF6F97" w:rsidRDefault="00117FBD" w:rsidP="00BD0EC5">
      <w:pPr>
        <w:spacing w:line="360" w:lineRule="auto"/>
        <w:ind w:left="709" w:hanging="283"/>
        <w:jc w:val="both"/>
        <w:rPr>
          <w:rFonts w:ascii="Times New Roman" w:hAnsi="Times New Roman" w:cs="Times New Roman"/>
          <w:sz w:val="24"/>
          <w:szCs w:val="24"/>
        </w:rPr>
      </w:pPr>
      <w:r w:rsidRPr="00EF6F97">
        <w:rPr>
          <w:rFonts w:ascii="Times New Roman" w:hAnsi="Times New Roman" w:cs="Times New Roman"/>
          <w:sz w:val="24"/>
          <w:szCs w:val="24"/>
        </w:rPr>
        <w:t>a) urządzeń służących do wytwarzania energii opisanych prze</w:t>
      </w:r>
      <w:r w:rsidR="001D0628">
        <w:rPr>
          <w:rFonts w:ascii="Times New Roman" w:hAnsi="Times New Roman" w:cs="Times New Roman"/>
          <w:sz w:val="24"/>
          <w:szCs w:val="24"/>
        </w:rPr>
        <w:t>z </w:t>
      </w:r>
      <w:r w:rsidRPr="00EF6F97">
        <w:rPr>
          <w:rFonts w:ascii="Times New Roman" w:hAnsi="Times New Roman" w:cs="Times New Roman"/>
          <w:sz w:val="24"/>
          <w:szCs w:val="24"/>
        </w:rPr>
        <w:t>dane techniczne</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 xml:space="preserve">handlowe, w których energia jest wytwarzana </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odnawialnych źródeł energii, lub </w:t>
      </w:r>
    </w:p>
    <w:p w14:paraId="6995B646" w14:textId="77777777" w:rsidR="00117FBD" w:rsidRPr="00EF6F97" w:rsidRDefault="00117FBD" w:rsidP="00BD0EC5">
      <w:pPr>
        <w:spacing w:line="360" w:lineRule="auto"/>
        <w:ind w:left="709" w:hanging="283"/>
        <w:jc w:val="both"/>
        <w:rPr>
          <w:rFonts w:ascii="Times New Roman" w:hAnsi="Times New Roman" w:cs="Times New Roman"/>
          <w:sz w:val="24"/>
          <w:szCs w:val="24"/>
        </w:rPr>
      </w:pPr>
      <w:r w:rsidRPr="00EF6F97">
        <w:rPr>
          <w:rFonts w:ascii="Times New Roman" w:hAnsi="Times New Roman" w:cs="Times New Roman"/>
          <w:sz w:val="24"/>
          <w:szCs w:val="24"/>
        </w:rPr>
        <w:t>b) obiektów budowlanych</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 xml:space="preserve">urządzeń stanowiących całość techniczno-użytkową służący do wytwarzania biogazu rolniczego </w:t>
      </w:r>
    </w:p>
    <w:p w14:paraId="2F7E80E2" w14:textId="3B7C21AB" w:rsidR="00117FBD" w:rsidRPr="00EF6F97" w:rsidRDefault="00BD0EC5" w:rsidP="00723570">
      <w:pPr>
        <w:spacing w:line="360" w:lineRule="auto"/>
        <w:ind w:left="426"/>
        <w:jc w:val="both"/>
        <w:rPr>
          <w:rFonts w:ascii="Times New Roman" w:hAnsi="Times New Roman" w:cs="Times New Roman"/>
          <w:sz w:val="24"/>
          <w:szCs w:val="24"/>
        </w:rPr>
      </w:pPr>
      <w:r w:rsidRPr="00EF6F97">
        <w:rPr>
          <w:rFonts w:ascii="Times New Roman" w:hAnsi="Times New Roman" w:cs="Times New Roman"/>
          <w:sz w:val="24"/>
          <w:szCs w:val="24"/>
        </w:rPr>
        <w:t>–</w:t>
      </w:r>
      <w:r>
        <w:rPr>
          <w:rFonts w:ascii="Times New Roman" w:hAnsi="Times New Roman" w:cs="Times New Roman"/>
          <w:sz w:val="24"/>
          <w:szCs w:val="24"/>
        </w:rPr>
        <w:t xml:space="preserve"> </w:t>
      </w:r>
      <w:r w:rsidR="00117FBD" w:rsidRPr="00EF6F97">
        <w:rPr>
          <w:rFonts w:ascii="Times New Roman" w:hAnsi="Times New Roman" w:cs="Times New Roman"/>
          <w:sz w:val="24"/>
          <w:szCs w:val="24"/>
        </w:rPr>
        <w:t xml:space="preserve">a także połączony </w:t>
      </w:r>
      <w:r w:rsidR="001D0628">
        <w:rPr>
          <w:rFonts w:ascii="Times New Roman" w:hAnsi="Times New Roman" w:cs="Times New Roman"/>
          <w:sz w:val="24"/>
          <w:szCs w:val="24"/>
        </w:rPr>
        <w:t>z </w:t>
      </w:r>
      <w:r w:rsidR="00117FBD" w:rsidRPr="00EF6F97">
        <w:rPr>
          <w:rFonts w:ascii="Times New Roman" w:hAnsi="Times New Roman" w:cs="Times New Roman"/>
          <w:sz w:val="24"/>
          <w:szCs w:val="24"/>
        </w:rPr>
        <w:t>tym zespołem magazyn energii, w tym magazyn biogazu rolniczego;</w:t>
      </w:r>
      <w:r w:rsidR="00173903" w:rsidRPr="00EF6F97">
        <w:rPr>
          <w:rFonts w:ascii="Times New Roman" w:hAnsi="Times New Roman" w:cs="Times New Roman"/>
          <w:sz w:val="24"/>
          <w:szCs w:val="24"/>
        </w:rPr>
        <w:t>”</w:t>
      </w:r>
      <w:r w:rsidR="00892918">
        <w:rPr>
          <w:rFonts w:ascii="Times New Roman" w:hAnsi="Times New Roman" w:cs="Times New Roman"/>
          <w:sz w:val="24"/>
          <w:szCs w:val="24"/>
        </w:rPr>
        <w:t>.</w:t>
      </w:r>
    </w:p>
    <w:p w14:paraId="232335B2" w14:textId="787D7F9D" w:rsidR="004E2823"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4E2823" w:rsidRPr="00EF6F97">
        <w:rPr>
          <w:rFonts w:ascii="Times New Roman" w:hAnsi="Times New Roman" w:cs="Times New Roman"/>
          <w:sz w:val="24"/>
          <w:szCs w:val="24"/>
          <w:u w:val="single"/>
        </w:rPr>
        <w:t>W ustawie o rynku mocy</w:t>
      </w:r>
      <w:r w:rsidR="004E2823" w:rsidRPr="00EF6F97">
        <w:rPr>
          <w:rFonts w:ascii="Times New Roman" w:hAnsi="Times New Roman" w:cs="Times New Roman"/>
          <w:sz w:val="24"/>
          <w:szCs w:val="24"/>
        </w:rPr>
        <w:t xml:space="preserve"> znajdują się następujące definicje mające związek </w:t>
      </w:r>
      <w:r w:rsidR="001D0628">
        <w:rPr>
          <w:rFonts w:ascii="Times New Roman" w:hAnsi="Times New Roman" w:cs="Times New Roman"/>
          <w:sz w:val="24"/>
          <w:szCs w:val="24"/>
        </w:rPr>
        <w:t>z </w:t>
      </w:r>
      <w:r w:rsidR="004E2823" w:rsidRPr="00EF6F97">
        <w:rPr>
          <w:rFonts w:ascii="Times New Roman" w:hAnsi="Times New Roman" w:cs="Times New Roman"/>
          <w:sz w:val="24"/>
          <w:szCs w:val="24"/>
        </w:rPr>
        <w:t>magazynowaniem energii</w:t>
      </w:r>
      <w:r w:rsidR="001D0628">
        <w:rPr>
          <w:rFonts w:ascii="Times New Roman" w:hAnsi="Times New Roman" w:cs="Times New Roman"/>
          <w:sz w:val="24"/>
          <w:szCs w:val="24"/>
        </w:rPr>
        <w:t xml:space="preserve"> i </w:t>
      </w:r>
      <w:r w:rsidR="004E2823" w:rsidRPr="00EF6F97">
        <w:rPr>
          <w:rFonts w:ascii="Times New Roman" w:hAnsi="Times New Roman" w:cs="Times New Roman"/>
          <w:sz w:val="24"/>
          <w:szCs w:val="24"/>
        </w:rPr>
        <w:t>funkcjonowaniem magazynów energii elektrycznej</w:t>
      </w:r>
      <w:r w:rsidR="00723570">
        <w:rPr>
          <w:rFonts w:ascii="Times New Roman" w:hAnsi="Times New Roman" w:cs="Times New Roman"/>
          <w:sz w:val="24"/>
          <w:szCs w:val="24"/>
        </w:rPr>
        <w:t>:</w:t>
      </w:r>
    </w:p>
    <w:p w14:paraId="18CFAE1B" w14:textId="77777777" w:rsidR="004E2823" w:rsidRPr="00EF6F97" w:rsidRDefault="004E282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Art. 2 ust.1:</w:t>
      </w:r>
    </w:p>
    <w:p w14:paraId="7256FD60" w14:textId="6567165A" w:rsidR="004E2823" w:rsidRPr="00EF6F97" w:rsidRDefault="00173903" w:rsidP="00723570">
      <w:pPr>
        <w:spacing w:line="360" w:lineRule="auto"/>
        <w:ind w:left="284" w:hanging="284"/>
        <w:jc w:val="both"/>
        <w:rPr>
          <w:rFonts w:ascii="Times New Roman" w:hAnsi="Times New Roman" w:cs="Times New Roman"/>
          <w:sz w:val="24"/>
          <w:szCs w:val="24"/>
        </w:rPr>
      </w:pPr>
      <w:r w:rsidRPr="00EF6F97">
        <w:rPr>
          <w:rFonts w:ascii="Times New Roman" w:hAnsi="Times New Roman" w:cs="Times New Roman"/>
          <w:sz w:val="24"/>
          <w:szCs w:val="24"/>
        </w:rPr>
        <w:t>„</w:t>
      </w:r>
      <w:r w:rsidR="004E2823" w:rsidRPr="00EF6F97">
        <w:rPr>
          <w:rFonts w:ascii="Times New Roman" w:hAnsi="Times New Roman" w:cs="Times New Roman"/>
          <w:sz w:val="24"/>
          <w:szCs w:val="24"/>
        </w:rPr>
        <w:t xml:space="preserve">8) jednostka fizyczna wytwórcza – jednostkę fizyczną będącą jednostką wytwórczą, o której mowa w art. 3 pkt 43 ustawy </w:t>
      </w:r>
      <w:r w:rsidR="001D0628">
        <w:rPr>
          <w:rFonts w:ascii="Times New Roman" w:hAnsi="Times New Roman" w:cs="Times New Roman"/>
          <w:sz w:val="24"/>
          <w:szCs w:val="24"/>
        </w:rPr>
        <w:t>z </w:t>
      </w:r>
      <w:r w:rsidR="004E2823" w:rsidRPr="00EF6F97">
        <w:rPr>
          <w:rFonts w:ascii="Times New Roman" w:hAnsi="Times New Roman" w:cs="Times New Roman"/>
          <w:sz w:val="24"/>
          <w:szCs w:val="24"/>
        </w:rPr>
        <w:t>dnia 10 kwietnia 1997</w:t>
      </w:r>
      <w:r w:rsidR="001D0628">
        <w:rPr>
          <w:rFonts w:ascii="Times New Roman" w:hAnsi="Times New Roman" w:cs="Times New Roman"/>
          <w:sz w:val="24"/>
          <w:szCs w:val="24"/>
        </w:rPr>
        <w:t> r.</w:t>
      </w:r>
      <w:r w:rsidR="004E2823" w:rsidRPr="00EF6F97">
        <w:rPr>
          <w:rFonts w:ascii="Times New Roman" w:hAnsi="Times New Roman" w:cs="Times New Roman"/>
          <w:sz w:val="24"/>
          <w:szCs w:val="24"/>
        </w:rPr>
        <w:t xml:space="preserve"> – Prawo energetyczne, lub magazynem energii elektrycznej</w:t>
      </w:r>
      <w:r w:rsidRPr="00EF6F97">
        <w:rPr>
          <w:rFonts w:ascii="Times New Roman" w:hAnsi="Times New Roman" w:cs="Times New Roman"/>
          <w:sz w:val="24"/>
          <w:szCs w:val="24"/>
        </w:rPr>
        <w:t>;”</w:t>
      </w:r>
    </w:p>
    <w:p w14:paraId="0E43353A" w14:textId="77777777" w:rsidR="004E2823" w:rsidRPr="00EF6F97" w:rsidRDefault="004E282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oraz</w:t>
      </w:r>
    </w:p>
    <w:p w14:paraId="435DB488" w14:textId="6D7C476C" w:rsidR="004E2823" w:rsidRPr="00EF6F97" w:rsidRDefault="00173903" w:rsidP="00723570">
      <w:pPr>
        <w:spacing w:line="360" w:lineRule="auto"/>
        <w:ind w:left="426" w:hanging="426"/>
        <w:jc w:val="both"/>
        <w:rPr>
          <w:rFonts w:ascii="Times New Roman" w:hAnsi="Times New Roman" w:cs="Times New Roman"/>
          <w:sz w:val="24"/>
          <w:szCs w:val="24"/>
        </w:rPr>
      </w:pPr>
      <w:r w:rsidRPr="00EF6F97">
        <w:rPr>
          <w:rFonts w:ascii="Times New Roman" w:hAnsi="Times New Roman" w:cs="Times New Roman"/>
          <w:sz w:val="24"/>
          <w:szCs w:val="24"/>
        </w:rPr>
        <w:t>„</w:t>
      </w:r>
      <w:r w:rsidR="004E2823" w:rsidRPr="00EF6F97">
        <w:rPr>
          <w:rFonts w:ascii="Times New Roman" w:hAnsi="Times New Roman" w:cs="Times New Roman"/>
          <w:sz w:val="24"/>
          <w:szCs w:val="24"/>
        </w:rPr>
        <w:t>18)</w:t>
      </w:r>
      <w:r w:rsidR="00892918">
        <w:rPr>
          <w:rFonts w:ascii="Times New Roman" w:hAnsi="Times New Roman" w:cs="Times New Roman"/>
          <w:sz w:val="24"/>
          <w:szCs w:val="24"/>
        </w:rPr>
        <w:t xml:space="preserve"> </w:t>
      </w:r>
      <w:r w:rsidR="004E2823" w:rsidRPr="00EF6F97">
        <w:rPr>
          <w:rFonts w:ascii="Times New Roman" w:hAnsi="Times New Roman" w:cs="Times New Roman"/>
          <w:sz w:val="24"/>
          <w:szCs w:val="24"/>
        </w:rPr>
        <w:t xml:space="preserve">magazyn energii elektrycznej – magazyn energii, o którym mowa w art. 2 pkt 17 ustawy </w:t>
      </w:r>
      <w:r w:rsidR="001D0628">
        <w:rPr>
          <w:rFonts w:ascii="Times New Roman" w:hAnsi="Times New Roman" w:cs="Times New Roman"/>
          <w:sz w:val="24"/>
          <w:szCs w:val="24"/>
        </w:rPr>
        <w:t>z </w:t>
      </w:r>
      <w:r w:rsidR="004E2823" w:rsidRPr="00EF6F97">
        <w:rPr>
          <w:rFonts w:ascii="Times New Roman" w:hAnsi="Times New Roman" w:cs="Times New Roman"/>
          <w:sz w:val="24"/>
          <w:szCs w:val="24"/>
        </w:rPr>
        <w:t>dnia 20 lutego 2015</w:t>
      </w:r>
      <w:r w:rsidR="001D0628">
        <w:rPr>
          <w:rFonts w:ascii="Times New Roman" w:hAnsi="Times New Roman" w:cs="Times New Roman"/>
          <w:sz w:val="24"/>
          <w:szCs w:val="24"/>
        </w:rPr>
        <w:t> r.</w:t>
      </w:r>
      <w:r w:rsidR="004E2823" w:rsidRPr="00EF6F97">
        <w:rPr>
          <w:rFonts w:ascii="Times New Roman" w:hAnsi="Times New Roman" w:cs="Times New Roman"/>
          <w:sz w:val="24"/>
          <w:szCs w:val="24"/>
        </w:rPr>
        <w:t xml:space="preserve"> o odnawialnych źródłach energii (Dz. U. </w:t>
      </w:r>
      <w:r w:rsidR="001D0628">
        <w:rPr>
          <w:rFonts w:ascii="Times New Roman" w:hAnsi="Times New Roman" w:cs="Times New Roman"/>
          <w:sz w:val="24"/>
          <w:szCs w:val="24"/>
        </w:rPr>
        <w:t>z </w:t>
      </w:r>
      <w:r w:rsidR="004E2823" w:rsidRPr="00EF6F97">
        <w:rPr>
          <w:rFonts w:ascii="Times New Roman" w:hAnsi="Times New Roman" w:cs="Times New Roman"/>
          <w:sz w:val="24"/>
          <w:szCs w:val="24"/>
        </w:rPr>
        <w:t>2017</w:t>
      </w:r>
      <w:r w:rsidR="001D0628">
        <w:rPr>
          <w:rFonts w:ascii="Times New Roman" w:hAnsi="Times New Roman" w:cs="Times New Roman"/>
          <w:sz w:val="24"/>
          <w:szCs w:val="24"/>
        </w:rPr>
        <w:t> r.</w:t>
      </w:r>
      <w:r w:rsidR="004E2823" w:rsidRPr="00EF6F97">
        <w:rPr>
          <w:rFonts w:ascii="Times New Roman" w:hAnsi="Times New Roman" w:cs="Times New Roman"/>
          <w:sz w:val="24"/>
          <w:szCs w:val="24"/>
        </w:rPr>
        <w:t xml:space="preserve"> poz. 1148, 1213</w:t>
      </w:r>
      <w:r w:rsidR="001D0628">
        <w:rPr>
          <w:rFonts w:ascii="Times New Roman" w:hAnsi="Times New Roman" w:cs="Times New Roman"/>
          <w:sz w:val="24"/>
          <w:szCs w:val="24"/>
        </w:rPr>
        <w:t xml:space="preserve"> i </w:t>
      </w:r>
      <w:r w:rsidR="004E2823" w:rsidRPr="00EF6F97">
        <w:rPr>
          <w:rFonts w:ascii="Times New Roman" w:hAnsi="Times New Roman" w:cs="Times New Roman"/>
          <w:sz w:val="24"/>
          <w:szCs w:val="24"/>
        </w:rPr>
        <w:t>1593), posiadający zdolność do dostawy mocy elektrycznej do systemu;</w:t>
      </w:r>
      <w:r w:rsidRPr="00EF6F97">
        <w:rPr>
          <w:rFonts w:ascii="Times New Roman" w:hAnsi="Times New Roman" w:cs="Times New Roman"/>
          <w:sz w:val="24"/>
          <w:szCs w:val="24"/>
        </w:rPr>
        <w:t>”</w:t>
      </w:r>
      <w:r w:rsidR="002E3596">
        <w:rPr>
          <w:rFonts w:ascii="Times New Roman" w:hAnsi="Times New Roman" w:cs="Times New Roman"/>
          <w:sz w:val="24"/>
          <w:szCs w:val="24"/>
        </w:rPr>
        <w:t>.</w:t>
      </w:r>
    </w:p>
    <w:p w14:paraId="7CE3A3AA" w14:textId="29A8446D" w:rsidR="004E2823" w:rsidRPr="00EF6F97" w:rsidRDefault="004E2823" w:rsidP="00EF6F97">
      <w:pPr>
        <w:spacing w:line="360" w:lineRule="auto"/>
        <w:jc w:val="both"/>
        <w:rPr>
          <w:rFonts w:ascii="Times New Roman" w:hAnsi="Times New Roman" w:cs="Times New Roman"/>
          <w:sz w:val="24"/>
          <w:szCs w:val="24"/>
          <w:u w:val="single"/>
        </w:rPr>
      </w:pPr>
      <w:r w:rsidRPr="00EF6F97">
        <w:rPr>
          <w:rFonts w:ascii="Times New Roman" w:hAnsi="Times New Roman" w:cs="Times New Roman"/>
          <w:sz w:val="24"/>
          <w:szCs w:val="24"/>
          <w:u w:val="single"/>
        </w:rPr>
        <w:t>W zakresie pozostałych przepisów</w:t>
      </w:r>
      <w:r w:rsidR="00723570">
        <w:rPr>
          <w:rFonts w:ascii="Times New Roman" w:hAnsi="Times New Roman" w:cs="Times New Roman"/>
          <w:sz w:val="24"/>
          <w:szCs w:val="24"/>
          <w:u w:val="single"/>
        </w:rPr>
        <w:t>:</w:t>
      </w:r>
      <w:r w:rsidRPr="00EF6F97">
        <w:rPr>
          <w:rFonts w:ascii="Times New Roman" w:hAnsi="Times New Roman" w:cs="Times New Roman"/>
          <w:sz w:val="24"/>
          <w:szCs w:val="24"/>
          <w:u w:val="single"/>
        </w:rPr>
        <w:t xml:space="preserve"> </w:t>
      </w:r>
    </w:p>
    <w:p w14:paraId="440A9DEE" w14:textId="14364412" w:rsidR="004E2823"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4E2823" w:rsidRPr="00EF6F97">
        <w:rPr>
          <w:rFonts w:ascii="Times New Roman" w:hAnsi="Times New Roman" w:cs="Times New Roman"/>
          <w:sz w:val="24"/>
          <w:szCs w:val="24"/>
        </w:rPr>
        <w:t xml:space="preserve">Ponadto w ustawie o rynku mocy występują następujące przepisy odwołujące się do magazynów energii elektrycznej: </w:t>
      </w:r>
    </w:p>
    <w:p w14:paraId="66597FF6" w14:textId="77777777" w:rsidR="004E2823" w:rsidRPr="00EF6F97" w:rsidRDefault="004E2823" w:rsidP="009C6DA3">
      <w:pPr>
        <w:spacing w:line="360" w:lineRule="auto"/>
        <w:ind w:firstLine="426"/>
        <w:jc w:val="both"/>
        <w:rPr>
          <w:rFonts w:ascii="Times New Roman" w:hAnsi="Times New Roman" w:cs="Times New Roman"/>
          <w:sz w:val="24"/>
          <w:szCs w:val="24"/>
        </w:rPr>
      </w:pPr>
      <w:r w:rsidRPr="00EF6F97">
        <w:rPr>
          <w:rFonts w:ascii="Times New Roman" w:hAnsi="Times New Roman" w:cs="Times New Roman"/>
          <w:sz w:val="24"/>
          <w:szCs w:val="24"/>
        </w:rPr>
        <w:t>„Art. 14. 1. Operator, w terminie 14 dni od zakończenia certyfikacji ogólnej, przedkłada Prezesowi URE ora</w:t>
      </w:r>
      <w:r w:rsidR="001D0628">
        <w:rPr>
          <w:rFonts w:ascii="Times New Roman" w:hAnsi="Times New Roman" w:cs="Times New Roman"/>
          <w:sz w:val="24"/>
          <w:szCs w:val="24"/>
        </w:rPr>
        <w:t>z </w:t>
      </w:r>
      <w:r w:rsidRPr="00EF6F97">
        <w:rPr>
          <w:rFonts w:ascii="Times New Roman" w:hAnsi="Times New Roman" w:cs="Times New Roman"/>
          <w:sz w:val="24"/>
          <w:szCs w:val="24"/>
        </w:rPr>
        <w:t>ministrowi właściwemu do spraw energii informację o przebiegu tej certyfikacji. Informacja ta zawiera w szczególności:</w:t>
      </w:r>
    </w:p>
    <w:p w14:paraId="128EEBAB" w14:textId="77777777" w:rsidR="004E2823" w:rsidRPr="00EF6F97" w:rsidRDefault="004E2823" w:rsidP="009C6DA3">
      <w:pPr>
        <w:spacing w:line="360" w:lineRule="auto"/>
        <w:ind w:left="284" w:hanging="284"/>
        <w:jc w:val="both"/>
        <w:rPr>
          <w:rFonts w:ascii="Times New Roman" w:hAnsi="Times New Roman" w:cs="Times New Roman"/>
          <w:sz w:val="24"/>
          <w:szCs w:val="24"/>
        </w:rPr>
      </w:pPr>
      <w:r w:rsidRPr="00EF6F97">
        <w:rPr>
          <w:rFonts w:ascii="Times New Roman" w:hAnsi="Times New Roman" w:cs="Times New Roman"/>
          <w:sz w:val="24"/>
          <w:szCs w:val="24"/>
        </w:rPr>
        <w:lastRenderedPageBreak/>
        <w:t>1)</w:t>
      </w:r>
      <w:r w:rsidR="00173903" w:rsidRPr="00EF6F97">
        <w:rPr>
          <w:rFonts w:ascii="Times New Roman" w:hAnsi="Times New Roman" w:cs="Times New Roman"/>
          <w:sz w:val="24"/>
          <w:szCs w:val="24"/>
        </w:rPr>
        <w:t> </w:t>
      </w:r>
      <w:r w:rsidRPr="00EF6F97">
        <w:rPr>
          <w:rFonts w:ascii="Times New Roman" w:hAnsi="Times New Roman" w:cs="Times New Roman"/>
          <w:sz w:val="24"/>
          <w:szCs w:val="24"/>
        </w:rPr>
        <w:t>sumę mocy osiągalnej netto wszystkich jednostek fizycznych zgłoszonych do certyfikacji ogólnej w podziale na: jednostki fizyczne wytwórcze planowane</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istniejące, jednostki fizyczne redukcji zapotrzebowania, jednostki redukcji zapotrzebowania planowane, jednostki fizyczne wytwórcze będące magazynem energii elektrycznej ora</w:t>
      </w:r>
      <w:r w:rsidR="001D0628">
        <w:rPr>
          <w:rFonts w:ascii="Times New Roman" w:hAnsi="Times New Roman" w:cs="Times New Roman"/>
          <w:sz w:val="24"/>
          <w:szCs w:val="24"/>
        </w:rPr>
        <w:t>z </w:t>
      </w:r>
      <w:r w:rsidRPr="00EF6F97">
        <w:rPr>
          <w:rFonts w:ascii="Times New Roman" w:hAnsi="Times New Roman" w:cs="Times New Roman"/>
          <w:sz w:val="24"/>
          <w:szCs w:val="24"/>
        </w:rPr>
        <w:t>jednostki fizyczne zagraniczne; (…)”</w:t>
      </w:r>
      <w:r w:rsidR="00173903" w:rsidRPr="00EF6F97">
        <w:rPr>
          <w:rFonts w:ascii="Times New Roman" w:hAnsi="Times New Roman" w:cs="Times New Roman"/>
          <w:sz w:val="24"/>
          <w:szCs w:val="24"/>
        </w:rPr>
        <w:t>.</w:t>
      </w:r>
    </w:p>
    <w:p w14:paraId="0FF3B6CC" w14:textId="74CD6D21" w:rsidR="004E2823" w:rsidRPr="00EF6F97" w:rsidRDefault="004E282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Art. 20: </w:t>
      </w:r>
    </w:p>
    <w:p w14:paraId="13B86204" w14:textId="109982D3" w:rsidR="004E2823" w:rsidRPr="00EF6F97" w:rsidRDefault="009C6DA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w:t>
      </w:r>
      <w:r w:rsidR="006445BE">
        <w:rPr>
          <w:rFonts w:ascii="Times New Roman" w:hAnsi="Times New Roman" w:cs="Times New Roman"/>
          <w:sz w:val="24"/>
          <w:szCs w:val="24"/>
        </w:rPr>
        <w:t xml:space="preserve"> </w:t>
      </w:r>
      <w:r w:rsidR="004E2823" w:rsidRPr="00EF6F97">
        <w:rPr>
          <w:rFonts w:ascii="Times New Roman" w:hAnsi="Times New Roman" w:cs="Times New Roman"/>
          <w:sz w:val="24"/>
          <w:szCs w:val="24"/>
        </w:rPr>
        <w:t xml:space="preserve">ust. 1. </w:t>
      </w:r>
      <w:r w:rsidR="002E3596">
        <w:rPr>
          <w:rFonts w:ascii="Times New Roman" w:hAnsi="Times New Roman" w:cs="Times New Roman"/>
          <w:sz w:val="24"/>
          <w:szCs w:val="24"/>
        </w:rPr>
        <w:t>„</w:t>
      </w:r>
      <w:r w:rsidR="004E2823" w:rsidRPr="00EF6F97">
        <w:rPr>
          <w:rFonts w:ascii="Times New Roman" w:hAnsi="Times New Roman" w:cs="Times New Roman"/>
          <w:sz w:val="24"/>
          <w:szCs w:val="24"/>
        </w:rPr>
        <w:t>Wniosek o certyfikację jednostki rynku mocy redukcji zapotrzebowania zawiera informacje, o których mowa w art. 19 ust. 1, odpowiednio dla jednostki rynku mocy redukcji zapotrzebowania, w tym o zasobach lub układach umożliwiających redukcję zapotrzebowania obejmujące informacje dotyczące źródeł wytwarzania lub magazynów energii elektrycznej, jeżeli wchodzą w skład tej jednostki rynku mocy redukcji zapotrzebowania.”</w:t>
      </w:r>
      <w:r w:rsidR="00892918">
        <w:rPr>
          <w:rFonts w:ascii="Times New Roman" w:hAnsi="Times New Roman" w:cs="Times New Roman"/>
          <w:sz w:val="24"/>
          <w:szCs w:val="24"/>
        </w:rPr>
        <w:t>,</w:t>
      </w:r>
    </w:p>
    <w:p w14:paraId="2394E5E2" w14:textId="17B18887" w:rsidR="004E2823" w:rsidRPr="00EF6F97" w:rsidRDefault="009C6DA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w:t>
      </w:r>
      <w:r w:rsidR="006445BE">
        <w:rPr>
          <w:rFonts w:ascii="Times New Roman" w:hAnsi="Times New Roman" w:cs="Times New Roman"/>
          <w:sz w:val="24"/>
          <w:szCs w:val="24"/>
        </w:rPr>
        <w:t xml:space="preserve"> </w:t>
      </w:r>
      <w:r w:rsidR="004E2823" w:rsidRPr="00EF6F97">
        <w:rPr>
          <w:rFonts w:ascii="Times New Roman" w:hAnsi="Times New Roman" w:cs="Times New Roman"/>
          <w:sz w:val="24"/>
          <w:szCs w:val="24"/>
        </w:rPr>
        <w:t xml:space="preserve">ust. 5. </w:t>
      </w:r>
      <w:r w:rsidR="002E3596">
        <w:rPr>
          <w:rFonts w:ascii="Times New Roman" w:hAnsi="Times New Roman" w:cs="Times New Roman"/>
          <w:sz w:val="24"/>
          <w:szCs w:val="24"/>
        </w:rPr>
        <w:t>„</w:t>
      </w:r>
      <w:r w:rsidR="004E2823" w:rsidRPr="00EF6F97">
        <w:rPr>
          <w:rFonts w:ascii="Times New Roman" w:hAnsi="Times New Roman" w:cs="Times New Roman"/>
          <w:sz w:val="24"/>
          <w:szCs w:val="24"/>
        </w:rPr>
        <w:t xml:space="preserve">Wniosek o certyfikację jednostki rynku mocy redukcji zapotrzebowania składającej się </w:t>
      </w:r>
      <w:r w:rsidR="001D0628">
        <w:rPr>
          <w:rFonts w:ascii="Times New Roman" w:hAnsi="Times New Roman" w:cs="Times New Roman"/>
          <w:sz w:val="24"/>
          <w:szCs w:val="24"/>
        </w:rPr>
        <w:t>z </w:t>
      </w:r>
      <w:r w:rsidR="004E2823" w:rsidRPr="00EF6F97">
        <w:rPr>
          <w:rFonts w:ascii="Times New Roman" w:hAnsi="Times New Roman" w:cs="Times New Roman"/>
          <w:sz w:val="24"/>
          <w:szCs w:val="24"/>
        </w:rPr>
        <w:t>jednostki fizycznej zagranicznej redukcji zapotrzebowania zawiera informacje, o których mowa w art. 19 ust. 4, odpowiednio dla jednostki rynku mocy redukcji zapotrzebowania, w tym o zasobach lub układach umożliwiających redukcję zapotrzebowania obejmujące informacje dotyczące źródeł wytwarzania lub magazynów energii elektrycznej, jeżeli wchodzą w skład tej jednostki rynku mocy redukcji zapotrzebowania.”</w:t>
      </w:r>
      <w:r w:rsidR="006445BE">
        <w:rPr>
          <w:rFonts w:ascii="Times New Roman" w:hAnsi="Times New Roman" w:cs="Times New Roman"/>
          <w:sz w:val="24"/>
          <w:szCs w:val="24"/>
        </w:rPr>
        <w:t>.</w:t>
      </w:r>
    </w:p>
    <w:p w14:paraId="2243CBF2" w14:textId="05C88301" w:rsidR="004E2823" w:rsidRPr="00EF6F97" w:rsidRDefault="004E282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Art. 27. </w:t>
      </w:r>
      <w:r w:rsidR="002E3596">
        <w:rPr>
          <w:rFonts w:ascii="Times New Roman" w:hAnsi="Times New Roman" w:cs="Times New Roman"/>
          <w:sz w:val="24"/>
          <w:szCs w:val="24"/>
        </w:rPr>
        <w:t>„</w:t>
      </w:r>
      <w:r w:rsidRPr="00EF6F97">
        <w:rPr>
          <w:rFonts w:ascii="Times New Roman" w:hAnsi="Times New Roman" w:cs="Times New Roman"/>
          <w:sz w:val="24"/>
          <w:szCs w:val="24"/>
        </w:rPr>
        <w:t>Operator, w terminie 10 dni od zakończenia certyfikacji do aukcji głównej, przedkłada Prezesowi URE ora</w:t>
      </w:r>
      <w:r w:rsidR="001D0628">
        <w:rPr>
          <w:rFonts w:ascii="Times New Roman" w:hAnsi="Times New Roman" w:cs="Times New Roman"/>
          <w:sz w:val="24"/>
          <w:szCs w:val="24"/>
        </w:rPr>
        <w:t>z </w:t>
      </w:r>
      <w:r w:rsidRPr="00EF6F97">
        <w:rPr>
          <w:rFonts w:ascii="Times New Roman" w:hAnsi="Times New Roman" w:cs="Times New Roman"/>
          <w:sz w:val="24"/>
          <w:szCs w:val="24"/>
        </w:rPr>
        <w:t>ministrowi właściwemu do spraw energii informację o przebiegu tej certyfikacji. Informacja ta zawiera w szczególności:</w:t>
      </w:r>
    </w:p>
    <w:p w14:paraId="1DF3C946" w14:textId="70472D65" w:rsidR="004E2823" w:rsidRPr="00EF6F97" w:rsidRDefault="004E2823" w:rsidP="00480453">
      <w:pPr>
        <w:spacing w:line="360" w:lineRule="auto"/>
        <w:ind w:left="284" w:hanging="284"/>
        <w:jc w:val="both"/>
        <w:rPr>
          <w:rFonts w:ascii="Times New Roman" w:hAnsi="Times New Roman" w:cs="Times New Roman"/>
          <w:sz w:val="24"/>
          <w:szCs w:val="24"/>
        </w:rPr>
      </w:pPr>
      <w:r w:rsidRPr="00EF6F97">
        <w:rPr>
          <w:rFonts w:ascii="Times New Roman" w:hAnsi="Times New Roman" w:cs="Times New Roman"/>
          <w:sz w:val="24"/>
          <w:szCs w:val="24"/>
        </w:rPr>
        <w:t>1)</w:t>
      </w:r>
      <w:r w:rsidR="002E3596">
        <w:rPr>
          <w:rFonts w:ascii="Times New Roman" w:hAnsi="Times New Roman" w:cs="Times New Roman"/>
          <w:sz w:val="24"/>
          <w:szCs w:val="24"/>
        </w:rPr>
        <w:t xml:space="preserve"> </w:t>
      </w:r>
      <w:r w:rsidRPr="00EF6F97">
        <w:rPr>
          <w:rFonts w:ascii="Times New Roman" w:hAnsi="Times New Roman" w:cs="Times New Roman"/>
          <w:sz w:val="24"/>
          <w:szCs w:val="24"/>
        </w:rPr>
        <w:t>liczbę utworzonych jednostek rynku mocy ora</w:t>
      </w:r>
      <w:r w:rsidR="001D0628">
        <w:rPr>
          <w:rFonts w:ascii="Times New Roman" w:hAnsi="Times New Roman" w:cs="Times New Roman"/>
          <w:sz w:val="24"/>
          <w:szCs w:val="24"/>
        </w:rPr>
        <w:t>z </w:t>
      </w:r>
      <w:r w:rsidRPr="00EF6F97">
        <w:rPr>
          <w:rFonts w:ascii="Times New Roman" w:hAnsi="Times New Roman" w:cs="Times New Roman"/>
          <w:sz w:val="24"/>
          <w:szCs w:val="24"/>
        </w:rPr>
        <w:t>sumę iloczynów ich mocy osiągalnej netto</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korekcyjnych współczynników dyspozycyjności, w podziale na: jednostki rynku mocy wytwórcze istniejące, modernizowane</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 xml:space="preserve">nowe, jednostki rynku mocy redukcji zapotrzebowania, jednostki rynku mocy wytwórcze będące magazynem energii elektrycznej, jednostki rynku mocy składające się </w:t>
      </w:r>
      <w:r w:rsidR="001D0628">
        <w:rPr>
          <w:rFonts w:ascii="Times New Roman" w:hAnsi="Times New Roman" w:cs="Times New Roman"/>
          <w:sz w:val="24"/>
          <w:szCs w:val="24"/>
        </w:rPr>
        <w:t>z </w:t>
      </w:r>
      <w:r w:rsidRPr="00EF6F97">
        <w:rPr>
          <w:rFonts w:ascii="Times New Roman" w:hAnsi="Times New Roman" w:cs="Times New Roman"/>
          <w:sz w:val="24"/>
          <w:szCs w:val="24"/>
        </w:rPr>
        <w:t>jednostek fizycznych zagranicznych ora</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jednostki rynku mocy składające się </w:t>
      </w:r>
      <w:r w:rsidR="001D0628">
        <w:rPr>
          <w:rFonts w:ascii="Times New Roman" w:hAnsi="Times New Roman" w:cs="Times New Roman"/>
          <w:sz w:val="24"/>
          <w:szCs w:val="24"/>
        </w:rPr>
        <w:t>z </w:t>
      </w:r>
      <w:r w:rsidRPr="00EF6F97">
        <w:rPr>
          <w:rFonts w:ascii="Times New Roman" w:hAnsi="Times New Roman" w:cs="Times New Roman"/>
          <w:sz w:val="24"/>
          <w:szCs w:val="24"/>
        </w:rPr>
        <w:t>jednostek fizycznych połączenia międzysystemowego;</w:t>
      </w:r>
      <w:r w:rsidR="002E3596">
        <w:rPr>
          <w:rFonts w:ascii="Times New Roman" w:hAnsi="Times New Roman" w:cs="Times New Roman"/>
          <w:sz w:val="24"/>
          <w:szCs w:val="24"/>
        </w:rPr>
        <w:t>”.</w:t>
      </w:r>
    </w:p>
    <w:p w14:paraId="2C7D4B69" w14:textId="098B4A92" w:rsidR="00634DCE"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4E2823" w:rsidRPr="00EF6F97">
        <w:rPr>
          <w:rFonts w:ascii="Times New Roman" w:hAnsi="Times New Roman" w:cs="Times New Roman"/>
          <w:sz w:val="24"/>
          <w:szCs w:val="24"/>
        </w:rPr>
        <w:t>Ponadto w dokumencie pn. „Podręcznik Użytkownika Portalu Uczestnika Rynku Mocy” użytkownik będzie musiał określić parametry magazynu energii, tj. pojemność magazynu (</w:t>
      </w:r>
      <w:r w:rsidR="006445BE">
        <w:rPr>
          <w:rFonts w:ascii="Times New Roman" w:hAnsi="Times New Roman" w:cs="Times New Roman"/>
          <w:sz w:val="24"/>
          <w:szCs w:val="24"/>
        </w:rPr>
        <w:t xml:space="preserve">w </w:t>
      </w:r>
      <w:r w:rsidR="004E2823" w:rsidRPr="00EF6F97">
        <w:rPr>
          <w:rFonts w:ascii="Times New Roman" w:hAnsi="Times New Roman" w:cs="Times New Roman"/>
          <w:sz w:val="24"/>
          <w:szCs w:val="24"/>
        </w:rPr>
        <w:t>MWh), sprawność cyklu jednokrotnego ładowania (</w:t>
      </w:r>
      <w:r w:rsidR="006445BE">
        <w:rPr>
          <w:rFonts w:ascii="Times New Roman" w:hAnsi="Times New Roman" w:cs="Times New Roman"/>
          <w:sz w:val="24"/>
          <w:szCs w:val="24"/>
        </w:rPr>
        <w:t xml:space="preserve">w </w:t>
      </w:r>
      <w:r w:rsidR="004E2823" w:rsidRPr="00EF6F97">
        <w:rPr>
          <w:rFonts w:ascii="Times New Roman" w:hAnsi="Times New Roman" w:cs="Times New Roman"/>
          <w:sz w:val="24"/>
          <w:szCs w:val="24"/>
        </w:rPr>
        <w:t>%), maksymalną moc ładowania (</w:t>
      </w:r>
      <w:r w:rsidR="006445BE">
        <w:rPr>
          <w:rFonts w:ascii="Times New Roman" w:hAnsi="Times New Roman" w:cs="Times New Roman"/>
          <w:sz w:val="24"/>
          <w:szCs w:val="24"/>
        </w:rPr>
        <w:t xml:space="preserve">w </w:t>
      </w:r>
      <w:r w:rsidR="004E2823" w:rsidRPr="00EF6F97">
        <w:rPr>
          <w:rFonts w:ascii="Times New Roman" w:hAnsi="Times New Roman" w:cs="Times New Roman"/>
          <w:sz w:val="24"/>
          <w:szCs w:val="24"/>
        </w:rPr>
        <w:t>MW), maksymalną moc rozładowania (</w:t>
      </w:r>
      <w:r w:rsidR="006445BE">
        <w:rPr>
          <w:rFonts w:ascii="Times New Roman" w:hAnsi="Times New Roman" w:cs="Times New Roman"/>
          <w:sz w:val="24"/>
          <w:szCs w:val="24"/>
        </w:rPr>
        <w:t xml:space="preserve">w </w:t>
      </w:r>
      <w:r w:rsidR="004E2823" w:rsidRPr="00EF6F97">
        <w:rPr>
          <w:rFonts w:ascii="Times New Roman" w:hAnsi="Times New Roman" w:cs="Times New Roman"/>
          <w:sz w:val="24"/>
          <w:szCs w:val="24"/>
        </w:rPr>
        <w:t>MW).</w:t>
      </w:r>
    </w:p>
    <w:p w14:paraId="5DC2D1D6" w14:textId="77777777" w:rsidR="001970B8" w:rsidRPr="00EF6F97" w:rsidRDefault="001970B8" w:rsidP="00EF6F97">
      <w:pPr>
        <w:spacing w:line="360" w:lineRule="auto"/>
        <w:jc w:val="both"/>
        <w:rPr>
          <w:rFonts w:ascii="Times New Roman" w:hAnsi="Times New Roman" w:cs="Times New Roman"/>
          <w:b/>
          <w:sz w:val="24"/>
          <w:szCs w:val="24"/>
        </w:rPr>
      </w:pPr>
    </w:p>
    <w:p w14:paraId="15F8DEA7" w14:textId="77777777" w:rsidR="00364AF5" w:rsidRPr="00EF6F97" w:rsidRDefault="00364AF5" w:rsidP="00EF6F97">
      <w:pPr>
        <w:spacing w:line="360" w:lineRule="auto"/>
        <w:jc w:val="both"/>
        <w:rPr>
          <w:rFonts w:ascii="Times New Roman" w:hAnsi="Times New Roman" w:cs="Times New Roman"/>
          <w:b/>
          <w:sz w:val="24"/>
          <w:szCs w:val="24"/>
        </w:rPr>
      </w:pPr>
      <w:r w:rsidRPr="00EF6F97">
        <w:rPr>
          <w:rFonts w:ascii="Times New Roman" w:hAnsi="Times New Roman" w:cs="Times New Roman"/>
          <w:b/>
          <w:sz w:val="24"/>
          <w:szCs w:val="24"/>
        </w:rPr>
        <w:t>Proponowane rozwiązania</w:t>
      </w:r>
    </w:p>
    <w:p w14:paraId="07827354" w14:textId="00DE1333" w:rsidR="004E2823"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364AF5" w:rsidRPr="00EF6F97">
        <w:rPr>
          <w:rFonts w:ascii="Times New Roman" w:hAnsi="Times New Roman" w:cs="Times New Roman"/>
          <w:sz w:val="24"/>
          <w:szCs w:val="24"/>
        </w:rPr>
        <w:t xml:space="preserve">W projekcie ustawy proponuje się wprowadzenie do ustawy </w:t>
      </w:r>
      <w:r w:rsidR="00480453">
        <w:rPr>
          <w:rFonts w:ascii="Times New Roman" w:hAnsi="Times New Roman" w:cs="Times New Roman"/>
          <w:sz w:val="24"/>
          <w:szCs w:val="24"/>
        </w:rPr>
        <w:t>–</w:t>
      </w:r>
      <w:r w:rsidR="00364AF5" w:rsidRPr="00EF6F97">
        <w:rPr>
          <w:rFonts w:ascii="Times New Roman" w:hAnsi="Times New Roman" w:cs="Times New Roman"/>
          <w:sz w:val="24"/>
          <w:szCs w:val="24"/>
        </w:rPr>
        <w:t xml:space="preserve"> Prawo energetyczne </w:t>
      </w:r>
      <w:r w:rsidR="00364AF5" w:rsidRPr="00EF6F97">
        <w:rPr>
          <w:rFonts w:ascii="Times New Roman" w:hAnsi="Times New Roman" w:cs="Times New Roman"/>
          <w:sz w:val="24"/>
          <w:szCs w:val="24"/>
        </w:rPr>
        <w:lastRenderedPageBreak/>
        <w:t>jednolitych definicji, które będą wykorzystane we wszystkich innych aktach prawnych, tj. definicji „magazynowania energii elektrycznej” ora</w:t>
      </w:r>
      <w:r w:rsidR="001D0628">
        <w:rPr>
          <w:rFonts w:ascii="Times New Roman" w:hAnsi="Times New Roman" w:cs="Times New Roman"/>
          <w:sz w:val="24"/>
          <w:szCs w:val="24"/>
        </w:rPr>
        <w:t>z </w:t>
      </w:r>
      <w:r w:rsidR="00364AF5" w:rsidRPr="00EF6F97">
        <w:rPr>
          <w:rFonts w:ascii="Times New Roman" w:hAnsi="Times New Roman" w:cs="Times New Roman"/>
          <w:sz w:val="24"/>
          <w:szCs w:val="24"/>
        </w:rPr>
        <w:t xml:space="preserve">definicji </w:t>
      </w:r>
      <w:r w:rsidR="006445BE">
        <w:rPr>
          <w:rFonts w:ascii="Times New Roman" w:hAnsi="Times New Roman" w:cs="Times New Roman"/>
          <w:sz w:val="24"/>
          <w:szCs w:val="24"/>
        </w:rPr>
        <w:t>„</w:t>
      </w:r>
      <w:r w:rsidR="00364AF5" w:rsidRPr="00EF6F97">
        <w:rPr>
          <w:rFonts w:ascii="Times New Roman" w:hAnsi="Times New Roman" w:cs="Times New Roman"/>
          <w:sz w:val="24"/>
          <w:szCs w:val="24"/>
        </w:rPr>
        <w:t>magazynu energii elektrycznej</w:t>
      </w:r>
      <w:r w:rsidR="006445BE">
        <w:rPr>
          <w:rFonts w:ascii="Times New Roman" w:hAnsi="Times New Roman" w:cs="Times New Roman"/>
          <w:sz w:val="24"/>
          <w:szCs w:val="24"/>
        </w:rPr>
        <w:t>”</w:t>
      </w:r>
      <w:r w:rsidR="00364AF5" w:rsidRPr="00EF6F97">
        <w:rPr>
          <w:rFonts w:ascii="Times New Roman" w:hAnsi="Times New Roman" w:cs="Times New Roman"/>
          <w:sz w:val="24"/>
          <w:szCs w:val="24"/>
        </w:rPr>
        <w:t xml:space="preserve">. </w:t>
      </w:r>
      <w:r w:rsidR="00551173" w:rsidRPr="00EF6F97">
        <w:rPr>
          <w:rFonts w:ascii="Times New Roman" w:hAnsi="Times New Roman" w:cs="Times New Roman"/>
          <w:sz w:val="24"/>
          <w:szCs w:val="24"/>
        </w:rPr>
        <w:t>Obecny stan</w:t>
      </w:r>
      <w:r w:rsidR="002E3596">
        <w:rPr>
          <w:rFonts w:ascii="Times New Roman" w:hAnsi="Times New Roman" w:cs="Times New Roman"/>
          <w:sz w:val="24"/>
          <w:szCs w:val="24"/>
        </w:rPr>
        <w:t>,</w:t>
      </w:r>
      <w:r w:rsidR="00551173" w:rsidRPr="00EF6F97">
        <w:rPr>
          <w:rFonts w:ascii="Times New Roman" w:hAnsi="Times New Roman" w:cs="Times New Roman"/>
          <w:sz w:val="24"/>
          <w:szCs w:val="24"/>
        </w:rPr>
        <w:t xml:space="preserve"> w którym istnieją różne definicje w ustawie – Prawo energetyczne</w:t>
      </w:r>
      <w:r w:rsidR="001D0628">
        <w:rPr>
          <w:rFonts w:ascii="Times New Roman" w:hAnsi="Times New Roman" w:cs="Times New Roman"/>
          <w:sz w:val="24"/>
          <w:szCs w:val="24"/>
        </w:rPr>
        <w:t xml:space="preserve"> i </w:t>
      </w:r>
      <w:r w:rsidR="00551173" w:rsidRPr="00EF6F97">
        <w:rPr>
          <w:rFonts w:ascii="Times New Roman" w:hAnsi="Times New Roman" w:cs="Times New Roman"/>
          <w:sz w:val="24"/>
          <w:szCs w:val="24"/>
        </w:rPr>
        <w:t>ustawie o OZE</w:t>
      </w:r>
      <w:r w:rsidR="006445BE">
        <w:rPr>
          <w:rFonts w:ascii="Times New Roman" w:hAnsi="Times New Roman" w:cs="Times New Roman"/>
          <w:sz w:val="24"/>
          <w:szCs w:val="24"/>
        </w:rPr>
        <w:t>,</w:t>
      </w:r>
      <w:r w:rsidR="00551173" w:rsidRPr="00EF6F97">
        <w:rPr>
          <w:rFonts w:ascii="Times New Roman" w:hAnsi="Times New Roman" w:cs="Times New Roman"/>
          <w:sz w:val="24"/>
          <w:szCs w:val="24"/>
        </w:rPr>
        <w:t xml:space="preserve"> prowadzi do niejednoznaczności</w:t>
      </w:r>
      <w:r w:rsidR="001D0628">
        <w:rPr>
          <w:rFonts w:ascii="Times New Roman" w:hAnsi="Times New Roman" w:cs="Times New Roman"/>
          <w:sz w:val="24"/>
          <w:szCs w:val="24"/>
        </w:rPr>
        <w:t xml:space="preserve"> i </w:t>
      </w:r>
      <w:r w:rsidR="00551173" w:rsidRPr="00EF6F97">
        <w:rPr>
          <w:rFonts w:ascii="Times New Roman" w:hAnsi="Times New Roman" w:cs="Times New Roman"/>
          <w:sz w:val="24"/>
          <w:szCs w:val="24"/>
        </w:rPr>
        <w:t>potencjalnych problemów interpretacyjnych. Ponadto przyjęta koncepcja definiowania „magazynowania energii” jako usługi jest niewłaściwa, gdyż część zastosowań będzie miała charakter rozbudowy własnych instalacji (np. źródła OZE lub ekwiwalentu rozbudowy sieci), gdzie formuła usługi nie występuje. W przedstawionej propozycji „magazynowanie energii elektrycznej” jest procesem</w:t>
      </w:r>
      <w:r w:rsidR="00480453">
        <w:rPr>
          <w:rFonts w:ascii="Times New Roman" w:hAnsi="Times New Roman" w:cs="Times New Roman"/>
          <w:sz w:val="24"/>
          <w:szCs w:val="24"/>
        </w:rPr>
        <w:t>,</w:t>
      </w:r>
      <w:r w:rsidR="00551173" w:rsidRPr="00EF6F97">
        <w:rPr>
          <w:rFonts w:ascii="Times New Roman" w:hAnsi="Times New Roman" w:cs="Times New Roman"/>
          <w:sz w:val="24"/>
          <w:szCs w:val="24"/>
        </w:rPr>
        <w:t xml:space="preserve"> w którym energia pobrana </w:t>
      </w:r>
      <w:r w:rsidR="001D0628">
        <w:rPr>
          <w:rFonts w:ascii="Times New Roman" w:hAnsi="Times New Roman" w:cs="Times New Roman"/>
          <w:sz w:val="24"/>
          <w:szCs w:val="24"/>
        </w:rPr>
        <w:t>z </w:t>
      </w:r>
      <w:r w:rsidR="00551173" w:rsidRPr="00EF6F97">
        <w:rPr>
          <w:rFonts w:ascii="Times New Roman" w:hAnsi="Times New Roman" w:cs="Times New Roman"/>
          <w:sz w:val="24"/>
          <w:szCs w:val="24"/>
        </w:rPr>
        <w:t>sieci jest ponownie</w:t>
      </w:r>
      <w:r w:rsidR="00EA6B6D">
        <w:rPr>
          <w:rFonts w:ascii="Times New Roman" w:hAnsi="Times New Roman" w:cs="Times New Roman"/>
          <w:sz w:val="24"/>
          <w:szCs w:val="24"/>
        </w:rPr>
        <w:t xml:space="preserve"> przetworzona na energię elektryczną</w:t>
      </w:r>
      <w:r w:rsidR="00551173" w:rsidRPr="00EF6F97">
        <w:rPr>
          <w:rFonts w:ascii="Times New Roman" w:hAnsi="Times New Roman" w:cs="Times New Roman"/>
          <w:sz w:val="24"/>
          <w:szCs w:val="24"/>
        </w:rPr>
        <w:t xml:space="preserve">. </w:t>
      </w:r>
      <w:r w:rsidR="001D0628">
        <w:rPr>
          <w:rFonts w:ascii="Times New Roman" w:hAnsi="Times New Roman" w:cs="Times New Roman"/>
          <w:sz w:val="24"/>
          <w:szCs w:val="24"/>
        </w:rPr>
        <w:t>Z </w:t>
      </w:r>
      <w:r w:rsidR="00551173" w:rsidRPr="00EF6F97">
        <w:rPr>
          <w:rFonts w:ascii="Times New Roman" w:hAnsi="Times New Roman" w:cs="Times New Roman"/>
          <w:sz w:val="24"/>
          <w:szCs w:val="24"/>
        </w:rPr>
        <w:t xml:space="preserve">tego punktu widzenia nie będzie magazynem energii elektrycznej instalacja, która dokonuje konwersji energii elektrycznej na nośnik taki jak np. wodór (P2G). Będzie to instalacja odbiorcza mająca zdolność do zarządzania swoim poborem energii elektrycznej </w:t>
      </w:r>
      <w:r w:rsidR="001D0628">
        <w:rPr>
          <w:rFonts w:ascii="Times New Roman" w:hAnsi="Times New Roman" w:cs="Times New Roman"/>
          <w:sz w:val="24"/>
          <w:szCs w:val="24"/>
        </w:rPr>
        <w:t>z </w:t>
      </w:r>
      <w:r w:rsidR="00551173" w:rsidRPr="00EF6F97">
        <w:rPr>
          <w:rFonts w:ascii="Times New Roman" w:hAnsi="Times New Roman" w:cs="Times New Roman"/>
          <w:sz w:val="24"/>
          <w:szCs w:val="24"/>
        </w:rPr>
        <w:t>sieci określon</w:t>
      </w:r>
      <w:r w:rsidR="001970B8" w:rsidRPr="00EF6F97">
        <w:rPr>
          <w:rFonts w:ascii="Times New Roman" w:hAnsi="Times New Roman" w:cs="Times New Roman"/>
          <w:sz w:val="24"/>
          <w:szCs w:val="24"/>
        </w:rPr>
        <w:t>a</w:t>
      </w:r>
      <w:r w:rsidR="00551173" w:rsidRPr="00EF6F97">
        <w:rPr>
          <w:rFonts w:ascii="Times New Roman" w:hAnsi="Times New Roman" w:cs="Times New Roman"/>
          <w:sz w:val="24"/>
          <w:szCs w:val="24"/>
        </w:rPr>
        <w:t xml:space="preserve"> w ustawie jako instalacja zarządzania popytem.</w:t>
      </w:r>
    </w:p>
    <w:p w14:paraId="328F1C02" w14:textId="358C89DA" w:rsidR="00551173"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551173" w:rsidRPr="00EF6F97">
        <w:rPr>
          <w:rFonts w:ascii="Times New Roman" w:hAnsi="Times New Roman" w:cs="Times New Roman"/>
          <w:sz w:val="24"/>
          <w:szCs w:val="24"/>
        </w:rPr>
        <w:t>Celowe jest także dostosowanie definicji do pojęć określonych już w ustawie o rynku mocy.</w:t>
      </w:r>
      <w:r w:rsidR="00480453">
        <w:rPr>
          <w:rFonts w:ascii="Times New Roman" w:hAnsi="Times New Roman" w:cs="Times New Roman"/>
          <w:sz w:val="24"/>
          <w:szCs w:val="24"/>
        </w:rPr>
        <w:t xml:space="preserve"> </w:t>
      </w:r>
      <w:r w:rsidR="00551173" w:rsidRPr="00EF6F97">
        <w:rPr>
          <w:rFonts w:ascii="Times New Roman" w:hAnsi="Times New Roman" w:cs="Times New Roman"/>
          <w:sz w:val="24"/>
          <w:szCs w:val="24"/>
        </w:rPr>
        <w:t>Równolegle prowadzone prace na</w:t>
      </w:r>
      <w:r w:rsidR="001970B8" w:rsidRPr="00EF6F97">
        <w:rPr>
          <w:rFonts w:ascii="Times New Roman" w:hAnsi="Times New Roman" w:cs="Times New Roman"/>
          <w:sz w:val="24"/>
          <w:szCs w:val="24"/>
        </w:rPr>
        <w:t>d</w:t>
      </w:r>
      <w:r w:rsidR="00551173" w:rsidRPr="00EF6F97">
        <w:rPr>
          <w:rFonts w:ascii="Times New Roman" w:hAnsi="Times New Roman" w:cs="Times New Roman"/>
          <w:sz w:val="24"/>
          <w:szCs w:val="24"/>
        </w:rPr>
        <w:t xml:space="preserve"> ustawami o rynku mocy</w:t>
      </w:r>
      <w:r w:rsidR="001D0628">
        <w:rPr>
          <w:rFonts w:ascii="Times New Roman" w:hAnsi="Times New Roman" w:cs="Times New Roman"/>
          <w:sz w:val="24"/>
          <w:szCs w:val="24"/>
        </w:rPr>
        <w:t xml:space="preserve"> i </w:t>
      </w:r>
      <w:r w:rsidR="00551173" w:rsidRPr="00EF6F97">
        <w:rPr>
          <w:rFonts w:ascii="Times New Roman" w:hAnsi="Times New Roman" w:cs="Times New Roman"/>
          <w:sz w:val="24"/>
          <w:szCs w:val="24"/>
        </w:rPr>
        <w:t>o elektromobilności</w:t>
      </w:r>
      <w:r w:rsidR="001D0628">
        <w:rPr>
          <w:rFonts w:ascii="Times New Roman" w:hAnsi="Times New Roman" w:cs="Times New Roman"/>
          <w:sz w:val="24"/>
          <w:szCs w:val="24"/>
        </w:rPr>
        <w:t xml:space="preserve"> i </w:t>
      </w:r>
      <w:r w:rsidR="00551173" w:rsidRPr="00EF6F97">
        <w:rPr>
          <w:rFonts w:ascii="Times New Roman" w:hAnsi="Times New Roman" w:cs="Times New Roman"/>
          <w:sz w:val="24"/>
          <w:szCs w:val="24"/>
        </w:rPr>
        <w:t xml:space="preserve">paliwach alternatywnych doprowadziły do sytuacji, że powstały dwie różne definicje dotyczące tej samej instalacji odbiorcy końcowego, zdolne do redukcji swojego zapotrzebowania (poboru) energii elektrycznej </w:t>
      </w:r>
      <w:r w:rsidR="001D0628">
        <w:rPr>
          <w:rFonts w:ascii="Times New Roman" w:hAnsi="Times New Roman" w:cs="Times New Roman"/>
          <w:sz w:val="24"/>
          <w:szCs w:val="24"/>
        </w:rPr>
        <w:t>z </w:t>
      </w:r>
      <w:r w:rsidR="00551173" w:rsidRPr="00EF6F97">
        <w:rPr>
          <w:rFonts w:ascii="Times New Roman" w:hAnsi="Times New Roman" w:cs="Times New Roman"/>
          <w:sz w:val="24"/>
          <w:szCs w:val="24"/>
        </w:rPr>
        <w:t>sieci. Przedstawiona propozycja normuje tą sytuację.</w:t>
      </w:r>
    </w:p>
    <w:p w14:paraId="37323EEF" w14:textId="629348E4" w:rsidR="00551173"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551173" w:rsidRPr="00EF6F97">
        <w:rPr>
          <w:rFonts w:ascii="Times New Roman" w:hAnsi="Times New Roman" w:cs="Times New Roman"/>
          <w:sz w:val="24"/>
          <w:szCs w:val="24"/>
        </w:rPr>
        <w:t>Zmiana definicji odbiorcy końcowego</w:t>
      </w:r>
      <w:r w:rsidR="00CB5761" w:rsidRPr="00EF6F97">
        <w:rPr>
          <w:rFonts w:ascii="Times New Roman" w:hAnsi="Times New Roman" w:cs="Times New Roman"/>
          <w:sz w:val="24"/>
          <w:szCs w:val="24"/>
        </w:rPr>
        <w:t xml:space="preserve"> ma</w:t>
      </w:r>
      <w:r w:rsidR="00551173" w:rsidRPr="00EF6F97">
        <w:rPr>
          <w:rFonts w:ascii="Times New Roman" w:hAnsi="Times New Roman" w:cs="Times New Roman"/>
          <w:sz w:val="24"/>
          <w:szCs w:val="24"/>
        </w:rPr>
        <w:t xml:space="preserve"> na celu uwzględnienie natury magazynowania energii elektrycznej prze</w:t>
      </w:r>
      <w:r w:rsidR="001D0628">
        <w:rPr>
          <w:rFonts w:ascii="Times New Roman" w:hAnsi="Times New Roman" w:cs="Times New Roman"/>
          <w:sz w:val="24"/>
          <w:szCs w:val="24"/>
        </w:rPr>
        <w:t>z </w:t>
      </w:r>
      <w:r w:rsidR="00551173" w:rsidRPr="00EF6F97">
        <w:rPr>
          <w:rFonts w:ascii="Times New Roman" w:hAnsi="Times New Roman" w:cs="Times New Roman"/>
          <w:sz w:val="24"/>
          <w:szCs w:val="24"/>
        </w:rPr>
        <w:t xml:space="preserve">uwzględnienie w tej definicji wyłączenia energii zużywanej na potrzeby magazynowania </w:t>
      </w:r>
      <w:r w:rsidR="001D0628">
        <w:rPr>
          <w:rFonts w:ascii="Times New Roman" w:hAnsi="Times New Roman" w:cs="Times New Roman"/>
          <w:sz w:val="24"/>
          <w:szCs w:val="24"/>
        </w:rPr>
        <w:t>z </w:t>
      </w:r>
      <w:r w:rsidR="00551173" w:rsidRPr="00EF6F97">
        <w:rPr>
          <w:rFonts w:ascii="Times New Roman" w:hAnsi="Times New Roman" w:cs="Times New Roman"/>
          <w:sz w:val="24"/>
          <w:szCs w:val="24"/>
        </w:rPr>
        <w:t>kategorii własnego użytku. Oznacza to, że cała magazynowana energia elektryczna ora</w:t>
      </w:r>
      <w:r w:rsidR="001D0628">
        <w:rPr>
          <w:rFonts w:ascii="Times New Roman" w:hAnsi="Times New Roman" w:cs="Times New Roman"/>
          <w:sz w:val="24"/>
          <w:szCs w:val="24"/>
        </w:rPr>
        <w:t>z </w:t>
      </w:r>
      <w:r w:rsidR="00551173" w:rsidRPr="00EF6F97">
        <w:rPr>
          <w:rFonts w:ascii="Times New Roman" w:hAnsi="Times New Roman" w:cs="Times New Roman"/>
          <w:sz w:val="24"/>
          <w:szCs w:val="24"/>
        </w:rPr>
        <w:t>energia strat w magazynie</w:t>
      </w:r>
      <w:r w:rsidR="000E52FF">
        <w:rPr>
          <w:rFonts w:ascii="Times New Roman" w:hAnsi="Times New Roman" w:cs="Times New Roman"/>
          <w:sz w:val="24"/>
          <w:szCs w:val="24"/>
        </w:rPr>
        <w:t>,</w:t>
      </w:r>
      <w:r w:rsidR="00551173" w:rsidRPr="00EF6F97">
        <w:rPr>
          <w:rFonts w:ascii="Times New Roman" w:hAnsi="Times New Roman" w:cs="Times New Roman"/>
          <w:sz w:val="24"/>
          <w:szCs w:val="24"/>
        </w:rPr>
        <w:t xml:space="preserve"> analogicznie do wytwarzania, przesyłu</w:t>
      </w:r>
      <w:r w:rsidR="001D0628">
        <w:rPr>
          <w:rFonts w:ascii="Times New Roman" w:hAnsi="Times New Roman" w:cs="Times New Roman"/>
          <w:sz w:val="24"/>
          <w:szCs w:val="24"/>
        </w:rPr>
        <w:t xml:space="preserve"> i </w:t>
      </w:r>
      <w:r w:rsidR="00551173" w:rsidRPr="00EF6F97">
        <w:rPr>
          <w:rFonts w:ascii="Times New Roman" w:hAnsi="Times New Roman" w:cs="Times New Roman"/>
          <w:sz w:val="24"/>
          <w:szCs w:val="24"/>
        </w:rPr>
        <w:t xml:space="preserve">dystrybucji, nie będzie uznana za zużycie odbiorcy końcowego. Uzasadnieniem tego jest fakt, że energia wprowadzona do sieci </w:t>
      </w:r>
      <w:r w:rsidR="001D0628">
        <w:rPr>
          <w:rFonts w:ascii="Times New Roman" w:hAnsi="Times New Roman" w:cs="Times New Roman"/>
          <w:sz w:val="24"/>
          <w:szCs w:val="24"/>
        </w:rPr>
        <w:t>z </w:t>
      </w:r>
      <w:r w:rsidR="00551173" w:rsidRPr="00EF6F97">
        <w:rPr>
          <w:rFonts w:ascii="Times New Roman" w:hAnsi="Times New Roman" w:cs="Times New Roman"/>
          <w:sz w:val="24"/>
          <w:szCs w:val="24"/>
        </w:rPr>
        <w:t>magazynu energii elektrycznej będzie po pewnym czasie zużyta prze</w:t>
      </w:r>
      <w:r w:rsidR="001D0628">
        <w:rPr>
          <w:rFonts w:ascii="Times New Roman" w:hAnsi="Times New Roman" w:cs="Times New Roman"/>
          <w:sz w:val="24"/>
          <w:szCs w:val="24"/>
        </w:rPr>
        <w:t>z </w:t>
      </w:r>
      <w:r w:rsidR="00551173" w:rsidRPr="00EF6F97">
        <w:rPr>
          <w:rFonts w:ascii="Times New Roman" w:hAnsi="Times New Roman" w:cs="Times New Roman"/>
          <w:sz w:val="24"/>
          <w:szCs w:val="24"/>
        </w:rPr>
        <w:t>odbiorcę końcowego, który poniesie koszty zarówno dotyczące transportu energii elektrycznej</w:t>
      </w:r>
      <w:r w:rsidR="006445BE">
        <w:rPr>
          <w:rFonts w:ascii="Times New Roman" w:hAnsi="Times New Roman" w:cs="Times New Roman"/>
          <w:sz w:val="24"/>
          <w:szCs w:val="24"/>
        </w:rPr>
        <w:t>,</w:t>
      </w:r>
      <w:r w:rsidR="00551173" w:rsidRPr="00EF6F97">
        <w:rPr>
          <w:rFonts w:ascii="Times New Roman" w:hAnsi="Times New Roman" w:cs="Times New Roman"/>
          <w:sz w:val="24"/>
          <w:szCs w:val="24"/>
        </w:rPr>
        <w:t xml:space="preserve"> jak</w:t>
      </w:r>
      <w:r w:rsidR="001D0628">
        <w:rPr>
          <w:rFonts w:ascii="Times New Roman" w:hAnsi="Times New Roman" w:cs="Times New Roman"/>
          <w:sz w:val="24"/>
          <w:szCs w:val="24"/>
        </w:rPr>
        <w:t xml:space="preserve"> i </w:t>
      </w:r>
      <w:r w:rsidR="00551173" w:rsidRPr="00EF6F97">
        <w:rPr>
          <w:rFonts w:ascii="Times New Roman" w:hAnsi="Times New Roman" w:cs="Times New Roman"/>
          <w:sz w:val="24"/>
          <w:szCs w:val="24"/>
        </w:rPr>
        <w:t>koszty samej energii ze wszystkich obciążeniami przewidzianymi ustawą.</w:t>
      </w:r>
    </w:p>
    <w:p w14:paraId="1DA5383C" w14:textId="77777777" w:rsidR="00645C7B" w:rsidRPr="00EF6F97" w:rsidRDefault="00645C7B"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Proponowana zmiana definicji </w:t>
      </w:r>
    </w:p>
    <w:p w14:paraId="666B0E5E" w14:textId="540266B1" w:rsidR="00E91116"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E91116" w:rsidRPr="00EF6F97">
        <w:rPr>
          <w:rFonts w:ascii="Times New Roman" w:hAnsi="Times New Roman" w:cs="Times New Roman"/>
          <w:sz w:val="24"/>
          <w:szCs w:val="24"/>
        </w:rPr>
        <w:t xml:space="preserve">W projekcie ustawy proponuje się, analogicznie jak </w:t>
      </w:r>
      <w:r w:rsidR="00CB5761" w:rsidRPr="00EF6F97">
        <w:rPr>
          <w:rFonts w:ascii="Times New Roman" w:hAnsi="Times New Roman" w:cs="Times New Roman"/>
          <w:sz w:val="24"/>
          <w:szCs w:val="24"/>
        </w:rPr>
        <w:t xml:space="preserve">ma </w:t>
      </w:r>
      <w:r w:rsidR="00E91116" w:rsidRPr="00EF6F97">
        <w:rPr>
          <w:rFonts w:ascii="Times New Roman" w:hAnsi="Times New Roman" w:cs="Times New Roman"/>
          <w:sz w:val="24"/>
          <w:szCs w:val="24"/>
        </w:rPr>
        <w:t>to miejsce w sektorze gazu, objęcie magazynowania energii elektrycznej osobną koncesją</w:t>
      </w:r>
      <w:r w:rsidR="001970B8" w:rsidRPr="00EF6F97">
        <w:rPr>
          <w:rFonts w:ascii="Times New Roman" w:hAnsi="Times New Roman" w:cs="Times New Roman"/>
          <w:sz w:val="24"/>
          <w:szCs w:val="24"/>
        </w:rPr>
        <w:t>,</w:t>
      </w:r>
      <w:r w:rsidR="00E91116" w:rsidRPr="00EF6F97">
        <w:rPr>
          <w:rFonts w:ascii="Times New Roman" w:hAnsi="Times New Roman" w:cs="Times New Roman"/>
          <w:sz w:val="24"/>
          <w:szCs w:val="24"/>
        </w:rPr>
        <w:t xml:space="preserve"> alternatywną wobec koncesji na wytwarzanie. Określenie progu mocowego, dla którego niezbędne jest uzyskanie koncesji</w:t>
      </w:r>
      <w:r w:rsidR="000E52FF">
        <w:rPr>
          <w:rFonts w:ascii="Times New Roman" w:hAnsi="Times New Roman" w:cs="Times New Roman"/>
          <w:sz w:val="24"/>
          <w:szCs w:val="24"/>
        </w:rPr>
        <w:t>,</w:t>
      </w:r>
      <w:r w:rsidR="00E91116" w:rsidRPr="00EF6F97">
        <w:rPr>
          <w:rFonts w:ascii="Times New Roman" w:hAnsi="Times New Roman" w:cs="Times New Roman"/>
          <w:sz w:val="24"/>
          <w:szCs w:val="24"/>
        </w:rPr>
        <w:t xml:space="preserve"> wynika </w:t>
      </w:r>
      <w:r w:rsidR="001D0628">
        <w:rPr>
          <w:rFonts w:ascii="Times New Roman" w:hAnsi="Times New Roman" w:cs="Times New Roman"/>
          <w:sz w:val="24"/>
          <w:szCs w:val="24"/>
        </w:rPr>
        <w:t>z </w:t>
      </w:r>
      <w:r w:rsidR="00E91116" w:rsidRPr="00EF6F97">
        <w:rPr>
          <w:rFonts w:ascii="Times New Roman" w:hAnsi="Times New Roman" w:cs="Times New Roman"/>
          <w:sz w:val="24"/>
          <w:szCs w:val="24"/>
        </w:rPr>
        <w:t>potrzeby zagwarantowania pewności świadczenia usług na rzec</w:t>
      </w:r>
      <w:r w:rsidR="001D0628">
        <w:rPr>
          <w:rFonts w:ascii="Times New Roman" w:hAnsi="Times New Roman" w:cs="Times New Roman"/>
          <w:sz w:val="24"/>
          <w:szCs w:val="24"/>
        </w:rPr>
        <w:t>z </w:t>
      </w:r>
      <w:r w:rsidR="00E91116" w:rsidRPr="00EF6F97">
        <w:rPr>
          <w:rFonts w:ascii="Times New Roman" w:hAnsi="Times New Roman" w:cs="Times New Roman"/>
          <w:sz w:val="24"/>
          <w:szCs w:val="24"/>
        </w:rPr>
        <w:t>KSE prze</w:t>
      </w:r>
      <w:r w:rsidR="001D0628">
        <w:rPr>
          <w:rFonts w:ascii="Times New Roman" w:hAnsi="Times New Roman" w:cs="Times New Roman"/>
          <w:sz w:val="24"/>
          <w:szCs w:val="24"/>
        </w:rPr>
        <w:t>z </w:t>
      </w:r>
      <w:r w:rsidR="00E91116" w:rsidRPr="00EF6F97">
        <w:rPr>
          <w:rFonts w:ascii="Times New Roman" w:hAnsi="Times New Roman" w:cs="Times New Roman"/>
          <w:sz w:val="24"/>
          <w:szCs w:val="24"/>
        </w:rPr>
        <w:t xml:space="preserve">magazyny energii elektrycznej o mocy większej niż 10 </w:t>
      </w:r>
      <w:r w:rsidR="00CB5761" w:rsidRPr="00EF6F97">
        <w:rPr>
          <w:rFonts w:ascii="Times New Roman" w:hAnsi="Times New Roman" w:cs="Times New Roman"/>
          <w:sz w:val="24"/>
          <w:szCs w:val="24"/>
        </w:rPr>
        <w:t xml:space="preserve">MW. Proponuje się przyjęcie </w:t>
      </w:r>
      <w:r w:rsidR="00CB5761" w:rsidRPr="00EF6F97">
        <w:rPr>
          <w:rFonts w:ascii="Times New Roman" w:hAnsi="Times New Roman" w:cs="Times New Roman"/>
          <w:sz w:val="24"/>
          <w:szCs w:val="24"/>
        </w:rPr>
        <w:lastRenderedPageBreak/>
        <w:t>takiego</w:t>
      </w:r>
      <w:r w:rsidR="00E91116" w:rsidRPr="00EF6F97">
        <w:rPr>
          <w:rFonts w:ascii="Times New Roman" w:hAnsi="Times New Roman" w:cs="Times New Roman"/>
          <w:sz w:val="24"/>
          <w:szCs w:val="24"/>
        </w:rPr>
        <w:t xml:space="preserve"> samego progu jak dla źródeł wytwórczych (modułów wytwarzania energii) typu C (zgodnie </w:t>
      </w:r>
      <w:r w:rsidR="001D0628">
        <w:rPr>
          <w:rFonts w:ascii="Times New Roman" w:hAnsi="Times New Roman" w:cs="Times New Roman"/>
          <w:sz w:val="24"/>
          <w:szCs w:val="24"/>
        </w:rPr>
        <w:t>z </w:t>
      </w:r>
      <w:r w:rsidR="00E91116" w:rsidRPr="00EF6F97">
        <w:rPr>
          <w:rFonts w:ascii="Times New Roman" w:hAnsi="Times New Roman" w:cs="Times New Roman"/>
          <w:sz w:val="24"/>
          <w:szCs w:val="24"/>
        </w:rPr>
        <w:t xml:space="preserve">klasyfikacją wynikającą </w:t>
      </w:r>
      <w:r w:rsidR="001D0628">
        <w:rPr>
          <w:rFonts w:ascii="Times New Roman" w:hAnsi="Times New Roman" w:cs="Times New Roman"/>
          <w:sz w:val="24"/>
          <w:szCs w:val="24"/>
        </w:rPr>
        <w:t>z</w:t>
      </w:r>
      <w:r w:rsidR="000E52FF">
        <w:rPr>
          <w:rFonts w:ascii="Times New Roman" w:hAnsi="Times New Roman" w:cs="Times New Roman"/>
          <w:sz w:val="24"/>
          <w:szCs w:val="24"/>
        </w:rPr>
        <w:t xml:space="preserve"> r</w:t>
      </w:r>
      <w:r w:rsidR="00E91116" w:rsidRPr="00EF6F97">
        <w:rPr>
          <w:rFonts w:ascii="Times New Roman" w:hAnsi="Times New Roman" w:cs="Times New Roman"/>
          <w:sz w:val="24"/>
          <w:szCs w:val="24"/>
        </w:rPr>
        <w:t xml:space="preserve">ozporządzania Komisji (UE) 2016/631 </w:t>
      </w:r>
      <w:r w:rsidR="001D0628">
        <w:rPr>
          <w:rFonts w:ascii="Times New Roman" w:hAnsi="Times New Roman" w:cs="Times New Roman"/>
          <w:sz w:val="24"/>
          <w:szCs w:val="24"/>
        </w:rPr>
        <w:t>z </w:t>
      </w:r>
      <w:r w:rsidR="00E91116" w:rsidRPr="00EF6F97">
        <w:rPr>
          <w:rFonts w:ascii="Times New Roman" w:hAnsi="Times New Roman" w:cs="Times New Roman"/>
          <w:sz w:val="24"/>
          <w:szCs w:val="24"/>
        </w:rPr>
        <w:t>dnia 14</w:t>
      </w:r>
      <w:r w:rsidR="000E52FF">
        <w:rPr>
          <w:rFonts w:ascii="Times New Roman" w:hAnsi="Times New Roman" w:cs="Times New Roman"/>
          <w:sz w:val="24"/>
          <w:szCs w:val="24"/>
        </w:rPr>
        <w:t> </w:t>
      </w:r>
      <w:r w:rsidR="00E91116" w:rsidRPr="00EF6F97">
        <w:rPr>
          <w:rFonts w:ascii="Times New Roman" w:hAnsi="Times New Roman" w:cs="Times New Roman"/>
          <w:sz w:val="24"/>
          <w:szCs w:val="24"/>
        </w:rPr>
        <w:t>kwietnia 2016</w:t>
      </w:r>
      <w:r w:rsidR="001D0628">
        <w:rPr>
          <w:rFonts w:ascii="Times New Roman" w:hAnsi="Times New Roman" w:cs="Times New Roman"/>
          <w:sz w:val="24"/>
          <w:szCs w:val="24"/>
        </w:rPr>
        <w:t> r.</w:t>
      </w:r>
    </w:p>
    <w:p w14:paraId="34130B4F" w14:textId="77777777" w:rsidR="00E5096F" w:rsidRPr="00EF6F97" w:rsidRDefault="00E91116" w:rsidP="00B855AB">
      <w:pPr>
        <w:spacing w:line="360" w:lineRule="auto"/>
        <w:ind w:firstLine="709"/>
        <w:jc w:val="both"/>
        <w:rPr>
          <w:rFonts w:ascii="Times New Roman" w:hAnsi="Times New Roman" w:cs="Times New Roman"/>
          <w:sz w:val="24"/>
          <w:szCs w:val="24"/>
        </w:rPr>
      </w:pPr>
      <w:r w:rsidRPr="00EF6F97">
        <w:rPr>
          <w:rFonts w:ascii="Times New Roman" w:hAnsi="Times New Roman" w:cs="Times New Roman"/>
          <w:sz w:val="24"/>
          <w:szCs w:val="24"/>
        </w:rPr>
        <w:t xml:space="preserve">Jednocześnie proponuje się wprowadzenie obowiązku rejestracji magazynów energii elektrycznej o mocy znamionowej większej niż </w:t>
      </w:r>
      <w:r w:rsidR="001970B8" w:rsidRPr="00EF6F97">
        <w:rPr>
          <w:rFonts w:ascii="Times New Roman" w:hAnsi="Times New Roman" w:cs="Times New Roman"/>
          <w:sz w:val="24"/>
          <w:szCs w:val="24"/>
        </w:rPr>
        <w:t>50</w:t>
      </w:r>
      <w:r w:rsidRPr="00EF6F97">
        <w:rPr>
          <w:rFonts w:ascii="Times New Roman" w:hAnsi="Times New Roman" w:cs="Times New Roman"/>
          <w:sz w:val="24"/>
          <w:szCs w:val="24"/>
        </w:rPr>
        <w:t xml:space="preserve"> kW. Pozwoli to na monitorowanie rozwoju magazynowania energii elektrycznej w skali całego kraju. Rejestr magazynów energii elektrycznej według propozycji będzie prowadzony prze</w:t>
      </w:r>
      <w:r w:rsidR="001D0628">
        <w:rPr>
          <w:rFonts w:ascii="Times New Roman" w:hAnsi="Times New Roman" w:cs="Times New Roman"/>
          <w:sz w:val="24"/>
          <w:szCs w:val="24"/>
        </w:rPr>
        <w:t>z </w:t>
      </w:r>
      <w:r w:rsidRPr="00EF6F97">
        <w:rPr>
          <w:rFonts w:ascii="Times New Roman" w:hAnsi="Times New Roman" w:cs="Times New Roman"/>
          <w:sz w:val="24"/>
          <w:szCs w:val="24"/>
        </w:rPr>
        <w:t>operatorów systemów elektroenergetycznych w zakresie odpowiadającym ich obszarowi działania</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będzie obejmował podstawowe parametry techniczne poszczególnych magazynów, w tym ich pojemność.</w:t>
      </w:r>
    </w:p>
    <w:p w14:paraId="59A5A366" w14:textId="22F6739B" w:rsidR="00E91116"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7D3EE2" w:rsidRPr="00EF6F97">
        <w:rPr>
          <w:rFonts w:ascii="Times New Roman" w:hAnsi="Times New Roman" w:cs="Times New Roman"/>
          <w:sz w:val="24"/>
          <w:szCs w:val="24"/>
        </w:rPr>
        <w:t xml:space="preserve">W związku </w:t>
      </w:r>
      <w:r w:rsidR="001D0628">
        <w:rPr>
          <w:rFonts w:ascii="Times New Roman" w:hAnsi="Times New Roman" w:cs="Times New Roman"/>
          <w:sz w:val="24"/>
          <w:szCs w:val="24"/>
        </w:rPr>
        <w:t>z </w:t>
      </w:r>
      <w:r w:rsidR="007D3EE2" w:rsidRPr="00EF6F97">
        <w:rPr>
          <w:rFonts w:ascii="Times New Roman" w:hAnsi="Times New Roman" w:cs="Times New Roman"/>
          <w:sz w:val="24"/>
          <w:szCs w:val="24"/>
        </w:rPr>
        <w:t xml:space="preserve">wprowadzaniem w ustawie </w:t>
      </w:r>
      <w:r w:rsidR="000E52FF">
        <w:rPr>
          <w:rFonts w:ascii="Times New Roman" w:hAnsi="Times New Roman" w:cs="Times New Roman"/>
          <w:sz w:val="24"/>
          <w:szCs w:val="24"/>
        </w:rPr>
        <w:t>–</w:t>
      </w:r>
      <w:r w:rsidR="007D3EE2" w:rsidRPr="00EF6F97">
        <w:rPr>
          <w:rFonts w:ascii="Times New Roman" w:hAnsi="Times New Roman" w:cs="Times New Roman"/>
          <w:sz w:val="24"/>
          <w:szCs w:val="24"/>
        </w:rPr>
        <w:t xml:space="preserve"> Prawo energetyczne regulacji ustanawiających przepisy dotyczące funkcjonowania magazynów energii elektrycznej w KSE (mających na celu stworzenie warunków dla rozwoju zastosowań magazynów energii elektrycznej) niezbędne jest uwzględnienie magazynów energii elektrycznej w zapisach art. 7 tej ustawy, w którym uregulowane są wymagania dotyczące wniosków o określenie warunków przyłączenia ora</w:t>
      </w:r>
      <w:r w:rsidR="001D0628">
        <w:rPr>
          <w:rFonts w:ascii="Times New Roman" w:hAnsi="Times New Roman" w:cs="Times New Roman"/>
          <w:sz w:val="24"/>
          <w:szCs w:val="24"/>
        </w:rPr>
        <w:t>z </w:t>
      </w:r>
      <w:r w:rsidR="007D3EE2" w:rsidRPr="00EF6F97">
        <w:rPr>
          <w:rFonts w:ascii="Times New Roman" w:hAnsi="Times New Roman" w:cs="Times New Roman"/>
          <w:sz w:val="24"/>
          <w:szCs w:val="24"/>
        </w:rPr>
        <w:t>umów o przyłączenie. Ponadto zaproponowany zakres informacji</w:t>
      </w:r>
      <w:r w:rsidR="000E52FF">
        <w:rPr>
          <w:rFonts w:ascii="Times New Roman" w:hAnsi="Times New Roman" w:cs="Times New Roman"/>
          <w:sz w:val="24"/>
          <w:szCs w:val="24"/>
        </w:rPr>
        <w:t>,</w:t>
      </w:r>
      <w:r w:rsidR="007D3EE2" w:rsidRPr="00EF6F97">
        <w:rPr>
          <w:rFonts w:ascii="Times New Roman" w:hAnsi="Times New Roman" w:cs="Times New Roman"/>
          <w:sz w:val="24"/>
          <w:szCs w:val="24"/>
        </w:rPr>
        <w:t xml:space="preserve"> jaki powinien być zawarty we wniosku o określenie warunków przyłączenia dla magazynów energii elektrycznej, w szczególności zawierać będzie dane</w:t>
      </w:r>
      <w:r w:rsidR="000E52FF">
        <w:rPr>
          <w:rFonts w:ascii="Times New Roman" w:hAnsi="Times New Roman" w:cs="Times New Roman"/>
          <w:sz w:val="24"/>
          <w:szCs w:val="24"/>
        </w:rPr>
        <w:t>,</w:t>
      </w:r>
      <w:r w:rsidR="007D3EE2" w:rsidRPr="00EF6F97">
        <w:rPr>
          <w:rFonts w:ascii="Times New Roman" w:hAnsi="Times New Roman" w:cs="Times New Roman"/>
          <w:sz w:val="24"/>
          <w:szCs w:val="24"/>
        </w:rPr>
        <w:t xml:space="preserve"> jakie opisują magazyn energii elektrycznej w procesie certyfikacji ogólnej w ramach przepisów rynku mocy. Ponadto jako jeden </w:t>
      </w:r>
      <w:r w:rsidR="001D0628">
        <w:rPr>
          <w:rFonts w:ascii="Times New Roman" w:hAnsi="Times New Roman" w:cs="Times New Roman"/>
          <w:sz w:val="24"/>
          <w:szCs w:val="24"/>
        </w:rPr>
        <w:t>z </w:t>
      </w:r>
      <w:r w:rsidR="007D3EE2" w:rsidRPr="00EF6F97">
        <w:rPr>
          <w:rFonts w:ascii="Times New Roman" w:hAnsi="Times New Roman" w:cs="Times New Roman"/>
          <w:sz w:val="24"/>
          <w:szCs w:val="24"/>
        </w:rPr>
        <w:t>elementów promowania przyłączania magazynów energii elektrycznej do sieci wskazano</w:t>
      </w:r>
      <w:r w:rsidR="00FE6018">
        <w:rPr>
          <w:rFonts w:ascii="Times New Roman" w:hAnsi="Times New Roman" w:cs="Times New Roman"/>
          <w:sz w:val="24"/>
          <w:szCs w:val="24"/>
        </w:rPr>
        <w:t>, że wysokość opłaty za przyłączenie do sieci będzie stanowić połowę rzeczywiście poniesionych kosztów na realizacje przyłączenia</w:t>
      </w:r>
      <w:r w:rsidR="007D3EE2" w:rsidRPr="00EF6F97">
        <w:rPr>
          <w:rFonts w:ascii="Times New Roman" w:hAnsi="Times New Roman" w:cs="Times New Roman"/>
          <w:sz w:val="24"/>
          <w:szCs w:val="24"/>
        </w:rPr>
        <w:t>.</w:t>
      </w:r>
    </w:p>
    <w:p w14:paraId="427A67C1" w14:textId="77777777" w:rsidR="007D3EE2"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7D3EE2" w:rsidRPr="00EF6F97">
        <w:rPr>
          <w:rFonts w:ascii="Times New Roman" w:hAnsi="Times New Roman" w:cs="Times New Roman"/>
          <w:sz w:val="24"/>
          <w:szCs w:val="24"/>
        </w:rPr>
        <w:t>Konieczne stało się również wprowadzenie przepisu rozszerzającego delegację do IRiESP</w:t>
      </w:r>
      <w:r w:rsidR="001D0628">
        <w:rPr>
          <w:rFonts w:ascii="Times New Roman" w:hAnsi="Times New Roman" w:cs="Times New Roman"/>
          <w:sz w:val="24"/>
          <w:szCs w:val="24"/>
        </w:rPr>
        <w:t xml:space="preserve"> i </w:t>
      </w:r>
      <w:r w:rsidR="007D3EE2" w:rsidRPr="00EF6F97">
        <w:rPr>
          <w:rFonts w:ascii="Times New Roman" w:hAnsi="Times New Roman" w:cs="Times New Roman"/>
          <w:sz w:val="24"/>
          <w:szCs w:val="24"/>
        </w:rPr>
        <w:t>IRiESD w celu określenia wymagań technicznych określających funkcjonowanie odrębnie instalacji zarządzania popytem</w:t>
      </w:r>
      <w:r w:rsidR="001D0628">
        <w:rPr>
          <w:rFonts w:ascii="Times New Roman" w:hAnsi="Times New Roman" w:cs="Times New Roman"/>
          <w:sz w:val="24"/>
          <w:szCs w:val="24"/>
        </w:rPr>
        <w:t xml:space="preserve"> i </w:t>
      </w:r>
      <w:r w:rsidR="007D3EE2" w:rsidRPr="00EF6F97">
        <w:rPr>
          <w:rFonts w:ascii="Times New Roman" w:hAnsi="Times New Roman" w:cs="Times New Roman"/>
          <w:sz w:val="24"/>
          <w:szCs w:val="24"/>
        </w:rPr>
        <w:t>magazynów energii elektrycznej.</w:t>
      </w:r>
    </w:p>
    <w:p w14:paraId="6CEB3FEF" w14:textId="0328CE07" w:rsidR="007D3EE2"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7D3EE2" w:rsidRPr="00EF6F97">
        <w:rPr>
          <w:rFonts w:ascii="Times New Roman" w:hAnsi="Times New Roman" w:cs="Times New Roman"/>
          <w:sz w:val="24"/>
          <w:szCs w:val="24"/>
        </w:rPr>
        <w:t>Projekt ustawy określa warunki</w:t>
      </w:r>
      <w:r w:rsidR="000E52FF">
        <w:rPr>
          <w:rFonts w:ascii="Times New Roman" w:hAnsi="Times New Roman" w:cs="Times New Roman"/>
          <w:sz w:val="24"/>
          <w:szCs w:val="24"/>
        </w:rPr>
        <w:t>,</w:t>
      </w:r>
      <w:r w:rsidR="007D3EE2" w:rsidRPr="00EF6F97">
        <w:rPr>
          <w:rFonts w:ascii="Times New Roman" w:hAnsi="Times New Roman" w:cs="Times New Roman"/>
          <w:sz w:val="24"/>
          <w:szCs w:val="24"/>
        </w:rPr>
        <w:t xml:space="preserve"> na jakich magazyn energii elektrycznej może być uwzględniony w planie rozwoju jako substytut rozbudowy sieci. Celem regulacji jest uwzględnienie możliwości wykorzystania magazynów energii elektrycznej w planach zaspokojenia obecnego</w:t>
      </w:r>
      <w:r w:rsidR="001D0628">
        <w:rPr>
          <w:rFonts w:ascii="Times New Roman" w:hAnsi="Times New Roman" w:cs="Times New Roman"/>
          <w:sz w:val="24"/>
          <w:szCs w:val="24"/>
        </w:rPr>
        <w:t xml:space="preserve"> i </w:t>
      </w:r>
      <w:r w:rsidR="007D3EE2" w:rsidRPr="00EF6F97">
        <w:rPr>
          <w:rFonts w:ascii="Times New Roman" w:hAnsi="Times New Roman" w:cs="Times New Roman"/>
          <w:sz w:val="24"/>
          <w:szCs w:val="24"/>
        </w:rPr>
        <w:t>przyszłego zapotrzebowania na energię, sporządzanych prze</w:t>
      </w:r>
      <w:r w:rsidR="001D0628">
        <w:rPr>
          <w:rFonts w:ascii="Times New Roman" w:hAnsi="Times New Roman" w:cs="Times New Roman"/>
          <w:sz w:val="24"/>
          <w:szCs w:val="24"/>
        </w:rPr>
        <w:t>z </w:t>
      </w:r>
      <w:r w:rsidR="007D3EE2" w:rsidRPr="00EF6F97">
        <w:rPr>
          <w:rFonts w:ascii="Times New Roman" w:hAnsi="Times New Roman" w:cs="Times New Roman"/>
          <w:sz w:val="24"/>
          <w:szCs w:val="24"/>
        </w:rPr>
        <w:t xml:space="preserve">operatorów sieci. Magazyny energii </w:t>
      </w:r>
      <w:r w:rsidR="00675679" w:rsidRPr="00EF6F97">
        <w:rPr>
          <w:rFonts w:ascii="Times New Roman" w:hAnsi="Times New Roman" w:cs="Times New Roman"/>
          <w:sz w:val="24"/>
          <w:szCs w:val="24"/>
        </w:rPr>
        <w:t xml:space="preserve">elektrycznej </w:t>
      </w:r>
      <w:r w:rsidR="007D3EE2" w:rsidRPr="00EF6F97">
        <w:rPr>
          <w:rFonts w:ascii="Times New Roman" w:hAnsi="Times New Roman" w:cs="Times New Roman"/>
          <w:sz w:val="24"/>
          <w:szCs w:val="24"/>
        </w:rPr>
        <w:t>mogą korzystnie wpływać na funkcjonowanie infrastruktury sieciowej w sytuacji nagłego zwiększania popytu na energię elektryczną prze</w:t>
      </w:r>
      <w:r w:rsidR="001D0628">
        <w:rPr>
          <w:rFonts w:ascii="Times New Roman" w:hAnsi="Times New Roman" w:cs="Times New Roman"/>
          <w:sz w:val="24"/>
          <w:szCs w:val="24"/>
        </w:rPr>
        <w:t>z </w:t>
      </w:r>
      <w:r w:rsidR="007D3EE2" w:rsidRPr="00EF6F97">
        <w:rPr>
          <w:rFonts w:ascii="Times New Roman" w:hAnsi="Times New Roman" w:cs="Times New Roman"/>
          <w:sz w:val="24"/>
          <w:szCs w:val="24"/>
        </w:rPr>
        <w:t xml:space="preserve">jej użytkowników końcowych lub w związku </w:t>
      </w:r>
      <w:r w:rsidR="001D0628">
        <w:rPr>
          <w:rFonts w:ascii="Times New Roman" w:hAnsi="Times New Roman" w:cs="Times New Roman"/>
          <w:sz w:val="24"/>
          <w:szCs w:val="24"/>
        </w:rPr>
        <w:t>z </w:t>
      </w:r>
      <w:r w:rsidR="007D3EE2" w:rsidRPr="00EF6F97">
        <w:rPr>
          <w:rFonts w:ascii="Times New Roman" w:hAnsi="Times New Roman" w:cs="Times New Roman"/>
          <w:sz w:val="24"/>
          <w:szCs w:val="24"/>
        </w:rPr>
        <w:t xml:space="preserve">potrzebami przyłączeniowymi nowych użytkowników sieci. Możliwość szybkiego wykorzystania mocy przyłączonych magazynów energii </w:t>
      </w:r>
      <w:r w:rsidR="00675679" w:rsidRPr="00EF6F97">
        <w:rPr>
          <w:rFonts w:ascii="Times New Roman" w:hAnsi="Times New Roman" w:cs="Times New Roman"/>
          <w:sz w:val="24"/>
          <w:szCs w:val="24"/>
        </w:rPr>
        <w:t xml:space="preserve">elektrycznej do </w:t>
      </w:r>
      <w:r w:rsidR="007D3EE2" w:rsidRPr="00EF6F97">
        <w:rPr>
          <w:rFonts w:ascii="Times New Roman" w:hAnsi="Times New Roman" w:cs="Times New Roman"/>
          <w:sz w:val="24"/>
          <w:szCs w:val="24"/>
        </w:rPr>
        <w:t xml:space="preserve">sieci może pozwolić na czasowe </w:t>
      </w:r>
      <w:r w:rsidR="007D3EE2" w:rsidRPr="00EF6F97">
        <w:rPr>
          <w:rFonts w:ascii="Times New Roman" w:hAnsi="Times New Roman" w:cs="Times New Roman"/>
          <w:sz w:val="24"/>
          <w:szCs w:val="24"/>
        </w:rPr>
        <w:lastRenderedPageBreak/>
        <w:t>odciążenie linii</w:t>
      </w:r>
      <w:r w:rsidR="001D0628">
        <w:rPr>
          <w:rFonts w:ascii="Times New Roman" w:hAnsi="Times New Roman" w:cs="Times New Roman"/>
          <w:sz w:val="24"/>
          <w:szCs w:val="24"/>
        </w:rPr>
        <w:t xml:space="preserve"> i </w:t>
      </w:r>
      <w:r w:rsidR="007D3EE2" w:rsidRPr="00EF6F97">
        <w:rPr>
          <w:rFonts w:ascii="Times New Roman" w:hAnsi="Times New Roman" w:cs="Times New Roman"/>
          <w:sz w:val="24"/>
          <w:szCs w:val="24"/>
        </w:rPr>
        <w:t>odłożenie w czasie kosztownych</w:t>
      </w:r>
      <w:r w:rsidR="001D0628">
        <w:rPr>
          <w:rFonts w:ascii="Times New Roman" w:hAnsi="Times New Roman" w:cs="Times New Roman"/>
          <w:sz w:val="24"/>
          <w:szCs w:val="24"/>
        </w:rPr>
        <w:t xml:space="preserve"> i </w:t>
      </w:r>
      <w:r w:rsidR="007D3EE2" w:rsidRPr="00EF6F97">
        <w:rPr>
          <w:rFonts w:ascii="Times New Roman" w:hAnsi="Times New Roman" w:cs="Times New Roman"/>
          <w:sz w:val="24"/>
          <w:szCs w:val="24"/>
        </w:rPr>
        <w:t xml:space="preserve">czasochłonnych inwestycji w rozwój infrastruktury sieciowej, w szczególności w obszarach zurbanizowanych. W tym celu operatorzy sieci powinni zostać zobligowani do uwzględniania magazynów energii </w:t>
      </w:r>
      <w:r w:rsidR="00675679" w:rsidRPr="00EF6F97">
        <w:rPr>
          <w:rFonts w:ascii="Times New Roman" w:hAnsi="Times New Roman" w:cs="Times New Roman"/>
          <w:sz w:val="24"/>
          <w:szCs w:val="24"/>
        </w:rPr>
        <w:t xml:space="preserve">elektrycznej </w:t>
      </w:r>
      <w:r w:rsidR="007D3EE2" w:rsidRPr="00EF6F97">
        <w:rPr>
          <w:rFonts w:ascii="Times New Roman" w:hAnsi="Times New Roman" w:cs="Times New Roman"/>
          <w:sz w:val="24"/>
          <w:szCs w:val="24"/>
        </w:rPr>
        <w:t>w planach rozbudowy sieci, o ile jest to uzasadnione oceną kosztów ora</w:t>
      </w:r>
      <w:r w:rsidR="001D0628">
        <w:rPr>
          <w:rFonts w:ascii="Times New Roman" w:hAnsi="Times New Roman" w:cs="Times New Roman"/>
          <w:sz w:val="24"/>
          <w:szCs w:val="24"/>
        </w:rPr>
        <w:t>z </w:t>
      </w:r>
      <w:r w:rsidR="007D3EE2" w:rsidRPr="00EF6F97">
        <w:rPr>
          <w:rFonts w:ascii="Times New Roman" w:hAnsi="Times New Roman" w:cs="Times New Roman"/>
          <w:sz w:val="24"/>
          <w:szCs w:val="24"/>
        </w:rPr>
        <w:t xml:space="preserve">korzyści związanych </w:t>
      </w:r>
      <w:r w:rsidR="001D0628">
        <w:rPr>
          <w:rFonts w:ascii="Times New Roman" w:hAnsi="Times New Roman" w:cs="Times New Roman"/>
          <w:sz w:val="24"/>
          <w:szCs w:val="24"/>
        </w:rPr>
        <w:t>z </w:t>
      </w:r>
      <w:r w:rsidR="007D3EE2" w:rsidRPr="00EF6F97">
        <w:rPr>
          <w:rFonts w:ascii="Times New Roman" w:hAnsi="Times New Roman" w:cs="Times New Roman"/>
          <w:sz w:val="24"/>
          <w:szCs w:val="24"/>
        </w:rPr>
        <w:t xml:space="preserve">wykorzystaniem magazynu energii elektrycznej w porównaniu </w:t>
      </w:r>
      <w:r w:rsidR="001D0628">
        <w:rPr>
          <w:rFonts w:ascii="Times New Roman" w:hAnsi="Times New Roman" w:cs="Times New Roman"/>
          <w:sz w:val="24"/>
          <w:szCs w:val="24"/>
        </w:rPr>
        <w:t>z </w:t>
      </w:r>
      <w:r w:rsidR="007D3EE2" w:rsidRPr="00EF6F97">
        <w:rPr>
          <w:rFonts w:ascii="Times New Roman" w:hAnsi="Times New Roman" w:cs="Times New Roman"/>
          <w:sz w:val="24"/>
          <w:szCs w:val="24"/>
        </w:rPr>
        <w:t>rozbudową sieci na danym obszarze.</w:t>
      </w:r>
    </w:p>
    <w:p w14:paraId="1800B873" w14:textId="77777777" w:rsidR="0065591B"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5591B" w:rsidRPr="00EF6F97">
        <w:rPr>
          <w:rFonts w:ascii="Times New Roman" w:hAnsi="Times New Roman" w:cs="Times New Roman"/>
          <w:sz w:val="24"/>
          <w:szCs w:val="24"/>
        </w:rPr>
        <w:t xml:space="preserve">W projekcie przepisów wyłącza się magazynowanie energii elektrycznej </w:t>
      </w:r>
      <w:r w:rsidR="001D0628">
        <w:rPr>
          <w:rFonts w:ascii="Times New Roman" w:hAnsi="Times New Roman" w:cs="Times New Roman"/>
          <w:sz w:val="24"/>
          <w:szCs w:val="24"/>
        </w:rPr>
        <w:t>z </w:t>
      </w:r>
      <w:r w:rsidR="0065591B" w:rsidRPr="00EF6F97">
        <w:rPr>
          <w:rFonts w:ascii="Times New Roman" w:hAnsi="Times New Roman" w:cs="Times New Roman"/>
          <w:sz w:val="24"/>
          <w:szCs w:val="24"/>
        </w:rPr>
        <w:t xml:space="preserve">obowiązku sporządzania taryf, </w:t>
      </w:r>
      <w:r w:rsidR="00E52CF7" w:rsidRPr="00EF6F97">
        <w:rPr>
          <w:rFonts w:ascii="Times New Roman" w:hAnsi="Times New Roman" w:cs="Times New Roman"/>
          <w:sz w:val="24"/>
          <w:szCs w:val="24"/>
        </w:rPr>
        <w:t xml:space="preserve">brak jest </w:t>
      </w:r>
      <w:r w:rsidR="0065591B" w:rsidRPr="00EF6F97">
        <w:rPr>
          <w:rFonts w:ascii="Times New Roman" w:hAnsi="Times New Roman" w:cs="Times New Roman"/>
          <w:sz w:val="24"/>
          <w:szCs w:val="24"/>
        </w:rPr>
        <w:t>bowiem celowości</w:t>
      </w:r>
      <w:r w:rsidR="001D0628">
        <w:rPr>
          <w:rFonts w:ascii="Times New Roman" w:hAnsi="Times New Roman" w:cs="Times New Roman"/>
          <w:sz w:val="24"/>
          <w:szCs w:val="24"/>
        </w:rPr>
        <w:t xml:space="preserve"> i </w:t>
      </w:r>
      <w:r w:rsidR="0065591B" w:rsidRPr="00EF6F97">
        <w:rPr>
          <w:rFonts w:ascii="Times New Roman" w:hAnsi="Times New Roman" w:cs="Times New Roman"/>
          <w:sz w:val="24"/>
          <w:szCs w:val="24"/>
        </w:rPr>
        <w:t xml:space="preserve">uzasadnienia merytorycznego wprowadzenia takiego obowiązku. Wynika to </w:t>
      </w:r>
      <w:r w:rsidR="001D0628">
        <w:rPr>
          <w:rFonts w:ascii="Times New Roman" w:hAnsi="Times New Roman" w:cs="Times New Roman"/>
          <w:sz w:val="24"/>
          <w:szCs w:val="24"/>
        </w:rPr>
        <w:t>z </w:t>
      </w:r>
      <w:r w:rsidR="0065591B" w:rsidRPr="00EF6F97">
        <w:rPr>
          <w:rFonts w:ascii="Times New Roman" w:hAnsi="Times New Roman" w:cs="Times New Roman"/>
          <w:sz w:val="24"/>
          <w:szCs w:val="24"/>
        </w:rPr>
        <w:t xml:space="preserve">charakteru działalności magazynowania energii elektrycznej, w szczególności </w:t>
      </w:r>
      <w:r w:rsidR="001D0628">
        <w:rPr>
          <w:rFonts w:ascii="Times New Roman" w:hAnsi="Times New Roman" w:cs="Times New Roman"/>
          <w:sz w:val="24"/>
          <w:szCs w:val="24"/>
        </w:rPr>
        <w:t>z </w:t>
      </w:r>
      <w:r w:rsidR="0065591B" w:rsidRPr="00EF6F97">
        <w:rPr>
          <w:rFonts w:ascii="Times New Roman" w:hAnsi="Times New Roman" w:cs="Times New Roman"/>
          <w:sz w:val="24"/>
          <w:szCs w:val="24"/>
        </w:rPr>
        <w:t>konieczności zapewnienia możliwości świadczenia różnych usług zarówno na potrzeby rynków mocy, energii</w:t>
      </w:r>
      <w:r w:rsidR="001D0628">
        <w:rPr>
          <w:rFonts w:ascii="Times New Roman" w:hAnsi="Times New Roman" w:cs="Times New Roman"/>
          <w:sz w:val="24"/>
          <w:szCs w:val="24"/>
        </w:rPr>
        <w:t xml:space="preserve"> i </w:t>
      </w:r>
      <w:r w:rsidR="0065591B" w:rsidRPr="00EF6F97">
        <w:rPr>
          <w:rFonts w:ascii="Times New Roman" w:hAnsi="Times New Roman" w:cs="Times New Roman"/>
          <w:sz w:val="24"/>
          <w:szCs w:val="24"/>
        </w:rPr>
        <w:t>usług systemowych. Proponuje się pozostawienie ustanowienia stosunków umownych zasadom wolnego rynku</w:t>
      </w:r>
      <w:r w:rsidR="001D0628">
        <w:rPr>
          <w:rFonts w:ascii="Times New Roman" w:hAnsi="Times New Roman" w:cs="Times New Roman"/>
          <w:sz w:val="24"/>
          <w:szCs w:val="24"/>
        </w:rPr>
        <w:t xml:space="preserve"> i </w:t>
      </w:r>
      <w:r w:rsidR="0065591B" w:rsidRPr="00EF6F97">
        <w:rPr>
          <w:rFonts w:ascii="Times New Roman" w:hAnsi="Times New Roman" w:cs="Times New Roman"/>
          <w:sz w:val="24"/>
          <w:szCs w:val="24"/>
        </w:rPr>
        <w:t>swobodzie zawierania umów.</w:t>
      </w:r>
    </w:p>
    <w:p w14:paraId="6EB0DABB" w14:textId="489D2F27" w:rsidR="006B0F3B" w:rsidRPr="00EF6F97" w:rsidRDefault="006B0F3B"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 xml:space="preserve">Dodatkowo proponuje się przyjąć w rozliczeniach </w:t>
      </w:r>
      <w:r w:rsidR="0065591B" w:rsidRPr="00EF6F97">
        <w:rPr>
          <w:rFonts w:ascii="Times New Roman" w:hAnsi="Times New Roman" w:cs="Times New Roman"/>
          <w:sz w:val="24"/>
          <w:szCs w:val="24"/>
        </w:rPr>
        <w:t>za usługę przesyłania</w:t>
      </w:r>
      <w:r w:rsidR="001D0628">
        <w:rPr>
          <w:rFonts w:ascii="Times New Roman" w:hAnsi="Times New Roman" w:cs="Times New Roman"/>
          <w:sz w:val="24"/>
          <w:szCs w:val="24"/>
        </w:rPr>
        <w:t xml:space="preserve"> i </w:t>
      </w:r>
      <w:r w:rsidR="0065591B" w:rsidRPr="00EF6F97">
        <w:rPr>
          <w:rFonts w:ascii="Times New Roman" w:hAnsi="Times New Roman" w:cs="Times New Roman"/>
          <w:sz w:val="24"/>
          <w:szCs w:val="24"/>
        </w:rPr>
        <w:t xml:space="preserve">dystrybucji energii elektrycznej </w:t>
      </w:r>
      <w:r w:rsidRPr="00EF6F97">
        <w:rPr>
          <w:rFonts w:ascii="Times New Roman" w:hAnsi="Times New Roman" w:cs="Times New Roman"/>
          <w:sz w:val="24"/>
          <w:szCs w:val="24"/>
        </w:rPr>
        <w:t>regułę salda, czyli przyjęcie jako podstawy do rozliczeń stawki sieciowej wyłącznie różnicy między ilością energii elektrycznej pobranej prze</w:t>
      </w:r>
      <w:r w:rsidR="001D0628">
        <w:rPr>
          <w:rFonts w:ascii="Times New Roman" w:hAnsi="Times New Roman" w:cs="Times New Roman"/>
          <w:sz w:val="24"/>
          <w:szCs w:val="24"/>
        </w:rPr>
        <w:t>z </w:t>
      </w:r>
      <w:r w:rsidRPr="00EF6F97">
        <w:rPr>
          <w:rFonts w:ascii="Times New Roman" w:hAnsi="Times New Roman" w:cs="Times New Roman"/>
          <w:sz w:val="24"/>
          <w:szCs w:val="24"/>
        </w:rPr>
        <w:t>magazyn energii elektrycznej</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 xml:space="preserve">energii ponownie wprowadzonej do sieci </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tego magazynu, co określa się jako stratę w procesie magazynowania energii elektrycznej. Uzasadnieniem tego jest fakt, iż energia elektryczna wprowadzona </w:t>
      </w:r>
      <w:r w:rsidR="001D0628">
        <w:rPr>
          <w:rFonts w:ascii="Times New Roman" w:hAnsi="Times New Roman" w:cs="Times New Roman"/>
          <w:sz w:val="24"/>
          <w:szCs w:val="24"/>
        </w:rPr>
        <w:t>z </w:t>
      </w:r>
      <w:r w:rsidRPr="00EF6F97">
        <w:rPr>
          <w:rFonts w:ascii="Times New Roman" w:hAnsi="Times New Roman" w:cs="Times New Roman"/>
          <w:sz w:val="24"/>
          <w:szCs w:val="24"/>
        </w:rPr>
        <w:t>magazynu energii elektrycznej do sieci będzie zużyta prze</w:t>
      </w:r>
      <w:r w:rsidR="001D0628">
        <w:rPr>
          <w:rFonts w:ascii="Times New Roman" w:hAnsi="Times New Roman" w:cs="Times New Roman"/>
          <w:sz w:val="24"/>
          <w:szCs w:val="24"/>
        </w:rPr>
        <w:t>z </w:t>
      </w:r>
      <w:r w:rsidRPr="00EF6F97">
        <w:rPr>
          <w:rFonts w:ascii="Times New Roman" w:hAnsi="Times New Roman" w:cs="Times New Roman"/>
          <w:sz w:val="24"/>
          <w:szCs w:val="24"/>
        </w:rPr>
        <w:t>odbiorcę końcowego, który będzie</w:t>
      </w:r>
      <w:r w:rsidR="00E52CF7" w:rsidRPr="00EF6F97">
        <w:rPr>
          <w:rFonts w:ascii="Times New Roman" w:hAnsi="Times New Roman" w:cs="Times New Roman"/>
          <w:sz w:val="24"/>
          <w:szCs w:val="24"/>
        </w:rPr>
        <w:t xml:space="preserve"> obciążony opłatą sieciową za tę</w:t>
      </w:r>
      <w:r w:rsidRPr="00EF6F97">
        <w:rPr>
          <w:rFonts w:ascii="Times New Roman" w:hAnsi="Times New Roman" w:cs="Times New Roman"/>
          <w:sz w:val="24"/>
          <w:szCs w:val="24"/>
        </w:rPr>
        <w:t xml:space="preserve"> ilość zużytej energii elektrycznej. Obciążenie stawką sieciową zmienną będzie zatem stosowane wyłącznie w odniesieniu do energii elektrycznej będącej stratą własną magazynu energii elektrycznej. Zasada ta pozwoli na kierowanie właściwych impulsów ekonomicznych skłaniających do poszukiwania najbardziej efektywnych rozwiązań. Proponuje się przyjęcie podobnego mechanizmu w przypadku składnika stałego opłaty sieciowej, obliczanego na je</w:t>
      </w:r>
      <w:r w:rsidR="00FF3CB3" w:rsidRPr="00EF6F97">
        <w:rPr>
          <w:rFonts w:ascii="Times New Roman" w:hAnsi="Times New Roman" w:cs="Times New Roman"/>
          <w:sz w:val="24"/>
          <w:szCs w:val="24"/>
        </w:rPr>
        <w:t>dnostkę mocy umownej. Tak więc projekt ustawy przewiduje, że</w:t>
      </w:r>
      <w:r w:rsidRPr="00EF6F97">
        <w:rPr>
          <w:rFonts w:ascii="Times New Roman" w:hAnsi="Times New Roman" w:cs="Times New Roman"/>
          <w:sz w:val="24"/>
          <w:szCs w:val="24"/>
        </w:rPr>
        <w:t xml:space="preserve"> moc umowna przyjmowana do rozliczeń, </w:t>
      </w:r>
      <w:r w:rsidR="001D0628">
        <w:rPr>
          <w:rFonts w:ascii="Times New Roman" w:hAnsi="Times New Roman" w:cs="Times New Roman"/>
          <w:sz w:val="24"/>
          <w:szCs w:val="24"/>
        </w:rPr>
        <w:t>z </w:t>
      </w:r>
      <w:r w:rsidRPr="00EF6F97">
        <w:rPr>
          <w:rFonts w:ascii="Times New Roman" w:hAnsi="Times New Roman" w:cs="Times New Roman"/>
          <w:sz w:val="24"/>
          <w:szCs w:val="24"/>
        </w:rPr>
        <w:t>wyjątkiem przekroczeń mocy umownej, dla mag</w:t>
      </w:r>
      <w:r w:rsidR="00FF3CB3" w:rsidRPr="00EF6F97">
        <w:rPr>
          <w:rFonts w:ascii="Times New Roman" w:hAnsi="Times New Roman" w:cs="Times New Roman"/>
          <w:sz w:val="24"/>
          <w:szCs w:val="24"/>
        </w:rPr>
        <w:t>azynu energii elektrycznej będzie</w:t>
      </w:r>
      <w:r w:rsidRPr="00EF6F97">
        <w:rPr>
          <w:rFonts w:ascii="Times New Roman" w:hAnsi="Times New Roman" w:cs="Times New Roman"/>
          <w:sz w:val="24"/>
          <w:szCs w:val="24"/>
        </w:rPr>
        <w:t xml:space="preserve"> korygowana współczynnikiem wynikającym </w:t>
      </w:r>
      <w:r w:rsidR="001D0628">
        <w:rPr>
          <w:rFonts w:ascii="Times New Roman" w:hAnsi="Times New Roman" w:cs="Times New Roman"/>
          <w:sz w:val="24"/>
          <w:szCs w:val="24"/>
        </w:rPr>
        <w:t>z </w:t>
      </w:r>
      <w:r w:rsidRPr="00EF6F97">
        <w:rPr>
          <w:rFonts w:ascii="Times New Roman" w:hAnsi="Times New Roman" w:cs="Times New Roman"/>
          <w:sz w:val="24"/>
          <w:szCs w:val="24"/>
        </w:rPr>
        <w:t>potrzeb własnych magazynu</w:t>
      </w:r>
      <w:r w:rsidR="006315C7">
        <w:rPr>
          <w:rFonts w:ascii="Times New Roman" w:hAnsi="Times New Roman" w:cs="Times New Roman"/>
          <w:sz w:val="24"/>
          <w:szCs w:val="24"/>
        </w:rPr>
        <w:t>,</w:t>
      </w:r>
      <w:r w:rsidRPr="00EF6F97">
        <w:rPr>
          <w:rFonts w:ascii="Times New Roman" w:hAnsi="Times New Roman" w:cs="Times New Roman"/>
          <w:sz w:val="24"/>
          <w:szCs w:val="24"/>
        </w:rPr>
        <w:t xml:space="preserve"> tj. </w:t>
      </w:r>
      <w:r w:rsidR="001D0628">
        <w:rPr>
          <w:rFonts w:ascii="Times New Roman" w:hAnsi="Times New Roman" w:cs="Times New Roman"/>
          <w:sz w:val="24"/>
          <w:szCs w:val="24"/>
        </w:rPr>
        <w:t>z </w:t>
      </w:r>
      <w:r w:rsidRPr="00EF6F97">
        <w:rPr>
          <w:rFonts w:ascii="Times New Roman" w:hAnsi="Times New Roman" w:cs="Times New Roman"/>
          <w:sz w:val="24"/>
          <w:szCs w:val="24"/>
        </w:rPr>
        <w:t>proporcji między energią pobraną prze</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magazyn a oddaną do sieci </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tego magazynu. Proporcja mogłaby być obliczona w oparciu o dane pomiarowe </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12 kolejnych miesięcy. Regulacja mogłaby dopuszczać odrzucenie, </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wybranych 12 miesięcy, miesięcy zawierających dane skrajne – tzn. miesięcy </w:t>
      </w:r>
      <w:r w:rsidR="001D0628">
        <w:rPr>
          <w:rFonts w:ascii="Times New Roman" w:hAnsi="Times New Roman" w:cs="Times New Roman"/>
          <w:sz w:val="24"/>
          <w:szCs w:val="24"/>
        </w:rPr>
        <w:t>z </w:t>
      </w:r>
      <w:r w:rsidRPr="00EF6F97">
        <w:rPr>
          <w:rFonts w:ascii="Times New Roman" w:hAnsi="Times New Roman" w:cs="Times New Roman"/>
          <w:sz w:val="24"/>
          <w:szCs w:val="24"/>
        </w:rPr>
        <w:t>najwyższym obliczonym współczynnikiem</w:t>
      </w:r>
      <w:r w:rsidR="001D0628">
        <w:rPr>
          <w:rFonts w:ascii="Times New Roman" w:hAnsi="Times New Roman" w:cs="Times New Roman"/>
          <w:sz w:val="24"/>
          <w:szCs w:val="24"/>
        </w:rPr>
        <w:t xml:space="preserve"> i z </w:t>
      </w:r>
      <w:r w:rsidRPr="00EF6F97">
        <w:rPr>
          <w:rFonts w:ascii="Times New Roman" w:hAnsi="Times New Roman" w:cs="Times New Roman"/>
          <w:sz w:val="24"/>
          <w:szCs w:val="24"/>
        </w:rPr>
        <w:t>najniższym. W rezultacie powstanie bodziec cenowy dla rozwoju magazynów energii elektrycznej, promujący magazyny najbardziej sprawne.</w:t>
      </w:r>
      <w:r w:rsidR="00C154EC" w:rsidRPr="00EF6F97">
        <w:rPr>
          <w:rFonts w:ascii="Times New Roman" w:hAnsi="Times New Roman" w:cs="Times New Roman"/>
          <w:sz w:val="24"/>
          <w:szCs w:val="24"/>
        </w:rPr>
        <w:t>W przypadku magazynu będącego częścią jed</w:t>
      </w:r>
      <w:r w:rsidR="00E52CF7" w:rsidRPr="00EF6F97">
        <w:rPr>
          <w:rFonts w:ascii="Times New Roman" w:hAnsi="Times New Roman" w:cs="Times New Roman"/>
          <w:sz w:val="24"/>
          <w:szCs w:val="24"/>
        </w:rPr>
        <w:t>nostki wytwórczej stosuje się tę</w:t>
      </w:r>
      <w:r w:rsidR="00C154EC" w:rsidRPr="00EF6F97">
        <w:rPr>
          <w:rFonts w:ascii="Times New Roman" w:hAnsi="Times New Roman" w:cs="Times New Roman"/>
          <w:sz w:val="24"/>
          <w:szCs w:val="24"/>
        </w:rPr>
        <w:t xml:space="preserve"> samą zasadę, przy czym jako punkt wyjścia do ustalenia </w:t>
      </w:r>
      <w:r w:rsidR="00C154EC" w:rsidRPr="00EF6F97">
        <w:rPr>
          <w:rFonts w:ascii="Times New Roman" w:hAnsi="Times New Roman" w:cs="Times New Roman"/>
          <w:sz w:val="24"/>
          <w:szCs w:val="24"/>
        </w:rPr>
        <w:lastRenderedPageBreak/>
        <w:t xml:space="preserve">mocy do rozliczeń przyjmuje się łączną moc zainstalowaną magazynu energii elektrycznej. W przypadku nowo zainstalowanego magazynu energii elektrycznej w każdym przypadku do czasu zebrania danych pozwalających na określenie współczynnika przyjmuje się współczynnik wynikający </w:t>
      </w:r>
      <w:r w:rsidR="001D0628">
        <w:rPr>
          <w:rFonts w:ascii="Times New Roman" w:hAnsi="Times New Roman" w:cs="Times New Roman"/>
          <w:sz w:val="24"/>
          <w:szCs w:val="24"/>
        </w:rPr>
        <w:t>z </w:t>
      </w:r>
      <w:r w:rsidR="007C0858" w:rsidRPr="00EF6F97">
        <w:rPr>
          <w:rFonts w:ascii="Times New Roman" w:hAnsi="Times New Roman" w:cs="Times New Roman"/>
          <w:sz w:val="24"/>
          <w:szCs w:val="24"/>
        </w:rPr>
        <w:t>nominalnej</w:t>
      </w:r>
      <w:r w:rsidR="00C154EC" w:rsidRPr="00EF6F97">
        <w:rPr>
          <w:rFonts w:ascii="Times New Roman" w:hAnsi="Times New Roman" w:cs="Times New Roman"/>
          <w:sz w:val="24"/>
          <w:szCs w:val="24"/>
        </w:rPr>
        <w:t xml:space="preserve"> sprawności cyklu jednokrotnego ładowania, który następnie będzie weryfikowany w trakcie użytkowania magazynu, wywołując stosowne korekty po zakończeniu okresu</w:t>
      </w:r>
      <w:r w:rsidR="001D0628">
        <w:rPr>
          <w:rFonts w:ascii="Times New Roman" w:hAnsi="Times New Roman" w:cs="Times New Roman"/>
          <w:sz w:val="24"/>
          <w:szCs w:val="24"/>
        </w:rPr>
        <w:t xml:space="preserve"> i </w:t>
      </w:r>
      <w:r w:rsidR="00C154EC" w:rsidRPr="00EF6F97">
        <w:rPr>
          <w:rFonts w:ascii="Times New Roman" w:hAnsi="Times New Roman" w:cs="Times New Roman"/>
          <w:sz w:val="24"/>
          <w:szCs w:val="24"/>
        </w:rPr>
        <w:t xml:space="preserve">zebraniu danych dotyczących rzeczywistej eksploatacji. </w:t>
      </w:r>
      <w:r w:rsidR="00FF3CB3" w:rsidRPr="00EF6F97">
        <w:rPr>
          <w:rFonts w:ascii="Times New Roman" w:hAnsi="Times New Roman" w:cs="Times New Roman"/>
          <w:sz w:val="24"/>
          <w:szCs w:val="24"/>
        </w:rPr>
        <w:t>Dodatkowo konieczne będzie dokonanie zmian w rozporządzeniu „taryfowym”</w:t>
      </w:r>
      <w:r w:rsidR="0065591B" w:rsidRPr="00EF6F97">
        <w:rPr>
          <w:rFonts w:ascii="Times New Roman" w:hAnsi="Times New Roman" w:cs="Times New Roman"/>
          <w:sz w:val="24"/>
          <w:szCs w:val="24"/>
        </w:rPr>
        <w:t xml:space="preserve">, które powinno określać szczegółowo sposób rozliczeń za energię pobieraną </w:t>
      </w:r>
      <w:r w:rsidR="001D0628">
        <w:rPr>
          <w:rFonts w:ascii="Times New Roman" w:hAnsi="Times New Roman" w:cs="Times New Roman"/>
          <w:sz w:val="24"/>
          <w:szCs w:val="24"/>
        </w:rPr>
        <w:t>z </w:t>
      </w:r>
      <w:r w:rsidR="0065591B" w:rsidRPr="00EF6F97">
        <w:rPr>
          <w:rFonts w:ascii="Times New Roman" w:hAnsi="Times New Roman" w:cs="Times New Roman"/>
          <w:sz w:val="24"/>
          <w:szCs w:val="24"/>
        </w:rPr>
        <w:t>sieci</w:t>
      </w:r>
      <w:r w:rsidR="001D0628">
        <w:rPr>
          <w:rFonts w:ascii="Times New Roman" w:hAnsi="Times New Roman" w:cs="Times New Roman"/>
          <w:sz w:val="24"/>
          <w:szCs w:val="24"/>
        </w:rPr>
        <w:t xml:space="preserve"> i </w:t>
      </w:r>
      <w:r w:rsidR="0065591B" w:rsidRPr="00EF6F97">
        <w:rPr>
          <w:rFonts w:ascii="Times New Roman" w:hAnsi="Times New Roman" w:cs="Times New Roman"/>
          <w:sz w:val="24"/>
          <w:szCs w:val="24"/>
        </w:rPr>
        <w:t>wprowadzaną do sieci prze</w:t>
      </w:r>
      <w:r w:rsidR="001D0628">
        <w:rPr>
          <w:rFonts w:ascii="Times New Roman" w:hAnsi="Times New Roman" w:cs="Times New Roman"/>
          <w:sz w:val="24"/>
          <w:szCs w:val="24"/>
        </w:rPr>
        <w:t>z </w:t>
      </w:r>
      <w:r w:rsidR="0065591B" w:rsidRPr="00EF6F97">
        <w:rPr>
          <w:rFonts w:ascii="Times New Roman" w:hAnsi="Times New Roman" w:cs="Times New Roman"/>
          <w:sz w:val="24"/>
          <w:szCs w:val="24"/>
        </w:rPr>
        <w:t>magazyny energii elektrycznej ora</w:t>
      </w:r>
      <w:r w:rsidR="001D0628">
        <w:rPr>
          <w:rFonts w:ascii="Times New Roman" w:hAnsi="Times New Roman" w:cs="Times New Roman"/>
          <w:sz w:val="24"/>
          <w:szCs w:val="24"/>
        </w:rPr>
        <w:t>z </w:t>
      </w:r>
      <w:r w:rsidR="0065591B" w:rsidRPr="00EF6F97">
        <w:rPr>
          <w:rFonts w:ascii="Times New Roman" w:hAnsi="Times New Roman" w:cs="Times New Roman"/>
          <w:sz w:val="24"/>
          <w:szCs w:val="24"/>
        </w:rPr>
        <w:t>doprecyzować sposób ustalania współczynnika służącego do obliczania składnika stałego opłaty sieciowej. S</w:t>
      </w:r>
      <w:r w:rsidR="00FF3CB3" w:rsidRPr="00EF6F97">
        <w:rPr>
          <w:rFonts w:ascii="Times New Roman" w:hAnsi="Times New Roman" w:cs="Times New Roman"/>
          <w:sz w:val="24"/>
          <w:szCs w:val="24"/>
        </w:rPr>
        <w:t xml:space="preserve">tawka jakościowa </w:t>
      </w:r>
      <w:r w:rsidR="0065591B" w:rsidRPr="00EF6F97">
        <w:rPr>
          <w:rFonts w:ascii="Times New Roman" w:hAnsi="Times New Roman" w:cs="Times New Roman"/>
          <w:sz w:val="24"/>
          <w:szCs w:val="24"/>
        </w:rPr>
        <w:t>powinna być</w:t>
      </w:r>
      <w:r w:rsidR="00FF3CB3" w:rsidRPr="00EF6F97">
        <w:rPr>
          <w:rFonts w:ascii="Times New Roman" w:hAnsi="Times New Roman" w:cs="Times New Roman"/>
          <w:sz w:val="24"/>
          <w:szCs w:val="24"/>
        </w:rPr>
        <w:t xml:space="preserve"> obliczana na analogicznych zasadach jak składnik zmienny stawki sieciowej. Znajduje to swoje uzasadnienie w tym, że co do zasady stawka jakościowa związana jest </w:t>
      </w:r>
      <w:r w:rsidR="001D0628">
        <w:rPr>
          <w:rFonts w:ascii="Times New Roman" w:hAnsi="Times New Roman" w:cs="Times New Roman"/>
          <w:sz w:val="24"/>
          <w:szCs w:val="24"/>
        </w:rPr>
        <w:t>z </w:t>
      </w:r>
      <w:r w:rsidR="00FF3CB3" w:rsidRPr="00EF6F97">
        <w:rPr>
          <w:rFonts w:ascii="Times New Roman" w:hAnsi="Times New Roman" w:cs="Times New Roman"/>
          <w:sz w:val="24"/>
          <w:szCs w:val="24"/>
        </w:rPr>
        <w:t>zapewnieniem bezpieczeństwa dostaw</w:t>
      </w:r>
      <w:r w:rsidR="006315C7">
        <w:rPr>
          <w:rFonts w:ascii="Times New Roman" w:hAnsi="Times New Roman" w:cs="Times New Roman"/>
          <w:sz w:val="24"/>
          <w:szCs w:val="24"/>
        </w:rPr>
        <w:t>,</w:t>
      </w:r>
      <w:r w:rsidR="00FF3CB3" w:rsidRPr="00EF6F97">
        <w:rPr>
          <w:rFonts w:ascii="Times New Roman" w:hAnsi="Times New Roman" w:cs="Times New Roman"/>
          <w:sz w:val="24"/>
          <w:szCs w:val="24"/>
        </w:rPr>
        <w:t xml:space="preserve"> do czego w istotny sposób przyczyniać się będzie magazynowanie energii elektrycznej. Zatem obciążanie energii pobranej prze</w:t>
      </w:r>
      <w:r w:rsidR="001D0628">
        <w:rPr>
          <w:rFonts w:ascii="Times New Roman" w:hAnsi="Times New Roman" w:cs="Times New Roman"/>
          <w:sz w:val="24"/>
          <w:szCs w:val="24"/>
        </w:rPr>
        <w:t>z </w:t>
      </w:r>
      <w:r w:rsidR="00FF3CB3" w:rsidRPr="00EF6F97">
        <w:rPr>
          <w:rFonts w:ascii="Times New Roman" w:hAnsi="Times New Roman" w:cs="Times New Roman"/>
          <w:sz w:val="24"/>
          <w:szCs w:val="24"/>
        </w:rPr>
        <w:t xml:space="preserve">magazyn energii elektrycznej tą opłatą w całości pozostawałoby w sprzeczności </w:t>
      </w:r>
      <w:r w:rsidR="001D0628">
        <w:rPr>
          <w:rFonts w:ascii="Times New Roman" w:hAnsi="Times New Roman" w:cs="Times New Roman"/>
          <w:sz w:val="24"/>
          <w:szCs w:val="24"/>
        </w:rPr>
        <w:t>z </w:t>
      </w:r>
      <w:r w:rsidR="00FF3CB3" w:rsidRPr="00EF6F97">
        <w:rPr>
          <w:rFonts w:ascii="Times New Roman" w:hAnsi="Times New Roman" w:cs="Times New Roman"/>
          <w:sz w:val="24"/>
          <w:szCs w:val="24"/>
        </w:rPr>
        <w:t xml:space="preserve">podstawowym celem wprowadzenia opłaty jakościowej. </w:t>
      </w:r>
    </w:p>
    <w:p w14:paraId="11C438AA" w14:textId="578D3D6E" w:rsidR="00C154EC"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F57EBE" w:rsidRPr="00EF6F97">
        <w:rPr>
          <w:rFonts w:ascii="Times New Roman" w:hAnsi="Times New Roman" w:cs="Times New Roman"/>
          <w:sz w:val="24"/>
          <w:szCs w:val="24"/>
        </w:rPr>
        <w:t xml:space="preserve">Ze względu na zmienioną definicję odbiorcy końcowego opłata przejściowa nie będzie stosowana w przypadku magazynowania energii elektrycznej. </w:t>
      </w:r>
      <w:r w:rsidR="00C154EC" w:rsidRPr="00EF6F97">
        <w:rPr>
          <w:rFonts w:ascii="Times New Roman" w:hAnsi="Times New Roman" w:cs="Times New Roman"/>
          <w:sz w:val="24"/>
          <w:szCs w:val="24"/>
        </w:rPr>
        <w:t>Uzasadnieniem tego jest fakt, że opłaty te są obecnie ponoszone wyłącznie prze</w:t>
      </w:r>
      <w:r w:rsidR="001D0628">
        <w:rPr>
          <w:rFonts w:ascii="Times New Roman" w:hAnsi="Times New Roman" w:cs="Times New Roman"/>
          <w:sz w:val="24"/>
          <w:szCs w:val="24"/>
        </w:rPr>
        <w:t>z </w:t>
      </w:r>
      <w:r w:rsidR="00C154EC" w:rsidRPr="00EF6F97">
        <w:rPr>
          <w:rFonts w:ascii="Times New Roman" w:hAnsi="Times New Roman" w:cs="Times New Roman"/>
          <w:sz w:val="24"/>
          <w:szCs w:val="24"/>
        </w:rPr>
        <w:t>odbiorców końcowych</w:t>
      </w:r>
      <w:r w:rsidR="001D0628">
        <w:rPr>
          <w:rFonts w:ascii="Times New Roman" w:hAnsi="Times New Roman" w:cs="Times New Roman"/>
          <w:sz w:val="24"/>
          <w:szCs w:val="24"/>
        </w:rPr>
        <w:t xml:space="preserve"> i </w:t>
      </w:r>
      <w:r w:rsidR="00C154EC" w:rsidRPr="00EF6F97">
        <w:rPr>
          <w:rFonts w:ascii="Times New Roman" w:hAnsi="Times New Roman" w:cs="Times New Roman"/>
          <w:sz w:val="24"/>
          <w:szCs w:val="24"/>
        </w:rPr>
        <w:t>nie są nimi obciążane podmioty prowadzące działalność w zakresie wytwarzania, dystrybucji lub przesyłu energii elektrycznej.</w:t>
      </w:r>
      <w:r w:rsidR="006315C7">
        <w:rPr>
          <w:rFonts w:ascii="Times New Roman" w:hAnsi="Times New Roman" w:cs="Times New Roman"/>
          <w:sz w:val="24"/>
          <w:szCs w:val="24"/>
        </w:rPr>
        <w:t xml:space="preserve"> </w:t>
      </w:r>
      <w:r w:rsidR="0065591B" w:rsidRPr="00EF6F97">
        <w:rPr>
          <w:rFonts w:ascii="Times New Roman" w:hAnsi="Times New Roman" w:cs="Times New Roman"/>
          <w:sz w:val="24"/>
          <w:szCs w:val="24"/>
        </w:rPr>
        <w:t>Prze</w:t>
      </w:r>
      <w:r w:rsidR="001D0628">
        <w:rPr>
          <w:rFonts w:ascii="Times New Roman" w:hAnsi="Times New Roman" w:cs="Times New Roman"/>
          <w:sz w:val="24"/>
          <w:szCs w:val="24"/>
        </w:rPr>
        <w:t>z </w:t>
      </w:r>
      <w:r w:rsidR="0065591B" w:rsidRPr="00EF6F97">
        <w:rPr>
          <w:rFonts w:ascii="Times New Roman" w:hAnsi="Times New Roman" w:cs="Times New Roman"/>
          <w:sz w:val="24"/>
          <w:szCs w:val="24"/>
        </w:rPr>
        <w:t>zmianę definicji odbiorcy końcowego</w:t>
      </w:r>
      <w:r w:rsidR="00C154EC" w:rsidRPr="00EF6F97">
        <w:rPr>
          <w:rFonts w:ascii="Times New Roman" w:hAnsi="Times New Roman" w:cs="Times New Roman"/>
          <w:sz w:val="24"/>
          <w:szCs w:val="24"/>
        </w:rPr>
        <w:t xml:space="preserve"> nastąpi </w:t>
      </w:r>
      <w:r w:rsidR="0065591B" w:rsidRPr="00EF6F97">
        <w:rPr>
          <w:rFonts w:ascii="Times New Roman" w:hAnsi="Times New Roman" w:cs="Times New Roman"/>
          <w:sz w:val="24"/>
          <w:szCs w:val="24"/>
        </w:rPr>
        <w:t xml:space="preserve">również </w:t>
      </w:r>
      <w:r w:rsidR="00C154EC" w:rsidRPr="00EF6F97">
        <w:rPr>
          <w:rFonts w:ascii="Times New Roman" w:hAnsi="Times New Roman" w:cs="Times New Roman"/>
          <w:sz w:val="24"/>
          <w:szCs w:val="24"/>
        </w:rPr>
        <w:t xml:space="preserve">zwolnienie </w:t>
      </w:r>
      <w:r w:rsidR="001D0628">
        <w:rPr>
          <w:rFonts w:ascii="Times New Roman" w:hAnsi="Times New Roman" w:cs="Times New Roman"/>
          <w:sz w:val="24"/>
          <w:szCs w:val="24"/>
        </w:rPr>
        <w:t>z </w:t>
      </w:r>
      <w:r w:rsidR="00C154EC" w:rsidRPr="00EF6F97">
        <w:rPr>
          <w:rFonts w:ascii="Times New Roman" w:hAnsi="Times New Roman" w:cs="Times New Roman"/>
          <w:sz w:val="24"/>
          <w:szCs w:val="24"/>
        </w:rPr>
        <w:t xml:space="preserve">obowiązku przedstawiania do umorzenia świadectw pochodzenia </w:t>
      </w:r>
      <w:r w:rsidR="001D0628">
        <w:rPr>
          <w:rFonts w:ascii="Times New Roman" w:hAnsi="Times New Roman" w:cs="Times New Roman"/>
          <w:sz w:val="24"/>
          <w:szCs w:val="24"/>
        </w:rPr>
        <w:t>z </w:t>
      </w:r>
      <w:r w:rsidR="00C154EC" w:rsidRPr="00EF6F97">
        <w:rPr>
          <w:rFonts w:ascii="Times New Roman" w:hAnsi="Times New Roman" w:cs="Times New Roman"/>
          <w:sz w:val="24"/>
          <w:szCs w:val="24"/>
        </w:rPr>
        <w:t>kogeneracji w odniesieniu do energii elektrycznej pobranej</w:t>
      </w:r>
      <w:r w:rsidR="001D0628">
        <w:rPr>
          <w:rFonts w:ascii="Times New Roman" w:hAnsi="Times New Roman" w:cs="Times New Roman"/>
          <w:sz w:val="24"/>
          <w:szCs w:val="24"/>
        </w:rPr>
        <w:t xml:space="preserve"> i </w:t>
      </w:r>
      <w:r w:rsidR="00C154EC" w:rsidRPr="00EF6F97">
        <w:rPr>
          <w:rFonts w:ascii="Times New Roman" w:hAnsi="Times New Roman" w:cs="Times New Roman"/>
          <w:sz w:val="24"/>
          <w:szCs w:val="24"/>
        </w:rPr>
        <w:t>zużytej prze</w:t>
      </w:r>
      <w:r w:rsidR="001D0628">
        <w:rPr>
          <w:rFonts w:ascii="Times New Roman" w:hAnsi="Times New Roman" w:cs="Times New Roman"/>
          <w:sz w:val="24"/>
          <w:szCs w:val="24"/>
        </w:rPr>
        <w:t>z </w:t>
      </w:r>
      <w:r w:rsidR="00C154EC" w:rsidRPr="00EF6F97">
        <w:rPr>
          <w:rFonts w:ascii="Times New Roman" w:hAnsi="Times New Roman" w:cs="Times New Roman"/>
          <w:sz w:val="24"/>
          <w:szCs w:val="24"/>
        </w:rPr>
        <w:t>magazyn energii elektrycznej na potrzeby magazynowania energii elektrycznej. Rozwiązanie to pozwoli na uniknięcie podwójnego obciążenia ra</w:t>
      </w:r>
      <w:r w:rsidR="001D0628">
        <w:rPr>
          <w:rFonts w:ascii="Times New Roman" w:hAnsi="Times New Roman" w:cs="Times New Roman"/>
          <w:sz w:val="24"/>
          <w:szCs w:val="24"/>
        </w:rPr>
        <w:t>z </w:t>
      </w:r>
      <w:r w:rsidR="00C154EC" w:rsidRPr="00EF6F97">
        <w:rPr>
          <w:rFonts w:ascii="Times New Roman" w:hAnsi="Times New Roman" w:cs="Times New Roman"/>
          <w:sz w:val="24"/>
          <w:szCs w:val="24"/>
        </w:rPr>
        <w:t xml:space="preserve">wytworzonej energii obowiązkiem przedstawiania do umorzenia świadectw pochodzenia </w:t>
      </w:r>
      <w:r w:rsidR="001D0628">
        <w:rPr>
          <w:rFonts w:ascii="Times New Roman" w:hAnsi="Times New Roman" w:cs="Times New Roman"/>
          <w:sz w:val="24"/>
          <w:szCs w:val="24"/>
        </w:rPr>
        <w:t>z </w:t>
      </w:r>
      <w:r w:rsidR="00C154EC" w:rsidRPr="00EF6F97">
        <w:rPr>
          <w:rFonts w:ascii="Times New Roman" w:hAnsi="Times New Roman" w:cs="Times New Roman"/>
          <w:sz w:val="24"/>
          <w:szCs w:val="24"/>
        </w:rPr>
        <w:t xml:space="preserve">kogeneracji. </w:t>
      </w:r>
    </w:p>
    <w:p w14:paraId="2FBE87A2" w14:textId="607A8EAF" w:rsidR="00C154EC"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C154EC" w:rsidRPr="00EF6F97">
        <w:rPr>
          <w:rFonts w:ascii="Times New Roman" w:hAnsi="Times New Roman" w:cs="Times New Roman"/>
          <w:sz w:val="24"/>
          <w:szCs w:val="24"/>
        </w:rPr>
        <w:t xml:space="preserve">W ustawie </w:t>
      </w:r>
      <w:r w:rsidR="006445BE">
        <w:rPr>
          <w:rFonts w:ascii="Times New Roman" w:hAnsi="Times New Roman" w:cs="Times New Roman"/>
          <w:sz w:val="24"/>
          <w:szCs w:val="24"/>
        </w:rPr>
        <w:t xml:space="preserve">z dnia </w:t>
      </w:r>
      <w:r w:rsidR="006445BE" w:rsidRPr="006445BE">
        <w:rPr>
          <w:rFonts w:ascii="Times New Roman" w:hAnsi="Times New Roman" w:cs="Times New Roman"/>
          <w:sz w:val="24"/>
          <w:szCs w:val="24"/>
        </w:rPr>
        <w:t>6 grudnia 2008 r.</w:t>
      </w:r>
      <w:r w:rsidR="006445BE" w:rsidRPr="00986BAE">
        <w:t xml:space="preserve"> </w:t>
      </w:r>
      <w:r w:rsidR="00C154EC" w:rsidRPr="00EF6F97">
        <w:rPr>
          <w:rFonts w:ascii="Times New Roman" w:hAnsi="Times New Roman" w:cs="Times New Roman"/>
          <w:sz w:val="24"/>
          <w:szCs w:val="24"/>
        </w:rPr>
        <w:t xml:space="preserve">o podatku akcyzowym proponuje się zmianę definicji nabywcy końcowego wyłączającą </w:t>
      </w:r>
      <w:r w:rsidR="001D0628">
        <w:rPr>
          <w:rFonts w:ascii="Times New Roman" w:hAnsi="Times New Roman" w:cs="Times New Roman"/>
          <w:sz w:val="24"/>
          <w:szCs w:val="24"/>
        </w:rPr>
        <w:t>z </w:t>
      </w:r>
      <w:r w:rsidR="00C154EC" w:rsidRPr="00EF6F97">
        <w:rPr>
          <w:rFonts w:ascii="Times New Roman" w:hAnsi="Times New Roman" w:cs="Times New Roman"/>
          <w:sz w:val="24"/>
          <w:szCs w:val="24"/>
        </w:rPr>
        <w:t>obowiązku akcyzowego nabycie energii elektrycznej prze</w:t>
      </w:r>
      <w:r w:rsidR="001D0628">
        <w:rPr>
          <w:rFonts w:ascii="Times New Roman" w:hAnsi="Times New Roman" w:cs="Times New Roman"/>
          <w:sz w:val="24"/>
          <w:szCs w:val="24"/>
        </w:rPr>
        <w:t>z </w:t>
      </w:r>
      <w:r w:rsidR="00C154EC" w:rsidRPr="00EF6F97">
        <w:rPr>
          <w:rFonts w:ascii="Times New Roman" w:hAnsi="Times New Roman" w:cs="Times New Roman"/>
          <w:sz w:val="24"/>
          <w:szCs w:val="24"/>
        </w:rPr>
        <w:t>podmiot prowadzący działalność w zakresie magazynowania energii elektrycznej</w:t>
      </w:r>
      <w:r w:rsidR="001D0628">
        <w:rPr>
          <w:rFonts w:ascii="Times New Roman" w:hAnsi="Times New Roman" w:cs="Times New Roman"/>
          <w:sz w:val="24"/>
          <w:szCs w:val="24"/>
        </w:rPr>
        <w:t xml:space="preserve"> i </w:t>
      </w:r>
      <w:r w:rsidR="00C154EC" w:rsidRPr="00EF6F97">
        <w:rPr>
          <w:rFonts w:ascii="Times New Roman" w:hAnsi="Times New Roman" w:cs="Times New Roman"/>
          <w:sz w:val="24"/>
          <w:szCs w:val="24"/>
        </w:rPr>
        <w:t>posiadający koncesję na magazynowanie energii elektrycznej. Proponowane zwolnienie pozwoli uniknąć podwójnego obciążenia ra</w:t>
      </w:r>
      <w:r w:rsidR="001D0628">
        <w:rPr>
          <w:rFonts w:ascii="Times New Roman" w:hAnsi="Times New Roman" w:cs="Times New Roman"/>
          <w:sz w:val="24"/>
          <w:szCs w:val="24"/>
        </w:rPr>
        <w:t>z </w:t>
      </w:r>
      <w:r w:rsidR="00C154EC" w:rsidRPr="00EF6F97">
        <w:rPr>
          <w:rFonts w:ascii="Times New Roman" w:hAnsi="Times New Roman" w:cs="Times New Roman"/>
          <w:sz w:val="24"/>
          <w:szCs w:val="24"/>
        </w:rPr>
        <w:t>wytworzonej energii podatkiem akcyzowym ze względu na to, że akcyzą obciążona jest energiadostarczona do odbiorcy końcowego. Rozwiązanie to zapewni podobne traktowanie podmiotów prowadząc</w:t>
      </w:r>
      <w:r w:rsidR="006315C7">
        <w:rPr>
          <w:rFonts w:ascii="Times New Roman" w:hAnsi="Times New Roman" w:cs="Times New Roman"/>
          <w:sz w:val="24"/>
          <w:szCs w:val="24"/>
        </w:rPr>
        <w:t>ych</w:t>
      </w:r>
      <w:r w:rsidR="00C154EC" w:rsidRPr="00EF6F97">
        <w:rPr>
          <w:rFonts w:ascii="Times New Roman" w:hAnsi="Times New Roman" w:cs="Times New Roman"/>
          <w:sz w:val="24"/>
          <w:szCs w:val="24"/>
        </w:rPr>
        <w:t xml:space="preserve"> działalność w zakresie magazynowania energii, jak podmiotów posiadających koncesję na </w:t>
      </w:r>
      <w:r w:rsidR="00C154EC" w:rsidRPr="00EF6F97">
        <w:rPr>
          <w:rFonts w:ascii="Times New Roman" w:hAnsi="Times New Roman" w:cs="Times New Roman"/>
          <w:sz w:val="24"/>
          <w:szCs w:val="24"/>
        </w:rPr>
        <w:lastRenderedPageBreak/>
        <w:t>wytwarzanie, przesyłanie, dystrybucję lub obrót energią elektryczną.</w:t>
      </w:r>
    </w:p>
    <w:p w14:paraId="3B661C55" w14:textId="6972499E" w:rsidR="00E70B10" w:rsidRPr="00EF6F97"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E70B10" w:rsidRPr="00EF6F97">
        <w:rPr>
          <w:rFonts w:ascii="Times New Roman" w:hAnsi="Times New Roman" w:cs="Times New Roman"/>
          <w:sz w:val="24"/>
          <w:szCs w:val="24"/>
        </w:rPr>
        <w:t xml:space="preserve">W ustawie </w:t>
      </w:r>
      <w:r w:rsidR="006445BE">
        <w:rPr>
          <w:rFonts w:ascii="Times New Roman" w:hAnsi="Times New Roman" w:cs="Times New Roman"/>
          <w:sz w:val="24"/>
          <w:szCs w:val="24"/>
        </w:rPr>
        <w:t xml:space="preserve">z dnia 20 lutego 2015 r. </w:t>
      </w:r>
      <w:r w:rsidR="00E70B10" w:rsidRPr="00EF6F97">
        <w:rPr>
          <w:rFonts w:ascii="Times New Roman" w:hAnsi="Times New Roman" w:cs="Times New Roman"/>
          <w:sz w:val="24"/>
          <w:szCs w:val="24"/>
        </w:rPr>
        <w:t>o odnawialnych źródłach energii dostosowano definicje do ustawy – Prawo energetyczne ora</w:t>
      </w:r>
      <w:r w:rsidR="001D0628">
        <w:rPr>
          <w:rFonts w:ascii="Times New Roman" w:hAnsi="Times New Roman" w:cs="Times New Roman"/>
          <w:sz w:val="24"/>
          <w:szCs w:val="24"/>
        </w:rPr>
        <w:t>z </w:t>
      </w:r>
      <w:r w:rsidR="00E70B10" w:rsidRPr="00EF6F97">
        <w:rPr>
          <w:rFonts w:ascii="Times New Roman" w:hAnsi="Times New Roman" w:cs="Times New Roman"/>
          <w:sz w:val="24"/>
          <w:szCs w:val="24"/>
        </w:rPr>
        <w:t>określono warunki</w:t>
      </w:r>
      <w:r w:rsidR="006315C7">
        <w:rPr>
          <w:rFonts w:ascii="Times New Roman" w:hAnsi="Times New Roman" w:cs="Times New Roman"/>
          <w:sz w:val="24"/>
          <w:szCs w:val="24"/>
        </w:rPr>
        <w:t>,</w:t>
      </w:r>
      <w:r w:rsidR="00E70B10" w:rsidRPr="00EF6F97">
        <w:rPr>
          <w:rFonts w:ascii="Times New Roman" w:hAnsi="Times New Roman" w:cs="Times New Roman"/>
          <w:sz w:val="24"/>
          <w:szCs w:val="24"/>
        </w:rPr>
        <w:t xml:space="preserve"> na jakich magazyn energii współpracuje </w:t>
      </w:r>
      <w:r w:rsidR="001D0628">
        <w:rPr>
          <w:rFonts w:ascii="Times New Roman" w:hAnsi="Times New Roman" w:cs="Times New Roman"/>
          <w:sz w:val="24"/>
          <w:szCs w:val="24"/>
        </w:rPr>
        <w:t>z </w:t>
      </w:r>
      <w:r w:rsidR="00E70B10" w:rsidRPr="00EF6F97">
        <w:rPr>
          <w:rFonts w:ascii="Times New Roman" w:hAnsi="Times New Roman" w:cs="Times New Roman"/>
          <w:sz w:val="24"/>
          <w:szCs w:val="24"/>
        </w:rPr>
        <w:t xml:space="preserve">instalacją OZE, której jest częścią (jest przyłączony do sieci wewnętrznej instalacji OZE). </w:t>
      </w:r>
      <w:r w:rsidR="00645C7B" w:rsidRPr="00EF6F97">
        <w:rPr>
          <w:rFonts w:ascii="Times New Roman" w:hAnsi="Times New Roman" w:cs="Times New Roman"/>
          <w:sz w:val="24"/>
          <w:szCs w:val="24"/>
        </w:rPr>
        <w:t>W szczególności dokonano rozszerzenia definicji hybrydowej instalacji odnawialnego źródła energii, które poza obecnie obowiązującym zespołem urządzeń może alternatywnie obejmować instalację odnawialnego źródła energii wra</w:t>
      </w:r>
      <w:r w:rsidR="001D0628">
        <w:rPr>
          <w:rFonts w:ascii="Times New Roman" w:hAnsi="Times New Roman" w:cs="Times New Roman"/>
          <w:sz w:val="24"/>
          <w:szCs w:val="24"/>
        </w:rPr>
        <w:t>z z </w:t>
      </w:r>
      <w:r w:rsidR="00645C7B" w:rsidRPr="00EF6F97">
        <w:rPr>
          <w:rFonts w:ascii="Times New Roman" w:hAnsi="Times New Roman" w:cs="Times New Roman"/>
          <w:sz w:val="24"/>
          <w:szCs w:val="24"/>
        </w:rPr>
        <w:t xml:space="preserve">magazynem energii elektrycznej. </w:t>
      </w:r>
    </w:p>
    <w:p w14:paraId="5759B17C" w14:textId="58C0B4BA" w:rsidR="00E70B10" w:rsidRPr="00EF6F97" w:rsidRDefault="00E70B10" w:rsidP="006315C7">
      <w:pPr>
        <w:spacing w:line="360" w:lineRule="auto"/>
        <w:ind w:firstLine="708"/>
        <w:jc w:val="both"/>
        <w:rPr>
          <w:rFonts w:ascii="Times New Roman" w:hAnsi="Times New Roman" w:cs="Times New Roman"/>
          <w:sz w:val="24"/>
          <w:szCs w:val="24"/>
        </w:rPr>
      </w:pPr>
      <w:r w:rsidRPr="00EF6F97">
        <w:rPr>
          <w:rFonts w:ascii="Times New Roman" w:hAnsi="Times New Roman" w:cs="Times New Roman"/>
          <w:sz w:val="24"/>
          <w:szCs w:val="24"/>
        </w:rPr>
        <w:t xml:space="preserve">Dodatkowo zwolniono </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obowiązku przedstawiania do umorzenia świadectw pochodzenia </w:t>
      </w:r>
      <w:r w:rsidR="001D0628">
        <w:rPr>
          <w:rFonts w:ascii="Times New Roman" w:hAnsi="Times New Roman" w:cs="Times New Roman"/>
          <w:sz w:val="24"/>
          <w:szCs w:val="24"/>
        </w:rPr>
        <w:t>z </w:t>
      </w:r>
      <w:r w:rsidRPr="00EF6F97">
        <w:rPr>
          <w:rFonts w:ascii="Times New Roman" w:hAnsi="Times New Roman" w:cs="Times New Roman"/>
          <w:sz w:val="24"/>
          <w:szCs w:val="24"/>
        </w:rPr>
        <w:t>OZE energii elektrycznej pobranej</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zużytej prze</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magazyn energii elektrycznej na potrzeby magazynowania energii elektrycznej. </w:t>
      </w:r>
      <w:r w:rsidR="002F7BB5" w:rsidRPr="00EF6F97">
        <w:rPr>
          <w:rFonts w:ascii="Times New Roman" w:hAnsi="Times New Roman" w:cs="Times New Roman"/>
          <w:sz w:val="24"/>
          <w:szCs w:val="24"/>
        </w:rPr>
        <w:t>Zaproponowane rozwiązanie przewiduje, że dla energii</w:t>
      </w:r>
      <w:r w:rsidR="006315C7">
        <w:rPr>
          <w:rFonts w:ascii="Times New Roman" w:hAnsi="Times New Roman" w:cs="Times New Roman"/>
          <w:sz w:val="24"/>
          <w:szCs w:val="24"/>
        </w:rPr>
        <w:t>,</w:t>
      </w:r>
      <w:r w:rsidR="002F7BB5" w:rsidRPr="00EF6F97">
        <w:rPr>
          <w:rFonts w:ascii="Times New Roman" w:hAnsi="Times New Roman" w:cs="Times New Roman"/>
          <w:sz w:val="24"/>
          <w:szCs w:val="24"/>
        </w:rPr>
        <w:t xml:space="preserve"> która zostanie pobrana prze</w:t>
      </w:r>
      <w:r w:rsidR="001D0628">
        <w:rPr>
          <w:rFonts w:ascii="Times New Roman" w:hAnsi="Times New Roman" w:cs="Times New Roman"/>
          <w:sz w:val="24"/>
          <w:szCs w:val="24"/>
        </w:rPr>
        <w:t>z </w:t>
      </w:r>
      <w:r w:rsidR="002F7BB5" w:rsidRPr="00EF6F97">
        <w:rPr>
          <w:rFonts w:ascii="Times New Roman" w:hAnsi="Times New Roman" w:cs="Times New Roman"/>
          <w:sz w:val="24"/>
          <w:szCs w:val="24"/>
        </w:rPr>
        <w:t>magazyn energii elektrycznej na potrzeby magazynowania ora</w:t>
      </w:r>
      <w:r w:rsidR="001D0628">
        <w:rPr>
          <w:rFonts w:ascii="Times New Roman" w:hAnsi="Times New Roman" w:cs="Times New Roman"/>
          <w:sz w:val="24"/>
          <w:szCs w:val="24"/>
        </w:rPr>
        <w:t>z </w:t>
      </w:r>
      <w:r w:rsidR="002F7BB5" w:rsidRPr="00EF6F97">
        <w:rPr>
          <w:rFonts w:ascii="Times New Roman" w:hAnsi="Times New Roman" w:cs="Times New Roman"/>
          <w:sz w:val="24"/>
          <w:szCs w:val="24"/>
        </w:rPr>
        <w:t>na potrzeby własne magazynu</w:t>
      </w:r>
      <w:r w:rsidR="006315C7">
        <w:rPr>
          <w:rFonts w:ascii="Times New Roman" w:hAnsi="Times New Roman" w:cs="Times New Roman"/>
          <w:sz w:val="24"/>
          <w:szCs w:val="24"/>
        </w:rPr>
        <w:t>,</w:t>
      </w:r>
      <w:r w:rsidR="002F7BB5" w:rsidRPr="00EF6F97">
        <w:rPr>
          <w:rFonts w:ascii="Times New Roman" w:hAnsi="Times New Roman" w:cs="Times New Roman"/>
          <w:sz w:val="24"/>
          <w:szCs w:val="24"/>
        </w:rPr>
        <w:t xml:space="preserve"> nie będzie obowiązku przedstawiania do umorzenia świadectw pochodzenia </w:t>
      </w:r>
      <w:r w:rsidR="001D0628">
        <w:rPr>
          <w:rFonts w:ascii="Times New Roman" w:hAnsi="Times New Roman" w:cs="Times New Roman"/>
          <w:sz w:val="24"/>
          <w:szCs w:val="24"/>
        </w:rPr>
        <w:t>z </w:t>
      </w:r>
      <w:r w:rsidR="002F7BB5" w:rsidRPr="00EF6F97">
        <w:rPr>
          <w:rFonts w:ascii="Times New Roman" w:hAnsi="Times New Roman" w:cs="Times New Roman"/>
          <w:sz w:val="24"/>
          <w:szCs w:val="24"/>
        </w:rPr>
        <w:t xml:space="preserve">OZE. </w:t>
      </w:r>
      <w:r w:rsidRPr="00EF6F97">
        <w:rPr>
          <w:rFonts w:ascii="Times New Roman" w:hAnsi="Times New Roman" w:cs="Times New Roman"/>
          <w:sz w:val="24"/>
          <w:szCs w:val="24"/>
        </w:rPr>
        <w:t>Rozwiązanie to pozwoli na uniknięcie podwójnego obciążenia ra</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wytworzonej energii obowiązkiem przedstawiania do umorzenia świadectw pochodzenia </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OZE. </w:t>
      </w:r>
    </w:p>
    <w:p w14:paraId="26FABC43" w14:textId="053C12EC" w:rsidR="00E70B10"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E70B10" w:rsidRPr="00EF6F97">
        <w:rPr>
          <w:rFonts w:ascii="Times New Roman" w:hAnsi="Times New Roman" w:cs="Times New Roman"/>
          <w:sz w:val="24"/>
          <w:szCs w:val="24"/>
        </w:rPr>
        <w:t xml:space="preserve">Magazynowanie energii elektrycznej zwolniono także </w:t>
      </w:r>
      <w:r w:rsidR="001D0628">
        <w:rPr>
          <w:rFonts w:ascii="Times New Roman" w:hAnsi="Times New Roman" w:cs="Times New Roman"/>
          <w:sz w:val="24"/>
          <w:szCs w:val="24"/>
        </w:rPr>
        <w:t>z </w:t>
      </w:r>
      <w:r w:rsidR="00E70B10" w:rsidRPr="00EF6F97">
        <w:rPr>
          <w:rFonts w:ascii="Times New Roman" w:hAnsi="Times New Roman" w:cs="Times New Roman"/>
          <w:sz w:val="24"/>
          <w:szCs w:val="24"/>
        </w:rPr>
        <w:t>opłaty OZE, bowiem działalność w zakresie magazynowania energii elektrycznej, podobnie jak w przypadku wytwarzania, przesyłu</w:t>
      </w:r>
      <w:r w:rsidR="001D0628">
        <w:rPr>
          <w:rFonts w:ascii="Times New Roman" w:hAnsi="Times New Roman" w:cs="Times New Roman"/>
          <w:sz w:val="24"/>
          <w:szCs w:val="24"/>
        </w:rPr>
        <w:t xml:space="preserve"> i </w:t>
      </w:r>
      <w:r w:rsidR="00E70B10" w:rsidRPr="00EF6F97">
        <w:rPr>
          <w:rFonts w:ascii="Times New Roman" w:hAnsi="Times New Roman" w:cs="Times New Roman"/>
          <w:sz w:val="24"/>
          <w:szCs w:val="24"/>
        </w:rPr>
        <w:t>dystrybucji energii elektrycznej, w części</w:t>
      </w:r>
      <w:r w:rsidR="006315C7">
        <w:rPr>
          <w:rFonts w:ascii="Times New Roman" w:hAnsi="Times New Roman" w:cs="Times New Roman"/>
          <w:sz w:val="24"/>
          <w:szCs w:val="24"/>
        </w:rPr>
        <w:t>,</w:t>
      </w:r>
      <w:r w:rsidR="00E70B10" w:rsidRPr="00EF6F97">
        <w:rPr>
          <w:rFonts w:ascii="Times New Roman" w:hAnsi="Times New Roman" w:cs="Times New Roman"/>
          <w:sz w:val="24"/>
          <w:szCs w:val="24"/>
        </w:rPr>
        <w:t xml:space="preserve"> w jakiej jest ona zużywana na potrzeby magazynowania energii elektrycznej, nie ma cechy końcowego zużycia. Opłatę OZE ponoszą odbiorcy końcowi zużywający energię elektryczną na własne potrzeby. Ponadto magazynowanie energii elektrycznej przyczynia się do lepszego wykorzystania źródeł OZE w KSE, a zatem obciążanie tą opłatą energii elektrycznej zużywanej na potrzeby magazynowania energii</w:t>
      </w:r>
      <w:r w:rsidR="00E52CF7" w:rsidRPr="00EF6F97">
        <w:rPr>
          <w:rFonts w:ascii="Times New Roman" w:hAnsi="Times New Roman" w:cs="Times New Roman"/>
          <w:sz w:val="24"/>
          <w:szCs w:val="24"/>
        </w:rPr>
        <w:t xml:space="preserve"> elektrycznej byłoby niezasadne</w:t>
      </w:r>
      <w:r w:rsidR="00E70B10" w:rsidRPr="00EF6F97">
        <w:rPr>
          <w:rFonts w:ascii="Times New Roman" w:hAnsi="Times New Roman" w:cs="Times New Roman"/>
          <w:sz w:val="24"/>
          <w:szCs w:val="24"/>
        </w:rPr>
        <w:t>.</w:t>
      </w:r>
    </w:p>
    <w:p w14:paraId="7C15247D" w14:textId="408ABC67" w:rsidR="002D3DD6" w:rsidRDefault="00441D83" w:rsidP="002D3DD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 projekcie u</w:t>
      </w:r>
      <w:r w:rsidR="002D3DD6">
        <w:rPr>
          <w:rFonts w:ascii="Times New Roman" w:hAnsi="Times New Roman" w:cs="Times New Roman"/>
          <w:sz w:val="24"/>
          <w:szCs w:val="24"/>
        </w:rPr>
        <w:t>względniono także pozostałe systemy wsparcia OZE.</w:t>
      </w:r>
    </w:p>
    <w:p w14:paraId="5225BA8F" w14:textId="77777777" w:rsidR="00DC2C22" w:rsidRDefault="00173903"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E70B10" w:rsidRPr="00EF6F97">
        <w:rPr>
          <w:rFonts w:ascii="Times New Roman" w:hAnsi="Times New Roman" w:cs="Times New Roman"/>
          <w:sz w:val="24"/>
          <w:szCs w:val="24"/>
        </w:rPr>
        <w:t xml:space="preserve">Równocześnie dopuszczono możliwość pobierania energii elektrycznej </w:t>
      </w:r>
      <w:r w:rsidR="001D0628">
        <w:rPr>
          <w:rFonts w:ascii="Times New Roman" w:hAnsi="Times New Roman" w:cs="Times New Roman"/>
          <w:sz w:val="24"/>
          <w:szCs w:val="24"/>
        </w:rPr>
        <w:t>z </w:t>
      </w:r>
      <w:r w:rsidR="00E70B10" w:rsidRPr="00EF6F97">
        <w:rPr>
          <w:rFonts w:ascii="Times New Roman" w:hAnsi="Times New Roman" w:cs="Times New Roman"/>
          <w:sz w:val="24"/>
          <w:szCs w:val="24"/>
        </w:rPr>
        <w:t>sieci prze</w:t>
      </w:r>
      <w:r w:rsidR="001D0628">
        <w:rPr>
          <w:rFonts w:ascii="Times New Roman" w:hAnsi="Times New Roman" w:cs="Times New Roman"/>
          <w:sz w:val="24"/>
          <w:szCs w:val="24"/>
        </w:rPr>
        <w:t>z </w:t>
      </w:r>
      <w:r w:rsidR="00E70B10" w:rsidRPr="00EF6F97">
        <w:rPr>
          <w:rFonts w:ascii="Times New Roman" w:hAnsi="Times New Roman" w:cs="Times New Roman"/>
          <w:sz w:val="24"/>
          <w:szCs w:val="24"/>
        </w:rPr>
        <w:t>magazyn stanowiący część instalacji odnawialnego źródła energii (w tym hybrydowego) w celu stworzenia warunków do realizacji prze</w:t>
      </w:r>
      <w:r w:rsidR="001D0628">
        <w:rPr>
          <w:rFonts w:ascii="Times New Roman" w:hAnsi="Times New Roman" w:cs="Times New Roman"/>
          <w:sz w:val="24"/>
          <w:szCs w:val="24"/>
        </w:rPr>
        <w:t>z </w:t>
      </w:r>
      <w:r w:rsidR="00E70B10" w:rsidRPr="00EF6F97">
        <w:rPr>
          <w:rFonts w:ascii="Times New Roman" w:hAnsi="Times New Roman" w:cs="Times New Roman"/>
          <w:sz w:val="24"/>
          <w:szCs w:val="24"/>
        </w:rPr>
        <w:t>taki magazyn wielu funkcjonalności, niezależnie od warunków pogodowych. Brak tej możliwości ograniczyłby istotnie efektywność wykorzystan</w:t>
      </w:r>
      <w:r w:rsidR="00DC2C22" w:rsidRPr="00EF6F97">
        <w:rPr>
          <w:rFonts w:ascii="Times New Roman" w:hAnsi="Times New Roman" w:cs="Times New Roman"/>
          <w:sz w:val="24"/>
          <w:szCs w:val="24"/>
        </w:rPr>
        <w:t xml:space="preserve">ia magazynu ze względu na ograniczone możliwości ładowania magazynu energii elektrycznej – wyłącznie w związku </w:t>
      </w:r>
      <w:r w:rsidR="001D0628">
        <w:rPr>
          <w:rFonts w:ascii="Times New Roman" w:hAnsi="Times New Roman" w:cs="Times New Roman"/>
          <w:sz w:val="24"/>
          <w:szCs w:val="24"/>
        </w:rPr>
        <w:t>z </w:t>
      </w:r>
      <w:r w:rsidR="00DC2C22" w:rsidRPr="00EF6F97">
        <w:rPr>
          <w:rFonts w:ascii="Times New Roman" w:hAnsi="Times New Roman" w:cs="Times New Roman"/>
          <w:sz w:val="24"/>
          <w:szCs w:val="24"/>
        </w:rPr>
        <w:t>pracą źródła OZE, co nie wystarcza do zapewnienia możliwości świadczenia usług o gwarantowanej jakości na rzec</w:t>
      </w:r>
      <w:r w:rsidR="001D0628">
        <w:rPr>
          <w:rFonts w:ascii="Times New Roman" w:hAnsi="Times New Roman" w:cs="Times New Roman"/>
          <w:sz w:val="24"/>
          <w:szCs w:val="24"/>
        </w:rPr>
        <w:t>z </w:t>
      </w:r>
      <w:r w:rsidR="00DC2C22" w:rsidRPr="00EF6F97">
        <w:rPr>
          <w:rFonts w:ascii="Times New Roman" w:hAnsi="Times New Roman" w:cs="Times New Roman"/>
          <w:sz w:val="24"/>
          <w:szCs w:val="24"/>
        </w:rPr>
        <w:t>podmiotów zewnętrznych (sprzedawcy, OSD, OSP).</w:t>
      </w:r>
    </w:p>
    <w:p w14:paraId="0C72D033" w14:textId="73E225A6" w:rsidR="005C696A" w:rsidRPr="00EF6F97" w:rsidRDefault="005C696A" w:rsidP="005C696A">
      <w:pPr>
        <w:spacing w:line="360" w:lineRule="auto"/>
        <w:ind w:firstLine="709"/>
        <w:jc w:val="both"/>
        <w:rPr>
          <w:rFonts w:ascii="Times New Roman" w:hAnsi="Times New Roman" w:cs="Times New Roman"/>
          <w:sz w:val="24"/>
          <w:szCs w:val="24"/>
        </w:rPr>
      </w:pPr>
      <w:r w:rsidRPr="005C696A">
        <w:rPr>
          <w:rFonts w:ascii="Times New Roman" w:hAnsi="Times New Roman" w:cs="Times New Roman"/>
          <w:sz w:val="24"/>
          <w:szCs w:val="24"/>
        </w:rPr>
        <w:t xml:space="preserve">Dodatkowo, biorąc pod uwagę, że </w:t>
      </w:r>
      <w:r w:rsidR="006315C7">
        <w:rPr>
          <w:rFonts w:ascii="Times New Roman" w:hAnsi="Times New Roman" w:cs="Times New Roman"/>
          <w:sz w:val="24"/>
          <w:szCs w:val="24"/>
        </w:rPr>
        <w:t>prze</w:t>
      </w:r>
      <w:r w:rsidRPr="005C696A">
        <w:rPr>
          <w:rFonts w:ascii="Times New Roman" w:hAnsi="Times New Roman" w:cs="Times New Roman"/>
          <w:sz w:val="24"/>
          <w:szCs w:val="24"/>
        </w:rPr>
        <w:t xml:space="preserve">pisy ustawy o odnawialnych źródłach energii </w:t>
      </w:r>
      <w:r w:rsidRPr="005C696A">
        <w:rPr>
          <w:rFonts w:ascii="Times New Roman" w:hAnsi="Times New Roman" w:cs="Times New Roman"/>
          <w:sz w:val="24"/>
          <w:szCs w:val="24"/>
        </w:rPr>
        <w:lastRenderedPageBreak/>
        <w:t>przewidują wyraźnie, że prawo do udziału w systemach wsparcia (FIT/FIP/aukcje) ma jedynie wytwórca energii elektrycznej z OZE w instalacji posiadającej wyodrębniony zespół urządzeń służących do wyprowadzania mocy wyłącznie z tej instalacji do sieci (</w:t>
      </w:r>
      <w:r w:rsidR="006445BE">
        <w:rPr>
          <w:rFonts w:ascii="Times New Roman" w:hAnsi="Times New Roman" w:cs="Times New Roman"/>
          <w:sz w:val="24"/>
          <w:szCs w:val="24"/>
        </w:rPr>
        <w:t xml:space="preserve">art. </w:t>
      </w:r>
      <w:r w:rsidRPr="005C696A">
        <w:rPr>
          <w:rFonts w:ascii="Times New Roman" w:hAnsi="Times New Roman" w:cs="Times New Roman"/>
          <w:sz w:val="24"/>
          <w:szCs w:val="24"/>
        </w:rPr>
        <w:t xml:space="preserve">70a ust. 1 i 2, </w:t>
      </w:r>
      <w:r w:rsidR="006445BE">
        <w:rPr>
          <w:rFonts w:ascii="Times New Roman" w:hAnsi="Times New Roman" w:cs="Times New Roman"/>
          <w:sz w:val="24"/>
          <w:szCs w:val="24"/>
        </w:rPr>
        <w:t xml:space="preserve">art. </w:t>
      </w:r>
      <w:r w:rsidRPr="005C696A">
        <w:rPr>
          <w:rFonts w:ascii="Times New Roman" w:hAnsi="Times New Roman" w:cs="Times New Roman"/>
          <w:sz w:val="24"/>
          <w:szCs w:val="24"/>
        </w:rPr>
        <w:t>71 ust. 1</w:t>
      </w:r>
      <w:r w:rsidR="006445BE">
        <w:rPr>
          <w:rFonts w:ascii="Times New Roman" w:hAnsi="Times New Roman" w:cs="Times New Roman"/>
          <w:sz w:val="24"/>
          <w:szCs w:val="24"/>
        </w:rPr>
        <w:t xml:space="preserve"> oraz art. </w:t>
      </w:r>
      <w:r w:rsidRPr="005C696A">
        <w:rPr>
          <w:rFonts w:ascii="Times New Roman" w:hAnsi="Times New Roman" w:cs="Times New Roman"/>
          <w:sz w:val="24"/>
          <w:szCs w:val="24"/>
        </w:rPr>
        <w:t>75 ust. 1), we wszystkich tych przepisach została zawarta wyraźna regulacja stanowiąca, że wystąpienie o wydanie zaświadczenia/deklaracji jest możliwe również w przypadku instalacji, w skład której wchodzi magazyn energii, także wówczas, gdy taki magazyn ma możliwość pobierania energii z sieci, a nie tylko z instalacji OZE, z którą jest połączony.</w:t>
      </w:r>
    </w:p>
    <w:p w14:paraId="2BA9FC9C" w14:textId="45CB4897" w:rsidR="00E70B10" w:rsidRPr="00EF6F97" w:rsidRDefault="00E70B10" w:rsidP="005C696A">
      <w:pPr>
        <w:spacing w:line="360" w:lineRule="auto"/>
        <w:ind w:firstLine="709"/>
        <w:jc w:val="both"/>
        <w:rPr>
          <w:rFonts w:ascii="Times New Roman" w:hAnsi="Times New Roman" w:cs="Times New Roman"/>
          <w:sz w:val="24"/>
          <w:szCs w:val="24"/>
        </w:rPr>
      </w:pPr>
      <w:r w:rsidRPr="00EF6F97">
        <w:rPr>
          <w:rFonts w:ascii="Times New Roman" w:hAnsi="Times New Roman" w:cs="Times New Roman"/>
          <w:sz w:val="24"/>
          <w:szCs w:val="24"/>
        </w:rPr>
        <w:t>Jednocześnie wprowadzono obowiązek zapewnienia opomiarowania wszystkich źródeł OZE</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magazynu energii elektrycznej.</w:t>
      </w:r>
      <w:r w:rsidR="00DC2C22" w:rsidRPr="00EF6F97">
        <w:rPr>
          <w:rFonts w:ascii="Times New Roman" w:hAnsi="Times New Roman" w:cs="Times New Roman"/>
          <w:sz w:val="24"/>
          <w:szCs w:val="24"/>
        </w:rPr>
        <w:t xml:space="preserve"> Umożliwienie poboru energii </w:t>
      </w:r>
      <w:r w:rsidR="001D0628">
        <w:rPr>
          <w:rFonts w:ascii="Times New Roman" w:hAnsi="Times New Roman" w:cs="Times New Roman"/>
          <w:sz w:val="24"/>
          <w:szCs w:val="24"/>
        </w:rPr>
        <w:t>z </w:t>
      </w:r>
      <w:r w:rsidR="00DC2C22" w:rsidRPr="00EF6F97">
        <w:rPr>
          <w:rFonts w:ascii="Times New Roman" w:hAnsi="Times New Roman" w:cs="Times New Roman"/>
          <w:sz w:val="24"/>
          <w:szCs w:val="24"/>
        </w:rPr>
        <w:t>sieci prze</w:t>
      </w:r>
      <w:r w:rsidR="001D0628">
        <w:rPr>
          <w:rFonts w:ascii="Times New Roman" w:hAnsi="Times New Roman" w:cs="Times New Roman"/>
          <w:sz w:val="24"/>
          <w:szCs w:val="24"/>
        </w:rPr>
        <w:t>z </w:t>
      </w:r>
      <w:r w:rsidR="00DC2C22" w:rsidRPr="00EF6F97">
        <w:rPr>
          <w:rFonts w:ascii="Times New Roman" w:hAnsi="Times New Roman" w:cs="Times New Roman"/>
          <w:sz w:val="24"/>
          <w:szCs w:val="24"/>
        </w:rPr>
        <w:t xml:space="preserve">magazyn energii elektrycznej współpracujący </w:t>
      </w:r>
      <w:r w:rsidR="001D0628">
        <w:rPr>
          <w:rFonts w:ascii="Times New Roman" w:hAnsi="Times New Roman" w:cs="Times New Roman"/>
          <w:sz w:val="24"/>
          <w:szCs w:val="24"/>
        </w:rPr>
        <w:t>z </w:t>
      </w:r>
      <w:r w:rsidR="00DC2C22" w:rsidRPr="00EF6F97">
        <w:rPr>
          <w:rFonts w:ascii="Times New Roman" w:hAnsi="Times New Roman" w:cs="Times New Roman"/>
          <w:sz w:val="24"/>
          <w:szCs w:val="24"/>
        </w:rPr>
        <w:t>instalacją OZE wymaga zapewnienia pełnego opomiarowania źródeł OZE ora</w:t>
      </w:r>
      <w:r w:rsidR="001D0628">
        <w:rPr>
          <w:rFonts w:ascii="Times New Roman" w:hAnsi="Times New Roman" w:cs="Times New Roman"/>
          <w:sz w:val="24"/>
          <w:szCs w:val="24"/>
        </w:rPr>
        <w:t>z </w:t>
      </w:r>
      <w:r w:rsidR="00DC2C22" w:rsidRPr="00EF6F97">
        <w:rPr>
          <w:rFonts w:ascii="Times New Roman" w:hAnsi="Times New Roman" w:cs="Times New Roman"/>
          <w:sz w:val="24"/>
          <w:szCs w:val="24"/>
        </w:rPr>
        <w:t xml:space="preserve">magazynu energii elektrycznej stanowiącego część instalacji OZE, niezależnie od opomiarowania instalacji OZE w punkcie przyłączenia do sieci. Pozwoli to na określenie ilości energii </w:t>
      </w:r>
      <w:r w:rsidR="00B12942" w:rsidRPr="00EF6F97">
        <w:rPr>
          <w:rFonts w:ascii="Times New Roman" w:hAnsi="Times New Roman" w:cs="Times New Roman"/>
          <w:sz w:val="24"/>
          <w:szCs w:val="24"/>
        </w:rPr>
        <w:t xml:space="preserve">elektrycznej </w:t>
      </w:r>
      <w:r w:rsidR="00DC2C22" w:rsidRPr="00EF6F97">
        <w:rPr>
          <w:rFonts w:ascii="Times New Roman" w:hAnsi="Times New Roman" w:cs="Times New Roman"/>
          <w:sz w:val="24"/>
          <w:szCs w:val="24"/>
        </w:rPr>
        <w:t>wytworzonej w OZE</w:t>
      </w:r>
      <w:r w:rsidR="001D0628">
        <w:rPr>
          <w:rFonts w:ascii="Times New Roman" w:hAnsi="Times New Roman" w:cs="Times New Roman"/>
          <w:sz w:val="24"/>
          <w:szCs w:val="24"/>
        </w:rPr>
        <w:t xml:space="preserve"> i </w:t>
      </w:r>
      <w:r w:rsidR="00DC2C22" w:rsidRPr="00EF6F97">
        <w:rPr>
          <w:rFonts w:ascii="Times New Roman" w:hAnsi="Times New Roman" w:cs="Times New Roman"/>
          <w:sz w:val="24"/>
          <w:szCs w:val="24"/>
        </w:rPr>
        <w:t>wprowadzonej do sieci ora</w:t>
      </w:r>
      <w:r w:rsidR="001D0628">
        <w:rPr>
          <w:rFonts w:ascii="Times New Roman" w:hAnsi="Times New Roman" w:cs="Times New Roman"/>
          <w:sz w:val="24"/>
          <w:szCs w:val="24"/>
        </w:rPr>
        <w:t>z </w:t>
      </w:r>
      <w:r w:rsidR="00DC2C22" w:rsidRPr="00EF6F97">
        <w:rPr>
          <w:rFonts w:ascii="Times New Roman" w:hAnsi="Times New Roman" w:cs="Times New Roman"/>
          <w:sz w:val="24"/>
          <w:szCs w:val="24"/>
        </w:rPr>
        <w:t xml:space="preserve">określenie ilości energii </w:t>
      </w:r>
      <w:r w:rsidR="00B12942" w:rsidRPr="00EF6F97">
        <w:rPr>
          <w:rFonts w:ascii="Times New Roman" w:hAnsi="Times New Roman" w:cs="Times New Roman"/>
          <w:sz w:val="24"/>
          <w:szCs w:val="24"/>
        </w:rPr>
        <w:t xml:space="preserve">elektrycznej </w:t>
      </w:r>
      <w:r w:rsidR="00DC2C22" w:rsidRPr="00EF6F97">
        <w:rPr>
          <w:rFonts w:ascii="Times New Roman" w:hAnsi="Times New Roman" w:cs="Times New Roman"/>
          <w:sz w:val="24"/>
          <w:szCs w:val="24"/>
        </w:rPr>
        <w:t xml:space="preserve">wprowadzonej do sieci </w:t>
      </w:r>
      <w:r w:rsidR="001D0628">
        <w:rPr>
          <w:rFonts w:ascii="Times New Roman" w:hAnsi="Times New Roman" w:cs="Times New Roman"/>
          <w:sz w:val="24"/>
          <w:szCs w:val="24"/>
        </w:rPr>
        <w:t>z </w:t>
      </w:r>
      <w:r w:rsidR="00DC2C22" w:rsidRPr="00EF6F97">
        <w:rPr>
          <w:rFonts w:ascii="Times New Roman" w:hAnsi="Times New Roman" w:cs="Times New Roman"/>
          <w:sz w:val="24"/>
          <w:szCs w:val="24"/>
        </w:rPr>
        <w:t xml:space="preserve">magazynu energii elektrycznej stanowiącego część instalacji odnawialnego źródła energii, która poprzednio została pobrana </w:t>
      </w:r>
      <w:r w:rsidR="001D0628">
        <w:rPr>
          <w:rFonts w:ascii="Times New Roman" w:hAnsi="Times New Roman" w:cs="Times New Roman"/>
          <w:sz w:val="24"/>
          <w:szCs w:val="24"/>
        </w:rPr>
        <w:t>z </w:t>
      </w:r>
      <w:r w:rsidR="00DC2C22" w:rsidRPr="00EF6F97">
        <w:rPr>
          <w:rFonts w:ascii="Times New Roman" w:hAnsi="Times New Roman" w:cs="Times New Roman"/>
          <w:sz w:val="24"/>
          <w:szCs w:val="24"/>
        </w:rPr>
        <w:t>sieci prze</w:t>
      </w:r>
      <w:r w:rsidR="001D0628">
        <w:rPr>
          <w:rFonts w:ascii="Times New Roman" w:hAnsi="Times New Roman" w:cs="Times New Roman"/>
          <w:sz w:val="24"/>
          <w:szCs w:val="24"/>
        </w:rPr>
        <w:t>z </w:t>
      </w:r>
      <w:r w:rsidR="00DC2C22" w:rsidRPr="00EF6F97">
        <w:rPr>
          <w:rFonts w:ascii="Times New Roman" w:hAnsi="Times New Roman" w:cs="Times New Roman"/>
          <w:sz w:val="24"/>
          <w:szCs w:val="24"/>
        </w:rPr>
        <w:t>ten magazyn energii elektrycznej.</w:t>
      </w:r>
    </w:p>
    <w:p w14:paraId="21E73298" w14:textId="48801B03" w:rsidR="005D7ADC"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A83610" w:rsidRPr="00A83610">
        <w:rPr>
          <w:rFonts w:ascii="Times New Roman" w:hAnsi="Times New Roman" w:cs="Times New Roman"/>
          <w:sz w:val="24"/>
          <w:szCs w:val="24"/>
        </w:rPr>
        <w:t>W przepisach przejściowych uregulowano sytuację podmiotów prowadzących w dniu wejścia w życie ustawy działalność gospodarczą w zakresie magazynowania energii elektrycznej w magazynach energii elektrycznej o łącznej mocy zainstalowanej elektrycznej większej niż 10 MW, przez wskazanie, że podmioty te będą mogły po dniu wejścia w życie tej ustawy prowadzić tę działalność, pod warunkiem złożenia wniosku o udzielenie przez Prezesa Urzędu Regulacji Energetyki koncesji na magazynowanie energii elektrycznej, w terminie 6 miesięcy. Podmioty zaś prowadzące w dniu wejścia w życie ustawy działalność gospodarczą w zakresie magazynowania energii elektrycznej w magazynach energii elektrycznej o łącznej mocy zainstalowanej elektrycznej większej niż 50 kW oraz nie większej niż 10 MW będą obowiązane złożyć wniosek o wpis do rejestru magazynów energii elektrycznej w terminie do dnia 30 czerwca 2021 r. Należy zaznaczyć, że magazyny energii elektrycznej o łącznej mocy zainstalowanej elektrycznej większej niż 10 MW to funkcjonujące w systemie elektroenergetycznym elektrownie szczytowo-pompowe. Są one użytkowane jako magazyny energii elektrycznej przez operatora systemu przesyłowego elektroenergetycznego (OSP) na rzecz bilansowania tego systemu i zapewnienia bezpieczeństwa jego funkcjonowania. Istotne jest</w:t>
      </w:r>
      <w:r w:rsidR="006315C7">
        <w:rPr>
          <w:rFonts w:ascii="Times New Roman" w:hAnsi="Times New Roman" w:cs="Times New Roman"/>
          <w:sz w:val="24"/>
          <w:szCs w:val="24"/>
        </w:rPr>
        <w:t>,</w:t>
      </w:r>
      <w:r w:rsidR="00A83610" w:rsidRPr="00A83610">
        <w:rPr>
          <w:rFonts w:ascii="Times New Roman" w:hAnsi="Times New Roman" w:cs="Times New Roman"/>
          <w:sz w:val="24"/>
          <w:szCs w:val="24"/>
        </w:rPr>
        <w:t xml:space="preserve"> aby jednostki te mogły funkcjonować i być rozliczane na zasadach przewidzianych ustawą dla magazynów energii elektrycznej z dniem </w:t>
      </w:r>
      <w:r w:rsidR="00A83610" w:rsidRPr="00A83610">
        <w:rPr>
          <w:rFonts w:ascii="Times New Roman" w:hAnsi="Times New Roman" w:cs="Times New Roman"/>
          <w:sz w:val="24"/>
          <w:szCs w:val="24"/>
        </w:rPr>
        <w:lastRenderedPageBreak/>
        <w:t>jej wejścia w życie. Zasady rozliczania magazynów energii elektrycznej są szczegółowo określone w projekcie ustawy. Złożenie wniosku o uzyskanie koncesji na magazynowanie będzie mogło nastąpić dopiero po wejściu w życie ustawy. Sama procedura uzyskania koncesji może potrwać co najmniej kilka miesięcy. Niczym nie jest uzasadnione</w:t>
      </w:r>
      <w:r w:rsidR="006315C7">
        <w:rPr>
          <w:rFonts w:ascii="Times New Roman" w:hAnsi="Times New Roman" w:cs="Times New Roman"/>
          <w:sz w:val="24"/>
          <w:szCs w:val="24"/>
        </w:rPr>
        <w:t>,</w:t>
      </w:r>
      <w:r w:rsidR="00A83610" w:rsidRPr="00A83610">
        <w:rPr>
          <w:rFonts w:ascii="Times New Roman" w:hAnsi="Times New Roman" w:cs="Times New Roman"/>
          <w:sz w:val="24"/>
          <w:szCs w:val="24"/>
        </w:rPr>
        <w:t xml:space="preserve"> aby z tego powodu przedsiębiorstwo było zmuszone do funkcjonowania na mniej korzystnych zasadach. Podobna sytuacja dotyczy magazynów energii elektrycznej o łącznej mocy zainstalowanej elektrycznej większej niż 50 kW, co do których, szczególnie ze względu na niewielką ich </w:t>
      </w:r>
      <w:r w:rsidR="006315C7">
        <w:rPr>
          <w:rFonts w:ascii="Times New Roman" w:hAnsi="Times New Roman" w:cs="Times New Roman"/>
          <w:sz w:val="24"/>
          <w:szCs w:val="24"/>
        </w:rPr>
        <w:t>liczbę</w:t>
      </w:r>
      <w:r w:rsidR="00A83610" w:rsidRPr="00A83610">
        <w:rPr>
          <w:rFonts w:ascii="Times New Roman" w:hAnsi="Times New Roman" w:cs="Times New Roman"/>
          <w:sz w:val="24"/>
          <w:szCs w:val="24"/>
        </w:rPr>
        <w:t>, proponuje się zastosowanie nowych, korzystniejszych regulacji od dnia wejścia w życie ustawy. Takie rozwiązanie zapewni spójność propozycji ustawowych dla wszystkich jednostek, niezależnie od ich mocy.</w:t>
      </w:r>
      <w:r w:rsidR="006315C7">
        <w:rPr>
          <w:rFonts w:ascii="Times New Roman" w:hAnsi="Times New Roman" w:cs="Times New Roman"/>
          <w:sz w:val="24"/>
          <w:szCs w:val="24"/>
        </w:rPr>
        <w:t xml:space="preserve"> </w:t>
      </w:r>
      <w:r w:rsidR="00351ECC" w:rsidRPr="00EF6F97">
        <w:rPr>
          <w:rFonts w:ascii="Times New Roman" w:hAnsi="Times New Roman" w:cs="Times New Roman"/>
          <w:sz w:val="24"/>
          <w:szCs w:val="24"/>
        </w:rPr>
        <w:t>Ponadto w przepisach przejściowych</w:t>
      </w:r>
      <w:r w:rsidR="005C696A">
        <w:rPr>
          <w:rFonts w:ascii="Times New Roman" w:hAnsi="Times New Roman" w:cs="Times New Roman"/>
          <w:sz w:val="24"/>
          <w:szCs w:val="24"/>
        </w:rPr>
        <w:t>, w związku z wprowadzeniem dla magazynów energii elektrycznej opłaty za przyłączenie do sieci w wysokości połowy rzeczywiście poniesionych kosztów na realizację przyłączenia,</w:t>
      </w:r>
      <w:r w:rsidR="006315C7">
        <w:rPr>
          <w:rFonts w:ascii="Times New Roman" w:hAnsi="Times New Roman" w:cs="Times New Roman"/>
          <w:sz w:val="24"/>
          <w:szCs w:val="24"/>
        </w:rPr>
        <w:t xml:space="preserve"> </w:t>
      </w:r>
      <w:r w:rsidR="005C696A">
        <w:rPr>
          <w:rFonts w:ascii="Times New Roman" w:hAnsi="Times New Roman" w:cs="Times New Roman"/>
          <w:sz w:val="24"/>
          <w:szCs w:val="24"/>
        </w:rPr>
        <w:t xml:space="preserve">uregulowano kwestię spraw w toku. Biorąc pod uwagę całokształt </w:t>
      </w:r>
      <w:r w:rsidR="001520CF">
        <w:rPr>
          <w:rFonts w:ascii="Times New Roman" w:hAnsi="Times New Roman" w:cs="Times New Roman"/>
          <w:sz w:val="24"/>
          <w:szCs w:val="24"/>
        </w:rPr>
        <w:t xml:space="preserve">obowiązujących przepisów szeroko pojętego prawa energetycznego oraz zmian, które </w:t>
      </w:r>
      <w:r w:rsidR="00A83610">
        <w:rPr>
          <w:rFonts w:ascii="Times New Roman" w:hAnsi="Times New Roman" w:cs="Times New Roman"/>
          <w:sz w:val="24"/>
          <w:szCs w:val="24"/>
        </w:rPr>
        <w:t xml:space="preserve">weszły </w:t>
      </w:r>
      <w:r w:rsidR="001520CF">
        <w:rPr>
          <w:rFonts w:ascii="Times New Roman" w:hAnsi="Times New Roman" w:cs="Times New Roman"/>
          <w:sz w:val="24"/>
          <w:szCs w:val="24"/>
        </w:rPr>
        <w:t xml:space="preserve">w życie </w:t>
      </w:r>
      <w:r w:rsidR="006445BE">
        <w:rPr>
          <w:rFonts w:ascii="Times New Roman" w:hAnsi="Times New Roman" w:cs="Times New Roman"/>
          <w:sz w:val="24"/>
          <w:szCs w:val="24"/>
        </w:rPr>
        <w:t xml:space="preserve">z dniem </w:t>
      </w:r>
      <w:r w:rsidR="001520CF">
        <w:rPr>
          <w:rFonts w:ascii="Times New Roman" w:hAnsi="Times New Roman" w:cs="Times New Roman"/>
          <w:sz w:val="24"/>
          <w:szCs w:val="24"/>
        </w:rPr>
        <w:t>30</w:t>
      </w:r>
      <w:r w:rsidR="006315C7">
        <w:rPr>
          <w:rFonts w:ascii="Times New Roman" w:hAnsi="Times New Roman" w:cs="Times New Roman"/>
          <w:sz w:val="24"/>
          <w:szCs w:val="24"/>
        </w:rPr>
        <w:t> </w:t>
      </w:r>
      <w:r w:rsidR="001520CF">
        <w:rPr>
          <w:rFonts w:ascii="Times New Roman" w:hAnsi="Times New Roman" w:cs="Times New Roman"/>
          <w:sz w:val="24"/>
          <w:szCs w:val="24"/>
        </w:rPr>
        <w:t>września 2020 r. w związku z nowelizacją ustawy – Prawo budowlane (ustawa z dnia 13</w:t>
      </w:r>
      <w:r w:rsidR="006315C7">
        <w:rPr>
          <w:rFonts w:ascii="Times New Roman" w:hAnsi="Times New Roman" w:cs="Times New Roman"/>
          <w:sz w:val="24"/>
          <w:szCs w:val="24"/>
        </w:rPr>
        <w:t> </w:t>
      </w:r>
      <w:r w:rsidR="001520CF">
        <w:rPr>
          <w:rFonts w:ascii="Times New Roman" w:hAnsi="Times New Roman" w:cs="Times New Roman"/>
          <w:sz w:val="24"/>
          <w:szCs w:val="24"/>
        </w:rPr>
        <w:t>lutego 2020 r. o zmianie ustawy – Prawo budowlane oraz niektórych innych ustaw (</w:t>
      </w:r>
      <w:r w:rsidR="001520CF" w:rsidRPr="001520CF">
        <w:rPr>
          <w:rFonts w:ascii="Times New Roman" w:hAnsi="Times New Roman" w:cs="Times New Roman"/>
          <w:sz w:val="24"/>
          <w:szCs w:val="24"/>
        </w:rPr>
        <w:t>Dz. U. poz. 471</w:t>
      </w:r>
      <w:r w:rsidR="001520CF">
        <w:rPr>
          <w:rFonts w:ascii="Times New Roman" w:hAnsi="Times New Roman" w:cs="Times New Roman"/>
          <w:sz w:val="24"/>
          <w:szCs w:val="24"/>
        </w:rPr>
        <w:t>)</w:t>
      </w:r>
      <w:r w:rsidR="006445BE">
        <w:rPr>
          <w:rFonts w:ascii="Times New Roman" w:hAnsi="Times New Roman" w:cs="Times New Roman"/>
          <w:sz w:val="24"/>
          <w:szCs w:val="24"/>
        </w:rPr>
        <w:t>)</w:t>
      </w:r>
      <w:r w:rsidR="001520CF">
        <w:rPr>
          <w:rFonts w:ascii="Times New Roman" w:hAnsi="Times New Roman" w:cs="Times New Roman"/>
          <w:sz w:val="24"/>
          <w:szCs w:val="24"/>
        </w:rPr>
        <w:t>, poszanowanie praw nabytych a zarazem zawartych umów, wprowadzono przepis, zgodnie z którym</w:t>
      </w:r>
      <w:r w:rsidR="00F33BC4">
        <w:rPr>
          <w:rFonts w:ascii="Times New Roman" w:hAnsi="Times New Roman" w:cs="Times New Roman"/>
          <w:sz w:val="24"/>
          <w:szCs w:val="24"/>
        </w:rPr>
        <w:t>,</w:t>
      </w:r>
      <w:r w:rsidR="001520CF">
        <w:rPr>
          <w:rFonts w:ascii="Times New Roman" w:hAnsi="Times New Roman" w:cs="Times New Roman"/>
          <w:sz w:val="24"/>
          <w:szCs w:val="24"/>
        </w:rPr>
        <w:t xml:space="preserve"> j</w:t>
      </w:r>
      <w:r w:rsidR="001520CF" w:rsidRPr="001520CF">
        <w:rPr>
          <w:rFonts w:ascii="Times New Roman" w:hAnsi="Times New Roman" w:cs="Times New Roman"/>
          <w:sz w:val="24"/>
          <w:szCs w:val="24"/>
        </w:rPr>
        <w:t>eżeli podmiot ubiegający się o przyłączenie do sieci magazynu energii elektrycznej, przed dniem wejścia w życie niniejszej ustawy, złożył wniosek o określenie warunków przyłączenia i wpłacił zaliczkę albo otrzymał warunki przyłączenia, ale nie zawarł umowy o przyłączenie do sieci</w:t>
      </w:r>
      <w:r w:rsidR="00F33BC4">
        <w:rPr>
          <w:rFonts w:ascii="Times New Roman" w:hAnsi="Times New Roman" w:cs="Times New Roman"/>
          <w:sz w:val="24"/>
          <w:szCs w:val="24"/>
        </w:rPr>
        <w:t>,</w:t>
      </w:r>
      <w:r w:rsidR="001520CF" w:rsidRPr="001520CF">
        <w:rPr>
          <w:rFonts w:ascii="Times New Roman" w:hAnsi="Times New Roman" w:cs="Times New Roman"/>
          <w:sz w:val="24"/>
          <w:szCs w:val="24"/>
        </w:rPr>
        <w:t xml:space="preserve"> ponosi on opłatę za przyłączenie do sieci na </w:t>
      </w:r>
      <w:r w:rsidR="001520CF">
        <w:rPr>
          <w:rFonts w:ascii="Times New Roman" w:hAnsi="Times New Roman" w:cs="Times New Roman"/>
          <w:sz w:val="24"/>
          <w:szCs w:val="24"/>
        </w:rPr>
        <w:t xml:space="preserve">nowych </w:t>
      </w:r>
      <w:r w:rsidR="001520CF" w:rsidRPr="001520CF">
        <w:rPr>
          <w:rFonts w:ascii="Times New Roman" w:hAnsi="Times New Roman" w:cs="Times New Roman"/>
          <w:sz w:val="24"/>
          <w:szCs w:val="24"/>
        </w:rPr>
        <w:t xml:space="preserve">zasadach. </w:t>
      </w:r>
      <w:r w:rsidR="001520CF">
        <w:rPr>
          <w:rFonts w:ascii="Times New Roman" w:hAnsi="Times New Roman" w:cs="Times New Roman"/>
          <w:sz w:val="24"/>
          <w:szCs w:val="24"/>
        </w:rPr>
        <w:t>Jeżeli w powyższym przypadku</w:t>
      </w:r>
      <w:r w:rsidR="001520CF" w:rsidRPr="001520CF">
        <w:rPr>
          <w:rFonts w:ascii="Times New Roman" w:hAnsi="Times New Roman" w:cs="Times New Roman"/>
          <w:sz w:val="24"/>
          <w:szCs w:val="24"/>
        </w:rPr>
        <w:t xml:space="preserve"> wysokość wpłaconej zaliczki przekracz</w:t>
      </w:r>
      <w:r w:rsidR="001520CF">
        <w:rPr>
          <w:rFonts w:ascii="Times New Roman" w:hAnsi="Times New Roman" w:cs="Times New Roman"/>
          <w:sz w:val="24"/>
          <w:szCs w:val="24"/>
        </w:rPr>
        <w:t>a połowę rzeczywistych nakładów poniesionych na</w:t>
      </w:r>
      <w:r w:rsidR="001520CF" w:rsidRPr="001520CF">
        <w:rPr>
          <w:rFonts w:ascii="Times New Roman" w:hAnsi="Times New Roman" w:cs="Times New Roman"/>
          <w:sz w:val="24"/>
          <w:szCs w:val="24"/>
        </w:rPr>
        <w:t xml:space="preserve"> realizację przyłączenia, kwoty stanowiące różnicę między wysokością wpłaconej zaliczki a połowy rzeczywistych  nakładów  poniesionych na realizację przyłączenia podlegają niezwłocznemu zwrotowi wraz z ustawowymi odsetkami liczonymi od dnia </w:t>
      </w:r>
      <w:r w:rsidR="006445BE">
        <w:rPr>
          <w:rFonts w:ascii="Times New Roman" w:hAnsi="Times New Roman" w:cs="Times New Roman"/>
          <w:sz w:val="24"/>
          <w:szCs w:val="24"/>
        </w:rPr>
        <w:t>wejścia w życie proj</w:t>
      </w:r>
      <w:r w:rsidR="00A538F8">
        <w:rPr>
          <w:rFonts w:ascii="Times New Roman" w:hAnsi="Times New Roman" w:cs="Times New Roman"/>
          <w:sz w:val="24"/>
          <w:szCs w:val="24"/>
        </w:rPr>
        <w:t>e</w:t>
      </w:r>
      <w:r w:rsidR="006445BE">
        <w:rPr>
          <w:rFonts w:ascii="Times New Roman" w:hAnsi="Times New Roman" w:cs="Times New Roman"/>
          <w:sz w:val="24"/>
          <w:szCs w:val="24"/>
        </w:rPr>
        <w:t xml:space="preserve">ktowanej ustawy </w:t>
      </w:r>
      <w:r w:rsidR="001520CF">
        <w:rPr>
          <w:rFonts w:ascii="Times New Roman" w:hAnsi="Times New Roman" w:cs="Times New Roman"/>
          <w:sz w:val="24"/>
          <w:szCs w:val="24"/>
        </w:rPr>
        <w:t xml:space="preserve">do dnia jej zwrotu. </w:t>
      </w:r>
      <w:r w:rsidR="009C0A17" w:rsidRPr="00EF6F97">
        <w:rPr>
          <w:rFonts w:ascii="Times New Roman" w:hAnsi="Times New Roman" w:cs="Times New Roman"/>
          <w:sz w:val="24"/>
          <w:szCs w:val="24"/>
        </w:rPr>
        <w:t xml:space="preserve">Powyższe uściślenie </w:t>
      </w:r>
      <w:r w:rsidR="001520CF">
        <w:rPr>
          <w:rFonts w:ascii="Times New Roman" w:hAnsi="Times New Roman" w:cs="Times New Roman"/>
          <w:sz w:val="24"/>
          <w:szCs w:val="24"/>
        </w:rPr>
        <w:t xml:space="preserve">również </w:t>
      </w:r>
      <w:r w:rsidR="009C0A17" w:rsidRPr="00EF6F97">
        <w:rPr>
          <w:rFonts w:ascii="Times New Roman" w:hAnsi="Times New Roman" w:cs="Times New Roman"/>
          <w:sz w:val="24"/>
          <w:szCs w:val="24"/>
        </w:rPr>
        <w:t>ma celu uwiarygodnienie inwestorów, optymalizację zdolności przyłączeniowych w KSE</w:t>
      </w:r>
      <w:r w:rsidR="001D0628">
        <w:rPr>
          <w:rFonts w:ascii="Times New Roman" w:hAnsi="Times New Roman" w:cs="Times New Roman"/>
          <w:sz w:val="24"/>
          <w:szCs w:val="24"/>
        </w:rPr>
        <w:t xml:space="preserve"> i </w:t>
      </w:r>
      <w:r w:rsidR="009C0A17" w:rsidRPr="00EF6F97">
        <w:rPr>
          <w:rFonts w:ascii="Times New Roman" w:hAnsi="Times New Roman" w:cs="Times New Roman"/>
          <w:sz w:val="24"/>
          <w:szCs w:val="24"/>
        </w:rPr>
        <w:t xml:space="preserve">uzyskanie </w:t>
      </w:r>
      <w:r w:rsidR="00876793" w:rsidRPr="00EF6F97">
        <w:rPr>
          <w:rFonts w:ascii="Times New Roman" w:hAnsi="Times New Roman" w:cs="Times New Roman"/>
          <w:sz w:val="24"/>
          <w:szCs w:val="24"/>
        </w:rPr>
        <w:t xml:space="preserve">w określonym czasie </w:t>
      </w:r>
      <w:r w:rsidR="009C0A17" w:rsidRPr="00EF6F97">
        <w:rPr>
          <w:rFonts w:ascii="Times New Roman" w:hAnsi="Times New Roman" w:cs="Times New Roman"/>
          <w:sz w:val="24"/>
          <w:szCs w:val="24"/>
        </w:rPr>
        <w:t>realnych inwestycji w magazyny energii elektrycznej przyłączone do sieci</w:t>
      </w:r>
      <w:r w:rsidR="00444DA5" w:rsidRPr="00EF6F97">
        <w:rPr>
          <w:rStyle w:val="Odwoanieprzypisudolnego"/>
          <w:rFonts w:ascii="Times New Roman" w:hAnsi="Times New Roman" w:cs="Times New Roman"/>
          <w:sz w:val="24"/>
          <w:szCs w:val="24"/>
        </w:rPr>
        <w:footnoteReference w:id="4"/>
      </w:r>
      <w:r w:rsidR="009C0A17" w:rsidRPr="00EF6F97">
        <w:rPr>
          <w:rFonts w:ascii="Times New Roman" w:hAnsi="Times New Roman" w:cs="Times New Roman"/>
          <w:sz w:val="24"/>
          <w:szCs w:val="24"/>
        </w:rPr>
        <w:t xml:space="preserve">. </w:t>
      </w:r>
    </w:p>
    <w:p w14:paraId="3D8CB362" w14:textId="77777777" w:rsidR="005D7ADC" w:rsidRPr="00EF6F97" w:rsidRDefault="005D7ADC" w:rsidP="00215A1D">
      <w:pPr>
        <w:spacing w:line="360" w:lineRule="auto"/>
        <w:jc w:val="both"/>
        <w:rPr>
          <w:rFonts w:ascii="Times New Roman" w:hAnsi="Times New Roman" w:cs="Times New Roman"/>
          <w:sz w:val="24"/>
          <w:szCs w:val="24"/>
        </w:rPr>
      </w:pPr>
    </w:p>
    <w:p w14:paraId="59CA78FD" w14:textId="31CBA656" w:rsidR="00172458"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D0483F" w:rsidRPr="00EF6F97">
        <w:rPr>
          <w:rFonts w:ascii="Times New Roman" w:hAnsi="Times New Roman" w:cs="Times New Roman"/>
          <w:sz w:val="24"/>
          <w:szCs w:val="24"/>
        </w:rPr>
        <w:t>Ad 9</w:t>
      </w:r>
      <w:r w:rsidR="00F86AB1" w:rsidRPr="00EF6F97">
        <w:rPr>
          <w:rFonts w:ascii="Times New Roman" w:hAnsi="Times New Roman" w:cs="Times New Roman"/>
          <w:sz w:val="24"/>
          <w:szCs w:val="24"/>
        </w:rPr>
        <w:t xml:space="preserve">. </w:t>
      </w:r>
      <w:r w:rsidR="00FE10F9" w:rsidRPr="00EF6F97">
        <w:rPr>
          <w:rFonts w:ascii="Times New Roman" w:hAnsi="Times New Roman" w:cs="Times New Roman"/>
          <w:sz w:val="24"/>
          <w:szCs w:val="24"/>
        </w:rPr>
        <w:t xml:space="preserve">Dokonano </w:t>
      </w:r>
      <w:r w:rsidR="00377EAC" w:rsidRPr="00EF6F97">
        <w:rPr>
          <w:rFonts w:ascii="Times New Roman" w:hAnsi="Times New Roman" w:cs="Times New Roman"/>
          <w:sz w:val="24"/>
          <w:szCs w:val="24"/>
        </w:rPr>
        <w:t xml:space="preserve">również </w:t>
      </w:r>
      <w:r w:rsidR="00FE10F9" w:rsidRPr="00EF6F97">
        <w:rPr>
          <w:rFonts w:ascii="Times New Roman" w:hAnsi="Times New Roman" w:cs="Times New Roman"/>
          <w:sz w:val="24"/>
          <w:szCs w:val="24"/>
        </w:rPr>
        <w:t xml:space="preserve">zmian w zakresie przepisów regulujących politykę energetyczną państwa w </w:t>
      </w:r>
      <w:r w:rsidR="006326C1">
        <w:rPr>
          <w:rFonts w:ascii="Times New Roman" w:hAnsi="Times New Roman" w:cs="Times New Roman"/>
          <w:sz w:val="24"/>
          <w:szCs w:val="24"/>
        </w:rPr>
        <w:t>sposób pozwalający na elastyczniejsze</w:t>
      </w:r>
      <w:r w:rsidR="00FE10F9" w:rsidRPr="00EF6F97">
        <w:rPr>
          <w:rFonts w:ascii="Times New Roman" w:hAnsi="Times New Roman" w:cs="Times New Roman"/>
          <w:sz w:val="24"/>
          <w:szCs w:val="24"/>
        </w:rPr>
        <w:t xml:space="preserve"> kształtowanie formuły dokumentu. W związku </w:t>
      </w:r>
      <w:r w:rsidR="001D0628">
        <w:rPr>
          <w:rFonts w:ascii="Times New Roman" w:hAnsi="Times New Roman" w:cs="Times New Roman"/>
          <w:sz w:val="24"/>
          <w:szCs w:val="24"/>
        </w:rPr>
        <w:t>z </w:t>
      </w:r>
      <w:r w:rsidR="00FE10F9" w:rsidRPr="00EF6F97">
        <w:rPr>
          <w:rFonts w:ascii="Times New Roman" w:hAnsi="Times New Roman" w:cs="Times New Roman"/>
          <w:sz w:val="24"/>
          <w:szCs w:val="24"/>
        </w:rPr>
        <w:t>pracami nad systemem zarządzania unią energetyczną opracowywany jest Plan krajowy na rzec</w:t>
      </w:r>
      <w:r w:rsidR="001D0628">
        <w:rPr>
          <w:rFonts w:ascii="Times New Roman" w:hAnsi="Times New Roman" w:cs="Times New Roman"/>
          <w:sz w:val="24"/>
          <w:szCs w:val="24"/>
        </w:rPr>
        <w:t>z </w:t>
      </w:r>
      <w:r w:rsidR="00FE10F9" w:rsidRPr="00EF6F97">
        <w:rPr>
          <w:rFonts w:ascii="Times New Roman" w:hAnsi="Times New Roman" w:cs="Times New Roman"/>
          <w:sz w:val="24"/>
          <w:szCs w:val="24"/>
        </w:rPr>
        <w:t>energii</w:t>
      </w:r>
      <w:r w:rsidR="001D0628">
        <w:rPr>
          <w:rFonts w:ascii="Times New Roman" w:hAnsi="Times New Roman" w:cs="Times New Roman"/>
          <w:sz w:val="24"/>
          <w:szCs w:val="24"/>
        </w:rPr>
        <w:t xml:space="preserve"> i </w:t>
      </w:r>
      <w:r w:rsidR="00FE10F9" w:rsidRPr="00EF6F97">
        <w:rPr>
          <w:rFonts w:ascii="Times New Roman" w:hAnsi="Times New Roman" w:cs="Times New Roman"/>
          <w:sz w:val="24"/>
          <w:szCs w:val="24"/>
        </w:rPr>
        <w:t>klimatu. Struktura dokumentu opiera się na szablonie zunifikowanym dla wszystkich państw członkowskich, któr</w:t>
      </w:r>
      <w:r w:rsidR="00E52CF7" w:rsidRPr="00EF6F97">
        <w:rPr>
          <w:rFonts w:ascii="Times New Roman" w:hAnsi="Times New Roman" w:cs="Times New Roman"/>
          <w:sz w:val="24"/>
          <w:szCs w:val="24"/>
        </w:rPr>
        <w:t>y pokrywa znaczną część zakresu</w:t>
      </w:r>
      <w:r w:rsidR="00FE10F9" w:rsidRPr="00EF6F97">
        <w:rPr>
          <w:rFonts w:ascii="Times New Roman" w:hAnsi="Times New Roman" w:cs="Times New Roman"/>
          <w:sz w:val="24"/>
          <w:szCs w:val="24"/>
        </w:rPr>
        <w:t xml:space="preserve"> polityki energetycznej określonego w art. 15.</w:t>
      </w:r>
    </w:p>
    <w:p w14:paraId="07BAEAD3" w14:textId="77777777" w:rsidR="002533ED" w:rsidRPr="00EF6F97" w:rsidRDefault="002533ED" w:rsidP="00215A1D">
      <w:pPr>
        <w:spacing w:line="360" w:lineRule="auto"/>
        <w:jc w:val="both"/>
        <w:rPr>
          <w:rFonts w:ascii="Times New Roman" w:hAnsi="Times New Roman" w:cs="Times New Roman"/>
          <w:sz w:val="24"/>
          <w:szCs w:val="24"/>
        </w:rPr>
      </w:pPr>
    </w:p>
    <w:p w14:paraId="26A7F30D" w14:textId="75990AEB" w:rsidR="0054167B"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D0483F" w:rsidRPr="00EF6F97">
        <w:rPr>
          <w:rFonts w:ascii="Times New Roman" w:hAnsi="Times New Roman" w:cs="Times New Roman"/>
          <w:sz w:val="24"/>
          <w:szCs w:val="24"/>
        </w:rPr>
        <w:t>Ad 10</w:t>
      </w:r>
      <w:r w:rsidR="002533ED" w:rsidRPr="00EF6F97">
        <w:rPr>
          <w:rFonts w:ascii="Times New Roman" w:hAnsi="Times New Roman" w:cs="Times New Roman"/>
          <w:sz w:val="24"/>
          <w:szCs w:val="24"/>
        </w:rPr>
        <w:t xml:space="preserve">. </w:t>
      </w:r>
      <w:r w:rsidR="00D814C5" w:rsidRPr="00EF6F97">
        <w:rPr>
          <w:rFonts w:ascii="Times New Roman" w:hAnsi="Times New Roman" w:cs="Times New Roman"/>
          <w:sz w:val="24"/>
          <w:szCs w:val="24"/>
        </w:rPr>
        <w:t>Proponuje się również</w:t>
      </w:r>
      <w:r w:rsidR="002533ED" w:rsidRPr="00EF6F97">
        <w:rPr>
          <w:rFonts w:ascii="Times New Roman" w:hAnsi="Times New Roman" w:cs="Times New Roman"/>
          <w:sz w:val="24"/>
          <w:szCs w:val="24"/>
        </w:rPr>
        <w:t xml:space="preserve"> odstąpić w art. 47 ust. 2d od przesłanki, aby odmowa zatwierdzenia taryfy wynikała </w:t>
      </w:r>
      <w:r w:rsidR="001D0628">
        <w:rPr>
          <w:rFonts w:ascii="Times New Roman" w:hAnsi="Times New Roman" w:cs="Times New Roman"/>
          <w:sz w:val="24"/>
          <w:szCs w:val="24"/>
        </w:rPr>
        <w:t>z </w:t>
      </w:r>
      <w:r w:rsidR="002533ED" w:rsidRPr="00EF6F97">
        <w:rPr>
          <w:rFonts w:ascii="Times New Roman" w:hAnsi="Times New Roman" w:cs="Times New Roman"/>
          <w:sz w:val="24"/>
          <w:szCs w:val="24"/>
        </w:rPr>
        <w:t>udokumentowanych</w:t>
      </w:r>
      <w:r w:rsidR="001D0628">
        <w:rPr>
          <w:rFonts w:ascii="Times New Roman" w:hAnsi="Times New Roman" w:cs="Times New Roman"/>
          <w:sz w:val="24"/>
          <w:szCs w:val="24"/>
        </w:rPr>
        <w:t xml:space="preserve"> i </w:t>
      </w:r>
      <w:r w:rsidR="002533ED" w:rsidRPr="00EF6F97">
        <w:rPr>
          <w:rFonts w:ascii="Times New Roman" w:hAnsi="Times New Roman" w:cs="Times New Roman"/>
          <w:sz w:val="24"/>
          <w:szCs w:val="24"/>
        </w:rPr>
        <w:t xml:space="preserve">opisanych zmian </w:t>
      </w:r>
      <w:r w:rsidR="002533ED" w:rsidRPr="00EF6F97">
        <w:rPr>
          <w:rFonts w:ascii="Times New Roman" w:hAnsi="Times New Roman" w:cs="Times New Roman"/>
          <w:sz w:val="24"/>
          <w:szCs w:val="24"/>
          <w:u w:val="single"/>
        </w:rPr>
        <w:t>zewnętrznych</w:t>
      </w:r>
      <w:r w:rsidR="002533ED" w:rsidRPr="00EF6F97">
        <w:rPr>
          <w:rFonts w:ascii="Times New Roman" w:hAnsi="Times New Roman" w:cs="Times New Roman"/>
          <w:sz w:val="24"/>
          <w:szCs w:val="24"/>
        </w:rPr>
        <w:t xml:space="preserve"> warunków wykonywania działalności gospodarczej prze</w:t>
      </w:r>
      <w:r w:rsidR="001D0628">
        <w:rPr>
          <w:rFonts w:ascii="Times New Roman" w:hAnsi="Times New Roman" w:cs="Times New Roman"/>
          <w:sz w:val="24"/>
          <w:szCs w:val="24"/>
        </w:rPr>
        <w:t>z </w:t>
      </w:r>
      <w:r w:rsidR="002533ED" w:rsidRPr="00EF6F97">
        <w:rPr>
          <w:rFonts w:ascii="Times New Roman" w:hAnsi="Times New Roman" w:cs="Times New Roman"/>
          <w:sz w:val="24"/>
          <w:szCs w:val="24"/>
        </w:rPr>
        <w:t>przedsiębiorstwo energetyczne. Niejednokrotnie bowiem ma miejsce sytuacja, w której przedsiębiorstwo energetyczne w dowolny</w:t>
      </w:r>
      <w:r w:rsidR="001D0628">
        <w:rPr>
          <w:rFonts w:ascii="Times New Roman" w:hAnsi="Times New Roman" w:cs="Times New Roman"/>
          <w:sz w:val="24"/>
          <w:szCs w:val="24"/>
        </w:rPr>
        <w:t xml:space="preserve"> i </w:t>
      </w:r>
      <w:r w:rsidR="002533ED" w:rsidRPr="00EF6F97">
        <w:rPr>
          <w:rFonts w:ascii="Times New Roman" w:hAnsi="Times New Roman" w:cs="Times New Roman"/>
          <w:sz w:val="24"/>
          <w:szCs w:val="24"/>
        </w:rPr>
        <w:t xml:space="preserve">nieuzasadniony sposób zawyża koszty własne, przyjęte do kalkulacji przedstawianej do zatwierdzenia taryfy. </w:t>
      </w:r>
      <w:r w:rsidR="00E9108B" w:rsidRPr="00EF6F97">
        <w:rPr>
          <w:rFonts w:ascii="Times New Roman" w:hAnsi="Times New Roman" w:cs="Times New Roman"/>
          <w:sz w:val="24"/>
          <w:szCs w:val="24"/>
        </w:rPr>
        <w:t xml:space="preserve">Regulator </w:t>
      </w:r>
      <w:r w:rsidR="002533ED" w:rsidRPr="00EF6F97">
        <w:rPr>
          <w:rFonts w:ascii="Times New Roman" w:hAnsi="Times New Roman" w:cs="Times New Roman"/>
          <w:sz w:val="24"/>
          <w:szCs w:val="24"/>
        </w:rPr>
        <w:t>odmawia zatwierdzenia tak skonstruowanej taryfy</w:t>
      </w:r>
      <w:r w:rsidR="00E52CF7" w:rsidRPr="00EF6F97">
        <w:rPr>
          <w:rFonts w:ascii="Times New Roman" w:hAnsi="Times New Roman" w:cs="Times New Roman"/>
          <w:sz w:val="24"/>
          <w:szCs w:val="24"/>
        </w:rPr>
        <w:t>,</w:t>
      </w:r>
      <w:r w:rsidR="002533ED" w:rsidRPr="00EF6F97">
        <w:rPr>
          <w:rFonts w:ascii="Times New Roman" w:hAnsi="Times New Roman" w:cs="Times New Roman"/>
          <w:sz w:val="24"/>
          <w:szCs w:val="24"/>
        </w:rPr>
        <w:t xml:space="preserve"> a przedsiębiorstwo wnosi odwołanie. Ponieważ odmowa zatwierdzenia taryfy nie wynika w takim przypadku ze zmian warunków zewnętrznych, przedsiębiorstwo do czasu prawomocnego zakończenia postępowania stosuje taryfę dotychczasową na podstawie art. 47 ust. 2c pkt 2. W takim przypadku, nawet jeżeli </w:t>
      </w:r>
      <w:r w:rsidR="00E9108B" w:rsidRPr="00EF6F97">
        <w:rPr>
          <w:rFonts w:ascii="Times New Roman" w:hAnsi="Times New Roman" w:cs="Times New Roman"/>
          <w:sz w:val="24"/>
          <w:szCs w:val="24"/>
        </w:rPr>
        <w:t>ostatecznie s</w:t>
      </w:r>
      <w:r w:rsidR="002533ED" w:rsidRPr="00EF6F97">
        <w:rPr>
          <w:rFonts w:ascii="Times New Roman" w:hAnsi="Times New Roman" w:cs="Times New Roman"/>
          <w:sz w:val="24"/>
          <w:szCs w:val="24"/>
        </w:rPr>
        <w:t>ąd odwo</w:t>
      </w:r>
      <w:r w:rsidR="00E9108B" w:rsidRPr="00EF6F97">
        <w:rPr>
          <w:rFonts w:ascii="Times New Roman" w:hAnsi="Times New Roman" w:cs="Times New Roman"/>
          <w:sz w:val="24"/>
          <w:szCs w:val="24"/>
        </w:rPr>
        <w:t>ławczy uzna za zasadną decyzję regulatora</w:t>
      </w:r>
      <w:r w:rsidR="002533ED" w:rsidRPr="00EF6F97">
        <w:rPr>
          <w:rFonts w:ascii="Times New Roman" w:hAnsi="Times New Roman" w:cs="Times New Roman"/>
          <w:sz w:val="24"/>
          <w:szCs w:val="24"/>
        </w:rPr>
        <w:t>, przedsiębiorstwo nawet prze</w:t>
      </w:r>
      <w:r w:rsidR="001D0628">
        <w:rPr>
          <w:rFonts w:ascii="Times New Roman" w:hAnsi="Times New Roman" w:cs="Times New Roman"/>
          <w:sz w:val="24"/>
          <w:szCs w:val="24"/>
        </w:rPr>
        <w:t>z </w:t>
      </w:r>
      <w:r w:rsidR="002533ED" w:rsidRPr="00EF6F97">
        <w:rPr>
          <w:rFonts w:ascii="Times New Roman" w:hAnsi="Times New Roman" w:cs="Times New Roman"/>
          <w:sz w:val="24"/>
          <w:szCs w:val="24"/>
        </w:rPr>
        <w:t>kilka lat osiąga nieuzasadnione korzyści</w:t>
      </w:r>
      <w:r w:rsidR="001D681A">
        <w:rPr>
          <w:rFonts w:ascii="Times New Roman" w:hAnsi="Times New Roman" w:cs="Times New Roman"/>
          <w:sz w:val="24"/>
          <w:szCs w:val="24"/>
        </w:rPr>
        <w:t>,</w:t>
      </w:r>
      <w:r w:rsidR="002533ED" w:rsidRPr="00EF6F97">
        <w:rPr>
          <w:rFonts w:ascii="Times New Roman" w:hAnsi="Times New Roman" w:cs="Times New Roman"/>
          <w:sz w:val="24"/>
          <w:szCs w:val="24"/>
        </w:rPr>
        <w:t xml:space="preserve"> pobierając od odbiorców opłaty w wysokości przewidzianej w dotychczasowej taryfie. Zatem wykreślenie </w:t>
      </w:r>
      <w:r w:rsidR="001D0628">
        <w:rPr>
          <w:rFonts w:ascii="Times New Roman" w:hAnsi="Times New Roman" w:cs="Times New Roman"/>
          <w:sz w:val="24"/>
          <w:szCs w:val="24"/>
        </w:rPr>
        <w:t>z </w:t>
      </w:r>
      <w:r w:rsidR="002533ED" w:rsidRPr="00EF6F97">
        <w:rPr>
          <w:rFonts w:ascii="Times New Roman" w:hAnsi="Times New Roman" w:cs="Times New Roman"/>
          <w:sz w:val="24"/>
          <w:szCs w:val="24"/>
        </w:rPr>
        <w:t xml:space="preserve">art. 47 ust. 2d wyrazu </w:t>
      </w:r>
      <w:r w:rsidR="00D814C5" w:rsidRPr="00EF6F97">
        <w:rPr>
          <w:rFonts w:ascii="Times New Roman" w:hAnsi="Times New Roman" w:cs="Times New Roman"/>
          <w:sz w:val="24"/>
          <w:szCs w:val="24"/>
        </w:rPr>
        <w:t>„zewnętrznych</w:t>
      </w:r>
      <w:r w:rsidR="001D681A">
        <w:rPr>
          <w:rFonts w:ascii="Times New Roman" w:hAnsi="Times New Roman" w:cs="Times New Roman"/>
          <w:sz w:val="24"/>
          <w:szCs w:val="24"/>
        </w:rPr>
        <w:t>”</w:t>
      </w:r>
      <w:r w:rsidR="00D814C5" w:rsidRPr="00EF6F97">
        <w:rPr>
          <w:rFonts w:ascii="Times New Roman" w:hAnsi="Times New Roman" w:cs="Times New Roman"/>
          <w:sz w:val="24"/>
          <w:szCs w:val="24"/>
        </w:rPr>
        <w:t xml:space="preserve"> wyeliminuje</w:t>
      </w:r>
      <w:r w:rsidR="002533ED" w:rsidRPr="00EF6F97">
        <w:rPr>
          <w:rFonts w:ascii="Times New Roman" w:hAnsi="Times New Roman" w:cs="Times New Roman"/>
          <w:sz w:val="24"/>
          <w:szCs w:val="24"/>
        </w:rPr>
        <w:t xml:space="preserve"> powyższe niekorzystne zjawiska</w:t>
      </w:r>
      <w:r w:rsidR="001D0628">
        <w:rPr>
          <w:rFonts w:ascii="Times New Roman" w:hAnsi="Times New Roman" w:cs="Times New Roman"/>
          <w:sz w:val="24"/>
          <w:szCs w:val="24"/>
        </w:rPr>
        <w:t xml:space="preserve"> i </w:t>
      </w:r>
      <w:r w:rsidR="00D814C5" w:rsidRPr="00EF6F97">
        <w:rPr>
          <w:rFonts w:ascii="Times New Roman" w:hAnsi="Times New Roman" w:cs="Times New Roman"/>
          <w:sz w:val="24"/>
          <w:szCs w:val="24"/>
        </w:rPr>
        <w:t>zwiększy</w:t>
      </w:r>
      <w:r w:rsidR="002533ED" w:rsidRPr="00EF6F97">
        <w:rPr>
          <w:rFonts w:ascii="Times New Roman" w:hAnsi="Times New Roman" w:cs="Times New Roman"/>
          <w:sz w:val="24"/>
          <w:szCs w:val="24"/>
        </w:rPr>
        <w:t xml:space="preserve"> skuteczność przepisów art. 47 ust. 2c</w:t>
      </w:r>
      <w:r w:rsidR="001D0628">
        <w:rPr>
          <w:rFonts w:ascii="Times New Roman" w:hAnsi="Times New Roman" w:cs="Times New Roman"/>
          <w:sz w:val="24"/>
          <w:szCs w:val="24"/>
        </w:rPr>
        <w:t xml:space="preserve"> i </w:t>
      </w:r>
      <w:r w:rsidR="002533ED" w:rsidRPr="00EF6F97">
        <w:rPr>
          <w:rFonts w:ascii="Times New Roman" w:hAnsi="Times New Roman" w:cs="Times New Roman"/>
          <w:sz w:val="24"/>
          <w:szCs w:val="24"/>
        </w:rPr>
        <w:t xml:space="preserve">2d. </w:t>
      </w:r>
    </w:p>
    <w:p w14:paraId="43213A40" w14:textId="535A8520" w:rsidR="00E9108B"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D55610" w:rsidRPr="00EF6F97">
        <w:rPr>
          <w:rFonts w:ascii="Times New Roman" w:hAnsi="Times New Roman" w:cs="Times New Roman"/>
          <w:sz w:val="24"/>
          <w:szCs w:val="24"/>
        </w:rPr>
        <w:t xml:space="preserve">Zmiana miejsca publikacji taryf dla ciepła </w:t>
      </w:r>
      <w:r w:rsidR="001D0628">
        <w:rPr>
          <w:rFonts w:ascii="Times New Roman" w:hAnsi="Times New Roman" w:cs="Times New Roman"/>
          <w:sz w:val="24"/>
          <w:szCs w:val="24"/>
        </w:rPr>
        <w:t>z </w:t>
      </w:r>
      <w:r w:rsidR="00D55610" w:rsidRPr="00EF6F97">
        <w:rPr>
          <w:rFonts w:ascii="Times New Roman" w:hAnsi="Times New Roman" w:cs="Times New Roman"/>
          <w:sz w:val="24"/>
          <w:szCs w:val="24"/>
        </w:rPr>
        <w:t>dziennika wojewódzkiego na Biuletyn URE</w:t>
      </w:r>
      <w:r w:rsidR="001D0628">
        <w:rPr>
          <w:rFonts w:ascii="Times New Roman" w:hAnsi="Times New Roman" w:cs="Times New Roman"/>
          <w:sz w:val="24"/>
          <w:szCs w:val="24"/>
        </w:rPr>
        <w:t xml:space="preserve"> i </w:t>
      </w:r>
      <w:r w:rsidR="00D55610" w:rsidRPr="00EF6F97">
        <w:rPr>
          <w:rFonts w:ascii="Times New Roman" w:hAnsi="Times New Roman" w:cs="Times New Roman"/>
          <w:sz w:val="24"/>
          <w:szCs w:val="24"/>
        </w:rPr>
        <w:t>wydłużenie terminu, podobnie jak jest to w przypadku energii elektrycznej</w:t>
      </w:r>
      <w:r w:rsidR="001D0628">
        <w:rPr>
          <w:rFonts w:ascii="Times New Roman" w:hAnsi="Times New Roman" w:cs="Times New Roman"/>
          <w:sz w:val="24"/>
          <w:szCs w:val="24"/>
        </w:rPr>
        <w:t xml:space="preserve"> i </w:t>
      </w:r>
      <w:r w:rsidR="00D55610" w:rsidRPr="00EF6F97">
        <w:rPr>
          <w:rFonts w:ascii="Times New Roman" w:hAnsi="Times New Roman" w:cs="Times New Roman"/>
          <w:sz w:val="24"/>
          <w:szCs w:val="24"/>
        </w:rPr>
        <w:t xml:space="preserve">paliw gazowych, </w:t>
      </w:r>
      <w:r w:rsidR="001D0628">
        <w:rPr>
          <w:rFonts w:ascii="Times New Roman" w:hAnsi="Times New Roman" w:cs="Times New Roman"/>
          <w:sz w:val="24"/>
          <w:szCs w:val="24"/>
        </w:rPr>
        <w:t>z </w:t>
      </w:r>
      <w:r w:rsidR="00D55610" w:rsidRPr="00EF6F97">
        <w:rPr>
          <w:rFonts w:ascii="Times New Roman" w:hAnsi="Times New Roman" w:cs="Times New Roman"/>
          <w:sz w:val="24"/>
          <w:szCs w:val="24"/>
        </w:rPr>
        <w:t xml:space="preserve">7 do 14 dni stanowi uwzględnienie uwagi Prezes URE zgłoszonej przy piśmie </w:t>
      </w:r>
      <w:r w:rsidR="001D0628">
        <w:rPr>
          <w:rFonts w:ascii="Times New Roman" w:hAnsi="Times New Roman" w:cs="Times New Roman"/>
          <w:sz w:val="24"/>
          <w:szCs w:val="24"/>
        </w:rPr>
        <w:t>z </w:t>
      </w:r>
      <w:r w:rsidR="00D55610" w:rsidRPr="00EF6F97">
        <w:rPr>
          <w:rFonts w:ascii="Times New Roman" w:hAnsi="Times New Roman" w:cs="Times New Roman"/>
          <w:sz w:val="24"/>
          <w:szCs w:val="24"/>
        </w:rPr>
        <w:t>dnia 24 lipca 2018</w:t>
      </w:r>
      <w:r w:rsidR="001D0628">
        <w:rPr>
          <w:rFonts w:ascii="Times New Roman" w:hAnsi="Times New Roman" w:cs="Times New Roman"/>
          <w:sz w:val="24"/>
          <w:szCs w:val="24"/>
        </w:rPr>
        <w:t> r.</w:t>
      </w:r>
    </w:p>
    <w:p w14:paraId="6CC47334" w14:textId="77777777" w:rsidR="001F258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1F2587">
        <w:rPr>
          <w:rFonts w:ascii="Times New Roman" w:hAnsi="Times New Roman" w:cs="Times New Roman"/>
          <w:sz w:val="24"/>
          <w:szCs w:val="24"/>
        </w:rPr>
        <w:t>Dodatkowo, uwzględniając uwagę Prezesa URE, zgłoszoną przy piśmie z dnia 31 stycznia 2020 r. nadano nowe brzmienie art. 47 ust. 2a:</w:t>
      </w:r>
    </w:p>
    <w:p w14:paraId="47847672" w14:textId="77777777" w:rsidR="001F2587" w:rsidRPr="001F2587" w:rsidRDefault="001F2587" w:rsidP="001D681A">
      <w:pPr>
        <w:spacing w:line="360" w:lineRule="auto"/>
        <w:ind w:firstLine="284"/>
        <w:jc w:val="both"/>
        <w:rPr>
          <w:rFonts w:ascii="Times New Roman" w:hAnsi="Times New Roman" w:cs="Times New Roman"/>
          <w:sz w:val="24"/>
          <w:szCs w:val="24"/>
        </w:rPr>
      </w:pPr>
      <w:r w:rsidRPr="001F2587">
        <w:rPr>
          <w:rFonts w:ascii="Times New Roman" w:hAnsi="Times New Roman" w:cs="Times New Roman"/>
          <w:sz w:val="24"/>
          <w:szCs w:val="24"/>
        </w:rPr>
        <w:t xml:space="preserve">„2a. Prezes URE, na wniosek przedsiębiorstwa energetycznego, może zatwierdzić, na okres nie dłuższy niż 3 lata, taryfę zawierającą ceny i stawki opłat w wysokości nie wyższej </w:t>
      </w:r>
      <w:r w:rsidRPr="001F2587">
        <w:rPr>
          <w:rFonts w:ascii="Times New Roman" w:hAnsi="Times New Roman" w:cs="Times New Roman"/>
          <w:sz w:val="24"/>
          <w:szCs w:val="24"/>
        </w:rPr>
        <w:lastRenderedPageBreak/>
        <w:t>niż ceny i stawki opłat obowiązujące przed jej przedłożeniem Prezesowi URE, jeżeli są spełnione łącznie następujące warunki:”.</w:t>
      </w:r>
    </w:p>
    <w:p w14:paraId="3FC0C443" w14:textId="0B44C87E" w:rsidR="001F2587" w:rsidRDefault="001F2587" w:rsidP="001F2587">
      <w:pPr>
        <w:spacing w:line="360" w:lineRule="auto"/>
        <w:jc w:val="both"/>
        <w:rPr>
          <w:rFonts w:ascii="Times New Roman" w:hAnsi="Times New Roman" w:cs="Times New Roman"/>
          <w:sz w:val="24"/>
          <w:szCs w:val="24"/>
        </w:rPr>
      </w:pPr>
      <w:r w:rsidRPr="001F2587">
        <w:rPr>
          <w:rFonts w:ascii="Times New Roman" w:hAnsi="Times New Roman" w:cs="Times New Roman"/>
          <w:sz w:val="24"/>
          <w:szCs w:val="24"/>
        </w:rPr>
        <w:t>Powyższy przepis wprowadza szczególny, uproszczony tryb zatwierdzania taryfy na okres do 3 lat, bez dokonywania przeglądu regulacyjnego. Celem tego przepisu jest zagwarantowanie wyłącznie wnioskodawcy, akumulacji korzyści wynikających z poprawy efektywności jego działania w okresie obowiązywania takiej taryfy (tj. bez przeniesienia części tych korzyści na odbiorców). Z uwagi na doświadczenie regulatora w rozpatrywaniu ww. wniosków, proponuje się zmianę przepisu przez stworzenie możliwości zasadności takiego wniosku w ramach uznania administracyjnego.</w:t>
      </w:r>
    </w:p>
    <w:p w14:paraId="613617CD" w14:textId="77777777" w:rsidR="006326C1" w:rsidRDefault="006326C1" w:rsidP="001F2587">
      <w:pPr>
        <w:spacing w:line="360" w:lineRule="auto"/>
        <w:jc w:val="both"/>
        <w:rPr>
          <w:rFonts w:ascii="Times New Roman" w:hAnsi="Times New Roman" w:cs="Times New Roman"/>
          <w:sz w:val="24"/>
          <w:szCs w:val="24"/>
        </w:rPr>
      </w:pPr>
    </w:p>
    <w:p w14:paraId="733C0F07" w14:textId="0EF84F22" w:rsidR="004E459B" w:rsidRPr="00EF6F97" w:rsidRDefault="00D0483F" w:rsidP="001F2587">
      <w:pPr>
        <w:spacing w:line="360" w:lineRule="auto"/>
        <w:ind w:firstLine="709"/>
        <w:jc w:val="both"/>
        <w:rPr>
          <w:rFonts w:ascii="Times New Roman" w:hAnsi="Times New Roman" w:cs="Times New Roman"/>
          <w:sz w:val="24"/>
          <w:szCs w:val="24"/>
        </w:rPr>
      </w:pPr>
      <w:r w:rsidRPr="00EF6F97">
        <w:rPr>
          <w:rFonts w:ascii="Times New Roman" w:hAnsi="Times New Roman" w:cs="Times New Roman"/>
          <w:sz w:val="24"/>
          <w:szCs w:val="24"/>
        </w:rPr>
        <w:t>Ad 11</w:t>
      </w:r>
      <w:r w:rsidR="00E9108B" w:rsidRPr="00EF6F97">
        <w:rPr>
          <w:rFonts w:ascii="Times New Roman" w:hAnsi="Times New Roman" w:cs="Times New Roman"/>
          <w:sz w:val="24"/>
          <w:szCs w:val="24"/>
        </w:rPr>
        <w:t xml:space="preserve">. </w:t>
      </w:r>
      <w:r w:rsidR="004E459B" w:rsidRPr="00EF6F97">
        <w:rPr>
          <w:rFonts w:ascii="Times New Roman" w:hAnsi="Times New Roman" w:cs="Times New Roman"/>
          <w:sz w:val="24"/>
          <w:szCs w:val="24"/>
        </w:rPr>
        <w:t>Problem zawierania umów poza lokalem przedsiębiorstwa sygnalizowany był prze</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 xml:space="preserve">Prezesa URE kilkukrotnie (co potwierdza Najwyższa Izba Kontroli w Informacji o wynikach kontroli Ochrona praw konsumenta energii elektrycznej, wskazując, że „Prezes URE kilkukrotnie zwracał się do Ministra Energii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propozycjami zmian legislacyjnych, w tym wprowadzenie zakazu sprzedaży w formule bezpośredniej akwizycji”, str. 10), wymaga pilnego rozwiązania w związku licznymi</w:t>
      </w:r>
      <w:r w:rsidR="00DF56C2">
        <w:rPr>
          <w:rFonts w:ascii="Times New Roman" w:hAnsi="Times New Roman" w:cs="Times New Roman"/>
          <w:sz w:val="24"/>
          <w:szCs w:val="24"/>
        </w:rPr>
        <w:t xml:space="preserve"> </w:t>
      </w:r>
      <w:r w:rsidR="004E459B" w:rsidRPr="00EF6F97">
        <w:rPr>
          <w:rFonts w:ascii="Times New Roman" w:hAnsi="Times New Roman" w:cs="Times New Roman"/>
          <w:sz w:val="24"/>
          <w:szCs w:val="24"/>
        </w:rPr>
        <w:t>przypadkami oszustw</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wprowadzania w błąd odbiorców paliw</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energii w gospodarstwach domowych podczas sprzedaży bezpośredniej w tzw. formule door-to-door. Wobec powyższego proponuje się wprowadzenie zmian w ustawie – Prawo energetyczne, które pozwolą na wyeliminowanie lub znaczące zmniejszenie tego rodzaju niepożądanych zachowań. Ze skarg odbiorców wynika, że koncesjonariusze sprzedający energię elektryczną lub ga</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 xml:space="preserve">ziemny w tzw. formule door-to-door (sprzedaż poza lokalem przedsiębiorstwa) </w:t>
      </w:r>
      <w:r w:rsidR="00CD6B8E">
        <w:rPr>
          <w:rFonts w:ascii="Times New Roman" w:hAnsi="Times New Roman" w:cs="Times New Roman"/>
          <w:sz w:val="24"/>
          <w:szCs w:val="24"/>
        </w:rPr>
        <w:t>–</w:t>
      </w:r>
      <w:r w:rsidR="004E459B" w:rsidRPr="00EF6F97">
        <w:rPr>
          <w:rFonts w:ascii="Times New Roman" w:hAnsi="Times New Roman" w:cs="Times New Roman"/>
          <w:sz w:val="24"/>
          <w:szCs w:val="24"/>
        </w:rPr>
        <w:t xml:space="preserve"> działający również za pośrednictwem wyspecjalizowanych agencji</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 xml:space="preserve">przedstawicieli handlowych (akwizytorów) </w:t>
      </w:r>
      <w:r w:rsidR="00CD6B8E">
        <w:rPr>
          <w:rFonts w:ascii="Times New Roman" w:hAnsi="Times New Roman" w:cs="Times New Roman"/>
          <w:sz w:val="24"/>
          <w:szCs w:val="24"/>
        </w:rPr>
        <w:t>–</w:t>
      </w:r>
      <w:r w:rsidR="004E459B" w:rsidRPr="00EF6F97">
        <w:rPr>
          <w:rFonts w:ascii="Times New Roman" w:hAnsi="Times New Roman" w:cs="Times New Roman"/>
          <w:sz w:val="24"/>
          <w:szCs w:val="24"/>
        </w:rPr>
        <w:t xml:space="preserve"> dopuszczają się m.in. następujących niedozwolonych praktyk:</w:t>
      </w:r>
    </w:p>
    <w:p w14:paraId="62196D89" w14:textId="77777777" w:rsidR="004E459B" w:rsidRPr="00215A1D" w:rsidRDefault="004E459B" w:rsidP="00215A1D">
      <w:pPr>
        <w:pStyle w:val="Akapitzlist"/>
        <w:numPr>
          <w:ilvl w:val="2"/>
          <w:numId w:val="47"/>
        </w:numPr>
        <w:spacing w:after="0" w:line="360" w:lineRule="auto"/>
        <w:ind w:left="426"/>
        <w:jc w:val="both"/>
        <w:rPr>
          <w:rFonts w:ascii="Times New Roman" w:hAnsi="Times New Roman"/>
          <w:sz w:val="24"/>
          <w:szCs w:val="24"/>
        </w:rPr>
      </w:pPr>
      <w:r w:rsidRPr="00215A1D">
        <w:rPr>
          <w:rFonts w:ascii="Times New Roman" w:hAnsi="Times New Roman"/>
          <w:sz w:val="24"/>
          <w:szCs w:val="24"/>
        </w:rPr>
        <w:t>niepodawanie odbiorcom nazwy sprzedawcy lub wprowadzanie w błąd, co do nazwy sprzedawcy (podawanie się za pracowników innych podmiotów),</w:t>
      </w:r>
    </w:p>
    <w:p w14:paraId="048C137D" w14:textId="1C58A24D" w:rsidR="004E459B" w:rsidRPr="00215A1D" w:rsidRDefault="004E459B" w:rsidP="00215A1D">
      <w:pPr>
        <w:pStyle w:val="Akapitzlist"/>
        <w:numPr>
          <w:ilvl w:val="2"/>
          <w:numId w:val="47"/>
        </w:numPr>
        <w:spacing w:after="0" w:line="360" w:lineRule="auto"/>
        <w:ind w:left="426"/>
        <w:jc w:val="both"/>
        <w:rPr>
          <w:rFonts w:ascii="Times New Roman" w:hAnsi="Times New Roman"/>
          <w:sz w:val="24"/>
          <w:szCs w:val="24"/>
        </w:rPr>
      </w:pPr>
      <w:r w:rsidRPr="00215A1D">
        <w:rPr>
          <w:rFonts w:ascii="Times New Roman" w:hAnsi="Times New Roman"/>
          <w:sz w:val="24"/>
          <w:szCs w:val="24"/>
        </w:rPr>
        <w:t>wprowadzanie odbiorców w błąd prze</w:t>
      </w:r>
      <w:r w:rsidR="001D0628">
        <w:rPr>
          <w:rFonts w:ascii="Times New Roman" w:hAnsi="Times New Roman"/>
          <w:sz w:val="24"/>
          <w:szCs w:val="24"/>
        </w:rPr>
        <w:t>z </w:t>
      </w:r>
      <w:r w:rsidRPr="00215A1D">
        <w:rPr>
          <w:rFonts w:ascii="Times New Roman" w:hAnsi="Times New Roman"/>
          <w:sz w:val="24"/>
          <w:szCs w:val="24"/>
        </w:rPr>
        <w:t xml:space="preserve">informowanie o obowiązku podpisywania nowych umów, aneksów do umów lub innych dokumentów związanych </w:t>
      </w:r>
      <w:r w:rsidR="001D0628">
        <w:rPr>
          <w:rFonts w:ascii="Times New Roman" w:hAnsi="Times New Roman"/>
          <w:sz w:val="24"/>
          <w:szCs w:val="24"/>
        </w:rPr>
        <w:t>z </w:t>
      </w:r>
      <w:r w:rsidRPr="00215A1D">
        <w:rPr>
          <w:rFonts w:ascii="Times New Roman" w:hAnsi="Times New Roman"/>
          <w:sz w:val="24"/>
          <w:szCs w:val="24"/>
        </w:rPr>
        <w:t>dostarczaniem paliw gazowych</w:t>
      </w:r>
      <w:r w:rsidR="001D0628">
        <w:rPr>
          <w:rFonts w:ascii="Times New Roman" w:hAnsi="Times New Roman"/>
          <w:sz w:val="24"/>
          <w:szCs w:val="24"/>
        </w:rPr>
        <w:t xml:space="preserve"> i </w:t>
      </w:r>
      <w:r w:rsidRPr="00215A1D">
        <w:rPr>
          <w:rFonts w:ascii="Times New Roman" w:hAnsi="Times New Roman"/>
          <w:sz w:val="24"/>
          <w:szCs w:val="24"/>
        </w:rPr>
        <w:t>energii elektrycznej ora</w:t>
      </w:r>
      <w:r w:rsidR="001D0628">
        <w:rPr>
          <w:rFonts w:ascii="Times New Roman" w:hAnsi="Times New Roman"/>
          <w:sz w:val="24"/>
          <w:szCs w:val="24"/>
        </w:rPr>
        <w:t>z </w:t>
      </w:r>
      <w:r w:rsidRPr="00215A1D">
        <w:rPr>
          <w:rFonts w:ascii="Times New Roman" w:hAnsi="Times New Roman"/>
          <w:sz w:val="24"/>
          <w:szCs w:val="24"/>
        </w:rPr>
        <w:t>podawanie nieprawdziwych przyczyn tego obowiązku (np. planowane zaprzestanie dostarczania paliw gazowych lub energii elektrycznej prze</w:t>
      </w:r>
      <w:r w:rsidR="001D0628">
        <w:rPr>
          <w:rFonts w:ascii="Times New Roman" w:hAnsi="Times New Roman"/>
          <w:sz w:val="24"/>
          <w:szCs w:val="24"/>
        </w:rPr>
        <w:t>z </w:t>
      </w:r>
      <w:r w:rsidRPr="00215A1D">
        <w:rPr>
          <w:rFonts w:ascii="Times New Roman" w:hAnsi="Times New Roman"/>
          <w:sz w:val="24"/>
          <w:szCs w:val="24"/>
        </w:rPr>
        <w:t>dotychczasowego sprzedawcę czy też zmiana danych dotychczasowego sprzedawcy),</w:t>
      </w:r>
    </w:p>
    <w:p w14:paraId="0CD45969" w14:textId="152466E5" w:rsidR="004E459B" w:rsidRPr="00215A1D" w:rsidRDefault="004E459B" w:rsidP="00215A1D">
      <w:pPr>
        <w:pStyle w:val="Akapitzlist"/>
        <w:numPr>
          <w:ilvl w:val="2"/>
          <w:numId w:val="47"/>
        </w:numPr>
        <w:spacing w:after="0" w:line="360" w:lineRule="auto"/>
        <w:ind w:left="426"/>
        <w:jc w:val="both"/>
        <w:rPr>
          <w:rFonts w:ascii="Times New Roman" w:hAnsi="Times New Roman"/>
          <w:sz w:val="24"/>
          <w:szCs w:val="24"/>
        </w:rPr>
      </w:pPr>
      <w:r w:rsidRPr="00215A1D">
        <w:rPr>
          <w:rFonts w:ascii="Times New Roman" w:hAnsi="Times New Roman"/>
          <w:sz w:val="24"/>
          <w:szCs w:val="24"/>
        </w:rPr>
        <w:t>nieinformowanie odbiorców o dokonanej zmianie sprzedawcy ora</w:t>
      </w:r>
      <w:r w:rsidR="001D0628">
        <w:rPr>
          <w:rFonts w:ascii="Times New Roman" w:hAnsi="Times New Roman"/>
          <w:sz w:val="24"/>
          <w:szCs w:val="24"/>
        </w:rPr>
        <w:t>z </w:t>
      </w:r>
      <w:r w:rsidRPr="00215A1D">
        <w:rPr>
          <w:rFonts w:ascii="Times New Roman" w:hAnsi="Times New Roman"/>
          <w:sz w:val="24"/>
          <w:szCs w:val="24"/>
        </w:rPr>
        <w:t>prawach i</w:t>
      </w:r>
      <w:r w:rsidR="00DF56C2">
        <w:rPr>
          <w:rFonts w:ascii="Times New Roman" w:hAnsi="Times New Roman"/>
          <w:sz w:val="24"/>
          <w:szCs w:val="24"/>
        </w:rPr>
        <w:t xml:space="preserve"> </w:t>
      </w:r>
      <w:r w:rsidRPr="00215A1D">
        <w:rPr>
          <w:rFonts w:ascii="Times New Roman" w:hAnsi="Times New Roman"/>
          <w:sz w:val="24"/>
          <w:szCs w:val="24"/>
        </w:rPr>
        <w:t xml:space="preserve">obowiązkach wynikających </w:t>
      </w:r>
      <w:r w:rsidR="001D0628">
        <w:rPr>
          <w:rFonts w:ascii="Times New Roman" w:hAnsi="Times New Roman"/>
          <w:sz w:val="24"/>
          <w:szCs w:val="24"/>
        </w:rPr>
        <w:t>z </w:t>
      </w:r>
      <w:r w:rsidRPr="00215A1D">
        <w:rPr>
          <w:rFonts w:ascii="Times New Roman" w:hAnsi="Times New Roman"/>
          <w:sz w:val="24"/>
          <w:szCs w:val="24"/>
        </w:rPr>
        <w:t>tej procedury,</w:t>
      </w:r>
    </w:p>
    <w:p w14:paraId="4976D10F" w14:textId="77777777" w:rsidR="004E459B" w:rsidRPr="00215A1D" w:rsidRDefault="004E459B" w:rsidP="00215A1D">
      <w:pPr>
        <w:pStyle w:val="Akapitzlist"/>
        <w:numPr>
          <w:ilvl w:val="2"/>
          <w:numId w:val="47"/>
        </w:numPr>
        <w:spacing w:after="0" w:line="360" w:lineRule="auto"/>
        <w:ind w:left="426"/>
        <w:jc w:val="both"/>
        <w:rPr>
          <w:rFonts w:ascii="Times New Roman" w:hAnsi="Times New Roman"/>
          <w:sz w:val="24"/>
          <w:szCs w:val="24"/>
        </w:rPr>
      </w:pPr>
      <w:r w:rsidRPr="00215A1D">
        <w:rPr>
          <w:rFonts w:ascii="Times New Roman" w:hAnsi="Times New Roman"/>
          <w:sz w:val="24"/>
          <w:szCs w:val="24"/>
        </w:rPr>
        <w:lastRenderedPageBreak/>
        <w:t>fałszowanie podpisów odbiorców,</w:t>
      </w:r>
    </w:p>
    <w:p w14:paraId="6E3F03F7" w14:textId="77777777" w:rsidR="004E459B" w:rsidRPr="00215A1D" w:rsidRDefault="004E459B" w:rsidP="00215A1D">
      <w:pPr>
        <w:pStyle w:val="Akapitzlist"/>
        <w:numPr>
          <w:ilvl w:val="2"/>
          <w:numId w:val="47"/>
        </w:numPr>
        <w:spacing w:after="0" w:line="360" w:lineRule="auto"/>
        <w:ind w:left="426"/>
        <w:jc w:val="both"/>
        <w:rPr>
          <w:rFonts w:ascii="Times New Roman" w:hAnsi="Times New Roman"/>
          <w:sz w:val="24"/>
          <w:szCs w:val="24"/>
        </w:rPr>
      </w:pPr>
      <w:r w:rsidRPr="00215A1D">
        <w:rPr>
          <w:rFonts w:ascii="Times New Roman" w:hAnsi="Times New Roman"/>
          <w:sz w:val="24"/>
          <w:szCs w:val="24"/>
        </w:rPr>
        <w:t>nieuwzględnienie złożonych w terminie prze</w:t>
      </w:r>
      <w:r w:rsidR="001D0628">
        <w:rPr>
          <w:rFonts w:ascii="Times New Roman" w:hAnsi="Times New Roman"/>
          <w:sz w:val="24"/>
          <w:szCs w:val="24"/>
        </w:rPr>
        <w:t>z </w:t>
      </w:r>
      <w:r w:rsidRPr="00215A1D">
        <w:rPr>
          <w:rFonts w:ascii="Times New Roman" w:hAnsi="Times New Roman"/>
          <w:sz w:val="24"/>
          <w:szCs w:val="24"/>
        </w:rPr>
        <w:t>odbiorców odstąpień od zawartych poza lokalem koncesjonariusza umów kompleksowych.</w:t>
      </w:r>
    </w:p>
    <w:p w14:paraId="0287FA91" w14:textId="6379587D" w:rsidR="004E459B"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4E459B" w:rsidRPr="00EF6F97">
        <w:rPr>
          <w:rFonts w:ascii="Times New Roman" w:hAnsi="Times New Roman" w:cs="Times New Roman"/>
          <w:sz w:val="24"/>
          <w:szCs w:val="24"/>
        </w:rPr>
        <w:t xml:space="preserve">Agresywna polityka sprzedaży przedsiębiorstw energetycznych, powiązana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brakiem profesjonalizmu przedstawicieli handlowych tych przedsiębiorstw prowadzi do występowania licznych nieprawidłowości</w:t>
      </w:r>
      <w:r w:rsidR="00CD6B8E">
        <w:rPr>
          <w:rFonts w:ascii="Times New Roman" w:hAnsi="Times New Roman" w:cs="Times New Roman"/>
          <w:sz w:val="24"/>
          <w:szCs w:val="24"/>
        </w:rPr>
        <w:t>,</w:t>
      </w:r>
      <w:r w:rsidR="004E459B" w:rsidRPr="00EF6F97">
        <w:rPr>
          <w:rFonts w:ascii="Times New Roman" w:hAnsi="Times New Roman" w:cs="Times New Roman"/>
          <w:sz w:val="24"/>
          <w:szCs w:val="24"/>
        </w:rPr>
        <w:t xml:space="preserve"> a nawet przestępstw w trakcie podpisywania umów sprzedaży paliw gazowych</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energii elektrycznej. Przedstawiciele handlowi nastawieni na maksymalizację swoich zarobków wykorzystują niewiedzę odbiorców w</w:t>
      </w:r>
      <w:r w:rsidR="00DF56C2">
        <w:rPr>
          <w:rFonts w:ascii="Times New Roman" w:hAnsi="Times New Roman" w:cs="Times New Roman"/>
          <w:sz w:val="24"/>
          <w:szCs w:val="24"/>
        </w:rPr>
        <w:t xml:space="preserve"> </w:t>
      </w:r>
      <w:r w:rsidR="004E459B" w:rsidRPr="00EF6F97">
        <w:rPr>
          <w:rFonts w:ascii="Times New Roman" w:hAnsi="Times New Roman" w:cs="Times New Roman"/>
          <w:sz w:val="24"/>
          <w:szCs w:val="24"/>
        </w:rPr>
        <w:t>gospodarstwach domowych, w szczególności osób starszych</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często</w:t>
      </w:r>
      <w:r w:rsidR="00CD6B8E">
        <w:rPr>
          <w:rFonts w:ascii="Times New Roman" w:hAnsi="Times New Roman" w:cs="Times New Roman"/>
          <w:sz w:val="24"/>
          <w:szCs w:val="24"/>
        </w:rPr>
        <w:t>,</w:t>
      </w:r>
      <w:r w:rsidR="004E459B" w:rsidRPr="00EF6F97">
        <w:rPr>
          <w:rFonts w:ascii="Times New Roman" w:hAnsi="Times New Roman" w:cs="Times New Roman"/>
          <w:sz w:val="24"/>
          <w:szCs w:val="24"/>
        </w:rPr>
        <w:t xml:space="preserve"> wprowadzając je w</w:t>
      </w:r>
      <w:r w:rsidR="00CD6B8E">
        <w:rPr>
          <w:rFonts w:ascii="Times New Roman" w:hAnsi="Times New Roman" w:cs="Times New Roman"/>
          <w:sz w:val="24"/>
          <w:szCs w:val="24"/>
        </w:rPr>
        <w:t xml:space="preserve"> </w:t>
      </w:r>
      <w:r w:rsidR="004E459B" w:rsidRPr="00EF6F97">
        <w:rPr>
          <w:rFonts w:ascii="Times New Roman" w:hAnsi="Times New Roman" w:cs="Times New Roman"/>
          <w:sz w:val="24"/>
          <w:szCs w:val="24"/>
        </w:rPr>
        <w:t>błąd</w:t>
      </w:r>
      <w:r w:rsidR="00CD6B8E">
        <w:rPr>
          <w:rFonts w:ascii="Times New Roman" w:hAnsi="Times New Roman" w:cs="Times New Roman"/>
          <w:sz w:val="24"/>
          <w:szCs w:val="24"/>
        </w:rPr>
        <w:t>,</w:t>
      </w:r>
      <w:r w:rsidR="004E459B" w:rsidRPr="00EF6F97">
        <w:rPr>
          <w:rFonts w:ascii="Times New Roman" w:hAnsi="Times New Roman" w:cs="Times New Roman"/>
          <w:sz w:val="24"/>
          <w:szCs w:val="24"/>
        </w:rPr>
        <w:t xml:space="preserve"> doprowadzają do zawarcia niekorzystnej umowy.</w:t>
      </w:r>
    </w:p>
    <w:p w14:paraId="35A44C71" w14:textId="362EEE1A" w:rsidR="004E459B"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4E459B" w:rsidRPr="00EF6F97">
        <w:rPr>
          <w:rFonts w:ascii="Times New Roman" w:hAnsi="Times New Roman" w:cs="Times New Roman"/>
          <w:sz w:val="24"/>
          <w:szCs w:val="24"/>
        </w:rPr>
        <w:t>W 2018 r</w:t>
      </w:r>
      <w:r w:rsidR="00DF56C2">
        <w:rPr>
          <w:rFonts w:ascii="Times New Roman" w:hAnsi="Times New Roman" w:cs="Times New Roman"/>
          <w:sz w:val="24"/>
          <w:szCs w:val="24"/>
        </w:rPr>
        <w:t>.</w:t>
      </w:r>
      <w:r w:rsidR="004E459B" w:rsidRPr="00EF6F97">
        <w:rPr>
          <w:rFonts w:ascii="Times New Roman" w:hAnsi="Times New Roman" w:cs="Times New Roman"/>
          <w:sz w:val="24"/>
          <w:szCs w:val="24"/>
        </w:rPr>
        <w:t xml:space="preserve"> ogólna </w:t>
      </w:r>
      <w:r w:rsidR="00CD6B8E">
        <w:rPr>
          <w:rFonts w:ascii="Times New Roman" w:hAnsi="Times New Roman" w:cs="Times New Roman"/>
          <w:sz w:val="24"/>
          <w:szCs w:val="24"/>
        </w:rPr>
        <w:t>liczba</w:t>
      </w:r>
      <w:r w:rsidR="004E459B" w:rsidRPr="00EF6F97">
        <w:rPr>
          <w:rFonts w:ascii="Times New Roman" w:hAnsi="Times New Roman" w:cs="Times New Roman"/>
          <w:sz w:val="24"/>
          <w:szCs w:val="24"/>
        </w:rPr>
        <w:t xml:space="preserve"> zgłoszeń tylko do Punktu Informacyjnego Odbiorców Energii</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 xml:space="preserve">Paliw Gazowych (PI) wyniosła ok. 5000, w tym spraw dot. nieuczciwych praktyk rynkowych było blisko 600 (12%). Natomiast dane za rok 2019 wskazują na łączną </w:t>
      </w:r>
      <w:r w:rsidR="008E7B39">
        <w:rPr>
          <w:rFonts w:ascii="Times New Roman" w:hAnsi="Times New Roman" w:cs="Times New Roman"/>
          <w:sz w:val="24"/>
          <w:szCs w:val="24"/>
        </w:rPr>
        <w:t>liczbę</w:t>
      </w:r>
      <w:r w:rsidR="004E459B" w:rsidRPr="00EF6F97">
        <w:rPr>
          <w:rFonts w:ascii="Times New Roman" w:hAnsi="Times New Roman" w:cs="Times New Roman"/>
          <w:sz w:val="24"/>
          <w:szCs w:val="24"/>
        </w:rPr>
        <w:t xml:space="preserve"> zgłoszeń </w:t>
      </w:r>
      <w:r w:rsidR="00DF56C2">
        <w:rPr>
          <w:rFonts w:ascii="Times New Roman" w:hAnsi="Times New Roman" w:cs="Times New Roman"/>
          <w:sz w:val="24"/>
          <w:szCs w:val="24"/>
        </w:rPr>
        <w:t xml:space="preserve">wynoszącą </w:t>
      </w:r>
      <w:r w:rsidR="004E459B" w:rsidRPr="00EF6F97">
        <w:rPr>
          <w:rFonts w:ascii="Times New Roman" w:hAnsi="Times New Roman" w:cs="Times New Roman"/>
          <w:sz w:val="24"/>
          <w:szCs w:val="24"/>
        </w:rPr>
        <w:t>2995</w:t>
      </w:r>
      <w:r w:rsidR="00DF56C2">
        <w:rPr>
          <w:rFonts w:ascii="Times New Roman" w:hAnsi="Times New Roman" w:cs="Times New Roman"/>
          <w:sz w:val="24"/>
          <w:szCs w:val="24"/>
        </w:rPr>
        <w:t>,</w:t>
      </w:r>
      <w:r w:rsidR="004E459B" w:rsidRPr="00EF6F97">
        <w:rPr>
          <w:rFonts w:ascii="Times New Roman" w:hAnsi="Times New Roman" w:cs="Times New Roman"/>
          <w:sz w:val="24"/>
          <w:szCs w:val="24"/>
        </w:rPr>
        <w:t xml:space="preserve"> w tym nieuczciwe praktyki rynkowe</w:t>
      </w:r>
      <w:r w:rsidR="00DF56C2">
        <w:rPr>
          <w:rFonts w:ascii="Times New Roman" w:hAnsi="Times New Roman" w:cs="Times New Roman"/>
          <w:sz w:val="24"/>
          <w:szCs w:val="24"/>
        </w:rPr>
        <w:t xml:space="preserve"> to</w:t>
      </w:r>
      <w:r w:rsidR="004E459B" w:rsidRPr="00EF6F97">
        <w:rPr>
          <w:rFonts w:ascii="Times New Roman" w:hAnsi="Times New Roman" w:cs="Times New Roman"/>
          <w:sz w:val="24"/>
          <w:szCs w:val="24"/>
        </w:rPr>
        <w:t xml:space="preserve"> 395 (13%). Przy czym spadek spraw zgłaszanych do PI związany jest specyfiką roku 2019</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funkcjonowaniem tzw. „ustawy prądowej”, która spowodowała zamrożenie rynku energii, aktywności akwizycyjnej sprzedawców, spadek ofert</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 xml:space="preserve">niepewność funkcjonowania w nowych otoczeniu prawnym. Warto jednak zauważyć, że </w:t>
      </w:r>
      <w:r w:rsidR="00DF56C2">
        <w:rPr>
          <w:rFonts w:ascii="Times New Roman" w:hAnsi="Times New Roman" w:cs="Times New Roman"/>
          <w:sz w:val="24"/>
          <w:szCs w:val="24"/>
        </w:rPr>
        <w:t xml:space="preserve">procentowy </w:t>
      </w:r>
      <w:r w:rsidR="004E459B" w:rsidRPr="00EF6F97">
        <w:rPr>
          <w:rFonts w:ascii="Times New Roman" w:hAnsi="Times New Roman" w:cs="Times New Roman"/>
          <w:sz w:val="24"/>
          <w:szCs w:val="24"/>
        </w:rPr>
        <w:t xml:space="preserve">udział spraw zgłaszanych </w:t>
      </w:r>
      <w:r w:rsidR="00DF56C2">
        <w:rPr>
          <w:rFonts w:ascii="Times New Roman" w:hAnsi="Times New Roman" w:cs="Times New Roman"/>
          <w:sz w:val="24"/>
          <w:szCs w:val="24"/>
        </w:rPr>
        <w:t xml:space="preserve">w związku z  </w:t>
      </w:r>
      <w:r w:rsidR="004E459B" w:rsidRPr="00EF6F97">
        <w:rPr>
          <w:rFonts w:ascii="Times New Roman" w:hAnsi="Times New Roman" w:cs="Times New Roman"/>
          <w:sz w:val="24"/>
          <w:szCs w:val="24"/>
        </w:rPr>
        <w:t>nieuczciw</w:t>
      </w:r>
      <w:r w:rsidR="00DF56C2">
        <w:rPr>
          <w:rFonts w:ascii="Times New Roman" w:hAnsi="Times New Roman" w:cs="Times New Roman"/>
          <w:sz w:val="24"/>
          <w:szCs w:val="24"/>
        </w:rPr>
        <w:t>ymi</w:t>
      </w:r>
      <w:r w:rsidR="004E459B" w:rsidRPr="00EF6F97">
        <w:rPr>
          <w:rFonts w:ascii="Times New Roman" w:hAnsi="Times New Roman" w:cs="Times New Roman"/>
          <w:sz w:val="24"/>
          <w:szCs w:val="24"/>
        </w:rPr>
        <w:t xml:space="preserve"> praktyk</w:t>
      </w:r>
      <w:r w:rsidR="00DF56C2">
        <w:rPr>
          <w:rFonts w:ascii="Times New Roman" w:hAnsi="Times New Roman" w:cs="Times New Roman"/>
          <w:sz w:val="24"/>
          <w:szCs w:val="24"/>
        </w:rPr>
        <w:t>ami</w:t>
      </w:r>
      <w:r w:rsidR="004E459B" w:rsidRPr="00EF6F97">
        <w:rPr>
          <w:rFonts w:ascii="Times New Roman" w:hAnsi="Times New Roman" w:cs="Times New Roman"/>
          <w:sz w:val="24"/>
          <w:szCs w:val="24"/>
        </w:rPr>
        <w:t xml:space="preserve"> sprzedawców utrzymuje się na zbliżonym poziomie w kolejnych latach mimo podejmowanych działań prze</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 xml:space="preserve">Regulatora – cyklicznych spotkań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przedsiębiorstwami energetycznymi w celu omówienia nieprawidłowości</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skarg ora</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mimo deklaracji zarządów spółek o podjęci</w:t>
      </w:r>
      <w:r w:rsidR="00DF56C2">
        <w:rPr>
          <w:rFonts w:ascii="Times New Roman" w:hAnsi="Times New Roman" w:cs="Times New Roman"/>
          <w:sz w:val="24"/>
          <w:szCs w:val="24"/>
        </w:rPr>
        <w:t>u</w:t>
      </w:r>
      <w:r w:rsidR="004E459B" w:rsidRPr="00EF6F97">
        <w:rPr>
          <w:rFonts w:ascii="Times New Roman" w:hAnsi="Times New Roman" w:cs="Times New Roman"/>
          <w:sz w:val="24"/>
          <w:szCs w:val="24"/>
        </w:rPr>
        <w:t xml:space="preserve"> środków zaradczych, w tym </w:t>
      </w:r>
      <w:r w:rsidR="00C0241D">
        <w:rPr>
          <w:rFonts w:ascii="Times New Roman" w:hAnsi="Times New Roman" w:cs="Times New Roman"/>
          <w:sz w:val="24"/>
          <w:szCs w:val="24"/>
        </w:rPr>
        <w:t xml:space="preserve">w zakresie </w:t>
      </w:r>
      <w:r w:rsidR="004E459B" w:rsidRPr="00EF6F97">
        <w:rPr>
          <w:rFonts w:ascii="Times New Roman" w:hAnsi="Times New Roman" w:cs="Times New Roman"/>
          <w:sz w:val="24"/>
          <w:szCs w:val="24"/>
        </w:rPr>
        <w:t>wewnętrznych procedur kontrolnych. Na marginesie warto podkreślić, że powyższe dane dotyczą tylko</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wyłącznie zarejestrowanych zgłoszeń, które nie odzwierciedlają liczby rzeczywiście zaistniałych sytuacji. Wielu bowiem odbiorców nie wie</w:t>
      </w:r>
      <w:r w:rsidR="00893730">
        <w:rPr>
          <w:rFonts w:ascii="Times New Roman" w:hAnsi="Times New Roman" w:cs="Times New Roman"/>
          <w:sz w:val="24"/>
          <w:szCs w:val="24"/>
        </w:rPr>
        <w:t>,</w:t>
      </w:r>
      <w:r w:rsidR="004E459B" w:rsidRPr="00EF6F97">
        <w:rPr>
          <w:rFonts w:ascii="Times New Roman" w:hAnsi="Times New Roman" w:cs="Times New Roman"/>
          <w:sz w:val="24"/>
          <w:szCs w:val="24"/>
        </w:rPr>
        <w:t xml:space="preserve"> do jakiego organu należy dokonać zgłoszenia</w:t>
      </w:r>
      <w:r w:rsidR="00DF56C2">
        <w:rPr>
          <w:rFonts w:ascii="Times New Roman" w:hAnsi="Times New Roman" w:cs="Times New Roman"/>
          <w:sz w:val="24"/>
          <w:szCs w:val="24"/>
        </w:rPr>
        <w:t>,</w:t>
      </w:r>
      <w:r w:rsidR="004E459B" w:rsidRPr="00EF6F97">
        <w:rPr>
          <w:rFonts w:ascii="Times New Roman" w:hAnsi="Times New Roman" w:cs="Times New Roman"/>
          <w:sz w:val="24"/>
          <w:szCs w:val="24"/>
        </w:rPr>
        <w:t xml:space="preserve"> a nawet gdy wie</w:t>
      </w:r>
      <w:r w:rsidR="008E7B39">
        <w:rPr>
          <w:rFonts w:ascii="Times New Roman" w:hAnsi="Times New Roman" w:cs="Times New Roman"/>
          <w:sz w:val="24"/>
          <w:szCs w:val="24"/>
        </w:rPr>
        <w:t>,</w:t>
      </w:r>
      <w:r w:rsidR="00893730">
        <w:rPr>
          <w:rFonts w:ascii="Times New Roman" w:hAnsi="Times New Roman" w:cs="Times New Roman"/>
          <w:sz w:val="24"/>
          <w:szCs w:val="24"/>
        </w:rPr>
        <w:t xml:space="preserve"> </w:t>
      </w:r>
      <w:r w:rsidR="004E459B" w:rsidRPr="00EF6F97">
        <w:rPr>
          <w:rFonts w:ascii="Times New Roman" w:hAnsi="Times New Roman" w:cs="Times New Roman"/>
          <w:sz w:val="24"/>
          <w:szCs w:val="24"/>
        </w:rPr>
        <w:t>to tego nie czyni.</w:t>
      </w:r>
    </w:p>
    <w:p w14:paraId="7B1554A1" w14:textId="45D4FA4A" w:rsidR="004E459B"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4E459B" w:rsidRPr="00EF6F97">
        <w:rPr>
          <w:rFonts w:ascii="Times New Roman" w:hAnsi="Times New Roman" w:cs="Times New Roman"/>
          <w:sz w:val="24"/>
          <w:szCs w:val="24"/>
        </w:rPr>
        <w:t>Zaka</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lub ograniczenie stosowania sprzedaży prze</w:t>
      </w:r>
      <w:r w:rsidR="001D0628">
        <w:rPr>
          <w:rFonts w:ascii="Times New Roman" w:hAnsi="Times New Roman" w:cs="Times New Roman"/>
          <w:sz w:val="24"/>
          <w:szCs w:val="24"/>
        </w:rPr>
        <w:t>z</w:t>
      </w:r>
      <w:r w:rsidR="008E7B39">
        <w:rPr>
          <w:rFonts w:ascii="Times New Roman" w:hAnsi="Times New Roman" w:cs="Times New Roman"/>
          <w:sz w:val="24"/>
          <w:szCs w:val="24"/>
        </w:rPr>
        <w:t xml:space="preserve"> </w:t>
      </w:r>
      <w:r w:rsidR="004E459B" w:rsidRPr="00EF6F97">
        <w:rPr>
          <w:rFonts w:ascii="Times New Roman" w:hAnsi="Times New Roman" w:cs="Times New Roman"/>
          <w:sz w:val="24"/>
          <w:szCs w:val="24"/>
        </w:rPr>
        <w:t>kanał „door to door” funkcjonuje także w innych Państwach Członkowskich. Przykładowo został on wprowadzony w Hiszpanii w październiku 2018</w:t>
      </w:r>
      <w:r w:rsidR="001D0628">
        <w:rPr>
          <w:rFonts w:ascii="Times New Roman" w:hAnsi="Times New Roman" w:cs="Times New Roman"/>
          <w:sz w:val="24"/>
          <w:szCs w:val="24"/>
        </w:rPr>
        <w:t> r.</w:t>
      </w:r>
      <w:r w:rsidR="00DF56C2">
        <w:rPr>
          <w:rFonts w:ascii="Times New Roman" w:hAnsi="Times New Roman" w:cs="Times New Roman"/>
          <w:sz w:val="24"/>
          <w:szCs w:val="24"/>
        </w:rPr>
        <w:t xml:space="preserve">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powodu nieuczciwych praktyk rynkowych stosowanych prze</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sprzedawców na rynku energii elektrycznej</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paliw gazowych. Jak informuje przedstawiciel Regulatora hiszpańskiego, znaczący spadek kontraktów sprzedaży „door to door” zastąpiły inne kanały sprzedaży</w:t>
      </w:r>
      <w:r w:rsidR="008E7B39">
        <w:rPr>
          <w:rFonts w:ascii="Times New Roman" w:hAnsi="Times New Roman" w:cs="Times New Roman"/>
          <w:sz w:val="24"/>
          <w:szCs w:val="24"/>
        </w:rPr>
        <w:t>,</w:t>
      </w:r>
      <w:r w:rsidR="004E459B" w:rsidRPr="00EF6F97">
        <w:rPr>
          <w:rFonts w:ascii="Times New Roman" w:hAnsi="Times New Roman" w:cs="Times New Roman"/>
          <w:sz w:val="24"/>
          <w:szCs w:val="24"/>
        </w:rPr>
        <w:t xml:space="preserve"> tj. sprzedaż internetowa</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sprzedaż telefoniczna</w:t>
      </w:r>
      <w:r w:rsidR="008E7B39">
        <w:rPr>
          <w:rFonts w:ascii="Times New Roman" w:hAnsi="Times New Roman" w:cs="Times New Roman"/>
          <w:sz w:val="24"/>
          <w:szCs w:val="24"/>
        </w:rPr>
        <w:t>,</w:t>
      </w:r>
      <w:r w:rsidR="004E459B" w:rsidRPr="00EF6F97">
        <w:rPr>
          <w:rFonts w:ascii="Times New Roman" w:hAnsi="Times New Roman" w:cs="Times New Roman"/>
          <w:sz w:val="24"/>
          <w:szCs w:val="24"/>
        </w:rPr>
        <w:t xml:space="preserve"> ora</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zwiększyła się liczba punktów sprzedaży w centrach handlowych, na stacjach benzynowych</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 xml:space="preserve">w innych miejscach publicznych. Ograniczenie sprzedaży „door to door” </w:t>
      </w:r>
      <w:r w:rsidR="004E459B" w:rsidRPr="00EF6F97">
        <w:rPr>
          <w:rFonts w:ascii="Times New Roman" w:hAnsi="Times New Roman" w:cs="Times New Roman"/>
          <w:sz w:val="24"/>
          <w:szCs w:val="24"/>
        </w:rPr>
        <w:lastRenderedPageBreak/>
        <w:t>stosowane jest także w Czechach. W Czechach nie wprowadzono odgórnej regulacji dot. zakazu sprzedaży „door to door”, natomiast takie prawo zostało nadane władzom lokalnym</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przykładowo odpowiednik naszego prezydenta, burmistrza czy wójta wydaje na danym obszarze odpowiednie zarządzenie. We Włoszech natomiast co prawda nie ma bezpośredniego zakazu „door to door”, ale zasady stosowania tego kanału znajdują się w prawie, są także regulowane prze</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włoskiego regulatora L'Autorità di Regolazione per Energia Reti e Ambiente (ARERA) Regulator opracował tzw. "Code of commercial conduct”, który zawiera wszystkie reguły</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zasady stosowania kanału sprzedaży „door to door”. ARERA za złamanie kodeksu nakłada sankcje na sprzedawców, uzupełniająco robi to także odpowiednik naszego UOKIK-u. W Belgii funkcjonuje natomiast sektorowe porozumienie, w którym znajdują się wszystkie zasady</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 xml:space="preserve">obowiązki związane ze sprzedażą poza siedzibą przedsiębiorstwa,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wyszczególnieniem „door to door”.</w:t>
      </w:r>
      <w:r w:rsidR="00DF56C2">
        <w:rPr>
          <w:rFonts w:ascii="Times New Roman" w:hAnsi="Times New Roman" w:cs="Times New Roman"/>
          <w:sz w:val="24"/>
          <w:szCs w:val="24"/>
        </w:rPr>
        <w:t xml:space="preserve"> </w:t>
      </w:r>
      <w:r w:rsidR="004E459B" w:rsidRPr="001A3D36">
        <w:rPr>
          <w:rFonts w:ascii="Times New Roman" w:hAnsi="Times New Roman" w:cs="Times New Roman"/>
          <w:sz w:val="24"/>
          <w:szCs w:val="24"/>
        </w:rPr>
        <w:t>Dokument nazywa się</w:t>
      </w:r>
      <w:r w:rsidR="00893730">
        <w:rPr>
          <w:rFonts w:ascii="Times New Roman" w:hAnsi="Times New Roman" w:cs="Times New Roman"/>
          <w:sz w:val="24"/>
          <w:szCs w:val="24"/>
          <w:lang w:val="en-US"/>
        </w:rPr>
        <w:t xml:space="preserve"> </w:t>
      </w:r>
      <w:r w:rsidR="004E459B" w:rsidRPr="008E7B39">
        <w:rPr>
          <w:rFonts w:ascii="Times New Roman" w:hAnsi="Times New Roman" w:cs="Times New Roman"/>
          <w:sz w:val="24"/>
          <w:szCs w:val="24"/>
          <w:lang w:val="en-US"/>
        </w:rPr>
        <w:t>“Agreement – The consumer in the liberalised markets for electricity and gas”.</w:t>
      </w:r>
      <w:r w:rsidR="00DF56C2" w:rsidRPr="008E7B39">
        <w:rPr>
          <w:rFonts w:ascii="Times New Roman" w:hAnsi="Times New Roman" w:cs="Times New Roman"/>
          <w:sz w:val="24"/>
          <w:szCs w:val="24"/>
          <w:lang w:val="en-US"/>
        </w:rPr>
        <w:t xml:space="preserve"> </w:t>
      </w:r>
      <w:r w:rsidR="004E459B" w:rsidRPr="00EF6F97">
        <w:rPr>
          <w:rFonts w:ascii="Times New Roman" w:hAnsi="Times New Roman" w:cs="Times New Roman"/>
          <w:sz w:val="24"/>
          <w:szCs w:val="24"/>
        </w:rPr>
        <w:t>Porozumienie zawiera sankcje, a przyjęte zasady są obowiązkowe dla wszystkich sprzedawców (zasady są podpisywane prze</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 xml:space="preserve">pracowników sprzedawców). Rozwiązanie w zakresie kanału „door to door” są różne, co związane też jest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nieco odmienną kulturą prawną</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biznesową</w:t>
      </w:r>
      <w:r w:rsidR="008E7B39">
        <w:rPr>
          <w:rFonts w:ascii="Times New Roman" w:hAnsi="Times New Roman" w:cs="Times New Roman"/>
          <w:sz w:val="24"/>
          <w:szCs w:val="24"/>
        </w:rPr>
        <w:t>,</w:t>
      </w:r>
      <w:r w:rsidR="004E459B" w:rsidRPr="00EF6F97">
        <w:rPr>
          <w:rFonts w:ascii="Times New Roman" w:hAnsi="Times New Roman" w:cs="Times New Roman"/>
          <w:sz w:val="24"/>
          <w:szCs w:val="24"/>
        </w:rPr>
        <w:t xml:space="preserve"> jak</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funkcjonowaniem Regulatora w relacji</w:t>
      </w:r>
      <w:r w:rsidR="00DF56C2">
        <w:rPr>
          <w:rFonts w:ascii="Times New Roman" w:hAnsi="Times New Roman" w:cs="Times New Roman"/>
          <w:sz w:val="24"/>
          <w:szCs w:val="24"/>
        </w:rPr>
        <w:t xml:space="preserve">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przedsiębiorstwami energetycznymi. Jednak co najbardziej istotne</w:t>
      </w:r>
      <w:r w:rsidR="008E7B39">
        <w:rPr>
          <w:rFonts w:ascii="Times New Roman" w:hAnsi="Times New Roman" w:cs="Times New Roman"/>
          <w:sz w:val="24"/>
          <w:szCs w:val="24"/>
        </w:rPr>
        <w:t>,</w:t>
      </w:r>
      <w:r w:rsidR="004E459B" w:rsidRPr="00EF6F97">
        <w:rPr>
          <w:rFonts w:ascii="Times New Roman" w:hAnsi="Times New Roman" w:cs="Times New Roman"/>
          <w:sz w:val="24"/>
          <w:szCs w:val="24"/>
        </w:rPr>
        <w:t xml:space="preserve"> temat jest podejmowany prze</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 xml:space="preserve">Regulatorów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innych Państw Członkowskich</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skutecznie zakazywany bądź formalnie regulowany w celu ochrony konsumentów</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najsłabszych odbiorców.</w:t>
      </w:r>
    </w:p>
    <w:p w14:paraId="7C5CA390" w14:textId="77777777" w:rsidR="004E459B"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4E459B" w:rsidRPr="00EF6F97">
        <w:rPr>
          <w:rFonts w:ascii="Times New Roman" w:hAnsi="Times New Roman" w:cs="Times New Roman"/>
          <w:sz w:val="24"/>
          <w:szCs w:val="24"/>
        </w:rPr>
        <w:t>Wprowadzanie zakazu zawierania umów sprzedaży paliw gazowych</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energii elektrycznej poza lokalem przedsiębiorstwa nie ogranicza przy tym możliwości zawarcia takiej umowy na odległość (np. telefonicznie) czy w punkcie sprzedawcy umiejscowionym np. w galerii handlowej. Zaka</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ten nie spowolni ani nie wstrzyma dokonywania zmian sprzedawcy. Wręc</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przeciwnie, stworzenie systemu ochrony praw odbiorców powinno zmobilizować odbiorców do podejmowania aktywnych działań na rynku paliw gazowych</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energii elektrycznej.</w:t>
      </w:r>
    </w:p>
    <w:p w14:paraId="08FBCDEB" w14:textId="1858F877" w:rsidR="004E459B"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4E459B" w:rsidRPr="00EF6F97">
        <w:rPr>
          <w:rFonts w:ascii="Times New Roman" w:hAnsi="Times New Roman" w:cs="Times New Roman"/>
          <w:sz w:val="24"/>
          <w:szCs w:val="24"/>
        </w:rPr>
        <w:t xml:space="preserve">Dodatkowo należy zaznaczyć, że obecnie Prezes URE nie dysponuje odpowiednimi narzędziami pozwalającymi na skuteczną ingerencję w przypadku nieuczciwych zachowań </w:t>
      </w:r>
      <w:r w:rsidR="00DF56C2">
        <w:rPr>
          <w:rFonts w:ascii="Times New Roman" w:hAnsi="Times New Roman" w:cs="Times New Roman"/>
          <w:sz w:val="24"/>
          <w:szCs w:val="24"/>
        </w:rPr>
        <w:t>s</w:t>
      </w:r>
      <w:r w:rsidR="004E459B" w:rsidRPr="00EF6F97">
        <w:rPr>
          <w:rFonts w:ascii="Times New Roman" w:hAnsi="Times New Roman" w:cs="Times New Roman"/>
          <w:sz w:val="24"/>
          <w:szCs w:val="24"/>
        </w:rPr>
        <w:t>przedawców. Aby Prezes URE mógł nakładać sankcje</w:t>
      </w:r>
      <w:r w:rsidR="003B2540">
        <w:rPr>
          <w:rFonts w:ascii="Times New Roman" w:hAnsi="Times New Roman" w:cs="Times New Roman"/>
          <w:sz w:val="24"/>
          <w:szCs w:val="24"/>
        </w:rPr>
        <w:t>,</w:t>
      </w:r>
      <w:r w:rsidR="004E459B" w:rsidRPr="00EF6F97">
        <w:rPr>
          <w:rFonts w:ascii="Times New Roman" w:hAnsi="Times New Roman" w:cs="Times New Roman"/>
          <w:sz w:val="24"/>
          <w:szCs w:val="24"/>
        </w:rPr>
        <w:t xml:space="preserve"> powinien mieć podstawę prawną w przepisach merytorycznych zakazujących danego typu zachowań. Obecnie zagadnienie to można podciągnąć pod tzw. wady oświadczenia woli uregulowane w ustawie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dnia 23 kwietnia 1964</w:t>
      </w:r>
      <w:r w:rsidR="001D0628">
        <w:rPr>
          <w:rFonts w:ascii="Times New Roman" w:hAnsi="Times New Roman" w:cs="Times New Roman"/>
          <w:sz w:val="24"/>
          <w:szCs w:val="24"/>
        </w:rPr>
        <w:t> r.</w:t>
      </w:r>
      <w:r w:rsidR="004E459B" w:rsidRPr="00EF6F97">
        <w:rPr>
          <w:rFonts w:ascii="Times New Roman" w:hAnsi="Times New Roman" w:cs="Times New Roman"/>
          <w:sz w:val="24"/>
          <w:szCs w:val="24"/>
        </w:rPr>
        <w:t xml:space="preserve"> – Kodeks cywilny (Dz.U.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2020</w:t>
      </w:r>
      <w:r w:rsidR="001D0628">
        <w:rPr>
          <w:rFonts w:ascii="Times New Roman" w:hAnsi="Times New Roman" w:cs="Times New Roman"/>
          <w:sz w:val="24"/>
          <w:szCs w:val="24"/>
        </w:rPr>
        <w:t> r.</w:t>
      </w:r>
      <w:r w:rsidR="004E459B" w:rsidRPr="00EF6F97">
        <w:rPr>
          <w:rFonts w:ascii="Times New Roman" w:hAnsi="Times New Roman" w:cs="Times New Roman"/>
          <w:sz w:val="24"/>
          <w:szCs w:val="24"/>
        </w:rPr>
        <w:t xml:space="preserve"> poz.</w:t>
      </w:r>
      <w:r w:rsidR="00DF56C2">
        <w:rPr>
          <w:rFonts w:ascii="Times New Roman" w:hAnsi="Times New Roman" w:cs="Times New Roman"/>
          <w:sz w:val="24"/>
          <w:szCs w:val="24"/>
        </w:rPr>
        <w:t>1740</w:t>
      </w:r>
      <w:r w:rsidR="004E459B" w:rsidRPr="00EF6F97">
        <w:rPr>
          <w:rFonts w:ascii="Times New Roman" w:hAnsi="Times New Roman" w:cs="Times New Roman"/>
          <w:sz w:val="24"/>
          <w:szCs w:val="24"/>
        </w:rPr>
        <w:t xml:space="preserve">). Jednakże należy zaznaczyć, że właściwy jest wówczas sąd powszechny. Zgodnie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 xml:space="preserve">art. 8 ustawy – Prawo energetyczne, </w:t>
      </w:r>
      <w:r w:rsidR="004E459B" w:rsidRPr="00EF6F97">
        <w:rPr>
          <w:rFonts w:ascii="Times New Roman" w:hAnsi="Times New Roman" w:cs="Times New Roman"/>
          <w:sz w:val="24"/>
          <w:szCs w:val="24"/>
        </w:rPr>
        <w:lastRenderedPageBreak/>
        <w:t xml:space="preserve">Prezes URE właściwy jest jedynie w sprawie odmowy zawarcia umowy. Rozszerzenie właściwości tego organu o wszystkie zagadnienia związane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umowami wymagałoby zagwarantowaniu mu dodatkowych środków (ok. 20 etatów)</w:t>
      </w:r>
      <w:r w:rsidR="00861F92">
        <w:rPr>
          <w:rFonts w:ascii="Times New Roman" w:hAnsi="Times New Roman" w:cs="Times New Roman"/>
          <w:sz w:val="24"/>
          <w:szCs w:val="24"/>
        </w:rPr>
        <w:t>,</w:t>
      </w:r>
      <w:r w:rsidR="004E459B" w:rsidRPr="00EF6F97">
        <w:rPr>
          <w:rFonts w:ascii="Times New Roman" w:hAnsi="Times New Roman" w:cs="Times New Roman"/>
          <w:sz w:val="24"/>
          <w:szCs w:val="24"/>
        </w:rPr>
        <w:t xml:space="preserve"> co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 xml:space="preserve">kolei mogłoby zostać zakwestionowane ze względu na dodatkowe wydatki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 xml:space="preserve">budżetu </w:t>
      </w:r>
      <w:r w:rsidR="003B2540">
        <w:rPr>
          <w:rFonts w:ascii="Times New Roman" w:hAnsi="Times New Roman" w:cs="Times New Roman"/>
          <w:sz w:val="24"/>
          <w:szCs w:val="24"/>
        </w:rPr>
        <w:t>p</w:t>
      </w:r>
      <w:r w:rsidR="004E459B" w:rsidRPr="00EF6F97">
        <w:rPr>
          <w:rFonts w:ascii="Times New Roman" w:hAnsi="Times New Roman" w:cs="Times New Roman"/>
          <w:sz w:val="24"/>
          <w:szCs w:val="24"/>
        </w:rPr>
        <w:t xml:space="preserve">aństwa. Należy zaznaczyć, że w pierwotnej wersji projektu rozszerzono uprawnienia Prezesa URE o sprawy związane ze zmianą umów. Jednakże ze względów finansowych szybko zrezygnowano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tych rozwiązań.</w:t>
      </w:r>
      <w:r w:rsidR="00861F92">
        <w:rPr>
          <w:rFonts w:ascii="Times New Roman" w:hAnsi="Times New Roman" w:cs="Times New Roman"/>
          <w:sz w:val="24"/>
          <w:szCs w:val="24"/>
        </w:rPr>
        <w:t xml:space="preserve"> </w:t>
      </w:r>
      <w:r w:rsidR="004E459B" w:rsidRPr="00EF6F97">
        <w:rPr>
          <w:rFonts w:ascii="Times New Roman" w:hAnsi="Times New Roman" w:cs="Times New Roman"/>
          <w:sz w:val="24"/>
          <w:szCs w:val="24"/>
        </w:rPr>
        <w:t>Cofnięcie zaś koncesji jest instrumentem ostatecznym</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 xml:space="preserve">wiąże się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 xml:space="preserve">przeprowadzeniem długotrwałej procedury związanej m.in. </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możliwością zaskarżenia decyzji Prezesa URE.</w:t>
      </w:r>
    </w:p>
    <w:p w14:paraId="3F175490" w14:textId="2FD0E9F1" w:rsidR="004E459B"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4E459B" w:rsidRPr="00EF6F97">
        <w:rPr>
          <w:rFonts w:ascii="Times New Roman" w:hAnsi="Times New Roman" w:cs="Times New Roman"/>
          <w:sz w:val="24"/>
          <w:szCs w:val="24"/>
        </w:rPr>
        <w:t>Zaproponowane narzędzie jest więc jedynym skutecznym środkiem, który może zapobiec ww. procederom</w:t>
      </w:r>
      <w:r w:rsidR="00861F92">
        <w:rPr>
          <w:rFonts w:ascii="Times New Roman" w:hAnsi="Times New Roman" w:cs="Times New Roman"/>
          <w:sz w:val="24"/>
          <w:szCs w:val="24"/>
        </w:rPr>
        <w:t>,</w:t>
      </w:r>
      <w:r w:rsidR="004E459B" w:rsidRPr="00EF6F97">
        <w:rPr>
          <w:rFonts w:ascii="Times New Roman" w:hAnsi="Times New Roman" w:cs="Times New Roman"/>
          <w:sz w:val="24"/>
          <w:szCs w:val="24"/>
        </w:rPr>
        <w:t xml:space="preserve"> a którego celem jest interes publiczny ora</w:t>
      </w:r>
      <w:r w:rsidR="001D0628">
        <w:rPr>
          <w:rFonts w:ascii="Times New Roman" w:hAnsi="Times New Roman" w:cs="Times New Roman"/>
          <w:sz w:val="24"/>
          <w:szCs w:val="24"/>
        </w:rPr>
        <w:t>z </w:t>
      </w:r>
      <w:r w:rsidR="004E459B" w:rsidRPr="00EF6F97">
        <w:rPr>
          <w:rFonts w:ascii="Times New Roman" w:hAnsi="Times New Roman" w:cs="Times New Roman"/>
          <w:sz w:val="24"/>
          <w:szCs w:val="24"/>
        </w:rPr>
        <w:t>ochrona uzasadnionego interesu konsumenta</w:t>
      </w:r>
      <w:r w:rsidR="001D0628">
        <w:rPr>
          <w:rFonts w:ascii="Times New Roman" w:hAnsi="Times New Roman" w:cs="Times New Roman"/>
          <w:sz w:val="24"/>
          <w:szCs w:val="24"/>
        </w:rPr>
        <w:t xml:space="preserve"> i </w:t>
      </w:r>
      <w:r w:rsidR="004E459B" w:rsidRPr="00EF6F97">
        <w:rPr>
          <w:rFonts w:ascii="Times New Roman" w:hAnsi="Times New Roman" w:cs="Times New Roman"/>
          <w:sz w:val="24"/>
          <w:szCs w:val="24"/>
        </w:rPr>
        <w:t>jego prywatności.</w:t>
      </w:r>
    </w:p>
    <w:p w14:paraId="7D13E7E2" w14:textId="77777777" w:rsidR="00C146D2" w:rsidRPr="00EF6F97" w:rsidRDefault="00C146D2" w:rsidP="00215A1D">
      <w:pPr>
        <w:spacing w:line="360" w:lineRule="auto"/>
        <w:jc w:val="both"/>
        <w:rPr>
          <w:rFonts w:ascii="Times New Roman" w:hAnsi="Times New Roman" w:cs="Times New Roman"/>
          <w:sz w:val="24"/>
          <w:szCs w:val="24"/>
        </w:rPr>
      </w:pPr>
    </w:p>
    <w:p w14:paraId="7FB3C58E" w14:textId="30CA965E" w:rsidR="00FF172C"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D0483F" w:rsidRPr="00EF6F97">
        <w:rPr>
          <w:rFonts w:ascii="Times New Roman" w:hAnsi="Times New Roman" w:cs="Times New Roman"/>
          <w:sz w:val="24"/>
          <w:szCs w:val="24"/>
        </w:rPr>
        <w:t>Ad 12</w:t>
      </w:r>
      <w:r w:rsidR="00FF172C" w:rsidRPr="00EF6F97">
        <w:rPr>
          <w:rFonts w:ascii="Times New Roman" w:hAnsi="Times New Roman" w:cs="Times New Roman"/>
          <w:sz w:val="24"/>
          <w:szCs w:val="24"/>
        </w:rPr>
        <w:t xml:space="preserve">. Zmiany ustawy </w:t>
      </w:r>
      <w:r w:rsidR="00861F92">
        <w:rPr>
          <w:rFonts w:ascii="Times New Roman" w:hAnsi="Times New Roman" w:cs="Times New Roman"/>
          <w:sz w:val="24"/>
          <w:szCs w:val="24"/>
        </w:rPr>
        <w:t xml:space="preserve">z dnia 10 kwietnia 1997 r. </w:t>
      </w:r>
      <w:r w:rsidR="003B2540">
        <w:rPr>
          <w:rFonts w:ascii="Times New Roman" w:hAnsi="Times New Roman" w:cs="Times New Roman"/>
          <w:sz w:val="24"/>
          <w:szCs w:val="24"/>
        </w:rPr>
        <w:t>–</w:t>
      </w:r>
      <w:r w:rsidR="00FF172C" w:rsidRPr="00EF6F97">
        <w:rPr>
          <w:rFonts w:ascii="Times New Roman" w:hAnsi="Times New Roman" w:cs="Times New Roman"/>
          <w:sz w:val="24"/>
          <w:szCs w:val="24"/>
        </w:rPr>
        <w:t xml:space="preserve"> Prawo energetyczne dokonane ustawą o </w:t>
      </w:r>
      <w:r w:rsidR="001D0628">
        <w:rPr>
          <w:rFonts w:ascii="Times New Roman" w:hAnsi="Times New Roman" w:cs="Times New Roman"/>
          <w:sz w:val="24"/>
          <w:szCs w:val="24"/>
        </w:rPr>
        <w:t>z </w:t>
      </w:r>
      <w:r w:rsidR="00FF172C" w:rsidRPr="00EF6F97">
        <w:rPr>
          <w:rFonts w:ascii="Times New Roman" w:hAnsi="Times New Roman" w:cs="Times New Roman"/>
          <w:sz w:val="24"/>
          <w:szCs w:val="24"/>
        </w:rPr>
        <w:t>dnia 23 września 2016</w:t>
      </w:r>
      <w:r w:rsidR="001D0628">
        <w:rPr>
          <w:rFonts w:ascii="Times New Roman" w:hAnsi="Times New Roman" w:cs="Times New Roman"/>
          <w:sz w:val="24"/>
          <w:szCs w:val="24"/>
        </w:rPr>
        <w:t> r.</w:t>
      </w:r>
      <w:r w:rsidR="00FF172C" w:rsidRPr="00EF6F97">
        <w:rPr>
          <w:rFonts w:ascii="Times New Roman" w:hAnsi="Times New Roman" w:cs="Times New Roman"/>
          <w:sz w:val="24"/>
          <w:szCs w:val="24"/>
        </w:rPr>
        <w:t xml:space="preserve"> o pozasądowym rozwiązywaniu sporów konsumenckich (Dz. U. poz. 1823) wprowadziły instytucję Koordynatora do spraw negocjacji</w:t>
      </w:r>
      <w:r w:rsidR="003B2540">
        <w:rPr>
          <w:rFonts w:ascii="Times New Roman" w:hAnsi="Times New Roman" w:cs="Times New Roman"/>
          <w:sz w:val="24"/>
          <w:szCs w:val="24"/>
        </w:rPr>
        <w:t>,</w:t>
      </w:r>
      <w:r w:rsidR="00FF172C" w:rsidRPr="00EF6F97">
        <w:rPr>
          <w:rFonts w:ascii="Times New Roman" w:hAnsi="Times New Roman" w:cs="Times New Roman"/>
          <w:sz w:val="24"/>
          <w:szCs w:val="24"/>
        </w:rPr>
        <w:t xml:space="preserve"> czyli podmiotu prowadzącego postępowania w sprawie pozasądowego rozwiązywania sporów konsumenckich (dalej „postępowania ADR</w:t>
      </w:r>
      <w:r w:rsidR="003B2540">
        <w:rPr>
          <w:rFonts w:ascii="Times New Roman" w:hAnsi="Times New Roman" w:cs="Times New Roman"/>
          <w:sz w:val="24"/>
          <w:szCs w:val="24"/>
        </w:rPr>
        <w:t>”</w:t>
      </w:r>
      <w:r w:rsidR="00FF172C" w:rsidRPr="00EF6F97">
        <w:rPr>
          <w:rFonts w:ascii="Times New Roman" w:hAnsi="Times New Roman" w:cs="Times New Roman"/>
          <w:sz w:val="24"/>
          <w:szCs w:val="24"/>
        </w:rPr>
        <w:t xml:space="preserve">) </w:t>
      </w:r>
      <w:r w:rsidR="001D0628">
        <w:rPr>
          <w:rFonts w:ascii="Times New Roman" w:hAnsi="Times New Roman" w:cs="Times New Roman"/>
          <w:sz w:val="24"/>
          <w:szCs w:val="24"/>
        </w:rPr>
        <w:t>z </w:t>
      </w:r>
      <w:r w:rsidR="00FF172C" w:rsidRPr="00EF6F97">
        <w:rPr>
          <w:rFonts w:ascii="Times New Roman" w:hAnsi="Times New Roman" w:cs="Times New Roman"/>
          <w:sz w:val="24"/>
          <w:szCs w:val="24"/>
        </w:rPr>
        <w:t xml:space="preserve">zakresu objętego regulacją ustawy </w:t>
      </w:r>
      <w:r w:rsidR="003B2540">
        <w:rPr>
          <w:rFonts w:ascii="Times New Roman" w:hAnsi="Times New Roman" w:cs="Times New Roman"/>
          <w:sz w:val="24"/>
          <w:szCs w:val="24"/>
        </w:rPr>
        <w:t>–</w:t>
      </w:r>
      <w:r w:rsidR="00FF172C" w:rsidRPr="00EF6F97">
        <w:rPr>
          <w:rFonts w:ascii="Times New Roman" w:hAnsi="Times New Roman" w:cs="Times New Roman"/>
          <w:sz w:val="24"/>
          <w:szCs w:val="24"/>
        </w:rPr>
        <w:t xml:space="preserve"> Prawo energetyczne. Jak wynika </w:t>
      </w:r>
      <w:r w:rsidR="001D0628">
        <w:rPr>
          <w:rFonts w:ascii="Times New Roman" w:hAnsi="Times New Roman" w:cs="Times New Roman"/>
          <w:sz w:val="24"/>
          <w:szCs w:val="24"/>
        </w:rPr>
        <w:t>z </w:t>
      </w:r>
      <w:r w:rsidR="00FF172C" w:rsidRPr="00EF6F97">
        <w:rPr>
          <w:rFonts w:ascii="Times New Roman" w:hAnsi="Times New Roman" w:cs="Times New Roman"/>
          <w:sz w:val="24"/>
          <w:szCs w:val="24"/>
        </w:rPr>
        <w:t xml:space="preserve">postanowień przepisów </w:t>
      </w:r>
      <w:r w:rsidR="00893730">
        <w:rPr>
          <w:rFonts w:ascii="Times New Roman" w:hAnsi="Times New Roman" w:cs="Times New Roman"/>
          <w:sz w:val="24"/>
          <w:szCs w:val="24"/>
        </w:rPr>
        <w:t>r</w:t>
      </w:r>
      <w:r w:rsidR="00FF172C" w:rsidRPr="00EF6F97">
        <w:rPr>
          <w:rFonts w:ascii="Times New Roman" w:hAnsi="Times New Roman" w:cs="Times New Roman"/>
          <w:sz w:val="24"/>
          <w:szCs w:val="24"/>
        </w:rPr>
        <w:t>ozdziału 4a tej ustawy, Koordynator działa przy regulatorze energetycznym (art. 31a ust. 1), który zapewnia mu obsługę organizacyjną (art. 31c ust. 8). W konsekwencji powyższych przepisów tylko Koordynator może prowadzić postępowania w sprawach pozasądowego rozwiązywania sporów, natomiast część czynności o charakterze sprawozdawczo-organizacyjnym mogą pełnić pracownicy urzędu „oddelegowani</w:t>
      </w:r>
      <w:r w:rsidR="003B2540">
        <w:rPr>
          <w:rFonts w:ascii="Times New Roman" w:hAnsi="Times New Roman" w:cs="Times New Roman"/>
          <w:sz w:val="24"/>
          <w:szCs w:val="24"/>
        </w:rPr>
        <w:t>”</w:t>
      </w:r>
      <w:r w:rsidR="00FF172C" w:rsidRPr="00EF6F97">
        <w:rPr>
          <w:rFonts w:ascii="Times New Roman" w:hAnsi="Times New Roman" w:cs="Times New Roman"/>
          <w:sz w:val="24"/>
          <w:szCs w:val="24"/>
        </w:rPr>
        <w:t xml:space="preserve"> do obsługi Koordynatora. Tymczasem, mimo stosunkowo krótkiego okresu obowiązywania powyższych przepisów, zainteresowanie pozasądowym rozwiązaniem sporów prze</w:t>
      </w:r>
      <w:r w:rsidR="001D0628">
        <w:rPr>
          <w:rFonts w:ascii="Times New Roman" w:hAnsi="Times New Roman" w:cs="Times New Roman"/>
          <w:sz w:val="24"/>
          <w:szCs w:val="24"/>
        </w:rPr>
        <w:t>z </w:t>
      </w:r>
      <w:r w:rsidR="00FF172C" w:rsidRPr="00EF6F97">
        <w:rPr>
          <w:rFonts w:ascii="Times New Roman" w:hAnsi="Times New Roman" w:cs="Times New Roman"/>
          <w:sz w:val="24"/>
          <w:szCs w:val="24"/>
        </w:rPr>
        <w:t>Koordynatora przy regulatorze energetycznym jest bardzo duże, o czym świadczy wzrastająca liczba wpływających wniosków. Dla skuteczności działania Koordynatora umożliwiono prowadzenie postępowań ADR także osobom zajmującym się obsługą Koordynatora. W tym celu uzupełniono przepis</w:t>
      </w:r>
      <w:r w:rsidR="00893730">
        <w:rPr>
          <w:rFonts w:ascii="Times New Roman" w:hAnsi="Times New Roman" w:cs="Times New Roman"/>
          <w:sz w:val="24"/>
          <w:szCs w:val="24"/>
        </w:rPr>
        <w:t>y</w:t>
      </w:r>
      <w:r w:rsidR="00FF172C" w:rsidRPr="00EF6F97">
        <w:rPr>
          <w:rFonts w:ascii="Times New Roman" w:hAnsi="Times New Roman" w:cs="Times New Roman"/>
          <w:sz w:val="24"/>
          <w:szCs w:val="24"/>
        </w:rPr>
        <w:t xml:space="preserve"> </w:t>
      </w:r>
      <w:r w:rsidR="00893730">
        <w:rPr>
          <w:rFonts w:ascii="Times New Roman" w:hAnsi="Times New Roman" w:cs="Times New Roman"/>
          <w:sz w:val="24"/>
          <w:szCs w:val="24"/>
        </w:rPr>
        <w:t>r</w:t>
      </w:r>
      <w:r w:rsidR="00FF172C" w:rsidRPr="00EF6F97">
        <w:rPr>
          <w:rFonts w:ascii="Times New Roman" w:hAnsi="Times New Roman" w:cs="Times New Roman"/>
          <w:sz w:val="24"/>
          <w:szCs w:val="24"/>
        </w:rPr>
        <w:t xml:space="preserve">ozdziału 4a </w:t>
      </w:r>
      <w:r w:rsidR="00893730">
        <w:rPr>
          <w:rFonts w:ascii="Times New Roman" w:hAnsi="Times New Roman" w:cs="Times New Roman"/>
          <w:sz w:val="24"/>
          <w:szCs w:val="24"/>
        </w:rPr>
        <w:t xml:space="preserve">ustawy – </w:t>
      </w:r>
      <w:r w:rsidR="00FF172C" w:rsidRPr="00EF6F97">
        <w:rPr>
          <w:rFonts w:ascii="Times New Roman" w:hAnsi="Times New Roman" w:cs="Times New Roman"/>
          <w:sz w:val="24"/>
          <w:szCs w:val="24"/>
        </w:rPr>
        <w:t>Praw</w:t>
      </w:r>
      <w:r w:rsidR="00893730">
        <w:rPr>
          <w:rFonts w:ascii="Times New Roman" w:hAnsi="Times New Roman" w:cs="Times New Roman"/>
          <w:sz w:val="24"/>
          <w:szCs w:val="24"/>
        </w:rPr>
        <w:t>o</w:t>
      </w:r>
      <w:r w:rsidR="00FF172C" w:rsidRPr="00EF6F97">
        <w:rPr>
          <w:rFonts w:ascii="Times New Roman" w:hAnsi="Times New Roman" w:cs="Times New Roman"/>
          <w:sz w:val="24"/>
          <w:szCs w:val="24"/>
        </w:rPr>
        <w:t xml:space="preserve"> energetyczne, wzorując się na rozwiązaniach przyjętych w art. 16f ustawy </w:t>
      </w:r>
      <w:r w:rsidR="001D0628">
        <w:rPr>
          <w:rFonts w:ascii="Times New Roman" w:hAnsi="Times New Roman" w:cs="Times New Roman"/>
          <w:sz w:val="24"/>
          <w:szCs w:val="24"/>
        </w:rPr>
        <w:t>z </w:t>
      </w:r>
      <w:r w:rsidR="00FF172C" w:rsidRPr="00EF6F97">
        <w:rPr>
          <w:rFonts w:ascii="Times New Roman" w:hAnsi="Times New Roman" w:cs="Times New Roman"/>
          <w:sz w:val="24"/>
          <w:szCs w:val="24"/>
        </w:rPr>
        <w:t>dnia 28 marca 2003</w:t>
      </w:r>
      <w:r w:rsidR="001D0628">
        <w:rPr>
          <w:rFonts w:ascii="Times New Roman" w:hAnsi="Times New Roman" w:cs="Times New Roman"/>
          <w:sz w:val="24"/>
          <w:szCs w:val="24"/>
        </w:rPr>
        <w:t> r.</w:t>
      </w:r>
      <w:r w:rsidR="00FF172C" w:rsidRPr="00EF6F97">
        <w:rPr>
          <w:rFonts w:ascii="Times New Roman" w:hAnsi="Times New Roman" w:cs="Times New Roman"/>
          <w:sz w:val="24"/>
          <w:szCs w:val="24"/>
        </w:rPr>
        <w:t xml:space="preserve"> o transporcie kolejowym (Dz.U. </w:t>
      </w:r>
      <w:r w:rsidR="001D0628">
        <w:rPr>
          <w:rFonts w:ascii="Times New Roman" w:hAnsi="Times New Roman" w:cs="Times New Roman"/>
          <w:sz w:val="24"/>
          <w:szCs w:val="24"/>
        </w:rPr>
        <w:t>z </w:t>
      </w:r>
      <w:r w:rsidR="00FF172C" w:rsidRPr="00EF6F97">
        <w:rPr>
          <w:rFonts w:ascii="Times New Roman" w:hAnsi="Times New Roman" w:cs="Times New Roman"/>
          <w:sz w:val="24"/>
          <w:szCs w:val="24"/>
        </w:rPr>
        <w:t>20</w:t>
      </w:r>
      <w:r w:rsidR="00861F92">
        <w:rPr>
          <w:rFonts w:ascii="Times New Roman" w:hAnsi="Times New Roman" w:cs="Times New Roman"/>
          <w:sz w:val="24"/>
          <w:szCs w:val="24"/>
        </w:rPr>
        <w:t>20</w:t>
      </w:r>
      <w:r w:rsidR="001D0628">
        <w:rPr>
          <w:rFonts w:ascii="Times New Roman" w:hAnsi="Times New Roman" w:cs="Times New Roman"/>
          <w:sz w:val="24"/>
          <w:szCs w:val="24"/>
        </w:rPr>
        <w:t> r.</w:t>
      </w:r>
      <w:r w:rsidR="00FF172C" w:rsidRPr="00EF6F97">
        <w:rPr>
          <w:rFonts w:ascii="Times New Roman" w:hAnsi="Times New Roman" w:cs="Times New Roman"/>
          <w:sz w:val="24"/>
          <w:szCs w:val="24"/>
        </w:rPr>
        <w:t xml:space="preserve"> poz.</w:t>
      </w:r>
      <w:r w:rsidR="00861F92">
        <w:rPr>
          <w:rFonts w:ascii="Times New Roman" w:hAnsi="Times New Roman" w:cs="Times New Roman"/>
          <w:sz w:val="24"/>
          <w:szCs w:val="24"/>
        </w:rPr>
        <w:t>1043, z późn</w:t>
      </w:r>
      <w:r w:rsidR="003B2540">
        <w:rPr>
          <w:rFonts w:ascii="Times New Roman" w:hAnsi="Times New Roman" w:cs="Times New Roman"/>
          <w:sz w:val="24"/>
          <w:szCs w:val="24"/>
        </w:rPr>
        <w:t xml:space="preserve"> </w:t>
      </w:r>
      <w:r w:rsidR="00861F92">
        <w:rPr>
          <w:rFonts w:ascii="Times New Roman" w:hAnsi="Times New Roman" w:cs="Times New Roman"/>
          <w:sz w:val="24"/>
          <w:szCs w:val="24"/>
        </w:rPr>
        <w:t>.zm.</w:t>
      </w:r>
      <w:r w:rsidR="00FF172C" w:rsidRPr="00EF6F97">
        <w:rPr>
          <w:rFonts w:ascii="Times New Roman" w:hAnsi="Times New Roman" w:cs="Times New Roman"/>
          <w:sz w:val="24"/>
          <w:szCs w:val="24"/>
        </w:rPr>
        <w:t xml:space="preserve">) umożliwiających Rzecznikowi Praw Pasażera Kolei („odpowiednikowi" Koordynatora) wykonywanie zadań przy pomocy zespołu, którego członkowie prowadzą postępowania. </w:t>
      </w:r>
    </w:p>
    <w:p w14:paraId="2EAECD8D" w14:textId="77777777" w:rsidR="004B2E7F" w:rsidRPr="00EF6F97" w:rsidRDefault="004B2E7F" w:rsidP="00215A1D">
      <w:pPr>
        <w:spacing w:line="360" w:lineRule="auto"/>
        <w:jc w:val="both"/>
        <w:rPr>
          <w:rFonts w:ascii="Times New Roman" w:hAnsi="Times New Roman" w:cs="Times New Roman"/>
          <w:sz w:val="24"/>
          <w:szCs w:val="24"/>
        </w:rPr>
      </w:pPr>
    </w:p>
    <w:p w14:paraId="03106288" w14:textId="66F766F1" w:rsidR="00BD2E7C"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D74EEF" w:rsidRPr="00EF6F97">
        <w:rPr>
          <w:rFonts w:ascii="Times New Roman" w:hAnsi="Times New Roman" w:cs="Times New Roman"/>
          <w:sz w:val="24"/>
          <w:szCs w:val="24"/>
        </w:rPr>
        <w:t xml:space="preserve">Ad </w:t>
      </w:r>
      <w:r w:rsidR="00F909E9" w:rsidRPr="00EF6F97">
        <w:rPr>
          <w:rFonts w:ascii="Times New Roman" w:hAnsi="Times New Roman" w:cs="Times New Roman"/>
          <w:sz w:val="24"/>
          <w:szCs w:val="24"/>
        </w:rPr>
        <w:t>1</w:t>
      </w:r>
      <w:r w:rsidR="00D0483F" w:rsidRPr="00EF6F97">
        <w:rPr>
          <w:rFonts w:ascii="Times New Roman" w:hAnsi="Times New Roman" w:cs="Times New Roman"/>
          <w:sz w:val="24"/>
          <w:szCs w:val="24"/>
        </w:rPr>
        <w:t>3</w:t>
      </w:r>
      <w:r w:rsidR="004B2E7F" w:rsidRPr="00EF6F97">
        <w:rPr>
          <w:rFonts w:ascii="Times New Roman" w:hAnsi="Times New Roman" w:cs="Times New Roman"/>
          <w:sz w:val="24"/>
          <w:szCs w:val="24"/>
        </w:rPr>
        <w:t xml:space="preserve">. </w:t>
      </w:r>
      <w:r w:rsidR="00BD2E7C" w:rsidRPr="00EF6F97">
        <w:rPr>
          <w:rFonts w:ascii="Times New Roman" w:hAnsi="Times New Roman" w:cs="Times New Roman"/>
          <w:sz w:val="24"/>
          <w:szCs w:val="24"/>
        </w:rPr>
        <w:t xml:space="preserve">Zgodnie </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 xml:space="preserve">art. 38 ustawy – Prawo energetyczne, udzielenie koncesji może być </w:t>
      </w:r>
      <w:r w:rsidR="00BD2E7C" w:rsidRPr="00EF6F97">
        <w:rPr>
          <w:rFonts w:ascii="Times New Roman" w:hAnsi="Times New Roman" w:cs="Times New Roman"/>
          <w:sz w:val="24"/>
          <w:szCs w:val="24"/>
        </w:rPr>
        <w:lastRenderedPageBreak/>
        <w:t>uzależnione od złożenia prze</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 xml:space="preserve">wnioskodawcę zabezpieczenia majątkowego w celu zaspokojenia roszczeń osób trzecich, mogących powstać wskutek niewłaściwego prowadzenia działalności objętej koncesją, w tym szkód w środowisku. </w:t>
      </w:r>
    </w:p>
    <w:p w14:paraId="26A0B9C0" w14:textId="3C3520BD" w:rsidR="00BD2E7C" w:rsidRPr="00EF6F97" w:rsidRDefault="004923D6" w:rsidP="00215A1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D2E7C" w:rsidRPr="00EF6F97">
        <w:rPr>
          <w:rFonts w:ascii="Times New Roman" w:hAnsi="Times New Roman" w:cs="Times New Roman"/>
          <w:sz w:val="24"/>
          <w:szCs w:val="24"/>
        </w:rPr>
        <w:t>Instytucja zabezpieczenia jest szczególnie istotna w przypadku koncesji na obrót paliwami</w:t>
      </w:r>
      <w:r w:rsidR="001D0628">
        <w:rPr>
          <w:rFonts w:ascii="Times New Roman" w:hAnsi="Times New Roman" w:cs="Times New Roman"/>
          <w:sz w:val="24"/>
          <w:szCs w:val="24"/>
        </w:rPr>
        <w:t xml:space="preserve"> i </w:t>
      </w:r>
      <w:r w:rsidR="00BD2E7C" w:rsidRPr="00EF6F97">
        <w:rPr>
          <w:rFonts w:ascii="Times New Roman" w:hAnsi="Times New Roman" w:cs="Times New Roman"/>
          <w:sz w:val="24"/>
          <w:szCs w:val="24"/>
        </w:rPr>
        <w:t>energią, w sytuacji gdy podmiot ubiegający się o udzielenie koncesji nie dysponuje żadną infrastrukturą. Zasadne jest określenie zasad stosowania instytucji zabezpieczenia majątkowego</w:t>
      </w:r>
      <w:r>
        <w:rPr>
          <w:rFonts w:ascii="Times New Roman" w:hAnsi="Times New Roman" w:cs="Times New Roman"/>
          <w:sz w:val="24"/>
          <w:szCs w:val="24"/>
        </w:rPr>
        <w:t xml:space="preserve"> z uwagi na bardzo ogólne brzmienie obowiązującego przepisu art. 38</w:t>
      </w:r>
      <w:r w:rsidR="00BD2E7C" w:rsidRPr="00EF6F97">
        <w:rPr>
          <w:rFonts w:ascii="Times New Roman" w:hAnsi="Times New Roman" w:cs="Times New Roman"/>
          <w:sz w:val="24"/>
          <w:szCs w:val="24"/>
        </w:rPr>
        <w:t>. Mając jednocześnie na uwadze, że doprecyzowanie czy też w zasadzie określenie ww. zasad będzie miało istotny wpływ na prawa</w:t>
      </w:r>
      <w:r w:rsidR="001D0628">
        <w:rPr>
          <w:rFonts w:ascii="Times New Roman" w:hAnsi="Times New Roman" w:cs="Times New Roman"/>
          <w:sz w:val="24"/>
          <w:szCs w:val="24"/>
        </w:rPr>
        <w:t xml:space="preserve"> i </w:t>
      </w:r>
      <w:r w:rsidR="00BD2E7C" w:rsidRPr="00EF6F97">
        <w:rPr>
          <w:rFonts w:ascii="Times New Roman" w:hAnsi="Times New Roman" w:cs="Times New Roman"/>
          <w:sz w:val="24"/>
          <w:szCs w:val="24"/>
        </w:rPr>
        <w:t xml:space="preserve">obowiązki przedsiębiorców, realizacja tego postulatu powinna zostać zrealizowana przepisami ustawy. </w:t>
      </w:r>
    </w:p>
    <w:p w14:paraId="7F02B305" w14:textId="7471967B" w:rsidR="004923D6" w:rsidRDefault="00173903" w:rsidP="004923D6">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BD2E7C" w:rsidRPr="00EF6F97">
        <w:rPr>
          <w:rFonts w:ascii="Times New Roman" w:hAnsi="Times New Roman" w:cs="Times New Roman"/>
          <w:sz w:val="24"/>
          <w:szCs w:val="24"/>
        </w:rPr>
        <w:t>Proponuje się dodanie do obowiązującego art. 38 ustawy – Prawo energetyczne dodatkowych przepisów, mających na celu uregulowanie zasad dotyczących ustanawianych prze</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Prezesa URE zabezpieczeń majątkowych, które będą dotyczyć wszystkich rodzajów działalności koncesjonowanej</w:t>
      </w:r>
      <w:r w:rsidR="004923D6">
        <w:rPr>
          <w:rFonts w:ascii="Times New Roman" w:hAnsi="Times New Roman" w:cs="Times New Roman"/>
          <w:sz w:val="24"/>
          <w:szCs w:val="24"/>
        </w:rPr>
        <w:t>, z wyłączeniem działalności w zakresie wytwarzania paliw ciekłych oraz obrotu paliwami ciekłymi z zagranicą, ponieważ działalność ta podlega obowiązkowemu zabezpieczeniu koncesji na podstawie art. 38a ustawy</w:t>
      </w:r>
      <w:r w:rsidR="00861F92">
        <w:rPr>
          <w:rFonts w:ascii="Times New Roman" w:hAnsi="Times New Roman" w:cs="Times New Roman"/>
          <w:sz w:val="24"/>
          <w:szCs w:val="24"/>
        </w:rPr>
        <w:t xml:space="preserve">. </w:t>
      </w:r>
      <w:r w:rsidR="004923D6">
        <w:rPr>
          <w:rFonts w:ascii="Times New Roman" w:hAnsi="Times New Roman" w:cs="Times New Roman"/>
          <w:sz w:val="24"/>
          <w:szCs w:val="24"/>
        </w:rPr>
        <w:t>Rozwiązanie to ma na celu uniknięcie obowiązkowi podwójnego zabezpieczenia tej samej działalności koncesjonowanej.</w:t>
      </w:r>
      <w:r w:rsidR="004923D6" w:rsidRPr="00EF6F97">
        <w:rPr>
          <w:rFonts w:ascii="Times New Roman" w:hAnsi="Times New Roman" w:cs="Times New Roman"/>
          <w:sz w:val="24"/>
          <w:szCs w:val="24"/>
        </w:rPr>
        <w:t xml:space="preserve"> </w:t>
      </w:r>
    </w:p>
    <w:p w14:paraId="259AC778" w14:textId="4E9C0319" w:rsidR="00BD2E7C" w:rsidRPr="00EF6F97" w:rsidRDefault="004923D6" w:rsidP="00215A1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D2E7C" w:rsidRPr="00EF6F97">
        <w:rPr>
          <w:rFonts w:ascii="Times New Roman" w:hAnsi="Times New Roman" w:cs="Times New Roman"/>
          <w:sz w:val="24"/>
          <w:szCs w:val="24"/>
        </w:rPr>
        <w:t xml:space="preserve">W szczególności istotne jest ograniczenie zakresu podmiotów mogących być gwarantami do osób wpisanych do wykazu gwarantów, o którym mowa w art. 52 ustawy </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dnia 19 marca 2004</w:t>
      </w:r>
      <w:r w:rsidR="001D0628">
        <w:rPr>
          <w:rFonts w:ascii="Times New Roman" w:hAnsi="Times New Roman" w:cs="Times New Roman"/>
          <w:sz w:val="24"/>
          <w:szCs w:val="24"/>
        </w:rPr>
        <w:t> r.</w:t>
      </w:r>
      <w:r w:rsidR="00BD2E7C" w:rsidRPr="00EF6F97">
        <w:rPr>
          <w:rFonts w:ascii="Times New Roman" w:hAnsi="Times New Roman" w:cs="Times New Roman"/>
          <w:sz w:val="24"/>
          <w:szCs w:val="24"/>
        </w:rPr>
        <w:t xml:space="preserve"> </w:t>
      </w:r>
      <w:r w:rsidR="003B2540">
        <w:rPr>
          <w:rFonts w:ascii="Times New Roman" w:hAnsi="Times New Roman" w:cs="Times New Roman"/>
          <w:sz w:val="24"/>
          <w:szCs w:val="24"/>
        </w:rPr>
        <w:t>–</w:t>
      </w:r>
      <w:r w:rsidR="00BD2E7C" w:rsidRPr="00EF6F97">
        <w:rPr>
          <w:rFonts w:ascii="Times New Roman" w:hAnsi="Times New Roman" w:cs="Times New Roman"/>
          <w:sz w:val="24"/>
          <w:szCs w:val="24"/>
        </w:rPr>
        <w:t xml:space="preserve"> Prawo celne</w:t>
      </w:r>
      <w:r w:rsidR="00861F92">
        <w:rPr>
          <w:rFonts w:ascii="Times New Roman" w:hAnsi="Times New Roman" w:cs="Times New Roman"/>
          <w:sz w:val="24"/>
          <w:szCs w:val="24"/>
        </w:rPr>
        <w:t>.</w:t>
      </w:r>
      <w:r w:rsidR="00BD2E7C" w:rsidRPr="00EF6F97">
        <w:rPr>
          <w:rFonts w:ascii="Times New Roman" w:hAnsi="Times New Roman" w:cs="Times New Roman"/>
          <w:sz w:val="24"/>
          <w:szCs w:val="24"/>
        </w:rPr>
        <w:t xml:space="preserve">  Honorowanie prze</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organ koncesyjny zabezpieczeń majątkowych udzielanych wyłącznie prze</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 xml:space="preserve">podmioty </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listy zweryfikowanej prze</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Ministra Finansów przy współpracy Komisji</w:t>
      </w:r>
      <w:r w:rsidR="00861F92">
        <w:rPr>
          <w:rFonts w:ascii="Times New Roman" w:hAnsi="Times New Roman" w:cs="Times New Roman"/>
          <w:sz w:val="24"/>
          <w:szCs w:val="24"/>
        </w:rPr>
        <w:t xml:space="preserve"> </w:t>
      </w:r>
      <w:r w:rsidR="00BD2E7C" w:rsidRPr="00EF6F97">
        <w:rPr>
          <w:rFonts w:ascii="Times New Roman" w:hAnsi="Times New Roman" w:cs="Times New Roman"/>
          <w:sz w:val="24"/>
          <w:szCs w:val="24"/>
        </w:rPr>
        <w:t>Nadzoru Finansowego przyczyni się do poprawy bezpieczeństwa obrotu energią</w:t>
      </w:r>
      <w:r w:rsidR="001D0628">
        <w:rPr>
          <w:rFonts w:ascii="Times New Roman" w:hAnsi="Times New Roman" w:cs="Times New Roman"/>
          <w:sz w:val="24"/>
          <w:szCs w:val="24"/>
        </w:rPr>
        <w:t xml:space="preserve"> i </w:t>
      </w:r>
      <w:r w:rsidR="00BD2E7C" w:rsidRPr="00EF6F97">
        <w:rPr>
          <w:rFonts w:ascii="Times New Roman" w:hAnsi="Times New Roman" w:cs="Times New Roman"/>
          <w:sz w:val="24"/>
          <w:szCs w:val="24"/>
        </w:rPr>
        <w:t xml:space="preserve">paliwami, w tym bezpieczeństwa osób trzecich, które mogą wystąpić do przedsiębiorstw energetycznych </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ewentualnymi roszczeniami. Obecnie w świetle art. 38 organ koncesyjny jest obowiązany honorować zabezpieczenia majątkowe udzielane prze</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dowolne podmioty.</w:t>
      </w:r>
    </w:p>
    <w:p w14:paraId="3DE31BCA" w14:textId="477AA2F9" w:rsidR="00BD2E7C"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BD2E7C" w:rsidRPr="00EF6F97">
        <w:rPr>
          <w:rFonts w:ascii="Times New Roman" w:hAnsi="Times New Roman" w:cs="Times New Roman"/>
          <w:sz w:val="24"/>
          <w:szCs w:val="24"/>
        </w:rPr>
        <w:t>Proponuje się także wprowadzenie minimalnego progu takiego zabezpieczenia</w:t>
      </w:r>
      <w:r w:rsidR="004923D6" w:rsidRPr="004923D6">
        <w:rPr>
          <w:rFonts w:ascii="Times New Roman" w:hAnsi="Times New Roman" w:cs="Times New Roman"/>
          <w:sz w:val="24"/>
          <w:szCs w:val="24"/>
        </w:rPr>
        <w:t xml:space="preserve"> </w:t>
      </w:r>
      <w:r w:rsidR="004923D6">
        <w:rPr>
          <w:rFonts w:ascii="Times New Roman" w:hAnsi="Times New Roman" w:cs="Times New Roman"/>
          <w:sz w:val="24"/>
          <w:szCs w:val="24"/>
        </w:rPr>
        <w:t>w odnieseniu do 1/12 najwyższych, planowanych przez wnioskodawcę na kolejne 3 lata kalendarzowe, rocznych przychodów z działalności gospodarczej, na którą ma być udzielona koncesja,</w:t>
      </w:r>
      <w:r w:rsidR="00BD2E7C" w:rsidRPr="00EF6F97">
        <w:rPr>
          <w:rFonts w:ascii="Times New Roman" w:hAnsi="Times New Roman" w:cs="Times New Roman"/>
          <w:sz w:val="24"/>
          <w:szCs w:val="24"/>
        </w:rPr>
        <w:t xml:space="preserve"> ora</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 xml:space="preserve">określenie przesłanek, które umożliwią Prezesowi URE zwolnienie koncesjonariusza </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utrzymywania tego zabezpieczenia. Celem przedstawionego poniżej rozwiązania jest zapewnienie, iż działalność koncesjonowana będzie wykonywana wyłącznie prze</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 xml:space="preserve">podmioty dysponujące odpowiednimi środkami finansowymi gwarantującymi </w:t>
      </w:r>
      <w:r w:rsidR="00BD2E7C" w:rsidRPr="00EF6F97">
        <w:rPr>
          <w:rFonts w:ascii="Times New Roman" w:hAnsi="Times New Roman" w:cs="Times New Roman"/>
          <w:sz w:val="24"/>
          <w:szCs w:val="24"/>
        </w:rPr>
        <w:lastRenderedPageBreak/>
        <w:t>prawidłowe wykonywanie działalności koncesjonowanej, dla których nie jest wymagane złożenie zabezpieczenia majątkowego</w:t>
      </w:r>
      <w:r w:rsidR="00401B97">
        <w:rPr>
          <w:rFonts w:ascii="Times New Roman" w:hAnsi="Times New Roman" w:cs="Times New Roman"/>
          <w:sz w:val="24"/>
          <w:szCs w:val="24"/>
        </w:rPr>
        <w:t>,</w:t>
      </w:r>
      <w:r w:rsidR="00BD2E7C" w:rsidRPr="00EF6F97">
        <w:rPr>
          <w:rFonts w:ascii="Times New Roman" w:hAnsi="Times New Roman" w:cs="Times New Roman"/>
          <w:sz w:val="24"/>
          <w:szCs w:val="24"/>
        </w:rPr>
        <w:t xml:space="preserve"> albo prze</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 xml:space="preserve">podmioty, którym odpowiednia instytucja finansowa lub ubezpieczeniowa udzieli zabezpieczenia majątkowego w określonej wysokości. </w:t>
      </w:r>
    </w:p>
    <w:p w14:paraId="4CADDC04" w14:textId="522FA74E" w:rsidR="00B91A50"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BD2E7C" w:rsidRPr="00EF6F97">
        <w:rPr>
          <w:rFonts w:ascii="Times New Roman" w:hAnsi="Times New Roman" w:cs="Times New Roman"/>
          <w:sz w:val="24"/>
          <w:szCs w:val="24"/>
        </w:rPr>
        <w:t xml:space="preserve">Proponowane przepisy w większości punktów zbieżne są </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istniejącymi już przepisami art. 38a</w:t>
      </w:r>
      <w:r w:rsidR="00401B97" w:rsidRPr="00EF6F97">
        <w:rPr>
          <w:rFonts w:ascii="Times New Roman" w:hAnsi="Times New Roman" w:cs="Times New Roman"/>
          <w:sz w:val="24"/>
          <w:szCs w:val="24"/>
        </w:rPr>
        <w:t>–</w:t>
      </w:r>
      <w:r w:rsidR="00BD2E7C" w:rsidRPr="00EF6F97">
        <w:rPr>
          <w:rFonts w:ascii="Times New Roman" w:hAnsi="Times New Roman" w:cs="Times New Roman"/>
          <w:sz w:val="24"/>
          <w:szCs w:val="24"/>
        </w:rPr>
        <w:t>38g ustawy – Prawo energetyczne dotyczącymi zabezpieczeń majątkowych dla działalności w zakresie wytwarzania paliw ciekłych ora</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 xml:space="preserve">obrotu paliwami ciekłymi </w:t>
      </w:r>
      <w:r w:rsidR="001D0628">
        <w:rPr>
          <w:rFonts w:ascii="Times New Roman" w:hAnsi="Times New Roman" w:cs="Times New Roman"/>
          <w:sz w:val="24"/>
          <w:szCs w:val="24"/>
        </w:rPr>
        <w:t>z </w:t>
      </w:r>
      <w:r w:rsidR="00BD2E7C" w:rsidRPr="00EF6F97">
        <w:rPr>
          <w:rFonts w:ascii="Times New Roman" w:hAnsi="Times New Roman" w:cs="Times New Roman"/>
          <w:sz w:val="24"/>
          <w:szCs w:val="24"/>
        </w:rPr>
        <w:t>zagranicą.</w:t>
      </w:r>
    </w:p>
    <w:p w14:paraId="44DE51CE" w14:textId="77777777" w:rsidR="00D719A0" w:rsidRPr="00EF6F97" w:rsidRDefault="00D719A0" w:rsidP="00215A1D">
      <w:pPr>
        <w:spacing w:line="360" w:lineRule="auto"/>
        <w:jc w:val="both"/>
        <w:rPr>
          <w:rFonts w:ascii="Times New Roman" w:hAnsi="Times New Roman" w:cs="Times New Roman"/>
          <w:sz w:val="24"/>
          <w:szCs w:val="24"/>
        </w:rPr>
      </w:pPr>
    </w:p>
    <w:p w14:paraId="1FF52933" w14:textId="09323148" w:rsidR="00D719A0"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D0483F" w:rsidRPr="00EF6F97">
        <w:rPr>
          <w:rFonts w:ascii="Times New Roman" w:hAnsi="Times New Roman" w:cs="Times New Roman"/>
          <w:sz w:val="24"/>
          <w:szCs w:val="24"/>
        </w:rPr>
        <w:t>Ad 14</w:t>
      </w:r>
      <w:r w:rsidR="00B25FE4" w:rsidRPr="00EF6F97">
        <w:rPr>
          <w:rFonts w:ascii="Times New Roman" w:hAnsi="Times New Roman" w:cs="Times New Roman"/>
          <w:sz w:val="24"/>
          <w:szCs w:val="24"/>
        </w:rPr>
        <w:t xml:space="preserve">. W sprawozdaniu </w:t>
      </w:r>
      <w:r w:rsidR="001D0628">
        <w:rPr>
          <w:rFonts w:ascii="Times New Roman" w:hAnsi="Times New Roman" w:cs="Times New Roman"/>
          <w:sz w:val="24"/>
          <w:szCs w:val="24"/>
        </w:rPr>
        <w:t>z </w:t>
      </w:r>
      <w:r w:rsidR="00B25FE4" w:rsidRPr="00EF6F97">
        <w:rPr>
          <w:rFonts w:ascii="Times New Roman" w:hAnsi="Times New Roman" w:cs="Times New Roman"/>
          <w:sz w:val="24"/>
          <w:szCs w:val="24"/>
        </w:rPr>
        <w:t>działalności Prezesa URE za 2017</w:t>
      </w:r>
      <w:r w:rsidR="001D0628">
        <w:rPr>
          <w:rFonts w:ascii="Times New Roman" w:hAnsi="Times New Roman" w:cs="Times New Roman"/>
          <w:sz w:val="24"/>
          <w:szCs w:val="24"/>
        </w:rPr>
        <w:t> r.</w:t>
      </w:r>
      <w:r w:rsidR="00B25FE4" w:rsidRPr="00EF6F97">
        <w:rPr>
          <w:rFonts w:ascii="Times New Roman" w:hAnsi="Times New Roman" w:cs="Times New Roman"/>
          <w:sz w:val="24"/>
          <w:szCs w:val="24"/>
        </w:rPr>
        <w:t xml:space="preserve"> na str. 20 czytamy: </w:t>
      </w:r>
      <w:r w:rsidR="00B25FE4" w:rsidRPr="00EF6F97">
        <w:rPr>
          <w:rFonts w:ascii="Times New Roman" w:hAnsi="Times New Roman" w:cs="Times New Roman"/>
          <w:i/>
          <w:sz w:val="24"/>
          <w:szCs w:val="24"/>
        </w:rPr>
        <w:t xml:space="preserve">Ustawa – Prawo energetyczne w art. 3 definiuje uczestnika rynku odwołując się do definicji uczestnika rynku zawartej w art. 2 pkt 7 rozporządzenia REMIT. Należy natomiast zauważyć, że w myśl rozporządzenia REMIT „uczestnik rynku” oznacza każdą osobę, w tym operatorów systemów przesyłowych, która przeprowadza transakcje, obejmujące składanie zleceń, na co najmniej jednym hurtowym rynku energii. </w:t>
      </w:r>
      <w:r w:rsidR="001D0628">
        <w:rPr>
          <w:rFonts w:ascii="Times New Roman" w:hAnsi="Times New Roman" w:cs="Times New Roman"/>
          <w:i/>
          <w:sz w:val="24"/>
          <w:szCs w:val="24"/>
        </w:rPr>
        <w:t>Z </w:t>
      </w:r>
      <w:r w:rsidR="00B25FE4" w:rsidRPr="00EF6F97">
        <w:rPr>
          <w:rFonts w:ascii="Times New Roman" w:hAnsi="Times New Roman" w:cs="Times New Roman"/>
          <w:i/>
          <w:sz w:val="24"/>
          <w:szCs w:val="24"/>
        </w:rPr>
        <w:t>kolei „osoba” oznacza osobę fizyczną lub prawną. Natomiast przepisy prawa polskiego (kodeks cywilny ora</w:t>
      </w:r>
      <w:r w:rsidR="001D0628">
        <w:rPr>
          <w:rFonts w:ascii="Times New Roman" w:hAnsi="Times New Roman" w:cs="Times New Roman"/>
          <w:i/>
          <w:sz w:val="24"/>
          <w:szCs w:val="24"/>
        </w:rPr>
        <w:t>z </w:t>
      </w:r>
      <w:r w:rsidR="00B25FE4" w:rsidRPr="00EF6F97">
        <w:rPr>
          <w:rFonts w:ascii="Times New Roman" w:hAnsi="Times New Roman" w:cs="Times New Roman"/>
          <w:i/>
          <w:sz w:val="24"/>
          <w:szCs w:val="24"/>
        </w:rPr>
        <w:t xml:space="preserve">ustawa – Prawo energetyczne) rozróżniają następujące podmioty: osobę fizyczną, osobę prawną lub jednostkę organizacyjną nieposiadającą osobowości prawnej. Wydaje się, że literalne brzmienie ww. definicji uczestnika rynku może wyłączyć spod nadzoru przewidzianego w rozporządzeniu REMIT grupę podmiotów na polskim hurtowym rynku energii, które nie są osobami fizycznymi lub osobami prawnymi w rozumieniu prawa krajowego. W związku </w:t>
      </w:r>
      <w:r w:rsidR="001D0628">
        <w:rPr>
          <w:rFonts w:ascii="Times New Roman" w:hAnsi="Times New Roman" w:cs="Times New Roman"/>
          <w:i/>
          <w:sz w:val="24"/>
          <w:szCs w:val="24"/>
        </w:rPr>
        <w:t>z </w:t>
      </w:r>
      <w:r w:rsidR="00B25FE4" w:rsidRPr="00EF6F97">
        <w:rPr>
          <w:rFonts w:ascii="Times New Roman" w:hAnsi="Times New Roman" w:cs="Times New Roman"/>
          <w:i/>
          <w:sz w:val="24"/>
          <w:szCs w:val="24"/>
        </w:rPr>
        <w:t xml:space="preserve">powyższym wydaje się zasadne doprecyzowanie definicji uczestnika rynku biorąc pod uwagę specyfikę krajowych przepisów prawa. </w:t>
      </w:r>
      <w:r w:rsidR="00B25FE4" w:rsidRPr="00EF6F97">
        <w:rPr>
          <w:rFonts w:ascii="Times New Roman" w:hAnsi="Times New Roman" w:cs="Times New Roman"/>
          <w:sz w:val="24"/>
          <w:szCs w:val="24"/>
        </w:rPr>
        <w:t>Zaproponowana w projekcie ustawy zmiana definicji uczestnika rynku wychodzi naprzeciw temu postulatowi.</w:t>
      </w:r>
    </w:p>
    <w:p w14:paraId="1B3A4972" w14:textId="77777777" w:rsidR="009F245A" w:rsidRPr="00EF6F97" w:rsidRDefault="009F245A" w:rsidP="00215A1D">
      <w:pPr>
        <w:spacing w:line="360" w:lineRule="auto"/>
        <w:jc w:val="both"/>
        <w:rPr>
          <w:rFonts w:ascii="Times New Roman" w:hAnsi="Times New Roman" w:cs="Times New Roman"/>
          <w:sz w:val="24"/>
          <w:szCs w:val="24"/>
        </w:rPr>
      </w:pPr>
    </w:p>
    <w:p w14:paraId="26204B92" w14:textId="659957BE" w:rsidR="00531055" w:rsidRPr="00EF6F97" w:rsidRDefault="00173903" w:rsidP="00215A1D">
      <w:pPr>
        <w:spacing w:line="360" w:lineRule="auto"/>
        <w:jc w:val="both"/>
        <w:rPr>
          <w:rFonts w:ascii="Times New Roman" w:hAnsi="Times New Roman" w:cs="Times New Roman"/>
          <w:i/>
          <w:sz w:val="24"/>
          <w:szCs w:val="24"/>
        </w:rPr>
      </w:pPr>
      <w:r w:rsidRPr="00EF6F97">
        <w:rPr>
          <w:rFonts w:ascii="Times New Roman" w:hAnsi="Times New Roman" w:cs="Times New Roman"/>
          <w:sz w:val="24"/>
          <w:szCs w:val="24"/>
        </w:rPr>
        <w:tab/>
      </w:r>
      <w:r w:rsidR="00D0483F" w:rsidRPr="00EF6F97">
        <w:rPr>
          <w:rFonts w:ascii="Times New Roman" w:hAnsi="Times New Roman" w:cs="Times New Roman"/>
          <w:sz w:val="24"/>
          <w:szCs w:val="24"/>
        </w:rPr>
        <w:t>Ad 15</w:t>
      </w:r>
      <w:r w:rsidR="009F245A" w:rsidRPr="00EF6F97">
        <w:rPr>
          <w:rFonts w:ascii="Times New Roman" w:hAnsi="Times New Roman" w:cs="Times New Roman"/>
          <w:sz w:val="24"/>
          <w:szCs w:val="24"/>
        </w:rPr>
        <w:t xml:space="preserve">. </w:t>
      </w:r>
      <w:r w:rsidR="00531055" w:rsidRPr="00EF6F97">
        <w:rPr>
          <w:rFonts w:ascii="Times New Roman" w:hAnsi="Times New Roman" w:cs="Times New Roman"/>
          <w:sz w:val="24"/>
          <w:szCs w:val="24"/>
        </w:rPr>
        <w:t xml:space="preserve">Na str. 316 Sprawozdania </w:t>
      </w:r>
      <w:r w:rsidR="001D0628">
        <w:rPr>
          <w:rFonts w:ascii="Times New Roman" w:hAnsi="Times New Roman" w:cs="Times New Roman"/>
          <w:sz w:val="24"/>
          <w:szCs w:val="24"/>
        </w:rPr>
        <w:t>z </w:t>
      </w:r>
      <w:r w:rsidR="00531055" w:rsidRPr="00EF6F97">
        <w:rPr>
          <w:rFonts w:ascii="Times New Roman" w:hAnsi="Times New Roman" w:cs="Times New Roman"/>
          <w:sz w:val="24"/>
          <w:szCs w:val="24"/>
        </w:rPr>
        <w:t>działalności Prezesa URE w 2017</w:t>
      </w:r>
      <w:r w:rsidR="001D0628">
        <w:rPr>
          <w:rFonts w:ascii="Times New Roman" w:hAnsi="Times New Roman" w:cs="Times New Roman"/>
          <w:sz w:val="24"/>
          <w:szCs w:val="24"/>
        </w:rPr>
        <w:t> r.</w:t>
      </w:r>
      <w:r w:rsidR="00531055" w:rsidRPr="00EF6F97">
        <w:rPr>
          <w:rFonts w:ascii="Times New Roman" w:hAnsi="Times New Roman" w:cs="Times New Roman"/>
          <w:sz w:val="24"/>
          <w:szCs w:val="24"/>
        </w:rPr>
        <w:t xml:space="preserve"> czytamy: </w:t>
      </w:r>
      <w:r w:rsidR="001D0628">
        <w:rPr>
          <w:rFonts w:ascii="Times New Roman" w:hAnsi="Times New Roman" w:cs="Times New Roman"/>
          <w:i/>
          <w:sz w:val="24"/>
          <w:szCs w:val="24"/>
        </w:rPr>
        <w:t>Z </w:t>
      </w:r>
      <w:r w:rsidR="00531055" w:rsidRPr="00EF6F97">
        <w:rPr>
          <w:rFonts w:ascii="Times New Roman" w:hAnsi="Times New Roman" w:cs="Times New Roman"/>
          <w:i/>
          <w:sz w:val="24"/>
          <w:szCs w:val="24"/>
        </w:rPr>
        <w:t>uwagi na brak jednolitości w postępowaniu ora</w:t>
      </w:r>
      <w:r w:rsidR="001D0628">
        <w:rPr>
          <w:rFonts w:ascii="Times New Roman" w:hAnsi="Times New Roman" w:cs="Times New Roman"/>
          <w:i/>
          <w:sz w:val="24"/>
          <w:szCs w:val="24"/>
        </w:rPr>
        <w:t>z </w:t>
      </w:r>
      <w:r w:rsidR="00531055" w:rsidRPr="00EF6F97">
        <w:rPr>
          <w:rFonts w:ascii="Times New Roman" w:hAnsi="Times New Roman" w:cs="Times New Roman"/>
          <w:i/>
          <w:sz w:val="24"/>
          <w:szCs w:val="24"/>
        </w:rPr>
        <w:t>różną interpretację prze</w:t>
      </w:r>
      <w:r w:rsidR="001D0628">
        <w:rPr>
          <w:rFonts w:ascii="Times New Roman" w:hAnsi="Times New Roman" w:cs="Times New Roman"/>
          <w:i/>
          <w:sz w:val="24"/>
          <w:szCs w:val="24"/>
        </w:rPr>
        <w:t>z </w:t>
      </w:r>
      <w:r w:rsidR="00531055" w:rsidRPr="00EF6F97">
        <w:rPr>
          <w:rFonts w:ascii="Times New Roman" w:hAnsi="Times New Roman" w:cs="Times New Roman"/>
          <w:i/>
          <w:sz w:val="24"/>
          <w:szCs w:val="24"/>
        </w:rPr>
        <w:t>poszczególne spółki obrotu art. 5 ust. 6e ustawy – Prawo energetyczne, w kontekście dostarczania</w:t>
      </w:r>
      <w:r w:rsidR="00861F92">
        <w:rPr>
          <w:rFonts w:ascii="Times New Roman" w:hAnsi="Times New Roman" w:cs="Times New Roman"/>
          <w:i/>
          <w:sz w:val="24"/>
          <w:szCs w:val="24"/>
        </w:rPr>
        <w:t xml:space="preserve"> </w:t>
      </w:r>
      <w:r w:rsidR="001D0628">
        <w:rPr>
          <w:rFonts w:ascii="Times New Roman" w:hAnsi="Times New Roman" w:cs="Times New Roman"/>
          <w:i/>
          <w:sz w:val="24"/>
          <w:szCs w:val="24"/>
        </w:rPr>
        <w:t>i </w:t>
      </w:r>
      <w:r w:rsidR="00531055" w:rsidRPr="00EF6F97">
        <w:rPr>
          <w:rFonts w:ascii="Times New Roman" w:hAnsi="Times New Roman" w:cs="Times New Roman"/>
          <w:i/>
          <w:sz w:val="24"/>
          <w:szCs w:val="24"/>
        </w:rPr>
        <w:t>aktualizacji prze</w:t>
      </w:r>
      <w:r w:rsidR="001D0628">
        <w:rPr>
          <w:rFonts w:ascii="Times New Roman" w:hAnsi="Times New Roman" w:cs="Times New Roman"/>
          <w:i/>
          <w:sz w:val="24"/>
          <w:szCs w:val="24"/>
        </w:rPr>
        <w:t>z </w:t>
      </w:r>
      <w:r w:rsidR="00531055" w:rsidRPr="00EF6F97">
        <w:rPr>
          <w:rFonts w:ascii="Times New Roman" w:hAnsi="Times New Roman" w:cs="Times New Roman"/>
          <w:i/>
          <w:sz w:val="24"/>
          <w:szCs w:val="24"/>
        </w:rPr>
        <w:t xml:space="preserve">sprzedawców Zbioru Praw Konsumenta, celowym wydaje się doprecyzowanie treści przedmiotowego artykułu, tak aby w sposób nie budzący wątpliwości, wynikał </w:t>
      </w:r>
      <w:r w:rsidR="001D0628">
        <w:rPr>
          <w:rFonts w:ascii="Times New Roman" w:hAnsi="Times New Roman" w:cs="Times New Roman"/>
          <w:i/>
          <w:sz w:val="24"/>
          <w:szCs w:val="24"/>
        </w:rPr>
        <w:t>z </w:t>
      </w:r>
      <w:r w:rsidR="00531055" w:rsidRPr="00EF6F97">
        <w:rPr>
          <w:rFonts w:ascii="Times New Roman" w:hAnsi="Times New Roman" w:cs="Times New Roman"/>
          <w:i/>
          <w:sz w:val="24"/>
          <w:szCs w:val="24"/>
        </w:rPr>
        <w:t>niego obowiązek sprzedawców do:</w:t>
      </w:r>
    </w:p>
    <w:p w14:paraId="3FFFD982" w14:textId="77777777" w:rsidR="00531055" w:rsidRPr="00215A1D" w:rsidRDefault="00531055" w:rsidP="00215A1D">
      <w:pPr>
        <w:pStyle w:val="Akapitzlist"/>
        <w:numPr>
          <w:ilvl w:val="1"/>
          <w:numId w:val="49"/>
        </w:numPr>
        <w:spacing w:after="0" w:line="360" w:lineRule="auto"/>
        <w:ind w:left="567" w:hanging="338"/>
        <w:jc w:val="both"/>
        <w:rPr>
          <w:rFonts w:ascii="Times New Roman" w:hAnsi="Times New Roman"/>
          <w:i/>
          <w:sz w:val="24"/>
          <w:szCs w:val="24"/>
        </w:rPr>
      </w:pPr>
      <w:r w:rsidRPr="00215A1D">
        <w:rPr>
          <w:rFonts w:ascii="Times New Roman" w:hAnsi="Times New Roman"/>
          <w:i/>
          <w:sz w:val="24"/>
          <w:szCs w:val="24"/>
        </w:rPr>
        <w:t xml:space="preserve">dostarczenia odbiorcom w gospodarstwie domowym Zbioru Praw Konsumenta </w:t>
      </w:r>
      <w:r w:rsidR="001D0628">
        <w:rPr>
          <w:rFonts w:ascii="Times New Roman" w:hAnsi="Times New Roman"/>
          <w:i/>
          <w:sz w:val="24"/>
          <w:szCs w:val="24"/>
        </w:rPr>
        <w:t>z </w:t>
      </w:r>
      <w:r w:rsidRPr="00215A1D">
        <w:rPr>
          <w:rFonts w:ascii="Times New Roman" w:hAnsi="Times New Roman"/>
          <w:i/>
          <w:sz w:val="24"/>
          <w:szCs w:val="24"/>
        </w:rPr>
        <w:t xml:space="preserve">aktualnym stanem prawnym na dzień dostarczenia, </w:t>
      </w:r>
    </w:p>
    <w:p w14:paraId="55483647" w14:textId="77777777" w:rsidR="00531055" w:rsidRPr="00215A1D" w:rsidRDefault="00531055" w:rsidP="00215A1D">
      <w:pPr>
        <w:pStyle w:val="Akapitzlist"/>
        <w:numPr>
          <w:ilvl w:val="1"/>
          <w:numId w:val="49"/>
        </w:numPr>
        <w:spacing w:after="0" w:line="360" w:lineRule="auto"/>
        <w:ind w:left="567" w:hanging="338"/>
        <w:jc w:val="both"/>
        <w:rPr>
          <w:rFonts w:ascii="Times New Roman" w:hAnsi="Times New Roman"/>
          <w:i/>
          <w:sz w:val="24"/>
          <w:szCs w:val="24"/>
        </w:rPr>
      </w:pPr>
      <w:r w:rsidRPr="00215A1D">
        <w:rPr>
          <w:rFonts w:ascii="Times New Roman" w:hAnsi="Times New Roman"/>
          <w:i/>
          <w:sz w:val="24"/>
          <w:szCs w:val="24"/>
        </w:rPr>
        <w:t>w przypadku aktualizacji Zbioru Praw Konsumenta – dostarczenia odbiorcom w gospodarstwie domowym informacji o zakresie aktualizacji ora</w:t>
      </w:r>
      <w:r w:rsidR="001D0628">
        <w:rPr>
          <w:rFonts w:ascii="Times New Roman" w:hAnsi="Times New Roman"/>
          <w:i/>
          <w:sz w:val="24"/>
          <w:szCs w:val="24"/>
        </w:rPr>
        <w:t>z </w:t>
      </w:r>
      <w:r w:rsidRPr="00215A1D">
        <w:rPr>
          <w:rFonts w:ascii="Times New Roman" w:hAnsi="Times New Roman"/>
          <w:i/>
          <w:sz w:val="24"/>
          <w:szCs w:val="24"/>
        </w:rPr>
        <w:t xml:space="preserve">miejscu, gdzie mogą </w:t>
      </w:r>
      <w:r w:rsidRPr="00215A1D">
        <w:rPr>
          <w:rFonts w:ascii="Times New Roman" w:hAnsi="Times New Roman"/>
          <w:i/>
          <w:sz w:val="24"/>
          <w:szCs w:val="24"/>
        </w:rPr>
        <w:lastRenderedPageBreak/>
        <w:t xml:space="preserve">zapoznać się </w:t>
      </w:r>
      <w:r w:rsidR="001D0628">
        <w:rPr>
          <w:rFonts w:ascii="Times New Roman" w:hAnsi="Times New Roman"/>
          <w:i/>
          <w:sz w:val="24"/>
          <w:szCs w:val="24"/>
        </w:rPr>
        <w:t>z </w:t>
      </w:r>
      <w:r w:rsidRPr="00215A1D">
        <w:rPr>
          <w:rFonts w:ascii="Times New Roman" w:hAnsi="Times New Roman"/>
          <w:i/>
          <w:sz w:val="24"/>
          <w:szCs w:val="24"/>
        </w:rPr>
        <w:t>przedmiotowym dokumentem ujednoliconym do aktualnego stanu prawnego,</w:t>
      </w:r>
    </w:p>
    <w:p w14:paraId="4E572AC4" w14:textId="77777777" w:rsidR="00531055" w:rsidRPr="00215A1D" w:rsidRDefault="00531055" w:rsidP="00215A1D">
      <w:pPr>
        <w:pStyle w:val="Akapitzlist"/>
        <w:numPr>
          <w:ilvl w:val="1"/>
          <w:numId w:val="49"/>
        </w:numPr>
        <w:spacing w:after="0" w:line="360" w:lineRule="auto"/>
        <w:ind w:left="567" w:hanging="338"/>
        <w:jc w:val="both"/>
        <w:rPr>
          <w:rFonts w:ascii="Times New Roman" w:hAnsi="Times New Roman"/>
          <w:i/>
          <w:sz w:val="24"/>
          <w:szCs w:val="24"/>
        </w:rPr>
      </w:pPr>
      <w:r w:rsidRPr="00215A1D">
        <w:rPr>
          <w:rFonts w:ascii="Times New Roman" w:hAnsi="Times New Roman"/>
          <w:i/>
          <w:sz w:val="24"/>
          <w:szCs w:val="24"/>
        </w:rPr>
        <w:t xml:space="preserve">zapewnienia publicznego dostępu do Zbioru Praw Konsumenta </w:t>
      </w:r>
      <w:r w:rsidR="001D0628">
        <w:rPr>
          <w:rFonts w:ascii="Times New Roman" w:hAnsi="Times New Roman"/>
          <w:i/>
          <w:sz w:val="24"/>
          <w:szCs w:val="24"/>
        </w:rPr>
        <w:t>z </w:t>
      </w:r>
      <w:r w:rsidRPr="00215A1D">
        <w:rPr>
          <w:rFonts w:ascii="Times New Roman" w:hAnsi="Times New Roman"/>
          <w:i/>
          <w:sz w:val="24"/>
          <w:szCs w:val="24"/>
        </w:rPr>
        <w:t>aktualnym stanem prawnym.</w:t>
      </w:r>
    </w:p>
    <w:p w14:paraId="01108D67" w14:textId="77777777" w:rsidR="009F245A"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i/>
          <w:sz w:val="24"/>
          <w:szCs w:val="24"/>
        </w:rPr>
        <w:tab/>
      </w:r>
      <w:r w:rsidR="00531055" w:rsidRPr="00EF6F97">
        <w:rPr>
          <w:rFonts w:ascii="Times New Roman" w:hAnsi="Times New Roman" w:cs="Times New Roman"/>
          <w:i/>
          <w:sz w:val="24"/>
          <w:szCs w:val="24"/>
        </w:rPr>
        <w:t>Celem wzmocnienia pozycji regulatora</w:t>
      </w:r>
      <w:r w:rsidR="001D0628">
        <w:rPr>
          <w:rFonts w:ascii="Times New Roman" w:hAnsi="Times New Roman" w:cs="Times New Roman"/>
          <w:i/>
          <w:sz w:val="24"/>
          <w:szCs w:val="24"/>
        </w:rPr>
        <w:t xml:space="preserve"> i </w:t>
      </w:r>
      <w:r w:rsidR="00531055" w:rsidRPr="00EF6F97">
        <w:rPr>
          <w:rFonts w:ascii="Times New Roman" w:hAnsi="Times New Roman" w:cs="Times New Roman"/>
          <w:i/>
          <w:sz w:val="24"/>
          <w:szCs w:val="24"/>
        </w:rPr>
        <w:t>możliwości realnego egzekwowania od przedsiębiorstw energetycznych wykonywania obowiązku nałożonego na nich prze</w:t>
      </w:r>
      <w:r w:rsidR="001D0628">
        <w:rPr>
          <w:rFonts w:ascii="Times New Roman" w:hAnsi="Times New Roman" w:cs="Times New Roman"/>
          <w:i/>
          <w:sz w:val="24"/>
          <w:szCs w:val="24"/>
        </w:rPr>
        <w:t>z </w:t>
      </w:r>
      <w:r w:rsidR="00531055" w:rsidRPr="00EF6F97">
        <w:rPr>
          <w:rFonts w:ascii="Times New Roman" w:hAnsi="Times New Roman" w:cs="Times New Roman"/>
          <w:i/>
          <w:sz w:val="24"/>
          <w:szCs w:val="24"/>
        </w:rPr>
        <w:t>ustawodawcę w art. 5 ust. 6e ustawy – Prawo energetyczne, zasadnym byłoby uzupełnienie obowiązujących przepisów ustawy – Prawo energetyczne artykułem penalizującym w przypadku nie wykonywania prze</w:t>
      </w:r>
      <w:r w:rsidR="001D0628">
        <w:rPr>
          <w:rFonts w:ascii="Times New Roman" w:hAnsi="Times New Roman" w:cs="Times New Roman"/>
          <w:i/>
          <w:sz w:val="24"/>
          <w:szCs w:val="24"/>
        </w:rPr>
        <w:t>z </w:t>
      </w:r>
      <w:r w:rsidR="00531055" w:rsidRPr="00EF6F97">
        <w:rPr>
          <w:rFonts w:ascii="Times New Roman" w:hAnsi="Times New Roman" w:cs="Times New Roman"/>
          <w:i/>
          <w:sz w:val="24"/>
          <w:szCs w:val="24"/>
        </w:rPr>
        <w:t xml:space="preserve">spółki obrotu obowiązku wynikającego </w:t>
      </w:r>
      <w:r w:rsidR="001D0628">
        <w:rPr>
          <w:rFonts w:ascii="Times New Roman" w:hAnsi="Times New Roman" w:cs="Times New Roman"/>
          <w:i/>
          <w:sz w:val="24"/>
          <w:szCs w:val="24"/>
        </w:rPr>
        <w:t>z </w:t>
      </w:r>
      <w:r w:rsidR="00531055" w:rsidRPr="00EF6F97">
        <w:rPr>
          <w:rFonts w:ascii="Times New Roman" w:hAnsi="Times New Roman" w:cs="Times New Roman"/>
          <w:i/>
          <w:sz w:val="24"/>
          <w:szCs w:val="24"/>
        </w:rPr>
        <w:t>art. 5 ust. 6e tejże ustawy, zarówno w odniesieniu do dostarczania odbiorcom aktualizacji Zbioru Praw Konsumenta, jak</w:t>
      </w:r>
      <w:r w:rsidR="001D0628">
        <w:rPr>
          <w:rFonts w:ascii="Times New Roman" w:hAnsi="Times New Roman" w:cs="Times New Roman"/>
          <w:i/>
          <w:sz w:val="24"/>
          <w:szCs w:val="24"/>
        </w:rPr>
        <w:t xml:space="preserve"> i </w:t>
      </w:r>
      <w:r w:rsidR="00531055" w:rsidRPr="00EF6F97">
        <w:rPr>
          <w:rFonts w:ascii="Times New Roman" w:hAnsi="Times New Roman" w:cs="Times New Roman"/>
          <w:i/>
          <w:sz w:val="24"/>
          <w:szCs w:val="24"/>
        </w:rPr>
        <w:t>zapewniania jego publicznego dostępu.</w:t>
      </w:r>
    </w:p>
    <w:p w14:paraId="51BA0808" w14:textId="48600771" w:rsidR="001963DF" w:rsidRPr="00EF6F97" w:rsidRDefault="00173903" w:rsidP="00215A1D">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531055" w:rsidRPr="00EF6F97">
        <w:rPr>
          <w:rFonts w:ascii="Times New Roman" w:hAnsi="Times New Roman" w:cs="Times New Roman"/>
          <w:sz w:val="24"/>
          <w:szCs w:val="24"/>
        </w:rPr>
        <w:t xml:space="preserve">Jakkolwiek nałożenie obowiązku dostarczania odbiorcy końcowemu aktualnego stanu prawnego mogłoby się wiązać </w:t>
      </w:r>
      <w:r w:rsidR="001D0628">
        <w:rPr>
          <w:rFonts w:ascii="Times New Roman" w:hAnsi="Times New Roman" w:cs="Times New Roman"/>
          <w:sz w:val="24"/>
          <w:szCs w:val="24"/>
        </w:rPr>
        <w:t>z </w:t>
      </w:r>
      <w:r w:rsidR="00531055" w:rsidRPr="00EF6F97">
        <w:rPr>
          <w:rFonts w:ascii="Times New Roman" w:hAnsi="Times New Roman" w:cs="Times New Roman"/>
          <w:sz w:val="24"/>
          <w:szCs w:val="24"/>
        </w:rPr>
        <w:t>wysokimi kosztami po stronie spółek, które to w ostateczności</w:t>
      </w:r>
      <w:r w:rsidR="001D0628">
        <w:rPr>
          <w:rFonts w:ascii="Times New Roman" w:hAnsi="Times New Roman" w:cs="Times New Roman"/>
          <w:sz w:val="24"/>
          <w:szCs w:val="24"/>
        </w:rPr>
        <w:t xml:space="preserve"> i </w:t>
      </w:r>
      <w:r w:rsidR="00531055" w:rsidRPr="00EF6F97">
        <w:rPr>
          <w:rFonts w:ascii="Times New Roman" w:hAnsi="Times New Roman" w:cs="Times New Roman"/>
          <w:sz w:val="24"/>
          <w:szCs w:val="24"/>
        </w:rPr>
        <w:t xml:space="preserve">tak byłyby przeniesione w taryfie na tego odbiorcę, to obowiązek publikacji aktualnego stanu prawnego jest trafnym rozwiązaniem, które </w:t>
      </w:r>
      <w:r w:rsidR="00127DFB" w:rsidRPr="00EF6F97">
        <w:rPr>
          <w:rFonts w:ascii="Times New Roman" w:hAnsi="Times New Roman" w:cs="Times New Roman"/>
          <w:sz w:val="24"/>
          <w:szCs w:val="24"/>
        </w:rPr>
        <w:t xml:space="preserve">przyczyni się do pogłębienia świadomości odbiorcy końcowego na temat jego praw. </w:t>
      </w:r>
    </w:p>
    <w:p w14:paraId="68D2F92A" w14:textId="77777777" w:rsidR="009A1099" w:rsidRPr="00EF6F97" w:rsidRDefault="009A1099" w:rsidP="00EF6F97">
      <w:pPr>
        <w:spacing w:line="360" w:lineRule="auto"/>
        <w:jc w:val="both"/>
        <w:rPr>
          <w:rFonts w:ascii="Times New Roman" w:hAnsi="Times New Roman" w:cs="Times New Roman"/>
          <w:sz w:val="24"/>
        </w:rPr>
      </w:pPr>
    </w:p>
    <w:p w14:paraId="00ADAD6F" w14:textId="46C803E4" w:rsidR="009A1099" w:rsidRPr="00EF6F97" w:rsidRDefault="00173903" w:rsidP="00EF6F97">
      <w:pPr>
        <w:spacing w:line="360" w:lineRule="auto"/>
        <w:jc w:val="both"/>
        <w:rPr>
          <w:rFonts w:ascii="Times New Roman" w:hAnsi="Times New Roman" w:cs="Times New Roman"/>
          <w:sz w:val="24"/>
        </w:rPr>
      </w:pPr>
      <w:r w:rsidRPr="00EF6F97">
        <w:rPr>
          <w:rFonts w:ascii="Times New Roman" w:hAnsi="Times New Roman" w:cs="Times New Roman"/>
          <w:sz w:val="24"/>
        </w:rPr>
        <w:tab/>
      </w:r>
      <w:r w:rsidR="00D24A41">
        <w:rPr>
          <w:rFonts w:ascii="Times New Roman" w:hAnsi="Times New Roman" w:cs="Times New Roman"/>
          <w:sz w:val="24"/>
        </w:rPr>
        <w:t>Ad 1</w:t>
      </w:r>
      <w:r w:rsidR="00772387">
        <w:rPr>
          <w:rFonts w:ascii="Times New Roman" w:hAnsi="Times New Roman" w:cs="Times New Roman"/>
          <w:sz w:val="24"/>
        </w:rPr>
        <w:t>6</w:t>
      </w:r>
      <w:r w:rsidR="009A1099" w:rsidRPr="00EF6F97">
        <w:rPr>
          <w:rFonts w:ascii="Times New Roman" w:hAnsi="Times New Roman" w:cs="Times New Roman"/>
          <w:sz w:val="24"/>
        </w:rPr>
        <w:t>. Wprowadzenie systemowych rozwiązań w zakresie inteligentnego opomiarowania.</w:t>
      </w:r>
    </w:p>
    <w:p w14:paraId="21E32164" w14:textId="500DBCD9" w:rsidR="009A1099" w:rsidRPr="00215A1D" w:rsidRDefault="00D24A41" w:rsidP="00EF6F97">
      <w:pPr>
        <w:pStyle w:val="USTustnpkodeksu"/>
        <w:ind w:firstLine="0"/>
        <w:rPr>
          <w:rFonts w:ascii="Times New Roman" w:hAnsi="Times New Roman" w:cs="Times New Roman"/>
        </w:rPr>
      </w:pPr>
      <w:r>
        <w:rPr>
          <w:rFonts w:ascii="Times New Roman" w:hAnsi="Times New Roman" w:cs="Times New Roman"/>
        </w:rPr>
        <w:t>1</w:t>
      </w:r>
      <w:r w:rsidR="00772387">
        <w:rPr>
          <w:rFonts w:ascii="Times New Roman" w:hAnsi="Times New Roman" w:cs="Times New Roman"/>
        </w:rPr>
        <w:t>6</w:t>
      </w:r>
      <w:r w:rsidR="009A1099" w:rsidRPr="00215A1D">
        <w:rPr>
          <w:rFonts w:ascii="Times New Roman" w:hAnsi="Times New Roman" w:cs="Times New Roman"/>
        </w:rPr>
        <w:t>. 1. Wdrażane przepisy UE</w:t>
      </w:r>
      <w:r w:rsidR="001D0628">
        <w:rPr>
          <w:rFonts w:ascii="Times New Roman" w:hAnsi="Times New Roman" w:cs="Times New Roman"/>
        </w:rPr>
        <w:t xml:space="preserve"> i </w:t>
      </w:r>
      <w:r w:rsidR="009A1099" w:rsidRPr="00215A1D">
        <w:rPr>
          <w:rFonts w:ascii="Times New Roman" w:hAnsi="Times New Roman" w:cs="Times New Roman"/>
        </w:rPr>
        <w:t>potrzeba regulacji:</w:t>
      </w:r>
    </w:p>
    <w:p w14:paraId="2184B74C" w14:textId="1CB4A489"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Projektowane rozwiązania w zakresie wprowadzenia systemu inteligentnego opomiarowania zostały przygotowan</w:t>
      </w:r>
      <w:r w:rsidR="00401B97">
        <w:rPr>
          <w:rFonts w:ascii="Times New Roman" w:hAnsi="Times New Roman" w:cs="Times New Roman"/>
        </w:rPr>
        <w:t>e</w:t>
      </w:r>
      <w:r w:rsidR="009A1099" w:rsidRPr="00215A1D">
        <w:rPr>
          <w:rFonts w:ascii="Times New Roman" w:hAnsi="Times New Roman" w:cs="Times New Roman"/>
        </w:rPr>
        <w:t xml:space="preserve"> w oparciu o: </w:t>
      </w:r>
      <w:r w:rsidR="009D27A5" w:rsidRPr="00215A1D">
        <w:rPr>
          <w:rFonts w:ascii="Times New Roman" w:hAnsi="Times New Roman" w:cs="Times New Roman"/>
        </w:rPr>
        <w:t>art. 19</w:t>
      </w:r>
      <w:r w:rsidR="00401B97" w:rsidRPr="00EF6F97">
        <w:rPr>
          <w:rFonts w:ascii="Times New Roman" w:hAnsi="Times New Roman" w:cs="Times New Roman"/>
          <w:szCs w:val="24"/>
        </w:rPr>
        <w:t>–</w:t>
      </w:r>
      <w:r w:rsidR="009D27A5" w:rsidRPr="00215A1D">
        <w:rPr>
          <w:rFonts w:ascii="Times New Roman" w:hAnsi="Times New Roman" w:cs="Times New Roman"/>
        </w:rPr>
        <w:t>24 ora</w:t>
      </w:r>
      <w:r w:rsidR="001D0628">
        <w:rPr>
          <w:rFonts w:ascii="Times New Roman" w:hAnsi="Times New Roman" w:cs="Times New Roman"/>
        </w:rPr>
        <w:t>z </w:t>
      </w:r>
      <w:r w:rsidR="009D27A5" w:rsidRPr="00215A1D">
        <w:rPr>
          <w:rFonts w:ascii="Times New Roman" w:hAnsi="Times New Roman" w:cs="Times New Roman"/>
        </w:rPr>
        <w:t>załącznik nr 2 do dyrektywy Parlamentu Europejskiego</w:t>
      </w:r>
      <w:r w:rsidR="001D0628">
        <w:rPr>
          <w:rFonts w:ascii="Times New Roman" w:hAnsi="Times New Roman" w:cs="Times New Roman"/>
        </w:rPr>
        <w:t xml:space="preserve"> i </w:t>
      </w:r>
      <w:r w:rsidR="009D27A5" w:rsidRPr="00215A1D">
        <w:rPr>
          <w:rFonts w:ascii="Times New Roman" w:hAnsi="Times New Roman" w:cs="Times New Roman"/>
        </w:rPr>
        <w:t xml:space="preserve">Rady 2019/944 </w:t>
      </w:r>
      <w:r w:rsidR="001D0628">
        <w:rPr>
          <w:rFonts w:ascii="Times New Roman" w:hAnsi="Times New Roman" w:cs="Times New Roman"/>
        </w:rPr>
        <w:t>z </w:t>
      </w:r>
      <w:r w:rsidR="009D27A5" w:rsidRPr="00215A1D">
        <w:rPr>
          <w:rFonts w:ascii="Times New Roman" w:hAnsi="Times New Roman" w:cs="Times New Roman"/>
        </w:rPr>
        <w:t>dnia 5 czerwca 2019</w:t>
      </w:r>
      <w:r w:rsidR="001D0628">
        <w:rPr>
          <w:rFonts w:ascii="Times New Roman" w:hAnsi="Times New Roman" w:cs="Times New Roman"/>
        </w:rPr>
        <w:t> r.</w:t>
      </w:r>
      <w:r w:rsidR="009D27A5" w:rsidRPr="00215A1D">
        <w:rPr>
          <w:rFonts w:ascii="Times New Roman" w:hAnsi="Times New Roman" w:cs="Times New Roman"/>
        </w:rPr>
        <w:t xml:space="preserve"> dotyczącej wspólnych zasad rynku wewnętrznego energii elektrycznej ora</w:t>
      </w:r>
      <w:r w:rsidR="001D0628">
        <w:rPr>
          <w:rFonts w:ascii="Times New Roman" w:hAnsi="Times New Roman" w:cs="Times New Roman"/>
        </w:rPr>
        <w:t>z </w:t>
      </w:r>
      <w:r w:rsidR="009D27A5" w:rsidRPr="00215A1D">
        <w:rPr>
          <w:rFonts w:ascii="Times New Roman" w:hAnsi="Times New Roman" w:cs="Times New Roman"/>
        </w:rPr>
        <w:t>zmieniając</w:t>
      </w:r>
      <w:r w:rsidR="00861F92">
        <w:rPr>
          <w:rFonts w:ascii="Times New Roman" w:hAnsi="Times New Roman" w:cs="Times New Roman"/>
        </w:rPr>
        <w:t>ej</w:t>
      </w:r>
      <w:r w:rsidR="009D27A5" w:rsidRPr="00215A1D">
        <w:rPr>
          <w:rFonts w:ascii="Times New Roman" w:hAnsi="Times New Roman" w:cs="Times New Roman"/>
        </w:rPr>
        <w:t xml:space="preserve"> dyrektywę 2012/27/WE (Dz. U</w:t>
      </w:r>
      <w:r w:rsidR="00EC7F9A">
        <w:rPr>
          <w:rFonts w:ascii="Times New Roman" w:hAnsi="Times New Roman" w:cs="Times New Roman"/>
        </w:rPr>
        <w:t>rz</w:t>
      </w:r>
      <w:r w:rsidR="009D27A5" w:rsidRPr="00215A1D">
        <w:rPr>
          <w:rFonts w:ascii="Times New Roman" w:hAnsi="Times New Roman" w:cs="Times New Roman"/>
        </w:rPr>
        <w:t xml:space="preserve">. UE L 158 </w:t>
      </w:r>
      <w:r w:rsidR="001D0628">
        <w:rPr>
          <w:rFonts w:ascii="Times New Roman" w:hAnsi="Times New Roman" w:cs="Times New Roman"/>
        </w:rPr>
        <w:t>z </w:t>
      </w:r>
      <w:r w:rsidR="009D27A5" w:rsidRPr="00215A1D">
        <w:rPr>
          <w:rFonts w:ascii="Times New Roman" w:hAnsi="Times New Roman" w:cs="Times New Roman"/>
        </w:rPr>
        <w:t>14. 06. 2019, str. 125)</w:t>
      </w:r>
      <w:r w:rsidR="00861F92">
        <w:rPr>
          <w:rFonts w:ascii="Times New Roman" w:hAnsi="Times New Roman" w:cs="Times New Roman"/>
        </w:rPr>
        <w:t>, zwan</w:t>
      </w:r>
      <w:r w:rsidR="00EC7F9A">
        <w:rPr>
          <w:rFonts w:ascii="Times New Roman" w:hAnsi="Times New Roman" w:cs="Times New Roman"/>
        </w:rPr>
        <w:t>ej</w:t>
      </w:r>
      <w:r w:rsidR="00861F92">
        <w:rPr>
          <w:rFonts w:ascii="Times New Roman" w:hAnsi="Times New Roman" w:cs="Times New Roman"/>
        </w:rPr>
        <w:t xml:space="preserve"> dalej</w:t>
      </w:r>
      <w:r w:rsidR="009D27A5" w:rsidRPr="00215A1D">
        <w:rPr>
          <w:rFonts w:ascii="Times New Roman" w:hAnsi="Times New Roman" w:cs="Times New Roman"/>
        </w:rPr>
        <w:t xml:space="preserve"> „dyrektywą 2019/944</w:t>
      </w:r>
      <w:r w:rsidR="009A1099" w:rsidRPr="00215A1D">
        <w:rPr>
          <w:rFonts w:ascii="Times New Roman" w:hAnsi="Times New Roman" w:cs="Times New Roman"/>
        </w:rPr>
        <w:t>”,</w:t>
      </w:r>
      <w:r w:rsidR="00D975AF" w:rsidRPr="00215A1D">
        <w:rPr>
          <w:rFonts w:ascii="Times New Roman" w:hAnsi="Times New Roman" w:cs="Times New Roman"/>
        </w:rPr>
        <w:t xml:space="preserve"> ora</w:t>
      </w:r>
      <w:r w:rsidR="001D0628">
        <w:rPr>
          <w:rFonts w:ascii="Times New Roman" w:hAnsi="Times New Roman" w:cs="Times New Roman"/>
        </w:rPr>
        <w:t>z </w:t>
      </w:r>
      <w:r w:rsidR="00D975AF" w:rsidRPr="00215A1D">
        <w:rPr>
          <w:rFonts w:ascii="Times New Roman" w:hAnsi="Times New Roman" w:cs="Times New Roman"/>
        </w:rPr>
        <w:t>definicje zawarte w tej dyrektywie.</w:t>
      </w:r>
    </w:p>
    <w:p w14:paraId="7B78A5E6" w14:textId="77777777" w:rsidR="009A1099" w:rsidRPr="00215A1D" w:rsidRDefault="009A1099" w:rsidP="00EF6F97">
      <w:pPr>
        <w:pStyle w:val="USTustnpkodeksu"/>
        <w:rPr>
          <w:rFonts w:ascii="Times New Roman" w:hAnsi="Times New Roman" w:cs="Times New Roman"/>
        </w:rPr>
      </w:pPr>
      <w:r w:rsidRPr="00215A1D">
        <w:rPr>
          <w:rFonts w:ascii="Times New Roman" w:hAnsi="Times New Roman" w:cs="Times New Roman"/>
        </w:rPr>
        <w:t>W projekcie ustawy uwzględniono także zalecenia:</w:t>
      </w:r>
    </w:p>
    <w:p w14:paraId="5E817575" w14:textId="4976A458" w:rsidR="009A1099" w:rsidRPr="00215A1D" w:rsidRDefault="009A1099" w:rsidP="00215A1D">
      <w:pPr>
        <w:pStyle w:val="PKTpunkt"/>
        <w:numPr>
          <w:ilvl w:val="0"/>
          <w:numId w:val="50"/>
        </w:numPr>
        <w:rPr>
          <w:rFonts w:ascii="Times New Roman" w:hAnsi="Times New Roman" w:cs="Times New Roman"/>
        </w:rPr>
      </w:pPr>
      <w:r w:rsidRPr="00215A1D">
        <w:rPr>
          <w:rFonts w:ascii="Times New Roman" w:hAnsi="Times New Roman" w:cs="Times New Roman"/>
        </w:rPr>
        <w:t xml:space="preserve">Komisji Europejskiej </w:t>
      </w:r>
      <w:r w:rsidR="001D0628">
        <w:rPr>
          <w:rFonts w:ascii="Times New Roman" w:hAnsi="Times New Roman" w:cs="Times New Roman"/>
        </w:rPr>
        <w:t>z </w:t>
      </w:r>
      <w:r w:rsidRPr="00215A1D">
        <w:rPr>
          <w:rFonts w:ascii="Times New Roman" w:hAnsi="Times New Roman" w:cs="Times New Roman"/>
        </w:rPr>
        <w:t>dnia 9 marca 2012</w:t>
      </w:r>
      <w:r w:rsidR="001D0628">
        <w:rPr>
          <w:rFonts w:ascii="Times New Roman" w:hAnsi="Times New Roman" w:cs="Times New Roman"/>
        </w:rPr>
        <w:t> r.</w:t>
      </w:r>
      <w:r w:rsidRPr="00215A1D">
        <w:rPr>
          <w:rFonts w:ascii="Times New Roman" w:hAnsi="Times New Roman" w:cs="Times New Roman"/>
        </w:rPr>
        <w:t xml:space="preserve"> w sprawie przygotowań do rozpowszechnienia inteligentnych systemów pomiarowych (Dz. U</w:t>
      </w:r>
      <w:r w:rsidR="00EC7F9A">
        <w:rPr>
          <w:rFonts w:ascii="Times New Roman" w:hAnsi="Times New Roman" w:cs="Times New Roman"/>
        </w:rPr>
        <w:t>rz</w:t>
      </w:r>
      <w:r w:rsidRPr="00215A1D">
        <w:rPr>
          <w:rFonts w:ascii="Times New Roman" w:hAnsi="Times New Roman" w:cs="Times New Roman"/>
        </w:rPr>
        <w:t xml:space="preserve">. UE L 73 </w:t>
      </w:r>
      <w:r w:rsidR="001D0628">
        <w:rPr>
          <w:rFonts w:ascii="Times New Roman" w:hAnsi="Times New Roman" w:cs="Times New Roman"/>
        </w:rPr>
        <w:t>z </w:t>
      </w:r>
      <w:r w:rsidR="00861F92">
        <w:rPr>
          <w:rFonts w:ascii="Times New Roman" w:hAnsi="Times New Roman" w:cs="Times New Roman"/>
        </w:rPr>
        <w:t>0</w:t>
      </w:r>
      <w:r w:rsidRPr="00215A1D">
        <w:rPr>
          <w:rFonts w:ascii="Times New Roman" w:hAnsi="Times New Roman" w:cs="Times New Roman"/>
        </w:rPr>
        <w:t>9. 03. 2012, str. 9);</w:t>
      </w:r>
    </w:p>
    <w:p w14:paraId="2783E658" w14:textId="33200C0B" w:rsidR="009A1099" w:rsidRPr="00215A1D" w:rsidRDefault="009A1099" w:rsidP="00215A1D">
      <w:pPr>
        <w:pStyle w:val="PKTpunkt"/>
        <w:numPr>
          <w:ilvl w:val="0"/>
          <w:numId w:val="50"/>
        </w:numPr>
        <w:rPr>
          <w:rFonts w:ascii="Times New Roman" w:hAnsi="Times New Roman" w:cs="Times New Roman"/>
        </w:rPr>
      </w:pPr>
      <w:r w:rsidRPr="00215A1D">
        <w:rPr>
          <w:rFonts w:ascii="Times New Roman" w:hAnsi="Times New Roman" w:cs="Times New Roman"/>
        </w:rPr>
        <w:t xml:space="preserve">Komisji </w:t>
      </w:r>
      <w:r w:rsidR="001D0628">
        <w:rPr>
          <w:rFonts w:ascii="Times New Roman" w:hAnsi="Times New Roman" w:cs="Times New Roman"/>
        </w:rPr>
        <w:t>z </w:t>
      </w:r>
      <w:r w:rsidRPr="00215A1D">
        <w:rPr>
          <w:rFonts w:ascii="Times New Roman" w:hAnsi="Times New Roman" w:cs="Times New Roman"/>
        </w:rPr>
        <w:t>dnia 10 października 2014</w:t>
      </w:r>
      <w:r w:rsidR="001D0628">
        <w:rPr>
          <w:rFonts w:ascii="Times New Roman" w:hAnsi="Times New Roman" w:cs="Times New Roman"/>
        </w:rPr>
        <w:t> r.</w:t>
      </w:r>
      <w:r w:rsidRPr="00215A1D">
        <w:rPr>
          <w:rFonts w:ascii="Times New Roman" w:hAnsi="Times New Roman" w:cs="Times New Roman"/>
        </w:rPr>
        <w:t xml:space="preserve"> w sprawie szablonu oceny skutków w zakresie ochrony danych na potrzeby inteligentnych sieci</w:t>
      </w:r>
      <w:r w:rsidR="001D0628">
        <w:rPr>
          <w:rFonts w:ascii="Times New Roman" w:hAnsi="Times New Roman" w:cs="Times New Roman"/>
        </w:rPr>
        <w:t xml:space="preserve"> i </w:t>
      </w:r>
      <w:r w:rsidRPr="00215A1D">
        <w:rPr>
          <w:rFonts w:ascii="Times New Roman" w:hAnsi="Times New Roman" w:cs="Times New Roman"/>
        </w:rPr>
        <w:t>inteligentnych systemów pomiarowych (Dz. U</w:t>
      </w:r>
      <w:r w:rsidR="00EC7F9A">
        <w:rPr>
          <w:rFonts w:ascii="Times New Roman" w:hAnsi="Times New Roman" w:cs="Times New Roman"/>
        </w:rPr>
        <w:t>rz</w:t>
      </w:r>
      <w:r w:rsidRPr="00215A1D">
        <w:rPr>
          <w:rFonts w:ascii="Times New Roman" w:hAnsi="Times New Roman" w:cs="Times New Roman"/>
        </w:rPr>
        <w:t xml:space="preserve">. UE L 300 </w:t>
      </w:r>
      <w:r w:rsidR="001D0628">
        <w:rPr>
          <w:rFonts w:ascii="Times New Roman" w:hAnsi="Times New Roman" w:cs="Times New Roman"/>
        </w:rPr>
        <w:t>z </w:t>
      </w:r>
      <w:r w:rsidRPr="00215A1D">
        <w:rPr>
          <w:rFonts w:ascii="Times New Roman" w:hAnsi="Times New Roman" w:cs="Times New Roman"/>
        </w:rPr>
        <w:t>18. 10. 2014, str. 63).</w:t>
      </w:r>
    </w:p>
    <w:p w14:paraId="0A287379" w14:textId="1B345ABC"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lastRenderedPageBreak/>
        <w:tab/>
      </w:r>
      <w:r w:rsidR="009A1099" w:rsidRPr="00215A1D">
        <w:rPr>
          <w:rFonts w:ascii="Times New Roman" w:hAnsi="Times New Roman" w:cs="Times New Roman"/>
        </w:rPr>
        <w:t>Projektowane rozwiązania uwzględniają również przepisy rozporządzenia P</w:t>
      </w:r>
      <w:r w:rsidR="00861F92">
        <w:rPr>
          <w:rFonts w:ascii="Times New Roman" w:hAnsi="Times New Roman" w:cs="Times New Roman"/>
        </w:rPr>
        <w:t xml:space="preserve">arlamentu Europejskiego </w:t>
      </w:r>
      <w:r w:rsidR="001D0628">
        <w:rPr>
          <w:rFonts w:ascii="Times New Roman" w:hAnsi="Times New Roman" w:cs="Times New Roman"/>
        </w:rPr>
        <w:t>i </w:t>
      </w:r>
      <w:r w:rsidR="009A1099" w:rsidRPr="00215A1D">
        <w:rPr>
          <w:rFonts w:ascii="Times New Roman" w:hAnsi="Times New Roman" w:cs="Times New Roman"/>
        </w:rPr>
        <w:t xml:space="preserve">Rady UE 2016/679 </w:t>
      </w:r>
      <w:r w:rsidR="001D0628">
        <w:rPr>
          <w:rFonts w:ascii="Times New Roman" w:hAnsi="Times New Roman" w:cs="Times New Roman"/>
        </w:rPr>
        <w:t>z </w:t>
      </w:r>
      <w:r w:rsidR="009A1099" w:rsidRPr="00215A1D">
        <w:rPr>
          <w:rFonts w:ascii="Times New Roman" w:hAnsi="Times New Roman" w:cs="Times New Roman"/>
        </w:rPr>
        <w:t>dnia 27 kwietnia 2016</w:t>
      </w:r>
      <w:r w:rsidR="001D0628">
        <w:rPr>
          <w:rFonts w:ascii="Times New Roman" w:hAnsi="Times New Roman" w:cs="Times New Roman"/>
        </w:rPr>
        <w:t> r.</w:t>
      </w:r>
      <w:r w:rsidR="009A1099" w:rsidRPr="00215A1D">
        <w:rPr>
          <w:rFonts w:ascii="Times New Roman" w:hAnsi="Times New Roman" w:cs="Times New Roman"/>
        </w:rPr>
        <w:t xml:space="preserve"> w sprawie ochrony osób fizycznych w związku </w:t>
      </w:r>
      <w:r w:rsidR="001D0628">
        <w:rPr>
          <w:rFonts w:ascii="Times New Roman" w:hAnsi="Times New Roman" w:cs="Times New Roman"/>
        </w:rPr>
        <w:t>z </w:t>
      </w:r>
      <w:r w:rsidR="009A1099" w:rsidRPr="00215A1D">
        <w:rPr>
          <w:rFonts w:ascii="Times New Roman" w:hAnsi="Times New Roman" w:cs="Times New Roman"/>
        </w:rPr>
        <w:t>przetwarzaniem danych osobowych</w:t>
      </w:r>
      <w:r w:rsidR="001D0628">
        <w:rPr>
          <w:rFonts w:ascii="Times New Roman" w:hAnsi="Times New Roman" w:cs="Times New Roman"/>
        </w:rPr>
        <w:t xml:space="preserve"> i </w:t>
      </w:r>
      <w:r w:rsidR="009A1099" w:rsidRPr="00215A1D">
        <w:rPr>
          <w:rFonts w:ascii="Times New Roman" w:hAnsi="Times New Roman" w:cs="Times New Roman"/>
        </w:rPr>
        <w:t>w sprawie swobodnego przepływu takich danych ora</w:t>
      </w:r>
      <w:r w:rsidR="001D0628">
        <w:rPr>
          <w:rFonts w:ascii="Times New Roman" w:hAnsi="Times New Roman" w:cs="Times New Roman"/>
        </w:rPr>
        <w:t>z </w:t>
      </w:r>
      <w:r w:rsidR="009A1099" w:rsidRPr="00215A1D">
        <w:rPr>
          <w:rFonts w:ascii="Times New Roman" w:hAnsi="Times New Roman" w:cs="Times New Roman"/>
        </w:rPr>
        <w:t>uchylania dyrektywy 95/46/WE (RODO) ora</w:t>
      </w:r>
      <w:r w:rsidR="001D0628">
        <w:rPr>
          <w:rFonts w:ascii="Times New Roman" w:hAnsi="Times New Roman" w:cs="Times New Roman"/>
        </w:rPr>
        <w:t>z </w:t>
      </w:r>
      <w:r w:rsidR="009A1099" w:rsidRPr="00215A1D">
        <w:rPr>
          <w:rFonts w:ascii="Times New Roman" w:hAnsi="Times New Roman" w:cs="Times New Roman"/>
        </w:rPr>
        <w:t xml:space="preserve">propozycje przepisów w zakresie systemu inteligentnego opomiarowania zawarte w </w:t>
      </w:r>
      <w:r w:rsidR="009D27A5" w:rsidRPr="00215A1D">
        <w:rPr>
          <w:rFonts w:ascii="Times New Roman" w:hAnsi="Times New Roman" w:cs="Times New Roman"/>
        </w:rPr>
        <w:t>dyrektywie</w:t>
      </w:r>
      <w:r w:rsidR="00861F92">
        <w:rPr>
          <w:rFonts w:ascii="Times New Roman" w:hAnsi="Times New Roman" w:cs="Times New Roman"/>
        </w:rPr>
        <w:t xml:space="preserve"> </w:t>
      </w:r>
      <w:r w:rsidR="009D27A5" w:rsidRPr="00215A1D">
        <w:rPr>
          <w:rFonts w:ascii="Times New Roman" w:hAnsi="Times New Roman" w:cs="Times New Roman"/>
        </w:rPr>
        <w:t>2019/944</w:t>
      </w:r>
      <w:r w:rsidR="009A1099" w:rsidRPr="00215A1D">
        <w:rPr>
          <w:rFonts w:ascii="Times New Roman" w:hAnsi="Times New Roman" w:cs="Times New Roman"/>
        </w:rPr>
        <w:t>, a także stanowią wykonanie przyjętego w Ministerstwie Energii w październiku 2016</w:t>
      </w:r>
      <w:r w:rsidR="001D0628">
        <w:rPr>
          <w:rFonts w:ascii="Times New Roman" w:hAnsi="Times New Roman" w:cs="Times New Roman"/>
        </w:rPr>
        <w:t> r.</w:t>
      </w:r>
      <w:r w:rsidR="009A1099" w:rsidRPr="00215A1D">
        <w:rPr>
          <w:rFonts w:ascii="Times New Roman" w:hAnsi="Times New Roman" w:cs="Times New Roman"/>
        </w:rPr>
        <w:t xml:space="preserve"> Programu rozwoju inteligentnej sieci elektroenergetycznej w Polsce.</w:t>
      </w:r>
    </w:p>
    <w:p w14:paraId="4CE29098" w14:textId="5918D8AF"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Celem tych rozwiązań jest przyczynienie się do dalszego rozwoju rynku energii elektrycznej, zapewnienie odbiorcom niezakłóconego dostępu do energii elektrycznej ora</w:t>
      </w:r>
      <w:r w:rsidR="001D0628">
        <w:rPr>
          <w:rFonts w:ascii="Times New Roman" w:hAnsi="Times New Roman" w:cs="Times New Roman"/>
        </w:rPr>
        <w:t>z </w:t>
      </w:r>
      <w:r w:rsidR="009A1099" w:rsidRPr="00215A1D">
        <w:rPr>
          <w:rFonts w:ascii="Times New Roman" w:hAnsi="Times New Roman" w:cs="Times New Roman"/>
        </w:rPr>
        <w:t xml:space="preserve">możliwości rozliczenia energii elektrycznej według rzeczywistego zużycia, a także ochrona danych pomiarowych. Propozycja nadania inteligentnemu systemowi pomiarowemu w sektorze elektroenergetycznym w Polsce normatywnego charakteru wynika zarówno </w:t>
      </w:r>
      <w:r w:rsidR="001D0628">
        <w:rPr>
          <w:rFonts w:ascii="Times New Roman" w:hAnsi="Times New Roman" w:cs="Times New Roman"/>
        </w:rPr>
        <w:t>z </w:t>
      </w:r>
      <w:r w:rsidR="009A1099" w:rsidRPr="00215A1D">
        <w:rPr>
          <w:rFonts w:ascii="Times New Roman" w:hAnsi="Times New Roman" w:cs="Times New Roman"/>
        </w:rPr>
        <w:t>przesłanek formalno</w:t>
      </w:r>
      <w:r w:rsidR="00401B97">
        <w:rPr>
          <w:rFonts w:ascii="Times New Roman" w:hAnsi="Times New Roman" w:cs="Times New Roman"/>
        </w:rPr>
        <w:t>-</w:t>
      </w:r>
      <w:r w:rsidR="009A1099" w:rsidRPr="00215A1D">
        <w:rPr>
          <w:rFonts w:ascii="Times New Roman" w:hAnsi="Times New Roman" w:cs="Times New Roman"/>
        </w:rPr>
        <w:t>prawnych</w:t>
      </w:r>
      <w:r w:rsidR="00861F92">
        <w:rPr>
          <w:rFonts w:ascii="Times New Roman" w:hAnsi="Times New Roman" w:cs="Times New Roman"/>
        </w:rPr>
        <w:t>,</w:t>
      </w:r>
      <w:r w:rsidR="009A1099" w:rsidRPr="00215A1D">
        <w:rPr>
          <w:rFonts w:ascii="Times New Roman" w:hAnsi="Times New Roman" w:cs="Times New Roman"/>
        </w:rPr>
        <w:t xml:space="preserve"> jak</w:t>
      </w:r>
      <w:r w:rsidR="001D0628">
        <w:rPr>
          <w:rFonts w:ascii="Times New Roman" w:hAnsi="Times New Roman" w:cs="Times New Roman"/>
        </w:rPr>
        <w:t xml:space="preserve"> i z </w:t>
      </w:r>
      <w:r w:rsidR="009A1099" w:rsidRPr="00215A1D">
        <w:rPr>
          <w:rFonts w:ascii="Times New Roman" w:hAnsi="Times New Roman" w:cs="Times New Roman"/>
        </w:rPr>
        <w:t>szeregu potrzeb ora</w:t>
      </w:r>
      <w:r w:rsidR="001D0628">
        <w:rPr>
          <w:rFonts w:ascii="Times New Roman" w:hAnsi="Times New Roman" w:cs="Times New Roman"/>
        </w:rPr>
        <w:t>z </w:t>
      </w:r>
      <w:r w:rsidR="009A1099" w:rsidRPr="00215A1D">
        <w:rPr>
          <w:rFonts w:ascii="Times New Roman" w:hAnsi="Times New Roman" w:cs="Times New Roman"/>
        </w:rPr>
        <w:t xml:space="preserve">korzyści o charakterze faktycznym. </w:t>
      </w:r>
    </w:p>
    <w:p w14:paraId="2AD1F46E" w14:textId="3CF9E690"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Do przesłanek formalno</w:t>
      </w:r>
      <w:r w:rsidR="00401B97">
        <w:rPr>
          <w:rFonts w:ascii="Times New Roman" w:hAnsi="Times New Roman" w:cs="Times New Roman"/>
        </w:rPr>
        <w:t>-</w:t>
      </w:r>
      <w:r w:rsidR="009A1099" w:rsidRPr="00215A1D">
        <w:rPr>
          <w:rFonts w:ascii="Times New Roman" w:hAnsi="Times New Roman" w:cs="Times New Roman"/>
        </w:rPr>
        <w:t>prawnych zaliczyć należy przede wszystkim zapewnieni</w:t>
      </w:r>
      <w:r w:rsidR="006E5528" w:rsidRPr="00215A1D">
        <w:rPr>
          <w:rFonts w:ascii="Times New Roman" w:hAnsi="Times New Roman" w:cs="Times New Roman"/>
        </w:rPr>
        <w:t>e</w:t>
      </w:r>
      <w:r w:rsidR="009A1099" w:rsidRPr="00215A1D">
        <w:rPr>
          <w:rFonts w:ascii="Times New Roman" w:hAnsi="Times New Roman" w:cs="Times New Roman"/>
        </w:rPr>
        <w:t xml:space="preserve"> realizacji celów wyn</w:t>
      </w:r>
      <w:r w:rsidR="009D27A5" w:rsidRPr="00215A1D">
        <w:rPr>
          <w:rFonts w:ascii="Times New Roman" w:hAnsi="Times New Roman" w:cs="Times New Roman"/>
        </w:rPr>
        <w:t xml:space="preserve">ikających </w:t>
      </w:r>
      <w:r w:rsidR="001D0628">
        <w:rPr>
          <w:rFonts w:ascii="Times New Roman" w:hAnsi="Times New Roman" w:cs="Times New Roman"/>
        </w:rPr>
        <w:t>z </w:t>
      </w:r>
      <w:r w:rsidR="009D27A5" w:rsidRPr="00215A1D">
        <w:rPr>
          <w:rFonts w:ascii="Times New Roman" w:hAnsi="Times New Roman" w:cs="Times New Roman"/>
        </w:rPr>
        <w:t>dyrektywy 2019/944</w:t>
      </w:r>
      <w:r w:rsidR="009A1099" w:rsidRPr="00215A1D">
        <w:rPr>
          <w:rFonts w:ascii="Times New Roman" w:hAnsi="Times New Roman" w:cs="Times New Roman"/>
        </w:rPr>
        <w:t xml:space="preserve">. Zgodnie </w:t>
      </w:r>
      <w:r w:rsidR="001D0628">
        <w:rPr>
          <w:rFonts w:ascii="Times New Roman" w:hAnsi="Times New Roman" w:cs="Times New Roman"/>
        </w:rPr>
        <w:t>z </w:t>
      </w:r>
      <w:r w:rsidR="009A1099" w:rsidRPr="00215A1D">
        <w:rPr>
          <w:rFonts w:ascii="Times New Roman" w:hAnsi="Times New Roman" w:cs="Times New Roman"/>
        </w:rPr>
        <w:t xml:space="preserve">jej przepisami – </w:t>
      </w:r>
      <w:r w:rsidR="00EC7F9A">
        <w:rPr>
          <w:rFonts w:ascii="Times New Roman" w:hAnsi="Times New Roman" w:cs="Times New Roman"/>
        </w:rPr>
        <w:t>p</w:t>
      </w:r>
      <w:r w:rsidR="009A1099" w:rsidRPr="00215A1D">
        <w:rPr>
          <w:rFonts w:ascii="Times New Roman" w:hAnsi="Times New Roman" w:cs="Times New Roman"/>
        </w:rPr>
        <w:t xml:space="preserve">aństwa </w:t>
      </w:r>
      <w:r w:rsidR="00EC7F9A">
        <w:rPr>
          <w:rFonts w:ascii="Times New Roman" w:hAnsi="Times New Roman" w:cs="Times New Roman"/>
        </w:rPr>
        <w:t>c</w:t>
      </w:r>
      <w:r w:rsidR="009A1099" w:rsidRPr="00215A1D">
        <w:rPr>
          <w:rFonts w:ascii="Times New Roman" w:hAnsi="Times New Roman" w:cs="Times New Roman"/>
        </w:rPr>
        <w:t xml:space="preserve">złonkowskie powinny zapewnić wdrożenie inteligentnych systemów pomiarowych, które pomagają konsumentom w aktywnym korzystaniu </w:t>
      </w:r>
      <w:r w:rsidR="001D0628">
        <w:rPr>
          <w:rFonts w:ascii="Times New Roman" w:hAnsi="Times New Roman" w:cs="Times New Roman"/>
        </w:rPr>
        <w:t>z </w:t>
      </w:r>
      <w:r w:rsidR="009A1099" w:rsidRPr="00215A1D">
        <w:rPr>
          <w:rFonts w:ascii="Times New Roman" w:hAnsi="Times New Roman" w:cs="Times New Roman"/>
        </w:rPr>
        <w:t>rynków dostaw energii elektrycznej. Wdrożenie inteligentnych systemów pomiarowych może być uzależnione od ekonomicznej oceny wszystkich długoterminowych kosztów</w:t>
      </w:r>
      <w:r w:rsidR="001D0628">
        <w:rPr>
          <w:rFonts w:ascii="Times New Roman" w:hAnsi="Times New Roman" w:cs="Times New Roman"/>
        </w:rPr>
        <w:t xml:space="preserve"> i </w:t>
      </w:r>
      <w:r w:rsidR="009A1099" w:rsidRPr="00215A1D">
        <w:rPr>
          <w:rFonts w:ascii="Times New Roman" w:hAnsi="Times New Roman" w:cs="Times New Roman"/>
        </w:rPr>
        <w:t>korzyści dla rynku ora</w:t>
      </w:r>
      <w:r w:rsidR="001D0628">
        <w:rPr>
          <w:rFonts w:ascii="Times New Roman" w:hAnsi="Times New Roman" w:cs="Times New Roman"/>
        </w:rPr>
        <w:t>z </w:t>
      </w:r>
      <w:r w:rsidR="009A1099" w:rsidRPr="00215A1D">
        <w:rPr>
          <w:rFonts w:ascii="Times New Roman" w:hAnsi="Times New Roman" w:cs="Times New Roman"/>
        </w:rPr>
        <w:t xml:space="preserve">indywidualnego konsumenta lub od oceny, która forma inteligentnego pomiaru jest uzasadniona </w:t>
      </w:r>
      <w:r w:rsidR="001D0628">
        <w:rPr>
          <w:rFonts w:ascii="Times New Roman" w:hAnsi="Times New Roman" w:cs="Times New Roman"/>
        </w:rPr>
        <w:t>z </w:t>
      </w:r>
      <w:r w:rsidR="009A1099" w:rsidRPr="00215A1D">
        <w:rPr>
          <w:rFonts w:ascii="Times New Roman" w:hAnsi="Times New Roman" w:cs="Times New Roman"/>
        </w:rPr>
        <w:t>ekonomicznego punktu widzenia</w:t>
      </w:r>
      <w:r w:rsidR="001D0628">
        <w:rPr>
          <w:rFonts w:ascii="Times New Roman" w:hAnsi="Times New Roman" w:cs="Times New Roman"/>
        </w:rPr>
        <w:t xml:space="preserve"> i </w:t>
      </w:r>
      <w:r w:rsidR="009A1099" w:rsidRPr="00215A1D">
        <w:rPr>
          <w:rFonts w:ascii="Times New Roman" w:hAnsi="Times New Roman" w:cs="Times New Roman"/>
        </w:rPr>
        <w:t>najbardziej opłacalna ora</w:t>
      </w:r>
      <w:r w:rsidR="001D0628">
        <w:rPr>
          <w:rFonts w:ascii="Times New Roman" w:hAnsi="Times New Roman" w:cs="Times New Roman"/>
        </w:rPr>
        <w:t>z </w:t>
      </w:r>
      <w:r w:rsidR="009A1099" w:rsidRPr="00215A1D">
        <w:rPr>
          <w:rFonts w:ascii="Times New Roman" w:hAnsi="Times New Roman" w:cs="Times New Roman"/>
        </w:rPr>
        <w:t xml:space="preserve">w jakim czasie ich wprowadzenie jest wykonalne. </w:t>
      </w:r>
    </w:p>
    <w:p w14:paraId="539AF84D" w14:textId="02646883"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 xml:space="preserve">Zgodnie zaś </w:t>
      </w:r>
      <w:r w:rsidR="001D0628">
        <w:rPr>
          <w:rFonts w:ascii="Times New Roman" w:hAnsi="Times New Roman" w:cs="Times New Roman"/>
        </w:rPr>
        <w:t>z </w:t>
      </w:r>
      <w:r w:rsidR="009A1099" w:rsidRPr="00215A1D">
        <w:rPr>
          <w:rFonts w:ascii="Times New Roman" w:hAnsi="Times New Roman" w:cs="Times New Roman"/>
        </w:rPr>
        <w:t xml:space="preserve">zaleceniami Komisji Europejskiej </w:t>
      </w:r>
      <w:r w:rsidR="001D0628">
        <w:rPr>
          <w:rFonts w:ascii="Times New Roman" w:hAnsi="Times New Roman" w:cs="Times New Roman"/>
        </w:rPr>
        <w:t>z </w:t>
      </w:r>
      <w:r w:rsidR="009A1099" w:rsidRPr="00215A1D">
        <w:rPr>
          <w:rFonts w:ascii="Times New Roman" w:hAnsi="Times New Roman" w:cs="Times New Roman"/>
        </w:rPr>
        <w:t>dnia 9 marca 2012</w:t>
      </w:r>
      <w:r w:rsidR="001D0628">
        <w:rPr>
          <w:rFonts w:ascii="Times New Roman" w:hAnsi="Times New Roman" w:cs="Times New Roman"/>
        </w:rPr>
        <w:t> r.</w:t>
      </w:r>
      <w:r w:rsidR="009A1099" w:rsidRPr="00215A1D">
        <w:rPr>
          <w:rFonts w:ascii="Times New Roman" w:hAnsi="Times New Roman" w:cs="Times New Roman"/>
        </w:rPr>
        <w:t xml:space="preserve"> w sprawie przygotowań do rozpowszechnienia inteligentnych systemów pomiarowych, wprowadzając takie systemy</w:t>
      </w:r>
      <w:r w:rsidR="00401B97">
        <w:rPr>
          <w:rFonts w:ascii="Times New Roman" w:hAnsi="Times New Roman" w:cs="Times New Roman"/>
        </w:rPr>
        <w:t>,</w:t>
      </w:r>
      <w:r w:rsidR="009A1099" w:rsidRPr="00215A1D">
        <w:rPr>
          <w:rFonts w:ascii="Times New Roman" w:hAnsi="Times New Roman" w:cs="Times New Roman"/>
        </w:rPr>
        <w:t xml:space="preserve"> należy zwrócić szczególną uwagę na bezpieczeństwo</w:t>
      </w:r>
      <w:r w:rsidR="001D0628">
        <w:rPr>
          <w:rFonts w:ascii="Times New Roman" w:hAnsi="Times New Roman" w:cs="Times New Roman"/>
        </w:rPr>
        <w:t xml:space="preserve"> i </w:t>
      </w:r>
      <w:r w:rsidR="009A1099" w:rsidRPr="00215A1D">
        <w:rPr>
          <w:rFonts w:ascii="Times New Roman" w:hAnsi="Times New Roman" w:cs="Times New Roman"/>
        </w:rPr>
        <w:t>ochronę danych osobowych przetwarzanych w ramach tych systemów.</w:t>
      </w:r>
    </w:p>
    <w:p w14:paraId="7B3481BA" w14:textId="0F2B676A"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W komunikacie Komisji Europejskiej do Parlamentu Europejskiego, Rady, Europejskiego Komitetu Ekonomiczno-Społecznego</w:t>
      </w:r>
      <w:r w:rsidR="001D0628">
        <w:rPr>
          <w:rFonts w:ascii="Times New Roman" w:hAnsi="Times New Roman" w:cs="Times New Roman"/>
        </w:rPr>
        <w:t xml:space="preserve"> i </w:t>
      </w:r>
      <w:r w:rsidR="009A1099" w:rsidRPr="00215A1D">
        <w:rPr>
          <w:rFonts w:ascii="Times New Roman" w:hAnsi="Times New Roman" w:cs="Times New Roman"/>
        </w:rPr>
        <w:t xml:space="preserve">Komitetu Regionów </w:t>
      </w:r>
      <w:r w:rsidR="001D0628">
        <w:rPr>
          <w:rFonts w:ascii="Times New Roman" w:hAnsi="Times New Roman" w:cs="Times New Roman"/>
        </w:rPr>
        <w:t>z </w:t>
      </w:r>
      <w:r w:rsidR="009A1099" w:rsidRPr="00215A1D">
        <w:rPr>
          <w:rFonts w:ascii="Times New Roman" w:hAnsi="Times New Roman" w:cs="Times New Roman"/>
        </w:rPr>
        <w:t>dnia 12 kwietnia 2011</w:t>
      </w:r>
      <w:r w:rsidR="001D0628">
        <w:rPr>
          <w:rFonts w:ascii="Times New Roman" w:hAnsi="Times New Roman" w:cs="Times New Roman"/>
        </w:rPr>
        <w:t> r.</w:t>
      </w:r>
      <w:r w:rsidR="009A1099" w:rsidRPr="00215A1D">
        <w:rPr>
          <w:rFonts w:ascii="Times New Roman" w:hAnsi="Times New Roman" w:cs="Times New Roman"/>
        </w:rPr>
        <w:t xml:space="preserve"> „Inteligentne sieci energetyczne: od innowacji do wdrożenia", zapowiedziano podjęcie szeregu środków, w tym monitorowanie postępów </w:t>
      </w:r>
      <w:r w:rsidR="00EC7F9A">
        <w:rPr>
          <w:rFonts w:ascii="Times New Roman" w:hAnsi="Times New Roman" w:cs="Times New Roman"/>
        </w:rPr>
        <w:t>p</w:t>
      </w:r>
      <w:r w:rsidR="009A1099" w:rsidRPr="00215A1D">
        <w:rPr>
          <w:rFonts w:ascii="Times New Roman" w:hAnsi="Times New Roman" w:cs="Times New Roman"/>
        </w:rPr>
        <w:t xml:space="preserve">aństw </w:t>
      </w:r>
      <w:r w:rsidR="00EC7F9A">
        <w:rPr>
          <w:rFonts w:ascii="Times New Roman" w:hAnsi="Times New Roman" w:cs="Times New Roman"/>
        </w:rPr>
        <w:t>c</w:t>
      </w:r>
      <w:r w:rsidR="009A1099" w:rsidRPr="00215A1D">
        <w:rPr>
          <w:rFonts w:ascii="Times New Roman" w:hAnsi="Times New Roman" w:cs="Times New Roman"/>
        </w:rPr>
        <w:t>złonkowskich, ustanowienie wytycznych dotyczących głównych wskaźników skuteczności</w:t>
      </w:r>
      <w:r w:rsidR="001D0628">
        <w:rPr>
          <w:rFonts w:ascii="Times New Roman" w:hAnsi="Times New Roman" w:cs="Times New Roman"/>
        </w:rPr>
        <w:t xml:space="preserve"> i </w:t>
      </w:r>
      <w:r w:rsidR="009A1099" w:rsidRPr="00215A1D">
        <w:rPr>
          <w:rFonts w:ascii="Times New Roman" w:hAnsi="Times New Roman" w:cs="Times New Roman"/>
        </w:rPr>
        <w:t>określenia metodyki planów realizacji inteligentnych systemów pomiarowych wra</w:t>
      </w:r>
      <w:r w:rsidR="001D0628">
        <w:rPr>
          <w:rFonts w:ascii="Times New Roman" w:hAnsi="Times New Roman" w:cs="Times New Roman"/>
        </w:rPr>
        <w:t>z z </w:t>
      </w:r>
      <w:r w:rsidR="009A1099" w:rsidRPr="00215A1D">
        <w:rPr>
          <w:rFonts w:ascii="Times New Roman" w:hAnsi="Times New Roman" w:cs="Times New Roman"/>
        </w:rPr>
        <w:t>analizami kosztów</w:t>
      </w:r>
      <w:r w:rsidR="001D0628">
        <w:rPr>
          <w:rFonts w:ascii="Times New Roman" w:hAnsi="Times New Roman" w:cs="Times New Roman"/>
        </w:rPr>
        <w:t xml:space="preserve"> </w:t>
      </w:r>
      <w:r w:rsidR="001D0628">
        <w:rPr>
          <w:rFonts w:ascii="Times New Roman" w:hAnsi="Times New Roman" w:cs="Times New Roman"/>
        </w:rPr>
        <w:lastRenderedPageBreak/>
        <w:t>i </w:t>
      </w:r>
      <w:r w:rsidR="009A1099" w:rsidRPr="00215A1D">
        <w:rPr>
          <w:rFonts w:ascii="Times New Roman" w:hAnsi="Times New Roman" w:cs="Times New Roman"/>
        </w:rPr>
        <w:t>korzyści.</w:t>
      </w:r>
      <w:r w:rsidR="00EC7F9A">
        <w:rPr>
          <w:rFonts w:ascii="Times New Roman" w:hAnsi="Times New Roman" w:cs="Times New Roman"/>
        </w:rPr>
        <w:t xml:space="preserve"> </w:t>
      </w:r>
      <w:r w:rsidR="00255CF2" w:rsidRPr="00215A1D">
        <w:rPr>
          <w:rFonts w:ascii="Times New Roman" w:hAnsi="Times New Roman" w:cs="Times New Roman"/>
        </w:rPr>
        <w:t>Ostatnia ankieta dotycząca stanu wdrożenia inteligentnego opomiarowania przeprowadzona została prze</w:t>
      </w:r>
      <w:r w:rsidR="001D0628">
        <w:rPr>
          <w:rFonts w:ascii="Times New Roman" w:hAnsi="Times New Roman" w:cs="Times New Roman"/>
        </w:rPr>
        <w:t>z </w:t>
      </w:r>
      <w:r w:rsidR="00255CF2" w:rsidRPr="00215A1D">
        <w:rPr>
          <w:rFonts w:ascii="Times New Roman" w:hAnsi="Times New Roman" w:cs="Times New Roman"/>
        </w:rPr>
        <w:t>Komisję Europejską w IV kwartale 2018</w:t>
      </w:r>
      <w:r w:rsidR="001D0628">
        <w:rPr>
          <w:rFonts w:ascii="Times New Roman" w:hAnsi="Times New Roman" w:cs="Times New Roman"/>
        </w:rPr>
        <w:t> r.</w:t>
      </w:r>
    </w:p>
    <w:p w14:paraId="2861C205" w14:textId="587E9058"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W Polsce analizy kosztów</w:t>
      </w:r>
      <w:r w:rsidR="001D0628">
        <w:rPr>
          <w:rFonts w:ascii="Times New Roman" w:hAnsi="Times New Roman" w:cs="Times New Roman"/>
        </w:rPr>
        <w:t xml:space="preserve"> i </w:t>
      </w:r>
      <w:r w:rsidR="009A1099" w:rsidRPr="00215A1D">
        <w:rPr>
          <w:rFonts w:ascii="Times New Roman" w:hAnsi="Times New Roman" w:cs="Times New Roman"/>
        </w:rPr>
        <w:t xml:space="preserve">korzyści zostały wykonane. </w:t>
      </w:r>
      <w:r w:rsidR="001D0628">
        <w:rPr>
          <w:rFonts w:ascii="Times New Roman" w:hAnsi="Times New Roman" w:cs="Times New Roman"/>
        </w:rPr>
        <w:t>Z </w:t>
      </w:r>
      <w:r w:rsidR="009A1099" w:rsidRPr="00215A1D">
        <w:rPr>
          <w:rFonts w:ascii="Times New Roman" w:hAnsi="Times New Roman" w:cs="Times New Roman"/>
        </w:rPr>
        <w:t>anali</w:t>
      </w:r>
      <w:r w:rsidR="001D0628">
        <w:rPr>
          <w:rFonts w:ascii="Times New Roman" w:hAnsi="Times New Roman" w:cs="Times New Roman"/>
        </w:rPr>
        <w:t>z </w:t>
      </w:r>
      <w:r w:rsidR="009A1099" w:rsidRPr="00215A1D">
        <w:rPr>
          <w:rFonts w:ascii="Times New Roman" w:hAnsi="Times New Roman" w:cs="Times New Roman"/>
        </w:rPr>
        <w:t>tych wynika, że wdrożenie systemów inteligentnego opomiarowania umożliwi podejmowanie działań proefektywnościowych</w:t>
      </w:r>
      <w:r w:rsidR="001D0628">
        <w:rPr>
          <w:rFonts w:ascii="Times New Roman" w:hAnsi="Times New Roman" w:cs="Times New Roman"/>
        </w:rPr>
        <w:t xml:space="preserve"> i </w:t>
      </w:r>
      <w:r w:rsidR="009A1099" w:rsidRPr="00215A1D">
        <w:rPr>
          <w:rFonts w:ascii="Times New Roman" w:hAnsi="Times New Roman" w:cs="Times New Roman"/>
        </w:rPr>
        <w:t>stanowić będzie element budowy inteligentnych sieci elektroenergetycznych. Przyczyni się też do efektywnego zarządzania energią elektryczną zarówno po stronie podaży</w:t>
      </w:r>
      <w:r w:rsidR="00401B97">
        <w:rPr>
          <w:rFonts w:ascii="Times New Roman" w:hAnsi="Times New Roman" w:cs="Times New Roman"/>
        </w:rPr>
        <w:t>,</w:t>
      </w:r>
      <w:r w:rsidR="009A1099" w:rsidRPr="00215A1D">
        <w:rPr>
          <w:rFonts w:ascii="Times New Roman" w:hAnsi="Times New Roman" w:cs="Times New Roman"/>
        </w:rPr>
        <w:t xml:space="preserve"> jak</w:t>
      </w:r>
      <w:r w:rsidR="001D0628">
        <w:rPr>
          <w:rFonts w:ascii="Times New Roman" w:hAnsi="Times New Roman" w:cs="Times New Roman"/>
        </w:rPr>
        <w:t xml:space="preserve"> i </w:t>
      </w:r>
      <w:r w:rsidR="009A1099" w:rsidRPr="00215A1D">
        <w:rPr>
          <w:rFonts w:ascii="Times New Roman" w:hAnsi="Times New Roman" w:cs="Times New Roman"/>
        </w:rPr>
        <w:t>popytu, co jest fundamentalne dla ograniczenia emisji CO</w:t>
      </w:r>
      <w:r w:rsidR="009A1099" w:rsidRPr="00DC5BED">
        <w:rPr>
          <w:rFonts w:ascii="Times New Roman" w:hAnsi="Times New Roman" w:cs="Times New Roman"/>
          <w:vertAlign w:val="subscript"/>
        </w:rPr>
        <w:t>2</w:t>
      </w:r>
      <w:r w:rsidR="009A1099" w:rsidRPr="00215A1D">
        <w:rPr>
          <w:rFonts w:ascii="Times New Roman" w:hAnsi="Times New Roman" w:cs="Times New Roman"/>
        </w:rPr>
        <w:t>, oszczędności pierwotnych nośników energii ora</w:t>
      </w:r>
      <w:r w:rsidR="001D0628">
        <w:rPr>
          <w:rFonts w:ascii="Times New Roman" w:hAnsi="Times New Roman" w:cs="Times New Roman"/>
        </w:rPr>
        <w:t>z </w:t>
      </w:r>
      <w:r w:rsidR="009A1099" w:rsidRPr="00215A1D">
        <w:rPr>
          <w:rFonts w:ascii="Times New Roman" w:hAnsi="Times New Roman" w:cs="Times New Roman"/>
        </w:rPr>
        <w:t>rozwoju odnawialnych źródeł energii elektrycznej u prosumentów. Sprawnie działająca sieć inteligentna może w przyszłości skutecznie integrować rozproszone wytwarzanie energii elektrycznej w mikroźródłach, przewidywany rozwój samochodów elektrycznych</w:t>
      </w:r>
      <w:r w:rsidR="001D0628">
        <w:rPr>
          <w:rFonts w:ascii="Times New Roman" w:hAnsi="Times New Roman" w:cs="Times New Roman"/>
        </w:rPr>
        <w:t xml:space="preserve"> i </w:t>
      </w:r>
      <w:r w:rsidR="009A1099" w:rsidRPr="00215A1D">
        <w:rPr>
          <w:rFonts w:ascii="Times New Roman" w:hAnsi="Times New Roman" w:cs="Times New Roman"/>
        </w:rPr>
        <w:t>infrastruktury sieci domowej.</w:t>
      </w:r>
    </w:p>
    <w:p w14:paraId="495D00A0" w14:textId="77777777"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Rosnące zapotrzebowanie na energię elektryczną wskazuje na konieczność wdrożenia programów zarządzania popytem jako efektywnego sposobu na zapewnienie bezpieczeństwa dostarczania energii elektrycznej, w tym szczególnie w okresach szczytowego zapotrzebowania na moc w krajowym systemie elektroenergetycznym.</w:t>
      </w:r>
    </w:p>
    <w:p w14:paraId="0FEDC68E" w14:textId="77777777"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Pozytywnym skutkiem projektowanych rozwiązań będzie racjonalizacja zużycia energii elektrycznej w gospodarstwach domowych ora</w:t>
      </w:r>
      <w:r w:rsidR="001D0628">
        <w:rPr>
          <w:rFonts w:ascii="Times New Roman" w:hAnsi="Times New Roman" w:cs="Times New Roman"/>
        </w:rPr>
        <w:t>z </w:t>
      </w:r>
      <w:r w:rsidR="009A1099" w:rsidRPr="00215A1D">
        <w:rPr>
          <w:rFonts w:ascii="Times New Roman" w:hAnsi="Times New Roman" w:cs="Times New Roman"/>
        </w:rPr>
        <w:t>zmniejszenie energochłonności gospodarki. Dostęp odbiorców do bieżących informacji o zużyciu energii elektrycznej pozwoli na racjonalizację jej zużycia ze względu na jej wartość ekonomiczną, co zmniejszy całkowite koszty funkcjonowania systemu elektroenergetycznego. Przyczyni się również do wzrostu elastyczności</w:t>
      </w:r>
      <w:r w:rsidR="001D0628">
        <w:rPr>
          <w:rFonts w:ascii="Times New Roman" w:hAnsi="Times New Roman" w:cs="Times New Roman"/>
        </w:rPr>
        <w:t xml:space="preserve"> i </w:t>
      </w:r>
      <w:r w:rsidR="009A1099" w:rsidRPr="00215A1D">
        <w:rPr>
          <w:rFonts w:ascii="Times New Roman" w:hAnsi="Times New Roman" w:cs="Times New Roman"/>
        </w:rPr>
        <w:t xml:space="preserve">konkurencyjności rynku energii elektrycznej. </w:t>
      </w:r>
    </w:p>
    <w:p w14:paraId="2FE6F38E" w14:textId="77777777" w:rsidR="009A1099" w:rsidRPr="00215A1D" w:rsidRDefault="009A1099" w:rsidP="00EF6F97">
      <w:pPr>
        <w:pStyle w:val="USTustnpkodeksu"/>
        <w:rPr>
          <w:rFonts w:ascii="Times New Roman" w:hAnsi="Times New Roman" w:cs="Times New Roman"/>
        </w:rPr>
      </w:pPr>
      <w:r w:rsidRPr="00215A1D">
        <w:rPr>
          <w:rFonts w:ascii="Times New Roman" w:hAnsi="Times New Roman" w:cs="Times New Roman"/>
        </w:rPr>
        <w:t>Projektowane rozwiązania będą oznaczały dla:</w:t>
      </w:r>
    </w:p>
    <w:p w14:paraId="4A1A4A61" w14:textId="48EA0ED5" w:rsidR="009A1099" w:rsidRPr="00215A1D" w:rsidRDefault="009A1099" w:rsidP="00BB49FF">
      <w:pPr>
        <w:pStyle w:val="PKTpunkt"/>
        <w:numPr>
          <w:ilvl w:val="0"/>
          <w:numId w:val="53"/>
        </w:numPr>
        <w:ind w:left="426"/>
        <w:rPr>
          <w:rFonts w:ascii="Times New Roman" w:hAnsi="Times New Roman" w:cs="Times New Roman"/>
        </w:rPr>
      </w:pPr>
      <w:r w:rsidRPr="00215A1D">
        <w:rPr>
          <w:rFonts w:ascii="Times New Roman" w:hAnsi="Times New Roman" w:cs="Times New Roman"/>
        </w:rPr>
        <w:t>przedsiębiorstw energetycznych – potencjalną redukcję kosztów dzięki pozyskaniu bardziej dokładnych danych rynkowych ora</w:t>
      </w:r>
      <w:r w:rsidR="001D0628">
        <w:rPr>
          <w:rFonts w:ascii="Times New Roman" w:hAnsi="Times New Roman" w:cs="Times New Roman"/>
        </w:rPr>
        <w:t>z </w:t>
      </w:r>
      <w:r w:rsidRPr="00215A1D">
        <w:rPr>
          <w:rFonts w:ascii="Times New Roman" w:hAnsi="Times New Roman" w:cs="Times New Roman"/>
        </w:rPr>
        <w:t>wzrost przychodów w wyniku redukcji strat</w:t>
      </w:r>
      <w:r w:rsidR="001D0628">
        <w:rPr>
          <w:rFonts w:ascii="Times New Roman" w:hAnsi="Times New Roman" w:cs="Times New Roman"/>
        </w:rPr>
        <w:t xml:space="preserve"> i </w:t>
      </w:r>
      <w:r w:rsidRPr="00215A1D">
        <w:rPr>
          <w:rFonts w:ascii="Times New Roman" w:hAnsi="Times New Roman" w:cs="Times New Roman"/>
        </w:rPr>
        <w:t>nieefektywności w systemie (np. szybsze usuwanie awarii, eliminacja nielegalnego poboru energii elektrycznej)</w:t>
      </w:r>
      <w:r w:rsidR="00861F92">
        <w:rPr>
          <w:rFonts w:ascii="Times New Roman" w:hAnsi="Times New Roman" w:cs="Times New Roman"/>
        </w:rPr>
        <w:t>;</w:t>
      </w:r>
    </w:p>
    <w:p w14:paraId="6DA44320" w14:textId="5EB55E2B" w:rsidR="009A1099" w:rsidRPr="00215A1D" w:rsidRDefault="009A1099" w:rsidP="00BB49FF">
      <w:pPr>
        <w:pStyle w:val="PKTpunkt"/>
        <w:numPr>
          <w:ilvl w:val="0"/>
          <w:numId w:val="53"/>
        </w:numPr>
        <w:ind w:left="426"/>
        <w:rPr>
          <w:rFonts w:ascii="Times New Roman" w:hAnsi="Times New Roman" w:cs="Times New Roman"/>
        </w:rPr>
      </w:pPr>
      <w:r w:rsidRPr="00215A1D">
        <w:rPr>
          <w:rFonts w:ascii="Times New Roman" w:hAnsi="Times New Roman" w:cs="Times New Roman"/>
        </w:rPr>
        <w:t>operatora systemu przesyłowego elektroenergetycznego – poprawę bezpieczeństwa systemu elektroenergetycznego ora</w:t>
      </w:r>
      <w:r w:rsidR="001D0628">
        <w:rPr>
          <w:rFonts w:ascii="Times New Roman" w:hAnsi="Times New Roman" w:cs="Times New Roman"/>
        </w:rPr>
        <w:t>z </w:t>
      </w:r>
      <w:r w:rsidRPr="00215A1D">
        <w:rPr>
          <w:rFonts w:ascii="Times New Roman" w:hAnsi="Times New Roman" w:cs="Times New Roman"/>
        </w:rPr>
        <w:t>obniżenie kosztów mechanizmu bilansowania</w:t>
      </w:r>
      <w:r w:rsidR="00861F92">
        <w:rPr>
          <w:rFonts w:ascii="Times New Roman" w:hAnsi="Times New Roman" w:cs="Times New Roman"/>
        </w:rPr>
        <w:t>;</w:t>
      </w:r>
    </w:p>
    <w:p w14:paraId="51B0254D" w14:textId="77777777" w:rsidR="009A1099" w:rsidRPr="00215A1D" w:rsidRDefault="009A1099" w:rsidP="00BB49FF">
      <w:pPr>
        <w:pStyle w:val="PKTpunkt"/>
        <w:numPr>
          <w:ilvl w:val="0"/>
          <w:numId w:val="53"/>
        </w:numPr>
        <w:ind w:left="426"/>
        <w:rPr>
          <w:rFonts w:ascii="Times New Roman" w:hAnsi="Times New Roman" w:cs="Times New Roman"/>
        </w:rPr>
      </w:pPr>
      <w:r w:rsidRPr="00215A1D">
        <w:rPr>
          <w:rFonts w:ascii="Times New Roman" w:hAnsi="Times New Roman" w:cs="Times New Roman"/>
        </w:rPr>
        <w:t>sprzedawców energii elektrycznej – możliwość dostosowania ofert sprzedaży energii elektrycznej do indywidualnych potrzeb odbiorców końcowych;</w:t>
      </w:r>
    </w:p>
    <w:p w14:paraId="6D93CC6B" w14:textId="77777777" w:rsidR="009A1099" w:rsidRPr="00215A1D" w:rsidRDefault="009A1099" w:rsidP="00BB49FF">
      <w:pPr>
        <w:pStyle w:val="PKTpunkt"/>
        <w:numPr>
          <w:ilvl w:val="0"/>
          <w:numId w:val="53"/>
        </w:numPr>
        <w:ind w:left="426"/>
        <w:rPr>
          <w:rFonts w:ascii="Times New Roman" w:hAnsi="Times New Roman" w:cs="Times New Roman"/>
        </w:rPr>
      </w:pPr>
      <w:r w:rsidRPr="00215A1D">
        <w:rPr>
          <w:rFonts w:ascii="Times New Roman" w:hAnsi="Times New Roman" w:cs="Times New Roman"/>
        </w:rPr>
        <w:t>odbiorców końcowych – likwidację rozliczeń na podstawie progno</w:t>
      </w:r>
      <w:r w:rsidR="001D0628">
        <w:rPr>
          <w:rFonts w:ascii="Times New Roman" w:hAnsi="Times New Roman" w:cs="Times New Roman"/>
        </w:rPr>
        <w:t>z </w:t>
      </w:r>
      <w:r w:rsidRPr="00215A1D">
        <w:rPr>
          <w:rFonts w:ascii="Times New Roman" w:hAnsi="Times New Roman" w:cs="Times New Roman"/>
        </w:rPr>
        <w:t>ora</w:t>
      </w:r>
      <w:r w:rsidR="001D0628">
        <w:rPr>
          <w:rFonts w:ascii="Times New Roman" w:hAnsi="Times New Roman" w:cs="Times New Roman"/>
        </w:rPr>
        <w:t>z </w:t>
      </w:r>
      <w:r w:rsidRPr="00215A1D">
        <w:rPr>
          <w:rFonts w:ascii="Times New Roman" w:hAnsi="Times New Roman" w:cs="Times New Roman"/>
        </w:rPr>
        <w:t xml:space="preserve">świadome korzystanie </w:t>
      </w:r>
      <w:r w:rsidR="001D0628">
        <w:rPr>
          <w:rFonts w:ascii="Times New Roman" w:hAnsi="Times New Roman" w:cs="Times New Roman"/>
        </w:rPr>
        <w:t>z </w:t>
      </w:r>
      <w:r w:rsidRPr="00215A1D">
        <w:rPr>
          <w:rFonts w:ascii="Times New Roman" w:hAnsi="Times New Roman" w:cs="Times New Roman"/>
        </w:rPr>
        <w:t xml:space="preserve">energii elektrycznej. Przewiduje się, że nastąpi poprawa parametrów jakościowych dostarczanej energii elektrycznej </w:t>
      </w:r>
      <w:r w:rsidR="001D0628">
        <w:rPr>
          <w:rFonts w:ascii="Times New Roman" w:hAnsi="Times New Roman" w:cs="Times New Roman"/>
        </w:rPr>
        <w:t>z </w:t>
      </w:r>
      <w:r w:rsidRPr="00215A1D">
        <w:rPr>
          <w:rFonts w:ascii="Times New Roman" w:hAnsi="Times New Roman" w:cs="Times New Roman"/>
        </w:rPr>
        <w:t>korzyścią dla odbiorcy, a także ulegnie uproszczeniu</w:t>
      </w:r>
      <w:r w:rsidR="001D0628">
        <w:rPr>
          <w:rFonts w:ascii="Times New Roman" w:hAnsi="Times New Roman" w:cs="Times New Roman"/>
        </w:rPr>
        <w:t xml:space="preserve"> i </w:t>
      </w:r>
      <w:r w:rsidRPr="00215A1D">
        <w:rPr>
          <w:rFonts w:ascii="Times New Roman" w:hAnsi="Times New Roman" w:cs="Times New Roman"/>
        </w:rPr>
        <w:t>skróceniu procedura zmiany sprzedawcy energii elektrycznej;</w:t>
      </w:r>
    </w:p>
    <w:p w14:paraId="5A160FB8" w14:textId="77777777" w:rsidR="009A1099" w:rsidRPr="00215A1D" w:rsidRDefault="009A1099" w:rsidP="00BB49FF">
      <w:pPr>
        <w:pStyle w:val="PKTpunkt"/>
        <w:numPr>
          <w:ilvl w:val="0"/>
          <w:numId w:val="53"/>
        </w:numPr>
        <w:ind w:left="426"/>
        <w:rPr>
          <w:rFonts w:ascii="Times New Roman" w:hAnsi="Times New Roman" w:cs="Times New Roman"/>
        </w:rPr>
      </w:pPr>
      <w:r w:rsidRPr="00215A1D">
        <w:rPr>
          <w:rFonts w:ascii="Times New Roman" w:hAnsi="Times New Roman" w:cs="Times New Roman"/>
        </w:rPr>
        <w:lastRenderedPageBreak/>
        <w:t xml:space="preserve">mniej zamożnych odbiorców – możliwość elastycznego gospodarowania energią elektryczną, proporcjonalnie do posiadanych środków finansowych, w tym np. czasowej rezygnacji </w:t>
      </w:r>
      <w:r w:rsidR="001D0628">
        <w:rPr>
          <w:rFonts w:ascii="Times New Roman" w:hAnsi="Times New Roman" w:cs="Times New Roman"/>
        </w:rPr>
        <w:t>z </w:t>
      </w:r>
      <w:r w:rsidRPr="00215A1D">
        <w:rPr>
          <w:rFonts w:ascii="Times New Roman" w:hAnsi="Times New Roman" w:cs="Times New Roman"/>
        </w:rPr>
        <w:t xml:space="preserve">korzystania </w:t>
      </w:r>
      <w:r w:rsidR="001D0628">
        <w:rPr>
          <w:rFonts w:ascii="Times New Roman" w:hAnsi="Times New Roman" w:cs="Times New Roman"/>
        </w:rPr>
        <w:t>z </w:t>
      </w:r>
      <w:r w:rsidRPr="00215A1D">
        <w:rPr>
          <w:rFonts w:ascii="Times New Roman" w:hAnsi="Times New Roman" w:cs="Times New Roman"/>
        </w:rPr>
        <w:t>najbardziej energochłonnych urządzeń.</w:t>
      </w:r>
    </w:p>
    <w:p w14:paraId="1B65E096" w14:textId="1A288803"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Wprowadzenie projektowanych rozwiązań przyczyni się do poprawy funkcjonowania rynku energii elektrycznej, a tym samym ograniczenia podwyżek cen, prze</w:t>
      </w:r>
      <w:r w:rsidR="001D0628">
        <w:rPr>
          <w:rFonts w:ascii="Times New Roman" w:hAnsi="Times New Roman" w:cs="Times New Roman"/>
        </w:rPr>
        <w:t>z </w:t>
      </w:r>
      <w:r w:rsidR="009A1099" w:rsidRPr="00215A1D">
        <w:rPr>
          <w:rFonts w:ascii="Times New Roman" w:hAnsi="Times New Roman" w:cs="Times New Roman"/>
        </w:rPr>
        <w:t>ujawnienie cenowej elastyczności popytu</w:t>
      </w:r>
      <w:r w:rsidR="001D0628">
        <w:rPr>
          <w:rFonts w:ascii="Times New Roman" w:hAnsi="Times New Roman" w:cs="Times New Roman"/>
        </w:rPr>
        <w:t xml:space="preserve"> i </w:t>
      </w:r>
      <w:r w:rsidR="009A1099" w:rsidRPr="00215A1D">
        <w:rPr>
          <w:rFonts w:ascii="Times New Roman" w:hAnsi="Times New Roman" w:cs="Times New Roman"/>
        </w:rPr>
        <w:t>dokładniejszej informacji rynkowej. Będzie także możliwe zarządzanie poborem energii elektrycznej prze</w:t>
      </w:r>
      <w:r w:rsidR="001D0628">
        <w:rPr>
          <w:rFonts w:ascii="Times New Roman" w:hAnsi="Times New Roman" w:cs="Times New Roman"/>
        </w:rPr>
        <w:t>z </w:t>
      </w:r>
      <w:r w:rsidR="009A1099" w:rsidRPr="00215A1D">
        <w:rPr>
          <w:rFonts w:ascii="Times New Roman" w:hAnsi="Times New Roman" w:cs="Times New Roman"/>
        </w:rPr>
        <w:t xml:space="preserve">sterowanie instalacją </w:t>
      </w:r>
      <w:r w:rsidR="00BB49FF" w:rsidRPr="00EF6F97">
        <w:rPr>
          <w:rFonts w:ascii="Times New Roman" w:hAnsi="Times New Roman" w:cs="Times New Roman"/>
          <w:szCs w:val="24"/>
        </w:rPr>
        <w:t>–</w:t>
      </w:r>
      <w:r w:rsidR="009A1099" w:rsidRPr="00215A1D">
        <w:rPr>
          <w:rFonts w:ascii="Times New Roman" w:hAnsi="Times New Roman" w:cs="Times New Roman"/>
        </w:rPr>
        <w:t xml:space="preserve"> załączanie</w:t>
      </w:r>
      <w:r w:rsidR="001D0628">
        <w:rPr>
          <w:rFonts w:ascii="Times New Roman" w:hAnsi="Times New Roman" w:cs="Times New Roman"/>
        </w:rPr>
        <w:t xml:space="preserve"> i </w:t>
      </w:r>
      <w:r w:rsidR="009A1099" w:rsidRPr="00215A1D">
        <w:rPr>
          <w:rFonts w:ascii="Times New Roman" w:hAnsi="Times New Roman" w:cs="Times New Roman"/>
        </w:rPr>
        <w:t>wyłączanie urządzeń w zależności od pory doby</w:t>
      </w:r>
      <w:r w:rsidR="001D0628">
        <w:rPr>
          <w:rFonts w:ascii="Times New Roman" w:hAnsi="Times New Roman" w:cs="Times New Roman"/>
        </w:rPr>
        <w:t xml:space="preserve"> i </w:t>
      </w:r>
      <w:r w:rsidR="009A1099" w:rsidRPr="00215A1D">
        <w:rPr>
          <w:rFonts w:ascii="Times New Roman" w:hAnsi="Times New Roman" w:cs="Times New Roman"/>
        </w:rPr>
        <w:t>roku. Odbiorca końcowy, u którego zainstalowano licznik zdalnego odczytu</w:t>
      </w:r>
      <w:r w:rsidR="00BB49FF">
        <w:rPr>
          <w:rFonts w:ascii="Times New Roman" w:hAnsi="Times New Roman" w:cs="Times New Roman"/>
        </w:rPr>
        <w:t>,</w:t>
      </w:r>
      <w:r w:rsidR="009A1099" w:rsidRPr="00215A1D">
        <w:rPr>
          <w:rFonts w:ascii="Times New Roman" w:hAnsi="Times New Roman" w:cs="Times New Roman"/>
        </w:rPr>
        <w:t xml:space="preserve"> będzie rozliczany na podstawie danych o rzeczywistym zużyciu energii elektrycznej ora</w:t>
      </w:r>
      <w:r w:rsidR="001D0628">
        <w:rPr>
          <w:rFonts w:ascii="Times New Roman" w:hAnsi="Times New Roman" w:cs="Times New Roman"/>
        </w:rPr>
        <w:t>z </w:t>
      </w:r>
      <w:r w:rsidR="009A1099" w:rsidRPr="00215A1D">
        <w:rPr>
          <w:rFonts w:ascii="Times New Roman" w:hAnsi="Times New Roman" w:cs="Times New Roman"/>
        </w:rPr>
        <w:t>będzie miał bieżący dostęp do danych o swoim zużyciu.</w:t>
      </w:r>
    </w:p>
    <w:p w14:paraId="2E658CB2" w14:textId="77777777" w:rsidR="00540D8A"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540D8A" w:rsidRPr="00215A1D">
        <w:rPr>
          <w:rFonts w:ascii="Times New Roman" w:hAnsi="Times New Roman" w:cs="Times New Roman"/>
        </w:rPr>
        <w:t xml:space="preserve">Podsumowując, </w:t>
      </w:r>
      <w:r w:rsidR="00F5055A" w:rsidRPr="00215A1D">
        <w:rPr>
          <w:rFonts w:ascii="Times New Roman" w:hAnsi="Times New Roman" w:cs="Times New Roman"/>
        </w:rPr>
        <w:t xml:space="preserve">podstawowe </w:t>
      </w:r>
      <w:r w:rsidR="00F20691" w:rsidRPr="00215A1D">
        <w:rPr>
          <w:rFonts w:ascii="Times New Roman" w:hAnsi="Times New Roman" w:cs="Times New Roman"/>
        </w:rPr>
        <w:t xml:space="preserve">korzyści </w:t>
      </w:r>
      <w:r w:rsidR="001D0628">
        <w:rPr>
          <w:rFonts w:ascii="Times New Roman" w:hAnsi="Times New Roman" w:cs="Times New Roman"/>
        </w:rPr>
        <w:t>z </w:t>
      </w:r>
      <w:r w:rsidR="00F20691" w:rsidRPr="00215A1D">
        <w:rPr>
          <w:rFonts w:ascii="Times New Roman" w:hAnsi="Times New Roman" w:cs="Times New Roman"/>
        </w:rPr>
        <w:t xml:space="preserve">wdrożenia </w:t>
      </w:r>
      <w:r w:rsidR="006E5528" w:rsidRPr="00215A1D">
        <w:rPr>
          <w:rFonts w:ascii="Times New Roman" w:hAnsi="Times New Roman" w:cs="Times New Roman"/>
        </w:rPr>
        <w:t xml:space="preserve">systemu </w:t>
      </w:r>
      <w:r w:rsidR="00F20691" w:rsidRPr="00215A1D">
        <w:rPr>
          <w:rFonts w:ascii="Times New Roman" w:hAnsi="Times New Roman" w:cs="Times New Roman"/>
        </w:rPr>
        <w:t xml:space="preserve">inteligentnego opomiarowania </w:t>
      </w:r>
      <w:r w:rsidR="006E5528" w:rsidRPr="00215A1D">
        <w:rPr>
          <w:rFonts w:ascii="Times New Roman" w:hAnsi="Times New Roman" w:cs="Times New Roman"/>
        </w:rPr>
        <w:t xml:space="preserve">obejmującego </w:t>
      </w:r>
      <w:r w:rsidR="00F20691" w:rsidRPr="00215A1D">
        <w:rPr>
          <w:rFonts w:ascii="Times New Roman" w:hAnsi="Times New Roman" w:cs="Times New Roman"/>
        </w:rPr>
        <w:t xml:space="preserve">operatora informacji rynku energii </w:t>
      </w:r>
      <w:r w:rsidR="001D0628">
        <w:rPr>
          <w:rFonts w:ascii="Times New Roman" w:hAnsi="Times New Roman" w:cs="Times New Roman"/>
        </w:rPr>
        <w:t>z </w:t>
      </w:r>
      <w:r w:rsidR="009C2C5E" w:rsidRPr="00215A1D">
        <w:rPr>
          <w:rFonts w:ascii="Times New Roman" w:hAnsi="Times New Roman" w:cs="Times New Roman"/>
        </w:rPr>
        <w:t xml:space="preserve">perspektywy </w:t>
      </w:r>
      <w:r w:rsidR="00540D8A" w:rsidRPr="00215A1D">
        <w:rPr>
          <w:rFonts w:ascii="Times New Roman" w:hAnsi="Times New Roman" w:cs="Times New Roman"/>
          <w:u w:val="single"/>
        </w:rPr>
        <w:t>odbiorc</w:t>
      </w:r>
      <w:r w:rsidR="009C2C5E" w:rsidRPr="00215A1D">
        <w:rPr>
          <w:rFonts w:ascii="Times New Roman" w:hAnsi="Times New Roman" w:cs="Times New Roman"/>
          <w:u w:val="single"/>
        </w:rPr>
        <w:t>y</w:t>
      </w:r>
      <w:r w:rsidR="00540D8A" w:rsidRPr="00215A1D">
        <w:rPr>
          <w:rFonts w:ascii="Times New Roman" w:hAnsi="Times New Roman" w:cs="Times New Roman"/>
          <w:u w:val="single"/>
        </w:rPr>
        <w:t xml:space="preserve"> końcowego</w:t>
      </w:r>
      <w:r w:rsidR="00540D8A" w:rsidRPr="00215A1D">
        <w:rPr>
          <w:rFonts w:ascii="Times New Roman" w:hAnsi="Times New Roman" w:cs="Times New Roman"/>
        </w:rPr>
        <w:t xml:space="preserve"> będą następujące:</w:t>
      </w:r>
    </w:p>
    <w:p w14:paraId="08D356F8" w14:textId="6693F2C9" w:rsidR="00EE6A04" w:rsidRPr="00215A1D" w:rsidRDefault="00EE6A04" w:rsidP="00215A1D">
      <w:pPr>
        <w:pStyle w:val="USTustnpkodeksu"/>
        <w:numPr>
          <w:ilvl w:val="3"/>
          <w:numId w:val="24"/>
        </w:numPr>
        <w:ind w:left="426" w:hanging="425"/>
        <w:rPr>
          <w:rFonts w:ascii="Times New Roman" w:hAnsi="Times New Roman" w:cs="Times New Roman"/>
        </w:rPr>
      </w:pPr>
      <w:r w:rsidRPr="00215A1D">
        <w:rPr>
          <w:rFonts w:ascii="Times New Roman" w:hAnsi="Times New Roman" w:cs="Times New Roman"/>
          <w:b/>
        </w:rPr>
        <w:t>Zwiększenie świadomości zużycia energii elektrycznej</w:t>
      </w:r>
      <w:r w:rsidR="00E8251F">
        <w:rPr>
          <w:rFonts w:ascii="Times New Roman" w:hAnsi="Times New Roman" w:cs="Times New Roman"/>
          <w:b/>
        </w:rPr>
        <w:t xml:space="preserve"> </w:t>
      </w:r>
      <w:r w:rsidR="003810F7" w:rsidRPr="00215A1D">
        <w:rPr>
          <w:rFonts w:ascii="Times New Roman" w:hAnsi="Times New Roman" w:cs="Times New Roman"/>
        </w:rPr>
        <w:t>prze</w:t>
      </w:r>
      <w:r w:rsidR="001D0628">
        <w:rPr>
          <w:rFonts w:ascii="Times New Roman" w:hAnsi="Times New Roman" w:cs="Times New Roman"/>
        </w:rPr>
        <w:t>z </w:t>
      </w:r>
      <w:r w:rsidRPr="00215A1D">
        <w:rPr>
          <w:rFonts w:ascii="Times New Roman" w:hAnsi="Times New Roman" w:cs="Times New Roman"/>
        </w:rPr>
        <w:t>bieżąc</w:t>
      </w:r>
      <w:r w:rsidR="003810F7" w:rsidRPr="00215A1D">
        <w:rPr>
          <w:rFonts w:ascii="Times New Roman" w:hAnsi="Times New Roman" w:cs="Times New Roman"/>
        </w:rPr>
        <w:t>ą</w:t>
      </w:r>
      <w:r w:rsidRPr="00215A1D">
        <w:rPr>
          <w:rFonts w:ascii="Times New Roman" w:hAnsi="Times New Roman" w:cs="Times New Roman"/>
        </w:rPr>
        <w:t xml:space="preserve"> kontrol</w:t>
      </w:r>
      <w:r w:rsidR="003810F7" w:rsidRPr="00215A1D">
        <w:rPr>
          <w:rFonts w:ascii="Times New Roman" w:hAnsi="Times New Roman" w:cs="Times New Roman"/>
        </w:rPr>
        <w:t>ą</w:t>
      </w:r>
      <w:r w:rsidRPr="00215A1D">
        <w:rPr>
          <w:rFonts w:ascii="Times New Roman" w:hAnsi="Times New Roman" w:cs="Times New Roman"/>
        </w:rPr>
        <w:t xml:space="preserve"> wskazań licznika, porównanie aktualnego zużycia </w:t>
      </w:r>
      <w:r w:rsidR="001D0628">
        <w:rPr>
          <w:rFonts w:ascii="Times New Roman" w:hAnsi="Times New Roman" w:cs="Times New Roman"/>
        </w:rPr>
        <w:t>z </w:t>
      </w:r>
      <w:r w:rsidRPr="00215A1D">
        <w:rPr>
          <w:rFonts w:ascii="Times New Roman" w:hAnsi="Times New Roman" w:cs="Times New Roman"/>
        </w:rPr>
        <w:t>okresami poprzednimi ora</w:t>
      </w:r>
      <w:r w:rsidR="001D0628">
        <w:rPr>
          <w:rFonts w:ascii="Times New Roman" w:hAnsi="Times New Roman" w:cs="Times New Roman"/>
        </w:rPr>
        <w:t>z </w:t>
      </w:r>
      <w:r w:rsidRPr="00215A1D">
        <w:rPr>
          <w:rFonts w:ascii="Times New Roman" w:hAnsi="Times New Roman" w:cs="Times New Roman"/>
        </w:rPr>
        <w:t>weryfikacj</w:t>
      </w:r>
      <w:r w:rsidR="009C2C5E" w:rsidRPr="00215A1D">
        <w:rPr>
          <w:rFonts w:ascii="Times New Roman" w:hAnsi="Times New Roman" w:cs="Times New Roman"/>
        </w:rPr>
        <w:t>ę</w:t>
      </w:r>
      <w:r w:rsidRPr="00215A1D">
        <w:rPr>
          <w:rFonts w:ascii="Times New Roman" w:hAnsi="Times New Roman" w:cs="Times New Roman"/>
        </w:rPr>
        <w:t xml:space="preserve"> kosztów pracy poszczególnych urządzeń; </w:t>
      </w:r>
    </w:p>
    <w:p w14:paraId="2EBC1474" w14:textId="08C2747B" w:rsidR="00F20691" w:rsidRPr="00215A1D" w:rsidRDefault="00F20691" w:rsidP="00215A1D">
      <w:pPr>
        <w:pStyle w:val="USTustnpkodeksu"/>
        <w:numPr>
          <w:ilvl w:val="3"/>
          <w:numId w:val="24"/>
        </w:numPr>
        <w:ind w:left="426" w:hanging="425"/>
        <w:rPr>
          <w:rFonts w:ascii="Times New Roman" w:hAnsi="Times New Roman" w:cs="Times New Roman"/>
        </w:rPr>
      </w:pPr>
      <w:r w:rsidRPr="00215A1D">
        <w:rPr>
          <w:rFonts w:ascii="Times New Roman" w:hAnsi="Times New Roman" w:cs="Times New Roman"/>
          <w:b/>
        </w:rPr>
        <w:t xml:space="preserve">Ułatwienie zmiany sprzedawcy. </w:t>
      </w:r>
      <w:r w:rsidRPr="00215A1D">
        <w:rPr>
          <w:rFonts w:ascii="Times New Roman" w:hAnsi="Times New Roman" w:cs="Times New Roman"/>
        </w:rPr>
        <w:t xml:space="preserve">Odbiorca końcowy będzie mógł dokonać zmiany sprzedawcy w istotnie krótszym czasie dzięki </w:t>
      </w:r>
      <w:r w:rsidR="003810F7" w:rsidRPr="00215A1D">
        <w:rPr>
          <w:rFonts w:ascii="Times New Roman" w:hAnsi="Times New Roman" w:cs="Times New Roman"/>
        </w:rPr>
        <w:t xml:space="preserve">zestandaryzowaniu </w:t>
      </w:r>
      <w:r w:rsidRPr="00215A1D">
        <w:rPr>
          <w:rFonts w:ascii="Times New Roman" w:hAnsi="Times New Roman" w:cs="Times New Roman"/>
        </w:rPr>
        <w:t>procesu zmiany sprzedawcy</w:t>
      </w:r>
      <w:r w:rsidR="00EC7F9A">
        <w:rPr>
          <w:rFonts w:ascii="Times New Roman" w:hAnsi="Times New Roman" w:cs="Times New Roman"/>
        </w:rPr>
        <w:t>;</w:t>
      </w:r>
    </w:p>
    <w:p w14:paraId="00696E00" w14:textId="77777777" w:rsidR="00EE6A04" w:rsidRPr="00215A1D" w:rsidRDefault="004D2802" w:rsidP="00215A1D">
      <w:pPr>
        <w:pStyle w:val="USTustnpkodeksu"/>
        <w:numPr>
          <w:ilvl w:val="3"/>
          <w:numId w:val="24"/>
        </w:numPr>
        <w:ind w:left="426" w:hanging="425"/>
        <w:rPr>
          <w:rFonts w:ascii="Times New Roman" w:hAnsi="Times New Roman" w:cs="Times New Roman"/>
        </w:rPr>
      </w:pPr>
      <w:r w:rsidRPr="00215A1D">
        <w:rPr>
          <w:rFonts w:ascii="Times New Roman" w:hAnsi="Times New Roman" w:cs="Times New Roman"/>
          <w:b/>
        </w:rPr>
        <w:t>Skrócenie czasu do wystawienia faktury</w:t>
      </w:r>
      <w:r w:rsidRPr="00215A1D">
        <w:rPr>
          <w:rFonts w:ascii="Times New Roman" w:hAnsi="Times New Roman" w:cs="Times New Roman"/>
        </w:rPr>
        <w:t xml:space="preserve">. </w:t>
      </w:r>
      <w:r w:rsidR="00EE6A04" w:rsidRPr="00215A1D">
        <w:rPr>
          <w:rFonts w:ascii="Times New Roman" w:hAnsi="Times New Roman" w:cs="Times New Roman"/>
        </w:rPr>
        <w:t>Jako bezpośrednią przy</w:t>
      </w:r>
      <w:r w:rsidRPr="00215A1D">
        <w:rPr>
          <w:rFonts w:ascii="Times New Roman" w:hAnsi="Times New Roman" w:cs="Times New Roman"/>
        </w:rPr>
        <w:t>czynę redukcji (</w:t>
      </w:r>
      <w:r w:rsidR="001D0628">
        <w:rPr>
          <w:rFonts w:ascii="Times New Roman" w:hAnsi="Times New Roman" w:cs="Times New Roman"/>
        </w:rPr>
        <w:t>z </w:t>
      </w:r>
      <w:r w:rsidRPr="00215A1D">
        <w:rPr>
          <w:rFonts w:ascii="Times New Roman" w:hAnsi="Times New Roman" w:cs="Times New Roman"/>
        </w:rPr>
        <w:t xml:space="preserve">10 do 3 dni) </w:t>
      </w:r>
      <w:r w:rsidR="00EE6A04" w:rsidRPr="00215A1D">
        <w:rPr>
          <w:rFonts w:ascii="Times New Roman" w:hAnsi="Times New Roman" w:cs="Times New Roman"/>
        </w:rPr>
        <w:t>wskazano zmniejszenie liczby czynności towarzyszących procesowi rozliczania należności odbiorców o konieczność zebrania danych w terenie, przygotowanie danych bilingowych</w:t>
      </w:r>
      <w:r w:rsidR="001D0628">
        <w:rPr>
          <w:rFonts w:ascii="Times New Roman" w:hAnsi="Times New Roman" w:cs="Times New Roman"/>
        </w:rPr>
        <w:t xml:space="preserve"> i </w:t>
      </w:r>
      <w:r w:rsidR="00EE6A04" w:rsidRPr="00215A1D">
        <w:rPr>
          <w:rFonts w:ascii="Times New Roman" w:hAnsi="Times New Roman" w:cs="Times New Roman"/>
        </w:rPr>
        <w:t>przesłanie danych do sprzedawcy;</w:t>
      </w:r>
    </w:p>
    <w:p w14:paraId="67ADB0E4" w14:textId="77777777" w:rsidR="004D2802" w:rsidRPr="00215A1D" w:rsidRDefault="004D2802" w:rsidP="00215A1D">
      <w:pPr>
        <w:pStyle w:val="USTustnpkodeksu"/>
        <w:numPr>
          <w:ilvl w:val="3"/>
          <w:numId w:val="24"/>
        </w:numPr>
        <w:ind w:left="426" w:hanging="425"/>
        <w:rPr>
          <w:rFonts w:ascii="Times New Roman" w:hAnsi="Times New Roman" w:cs="Times New Roman"/>
        </w:rPr>
      </w:pPr>
      <w:r w:rsidRPr="00215A1D">
        <w:rPr>
          <w:rFonts w:ascii="Times New Roman" w:hAnsi="Times New Roman" w:cs="Times New Roman"/>
          <w:b/>
        </w:rPr>
        <w:t>Redukcja kosztów odczytu</w:t>
      </w:r>
      <w:r w:rsidRPr="00215A1D">
        <w:rPr>
          <w:rFonts w:ascii="Times New Roman" w:hAnsi="Times New Roman" w:cs="Times New Roman"/>
        </w:rPr>
        <w:t xml:space="preserve">. W wyniku wprowadzenia systemu zdalnego odczytu odbiorca nie powinien więcej ponosić tzw. opłaty abonamentowej związanej </w:t>
      </w:r>
      <w:r w:rsidR="001D0628">
        <w:rPr>
          <w:rFonts w:ascii="Times New Roman" w:hAnsi="Times New Roman" w:cs="Times New Roman"/>
        </w:rPr>
        <w:t>z </w:t>
      </w:r>
      <w:r w:rsidRPr="00215A1D">
        <w:rPr>
          <w:rFonts w:ascii="Times New Roman" w:hAnsi="Times New Roman" w:cs="Times New Roman"/>
        </w:rPr>
        <w:t xml:space="preserve">bezpośrednim odczytem licznika. </w:t>
      </w:r>
      <w:r w:rsidR="001D0628">
        <w:rPr>
          <w:rFonts w:ascii="Times New Roman" w:hAnsi="Times New Roman" w:cs="Times New Roman"/>
        </w:rPr>
        <w:t>Z </w:t>
      </w:r>
      <w:r w:rsidRPr="00215A1D">
        <w:rPr>
          <w:rFonts w:ascii="Times New Roman" w:hAnsi="Times New Roman" w:cs="Times New Roman"/>
        </w:rPr>
        <w:t>zebranych danych</w:t>
      </w:r>
      <w:r w:rsidR="001D0628">
        <w:rPr>
          <w:rFonts w:ascii="Times New Roman" w:hAnsi="Times New Roman" w:cs="Times New Roman"/>
        </w:rPr>
        <w:t xml:space="preserve"> i </w:t>
      </w:r>
      <w:r w:rsidRPr="00215A1D">
        <w:rPr>
          <w:rFonts w:ascii="Times New Roman" w:hAnsi="Times New Roman" w:cs="Times New Roman"/>
        </w:rPr>
        <w:t>przeprowadzanych anali</w:t>
      </w:r>
      <w:r w:rsidR="001D0628">
        <w:rPr>
          <w:rFonts w:ascii="Times New Roman" w:hAnsi="Times New Roman" w:cs="Times New Roman"/>
        </w:rPr>
        <w:t>z </w:t>
      </w:r>
      <w:r w:rsidRPr="00215A1D">
        <w:rPr>
          <w:rFonts w:ascii="Times New Roman" w:hAnsi="Times New Roman" w:cs="Times New Roman"/>
        </w:rPr>
        <w:t xml:space="preserve">wynika, że koszty odczytu licznika stanowią podstawowy koszt związany </w:t>
      </w:r>
      <w:r w:rsidR="001D0628">
        <w:rPr>
          <w:rFonts w:ascii="Times New Roman" w:hAnsi="Times New Roman" w:cs="Times New Roman"/>
        </w:rPr>
        <w:t>z </w:t>
      </w:r>
      <w:r w:rsidRPr="00215A1D">
        <w:rPr>
          <w:rFonts w:ascii="Times New Roman" w:hAnsi="Times New Roman" w:cs="Times New Roman"/>
        </w:rPr>
        <w:t>ustaleniem zużycia energii elektrycznej prze</w:t>
      </w:r>
      <w:r w:rsidR="001D0628">
        <w:rPr>
          <w:rFonts w:ascii="Times New Roman" w:hAnsi="Times New Roman" w:cs="Times New Roman"/>
        </w:rPr>
        <w:t>z </w:t>
      </w:r>
      <w:r w:rsidRPr="00215A1D">
        <w:rPr>
          <w:rFonts w:ascii="Times New Roman" w:hAnsi="Times New Roman" w:cs="Times New Roman"/>
        </w:rPr>
        <w:t>odbiorcę końcowego</w:t>
      </w:r>
      <w:r w:rsidR="001D0628">
        <w:rPr>
          <w:rFonts w:ascii="Times New Roman" w:hAnsi="Times New Roman" w:cs="Times New Roman"/>
        </w:rPr>
        <w:t xml:space="preserve"> i </w:t>
      </w:r>
      <w:r w:rsidRPr="00215A1D">
        <w:rPr>
          <w:rFonts w:ascii="Times New Roman" w:hAnsi="Times New Roman" w:cs="Times New Roman"/>
        </w:rPr>
        <w:t>jego rozliczeniem</w:t>
      </w:r>
      <w:r w:rsidR="00C00ECA" w:rsidRPr="00215A1D">
        <w:rPr>
          <w:rFonts w:ascii="Times New Roman" w:hAnsi="Times New Roman" w:cs="Times New Roman"/>
        </w:rPr>
        <w:t xml:space="preserve">. W związku </w:t>
      </w:r>
      <w:r w:rsidR="001D0628">
        <w:rPr>
          <w:rFonts w:ascii="Times New Roman" w:hAnsi="Times New Roman" w:cs="Times New Roman"/>
        </w:rPr>
        <w:t>z </w:t>
      </w:r>
      <w:r w:rsidR="00C00ECA" w:rsidRPr="00215A1D">
        <w:rPr>
          <w:rFonts w:ascii="Times New Roman" w:hAnsi="Times New Roman" w:cs="Times New Roman"/>
        </w:rPr>
        <w:t>wejściem w życie tzw. pakietu zimowego przewiduje się konieczność zwiększonej częstotliwości odczytów liczników. Ponadto jednostkowy koszt odczytu powinien wzrosnąć w przyszłości w stosunku do kosztów instalacji samego licznika;</w:t>
      </w:r>
    </w:p>
    <w:p w14:paraId="0D681232" w14:textId="692F34A0" w:rsidR="00EE6A04" w:rsidRPr="00215A1D" w:rsidRDefault="00C00ECA" w:rsidP="00215A1D">
      <w:pPr>
        <w:pStyle w:val="USTustnpkodeksu"/>
        <w:numPr>
          <w:ilvl w:val="3"/>
          <w:numId w:val="24"/>
        </w:numPr>
        <w:ind w:left="426" w:hanging="425"/>
        <w:rPr>
          <w:rFonts w:ascii="Times New Roman" w:hAnsi="Times New Roman" w:cs="Times New Roman"/>
        </w:rPr>
      </w:pPr>
      <w:r w:rsidRPr="00215A1D">
        <w:rPr>
          <w:rFonts w:ascii="Times New Roman" w:hAnsi="Times New Roman" w:cs="Times New Roman"/>
          <w:b/>
        </w:rPr>
        <w:t xml:space="preserve">Uzyskanie korzyści wynikających </w:t>
      </w:r>
      <w:r w:rsidR="001D0628">
        <w:rPr>
          <w:rFonts w:ascii="Times New Roman" w:hAnsi="Times New Roman" w:cs="Times New Roman"/>
          <w:b/>
        </w:rPr>
        <w:t>z </w:t>
      </w:r>
      <w:r w:rsidRPr="00215A1D">
        <w:rPr>
          <w:rFonts w:ascii="Times New Roman" w:hAnsi="Times New Roman" w:cs="Times New Roman"/>
          <w:b/>
        </w:rPr>
        <w:t>z</w:t>
      </w:r>
      <w:r w:rsidR="00EE6A04" w:rsidRPr="00215A1D">
        <w:rPr>
          <w:rFonts w:ascii="Times New Roman" w:hAnsi="Times New Roman" w:cs="Times New Roman"/>
          <w:b/>
        </w:rPr>
        <w:t>arządzania popytem</w:t>
      </w:r>
      <w:r w:rsidRPr="00215A1D">
        <w:rPr>
          <w:rFonts w:ascii="Times New Roman" w:hAnsi="Times New Roman" w:cs="Times New Roman"/>
        </w:rPr>
        <w:t>.</w:t>
      </w:r>
      <w:r w:rsidR="00EE6A04" w:rsidRPr="00215A1D">
        <w:rPr>
          <w:rFonts w:ascii="Times New Roman" w:hAnsi="Times New Roman" w:cs="Times New Roman"/>
        </w:rPr>
        <w:t xml:space="preserve"> Sprzedawca występujący w roli aktywnego uczestnika rynku będzie kierował konkretną ofertę do</w:t>
      </w:r>
      <w:r w:rsidRPr="00215A1D">
        <w:rPr>
          <w:rFonts w:ascii="Times New Roman" w:hAnsi="Times New Roman" w:cs="Times New Roman"/>
        </w:rPr>
        <w:t xml:space="preserve">stosowaną do </w:t>
      </w:r>
      <w:r w:rsidRPr="00215A1D">
        <w:rPr>
          <w:rFonts w:ascii="Times New Roman" w:hAnsi="Times New Roman" w:cs="Times New Roman"/>
        </w:rPr>
        <w:lastRenderedPageBreak/>
        <w:t>potrzeb</w:t>
      </w:r>
      <w:r w:rsidR="00BB49FF">
        <w:rPr>
          <w:rFonts w:ascii="Times New Roman" w:hAnsi="Times New Roman" w:cs="Times New Roman"/>
        </w:rPr>
        <w:t xml:space="preserve"> </w:t>
      </w:r>
      <w:r w:rsidR="00EE6A04" w:rsidRPr="00215A1D">
        <w:rPr>
          <w:rFonts w:ascii="Times New Roman" w:hAnsi="Times New Roman" w:cs="Times New Roman"/>
        </w:rPr>
        <w:t>uczestników poszczególnych segmentów rynku, tworząc w odpowiedzi na ich potrzeby taryfy dynamiczne;</w:t>
      </w:r>
    </w:p>
    <w:p w14:paraId="6C8EB139" w14:textId="0B81DAA1" w:rsidR="00EE6A04" w:rsidRPr="00215A1D" w:rsidRDefault="00C00ECA" w:rsidP="00215A1D">
      <w:pPr>
        <w:pStyle w:val="USTustnpkodeksu"/>
        <w:numPr>
          <w:ilvl w:val="3"/>
          <w:numId w:val="24"/>
        </w:numPr>
        <w:ind w:left="426" w:hanging="425"/>
        <w:rPr>
          <w:rFonts w:ascii="Times New Roman" w:hAnsi="Times New Roman" w:cs="Times New Roman"/>
        </w:rPr>
      </w:pPr>
      <w:r w:rsidRPr="00215A1D">
        <w:rPr>
          <w:rFonts w:ascii="Times New Roman" w:hAnsi="Times New Roman" w:cs="Times New Roman"/>
          <w:b/>
        </w:rPr>
        <w:t>Redukcja</w:t>
      </w:r>
      <w:r w:rsidR="00EE6A04" w:rsidRPr="00215A1D">
        <w:rPr>
          <w:rFonts w:ascii="Times New Roman" w:hAnsi="Times New Roman" w:cs="Times New Roman"/>
          <w:b/>
        </w:rPr>
        <w:t xml:space="preserve"> wsparcia finansowego w budowie</w:t>
      </w:r>
      <w:r w:rsidR="001D0628">
        <w:rPr>
          <w:rFonts w:ascii="Times New Roman" w:hAnsi="Times New Roman" w:cs="Times New Roman"/>
          <w:b/>
        </w:rPr>
        <w:t xml:space="preserve"> i </w:t>
      </w:r>
      <w:r w:rsidR="00EE6A04" w:rsidRPr="00215A1D">
        <w:rPr>
          <w:rFonts w:ascii="Times New Roman" w:hAnsi="Times New Roman" w:cs="Times New Roman"/>
          <w:b/>
        </w:rPr>
        <w:t>utrzymaniu źródeł szczytowych</w:t>
      </w:r>
      <w:r w:rsidRPr="00215A1D">
        <w:rPr>
          <w:rFonts w:ascii="Times New Roman" w:hAnsi="Times New Roman" w:cs="Times New Roman"/>
        </w:rPr>
        <w:t>. Przewiduje się</w:t>
      </w:r>
      <w:r w:rsidR="00BB49FF">
        <w:rPr>
          <w:rFonts w:ascii="Times New Roman" w:hAnsi="Times New Roman" w:cs="Times New Roman"/>
        </w:rPr>
        <w:t xml:space="preserve"> </w:t>
      </w:r>
      <w:r w:rsidRPr="00215A1D">
        <w:rPr>
          <w:rFonts w:ascii="Times New Roman" w:hAnsi="Times New Roman" w:cs="Times New Roman"/>
        </w:rPr>
        <w:t>ok. 20% redukcję</w:t>
      </w:r>
      <w:r w:rsidR="00EE6A04" w:rsidRPr="00215A1D">
        <w:rPr>
          <w:rFonts w:ascii="Times New Roman" w:hAnsi="Times New Roman" w:cs="Times New Roman"/>
        </w:rPr>
        <w:t xml:space="preserve"> szczytowego zapotrzebowania na moc </w:t>
      </w:r>
      <w:r w:rsidR="00255CF2" w:rsidRPr="00215A1D">
        <w:rPr>
          <w:rFonts w:ascii="Times New Roman" w:hAnsi="Times New Roman" w:cs="Times New Roman"/>
        </w:rPr>
        <w:t xml:space="preserve">wśród odbiorców </w:t>
      </w:r>
      <w:r w:rsidR="001D0628">
        <w:rPr>
          <w:rFonts w:ascii="Times New Roman" w:hAnsi="Times New Roman" w:cs="Times New Roman"/>
        </w:rPr>
        <w:t>z </w:t>
      </w:r>
      <w:r w:rsidR="00255CF2" w:rsidRPr="00215A1D">
        <w:rPr>
          <w:rFonts w:ascii="Times New Roman" w:hAnsi="Times New Roman" w:cs="Times New Roman"/>
        </w:rPr>
        <w:t xml:space="preserve">grupy taryfowej G </w:t>
      </w:r>
      <w:r w:rsidR="00EE6A04" w:rsidRPr="00215A1D">
        <w:rPr>
          <w:rFonts w:ascii="Times New Roman" w:hAnsi="Times New Roman" w:cs="Times New Roman"/>
        </w:rPr>
        <w:t>(realizowan</w:t>
      </w:r>
      <w:r w:rsidR="00255CF2" w:rsidRPr="00215A1D">
        <w:rPr>
          <w:rFonts w:ascii="Times New Roman" w:hAnsi="Times New Roman" w:cs="Times New Roman"/>
        </w:rPr>
        <w:t>ą</w:t>
      </w:r>
      <w:r w:rsidR="00EE6A04" w:rsidRPr="00215A1D">
        <w:rPr>
          <w:rFonts w:ascii="Times New Roman" w:hAnsi="Times New Roman" w:cs="Times New Roman"/>
        </w:rPr>
        <w:t xml:space="preserve"> m.in. prze</w:t>
      </w:r>
      <w:r w:rsidR="001D0628">
        <w:rPr>
          <w:rFonts w:ascii="Times New Roman" w:hAnsi="Times New Roman" w:cs="Times New Roman"/>
        </w:rPr>
        <w:t>z </w:t>
      </w:r>
      <w:r w:rsidR="00EE6A04" w:rsidRPr="00215A1D">
        <w:rPr>
          <w:rFonts w:ascii="Times New Roman" w:hAnsi="Times New Roman" w:cs="Times New Roman"/>
        </w:rPr>
        <w:t>uczestnictwo odbiorców w programach DSR (przy zaangażowaniu agregatorów)</w:t>
      </w:r>
      <w:r w:rsidR="00E8251F">
        <w:rPr>
          <w:rFonts w:ascii="Times New Roman" w:hAnsi="Times New Roman" w:cs="Times New Roman"/>
        </w:rPr>
        <w:t>,</w:t>
      </w:r>
      <w:r w:rsidR="00255CF2" w:rsidRPr="00215A1D">
        <w:rPr>
          <w:rFonts w:ascii="Times New Roman" w:hAnsi="Times New Roman" w:cs="Times New Roman"/>
        </w:rPr>
        <w:t xml:space="preserve"> w</w:t>
      </w:r>
      <w:r w:rsidR="00E8251F">
        <w:rPr>
          <w:rFonts w:ascii="Times New Roman" w:hAnsi="Times New Roman" w:cs="Times New Roman"/>
        </w:rPr>
        <w:t xml:space="preserve"> </w:t>
      </w:r>
      <w:r w:rsidR="00255CF2" w:rsidRPr="00215A1D">
        <w:rPr>
          <w:rFonts w:ascii="Times New Roman" w:hAnsi="Times New Roman" w:cs="Times New Roman"/>
        </w:rPr>
        <w:t xml:space="preserve">tym w </w:t>
      </w:r>
      <w:r w:rsidR="00EE6A04" w:rsidRPr="00215A1D">
        <w:rPr>
          <w:rFonts w:ascii="Times New Roman" w:hAnsi="Times New Roman" w:cs="Times New Roman"/>
        </w:rPr>
        <w:t>reakcji na sygnały cenowe, świadome ograniczenie zużycia energii ora</w:t>
      </w:r>
      <w:r w:rsidR="001D0628">
        <w:rPr>
          <w:rFonts w:ascii="Times New Roman" w:hAnsi="Times New Roman" w:cs="Times New Roman"/>
        </w:rPr>
        <w:t>z </w:t>
      </w:r>
      <w:r w:rsidR="00EE6A04" w:rsidRPr="00215A1D">
        <w:rPr>
          <w:rFonts w:ascii="Times New Roman" w:hAnsi="Times New Roman" w:cs="Times New Roman"/>
        </w:rPr>
        <w:t>przesunięcie zużycia poza godziny szczytowego zapotrzebowania. Wartość powyższą oszacowano na podstawie wyników testów konsumenckich prowadzonych prze</w:t>
      </w:r>
      <w:r w:rsidR="001D0628">
        <w:rPr>
          <w:rFonts w:ascii="Times New Roman" w:hAnsi="Times New Roman" w:cs="Times New Roman"/>
        </w:rPr>
        <w:t>z </w:t>
      </w:r>
      <w:r w:rsidR="00EE6A04" w:rsidRPr="00215A1D">
        <w:rPr>
          <w:rFonts w:ascii="Times New Roman" w:hAnsi="Times New Roman" w:cs="Times New Roman"/>
        </w:rPr>
        <w:t>Energa-Operator S.A. na wybranej populacji liczników AMI (na terenie Kalisza) ora</w:t>
      </w:r>
      <w:r w:rsidR="001D0628">
        <w:rPr>
          <w:rFonts w:ascii="Times New Roman" w:hAnsi="Times New Roman" w:cs="Times New Roman"/>
        </w:rPr>
        <w:t>z </w:t>
      </w:r>
      <w:r w:rsidR="00EE6A04" w:rsidRPr="00215A1D">
        <w:rPr>
          <w:rFonts w:ascii="Times New Roman" w:hAnsi="Times New Roman" w:cs="Times New Roman"/>
        </w:rPr>
        <w:t>pilotażowego wdrożenia innowacyjnych programów redukcyjnych prze</w:t>
      </w:r>
      <w:r w:rsidR="001D0628">
        <w:rPr>
          <w:rFonts w:ascii="Times New Roman" w:hAnsi="Times New Roman" w:cs="Times New Roman"/>
        </w:rPr>
        <w:t>z </w:t>
      </w:r>
      <w:r w:rsidR="00EE6A04" w:rsidRPr="00215A1D">
        <w:rPr>
          <w:rFonts w:ascii="Times New Roman" w:hAnsi="Times New Roman" w:cs="Times New Roman"/>
        </w:rPr>
        <w:t>TAURON Dystrybucja S.A.</w:t>
      </w:r>
      <w:r w:rsidR="001D0628">
        <w:rPr>
          <w:rFonts w:ascii="Times New Roman" w:hAnsi="Times New Roman" w:cs="Times New Roman"/>
        </w:rPr>
        <w:t xml:space="preserve"> i </w:t>
      </w:r>
      <w:r w:rsidR="00EE6A04" w:rsidRPr="00215A1D">
        <w:rPr>
          <w:rFonts w:ascii="Times New Roman" w:hAnsi="Times New Roman" w:cs="Times New Roman"/>
        </w:rPr>
        <w:t>TAURON Sprzedaż</w:t>
      </w:r>
      <w:r w:rsidRPr="00215A1D">
        <w:rPr>
          <w:rFonts w:ascii="Times New Roman" w:hAnsi="Times New Roman" w:cs="Times New Roman"/>
        </w:rPr>
        <w:t xml:space="preserve"> S.A. we współpracy </w:t>
      </w:r>
      <w:r w:rsidR="001D0628">
        <w:rPr>
          <w:rFonts w:ascii="Times New Roman" w:hAnsi="Times New Roman" w:cs="Times New Roman"/>
        </w:rPr>
        <w:t>z </w:t>
      </w:r>
      <w:r w:rsidRPr="00215A1D">
        <w:rPr>
          <w:rFonts w:ascii="Times New Roman" w:hAnsi="Times New Roman" w:cs="Times New Roman"/>
        </w:rPr>
        <w:t>PSE S.A.;</w:t>
      </w:r>
    </w:p>
    <w:p w14:paraId="3931C63A" w14:textId="48AEE187" w:rsidR="00EE6A04" w:rsidRPr="00215A1D" w:rsidRDefault="00C00ECA" w:rsidP="00215A1D">
      <w:pPr>
        <w:pStyle w:val="USTustnpkodeksu"/>
        <w:numPr>
          <w:ilvl w:val="3"/>
          <w:numId w:val="24"/>
        </w:numPr>
        <w:ind w:left="426" w:hanging="425"/>
        <w:rPr>
          <w:rFonts w:ascii="Times New Roman" w:hAnsi="Times New Roman" w:cs="Times New Roman"/>
        </w:rPr>
      </w:pPr>
      <w:r w:rsidRPr="00215A1D">
        <w:rPr>
          <w:rFonts w:ascii="Times New Roman" w:hAnsi="Times New Roman" w:cs="Times New Roman"/>
          <w:b/>
        </w:rPr>
        <w:t>Uzyskanie oszczędności dzięki r</w:t>
      </w:r>
      <w:r w:rsidR="00EE6A04" w:rsidRPr="00215A1D">
        <w:rPr>
          <w:rFonts w:ascii="Times New Roman" w:hAnsi="Times New Roman" w:cs="Times New Roman"/>
          <w:b/>
        </w:rPr>
        <w:t>edukcji str</w:t>
      </w:r>
      <w:r w:rsidRPr="00215A1D">
        <w:rPr>
          <w:rFonts w:ascii="Times New Roman" w:hAnsi="Times New Roman" w:cs="Times New Roman"/>
          <w:b/>
        </w:rPr>
        <w:t>at handlowych</w:t>
      </w:r>
      <w:r w:rsidR="001D0628">
        <w:rPr>
          <w:rFonts w:ascii="Times New Roman" w:hAnsi="Times New Roman" w:cs="Times New Roman"/>
          <w:b/>
        </w:rPr>
        <w:t xml:space="preserve"> i </w:t>
      </w:r>
      <w:r w:rsidRPr="00215A1D">
        <w:rPr>
          <w:rFonts w:ascii="Times New Roman" w:hAnsi="Times New Roman" w:cs="Times New Roman"/>
          <w:b/>
        </w:rPr>
        <w:t>technicznych</w:t>
      </w:r>
      <w:r w:rsidRPr="00215A1D">
        <w:rPr>
          <w:rFonts w:ascii="Times New Roman" w:hAnsi="Times New Roman" w:cs="Times New Roman"/>
        </w:rPr>
        <w:t>. Z</w:t>
      </w:r>
      <w:r w:rsidR="00EE6A04" w:rsidRPr="00215A1D">
        <w:rPr>
          <w:rFonts w:ascii="Times New Roman" w:hAnsi="Times New Roman" w:cs="Times New Roman"/>
        </w:rPr>
        <w:t xml:space="preserve">ałożono, że w wyniku wdrożenia inteligentnego opomiarowania straty handlowe wynikające </w:t>
      </w:r>
      <w:r w:rsidR="001D0628">
        <w:rPr>
          <w:rFonts w:ascii="Times New Roman" w:hAnsi="Times New Roman" w:cs="Times New Roman"/>
        </w:rPr>
        <w:t>z </w:t>
      </w:r>
      <w:r w:rsidR="00EE6A04" w:rsidRPr="00215A1D">
        <w:rPr>
          <w:rFonts w:ascii="Times New Roman" w:hAnsi="Times New Roman" w:cs="Times New Roman"/>
        </w:rPr>
        <w:t>nielegalnego poboru zostaną ograniczone o 60%</w:t>
      </w:r>
      <w:r w:rsidR="00452E53" w:rsidRPr="00215A1D">
        <w:rPr>
          <w:rFonts w:ascii="Times New Roman" w:hAnsi="Times New Roman" w:cs="Times New Roman"/>
        </w:rPr>
        <w:t>.</w:t>
      </w:r>
      <w:r w:rsidR="00EE6A04" w:rsidRPr="00215A1D">
        <w:rPr>
          <w:rFonts w:ascii="Times New Roman" w:hAnsi="Times New Roman" w:cs="Times New Roman"/>
        </w:rPr>
        <w:t xml:space="preserve"> Zmniejszenie strat handlowych określono jako możliwe dzięki uzyskaniu narzędzi do bardziej precyzyjnego prognozowania zapotrzebowania, bieżącego monitorowania zmian w poborze energii elektrycznej ora</w:t>
      </w:r>
      <w:r w:rsidR="001D0628">
        <w:rPr>
          <w:rFonts w:ascii="Times New Roman" w:hAnsi="Times New Roman" w:cs="Times New Roman"/>
        </w:rPr>
        <w:t>z </w:t>
      </w:r>
      <w:r w:rsidR="00EE6A04" w:rsidRPr="00215A1D">
        <w:rPr>
          <w:rFonts w:ascii="Times New Roman" w:hAnsi="Times New Roman" w:cs="Times New Roman"/>
        </w:rPr>
        <w:t xml:space="preserve">znaczącego zmniejszenia rozmiaru zjawiska nielegalnego poboru energii. Jako czynniki sprzyjające </w:t>
      </w:r>
      <w:r w:rsidR="001D0628">
        <w:rPr>
          <w:rFonts w:ascii="Times New Roman" w:hAnsi="Times New Roman" w:cs="Times New Roman"/>
        </w:rPr>
        <w:t>z </w:t>
      </w:r>
      <w:r w:rsidR="00EE6A04" w:rsidRPr="00215A1D">
        <w:rPr>
          <w:rFonts w:ascii="Times New Roman" w:hAnsi="Times New Roman" w:cs="Times New Roman"/>
        </w:rPr>
        <w:t>kolei zmniejszeniu strat technicznych wskazano spłaszczenie krzywej zapotrzebowania na energię elektryczną</w:t>
      </w:r>
      <w:r w:rsidR="00BB49FF">
        <w:rPr>
          <w:rFonts w:ascii="Times New Roman" w:hAnsi="Times New Roman" w:cs="Times New Roman"/>
        </w:rPr>
        <w:t xml:space="preserve"> </w:t>
      </w:r>
      <w:r w:rsidR="00EE6A04" w:rsidRPr="00215A1D">
        <w:rPr>
          <w:rFonts w:ascii="Times New Roman" w:hAnsi="Times New Roman" w:cs="Times New Roman"/>
        </w:rPr>
        <w:t>w szczycie zapotrzebowania ora</w:t>
      </w:r>
      <w:r w:rsidR="001D0628">
        <w:rPr>
          <w:rFonts w:ascii="Times New Roman" w:hAnsi="Times New Roman" w:cs="Times New Roman"/>
        </w:rPr>
        <w:t>z </w:t>
      </w:r>
      <w:r w:rsidR="00EE6A04" w:rsidRPr="00215A1D">
        <w:rPr>
          <w:rFonts w:ascii="Times New Roman" w:hAnsi="Times New Roman" w:cs="Times New Roman"/>
        </w:rPr>
        <w:t>dokładniejszy pomiar (dzięki niższemu progowi zadziałania liczników zdalnego odczytu);</w:t>
      </w:r>
    </w:p>
    <w:p w14:paraId="458E75EA" w14:textId="0B6B9B1E" w:rsidR="009A1099" w:rsidRPr="00215A1D" w:rsidRDefault="009A1099" w:rsidP="00215A1D">
      <w:pPr>
        <w:pStyle w:val="USTustnpkodeksu"/>
        <w:numPr>
          <w:ilvl w:val="3"/>
          <w:numId w:val="24"/>
        </w:numPr>
        <w:ind w:left="426" w:hanging="425"/>
        <w:rPr>
          <w:rFonts w:ascii="Times New Roman" w:hAnsi="Times New Roman" w:cs="Times New Roman"/>
        </w:rPr>
      </w:pPr>
      <w:r w:rsidRPr="00215A1D">
        <w:rPr>
          <w:rFonts w:ascii="Times New Roman" w:hAnsi="Times New Roman" w:cs="Times New Roman"/>
        </w:rPr>
        <w:t xml:space="preserve">Projektowane rozwiązania przyczynią się także do </w:t>
      </w:r>
      <w:r w:rsidRPr="00215A1D">
        <w:rPr>
          <w:rFonts w:ascii="Times New Roman" w:hAnsi="Times New Roman" w:cs="Times New Roman"/>
          <w:b/>
        </w:rPr>
        <w:t xml:space="preserve">stworzenia potencjału do rozwoju mikrogeneracji </w:t>
      </w:r>
      <w:r w:rsidRPr="00215A1D">
        <w:rPr>
          <w:rFonts w:ascii="Times New Roman" w:hAnsi="Times New Roman" w:cs="Times New Roman"/>
        </w:rPr>
        <w:t>ora</w:t>
      </w:r>
      <w:r w:rsidR="001D0628">
        <w:rPr>
          <w:rFonts w:ascii="Times New Roman" w:hAnsi="Times New Roman" w:cs="Times New Roman"/>
        </w:rPr>
        <w:t>z </w:t>
      </w:r>
      <w:r w:rsidRPr="00215A1D">
        <w:rPr>
          <w:rFonts w:ascii="Times New Roman" w:hAnsi="Times New Roman" w:cs="Times New Roman"/>
        </w:rPr>
        <w:t>podłączenia do sieci dodatkowych urządzeń, łatwego rozliczania sprzedawanej energii elektrycznej prze</w:t>
      </w:r>
      <w:r w:rsidR="001D0628">
        <w:rPr>
          <w:rFonts w:ascii="Times New Roman" w:hAnsi="Times New Roman" w:cs="Times New Roman"/>
        </w:rPr>
        <w:t>z </w:t>
      </w:r>
      <w:r w:rsidRPr="00215A1D">
        <w:rPr>
          <w:rFonts w:ascii="Times New Roman" w:hAnsi="Times New Roman" w:cs="Times New Roman"/>
        </w:rPr>
        <w:t>odbiorców końcowych instalujących własne źródła m</w:t>
      </w:r>
      <w:r w:rsidR="00C00ECA" w:rsidRPr="00215A1D">
        <w:rPr>
          <w:rFonts w:ascii="Times New Roman" w:hAnsi="Times New Roman" w:cs="Times New Roman"/>
        </w:rPr>
        <w:t>ikrogeneracji (prosumentów);</w:t>
      </w:r>
    </w:p>
    <w:p w14:paraId="054E597E" w14:textId="70E0BB88" w:rsidR="0050796C" w:rsidRPr="00215A1D" w:rsidRDefault="0050796C" w:rsidP="00215A1D">
      <w:pPr>
        <w:pStyle w:val="USTustnpkodeksu"/>
        <w:numPr>
          <w:ilvl w:val="3"/>
          <w:numId w:val="24"/>
        </w:numPr>
        <w:ind w:left="426" w:hanging="425"/>
        <w:rPr>
          <w:rFonts w:ascii="Times New Roman" w:hAnsi="Times New Roman" w:cs="Times New Roman"/>
        </w:rPr>
      </w:pPr>
      <w:r w:rsidRPr="00215A1D">
        <w:rPr>
          <w:rFonts w:ascii="Times New Roman" w:hAnsi="Times New Roman" w:cs="Times New Roman"/>
        </w:rPr>
        <w:t xml:space="preserve">Na wniosek odbiorcy końcowego w gospodarstwie domowym </w:t>
      </w:r>
      <w:r w:rsidRPr="00215A1D">
        <w:rPr>
          <w:rFonts w:ascii="Times New Roman" w:hAnsi="Times New Roman" w:cs="Times New Roman"/>
          <w:b/>
        </w:rPr>
        <w:t>licznik zdalnego odczytu będzie mógł pełnić funkcję przedpłatowego układu pomiarowo-rozliczeniowego</w:t>
      </w:r>
      <w:r w:rsidR="00E8251F">
        <w:rPr>
          <w:rFonts w:ascii="Times New Roman" w:hAnsi="Times New Roman" w:cs="Times New Roman"/>
          <w:b/>
        </w:rPr>
        <w:t>,</w:t>
      </w:r>
      <w:r w:rsidRPr="00215A1D">
        <w:rPr>
          <w:rFonts w:ascii="Times New Roman" w:hAnsi="Times New Roman" w:cs="Times New Roman"/>
          <w:b/>
        </w:rPr>
        <w:t xml:space="preserve"> a zmiana formy rozliczeń nastąpi be</w:t>
      </w:r>
      <w:r w:rsidR="001D0628">
        <w:rPr>
          <w:rFonts w:ascii="Times New Roman" w:hAnsi="Times New Roman" w:cs="Times New Roman"/>
          <w:b/>
        </w:rPr>
        <w:t>z </w:t>
      </w:r>
      <w:r w:rsidRPr="00215A1D">
        <w:rPr>
          <w:rFonts w:ascii="Times New Roman" w:hAnsi="Times New Roman" w:cs="Times New Roman"/>
          <w:b/>
        </w:rPr>
        <w:t>dodatkowych opłat</w:t>
      </w:r>
      <w:r w:rsidRPr="00215A1D">
        <w:rPr>
          <w:rFonts w:ascii="Times New Roman" w:hAnsi="Times New Roman" w:cs="Times New Roman"/>
        </w:rPr>
        <w:t xml:space="preserve">; </w:t>
      </w:r>
    </w:p>
    <w:p w14:paraId="29CBF531" w14:textId="77777777" w:rsidR="0050796C" w:rsidRPr="00215A1D" w:rsidRDefault="0050796C" w:rsidP="00215A1D">
      <w:pPr>
        <w:pStyle w:val="USTustnpkodeksu"/>
        <w:numPr>
          <w:ilvl w:val="3"/>
          <w:numId w:val="24"/>
        </w:numPr>
        <w:ind w:left="426" w:hanging="425"/>
        <w:rPr>
          <w:rFonts w:ascii="Times New Roman" w:hAnsi="Times New Roman" w:cs="Times New Roman"/>
        </w:rPr>
      </w:pPr>
      <w:r w:rsidRPr="00215A1D">
        <w:rPr>
          <w:rFonts w:ascii="Times New Roman" w:hAnsi="Times New Roman" w:cs="Times New Roman"/>
        </w:rPr>
        <w:t xml:space="preserve">Odbiorca końcowy w gospodarstwie domowym będzie również mógł wystąpić </w:t>
      </w:r>
      <w:r w:rsidR="001D0628">
        <w:rPr>
          <w:rFonts w:ascii="Times New Roman" w:hAnsi="Times New Roman" w:cs="Times New Roman"/>
        </w:rPr>
        <w:t>z </w:t>
      </w:r>
      <w:r w:rsidRPr="00215A1D">
        <w:rPr>
          <w:rFonts w:ascii="Times New Roman" w:hAnsi="Times New Roman" w:cs="Times New Roman"/>
        </w:rPr>
        <w:t xml:space="preserve">wnioskiem o </w:t>
      </w:r>
      <w:r w:rsidRPr="00215A1D">
        <w:rPr>
          <w:rFonts w:ascii="Times New Roman" w:hAnsi="Times New Roman" w:cs="Times New Roman"/>
          <w:b/>
        </w:rPr>
        <w:t xml:space="preserve">skomunikowanie licznika zdalnego odczytu </w:t>
      </w:r>
      <w:r w:rsidR="001D0628">
        <w:rPr>
          <w:rFonts w:ascii="Times New Roman" w:hAnsi="Times New Roman" w:cs="Times New Roman"/>
          <w:b/>
        </w:rPr>
        <w:t>z </w:t>
      </w:r>
      <w:r w:rsidRPr="00215A1D">
        <w:rPr>
          <w:rFonts w:ascii="Times New Roman" w:hAnsi="Times New Roman" w:cs="Times New Roman"/>
          <w:b/>
        </w:rPr>
        <w:t>urządzeniami sieci domowej w celu zarządzania pracą tych urządzeń</w:t>
      </w:r>
      <w:r w:rsidRPr="00215A1D">
        <w:rPr>
          <w:rFonts w:ascii="Times New Roman" w:hAnsi="Times New Roman" w:cs="Times New Roman"/>
        </w:rPr>
        <w:t>;</w:t>
      </w:r>
    </w:p>
    <w:p w14:paraId="108A180B" w14:textId="2DDDAFAB" w:rsidR="0050796C" w:rsidRPr="00215A1D" w:rsidRDefault="00F5055A" w:rsidP="00215A1D">
      <w:pPr>
        <w:pStyle w:val="USTustnpkodeksu"/>
        <w:numPr>
          <w:ilvl w:val="3"/>
          <w:numId w:val="24"/>
        </w:numPr>
        <w:ind w:left="426" w:hanging="425"/>
        <w:rPr>
          <w:rFonts w:ascii="Times New Roman" w:hAnsi="Times New Roman" w:cs="Times New Roman"/>
        </w:rPr>
      </w:pPr>
      <w:r w:rsidRPr="00215A1D">
        <w:rPr>
          <w:rFonts w:ascii="Times New Roman" w:hAnsi="Times New Roman" w:cs="Times New Roman"/>
        </w:rPr>
        <w:t xml:space="preserve">Przepis, zgodnie </w:t>
      </w:r>
      <w:r w:rsidR="001D0628">
        <w:rPr>
          <w:rFonts w:ascii="Times New Roman" w:hAnsi="Times New Roman" w:cs="Times New Roman"/>
        </w:rPr>
        <w:t>z </w:t>
      </w:r>
      <w:r w:rsidRPr="00215A1D">
        <w:rPr>
          <w:rFonts w:ascii="Times New Roman" w:hAnsi="Times New Roman" w:cs="Times New Roman"/>
        </w:rPr>
        <w:t xml:space="preserve">którym odbiorca końcowy w gospodarstwie domowym będzie mógł wystąpić do operatora systemu dystrybucyjnego elektroenergetycznego, do którego sieci </w:t>
      </w:r>
      <w:r w:rsidRPr="00215A1D">
        <w:rPr>
          <w:rFonts w:ascii="Times New Roman" w:hAnsi="Times New Roman" w:cs="Times New Roman"/>
        </w:rPr>
        <w:lastRenderedPageBreak/>
        <w:t>jest przyłączony, o wyposażenie punktu ładowania należącego do odbiorcy końcowego w licznik zdalnego odczytu w instalacji odbiorcy końcowego w gospodarstwie domowym w zw</w:t>
      </w:r>
      <w:r w:rsidR="00E8251F">
        <w:rPr>
          <w:rFonts w:ascii="Times New Roman" w:hAnsi="Times New Roman" w:cs="Times New Roman"/>
        </w:rPr>
        <w:t>iązku</w:t>
      </w:r>
      <w:r w:rsidRPr="00215A1D">
        <w:rPr>
          <w:rFonts w:ascii="Times New Roman" w:hAnsi="Times New Roman" w:cs="Times New Roman"/>
        </w:rPr>
        <w:t xml:space="preserve"> </w:t>
      </w:r>
      <w:r w:rsidR="001D0628">
        <w:rPr>
          <w:rFonts w:ascii="Times New Roman" w:hAnsi="Times New Roman" w:cs="Times New Roman"/>
        </w:rPr>
        <w:t>z </w:t>
      </w:r>
      <w:r w:rsidRPr="00215A1D">
        <w:rPr>
          <w:rFonts w:ascii="Times New Roman" w:hAnsi="Times New Roman" w:cs="Times New Roman"/>
        </w:rPr>
        <w:t xml:space="preserve">art. 10 ustawy </w:t>
      </w:r>
      <w:r w:rsidR="001D0628">
        <w:rPr>
          <w:rFonts w:ascii="Times New Roman" w:hAnsi="Times New Roman" w:cs="Times New Roman"/>
        </w:rPr>
        <w:t>z </w:t>
      </w:r>
      <w:r w:rsidRPr="00215A1D">
        <w:rPr>
          <w:rFonts w:ascii="Times New Roman" w:hAnsi="Times New Roman" w:cs="Times New Roman"/>
        </w:rPr>
        <w:t>dnia 11 stycznia 2018</w:t>
      </w:r>
      <w:r w:rsidR="001D0628">
        <w:rPr>
          <w:rFonts w:ascii="Times New Roman" w:hAnsi="Times New Roman" w:cs="Times New Roman"/>
        </w:rPr>
        <w:t> r.</w:t>
      </w:r>
      <w:r w:rsidRPr="00215A1D">
        <w:rPr>
          <w:rFonts w:ascii="Times New Roman" w:hAnsi="Times New Roman" w:cs="Times New Roman"/>
        </w:rPr>
        <w:t xml:space="preserve"> o elektromobilności</w:t>
      </w:r>
      <w:r w:rsidR="001D0628">
        <w:rPr>
          <w:rFonts w:ascii="Times New Roman" w:hAnsi="Times New Roman" w:cs="Times New Roman"/>
        </w:rPr>
        <w:t xml:space="preserve"> i </w:t>
      </w:r>
      <w:r w:rsidRPr="00215A1D">
        <w:rPr>
          <w:rFonts w:ascii="Times New Roman" w:hAnsi="Times New Roman" w:cs="Times New Roman"/>
        </w:rPr>
        <w:t xml:space="preserve">paliwach alternatywnych (Dz. U. </w:t>
      </w:r>
      <w:r w:rsidR="001D0628">
        <w:rPr>
          <w:rFonts w:ascii="Times New Roman" w:hAnsi="Times New Roman" w:cs="Times New Roman"/>
        </w:rPr>
        <w:t>z </w:t>
      </w:r>
      <w:r w:rsidRPr="00215A1D">
        <w:rPr>
          <w:rFonts w:ascii="Times New Roman" w:hAnsi="Times New Roman" w:cs="Times New Roman"/>
        </w:rPr>
        <w:t>20</w:t>
      </w:r>
      <w:r w:rsidR="00E8251F">
        <w:rPr>
          <w:rFonts w:ascii="Times New Roman" w:hAnsi="Times New Roman" w:cs="Times New Roman"/>
        </w:rPr>
        <w:t>20</w:t>
      </w:r>
      <w:r w:rsidR="001D0628">
        <w:rPr>
          <w:rFonts w:ascii="Times New Roman" w:hAnsi="Times New Roman" w:cs="Times New Roman"/>
        </w:rPr>
        <w:t> r.</w:t>
      </w:r>
      <w:r w:rsidRPr="00215A1D">
        <w:rPr>
          <w:rFonts w:ascii="Times New Roman" w:hAnsi="Times New Roman" w:cs="Times New Roman"/>
        </w:rPr>
        <w:t xml:space="preserve"> poz. </w:t>
      </w:r>
      <w:r w:rsidR="00E8251F">
        <w:rPr>
          <w:rFonts w:ascii="Times New Roman" w:hAnsi="Times New Roman" w:cs="Times New Roman"/>
        </w:rPr>
        <w:t>908 i 1086</w:t>
      </w:r>
      <w:r w:rsidRPr="00215A1D">
        <w:rPr>
          <w:rFonts w:ascii="Times New Roman" w:hAnsi="Times New Roman" w:cs="Times New Roman"/>
        </w:rPr>
        <w:t xml:space="preserve">) umożliwi </w:t>
      </w:r>
      <w:r w:rsidRPr="00215A1D">
        <w:rPr>
          <w:rFonts w:ascii="Times New Roman" w:hAnsi="Times New Roman" w:cs="Times New Roman"/>
          <w:b/>
        </w:rPr>
        <w:t>oddzielne rozliczanie się za energię elektryczną pobraną prze</w:t>
      </w:r>
      <w:r w:rsidR="001D0628">
        <w:rPr>
          <w:rFonts w:ascii="Times New Roman" w:hAnsi="Times New Roman" w:cs="Times New Roman"/>
          <w:b/>
        </w:rPr>
        <w:t>z </w:t>
      </w:r>
      <w:r w:rsidRPr="00215A1D">
        <w:rPr>
          <w:rFonts w:ascii="Times New Roman" w:hAnsi="Times New Roman" w:cs="Times New Roman"/>
          <w:b/>
        </w:rPr>
        <w:t>pojazd elektryczny w gospodarstwie domowym</w:t>
      </w:r>
      <w:r w:rsidRPr="00215A1D">
        <w:rPr>
          <w:rFonts w:ascii="Times New Roman" w:hAnsi="Times New Roman" w:cs="Times New Roman"/>
        </w:rPr>
        <w:t>.</w:t>
      </w:r>
    </w:p>
    <w:p w14:paraId="1CC91D2A" w14:textId="0FAD048B"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 xml:space="preserve">Dodatkowo wejście w życie ustawy </w:t>
      </w:r>
      <w:r w:rsidR="001D0628">
        <w:rPr>
          <w:rFonts w:ascii="Times New Roman" w:hAnsi="Times New Roman" w:cs="Times New Roman"/>
        </w:rPr>
        <w:t>z </w:t>
      </w:r>
      <w:r w:rsidR="009A1099" w:rsidRPr="00215A1D">
        <w:rPr>
          <w:rFonts w:ascii="Times New Roman" w:hAnsi="Times New Roman" w:cs="Times New Roman"/>
        </w:rPr>
        <w:t>8 grudnia 2017</w:t>
      </w:r>
      <w:r w:rsidR="001D0628">
        <w:rPr>
          <w:rFonts w:ascii="Times New Roman" w:hAnsi="Times New Roman" w:cs="Times New Roman"/>
        </w:rPr>
        <w:t> r.</w:t>
      </w:r>
      <w:r w:rsidR="009A1099" w:rsidRPr="00215A1D">
        <w:rPr>
          <w:rFonts w:ascii="Times New Roman" w:hAnsi="Times New Roman" w:cs="Times New Roman"/>
        </w:rPr>
        <w:t xml:space="preserve"> o rynku mocy (Dz. U. </w:t>
      </w:r>
      <w:r w:rsidR="001D0628">
        <w:rPr>
          <w:rFonts w:ascii="Times New Roman" w:hAnsi="Times New Roman" w:cs="Times New Roman"/>
        </w:rPr>
        <w:t>z </w:t>
      </w:r>
      <w:r w:rsidR="009A1099" w:rsidRPr="00215A1D">
        <w:rPr>
          <w:rFonts w:ascii="Times New Roman" w:hAnsi="Times New Roman" w:cs="Times New Roman"/>
        </w:rPr>
        <w:t>20</w:t>
      </w:r>
      <w:r w:rsidR="00E8251F">
        <w:rPr>
          <w:rFonts w:ascii="Times New Roman" w:hAnsi="Times New Roman" w:cs="Times New Roman"/>
        </w:rPr>
        <w:t>20</w:t>
      </w:r>
      <w:r w:rsidR="001D0628">
        <w:rPr>
          <w:rFonts w:ascii="Times New Roman" w:hAnsi="Times New Roman" w:cs="Times New Roman"/>
        </w:rPr>
        <w:t> r.</w:t>
      </w:r>
      <w:r w:rsidR="009A1099" w:rsidRPr="00215A1D">
        <w:rPr>
          <w:rFonts w:ascii="Times New Roman" w:hAnsi="Times New Roman" w:cs="Times New Roman"/>
        </w:rPr>
        <w:t xml:space="preserve"> poz. </w:t>
      </w:r>
      <w:r w:rsidR="00E8251F">
        <w:rPr>
          <w:rFonts w:ascii="Times New Roman" w:hAnsi="Times New Roman" w:cs="Times New Roman"/>
        </w:rPr>
        <w:t>247 i 1565</w:t>
      </w:r>
      <w:r w:rsidR="009A1099" w:rsidRPr="00215A1D">
        <w:rPr>
          <w:rFonts w:ascii="Times New Roman" w:hAnsi="Times New Roman" w:cs="Times New Roman"/>
        </w:rPr>
        <w:t>) skutkuje koniecznością dostosowania układów pomiarowych grupy taryfowej C1x</w:t>
      </w:r>
      <w:r w:rsidR="001D0628">
        <w:rPr>
          <w:rFonts w:ascii="Times New Roman" w:hAnsi="Times New Roman" w:cs="Times New Roman"/>
        </w:rPr>
        <w:t xml:space="preserve"> i </w:t>
      </w:r>
      <w:r w:rsidR="009A1099" w:rsidRPr="00215A1D">
        <w:rPr>
          <w:rFonts w:ascii="Times New Roman" w:hAnsi="Times New Roman" w:cs="Times New Roman"/>
        </w:rPr>
        <w:t>wyższych do pomiaru zużycia energii w okresach godzinowych, co oznacza możliwość miarodajnego pomiaru każdej godzinie doby. Oznacza to, że stawka opłaty mocowej zostanie obliczona na podstawie realnego zużycia. Obowiązek pomiaru w okresach godzinowych nie objął jednak grupy odbiorców indywidualnych (grupa taryfowa G), dla których sposób kalkulowania stawki opłaty mocowej uzależniono od rocznego zużycia energii elektrycznej, a co za tym idzie, stawka mocowa dalej może być obliczana nawet na postawie jednego odczytu w roku.</w:t>
      </w:r>
      <w:r w:rsidR="00BB49FF">
        <w:rPr>
          <w:rFonts w:ascii="Times New Roman" w:hAnsi="Times New Roman" w:cs="Times New Roman"/>
        </w:rPr>
        <w:t xml:space="preserve"> </w:t>
      </w:r>
      <w:r w:rsidR="009A1099" w:rsidRPr="00215A1D">
        <w:rPr>
          <w:rFonts w:ascii="Times New Roman" w:hAnsi="Times New Roman" w:cs="Times New Roman"/>
        </w:rPr>
        <w:t>Taki sposób kalkulacji nie będzie oparty na realnym zużyciu energii elektrycznej prze</w:t>
      </w:r>
      <w:r w:rsidR="001D0628">
        <w:rPr>
          <w:rFonts w:ascii="Times New Roman" w:hAnsi="Times New Roman" w:cs="Times New Roman"/>
        </w:rPr>
        <w:t>z </w:t>
      </w:r>
      <w:r w:rsidR="009A1099" w:rsidRPr="00215A1D">
        <w:rPr>
          <w:rFonts w:ascii="Times New Roman" w:hAnsi="Times New Roman" w:cs="Times New Roman"/>
        </w:rPr>
        <w:t xml:space="preserve">odbiorcę końcowego. Sytuacja odbiorców </w:t>
      </w:r>
      <w:r w:rsidR="001D0628">
        <w:rPr>
          <w:rFonts w:ascii="Times New Roman" w:hAnsi="Times New Roman" w:cs="Times New Roman"/>
        </w:rPr>
        <w:t>z </w:t>
      </w:r>
      <w:r w:rsidR="009A1099" w:rsidRPr="00215A1D">
        <w:rPr>
          <w:rFonts w:ascii="Times New Roman" w:hAnsi="Times New Roman" w:cs="Times New Roman"/>
        </w:rPr>
        <w:t xml:space="preserve">grupy G jest więc w tym aspekcie mniej korzystna w relacji do pozycji odbiorców </w:t>
      </w:r>
      <w:r w:rsidR="001D0628">
        <w:rPr>
          <w:rFonts w:ascii="Times New Roman" w:hAnsi="Times New Roman" w:cs="Times New Roman"/>
        </w:rPr>
        <w:t>z </w:t>
      </w:r>
      <w:r w:rsidR="009A1099" w:rsidRPr="00215A1D">
        <w:rPr>
          <w:rFonts w:ascii="Times New Roman" w:hAnsi="Times New Roman" w:cs="Times New Roman"/>
        </w:rPr>
        <w:t xml:space="preserve">grupy C1x, bowiem nie mają oni zapewnionych analogicznych standardów usług (pomiaru godzinowego). Projekt ustawy zmienia tę sytuację. </w:t>
      </w:r>
      <w:r w:rsidR="00452E53" w:rsidRPr="00215A1D">
        <w:rPr>
          <w:rFonts w:ascii="Times New Roman" w:hAnsi="Times New Roman" w:cs="Times New Roman"/>
        </w:rPr>
        <w:t xml:space="preserve">Przewidywana zmiana w ustawie o rynku mocy wyłącza obowiązek instalacji liczników zdalnego odczytu dla odbiorców grupy taryfowej C1 o mocy umownej mniejszej niż 16 kW, wobec czego odbiorcy tej grupy taryfowej będą traktowani tak samo jak odbiorcy grupy taryfowej G. </w:t>
      </w:r>
    </w:p>
    <w:p w14:paraId="6A708C74" w14:textId="77777777" w:rsidR="009A1099" w:rsidRPr="00215A1D" w:rsidRDefault="009A1099" w:rsidP="00215A1D">
      <w:pPr>
        <w:spacing w:line="360" w:lineRule="auto"/>
        <w:rPr>
          <w:rFonts w:ascii="Times New Roman" w:hAnsi="Times New Roman" w:cs="Times New Roman"/>
        </w:rPr>
      </w:pPr>
    </w:p>
    <w:p w14:paraId="7AC920D1" w14:textId="3A12AC52" w:rsidR="009A1099" w:rsidRPr="00EF6F97" w:rsidRDefault="00D24A41" w:rsidP="00EF6F97">
      <w:pPr>
        <w:pStyle w:val="USTustnpkodeksu"/>
        <w:ind w:firstLine="0"/>
        <w:rPr>
          <w:rFonts w:ascii="Times New Roman" w:hAnsi="Times New Roman" w:cs="Times New Roman"/>
          <w:szCs w:val="24"/>
        </w:rPr>
      </w:pPr>
      <w:r>
        <w:rPr>
          <w:rFonts w:ascii="Times New Roman" w:hAnsi="Times New Roman" w:cs="Times New Roman"/>
          <w:szCs w:val="24"/>
        </w:rPr>
        <w:t>1</w:t>
      </w:r>
      <w:r w:rsidR="00772387">
        <w:rPr>
          <w:rFonts w:ascii="Times New Roman" w:hAnsi="Times New Roman" w:cs="Times New Roman"/>
          <w:szCs w:val="24"/>
        </w:rPr>
        <w:t>6</w:t>
      </w:r>
      <w:r w:rsidR="009A1099" w:rsidRPr="00EF6F97">
        <w:rPr>
          <w:rFonts w:ascii="Times New Roman" w:hAnsi="Times New Roman" w:cs="Times New Roman"/>
          <w:szCs w:val="24"/>
        </w:rPr>
        <w:t>. 2. Aktualny stan prawny:</w:t>
      </w:r>
    </w:p>
    <w:p w14:paraId="10FCFA99" w14:textId="7B9408DB" w:rsidR="00F021B8" w:rsidRPr="00EF6F97" w:rsidRDefault="00173903" w:rsidP="00EF6F97">
      <w:pPr>
        <w:pStyle w:val="USTustnpkodeksu"/>
        <w:rPr>
          <w:rFonts w:ascii="Times New Roman" w:hAnsi="Times New Roman" w:cs="Times New Roman"/>
          <w:szCs w:val="24"/>
        </w:rPr>
      </w:pPr>
      <w:r w:rsidRPr="00EF6F97">
        <w:rPr>
          <w:rFonts w:ascii="Times New Roman" w:hAnsi="Times New Roman" w:cs="Times New Roman"/>
          <w:szCs w:val="24"/>
        </w:rPr>
        <w:tab/>
      </w:r>
      <w:r w:rsidR="001C2DE6" w:rsidRPr="00EF6F97">
        <w:rPr>
          <w:rFonts w:ascii="Times New Roman" w:hAnsi="Times New Roman" w:cs="Times New Roman"/>
          <w:szCs w:val="24"/>
        </w:rPr>
        <w:t xml:space="preserve">W obecnie obowiązującej ustawie </w:t>
      </w:r>
      <w:r w:rsidR="00EC7F9A">
        <w:rPr>
          <w:rFonts w:ascii="Times New Roman" w:hAnsi="Times New Roman" w:cs="Times New Roman"/>
          <w:szCs w:val="24"/>
        </w:rPr>
        <w:t xml:space="preserve">– </w:t>
      </w:r>
      <w:r w:rsidR="001C2DE6" w:rsidRPr="00EF6F97">
        <w:rPr>
          <w:rFonts w:ascii="Times New Roman" w:hAnsi="Times New Roman" w:cs="Times New Roman"/>
          <w:szCs w:val="24"/>
        </w:rPr>
        <w:t>Prawo energetyczne występują następujące przepisy dotyczące liczników zdalnego odczytu</w:t>
      </w:r>
      <w:r w:rsidR="00BB49FF">
        <w:rPr>
          <w:rFonts w:ascii="Times New Roman" w:hAnsi="Times New Roman" w:cs="Times New Roman"/>
          <w:szCs w:val="24"/>
        </w:rPr>
        <w:t>:</w:t>
      </w:r>
    </w:p>
    <w:p w14:paraId="54267F0C" w14:textId="77777777" w:rsidR="001C2DE6" w:rsidRPr="00EF6F97" w:rsidRDefault="00173903" w:rsidP="00BB49FF">
      <w:pPr>
        <w:widowControl/>
        <w:spacing w:line="360" w:lineRule="auto"/>
        <w:jc w:val="both"/>
        <w:rPr>
          <w:rFonts w:ascii="Times New Roman" w:hAnsi="Times New Roman" w:cs="Times New Roman"/>
          <w:color w:val="000000"/>
          <w:sz w:val="24"/>
          <w:szCs w:val="24"/>
          <w:lang w:eastAsia="en-GB"/>
        </w:rPr>
      </w:pPr>
      <w:r w:rsidRPr="00EF6F97">
        <w:rPr>
          <w:rFonts w:ascii="Times New Roman" w:hAnsi="Times New Roman" w:cs="Times New Roman"/>
          <w:color w:val="000000"/>
          <w:sz w:val="24"/>
          <w:szCs w:val="24"/>
          <w:lang w:eastAsia="en-GB"/>
        </w:rPr>
        <w:tab/>
      </w:r>
      <w:r w:rsidR="001C2DE6" w:rsidRPr="00EF6F97">
        <w:rPr>
          <w:rFonts w:ascii="Times New Roman" w:hAnsi="Times New Roman" w:cs="Times New Roman"/>
          <w:color w:val="000000"/>
          <w:sz w:val="24"/>
          <w:szCs w:val="24"/>
          <w:lang w:eastAsia="en-GB"/>
        </w:rPr>
        <w:t xml:space="preserve">Art. 9c ust. 5a. Operatorzy systemów dystrybucyjnych instalujący u odbiorców końcowych przyłączonych do ich sieci liczniki zdalnego odczytu są obowiązani chronić dane pomiarowe dotyczące tych odbiorców na zasadach określonych w przepisach o ochronie danych osobowych. </w:t>
      </w:r>
    </w:p>
    <w:p w14:paraId="63E4C36D" w14:textId="77777777" w:rsidR="00F021B8" w:rsidRPr="00EF6F97" w:rsidRDefault="00173903" w:rsidP="00EF6F97">
      <w:pPr>
        <w:pStyle w:val="USTustnpkodeksu"/>
        <w:ind w:firstLine="0"/>
        <w:rPr>
          <w:rFonts w:ascii="Times New Roman" w:hAnsi="Times New Roman" w:cs="Times New Roman"/>
          <w:bCs w:val="0"/>
          <w:color w:val="000000"/>
          <w:szCs w:val="24"/>
          <w:lang w:eastAsia="en-GB"/>
        </w:rPr>
      </w:pPr>
      <w:r w:rsidRPr="00EF6F97">
        <w:rPr>
          <w:rFonts w:ascii="Times New Roman" w:hAnsi="Times New Roman" w:cs="Times New Roman"/>
          <w:bCs w:val="0"/>
          <w:color w:val="000000"/>
          <w:szCs w:val="24"/>
          <w:lang w:eastAsia="en-GB"/>
        </w:rPr>
        <w:tab/>
      </w:r>
      <w:r w:rsidR="001C2DE6" w:rsidRPr="00EF6F97">
        <w:rPr>
          <w:rFonts w:ascii="Times New Roman" w:hAnsi="Times New Roman" w:cs="Times New Roman"/>
          <w:bCs w:val="0"/>
          <w:color w:val="000000"/>
          <w:szCs w:val="24"/>
          <w:lang w:eastAsia="en-GB"/>
        </w:rPr>
        <w:t>Art. 9c ust. 5b. Prze</w:t>
      </w:r>
      <w:r w:rsidR="001D0628">
        <w:rPr>
          <w:rFonts w:ascii="Times New Roman" w:hAnsi="Times New Roman" w:cs="Times New Roman"/>
          <w:bCs w:val="0"/>
          <w:color w:val="000000"/>
          <w:szCs w:val="24"/>
          <w:lang w:eastAsia="en-GB"/>
        </w:rPr>
        <w:t>z </w:t>
      </w:r>
      <w:r w:rsidR="001C2DE6" w:rsidRPr="00EF6F97">
        <w:rPr>
          <w:rFonts w:ascii="Times New Roman" w:hAnsi="Times New Roman" w:cs="Times New Roman"/>
          <w:bCs w:val="0"/>
          <w:color w:val="000000"/>
          <w:szCs w:val="24"/>
          <w:lang w:eastAsia="en-GB"/>
        </w:rPr>
        <w:t xml:space="preserve">liczniki zdalnego odczytu rozumie się zespół urządzeń służących do pozyskiwania danych pomiarowych, umożliwiający dwustronną komunikację </w:t>
      </w:r>
      <w:r w:rsidR="001D0628">
        <w:rPr>
          <w:rFonts w:ascii="Times New Roman" w:hAnsi="Times New Roman" w:cs="Times New Roman"/>
          <w:bCs w:val="0"/>
          <w:color w:val="000000"/>
          <w:szCs w:val="24"/>
          <w:lang w:eastAsia="en-GB"/>
        </w:rPr>
        <w:t>z </w:t>
      </w:r>
      <w:r w:rsidR="001C2DE6" w:rsidRPr="00EF6F97">
        <w:rPr>
          <w:rFonts w:ascii="Times New Roman" w:hAnsi="Times New Roman" w:cs="Times New Roman"/>
          <w:bCs w:val="0"/>
          <w:color w:val="000000"/>
          <w:szCs w:val="24"/>
          <w:lang w:eastAsia="en-GB"/>
        </w:rPr>
        <w:t xml:space="preserve">systemem </w:t>
      </w:r>
      <w:r w:rsidR="00B077B9">
        <w:rPr>
          <w:rFonts w:ascii="Times New Roman" w:hAnsi="Times New Roman" w:cs="Times New Roman"/>
          <w:bCs w:val="0"/>
          <w:color w:val="000000"/>
          <w:szCs w:val="24"/>
          <w:lang w:eastAsia="en-GB"/>
        </w:rPr>
        <w:t>informacyjnym</w:t>
      </w:r>
      <w:r w:rsidR="001C2DE6" w:rsidRPr="00EF6F97">
        <w:rPr>
          <w:rFonts w:ascii="Times New Roman" w:hAnsi="Times New Roman" w:cs="Times New Roman"/>
          <w:bCs w:val="0"/>
          <w:color w:val="000000"/>
          <w:szCs w:val="24"/>
          <w:lang w:eastAsia="en-GB"/>
        </w:rPr>
        <w:t>.</w:t>
      </w:r>
    </w:p>
    <w:p w14:paraId="5A2A2528" w14:textId="1CF38255" w:rsidR="001C2DE6" w:rsidRPr="00EF6F97" w:rsidRDefault="001C2DE6" w:rsidP="00BB49FF">
      <w:pPr>
        <w:widowControl/>
        <w:spacing w:line="360" w:lineRule="auto"/>
        <w:ind w:firstLine="708"/>
        <w:rPr>
          <w:rFonts w:ascii="Times New Roman" w:hAnsi="Times New Roman" w:cs="Times New Roman"/>
          <w:color w:val="000000"/>
          <w:sz w:val="24"/>
          <w:szCs w:val="24"/>
          <w:lang w:eastAsia="en-GB"/>
        </w:rPr>
      </w:pPr>
      <w:r w:rsidRPr="00EF6F97">
        <w:rPr>
          <w:rFonts w:ascii="Times New Roman" w:hAnsi="Times New Roman" w:cs="Times New Roman"/>
          <w:color w:val="000000"/>
          <w:sz w:val="24"/>
          <w:szCs w:val="24"/>
          <w:lang w:eastAsia="en-GB"/>
        </w:rPr>
        <w:t>Art. 16 ust. 7</w:t>
      </w:r>
      <w:r w:rsidR="00E8251F">
        <w:rPr>
          <w:rFonts w:ascii="Times New Roman" w:hAnsi="Times New Roman" w:cs="Times New Roman"/>
          <w:color w:val="000000"/>
          <w:sz w:val="24"/>
          <w:szCs w:val="24"/>
          <w:lang w:eastAsia="en-GB"/>
        </w:rPr>
        <w:t xml:space="preserve"> pkt 4 </w:t>
      </w:r>
      <w:r w:rsidRPr="00EF6F97">
        <w:rPr>
          <w:rFonts w:ascii="Times New Roman" w:hAnsi="Times New Roman" w:cs="Times New Roman"/>
          <w:color w:val="000000"/>
          <w:sz w:val="24"/>
          <w:szCs w:val="24"/>
          <w:lang w:eastAsia="en-GB"/>
        </w:rPr>
        <w:t xml:space="preserve">. Plan, o którym mowa w ust. 1, obejmuje w szczególności </w:t>
      </w:r>
    </w:p>
    <w:p w14:paraId="1DE05357" w14:textId="14447E46" w:rsidR="001C2DE6" w:rsidRPr="00EF6F97" w:rsidRDefault="001C2DE6" w:rsidP="00EF6F97">
      <w:pPr>
        <w:pStyle w:val="USTustnpkodeksu"/>
        <w:ind w:firstLine="0"/>
        <w:rPr>
          <w:rFonts w:ascii="Times New Roman" w:hAnsi="Times New Roman" w:cs="Times New Roman"/>
          <w:szCs w:val="24"/>
        </w:rPr>
      </w:pPr>
      <w:r w:rsidRPr="00EF6F97">
        <w:rPr>
          <w:rFonts w:ascii="Times New Roman" w:hAnsi="Times New Roman" w:cs="Times New Roman"/>
          <w:bCs w:val="0"/>
          <w:color w:val="000000"/>
          <w:szCs w:val="24"/>
          <w:lang w:eastAsia="en-GB"/>
        </w:rPr>
        <w:lastRenderedPageBreak/>
        <w:t>przedsięwzięcia racjonalizujące zużycie paliw</w:t>
      </w:r>
      <w:r w:rsidR="001D0628">
        <w:rPr>
          <w:rFonts w:ascii="Times New Roman" w:hAnsi="Times New Roman" w:cs="Times New Roman"/>
          <w:bCs w:val="0"/>
          <w:color w:val="000000"/>
          <w:szCs w:val="24"/>
          <w:lang w:eastAsia="en-GB"/>
        </w:rPr>
        <w:t xml:space="preserve"> i </w:t>
      </w:r>
      <w:r w:rsidRPr="00EF6F97">
        <w:rPr>
          <w:rFonts w:ascii="Times New Roman" w:hAnsi="Times New Roman" w:cs="Times New Roman"/>
          <w:bCs w:val="0"/>
          <w:color w:val="000000"/>
          <w:szCs w:val="24"/>
          <w:lang w:eastAsia="en-GB"/>
        </w:rPr>
        <w:t>energii u odbiorców, w tym także przedsięwzięcia w zakresie pozyskiwania, transmisji ora</w:t>
      </w:r>
      <w:r w:rsidR="001D0628">
        <w:rPr>
          <w:rFonts w:ascii="Times New Roman" w:hAnsi="Times New Roman" w:cs="Times New Roman"/>
          <w:bCs w:val="0"/>
          <w:color w:val="000000"/>
          <w:szCs w:val="24"/>
          <w:lang w:eastAsia="en-GB"/>
        </w:rPr>
        <w:t>z </w:t>
      </w:r>
      <w:r w:rsidRPr="00EF6F97">
        <w:rPr>
          <w:rFonts w:ascii="Times New Roman" w:hAnsi="Times New Roman" w:cs="Times New Roman"/>
          <w:bCs w:val="0"/>
          <w:color w:val="000000"/>
          <w:szCs w:val="24"/>
          <w:lang w:eastAsia="en-GB"/>
        </w:rPr>
        <w:t xml:space="preserve">przetwarzania danych pomiarowych </w:t>
      </w:r>
      <w:r w:rsidR="001D0628">
        <w:rPr>
          <w:rFonts w:ascii="Times New Roman" w:hAnsi="Times New Roman" w:cs="Times New Roman"/>
          <w:bCs w:val="0"/>
          <w:color w:val="000000"/>
          <w:szCs w:val="24"/>
          <w:lang w:eastAsia="en-GB"/>
        </w:rPr>
        <w:t>z </w:t>
      </w:r>
      <w:r w:rsidRPr="00EF6F97">
        <w:rPr>
          <w:rFonts w:ascii="Times New Roman" w:hAnsi="Times New Roman" w:cs="Times New Roman"/>
          <w:bCs w:val="0"/>
          <w:color w:val="000000"/>
          <w:szCs w:val="24"/>
          <w:lang w:eastAsia="en-GB"/>
        </w:rPr>
        <w:t>licznika zdalnego odczytu</w:t>
      </w:r>
      <w:r w:rsidR="00EC7F9A">
        <w:rPr>
          <w:rFonts w:ascii="Times New Roman" w:hAnsi="Times New Roman" w:cs="Times New Roman"/>
          <w:bCs w:val="0"/>
          <w:color w:val="000000"/>
          <w:szCs w:val="24"/>
          <w:lang w:eastAsia="en-GB"/>
        </w:rPr>
        <w:t>.</w:t>
      </w:r>
    </w:p>
    <w:p w14:paraId="41E9E1FC" w14:textId="49FFB728" w:rsidR="006F4FCE" w:rsidRPr="00EF6F97" w:rsidRDefault="00173903" w:rsidP="00EF6F97">
      <w:pPr>
        <w:pStyle w:val="USTustnpkodeksu"/>
        <w:rPr>
          <w:rFonts w:ascii="Times New Roman" w:hAnsi="Times New Roman" w:cs="Times New Roman"/>
          <w:szCs w:val="24"/>
        </w:rPr>
      </w:pPr>
      <w:r w:rsidRPr="00EF6F97">
        <w:rPr>
          <w:rFonts w:ascii="Times New Roman" w:hAnsi="Times New Roman" w:cs="Times New Roman"/>
          <w:szCs w:val="24"/>
        </w:rPr>
        <w:tab/>
      </w:r>
      <w:r w:rsidR="001C2DE6" w:rsidRPr="00EF6F97">
        <w:rPr>
          <w:rFonts w:ascii="Times New Roman" w:hAnsi="Times New Roman" w:cs="Times New Roman"/>
          <w:szCs w:val="24"/>
        </w:rPr>
        <w:t xml:space="preserve">Nie występują natomiast w ustawie </w:t>
      </w:r>
      <w:r w:rsidR="00BB49FF">
        <w:rPr>
          <w:rFonts w:ascii="Times New Roman" w:hAnsi="Times New Roman" w:cs="Times New Roman"/>
          <w:szCs w:val="24"/>
        </w:rPr>
        <w:t>–</w:t>
      </w:r>
      <w:r w:rsidR="00E8251F">
        <w:rPr>
          <w:rFonts w:ascii="Times New Roman" w:hAnsi="Times New Roman" w:cs="Times New Roman"/>
          <w:szCs w:val="24"/>
        </w:rPr>
        <w:t xml:space="preserve"> </w:t>
      </w:r>
      <w:r w:rsidR="001C2DE6" w:rsidRPr="00EF6F97">
        <w:rPr>
          <w:rFonts w:ascii="Times New Roman" w:hAnsi="Times New Roman" w:cs="Times New Roman"/>
          <w:szCs w:val="24"/>
        </w:rPr>
        <w:t xml:space="preserve">Prawo energetyczne przepisy dotyczące centralnego przetwarzania informacji rynku energii. </w:t>
      </w:r>
    </w:p>
    <w:p w14:paraId="448F4EEC" w14:textId="5158E79E" w:rsidR="00C82FC8"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 xml:space="preserve">Większość krajów UE jest w fazie wdrażania systemów inteligentnego opomiarowania (m.in. </w:t>
      </w:r>
      <w:r w:rsidR="00C82FC8" w:rsidRPr="00215A1D">
        <w:rPr>
          <w:rFonts w:ascii="Times New Roman" w:hAnsi="Times New Roman" w:cs="Times New Roman"/>
        </w:rPr>
        <w:t xml:space="preserve">Dania, Francja, </w:t>
      </w:r>
      <w:r w:rsidR="009A1099" w:rsidRPr="00215A1D">
        <w:rPr>
          <w:rFonts w:ascii="Times New Roman" w:hAnsi="Times New Roman" w:cs="Times New Roman"/>
        </w:rPr>
        <w:t>Norwegia, ) lub takie systemy posiadają</w:t>
      </w:r>
      <w:r w:rsidR="002F2209">
        <w:rPr>
          <w:rFonts w:ascii="Times New Roman" w:hAnsi="Times New Roman" w:cs="Times New Roman"/>
        </w:rPr>
        <w:t xml:space="preserve"> </w:t>
      </w:r>
      <w:r w:rsidR="009A1099" w:rsidRPr="00215A1D">
        <w:rPr>
          <w:rFonts w:ascii="Times New Roman" w:hAnsi="Times New Roman" w:cs="Times New Roman"/>
        </w:rPr>
        <w:t>(m.in. w</w:t>
      </w:r>
      <w:r w:rsidR="00C82FC8" w:rsidRPr="00215A1D">
        <w:rPr>
          <w:rFonts w:ascii="Times New Roman" w:hAnsi="Times New Roman" w:cs="Times New Roman"/>
        </w:rPr>
        <w:t xml:space="preserve"> Estonia, Finlandia, Szwecja, </w:t>
      </w:r>
      <w:r w:rsidR="009A1099" w:rsidRPr="00215A1D">
        <w:rPr>
          <w:rFonts w:ascii="Times New Roman" w:hAnsi="Times New Roman" w:cs="Times New Roman"/>
        </w:rPr>
        <w:t xml:space="preserve">Włochy). Systemy te obejmują </w:t>
      </w:r>
      <w:r w:rsidR="008B4A71" w:rsidRPr="00215A1D">
        <w:rPr>
          <w:rFonts w:ascii="Times New Roman" w:hAnsi="Times New Roman" w:cs="Times New Roman"/>
        </w:rPr>
        <w:t xml:space="preserve">także </w:t>
      </w:r>
      <w:r w:rsidR="009A1099" w:rsidRPr="00215A1D">
        <w:rPr>
          <w:rFonts w:ascii="Times New Roman" w:hAnsi="Times New Roman" w:cs="Times New Roman"/>
        </w:rPr>
        <w:t xml:space="preserve">centralne gromadzenie lub centralny dostęp do danych pomiarowych. </w:t>
      </w:r>
      <w:r w:rsidR="00C82FC8" w:rsidRPr="00215A1D">
        <w:rPr>
          <w:rFonts w:ascii="Times New Roman" w:hAnsi="Times New Roman" w:cs="Times New Roman"/>
        </w:rPr>
        <w:t xml:space="preserve">Stan zaawansowania wdrożeń w poszczególnych krajach UE przedstawia strona: </w:t>
      </w:r>
      <w:hyperlink r:id="rId14" w:history="1">
        <w:r w:rsidR="00C82FC8" w:rsidRPr="00215A1D">
          <w:rPr>
            <w:rStyle w:val="Hipercze"/>
            <w:rFonts w:ascii="Times New Roman" w:hAnsi="Times New Roman" w:cs="Times New Roman"/>
          </w:rPr>
          <w:t>https://ses.jrc.ec.europa.eu/smart-metering-deployment-european-union</w:t>
        </w:r>
      </w:hyperlink>
    </w:p>
    <w:p w14:paraId="48D38D6C" w14:textId="77777777"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Rozwiązania te są zbliżone co do swej istoty do modelu proponowanego do wdrożenia w Polsce. Funkcje zarządzających centralnymi systemami danych pełnią zazwyczaj podmioty niezależne organizacyjnie</w:t>
      </w:r>
      <w:r w:rsidR="001D0628">
        <w:rPr>
          <w:rFonts w:ascii="Times New Roman" w:hAnsi="Times New Roman" w:cs="Times New Roman"/>
        </w:rPr>
        <w:t xml:space="preserve"> i </w:t>
      </w:r>
      <w:r w:rsidR="009A1099" w:rsidRPr="00215A1D">
        <w:rPr>
          <w:rFonts w:ascii="Times New Roman" w:hAnsi="Times New Roman" w:cs="Times New Roman"/>
        </w:rPr>
        <w:t>funkcjonalnie od operatorów systemów dystrybucyjnych (OSD)</w:t>
      </w:r>
      <w:r w:rsidR="001D0628">
        <w:rPr>
          <w:rFonts w:ascii="Times New Roman" w:hAnsi="Times New Roman" w:cs="Times New Roman"/>
        </w:rPr>
        <w:t xml:space="preserve"> i </w:t>
      </w:r>
      <w:r w:rsidR="009A1099" w:rsidRPr="00215A1D">
        <w:rPr>
          <w:rFonts w:ascii="Times New Roman" w:hAnsi="Times New Roman" w:cs="Times New Roman"/>
        </w:rPr>
        <w:t xml:space="preserve">sprzedawców, najczęściej są to spółki powiązane </w:t>
      </w:r>
      <w:r w:rsidR="001D0628">
        <w:rPr>
          <w:rFonts w:ascii="Times New Roman" w:hAnsi="Times New Roman" w:cs="Times New Roman"/>
        </w:rPr>
        <w:t>z </w:t>
      </w:r>
      <w:r w:rsidR="009A1099" w:rsidRPr="00215A1D">
        <w:rPr>
          <w:rFonts w:ascii="Times New Roman" w:hAnsi="Times New Roman" w:cs="Times New Roman"/>
        </w:rPr>
        <w:t xml:space="preserve">operatorami systemu przesyłowego (OSP) (w większości krajów UE jest jeden OSP). Rolę operatora informacji </w:t>
      </w:r>
      <w:r w:rsidR="00C82FC8" w:rsidRPr="00215A1D">
        <w:rPr>
          <w:rFonts w:ascii="Times New Roman" w:hAnsi="Times New Roman" w:cs="Times New Roman"/>
        </w:rPr>
        <w:t xml:space="preserve">rynku energii </w:t>
      </w:r>
      <w:r w:rsidR="009A1099" w:rsidRPr="00215A1D">
        <w:rPr>
          <w:rFonts w:ascii="Times New Roman" w:hAnsi="Times New Roman" w:cs="Times New Roman"/>
        </w:rPr>
        <w:t>(OI</w:t>
      </w:r>
      <w:r w:rsidR="00C82FC8" w:rsidRPr="00215A1D">
        <w:rPr>
          <w:rFonts w:ascii="Times New Roman" w:hAnsi="Times New Roman" w:cs="Times New Roman"/>
        </w:rPr>
        <w:t>RE</w:t>
      </w:r>
      <w:r w:rsidR="009A1099" w:rsidRPr="00215A1D">
        <w:rPr>
          <w:rFonts w:ascii="Times New Roman" w:hAnsi="Times New Roman" w:cs="Times New Roman"/>
        </w:rPr>
        <w:t xml:space="preserve">) może również pełnić bezpośrednio OSP. Działalność w obszarze zarządzania </w:t>
      </w:r>
      <w:r w:rsidR="00C94C9C" w:rsidRPr="00215A1D">
        <w:rPr>
          <w:rFonts w:ascii="Times New Roman" w:hAnsi="Times New Roman" w:cs="Times New Roman"/>
        </w:rPr>
        <w:t xml:space="preserve">danymi </w:t>
      </w:r>
      <w:r w:rsidR="009A1099" w:rsidRPr="00215A1D">
        <w:rPr>
          <w:rFonts w:ascii="Times New Roman" w:hAnsi="Times New Roman" w:cs="Times New Roman"/>
        </w:rPr>
        <w:t xml:space="preserve">pomiarowymi jest działalnością regulowaną. </w:t>
      </w:r>
    </w:p>
    <w:p w14:paraId="76E55254" w14:textId="7924BAE2"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Systemy najbardziej zbliżone do proponowanych rozwiązań, opierające się na scentralizowanym modelu zarządzania danymi pomiarowymi, wprowadzone zostały w Danii</w:t>
      </w:r>
      <w:r w:rsidR="001D0628">
        <w:rPr>
          <w:rFonts w:ascii="Times New Roman" w:hAnsi="Times New Roman" w:cs="Times New Roman"/>
        </w:rPr>
        <w:t xml:space="preserve"> i </w:t>
      </w:r>
      <w:r w:rsidR="00C82FC8" w:rsidRPr="00215A1D">
        <w:rPr>
          <w:rFonts w:ascii="Times New Roman" w:hAnsi="Times New Roman" w:cs="Times New Roman"/>
        </w:rPr>
        <w:t>Norwegii</w:t>
      </w:r>
      <w:r w:rsidR="009A1099" w:rsidRPr="00215A1D">
        <w:rPr>
          <w:rFonts w:ascii="Times New Roman" w:hAnsi="Times New Roman" w:cs="Times New Roman"/>
        </w:rPr>
        <w:t>. Na uwagę zasługuje szereg podobieństw między strukturami rynku energii elektrycznej w Dani</w:t>
      </w:r>
      <w:r w:rsidR="00C82FC8" w:rsidRPr="00215A1D">
        <w:rPr>
          <w:rFonts w:ascii="Times New Roman" w:hAnsi="Times New Roman" w:cs="Times New Roman"/>
        </w:rPr>
        <w:t>i</w:t>
      </w:r>
      <w:r w:rsidR="001D0628">
        <w:rPr>
          <w:rFonts w:ascii="Times New Roman" w:hAnsi="Times New Roman" w:cs="Times New Roman"/>
        </w:rPr>
        <w:t xml:space="preserve"> i </w:t>
      </w:r>
      <w:r w:rsidR="00C82FC8" w:rsidRPr="00215A1D">
        <w:rPr>
          <w:rFonts w:ascii="Times New Roman" w:hAnsi="Times New Roman" w:cs="Times New Roman"/>
        </w:rPr>
        <w:t>Norwegii ora</w:t>
      </w:r>
      <w:r w:rsidR="001D0628">
        <w:rPr>
          <w:rFonts w:ascii="Times New Roman" w:hAnsi="Times New Roman" w:cs="Times New Roman"/>
        </w:rPr>
        <w:t>z </w:t>
      </w:r>
      <w:r w:rsidR="009A1099" w:rsidRPr="00215A1D">
        <w:rPr>
          <w:rFonts w:ascii="Times New Roman" w:hAnsi="Times New Roman" w:cs="Times New Roman"/>
        </w:rPr>
        <w:t>w Polsce: jeden OSP, duża liczba OSD, duża liczba sprzedawców, bardzo duża liczba interakcji między tymi uczestnikami.</w:t>
      </w:r>
    </w:p>
    <w:p w14:paraId="56946882" w14:textId="77777777" w:rsidR="009679B5" w:rsidRPr="00215A1D" w:rsidRDefault="009679B5" w:rsidP="00EF6F97">
      <w:pPr>
        <w:pStyle w:val="USTustnpkodeksu"/>
        <w:rPr>
          <w:rFonts w:ascii="Times New Roman" w:hAnsi="Times New Roman" w:cs="Times New Roman"/>
        </w:rPr>
      </w:pPr>
    </w:p>
    <w:p w14:paraId="167A3725" w14:textId="77777777"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W Polsce sporządzono szereg ocen</w:t>
      </w:r>
      <w:r w:rsidR="001D0628">
        <w:rPr>
          <w:rFonts w:ascii="Times New Roman" w:hAnsi="Times New Roman" w:cs="Times New Roman"/>
        </w:rPr>
        <w:t xml:space="preserve"> i </w:t>
      </w:r>
      <w:r w:rsidR="009A1099" w:rsidRPr="00215A1D">
        <w:rPr>
          <w:rFonts w:ascii="Times New Roman" w:hAnsi="Times New Roman" w:cs="Times New Roman"/>
        </w:rPr>
        <w:t>analiz. Sporządzone oceny ora</w:t>
      </w:r>
      <w:r w:rsidR="001D0628">
        <w:rPr>
          <w:rFonts w:ascii="Times New Roman" w:hAnsi="Times New Roman" w:cs="Times New Roman"/>
        </w:rPr>
        <w:t>z </w:t>
      </w:r>
      <w:r w:rsidR="009A1099" w:rsidRPr="00215A1D">
        <w:rPr>
          <w:rFonts w:ascii="Times New Roman" w:hAnsi="Times New Roman" w:cs="Times New Roman"/>
        </w:rPr>
        <w:t>analizy wykazały, że:</w:t>
      </w:r>
    </w:p>
    <w:p w14:paraId="69A239D7" w14:textId="77777777" w:rsidR="009A1099" w:rsidRPr="00215A1D" w:rsidRDefault="009A1099" w:rsidP="00215A1D">
      <w:pPr>
        <w:pStyle w:val="PKTpunkt"/>
        <w:numPr>
          <w:ilvl w:val="0"/>
          <w:numId w:val="56"/>
        </w:numPr>
        <w:rPr>
          <w:rFonts w:ascii="Times New Roman" w:hAnsi="Times New Roman" w:cs="Times New Roman"/>
        </w:rPr>
      </w:pPr>
      <w:r w:rsidRPr="00215A1D">
        <w:rPr>
          <w:rFonts w:ascii="Times New Roman" w:hAnsi="Times New Roman" w:cs="Times New Roman"/>
        </w:rPr>
        <w:t>w wyniku wdrożenia inteligentnego opomiarowania planowane korzyści jego wdrożenia przewyższają poniesione koszty;</w:t>
      </w:r>
    </w:p>
    <w:p w14:paraId="0F91DE2D" w14:textId="77777777" w:rsidR="009A1099" w:rsidRPr="00215A1D" w:rsidRDefault="009A1099" w:rsidP="00215A1D">
      <w:pPr>
        <w:pStyle w:val="PKTpunkt"/>
        <w:numPr>
          <w:ilvl w:val="0"/>
          <w:numId w:val="56"/>
        </w:numPr>
        <w:rPr>
          <w:rFonts w:ascii="Times New Roman" w:hAnsi="Times New Roman" w:cs="Times New Roman"/>
        </w:rPr>
      </w:pPr>
      <w:r w:rsidRPr="00215A1D">
        <w:rPr>
          <w:rFonts w:ascii="Times New Roman" w:hAnsi="Times New Roman" w:cs="Times New Roman"/>
        </w:rPr>
        <w:t>ochrona</w:t>
      </w:r>
      <w:r w:rsidR="001D0628">
        <w:rPr>
          <w:rFonts w:ascii="Times New Roman" w:hAnsi="Times New Roman" w:cs="Times New Roman"/>
        </w:rPr>
        <w:t xml:space="preserve"> i </w:t>
      </w:r>
      <w:r w:rsidRPr="00215A1D">
        <w:rPr>
          <w:rFonts w:ascii="Times New Roman" w:hAnsi="Times New Roman" w:cs="Times New Roman"/>
        </w:rPr>
        <w:t>bezpieczeństwo danych pomiarowych</w:t>
      </w:r>
      <w:r w:rsidR="001D0628">
        <w:rPr>
          <w:rFonts w:ascii="Times New Roman" w:hAnsi="Times New Roman" w:cs="Times New Roman"/>
        </w:rPr>
        <w:t xml:space="preserve"> i </w:t>
      </w:r>
      <w:r w:rsidR="005870DA" w:rsidRPr="00215A1D">
        <w:rPr>
          <w:rFonts w:ascii="Times New Roman" w:hAnsi="Times New Roman" w:cs="Times New Roman"/>
        </w:rPr>
        <w:t xml:space="preserve">danych osobowych </w:t>
      </w:r>
      <w:r w:rsidRPr="00215A1D">
        <w:rPr>
          <w:rFonts w:ascii="Times New Roman" w:hAnsi="Times New Roman" w:cs="Times New Roman"/>
        </w:rPr>
        <w:t>w kontekście inteligentnego opomiarowania jest</w:t>
      </w:r>
      <w:r w:rsidR="001D0628">
        <w:rPr>
          <w:rFonts w:ascii="Times New Roman" w:hAnsi="Times New Roman" w:cs="Times New Roman"/>
        </w:rPr>
        <w:t xml:space="preserve"> i </w:t>
      </w:r>
      <w:r w:rsidRPr="00215A1D">
        <w:rPr>
          <w:rFonts w:ascii="Times New Roman" w:hAnsi="Times New Roman" w:cs="Times New Roman"/>
        </w:rPr>
        <w:t xml:space="preserve">powinno być jednym </w:t>
      </w:r>
      <w:r w:rsidR="001D0628">
        <w:rPr>
          <w:rFonts w:ascii="Times New Roman" w:hAnsi="Times New Roman" w:cs="Times New Roman"/>
        </w:rPr>
        <w:t>z </w:t>
      </w:r>
      <w:r w:rsidRPr="00215A1D">
        <w:rPr>
          <w:rFonts w:ascii="Times New Roman" w:hAnsi="Times New Roman" w:cs="Times New Roman"/>
        </w:rPr>
        <w:t>najważniejszych elementów decydujących o jego powodzeniu;</w:t>
      </w:r>
    </w:p>
    <w:p w14:paraId="6A051B7E" w14:textId="77777777" w:rsidR="009A1099" w:rsidRPr="00215A1D" w:rsidRDefault="009A1099" w:rsidP="00215A1D">
      <w:pPr>
        <w:pStyle w:val="PKTpunkt"/>
        <w:numPr>
          <w:ilvl w:val="0"/>
          <w:numId w:val="56"/>
        </w:numPr>
        <w:rPr>
          <w:rFonts w:ascii="Times New Roman" w:hAnsi="Times New Roman" w:cs="Times New Roman"/>
        </w:rPr>
      </w:pPr>
      <w:r w:rsidRPr="00215A1D">
        <w:rPr>
          <w:rFonts w:ascii="Times New Roman" w:hAnsi="Times New Roman" w:cs="Times New Roman"/>
        </w:rPr>
        <w:t>należy zapewnić spójne wymagania dla systemu pomiarowego w zakresie jego cech funkcjonalnych, co będzie również miało wpływ na interoperacyjność tego systemu ora</w:t>
      </w:r>
      <w:r w:rsidR="001D0628">
        <w:rPr>
          <w:rFonts w:ascii="Times New Roman" w:hAnsi="Times New Roman" w:cs="Times New Roman"/>
        </w:rPr>
        <w:t>z </w:t>
      </w:r>
      <w:r w:rsidRPr="00215A1D">
        <w:rPr>
          <w:rFonts w:ascii="Times New Roman" w:hAnsi="Times New Roman" w:cs="Times New Roman"/>
        </w:rPr>
        <w:t>bezpieczeństwo danych pomiarowych. Kryterium cenowe w tym przypadku nie powinno być najważniejszym czynnikiem wyboru dostawcy oprzyrządowania;</w:t>
      </w:r>
    </w:p>
    <w:p w14:paraId="60FCA4FC" w14:textId="77777777" w:rsidR="009A1099" w:rsidRPr="00215A1D" w:rsidRDefault="009A1099" w:rsidP="00215A1D">
      <w:pPr>
        <w:pStyle w:val="PKTpunkt"/>
        <w:numPr>
          <w:ilvl w:val="0"/>
          <w:numId w:val="56"/>
        </w:numPr>
        <w:rPr>
          <w:rFonts w:ascii="Times New Roman" w:hAnsi="Times New Roman" w:cs="Times New Roman"/>
        </w:rPr>
      </w:pPr>
      <w:r w:rsidRPr="00215A1D">
        <w:rPr>
          <w:rFonts w:ascii="Times New Roman" w:hAnsi="Times New Roman" w:cs="Times New Roman"/>
        </w:rPr>
        <w:lastRenderedPageBreak/>
        <w:t xml:space="preserve">wprowadzenie inteligentnego opomiarowania na szeroką skalę powinno być związane ze zmianą sposobu określania cen energii elektrycznej dla odbiorców końcowych; </w:t>
      </w:r>
    </w:p>
    <w:p w14:paraId="57524D2F" w14:textId="77777777" w:rsidR="009A1099" w:rsidRPr="00215A1D" w:rsidRDefault="009A1099" w:rsidP="00215A1D">
      <w:pPr>
        <w:pStyle w:val="PKTpunkt"/>
        <w:numPr>
          <w:ilvl w:val="0"/>
          <w:numId w:val="56"/>
        </w:numPr>
        <w:rPr>
          <w:rFonts w:ascii="Times New Roman" w:hAnsi="Times New Roman" w:cs="Times New Roman"/>
        </w:rPr>
      </w:pPr>
      <w:r w:rsidRPr="00215A1D">
        <w:rPr>
          <w:rFonts w:ascii="Times New Roman" w:hAnsi="Times New Roman" w:cs="Times New Roman"/>
        </w:rPr>
        <w:t>należy odejść, co do zasady, od stałych taryf na rzec</w:t>
      </w:r>
      <w:r w:rsidR="001D0628">
        <w:rPr>
          <w:rFonts w:ascii="Times New Roman" w:hAnsi="Times New Roman" w:cs="Times New Roman"/>
        </w:rPr>
        <w:t>z </w:t>
      </w:r>
      <w:r w:rsidRPr="00215A1D">
        <w:rPr>
          <w:rFonts w:ascii="Times New Roman" w:hAnsi="Times New Roman" w:cs="Times New Roman"/>
        </w:rPr>
        <w:t>taryf dynamicznych w zależności od pory dnia ora</w:t>
      </w:r>
      <w:r w:rsidR="001D0628">
        <w:rPr>
          <w:rFonts w:ascii="Times New Roman" w:hAnsi="Times New Roman" w:cs="Times New Roman"/>
        </w:rPr>
        <w:t>z </w:t>
      </w:r>
      <w:r w:rsidRPr="00215A1D">
        <w:rPr>
          <w:rFonts w:ascii="Times New Roman" w:hAnsi="Times New Roman" w:cs="Times New Roman"/>
        </w:rPr>
        <w:t>sytuacji w systemie elektroenergetycznym;</w:t>
      </w:r>
    </w:p>
    <w:p w14:paraId="0B67E4A9" w14:textId="77777777" w:rsidR="009A1099" w:rsidRPr="00215A1D" w:rsidRDefault="008B4A71" w:rsidP="00215A1D">
      <w:pPr>
        <w:pStyle w:val="PKTpunkt"/>
        <w:numPr>
          <w:ilvl w:val="0"/>
          <w:numId w:val="56"/>
        </w:numPr>
        <w:rPr>
          <w:rFonts w:ascii="Times New Roman" w:hAnsi="Times New Roman" w:cs="Times New Roman"/>
        </w:rPr>
      </w:pPr>
      <w:r w:rsidRPr="00215A1D">
        <w:rPr>
          <w:rFonts w:ascii="Times New Roman" w:hAnsi="Times New Roman" w:cs="Times New Roman"/>
        </w:rPr>
        <w:t xml:space="preserve">celowe jest wprowadzenie </w:t>
      </w:r>
      <w:r w:rsidR="006D44F3" w:rsidRPr="00215A1D">
        <w:rPr>
          <w:rFonts w:ascii="Times New Roman" w:hAnsi="Times New Roman" w:cs="Times New Roman"/>
        </w:rPr>
        <w:t xml:space="preserve">systemu </w:t>
      </w:r>
      <w:r w:rsidRPr="00215A1D">
        <w:rPr>
          <w:rFonts w:ascii="Times New Roman" w:hAnsi="Times New Roman" w:cs="Times New Roman"/>
        </w:rPr>
        <w:t xml:space="preserve">scentralizowanego </w:t>
      </w:r>
      <w:r w:rsidR="009A1099" w:rsidRPr="00215A1D">
        <w:rPr>
          <w:rFonts w:ascii="Times New Roman" w:hAnsi="Times New Roman" w:cs="Times New Roman"/>
        </w:rPr>
        <w:t>gromadzeni</w:t>
      </w:r>
      <w:r w:rsidRPr="00215A1D">
        <w:rPr>
          <w:rFonts w:ascii="Times New Roman" w:hAnsi="Times New Roman" w:cs="Times New Roman"/>
        </w:rPr>
        <w:t>a</w:t>
      </w:r>
      <w:r w:rsidR="001D0628">
        <w:rPr>
          <w:rFonts w:ascii="Times New Roman" w:hAnsi="Times New Roman" w:cs="Times New Roman"/>
        </w:rPr>
        <w:t xml:space="preserve"> i </w:t>
      </w:r>
      <w:r w:rsidR="009A1099" w:rsidRPr="00215A1D">
        <w:rPr>
          <w:rFonts w:ascii="Times New Roman" w:hAnsi="Times New Roman" w:cs="Times New Roman"/>
        </w:rPr>
        <w:t>przetwarzani</w:t>
      </w:r>
      <w:r w:rsidRPr="00215A1D">
        <w:rPr>
          <w:rFonts w:ascii="Times New Roman" w:hAnsi="Times New Roman" w:cs="Times New Roman"/>
        </w:rPr>
        <w:t>a informacji rynku energii, w tym</w:t>
      </w:r>
      <w:r w:rsidR="009A1099" w:rsidRPr="00215A1D">
        <w:rPr>
          <w:rFonts w:ascii="Times New Roman" w:hAnsi="Times New Roman" w:cs="Times New Roman"/>
        </w:rPr>
        <w:t xml:space="preserve"> danych pomiarowych </w:t>
      </w:r>
      <w:r w:rsidRPr="00215A1D">
        <w:rPr>
          <w:rFonts w:ascii="Times New Roman" w:hAnsi="Times New Roman" w:cs="Times New Roman"/>
        </w:rPr>
        <w:t xml:space="preserve">dotyczących </w:t>
      </w:r>
      <w:r w:rsidR="009A1099" w:rsidRPr="00215A1D">
        <w:rPr>
          <w:rFonts w:ascii="Times New Roman" w:hAnsi="Times New Roman" w:cs="Times New Roman"/>
        </w:rPr>
        <w:t xml:space="preserve">energii elektrycznej, jak ma to miejsce w </w:t>
      </w:r>
      <w:r w:rsidR="000E38B9" w:rsidRPr="00215A1D">
        <w:rPr>
          <w:rFonts w:ascii="Times New Roman" w:hAnsi="Times New Roman" w:cs="Times New Roman"/>
        </w:rPr>
        <w:t xml:space="preserve">wybranych </w:t>
      </w:r>
      <w:r w:rsidR="009A1099" w:rsidRPr="00215A1D">
        <w:rPr>
          <w:rFonts w:ascii="Times New Roman" w:hAnsi="Times New Roman" w:cs="Times New Roman"/>
        </w:rPr>
        <w:t xml:space="preserve">krajach </w:t>
      </w:r>
      <w:r w:rsidR="000E38B9" w:rsidRPr="00215A1D">
        <w:rPr>
          <w:rFonts w:ascii="Times New Roman" w:hAnsi="Times New Roman" w:cs="Times New Roman"/>
        </w:rPr>
        <w:t>EOG</w:t>
      </w:r>
      <w:r w:rsidR="001D0628">
        <w:rPr>
          <w:rFonts w:ascii="Times New Roman" w:hAnsi="Times New Roman" w:cs="Times New Roman"/>
        </w:rPr>
        <w:t xml:space="preserve"> i </w:t>
      </w:r>
      <w:r w:rsidR="009A1099" w:rsidRPr="00215A1D">
        <w:rPr>
          <w:rFonts w:ascii="Times New Roman" w:hAnsi="Times New Roman" w:cs="Times New Roman"/>
        </w:rPr>
        <w:t xml:space="preserve">Unii Europejskiej: Dania, </w:t>
      </w:r>
      <w:r w:rsidR="005870DA" w:rsidRPr="00215A1D">
        <w:rPr>
          <w:rFonts w:ascii="Times New Roman" w:hAnsi="Times New Roman" w:cs="Times New Roman"/>
        </w:rPr>
        <w:t xml:space="preserve">Norwegia, </w:t>
      </w:r>
      <w:r w:rsidR="009A1099" w:rsidRPr="00215A1D">
        <w:rPr>
          <w:rFonts w:ascii="Times New Roman" w:hAnsi="Times New Roman" w:cs="Times New Roman"/>
        </w:rPr>
        <w:t>Wielka Brytania czy Estonia, który w sposób optymalny zapewni realizację celów inteligentnego opomiarowania, przy zachowaniu ochrony</w:t>
      </w:r>
      <w:r w:rsidR="001D0628">
        <w:rPr>
          <w:rFonts w:ascii="Times New Roman" w:hAnsi="Times New Roman" w:cs="Times New Roman"/>
        </w:rPr>
        <w:t xml:space="preserve"> i </w:t>
      </w:r>
      <w:r w:rsidR="009A1099" w:rsidRPr="00215A1D">
        <w:rPr>
          <w:rFonts w:ascii="Times New Roman" w:hAnsi="Times New Roman" w:cs="Times New Roman"/>
        </w:rPr>
        <w:t>bezpieczeństwa danych pomiarowych.</w:t>
      </w:r>
    </w:p>
    <w:p w14:paraId="2BBBE00B" w14:textId="77777777"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O wynikach dotychczas przeprowadzonych anali</w:t>
      </w:r>
      <w:r w:rsidR="001D0628">
        <w:rPr>
          <w:rFonts w:ascii="Times New Roman" w:hAnsi="Times New Roman" w:cs="Times New Roman"/>
        </w:rPr>
        <w:t>z </w:t>
      </w:r>
      <w:r w:rsidR="009A1099" w:rsidRPr="00215A1D">
        <w:rPr>
          <w:rFonts w:ascii="Times New Roman" w:hAnsi="Times New Roman" w:cs="Times New Roman"/>
        </w:rPr>
        <w:t>została poinformowana Komisja Europejska w Stanowisku Rządu do sprawozdania Komisji pt. „Analiza porównawcza rozpowszechnienia inteligentnego opomiarowania w Unii Europejskiej, ze szczególnym uwzględnieniem energii elektrycznej”, przyjętym prze</w:t>
      </w:r>
      <w:r w:rsidR="001D0628">
        <w:rPr>
          <w:rFonts w:ascii="Times New Roman" w:hAnsi="Times New Roman" w:cs="Times New Roman"/>
        </w:rPr>
        <w:t>z </w:t>
      </w:r>
      <w:r w:rsidR="009A1099" w:rsidRPr="00215A1D">
        <w:rPr>
          <w:rFonts w:ascii="Times New Roman" w:hAnsi="Times New Roman" w:cs="Times New Roman"/>
        </w:rPr>
        <w:t>Radę Ministrów w dniu 27 sierpnia 2014</w:t>
      </w:r>
      <w:r w:rsidR="001D0628">
        <w:rPr>
          <w:rFonts w:ascii="Times New Roman" w:hAnsi="Times New Roman" w:cs="Times New Roman"/>
        </w:rPr>
        <w:t> r.</w:t>
      </w:r>
      <w:r w:rsidR="009A1099" w:rsidRPr="00215A1D">
        <w:rPr>
          <w:rFonts w:ascii="Times New Roman" w:hAnsi="Times New Roman" w:cs="Times New Roman"/>
        </w:rPr>
        <w:t xml:space="preserve"> Zgodnie </w:t>
      </w:r>
      <w:r w:rsidR="001D0628">
        <w:rPr>
          <w:rFonts w:ascii="Times New Roman" w:hAnsi="Times New Roman" w:cs="Times New Roman"/>
        </w:rPr>
        <w:t>z </w:t>
      </w:r>
      <w:r w:rsidR="009A1099" w:rsidRPr="00215A1D">
        <w:rPr>
          <w:rFonts w:ascii="Times New Roman" w:hAnsi="Times New Roman" w:cs="Times New Roman"/>
        </w:rPr>
        <w:t>tym stanowiskiem, wybór prze</w:t>
      </w:r>
      <w:r w:rsidR="001D0628">
        <w:rPr>
          <w:rFonts w:ascii="Times New Roman" w:hAnsi="Times New Roman" w:cs="Times New Roman"/>
        </w:rPr>
        <w:t>z </w:t>
      </w:r>
      <w:r w:rsidR="009A1099" w:rsidRPr="00215A1D">
        <w:rPr>
          <w:rFonts w:ascii="Times New Roman" w:hAnsi="Times New Roman" w:cs="Times New Roman"/>
        </w:rPr>
        <w:t>Polskę rozwiązania zakładającego utworzenie niezależnego podmiotu odpowiedzialnego za gromadzenie</w:t>
      </w:r>
      <w:r w:rsidR="001D0628">
        <w:rPr>
          <w:rFonts w:ascii="Times New Roman" w:hAnsi="Times New Roman" w:cs="Times New Roman"/>
        </w:rPr>
        <w:t xml:space="preserve"> i </w:t>
      </w:r>
      <w:r w:rsidR="009A1099" w:rsidRPr="00215A1D">
        <w:rPr>
          <w:rFonts w:ascii="Times New Roman" w:hAnsi="Times New Roman" w:cs="Times New Roman"/>
        </w:rPr>
        <w:t xml:space="preserve">przetwarzanie danych pomiarowych w zakresie energii elektrycznej (operator informacji </w:t>
      </w:r>
      <w:r w:rsidR="00C94C9C" w:rsidRPr="00215A1D">
        <w:rPr>
          <w:rFonts w:ascii="Times New Roman" w:hAnsi="Times New Roman" w:cs="Times New Roman"/>
        </w:rPr>
        <w:t>rynku energii</w:t>
      </w:r>
      <w:r w:rsidR="009A1099" w:rsidRPr="00215A1D">
        <w:rPr>
          <w:rFonts w:ascii="Times New Roman" w:hAnsi="Times New Roman" w:cs="Times New Roman"/>
        </w:rPr>
        <w:t>) zapewni w sposób optymalny realizację wdrożenia inteligentnego opomiarowania, przy zachowaniu ochrony</w:t>
      </w:r>
      <w:r w:rsidR="001D0628">
        <w:rPr>
          <w:rFonts w:ascii="Times New Roman" w:hAnsi="Times New Roman" w:cs="Times New Roman"/>
        </w:rPr>
        <w:t xml:space="preserve"> i </w:t>
      </w:r>
      <w:r w:rsidR="009A1099" w:rsidRPr="00215A1D">
        <w:rPr>
          <w:rFonts w:ascii="Times New Roman" w:hAnsi="Times New Roman" w:cs="Times New Roman"/>
        </w:rPr>
        <w:t>bezpieczeństwa danych pomiarowych. Wprowadzenie inteligentnego opomiarowania obniży koszty zużycia energii elektrycznej prze</w:t>
      </w:r>
      <w:r w:rsidR="001D0628">
        <w:rPr>
          <w:rFonts w:ascii="Times New Roman" w:hAnsi="Times New Roman" w:cs="Times New Roman"/>
        </w:rPr>
        <w:t>z </w:t>
      </w:r>
      <w:r w:rsidR="009A1099" w:rsidRPr="00215A1D">
        <w:rPr>
          <w:rFonts w:ascii="Times New Roman" w:hAnsi="Times New Roman" w:cs="Times New Roman"/>
        </w:rPr>
        <w:t>odbiorców końcowych</w:t>
      </w:r>
      <w:r w:rsidR="001D0628">
        <w:rPr>
          <w:rFonts w:ascii="Times New Roman" w:hAnsi="Times New Roman" w:cs="Times New Roman"/>
        </w:rPr>
        <w:t xml:space="preserve"> i </w:t>
      </w:r>
      <w:r w:rsidR="009A1099" w:rsidRPr="00215A1D">
        <w:rPr>
          <w:rFonts w:ascii="Times New Roman" w:hAnsi="Times New Roman" w:cs="Times New Roman"/>
        </w:rPr>
        <w:t>przyniesie korzyści uczestnikom rynku energii elektrycznej w Polsce.</w:t>
      </w:r>
    </w:p>
    <w:p w14:paraId="618EC5C2" w14:textId="11225DBA" w:rsidR="00245B40"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245B40" w:rsidRPr="00215A1D">
        <w:rPr>
          <w:rFonts w:ascii="Times New Roman" w:hAnsi="Times New Roman" w:cs="Times New Roman"/>
        </w:rPr>
        <w:t>Podstawowym dokumentem, na podstawie którego dokonano zgłoszenia do Komisji Europejskiej</w:t>
      </w:r>
      <w:r w:rsidR="00E56E5B">
        <w:rPr>
          <w:rFonts w:ascii="Times New Roman" w:hAnsi="Times New Roman" w:cs="Times New Roman"/>
        </w:rPr>
        <w:t>,</w:t>
      </w:r>
      <w:r w:rsidR="00245B40" w:rsidRPr="00215A1D">
        <w:rPr>
          <w:rFonts w:ascii="Times New Roman" w:hAnsi="Times New Roman" w:cs="Times New Roman"/>
        </w:rPr>
        <w:t xml:space="preserve"> stanowiła analiza Polskiego Towarzystwa Przesyłu</w:t>
      </w:r>
      <w:r w:rsidR="001D0628">
        <w:rPr>
          <w:rFonts w:ascii="Times New Roman" w:hAnsi="Times New Roman" w:cs="Times New Roman"/>
        </w:rPr>
        <w:t xml:space="preserve"> i </w:t>
      </w:r>
      <w:r w:rsidR="00245B40" w:rsidRPr="00215A1D">
        <w:rPr>
          <w:rFonts w:ascii="Times New Roman" w:hAnsi="Times New Roman" w:cs="Times New Roman"/>
        </w:rPr>
        <w:t>Rozdziału Energii Elektrycznej pt. „Analiza w zakresie ekonomicznej oceny zasadności wprowadzenia inteligentnych form pomiaru zużycia energii elektrycznej w Polsce”, przygotowana 20</w:t>
      </w:r>
      <w:r w:rsidR="00E56E5B">
        <w:rPr>
          <w:rFonts w:ascii="Times New Roman" w:hAnsi="Times New Roman" w:cs="Times New Roman"/>
        </w:rPr>
        <w:t> </w:t>
      </w:r>
      <w:r w:rsidR="00245B40" w:rsidRPr="00215A1D">
        <w:rPr>
          <w:rFonts w:ascii="Times New Roman" w:hAnsi="Times New Roman" w:cs="Times New Roman"/>
        </w:rPr>
        <w:t>sierpnia 2012</w:t>
      </w:r>
      <w:r w:rsidR="001D0628">
        <w:rPr>
          <w:rFonts w:ascii="Times New Roman" w:hAnsi="Times New Roman" w:cs="Times New Roman"/>
        </w:rPr>
        <w:t> r.</w:t>
      </w:r>
      <w:r w:rsidR="00245B40" w:rsidRPr="00215A1D">
        <w:rPr>
          <w:rFonts w:ascii="Times New Roman" w:hAnsi="Times New Roman" w:cs="Times New Roman"/>
        </w:rPr>
        <w:t xml:space="preserve">, zgodnie bowiem </w:t>
      </w:r>
      <w:r w:rsidR="001D0628">
        <w:rPr>
          <w:rFonts w:ascii="Times New Roman" w:hAnsi="Times New Roman" w:cs="Times New Roman"/>
        </w:rPr>
        <w:t>z </w:t>
      </w:r>
      <w:r w:rsidR="00245B40" w:rsidRPr="00215A1D">
        <w:rPr>
          <w:rFonts w:ascii="Times New Roman" w:hAnsi="Times New Roman" w:cs="Times New Roman"/>
        </w:rPr>
        <w:t>art. 19 ust. 2 dyrektywy 2019/944, „państwa członkowskie zapewniają wprowadzenie na swoich terytoriach inteligentnych systemów opomiarowania, które ułatwiają aktywne uczestnictwo odbiorców w rynku energii elektrycznej. Wprowadzenie takie może być jednak uzależnione od analizy kosztów</w:t>
      </w:r>
      <w:r w:rsidR="001D0628">
        <w:rPr>
          <w:rFonts w:ascii="Times New Roman" w:hAnsi="Times New Roman" w:cs="Times New Roman"/>
        </w:rPr>
        <w:t xml:space="preserve"> i </w:t>
      </w:r>
      <w:r w:rsidR="00245B40" w:rsidRPr="00215A1D">
        <w:rPr>
          <w:rFonts w:ascii="Times New Roman" w:hAnsi="Times New Roman" w:cs="Times New Roman"/>
        </w:rPr>
        <w:t xml:space="preserve">korzyści, którą przeprowadza się zgodnie </w:t>
      </w:r>
      <w:r w:rsidR="001D0628">
        <w:rPr>
          <w:rFonts w:ascii="Times New Roman" w:hAnsi="Times New Roman" w:cs="Times New Roman"/>
        </w:rPr>
        <w:t>z </w:t>
      </w:r>
      <w:r w:rsidR="00245B40" w:rsidRPr="00215A1D">
        <w:rPr>
          <w:rFonts w:ascii="Times New Roman" w:hAnsi="Times New Roman" w:cs="Times New Roman"/>
        </w:rPr>
        <w:t xml:space="preserve">zasadami określonymi w załączniku II”. </w:t>
      </w:r>
      <w:r w:rsidR="00B767D8" w:rsidRPr="00215A1D">
        <w:rPr>
          <w:rFonts w:ascii="Times New Roman" w:hAnsi="Times New Roman" w:cs="Times New Roman"/>
        </w:rPr>
        <w:t xml:space="preserve">Na podstawie tej analizy opracowano w ówczesnym </w:t>
      </w:r>
      <w:r w:rsidR="00E8251F">
        <w:rPr>
          <w:rFonts w:ascii="Times New Roman" w:hAnsi="Times New Roman" w:cs="Times New Roman"/>
        </w:rPr>
        <w:t>M</w:t>
      </w:r>
      <w:r w:rsidR="00B767D8" w:rsidRPr="00215A1D">
        <w:rPr>
          <w:rFonts w:ascii="Times New Roman" w:hAnsi="Times New Roman" w:cs="Times New Roman"/>
        </w:rPr>
        <w:t>inisterstwie Gospodarki dokument zatytułowany „Informacja dotycząca zasadności wprowadzenia inteligentnych form pomiaru zużycia energii elektrycznej w Polsce” wykazujący przewagę korzyści nad kosztami wdrożenia systemu inteligentnego opomiarowania w Polsce.</w:t>
      </w:r>
    </w:p>
    <w:p w14:paraId="3D45936B" w14:textId="77777777" w:rsidR="009A1099" w:rsidRPr="00215A1D" w:rsidRDefault="009A1099" w:rsidP="00215A1D">
      <w:pPr>
        <w:spacing w:line="360" w:lineRule="auto"/>
        <w:rPr>
          <w:rFonts w:ascii="Times New Roman" w:hAnsi="Times New Roman" w:cs="Times New Roman"/>
        </w:rPr>
      </w:pPr>
    </w:p>
    <w:p w14:paraId="313557F3" w14:textId="24577627" w:rsidR="009A1099" w:rsidRPr="00215A1D" w:rsidRDefault="00D24A41" w:rsidP="00EF6F97">
      <w:pPr>
        <w:pStyle w:val="USTustnpkodeksu"/>
        <w:ind w:firstLine="0"/>
        <w:rPr>
          <w:rFonts w:ascii="Times New Roman" w:hAnsi="Times New Roman" w:cs="Times New Roman"/>
        </w:rPr>
      </w:pPr>
      <w:r>
        <w:rPr>
          <w:rFonts w:ascii="Times New Roman" w:hAnsi="Times New Roman" w:cs="Times New Roman"/>
        </w:rPr>
        <w:t>1</w:t>
      </w:r>
      <w:r w:rsidR="00772387">
        <w:rPr>
          <w:rFonts w:ascii="Times New Roman" w:hAnsi="Times New Roman" w:cs="Times New Roman"/>
        </w:rPr>
        <w:t>6</w:t>
      </w:r>
      <w:r w:rsidR="009A1099" w:rsidRPr="00215A1D">
        <w:rPr>
          <w:rFonts w:ascii="Times New Roman" w:hAnsi="Times New Roman" w:cs="Times New Roman"/>
        </w:rPr>
        <w:t>. 3. Alternatywne środki osiągnięcia celów:</w:t>
      </w:r>
    </w:p>
    <w:p w14:paraId="667BC437" w14:textId="77777777" w:rsidR="009A1099" w:rsidRPr="00215A1D" w:rsidRDefault="009A1099" w:rsidP="00EF6F97">
      <w:pPr>
        <w:pStyle w:val="USTustnpkodeksu"/>
        <w:rPr>
          <w:rFonts w:ascii="Times New Roman" w:hAnsi="Times New Roman" w:cs="Times New Roman"/>
        </w:rPr>
      </w:pPr>
      <w:r w:rsidRPr="00215A1D">
        <w:rPr>
          <w:rFonts w:ascii="Times New Roman" w:hAnsi="Times New Roman" w:cs="Times New Roman"/>
        </w:rPr>
        <w:t>Można:</w:t>
      </w:r>
    </w:p>
    <w:p w14:paraId="35236200" w14:textId="77777777" w:rsidR="009A1099" w:rsidRPr="00215A1D" w:rsidRDefault="009A1099" w:rsidP="00215A1D">
      <w:pPr>
        <w:pStyle w:val="PKTpunkt"/>
        <w:numPr>
          <w:ilvl w:val="0"/>
          <w:numId w:val="58"/>
        </w:numPr>
        <w:rPr>
          <w:rFonts w:ascii="Times New Roman" w:hAnsi="Times New Roman" w:cs="Times New Roman"/>
        </w:rPr>
      </w:pPr>
      <w:r w:rsidRPr="00215A1D">
        <w:rPr>
          <w:rFonts w:ascii="Times New Roman" w:hAnsi="Times New Roman" w:cs="Times New Roman"/>
        </w:rPr>
        <w:t xml:space="preserve">kontynuować stan obecny, czyli nie wprowadzać systemu inteligentnego opomiarowania; </w:t>
      </w:r>
    </w:p>
    <w:p w14:paraId="297362AF" w14:textId="77777777" w:rsidR="009A1099" w:rsidRPr="00215A1D" w:rsidRDefault="009A1099" w:rsidP="00215A1D">
      <w:pPr>
        <w:pStyle w:val="PKTpunkt"/>
        <w:numPr>
          <w:ilvl w:val="0"/>
          <w:numId w:val="58"/>
        </w:numPr>
        <w:rPr>
          <w:rFonts w:ascii="Times New Roman" w:hAnsi="Times New Roman" w:cs="Times New Roman"/>
        </w:rPr>
      </w:pPr>
      <w:r w:rsidRPr="00215A1D">
        <w:rPr>
          <w:rFonts w:ascii="Times New Roman" w:hAnsi="Times New Roman" w:cs="Times New Roman"/>
        </w:rPr>
        <w:t>instalować liczniki zdalnego odczytu</w:t>
      </w:r>
      <w:r w:rsidR="005870DA" w:rsidRPr="00215A1D">
        <w:rPr>
          <w:rFonts w:ascii="Times New Roman" w:hAnsi="Times New Roman" w:cs="Times New Roman"/>
        </w:rPr>
        <w:t xml:space="preserve"> na wniosek </w:t>
      </w:r>
      <w:r w:rsidRPr="00215A1D">
        <w:rPr>
          <w:rFonts w:ascii="Times New Roman" w:hAnsi="Times New Roman" w:cs="Times New Roman"/>
        </w:rPr>
        <w:t>odbiorcy końcowego;</w:t>
      </w:r>
    </w:p>
    <w:p w14:paraId="4A9D8E65" w14:textId="6E725227" w:rsidR="009A1099" w:rsidRPr="00215A1D" w:rsidRDefault="009A1099" w:rsidP="00215A1D">
      <w:pPr>
        <w:pStyle w:val="PKTpunkt"/>
        <w:numPr>
          <w:ilvl w:val="0"/>
          <w:numId w:val="58"/>
        </w:numPr>
        <w:rPr>
          <w:rFonts w:ascii="Times New Roman" w:hAnsi="Times New Roman" w:cs="Times New Roman"/>
        </w:rPr>
      </w:pPr>
      <w:r w:rsidRPr="00215A1D">
        <w:rPr>
          <w:rFonts w:ascii="Times New Roman" w:hAnsi="Times New Roman" w:cs="Times New Roman"/>
        </w:rPr>
        <w:t xml:space="preserve">wprowadzić </w:t>
      </w:r>
      <w:r w:rsidR="000E38B9" w:rsidRPr="00215A1D">
        <w:rPr>
          <w:rFonts w:ascii="Times New Roman" w:hAnsi="Times New Roman" w:cs="Times New Roman"/>
        </w:rPr>
        <w:t xml:space="preserve">w okresie 5 lat </w:t>
      </w:r>
      <w:r w:rsidRPr="00215A1D">
        <w:rPr>
          <w:rFonts w:ascii="Times New Roman" w:hAnsi="Times New Roman" w:cs="Times New Roman"/>
        </w:rPr>
        <w:t xml:space="preserve">system inteligentnego opomiarowania, czyli </w:t>
      </w:r>
      <w:r w:rsidR="006D44F3" w:rsidRPr="00215A1D">
        <w:rPr>
          <w:rFonts w:ascii="Times New Roman" w:hAnsi="Times New Roman" w:cs="Times New Roman"/>
        </w:rPr>
        <w:t>za</w:t>
      </w:r>
      <w:r w:rsidRPr="00215A1D">
        <w:rPr>
          <w:rFonts w:ascii="Times New Roman" w:hAnsi="Times New Roman" w:cs="Times New Roman"/>
        </w:rPr>
        <w:t>instalować liczniki zdalnego odczytu u 80% odbiorców końcowych, zgodn</w:t>
      </w:r>
      <w:r w:rsidR="009D27A5" w:rsidRPr="00215A1D">
        <w:rPr>
          <w:rFonts w:ascii="Times New Roman" w:hAnsi="Times New Roman" w:cs="Times New Roman"/>
        </w:rPr>
        <w:t xml:space="preserve">ie </w:t>
      </w:r>
      <w:r w:rsidR="001D0628">
        <w:rPr>
          <w:rFonts w:ascii="Times New Roman" w:hAnsi="Times New Roman" w:cs="Times New Roman"/>
        </w:rPr>
        <w:t>z </w:t>
      </w:r>
      <w:r w:rsidR="009D27A5" w:rsidRPr="00215A1D">
        <w:rPr>
          <w:rFonts w:ascii="Times New Roman" w:hAnsi="Times New Roman" w:cs="Times New Roman"/>
        </w:rPr>
        <w:t>celami dyrektywy 2019/944</w:t>
      </w:r>
      <w:r w:rsidR="00E8251F">
        <w:rPr>
          <w:rFonts w:ascii="Times New Roman" w:hAnsi="Times New Roman" w:cs="Times New Roman"/>
        </w:rPr>
        <w:t>;</w:t>
      </w:r>
    </w:p>
    <w:p w14:paraId="196C82B9" w14:textId="70E2D322" w:rsidR="000E38B9" w:rsidRPr="00215A1D" w:rsidRDefault="000E38B9" w:rsidP="00215A1D">
      <w:pPr>
        <w:pStyle w:val="PKTpunkt"/>
        <w:numPr>
          <w:ilvl w:val="0"/>
          <w:numId w:val="58"/>
        </w:numPr>
        <w:rPr>
          <w:rFonts w:ascii="Times New Roman" w:hAnsi="Times New Roman" w:cs="Times New Roman"/>
        </w:rPr>
      </w:pPr>
      <w:r w:rsidRPr="00215A1D">
        <w:rPr>
          <w:rFonts w:ascii="Times New Roman" w:hAnsi="Times New Roman" w:cs="Times New Roman"/>
        </w:rPr>
        <w:t>wprowadzić</w:t>
      </w:r>
      <w:r w:rsidR="00E8251F">
        <w:rPr>
          <w:rFonts w:ascii="Times New Roman" w:hAnsi="Times New Roman" w:cs="Times New Roman"/>
        </w:rPr>
        <w:t>,</w:t>
      </w:r>
      <w:r w:rsidRPr="00215A1D">
        <w:rPr>
          <w:rFonts w:ascii="Times New Roman" w:hAnsi="Times New Roman" w:cs="Times New Roman"/>
        </w:rPr>
        <w:t xml:space="preserve"> analogicznie jak w </w:t>
      </w:r>
      <w:r w:rsidR="001D0628">
        <w:rPr>
          <w:rFonts w:ascii="Times New Roman" w:hAnsi="Times New Roman" w:cs="Times New Roman"/>
        </w:rPr>
        <w:t>pkt 3</w:t>
      </w:r>
      <w:r w:rsidR="00E8251F">
        <w:rPr>
          <w:rFonts w:ascii="Times New Roman" w:hAnsi="Times New Roman" w:cs="Times New Roman"/>
        </w:rPr>
        <w:t>,</w:t>
      </w:r>
      <w:r w:rsidRPr="00215A1D">
        <w:rPr>
          <w:rFonts w:ascii="Times New Roman" w:hAnsi="Times New Roman" w:cs="Times New Roman"/>
        </w:rPr>
        <w:t xml:space="preserve"> system inteligentnego opomiarowania</w:t>
      </w:r>
      <w:r w:rsidR="00E56E5B">
        <w:rPr>
          <w:rFonts w:ascii="Times New Roman" w:hAnsi="Times New Roman" w:cs="Times New Roman"/>
        </w:rPr>
        <w:t>,</w:t>
      </w:r>
      <w:r w:rsidRPr="00215A1D">
        <w:rPr>
          <w:rFonts w:ascii="Times New Roman" w:hAnsi="Times New Roman" w:cs="Times New Roman"/>
        </w:rPr>
        <w:t xml:space="preserve"> </w:t>
      </w:r>
      <w:r w:rsidR="006D44F3" w:rsidRPr="00215A1D">
        <w:rPr>
          <w:rFonts w:ascii="Times New Roman" w:hAnsi="Times New Roman" w:cs="Times New Roman"/>
        </w:rPr>
        <w:t>lec</w:t>
      </w:r>
      <w:r w:rsidR="001D0628">
        <w:rPr>
          <w:rFonts w:ascii="Times New Roman" w:hAnsi="Times New Roman" w:cs="Times New Roman"/>
        </w:rPr>
        <w:t>z </w:t>
      </w:r>
      <w:r w:rsidRPr="00215A1D">
        <w:rPr>
          <w:rFonts w:ascii="Times New Roman" w:hAnsi="Times New Roman" w:cs="Times New Roman"/>
        </w:rPr>
        <w:t xml:space="preserve">w okresie 10 lat. </w:t>
      </w:r>
    </w:p>
    <w:p w14:paraId="72DFB85D" w14:textId="32C69B1A"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0E38B9" w:rsidRPr="00215A1D">
        <w:rPr>
          <w:rFonts w:ascii="Times New Roman" w:hAnsi="Times New Roman" w:cs="Times New Roman"/>
        </w:rPr>
        <w:t xml:space="preserve">Dla </w:t>
      </w:r>
      <w:r w:rsidR="009A1099" w:rsidRPr="00215A1D">
        <w:rPr>
          <w:rFonts w:ascii="Times New Roman" w:hAnsi="Times New Roman" w:cs="Times New Roman"/>
        </w:rPr>
        <w:t>rozwiąza</w:t>
      </w:r>
      <w:r w:rsidR="000E38B9" w:rsidRPr="00215A1D">
        <w:rPr>
          <w:rFonts w:ascii="Times New Roman" w:hAnsi="Times New Roman" w:cs="Times New Roman"/>
        </w:rPr>
        <w:t>ń</w:t>
      </w:r>
      <w:r w:rsidR="009A1099" w:rsidRPr="00215A1D">
        <w:rPr>
          <w:rFonts w:ascii="Times New Roman" w:hAnsi="Times New Roman" w:cs="Times New Roman"/>
        </w:rPr>
        <w:t xml:space="preserve"> wskazany</w:t>
      </w:r>
      <w:r w:rsidR="000E38B9" w:rsidRPr="00215A1D">
        <w:rPr>
          <w:rFonts w:ascii="Times New Roman" w:hAnsi="Times New Roman" w:cs="Times New Roman"/>
        </w:rPr>
        <w:t>ch</w:t>
      </w:r>
      <w:r w:rsidR="009A1099" w:rsidRPr="00215A1D">
        <w:rPr>
          <w:rFonts w:ascii="Times New Roman" w:hAnsi="Times New Roman" w:cs="Times New Roman"/>
        </w:rPr>
        <w:t xml:space="preserve"> w </w:t>
      </w:r>
      <w:r w:rsidR="001D0628">
        <w:rPr>
          <w:rFonts w:ascii="Times New Roman" w:hAnsi="Times New Roman" w:cs="Times New Roman"/>
        </w:rPr>
        <w:t>pkt 1</w:t>
      </w:r>
      <w:r w:rsidR="00E8251F">
        <w:rPr>
          <w:rFonts w:ascii="Times New Roman" w:hAnsi="Times New Roman" w:cs="Times New Roman"/>
        </w:rPr>
        <w:t xml:space="preserve"> </w:t>
      </w:r>
      <w:r w:rsidR="009A1099" w:rsidRPr="00215A1D">
        <w:rPr>
          <w:rFonts w:ascii="Times New Roman" w:hAnsi="Times New Roman" w:cs="Times New Roman"/>
        </w:rPr>
        <w:t>saldo korzyści</w:t>
      </w:r>
      <w:r w:rsidR="001D0628">
        <w:rPr>
          <w:rFonts w:ascii="Times New Roman" w:hAnsi="Times New Roman" w:cs="Times New Roman"/>
        </w:rPr>
        <w:t xml:space="preserve"> i </w:t>
      </w:r>
      <w:r w:rsidR="009A1099" w:rsidRPr="00215A1D">
        <w:rPr>
          <w:rFonts w:ascii="Times New Roman" w:hAnsi="Times New Roman" w:cs="Times New Roman"/>
        </w:rPr>
        <w:t>kosztów, zarówno w ujęciu finansowym</w:t>
      </w:r>
      <w:r w:rsidR="00E8251F">
        <w:rPr>
          <w:rFonts w:ascii="Times New Roman" w:hAnsi="Times New Roman" w:cs="Times New Roman"/>
        </w:rPr>
        <w:t>,</w:t>
      </w:r>
      <w:r w:rsidR="009A1099" w:rsidRPr="00215A1D">
        <w:rPr>
          <w:rFonts w:ascii="Times New Roman" w:hAnsi="Times New Roman" w:cs="Times New Roman"/>
        </w:rPr>
        <w:t xml:space="preserve"> jak</w:t>
      </w:r>
      <w:r w:rsidR="001D0628">
        <w:rPr>
          <w:rFonts w:ascii="Times New Roman" w:hAnsi="Times New Roman" w:cs="Times New Roman"/>
        </w:rPr>
        <w:t xml:space="preserve"> i </w:t>
      </w:r>
      <w:r w:rsidR="009A1099" w:rsidRPr="00215A1D">
        <w:rPr>
          <w:rFonts w:ascii="Times New Roman" w:hAnsi="Times New Roman" w:cs="Times New Roman"/>
        </w:rPr>
        <w:t xml:space="preserve">jakościowym, jest mniejsze niż w pkt </w:t>
      </w:r>
      <w:r w:rsidR="000E38B9" w:rsidRPr="00215A1D">
        <w:rPr>
          <w:rFonts w:ascii="Times New Roman" w:hAnsi="Times New Roman" w:cs="Times New Roman"/>
        </w:rPr>
        <w:t>4</w:t>
      </w:r>
      <w:r w:rsidR="009A1099" w:rsidRPr="00215A1D">
        <w:rPr>
          <w:rFonts w:ascii="Times New Roman" w:hAnsi="Times New Roman" w:cs="Times New Roman"/>
        </w:rPr>
        <w:t xml:space="preserve"> znajdującym odzwierciedlenie w projekcie założeń. Koszty związane </w:t>
      </w:r>
      <w:r w:rsidR="001D0628">
        <w:rPr>
          <w:rFonts w:ascii="Times New Roman" w:hAnsi="Times New Roman" w:cs="Times New Roman"/>
        </w:rPr>
        <w:t>z </w:t>
      </w:r>
      <w:r w:rsidR="009A1099" w:rsidRPr="00215A1D">
        <w:rPr>
          <w:rFonts w:ascii="Times New Roman" w:hAnsi="Times New Roman" w:cs="Times New Roman"/>
        </w:rPr>
        <w:t xml:space="preserve">utrzymaniem prawidłowego funkcjonowania </w:t>
      </w:r>
      <w:r w:rsidR="000E38B9" w:rsidRPr="00215A1D">
        <w:rPr>
          <w:rFonts w:ascii="Times New Roman" w:hAnsi="Times New Roman" w:cs="Times New Roman"/>
        </w:rPr>
        <w:t>obecnych liczników statycznych (elektronicznych)</w:t>
      </w:r>
      <w:r w:rsidR="00E56E5B">
        <w:rPr>
          <w:rFonts w:ascii="Times New Roman" w:hAnsi="Times New Roman" w:cs="Times New Roman"/>
        </w:rPr>
        <w:t xml:space="preserve"> </w:t>
      </w:r>
      <w:r w:rsidR="009A1099" w:rsidRPr="00215A1D">
        <w:rPr>
          <w:rFonts w:ascii="Times New Roman" w:hAnsi="Times New Roman" w:cs="Times New Roman"/>
        </w:rPr>
        <w:t>stanowią dużą część wydatków ponoszonych prze</w:t>
      </w:r>
      <w:r w:rsidR="001D0628">
        <w:rPr>
          <w:rFonts w:ascii="Times New Roman" w:hAnsi="Times New Roman" w:cs="Times New Roman"/>
        </w:rPr>
        <w:t>z </w:t>
      </w:r>
      <w:r w:rsidR="009A1099" w:rsidRPr="00215A1D">
        <w:rPr>
          <w:rFonts w:ascii="Times New Roman" w:hAnsi="Times New Roman" w:cs="Times New Roman"/>
        </w:rPr>
        <w:t>OSD. Na podstawie danych</w:t>
      </w:r>
      <w:r w:rsidR="00E8251F">
        <w:rPr>
          <w:rFonts w:ascii="Times New Roman" w:hAnsi="Times New Roman" w:cs="Times New Roman"/>
        </w:rPr>
        <w:t>,</w:t>
      </w:r>
      <w:r w:rsidR="00E56E5B">
        <w:rPr>
          <w:rFonts w:ascii="Times New Roman" w:hAnsi="Times New Roman" w:cs="Times New Roman"/>
        </w:rPr>
        <w:t xml:space="preserve"> </w:t>
      </w:r>
      <w:r w:rsidR="009A1099" w:rsidRPr="00215A1D">
        <w:rPr>
          <w:rFonts w:ascii="Times New Roman" w:hAnsi="Times New Roman" w:cs="Times New Roman"/>
        </w:rPr>
        <w:t>dostarczonych prze</w:t>
      </w:r>
      <w:r w:rsidR="001D0628">
        <w:rPr>
          <w:rFonts w:ascii="Times New Roman" w:hAnsi="Times New Roman" w:cs="Times New Roman"/>
        </w:rPr>
        <w:t>z </w:t>
      </w:r>
      <w:r w:rsidR="009A1099" w:rsidRPr="00215A1D">
        <w:rPr>
          <w:rFonts w:ascii="Times New Roman" w:hAnsi="Times New Roman" w:cs="Times New Roman"/>
        </w:rPr>
        <w:t>największych OSD, ustalono, że w latach 2019</w:t>
      </w:r>
      <w:r w:rsidR="00E56E5B" w:rsidRPr="00EF6F97">
        <w:rPr>
          <w:rFonts w:ascii="Times New Roman" w:hAnsi="Times New Roman" w:cs="Times New Roman"/>
          <w:szCs w:val="24"/>
        </w:rPr>
        <w:t>–</w:t>
      </w:r>
      <w:r w:rsidR="009A1099" w:rsidRPr="00215A1D">
        <w:rPr>
          <w:rFonts w:ascii="Times New Roman" w:hAnsi="Times New Roman" w:cs="Times New Roman"/>
        </w:rPr>
        <w:t xml:space="preserve">2028, przy utrzymaniu stanu istniejącego, koszt ten może osiągnąć łączną wysokość ok. 3 mld zł. Zachowanie modelu systemu pomiarowego opartego o liczniki statyczne spowoduje w perspektywie najbliższych dziesięciu lat zdecydowany wzrost kosztów związanych </w:t>
      </w:r>
      <w:r w:rsidR="001D0628">
        <w:rPr>
          <w:rFonts w:ascii="Times New Roman" w:hAnsi="Times New Roman" w:cs="Times New Roman"/>
        </w:rPr>
        <w:t>z </w:t>
      </w:r>
      <w:r w:rsidR="009A1099" w:rsidRPr="00215A1D">
        <w:rPr>
          <w:rFonts w:ascii="Times New Roman" w:hAnsi="Times New Roman" w:cs="Times New Roman"/>
        </w:rPr>
        <w:t>ich odczytem. Przy założeniu, że:</w:t>
      </w:r>
    </w:p>
    <w:p w14:paraId="0BB0BABB" w14:textId="77777777" w:rsidR="009A1099" w:rsidRPr="00215A1D" w:rsidRDefault="009A1099" w:rsidP="00E56E5B">
      <w:pPr>
        <w:pStyle w:val="PKTpunkt"/>
        <w:numPr>
          <w:ilvl w:val="0"/>
          <w:numId w:val="60"/>
        </w:numPr>
        <w:ind w:left="426"/>
        <w:rPr>
          <w:rFonts w:ascii="Times New Roman" w:hAnsi="Times New Roman" w:cs="Times New Roman"/>
        </w:rPr>
      </w:pPr>
      <w:r w:rsidRPr="00215A1D">
        <w:rPr>
          <w:rFonts w:ascii="Times New Roman" w:hAnsi="Times New Roman" w:cs="Times New Roman"/>
        </w:rPr>
        <w:t>podtrzymany zostanie inkasencki sposób zbierania informacji na temat ilości energii elektrycznej pobranej prze</w:t>
      </w:r>
      <w:r w:rsidR="001D0628">
        <w:rPr>
          <w:rFonts w:ascii="Times New Roman" w:hAnsi="Times New Roman" w:cs="Times New Roman"/>
        </w:rPr>
        <w:t>z </w:t>
      </w:r>
      <w:r w:rsidRPr="00215A1D">
        <w:rPr>
          <w:rFonts w:ascii="Times New Roman" w:hAnsi="Times New Roman" w:cs="Times New Roman"/>
        </w:rPr>
        <w:t xml:space="preserve">odbiorcę końcowego, </w:t>
      </w:r>
    </w:p>
    <w:p w14:paraId="15F83DA0" w14:textId="77777777" w:rsidR="009A282B" w:rsidRPr="00215A1D" w:rsidRDefault="009A282B" w:rsidP="00E56E5B">
      <w:pPr>
        <w:pStyle w:val="PKTpunkt"/>
        <w:numPr>
          <w:ilvl w:val="0"/>
          <w:numId w:val="60"/>
        </w:numPr>
        <w:ind w:left="426"/>
        <w:rPr>
          <w:rFonts w:ascii="Times New Roman" w:hAnsi="Times New Roman" w:cs="Times New Roman"/>
        </w:rPr>
      </w:pPr>
      <w:r w:rsidRPr="00215A1D">
        <w:rPr>
          <w:rFonts w:ascii="Times New Roman" w:hAnsi="Times New Roman" w:cs="Times New Roman"/>
        </w:rPr>
        <w:t xml:space="preserve">częstotliwość odczytu licznika uzależniona będzie od postanowień umowy zawartej ze sprzedawcą (obecnie może wahać się od 1 w miesiącu do 1 w roku), docelowo w wyniku wdrożenia wymagań </w:t>
      </w:r>
      <w:r w:rsidR="006D44F3" w:rsidRPr="00215A1D">
        <w:rPr>
          <w:rFonts w:ascii="Times New Roman" w:hAnsi="Times New Roman" w:cs="Times New Roman"/>
        </w:rPr>
        <w:t xml:space="preserve">przepisów unijnych </w:t>
      </w:r>
      <w:r w:rsidRPr="00215A1D">
        <w:rPr>
          <w:rFonts w:ascii="Times New Roman" w:hAnsi="Times New Roman" w:cs="Times New Roman"/>
        </w:rPr>
        <w:t>będzie musiała wynosić c</w:t>
      </w:r>
      <w:r w:rsidR="000E38B9" w:rsidRPr="00215A1D">
        <w:rPr>
          <w:rFonts w:ascii="Times New Roman" w:hAnsi="Times New Roman" w:cs="Times New Roman"/>
        </w:rPr>
        <w:t>o najmniej dwa razy w roku lub 4 na żądanie odbiorcy końcowego,</w:t>
      </w:r>
    </w:p>
    <w:p w14:paraId="6F60E49C" w14:textId="77777777" w:rsidR="009A1099" w:rsidRPr="00215A1D" w:rsidRDefault="00C96863" w:rsidP="00E56E5B">
      <w:pPr>
        <w:pStyle w:val="PKTpunkt"/>
        <w:numPr>
          <w:ilvl w:val="0"/>
          <w:numId w:val="60"/>
        </w:numPr>
        <w:ind w:left="426"/>
        <w:rPr>
          <w:rFonts w:ascii="Times New Roman" w:hAnsi="Times New Roman" w:cs="Times New Roman"/>
        </w:rPr>
      </w:pPr>
      <w:r w:rsidRPr="00215A1D">
        <w:rPr>
          <w:rFonts w:ascii="Times New Roman" w:hAnsi="Times New Roman" w:cs="Times New Roman"/>
        </w:rPr>
        <w:t>liczba</w:t>
      </w:r>
      <w:r w:rsidR="009A1099" w:rsidRPr="00215A1D">
        <w:rPr>
          <w:rFonts w:ascii="Times New Roman" w:hAnsi="Times New Roman" w:cs="Times New Roman"/>
        </w:rPr>
        <w:t xml:space="preserve"> odczytów będzie wprost proporcjonalnie powiązana </w:t>
      </w:r>
      <w:r w:rsidR="001D0628">
        <w:rPr>
          <w:rFonts w:ascii="Times New Roman" w:hAnsi="Times New Roman" w:cs="Times New Roman"/>
        </w:rPr>
        <w:t>z </w:t>
      </w:r>
      <w:r w:rsidR="009A1099" w:rsidRPr="00215A1D">
        <w:rPr>
          <w:rFonts w:ascii="Times New Roman" w:hAnsi="Times New Roman" w:cs="Times New Roman"/>
        </w:rPr>
        <w:t>wysokością opłaty abonamentowej</w:t>
      </w:r>
      <w:r w:rsidR="009A282B" w:rsidRPr="00215A1D">
        <w:rPr>
          <w:rFonts w:ascii="Times New Roman" w:hAnsi="Times New Roman" w:cs="Times New Roman"/>
        </w:rPr>
        <w:t>,</w:t>
      </w:r>
    </w:p>
    <w:p w14:paraId="732F2B6E" w14:textId="67D80F91" w:rsidR="009A1099" w:rsidRPr="00215A1D" w:rsidRDefault="00E56E5B" w:rsidP="00EF6F97">
      <w:pPr>
        <w:pStyle w:val="USTustnpkodeksu"/>
        <w:ind w:firstLine="0"/>
        <w:rPr>
          <w:rFonts w:ascii="Times New Roman" w:hAnsi="Times New Roman" w:cs="Times New Roman"/>
        </w:rPr>
      </w:pPr>
      <w:r w:rsidRPr="00EF6F97">
        <w:rPr>
          <w:rFonts w:ascii="Times New Roman" w:hAnsi="Times New Roman" w:cs="Times New Roman"/>
          <w:szCs w:val="24"/>
        </w:rPr>
        <w:t>–</w:t>
      </w:r>
      <w:r w:rsidR="009A1099" w:rsidRPr="00215A1D">
        <w:rPr>
          <w:rFonts w:ascii="Times New Roman" w:hAnsi="Times New Roman" w:cs="Times New Roman"/>
        </w:rPr>
        <w:t xml:space="preserve"> to koszty związane </w:t>
      </w:r>
      <w:r w:rsidR="001D0628">
        <w:rPr>
          <w:rFonts w:ascii="Times New Roman" w:hAnsi="Times New Roman" w:cs="Times New Roman"/>
        </w:rPr>
        <w:t>z </w:t>
      </w:r>
      <w:r w:rsidR="009A1099" w:rsidRPr="00215A1D">
        <w:rPr>
          <w:rFonts w:ascii="Times New Roman" w:hAnsi="Times New Roman" w:cs="Times New Roman"/>
        </w:rPr>
        <w:t>odczytem liczników statycznych w latach 2019</w:t>
      </w:r>
      <w:r w:rsidRPr="00EF6F97">
        <w:rPr>
          <w:rFonts w:ascii="Times New Roman" w:hAnsi="Times New Roman" w:cs="Times New Roman"/>
          <w:szCs w:val="24"/>
        </w:rPr>
        <w:t>–</w:t>
      </w:r>
      <w:r w:rsidR="009A1099" w:rsidRPr="00215A1D">
        <w:rPr>
          <w:rFonts w:ascii="Times New Roman" w:hAnsi="Times New Roman" w:cs="Times New Roman"/>
        </w:rPr>
        <w:t xml:space="preserve">2028 mogą osiągnąć wartość ok. </w:t>
      </w:r>
      <w:r w:rsidR="004D00B7" w:rsidRPr="00215A1D">
        <w:rPr>
          <w:rFonts w:ascii="Times New Roman" w:hAnsi="Times New Roman" w:cs="Times New Roman"/>
        </w:rPr>
        <w:t>2,5</w:t>
      </w:r>
      <w:r w:rsidR="009A1099" w:rsidRPr="00215A1D">
        <w:rPr>
          <w:rFonts w:ascii="Times New Roman" w:hAnsi="Times New Roman" w:cs="Times New Roman"/>
        </w:rPr>
        <w:t xml:space="preserve"> mld zł</w:t>
      </w:r>
      <w:r w:rsidR="00306D56" w:rsidRPr="00215A1D">
        <w:rPr>
          <w:rFonts w:ascii="Times New Roman" w:hAnsi="Times New Roman" w:cs="Times New Roman"/>
        </w:rPr>
        <w:t>.</w:t>
      </w:r>
      <w:r w:rsidR="000E38B9" w:rsidRPr="00215A1D">
        <w:rPr>
          <w:rFonts w:ascii="Times New Roman" w:hAnsi="Times New Roman" w:cs="Times New Roman"/>
        </w:rPr>
        <w:t xml:space="preserve"> Przy utrzymaniu dzisiejszego modelu, ponoszeniu tych kosztów nie będą towarzyszyć korzyści opisane wyżej dla systemy inteligentnego opomiarowania. </w:t>
      </w:r>
    </w:p>
    <w:p w14:paraId="73A2176A" w14:textId="37E926F8" w:rsidR="000E38B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4E0D73" w:rsidRPr="00215A1D">
        <w:rPr>
          <w:rFonts w:ascii="Times New Roman" w:hAnsi="Times New Roman" w:cs="Times New Roman"/>
        </w:rPr>
        <w:t>Efekty rozwiązania</w:t>
      </w:r>
      <w:r w:rsidR="000E38B9" w:rsidRPr="00215A1D">
        <w:rPr>
          <w:rFonts w:ascii="Times New Roman" w:hAnsi="Times New Roman" w:cs="Times New Roman"/>
        </w:rPr>
        <w:t xml:space="preserve"> określone</w:t>
      </w:r>
      <w:r w:rsidR="004E0D73" w:rsidRPr="00215A1D">
        <w:rPr>
          <w:rFonts w:ascii="Times New Roman" w:hAnsi="Times New Roman" w:cs="Times New Roman"/>
        </w:rPr>
        <w:t>go</w:t>
      </w:r>
      <w:r w:rsidR="000E38B9" w:rsidRPr="00215A1D">
        <w:rPr>
          <w:rFonts w:ascii="Times New Roman" w:hAnsi="Times New Roman" w:cs="Times New Roman"/>
        </w:rPr>
        <w:t xml:space="preserve"> w </w:t>
      </w:r>
      <w:r w:rsidR="001D0628">
        <w:rPr>
          <w:rFonts w:ascii="Times New Roman" w:hAnsi="Times New Roman" w:cs="Times New Roman"/>
        </w:rPr>
        <w:t>pkt 2</w:t>
      </w:r>
      <w:r w:rsidR="00D27428">
        <w:rPr>
          <w:rFonts w:ascii="Times New Roman" w:hAnsi="Times New Roman" w:cs="Times New Roman"/>
        </w:rPr>
        <w:t xml:space="preserve"> </w:t>
      </w:r>
      <w:r w:rsidR="004E0D73" w:rsidRPr="00215A1D">
        <w:rPr>
          <w:rFonts w:ascii="Times New Roman" w:hAnsi="Times New Roman" w:cs="Times New Roman"/>
        </w:rPr>
        <w:t>będą zbliżone</w:t>
      </w:r>
      <w:r w:rsidR="00D27428">
        <w:rPr>
          <w:rFonts w:ascii="Times New Roman" w:hAnsi="Times New Roman" w:cs="Times New Roman"/>
        </w:rPr>
        <w:t xml:space="preserve"> </w:t>
      </w:r>
      <w:r w:rsidR="004E0D73" w:rsidRPr="00215A1D">
        <w:rPr>
          <w:rFonts w:ascii="Times New Roman" w:hAnsi="Times New Roman" w:cs="Times New Roman"/>
        </w:rPr>
        <w:t xml:space="preserve">do ww. efektów właściwych dla rozwiązania </w:t>
      </w:r>
      <w:r w:rsidR="001D0628">
        <w:rPr>
          <w:rFonts w:ascii="Times New Roman" w:hAnsi="Times New Roman" w:cs="Times New Roman"/>
        </w:rPr>
        <w:t>z pkt 1</w:t>
      </w:r>
      <w:r w:rsidR="004E0D73" w:rsidRPr="00215A1D">
        <w:rPr>
          <w:rFonts w:ascii="Times New Roman" w:hAnsi="Times New Roman" w:cs="Times New Roman"/>
        </w:rPr>
        <w:t>. Różnica będzie polegała na tym, że wystąpią punktowe instalacje liczników zdalnego odczytu, których koszty instalacji</w:t>
      </w:r>
      <w:r w:rsidR="001D0628">
        <w:rPr>
          <w:rFonts w:ascii="Times New Roman" w:hAnsi="Times New Roman" w:cs="Times New Roman"/>
        </w:rPr>
        <w:t xml:space="preserve"> i </w:t>
      </w:r>
      <w:r w:rsidR="004E0D73" w:rsidRPr="00215A1D">
        <w:rPr>
          <w:rFonts w:ascii="Times New Roman" w:hAnsi="Times New Roman" w:cs="Times New Roman"/>
        </w:rPr>
        <w:t xml:space="preserve">koszty eksploatacji </w:t>
      </w:r>
      <w:r w:rsidR="001D0628">
        <w:rPr>
          <w:rFonts w:ascii="Times New Roman" w:hAnsi="Times New Roman" w:cs="Times New Roman"/>
        </w:rPr>
        <w:t>z </w:t>
      </w:r>
      <w:r w:rsidR="004E0D73" w:rsidRPr="00215A1D">
        <w:rPr>
          <w:rFonts w:ascii="Times New Roman" w:hAnsi="Times New Roman" w:cs="Times New Roman"/>
        </w:rPr>
        <w:t xml:space="preserve">racji ich </w:t>
      </w:r>
      <w:r w:rsidR="004E0D73" w:rsidRPr="00215A1D">
        <w:rPr>
          <w:rFonts w:ascii="Times New Roman" w:hAnsi="Times New Roman" w:cs="Times New Roman"/>
        </w:rPr>
        <w:lastRenderedPageBreak/>
        <w:t>rozproszenia będą droższe (wykorzystanie najtańszej technologii PLC</w:t>
      </w:r>
      <w:r w:rsidR="00E56E5B">
        <w:rPr>
          <w:rFonts w:ascii="Times New Roman" w:hAnsi="Times New Roman" w:cs="Times New Roman"/>
        </w:rPr>
        <w:t>,</w:t>
      </w:r>
      <w:r w:rsidR="004E0D73" w:rsidRPr="00215A1D">
        <w:rPr>
          <w:rFonts w:ascii="Times New Roman" w:hAnsi="Times New Roman" w:cs="Times New Roman"/>
        </w:rPr>
        <w:t xml:space="preserve"> tj. wykorzystującej linie niskiego napięcia do przesyłania sygnałów będzie nieopłacalne, gdyż wymaga dodatkowych urządzeń do odbioru sygnałów (koncentratorów), które zazwyczaj obsługują duże grupy liczników zdalnego odczytu</w:t>
      </w:r>
      <w:r w:rsidR="00D27428">
        <w:rPr>
          <w:rFonts w:ascii="Times New Roman" w:hAnsi="Times New Roman" w:cs="Times New Roman"/>
        </w:rPr>
        <w:t>)</w:t>
      </w:r>
      <w:r w:rsidR="004E0D73" w:rsidRPr="00215A1D">
        <w:rPr>
          <w:rFonts w:ascii="Times New Roman" w:hAnsi="Times New Roman" w:cs="Times New Roman"/>
        </w:rPr>
        <w:t>. Ponadto nie zostaną osiągnięte korzyści skali zarówno przy zakupie urządzeń</w:t>
      </w:r>
      <w:r w:rsidR="00E56E5B">
        <w:rPr>
          <w:rFonts w:ascii="Times New Roman" w:hAnsi="Times New Roman" w:cs="Times New Roman"/>
        </w:rPr>
        <w:t>,</w:t>
      </w:r>
      <w:r w:rsidR="004E0D73" w:rsidRPr="00215A1D">
        <w:rPr>
          <w:rFonts w:ascii="Times New Roman" w:hAnsi="Times New Roman" w:cs="Times New Roman"/>
        </w:rPr>
        <w:t xml:space="preserve"> jak</w:t>
      </w:r>
      <w:r w:rsidR="001D0628">
        <w:rPr>
          <w:rFonts w:ascii="Times New Roman" w:hAnsi="Times New Roman" w:cs="Times New Roman"/>
        </w:rPr>
        <w:t xml:space="preserve"> i </w:t>
      </w:r>
      <w:r w:rsidR="004E0D73" w:rsidRPr="00215A1D">
        <w:rPr>
          <w:rFonts w:ascii="Times New Roman" w:hAnsi="Times New Roman" w:cs="Times New Roman"/>
        </w:rPr>
        <w:t>ich instalacji. Adek</w:t>
      </w:r>
      <w:r w:rsidR="006D44F3" w:rsidRPr="00215A1D">
        <w:rPr>
          <w:rFonts w:ascii="Times New Roman" w:hAnsi="Times New Roman" w:cs="Times New Roman"/>
        </w:rPr>
        <w:t>watne do skali rozpowszechnienia</w:t>
      </w:r>
      <w:r w:rsidR="004E0D73" w:rsidRPr="00215A1D">
        <w:rPr>
          <w:rFonts w:ascii="Times New Roman" w:hAnsi="Times New Roman" w:cs="Times New Roman"/>
        </w:rPr>
        <w:t xml:space="preserve"> będą też możliwe do uzyskania korzyści, przy czym korzyści wynikające </w:t>
      </w:r>
      <w:r w:rsidR="001D0628">
        <w:rPr>
          <w:rFonts w:ascii="Times New Roman" w:hAnsi="Times New Roman" w:cs="Times New Roman"/>
        </w:rPr>
        <w:t>z </w:t>
      </w:r>
      <w:r w:rsidR="004E0D73" w:rsidRPr="00215A1D">
        <w:rPr>
          <w:rFonts w:ascii="Times New Roman" w:hAnsi="Times New Roman" w:cs="Times New Roman"/>
        </w:rPr>
        <w:t>kompletności obszarowych wdrożeń nie będą możliwe do uzyskania (np. eliminacja strat handlowych).</w:t>
      </w:r>
    </w:p>
    <w:p w14:paraId="2C693279" w14:textId="33A6C526" w:rsidR="008B4A71"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4E0D73" w:rsidRPr="00215A1D">
        <w:rPr>
          <w:rFonts w:ascii="Times New Roman" w:hAnsi="Times New Roman" w:cs="Times New Roman"/>
        </w:rPr>
        <w:t xml:space="preserve">Dla rozwiązania określonego w </w:t>
      </w:r>
      <w:r w:rsidR="001D0628">
        <w:rPr>
          <w:rFonts w:ascii="Times New Roman" w:hAnsi="Times New Roman" w:cs="Times New Roman"/>
        </w:rPr>
        <w:t>pkt 3</w:t>
      </w:r>
      <w:r w:rsidR="00D27428">
        <w:rPr>
          <w:rFonts w:ascii="Times New Roman" w:hAnsi="Times New Roman" w:cs="Times New Roman"/>
        </w:rPr>
        <w:t xml:space="preserve"> </w:t>
      </w:r>
      <w:r w:rsidR="001D0628">
        <w:rPr>
          <w:rFonts w:ascii="Times New Roman" w:hAnsi="Times New Roman" w:cs="Times New Roman"/>
        </w:rPr>
        <w:t>z </w:t>
      </w:r>
      <w:r w:rsidR="008B4A71" w:rsidRPr="00215A1D">
        <w:rPr>
          <w:rFonts w:ascii="Times New Roman" w:hAnsi="Times New Roman" w:cs="Times New Roman"/>
        </w:rPr>
        <w:t>przeprowadzonych szacunków wynika, iż przy założeniu, że:</w:t>
      </w:r>
    </w:p>
    <w:p w14:paraId="5AC21443" w14:textId="3B920CE8" w:rsidR="008B4A71" w:rsidRPr="00215A1D" w:rsidRDefault="004E0D73" w:rsidP="00215A1D">
      <w:pPr>
        <w:pStyle w:val="USTustnpkodeksu"/>
        <w:numPr>
          <w:ilvl w:val="1"/>
          <w:numId w:val="62"/>
        </w:numPr>
        <w:ind w:left="426"/>
        <w:rPr>
          <w:rFonts w:ascii="Times New Roman" w:hAnsi="Times New Roman" w:cs="Times New Roman"/>
        </w:rPr>
      </w:pPr>
      <w:r w:rsidRPr="00215A1D">
        <w:rPr>
          <w:rFonts w:ascii="Times New Roman" w:hAnsi="Times New Roman" w:cs="Times New Roman"/>
        </w:rPr>
        <w:t>Utworzenie</w:t>
      </w:r>
      <w:r w:rsidR="00D27428">
        <w:rPr>
          <w:rFonts w:ascii="Times New Roman" w:hAnsi="Times New Roman" w:cs="Times New Roman"/>
        </w:rPr>
        <w:t xml:space="preserve"> </w:t>
      </w:r>
      <w:r w:rsidRPr="00215A1D">
        <w:rPr>
          <w:rFonts w:ascii="Times New Roman" w:hAnsi="Times New Roman" w:cs="Times New Roman"/>
        </w:rPr>
        <w:t xml:space="preserve">centralnego systemu informacji rynku energii </w:t>
      </w:r>
      <w:r w:rsidR="008B4A71" w:rsidRPr="00215A1D">
        <w:rPr>
          <w:rFonts w:ascii="Times New Roman" w:hAnsi="Times New Roman" w:cs="Times New Roman"/>
        </w:rPr>
        <w:t>nastąpi w drugiej połowie 2022</w:t>
      </w:r>
      <w:r w:rsidR="00E56E5B">
        <w:rPr>
          <w:rFonts w:ascii="Times New Roman" w:hAnsi="Times New Roman" w:cs="Times New Roman"/>
        </w:rPr>
        <w:t> </w:t>
      </w:r>
      <w:r w:rsidR="008B4A71" w:rsidRPr="00215A1D">
        <w:rPr>
          <w:rFonts w:ascii="Times New Roman" w:hAnsi="Times New Roman" w:cs="Times New Roman"/>
        </w:rPr>
        <w:t>r</w:t>
      </w:r>
      <w:r w:rsidR="00D27428">
        <w:rPr>
          <w:rFonts w:ascii="Times New Roman" w:hAnsi="Times New Roman" w:cs="Times New Roman"/>
        </w:rPr>
        <w:t>.</w:t>
      </w:r>
      <w:r w:rsidR="008B4A71" w:rsidRPr="00215A1D">
        <w:rPr>
          <w:rFonts w:ascii="Times New Roman" w:hAnsi="Times New Roman" w:cs="Times New Roman"/>
        </w:rPr>
        <w:t>,</w:t>
      </w:r>
    </w:p>
    <w:p w14:paraId="6290330B" w14:textId="66DA1CDE" w:rsidR="008B4A71" w:rsidRPr="00215A1D" w:rsidRDefault="008B4A71" w:rsidP="00215A1D">
      <w:pPr>
        <w:pStyle w:val="USTustnpkodeksu"/>
        <w:numPr>
          <w:ilvl w:val="1"/>
          <w:numId w:val="62"/>
        </w:numPr>
        <w:ind w:left="426"/>
        <w:rPr>
          <w:rFonts w:ascii="Times New Roman" w:hAnsi="Times New Roman" w:cs="Times New Roman"/>
        </w:rPr>
      </w:pPr>
      <w:r w:rsidRPr="00215A1D">
        <w:rPr>
          <w:rFonts w:ascii="Times New Roman" w:hAnsi="Times New Roman" w:cs="Times New Roman"/>
        </w:rPr>
        <w:t>Sprzedawcy ora</w:t>
      </w:r>
      <w:r w:rsidR="001D0628">
        <w:rPr>
          <w:rFonts w:ascii="Times New Roman" w:hAnsi="Times New Roman" w:cs="Times New Roman"/>
        </w:rPr>
        <w:t>z </w:t>
      </w:r>
      <w:r w:rsidRPr="00215A1D">
        <w:rPr>
          <w:rFonts w:ascii="Times New Roman" w:hAnsi="Times New Roman" w:cs="Times New Roman"/>
        </w:rPr>
        <w:t>odbiorcy końcowi zaczną osiągać wymierne korzyści wra</w:t>
      </w:r>
      <w:r w:rsidR="001D0628">
        <w:rPr>
          <w:rFonts w:ascii="Times New Roman" w:hAnsi="Times New Roman" w:cs="Times New Roman"/>
        </w:rPr>
        <w:t>z z </w:t>
      </w:r>
      <w:r w:rsidRPr="00215A1D">
        <w:rPr>
          <w:rFonts w:ascii="Times New Roman" w:hAnsi="Times New Roman" w:cs="Times New Roman"/>
        </w:rPr>
        <w:t>funkcjonalnym uruchomieniem CSIRE</w:t>
      </w:r>
      <w:r w:rsidR="00E56E5B">
        <w:rPr>
          <w:rFonts w:ascii="Times New Roman" w:hAnsi="Times New Roman" w:cs="Times New Roman"/>
        </w:rPr>
        <w:t>,</w:t>
      </w:r>
      <w:r w:rsidRPr="00215A1D">
        <w:rPr>
          <w:rFonts w:ascii="Times New Roman" w:hAnsi="Times New Roman" w:cs="Times New Roman"/>
        </w:rPr>
        <w:t xml:space="preserve"> </w:t>
      </w:r>
      <w:r w:rsidR="00A166BB" w:rsidRPr="00215A1D">
        <w:rPr>
          <w:rFonts w:ascii="Times New Roman" w:hAnsi="Times New Roman" w:cs="Times New Roman"/>
        </w:rPr>
        <w:t xml:space="preserve">tj. począwszy od </w:t>
      </w:r>
      <w:r w:rsidRPr="00215A1D">
        <w:rPr>
          <w:rFonts w:ascii="Times New Roman" w:hAnsi="Times New Roman" w:cs="Times New Roman"/>
        </w:rPr>
        <w:t>202</w:t>
      </w:r>
      <w:r w:rsidR="004D00B7" w:rsidRPr="00215A1D">
        <w:rPr>
          <w:rFonts w:ascii="Times New Roman" w:hAnsi="Times New Roman" w:cs="Times New Roman"/>
        </w:rPr>
        <w:t>3</w:t>
      </w:r>
      <w:r w:rsidRPr="00215A1D">
        <w:rPr>
          <w:rFonts w:ascii="Times New Roman" w:hAnsi="Times New Roman" w:cs="Times New Roman"/>
        </w:rPr>
        <w:t xml:space="preserve"> r</w:t>
      </w:r>
      <w:r w:rsidR="00D27428">
        <w:rPr>
          <w:rFonts w:ascii="Times New Roman" w:hAnsi="Times New Roman" w:cs="Times New Roman"/>
        </w:rPr>
        <w:t>.</w:t>
      </w:r>
      <w:r w:rsidRPr="00215A1D">
        <w:rPr>
          <w:rFonts w:ascii="Times New Roman" w:hAnsi="Times New Roman" w:cs="Times New Roman"/>
        </w:rPr>
        <w:t>,</w:t>
      </w:r>
    </w:p>
    <w:p w14:paraId="51030BA1" w14:textId="77777777" w:rsidR="008B4A71" w:rsidRPr="00215A1D" w:rsidRDefault="008B4A71" w:rsidP="00215A1D">
      <w:pPr>
        <w:pStyle w:val="USTustnpkodeksu"/>
        <w:numPr>
          <w:ilvl w:val="1"/>
          <w:numId w:val="62"/>
        </w:numPr>
        <w:ind w:left="426"/>
        <w:rPr>
          <w:rFonts w:ascii="Times New Roman" w:hAnsi="Times New Roman" w:cs="Times New Roman"/>
        </w:rPr>
      </w:pPr>
      <w:r w:rsidRPr="00215A1D">
        <w:rPr>
          <w:rFonts w:ascii="Times New Roman" w:hAnsi="Times New Roman" w:cs="Times New Roman"/>
        </w:rPr>
        <w:t>Utrzymany zostanie ośmioletni cykl legalizacyjny,</w:t>
      </w:r>
    </w:p>
    <w:p w14:paraId="7CE20922" w14:textId="77777777" w:rsidR="008B4A71" w:rsidRPr="00215A1D" w:rsidRDefault="008B4A71" w:rsidP="00215A1D">
      <w:pPr>
        <w:pStyle w:val="USTustnpkodeksu"/>
        <w:numPr>
          <w:ilvl w:val="1"/>
          <w:numId w:val="62"/>
        </w:numPr>
        <w:ind w:left="426"/>
        <w:rPr>
          <w:rFonts w:ascii="Times New Roman" w:hAnsi="Times New Roman" w:cs="Times New Roman"/>
        </w:rPr>
      </w:pPr>
      <w:r w:rsidRPr="00215A1D">
        <w:rPr>
          <w:rFonts w:ascii="Times New Roman" w:hAnsi="Times New Roman" w:cs="Times New Roman"/>
        </w:rPr>
        <w:t xml:space="preserve">Utrzymana zostanie ośmioletnia amortyzacja dla nowo zainstalowanych liczników (w ujęciu kosztowym zsynchronizowana </w:t>
      </w:r>
      <w:r w:rsidR="001D0628">
        <w:rPr>
          <w:rFonts w:ascii="Times New Roman" w:hAnsi="Times New Roman" w:cs="Times New Roman"/>
        </w:rPr>
        <w:t>z </w:t>
      </w:r>
      <w:r w:rsidRPr="00215A1D">
        <w:rPr>
          <w:rFonts w:ascii="Times New Roman" w:hAnsi="Times New Roman" w:cs="Times New Roman"/>
        </w:rPr>
        <w:t>procesem legalizacji, jako działanie optymalizacyjne OSD),</w:t>
      </w:r>
    </w:p>
    <w:p w14:paraId="068561E7" w14:textId="0DCD00C6" w:rsidR="008B4A71" w:rsidRPr="00215A1D" w:rsidRDefault="008B4A71" w:rsidP="00215A1D">
      <w:pPr>
        <w:pStyle w:val="USTustnpkodeksu"/>
        <w:numPr>
          <w:ilvl w:val="1"/>
          <w:numId w:val="62"/>
        </w:numPr>
        <w:ind w:left="426"/>
        <w:rPr>
          <w:rFonts w:ascii="Times New Roman" w:hAnsi="Times New Roman" w:cs="Times New Roman"/>
        </w:rPr>
      </w:pPr>
      <w:r w:rsidRPr="00215A1D">
        <w:rPr>
          <w:rFonts w:ascii="Times New Roman" w:hAnsi="Times New Roman" w:cs="Times New Roman"/>
        </w:rPr>
        <w:t>Ceny liczników ora</w:t>
      </w:r>
      <w:r w:rsidR="001D0628">
        <w:rPr>
          <w:rFonts w:ascii="Times New Roman" w:hAnsi="Times New Roman" w:cs="Times New Roman"/>
        </w:rPr>
        <w:t>z </w:t>
      </w:r>
      <w:r w:rsidRPr="00215A1D">
        <w:rPr>
          <w:rFonts w:ascii="Times New Roman" w:hAnsi="Times New Roman" w:cs="Times New Roman"/>
        </w:rPr>
        <w:t xml:space="preserve">koncentratorów </w:t>
      </w:r>
      <w:r w:rsidR="001D0628">
        <w:rPr>
          <w:rFonts w:ascii="Times New Roman" w:hAnsi="Times New Roman" w:cs="Times New Roman"/>
        </w:rPr>
        <w:t>z </w:t>
      </w:r>
      <w:r w:rsidRPr="00215A1D">
        <w:rPr>
          <w:rFonts w:ascii="Times New Roman" w:hAnsi="Times New Roman" w:cs="Times New Roman"/>
        </w:rPr>
        <w:t xml:space="preserve">uwagi na </w:t>
      </w:r>
      <w:r w:rsidR="004D00B7" w:rsidRPr="00215A1D">
        <w:rPr>
          <w:rFonts w:ascii="Times New Roman" w:hAnsi="Times New Roman" w:cs="Times New Roman"/>
        </w:rPr>
        <w:t>znaczny wzrost popytu</w:t>
      </w:r>
      <w:r w:rsidR="001D0628">
        <w:rPr>
          <w:rFonts w:ascii="Times New Roman" w:hAnsi="Times New Roman" w:cs="Times New Roman"/>
        </w:rPr>
        <w:t xml:space="preserve"> i </w:t>
      </w:r>
      <w:r w:rsidR="005260EE" w:rsidRPr="00215A1D">
        <w:rPr>
          <w:rFonts w:ascii="Times New Roman" w:hAnsi="Times New Roman" w:cs="Times New Roman"/>
        </w:rPr>
        <w:t>możliwą ograniczoną zdolność producentów do jego zaspokojenia</w:t>
      </w:r>
      <w:r w:rsidRPr="00215A1D">
        <w:rPr>
          <w:rFonts w:ascii="Times New Roman" w:hAnsi="Times New Roman" w:cs="Times New Roman"/>
        </w:rPr>
        <w:t>w ciągu pierwszych 3 lat wdrożenia wzrosną o łącznie 10%</w:t>
      </w:r>
      <w:r w:rsidR="001D0628">
        <w:rPr>
          <w:rFonts w:ascii="Times New Roman" w:hAnsi="Times New Roman" w:cs="Times New Roman"/>
        </w:rPr>
        <w:t xml:space="preserve"> i </w:t>
      </w:r>
      <w:r w:rsidRPr="00215A1D">
        <w:rPr>
          <w:rFonts w:ascii="Times New Roman" w:hAnsi="Times New Roman" w:cs="Times New Roman"/>
        </w:rPr>
        <w:t>do końca 2023 r</w:t>
      </w:r>
      <w:r w:rsidR="00D27428">
        <w:rPr>
          <w:rFonts w:ascii="Times New Roman" w:hAnsi="Times New Roman" w:cs="Times New Roman"/>
        </w:rPr>
        <w:t>.</w:t>
      </w:r>
      <w:r w:rsidRPr="00215A1D">
        <w:rPr>
          <w:rFonts w:ascii="Times New Roman" w:hAnsi="Times New Roman" w:cs="Times New Roman"/>
        </w:rPr>
        <w:t xml:space="preserve"> nie zmniejszą się,</w:t>
      </w:r>
    </w:p>
    <w:p w14:paraId="46099AD5" w14:textId="4630B5F0" w:rsidR="008B4A71" w:rsidRPr="00215A1D" w:rsidRDefault="008B4A71" w:rsidP="00215A1D">
      <w:pPr>
        <w:pStyle w:val="USTustnpkodeksu"/>
        <w:numPr>
          <w:ilvl w:val="1"/>
          <w:numId w:val="62"/>
        </w:numPr>
        <w:ind w:left="426"/>
        <w:rPr>
          <w:rFonts w:ascii="Times New Roman" w:hAnsi="Times New Roman" w:cs="Times New Roman"/>
        </w:rPr>
      </w:pPr>
      <w:r w:rsidRPr="00215A1D">
        <w:rPr>
          <w:rFonts w:ascii="Times New Roman" w:hAnsi="Times New Roman" w:cs="Times New Roman"/>
        </w:rPr>
        <w:t>Skrócenie czasu wdrożenia znacząco wpłynie na budżety OSD to korzyści osiągane prze</w:t>
      </w:r>
      <w:r w:rsidR="001D0628">
        <w:rPr>
          <w:rFonts w:ascii="Times New Roman" w:hAnsi="Times New Roman" w:cs="Times New Roman"/>
        </w:rPr>
        <w:t>z </w:t>
      </w:r>
      <w:r w:rsidRPr="00215A1D">
        <w:rPr>
          <w:rFonts w:ascii="Times New Roman" w:hAnsi="Times New Roman" w:cs="Times New Roman"/>
        </w:rPr>
        <w:t>nich w obszarze redukcji liczby odczytów realizowanych w trybie inkasenckim</w:t>
      </w:r>
      <w:r w:rsidR="00D27428">
        <w:rPr>
          <w:rFonts w:ascii="Times New Roman" w:hAnsi="Times New Roman" w:cs="Times New Roman"/>
        </w:rPr>
        <w:t>,</w:t>
      </w:r>
      <w:r w:rsidRPr="00215A1D">
        <w:rPr>
          <w:rFonts w:ascii="Times New Roman" w:hAnsi="Times New Roman" w:cs="Times New Roman"/>
        </w:rPr>
        <w:t xml:space="preserve"> jak również redukcji strat handlowych</w:t>
      </w:r>
      <w:r w:rsidR="001D0628">
        <w:rPr>
          <w:rFonts w:ascii="Times New Roman" w:hAnsi="Times New Roman" w:cs="Times New Roman"/>
        </w:rPr>
        <w:t xml:space="preserve"> i </w:t>
      </w:r>
      <w:r w:rsidRPr="00215A1D">
        <w:rPr>
          <w:rFonts w:ascii="Times New Roman" w:hAnsi="Times New Roman" w:cs="Times New Roman"/>
        </w:rPr>
        <w:t>technicznych zostaną w mniejszym zakresie przeniesione na odbiorców końcowych</w:t>
      </w:r>
      <w:r w:rsidR="001D0628">
        <w:rPr>
          <w:rFonts w:ascii="Times New Roman" w:hAnsi="Times New Roman" w:cs="Times New Roman"/>
        </w:rPr>
        <w:t xml:space="preserve"> i </w:t>
      </w:r>
      <w:r w:rsidRPr="00215A1D">
        <w:rPr>
          <w:rFonts w:ascii="Times New Roman" w:hAnsi="Times New Roman" w:cs="Times New Roman"/>
        </w:rPr>
        <w:t>będzie to 50% w obszarze odczytów</w:t>
      </w:r>
      <w:r w:rsidR="001D0628">
        <w:rPr>
          <w:rFonts w:ascii="Times New Roman" w:hAnsi="Times New Roman" w:cs="Times New Roman"/>
        </w:rPr>
        <w:t xml:space="preserve"> i </w:t>
      </w:r>
      <w:r w:rsidRPr="00215A1D">
        <w:rPr>
          <w:rFonts w:ascii="Times New Roman" w:hAnsi="Times New Roman" w:cs="Times New Roman"/>
        </w:rPr>
        <w:t>20% w obszarze strat handlowych</w:t>
      </w:r>
      <w:r w:rsidR="001D0628">
        <w:rPr>
          <w:rFonts w:ascii="Times New Roman" w:hAnsi="Times New Roman" w:cs="Times New Roman"/>
        </w:rPr>
        <w:t xml:space="preserve"> i </w:t>
      </w:r>
      <w:r w:rsidRPr="00215A1D">
        <w:rPr>
          <w:rFonts w:ascii="Times New Roman" w:hAnsi="Times New Roman" w:cs="Times New Roman"/>
        </w:rPr>
        <w:t>technicznych,</w:t>
      </w:r>
    </w:p>
    <w:p w14:paraId="7985B4E4" w14:textId="58925FC4" w:rsidR="00A166BB" w:rsidRPr="00215A1D" w:rsidRDefault="00CC7157" w:rsidP="00EF6F97">
      <w:pPr>
        <w:pStyle w:val="USTustnpkodeksu"/>
        <w:ind w:firstLine="0"/>
        <w:rPr>
          <w:rFonts w:ascii="Times New Roman" w:hAnsi="Times New Roman" w:cs="Times New Roman"/>
        </w:rPr>
      </w:pPr>
      <w:r w:rsidRPr="00EF6F97">
        <w:rPr>
          <w:rFonts w:ascii="Times New Roman" w:hAnsi="Times New Roman" w:cs="Times New Roman"/>
          <w:szCs w:val="24"/>
        </w:rPr>
        <w:t>–</w:t>
      </w:r>
      <w:r w:rsidR="008B4A71" w:rsidRPr="00215A1D">
        <w:rPr>
          <w:rFonts w:ascii="Times New Roman" w:hAnsi="Times New Roman" w:cs="Times New Roman"/>
        </w:rPr>
        <w:t xml:space="preserve"> bilans kosztów</w:t>
      </w:r>
      <w:r w:rsidR="001D0628">
        <w:rPr>
          <w:rFonts w:ascii="Times New Roman" w:hAnsi="Times New Roman" w:cs="Times New Roman"/>
        </w:rPr>
        <w:t xml:space="preserve"> i </w:t>
      </w:r>
      <w:r w:rsidR="008B4A71" w:rsidRPr="00215A1D">
        <w:rPr>
          <w:rFonts w:ascii="Times New Roman" w:hAnsi="Times New Roman" w:cs="Times New Roman"/>
        </w:rPr>
        <w:t>korzyści, po 5 latach od rozpoczęcia procesu wdrażania byłby ujemny</w:t>
      </w:r>
      <w:r w:rsidR="001D0628">
        <w:rPr>
          <w:rFonts w:ascii="Times New Roman" w:hAnsi="Times New Roman" w:cs="Times New Roman"/>
        </w:rPr>
        <w:t xml:space="preserve"> i </w:t>
      </w:r>
      <w:r w:rsidR="008B4A71" w:rsidRPr="00215A1D">
        <w:rPr>
          <w:rFonts w:ascii="Times New Roman" w:hAnsi="Times New Roman" w:cs="Times New Roman"/>
        </w:rPr>
        <w:t xml:space="preserve">wyniósłby ok. </w:t>
      </w:r>
      <w:r w:rsidR="00A166BB" w:rsidRPr="00215A1D">
        <w:rPr>
          <w:rFonts w:ascii="Times New Roman" w:hAnsi="Times New Roman" w:cs="Times New Roman"/>
        </w:rPr>
        <w:t>(-) 2</w:t>
      </w:r>
      <w:r w:rsidR="00D27428">
        <w:rPr>
          <w:rFonts w:ascii="Times New Roman" w:hAnsi="Times New Roman" w:cs="Times New Roman"/>
        </w:rPr>
        <w:t xml:space="preserve"> </w:t>
      </w:r>
      <w:r w:rsidR="008B4A71" w:rsidRPr="00215A1D">
        <w:rPr>
          <w:rFonts w:ascii="Times New Roman" w:hAnsi="Times New Roman" w:cs="Times New Roman"/>
        </w:rPr>
        <w:t xml:space="preserve">808 mln zł. </w:t>
      </w:r>
    </w:p>
    <w:p w14:paraId="19799507" w14:textId="0270CA5C" w:rsidR="008B4A71" w:rsidRPr="00215A1D" w:rsidRDefault="00A166BB" w:rsidP="00EF6F97">
      <w:pPr>
        <w:pStyle w:val="USTustnpkodeksu"/>
        <w:ind w:firstLine="0"/>
        <w:rPr>
          <w:rFonts w:ascii="Times New Roman" w:hAnsi="Times New Roman" w:cs="Times New Roman"/>
        </w:rPr>
      </w:pPr>
      <w:r w:rsidRPr="00215A1D">
        <w:rPr>
          <w:rFonts w:ascii="Times New Roman" w:hAnsi="Times New Roman" w:cs="Times New Roman"/>
        </w:rPr>
        <w:t xml:space="preserve">Wobec wyników opisanej powyżej analizy proponuje się realizację rozwiązania wskazanego w </w:t>
      </w:r>
      <w:r w:rsidR="001D0628">
        <w:rPr>
          <w:rFonts w:ascii="Times New Roman" w:hAnsi="Times New Roman" w:cs="Times New Roman"/>
        </w:rPr>
        <w:t>pkt 4</w:t>
      </w:r>
      <w:r w:rsidRPr="00215A1D">
        <w:rPr>
          <w:rFonts w:ascii="Times New Roman" w:hAnsi="Times New Roman" w:cs="Times New Roman"/>
        </w:rPr>
        <w:t xml:space="preserve"> dla którego 15-letni bilans kosztów</w:t>
      </w:r>
      <w:r w:rsidR="001D0628">
        <w:rPr>
          <w:rFonts w:ascii="Times New Roman" w:hAnsi="Times New Roman" w:cs="Times New Roman"/>
        </w:rPr>
        <w:t xml:space="preserve"> i </w:t>
      </w:r>
      <w:r w:rsidRPr="00215A1D">
        <w:rPr>
          <w:rFonts w:ascii="Times New Roman" w:hAnsi="Times New Roman" w:cs="Times New Roman"/>
        </w:rPr>
        <w:t>korzyści wynikający</w:t>
      </w:r>
      <w:r w:rsidR="00D27428">
        <w:rPr>
          <w:rFonts w:ascii="Times New Roman" w:hAnsi="Times New Roman" w:cs="Times New Roman"/>
        </w:rPr>
        <w:t xml:space="preserve"> </w:t>
      </w:r>
      <w:r w:rsidR="001D0628">
        <w:rPr>
          <w:rFonts w:ascii="Times New Roman" w:hAnsi="Times New Roman" w:cs="Times New Roman"/>
        </w:rPr>
        <w:t>z </w:t>
      </w:r>
      <w:r w:rsidR="008B4A71" w:rsidRPr="00215A1D">
        <w:rPr>
          <w:rFonts w:ascii="Times New Roman" w:hAnsi="Times New Roman" w:cs="Times New Roman"/>
        </w:rPr>
        <w:t xml:space="preserve">10-letniego harmonogramu </w:t>
      </w:r>
      <w:r w:rsidRPr="00215A1D">
        <w:rPr>
          <w:rFonts w:ascii="Times New Roman" w:hAnsi="Times New Roman" w:cs="Times New Roman"/>
        </w:rPr>
        <w:t xml:space="preserve">instalacji </w:t>
      </w:r>
      <w:r w:rsidR="000770F7" w:rsidRPr="00215A1D">
        <w:rPr>
          <w:rFonts w:ascii="Times New Roman" w:hAnsi="Times New Roman" w:cs="Times New Roman"/>
        </w:rPr>
        <w:t xml:space="preserve">liczników zdalnego odczytu </w:t>
      </w:r>
      <w:r w:rsidR="008B4A71" w:rsidRPr="00215A1D">
        <w:rPr>
          <w:rFonts w:ascii="Times New Roman" w:hAnsi="Times New Roman" w:cs="Times New Roman"/>
        </w:rPr>
        <w:t>zaproponowanego w projekcie ustawy</w:t>
      </w:r>
      <w:r w:rsidRPr="00215A1D">
        <w:rPr>
          <w:rFonts w:ascii="Times New Roman" w:hAnsi="Times New Roman" w:cs="Times New Roman"/>
        </w:rPr>
        <w:t xml:space="preserve"> jest dodatni</w:t>
      </w:r>
      <w:r w:rsidR="001D0628">
        <w:rPr>
          <w:rFonts w:ascii="Times New Roman" w:hAnsi="Times New Roman" w:cs="Times New Roman"/>
        </w:rPr>
        <w:t xml:space="preserve"> i </w:t>
      </w:r>
      <w:r w:rsidRPr="00215A1D">
        <w:rPr>
          <w:rFonts w:ascii="Times New Roman" w:hAnsi="Times New Roman" w:cs="Times New Roman"/>
        </w:rPr>
        <w:t xml:space="preserve">wykazuje korzyści netto </w:t>
      </w:r>
      <w:r w:rsidR="008B4905" w:rsidRPr="00215A1D">
        <w:rPr>
          <w:rFonts w:ascii="Times New Roman" w:hAnsi="Times New Roman" w:cs="Times New Roman"/>
        </w:rPr>
        <w:t>5026,4</w:t>
      </w:r>
      <w:r w:rsidRPr="00215A1D">
        <w:rPr>
          <w:rFonts w:ascii="Times New Roman" w:hAnsi="Times New Roman" w:cs="Times New Roman"/>
        </w:rPr>
        <w:t xml:space="preserve"> mln</w:t>
      </w:r>
      <w:r w:rsidR="008B4A71" w:rsidRPr="00215A1D">
        <w:rPr>
          <w:rFonts w:ascii="Times New Roman" w:hAnsi="Times New Roman" w:cs="Times New Roman"/>
        </w:rPr>
        <w:t xml:space="preserve"> zł.</w:t>
      </w:r>
    </w:p>
    <w:p w14:paraId="6856ED4E" w14:textId="77777777"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 xml:space="preserve">Instalacja liczników zdalnego odczytu w ramach systemu inteligentnego opomiarowania zostanie skorelowana </w:t>
      </w:r>
      <w:r w:rsidR="001D0628">
        <w:rPr>
          <w:rFonts w:ascii="Times New Roman" w:hAnsi="Times New Roman" w:cs="Times New Roman"/>
        </w:rPr>
        <w:t>z </w:t>
      </w:r>
      <w:r w:rsidR="009A1099" w:rsidRPr="00215A1D">
        <w:rPr>
          <w:rFonts w:ascii="Times New Roman" w:hAnsi="Times New Roman" w:cs="Times New Roman"/>
        </w:rPr>
        <w:t xml:space="preserve">przeprowadzaną wymianą legalizacyjną obecnie działających liczników. </w:t>
      </w:r>
    </w:p>
    <w:p w14:paraId="69DAB947" w14:textId="5D4A029E" w:rsidR="009A1099" w:rsidRPr="00215A1D" w:rsidRDefault="00173903" w:rsidP="00EF6F97">
      <w:pPr>
        <w:pStyle w:val="USTustnpkodeksu"/>
        <w:rPr>
          <w:rFonts w:ascii="Times New Roman" w:hAnsi="Times New Roman" w:cs="Times New Roman"/>
        </w:rPr>
      </w:pPr>
      <w:r w:rsidRPr="00215A1D">
        <w:rPr>
          <w:rFonts w:ascii="Times New Roman" w:hAnsi="Times New Roman" w:cs="Times New Roman"/>
        </w:rPr>
        <w:lastRenderedPageBreak/>
        <w:tab/>
      </w:r>
      <w:r w:rsidR="009A1099" w:rsidRPr="00215A1D">
        <w:rPr>
          <w:rFonts w:ascii="Times New Roman" w:hAnsi="Times New Roman" w:cs="Times New Roman"/>
        </w:rPr>
        <w:t>Na rynku polskim są dostępne różne rodzaje liczników zdalnego odczytu energii elektrycznej. Mają one możliwość zdalnego odczytywania pomiarów</w:t>
      </w:r>
      <w:r w:rsidR="001D0628">
        <w:rPr>
          <w:rFonts w:ascii="Times New Roman" w:hAnsi="Times New Roman" w:cs="Times New Roman"/>
        </w:rPr>
        <w:t xml:space="preserve"> i </w:t>
      </w:r>
      <w:r w:rsidR="009A1099" w:rsidRPr="00215A1D">
        <w:rPr>
          <w:rFonts w:ascii="Times New Roman" w:hAnsi="Times New Roman" w:cs="Times New Roman"/>
        </w:rPr>
        <w:t>funkcję zdalnego przełączania trybu kredytowego na przedpłatowy. Funkcja ta umożliwi świadome planowanie zużycia energii elektrycznej polegające na jej zakupie w dowolnej chwili</w:t>
      </w:r>
      <w:r w:rsidR="001D0628">
        <w:rPr>
          <w:rFonts w:ascii="Times New Roman" w:hAnsi="Times New Roman" w:cs="Times New Roman"/>
        </w:rPr>
        <w:t xml:space="preserve"> i </w:t>
      </w:r>
      <w:r w:rsidR="009A1099" w:rsidRPr="00215A1D">
        <w:rPr>
          <w:rFonts w:ascii="Times New Roman" w:hAnsi="Times New Roman" w:cs="Times New Roman"/>
        </w:rPr>
        <w:t>na dowolną kwotę, co skutkować będzie jej oszczędzaniem ora</w:t>
      </w:r>
      <w:r w:rsidR="001D0628">
        <w:rPr>
          <w:rFonts w:ascii="Times New Roman" w:hAnsi="Times New Roman" w:cs="Times New Roman"/>
        </w:rPr>
        <w:t>z </w:t>
      </w:r>
      <w:r w:rsidR="009A1099" w:rsidRPr="00215A1D">
        <w:rPr>
          <w:rFonts w:ascii="Times New Roman" w:hAnsi="Times New Roman" w:cs="Times New Roman"/>
        </w:rPr>
        <w:t xml:space="preserve">wydłużeniem czasu, na jaki energia ta wystarczy. </w:t>
      </w:r>
      <w:r w:rsidR="001D0628">
        <w:rPr>
          <w:rFonts w:ascii="Times New Roman" w:hAnsi="Times New Roman" w:cs="Times New Roman"/>
        </w:rPr>
        <w:t>Z </w:t>
      </w:r>
      <w:r w:rsidR="009A1099" w:rsidRPr="00215A1D">
        <w:rPr>
          <w:rFonts w:ascii="Times New Roman" w:hAnsi="Times New Roman" w:cs="Times New Roman"/>
        </w:rPr>
        <w:t xml:space="preserve">uzyskanych danych wynika, że liczniki zdalnego odczytu zastały </w:t>
      </w:r>
      <w:r w:rsidR="005870DA" w:rsidRPr="00215A1D">
        <w:rPr>
          <w:rFonts w:ascii="Times New Roman" w:hAnsi="Times New Roman" w:cs="Times New Roman"/>
        </w:rPr>
        <w:t xml:space="preserve">dotychczas </w:t>
      </w:r>
      <w:r w:rsidR="009A1099" w:rsidRPr="00215A1D">
        <w:rPr>
          <w:rFonts w:ascii="Times New Roman" w:hAnsi="Times New Roman" w:cs="Times New Roman"/>
        </w:rPr>
        <w:t xml:space="preserve">zainstalowane u 1516 tys. odbiorców energii elektrycznej, co stanowi blisko </w:t>
      </w:r>
      <w:r w:rsidR="00306D56" w:rsidRPr="00215A1D">
        <w:rPr>
          <w:rFonts w:ascii="Times New Roman" w:hAnsi="Times New Roman" w:cs="Times New Roman"/>
        </w:rPr>
        <w:t>10</w:t>
      </w:r>
      <w:r w:rsidR="009A1099" w:rsidRPr="00215A1D">
        <w:rPr>
          <w:rFonts w:ascii="Times New Roman" w:hAnsi="Times New Roman" w:cs="Times New Roman"/>
        </w:rPr>
        <w:t>% tych odbiorców (dane na rok 2017)</w:t>
      </w:r>
      <w:r w:rsidR="00CC7157">
        <w:rPr>
          <w:rFonts w:ascii="Times New Roman" w:hAnsi="Times New Roman" w:cs="Times New Roman"/>
        </w:rPr>
        <w:t>,</w:t>
      </w:r>
      <w:r w:rsidR="009A1099" w:rsidRPr="00215A1D">
        <w:rPr>
          <w:rFonts w:ascii="Times New Roman" w:hAnsi="Times New Roman" w:cs="Times New Roman"/>
        </w:rPr>
        <w:t xml:space="preserve"> </w:t>
      </w:r>
      <w:r w:rsidR="001D0628">
        <w:rPr>
          <w:rFonts w:ascii="Times New Roman" w:hAnsi="Times New Roman" w:cs="Times New Roman"/>
        </w:rPr>
        <w:t>z </w:t>
      </w:r>
      <w:r w:rsidR="009A1099" w:rsidRPr="00215A1D">
        <w:rPr>
          <w:rFonts w:ascii="Times New Roman" w:hAnsi="Times New Roman" w:cs="Times New Roman"/>
        </w:rPr>
        <w:t>czego najwięcej zainstalowała ENERGA</w:t>
      </w:r>
      <w:r w:rsidR="005870DA" w:rsidRPr="00215A1D">
        <w:rPr>
          <w:rFonts w:ascii="Times New Roman" w:hAnsi="Times New Roman" w:cs="Times New Roman"/>
        </w:rPr>
        <w:t>-</w:t>
      </w:r>
      <w:r w:rsidR="009A1099" w:rsidRPr="00215A1D">
        <w:rPr>
          <w:rFonts w:ascii="Times New Roman" w:hAnsi="Times New Roman" w:cs="Times New Roman"/>
        </w:rPr>
        <w:t>Operator S.A.</w:t>
      </w:r>
    </w:p>
    <w:p w14:paraId="0702C0DF" w14:textId="7915E519" w:rsidR="009A1099"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 xml:space="preserve">Wolumen korzyści możliwych do osiągnięcia dla wszystkich uczestników rynku dla okresu </w:t>
      </w:r>
      <w:r w:rsidR="00306D56" w:rsidRPr="00215A1D">
        <w:rPr>
          <w:rFonts w:ascii="Times New Roman" w:hAnsi="Times New Roman" w:cs="Times New Roman"/>
        </w:rPr>
        <w:t xml:space="preserve">15-to letniego wyliczono </w:t>
      </w:r>
      <w:r w:rsidR="009A1099" w:rsidRPr="00215A1D">
        <w:rPr>
          <w:rFonts w:ascii="Times New Roman" w:hAnsi="Times New Roman" w:cs="Times New Roman"/>
        </w:rPr>
        <w:t xml:space="preserve">na kwotę </w:t>
      </w:r>
      <w:r w:rsidR="00DD4D1B" w:rsidRPr="00215A1D">
        <w:rPr>
          <w:rFonts w:ascii="Times New Roman" w:hAnsi="Times New Roman" w:cs="Times New Roman"/>
        </w:rPr>
        <w:t>12</w:t>
      </w:r>
      <w:r w:rsidR="00EC7F9A">
        <w:rPr>
          <w:rFonts w:ascii="Times New Roman" w:hAnsi="Times New Roman" w:cs="Times New Roman"/>
        </w:rPr>
        <w:t xml:space="preserve"> </w:t>
      </w:r>
      <w:r w:rsidR="00DD4D1B" w:rsidRPr="00215A1D">
        <w:rPr>
          <w:rFonts w:ascii="Times New Roman" w:hAnsi="Times New Roman" w:cs="Times New Roman"/>
        </w:rPr>
        <w:t>936</w:t>
      </w:r>
      <w:r w:rsidR="00D27428">
        <w:rPr>
          <w:rFonts w:ascii="Times New Roman" w:hAnsi="Times New Roman" w:cs="Times New Roman"/>
        </w:rPr>
        <w:t xml:space="preserve"> </w:t>
      </w:r>
      <w:r w:rsidR="009A1099" w:rsidRPr="00215A1D">
        <w:rPr>
          <w:rFonts w:ascii="Times New Roman" w:hAnsi="Times New Roman" w:cs="Times New Roman"/>
        </w:rPr>
        <w:t>ml</w:t>
      </w:r>
      <w:r w:rsidR="00306D56" w:rsidRPr="00215A1D">
        <w:rPr>
          <w:rFonts w:ascii="Times New Roman" w:hAnsi="Times New Roman" w:cs="Times New Roman"/>
        </w:rPr>
        <w:t>n</w:t>
      </w:r>
      <w:r w:rsidR="009A1099" w:rsidRPr="00215A1D">
        <w:rPr>
          <w:rFonts w:ascii="Times New Roman" w:hAnsi="Times New Roman" w:cs="Times New Roman"/>
        </w:rPr>
        <w:t xml:space="preserve"> zł</w:t>
      </w:r>
      <w:r w:rsidR="00CC7157">
        <w:rPr>
          <w:rFonts w:ascii="Times New Roman" w:hAnsi="Times New Roman" w:cs="Times New Roman"/>
        </w:rPr>
        <w:t>,</w:t>
      </w:r>
      <w:r w:rsidR="009A1099" w:rsidRPr="00215A1D">
        <w:rPr>
          <w:rFonts w:ascii="Times New Roman" w:hAnsi="Times New Roman" w:cs="Times New Roman"/>
        </w:rPr>
        <w:t xml:space="preserve"> </w:t>
      </w:r>
      <w:r w:rsidR="001D0628">
        <w:rPr>
          <w:rFonts w:ascii="Times New Roman" w:hAnsi="Times New Roman" w:cs="Times New Roman"/>
        </w:rPr>
        <w:t>z </w:t>
      </w:r>
      <w:r w:rsidR="00EA3F9B" w:rsidRPr="00215A1D">
        <w:rPr>
          <w:rFonts w:ascii="Times New Roman" w:hAnsi="Times New Roman" w:cs="Times New Roman"/>
        </w:rPr>
        <w:t>czego dla odbiorców końcowych na kwotę 11</w:t>
      </w:r>
      <w:r w:rsidR="00D27428">
        <w:rPr>
          <w:rFonts w:ascii="Times New Roman" w:hAnsi="Times New Roman" w:cs="Times New Roman"/>
        </w:rPr>
        <w:t xml:space="preserve"> </w:t>
      </w:r>
      <w:r w:rsidR="00EA3F9B" w:rsidRPr="00215A1D">
        <w:rPr>
          <w:rFonts w:ascii="Times New Roman" w:hAnsi="Times New Roman" w:cs="Times New Roman"/>
        </w:rPr>
        <w:t xml:space="preserve">338 mln zł, </w:t>
      </w:r>
      <w:r w:rsidR="009A1099" w:rsidRPr="00215A1D">
        <w:rPr>
          <w:rFonts w:ascii="Times New Roman" w:hAnsi="Times New Roman" w:cs="Times New Roman"/>
        </w:rPr>
        <w:t xml:space="preserve">zaś kosztów na poziomie </w:t>
      </w:r>
      <w:r w:rsidR="00DD4D1B" w:rsidRPr="00215A1D">
        <w:rPr>
          <w:rFonts w:ascii="Times New Roman" w:hAnsi="Times New Roman" w:cs="Times New Roman"/>
        </w:rPr>
        <w:t>7</w:t>
      </w:r>
      <w:r w:rsidR="00D27428">
        <w:rPr>
          <w:rFonts w:ascii="Times New Roman" w:hAnsi="Times New Roman" w:cs="Times New Roman"/>
        </w:rPr>
        <w:t xml:space="preserve"> </w:t>
      </w:r>
      <w:r w:rsidR="00DD4D1B" w:rsidRPr="00215A1D">
        <w:rPr>
          <w:rFonts w:ascii="Times New Roman" w:hAnsi="Times New Roman" w:cs="Times New Roman"/>
        </w:rPr>
        <w:t>909</w:t>
      </w:r>
      <w:r w:rsidR="009A1099" w:rsidRPr="00215A1D">
        <w:rPr>
          <w:rFonts w:ascii="Times New Roman" w:hAnsi="Times New Roman" w:cs="Times New Roman"/>
        </w:rPr>
        <w:t xml:space="preserve"> ml</w:t>
      </w:r>
      <w:r w:rsidR="00306D56" w:rsidRPr="00215A1D">
        <w:rPr>
          <w:rFonts w:ascii="Times New Roman" w:hAnsi="Times New Roman" w:cs="Times New Roman"/>
        </w:rPr>
        <w:t>n</w:t>
      </w:r>
      <w:r w:rsidR="009A1099" w:rsidRPr="00215A1D">
        <w:rPr>
          <w:rFonts w:ascii="Times New Roman" w:hAnsi="Times New Roman" w:cs="Times New Roman"/>
        </w:rPr>
        <w:t xml:space="preserve"> zł</w:t>
      </w:r>
      <w:r w:rsidR="00D27428">
        <w:rPr>
          <w:rFonts w:ascii="Times New Roman" w:hAnsi="Times New Roman" w:cs="Times New Roman"/>
        </w:rPr>
        <w:t xml:space="preserve">, </w:t>
      </w:r>
      <w:r w:rsidR="001D0628">
        <w:rPr>
          <w:rFonts w:ascii="Times New Roman" w:hAnsi="Times New Roman" w:cs="Times New Roman"/>
        </w:rPr>
        <w:t>z </w:t>
      </w:r>
      <w:r w:rsidR="00EA3F9B" w:rsidRPr="00215A1D">
        <w:rPr>
          <w:rFonts w:ascii="Times New Roman" w:hAnsi="Times New Roman" w:cs="Times New Roman"/>
        </w:rPr>
        <w:t>czego przeniesionych na odbiorców końcowych 7</w:t>
      </w:r>
      <w:r w:rsidR="00D27428">
        <w:rPr>
          <w:rFonts w:ascii="Times New Roman" w:hAnsi="Times New Roman" w:cs="Times New Roman"/>
        </w:rPr>
        <w:t xml:space="preserve"> </w:t>
      </w:r>
      <w:r w:rsidR="00EA3F9B" w:rsidRPr="00215A1D">
        <w:rPr>
          <w:rFonts w:ascii="Times New Roman" w:hAnsi="Times New Roman" w:cs="Times New Roman"/>
        </w:rPr>
        <w:t>218 mln zł</w:t>
      </w:r>
      <w:r w:rsidR="009A1099" w:rsidRPr="00215A1D">
        <w:rPr>
          <w:rFonts w:ascii="Times New Roman" w:hAnsi="Times New Roman" w:cs="Times New Roman"/>
        </w:rPr>
        <w:t>.</w:t>
      </w:r>
      <w:r w:rsidR="00D27428">
        <w:rPr>
          <w:rFonts w:ascii="Times New Roman" w:hAnsi="Times New Roman" w:cs="Times New Roman"/>
        </w:rPr>
        <w:t xml:space="preserve"> </w:t>
      </w:r>
      <w:r w:rsidR="009A1099" w:rsidRPr="00215A1D">
        <w:rPr>
          <w:rFonts w:ascii="Times New Roman" w:hAnsi="Times New Roman" w:cs="Times New Roman"/>
        </w:rPr>
        <w:t>Szczegółowe wyliczenia w tym zakresie ora</w:t>
      </w:r>
      <w:r w:rsidR="001D0628">
        <w:rPr>
          <w:rFonts w:ascii="Times New Roman" w:hAnsi="Times New Roman" w:cs="Times New Roman"/>
        </w:rPr>
        <w:t>z </w:t>
      </w:r>
      <w:r w:rsidR="009A1099" w:rsidRPr="00215A1D">
        <w:rPr>
          <w:rFonts w:ascii="Times New Roman" w:hAnsi="Times New Roman" w:cs="Times New Roman"/>
        </w:rPr>
        <w:t>przyjęte mierniki przedstawiono w Ocenie Skutków Regulacji ora</w:t>
      </w:r>
      <w:r w:rsidR="001D0628">
        <w:rPr>
          <w:rFonts w:ascii="Times New Roman" w:hAnsi="Times New Roman" w:cs="Times New Roman"/>
        </w:rPr>
        <w:t>z </w:t>
      </w:r>
      <w:r w:rsidR="009A1099" w:rsidRPr="00215A1D">
        <w:rPr>
          <w:rFonts w:ascii="Times New Roman" w:hAnsi="Times New Roman" w:cs="Times New Roman"/>
        </w:rPr>
        <w:t>Aktualizacji istotnych założeń do modelu kosztów</w:t>
      </w:r>
      <w:r w:rsidR="001D0628">
        <w:rPr>
          <w:rFonts w:ascii="Times New Roman" w:hAnsi="Times New Roman" w:cs="Times New Roman"/>
        </w:rPr>
        <w:t xml:space="preserve"> i </w:t>
      </w:r>
      <w:r w:rsidR="009A1099" w:rsidRPr="00215A1D">
        <w:rPr>
          <w:rFonts w:ascii="Times New Roman" w:hAnsi="Times New Roman" w:cs="Times New Roman"/>
        </w:rPr>
        <w:t>korzyści wdrożenia inteligentnego opomiarowania w Polsce.</w:t>
      </w:r>
    </w:p>
    <w:p w14:paraId="0FADE9F4" w14:textId="5D8F0A96" w:rsidR="006F4FCE" w:rsidRDefault="00B077B9" w:rsidP="00372981">
      <w:pPr>
        <w:pStyle w:val="USTustnpkodeksu"/>
        <w:ind w:firstLine="708"/>
      </w:pPr>
      <w:r>
        <w:t>Powyższe stanowi także element realizacji w obszarze regulacyjnym dot. sektora energetyki Programu Zintegrowanej Informatyzacji Państwa przyjętego przez Rząd RP w 2019 r., który to program zakłada systemowe zmiany całych sektorów gospodarki i wykorzystywanie nowoczesnych technologii wykorzystujących cyfrową postać danych. Dodatkowo, oparcie gospodarki na technologiach cyfrowych oraz większe zaangażowanie wszystkich interesariuszy w transformację cyfrową może przyczynić się do przyspieszenia gospodarczego oraz zmniejszy różnice rozwojowe w stosunku do najbardziej zaawansowanych ekonomicznie krajów Europy.</w:t>
      </w:r>
    </w:p>
    <w:p w14:paraId="1DF4FF4C" w14:textId="77777777" w:rsidR="00B077B9" w:rsidRPr="00215A1D" w:rsidRDefault="00B077B9" w:rsidP="00372981">
      <w:pPr>
        <w:pStyle w:val="USTustnpkodeksu"/>
        <w:ind w:firstLine="0"/>
        <w:rPr>
          <w:rFonts w:ascii="Times New Roman" w:hAnsi="Times New Roman" w:cs="Times New Roman"/>
        </w:rPr>
      </w:pPr>
    </w:p>
    <w:p w14:paraId="5AF2CF4A" w14:textId="62DEA383" w:rsidR="009A1099" w:rsidRPr="00215A1D" w:rsidRDefault="00D24A41" w:rsidP="00EF6F97">
      <w:pPr>
        <w:pStyle w:val="USTustnpkodeksu"/>
        <w:ind w:firstLine="0"/>
        <w:rPr>
          <w:rFonts w:ascii="Times New Roman" w:hAnsi="Times New Roman" w:cs="Times New Roman"/>
        </w:rPr>
      </w:pPr>
      <w:r>
        <w:rPr>
          <w:rFonts w:ascii="Times New Roman" w:hAnsi="Times New Roman" w:cs="Times New Roman"/>
        </w:rPr>
        <w:t>1</w:t>
      </w:r>
      <w:r w:rsidR="00772387">
        <w:rPr>
          <w:rFonts w:ascii="Times New Roman" w:hAnsi="Times New Roman" w:cs="Times New Roman"/>
        </w:rPr>
        <w:t>6</w:t>
      </w:r>
      <w:r w:rsidR="00EE6A04" w:rsidRPr="00215A1D">
        <w:rPr>
          <w:rFonts w:ascii="Times New Roman" w:hAnsi="Times New Roman" w:cs="Times New Roman"/>
        </w:rPr>
        <w:t>. 4</w:t>
      </w:r>
      <w:r w:rsidR="009A1099" w:rsidRPr="00215A1D">
        <w:rPr>
          <w:rFonts w:ascii="Times New Roman" w:hAnsi="Times New Roman" w:cs="Times New Roman"/>
        </w:rPr>
        <w:t>. Szczegółowe rozwiązania:</w:t>
      </w:r>
    </w:p>
    <w:p w14:paraId="30072B11" w14:textId="24AB5540" w:rsidR="00154F38" w:rsidRPr="00215A1D" w:rsidRDefault="009A1099" w:rsidP="00215A1D">
      <w:pPr>
        <w:pStyle w:val="USTustnpkodeksu"/>
        <w:rPr>
          <w:rFonts w:ascii="Times New Roman" w:hAnsi="Times New Roman" w:cs="Times New Roman"/>
        </w:rPr>
      </w:pPr>
      <w:r w:rsidRPr="00215A1D">
        <w:rPr>
          <w:rFonts w:ascii="Times New Roman" w:hAnsi="Times New Roman" w:cs="Times New Roman"/>
          <w:bCs w:val="0"/>
        </w:rPr>
        <w:t xml:space="preserve">W projekcie ustawy zdefiniowano </w:t>
      </w:r>
      <w:r w:rsidR="00025850" w:rsidRPr="00215A1D">
        <w:rPr>
          <w:rFonts w:ascii="Times New Roman" w:hAnsi="Times New Roman" w:cs="Times New Roman"/>
          <w:bCs w:val="0"/>
        </w:rPr>
        <w:t xml:space="preserve">m.in. </w:t>
      </w:r>
      <w:r w:rsidRPr="00215A1D">
        <w:rPr>
          <w:rFonts w:ascii="Times New Roman" w:hAnsi="Times New Roman" w:cs="Times New Roman"/>
          <w:bCs w:val="0"/>
        </w:rPr>
        <w:t>następujące pojęcia:</w:t>
      </w:r>
    </w:p>
    <w:p w14:paraId="1E0BF535" w14:textId="77777777" w:rsidR="00154F38" w:rsidRPr="00215A1D" w:rsidRDefault="00154F38" w:rsidP="00215A1D">
      <w:pPr>
        <w:pStyle w:val="USTustnpkodeksu"/>
        <w:numPr>
          <w:ilvl w:val="0"/>
          <w:numId w:val="67"/>
        </w:numPr>
        <w:rPr>
          <w:rFonts w:ascii="Times New Roman" w:hAnsi="Times New Roman" w:cs="Times New Roman"/>
        </w:rPr>
      </w:pPr>
      <w:r w:rsidRPr="00215A1D">
        <w:rPr>
          <w:rFonts w:ascii="Times New Roman" w:hAnsi="Times New Roman" w:cs="Times New Roman"/>
        </w:rPr>
        <w:t>dane pomiarowe – dane pozyskiwane lub wyznaczane dla punktu pomiarowego;</w:t>
      </w:r>
    </w:p>
    <w:p w14:paraId="4BCAB76A" w14:textId="77777777" w:rsidR="00154F38" w:rsidRPr="00215A1D" w:rsidRDefault="00154F38" w:rsidP="00215A1D">
      <w:pPr>
        <w:pStyle w:val="USTustnpkodeksu"/>
        <w:numPr>
          <w:ilvl w:val="0"/>
          <w:numId w:val="67"/>
        </w:numPr>
        <w:rPr>
          <w:rFonts w:ascii="Times New Roman" w:hAnsi="Times New Roman" w:cs="Times New Roman"/>
        </w:rPr>
      </w:pPr>
      <w:r w:rsidRPr="00215A1D">
        <w:rPr>
          <w:rFonts w:ascii="Times New Roman" w:hAnsi="Times New Roman" w:cs="Times New Roman"/>
        </w:rPr>
        <w:t>informacje rynku energii − informacje dotyczące punktu pomiarowego, dane pomiarowe, informacje o zdarzeniach rejestrowanych prze</w:t>
      </w:r>
      <w:r w:rsidR="001D0628">
        <w:rPr>
          <w:rFonts w:ascii="Times New Roman" w:hAnsi="Times New Roman" w:cs="Times New Roman"/>
        </w:rPr>
        <w:t>z </w:t>
      </w:r>
      <w:r w:rsidRPr="00215A1D">
        <w:rPr>
          <w:rFonts w:ascii="Times New Roman" w:hAnsi="Times New Roman" w:cs="Times New Roman"/>
        </w:rPr>
        <w:t>licznik zdalnego odczytu, polecenia odbierane prze</w:t>
      </w:r>
      <w:r w:rsidR="001D0628">
        <w:rPr>
          <w:rFonts w:ascii="Times New Roman" w:hAnsi="Times New Roman" w:cs="Times New Roman"/>
        </w:rPr>
        <w:t>z </w:t>
      </w:r>
      <w:r w:rsidRPr="00215A1D">
        <w:rPr>
          <w:rFonts w:ascii="Times New Roman" w:hAnsi="Times New Roman" w:cs="Times New Roman"/>
        </w:rPr>
        <w:t>licznik zdalnego odczytu ora</w:t>
      </w:r>
      <w:r w:rsidR="001D0628">
        <w:rPr>
          <w:rFonts w:ascii="Times New Roman" w:hAnsi="Times New Roman" w:cs="Times New Roman"/>
        </w:rPr>
        <w:t>z </w:t>
      </w:r>
      <w:r w:rsidRPr="00215A1D">
        <w:rPr>
          <w:rFonts w:ascii="Times New Roman" w:hAnsi="Times New Roman" w:cs="Times New Roman"/>
        </w:rPr>
        <w:t>inne informacje niezbędne do dostarczania energii elektrycznej;</w:t>
      </w:r>
    </w:p>
    <w:p w14:paraId="3AEB2A16" w14:textId="44EA51A1" w:rsidR="00154F38" w:rsidRPr="00215A1D" w:rsidRDefault="00772387" w:rsidP="00772387">
      <w:pPr>
        <w:pStyle w:val="USTustnpkodeksu"/>
        <w:numPr>
          <w:ilvl w:val="0"/>
          <w:numId w:val="67"/>
        </w:numPr>
        <w:rPr>
          <w:rFonts w:ascii="Times New Roman" w:hAnsi="Times New Roman" w:cs="Times New Roman"/>
        </w:rPr>
      </w:pPr>
      <w:r w:rsidRPr="00772387">
        <w:rPr>
          <w:rFonts w:ascii="Times New Roman" w:hAnsi="Times New Roman" w:cs="Times New Roman"/>
        </w:rPr>
        <w:t>układ pomiarowo</w:t>
      </w:r>
      <w:r w:rsidR="00CC7157">
        <w:rPr>
          <w:rFonts w:ascii="Times New Roman" w:hAnsi="Times New Roman" w:cs="Times New Roman"/>
        </w:rPr>
        <w:t>-</w:t>
      </w:r>
      <w:r w:rsidRPr="00772387">
        <w:rPr>
          <w:rFonts w:ascii="Times New Roman" w:hAnsi="Times New Roman" w:cs="Times New Roman"/>
        </w:rPr>
        <w:t>rozliczeniowy —</w:t>
      </w:r>
      <w:r w:rsidR="00771B6B">
        <w:rPr>
          <w:rFonts w:ascii="Times New Roman" w:hAnsi="Times New Roman" w:cs="Times New Roman"/>
        </w:rPr>
        <w:t xml:space="preserve"> </w:t>
      </w:r>
      <w:r w:rsidRPr="00772387">
        <w:rPr>
          <w:rFonts w:ascii="Times New Roman" w:hAnsi="Times New Roman" w:cs="Times New Roman"/>
        </w:rPr>
        <w:t>urządzenia pomiarowo</w:t>
      </w:r>
      <w:r w:rsidR="00CC7157">
        <w:rPr>
          <w:rFonts w:ascii="Times New Roman" w:hAnsi="Times New Roman" w:cs="Times New Roman"/>
        </w:rPr>
        <w:t>-</w:t>
      </w:r>
      <w:r w:rsidRPr="00772387">
        <w:rPr>
          <w:rFonts w:ascii="Times New Roman" w:hAnsi="Times New Roman" w:cs="Times New Roman"/>
        </w:rPr>
        <w:t xml:space="preserve">rozliczeniowe, liczniki i inne przyrządy pomiarowe, a także układy połączeń między nimi, służące bezpośrednio lub pośrednio do pomiarów ilości energii elektrycznej, paliw gazowych lub ciepła i rozliczeń za tę energię, paliwa gazowe lub ciepło, w szczególności </w:t>
      </w:r>
      <w:r w:rsidRPr="00772387">
        <w:rPr>
          <w:rFonts w:ascii="Times New Roman" w:hAnsi="Times New Roman" w:cs="Times New Roman"/>
        </w:rPr>
        <w:lastRenderedPageBreak/>
        <w:t>gazomierze, ciepłomierze oraz liczniki energii czynnej i liczniki energii biernej, w tym takie liczniki wraz z przekładnikami prądowymi i napięciowymi</w:t>
      </w:r>
      <w:r w:rsidR="00154F38" w:rsidRPr="00215A1D">
        <w:rPr>
          <w:rFonts w:ascii="Times New Roman" w:hAnsi="Times New Roman" w:cs="Times New Roman"/>
        </w:rPr>
        <w:t>;</w:t>
      </w:r>
    </w:p>
    <w:p w14:paraId="6ABA59E4" w14:textId="7CF50ADD" w:rsidR="00D0483F" w:rsidRPr="00215A1D" w:rsidRDefault="00D0483F" w:rsidP="00215A1D">
      <w:pPr>
        <w:pStyle w:val="USTustnpkodeksu"/>
        <w:numPr>
          <w:ilvl w:val="0"/>
          <w:numId w:val="67"/>
        </w:numPr>
        <w:rPr>
          <w:rFonts w:ascii="Times New Roman" w:hAnsi="Times New Roman" w:cs="Times New Roman"/>
        </w:rPr>
      </w:pPr>
      <w:r w:rsidRPr="00215A1D">
        <w:rPr>
          <w:rFonts w:ascii="Times New Roman" w:hAnsi="Times New Roman" w:cs="Times New Roman"/>
        </w:rPr>
        <w:t xml:space="preserve">licznik zdalnego odczytu – przyrząd pomiarowy w rozumieniu ustawy </w:t>
      </w:r>
      <w:r w:rsidR="001D0628">
        <w:rPr>
          <w:rFonts w:ascii="Times New Roman" w:hAnsi="Times New Roman" w:cs="Times New Roman"/>
        </w:rPr>
        <w:t>z </w:t>
      </w:r>
      <w:r w:rsidRPr="00215A1D">
        <w:rPr>
          <w:rFonts w:ascii="Times New Roman" w:hAnsi="Times New Roman" w:cs="Times New Roman"/>
        </w:rPr>
        <w:t>dnia 11 maja 20</w:t>
      </w:r>
      <w:r w:rsidR="00771B6B">
        <w:rPr>
          <w:rFonts w:ascii="Times New Roman" w:hAnsi="Times New Roman" w:cs="Times New Roman"/>
        </w:rPr>
        <w:t>0</w:t>
      </w:r>
      <w:r w:rsidRPr="00215A1D">
        <w:rPr>
          <w:rFonts w:ascii="Times New Roman" w:hAnsi="Times New Roman" w:cs="Times New Roman"/>
        </w:rPr>
        <w:t>1</w:t>
      </w:r>
      <w:r w:rsidR="001D0628">
        <w:rPr>
          <w:rFonts w:ascii="Times New Roman" w:hAnsi="Times New Roman" w:cs="Times New Roman"/>
        </w:rPr>
        <w:t> r.</w:t>
      </w:r>
      <w:r w:rsidRPr="00215A1D">
        <w:rPr>
          <w:rFonts w:ascii="Times New Roman" w:hAnsi="Times New Roman" w:cs="Times New Roman"/>
        </w:rPr>
        <w:t xml:space="preserve"> - Prawo o miarach (Dz. U. </w:t>
      </w:r>
      <w:r w:rsidR="001D0628">
        <w:rPr>
          <w:rFonts w:ascii="Times New Roman" w:hAnsi="Times New Roman" w:cs="Times New Roman"/>
        </w:rPr>
        <w:t>z </w:t>
      </w:r>
      <w:r w:rsidR="00D27428" w:rsidRPr="00D27428">
        <w:t xml:space="preserve"> </w:t>
      </w:r>
      <w:r w:rsidR="00D27428" w:rsidRPr="00986BAE">
        <w:t>z  2020  r. poz.  140, 285, 568 i 1086</w:t>
      </w:r>
      <w:r w:rsidRPr="00215A1D">
        <w:rPr>
          <w:rFonts w:ascii="Times New Roman" w:hAnsi="Times New Roman" w:cs="Times New Roman"/>
        </w:rPr>
        <w:t>), służący do pomiaru energii elektrycznej</w:t>
      </w:r>
      <w:r w:rsidR="001D0628">
        <w:rPr>
          <w:rFonts w:ascii="Times New Roman" w:hAnsi="Times New Roman" w:cs="Times New Roman"/>
        </w:rPr>
        <w:t xml:space="preserve"> i </w:t>
      </w:r>
      <w:r w:rsidRPr="00215A1D">
        <w:rPr>
          <w:rFonts w:ascii="Times New Roman" w:hAnsi="Times New Roman" w:cs="Times New Roman"/>
        </w:rPr>
        <w:t xml:space="preserve">rozliczeń za tę energię, wyposażony w funkcję komunikacji </w:t>
      </w:r>
      <w:r w:rsidR="001D0628">
        <w:rPr>
          <w:rFonts w:ascii="Times New Roman" w:hAnsi="Times New Roman" w:cs="Times New Roman"/>
        </w:rPr>
        <w:t>z </w:t>
      </w:r>
      <w:r w:rsidRPr="00215A1D">
        <w:rPr>
          <w:rFonts w:ascii="Times New Roman" w:hAnsi="Times New Roman" w:cs="Times New Roman"/>
        </w:rPr>
        <w:t>systemem zdalnego odczytu;</w:t>
      </w:r>
    </w:p>
    <w:p w14:paraId="0A17801C" w14:textId="7E596873" w:rsidR="00D0483F" w:rsidRPr="00215A1D" w:rsidRDefault="00D0483F" w:rsidP="00215A1D">
      <w:pPr>
        <w:pStyle w:val="USTustnpkodeksu"/>
        <w:numPr>
          <w:ilvl w:val="0"/>
          <w:numId w:val="67"/>
        </w:numPr>
        <w:rPr>
          <w:rFonts w:ascii="Times New Roman" w:hAnsi="Times New Roman" w:cs="Times New Roman"/>
        </w:rPr>
      </w:pPr>
      <w:r w:rsidRPr="00215A1D">
        <w:rPr>
          <w:rFonts w:ascii="Times New Roman" w:hAnsi="Times New Roman" w:cs="Times New Roman"/>
        </w:rPr>
        <w:t xml:space="preserve">licznik konwencjonalny – przyrząd pomiarowy w rozumieniu ustawy </w:t>
      </w:r>
      <w:r w:rsidR="001D0628">
        <w:rPr>
          <w:rFonts w:ascii="Times New Roman" w:hAnsi="Times New Roman" w:cs="Times New Roman"/>
        </w:rPr>
        <w:t>z </w:t>
      </w:r>
      <w:r w:rsidRPr="00215A1D">
        <w:rPr>
          <w:rFonts w:ascii="Times New Roman" w:hAnsi="Times New Roman" w:cs="Times New Roman"/>
        </w:rPr>
        <w:t>dnia 11 maja 20</w:t>
      </w:r>
      <w:r w:rsidR="00771B6B">
        <w:rPr>
          <w:rFonts w:ascii="Times New Roman" w:hAnsi="Times New Roman" w:cs="Times New Roman"/>
        </w:rPr>
        <w:t>0</w:t>
      </w:r>
      <w:r w:rsidRPr="00215A1D">
        <w:rPr>
          <w:rFonts w:ascii="Times New Roman" w:hAnsi="Times New Roman" w:cs="Times New Roman"/>
        </w:rPr>
        <w:t>1</w:t>
      </w:r>
      <w:r w:rsidR="001D0628">
        <w:rPr>
          <w:rFonts w:ascii="Times New Roman" w:hAnsi="Times New Roman" w:cs="Times New Roman"/>
        </w:rPr>
        <w:t> r.</w:t>
      </w:r>
      <w:r w:rsidRPr="00215A1D">
        <w:rPr>
          <w:rFonts w:ascii="Times New Roman" w:hAnsi="Times New Roman" w:cs="Times New Roman"/>
        </w:rPr>
        <w:t xml:space="preserve"> </w:t>
      </w:r>
      <w:r w:rsidR="00CC7157">
        <w:rPr>
          <w:rFonts w:ascii="Times New Roman" w:hAnsi="Times New Roman" w:cs="Times New Roman"/>
        </w:rPr>
        <w:t>–</w:t>
      </w:r>
      <w:r w:rsidRPr="00215A1D">
        <w:rPr>
          <w:rFonts w:ascii="Times New Roman" w:hAnsi="Times New Roman" w:cs="Times New Roman"/>
        </w:rPr>
        <w:t xml:space="preserve"> Prawo o miarach, służący do pomiaru energii elektrycznej</w:t>
      </w:r>
      <w:r w:rsidR="001D0628">
        <w:rPr>
          <w:rFonts w:ascii="Times New Roman" w:hAnsi="Times New Roman" w:cs="Times New Roman"/>
        </w:rPr>
        <w:t xml:space="preserve"> i </w:t>
      </w:r>
      <w:r w:rsidRPr="00215A1D">
        <w:rPr>
          <w:rFonts w:ascii="Times New Roman" w:hAnsi="Times New Roman" w:cs="Times New Roman"/>
        </w:rPr>
        <w:t xml:space="preserve">rozliczeń za tę energię, niewyposażony w funkcję komunikacji </w:t>
      </w:r>
      <w:r w:rsidR="001D0628">
        <w:rPr>
          <w:rFonts w:ascii="Times New Roman" w:hAnsi="Times New Roman" w:cs="Times New Roman"/>
        </w:rPr>
        <w:t>z </w:t>
      </w:r>
      <w:r w:rsidRPr="00215A1D">
        <w:rPr>
          <w:rFonts w:ascii="Times New Roman" w:hAnsi="Times New Roman" w:cs="Times New Roman"/>
        </w:rPr>
        <w:t>systemem zdalnego odczytu;</w:t>
      </w:r>
    </w:p>
    <w:p w14:paraId="380C650C" w14:textId="77777777" w:rsidR="00D0483F" w:rsidRPr="00215A1D" w:rsidRDefault="00D0483F" w:rsidP="00215A1D">
      <w:pPr>
        <w:pStyle w:val="USTustnpkodeksu"/>
        <w:numPr>
          <w:ilvl w:val="0"/>
          <w:numId w:val="67"/>
        </w:numPr>
        <w:rPr>
          <w:rFonts w:ascii="Times New Roman" w:hAnsi="Times New Roman" w:cs="Times New Roman"/>
        </w:rPr>
      </w:pPr>
      <w:r w:rsidRPr="00215A1D">
        <w:rPr>
          <w:rFonts w:ascii="Times New Roman" w:hAnsi="Times New Roman" w:cs="Times New Roman"/>
        </w:rPr>
        <w:t>punkt pomiarowy − miejsce w urządzeniu, instalacji lub sieci, w którym dokonuje się pomiaru lub wyznaczenia wielkości fizycznych dotyczących energii elektrycznej;</w:t>
      </w:r>
    </w:p>
    <w:p w14:paraId="4E8D4BF5" w14:textId="77777777" w:rsidR="00D0483F" w:rsidRPr="00215A1D" w:rsidRDefault="00D0483F" w:rsidP="00215A1D">
      <w:pPr>
        <w:pStyle w:val="USTustnpkodeksu"/>
        <w:numPr>
          <w:ilvl w:val="0"/>
          <w:numId w:val="67"/>
        </w:numPr>
        <w:rPr>
          <w:rFonts w:ascii="Times New Roman" w:hAnsi="Times New Roman" w:cs="Times New Roman"/>
        </w:rPr>
      </w:pPr>
      <w:r w:rsidRPr="00215A1D">
        <w:rPr>
          <w:rFonts w:ascii="Times New Roman" w:hAnsi="Times New Roman" w:cs="Times New Roman"/>
        </w:rPr>
        <w:t>punkt poboru energii – punkt pomiarowy w instalacji lub sieci, dla którego dokonuje się rozliczeń ora</w:t>
      </w:r>
      <w:r w:rsidR="001D0628">
        <w:rPr>
          <w:rFonts w:ascii="Times New Roman" w:hAnsi="Times New Roman" w:cs="Times New Roman"/>
        </w:rPr>
        <w:t>z </w:t>
      </w:r>
      <w:r w:rsidRPr="00215A1D">
        <w:rPr>
          <w:rFonts w:ascii="Times New Roman" w:hAnsi="Times New Roman" w:cs="Times New Roman"/>
        </w:rPr>
        <w:t>dla którego może nastąpić zmiana sprzedawcy;</w:t>
      </w:r>
    </w:p>
    <w:p w14:paraId="1DA7E49A" w14:textId="77777777" w:rsidR="00D0483F" w:rsidRPr="00215A1D" w:rsidRDefault="00D0483F" w:rsidP="00215A1D">
      <w:pPr>
        <w:pStyle w:val="USTustnpkodeksu"/>
        <w:numPr>
          <w:ilvl w:val="0"/>
          <w:numId w:val="67"/>
        </w:numPr>
        <w:rPr>
          <w:rFonts w:ascii="Times New Roman" w:hAnsi="Times New Roman" w:cs="Times New Roman"/>
        </w:rPr>
      </w:pPr>
      <w:r w:rsidRPr="00215A1D">
        <w:rPr>
          <w:rFonts w:ascii="Times New Roman" w:hAnsi="Times New Roman" w:cs="Times New Roman"/>
        </w:rPr>
        <w:t xml:space="preserve">system zdalnego odczytu – system </w:t>
      </w:r>
      <w:r w:rsidR="00B077B9">
        <w:rPr>
          <w:rFonts w:ascii="Times New Roman" w:hAnsi="Times New Roman" w:cs="Times New Roman"/>
        </w:rPr>
        <w:t>informacyjny</w:t>
      </w:r>
      <w:r w:rsidRPr="00215A1D">
        <w:rPr>
          <w:rFonts w:ascii="Times New Roman" w:hAnsi="Times New Roman" w:cs="Times New Roman"/>
        </w:rPr>
        <w:t xml:space="preserve">służący do pozyskiwania danych pomiarowych </w:t>
      </w:r>
      <w:r w:rsidR="001D0628">
        <w:rPr>
          <w:rFonts w:ascii="Times New Roman" w:hAnsi="Times New Roman" w:cs="Times New Roman"/>
        </w:rPr>
        <w:t>z </w:t>
      </w:r>
      <w:r w:rsidRPr="00215A1D">
        <w:rPr>
          <w:rFonts w:ascii="Times New Roman" w:hAnsi="Times New Roman" w:cs="Times New Roman"/>
        </w:rPr>
        <w:t>liczników zdalnego odczytu</w:t>
      </w:r>
      <w:r w:rsidR="001D0628">
        <w:rPr>
          <w:rFonts w:ascii="Times New Roman" w:hAnsi="Times New Roman" w:cs="Times New Roman"/>
        </w:rPr>
        <w:t xml:space="preserve"> i </w:t>
      </w:r>
      <w:r w:rsidRPr="00215A1D">
        <w:rPr>
          <w:rFonts w:ascii="Times New Roman" w:hAnsi="Times New Roman" w:cs="Times New Roman"/>
        </w:rPr>
        <w:t>informacji o zdarzeniach rejestrowanych prze</w:t>
      </w:r>
      <w:r w:rsidR="001D0628">
        <w:rPr>
          <w:rFonts w:ascii="Times New Roman" w:hAnsi="Times New Roman" w:cs="Times New Roman"/>
        </w:rPr>
        <w:t>z </w:t>
      </w:r>
      <w:r w:rsidRPr="00215A1D">
        <w:rPr>
          <w:rFonts w:ascii="Times New Roman" w:hAnsi="Times New Roman" w:cs="Times New Roman"/>
        </w:rPr>
        <w:t>te liczniki ora</w:t>
      </w:r>
      <w:r w:rsidR="001D0628">
        <w:rPr>
          <w:rFonts w:ascii="Times New Roman" w:hAnsi="Times New Roman" w:cs="Times New Roman"/>
        </w:rPr>
        <w:t>z </w:t>
      </w:r>
      <w:r w:rsidRPr="00215A1D">
        <w:rPr>
          <w:rFonts w:ascii="Times New Roman" w:hAnsi="Times New Roman" w:cs="Times New Roman"/>
        </w:rPr>
        <w:t>służący do wysyłania poleceń do liczników zdalnego odczytu;</w:t>
      </w:r>
    </w:p>
    <w:p w14:paraId="4CF99F51" w14:textId="470906D4" w:rsidR="00D0483F" w:rsidRPr="00215A1D" w:rsidRDefault="00D0483F" w:rsidP="00215A1D">
      <w:pPr>
        <w:pStyle w:val="USTustnpkodeksu"/>
        <w:numPr>
          <w:ilvl w:val="0"/>
          <w:numId w:val="67"/>
        </w:numPr>
        <w:rPr>
          <w:rFonts w:ascii="Times New Roman" w:hAnsi="Times New Roman" w:cs="Times New Roman"/>
        </w:rPr>
      </w:pPr>
      <w:r w:rsidRPr="00215A1D">
        <w:rPr>
          <w:rFonts w:ascii="Times New Roman" w:hAnsi="Times New Roman" w:cs="Times New Roman"/>
        </w:rPr>
        <w:t xml:space="preserve">centralny system informacji rynku energii – system </w:t>
      </w:r>
      <w:r w:rsidR="00B077B9">
        <w:rPr>
          <w:rFonts w:ascii="Times New Roman" w:hAnsi="Times New Roman" w:cs="Times New Roman"/>
        </w:rPr>
        <w:t>informacyjny</w:t>
      </w:r>
      <w:r w:rsidRPr="00215A1D">
        <w:rPr>
          <w:rFonts w:ascii="Times New Roman" w:hAnsi="Times New Roman" w:cs="Times New Roman"/>
        </w:rPr>
        <w:t>służący do przetwarzania informacji rynku energii na potrzeby realizacji procesów rynku energii elektrycznej ora</w:t>
      </w:r>
      <w:r w:rsidR="001D0628">
        <w:rPr>
          <w:rFonts w:ascii="Times New Roman" w:hAnsi="Times New Roman" w:cs="Times New Roman"/>
        </w:rPr>
        <w:t>z </w:t>
      </w:r>
      <w:r w:rsidRPr="00215A1D">
        <w:rPr>
          <w:rFonts w:ascii="Times New Roman" w:hAnsi="Times New Roman" w:cs="Times New Roman"/>
        </w:rPr>
        <w:t>wymiany informacji między użytkownikami systemu</w:t>
      </w:r>
      <w:r w:rsidR="00D27428" w:rsidRPr="00D27428">
        <w:t xml:space="preserve"> </w:t>
      </w:r>
      <w:r w:rsidR="00D27428" w:rsidRPr="00986BAE">
        <w:t>elektroenergetycznego</w:t>
      </w:r>
      <w:r w:rsidRPr="00215A1D">
        <w:rPr>
          <w:rFonts w:ascii="Times New Roman" w:hAnsi="Times New Roman" w:cs="Times New Roman"/>
        </w:rPr>
        <w:t>;</w:t>
      </w:r>
    </w:p>
    <w:p w14:paraId="1F61C92F" w14:textId="77777777" w:rsidR="00D0483F" w:rsidRPr="00215A1D" w:rsidRDefault="00D0483F" w:rsidP="00215A1D">
      <w:pPr>
        <w:pStyle w:val="USTustnpkodeksu"/>
        <w:numPr>
          <w:ilvl w:val="0"/>
          <w:numId w:val="67"/>
        </w:numPr>
        <w:rPr>
          <w:rFonts w:ascii="Times New Roman" w:hAnsi="Times New Roman" w:cs="Times New Roman"/>
        </w:rPr>
      </w:pPr>
      <w:r w:rsidRPr="00215A1D">
        <w:rPr>
          <w:rFonts w:ascii="Times New Roman" w:hAnsi="Times New Roman" w:cs="Times New Roman"/>
        </w:rPr>
        <w:t>system pomiarowy – system zdalnego odczytu, liczniki zdalnego odczytu wra</w:t>
      </w:r>
      <w:r w:rsidR="001D0628">
        <w:rPr>
          <w:rFonts w:ascii="Times New Roman" w:hAnsi="Times New Roman" w:cs="Times New Roman"/>
        </w:rPr>
        <w:t>z z </w:t>
      </w:r>
      <w:r w:rsidRPr="00215A1D">
        <w:rPr>
          <w:rFonts w:ascii="Times New Roman" w:hAnsi="Times New Roman" w:cs="Times New Roman"/>
        </w:rPr>
        <w:t xml:space="preserve">niezbędną infrastrukturą techniczną skomunikowane </w:t>
      </w:r>
      <w:r w:rsidR="001D0628">
        <w:rPr>
          <w:rFonts w:ascii="Times New Roman" w:hAnsi="Times New Roman" w:cs="Times New Roman"/>
        </w:rPr>
        <w:t>z </w:t>
      </w:r>
      <w:r w:rsidRPr="00215A1D">
        <w:rPr>
          <w:rFonts w:ascii="Times New Roman" w:hAnsi="Times New Roman" w:cs="Times New Roman"/>
        </w:rPr>
        <w:t>tym systemem zdalnego odczytu ora</w:t>
      </w:r>
      <w:r w:rsidR="001D0628">
        <w:rPr>
          <w:rFonts w:ascii="Times New Roman" w:hAnsi="Times New Roman" w:cs="Times New Roman"/>
        </w:rPr>
        <w:t>z </w:t>
      </w:r>
      <w:r w:rsidRPr="00215A1D">
        <w:rPr>
          <w:rFonts w:ascii="Times New Roman" w:hAnsi="Times New Roman" w:cs="Times New Roman"/>
        </w:rPr>
        <w:t>liczniki konwencjonalne, służący do przetwarzania danych pomiarowych, celem ich przekazania do centralnego systemu informacji rynku energii;</w:t>
      </w:r>
    </w:p>
    <w:p w14:paraId="056FD2FD" w14:textId="3E26236A" w:rsidR="00D0483F" w:rsidRPr="00215A1D" w:rsidRDefault="00D0483F" w:rsidP="00215A1D">
      <w:pPr>
        <w:pStyle w:val="USTustnpkodeksu"/>
        <w:numPr>
          <w:ilvl w:val="0"/>
          <w:numId w:val="67"/>
        </w:numPr>
        <w:rPr>
          <w:rFonts w:ascii="Times New Roman" w:hAnsi="Times New Roman" w:cs="Times New Roman"/>
        </w:rPr>
      </w:pPr>
      <w:r w:rsidRPr="00215A1D">
        <w:rPr>
          <w:rFonts w:ascii="Times New Roman" w:hAnsi="Times New Roman" w:cs="Times New Roman"/>
        </w:rPr>
        <w:t xml:space="preserve">system </w:t>
      </w:r>
      <w:r w:rsidR="00B077B9">
        <w:rPr>
          <w:rFonts w:ascii="Times New Roman" w:hAnsi="Times New Roman" w:cs="Times New Roman"/>
        </w:rPr>
        <w:t>informacyjny</w:t>
      </w:r>
      <w:r w:rsidR="00CC7157">
        <w:rPr>
          <w:rFonts w:ascii="Times New Roman" w:hAnsi="Times New Roman" w:cs="Times New Roman"/>
        </w:rPr>
        <w:t xml:space="preserve"> </w:t>
      </w:r>
      <w:r w:rsidRPr="00215A1D">
        <w:rPr>
          <w:rFonts w:ascii="Times New Roman" w:hAnsi="Times New Roman" w:cs="Times New Roman"/>
        </w:rPr>
        <w:t xml:space="preserve">− system teleinformatyczny w rozumieniu </w:t>
      </w:r>
      <w:r w:rsidR="00B077B9">
        <w:rPr>
          <w:rFonts w:ascii="Times New Roman" w:hAnsi="Times New Roman" w:cs="Times New Roman"/>
        </w:rPr>
        <w:t>ustawy o krajowym systemie cyberbezpieczeństwa;</w:t>
      </w:r>
    </w:p>
    <w:p w14:paraId="2DFDEF41" w14:textId="4057C104" w:rsidR="00D0483F" w:rsidRPr="00215A1D" w:rsidRDefault="00D0483F" w:rsidP="00215A1D">
      <w:pPr>
        <w:pStyle w:val="USTustnpkodeksu"/>
        <w:numPr>
          <w:ilvl w:val="0"/>
          <w:numId w:val="67"/>
        </w:numPr>
        <w:rPr>
          <w:rFonts w:ascii="Times New Roman" w:hAnsi="Times New Roman" w:cs="Times New Roman"/>
        </w:rPr>
      </w:pPr>
      <w:r w:rsidRPr="00215A1D">
        <w:rPr>
          <w:rFonts w:ascii="Times New Roman" w:hAnsi="Times New Roman" w:cs="Times New Roman"/>
        </w:rPr>
        <w:t xml:space="preserve">operator informacji rynku energii </w:t>
      </w:r>
      <w:r w:rsidR="00CC7157">
        <w:rPr>
          <w:rFonts w:ascii="Times New Roman" w:hAnsi="Times New Roman" w:cs="Times New Roman"/>
        </w:rPr>
        <w:t>–</w:t>
      </w:r>
      <w:r w:rsidRPr="00215A1D">
        <w:rPr>
          <w:rFonts w:ascii="Times New Roman" w:hAnsi="Times New Roman" w:cs="Times New Roman"/>
        </w:rPr>
        <w:t xml:space="preserve"> podmiot odpowiedzialny za zarządzanie</w:t>
      </w:r>
      <w:r w:rsidR="001D0628">
        <w:rPr>
          <w:rFonts w:ascii="Times New Roman" w:hAnsi="Times New Roman" w:cs="Times New Roman"/>
        </w:rPr>
        <w:t xml:space="preserve"> i </w:t>
      </w:r>
      <w:r w:rsidRPr="00215A1D">
        <w:rPr>
          <w:rFonts w:ascii="Times New Roman" w:hAnsi="Times New Roman" w:cs="Times New Roman"/>
        </w:rPr>
        <w:t>administrowanie centralnym systemem informacji rynku energii ora</w:t>
      </w:r>
      <w:r w:rsidR="001D0628">
        <w:rPr>
          <w:rFonts w:ascii="Times New Roman" w:hAnsi="Times New Roman" w:cs="Times New Roman"/>
        </w:rPr>
        <w:t>z </w:t>
      </w:r>
      <w:r w:rsidRPr="00215A1D">
        <w:rPr>
          <w:rFonts w:ascii="Times New Roman" w:hAnsi="Times New Roman" w:cs="Times New Roman"/>
        </w:rPr>
        <w:t>przetwarzanie zgromadzonych w nim informacji na potrzeby realizacji procesów rynku energii elektrycznej;</w:t>
      </w:r>
    </w:p>
    <w:p w14:paraId="01D06510" w14:textId="019493AB" w:rsidR="00D0483F" w:rsidRPr="00215A1D" w:rsidRDefault="00D0483F" w:rsidP="00215A1D">
      <w:pPr>
        <w:pStyle w:val="USTustnpkodeksu"/>
        <w:numPr>
          <w:ilvl w:val="0"/>
          <w:numId w:val="67"/>
        </w:numPr>
        <w:rPr>
          <w:rFonts w:ascii="Times New Roman" w:hAnsi="Times New Roman" w:cs="Times New Roman"/>
        </w:rPr>
      </w:pPr>
      <w:r w:rsidRPr="00215A1D">
        <w:rPr>
          <w:rFonts w:ascii="Times New Roman" w:hAnsi="Times New Roman" w:cs="Times New Roman"/>
        </w:rPr>
        <w:t xml:space="preserve">jednostkowe dane pomiarowe </w:t>
      </w:r>
      <w:r w:rsidR="00CC7157">
        <w:rPr>
          <w:rFonts w:ascii="Times New Roman" w:hAnsi="Times New Roman" w:cs="Times New Roman"/>
        </w:rPr>
        <w:t>–</w:t>
      </w:r>
      <w:r w:rsidRPr="00215A1D">
        <w:rPr>
          <w:rFonts w:ascii="Times New Roman" w:hAnsi="Times New Roman" w:cs="Times New Roman"/>
        </w:rPr>
        <w:t xml:space="preserve"> dane pomiarowe dotyczące pomiarów dla pojedynczego punktu pomiarowego, dla których jest możliwe ich przypisanie do danego użytkownika systemu</w:t>
      </w:r>
      <w:r w:rsidR="00D27428" w:rsidRPr="00D27428">
        <w:t xml:space="preserve"> </w:t>
      </w:r>
      <w:r w:rsidR="00D27428" w:rsidRPr="00986BAE">
        <w:t>elektroenergetycznego</w:t>
      </w:r>
      <w:r w:rsidRPr="00215A1D">
        <w:rPr>
          <w:rFonts w:ascii="Times New Roman" w:hAnsi="Times New Roman" w:cs="Times New Roman"/>
        </w:rPr>
        <w:t>;</w:t>
      </w:r>
    </w:p>
    <w:p w14:paraId="32C1BF20" w14:textId="77777777" w:rsidR="00D0483F" w:rsidRPr="00215A1D" w:rsidRDefault="00D0483F" w:rsidP="00215A1D">
      <w:pPr>
        <w:pStyle w:val="USTustnpkodeksu"/>
        <w:numPr>
          <w:ilvl w:val="0"/>
          <w:numId w:val="67"/>
        </w:numPr>
        <w:rPr>
          <w:rFonts w:ascii="Times New Roman" w:hAnsi="Times New Roman" w:cs="Times New Roman"/>
        </w:rPr>
      </w:pPr>
      <w:r w:rsidRPr="00215A1D">
        <w:rPr>
          <w:rFonts w:ascii="Times New Roman" w:hAnsi="Times New Roman" w:cs="Times New Roman"/>
        </w:rPr>
        <w:lastRenderedPageBreak/>
        <w:t>zagregowane dane pomiarowe – dane pomiarowe dla zbioru punktów pomiarowych, dla których nie jest możliwe przypisanie ich do danego użytkownika systemu;</w:t>
      </w:r>
    </w:p>
    <w:p w14:paraId="4DCDFDD3" w14:textId="7B39B279" w:rsidR="00D0483F" w:rsidRPr="00215A1D" w:rsidRDefault="00D0483F" w:rsidP="00215A1D">
      <w:pPr>
        <w:pStyle w:val="USTustnpkodeksu"/>
        <w:numPr>
          <w:ilvl w:val="0"/>
          <w:numId w:val="67"/>
        </w:numPr>
        <w:rPr>
          <w:rFonts w:ascii="Times New Roman" w:hAnsi="Times New Roman" w:cs="Times New Roman"/>
        </w:rPr>
      </w:pPr>
      <w:r w:rsidRPr="00215A1D">
        <w:rPr>
          <w:rFonts w:ascii="Times New Roman" w:hAnsi="Times New Roman" w:cs="Times New Roman"/>
        </w:rPr>
        <w:t xml:space="preserve">operator ogólnodostępnej stacji ładowania - operator ogólnodostępnej stacji ładowania w rozumieniu art. 2 pkt 7 ustawy </w:t>
      </w:r>
      <w:r w:rsidR="001D0628">
        <w:rPr>
          <w:rFonts w:ascii="Times New Roman" w:hAnsi="Times New Roman" w:cs="Times New Roman"/>
        </w:rPr>
        <w:t>z </w:t>
      </w:r>
      <w:r w:rsidRPr="00215A1D">
        <w:rPr>
          <w:rFonts w:ascii="Times New Roman" w:hAnsi="Times New Roman" w:cs="Times New Roman"/>
        </w:rPr>
        <w:t>dnia 11 stycznia 2018</w:t>
      </w:r>
      <w:r w:rsidR="001D0628">
        <w:rPr>
          <w:rFonts w:ascii="Times New Roman" w:hAnsi="Times New Roman" w:cs="Times New Roman"/>
        </w:rPr>
        <w:t> r.</w:t>
      </w:r>
      <w:r w:rsidRPr="00215A1D">
        <w:rPr>
          <w:rFonts w:ascii="Times New Roman" w:hAnsi="Times New Roman" w:cs="Times New Roman"/>
        </w:rPr>
        <w:t xml:space="preserve"> o elektromobilności</w:t>
      </w:r>
      <w:r w:rsidR="001D0628">
        <w:rPr>
          <w:rFonts w:ascii="Times New Roman" w:hAnsi="Times New Roman" w:cs="Times New Roman"/>
        </w:rPr>
        <w:t xml:space="preserve"> i </w:t>
      </w:r>
      <w:r w:rsidRPr="00215A1D">
        <w:rPr>
          <w:rFonts w:ascii="Times New Roman" w:hAnsi="Times New Roman" w:cs="Times New Roman"/>
        </w:rPr>
        <w:t>paliwach alternatywnych</w:t>
      </w:r>
      <w:r w:rsidR="00771B6B">
        <w:rPr>
          <w:rFonts w:ascii="Times New Roman" w:hAnsi="Times New Roman" w:cs="Times New Roman"/>
        </w:rPr>
        <w:t>.</w:t>
      </w:r>
    </w:p>
    <w:p w14:paraId="728F7844" w14:textId="77777777" w:rsidR="00D0483F" w:rsidRPr="00215A1D" w:rsidRDefault="00D0483F" w:rsidP="00EF6F97">
      <w:pPr>
        <w:pStyle w:val="USTustnpkodeksu"/>
        <w:ind w:left="510" w:firstLine="624"/>
        <w:rPr>
          <w:rFonts w:ascii="Times New Roman" w:hAnsi="Times New Roman" w:cs="Times New Roman"/>
        </w:rPr>
      </w:pPr>
    </w:p>
    <w:p w14:paraId="0505C922" w14:textId="7CDE7D92" w:rsidR="009A1099" w:rsidRPr="00215A1D" w:rsidRDefault="00154F38" w:rsidP="00EF6F97">
      <w:pPr>
        <w:pStyle w:val="USTustnpkodeksu"/>
        <w:ind w:firstLine="0"/>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 xml:space="preserve">System wykorzystujący zdalną komunikację dwukierunkową powinien gwarantować </w:t>
      </w:r>
      <w:r w:rsidR="001D0628">
        <w:rPr>
          <w:rFonts w:ascii="Times New Roman" w:hAnsi="Times New Roman" w:cs="Times New Roman"/>
        </w:rPr>
        <w:t>z </w:t>
      </w:r>
      <w:r w:rsidR="009A1099" w:rsidRPr="00215A1D">
        <w:rPr>
          <w:rFonts w:ascii="Times New Roman" w:hAnsi="Times New Roman" w:cs="Times New Roman"/>
        </w:rPr>
        <w:t>jednej strony pozyskiwanie</w:t>
      </w:r>
      <w:r w:rsidR="001D0628">
        <w:rPr>
          <w:rFonts w:ascii="Times New Roman" w:hAnsi="Times New Roman" w:cs="Times New Roman"/>
        </w:rPr>
        <w:t xml:space="preserve"> i </w:t>
      </w:r>
      <w:r w:rsidR="009A1099" w:rsidRPr="00215A1D">
        <w:rPr>
          <w:rFonts w:ascii="Times New Roman" w:hAnsi="Times New Roman" w:cs="Times New Roman"/>
        </w:rPr>
        <w:t xml:space="preserve">przetwarzanie danych pomiarowych, </w:t>
      </w:r>
      <w:r w:rsidR="001D0628">
        <w:rPr>
          <w:rFonts w:ascii="Times New Roman" w:hAnsi="Times New Roman" w:cs="Times New Roman"/>
        </w:rPr>
        <w:t>z </w:t>
      </w:r>
      <w:r w:rsidR="009A1099" w:rsidRPr="00215A1D">
        <w:rPr>
          <w:rFonts w:ascii="Times New Roman" w:hAnsi="Times New Roman" w:cs="Times New Roman"/>
        </w:rPr>
        <w:t xml:space="preserve">drugiej zaś strony </w:t>
      </w:r>
      <w:r w:rsidR="00D81B39" w:rsidRPr="00215A1D">
        <w:rPr>
          <w:rFonts w:ascii="Times New Roman" w:hAnsi="Times New Roman" w:cs="Times New Roman"/>
        </w:rPr>
        <w:t xml:space="preserve">możliwość </w:t>
      </w:r>
      <w:r w:rsidR="009A1099" w:rsidRPr="00215A1D">
        <w:rPr>
          <w:rFonts w:ascii="Times New Roman" w:hAnsi="Times New Roman" w:cs="Times New Roman"/>
        </w:rPr>
        <w:t>wysyłani</w:t>
      </w:r>
      <w:r w:rsidR="00D81B39" w:rsidRPr="00215A1D">
        <w:rPr>
          <w:rFonts w:ascii="Times New Roman" w:hAnsi="Times New Roman" w:cs="Times New Roman"/>
        </w:rPr>
        <w:t>a</w:t>
      </w:r>
      <w:r w:rsidR="009A1099" w:rsidRPr="00215A1D">
        <w:rPr>
          <w:rFonts w:ascii="Times New Roman" w:hAnsi="Times New Roman" w:cs="Times New Roman"/>
        </w:rPr>
        <w:t xml:space="preserve"> poleceń do liczników zdalnego odczytu służących do jego obsługi</w:t>
      </w:r>
      <w:r w:rsidR="00D27428">
        <w:rPr>
          <w:rFonts w:ascii="Times New Roman" w:hAnsi="Times New Roman" w:cs="Times New Roman"/>
        </w:rPr>
        <w:t>,</w:t>
      </w:r>
      <w:r w:rsidR="009A1099" w:rsidRPr="00215A1D">
        <w:rPr>
          <w:rFonts w:ascii="Times New Roman" w:hAnsi="Times New Roman" w:cs="Times New Roman"/>
        </w:rPr>
        <w:t xml:space="preserve"> jak</w:t>
      </w:r>
      <w:r w:rsidR="001D0628">
        <w:rPr>
          <w:rFonts w:ascii="Times New Roman" w:hAnsi="Times New Roman" w:cs="Times New Roman"/>
        </w:rPr>
        <w:t xml:space="preserve"> i </w:t>
      </w:r>
      <w:r w:rsidR="009A1099" w:rsidRPr="00215A1D">
        <w:rPr>
          <w:rFonts w:ascii="Times New Roman" w:hAnsi="Times New Roman" w:cs="Times New Roman"/>
        </w:rPr>
        <w:t>ograniczani</w:t>
      </w:r>
      <w:r w:rsidR="00D81B39" w:rsidRPr="00215A1D">
        <w:rPr>
          <w:rFonts w:ascii="Times New Roman" w:hAnsi="Times New Roman" w:cs="Times New Roman"/>
        </w:rPr>
        <w:t>a</w:t>
      </w:r>
      <w:r w:rsidR="009A1099" w:rsidRPr="00215A1D">
        <w:rPr>
          <w:rFonts w:ascii="Times New Roman" w:hAnsi="Times New Roman" w:cs="Times New Roman"/>
        </w:rPr>
        <w:t xml:space="preserve"> za pośrednictwem tego licznika poboru energii elektrycznej w punkcie pomiarowym.</w:t>
      </w:r>
    </w:p>
    <w:p w14:paraId="4A01DDB7" w14:textId="77777777" w:rsidR="009A1099"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D81B39" w:rsidRPr="00215A1D">
        <w:rPr>
          <w:rFonts w:ascii="Times New Roman" w:hAnsi="Times New Roman" w:cs="Times New Roman"/>
        </w:rPr>
        <w:t xml:space="preserve">Przewiduje się, że </w:t>
      </w:r>
      <w:r w:rsidR="009A1099" w:rsidRPr="00215A1D">
        <w:rPr>
          <w:rFonts w:ascii="Times New Roman" w:hAnsi="Times New Roman" w:cs="Times New Roman"/>
        </w:rPr>
        <w:t xml:space="preserve">licznik zdalnego odczytu </w:t>
      </w:r>
      <w:r w:rsidR="00D81B39" w:rsidRPr="00215A1D">
        <w:rPr>
          <w:rFonts w:ascii="Times New Roman" w:hAnsi="Times New Roman" w:cs="Times New Roman"/>
        </w:rPr>
        <w:t xml:space="preserve">będzie umożliwiał </w:t>
      </w:r>
      <w:r w:rsidR="009A1099" w:rsidRPr="00215A1D">
        <w:rPr>
          <w:rFonts w:ascii="Times New Roman" w:hAnsi="Times New Roman" w:cs="Times New Roman"/>
        </w:rPr>
        <w:t>pomiar</w:t>
      </w:r>
      <w:r w:rsidR="00D81B39" w:rsidRPr="00215A1D">
        <w:rPr>
          <w:rFonts w:ascii="Times New Roman" w:hAnsi="Times New Roman" w:cs="Times New Roman"/>
        </w:rPr>
        <w:t>y</w:t>
      </w:r>
      <w:r w:rsidR="009A1099" w:rsidRPr="00215A1D">
        <w:rPr>
          <w:rFonts w:ascii="Times New Roman" w:hAnsi="Times New Roman" w:cs="Times New Roman"/>
        </w:rPr>
        <w:t xml:space="preserve"> jakości dostarczanej energii elektrycznej</w:t>
      </w:r>
      <w:r w:rsidR="00D81B39" w:rsidRPr="00215A1D">
        <w:rPr>
          <w:rFonts w:ascii="Times New Roman" w:hAnsi="Times New Roman" w:cs="Times New Roman"/>
        </w:rPr>
        <w:t>, co</w:t>
      </w:r>
      <w:r w:rsidR="009A1099" w:rsidRPr="00215A1D">
        <w:rPr>
          <w:rFonts w:ascii="Times New Roman" w:hAnsi="Times New Roman" w:cs="Times New Roman"/>
        </w:rPr>
        <w:t xml:space="preserve"> umożliwi docelowo wprowadzenie automatycznego naliczania bonifikat za przerwy w jej dostarczaniu ora</w:t>
      </w:r>
      <w:r w:rsidR="001D0628">
        <w:rPr>
          <w:rFonts w:ascii="Times New Roman" w:hAnsi="Times New Roman" w:cs="Times New Roman"/>
        </w:rPr>
        <w:t>z </w:t>
      </w:r>
      <w:r w:rsidR="009A1099" w:rsidRPr="00215A1D">
        <w:rPr>
          <w:rFonts w:ascii="Times New Roman" w:hAnsi="Times New Roman" w:cs="Times New Roman"/>
        </w:rPr>
        <w:t>inne naruszenia parametrów jakościowych energii elektrycznej. Obecnie bonifikaty naliczane są na wniosek odbiorcy końcowego, a przedsiębiorstwo energetyczne na rozpatrzenie takiego wniosku ma 30 dni. Wprowadzenie systemu automatycznego rozliczania bonifikat odciąży odbiorców energii elektrycznej ora</w:t>
      </w:r>
      <w:r w:rsidR="001D0628">
        <w:rPr>
          <w:rFonts w:ascii="Times New Roman" w:hAnsi="Times New Roman" w:cs="Times New Roman"/>
        </w:rPr>
        <w:t>z </w:t>
      </w:r>
      <w:r w:rsidR="009A1099" w:rsidRPr="00215A1D">
        <w:rPr>
          <w:rFonts w:ascii="Times New Roman" w:hAnsi="Times New Roman" w:cs="Times New Roman"/>
        </w:rPr>
        <w:t>przedsiębiorstwa energetyczne od zbędnych czynności (składanie wniosków, ich rozpatrywanie) ora</w:t>
      </w:r>
      <w:r w:rsidR="001D0628">
        <w:rPr>
          <w:rFonts w:ascii="Times New Roman" w:hAnsi="Times New Roman" w:cs="Times New Roman"/>
        </w:rPr>
        <w:t>z </w:t>
      </w:r>
      <w:r w:rsidR="009A1099" w:rsidRPr="00215A1D">
        <w:rPr>
          <w:rFonts w:ascii="Times New Roman" w:hAnsi="Times New Roman" w:cs="Times New Roman"/>
        </w:rPr>
        <w:t xml:space="preserve">ponoszenia wydatków </w:t>
      </w:r>
      <w:r w:rsidR="001D0628">
        <w:rPr>
          <w:rFonts w:ascii="Times New Roman" w:hAnsi="Times New Roman" w:cs="Times New Roman"/>
        </w:rPr>
        <w:t>z </w:t>
      </w:r>
      <w:r w:rsidR="009A1099" w:rsidRPr="00215A1D">
        <w:rPr>
          <w:rFonts w:ascii="Times New Roman" w:hAnsi="Times New Roman" w:cs="Times New Roman"/>
        </w:rPr>
        <w:t xml:space="preserve">tym związanych. Wprowadzenie takiego systemu w Szwecji w związku </w:t>
      </w:r>
      <w:r w:rsidR="001D0628">
        <w:rPr>
          <w:rFonts w:ascii="Times New Roman" w:hAnsi="Times New Roman" w:cs="Times New Roman"/>
        </w:rPr>
        <w:t>z </w:t>
      </w:r>
      <w:r w:rsidR="009A1099" w:rsidRPr="00215A1D">
        <w:rPr>
          <w:rFonts w:ascii="Times New Roman" w:hAnsi="Times New Roman" w:cs="Times New Roman"/>
        </w:rPr>
        <w:t>instalacją liczników zdalnego odczytu było prze</w:t>
      </w:r>
      <w:r w:rsidR="001D0628">
        <w:rPr>
          <w:rFonts w:ascii="Times New Roman" w:hAnsi="Times New Roman" w:cs="Times New Roman"/>
        </w:rPr>
        <w:t>z </w:t>
      </w:r>
      <w:r w:rsidR="009A1099" w:rsidRPr="00215A1D">
        <w:rPr>
          <w:rFonts w:ascii="Times New Roman" w:hAnsi="Times New Roman" w:cs="Times New Roman"/>
        </w:rPr>
        <w:t>odbiorców uznane jako zasadnicza korzyść.</w:t>
      </w:r>
    </w:p>
    <w:p w14:paraId="44A39072" w14:textId="77777777" w:rsidR="009A1099"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 xml:space="preserve">W projekcie ustawy zdefiniowano również pozostałe elementy składające się na system inteligentnego opomiarowania. </w:t>
      </w:r>
    </w:p>
    <w:p w14:paraId="51E92C85" w14:textId="77777777" w:rsidR="00150B08"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 xml:space="preserve">Proponuje się </w:t>
      </w:r>
      <w:r w:rsidR="00D81B39" w:rsidRPr="00215A1D">
        <w:rPr>
          <w:rFonts w:ascii="Times New Roman" w:hAnsi="Times New Roman" w:cs="Times New Roman"/>
        </w:rPr>
        <w:t xml:space="preserve">dokonać zmian </w:t>
      </w:r>
      <w:r w:rsidR="009A1099" w:rsidRPr="00215A1D">
        <w:rPr>
          <w:rFonts w:ascii="Times New Roman" w:hAnsi="Times New Roman" w:cs="Times New Roman"/>
        </w:rPr>
        <w:t>przepis</w:t>
      </w:r>
      <w:r w:rsidR="00D81B39" w:rsidRPr="00215A1D">
        <w:rPr>
          <w:rFonts w:ascii="Times New Roman" w:hAnsi="Times New Roman" w:cs="Times New Roman"/>
        </w:rPr>
        <w:t>u</w:t>
      </w:r>
      <w:r w:rsidR="009A1099" w:rsidRPr="00215A1D">
        <w:rPr>
          <w:rFonts w:ascii="Times New Roman" w:hAnsi="Times New Roman" w:cs="Times New Roman"/>
        </w:rPr>
        <w:t xml:space="preserve"> określające</w:t>
      </w:r>
      <w:r w:rsidR="00D81B39" w:rsidRPr="00215A1D">
        <w:rPr>
          <w:rFonts w:ascii="Times New Roman" w:hAnsi="Times New Roman" w:cs="Times New Roman"/>
        </w:rPr>
        <w:t xml:space="preserve">go termin </w:t>
      </w:r>
      <w:r w:rsidR="00150B08" w:rsidRPr="00215A1D">
        <w:rPr>
          <w:rFonts w:ascii="Times New Roman" w:hAnsi="Times New Roman" w:cs="Times New Roman"/>
        </w:rPr>
        <w:t xml:space="preserve">wyznaczony na </w:t>
      </w:r>
      <w:r w:rsidR="009A1099" w:rsidRPr="00215A1D">
        <w:rPr>
          <w:rFonts w:ascii="Times New Roman" w:hAnsi="Times New Roman" w:cs="Times New Roman"/>
        </w:rPr>
        <w:t>zmian</w:t>
      </w:r>
      <w:r w:rsidR="00150B08" w:rsidRPr="00215A1D">
        <w:rPr>
          <w:rFonts w:ascii="Times New Roman" w:hAnsi="Times New Roman" w:cs="Times New Roman"/>
        </w:rPr>
        <w:t>ę</w:t>
      </w:r>
      <w:r w:rsidR="009A1099" w:rsidRPr="00215A1D">
        <w:rPr>
          <w:rFonts w:ascii="Times New Roman" w:hAnsi="Times New Roman" w:cs="Times New Roman"/>
        </w:rPr>
        <w:t xml:space="preserve"> sprzedawcy (art. 4j</w:t>
      </w:r>
      <w:r w:rsidR="00150B08" w:rsidRPr="00215A1D">
        <w:rPr>
          <w:rFonts w:ascii="Times New Roman" w:hAnsi="Times New Roman" w:cs="Times New Roman"/>
        </w:rPr>
        <w:t xml:space="preserve"> ust. 6</w:t>
      </w:r>
      <w:r w:rsidR="009A1099" w:rsidRPr="00215A1D">
        <w:rPr>
          <w:rFonts w:ascii="Times New Roman" w:hAnsi="Times New Roman" w:cs="Times New Roman"/>
        </w:rPr>
        <w:t xml:space="preserve">) </w:t>
      </w:r>
      <w:r w:rsidR="00150B08" w:rsidRPr="00215A1D">
        <w:rPr>
          <w:rFonts w:ascii="Times New Roman" w:hAnsi="Times New Roman" w:cs="Times New Roman"/>
        </w:rPr>
        <w:t xml:space="preserve">w taki sposób, aby po okresie wdrożenia CSIRE zmiana sprzedawcy energii elektrycznej następowała w terminie 7 dni. </w:t>
      </w:r>
    </w:p>
    <w:p w14:paraId="795DD29D" w14:textId="232AD06C" w:rsidR="006D44F3"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 xml:space="preserve">Centralizacja wymiany </w:t>
      </w:r>
      <w:r w:rsidR="006D44F3" w:rsidRPr="00215A1D">
        <w:rPr>
          <w:rFonts w:ascii="Times New Roman" w:hAnsi="Times New Roman" w:cs="Times New Roman"/>
        </w:rPr>
        <w:t>danych pomiarowych</w:t>
      </w:r>
      <w:r w:rsidR="00C94C9C" w:rsidRPr="00215A1D">
        <w:rPr>
          <w:rFonts w:ascii="Times New Roman" w:hAnsi="Times New Roman" w:cs="Times New Roman"/>
        </w:rPr>
        <w:t xml:space="preserve">, w tym </w:t>
      </w:r>
      <w:r w:rsidR="009A1099" w:rsidRPr="00215A1D">
        <w:rPr>
          <w:rFonts w:ascii="Times New Roman" w:hAnsi="Times New Roman" w:cs="Times New Roman"/>
        </w:rPr>
        <w:t>informacji potrzebnych w procesie zmiany sprzedawcy</w:t>
      </w:r>
      <w:r w:rsidR="00CC7157">
        <w:rPr>
          <w:rFonts w:ascii="Times New Roman" w:hAnsi="Times New Roman" w:cs="Times New Roman"/>
        </w:rPr>
        <w:t>,</w:t>
      </w:r>
      <w:r w:rsidR="009A1099" w:rsidRPr="00215A1D">
        <w:rPr>
          <w:rFonts w:ascii="Times New Roman" w:hAnsi="Times New Roman" w:cs="Times New Roman"/>
        </w:rPr>
        <w:t xml:space="preserve"> usprawni</w:t>
      </w:r>
      <w:r w:rsidR="001D0628">
        <w:rPr>
          <w:rFonts w:ascii="Times New Roman" w:hAnsi="Times New Roman" w:cs="Times New Roman"/>
        </w:rPr>
        <w:t xml:space="preserve"> i </w:t>
      </w:r>
      <w:r w:rsidR="009A1099" w:rsidRPr="00215A1D">
        <w:rPr>
          <w:rFonts w:ascii="Times New Roman" w:hAnsi="Times New Roman" w:cs="Times New Roman"/>
        </w:rPr>
        <w:t>przyspieszy te procesy. Wszyscy sprzedawcy wykorzystywać będą jednolitą platformę dostarczoną prze</w:t>
      </w:r>
      <w:r w:rsidR="001D0628">
        <w:rPr>
          <w:rFonts w:ascii="Times New Roman" w:hAnsi="Times New Roman" w:cs="Times New Roman"/>
        </w:rPr>
        <w:t>z </w:t>
      </w:r>
      <w:r w:rsidR="009A1099" w:rsidRPr="00215A1D">
        <w:rPr>
          <w:rFonts w:ascii="Times New Roman" w:hAnsi="Times New Roman" w:cs="Times New Roman"/>
        </w:rPr>
        <w:t xml:space="preserve">operatora informacji </w:t>
      </w:r>
      <w:r w:rsidR="00C94C9C" w:rsidRPr="00215A1D">
        <w:rPr>
          <w:rFonts w:ascii="Times New Roman" w:hAnsi="Times New Roman" w:cs="Times New Roman"/>
        </w:rPr>
        <w:t xml:space="preserve">rynku energii </w:t>
      </w:r>
      <w:r w:rsidR="009A1099" w:rsidRPr="00215A1D">
        <w:rPr>
          <w:rFonts w:ascii="Times New Roman" w:hAnsi="Times New Roman" w:cs="Times New Roman"/>
        </w:rPr>
        <w:t>do przesyłania informacji o zmianie sprzedawcy do operatora systemu dystrybucyjnego elektroenergetycznego</w:t>
      </w:r>
      <w:r w:rsidR="001D0628">
        <w:rPr>
          <w:rFonts w:ascii="Times New Roman" w:hAnsi="Times New Roman" w:cs="Times New Roman"/>
        </w:rPr>
        <w:t xml:space="preserve"> i </w:t>
      </w:r>
      <w:r w:rsidR="009A1099" w:rsidRPr="00215A1D">
        <w:rPr>
          <w:rFonts w:ascii="Times New Roman" w:hAnsi="Times New Roman" w:cs="Times New Roman"/>
        </w:rPr>
        <w:t>sprzedawców energii elektrycznej. W ramach tej platformy nastąpi weryfikacja</w:t>
      </w:r>
      <w:r w:rsidR="001D0628">
        <w:rPr>
          <w:rFonts w:ascii="Times New Roman" w:hAnsi="Times New Roman" w:cs="Times New Roman"/>
        </w:rPr>
        <w:t xml:space="preserve"> i </w:t>
      </w:r>
      <w:r w:rsidR="009A1099" w:rsidRPr="00215A1D">
        <w:rPr>
          <w:rFonts w:ascii="Times New Roman" w:hAnsi="Times New Roman" w:cs="Times New Roman"/>
        </w:rPr>
        <w:t>uzupełnienie wniosków o zmianę sprzedawcy, co skróci</w:t>
      </w:r>
      <w:r w:rsidR="001D0628">
        <w:rPr>
          <w:rFonts w:ascii="Times New Roman" w:hAnsi="Times New Roman" w:cs="Times New Roman"/>
        </w:rPr>
        <w:t xml:space="preserve"> i </w:t>
      </w:r>
      <w:r w:rsidR="009A1099" w:rsidRPr="00215A1D">
        <w:rPr>
          <w:rFonts w:ascii="Times New Roman" w:hAnsi="Times New Roman" w:cs="Times New Roman"/>
        </w:rPr>
        <w:t xml:space="preserve">uprości ten system. Sprawny system zmiany sprzedawcy gwarantujący równoprawne traktowanie podmiotów jest kluczowy dla rozwoju konkurencyjnego rynku detalicznego energii elektrycznej w Polsce. </w:t>
      </w:r>
      <w:r w:rsidR="009A1099" w:rsidRPr="00215A1D">
        <w:rPr>
          <w:rFonts w:ascii="Times New Roman" w:hAnsi="Times New Roman" w:cs="Times New Roman"/>
        </w:rPr>
        <w:lastRenderedPageBreak/>
        <w:t>Usprawnienie</w:t>
      </w:r>
      <w:r w:rsidR="001D0628">
        <w:rPr>
          <w:rFonts w:ascii="Times New Roman" w:hAnsi="Times New Roman" w:cs="Times New Roman"/>
        </w:rPr>
        <w:t xml:space="preserve"> i </w:t>
      </w:r>
      <w:r w:rsidR="009A1099" w:rsidRPr="00215A1D">
        <w:rPr>
          <w:rFonts w:ascii="Times New Roman" w:hAnsi="Times New Roman" w:cs="Times New Roman"/>
        </w:rPr>
        <w:t>przyspieszenie procedury zmiany sprzedawcywpłynie na spadek kosztów funkcjonowania sprzedawców energii elektrycznej, a tym samym odbiorcy końcowi będą mogli otrzymać korzystniejsze oferty w zakresie dostarczanej energii elektrycznej.</w:t>
      </w:r>
      <w:r w:rsidR="000A76B7">
        <w:rPr>
          <w:rFonts w:ascii="Times New Roman" w:hAnsi="Times New Roman" w:cs="Times New Roman"/>
        </w:rPr>
        <w:t xml:space="preserve"> </w:t>
      </w:r>
      <w:r w:rsidR="006D44F3" w:rsidRPr="00215A1D">
        <w:rPr>
          <w:rFonts w:ascii="Times New Roman" w:hAnsi="Times New Roman" w:cs="Times New Roman"/>
        </w:rPr>
        <w:t xml:space="preserve">Docelowo przewiduje się zmianę sprzedawcy w ciągu 1 dnia. </w:t>
      </w:r>
    </w:p>
    <w:p w14:paraId="1F65CB3F" w14:textId="0C590C97" w:rsidR="00943A0D"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150B08" w:rsidRPr="00215A1D">
        <w:rPr>
          <w:rFonts w:ascii="Times New Roman" w:hAnsi="Times New Roman" w:cs="Times New Roman"/>
        </w:rPr>
        <w:t>Projektowane wprowadzenie systemu inteligentnego opomiarowania</w:t>
      </w:r>
      <w:r w:rsidR="000A128D" w:rsidRPr="00215A1D">
        <w:rPr>
          <w:rFonts w:ascii="Times New Roman" w:hAnsi="Times New Roman" w:cs="Times New Roman"/>
        </w:rPr>
        <w:t xml:space="preserve"> obejmującego</w:t>
      </w:r>
      <w:r w:rsidR="00150B08" w:rsidRPr="00215A1D">
        <w:rPr>
          <w:rFonts w:ascii="Times New Roman" w:hAnsi="Times New Roman" w:cs="Times New Roman"/>
        </w:rPr>
        <w:t xml:space="preserve"> operatora informacji rynku energii wymusza dokonanie zmian w przepisach określających zasady prowadzenia rozliczeń za energię elektryczną. Przewiduje się, że po wdrożeniu CSIRE wszelkie rozliczenia za energię elektryczną będą prowadzone wyłącznie na podstawie danych </w:t>
      </w:r>
      <w:r w:rsidR="001D0628">
        <w:rPr>
          <w:rFonts w:ascii="Times New Roman" w:hAnsi="Times New Roman" w:cs="Times New Roman"/>
        </w:rPr>
        <w:t>z </w:t>
      </w:r>
      <w:r w:rsidR="00150B08" w:rsidRPr="00215A1D">
        <w:rPr>
          <w:rFonts w:ascii="Times New Roman" w:hAnsi="Times New Roman" w:cs="Times New Roman"/>
        </w:rPr>
        <w:t xml:space="preserve">tego systemu (art. </w:t>
      </w:r>
      <w:r w:rsidR="00943A0D" w:rsidRPr="00215A1D">
        <w:rPr>
          <w:rFonts w:ascii="Times New Roman" w:hAnsi="Times New Roman" w:cs="Times New Roman"/>
        </w:rPr>
        <w:t>4k</w:t>
      </w:r>
      <w:r w:rsidR="00AA434E" w:rsidRPr="00215A1D">
        <w:rPr>
          <w:rFonts w:ascii="Times New Roman" w:hAnsi="Times New Roman" w:cs="Times New Roman"/>
        </w:rPr>
        <w:t>)</w:t>
      </w:r>
      <w:r w:rsidR="000A76B7">
        <w:rPr>
          <w:rFonts w:ascii="Times New Roman" w:hAnsi="Times New Roman" w:cs="Times New Roman"/>
        </w:rPr>
        <w:t>,</w:t>
      </w:r>
      <w:r w:rsidR="00772387">
        <w:rPr>
          <w:rFonts w:ascii="Times New Roman" w:hAnsi="Times New Roman" w:cs="Times New Roman"/>
        </w:rPr>
        <w:t xml:space="preserve"> z wyjątkiem sytuacji, </w:t>
      </w:r>
      <w:r w:rsidR="00441D83">
        <w:rPr>
          <w:rFonts w:ascii="Times New Roman" w:hAnsi="Times New Roman" w:cs="Times New Roman"/>
        </w:rPr>
        <w:t>w których</w:t>
      </w:r>
      <w:r w:rsidR="00772387">
        <w:rPr>
          <w:rFonts w:ascii="Times New Roman" w:hAnsi="Times New Roman" w:cs="Times New Roman"/>
        </w:rPr>
        <w:t xml:space="preserve"> w przypadku awarii tego systemu nie </w:t>
      </w:r>
      <w:r w:rsidR="00441D83">
        <w:rPr>
          <w:rFonts w:ascii="Times New Roman" w:hAnsi="Times New Roman" w:cs="Times New Roman"/>
        </w:rPr>
        <w:t>jest</w:t>
      </w:r>
      <w:r w:rsidR="00772387">
        <w:rPr>
          <w:rFonts w:ascii="Times New Roman" w:hAnsi="Times New Roman" w:cs="Times New Roman"/>
        </w:rPr>
        <w:t xml:space="preserve"> możliwe dokonywanie rozliczeń z jego pomocą</w:t>
      </w:r>
      <w:r w:rsidR="00150B08" w:rsidRPr="00215A1D">
        <w:rPr>
          <w:rFonts w:ascii="Times New Roman" w:hAnsi="Times New Roman" w:cs="Times New Roman"/>
        </w:rPr>
        <w:t xml:space="preserve">. </w:t>
      </w:r>
    </w:p>
    <w:p w14:paraId="1F32ED41" w14:textId="1366EF15" w:rsidR="00943A0D"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943A0D" w:rsidRPr="00215A1D">
        <w:rPr>
          <w:rFonts w:ascii="Times New Roman" w:hAnsi="Times New Roman" w:cs="Times New Roman"/>
        </w:rPr>
        <w:t>Uzasadnieniem obowiązku użytkowników systemu, w tym operatorów systemów dystrybucyjnych</w:t>
      </w:r>
      <w:r w:rsidR="001D0628">
        <w:rPr>
          <w:rFonts w:ascii="Times New Roman" w:hAnsi="Times New Roman" w:cs="Times New Roman"/>
        </w:rPr>
        <w:t xml:space="preserve"> i </w:t>
      </w:r>
      <w:r w:rsidR="00943A0D" w:rsidRPr="00215A1D">
        <w:rPr>
          <w:rFonts w:ascii="Times New Roman" w:hAnsi="Times New Roman" w:cs="Times New Roman"/>
        </w:rPr>
        <w:t>operatora systemu przesyłowego ora</w:t>
      </w:r>
      <w:r w:rsidR="001D0628">
        <w:rPr>
          <w:rFonts w:ascii="Times New Roman" w:hAnsi="Times New Roman" w:cs="Times New Roman"/>
        </w:rPr>
        <w:t>z </w:t>
      </w:r>
      <w:r w:rsidR="00943A0D" w:rsidRPr="00215A1D">
        <w:rPr>
          <w:rFonts w:ascii="Times New Roman" w:hAnsi="Times New Roman" w:cs="Times New Roman"/>
        </w:rPr>
        <w:t>sprzedawców, dokonywania rozliczeń za energię elektryczną</w:t>
      </w:r>
      <w:r w:rsidR="001D0628">
        <w:rPr>
          <w:rFonts w:ascii="Times New Roman" w:hAnsi="Times New Roman" w:cs="Times New Roman"/>
        </w:rPr>
        <w:t xml:space="preserve"> i </w:t>
      </w:r>
      <w:r w:rsidR="00943A0D" w:rsidRPr="00215A1D">
        <w:rPr>
          <w:rFonts w:ascii="Times New Roman" w:hAnsi="Times New Roman" w:cs="Times New Roman"/>
        </w:rPr>
        <w:t>usługi wyłącznie na podstawie informacji rynku energii zarejestrowanych w CSIRE jest potrzeba zapewnienia jednego spójnego źródła danych do rozliczeń realizowanych prze</w:t>
      </w:r>
      <w:r w:rsidR="001D0628">
        <w:rPr>
          <w:rFonts w:ascii="Times New Roman" w:hAnsi="Times New Roman" w:cs="Times New Roman"/>
        </w:rPr>
        <w:t>z </w:t>
      </w:r>
      <w:r w:rsidR="00943A0D" w:rsidRPr="00215A1D">
        <w:rPr>
          <w:rFonts w:ascii="Times New Roman" w:hAnsi="Times New Roman" w:cs="Times New Roman"/>
        </w:rPr>
        <w:t>różne podmioty rynku energii,</w:t>
      </w:r>
      <w:r w:rsidR="000A76B7">
        <w:rPr>
          <w:rFonts w:ascii="Times New Roman" w:hAnsi="Times New Roman" w:cs="Times New Roman"/>
        </w:rPr>
        <w:t xml:space="preserve"> </w:t>
      </w:r>
      <w:r w:rsidR="00943A0D" w:rsidRPr="00215A1D">
        <w:rPr>
          <w:rFonts w:ascii="Times New Roman" w:hAnsi="Times New Roman" w:cs="Times New Roman"/>
        </w:rPr>
        <w:t>zapewniającego standardową postać tych informacji</w:t>
      </w:r>
      <w:r w:rsidR="001D0628">
        <w:rPr>
          <w:rFonts w:ascii="Times New Roman" w:hAnsi="Times New Roman" w:cs="Times New Roman"/>
        </w:rPr>
        <w:t xml:space="preserve"> i </w:t>
      </w:r>
      <w:r w:rsidR="00943A0D" w:rsidRPr="00215A1D">
        <w:rPr>
          <w:rFonts w:ascii="Times New Roman" w:hAnsi="Times New Roman" w:cs="Times New Roman"/>
        </w:rPr>
        <w:t>łatwy dostęp do nich prze</w:t>
      </w:r>
      <w:r w:rsidR="001D0628">
        <w:rPr>
          <w:rFonts w:ascii="Times New Roman" w:hAnsi="Times New Roman" w:cs="Times New Roman"/>
        </w:rPr>
        <w:t>z </w:t>
      </w:r>
      <w:r w:rsidR="00943A0D" w:rsidRPr="00215A1D">
        <w:rPr>
          <w:rFonts w:ascii="Times New Roman" w:hAnsi="Times New Roman" w:cs="Times New Roman"/>
        </w:rPr>
        <w:t>uprawnionych użytkowników. Należy podkreślić, że rozliczenia odbiorców za dostawy energii elektrycznej w przypadku umów kompleksowych prowadzone będą prze</w:t>
      </w:r>
      <w:r w:rsidR="001D0628">
        <w:rPr>
          <w:rFonts w:ascii="Times New Roman" w:hAnsi="Times New Roman" w:cs="Times New Roman"/>
        </w:rPr>
        <w:t>z </w:t>
      </w:r>
      <w:r w:rsidR="00943A0D" w:rsidRPr="00215A1D">
        <w:rPr>
          <w:rFonts w:ascii="Times New Roman" w:hAnsi="Times New Roman" w:cs="Times New Roman"/>
        </w:rPr>
        <w:t xml:space="preserve">sprzedawców na podstawie danych </w:t>
      </w:r>
      <w:r w:rsidR="001D0628">
        <w:rPr>
          <w:rFonts w:ascii="Times New Roman" w:hAnsi="Times New Roman" w:cs="Times New Roman"/>
        </w:rPr>
        <w:t>z </w:t>
      </w:r>
      <w:r w:rsidR="00943A0D" w:rsidRPr="00215A1D">
        <w:rPr>
          <w:rFonts w:ascii="Times New Roman" w:hAnsi="Times New Roman" w:cs="Times New Roman"/>
        </w:rPr>
        <w:t>CSIRE</w:t>
      </w:r>
      <w:r w:rsidR="001D0628">
        <w:rPr>
          <w:rFonts w:ascii="Times New Roman" w:hAnsi="Times New Roman" w:cs="Times New Roman"/>
        </w:rPr>
        <w:t xml:space="preserve"> i </w:t>
      </w:r>
      <w:r w:rsidR="00943A0D" w:rsidRPr="00215A1D">
        <w:rPr>
          <w:rFonts w:ascii="Times New Roman" w:hAnsi="Times New Roman" w:cs="Times New Roman"/>
        </w:rPr>
        <w:t>będą obejmować zarówno energię elektryczną</w:t>
      </w:r>
      <w:r w:rsidR="00CC7157">
        <w:rPr>
          <w:rFonts w:ascii="Times New Roman" w:hAnsi="Times New Roman" w:cs="Times New Roman"/>
        </w:rPr>
        <w:t>,</w:t>
      </w:r>
      <w:r w:rsidR="00943A0D" w:rsidRPr="00215A1D">
        <w:rPr>
          <w:rFonts w:ascii="Times New Roman" w:hAnsi="Times New Roman" w:cs="Times New Roman"/>
        </w:rPr>
        <w:t xml:space="preserve"> jak</w:t>
      </w:r>
      <w:r w:rsidR="001D0628">
        <w:rPr>
          <w:rFonts w:ascii="Times New Roman" w:hAnsi="Times New Roman" w:cs="Times New Roman"/>
        </w:rPr>
        <w:t xml:space="preserve"> i </w:t>
      </w:r>
      <w:r w:rsidR="00943A0D" w:rsidRPr="00215A1D">
        <w:rPr>
          <w:rFonts w:ascii="Times New Roman" w:hAnsi="Times New Roman" w:cs="Times New Roman"/>
        </w:rPr>
        <w:t>usługi dystrybucji lub przesyłania energii elektrycznej.</w:t>
      </w:r>
    </w:p>
    <w:p w14:paraId="7FC4A762" w14:textId="77777777" w:rsidR="00943A0D"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943A0D" w:rsidRPr="00215A1D">
        <w:rPr>
          <w:rFonts w:ascii="Times New Roman" w:hAnsi="Times New Roman" w:cs="Times New Roman"/>
        </w:rPr>
        <w:t>Jednocześnie należy zauważyć, że przepływ danych OSD-&gt;OIRE-&gt;OSD, o którym mowa w uwadze, w kontekście procesu rozliczania umów sprzedażyenergii przebiega w ciągu: LZO-&gt;OSD-&gt;OIRE-&gt;Sprzedawca-&gt;Odbiorca Końcowy.</w:t>
      </w:r>
    </w:p>
    <w:p w14:paraId="36565376" w14:textId="6908171C" w:rsidR="00943A0D"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943A0D" w:rsidRPr="00215A1D">
        <w:rPr>
          <w:rFonts w:ascii="Times New Roman" w:hAnsi="Times New Roman" w:cs="Times New Roman"/>
        </w:rPr>
        <w:t>W przypadku umów tzw. rozdzielonych sprzedawca dokonuje rozliczeń za energię elektryczną</w:t>
      </w:r>
      <w:r w:rsidR="00CC7157">
        <w:rPr>
          <w:rFonts w:ascii="Times New Roman" w:hAnsi="Times New Roman" w:cs="Times New Roman"/>
        </w:rPr>
        <w:t>,</w:t>
      </w:r>
      <w:r w:rsidR="00943A0D" w:rsidRPr="00215A1D">
        <w:rPr>
          <w:rFonts w:ascii="Times New Roman" w:hAnsi="Times New Roman" w:cs="Times New Roman"/>
        </w:rPr>
        <w:t xml:space="preserve"> a operator systemu elektroenergetycznego dokonuje rozliczeń za usługi przesyłania lub dystrybucji. Przyjęte podejście zapewni spójny sposób rozliczeń ze względu na jedno źródło informacji. Dodatkową korzyścią jest możliwość powiadamiania prze</w:t>
      </w:r>
      <w:r w:rsidR="001D0628">
        <w:rPr>
          <w:rFonts w:ascii="Times New Roman" w:hAnsi="Times New Roman" w:cs="Times New Roman"/>
        </w:rPr>
        <w:t>z </w:t>
      </w:r>
      <w:r w:rsidR="00943A0D" w:rsidRPr="00215A1D">
        <w:rPr>
          <w:rFonts w:ascii="Times New Roman" w:hAnsi="Times New Roman" w:cs="Times New Roman"/>
        </w:rPr>
        <w:t>CSIRE podmiotów, które pobrały dane pomiarowe za okres, który został skorygowany prze</w:t>
      </w:r>
      <w:r w:rsidR="001D0628">
        <w:rPr>
          <w:rFonts w:ascii="Times New Roman" w:hAnsi="Times New Roman" w:cs="Times New Roman"/>
        </w:rPr>
        <w:t>z </w:t>
      </w:r>
      <w:r w:rsidR="00943A0D" w:rsidRPr="00215A1D">
        <w:rPr>
          <w:rFonts w:ascii="Times New Roman" w:hAnsi="Times New Roman" w:cs="Times New Roman"/>
        </w:rPr>
        <w:t>OSD (np. w rezultacie reklamacji</w:t>
      </w:r>
      <w:r w:rsidR="000A76B7">
        <w:rPr>
          <w:rFonts w:ascii="Times New Roman" w:hAnsi="Times New Roman" w:cs="Times New Roman"/>
        </w:rPr>
        <w:t xml:space="preserve"> czy</w:t>
      </w:r>
      <w:r w:rsidR="00943A0D" w:rsidRPr="00215A1D">
        <w:rPr>
          <w:rFonts w:ascii="Times New Roman" w:hAnsi="Times New Roman" w:cs="Times New Roman"/>
        </w:rPr>
        <w:t xml:space="preserve"> stwierdzenia niesprawności układu pomiarowo-rozliczeniowego).</w:t>
      </w:r>
    </w:p>
    <w:p w14:paraId="28CCAF42" w14:textId="77777777" w:rsidR="00943A0D"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943A0D" w:rsidRPr="00215A1D">
        <w:rPr>
          <w:rFonts w:ascii="Times New Roman" w:hAnsi="Times New Roman" w:cs="Times New Roman"/>
        </w:rPr>
        <w:t>Należy także zauważyć, że zawarte w CSIRE informacje rynku energii będą również służyć, po ich agregacji, do rozliczeń niezbilansowania na rynku bilansującym podmiotów odpowiedzialnych za bilansowanie.</w:t>
      </w:r>
    </w:p>
    <w:p w14:paraId="4F6C4533" w14:textId="77777777" w:rsidR="00943A0D" w:rsidRPr="00215A1D" w:rsidRDefault="00154F38" w:rsidP="00EF6F97">
      <w:pPr>
        <w:pStyle w:val="USTustnpkodeksu"/>
        <w:rPr>
          <w:rFonts w:ascii="Times New Roman" w:hAnsi="Times New Roman" w:cs="Times New Roman"/>
        </w:rPr>
      </w:pPr>
      <w:r w:rsidRPr="00215A1D">
        <w:rPr>
          <w:rFonts w:ascii="Times New Roman" w:hAnsi="Times New Roman" w:cs="Times New Roman"/>
        </w:rPr>
        <w:lastRenderedPageBreak/>
        <w:tab/>
      </w:r>
      <w:r w:rsidR="00943A0D" w:rsidRPr="00215A1D">
        <w:rPr>
          <w:rFonts w:ascii="Times New Roman" w:hAnsi="Times New Roman" w:cs="Times New Roman"/>
        </w:rPr>
        <w:t>Wobec przewidywanego znaczącego rozwoju usług świadczonych prze</w:t>
      </w:r>
      <w:r w:rsidR="001D0628">
        <w:rPr>
          <w:rFonts w:ascii="Times New Roman" w:hAnsi="Times New Roman" w:cs="Times New Roman"/>
        </w:rPr>
        <w:t>z </w:t>
      </w:r>
      <w:r w:rsidR="00943A0D" w:rsidRPr="00215A1D">
        <w:rPr>
          <w:rFonts w:ascii="Times New Roman" w:hAnsi="Times New Roman" w:cs="Times New Roman"/>
        </w:rPr>
        <w:t xml:space="preserve">odbiorców końcowych (tzw. DSR) wynikających </w:t>
      </w:r>
      <w:r w:rsidR="001D0628">
        <w:rPr>
          <w:rFonts w:ascii="Times New Roman" w:hAnsi="Times New Roman" w:cs="Times New Roman"/>
        </w:rPr>
        <w:t>z </w:t>
      </w:r>
      <w:r w:rsidR="00943A0D" w:rsidRPr="00215A1D">
        <w:rPr>
          <w:rFonts w:ascii="Times New Roman" w:hAnsi="Times New Roman" w:cs="Times New Roman"/>
        </w:rPr>
        <w:t xml:space="preserve">wdrożenia przepisów dyrektywy 2019/944 zakłada się, że przyjęte rozwiązanie centralnego systemu informacji rynku energii posiadającego wszystkie informacje konieczne do rozliczeń wszelkich usług świadczonych na rynku energii elektrycznej jest optymalne dzięki temu, że zapewni dostęp do danych pomiarowych koniecznych do rozliczeń tych usług. Uzyskiwane dane będą zgodne </w:t>
      </w:r>
      <w:r w:rsidR="001D0628">
        <w:rPr>
          <w:rFonts w:ascii="Times New Roman" w:hAnsi="Times New Roman" w:cs="Times New Roman"/>
        </w:rPr>
        <w:t>z </w:t>
      </w:r>
      <w:r w:rsidR="00943A0D" w:rsidRPr="00215A1D">
        <w:rPr>
          <w:rFonts w:ascii="Times New Roman" w:hAnsi="Times New Roman" w:cs="Times New Roman"/>
        </w:rPr>
        <w:t>przyjętym standardem</w:t>
      </w:r>
      <w:r w:rsidR="001D0628">
        <w:rPr>
          <w:rFonts w:ascii="Times New Roman" w:hAnsi="Times New Roman" w:cs="Times New Roman"/>
        </w:rPr>
        <w:t xml:space="preserve"> i </w:t>
      </w:r>
      <w:r w:rsidR="00943A0D" w:rsidRPr="00215A1D">
        <w:rPr>
          <w:rFonts w:ascii="Times New Roman" w:hAnsi="Times New Roman" w:cs="Times New Roman"/>
        </w:rPr>
        <w:t>dostępne również dla celów kontrolnych dla odbiorców końcowych, których dotyczą. Należy zauważyć, że w przeciwieństwie do obecnych danych określających zużycie, bądź w jednej, bądź w dwóch lub maksymalnie trzech strefach czasowych doby, przyszłe taryfy</w:t>
      </w:r>
      <w:r w:rsidR="001D0628">
        <w:rPr>
          <w:rFonts w:ascii="Times New Roman" w:hAnsi="Times New Roman" w:cs="Times New Roman"/>
        </w:rPr>
        <w:t xml:space="preserve"> i </w:t>
      </w:r>
      <w:r w:rsidR="00943A0D" w:rsidRPr="00215A1D">
        <w:rPr>
          <w:rFonts w:ascii="Times New Roman" w:hAnsi="Times New Roman" w:cs="Times New Roman"/>
        </w:rPr>
        <w:t>sposoby rozliczeń będą wymagały dostępu do danych kwadransowych (tzn. danych zmierzonych w interwałach 15-minutowych).</w:t>
      </w:r>
    </w:p>
    <w:p w14:paraId="07A7A7A6" w14:textId="6177CABA" w:rsidR="00943A0D"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943A0D" w:rsidRPr="00215A1D">
        <w:rPr>
          <w:rFonts w:ascii="Times New Roman" w:hAnsi="Times New Roman" w:cs="Times New Roman"/>
        </w:rPr>
        <w:t>Podkreślenia wymaga również, że koszty przesyłania prze</w:t>
      </w:r>
      <w:r w:rsidR="001D0628">
        <w:rPr>
          <w:rFonts w:ascii="Times New Roman" w:hAnsi="Times New Roman" w:cs="Times New Roman"/>
        </w:rPr>
        <w:t>z </w:t>
      </w:r>
      <w:r w:rsidR="00943A0D" w:rsidRPr="00215A1D">
        <w:rPr>
          <w:rFonts w:ascii="Times New Roman" w:hAnsi="Times New Roman" w:cs="Times New Roman"/>
        </w:rPr>
        <w:t>OSD danych pomiarowych do centralnego systemu informacji rynku energii lub ich pobieranie prze</w:t>
      </w:r>
      <w:r w:rsidR="001D0628">
        <w:rPr>
          <w:rFonts w:ascii="Times New Roman" w:hAnsi="Times New Roman" w:cs="Times New Roman"/>
        </w:rPr>
        <w:t>z </w:t>
      </w:r>
      <w:r w:rsidR="00943A0D" w:rsidRPr="00215A1D">
        <w:rPr>
          <w:rFonts w:ascii="Times New Roman" w:hAnsi="Times New Roman" w:cs="Times New Roman"/>
        </w:rPr>
        <w:t xml:space="preserve">OSD, sprzedawcę lub agregatora </w:t>
      </w:r>
      <w:r w:rsidR="001D0628">
        <w:rPr>
          <w:rFonts w:ascii="Times New Roman" w:hAnsi="Times New Roman" w:cs="Times New Roman"/>
        </w:rPr>
        <w:t>z </w:t>
      </w:r>
      <w:r w:rsidR="00943A0D" w:rsidRPr="00215A1D">
        <w:rPr>
          <w:rFonts w:ascii="Times New Roman" w:hAnsi="Times New Roman" w:cs="Times New Roman"/>
        </w:rPr>
        <w:t>tego systemu są pomijalnie małe, co będzie konsekwencją standaryzacji interfejsów</w:t>
      </w:r>
      <w:r w:rsidR="001D0628">
        <w:rPr>
          <w:rFonts w:ascii="Times New Roman" w:hAnsi="Times New Roman" w:cs="Times New Roman"/>
        </w:rPr>
        <w:t xml:space="preserve"> i </w:t>
      </w:r>
      <w:r w:rsidR="00943A0D" w:rsidRPr="00215A1D">
        <w:rPr>
          <w:rFonts w:ascii="Times New Roman" w:hAnsi="Times New Roman" w:cs="Times New Roman"/>
        </w:rPr>
        <w:t>formatów wymiany informacji rynku energii</w:t>
      </w:r>
      <w:r w:rsidR="000A76B7">
        <w:rPr>
          <w:rFonts w:ascii="Times New Roman" w:hAnsi="Times New Roman" w:cs="Times New Roman"/>
        </w:rPr>
        <w:t>,</w:t>
      </w:r>
      <w:r w:rsidR="00943A0D" w:rsidRPr="00215A1D">
        <w:rPr>
          <w:rFonts w:ascii="Times New Roman" w:hAnsi="Times New Roman" w:cs="Times New Roman"/>
        </w:rPr>
        <w:t xml:space="preserve"> jak</w:t>
      </w:r>
      <w:r w:rsidR="001D0628">
        <w:rPr>
          <w:rFonts w:ascii="Times New Roman" w:hAnsi="Times New Roman" w:cs="Times New Roman"/>
        </w:rPr>
        <w:t xml:space="preserve"> </w:t>
      </w:r>
      <w:r w:rsidR="00943A0D" w:rsidRPr="00215A1D">
        <w:rPr>
          <w:rFonts w:ascii="Times New Roman" w:hAnsi="Times New Roman" w:cs="Times New Roman"/>
        </w:rPr>
        <w:t xml:space="preserve">też zamiar wyeliminowania abonamentu związanego </w:t>
      </w:r>
      <w:r w:rsidR="001D0628">
        <w:rPr>
          <w:rFonts w:ascii="Times New Roman" w:hAnsi="Times New Roman" w:cs="Times New Roman"/>
        </w:rPr>
        <w:t>z </w:t>
      </w:r>
      <w:r w:rsidR="00943A0D" w:rsidRPr="00215A1D">
        <w:rPr>
          <w:rFonts w:ascii="Times New Roman" w:hAnsi="Times New Roman" w:cs="Times New Roman"/>
        </w:rPr>
        <w:t xml:space="preserve">odczytem licznika zdalnego odczytu. </w:t>
      </w:r>
      <w:r w:rsidR="00B96BC8">
        <w:rPr>
          <w:rFonts w:ascii="Times New Roman" w:hAnsi="Times New Roman" w:cs="Times New Roman"/>
        </w:rPr>
        <w:t xml:space="preserve">Należy zaznaczyć, że </w:t>
      </w:r>
      <w:r w:rsidR="00B96BC8" w:rsidRPr="00B96BC8">
        <w:rPr>
          <w:rFonts w:ascii="Times New Roman" w:hAnsi="Times New Roman" w:cs="Times New Roman"/>
        </w:rPr>
        <w:t>odbiorcy posiadający liczniki konwencjonalne</w:t>
      </w:r>
      <w:r w:rsidR="000A76B7">
        <w:rPr>
          <w:rFonts w:ascii="Times New Roman" w:hAnsi="Times New Roman" w:cs="Times New Roman"/>
        </w:rPr>
        <w:t>,</w:t>
      </w:r>
      <w:r w:rsidR="00B96BC8" w:rsidRPr="00B96BC8">
        <w:rPr>
          <w:rFonts w:ascii="Times New Roman" w:hAnsi="Times New Roman" w:cs="Times New Roman"/>
        </w:rPr>
        <w:t xml:space="preserve"> jak i liczniki zdalnego odczytu będą zwolnieni z części kosztów abonamentowych związanych z manualnym odczytem licznika konwencjonalnego oraz kosztów stałych i zmiennych określonych w taryfie równych opłacie abonamentowej odniesionej do procentu zainstalowanych liczników zdalnego odczytu. W miarę postępu w instalacj</w:t>
      </w:r>
      <w:r w:rsidR="0031416F">
        <w:rPr>
          <w:rFonts w:ascii="Times New Roman" w:hAnsi="Times New Roman" w:cs="Times New Roman"/>
        </w:rPr>
        <w:t>i liczników zdalnego odczytu opł</w:t>
      </w:r>
      <w:r w:rsidR="00B96BC8" w:rsidRPr="00B96BC8">
        <w:rPr>
          <w:rFonts w:ascii="Times New Roman" w:hAnsi="Times New Roman" w:cs="Times New Roman"/>
        </w:rPr>
        <w:t xml:space="preserve">ata abonamentowa będzie ulegała zmniejszeniu. </w:t>
      </w:r>
    </w:p>
    <w:p w14:paraId="45D730EB" w14:textId="77777777" w:rsidR="00150B08"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AA434E" w:rsidRPr="00215A1D">
        <w:rPr>
          <w:rFonts w:ascii="Times New Roman" w:hAnsi="Times New Roman" w:cs="Times New Roman"/>
        </w:rPr>
        <w:t xml:space="preserve">Zapewnienie decyzji o zmianie sposobie rozliczeń za energię elektryczną </w:t>
      </w:r>
      <w:r w:rsidR="001D0628">
        <w:rPr>
          <w:rFonts w:ascii="Times New Roman" w:hAnsi="Times New Roman" w:cs="Times New Roman"/>
        </w:rPr>
        <w:t>z </w:t>
      </w:r>
      <w:r w:rsidR="00AA434E" w:rsidRPr="00215A1D">
        <w:rPr>
          <w:rFonts w:ascii="Times New Roman" w:hAnsi="Times New Roman" w:cs="Times New Roman"/>
        </w:rPr>
        <w:t xml:space="preserve">formy kredytowej na przedpłatową będzie pozostawione odbiorcy do jego swobodnego wyboru. Odbiorca będzie mógł wystąpić do operatora systemu dystrybucyjnego elektroenergetycznego o zainstalowanie </w:t>
      </w:r>
      <w:r w:rsidR="00391539" w:rsidRPr="00215A1D">
        <w:rPr>
          <w:rFonts w:ascii="Times New Roman" w:hAnsi="Times New Roman" w:cs="Times New Roman"/>
        </w:rPr>
        <w:t>przedpłatowego układu pomiarowo-rozliczeniowego</w:t>
      </w:r>
      <w:r w:rsidR="001D0628">
        <w:rPr>
          <w:rFonts w:ascii="Times New Roman" w:hAnsi="Times New Roman" w:cs="Times New Roman"/>
        </w:rPr>
        <w:t xml:space="preserve"> i </w:t>
      </w:r>
      <w:r w:rsidR="00AA434E" w:rsidRPr="00215A1D">
        <w:rPr>
          <w:rFonts w:ascii="Times New Roman" w:hAnsi="Times New Roman" w:cs="Times New Roman"/>
        </w:rPr>
        <w:t>dokonywać rozliczeń w oparciu przedpłatow</w:t>
      </w:r>
      <w:r w:rsidR="00391539" w:rsidRPr="00215A1D">
        <w:rPr>
          <w:rFonts w:ascii="Times New Roman" w:hAnsi="Times New Roman" w:cs="Times New Roman"/>
        </w:rPr>
        <w:t>ą formę rozliczeń</w:t>
      </w:r>
      <w:r w:rsidR="00AA434E" w:rsidRPr="00215A1D">
        <w:rPr>
          <w:rFonts w:ascii="Times New Roman" w:hAnsi="Times New Roman" w:cs="Times New Roman"/>
        </w:rPr>
        <w:t xml:space="preserve"> (art. 6a ust. 4</w:t>
      </w:r>
      <w:r w:rsidR="001D0628">
        <w:rPr>
          <w:rFonts w:ascii="Times New Roman" w:hAnsi="Times New Roman" w:cs="Times New Roman"/>
        </w:rPr>
        <w:t xml:space="preserve"> i </w:t>
      </w:r>
      <w:r w:rsidR="00AA434E" w:rsidRPr="00215A1D">
        <w:rPr>
          <w:rFonts w:ascii="Times New Roman" w:hAnsi="Times New Roman" w:cs="Times New Roman"/>
        </w:rPr>
        <w:t xml:space="preserve">5). </w:t>
      </w:r>
    </w:p>
    <w:p w14:paraId="6B7C8840" w14:textId="79BF78E6" w:rsidR="00AA434E"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AA434E" w:rsidRPr="00215A1D">
        <w:rPr>
          <w:rFonts w:ascii="Times New Roman" w:hAnsi="Times New Roman" w:cs="Times New Roman"/>
        </w:rPr>
        <w:t xml:space="preserve">Utworzenie operatora informacji rynku energii powoduje konieczność zmiany zakresu odpowiedzialności operatorów systemów dystrybucyjnych elektroenergetycznych (art. 9c ust. 3 </w:t>
      </w:r>
      <w:r w:rsidR="001D0628">
        <w:rPr>
          <w:rFonts w:ascii="Times New Roman" w:hAnsi="Times New Roman" w:cs="Times New Roman"/>
        </w:rPr>
        <w:t>pkt</w:t>
      </w:r>
      <w:r w:rsidR="00AA434E" w:rsidRPr="00215A1D">
        <w:rPr>
          <w:rFonts w:ascii="Times New Roman" w:hAnsi="Times New Roman" w:cs="Times New Roman"/>
        </w:rPr>
        <w:t xml:space="preserve"> 9a), gdyż część dotychczasowych obowiązków przejmie po wdrożeniu CSIRE operator informacji rynku energii. Zmiana ta określi jednoznacznie podział odpowiedzialności pomiędzy podmioty zaangażowane w przetwarzanie informacji rynku energii. </w:t>
      </w:r>
    </w:p>
    <w:p w14:paraId="2383FA22" w14:textId="40A7EBDC" w:rsidR="009A1099" w:rsidRPr="00215A1D" w:rsidRDefault="00154F38" w:rsidP="00EF6F97">
      <w:pPr>
        <w:pStyle w:val="USTustnpkodeksu"/>
        <w:rPr>
          <w:rFonts w:ascii="Times New Roman" w:hAnsi="Times New Roman" w:cs="Times New Roman"/>
        </w:rPr>
      </w:pPr>
      <w:r w:rsidRPr="00215A1D">
        <w:rPr>
          <w:rFonts w:ascii="Times New Roman" w:hAnsi="Times New Roman" w:cs="Times New Roman"/>
        </w:rPr>
        <w:lastRenderedPageBreak/>
        <w:tab/>
      </w:r>
      <w:r w:rsidR="009A1099" w:rsidRPr="00215A1D">
        <w:rPr>
          <w:rFonts w:ascii="Times New Roman" w:hAnsi="Times New Roman" w:cs="Times New Roman"/>
        </w:rPr>
        <w:t>Projektowane kompleksowe uregulowanie funkcjonowania systemu pomiarowego dla energii elektrycznej, w tym zasady ochrony danych pomiarowych</w:t>
      </w:r>
      <w:r w:rsidR="00CC7157">
        <w:rPr>
          <w:rFonts w:ascii="Times New Roman" w:hAnsi="Times New Roman" w:cs="Times New Roman"/>
        </w:rPr>
        <w:t>,</w:t>
      </w:r>
      <w:r w:rsidR="009A1099" w:rsidRPr="00215A1D">
        <w:rPr>
          <w:rFonts w:ascii="Times New Roman" w:hAnsi="Times New Roman" w:cs="Times New Roman"/>
        </w:rPr>
        <w:t xml:space="preserve"> wymusza wykreślenie w art. 9c ust. 5a</w:t>
      </w:r>
      <w:r w:rsidR="001D0628">
        <w:rPr>
          <w:rFonts w:ascii="Times New Roman" w:hAnsi="Times New Roman" w:cs="Times New Roman"/>
        </w:rPr>
        <w:t xml:space="preserve"> i </w:t>
      </w:r>
      <w:r w:rsidR="009A1099" w:rsidRPr="00215A1D">
        <w:rPr>
          <w:rFonts w:ascii="Times New Roman" w:hAnsi="Times New Roman" w:cs="Times New Roman"/>
        </w:rPr>
        <w:t>5b ustawy.</w:t>
      </w:r>
    </w:p>
    <w:p w14:paraId="191FBFFF" w14:textId="3BF1B919" w:rsidR="009A1099"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 xml:space="preserve">Ze względu na powierzenie pełnienia funkcji operatora informacji </w:t>
      </w:r>
      <w:r w:rsidR="00AA434E" w:rsidRPr="00215A1D">
        <w:rPr>
          <w:rFonts w:ascii="Times New Roman" w:hAnsi="Times New Roman" w:cs="Times New Roman"/>
        </w:rPr>
        <w:t xml:space="preserve">rynku energii </w:t>
      </w:r>
      <w:r w:rsidR="009A1099" w:rsidRPr="00215A1D">
        <w:rPr>
          <w:rFonts w:ascii="Times New Roman" w:hAnsi="Times New Roman" w:cs="Times New Roman"/>
        </w:rPr>
        <w:t>operatorowi systemu przesyłowego elektroenergetycznego uzasadnione stało się określenie w wyodrębnionej części Instrukcji Ruchu</w:t>
      </w:r>
      <w:r w:rsidR="001D0628">
        <w:rPr>
          <w:rFonts w:ascii="Times New Roman" w:hAnsi="Times New Roman" w:cs="Times New Roman"/>
        </w:rPr>
        <w:t xml:space="preserve"> i </w:t>
      </w:r>
      <w:r w:rsidR="009A1099" w:rsidRPr="00215A1D">
        <w:rPr>
          <w:rFonts w:ascii="Times New Roman" w:hAnsi="Times New Roman" w:cs="Times New Roman"/>
        </w:rPr>
        <w:t xml:space="preserve">Eksploatacji Sieci Przesyłowej szczegółowych zasad współpracy operatora systemu przesyłowego elektroenergetycznego, działającego jako operator informacji </w:t>
      </w:r>
      <w:r w:rsidR="00C94C9C" w:rsidRPr="00215A1D">
        <w:rPr>
          <w:rFonts w:ascii="Times New Roman" w:hAnsi="Times New Roman" w:cs="Times New Roman"/>
        </w:rPr>
        <w:t>rynku energii</w:t>
      </w:r>
      <w:r w:rsidR="009A1099" w:rsidRPr="00215A1D">
        <w:rPr>
          <w:rFonts w:ascii="Times New Roman" w:hAnsi="Times New Roman" w:cs="Times New Roman"/>
        </w:rPr>
        <w:t xml:space="preserve">, </w:t>
      </w:r>
      <w:r w:rsidR="001D0628">
        <w:rPr>
          <w:rFonts w:ascii="Times New Roman" w:hAnsi="Times New Roman" w:cs="Times New Roman"/>
        </w:rPr>
        <w:t>z </w:t>
      </w:r>
      <w:r w:rsidR="009A1099" w:rsidRPr="00215A1D">
        <w:rPr>
          <w:rFonts w:ascii="Times New Roman" w:hAnsi="Times New Roman" w:cs="Times New Roman"/>
        </w:rPr>
        <w:t>użytkownikami systemu</w:t>
      </w:r>
      <w:r w:rsidR="001D0628">
        <w:rPr>
          <w:rFonts w:ascii="Times New Roman" w:hAnsi="Times New Roman" w:cs="Times New Roman"/>
        </w:rPr>
        <w:t xml:space="preserve"> i </w:t>
      </w:r>
      <w:r w:rsidR="009A1099" w:rsidRPr="00215A1D">
        <w:rPr>
          <w:rFonts w:ascii="Times New Roman" w:hAnsi="Times New Roman" w:cs="Times New Roman"/>
        </w:rPr>
        <w:t>innymi podmiotami zobowiązanymi do przekazywania danych pomiarowych lub uprawnionymi do ich otrzymywania. Instrukcja w tej części będzie stanowiła doszczegółowienie zasad współpracy określonych w ustawie ora</w:t>
      </w:r>
      <w:r w:rsidR="001D0628">
        <w:rPr>
          <w:rFonts w:ascii="Times New Roman" w:hAnsi="Times New Roman" w:cs="Times New Roman"/>
        </w:rPr>
        <w:t>z </w:t>
      </w:r>
      <w:r w:rsidR="009A1099" w:rsidRPr="00215A1D">
        <w:rPr>
          <w:rFonts w:ascii="Times New Roman" w:hAnsi="Times New Roman" w:cs="Times New Roman"/>
        </w:rPr>
        <w:t xml:space="preserve">rozporządzeniu wykonawczym. Jako taka będzie ona podlegała procesowi konsultacji </w:t>
      </w:r>
      <w:r w:rsidR="001D0628">
        <w:rPr>
          <w:rFonts w:ascii="Times New Roman" w:hAnsi="Times New Roman" w:cs="Times New Roman"/>
        </w:rPr>
        <w:t>z </w:t>
      </w:r>
      <w:r w:rsidR="009A1099" w:rsidRPr="00215A1D">
        <w:rPr>
          <w:rFonts w:ascii="Times New Roman" w:hAnsi="Times New Roman" w:cs="Times New Roman"/>
        </w:rPr>
        <w:t>innymi użytkownikami systemu ora</w:t>
      </w:r>
      <w:r w:rsidR="001D0628">
        <w:rPr>
          <w:rFonts w:ascii="Times New Roman" w:hAnsi="Times New Roman" w:cs="Times New Roman"/>
        </w:rPr>
        <w:t>z </w:t>
      </w:r>
      <w:r w:rsidR="009A1099" w:rsidRPr="00215A1D">
        <w:rPr>
          <w:rFonts w:ascii="Times New Roman" w:hAnsi="Times New Roman" w:cs="Times New Roman"/>
        </w:rPr>
        <w:t xml:space="preserve">zatwierdzeniu po stronie Prezesa URE na zasadach określonych w art. 9g ustawy </w:t>
      </w:r>
      <w:r w:rsidR="00CC7157">
        <w:rPr>
          <w:rFonts w:ascii="Times New Roman" w:hAnsi="Times New Roman" w:cs="Times New Roman"/>
        </w:rPr>
        <w:t>–</w:t>
      </w:r>
      <w:r w:rsidR="009A1099" w:rsidRPr="00215A1D">
        <w:rPr>
          <w:rFonts w:ascii="Times New Roman" w:hAnsi="Times New Roman" w:cs="Times New Roman"/>
        </w:rPr>
        <w:t xml:space="preserve"> Prawo energetyczne.</w:t>
      </w:r>
    </w:p>
    <w:p w14:paraId="39C59A78" w14:textId="517C52CA" w:rsidR="003560C4" w:rsidRPr="00215A1D" w:rsidRDefault="00154F38" w:rsidP="00FC678D">
      <w:pPr>
        <w:pStyle w:val="USTustnpkodeksu"/>
        <w:rPr>
          <w:rFonts w:ascii="Times New Roman" w:hAnsi="Times New Roman" w:cs="Times New Roman"/>
        </w:rPr>
      </w:pPr>
      <w:r w:rsidRPr="00215A1D">
        <w:rPr>
          <w:rFonts w:ascii="Times New Roman" w:hAnsi="Times New Roman" w:cs="Times New Roman"/>
        </w:rPr>
        <w:tab/>
      </w:r>
      <w:r w:rsidR="00013A56" w:rsidRPr="00215A1D">
        <w:rPr>
          <w:rFonts w:ascii="Times New Roman" w:hAnsi="Times New Roman" w:cs="Times New Roman"/>
        </w:rPr>
        <w:t>Rozwiązanie polegające na odrębnym od zatwierdzenia IRiESP pierwotnym zatwierdzeniu SWI</w:t>
      </w:r>
      <w:r w:rsidR="004D0B73">
        <w:rPr>
          <w:rFonts w:ascii="Times New Roman" w:hAnsi="Times New Roman" w:cs="Times New Roman"/>
        </w:rPr>
        <w:t xml:space="preserve"> </w:t>
      </w:r>
      <w:r w:rsidR="00013A56" w:rsidRPr="00215A1D">
        <w:rPr>
          <w:rFonts w:ascii="Times New Roman" w:hAnsi="Times New Roman" w:cs="Times New Roman"/>
        </w:rPr>
        <w:t>opracowano na sygnał od uczestników prac Zespołu do spraw wprowadzenia w Polsce inteligentnego opomiarowania (art. 1</w:t>
      </w:r>
      <w:r w:rsidR="00771B6B">
        <w:rPr>
          <w:rFonts w:ascii="Times New Roman" w:hAnsi="Times New Roman" w:cs="Times New Roman"/>
        </w:rPr>
        <w:t>5 ust. 2 projektu ustawy</w:t>
      </w:r>
      <w:r w:rsidR="00013A56" w:rsidRPr="00215A1D">
        <w:rPr>
          <w:rFonts w:ascii="Times New Roman" w:hAnsi="Times New Roman" w:cs="Times New Roman"/>
        </w:rPr>
        <w:t xml:space="preserve">). SWI mają stanowić dokument, którego kształt będzie skutkował wdrożeniem określonych rozwiązań technicznych po stronie OSD, </w:t>
      </w:r>
      <w:r w:rsidR="004D0B73">
        <w:rPr>
          <w:rFonts w:ascii="Times New Roman" w:hAnsi="Times New Roman" w:cs="Times New Roman"/>
        </w:rPr>
        <w:t>s</w:t>
      </w:r>
      <w:r w:rsidR="00013A56" w:rsidRPr="00215A1D">
        <w:rPr>
          <w:rFonts w:ascii="Times New Roman" w:hAnsi="Times New Roman" w:cs="Times New Roman"/>
        </w:rPr>
        <w:t>przedawców energii ora</w:t>
      </w:r>
      <w:r w:rsidR="001D0628">
        <w:rPr>
          <w:rFonts w:ascii="Times New Roman" w:hAnsi="Times New Roman" w:cs="Times New Roman"/>
        </w:rPr>
        <w:t>z </w:t>
      </w:r>
      <w:r w:rsidR="00013A56" w:rsidRPr="00215A1D">
        <w:rPr>
          <w:rFonts w:ascii="Times New Roman" w:hAnsi="Times New Roman" w:cs="Times New Roman"/>
        </w:rPr>
        <w:t xml:space="preserve">innych podmiotów zobowiązanych lub uprawnionych do korzystania </w:t>
      </w:r>
      <w:r w:rsidR="001D0628">
        <w:rPr>
          <w:rFonts w:ascii="Times New Roman" w:hAnsi="Times New Roman" w:cs="Times New Roman"/>
        </w:rPr>
        <w:t>z </w:t>
      </w:r>
      <w:r w:rsidR="00013A56" w:rsidRPr="00215A1D">
        <w:rPr>
          <w:rFonts w:ascii="Times New Roman" w:hAnsi="Times New Roman" w:cs="Times New Roman"/>
        </w:rPr>
        <w:t>CSIRE. Wobec powyższego zaistniała konieczność jak najszybszego opracowania</w:t>
      </w:r>
      <w:r w:rsidR="001D0628">
        <w:rPr>
          <w:rFonts w:ascii="Times New Roman" w:hAnsi="Times New Roman" w:cs="Times New Roman"/>
        </w:rPr>
        <w:t xml:space="preserve"> i </w:t>
      </w:r>
      <w:r w:rsidR="00013A56" w:rsidRPr="00215A1D">
        <w:rPr>
          <w:rFonts w:ascii="Times New Roman" w:hAnsi="Times New Roman" w:cs="Times New Roman"/>
        </w:rPr>
        <w:t>zatwierdzenia SWI, niezależnie od innych zmian niezbędnych do wprowadzenia w IRiESP.</w:t>
      </w:r>
    </w:p>
    <w:p w14:paraId="6CC3CD46" w14:textId="4356D3D7" w:rsidR="009A1099"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A2575F" w:rsidRPr="00215A1D">
        <w:rPr>
          <w:rFonts w:ascii="Times New Roman" w:hAnsi="Times New Roman" w:cs="Times New Roman"/>
        </w:rPr>
        <w:t>P</w:t>
      </w:r>
      <w:r w:rsidR="009A1099" w:rsidRPr="00215A1D">
        <w:rPr>
          <w:rFonts w:ascii="Times New Roman" w:hAnsi="Times New Roman" w:cs="Times New Roman"/>
        </w:rPr>
        <w:t xml:space="preserve">roponuje się </w:t>
      </w:r>
      <w:r w:rsidR="00A2575F" w:rsidRPr="00215A1D">
        <w:rPr>
          <w:rFonts w:ascii="Times New Roman" w:hAnsi="Times New Roman" w:cs="Times New Roman"/>
        </w:rPr>
        <w:t>(art. 11</w:t>
      </w:r>
      <w:r w:rsidR="005557FE">
        <w:rPr>
          <w:rFonts w:ascii="Times New Roman" w:hAnsi="Times New Roman" w:cs="Times New Roman"/>
        </w:rPr>
        <w:t>t</w:t>
      </w:r>
      <w:r w:rsidR="00A2575F" w:rsidRPr="00215A1D">
        <w:rPr>
          <w:rFonts w:ascii="Times New Roman" w:hAnsi="Times New Roman" w:cs="Times New Roman"/>
        </w:rPr>
        <w:t xml:space="preserve"> ust. 1), </w:t>
      </w:r>
      <w:r w:rsidR="009A1099" w:rsidRPr="00215A1D">
        <w:rPr>
          <w:rFonts w:ascii="Times New Roman" w:hAnsi="Times New Roman" w:cs="Times New Roman"/>
        </w:rPr>
        <w:t>aby operatorzy systemów dystrybucyjnych elektroenergetycznych zainstalowali do dnia 31 grudnia 202</w:t>
      </w:r>
      <w:r w:rsidR="000A128D" w:rsidRPr="00215A1D">
        <w:rPr>
          <w:rFonts w:ascii="Times New Roman" w:hAnsi="Times New Roman" w:cs="Times New Roman"/>
        </w:rPr>
        <w:t>8</w:t>
      </w:r>
      <w:r w:rsidR="001D0628">
        <w:rPr>
          <w:rFonts w:ascii="Times New Roman" w:hAnsi="Times New Roman" w:cs="Times New Roman"/>
        </w:rPr>
        <w:t> r.</w:t>
      </w:r>
      <w:r w:rsidR="009A1099" w:rsidRPr="00215A1D">
        <w:rPr>
          <w:rFonts w:ascii="Times New Roman" w:hAnsi="Times New Roman" w:cs="Times New Roman"/>
        </w:rPr>
        <w:t xml:space="preserve"> liczniki zdalnego odczytu skomunikowane </w:t>
      </w:r>
      <w:r w:rsidR="001D0628">
        <w:rPr>
          <w:rFonts w:ascii="Times New Roman" w:hAnsi="Times New Roman" w:cs="Times New Roman"/>
        </w:rPr>
        <w:t>z </w:t>
      </w:r>
      <w:r w:rsidR="009A1099" w:rsidRPr="00215A1D">
        <w:rPr>
          <w:rFonts w:ascii="Times New Roman" w:hAnsi="Times New Roman" w:cs="Times New Roman"/>
        </w:rPr>
        <w:t xml:space="preserve">systemem </w:t>
      </w:r>
      <w:r w:rsidR="000A128D" w:rsidRPr="00215A1D">
        <w:rPr>
          <w:rFonts w:ascii="Times New Roman" w:hAnsi="Times New Roman" w:cs="Times New Roman"/>
        </w:rPr>
        <w:t xml:space="preserve">zdalnego odczytu w punktach poboru energii stanowiących </w:t>
      </w:r>
      <w:r w:rsidR="009A1099" w:rsidRPr="00215A1D">
        <w:rPr>
          <w:rFonts w:ascii="Times New Roman" w:hAnsi="Times New Roman" w:cs="Times New Roman"/>
        </w:rPr>
        <w:t xml:space="preserve">u co najmniej 80 % </w:t>
      </w:r>
      <w:r w:rsidR="000A128D" w:rsidRPr="00215A1D">
        <w:rPr>
          <w:rFonts w:ascii="Times New Roman" w:hAnsi="Times New Roman" w:cs="Times New Roman"/>
        </w:rPr>
        <w:t xml:space="preserve">łącznej liczby punktów poboru energii w </w:t>
      </w:r>
      <w:r w:rsidR="009A1099" w:rsidRPr="00215A1D">
        <w:rPr>
          <w:rFonts w:ascii="Times New Roman" w:hAnsi="Times New Roman" w:cs="Times New Roman"/>
        </w:rPr>
        <w:t>odbiorców końcowych</w:t>
      </w:r>
      <w:r w:rsidR="006D30EA" w:rsidRPr="00215A1D">
        <w:rPr>
          <w:rFonts w:ascii="Times New Roman" w:hAnsi="Times New Roman" w:cs="Times New Roman"/>
        </w:rPr>
        <w:t>, w tym stanowiących co najmniej 80% łącznej liczby punktów poboru energii u odbiorców końcowych w gospodarstwach domowych,</w:t>
      </w:r>
      <w:r w:rsidR="00CC7157">
        <w:rPr>
          <w:rFonts w:ascii="Times New Roman" w:hAnsi="Times New Roman" w:cs="Times New Roman"/>
        </w:rPr>
        <w:t xml:space="preserve"> </w:t>
      </w:r>
      <w:r w:rsidR="000A128D" w:rsidRPr="00215A1D">
        <w:rPr>
          <w:rFonts w:ascii="Times New Roman" w:hAnsi="Times New Roman" w:cs="Times New Roman"/>
        </w:rPr>
        <w:t xml:space="preserve">posiadających układ pomiarowy bezpośredni, </w:t>
      </w:r>
      <w:r w:rsidR="009A1099" w:rsidRPr="00215A1D">
        <w:rPr>
          <w:rFonts w:ascii="Times New Roman" w:hAnsi="Times New Roman" w:cs="Times New Roman"/>
        </w:rPr>
        <w:t>przyłączonych do sieci o napięciu znamionowym nie wyższym niż 1 kV</w:t>
      </w:r>
      <w:r w:rsidR="00A2575F" w:rsidRPr="00215A1D">
        <w:rPr>
          <w:rFonts w:ascii="Times New Roman" w:hAnsi="Times New Roman" w:cs="Times New Roman"/>
        </w:rPr>
        <w:t>.</w:t>
      </w:r>
    </w:p>
    <w:p w14:paraId="2EA6F4E9" w14:textId="77777777" w:rsidR="009A1099"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 xml:space="preserve">Instalacja liczników zdalnego odczytu odbywać się będzie </w:t>
      </w:r>
      <w:r w:rsidR="00A2575F" w:rsidRPr="00215A1D">
        <w:rPr>
          <w:rFonts w:ascii="Times New Roman" w:hAnsi="Times New Roman" w:cs="Times New Roman"/>
        </w:rPr>
        <w:t>(art. 11</w:t>
      </w:r>
      <w:r w:rsidR="005557FE">
        <w:rPr>
          <w:rFonts w:ascii="Times New Roman" w:hAnsi="Times New Roman" w:cs="Times New Roman"/>
        </w:rPr>
        <w:t>t</w:t>
      </w:r>
      <w:r w:rsidR="00A2575F" w:rsidRPr="00215A1D">
        <w:rPr>
          <w:rFonts w:ascii="Times New Roman" w:hAnsi="Times New Roman" w:cs="Times New Roman"/>
        </w:rPr>
        <w:t xml:space="preserve"> ust. 2) </w:t>
      </w:r>
      <w:r w:rsidR="009A1099" w:rsidRPr="00215A1D">
        <w:rPr>
          <w:rFonts w:ascii="Times New Roman" w:hAnsi="Times New Roman" w:cs="Times New Roman"/>
        </w:rPr>
        <w:t xml:space="preserve">zgodnie </w:t>
      </w:r>
      <w:r w:rsidR="001D0628">
        <w:rPr>
          <w:rFonts w:ascii="Times New Roman" w:hAnsi="Times New Roman" w:cs="Times New Roman"/>
        </w:rPr>
        <w:t>z </w:t>
      </w:r>
      <w:r w:rsidR="009A1099" w:rsidRPr="00215A1D">
        <w:rPr>
          <w:rFonts w:ascii="Times New Roman" w:hAnsi="Times New Roman" w:cs="Times New Roman"/>
        </w:rPr>
        <w:t>harmonogramem określonym w ustawie, tj. do dni</w:t>
      </w:r>
      <w:r w:rsidR="00A2575F" w:rsidRPr="00215A1D">
        <w:rPr>
          <w:rFonts w:ascii="Times New Roman" w:hAnsi="Times New Roman" w:cs="Times New Roman"/>
        </w:rPr>
        <w:t>a</w:t>
      </w:r>
      <w:r w:rsidR="009A1099" w:rsidRPr="00215A1D">
        <w:rPr>
          <w:rFonts w:ascii="Times New Roman" w:hAnsi="Times New Roman" w:cs="Times New Roman"/>
        </w:rPr>
        <w:t>:</w:t>
      </w:r>
    </w:p>
    <w:p w14:paraId="560E597F" w14:textId="3531FA33" w:rsidR="009A1099" w:rsidRPr="00215A1D" w:rsidRDefault="00A65E2D" w:rsidP="00EF6F97">
      <w:pPr>
        <w:pStyle w:val="USTustnpkodeksu"/>
        <w:ind w:firstLine="284"/>
        <w:rPr>
          <w:rFonts w:ascii="Times New Roman" w:hAnsi="Times New Roman" w:cs="Times New Roman"/>
        </w:rPr>
      </w:pPr>
      <w:r w:rsidRPr="00215A1D">
        <w:rPr>
          <w:rFonts w:ascii="Times New Roman" w:hAnsi="Times New Roman" w:cs="Times New Roman"/>
        </w:rPr>
        <w:t xml:space="preserve">1) </w:t>
      </w:r>
      <w:r w:rsidR="009A1099" w:rsidRPr="00215A1D">
        <w:rPr>
          <w:rFonts w:ascii="Times New Roman" w:hAnsi="Times New Roman" w:cs="Times New Roman"/>
        </w:rPr>
        <w:t>31 grudnia 20</w:t>
      </w:r>
      <w:r w:rsidR="00A2575F" w:rsidRPr="00215A1D">
        <w:rPr>
          <w:rFonts w:ascii="Times New Roman" w:hAnsi="Times New Roman" w:cs="Times New Roman"/>
        </w:rPr>
        <w:t>23</w:t>
      </w:r>
      <w:r w:rsidR="001D0628">
        <w:rPr>
          <w:rFonts w:ascii="Times New Roman" w:hAnsi="Times New Roman" w:cs="Times New Roman"/>
        </w:rPr>
        <w:t> r.</w:t>
      </w:r>
      <w:r w:rsidR="009A1099" w:rsidRPr="00215A1D">
        <w:rPr>
          <w:rFonts w:ascii="Times New Roman" w:hAnsi="Times New Roman" w:cs="Times New Roman"/>
        </w:rPr>
        <w:t xml:space="preserve"> - </w:t>
      </w:r>
      <w:r w:rsidR="00A2575F" w:rsidRPr="00215A1D">
        <w:rPr>
          <w:rFonts w:ascii="Times New Roman" w:hAnsi="Times New Roman" w:cs="Times New Roman"/>
        </w:rPr>
        <w:t>w punktach poboru energiistanowiących co najmniej 15%</w:t>
      </w:r>
      <w:r w:rsidR="004D0B73">
        <w:rPr>
          <w:rFonts w:ascii="Times New Roman" w:hAnsi="Times New Roman" w:cs="Times New Roman"/>
        </w:rPr>
        <w:t>,</w:t>
      </w:r>
    </w:p>
    <w:p w14:paraId="7F8C4895" w14:textId="59584D4B" w:rsidR="009A1099" w:rsidRPr="00215A1D" w:rsidRDefault="00A65E2D" w:rsidP="00EF6F97">
      <w:pPr>
        <w:pStyle w:val="USTustnpkodeksu"/>
        <w:ind w:firstLine="284"/>
        <w:rPr>
          <w:rFonts w:ascii="Times New Roman" w:hAnsi="Times New Roman" w:cs="Times New Roman"/>
        </w:rPr>
      </w:pPr>
      <w:r w:rsidRPr="00215A1D">
        <w:rPr>
          <w:rFonts w:ascii="Times New Roman" w:hAnsi="Times New Roman" w:cs="Times New Roman"/>
        </w:rPr>
        <w:t xml:space="preserve">2) </w:t>
      </w:r>
      <w:r w:rsidR="009A1099" w:rsidRPr="00215A1D">
        <w:rPr>
          <w:rFonts w:ascii="Times New Roman" w:hAnsi="Times New Roman" w:cs="Times New Roman"/>
        </w:rPr>
        <w:t>31 grudnia 202</w:t>
      </w:r>
      <w:r w:rsidR="00A2575F" w:rsidRPr="00215A1D">
        <w:rPr>
          <w:rFonts w:ascii="Times New Roman" w:hAnsi="Times New Roman" w:cs="Times New Roman"/>
        </w:rPr>
        <w:t>5</w:t>
      </w:r>
      <w:r w:rsidR="001D0628">
        <w:rPr>
          <w:rFonts w:ascii="Times New Roman" w:hAnsi="Times New Roman" w:cs="Times New Roman"/>
        </w:rPr>
        <w:t> r.</w:t>
      </w:r>
      <w:r w:rsidR="009A1099" w:rsidRPr="00215A1D">
        <w:rPr>
          <w:rFonts w:ascii="Times New Roman" w:hAnsi="Times New Roman" w:cs="Times New Roman"/>
        </w:rPr>
        <w:t xml:space="preserve"> − </w:t>
      </w:r>
      <w:r w:rsidR="00A2575F" w:rsidRPr="00215A1D">
        <w:rPr>
          <w:rFonts w:ascii="Times New Roman" w:hAnsi="Times New Roman" w:cs="Times New Roman"/>
        </w:rPr>
        <w:t>w punktach poboru energiistanowiących co najmniej 35%</w:t>
      </w:r>
      <w:r w:rsidR="004D0B73">
        <w:rPr>
          <w:rFonts w:ascii="Times New Roman" w:hAnsi="Times New Roman" w:cs="Times New Roman"/>
        </w:rPr>
        <w:t>,</w:t>
      </w:r>
    </w:p>
    <w:p w14:paraId="43C9681A" w14:textId="2B9A1D20" w:rsidR="00154F38" w:rsidRPr="00215A1D" w:rsidRDefault="00A65E2D" w:rsidP="00EF6F97">
      <w:pPr>
        <w:pStyle w:val="USTustnpkodeksu"/>
        <w:ind w:firstLine="284"/>
        <w:rPr>
          <w:rFonts w:ascii="Times New Roman" w:hAnsi="Times New Roman" w:cs="Times New Roman"/>
        </w:rPr>
      </w:pPr>
      <w:r w:rsidRPr="00215A1D">
        <w:rPr>
          <w:rFonts w:ascii="Times New Roman" w:hAnsi="Times New Roman" w:cs="Times New Roman"/>
        </w:rPr>
        <w:t xml:space="preserve">3) </w:t>
      </w:r>
      <w:r w:rsidR="009A1099" w:rsidRPr="00215A1D">
        <w:rPr>
          <w:rFonts w:ascii="Times New Roman" w:hAnsi="Times New Roman" w:cs="Times New Roman"/>
        </w:rPr>
        <w:t>31 grudnia 202</w:t>
      </w:r>
      <w:r w:rsidR="00A2575F" w:rsidRPr="00215A1D">
        <w:rPr>
          <w:rFonts w:ascii="Times New Roman" w:hAnsi="Times New Roman" w:cs="Times New Roman"/>
        </w:rPr>
        <w:t>7</w:t>
      </w:r>
      <w:r w:rsidR="001D0628">
        <w:rPr>
          <w:rFonts w:ascii="Times New Roman" w:hAnsi="Times New Roman" w:cs="Times New Roman"/>
        </w:rPr>
        <w:t> r.</w:t>
      </w:r>
      <w:r w:rsidR="009A1099" w:rsidRPr="00215A1D">
        <w:rPr>
          <w:rFonts w:ascii="Times New Roman" w:hAnsi="Times New Roman" w:cs="Times New Roman"/>
        </w:rPr>
        <w:t xml:space="preserve"> − </w:t>
      </w:r>
      <w:r w:rsidR="00A2575F" w:rsidRPr="00215A1D">
        <w:rPr>
          <w:rFonts w:ascii="Times New Roman" w:hAnsi="Times New Roman" w:cs="Times New Roman"/>
        </w:rPr>
        <w:t>w punktach poboru energiistanowiących co najmniej 65%</w:t>
      </w:r>
    </w:p>
    <w:p w14:paraId="20AB7D8C" w14:textId="7509C9A7" w:rsidR="00A2575F" w:rsidRPr="00215A1D" w:rsidRDefault="00CC7157" w:rsidP="00215A1D">
      <w:pPr>
        <w:pStyle w:val="USTustnpkodeksu"/>
        <w:ind w:firstLine="284"/>
        <w:rPr>
          <w:rFonts w:ascii="Times New Roman" w:hAnsi="Times New Roman" w:cs="Times New Roman"/>
        </w:rPr>
      </w:pPr>
      <w:r w:rsidRPr="00EF6F97">
        <w:rPr>
          <w:rFonts w:ascii="Times New Roman" w:hAnsi="Times New Roman" w:cs="Times New Roman"/>
          <w:szCs w:val="24"/>
        </w:rPr>
        <w:lastRenderedPageBreak/>
        <w:t>–</w:t>
      </w:r>
      <w:r w:rsidR="004D0B73">
        <w:rPr>
          <w:rFonts w:ascii="Times New Roman" w:hAnsi="Times New Roman" w:cs="Times New Roman"/>
        </w:rPr>
        <w:t xml:space="preserve"> </w:t>
      </w:r>
      <w:r w:rsidR="00A2575F" w:rsidRPr="00215A1D">
        <w:rPr>
          <w:rFonts w:ascii="Times New Roman" w:hAnsi="Times New Roman" w:cs="Times New Roman"/>
        </w:rPr>
        <w:t>łącznej liczby punktów poboru energii u odbiorców końcowych,</w:t>
      </w:r>
      <w:r w:rsidR="0065641E" w:rsidRPr="00215A1D">
        <w:rPr>
          <w:rFonts w:ascii="Times New Roman" w:hAnsi="Times New Roman" w:cs="Times New Roman"/>
        </w:rPr>
        <w:t xml:space="preserve"> o których mowa w </w:t>
      </w:r>
      <w:r w:rsidR="004D0B73">
        <w:rPr>
          <w:rFonts w:ascii="Times New Roman" w:hAnsi="Times New Roman" w:cs="Times New Roman"/>
        </w:rPr>
        <w:t xml:space="preserve">art. 11t </w:t>
      </w:r>
      <w:r w:rsidR="0065641E" w:rsidRPr="00215A1D">
        <w:rPr>
          <w:rFonts w:ascii="Times New Roman" w:hAnsi="Times New Roman" w:cs="Times New Roman"/>
        </w:rPr>
        <w:t>ust. 1</w:t>
      </w:r>
      <w:r w:rsidR="00A2575F" w:rsidRPr="00215A1D">
        <w:rPr>
          <w:rFonts w:ascii="Times New Roman" w:hAnsi="Times New Roman" w:cs="Times New Roman"/>
        </w:rPr>
        <w:t>.</w:t>
      </w:r>
    </w:p>
    <w:p w14:paraId="6DFC1E00" w14:textId="160A7D63" w:rsidR="000F040F" w:rsidRPr="00215A1D" w:rsidRDefault="00154F38" w:rsidP="00EF6F97">
      <w:pPr>
        <w:pStyle w:val="USTustnpkodeksu"/>
        <w:ind w:firstLine="284"/>
        <w:rPr>
          <w:rFonts w:ascii="Times New Roman" w:hAnsi="Times New Roman" w:cs="Times New Roman"/>
        </w:rPr>
      </w:pPr>
      <w:r w:rsidRPr="00215A1D">
        <w:rPr>
          <w:rFonts w:ascii="Times New Roman" w:hAnsi="Times New Roman" w:cs="Times New Roman"/>
        </w:rPr>
        <w:tab/>
      </w:r>
      <w:r w:rsidR="000F040F" w:rsidRPr="00215A1D">
        <w:rPr>
          <w:rFonts w:ascii="Times New Roman" w:hAnsi="Times New Roman" w:cs="Times New Roman"/>
        </w:rPr>
        <w:t>Wg danych przekazanych prze</w:t>
      </w:r>
      <w:r w:rsidR="001D0628">
        <w:rPr>
          <w:rFonts w:ascii="Times New Roman" w:hAnsi="Times New Roman" w:cs="Times New Roman"/>
        </w:rPr>
        <w:t>z </w:t>
      </w:r>
      <w:r w:rsidR="000F040F" w:rsidRPr="00215A1D">
        <w:rPr>
          <w:rFonts w:ascii="Times New Roman" w:hAnsi="Times New Roman" w:cs="Times New Roman"/>
        </w:rPr>
        <w:t>Polskie Towarzystwo Przesyłu</w:t>
      </w:r>
      <w:r w:rsidR="001D0628">
        <w:rPr>
          <w:rFonts w:ascii="Times New Roman" w:hAnsi="Times New Roman" w:cs="Times New Roman"/>
        </w:rPr>
        <w:t xml:space="preserve"> i </w:t>
      </w:r>
      <w:r w:rsidR="000F040F" w:rsidRPr="00215A1D">
        <w:rPr>
          <w:rFonts w:ascii="Times New Roman" w:hAnsi="Times New Roman" w:cs="Times New Roman"/>
        </w:rPr>
        <w:t>Rozdziału Energii Elektrycznej w grupie C1x jedynie 11,10% posiada zainstalowane liczniki zdalnego odczytu</w:t>
      </w:r>
      <w:r w:rsidR="004D0B73">
        <w:rPr>
          <w:rFonts w:ascii="Times New Roman" w:hAnsi="Times New Roman" w:cs="Times New Roman"/>
        </w:rPr>
        <w:t>,</w:t>
      </w:r>
      <w:r w:rsidR="000F040F" w:rsidRPr="00215A1D">
        <w:rPr>
          <w:rFonts w:ascii="Times New Roman" w:hAnsi="Times New Roman" w:cs="Times New Roman"/>
        </w:rPr>
        <w:t xml:space="preserve"> zaś w grupie G jest to 9,2%. W pozostałych grupach sytuacja przedstawia się następująco: grupa A: 100%, grupa B 97,1%</w:t>
      </w:r>
      <w:r w:rsidR="001D0628">
        <w:rPr>
          <w:rFonts w:ascii="Times New Roman" w:hAnsi="Times New Roman" w:cs="Times New Roman"/>
        </w:rPr>
        <w:t xml:space="preserve"> i </w:t>
      </w:r>
      <w:r w:rsidR="000F040F" w:rsidRPr="00215A1D">
        <w:rPr>
          <w:rFonts w:ascii="Times New Roman" w:hAnsi="Times New Roman" w:cs="Times New Roman"/>
        </w:rPr>
        <w:t xml:space="preserve">grupa C2x 99,44%. </w:t>
      </w:r>
      <w:r w:rsidR="00FE6018">
        <w:rPr>
          <w:rFonts w:ascii="Times New Roman" w:hAnsi="Times New Roman" w:cs="Times New Roman"/>
        </w:rPr>
        <w:t>P</w:t>
      </w:r>
      <w:r w:rsidR="000F040F" w:rsidRPr="00215A1D">
        <w:rPr>
          <w:rFonts w:ascii="Times New Roman" w:hAnsi="Times New Roman" w:cs="Times New Roman"/>
        </w:rPr>
        <w:t>rojekt ustawy wprowadza obowiązek instalacji liczników zdalnego odczytu u odbiorców końcowych posiadających układ pomiarowy bezpośredni, przyłączonych do sieci o napięciu znamionowym nie wyższym niż 1 kV</w:t>
      </w:r>
      <w:r w:rsidR="00FE6018">
        <w:rPr>
          <w:rFonts w:ascii="Times New Roman" w:hAnsi="Times New Roman" w:cs="Times New Roman"/>
        </w:rPr>
        <w:t>, czyli w grupie G oraz C1x</w:t>
      </w:r>
      <w:r w:rsidR="000F040F" w:rsidRPr="00215A1D">
        <w:rPr>
          <w:rFonts w:ascii="Times New Roman" w:hAnsi="Times New Roman" w:cs="Times New Roman"/>
        </w:rPr>
        <w:t>.</w:t>
      </w:r>
      <w:r w:rsidR="00FE6018">
        <w:rPr>
          <w:rFonts w:ascii="Times New Roman" w:hAnsi="Times New Roman" w:cs="Times New Roman"/>
        </w:rPr>
        <w:t xml:space="preserve"> Na marginesie należy zaznaczyć, że</w:t>
      </w:r>
      <w:r w:rsidR="000F040F" w:rsidRPr="00215A1D">
        <w:rPr>
          <w:rFonts w:ascii="Times New Roman" w:hAnsi="Times New Roman" w:cs="Times New Roman"/>
        </w:rPr>
        <w:t xml:space="preserve"> układ pomiarowy bezpośredni to układ posiadający tzw. stycznik</w:t>
      </w:r>
      <w:r w:rsidR="004D0B73">
        <w:rPr>
          <w:rFonts w:ascii="Times New Roman" w:hAnsi="Times New Roman" w:cs="Times New Roman"/>
        </w:rPr>
        <w:t>,</w:t>
      </w:r>
      <w:r w:rsidR="000F040F" w:rsidRPr="00215A1D">
        <w:rPr>
          <w:rFonts w:ascii="Times New Roman" w:hAnsi="Times New Roman" w:cs="Times New Roman"/>
        </w:rPr>
        <w:t xml:space="preserve"> czyli przyrząd umożliwiający dwustronną komunikację, zarządzanie stroną popytową (DSR) ora</w:t>
      </w:r>
      <w:r w:rsidR="001D0628">
        <w:rPr>
          <w:rFonts w:ascii="Times New Roman" w:hAnsi="Times New Roman" w:cs="Times New Roman"/>
        </w:rPr>
        <w:t>z </w:t>
      </w:r>
      <w:r w:rsidR="000F040F" w:rsidRPr="00215A1D">
        <w:rPr>
          <w:rFonts w:ascii="Times New Roman" w:hAnsi="Times New Roman" w:cs="Times New Roman"/>
        </w:rPr>
        <w:t>przedpłatę</w:t>
      </w:r>
      <w:r w:rsidR="001D0628">
        <w:rPr>
          <w:rFonts w:ascii="Times New Roman" w:hAnsi="Times New Roman" w:cs="Times New Roman"/>
        </w:rPr>
        <w:t xml:space="preserve"> i </w:t>
      </w:r>
      <w:r w:rsidR="000F040F" w:rsidRPr="00215A1D">
        <w:rPr>
          <w:rFonts w:ascii="Times New Roman" w:hAnsi="Times New Roman" w:cs="Times New Roman"/>
        </w:rPr>
        <w:t xml:space="preserve">tym samym zapewnia zgodność funkcjonalności </w:t>
      </w:r>
      <w:r w:rsidR="001D0628">
        <w:rPr>
          <w:rFonts w:ascii="Times New Roman" w:hAnsi="Times New Roman" w:cs="Times New Roman"/>
        </w:rPr>
        <w:t>z </w:t>
      </w:r>
      <w:r w:rsidR="000F040F" w:rsidRPr="00215A1D">
        <w:rPr>
          <w:rFonts w:ascii="Times New Roman" w:hAnsi="Times New Roman" w:cs="Times New Roman"/>
        </w:rPr>
        <w:t xml:space="preserve">Zaleceniami Komisji Europejskiej </w:t>
      </w:r>
      <w:r w:rsidR="001D0628">
        <w:rPr>
          <w:rFonts w:ascii="Times New Roman" w:hAnsi="Times New Roman" w:cs="Times New Roman"/>
        </w:rPr>
        <w:t>z </w:t>
      </w:r>
      <w:r w:rsidR="000F040F" w:rsidRPr="00215A1D">
        <w:rPr>
          <w:rFonts w:ascii="Times New Roman" w:hAnsi="Times New Roman" w:cs="Times New Roman"/>
        </w:rPr>
        <w:t>dnia 9 marca 2012</w:t>
      </w:r>
      <w:r w:rsidR="001D0628">
        <w:rPr>
          <w:rFonts w:ascii="Times New Roman" w:hAnsi="Times New Roman" w:cs="Times New Roman"/>
        </w:rPr>
        <w:t> r.</w:t>
      </w:r>
      <w:r w:rsidR="000F040F" w:rsidRPr="00215A1D">
        <w:rPr>
          <w:rFonts w:ascii="Times New Roman" w:hAnsi="Times New Roman" w:cs="Times New Roman"/>
        </w:rPr>
        <w:t xml:space="preserve"> w sprawie przygotowań do rozpowszechnienia inteligentnych systemów pomiarowych (Dz. U</w:t>
      </w:r>
      <w:r w:rsidR="00441D83">
        <w:rPr>
          <w:rFonts w:ascii="Times New Roman" w:hAnsi="Times New Roman" w:cs="Times New Roman"/>
        </w:rPr>
        <w:t>rz</w:t>
      </w:r>
      <w:r w:rsidR="000F040F" w:rsidRPr="00215A1D">
        <w:rPr>
          <w:rFonts w:ascii="Times New Roman" w:hAnsi="Times New Roman" w:cs="Times New Roman"/>
        </w:rPr>
        <w:t xml:space="preserve">. UE L 73 </w:t>
      </w:r>
      <w:r w:rsidR="001D0628">
        <w:rPr>
          <w:rFonts w:ascii="Times New Roman" w:hAnsi="Times New Roman" w:cs="Times New Roman"/>
        </w:rPr>
        <w:t>z </w:t>
      </w:r>
      <w:r w:rsidR="004D0B73">
        <w:rPr>
          <w:rFonts w:ascii="Times New Roman" w:hAnsi="Times New Roman" w:cs="Times New Roman"/>
        </w:rPr>
        <w:t>0</w:t>
      </w:r>
      <w:r w:rsidR="000F040F" w:rsidRPr="00215A1D">
        <w:rPr>
          <w:rFonts w:ascii="Times New Roman" w:hAnsi="Times New Roman" w:cs="Times New Roman"/>
        </w:rPr>
        <w:t>9. 03. 2012, str. 9).</w:t>
      </w:r>
      <w:r w:rsidR="00441D83">
        <w:rPr>
          <w:rFonts w:ascii="Times New Roman" w:hAnsi="Times New Roman" w:cs="Times New Roman"/>
        </w:rPr>
        <w:t xml:space="preserve"> </w:t>
      </w:r>
      <w:r w:rsidR="00FE6018" w:rsidRPr="00FE6018">
        <w:rPr>
          <w:rFonts w:ascii="Times New Roman" w:hAnsi="Times New Roman" w:cs="Times New Roman"/>
        </w:rPr>
        <w:t xml:space="preserve">Obowiązek instalacji liczników zdalnego odczytu dla wszystkich pozostałych kategorii odbiorców końcowych wynika </w:t>
      </w:r>
      <w:r w:rsidR="00FE6018">
        <w:rPr>
          <w:rFonts w:ascii="Times New Roman" w:hAnsi="Times New Roman" w:cs="Times New Roman"/>
        </w:rPr>
        <w:t xml:space="preserve">bowiem </w:t>
      </w:r>
      <w:r w:rsidR="00FE6018" w:rsidRPr="00FE6018">
        <w:rPr>
          <w:rFonts w:ascii="Times New Roman" w:hAnsi="Times New Roman" w:cs="Times New Roman"/>
        </w:rPr>
        <w:t xml:space="preserve">pośrednio z ustawy z dnia 8 grudnia 2017 r. o rynku mocy, </w:t>
      </w:r>
      <w:r w:rsidR="00FE6018">
        <w:rPr>
          <w:rFonts w:ascii="Times New Roman" w:hAnsi="Times New Roman" w:cs="Times New Roman"/>
        </w:rPr>
        <w:t>gdyż nie jest</w:t>
      </w:r>
      <w:r w:rsidR="00FE6018" w:rsidRPr="00FE6018">
        <w:rPr>
          <w:rFonts w:ascii="Times New Roman" w:hAnsi="Times New Roman" w:cs="Times New Roman"/>
        </w:rPr>
        <w:t xml:space="preserve"> możliwa realizacja obowiązków wynikających z tej ustawy bez dokładnych wyliczeń, które mogą jedynie zapewnić liczniki zdalnego odczytu.</w:t>
      </w:r>
    </w:p>
    <w:p w14:paraId="7C17E467" w14:textId="78668872" w:rsidR="009A1099"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 xml:space="preserve">Elementem budowy systemu inteligentnego opomiarowania </w:t>
      </w:r>
      <w:r w:rsidR="00A2575F" w:rsidRPr="00215A1D">
        <w:rPr>
          <w:rFonts w:ascii="Times New Roman" w:hAnsi="Times New Roman" w:cs="Times New Roman"/>
        </w:rPr>
        <w:t>(art. 11</w:t>
      </w:r>
      <w:r w:rsidR="005557FE">
        <w:rPr>
          <w:rFonts w:ascii="Times New Roman" w:hAnsi="Times New Roman" w:cs="Times New Roman"/>
        </w:rPr>
        <w:t>t</w:t>
      </w:r>
      <w:r w:rsidR="00A2575F" w:rsidRPr="00215A1D">
        <w:rPr>
          <w:rFonts w:ascii="Times New Roman" w:hAnsi="Times New Roman" w:cs="Times New Roman"/>
        </w:rPr>
        <w:t xml:space="preserve"> ust. 3) </w:t>
      </w:r>
      <w:r w:rsidR="009A1099" w:rsidRPr="00215A1D">
        <w:rPr>
          <w:rFonts w:ascii="Times New Roman" w:hAnsi="Times New Roman" w:cs="Times New Roman"/>
        </w:rPr>
        <w:t xml:space="preserve">będzie również instalacja liczników </w:t>
      </w:r>
      <w:r w:rsidR="006D44F3" w:rsidRPr="00215A1D">
        <w:rPr>
          <w:rFonts w:ascii="Times New Roman" w:hAnsi="Times New Roman" w:cs="Times New Roman"/>
        </w:rPr>
        <w:t xml:space="preserve">zdalnego odczytu </w:t>
      </w:r>
      <w:r w:rsidR="009A1099" w:rsidRPr="00215A1D">
        <w:rPr>
          <w:rFonts w:ascii="Times New Roman" w:hAnsi="Times New Roman" w:cs="Times New Roman"/>
        </w:rPr>
        <w:t xml:space="preserve">na stacjach SN/nN. W projekcie ustawy określono </w:t>
      </w:r>
      <w:r w:rsidR="004D0B73">
        <w:rPr>
          <w:rFonts w:ascii="Times New Roman" w:hAnsi="Times New Roman" w:cs="Times New Roman"/>
        </w:rPr>
        <w:t xml:space="preserve">koniec </w:t>
      </w:r>
      <w:r w:rsidR="009A1099" w:rsidRPr="00215A1D">
        <w:rPr>
          <w:rFonts w:ascii="Times New Roman" w:hAnsi="Times New Roman" w:cs="Times New Roman"/>
        </w:rPr>
        <w:t>rok</w:t>
      </w:r>
      <w:r w:rsidR="004D0B73">
        <w:rPr>
          <w:rFonts w:ascii="Times New Roman" w:hAnsi="Times New Roman" w:cs="Times New Roman"/>
        </w:rPr>
        <w:t>u</w:t>
      </w:r>
      <w:r w:rsidR="009A1099" w:rsidRPr="00215A1D">
        <w:rPr>
          <w:rFonts w:ascii="Times New Roman" w:hAnsi="Times New Roman" w:cs="Times New Roman"/>
        </w:rPr>
        <w:t xml:space="preserve"> 202</w:t>
      </w:r>
      <w:r w:rsidR="00A2575F" w:rsidRPr="00215A1D">
        <w:rPr>
          <w:rFonts w:ascii="Times New Roman" w:hAnsi="Times New Roman" w:cs="Times New Roman"/>
        </w:rPr>
        <w:t>5</w:t>
      </w:r>
      <w:r w:rsidR="009A1099" w:rsidRPr="00215A1D">
        <w:rPr>
          <w:rFonts w:ascii="Times New Roman" w:hAnsi="Times New Roman" w:cs="Times New Roman"/>
        </w:rPr>
        <w:t xml:space="preserve"> jako </w:t>
      </w:r>
      <w:r w:rsidR="004D0B73">
        <w:rPr>
          <w:rFonts w:ascii="Times New Roman" w:hAnsi="Times New Roman" w:cs="Times New Roman"/>
        </w:rPr>
        <w:t xml:space="preserve">termin końcowy </w:t>
      </w:r>
      <w:r w:rsidR="009A1099" w:rsidRPr="00215A1D">
        <w:rPr>
          <w:rFonts w:ascii="Times New Roman" w:hAnsi="Times New Roman" w:cs="Times New Roman"/>
        </w:rPr>
        <w:t xml:space="preserve">instalacji tych liczników. </w:t>
      </w:r>
    </w:p>
    <w:p w14:paraId="3BA22DBE" w14:textId="2B78F1B1" w:rsidR="009A1099" w:rsidRDefault="00154F38"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Koszty zainstalowania liczników zdalnego odczytu u odbiorców końcowych przyłączonych do sieci danego operatora o napięciu znamionowym nie wyższym niż 1 kV</w:t>
      </w:r>
      <w:r w:rsidR="00A8567E" w:rsidRPr="00215A1D">
        <w:rPr>
          <w:rFonts w:ascii="Times New Roman" w:hAnsi="Times New Roman" w:cs="Times New Roman"/>
        </w:rPr>
        <w:t xml:space="preserve"> ora</w:t>
      </w:r>
      <w:r w:rsidR="001D0628">
        <w:rPr>
          <w:rFonts w:ascii="Times New Roman" w:hAnsi="Times New Roman" w:cs="Times New Roman"/>
        </w:rPr>
        <w:t>z </w:t>
      </w:r>
      <w:r w:rsidR="00A8567E" w:rsidRPr="00215A1D">
        <w:rPr>
          <w:rFonts w:ascii="Times New Roman" w:hAnsi="Times New Roman" w:cs="Times New Roman"/>
        </w:rPr>
        <w:t>liczników w stacjach SN/nN</w:t>
      </w:r>
      <w:r w:rsidR="009A1099" w:rsidRPr="00215A1D">
        <w:rPr>
          <w:rFonts w:ascii="Times New Roman" w:hAnsi="Times New Roman" w:cs="Times New Roman"/>
        </w:rPr>
        <w:t xml:space="preserve"> pokrywane będą prze</w:t>
      </w:r>
      <w:r w:rsidR="001D0628">
        <w:rPr>
          <w:rFonts w:ascii="Times New Roman" w:hAnsi="Times New Roman" w:cs="Times New Roman"/>
        </w:rPr>
        <w:t>z </w:t>
      </w:r>
      <w:r w:rsidR="009A1099" w:rsidRPr="00215A1D">
        <w:rPr>
          <w:rFonts w:ascii="Times New Roman" w:hAnsi="Times New Roman" w:cs="Times New Roman"/>
        </w:rPr>
        <w:t>właściwego operatora systemu dystrybucyjnego elektroenergetycznego</w:t>
      </w:r>
      <w:r w:rsidR="001D0628">
        <w:rPr>
          <w:rFonts w:ascii="Times New Roman" w:hAnsi="Times New Roman" w:cs="Times New Roman"/>
        </w:rPr>
        <w:t xml:space="preserve"> i </w:t>
      </w:r>
      <w:r w:rsidR="009A1099" w:rsidRPr="00215A1D">
        <w:rPr>
          <w:rFonts w:ascii="Times New Roman" w:hAnsi="Times New Roman" w:cs="Times New Roman"/>
        </w:rPr>
        <w:t>powinny stanowić uzasadnione koszty działalności tego operatora.</w:t>
      </w:r>
    </w:p>
    <w:p w14:paraId="57C1A245" w14:textId="59DCEC04" w:rsidR="009A1099" w:rsidRPr="00215A1D" w:rsidRDefault="009A1099" w:rsidP="00EF6F97">
      <w:pPr>
        <w:pStyle w:val="USTustnpkodeksu"/>
        <w:rPr>
          <w:rFonts w:ascii="Times New Roman" w:hAnsi="Times New Roman" w:cs="Times New Roman"/>
        </w:rPr>
      </w:pPr>
      <w:r w:rsidRPr="00215A1D">
        <w:rPr>
          <w:rFonts w:ascii="Times New Roman" w:hAnsi="Times New Roman" w:cs="Times New Roman"/>
        </w:rPr>
        <w:t xml:space="preserve">Rozłożenie w czasie procesu instalowania liczników zdalnego odczytu </w:t>
      </w:r>
      <w:r w:rsidR="00A8567E" w:rsidRPr="00215A1D">
        <w:rPr>
          <w:rFonts w:ascii="Times New Roman" w:hAnsi="Times New Roman" w:cs="Times New Roman"/>
        </w:rPr>
        <w:t xml:space="preserve">u odbiorców końcowych w gospodarstwach domowych </w:t>
      </w:r>
      <w:r w:rsidRPr="00215A1D">
        <w:rPr>
          <w:rFonts w:ascii="Times New Roman" w:hAnsi="Times New Roman" w:cs="Times New Roman"/>
        </w:rPr>
        <w:t>powinno zminimalizować uciążliwość procesu ich instalacji prze</w:t>
      </w:r>
      <w:r w:rsidR="001D0628">
        <w:rPr>
          <w:rFonts w:ascii="Times New Roman" w:hAnsi="Times New Roman" w:cs="Times New Roman"/>
        </w:rPr>
        <w:t>z </w:t>
      </w:r>
      <w:r w:rsidRPr="00215A1D">
        <w:rPr>
          <w:rFonts w:ascii="Times New Roman" w:hAnsi="Times New Roman" w:cs="Times New Roman"/>
        </w:rPr>
        <w:t xml:space="preserve">skorelowanie instalacji </w:t>
      </w:r>
      <w:r w:rsidR="00A8567E" w:rsidRPr="00215A1D">
        <w:rPr>
          <w:rFonts w:ascii="Times New Roman" w:hAnsi="Times New Roman" w:cs="Times New Roman"/>
        </w:rPr>
        <w:t xml:space="preserve">tych </w:t>
      </w:r>
      <w:r w:rsidRPr="00215A1D">
        <w:rPr>
          <w:rFonts w:ascii="Times New Roman" w:hAnsi="Times New Roman" w:cs="Times New Roman"/>
        </w:rPr>
        <w:t xml:space="preserve">liczników </w:t>
      </w:r>
      <w:r w:rsidR="001D0628">
        <w:rPr>
          <w:rFonts w:ascii="Times New Roman" w:hAnsi="Times New Roman" w:cs="Times New Roman"/>
        </w:rPr>
        <w:t>z </w:t>
      </w:r>
      <w:r w:rsidRPr="00215A1D">
        <w:rPr>
          <w:rFonts w:ascii="Times New Roman" w:hAnsi="Times New Roman" w:cs="Times New Roman"/>
        </w:rPr>
        <w:t>wymianą już istniejący</w:t>
      </w:r>
      <w:r w:rsidR="008B4A71" w:rsidRPr="00215A1D">
        <w:rPr>
          <w:rFonts w:ascii="Times New Roman" w:hAnsi="Times New Roman" w:cs="Times New Roman"/>
        </w:rPr>
        <w:t xml:space="preserve">ch </w:t>
      </w:r>
      <w:r w:rsidRPr="00215A1D">
        <w:rPr>
          <w:rFonts w:ascii="Times New Roman" w:hAnsi="Times New Roman" w:cs="Times New Roman"/>
        </w:rPr>
        <w:t>licznik</w:t>
      </w:r>
      <w:r w:rsidR="008B4A71" w:rsidRPr="00215A1D">
        <w:rPr>
          <w:rFonts w:ascii="Times New Roman" w:hAnsi="Times New Roman" w:cs="Times New Roman"/>
        </w:rPr>
        <w:t>ów</w:t>
      </w:r>
      <w:r w:rsidRPr="00215A1D">
        <w:rPr>
          <w:rFonts w:ascii="Times New Roman" w:hAnsi="Times New Roman" w:cs="Times New Roman"/>
        </w:rPr>
        <w:t xml:space="preserve"> wynikającą </w:t>
      </w:r>
      <w:r w:rsidR="00A8567E" w:rsidRPr="00215A1D">
        <w:rPr>
          <w:rFonts w:ascii="Times New Roman" w:hAnsi="Times New Roman" w:cs="Times New Roman"/>
        </w:rPr>
        <w:t xml:space="preserve">np. </w:t>
      </w:r>
      <w:r w:rsidR="001D0628">
        <w:rPr>
          <w:rFonts w:ascii="Times New Roman" w:hAnsi="Times New Roman" w:cs="Times New Roman"/>
        </w:rPr>
        <w:t>z </w:t>
      </w:r>
      <w:r w:rsidRPr="00215A1D">
        <w:rPr>
          <w:rFonts w:ascii="Times New Roman" w:hAnsi="Times New Roman" w:cs="Times New Roman"/>
        </w:rPr>
        <w:t>legalizacji, uszkodzenia licznika, przyłączeń nowych odbiorców do sieci. Przyczyni się to do optymalizacji kosztów wprowadzenia systemu inteligentnego opomiarowania ora</w:t>
      </w:r>
      <w:r w:rsidR="001D0628">
        <w:rPr>
          <w:rFonts w:ascii="Times New Roman" w:hAnsi="Times New Roman" w:cs="Times New Roman"/>
        </w:rPr>
        <w:t>z </w:t>
      </w:r>
      <w:r w:rsidRPr="00215A1D">
        <w:rPr>
          <w:rFonts w:ascii="Times New Roman" w:hAnsi="Times New Roman" w:cs="Times New Roman"/>
        </w:rPr>
        <w:t xml:space="preserve">umożliwi, zgodnie </w:t>
      </w:r>
      <w:r w:rsidR="001D0628">
        <w:rPr>
          <w:rFonts w:ascii="Times New Roman" w:hAnsi="Times New Roman" w:cs="Times New Roman"/>
        </w:rPr>
        <w:t>z </w:t>
      </w:r>
      <w:r w:rsidRPr="00215A1D">
        <w:rPr>
          <w:rFonts w:ascii="Times New Roman" w:hAnsi="Times New Roman" w:cs="Times New Roman"/>
        </w:rPr>
        <w:t>oczekiwaniami Prezesa URE, bezkolizyjne</w:t>
      </w:r>
      <w:r w:rsidR="001D0628">
        <w:rPr>
          <w:rFonts w:ascii="Times New Roman" w:hAnsi="Times New Roman" w:cs="Times New Roman"/>
        </w:rPr>
        <w:t xml:space="preserve"> i </w:t>
      </w:r>
      <w:r w:rsidRPr="00215A1D">
        <w:rPr>
          <w:rFonts w:ascii="Times New Roman" w:hAnsi="Times New Roman" w:cs="Times New Roman"/>
        </w:rPr>
        <w:t xml:space="preserve">kompleksowe zharmonizowanie tego procesu </w:t>
      </w:r>
      <w:r w:rsidR="001D0628">
        <w:rPr>
          <w:rFonts w:ascii="Times New Roman" w:hAnsi="Times New Roman" w:cs="Times New Roman"/>
        </w:rPr>
        <w:t>z </w:t>
      </w:r>
      <w:r w:rsidRPr="00215A1D">
        <w:rPr>
          <w:rFonts w:ascii="Times New Roman" w:hAnsi="Times New Roman" w:cs="Times New Roman"/>
        </w:rPr>
        <w:t xml:space="preserve">rozwojem inteligentnych sieci. </w:t>
      </w:r>
      <w:r w:rsidR="00CF1DF5" w:rsidRPr="00215A1D">
        <w:rPr>
          <w:rFonts w:ascii="Times New Roman" w:hAnsi="Times New Roman" w:cs="Times New Roman"/>
        </w:rPr>
        <w:t xml:space="preserve">Uzasadnieniem proponowanego harmonogramy instalacji jest też konieczność </w:t>
      </w:r>
      <w:r w:rsidR="00CF1DF5" w:rsidRPr="00215A1D">
        <w:rPr>
          <w:rFonts w:ascii="Times New Roman" w:hAnsi="Times New Roman" w:cs="Times New Roman"/>
        </w:rPr>
        <w:lastRenderedPageBreak/>
        <w:t>przeprowadzenia prac przygotowawczych mających na celu zbudowanie zespołów, opracowanie wymagań</w:t>
      </w:r>
      <w:r w:rsidR="00D0196F">
        <w:rPr>
          <w:rFonts w:ascii="Times New Roman" w:hAnsi="Times New Roman" w:cs="Times New Roman"/>
        </w:rPr>
        <w:t>,</w:t>
      </w:r>
      <w:r w:rsidR="00CF1DF5" w:rsidRPr="00215A1D">
        <w:rPr>
          <w:rFonts w:ascii="Times New Roman" w:hAnsi="Times New Roman" w:cs="Times New Roman"/>
        </w:rPr>
        <w:t xml:space="preserve"> a następnie przeprowadzenie postępowań przetargowych, po rozstrzygnięciu których dopiero nastąpi sukcesywna instalacja liczników zdalnego odczytu</w:t>
      </w:r>
      <w:r w:rsidR="001D0628">
        <w:rPr>
          <w:rFonts w:ascii="Times New Roman" w:hAnsi="Times New Roman" w:cs="Times New Roman"/>
        </w:rPr>
        <w:t xml:space="preserve"> i </w:t>
      </w:r>
      <w:r w:rsidR="00CF1DF5" w:rsidRPr="00215A1D">
        <w:rPr>
          <w:rFonts w:ascii="Times New Roman" w:hAnsi="Times New Roman" w:cs="Times New Roman"/>
        </w:rPr>
        <w:t>koncentratorów (przyjmując, że utrzymana będzie technologia PLC), która może również wymusić modernizację stacji SN/nN.</w:t>
      </w:r>
    </w:p>
    <w:p w14:paraId="3A7B1F83" w14:textId="2B1A1DC8" w:rsidR="002C6541"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EE6A04" w:rsidRPr="00215A1D">
        <w:rPr>
          <w:rFonts w:ascii="Times New Roman" w:hAnsi="Times New Roman" w:cs="Times New Roman"/>
        </w:rPr>
        <w:t>Dodatkowo wprowadza się przepis</w:t>
      </w:r>
      <w:r w:rsidR="004D0B73">
        <w:rPr>
          <w:rFonts w:ascii="Times New Roman" w:hAnsi="Times New Roman" w:cs="Times New Roman"/>
        </w:rPr>
        <w:t>y</w:t>
      </w:r>
      <w:r w:rsidR="002C6541" w:rsidRPr="00215A1D">
        <w:rPr>
          <w:rFonts w:ascii="Times New Roman" w:hAnsi="Times New Roman" w:cs="Times New Roman"/>
        </w:rPr>
        <w:t xml:space="preserve"> (art. 11</w:t>
      </w:r>
      <w:r w:rsidR="005557FE">
        <w:rPr>
          <w:rFonts w:ascii="Times New Roman" w:hAnsi="Times New Roman" w:cs="Times New Roman"/>
        </w:rPr>
        <w:t>t</w:t>
      </w:r>
      <w:r w:rsidR="002C6541" w:rsidRPr="00215A1D">
        <w:rPr>
          <w:rFonts w:ascii="Times New Roman" w:hAnsi="Times New Roman" w:cs="Times New Roman"/>
        </w:rPr>
        <w:t xml:space="preserve"> ust. 6</w:t>
      </w:r>
      <w:r w:rsidR="00D0196F" w:rsidRPr="00EF6F97">
        <w:rPr>
          <w:rFonts w:ascii="Times New Roman" w:hAnsi="Times New Roman" w:cs="Times New Roman"/>
          <w:szCs w:val="24"/>
        </w:rPr>
        <w:t>–</w:t>
      </w:r>
      <w:r w:rsidR="002C6541" w:rsidRPr="00215A1D">
        <w:rPr>
          <w:rFonts w:ascii="Times New Roman" w:hAnsi="Times New Roman" w:cs="Times New Roman"/>
        </w:rPr>
        <w:t>9)</w:t>
      </w:r>
      <w:r w:rsidR="00EE6A04" w:rsidRPr="00215A1D">
        <w:rPr>
          <w:rFonts w:ascii="Times New Roman" w:hAnsi="Times New Roman" w:cs="Times New Roman"/>
        </w:rPr>
        <w:t xml:space="preserve">, zgodnie </w:t>
      </w:r>
      <w:r w:rsidR="001D0628">
        <w:rPr>
          <w:rFonts w:ascii="Times New Roman" w:hAnsi="Times New Roman" w:cs="Times New Roman"/>
        </w:rPr>
        <w:t>z </w:t>
      </w:r>
      <w:r w:rsidR="00EE6A04" w:rsidRPr="00215A1D">
        <w:rPr>
          <w:rFonts w:ascii="Times New Roman" w:hAnsi="Times New Roman" w:cs="Times New Roman"/>
        </w:rPr>
        <w:t>którym</w:t>
      </w:r>
      <w:r w:rsidR="00193465">
        <w:rPr>
          <w:rFonts w:ascii="Times New Roman" w:hAnsi="Times New Roman" w:cs="Times New Roman"/>
        </w:rPr>
        <w:t>i</w:t>
      </w:r>
      <w:r w:rsidR="00EE6A04" w:rsidRPr="00215A1D">
        <w:rPr>
          <w:rFonts w:ascii="Times New Roman" w:hAnsi="Times New Roman" w:cs="Times New Roman"/>
        </w:rPr>
        <w:t xml:space="preserve"> na wniosek odbiorcy końcowego </w:t>
      </w:r>
      <w:r w:rsidR="002C6541" w:rsidRPr="00215A1D">
        <w:rPr>
          <w:rFonts w:ascii="Times New Roman" w:hAnsi="Times New Roman" w:cs="Times New Roman"/>
        </w:rPr>
        <w:t>przyłączonego do sieci o napięciu znamionowym nie wyższym niż 1 kV operator systemu dystrybucyjnego elektroenergetycznego</w:t>
      </w:r>
      <w:r w:rsidR="00D0196F">
        <w:rPr>
          <w:rFonts w:ascii="Times New Roman" w:hAnsi="Times New Roman" w:cs="Times New Roman"/>
        </w:rPr>
        <w:t>,</w:t>
      </w:r>
      <w:r w:rsidR="002C6541" w:rsidRPr="00215A1D">
        <w:rPr>
          <w:rFonts w:ascii="Times New Roman" w:hAnsi="Times New Roman" w:cs="Times New Roman"/>
        </w:rPr>
        <w:t xml:space="preserve"> do którego jest przyłączony odbiorca</w:t>
      </w:r>
      <w:r w:rsidR="00D0196F">
        <w:rPr>
          <w:rFonts w:ascii="Times New Roman" w:hAnsi="Times New Roman" w:cs="Times New Roman"/>
        </w:rPr>
        <w:t>,</w:t>
      </w:r>
      <w:r w:rsidR="002C6541" w:rsidRPr="00215A1D">
        <w:rPr>
          <w:rFonts w:ascii="Times New Roman" w:hAnsi="Times New Roman" w:cs="Times New Roman"/>
        </w:rPr>
        <w:t xml:space="preserve"> </w:t>
      </w:r>
      <w:r w:rsidR="00025850" w:rsidRPr="00215A1D">
        <w:rPr>
          <w:rFonts w:ascii="Times New Roman" w:hAnsi="Times New Roman" w:cs="Times New Roman"/>
        </w:rPr>
        <w:t xml:space="preserve">albo członka spółdzielni energetycznej </w:t>
      </w:r>
      <w:r w:rsidR="002C6541" w:rsidRPr="00215A1D">
        <w:rPr>
          <w:rFonts w:ascii="Times New Roman" w:hAnsi="Times New Roman" w:cs="Times New Roman"/>
        </w:rPr>
        <w:t xml:space="preserve">zainstaluje </w:t>
      </w:r>
      <w:r w:rsidR="00EE6A04" w:rsidRPr="00215A1D">
        <w:rPr>
          <w:rFonts w:ascii="Times New Roman" w:hAnsi="Times New Roman" w:cs="Times New Roman"/>
        </w:rPr>
        <w:t xml:space="preserve">licznik zdalnego odczytu </w:t>
      </w:r>
      <w:r w:rsidR="002C6541" w:rsidRPr="00215A1D">
        <w:rPr>
          <w:rFonts w:ascii="Times New Roman" w:hAnsi="Times New Roman" w:cs="Times New Roman"/>
        </w:rPr>
        <w:t>albo wyposaży punkt ładowania w licznik zdalnego odczytu, przy czym odbiorca końcowy poniesie w takim przypadku koszty instalacji</w:t>
      </w:r>
      <w:r w:rsidR="001D0628">
        <w:rPr>
          <w:rFonts w:ascii="Times New Roman" w:hAnsi="Times New Roman" w:cs="Times New Roman"/>
        </w:rPr>
        <w:t xml:space="preserve"> i </w:t>
      </w:r>
      <w:r w:rsidR="002C6541" w:rsidRPr="00215A1D">
        <w:rPr>
          <w:rFonts w:ascii="Times New Roman" w:hAnsi="Times New Roman" w:cs="Times New Roman"/>
        </w:rPr>
        <w:t xml:space="preserve">uruchomienia urządzeń. Dodatkowo na wniosek tego odbiorcy końcowego operator systemu dystrybucyjnego elektroenergetycznego jest obowiązany </w:t>
      </w:r>
      <w:r w:rsidR="002259AD" w:rsidRPr="00215A1D">
        <w:rPr>
          <w:rFonts w:ascii="Times New Roman" w:hAnsi="Times New Roman" w:cs="Times New Roman"/>
        </w:rPr>
        <w:t xml:space="preserve">nieodpłatnie </w:t>
      </w:r>
      <w:r w:rsidR="002C6541" w:rsidRPr="00215A1D">
        <w:rPr>
          <w:rFonts w:ascii="Times New Roman" w:hAnsi="Times New Roman" w:cs="Times New Roman"/>
        </w:rPr>
        <w:t xml:space="preserve">do umożliwienia skomunikowania licznika zdalnego odczytu </w:t>
      </w:r>
      <w:r w:rsidR="001D0628">
        <w:rPr>
          <w:rFonts w:ascii="Times New Roman" w:hAnsi="Times New Roman" w:cs="Times New Roman"/>
        </w:rPr>
        <w:t>z </w:t>
      </w:r>
      <w:r w:rsidR="002C6541" w:rsidRPr="00215A1D">
        <w:rPr>
          <w:rFonts w:ascii="Times New Roman" w:hAnsi="Times New Roman" w:cs="Times New Roman"/>
        </w:rPr>
        <w:t xml:space="preserve">urządzeniami tego odbiorcy. </w:t>
      </w:r>
      <w:r w:rsidR="002259AD" w:rsidRPr="00215A1D">
        <w:rPr>
          <w:rFonts w:ascii="Times New Roman" w:hAnsi="Times New Roman" w:cs="Times New Roman"/>
        </w:rPr>
        <w:t xml:space="preserve">Określono przy tym roczny limit instalacji liczników zdalnego odczytu na wniosek odbiorcy, w ramach którego operator systemu dystrybucyjnego elektroenergetycznego jest obowiązany do realizacji wniosków o instalacją licznika zdalnego odczytu. </w:t>
      </w:r>
    </w:p>
    <w:p w14:paraId="2074B464" w14:textId="64AC0FF2" w:rsidR="00E46073"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E46073" w:rsidRPr="00215A1D">
        <w:rPr>
          <w:rFonts w:ascii="Times New Roman" w:hAnsi="Times New Roman" w:cs="Times New Roman"/>
        </w:rPr>
        <w:t>A</w:t>
      </w:r>
      <w:r w:rsidR="002259AD" w:rsidRPr="00215A1D">
        <w:rPr>
          <w:rFonts w:ascii="Times New Roman" w:hAnsi="Times New Roman" w:cs="Times New Roman"/>
        </w:rPr>
        <w:t>rt. 11</w:t>
      </w:r>
      <w:r w:rsidR="005557FE">
        <w:rPr>
          <w:rFonts w:ascii="Times New Roman" w:hAnsi="Times New Roman" w:cs="Times New Roman"/>
        </w:rPr>
        <w:t>t</w:t>
      </w:r>
      <w:r w:rsidR="009452B2">
        <w:rPr>
          <w:rFonts w:ascii="Times New Roman" w:hAnsi="Times New Roman" w:cs="Times New Roman"/>
        </w:rPr>
        <w:t xml:space="preserve"> </w:t>
      </w:r>
      <w:r w:rsidR="00E46073" w:rsidRPr="00215A1D">
        <w:rPr>
          <w:rFonts w:ascii="Times New Roman" w:hAnsi="Times New Roman" w:cs="Times New Roman"/>
        </w:rPr>
        <w:t>zobowiązuje również operatorów systemów dystrybucyjnych elektroenergetycznych do przekaz</w:t>
      </w:r>
      <w:r w:rsidR="004D0B73">
        <w:rPr>
          <w:rFonts w:ascii="Times New Roman" w:hAnsi="Times New Roman" w:cs="Times New Roman"/>
        </w:rPr>
        <w:t>ania</w:t>
      </w:r>
      <w:r w:rsidR="00E46073" w:rsidRPr="00215A1D">
        <w:rPr>
          <w:rFonts w:ascii="Times New Roman" w:hAnsi="Times New Roman" w:cs="Times New Roman"/>
        </w:rPr>
        <w:t xml:space="preserve"> odbiorcy końcowemu, podczas lub przed instalacją licznika zdalnego odczytu, informacj</w:t>
      </w:r>
      <w:r w:rsidR="004D0B73">
        <w:rPr>
          <w:rFonts w:ascii="Times New Roman" w:hAnsi="Times New Roman" w:cs="Times New Roman"/>
        </w:rPr>
        <w:t>i</w:t>
      </w:r>
      <w:r w:rsidR="00E46073" w:rsidRPr="00215A1D">
        <w:rPr>
          <w:rFonts w:ascii="Times New Roman" w:hAnsi="Times New Roman" w:cs="Times New Roman"/>
        </w:rPr>
        <w:t xml:space="preserve"> dotycząc</w:t>
      </w:r>
      <w:r w:rsidR="004D0B73">
        <w:rPr>
          <w:rFonts w:ascii="Times New Roman" w:hAnsi="Times New Roman" w:cs="Times New Roman"/>
        </w:rPr>
        <w:t>ych</w:t>
      </w:r>
      <w:r w:rsidR="00E46073" w:rsidRPr="00215A1D">
        <w:rPr>
          <w:rFonts w:ascii="Times New Roman" w:hAnsi="Times New Roman" w:cs="Times New Roman"/>
        </w:rPr>
        <w:t xml:space="preserve"> tego licznika, określone w przepisach wykonawczych, w tym informację o:</w:t>
      </w:r>
    </w:p>
    <w:p w14:paraId="383924F7" w14:textId="77777777" w:rsidR="00E46073" w:rsidRPr="00215A1D" w:rsidRDefault="00E46073" w:rsidP="00215A1D">
      <w:pPr>
        <w:pStyle w:val="USTustnpkodeksu"/>
        <w:numPr>
          <w:ilvl w:val="1"/>
          <w:numId w:val="20"/>
        </w:numPr>
        <w:ind w:left="426" w:hanging="284"/>
        <w:rPr>
          <w:rFonts w:ascii="Times New Roman" w:hAnsi="Times New Roman" w:cs="Times New Roman"/>
        </w:rPr>
      </w:pPr>
      <w:r w:rsidRPr="00215A1D">
        <w:rPr>
          <w:rFonts w:ascii="Times New Roman" w:hAnsi="Times New Roman" w:cs="Times New Roman"/>
        </w:rPr>
        <w:t>funkcjach licznika zdalnego odczytu;</w:t>
      </w:r>
    </w:p>
    <w:p w14:paraId="034BD9E5" w14:textId="77777777" w:rsidR="00E46073" w:rsidRPr="00215A1D" w:rsidRDefault="00E46073" w:rsidP="00215A1D">
      <w:pPr>
        <w:pStyle w:val="USTustnpkodeksu"/>
        <w:numPr>
          <w:ilvl w:val="1"/>
          <w:numId w:val="20"/>
        </w:numPr>
        <w:ind w:left="426" w:hanging="284"/>
        <w:rPr>
          <w:rFonts w:ascii="Times New Roman" w:hAnsi="Times New Roman" w:cs="Times New Roman"/>
        </w:rPr>
      </w:pPr>
      <w:r w:rsidRPr="00215A1D">
        <w:rPr>
          <w:rFonts w:ascii="Times New Roman" w:hAnsi="Times New Roman" w:cs="Times New Roman"/>
        </w:rPr>
        <w:t>przetwarzaniu danych osobowych tego odbiorcy;</w:t>
      </w:r>
    </w:p>
    <w:p w14:paraId="0FF2E895" w14:textId="60D5B45C" w:rsidR="00E46073" w:rsidRPr="00215A1D" w:rsidRDefault="00D0196F" w:rsidP="00DC5BED">
      <w:pPr>
        <w:pStyle w:val="USTustnpkodeksu"/>
        <w:ind w:left="426" w:hanging="284"/>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E46073" w:rsidRPr="00215A1D">
        <w:rPr>
          <w:rFonts w:ascii="Times New Roman" w:hAnsi="Times New Roman" w:cs="Times New Roman"/>
        </w:rPr>
        <w:t>uśrednionych ora</w:t>
      </w:r>
      <w:r w:rsidR="001D0628">
        <w:rPr>
          <w:rFonts w:ascii="Times New Roman" w:hAnsi="Times New Roman" w:cs="Times New Roman"/>
        </w:rPr>
        <w:t>z </w:t>
      </w:r>
      <w:r w:rsidR="00E46073" w:rsidRPr="00215A1D">
        <w:rPr>
          <w:rFonts w:ascii="Times New Roman" w:hAnsi="Times New Roman" w:cs="Times New Roman"/>
        </w:rPr>
        <w:t>długoterminowych kosztach</w:t>
      </w:r>
      <w:r w:rsidR="001D0628">
        <w:rPr>
          <w:rFonts w:ascii="Times New Roman" w:hAnsi="Times New Roman" w:cs="Times New Roman"/>
        </w:rPr>
        <w:t xml:space="preserve"> i </w:t>
      </w:r>
      <w:r w:rsidR="00E46073" w:rsidRPr="00215A1D">
        <w:rPr>
          <w:rFonts w:ascii="Times New Roman" w:hAnsi="Times New Roman" w:cs="Times New Roman"/>
        </w:rPr>
        <w:t xml:space="preserve">korzyściach związanych </w:t>
      </w:r>
      <w:r w:rsidR="001D0628">
        <w:rPr>
          <w:rFonts w:ascii="Times New Roman" w:hAnsi="Times New Roman" w:cs="Times New Roman"/>
        </w:rPr>
        <w:t>z </w:t>
      </w:r>
      <w:r w:rsidR="00E46073" w:rsidRPr="00215A1D">
        <w:rPr>
          <w:rFonts w:ascii="Times New Roman" w:hAnsi="Times New Roman" w:cs="Times New Roman"/>
        </w:rPr>
        <w:t>taką instalacją oraz</w:t>
      </w:r>
    </w:p>
    <w:p w14:paraId="74D14D0E" w14:textId="211C4040" w:rsidR="002259AD" w:rsidRPr="00215A1D" w:rsidRDefault="00E46073" w:rsidP="00215A1D">
      <w:pPr>
        <w:pStyle w:val="USTustnpkodeksu"/>
        <w:numPr>
          <w:ilvl w:val="0"/>
          <w:numId w:val="20"/>
        </w:numPr>
        <w:ind w:left="426" w:hanging="284"/>
        <w:rPr>
          <w:rFonts w:ascii="Times New Roman" w:hAnsi="Times New Roman" w:cs="Times New Roman"/>
        </w:rPr>
      </w:pPr>
      <w:r w:rsidRPr="00215A1D">
        <w:rPr>
          <w:rFonts w:ascii="Times New Roman" w:hAnsi="Times New Roman" w:cs="Times New Roman"/>
        </w:rPr>
        <w:t>pokryciu</w:t>
      </w:r>
      <w:r w:rsidR="001D0628">
        <w:rPr>
          <w:rFonts w:ascii="Times New Roman" w:hAnsi="Times New Roman" w:cs="Times New Roman"/>
        </w:rPr>
        <w:t xml:space="preserve"> i </w:t>
      </w:r>
      <w:r w:rsidRPr="00215A1D">
        <w:rPr>
          <w:rFonts w:ascii="Times New Roman" w:hAnsi="Times New Roman" w:cs="Times New Roman"/>
        </w:rPr>
        <w:t xml:space="preserve">uwzględnieniu kosztów określonych w </w:t>
      </w:r>
      <w:r w:rsidR="00022158">
        <w:rPr>
          <w:rFonts w:ascii="Times New Roman" w:hAnsi="Times New Roman" w:cs="Times New Roman"/>
        </w:rPr>
        <w:t xml:space="preserve">art. 11t </w:t>
      </w:r>
      <w:r w:rsidRPr="00215A1D">
        <w:rPr>
          <w:rFonts w:ascii="Times New Roman" w:hAnsi="Times New Roman" w:cs="Times New Roman"/>
        </w:rPr>
        <w:t>ust. 4 ora</w:t>
      </w:r>
      <w:r w:rsidR="001D0628">
        <w:rPr>
          <w:rFonts w:ascii="Times New Roman" w:hAnsi="Times New Roman" w:cs="Times New Roman"/>
        </w:rPr>
        <w:t>z </w:t>
      </w:r>
      <w:r w:rsidRPr="00215A1D">
        <w:rPr>
          <w:rFonts w:ascii="Times New Roman" w:hAnsi="Times New Roman" w:cs="Times New Roman"/>
        </w:rPr>
        <w:t>w art. 45 ust. 1i w kosztach działalności przedsiębiorstw energetycznych zajmujących się przesyłaniem lub dystrybucją energii elektrycznej, o których mowa w art. 45 ust. 1 pkt 1</w:t>
      </w:r>
      <w:r w:rsidR="00D0196F">
        <w:rPr>
          <w:rFonts w:ascii="Times New Roman" w:hAnsi="Times New Roman" w:cs="Times New Roman"/>
        </w:rPr>
        <w:t>,</w:t>
      </w:r>
      <w:r w:rsidR="001D0628">
        <w:rPr>
          <w:rFonts w:ascii="Times New Roman" w:hAnsi="Times New Roman" w:cs="Times New Roman"/>
        </w:rPr>
        <w:t xml:space="preserve"> i </w:t>
      </w:r>
      <w:r w:rsidRPr="00215A1D">
        <w:rPr>
          <w:rFonts w:ascii="Times New Roman" w:hAnsi="Times New Roman" w:cs="Times New Roman"/>
        </w:rPr>
        <w:t>ujęciu ich w taryfie ogłaszanej w sposób określony w art. 47 ust. 3.</w:t>
      </w:r>
    </w:p>
    <w:p w14:paraId="1C861A62" w14:textId="77777777" w:rsidR="002C6541"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2259AD" w:rsidRPr="00215A1D">
        <w:rPr>
          <w:rFonts w:ascii="Times New Roman" w:hAnsi="Times New Roman" w:cs="Times New Roman"/>
        </w:rPr>
        <w:t>Przepis</w:t>
      </w:r>
      <w:r w:rsidR="00391539" w:rsidRPr="00215A1D">
        <w:rPr>
          <w:rFonts w:ascii="Times New Roman" w:hAnsi="Times New Roman" w:cs="Times New Roman"/>
        </w:rPr>
        <w:t>y</w:t>
      </w:r>
      <w:r w:rsidR="002259AD" w:rsidRPr="00215A1D">
        <w:rPr>
          <w:rFonts w:ascii="Times New Roman" w:hAnsi="Times New Roman" w:cs="Times New Roman"/>
        </w:rPr>
        <w:t xml:space="preserve"> art. 11</w:t>
      </w:r>
      <w:r w:rsidR="005557FE">
        <w:rPr>
          <w:rFonts w:ascii="Times New Roman" w:hAnsi="Times New Roman" w:cs="Times New Roman"/>
        </w:rPr>
        <w:t>t</w:t>
      </w:r>
      <w:r w:rsidR="002259AD" w:rsidRPr="00215A1D">
        <w:rPr>
          <w:rFonts w:ascii="Times New Roman" w:hAnsi="Times New Roman" w:cs="Times New Roman"/>
        </w:rPr>
        <w:t xml:space="preserve"> ust. 1</w:t>
      </w:r>
      <w:r w:rsidR="00E46073" w:rsidRPr="00215A1D">
        <w:rPr>
          <w:rFonts w:ascii="Times New Roman" w:hAnsi="Times New Roman" w:cs="Times New Roman"/>
        </w:rPr>
        <w:t>2</w:t>
      </w:r>
      <w:r w:rsidR="001D0628">
        <w:rPr>
          <w:rFonts w:ascii="Times New Roman" w:hAnsi="Times New Roman" w:cs="Times New Roman"/>
        </w:rPr>
        <w:t xml:space="preserve"> i </w:t>
      </w:r>
      <w:r w:rsidR="002259AD" w:rsidRPr="00215A1D">
        <w:rPr>
          <w:rFonts w:ascii="Times New Roman" w:hAnsi="Times New Roman" w:cs="Times New Roman"/>
        </w:rPr>
        <w:t>1</w:t>
      </w:r>
      <w:r w:rsidR="00E46073" w:rsidRPr="00215A1D">
        <w:rPr>
          <w:rFonts w:ascii="Times New Roman" w:hAnsi="Times New Roman" w:cs="Times New Roman"/>
        </w:rPr>
        <w:t>3</w:t>
      </w:r>
      <w:r w:rsidR="002259AD" w:rsidRPr="00215A1D">
        <w:rPr>
          <w:rFonts w:ascii="Times New Roman" w:hAnsi="Times New Roman" w:cs="Times New Roman"/>
        </w:rPr>
        <w:t xml:space="preserve"> stanowią o możliwości wykorzystania licznika zdalnego odczytu do realizacji przedpłatowej formy rozliczeń. </w:t>
      </w:r>
    </w:p>
    <w:p w14:paraId="5FAEE4A9" w14:textId="7995AE0D" w:rsidR="00EE6A04"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EE6A04" w:rsidRPr="00215A1D">
        <w:rPr>
          <w:rFonts w:ascii="Times New Roman" w:hAnsi="Times New Roman" w:cs="Times New Roman"/>
        </w:rPr>
        <w:t xml:space="preserve">Szersze stosowanie przedpłatowej formy rozliczeń </w:t>
      </w:r>
      <w:r w:rsidR="001D0628">
        <w:rPr>
          <w:rFonts w:ascii="Times New Roman" w:hAnsi="Times New Roman" w:cs="Times New Roman"/>
        </w:rPr>
        <w:t>z </w:t>
      </w:r>
      <w:r w:rsidR="00EE6A04" w:rsidRPr="00215A1D">
        <w:rPr>
          <w:rFonts w:ascii="Times New Roman" w:hAnsi="Times New Roman" w:cs="Times New Roman"/>
        </w:rPr>
        <w:t>wykorzystaniem liczników zdalnego odczytu pozwoli odbiorcom na lepsze zarządzanie własnym zużyciem energii elektrycznej</w:t>
      </w:r>
      <w:r w:rsidR="00022158">
        <w:rPr>
          <w:rFonts w:ascii="Times New Roman" w:hAnsi="Times New Roman" w:cs="Times New Roman"/>
        </w:rPr>
        <w:t>,</w:t>
      </w:r>
      <w:r w:rsidR="00EE6A04" w:rsidRPr="00215A1D">
        <w:rPr>
          <w:rFonts w:ascii="Times New Roman" w:hAnsi="Times New Roman" w:cs="Times New Roman"/>
        </w:rPr>
        <w:t xml:space="preserve"> a ponadto może być niezwykle użyteczna w przypadku wynajmu mieszkań czy </w:t>
      </w:r>
      <w:r w:rsidR="00EE6A04" w:rsidRPr="00215A1D">
        <w:rPr>
          <w:rFonts w:ascii="Times New Roman" w:hAnsi="Times New Roman" w:cs="Times New Roman"/>
        </w:rPr>
        <w:lastRenderedPageBreak/>
        <w:t>lokali, domków letniskowych, garaży itp. obiektów, w których energia elektryczna pobierana jest okresowo.</w:t>
      </w:r>
    </w:p>
    <w:p w14:paraId="53871709" w14:textId="77777777" w:rsidR="00EE6A04"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EE6A04" w:rsidRPr="00215A1D">
        <w:rPr>
          <w:rFonts w:ascii="Times New Roman" w:hAnsi="Times New Roman" w:cs="Times New Roman"/>
        </w:rPr>
        <w:t>Stworzenie warunków do przedpłatowej formy rozliczeń, podobnie jak w przypadku usług telekomunikacyjnych, stworzy szereg możliwości zapewniających lepsze dostosowanie formy usługi do potrzeb</w:t>
      </w:r>
      <w:r w:rsidR="001D0628">
        <w:rPr>
          <w:rFonts w:ascii="Times New Roman" w:hAnsi="Times New Roman" w:cs="Times New Roman"/>
        </w:rPr>
        <w:t xml:space="preserve"> i </w:t>
      </w:r>
      <w:r w:rsidR="00EE6A04" w:rsidRPr="00215A1D">
        <w:rPr>
          <w:rFonts w:ascii="Times New Roman" w:hAnsi="Times New Roman" w:cs="Times New Roman"/>
        </w:rPr>
        <w:t xml:space="preserve">oczekiwań odbiorcy. </w:t>
      </w:r>
    </w:p>
    <w:p w14:paraId="008BA6D7" w14:textId="210AFCC4" w:rsidR="00EE6A04" w:rsidRPr="00215A1D" w:rsidRDefault="00154F38" w:rsidP="00EF6F97">
      <w:pPr>
        <w:pStyle w:val="USTustnpkodeksu"/>
        <w:ind w:firstLine="567"/>
        <w:rPr>
          <w:rFonts w:ascii="Times New Roman" w:hAnsi="Times New Roman" w:cs="Times New Roman"/>
        </w:rPr>
      </w:pPr>
      <w:r w:rsidRPr="00215A1D">
        <w:rPr>
          <w:rFonts w:ascii="Times New Roman" w:hAnsi="Times New Roman" w:cs="Times New Roman"/>
        </w:rPr>
        <w:tab/>
      </w:r>
      <w:r w:rsidR="00EE6A04" w:rsidRPr="00215A1D">
        <w:rPr>
          <w:rFonts w:ascii="Times New Roman" w:hAnsi="Times New Roman" w:cs="Times New Roman"/>
        </w:rPr>
        <w:t>Istotna rola w procesie kontroli rozwoju tej formy rozliczeń przypadnie Prezesowi URE, który</w:t>
      </w:r>
      <w:r w:rsidR="00AF3268">
        <w:rPr>
          <w:rFonts w:ascii="Times New Roman" w:hAnsi="Times New Roman" w:cs="Times New Roman"/>
        </w:rPr>
        <w:t>,</w:t>
      </w:r>
      <w:r w:rsidR="00EE6A04" w:rsidRPr="00215A1D">
        <w:rPr>
          <w:rFonts w:ascii="Times New Roman" w:hAnsi="Times New Roman" w:cs="Times New Roman"/>
        </w:rPr>
        <w:t xml:space="preserve"> zatwierdzając taryfy operatorów systemów dystrybucyjnych</w:t>
      </w:r>
      <w:r w:rsidR="00AF3268">
        <w:rPr>
          <w:rFonts w:ascii="Times New Roman" w:hAnsi="Times New Roman" w:cs="Times New Roman"/>
        </w:rPr>
        <w:t>,</w:t>
      </w:r>
      <w:r w:rsidR="00EE6A04" w:rsidRPr="00215A1D">
        <w:rPr>
          <w:rFonts w:ascii="Times New Roman" w:hAnsi="Times New Roman" w:cs="Times New Roman"/>
        </w:rPr>
        <w:t xml:space="preserve"> może wpływać na sprawiedliwe</w:t>
      </w:r>
      <w:r w:rsidR="001D0628">
        <w:rPr>
          <w:rFonts w:ascii="Times New Roman" w:hAnsi="Times New Roman" w:cs="Times New Roman"/>
        </w:rPr>
        <w:t xml:space="preserve"> i </w:t>
      </w:r>
      <w:r w:rsidR="00EE6A04" w:rsidRPr="00215A1D">
        <w:rPr>
          <w:rFonts w:ascii="Times New Roman" w:hAnsi="Times New Roman" w:cs="Times New Roman"/>
        </w:rPr>
        <w:t xml:space="preserve">adekwatne do kosztów stawki rozliczeń. Pozostałe zagadnienia związane </w:t>
      </w:r>
      <w:r w:rsidR="001D0628">
        <w:rPr>
          <w:rFonts w:ascii="Times New Roman" w:hAnsi="Times New Roman" w:cs="Times New Roman"/>
        </w:rPr>
        <w:t>z </w:t>
      </w:r>
      <w:r w:rsidR="00EE6A04" w:rsidRPr="00215A1D">
        <w:rPr>
          <w:rFonts w:ascii="Times New Roman" w:hAnsi="Times New Roman" w:cs="Times New Roman"/>
        </w:rPr>
        <w:t>rynkiem należy pozostawić grze rynkowej sprzedawców</w:t>
      </w:r>
      <w:r w:rsidR="001D0628">
        <w:rPr>
          <w:rFonts w:ascii="Times New Roman" w:hAnsi="Times New Roman" w:cs="Times New Roman"/>
        </w:rPr>
        <w:t xml:space="preserve"> i </w:t>
      </w:r>
      <w:r w:rsidR="00EE6A04" w:rsidRPr="00215A1D">
        <w:rPr>
          <w:rFonts w:ascii="Times New Roman" w:hAnsi="Times New Roman" w:cs="Times New Roman"/>
        </w:rPr>
        <w:t>wolnej konkurencji.</w:t>
      </w:r>
    </w:p>
    <w:p w14:paraId="088C2F2B" w14:textId="77777777" w:rsidR="00703991" w:rsidRPr="00215A1D" w:rsidRDefault="00703991" w:rsidP="00EF6F97">
      <w:pPr>
        <w:pStyle w:val="USTustnpkodeksu"/>
        <w:ind w:firstLine="567"/>
        <w:rPr>
          <w:rFonts w:ascii="Times New Roman" w:hAnsi="Times New Roman" w:cs="Times New Roman"/>
        </w:rPr>
      </w:pPr>
    </w:p>
    <w:p w14:paraId="04FA4CC8" w14:textId="6DBA4A60" w:rsidR="00E50C5E" w:rsidRDefault="00154F38" w:rsidP="00EF6F97">
      <w:pPr>
        <w:pStyle w:val="USTustnpkodeksu"/>
        <w:rPr>
          <w:rFonts w:ascii="Times New Roman" w:hAnsi="Times New Roman" w:cs="Times New Roman"/>
          <w:szCs w:val="24"/>
        </w:rPr>
      </w:pPr>
      <w:r w:rsidRPr="00EF6F97">
        <w:rPr>
          <w:rFonts w:ascii="Times New Roman" w:hAnsi="Times New Roman" w:cs="Times New Roman"/>
          <w:szCs w:val="24"/>
        </w:rPr>
        <w:tab/>
      </w:r>
      <w:r w:rsidR="00703991" w:rsidRPr="00EF6F97">
        <w:rPr>
          <w:rFonts w:ascii="Times New Roman" w:hAnsi="Times New Roman" w:cs="Times New Roman"/>
          <w:szCs w:val="24"/>
        </w:rPr>
        <w:t>Art. 11</w:t>
      </w:r>
      <w:r w:rsidR="005557FE">
        <w:rPr>
          <w:rFonts w:ascii="Times New Roman" w:hAnsi="Times New Roman" w:cs="Times New Roman"/>
          <w:szCs w:val="24"/>
        </w:rPr>
        <w:t>u</w:t>
      </w:r>
      <w:r w:rsidR="009452B2">
        <w:rPr>
          <w:rFonts w:ascii="Times New Roman" w:hAnsi="Times New Roman" w:cs="Times New Roman"/>
          <w:szCs w:val="24"/>
        </w:rPr>
        <w:t xml:space="preserve"> </w:t>
      </w:r>
      <w:r w:rsidR="00D03FA8">
        <w:rPr>
          <w:rFonts w:ascii="Times New Roman" w:hAnsi="Times New Roman" w:cs="Times New Roman"/>
          <w:szCs w:val="24"/>
        </w:rPr>
        <w:t>nakłada na o</w:t>
      </w:r>
      <w:r w:rsidR="00D03FA8" w:rsidRPr="00D03FA8">
        <w:rPr>
          <w:rFonts w:ascii="Times New Roman" w:hAnsi="Times New Roman" w:cs="Times New Roman"/>
          <w:szCs w:val="24"/>
        </w:rPr>
        <w:t>perator</w:t>
      </w:r>
      <w:r w:rsidR="00D03FA8">
        <w:rPr>
          <w:rFonts w:ascii="Times New Roman" w:hAnsi="Times New Roman" w:cs="Times New Roman"/>
          <w:szCs w:val="24"/>
        </w:rPr>
        <w:t>a</w:t>
      </w:r>
      <w:r w:rsidR="00D03FA8" w:rsidRPr="00D03FA8">
        <w:rPr>
          <w:rFonts w:ascii="Times New Roman" w:hAnsi="Times New Roman" w:cs="Times New Roman"/>
          <w:szCs w:val="24"/>
        </w:rPr>
        <w:t xml:space="preserve"> systemu dystrybucyjnego elektroenergetycznego, operator</w:t>
      </w:r>
      <w:r w:rsidR="00D03FA8">
        <w:rPr>
          <w:rFonts w:ascii="Times New Roman" w:hAnsi="Times New Roman" w:cs="Times New Roman"/>
          <w:szCs w:val="24"/>
        </w:rPr>
        <w:t>a</w:t>
      </w:r>
      <w:r w:rsidR="00D03FA8" w:rsidRPr="00D03FA8">
        <w:rPr>
          <w:rFonts w:ascii="Times New Roman" w:hAnsi="Times New Roman" w:cs="Times New Roman"/>
          <w:szCs w:val="24"/>
        </w:rPr>
        <w:t xml:space="preserve"> systemu przesyłowego elektroenergetycznego lub właściciel</w:t>
      </w:r>
      <w:r w:rsidR="00D03FA8">
        <w:rPr>
          <w:rFonts w:ascii="Times New Roman" w:hAnsi="Times New Roman" w:cs="Times New Roman"/>
          <w:szCs w:val="24"/>
        </w:rPr>
        <w:t>a</w:t>
      </w:r>
      <w:r w:rsidR="00D03FA8" w:rsidRPr="00D03FA8">
        <w:rPr>
          <w:rFonts w:ascii="Times New Roman" w:hAnsi="Times New Roman" w:cs="Times New Roman"/>
          <w:szCs w:val="24"/>
        </w:rPr>
        <w:t xml:space="preserve"> urządzeń, instalacji lub sieci, w przypadku gdy użytkownik systemu przyłączony jest do urządzeń, instalacji lub sieci, na których nie wyznaczono operatora systemu elektroenergetycznego</w:t>
      </w:r>
      <w:r w:rsidR="008C7F1F">
        <w:rPr>
          <w:rFonts w:ascii="Times New Roman" w:hAnsi="Times New Roman" w:cs="Times New Roman"/>
          <w:szCs w:val="24"/>
        </w:rPr>
        <w:t>,</w:t>
      </w:r>
      <w:r w:rsidR="00D03FA8" w:rsidRPr="00D03FA8">
        <w:rPr>
          <w:rFonts w:ascii="Times New Roman" w:hAnsi="Times New Roman" w:cs="Times New Roman"/>
          <w:szCs w:val="24"/>
        </w:rPr>
        <w:t xml:space="preserve"> </w:t>
      </w:r>
      <w:r w:rsidR="00D03FA8">
        <w:rPr>
          <w:rFonts w:ascii="Times New Roman" w:hAnsi="Times New Roman" w:cs="Times New Roman"/>
          <w:szCs w:val="24"/>
        </w:rPr>
        <w:t>obowiązek pozyskiwania</w:t>
      </w:r>
      <w:r w:rsidR="00D03FA8" w:rsidRPr="00D03FA8">
        <w:rPr>
          <w:rFonts w:ascii="Times New Roman" w:hAnsi="Times New Roman" w:cs="Times New Roman"/>
          <w:szCs w:val="24"/>
        </w:rPr>
        <w:t xml:space="preserve"> z</w:t>
      </w:r>
      <w:r w:rsidR="00D03FA8">
        <w:rPr>
          <w:rFonts w:ascii="Times New Roman" w:hAnsi="Times New Roman" w:cs="Times New Roman"/>
          <w:szCs w:val="24"/>
        </w:rPr>
        <w:t xml:space="preserve"> liczników zdalnego odczytu danych pomiarowych i przekazywania ich</w:t>
      </w:r>
      <w:r w:rsidR="00D03FA8" w:rsidRPr="00D03FA8">
        <w:rPr>
          <w:rFonts w:ascii="Times New Roman" w:hAnsi="Times New Roman" w:cs="Times New Roman"/>
          <w:szCs w:val="24"/>
        </w:rPr>
        <w:t xml:space="preserve"> w postaci elektronicznej do centralnego systemu informacji rynku energii.</w:t>
      </w:r>
    </w:p>
    <w:p w14:paraId="11605091" w14:textId="23F54A44" w:rsidR="00EF6F97" w:rsidRPr="00FC678D" w:rsidRDefault="00E50C5E" w:rsidP="00FC678D">
      <w:pPr>
        <w:pStyle w:val="USTustnpkodeksu"/>
        <w:rPr>
          <w:rFonts w:ascii="Times New Roman" w:hAnsi="Times New Roman" w:cs="Times New Roman"/>
          <w:szCs w:val="24"/>
        </w:rPr>
      </w:pPr>
      <w:r>
        <w:rPr>
          <w:rFonts w:ascii="Times New Roman" w:hAnsi="Times New Roman" w:cs="Times New Roman"/>
          <w:szCs w:val="24"/>
        </w:rPr>
        <w:t xml:space="preserve">W rozporządzeniu wykonawczym będzie </w:t>
      </w:r>
      <w:r w:rsidR="00703991" w:rsidRPr="00EF6F97">
        <w:rPr>
          <w:rFonts w:ascii="Times New Roman" w:hAnsi="Times New Roman" w:cs="Times New Roman"/>
          <w:szCs w:val="24"/>
        </w:rPr>
        <w:t>określ</w:t>
      </w:r>
      <w:r>
        <w:rPr>
          <w:rFonts w:ascii="Times New Roman" w:hAnsi="Times New Roman" w:cs="Times New Roman"/>
          <w:szCs w:val="24"/>
        </w:rPr>
        <w:t>one</w:t>
      </w:r>
      <w:r w:rsidR="00022158">
        <w:rPr>
          <w:rFonts w:ascii="Times New Roman" w:hAnsi="Times New Roman" w:cs="Times New Roman"/>
          <w:szCs w:val="24"/>
        </w:rPr>
        <w:t xml:space="preserve"> </w:t>
      </w:r>
      <w:r w:rsidR="00FC678D">
        <w:rPr>
          <w:rFonts w:ascii="Times New Roman" w:hAnsi="Times New Roman" w:cs="Times New Roman"/>
          <w:szCs w:val="24"/>
        </w:rPr>
        <w:t>szczegółowo</w:t>
      </w:r>
      <w:r w:rsidR="008C7F1F">
        <w:rPr>
          <w:rFonts w:ascii="Times New Roman" w:hAnsi="Times New Roman" w:cs="Times New Roman"/>
          <w:szCs w:val="24"/>
        </w:rPr>
        <w:t>,</w:t>
      </w:r>
      <w:r w:rsidR="00FC678D">
        <w:rPr>
          <w:rFonts w:ascii="Times New Roman" w:hAnsi="Times New Roman" w:cs="Times New Roman"/>
          <w:szCs w:val="24"/>
        </w:rPr>
        <w:t xml:space="preserve"> </w:t>
      </w:r>
      <w:r w:rsidR="00703991" w:rsidRPr="00EF6F97">
        <w:rPr>
          <w:rFonts w:ascii="Times New Roman" w:hAnsi="Times New Roman" w:cs="Times New Roman"/>
          <w:szCs w:val="24"/>
        </w:rPr>
        <w:t>jakie dane pomiarowe może rejestrować</w:t>
      </w:r>
      <w:r w:rsidR="001D0628">
        <w:rPr>
          <w:rFonts w:ascii="Times New Roman" w:hAnsi="Times New Roman" w:cs="Times New Roman"/>
          <w:szCs w:val="24"/>
        </w:rPr>
        <w:t xml:space="preserve"> i </w:t>
      </w:r>
      <w:r w:rsidR="00703991" w:rsidRPr="00EF6F97">
        <w:rPr>
          <w:rFonts w:ascii="Times New Roman" w:hAnsi="Times New Roman" w:cs="Times New Roman"/>
          <w:szCs w:val="24"/>
        </w:rPr>
        <w:t>przekazywać licznik zdalnego odczytu odbiorcy końcowego w gospodarstwie domowym</w:t>
      </w:r>
      <w:r w:rsidR="00FC678D">
        <w:rPr>
          <w:rFonts w:ascii="Times New Roman" w:hAnsi="Times New Roman" w:cs="Times New Roman"/>
          <w:szCs w:val="24"/>
        </w:rPr>
        <w:t xml:space="preserve">, ograniczając się w ustawie do wymienienia podstawowych danych i informacji, takich jak: </w:t>
      </w:r>
      <w:r w:rsidR="00FC678D" w:rsidRPr="00FC678D">
        <w:rPr>
          <w:rFonts w:ascii="Times New Roman" w:hAnsi="Times New Roman" w:cs="Times New Roman"/>
          <w:szCs w:val="24"/>
        </w:rPr>
        <w:t>dane pomiarowe dotyczące w szczególności ilości energii elektrycznej i jej jakości oraz wartości mocy i przekazuje je w postaci elektronicznej do centralnego s</w:t>
      </w:r>
      <w:r w:rsidR="00FC678D">
        <w:rPr>
          <w:rFonts w:ascii="Times New Roman" w:hAnsi="Times New Roman" w:cs="Times New Roman"/>
          <w:szCs w:val="24"/>
        </w:rPr>
        <w:t xml:space="preserve">ystemu informacji rynku energii, </w:t>
      </w:r>
      <w:r w:rsidR="00FC678D" w:rsidRPr="00FC678D">
        <w:rPr>
          <w:rFonts w:ascii="Times New Roman" w:hAnsi="Times New Roman" w:cs="Times New Roman"/>
          <w:szCs w:val="24"/>
        </w:rPr>
        <w:t>informacje o innych zdarzeniach rejestrowanych przez ten licznik</w:t>
      </w:r>
      <w:r w:rsidR="00FC678D">
        <w:rPr>
          <w:rFonts w:ascii="Times New Roman" w:hAnsi="Times New Roman" w:cs="Times New Roman"/>
          <w:szCs w:val="24"/>
        </w:rPr>
        <w:t>.</w:t>
      </w:r>
      <w:r w:rsidR="00703991" w:rsidRPr="00EF6F97">
        <w:rPr>
          <w:rFonts w:ascii="Times New Roman" w:hAnsi="Times New Roman" w:cs="Times New Roman"/>
          <w:szCs w:val="24"/>
        </w:rPr>
        <w:t xml:space="preserve"> W szczególności licznik powinien rejestrować dane pomiarowe dotyczące energii elektrycznej o granulacji 15-minutowej. Wynika to </w:t>
      </w:r>
      <w:r w:rsidR="001D0628">
        <w:rPr>
          <w:rFonts w:ascii="Times New Roman" w:hAnsi="Times New Roman" w:cs="Times New Roman"/>
          <w:szCs w:val="24"/>
        </w:rPr>
        <w:t>z </w:t>
      </w:r>
      <w:r w:rsidR="00703991" w:rsidRPr="00EF6F97">
        <w:rPr>
          <w:rFonts w:ascii="Times New Roman" w:hAnsi="Times New Roman" w:cs="Times New Roman"/>
          <w:szCs w:val="24"/>
        </w:rPr>
        <w:t xml:space="preserve">konieczności dostosowana systemu pomiarowego do wymagań określonych w </w:t>
      </w:r>
      <w:r w:rsidR="00267666" w:rsidRPr="00EF6F97">
        <w:rPr>
          <w:rFonts w:ascii="Times New Roman" w:hAnsi="Times New Roman" w:cs="Times New Roman"/>
          <w:szCs w:val="24"/>
        </w:rPr>
        <w:t xml:space="preserve">art. 53 </w:t>
      </w:r>
      <w:r w:rsidR="00193465">
        <w:rPr>
          <w:rFonts w:ascii="Times New Roman" w:hAnsi="Times New Roman" w:cs="Times New Roman"/>
          <w:szCs w:val="24"/>
          <w:shd w:val="clear" w:color="auto" w:fill="FFFFFF"/>
        </w:rPr>
        <w:t>r</w:t>
      </w:r>
      <w:r w:rsidR="00267666" w:rsidRPr="00EF6F97">
        <w:rPr>
          <w:rFonts w:ascii="Times New Roman" w:hAnsi="Times New Roman" w:cs="Times New Roman"/>
          <w:szCs w:val="24"/>
          <w:shd w:val="clear" w:color="auto" w:fill="FFFFFF"/>
        </w:rPr>
        <w:t xml:space="preserve">ozporządzenia Komisji (UE) 2017/2195 </w:t>
      </w:r>
      <w:r w:rsidR="001D0628">
        <w:rPr>
          <w:rFonts w:ascii="Times New Roman" w:hAnsi="Times New Roman" w:cs="Times New Roman"/>
          <w:szCs w:val="24"/>
          <w:shd w:val="clear" w:color="auto" w:fill="FFFFFF"/>
        </w:rPr>
        <w:t>z </w:t>
      </w:r>
      <w:r w:rsidR="00267666" w:rsidRPr="00EF6F97">
        <w:rPr>
          <w:rFonts w:ascii="Times New Roman" w:hAnsi="Times New Roman" w:cs="Times New Roman"/>
          <w:szCs w:val="24"/>
          <w:shd w:val="clear" w:color="auto" w:fill="FFFFFF"/>
        </w:rPr>
        <w:t>dnia 23 listopada 2017</w:t>
      </w:r>
      <w:r w:rsidR="001D0628">
        <w:rPr>
          <w:rFonts w:ascii="Times New Roman" w:hAnsi="Times New Roman" w:cs="Times New Roman"/>
          <w:szCs w:val="24"/>
          <w:shd w:val="clear" w:color="auto" w:fill="FFFFFF"/>
        </w:rPr>
        <w:t> r.</w:t>
      </w:r>
      <w:r w:rsidR="00267666" w:rsidRPr="00EF6F97">
        <w:rPr>
          <w:rFonts w:ascii="Times New Roman" w:hAnsi="Times New Roman" w:cs="Times New Roman"/>
          <w:szCs w:val="24"/>
          <w:shd w:val="clear" w:color="auto" w:fill="FFFFFF"/>
        </w:rPr>
        <w:t xml:space="preserve"> ustanawiające</w:t>
      </w:r>
      <w:r w:rsidR="00022158">
        <w:rPr>
          <w:rFonts w:ascii="Times New Roman" w:hAnsi="Times New Roman" w:cs="Times New Roman"/>
          <w:szCs w:val="24"/>
          <w:shd w:val="clear" w:color="auto" w:fill="FFFFFF"/>
        </w:rPr>
        <w:t>go</w:t>
      </w:r>
      <w:r w:rsidR="00267666" w:rsidRPr="00EF6F97">
        <w:rPr>
          <w:rFonts w:ascii="Times New Roman" w:hAnsi="Times New Roman" w:cs="Times New Roman"/>
          <w:szCs w:val="24"/>
          <w:shd w:val="clear" w:color="auto" w:fill="FFFFFF"/>
        </w:rPr>
        <w:t xml:space="preserve"> wytyczne dotyczące bilansowania (Dz.U</w:t>
      </w:r>
      <w:r w:rsidR="00022158">
        <w:rPr>
          <w:rFonts w:ascii="Times New Roman" w:hAnsi="Times New Roman" w:cs="Times New Roman"/>
          <w:szCs w:val="24"/>
          <w:shd w:val="clear" w:color="auto" w:fill="FFFFFF"/>
        </w:rPr>
        <w:t>rz</w:t>
      </w:r>
      <w:r w:rsidR="00267666" w:rsidRPr="00EF6F97">
        <w:rPr>
          <w:rFonts w:ascii="Times New Roman" w:hAnsi="Times New Roman" w:cs="Times New Roman"/>
          <w:szCs w:val="24"/>
          <w:shd w:val="clear" w:color="auto" w:fill="FFFFFF"/>
        </w:rPr>
        <w:t xml:space="preserve">. UE </w:t>
      </w:r>
      <w:r w:rsidR="00022158">
        <w:rPr>
          <w:rFonts w:ascii="Times New Roman" w:hAnsi="Times New Roman" w:cs="Times New Roman"/>
          <w:szCs w:val="24"/>
          <w:shd w:val="clear" w:color="auto" w:fill="FFFFFF"/>
        </w:rPr>
        <w:t xml:space="preserve">L 312 </w:t>
      </w:r>
      <w:r w:rsidR="001D0628">
        <w:rPr>
          <w:rFonts w:ascii="Times New Roman" w:hAnsi="Times New Roman" w:cs="Times New Roman"/>
          <w:szCs w:val="24"/>
          <w:shd w:val="clear" w:color="auto" w:fill="FFFFFF"/>
        </w:rPr>
        <w:t>z </w:t>
      </w:r>
      <w:r w:rsidR="00267666" w:rsidRPr="00EF6F97">
        <w:rPr>
          <w:rFonts w:ascii="Times New Roman" w:hAnsi="Times New Roman" w:cs="Times New Roman"/>
          <w:szCs w:val="24"/>
          <w:shd w:val="clear" w:color="auto" w:fill="FFFFFF"/>
        </w:rPr>
        <w:t>28.11.2017</w:t>
      </w:r>
      <w:r w:rsidR="00022158">
        <w:rPr>
          <w:rFonts w:ascii="Times New Roman" w:hAnsi="Times New Roman" w:cs="Times New Roman"/>
          <w:szCs w:val="24"/>
          <w:shd w:val="clear" w:color="auto" w:fill="FFFFFF"/>
        </w:rPr>
        <w:t>, str. 6</w:t>
      </w:r>
      <w:r w:rsidR="00267666" w:rsidRPr="00EF6F97">
        <w:rPr>
          <w:rFonts w:ascii="Times New Roman" w:hAnsi="Times New Roman" w:cs="Times New Roman"/>
          <w:szCs w:val="24"/>
          <w:shd w:val="clear" w:color="auto" w:fill="FFFFFF"/>
        </w:rPr>
        <w:t>).</w:t>
      </w:r>
      <w:r w:rsidR="00022158">
        <w:rPr>
          <w:rFonts w:ascii="Times New Roman" w:hAnsi="Times New Roman" w:cs="Times New Roman"/>
          <w:szCs w:val="24"/>
          <w:shd w:val="clear" w:color="auto" w:fill="FFFFFF"/>
        </w:rPr>
        <w:t xml:space="preserve"> </w:t>
      </w:r>
      <w:r w:rsidR="00E37F76" w:rsidRPr="00215A1D">
        <w:rPr>
          <w:rFonts w:ascii="Times New Roman" w:hAnsi="Times New Roman" w:cs="Times New Roman"/>
        </w:rPr>
        <w:t>Dane pomiarowe rejestrowane w proponowanym zakresie uniemożliwią szczegółową identyfikację zachowań odbiorcy końcowego będącego osobą fizyczną (uniemożliwiona ingerencja w prywatność odbiorcy). Wprowadzenie przejrzystych reguł uzależniających szczegółowość danych od konkretnych usprawiedliwionych celów rejestracji</w:t>
      </w:r>
      <w:r w:rsidR="001D0628">
        <w:rPr>
          <w:rFonts w:ascii="Times New Roman" w:hAnsi="Times New Roman" w:cs="Times New Roman"/>
        </w:rPr>
        <w:t xml:space="preserve"> i </w:t>
      </w:r>
      <w:r w:rsidR="00E37F76" w:rsidRPr="00215A1D">
        <w:rPr>
          <w:rFonts w:ascii="Times New Roman" w:hAnsi="Times New Roman" w:cs="Times New Roman"/>
        </w:rPr>
        <w:t xml:space="preserve">dalszego udostępniania tych danych zminimalizuje ryzyko naruszenia prywatności osób fizycznych (odbiorcy energii elektrycznej w gospodarstwie domowym) wynikającej </w:t>
      </w:r>
      <w:r w:rsidR="001D0628">
        <w:rPr>
          <w:rFonts w:ascii="Times New Roman" w:hAnsi="Times New Roman" w:cs="Times New Roman"/>
        </w:rPr>
        <w:t>z </w:t>
      </w:r>
      <w:r w:rsidR="00E37F76" w:rsidRPr="00215A1D">
        <w:rPr>
          <w:rFonts w:ascii="Times New Roman" w:hAnsi="Times New Roman" w:cs="Times New Roman"/>
        </w:rPr>
        <w:t xml:space="preserve">chęci nadmiernego gromadzenia danych. </w:t>
      </w:r>
      <w:r w:rsidR="00BB11D3" w:rsidRPr="00215A1D">
        <w:rPr>
          <w:rFonts w:ascii="Times New Roman" w:hAnsi="Times New Roman" w:cs="Times New Roman"/>
          <w:bCs w:val="0"/>
        </w:rPr>
        <w:t xml:space="preserve">Katalog informacji pozyskiwanych </w:t>
      </w:r>
      <w:r w:rsidR="001D0628">
        <w:rPr>
          <w:rFonts w:ascii="Times New Roman" w:hAnsi="Times New Roman" w:cs="Times New Roman"/>
        </w:rPr>
        <w:t>z </w:t>
      </w:r>
      <w:r w:rsidR="00BB11D3" w:rsidRPr="00215A1D">
        <w:rPr>
          <w:rFonts w:ascii="Times New Roman" w:hAnsi="Times New Roman" w:cs="Times New Roman"/>
          <w:bCs w:val="0"/>
        </w:rPr>
        <w:t xml:space="preserve">liczników zdalnego odczytu </w:t>
      </w:r>
      <w:r w:rsidR="00D03FA8">
        <w:rPr>
          <w:rFonts w:ascii="Times New Roman" w:hAnsi="Times New Roman" w:cs="Times New Roman"/>
          <w:bCs w:val="0"/>
        </w:rPr>
        <w:t xml:space="preserve">będzie </w:t>
      </w:r>
      <w:r w:rsidR="00BB11D3" w:rsidRPr="00215A1D">
        <w:rPr>
          <w:rFonts w:ascii="Times New Roman" w:hAnsi="Times New Roman" w:cs="Times New Roman"/>
          <w:bCs w:val="0"/>
        </w:rPr>
        <w:t>obejm</w:t>
      </w:r>
      <w:r>
        <w:rPr>
          <w:rFonts w:ascii="Times New Roman" w:hAnsi="Times New Roman" w:cs="Times New Roman"/>
          <w:bCs w:val="0"/>
        </w:rPr>
        <w:t>ował</w:t>
      </w:r>
      <w:r w:rsidR="00BB11D3" w:rsidRPr="00215A1D">
        <w:rPr>
          <w:rFonts w:ascii="Times New Roman" w:hAnsi="Times New Roman" w:cs="Times New Roman"/>
          <w:bCs w:val="0"/>
        </w:rPr>
        <w:t xml:space="preserve"> możliwie </w:t>
      </w:r>
      <w:r w:rsidR="00BB11D3" w:rsidRPr="00215A1D">
        <w:rPr>
          <w:rFonts w:ascii="Times New Roman" w:hAnsi="Times New Roman" w:cs="Times New Roman"/>
          <w:bCs w:val="0"/>
        </w:rPr>
        <w:lastRenderedPageBreak/>
        <w:t>szerokie spektrum informacji niezbędnych zarówno do rozliczeń</w:t>
      </w:r>
      <w:r w:rsidR="00022158">
        <w:rPr>
          <w:rFonts w:ascii="Times New Roman" w:hAnsi="Times New Roman" w:cs="Times New Roman"/>
          <w:bCs w:val="0"/>
        </w:rPr>
        <w:t>,</w:t>
      </w:r>
      <w:r w:rsidR="00BB11D3" w:rsidRPr="00215A1D">
        <w:rPr>
          <w:rFonts w:ascii="Times New Roman" w:hAnsi="Times New Roman" w:cs="Times New Roman"/>
          <w:bCs w:val="0"/>
        </w:rPr>
        <w:t xml:space="preserve"> jak</w:t>
      </w:r>
      <w:r w:rsidR="00022158">
        <w:rPr>
          <w:rFonts w:ascii="Times New Roman" w:hAnsi="Times New Roman" w:cs="Times New Roman"/>
          <w:bCs w:val="0"/>
        </w:rPr>
        <w:t xml:space="preserve"> </w:t>
      </w:r>
      <w:r w:rsidR="001D0628">
        <w:rPr>
          <w:rFonts w:ascii="Times New Roman" w:hAnsi="Times New Roman" w:cs="Times New Roman"/>
        </w:rPr>
        <w:t>i </w:t>
      </w:r>
      <w:r w:rsidR="00BB11D3" w:rsidRPr="00215A1D">
        <w:rPr>
          <w:rFonts w:ascii="Times New Roman" w:hAnsi="Times New Roman" w:cs="Times New Roman"/>
          <w:bCs w:val="0"/>
        </w:rPr>
        <w:t>oceny stanu krajowego systemu elektroenergetycznego</w:t>
      </w:r>
      <w:r w:rsidR="00E37F76" w:rsidRPr="00215A1D">
        <w:rPr>
          <w:rFonts w:ascii="Times New Roman" w:hAnsi="Times New Roman" w:cs="Times New Roman"/>
          <w:bCs w:val="0"/>
        </w:rPr>
        <w:t>, przy czym należy podkreślić, że zbiór podmiotów</w:t>
      </w:r>
      <w:r w:rsidR="008C7F1F">
        <w:rPr>
          <w:rFonts w:ascii="Times New Roman" w:hAnsi="Times New Roman" w:cs="Times New Roman"/>
          <w:bCs w:val="0"/>
        </w:rPr>
        <w:t>,</w:t>
      </w:r>
      <w:r w:rsidR="00E37F76" w:rsidRPr="00215A1D">
        <w:rPr>
          <w:rFonts w:ascii="Times New Roman" w:hAnsi="Times New Roman" w:cs="Times New Roman"/>
          <w:bCs w:val="0"/>
        </w:rPr>
        <w:t xml:space="preserve"> których dane pomiarowe będą dotyczyć</w:t>
      </w:r>
      <w:r w:rsidR="008C7F1F">
        <w:rPr>
          <w:rFonts w:ascii="Times New Roman" w:hAnsi="Times New Roman" w:cs="Times New Roman"/>
          <w:bCs w:val="0"/>
        </w:rPr>
        <w:t>,</w:t>
      </w:r>
      <w:r w:rsidR="00E37F76" w:rsidRPr="00215A1D">
        <w:rPr>
          <w:rFonts w:ascii="Times New Roman" w:hAnsi="Times New Roman" w:cs="Times New Roman"/>
          <w:bCs w:val="0"/>
        </w:rPr>
        <w:t xml:space="preserve"> obejmować będzie nie tylko odbiorców końcowych w gospodarstwach domowych, ale także innych odbiorców, wytwórców</w:t>
      </w:r>
      <w:r w:rsidR="001D0628">
        <w:rPr>
          <w:rFonts w:ascii="Times New Roman" w:hAnsi="Times New Roman" w:cs="Times New Roman"/>
        </w:rPr>
        <w:t xml:space="preserve"> i </w:t>
      </w:r>
      <w:r w:rsidR="00765693" w:rsidRPr="00215A1D">
        <w:rPr>
          <w:rFonts w:ascii="Times New Roman" w:hAnsi="Times New Roman" w:cs="Times New Roman"/>
          <w:bCs w:val="0"/>
        </w:rPr>
        <w:t>inne podmioty określone w przepisach odrębnych.</w:t>
      </w:r>
    </w:p>
    <w:p w14:paraId="36FF737A" w14:textId="77777777" w:rsidR="00765693"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BB11D3" w:rsidRPr="00215A1D">
        <w:rPr>
          <w:rFonts w:ascii="Times New Roman" w:hAnsi="Times New Roman" w:cs="Times New Roman"/>
        </w:rPr>
        <w:t>Informacje te zostaną następnie przekazane do centralnego systemu informacji rynku energii</w:t>
      </w:r>
      <w:r w:rsidR="00765693" w:rsidRPr="00215A1D">
        <w:rPr>
          <w:rFonts w:ascii="Times New Roman" w:hAnsi="Times New Roman" w:cs="Times New Roman"/>
        </w:rPr>
        <w:t xml:space="preserve"> prowadzonego w systemie </w:t>
      </w:r>
      <w:r w:rsidR="00B077B9">
        <w:rPr>
          <w:rFonts w:ascii="Times New Roman" w:hAnsi="Times New Roman" w:cs="Times New Roman"/>
        </w:rPr>
        <w:t>informacyjnym</w:t>
      </w:r>
      <w:r w:rsidR="00765693" w:rsidRPr="00215A1D">
        <w:rPr>
          <w:rFonts w:ascii="Times New Roman" w:hAnsi="Times New Roman" w:cs="Times New Roman"/>
        </w:rPr>
        <w:t>prze</w:t>
      </w:r>
      <w:r w:rsidR="001D0628">
        <w:rPr>
          <w:rFonts w:ascii="Times New Roman" w:hAnsi="Times New Roman" w:cs="Times New Roman"/>
        </w:rPr>
        <w:t>z </w:t>
      </w:r>
      <w:r w:rsidR="00765693" w:rsidRPr="00215A1D">
        <w:rPr>
          <w:rFonts w:ascii="Times New Roman" w:hAnsi="Times New Roman" w:cs="Times New Roman"/>
        </w:rPr>
        <w:t xml:space="preserve">operatora informacji rynku energii. </w:t>
      </w:r>
    </w:p>
    <w:p w14:paraId="00FDD246" w14:textId="1F66B831" w:rsidR="00EF6F97" w:rsidRPr="00215A1D" w:rsidRDefault="00EF6F97" w:rsidP="00EF6F97">
      <w:pPr>
        <w:pStyle w:val="USTustnpkodeksu"/>
        <w:rPr>
          <w:rFonts w:ascii="Times New Roman" w:hAnsi="Times New Roman" w:cs="Times New Roman"/>
        </w:rPr>
      </w:pPr>
      <w:r w:rsidRPr="00215A1D">
        <w:rPr>
          <w:rFonts w:ascii="Times New Roman" w:hAnsi="Times New Roman" w:cs="Times New Roman"/>
          <w:bCs w:val="0"/>
        </w:rPr>
        <w:tab/>
      </w:r>
      <w:r w:rsidR="00765693" w:rsidRPr="00215A1D">
        <w:rPr>
          <w:rFonts w:ascii="Times New Roman" w:hAnsi="Times New Roman" w:cs="Times New Roman"/>
          <w:bCs w:val="0"/>
        </w:rPr>
        <w:t>Art. 11</w:t>
      </w:r>
      <w:r w:rsidR="005557FE">
        <w:rPr>
          <w:rFonts w:ascii="Times New Roman" w:hAnsi="Times New Roman" w:cs="Times New Roman"/>
          <w:bCs w:val="0"/>
        </w:rPr>
        <w:t>u</w:t>
      </w:r>
      <w:r w:rsidR="00765693" w:rsidRPr="00215A1D">
        <w:rPr>
          <w:rFonts w:ascii="Times New Roman" w:hAnsi="Times New Roman" w:cs="Times New Roman"/>
          <w:bCs w:val="0"/>
        </w:rPr>
        <w:t xml:space="preserve"> ust. </w:t>
      </w:r>
      <w:r w:rsidR="00E50C5E">
        <w:rPr>
          <w:rFonts w:ascii="Times New Roman" w:hAnsi="Times New Roman" w:cs="Times New Roman"/>
          <w:bCs w:val="0"/>
        </w:rPr>
        <w:t>2</w:t>
      </w:r>
      <w:r w:rsidR="00765693" w:rsidRPr="00215A1D">
        <w:rPr>
          <w:rFonts w:ascii="Times New Roman" w:hAnsi="Times New Roman" w:cs="Times New Roman"/>
          <w:bCs w:val="0"/>
        </w:rPr>
        <w:t xml:space="preserve"> stanowi, że o</w:t>
      </w:r>
      <w:r w:rsidR="009A1099" w:rsidRPr="00215A1D">
        <w:rPr>
          <w:rFonts w:ascii="Times New Roman" w:hAnsi="Times New Roman" w:cs="Times New Roman"/>
          <w:bCs w:val="0"/>
        </w:rPr>
        <w:t xml:space="preserve">perator systemu dystrybucyjnego elektroenergetycznego będzie również mógł </w:t>
      </w:r>
      <w:r w:rsidR="00BB11D3" w:rsidRPr="00215A1D">
        <w:rPr>
          <w:rFonts w:ascii="Times New Roman" w:hAnsi="Times New Roman" w:cs="Times New Roman"/>
          <w:bCs w:val="0"/>
        </w:rPr>
        <w:t>wysyłać do liczników zdalnego odczytu polecenia</w:t>
      </w:r>
      <w:r w:rsidR="008C7F1F">
        <w:rPr>
          <w:rFonts w:ascii="Times New Roman" w:hAnsi="Times New Roman" w:cs="Times New Roman"/>
          <w:bCs w:val="0"/>
        </w:rPr>
        <w:t>,</w:t>
      </w:r>
      <w:r w:rsidR="00BB11D3" w:rsidRPr="00215A1D">
        <w:rPr>
          <w:rFonts w:ascii="Times New Roman" w:hAnsi="Times New Roman" w:cs="Times New Roman"/>
          <w:bCs w:val="0"/>
        </w:rPr>
        <w:t xml:space="preserve"> a także będzie zobowiązany do wysyłania poleceń do liczników zdalnego odczytu </w:t>
      </w:r>
      <w:r w:rsidR="009A1099" w:rsidRPr="00215A1D">
        <w:rPr>
          <w:rFonts w:ascii="Times New Roman" w:hAnsi="Times New Roman" w:cs="Times New Roman"/>
          <w:bCs w:val="0"/>
        </w:rPr>
        <w:t>na żądanie operatora systemu przesyłowego elektroenergetycznego w przypadkach określonych w ustawie ora</w:t>
      </w:r>
      <w:r w:rsidR="001D0628">
        <w:rPr>
          <w:rFonts w:ascii="Times New Roman" w:hAnsi="Times New Roman" w:cs="Times New Roman"/>
        </w:rPr>
        <w:t>z </w:t>
      </w:r>
      <w:r w:rsidR="009A1099" w:rsidRPr="00215A1D">
        <w:rPr>
          <w:rFonts w:ascii="Times New Roman" w:hAnsi="Times New Roman" w:cs="Times New Roman"/>
          <w:bCs w:val="0"/>
        </w:rPr>
        <w:t>sprzedawcy energii elektrycznej, odbiorcy końcowego</w:t>
      </w:r>
      <w:r w:rsidR="001D0628">
        <w:rPr>
          <w:rFonts w:ascii="Times New Roman" w:hAnsi="Times New Roman" w:cs="Times New Roman"/>
        </w:rPr>
        <w:t xml:space="preserve"> i </w:t>
      </w:r>
      <w:r w:rsidR="009A1099" w:rsidRPr="00215A1D">
        <w:rPr>
          <w:rFonts w:ascii="Times New Roman" w:hAnsi="Times New Roman" w:cs="Times New Roman"/>
          <w:bCs w:val="0"/>
        </w:rPr>
        <w:t>podmiotu upoważnionego</w:t>
      </w:r>
      <w:r w:rsidR="00BB11D3" w:rsidRPr="00215A1D">
        <w:rPr>
          <w:rFonts w:ascii="Times New Roman" w:hAnsi="Times New Roman" w:cs="Times New Roman"/>
          <w:bCs w:val="0"/>
        </w:rPr>
        <w:t xml:space="preserve"> prze</w:t>
      </w:r>
      <w:r w:rsidR="001D0628">
        <w:rPr>
          <w:rFonts w:ascii="Times New Roman" w:hAnsi="Times New Roman" w:cs="Times New Roman"/>
        </w:rPr>
        <w:t>z </w:t>
      </w:r>
      <w:r w:rsidR="00BB11D3" w:rsidRPr="00215A1D">
        <w:rPr>
          <w:rFonts w:ascii="Times New Roman" w:hAnsi="Times New Roman" w:cs="Times New Roman"/>
          <w:bCs w:val="0"/>
        </w:rPr>
        <w:t xml:space="preserve">odbiorcę końcowego. Pozwoli to na zdalną obsługę liczników zdalnego odczytu </w:t>
      </w:r>
      <w:r w:rsidR="00E37F76" w:rsidRPr="00215A1D">
        <w:rPr>
          <w:rFonts w:ascii="Times New Roman" w:hAnsi="Times New Roman" w:cs="Times New Roman"/>
          <w:bCs w:val="0"/>
        </w:rPr>
        <w:t>prze</w:t>
      </w:r>
      <w:r w:rsidR="001D0628">
        <w:rPr>
          <w:rFonts w:ascii="Times New Roman" w:hAnsi="Times New Roman" w:cs="Times New Roman"/>
        </w:rPr>
        <w:t>z </w:t>
      </w:r>
      <w:r w:rsidR="00E37F76" w:rsidRPr="00215A1D">
        <w:rPr>
          <w:rFonts w:ascii="Times New Roman" w:hAnsi="Times New Roman" w:cs="Times New Roman"/>
          <w:bCs w:val="0"/>
        </w:rPr>
        <w:t xml:space="preserve">operatora (zmiana ustawień, wprowadzenie nowego oprogramowania, itp.) </w:t>
      </w:r>
      <w:r w:rsidR="00BB11D3" w:rsidRPr="00215A1D">
        <w:rPr>
          <w:rFonts w:ascii="Times New Roman" w:hAnsi="Times New Roman" w:cs="Times New Roman"/>
          <w:bCs w:val="0"/>
        </w:rPr>
        <w:t>ora</w:t>
      </w:r>
      <w:r w:rsidR="001D0628">
        <w:rPr>
          <w:rFonts w:ascii="Times New Roman" w:hAnsi="Times New Roman" w:cs="Times New Roman"/>
        </w:rPr>
        <w:t>z </w:t>
      </w:r>
      <w:r w:rsidR="00BB11D3" w:rsidRPr="00215A1D">
        <w:rPr>
          <w:rFonts w:ascii="Times New Roman" w:hAnsi="Times New Roman" w:cs="Times New Roman"/>
          <w:bCs w:val="0"/>
        </w:rPr>
        <w:t xml:space="preserve">na zmiany stanu liczników zgodnie </w:t>
      </w:r>
      <w:r w:rsidR="001D0628">
        <w:rPr>
          <w:rFonts w:ascii="Times New Roman" w:hAnsi="Times New Roman" w:cs="Times New Roman"/>
        </w:rPr>
        <w:t>z </w:t>
      </w:r>
      <w:r w:rsidR="00BB11D3" w:rsidRPr="00215A1D">
        <w:rPr>
          <w:rFonts w:ascii="Times New Roman" w:hAnsi="Times New Roman" w:cs="Times New Roman"/>
          <w:bCs w:val="0"/>
        </w:rPr>
        <w:t>przekazanymi dyspozycjami uprawnionych podmiotów (np.</w:t>
      </w:r>
      <w:r w:rsidR="00E37F76" w:rsidRPr="00215A1D">
        <w:rPr>
          <w:rFonts w:ascii="Times New Roman" w:hAnsi="Times New Roman" w:cs="Times New Roman"/>
          <w:bCs w:val="0"/>
        </w:rPr>
        <w:t xml:space="preserve"> odłączenie</w:t>
      </w:r>
      <w:r w:rsidR="001D0628">
        <w:rPr>
          <w:rFonts w:ascii="Times New Roman" w:hAnsi="Times New Roman" w:cs="Times New Roman"/>
        </w:rPr>
        <w:t xml:space="preserve"> i </w:t>
      </w:r>
      <w:r w:rsidR="00E37F76" w:rsidRPr="00215A1D">
        <w:rPr>
          <w:rFonts w:ascii="Times New Roman" w:hAnsi="Times New Roman" w:cs="Times New Roman"/>
          <w:bCs w:val="0"/>
        </w:rPr>
        <w:t>załączenie,ustawienie poziomu tzw. „strażnika mocy” w przypadku korzystania prze</w:t>
      </w:r>
      <w:r w:rsidR="001D0628">
        <w:rPr>
          <w:rFonts w:ascii="Times New Roman" w:hAnsi="Times New Roman" w:cs="Times New Roman"/>
        </w:rPr>
        <w:t>z </w:t>
      </w:r>
      <w:r w:rsidR="00E37F76" w:rsidRPr="00215A1D">
        <w:rPr>
          <w:rFonts w:ascii="Times New Roman" w:hAnsi="Times New Roman" w:cs="Times New Roman"/>
          <w:bCs w:val="0"/>
        </w:rPr>
        <w:t xml:space="preserve">odbiorcę </w:t>
      </w:r>
      <w:r w:rsidR="001D0628">
        <w:rPr>
          <w:rFonts w:ascii="Times New Roman" w:hAnsi="Times New Roman" w:cs="Times New Roman"/>
        </w:rPr>
        <w:t>z </w:t>
      </w:r>
      <w:r w:rsidR="00E37F76" w:rsidRPr="00215A1D">
        <w:rPr>
          <w:rFonts w:ascii="Times New Roman" w:hAnsi="Times New Roman" w:cs="Times New Roman"/>
          <w:bCs w:val="0"/>
        </w:rPr>
        <w:t xml:space="preserve">programu redukcji zapotrzebowania, itp.). </w:t>
      </w:r>
    </w:p>
    <w:p w14:paraId="2478730A" w14:textId="77777777" w:rsidR="00FC678D" w:rsidRPr="00FC678D" w:rsidRDefault="00FC678D" w:rsidP="00FC678D">
      <w:pPr>
        <w:pStyle w:val="USTustnpkodeksu"/>
        <w:rPr>
          <w:rFonts w:ascii="Times New Roman" w:hAnsi="Times New Roman" w:cs="Times New Roman"/>
        </w:rPr>
      </w:pPr>
      <w:r>
        <w:rPr>
          <w:rFonts w:ascii="Times New Roman" w:hAnsi="Times New Roman" w:cs="Times New Roman"/>
        </w:rPr>
        <w:t>W art. 11w wskazano, że w</w:t>
      </w:r>
      <w:r w:rsidRPr="00FC678D">
        <w:rPr>
          <w:rFonts w:ascii="Times New Roman" w:hAnsi="Times New Roman" w:cs="Times New Roman"/>
        </w:rPr>
        <w:t xml:space="preserve"> przypadku: </w:t>
      </w:r>
    </w:p>
    <w:p w14:paraId="3BE21589" w14:textId="142EC68E" w:rsidR="00FC678D" w:rsidRPr="00FC678D" w:rsidRDefault="00FC678D" w:rsidP="00FC678D">
      <w:pPr>
        <w:pStyle w:val="USTustnpkodeksu"/>
        <w:rPr>
          <w:rFonts w:ascii="Times New Roman" w:hAnsi="Times New Roman" w:cs="Times New Roman"/>
        </w:rPr>
      </w:pPr>
      <w:r w:rsidRPr="00FC678D">
        <w:rPr>
          <w:rFonts w:ascii="Times New Roman" w:hAnsi="Times New Roman" w:cs="Times New Roman"/>
        </w:rPr>
        <w:t xml:space="preserve">1) braku możliwości pozyskania rzeczywistych danych pomiarowych z licznika konwencjonalnego lub z licznika zdalnego odczytu </w:t>
      </w:r>
      <w:r w:rsidR="00AB5A94">
        <w:rPr>
          <w:rFonts w:ascii="Times New Roman" w:hAnsi="Times New Roman" w:cs="Times New Roman"/>
        </w:rPr>
        <w:t>–</w:t>
      </w:r>
      <w:r w:rsidRPr="00FC678D">
        <w:rPr>
          <w:rFonts w:ascii="Times New Roman" w:hAnsi="Times New Roman" w:cs="Times New Roman"/>
        </w:rPr>
        <w:t xml:space="preserve"> wyznacza się zastępcze dane pomiarowe;</w:t>
      </w:r>
    </w:p>
    <w:p w14:paraId="6B60F202" w14:textId="618403BC" w:rsidR="00FC678D" w:rsidRDefault="00FC678D" w:rsidP="00FC678D">
      <w:pPr>
        <w:pStyle w:val="USTustnpkodeksu"/>
        <w:rPr>
          <w:rFonts w:ascii="Times New Roman" w:hAnsi="Times New Roman" w:cs="Times New Roman"/>
        </w:rPr>
      </w:pPr>
      <w:r w:rsidRPr="00FC678D">
        <w:rPr>
          <w:rFonts w:ascii="Times New Roman" w:hAnsi="Times New Roman" w:cs="Times New Roman"/>
        </w:rPr>
        <w:t xml:space="preserve">2)  gdy dane pomiarowe pozyskane z licznika konwencjonalnego lub z licznika zdalnego odczytu są błędne </w:t>
      </w:r>
      <w:r w:rsidR="00AB5A94">
        <w:rPr>
          <w:rFonts w:ascii="Times New Roman" w:hAnsi="Times New Roman" w:cs="Times New Roman"/>
        </w:rPr>
        <w:t>–</w:t>
      </w:r>
      <w:r w:rsidRPr="00FC678D">
        <w:rPr>
          <w:rFonts w:ascii="Times New Roman" w:hAnsi="Times New Roman" w:cs="Times New Roman"/>
        </w:rPr>
        <w:t xml:space="preserve"> wyznacza się skorygowane dane pomiarowe.</w:t>
      </w:r>
      <w:r>
        <w:rPr>
          <w:rFonts w:ascii="Times New Roman" w:hAnsi="Times New Roman" w:cs="Times New Roman"/>
        </w:rPr>
        <w:t xml:space="preserve"> Szczegółowo zagadnienie to pozostawiono do uregulowania w rozporządzeniu wykonawczym. </w:t>
      </w:r>
    </w:p>
    <w:p w14:paraId="013138F5" w14:textId="5C96DB51" w:rsidR="00FC678D" w:rsidRDefault="00FC678D" w:rsidP="00FC678D">
      <w:pPr>
        <w:pStyle w:val="USTustnpkodeksu"/>
        <w:rPr>
          <w:rFonts w:ascii="Times New Roman" w:hAnsi="Times New Roman" w:cs="Times New Roman"/>
        </w:rPr>
      </w:pPr>
      <w:r>
        <w:rPr>
          <w:rFonts w:ascii="Times New Roman" w:hAnsi="Times New Roman" w:cs="Times New Roman"/>
        </w:rPr>
        <w:t>Określono również podstawowe wymogi dla systemu pomiarowego, wskazując, że s</w:t>
      </w:r>
      <w:r w:rsidRPr="00FC678D">
        <w:rPr>
          <w:rFonts w:ascii="Times New Roman" w:hAnsi="Times New Roman" w:cs="Times New Roman"/>
        </w:rPr>
        <w:t>ystem pomiarowy powinien działać w sposób niezawodny, zapewniając użytkownikom systemu elektroenergetycznego prawidłowe rozliczenie za energię elektryczną oraz świadczone usługi, jak również pozyskiwanie, przetwarzanie i udostępnianie danych pomiarowych i innych informacji z zachowaniem zasad bezpieczeństwa tych danych i informacji, w szczególności ich poufności</w:t>
      </w:r>
      <w:r>
        <w:rPr>
          <w:rFonts w:ascii="Times New Roman" w:hAnsi="Times New Roman" w:cs="Times New Roman"/>
        </w:rPr>
        <w:t>.</w:t>
      </w:r>
    </w:p>
    <w:p w14:paraId="5862B6CA" w14:textId="20902E72" w:rsidR="00765693" w:rsidRDefault="00765693" w:rsidP="00EF6F97">
      <w:pPr>
        <w:pStyle w:val="USTustnpkodeksu"/>
        <w:rPr>
          <w:rFonts w:ascii="Times New Roman" w:hAnsi="Times New Roman" w:cs="Times New Roman"/>
        </w:rPr>
      </w:pPr>
      <w:r w:rsidRPr="00215A1D">
        <w:rPr>
          <w:rFonts w:ascii="Times New Roman" w:hAnsi="Times New Roman" w:cs="Times New Roman"/>
        </w:rPr>
        <w:t>Projekt ustawy</w:t>
      </w:r>
      <w:r w:rsidR="00517494" w:rsidRPr="00215A1D">
        <w:rPr>
          <w:rFonts w:ascii="Times New Roman" w:hAnsi="Times New Roman" w:cs="Times New Roman"/>
        </w:rPr>
        <w:t xml:space="preserve"> ustala </w:t>
      </w:r>
      <w:r w:rsidRPr="00215A1D">
        <w:rPr>
          <w:rFonts w:ascii="Times New Roman" w:hAnsi="Times New Roman" w:cs="Times New Roman"/>
        </w:rPr>
        <w:t>zakres rozporządzenia wykonawczego dotyczącego systemu pomiarowego określonego prze</w:t>
      </w:r>
      <w:r w:rsidR="001D0628">
        <w:rPr>
          <w:rFonts w:ascii="Times New Roman" w:hAnsi="Times New Roman" w:cs="Times New Roman"/>
        </w:rPr>
        <w:t>z </w:t>
      </w:r>
      <w:r w:rsidRPr="00215A1D">
        <w:rPr>
          <w:rFonts w:ascii="Times New Roman" w:hAnsi="Times New Roman" w:cs="Times New Roman"/>
        </w:rPr>
        <w:t>ministra właściwego do spraw energii</w:t>
      </w:r>
      <w:r w:rsidR="00AB5A94">
        <w:rPr>
          <w:rFonts w:ascii="Times New Roman" w:hAnsi="Times New Roman" w:cs="Times New Roman"/>
        </w:rPr>
        <w:t xml:space="preserve"> </w:t>
      </w:r>
      <w:r w:rsidR="0031416F" w:rsidRPr="0031416F">
        <w:rPr>
          <w:rFonts w:ascii="Times New Roman" w:hAnsi="Times New Roman" w:cs="Times New Roman"/>
        </w:rPr>
        <w:t>w porozumieniu z ministrem właściwym do spraw informatyzacji</w:t>
      </w:r>
      <w:r w:rsidRPr="00215A1D">
        <w:rPr>
          <w:rFonts w:ascii="Times New Roman" w:hAnsi="Times New Roman" w:cs="Times New Roman"/>
        </w:rPr>
        <w:t>:</w:t>
      </w:r>
    </w:p>
    <w:p w14:paraId="5E0B4E88" w14:textId="77777777" w:rsidR="00FC678D" w:rsidRPr="00FC678D" w:rsidRDefault="00FC678D" w:rsidP="00FC678D">
      <w:pPr>
        <w:widowControl/>
        <w:autoSpaceDE/>
        <w:autoSpaceDN/>
        <w:adjustRightInd/>
        <w:spacing w:line="360" w:lineRule="auto"/>
        <w:ind w:left="1020" w:hanging="510"/>
        <w:jc w:val="both"/>
        <w:rPr>
          <w:rFonts w:ascii="Times" w:eastAsiaTheme="minorEastAsia" w:hAnsi="Times"/>
          <w:bCs/>
          <w:sz w:val="24"/>
        </w:rPr>
      </w:pPr>
      <w:r w:rsidRPr="00FC678D">
        <w:rPr>
          <w:rFonts w:ascii="Times" w:eastAsiaTheme="minorEastAsia" w:hAnsi="Times"/>
          <w:bCs/>
          <w:sz w:val="24"/>
        </w:rPr>
        <w:t xml:space="preserve">1) </w:t>
      </w:r>
      <w:r w:rsidRPr="00FC678D">
        <w:rPr>
          <w:rFonts w:ascii="Times" w:eastAsiaTheme="minorEastAsia" w:hAnsi="Times"/>
          <w:bCs/>
          <w:sz w:val="24"/>
        </w:rPr>
        <w:tab/>
        <w:t>wymagania funkcjonalne, jakie powinien spełniać system pomiarowy;</w:t>
      </w:r>
    </w:p>
    <w:p w14:paraId="72D092F7" w14:textId="77777777" w:rsidR="00FC678D" w:rsidRPr="00FC678D" w:rsidRDefault="00FC678D" w:rsidP="00FC678D">
      <w:pPr>
        <w:widowControl/>
        <w:autoSpaceDE/>
        <w:autoSpaceDN/>
        <w:adjustRightInd/>
        <w:spacing w:line="360" w:lineRule="auto"/>
        <w:ind w:left="1020" w:hanging="510"/>
        <w:jc w:val="both"/>
        <w:rPr>
          <w:rFonts w:ascii="Times" w:eastAsiaTheme="minorEastAsia" w:hAnsi="Times"/>
          <w:bCs/>
          <w:sz w:val="24"/>
        </w:rPr>
      </w:pPr>
      <w:r w:rsidRPr="00FC678D">
        <w:rPr>
          <w:rFonts w:ascii="Times" w:eastAsiaTheme="minorEastAsia" w:hAnsi="Times"/>
          <w:bCs/>
          <w:sz w:val="24"/>
        </w:rPr>
        <w:lastRenderedPageBreak/>
        <w:t xml:space="preserve">2) </w:t>
      </w:r>
      <w:r w:rsidRPr="00FC678D">
        <w:rPr>
          <w:rFonts w:ascii="Times" w:eastAsiaTheme="minorEastAsia" w:hAnsi="Times"/>
          <w:bCs/>
          <w:sz w:val="24"/>
        </w:rPr>
        <w:tab/>
        <w:t>wymagania w zakresie bezpieczeństwa systemu pomiarowego, w tym ochrony tego systemu przed nieuprawnioną ingerencją w ten system oraz nieuprawnionym dostępem do informacji rynku energii;</w:t>
      </w:r>
    </w:p>
    <w:p w14:paraId="46A30C96" w14:textId="77777777" w:rsidR="00FC678D" w:rsidRPr="00FC678D" w:rsidRDefault="00FC678D" w:rsidP="00FC678D">
      <w:pPr>
        <w:widowControl/>
        <w:autoSpaceDE/>
        <w:autoSpaceDN/>
        <w:adjustRightInd/>
        <w:spacing w:line="360" w:lineRule="auto"/>
        <w:ind w:left="1020" w:hanging="510"/>
        <w:jc w:val="both"/>
        <w:rPr>
          <w:rFonts w:ascii="Times" w:eastAsiaTheme="minorEastAsia" w:hAnsi="Times"/>
          <w:bCs/>
          <w:sz w:val="24"/>
        </w:rPr>
      </w:pPr>
      <w:r w:rsidRPr="00FC678D">
        <w:rPr>
          <w:rFonts w:ascii="Times" w:eastAsiaTheme="minorEastAsia" w:hAnsi="Times"/>
          <w:bCs/>
          <w:sz w:val="24"/>
        </w:rPr>
        <w:t>3) wymagania, jakie powinny spełniać:</w:t>
      </w:r>
    </w:p>
    <w:p w14:paraId="78269DE5" w14:textId="3A24D119" w:rsidR="00FC678D" w:rsidRPr="00FC678D" w:rsidRDefault="00FC678D" w:rsidP="00AB5A94">
      <w:pPr>
        <w:widowControl/>
        <w:autoSpaceDE/>
        <w:autoSpaceDN/>
        <w:adjustRightInd/>
        <w:spacing w:line="360" w:lineRule="auto"/>
        <w:ind w:left="1020" w:hanging="169"/>
        <w:jc w:val="both"/>
        <w:rPr>
          <w:rFonts w:ascii="Times" w:eastAsiaTheme="minorEastAsia" w:hAnsi="Times"/>
          <w:bCs/>
          <w:sz w:val="24"/>
        </w:rPr>
      </w:pPr>
      <w:r w:rsidRPr="00FC678D">
        <w:rPr>
          <w:rFonts w:ascii="Times" w:eastAsiaTheme="minorEastAsia" w:hAnsi="Times"/>
          <w:bCs/>
          <w:sz w:val="24"/>
        </w:rPr>
        <w:t xml:space="preserve">a) </w:t>
      </w:r>
      <w:r w:rsidRPr="00FC678D">
        <w:rPr>
          <w:rFonts w:ascii="Times" w:eastAsiaTheme="minorEastAsia" w:hAnsi="Times"/>
          <w:bCs/>
          <w:sz w:val="24"/>
        </w:rPr>
        <w:tab/>
        <w:t>układy pomiarowo-rozliczeniowe w zakresie energii elektrycznej w zależności od miejsca ich instalacji oraz ich przeznaczenia innego niż określone w pkt 9;</w:t>
      </w:r>
    </w:p>
    <w:p w14:paraId="7C845E5D" w14:textId="3670D21A" w:rsidR="00FC678D" w:rsidRPr="00FC678D" w:rsidRDefault="00FC678D" w:rsidP="00AB5A94">
      <w:pPr>
        <w:widowControl/>
        <w:autoSpaceDE/>
        <w:autoSpaceDN/>
        <w:adjustRightInd/>
        <w:spacing w:line="360" w:lineRule="auto"/>
        <w:ind w:left="1020" w:hanging="169"/>
        <w:jc w:val="both"/>
        <w:rPr>
          <w:rFonts w:ascii="Times" w:eastAsiaTheme="minorEastAsia" w:hAnsi="Times"/>
          <w:bCs/>
          <w:sz w:val="24"/>
        </w:rPr>
      </w:pPr>
      <w:r w:rsidRPr="00FC678D">
        <w:rPr>
          <w:rFonts w:ascii="Times" w:eastAsiaTheme="minorEastAsia" w:hAnsi="Times"/>
          <w:bCs/>
          <w:sz w:val="24"/>
        </w:rPr>
        <w:t xml:space="preserve">b) </w:t>
      </w:r>
      <w:r w:rsidRPr="00FC678D">
        <w:rPr>
          <w:rFonts w:ascii="Times" w:eastAsiaTheme="minorEastAsia" w:hAnsi="Times"/>
          <w:bCs/>
          <w:sz w:val="24"/>
        </w:rPr>
        <w:tab/>
        <w:t>dane pomiarowe oraz inne informacje rejestrowane przez licznik zdalnego odczytu,</w:t>
      </w:r>
    </w:p>
    <w:p w14:paraId="7D24FF81" w14:textId="77777777" w:rsidR="00FC678D" w:rsidRPr="00FC678D" w:rsidRDefault="00FC678D" w:rsidP="00AB5A94">
      <w:pPr>
        <w:widowControl/>
        <w:autoSpaceDE/>
        <w:autoSpaceDN/>
        <w:adjustRightInd/>
        <w:spacing w:line="360" w:lineRule="auto"/>
        <w:ind w:left="1020" w:hanging="169"/>
        <w:jc w:val="both"/>
        <w:rPr>
          <w:rFonts w:ascii="Times" w:eastAsiaTheme="minorEastAsia" w:hAnsi="Times"/>
          <w:bCs/>
          <w:sz w:val="24"/>
        </w:rPr>
      </w:pPr>
      <w:r w:rsidRPr="00FC678D">
        <w:rPr>
          <w:rFonts w:ascii="Times" w:eastAsiaTheme="minorEastAsia" w:hAnsi="Times"/>
          <w:bCs/>
          <w:sz w:val="24"/>
        </w:rPr>
        <w:t xml:space="preserve">c) </w:t>
      </w:r>
      <w:r w:rsidRPr="00FC678D">
        <w:rPr>
          <w:rFonts w:ascii="Times" w:eastAsiaTheme="minorEastAsia" w:hAnsi="Times"/>
          <w:bCs/>
          <w:sz w:val="24"/>
        </w:rPr>
        <w:tab/>
        <w:t>polecenia odbierane przez licznik zdalnego odczytu, a także warunki ich przesyłania,</w:t>
      </w:r>
    </w:p>
    <w:p w14:paraId="0F6B0375" w14:textId="77777777" w:rsidR="00FC678D" w:rsidRPr="00FC678D" w:rsidRDefault="00FC678D" w:rsidP="00AB5A94">
      <w:pPr>
        <w:widowControl/>
        <w:autoSpaceDE/>
        <w:autoSpaceDN/>
        <w:adjustRightInd/>
        <w:spacing w:line="360" w:lineRule="auto"/>
        <w:ind w:left="1020" w:hanging="169"/>
        <w:jc w:val="both"/>
        <w:rPr>
          <w:rFonts w:ascii="Times" w:eastAsiaTheme="minorEastAsia" w:hAnsi="Times"/>
          <w:bCs/>
          <w:sz w:val="24"/>
        </w:rPr>
      </w:pPr>
      <w:r w:rsidRPr="00FC678D">
        <w:rPr>
          <w:rFonts w:ascii="Times" w:eastAsiaTheme="minorEastAsia" w:hAnsi="Times"/>
          <w:bCs/>
          <w:sz w:val="24"/>
        </w:rPr>
        <w:t xml:space="preserve">d) </w:t>
      </w:r>
      <w:r w:rsidRPr="00FC678D">
        <w:rPr>
          <w:rFonts w:ascii="Times" w:eastAsiaTheme="minorEastAsia" w:hAnsi="Times"/>
          <w:bCs/>
          <w:sz w:val="24"/>
        </w:rPr>
        <w:tab/>
        <w:t>dane pomiarowe oraz polecenia wysyłane przez licznik zdalnego odczytu do urządzeń w gospodarstwie domowym, a także warunki ich przesyłania;</w:t>
      </w:r>
    </w:p>
    <w:p w14:paraId="17706245" w14:textId="3AB0B20D" w:rsidR="00FC678D" w:rsidRPr="00FC678D" w:rsidRDefault="00FC678D" w:rsidP="00FC678D">
      <w:pPr>
        <w:widowControl/>
        <w:autoSpaceDE/>
        <w:autoSpaceDN/>
        <w:adjustRightInd/>
        <w:spacing w:line="360" w:lineRule="auto"/>
        <w:ind w:left="1020" w:hanging="510"/>
        <w:jc w:val="both"/>
        <w:rPr>
          <w:rFonts w:ascii="Times" w:eastAsiaTheme="minorEastAsia" w:hAnsi="Times"/>
          <w:bCs/>
          <w:sz w:val="24"/>
        </w:rPr>
      </w:pPr>
      <w:r w:rsidRPr="00FC678D">
        <w:rPr>
          <w:rFonts w:ascii="Times" w:eastAsiaTheme="minorEastAsia" w:hAnsi="Times"/>
          <w:bCs/>
          <w:sz w:val="24"/>
        </w:rPr>
        <w:t xml:space="preserve">4) </w:t>
      </w:r>
      <w:r w:rsidRPr="00FC678D">
        <w:rPr>
          <w:rFonts w:ascii="Times" w:eastAsiaTheme="minorEastAsia" w:hAnsi="Times"/>
          <w:bCs/>
          <w:sz w:val="24"/>
        </w:rPr>
        <w:tab/>
        <w:t>standardy komunikacji między licznikiem zdalnego odczytu a systemem zdalnego odczytu;</w:t>
      </w:r>
    </w:p>
    <w:p w14:paraId="4D769E79" w14:textId="77777777" w:rsidR="00FC678D" w:rsidRPr="00FC678D" w:rsidRDefault="00FC678D" w:rsidP="00FC678D">
      <w:pPr>
        <w:widowControl/>
        <w:autoSpaceDE/>
        <w:autoSpaceDN/>
        <w:adjustRightInd/>
        <w:spacing w:line="360" w:lineRule="auto"/>
        <w:ind w:left="1020" w:hanging="510"/>
        <w:jc w:val="both"/>
        <w:rPr>
          <w:rFonts w:ascii="Times" w:eastAsiaTheme="minorEastAsia" w:hAnsi="Times"/>
          <w:bCs/>
          <w:sz w:val="24"/>
        </w:rPr>
      </w:pPr>
      <w:r w:rsidRPr="00FC678D">
        <w:rPr>
          <w:rFonts w:ascii="Times" w:eastAsiaTheme="minorEastAsia" w:hAnsi="Times"/>
          <w:bCs/>
          <w:sz w:val="24"/>
        </w:rPr>
        <w:t>5) sposób funkcjonowania liczników zdalnego odczytu w trybie przedpłatowym oraz sposób dokonywania rozliczeń w tym trybie;</w:t>
      </w:r>
    </w:p>
    <w:p w14:paraId="5AAA64A4" w14:textId="77777777" w:rsidR="00FC678D" w:rsidRPr="00FC678D" w:rsidRDefault="00FC678D" w:rsidP="00FC678D">
      <w:pPr>
        <w:widowControl/>
        <w:autoSpaceDE/>
        <w:autoSpaceDN/>
        <w:adjustRightInd/>
        <w:spacing w:line="360" w:lineRule="auto"/>
        <w:ind w:left="1020" w:hanging="510"/>
        <w:jc w:val="both"/>
        <w:rPr>
          <w:rFonts w:ascii="Times" w:eastAsiaTheme="minorEastAsia" w:hAnsi="Times"/>
          <w:bCs/>
          <w:sz w:val="24"/>
        </w:rPr>
      </w:pPr>
      <w:r w:rsidRPr="00FC678D">
        <w:rPr>
          <w:rFonts w:ascii="Times" w:eastAsiaTheme="minorEastAsia" w:hAnsi="Times"/>
          <w:bCs/>
          <w:sz w:val="24"/>
        </w:rPr>
        <w:t xml:space="preserve">6) </w:t>
      </w:r>
      <w:r w:rsidRPr="00FC678D">
        <w:rPr>
          <w:rFonts w:ascii="Times" w:eastAsiaTheme="minorEastAsia" w:hAnsi="Times"/>
          <w:bCs/>
          <w:sz w:val="24"/>
        </w:rPr>
        <w:tab/>
        <w:t>sposób wyznaczania zastępczych danych pomiarowych oraz skorygowanych danych pomiarowych;</w:t>
      </w:r>
    </w:p>
    <w:p w14:paraId="55E3DBDE" w14:textId="77777777" w:rsidR="00FC678D" w:rsidRPr="00FC678D" w:rsidRDefault="00FC678D" w:rsidP="00FC678D">
      <w:pPr>
        <w:widowControl/>
        <w:autoSpaceDE/>
        <w:autoSpaceDN/>
        <w:adjustRightInd/>
        <w:spacing w:line="360" w:lineRule="auto"/>
        <w:ind w:left="1020" w:hanging="510"/>
        <w:jc w:val="both"/>
        <w:rPr>
          <w:rFonts w:ascii="Times" w:eastAsiaTheme="minorEastAsia" w:hAnsi="Times"/>
          <w:bCs/>
          <w:sz w:val="24"/>
        </w:rPr>
      </w:pPr>
      <w:r w:rsidRPr="00FC678D">
        <w:rPr>
          <w:rFonts w:ascii="Times" w:eastAsiaTheme="minorEastAsia" w:hAnsi="Times"/>
          <w:bCs/>
          <w:sz w:val="24"/>
        </w:rPr>
        <w:t xml:space="preserve">7) </w:t>
      </w:r>
      <w:r w:rsidRPr="00FC678D">
        <w:rPr>
          <w:rFonts w:ascii="Times" w:eastAsiaTheme="minorEastAsia" w:hAnsi="Times"/>
          <w:bCs/>
          <w:sz w:val="24"/>
        </w:rPr>
        <w:tab/>
        <w:t>sposób wyznaczania wskaźników skuteczności i niezawodności komunikacji w systemie pomiarowym;</w:t>
      </w:r>
    </w:p>
    <w:p w14:paraId="2176A9E5" w14:textId="77777777" w:rsidR="00FC678D" w:rsidRPr="00FC678D" w:rsidRDefault="00FC678D" w:rsidP="00FC678D">
      <w:pPr>
        <w:widowControl/>
        <w:autoSpaceDE/>
        <w:autoSpaceDN/>
        <w:adjustRightInd/>
        <w:spacing w:line="360" w:lineRule="auto"/>
        <w:ind w:left="1020" w:hanging="510"/>
        <w:jc w:val="both"/>
        <w:rPr>
          <w:rFonts w:ascii="Times" w:eastAsiaTheme="minorEastAsia" w:hAnsi="Times"/>
          <w:bCs/>
          <w:sz w:val="24"/>
        </w:rPr>
      </w:pPr>
      <w:r w:rsidRPr="00FC678D">
        <w:rPr>
          <w:rFonts w:ascii="Times" w:eastAsiaTheme="minorEastAsia" w:hAnsi="Times"/>
          <w:bCs/>
          <w:sz w:val="24"/>
        </w:rPr>
        <w:t xml:space="preserve">8) </w:t>
      </w:r>
      <w:r w:rsidRPr="00FC678D">
        <w:rPr>
          <w:rFonts w:ascii="Times" w:eastAsiaTheme="minorEastAsia" w:hAnsi="Times"/>
          <w:bCs/>
          <w:sz w:val="24"/>
        </w:rPr>
        <w:tab/>
        <w:t>szczegółowy zakres danych pomiarowych i innych informacji pozyskiwanych z licznika zdalnego odczytu;</w:t>
      </w:r>
    </w:p>
    <w:p w14:paraId="60606C4A" w14:textId="77777777" w:rsidR="00FC678D" w:rsidRPr="00FC678D" w:rsidRDefault="00FC678D" w:rsidP="00FC678D">
      <w:pPr>
        <w:widowControl/>
        <w:autoSpaceDE/>
        <w:autoSpaceDN/>
        <w:adjustRightInd/>
        <w:spacing w:line="360" w:lineRule="auto"/>
        <w:ind w:left="1020" w:hanging="510"/>
        <w:jc w:val="both"/>
        <w:rPr>
          <w:rFonts w:ascii="Times" w:eastAsiaTheme="minorEastAsia" w:hAnsi="Times"/>
          <w:bCs/>
          <w:sz w:val="24"/>
        </w:rPr>
      </w:pPr>
      <w:r w:rsidRPr="00FC678D">
        <w:rPr>
          <w:rFonts w:ascii="Times" w:eastAsiaTheme="minorEastAsia" w:hAnsi="Times"/>
          <w:bCs/>
          <w:sz w:val="24"/>
        </w:rPr>
        <w:t xml:space="preserve">9) </w:t>
      </w:r>
      <w:r w:rsidRPr="00FC678D">
        <w:rPr>
          <w:rFonts w:ascii="Times" w:eastAsiaTheme="minorEastAsia" w:hAnsi="Times"/>
          <w:bCs/>
          <w:sz w:val="24"/>
        </w:rPr>
        <w:tab/>
        <w:t>wymagania, jakie powinien spełniać licznik zdalnego odczytu, aby umożliwić skomunikowanie z urządzeniami odbiorcy w gospodarstwie domowym;</w:t>
      </w:r>
    </w:p>
    <w:p w14:paraId="6E273244" w14:textId="77777777" w:rsidR="00FC678D" w:rsidRDefault="00FC678D" w:rsidP="00FC678D">
      <w:pPr>
        <w:widowControl/>
        <w:autoSpaceDE/>
        <w:autoSpaceDN/>
        <w:adjustRightInd/>
        <w:spacing w:line="360" w:lineRule="auto"/>
        <w:ind w:left="1020" w:hanging="510"/>
        <w:jc w:val="both"/>
        <w:rPr>
          <w:rFonts w:ascii="Times" w:eastAsiaTheme="minorEastAsia" w:hAnsi="Times"/>
          <w:bCs/>
          <w:sz w:val="24"/>
        </w:rPr>
      </w:pPr>
      <w:r w:rsidRPr="00FC678D">
        <w:rPr>
          <w:rFonts w:ascii="Times" w:eastAsiaTheme="minorEastAsia" w:hAnsi="Times"/>
          <w:bCs/>
          <w:sz w:val="24"/>
        </w:rPr>
        <w:t xml:space="preserve">10) </w:t>
      </w:r>
      <w:r w:rsidRPr="00FC678D">
        <w:rPr>
          <w:rFonts w:ascii="Times" w:eastAsiaTheme="minorEastAsia" w:hAnsi="Times"/>
          <w:bCs/>
          <w:sz w:val="24"/>
        </w:rPr>
        <w:tab/>
        <w:t>informacje przekazywane odbiorcy końcowemu, o którym mowa w art. 11t ust. 1 lub 6, o liczniku zdalnego odczytu oraz o przetwarzaniu jego danych osobowych.</w:t>
      </w:r>
    </w:p>
    <w:p w14:paraId="5EF21B9D" w14:textId="5D3D01CB" w:rsidR="00765693" w:rsidRDefault="00765693" w:rsidP="00EF6F97">
      <w:pPr>
        <w:pStyle w:val="USTustnpkodeksu"/>
        <w:rPr>
          <w:rFonts w:ascii="Times New Roman" w:hAnsi="Times New Roman" w:cs="Times New Roman"/>
        </w:rPr>
      </w:pPr>
      <w:r w:rsidRPr="00215A1D">
        <w:rPr>
          <w:rFonts w:ascii="Times New Roman" w:hAnsi="Times New Roman" w:cs="Times New Roman"/>
        </w:rPr>
        <w:t>Ponadto minister właściwy do spraw energii</w:t>
      </w:r>
      <w:r w:rsidR="00AB5A94">
        <w:rPr>
          <w:rFonts w:ascii="Times New Roman" w:hAnsi="Times New Roman" w:cs="Times New Roman"/>
        </w:rPr>
        <w:t xml:space="preserve"> </w:t>
      </w:r>
      <w:r w:rsidR="0031416F" w:rsidRPr="0031416F">
        <w:rPr>
          <w:rFonts w:ascii="Times New Roman" w:hAnsi="Times New Roman" w:cs="Times New Roman"/>
        </w:rPr>
        <w:t>w porozumieniu z ministrem właściwym do spraw informatyzacji</w:t>
      </w:r>
      <w:r w:rsidR="00AB5A94">
        <w:rPr>
          <w:rFonts w:ascii="Times New Roman" w:hAnsi="Times New Roman" w:cs="Times New Roman"/>
        </w:rPr>
        <w:t xml:space="preserve"> </w:t>
      </w:r>
      <w:r w:rsidRPr="00215A1D">
        <w:rPr>
          <w:rFonts w:ascii="Times New Roman" w:hAnsi="Times New Roman" w:cs="Times New Roman"/>
        </w:rPr>
        <w:t>określ</w:t>
      </w:r>
      <w:r w:rsidR="00FA6E5D" w:rsidRPr="00215A1D">
        <w:rPr>
          <w:rFonts w:ascii="Times New Roman" w:hAnsi="Times New Roman" w:cs="Times New Roman"/>
        </w:rPr>
        <w:t>i</w:t>
      </w:r>
      <w:r w:rsidR="00517494" w:rsidRPr="00215A1D">
        <w:rPr>
          <w:rFonts w:ascii="Times New Roman" w:hAnsi="Times New Roman" w:cs="Times New Roman"/>
        </w:rPr>
        <w:t xml:space="preserve"> (art. 11</w:t>
      </w:r>
      <w:r w:rsidR="00810D8B">
        <w:rPr>
          <w:rFonts w:ascii="Times New Roman" w:hAnsi="Times New Roman" w:cs="Times New Roman"/>
        </w:rPr>
        <w:t>x</w:t>
      </w:r>
      <w:r w:rsidR="00517494" w:rsidRPr="00215A1D">
        <w:rPr>
          <w:rFonts w:ascii="Times New Roman" w:hAnsi="Times New Roman" w:cs="Times New Roman"/>
        </w:rPr>
        <w:t>)</w:t>
      </w:r>
      <w:r w:rsidRPr="00215A1D">
        <w:rPr>
          <w:rFonts w:ascii="Times New Roman" w:hAnsi="Times New Roman" w:cs="Times New Roman"/>
        </w:rPr>
        <w:t>, w drodze rozporządzenia, wymagania</w:t>
      </w:r>
      <w:r w:rsidR="00AB5A94">
        <w:rPr>
          <w:rFonts w:ascii="Times New Roman" w:hAnsi="Times New Roman" w:cs="Times New Roman"/>
        </w:rPr>
        <w:t>,</w:t>
      </w:r>
      <w:r w:rsidRPr="00215A1D">
        <w:rPr>
          <w:rFonts w:ascii="Times New Roman" w:hAnsi="Times New Roman" w:cs="Times New Roman"/>
        </w:rPr>
        <w:t xml:space="preserve"> jakie</w:t>
      </w:r>
      <w:r w:rsidR="00517494" w:rsidRPr="00215A1D">
        <w:rPr>
          <w:rFonts w:ascii="Times New Roman" w:hAnsi="Times New Roman" w:cs="Times New Roman"/>
        </w:rPr>
        <w:t xml:space="preserve"> powinny spełniać</w:t>
      </w:r>
      <w:r w:rsidRPr="00215A1D">
        <w:rPr>
          <w:rFonts w:ascii="Times New Roman" w:hAnsi="Times New Roman" w:cs="Times New Roman"/>
        </w:rPr>
        <w:t>:</w:t>
      </w:r>
    </w:p>
    <w:p w14:paraId="091A4C5A" w14:textId="087AB459" w:rsidR="00122F15" w:rsidRPr="00122F15" w:rsidRDefault="00122F15" w:rsidP="00122F15">
      <w:pPr>
        <w:widowControl/>
        <w:autoSpaceDE/>
        <w:autoSpaceDN/>
        <w:adjustRightInd/>
        <w:spacing w:line="360" w:lineRule="auto"/>
        <w:ind w:left="1020" w:hanging="510"/>
        <w:jc w:val="both"/>
        <w:rPr>
          <w:rFonts w:ascii="Times" w:eastAsiaTheme="minorEastAsia" w:hAnsi="Times"/>
          <w:bCs/>
          <w:sz w:val="24"/>
        </w:rPr>
      </w:pPr>
      <w:r w:rsidRPr="00122F15">
        <w:rPr>
          <w:rFonts w:ascii="Times" w:eastAsiaTheme="minorEastAsia" w:hAnsi="Times"/>
          <w:bCs/>
          <w:sz w:val="24"/>
        </w:rPr>
        <w:t>1) </w:t>
      </w:r>
      <w:r w:rsidR="00AB5A94">
        <w:rPr>
          <w:rFonts w:ascii="Times" w:eastAsiaTheme="minorEastAsia" w:hAnsi="Times"/>
          <w:bCs/>
          <w:sz w:val="24"/>
        </w:rPr>
        <w:tab/>
      </w:r>
      <w:r w:rsidRPr="00122F15">
        <w:rPr>
          <w:rFonts w:ascii="Times" w:eastAsiaTheme="minorEastAsia" w:hAnsi="Times"/>
          <w:bCs/>
          <w:sz w:val="24"/>
        </w:rPr>
        <w:t>standardy komunikacji między licznikiem zdalnego odczytu a urządzeniami odbiorcy w gospodarstwie domowym, w tym wymagania w zakresie ochrony tej komunikacji przed nieuprawnioną ingerencją oraz nieuprawnionym dostępem;</w:t>
      </w:r>
    </w:p>
    <w:p w14:paraId="50EFC4E7" w14:textId="436FDAC4" w:rsidR="00517494" w:rsidRPr="00215A1D" w:rsidRDefault="00122F15" w:rsidP="00122F15">
      <w:pPr>
        <w:widowControl/>
        <w:autoSpaceDE/>
        <w:autoSpaceDN/>
        <w:adjustRightInd/>
        <w:spacing w:line="360" w:lineRule="auto"/>
        <w:ind w:left="1020" w:hanging="510"/>
        <w:jc w:val="both"/>
        <w:rPr>
          <w:rFonts w:ascii="Times New Roman" w:hAnsi="Times New Roman" w:cs="Times New Roman"/>
        </w:rPr>
      </w:pPr>
      <w:r w:rsidRPr="00122F15">
        <w:rPr>
          <w:rFonts w:ascii="Times" w:eastAsiaTheme="minorEastAsia" w:hAnsi="Times"/>
          <w:bCs/>
          <w:sz w:val="24"/>
        </w:rPr>
        <w:t>2) </w:t>
      </w:r>
      <w:r w:rsidR="00AB5A94">
        <w:rPr>
          <w:rFonts w:ascii="Times" w:eastAsiaTheme="minorEastAsia" w:hAnsi="Times"/>
          <w:bCs/>
          <w:sz w:val="24"/>
        </w:rPr>
        <w:tab/>
      </w:r>
      <w:r w:rsidRPr="00122F15">
        <w:rPr>
          <w:rFonts w:ascii="Times" w:eastAsiaTheme="minorEastAsia" w:hAnsi="Times"/>
          <w:bCs/>
          <w:sz w:val="24"/>
        </w:rPr>
        <w:t>urządzenia w gospodarstwie domowym na potrzeby komunikacji z licznikiem zdalnego</w:t>
      </w:r>
      <w:r>
        <w:rPr>
          <w:rFonts w:ascii="Times" w:eastAsiaTheme="minorEastAsia" w:hAnsi="Times"/>
          <w:bCs/>
          <w:sz w:val="24"/>
        </w:rPr>
        <w:t>.</w:t>
      </w:r>
    </w:p>
    <w:p w14:paraId="1961B234" w14:textId="36DA5B72" w:rsidR="00D5115E" w:rsidRPr="00215A1D" w:rsidRDefault="00EF6F97" w:rsidP="00EF6F97">
      <w:pPr>
        <w:pStyle w:val="USTustnpkodeksu"/>
        <w:rPr>
          <w:rFonts w:ascii="Times New Roman" w:hAnsi="Times New Roman" w:cs="Times New Roman"/>
        </w:rPr>
      </w:pPr>
      <w:r w:rsidRPr="00215A1D">
        <w:rPr>
          <w:rFonts w:ascii="Times New Roman" w:hAnsi="Times New Roman" w:cs="Times New Roman"/>
        </w:rPr>
        <w:lastRenderedPageBreak/>
        <w:tab/>
      </w:r>
      <w:r w:rsidR="00D5115E" w:rsidRPr="00215A1D">
        <w:rPr>
          <w:rFonts w:ascii="Times New Roman" w:hAnsi="Times New Roman" w:cs="Times New Roman"/>
        </w:rPr>
        <w:t>W projekcie ustawy określa się zasady funkcjonowania centralnego systemu informacji rynku energii (</w:t>
      </w:r>
      <w:r w:rsidR="00C11660">
        <w:rPr>
          <w:rFonts w:ascii="Times New Roman" w:hAnsi="Times New Roman" w:cs="Times New Roman"/>
        </w:rPr>
        <w:t>r</w:t>
      </w:r>
      <w:r w:rsidR="00D5115E" w:rsidRPr="00215A1D">
        <w:rPr>
          <w:rFonts w:ascii="Times New Roman" w:hAnsi="Times New Roman" w:cs="Times New Roman"/>
        </w:rPr>
        <w:t>ozdział 2d).</w:t>
      </w:r>
    </w:p>
    <w:p w14:paraId="53FE3807" w14:textId="77777777" w:rsidR="001A6B3C" w:rsidRPr="00215A1D" w:rsidRDefault="00154F38" w:rsidP="00EF6F97">
      <w:pPr>
        <w:pStyle w:val="USTustnpkodeksu"/>
        <w:rPr>
          <w:rFonts w:ascii="Times New Roman" w:hAnsi="Times New Roman" w:cs="Times New Roman"/>
        </w:rPr>
      </w:pPr>
      <w:r w:rsidRPr="00215A1D">
        <w:rPr>
          <w:rFonts w:ascii="Times New Roman" w:hAnsi="Times New Roman" w:cs="Times New Roman"/>
        </w:rPr>
        <w:tab/>
      </w:r>
      <w:r w:rsidR="00D5115E" w:rsidRPr="00215A1D">
        <w:rPr>
          <w:rFonts w:ascii="Times New Roman" w:hAnsi="Times New Roman" w:cs="Times New Roman"/>
        </w:rPr>
        <w:t>Art. 11</w:t>
      </w:r>
      <w:r w:rsidR="00810D8B">
        <w:rPr>
          <w:rFonts w:ascii="Times New Roman" w:hAnsi="Times New Roman" w:cs="Times New Roman"/>
        </w:rPr>
        <w:t>y</w:t>
      </w:r>
      <w:r w:rsidR="001D0628">
        <w:rPr>
          <w:rFonts w:ascii="Times New Roman" w:hAnsi="Times New Roman" w:cs="Times New Roman"/>
        </w:rPr>
        <w:t> </w:t>
      </w:r>
      <w:r w:rsidR="00D5115E" w:rsidRPr="00215A1D">
        <w:rPr>
          <w:rFonts w:ascii="Times New Roman" w:hAnsi="Times New Roman" w:cs="Times New Roman"/>
        </w:rPr>
        <w:t>określa obowiązki operatora informacji rynku energii</w:t>
      </w:r>
      <w:r w:rsidR="001A6B3C" w:rsidRPr="00215A1D">
        <w:rPr>
          <w:rFonts w:ascii="Times New Roman" w:hAnsi="Times New Roman" w:cs="Times New Roman"/>
        </w:rPr>
        <w:t>. W szczególności operator informacji rynku energii, stosując obiektywne</w:t>
      </w:r>
      <w:r w:rsidR="001D0628">
        <w:rPr>
          <w:rFonts w:ascii="Times New Roman" w:hAnsi="Times New Roman" w:cs="Times New Roman"/>
        </w:rPr>
        <w:t xml:space="preserve"> i </w:t>
      </w:r>
      <w:r w:rsidR="001A6B3C" w:rsidRPr="00215A1D">
        <w:rPr>
          <w:rFonts w:ascii="Times New Roman" w:hAnsi="Times New Roman" w:cs="Times New Roman"/>
        </w:rPr>
        <w:t>przejrzyste zasady zapewniające równoprawne traktowanie użytkowników systemu (ust. 1):</w:t>
      </w:r>
    </w:p>
    <w:p w14:paraId="5AB834CA" w14:textId="77777777" w:rsidR="001A6B3C" w:rsidRPr="00215A1D" w:rsidRDefault="001A6B3C" w:rsidP="00215A1D">
      <w:pPr>
        <w:pStyle w:val="ZPKTzmpktartykuempunktem"/>
        <w:numPr>
          <w:ilvl w:val="0"/>
          <w:numId w:val="76"/>
        </w:numPr>
        <w:rPr>
          <w:rFonts w:ascii="Times New Roman" w:hAnsi="Times New Roman" w:cs="Times New Roman"/>
        </w:rPr>
      </w:pPr>
      <w:r w:rsidRPr="00215A1D">
        <w:rPr>
          <w:rFonts w:ascii="Times New Roman" w:hAnsi="Times New Roman" w:cs="Times New Roman"/>
        </w:rPr>
        <w:t>zarządza</w:t>
      </w:r>
      <w:r w:rsidR="001D0628">
        <w:rPr>
          <w:rFonts w:ascii="Times New Roman" w:hAnsi="Times New Roman" w:cs="Times New Roman"/>
        </w:rPr>
        <w:t xml:space="preserve"> i </w:t>
      </w:r>
      <w:r w:rsidRPr="00215A1D">
        <w:rPr>
          <w:rFonts w:ascii="Times New Roman" w:hAnsi="Times New Roman" w:cs="Times New Roman"/>
        </w:rPr>
        <w:t>administruje centralnym systemem informacji rynku energii;</w:t>
      </w:r>
    </w:p>
    <w:p w14:paraId="67CE17D3" w14:textId="77777777" w:rsidR="001A6B3C" w:rsidRPr="00215A1D" w:rsidRDefault="001A6B3C" w:rsidP="00215A1D">
      <w:pPr>
        <w:pStyle w:val="ZPKTzmpktartykuempunktem"/>
        <w:numPr>
          <w:ilvl w:val="0"/>
          <w:numId w:val="76"/>
        </w:numPr>
        <w:rPr>
          <w:rFonts w:ascii="Times New Roman" w:hAnsi="Times New Roman" w:cs="Times New Roman"/>
        </w:rPr>
      </w:pPr>
      <w:r w:rsidRPr="00215A1D">
        <w:rPr>
          <w:rFonts w:ascii="Times New Roman" w:hAnsi="Times New Roman" w:cs="Times New Roman"/>
        </w:rPr>
        <w:t>pozyskuje informacje rynku energii ora</w:t>
      </w:r>
      <w:r w:rsidR="001D0628">
        <w:rPr>
          <w:rFonts w:ascii="Times New Roman" w:hAnsi="Times New Roman" w:cs="Times New Roman"/>
        </w:rPr>
        <w:t>z </w:t>
      </w:r>
      <w:r w:rsidRPr="00215A1D">
        <w:rPr>
          <w:rFonts w:ascii="Times New Roman" w:hAnsi="Times New Roman" w:cs="Times New Roman"/>
        </w:rPr>
        <w:t>inne informacje od użytkowników systemu na potrzeby realizacji procesów określonych w przepisach wydanych na podstawie w art. 11z</w:t>
      </w:r>
      <w:r w:rsidR="00810D8B">
        <w:rPr>
          <w:rFonts w:ascii="Times New Roman" w:hAnsi="Times New Roman" w:cs="Times New Roman"/>
        </w:rPr>
        <w:t>h</w:t>
      </w:r>
      <w:r w:rsidRPr="00215A1D">
        <w:rPr>
          <w:rFonts w:ascii="Times New Roman" w:hAnsi="Times New Roman" w:cs="Times New Roman"/>
        </w:rPr>
        <w:t>;</w:t>
      </w:r>
    </w:p>
    <w:p w14:paraId="6874EFD0" w14:textId="77777777" w:rsidR="001A6B3C" w:rsidRPr="00215A1D" w:rsidRDefault="001A6B3C" w:rsidP="00215A1D">
      <w:pPr>
        <w:pStyle w:val="ZPKTzmpktartykuempunktem"/>
        <w:numPr>
          <w:ilvl w:val="0"/>
          <w:numId w:val="76"/>
        </w:numPr>
        <w:rPr>
          <w:rFonts w:ascii="Times New Roman" w:hAnsi="Times New Roman" w:cs="Times New Roman"/>
        </w:rPr>
      </w:pPr>
      <w:r w:rsidRPr="00215A1D">
        <w:rPr>
          <w:rFonts w:ascii="Times New Roman" w:hAnsi="Times New Roman" w:cs="Times New Roman"/>
        </w:rPr>
        <w:t>przetwarza zgromadzone w centralnym systemie informacji rynku energii informacje rynku energii ora</w:t>
      </w:r>
      <w:r w:rsidR="001D0628">
        <w:rPr>
          <w:rFonts w:ascii="Times New Roman" w:hAnsi="Times New Roman" w:cs="Times New Roman"/>
        </w:rPr>
        <w:t>z </w:t>
      </w:r>
      <w:r w:rsidRPr="00215A1D">
        <w:rPr>
          <w:rFonts w:ascii="Times New Roman" w:hAnsi="Times New Roman" w:cs="Times New Roman"/>
        </w:rPr>
        <w:t>inne informacje, do których jest uprawniony na potrzeby realizacji procesów rynku energii określonych w przepisach wydanych na podstawie art. 11z</w:t>
      </w:r>
      <w:r w:rsidR="00810D8B">
        <w:rPr>
          <w:rFonts w:ascii="Times New Roman" w:hAnsi="Times New Roman" w:cs="Times New Roman"/>
        </w:rPr>
        <w:t>h</w:t>
      </w:r>
      <w:r w:rsidRPr="00215A1D">
        <w:rPr>
          <w:rFonts w:ascii="Times New Roman" w:hAnsi="Times New Roman" w:cs="Times New Roman"/>
        </w:rPr>
        <w:t>;</w:t>
      </w:r>
    </w:p>
    <w:p w14:paraId="6920E98F" w14:textId="77777777" w:rsidR="001A6B3C" w:rsidRPr="00215A1D" w:rsidRDefault="001A6B3C" w:rsidP="00215A1D">
      <w:pPr>
        <w:pStyle w:val="ZPKTzmpktartykuempunktem"/>
        <w:numPr>
          <w:ilvl w:val="0"/>
          <w:numId w:val="76"/>
        </w:numPr>
        <w:rPr>
          <w:rFonts w:ascii="Times New Roman" w:hAnsi="Times New Roman" w:cs="Times New Roman"/>
        </w:rPr>
      </w:pPr>
      <w:r w:rsidRPr="00215A1D">
        <w:rPr>
          <w:rFonts w:ascii="Times New Roman" w:hAnsi="Times New Roman" w:cs="Times New Roman"/>
        </w:rPr>
        <w:t>wspiera realizację procesów rynku energii określonych w przepisach wydanych na podstawie art. 11z</w:t>
      </w:r>
      <w:r w:rsidR="00810D8B">
        <w:rPr>
          <w:rFonts w:ascii="Times New Roman" w:hAnsi="Times New Roman" w:cs="Times New Roman"/>
        </w:rPr>
        <w:t>h</w:t>
      </w:r>
      <w:r w:rsidRPr="00215A1D">
        <w:rPr>
          <w:rFonts w:ascii="Times New Roman" w:hAnsi="Times New Roman" w:cs="Times New Roman"/>
        </w:rPr>
        <w:t xml:space="preserve">; </w:t>
      </w:r>
    </w:p>
    <w:p w14:paraId="2EACFB7A" w14:textId="77777777" w:rsidR="001A6B3C" w:rsidRPr="00215A1D" w:rsidRDefault="001A6B3C" w:rsidP="00215A1D">
      <w:pPr>
        <w:pStyle w:val="ZPKTzmpktartykuempunktem"/>
        <w:numPr>
          <w:ilvl w:val="0"/>
          <w:numId w:val="76"/>
        </w:numPr>
        <w:rPr>
          <w:rFonts w:ascii="Times New Roman" w:hAnsi="Times New Roman" w:cs="Times New Roman"/>
        </w:rPr>
      </w:pPr>
      <w:r w:rsidRPr="00215A1D">
        <w:rPr>
          <w:rFonts w:ascii="Times New Roman" w:hAnsi="Times New Roman" w:cs="Times New Roman"/>
        </w:rPr>
        <w:t>opracowuje standardy wymiany informacji centralnego systemu informacji rynku energii;</w:t>
      </w:r>
    </w:p>
    <w:p w14:paraId="3D3839B5" w14:textId="77777777" w:rsidR="001A6B3C" w:rsidRPr="00215A1D" w:rsidRDefault="001A6B3C" w:rsidP="00215A1D">
      <w:pPr>
        <w:pStyle w:val="ZPKTzmpktartykuempunktem"/>
        <w:numPr>
          <w:ilvl w:val="0"/>
          <w:numId w:val="76"/>
        </w:numPr>
        <w:rPr>
          <w:rFonts w:ascii="Times New Roman" w:hAnsi="Times New Roman" w:cs="Times New Roman"/>
        </w:rPr>
      </w:pPr>
      <w:r w:rsidRPr="00215A1D">
        <w:rPr>
          <w:rFonts w:ascii="Times New Roman" w:hAnsi="Times New Roman" w:cs="Times New Roman"/>
        </w:rPr>
        <w:t>udostępnia uprawnionym użytkownikom systemu informacje rynku energii w zakresie przewidzianym w ustawie</w:t>
      </w:r>
      <w:r w:rsidR="001D0628">
        <w:rPr>
          <w:rFonts w:ascii="Times New Roman" w:hAnsi="Times New Roman" w:cs="Times New Roman"/>
        </w:rPr>
        <w:t xml:space="preserve"> i </w:t>
      </w:r>
      <w:r w:rsidRPr="00215A1D">
        <w:rPr>
          <w:rFonts w:ascii="Times New Roman" w:hAnsi="Times New Roman" w:cs="Times New Roman"/>
        </w:rPr>
        <w:t>w przepisach wydanych na podstawie art. 11z</w:t>
      </w:r>
      <w:r w:rsidR="00810D8B">
        <w:rPr>
          <w:rFonts w:ascii="Times New Roman" w:hAnsi="Times New Roman" w:cs="Times New Roman"/>
        </w:rPr>
        <w:t>h</w:t>
      </w:r>
      <w:r w:rsidR="001D0628">
        <w:rPr>
          <w:rFonts w:ascii="Times New Roman" w:hAnsi="Times New Roman" w:cs="Times New Roman"/>
        </w:rPr>
        <w:t xml:space="preserve"> i </w:t>
      </w:r>
      <w:r w:rsidRPr="00215A1D">
        <w:rPr>
          <w:rFonts w:ascii="Times New Roman" w:hAnsi="Times New Roman" w:cs="Times New Roman"/>
        </w:rPr>
        <w:t>na warunkach określonych w instrukcji opracowanej na podstawie art. 9g ust. 5c.</w:t>
      </w:r>
    </w:p>
    <w:p w14:paraId="0177134B" w14:textId="03A695B3" w:rsidR="00580688" w:rsidRDefault="00EF6F97">
      <w:pPr>
        <w:pStyle w:val="USTustnpkodeksu"/>
        <w:rPr>
          <w:rFonts w:ascii="Times New Roman" w:hAnsi="Times New Roman" w:cs="Times New Roman"/>
        </w:rPr>
      </w:pPr>
      <w:r w:rsidRPr="00215A1D">
        <w:rPr>
          <w:rFonts w:ascii="Times New Roman" w:hAnsi="Times New Roman" w:cs="Times New Roman"/>
        </w:rPr>
        <w:tab/>
      </w:r>
      <w:r w:rsidR="001A6B3C" w:rsidRPr="00215A1D">
        <w:rPr>
          <w:rFonts w:ascii="Times New Roman" w:hAnsi="Times New Roman" w:cs="Times New Roman"/>
        </w:rPr>
        <w:t>W kolejnych przepisach (ust. 2) określone są obowiązki operatora informacji rynku energii w zakresie zamieszczania na stronach internetowych informacji dotyczących rynku energii ora</w:t>
      </w:r>
      <w:r w:rsidR="001D0628">
        <w:rPr>
          <w:rFonts w:ascii="Times New Roman" w:hAnsi="Times New Roman" w:cs="Times New Roman"/>
        </w:rPr>
        <w:t>z </w:t>
      </w:r>
      <w:r w:rsidR="001A6B3C" w:rsidRPr="00215A1D">
        <w:rPr>
          <w:rFonts w:ascii="Times New Roman" w:hAnsi="Times New Roman" w:cs="Times New Roman"/>
        </w:rPr>
        <w:t xml:space="preserve">obowiązki (ust. 3) dotyczące zapewnienia bezpieczeństwa centralnego systemu informacji rynku energii. </w:t>
      </w:r>
    </w:p>
    <w:p w14:paraId="502BC9EF" w14:textId="77777777" w:rsidR="00F943DA" w:rsidRPr="00215A1D" w:rsidRDefault="00F943DA" w:rsidP="00F943DA">
      <w:pPr>
        <w:pStyle w:val="USTustnpkodeksu"/>
        <w:rPr>
          <w:rFonts w:ascii="Times New Roman" w:hAnsi="Times New Roman" w:cs="Times New Roman"/>
        </w:rPr>
      </w:pPr>
      <w:r>
        <w:rPr>
          <w:rFonts w:ascii="Times New Roman" w:hAnsi="Times New Roman" w:cs="Times New Roman"/>
        </w:rPr>
        <w:t>Przepisy ust. 1 i 2 wejdą w życie po wdrożeniu CSIRE.</w:t>
      </w:r>
    </w:p>
    <w:p w14:paraId="3AEEBDAD" w14:textId="28C9AC60" w:rsidR="001A6B3C"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1A6B3C" w:rsidRPr="00215A1D">
        <w:rPr>
          <w:rFonts w:ascii="Times New Roman" w:hAnsi="Times New Roman" w:cs="Times New Roman"/>
        </w:rPr>
        <w:t>Art. 11</w:t>
      </w:r>
      <w:r w:rsidR="00810D8B">
        <w:rPr>
          <w:rFonts w:ascii="Times New Roman" w:hAnsi="Times New Roman" w:cs="Times New Roman"/>
        </w:rPr>
        <w:t>y</w:t>
      </w:r>
      <w:r w:rsidR="001D0628">
        <w:rPr>
          <w:rFonts w:ascii="Times New Roman" w:hAnsi="Times New Roman" w:cs="Times New Roman"/>
        </w:rPr>
        <w:t> </w:t>
      </w:r>
      <w:r w:rsidR="001A6B3C" w:rsidRPr="00215A1D">
        <w:rPr>
          <w:rFonts w:ascii="Times New Roman" w:hAnsi="Times New Roman" w:cs="Times New Roman"/>
        </w:rPr>
        <w:t xml:space="preserve">ust. </w:t>
      </w:r>
      <w:r w:rsidR="00FC678D">
        <w:rPr>
          <w:rFonts w:ascii="Times New Roman" w:hAnsi="Times New Roman" w:cs="Times New Roman"/>
        </w:rPr>
        <w:t>3</w:t>
      </w:r>
      <w:r w:rsidR="001A6B3C" w:rsidRPr="00215A1D">
        <w:rPr>
          <w:rFonts w:ascii="Times New Roman" w:hAnsi="Times New Roman" w:cs="Times New Roman"/>
        </w:rPr>
        <w:t xml:space="preserve"> stanowi, że zadania operatora informacji rynku energii wykonuje operator systemu przesyłowego elektroenergetycznego. </w:t>
      </w:r>
    </w:p>
    <w:p w14:paraId="73EF71B5" w14:textId="138C65B2" w:rsidR="001A6B3C"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1A6B3C" w:rsidRPr="00215A1D">
        <w:rPr>
          <w:rFonts w:ascii="Times New Roman" w:hAnsi="Times New Roman" w:cs="Times New Roman"/>
        </w:rPr>
        <w:t>Ze względu na wielość operatorów systemów dystrybucyjnych elektroenergetycznych</w:t>
      </w:r>
      <w:r w:rsidR="001D0628">
        <w:rPr>
          <w:rFonts w:ascii="Times New Roman" w:hAnsi="Times New Roman" w:cs="Times New Roman"/>
        </w:rPr>
        <w:t xml:space="preserve"> i </w:t>
      </w:r>
      <w:r w:rsidR="001A6B3C" w:rsidRPr="00215A1D">
        <w:rPr>
          <w:rFonts w:ascii="Times New Roman" w:hAnsi="Times New Roman" w:cs="Times New Roman"/>
        </w:rPr>
        <w:t>sprzedawców, w celu standaryzacji</w:t>
      </w:r>
      <w:r w:rsidR="001D0628">
        <w:rPr>
          <w:rFonts w:ascii="Times New Roman" w:hAnsi="Times New Roman" w:cs="Times New Roman"/>
        </w:rPr>
        <w:t xml:space="preserve"> i </w:t>
      </w:r>
      <w:r w:rsidR="001A6B3C" w:rsidRPr="00215A1D">
        <w:rPr>
          <w:rFonts w:ascii="Times New Roman" w:hAnsi="Times New Roman" w:cs="Times New Roman"/>
        </w:rPr>
        <w:t>przede wszystkim uproszczenia relacji pomiędzy tymi podmiotami, jest uzasadnione zsynchronizowanie wymiany danych</w:t>
      </w:r>
      <w:r w:rsidR="001D0628">
        <w:rPr>
          <w:rFonts w:ascii="Times New Roman" w:hAnsi="Times New Roman" w:cs="Times New Roman"/>
        </w:rPr>
        <w:t xml:space="preserve"> i </w:t>
      </w:r>
      <w:r w:rsidR="001A6B3C" w:rsidRPr="00215A1D">
        <w:rPr>
          <w:rFonts w:ascii="Times New Roman" w:hAnsi="Times New Roman" w:cs="Times New Roman"/>
        </w:rPr>
        <w:t>informacji prze</w:t>
      </w:r>
      <w:r w:rsidR="001D0628">
        <w:rPr>
          <w:rFonts w:ascii="Times New Roman" w:hAnsi="Times New Roman" w:cs="Times New Roman"/>
        </w:rPr>
        <w:t>z </w:t>
      </w:r>
      <w:r w:rsidR="001A6B3C" w:rsidRPr="00215A1D">
        <w:rPr>
          <w:rFonts w:ascii="Times New Roman" w:hAnsi="Times New Roman" w:cs="Times New Roman"/>
        </w:rPr>
        <w:t>operatora informacji rynku energii. Jeden punkt dostępowy łączący wszystkich operatorów systemów dystrybucyjnych elektroenergetycznych</w:t>
      </w:r>
      <w:r w:rsidR="001D0628">
        <w:rPr>
          <w:rFonts w:ascii="Times New Roman" w:hAnsi="Times New Roman" w:cs="Times New Roman"/>
        </w:rPr>
        <w:t xml:space="preserve"> i </w:t>
      </w:r>
      <w:r w:rsidR="001A6B3C" w:rsidRPr="00215A1D">
        <w:rPr>
          <w:rFonts w:ascii="Times New Roman" w:hAnsi="Times New Roman" w:cs="Times New Roman"/>
        </w:rPr>
        <w:t>sprzedawców ora</w:t>
      </w:r>
      <w:r w:rsidR="001D0628">
        <w:rPr>
          <w:rFonts w:ascii="Times New Roman" w:hAnsi="Times New Roman" w:cs="Times New Roman"/>
        </w:rPr>
        <w:t>z </w:t>
      </w:r>
      <w:r w:rsidR="001A6B3C" w:rsidRPr="00215A1D">
        <w:rPr>
          <w:rFonts w:ascii="Times New Roman" w:hAnsi="Times New Roman" w:cs="Times New Roman"/>
        </w:rPr>
        <w:t xml:space="preserve">odbiorców końcowych pozwoli uniknąć powielania struktur dostępowych łączących każdego sprzedawcę odrębnie </w:t>
      </w:r>
      <w:r w:rsidR="001D0628">
        <w:rPr>
          <w:rFonts w:ascii="Times New Roman" w:hAnsi="Times New Roman" w:cs="Times New Roman"/>
        </w:rPr>
        <w:t>z </w:t>
      </w:r>
      <w:r w:rsidR="001A6B3C" w:rsidRPr="00215A1D">
        <w:rPr>
          <w:rFonts w:ascii="Times New Roman" w:hAnsi="Times New Roman" w:cs="Times New Roman"/>
        </w:rPr>
        <w:t xml:space="preserve">każdym </w:t>
      </w:r>
      <w:r w:rsidR="001D0628">
        <w:rPr>
          <w:rFonts w:ascii="Times New Roman" w:hAnsi="Times New Roman" w:cs="Times New Roman"/>
        </w:rPr>
        <w:t>z </w:t>
      </w:r>
      <w:r w:rsidR="001A6B3C" w:rsidRPr="00215A1D">
        <w:rPr>
          <w:rFonts w:ascii="Times New Roman" w:hAnsi="Times New Roman" w:cs="Times New Roman"/>
        </w:rPr>
        <w:t xml:space="preserve">operatorów systemów dystrybucyjnych elektroenergetycznych </w:t>
      </w:r>
      <w:r w:rsidR="001A6B3C" w:rsidRPr="00215A1D">
        <w:rPr>
          <w:rFonts w:ascii="Times New Roman" w:hAnsi="Times New Roman" w:cs="Times New Roman"/>
        </w:rPr>
        <w:lastRenderedPageBreak/>
        <w:t>ora</w:t>
      </w:r>
      <w:r w:rsidR="001D0628">
        <w:rPr>
          <w:rFonts w:ascii="Times New Roman" w:hAnsi="Times New Roman" w:cs="Times New Roman"/>
        </w:rPr>
        <w:t>z </w:t>
      </w:r>
      <w:r w:rsidR="001A6B3C" w:rsidRPr="00215A1D">
        <w:rPr>
          <w:rFonts w:ascii="Times New Roman" w:hAnsi="Times New Roman" w:cs="Times New Roman"/>
        </w:rPr>
        <w:t xml:space="preserve">tworzenia skomplikowanych struktur w tym zakresie. Jak wynika </w:t>
      </w:r>
      <w:r w:rsidR="001D0628">
        <w:rPr>
          <w:rFonts w:ascii="Times New Roman" w:hAnsi="Times New Roman" w:cs="Times New Roman"/>
        </w:rPr>
        <w:t>z </w:t>
      </w:r>
      <w:r w:rsidR="001A6B3C" w:rsidRPr="00215A1D">
        <w:rPr>
          <w:rFonts w:ascii="Times New Roman" w:hAnsi="Times New Roman" w:cs="Times New Roman"/>
        </w:rPr>
        <w:t>licznych anali</w:t>
      </w:r>
      <w:r w:rsidR="001D0628">
        <w:rPr>
          <w:rFonts w:ascii="Times New Roman" w:hAnsi="Times New Roman" w:cs="Times New Roman"/>
        </w:rPr>
        <w:t>z</w:t>
      </w:r>
      <w:r w:rsidR="00AB5A94">
        <w:rPr>
          <w:rFonts w:ascii="Times New Roman" w:hAnsi="Times New Roman" w:cs="Times New Roman"/>
        </w:rPr>
        <w:t>,</w:t>
      </w:r>
      <w:r w:rsidR="001D0628">
        <w:rPr>
          <w:rFonts w:ascii="Times New Roman" w:hAnsi="Times New Roman" w:cs="Times New Roman"/>
        </w:rPr>
        <w:t> </w:t>
      </w:r>
      <w:r w:rsidR="001A6B3C" w:rsidRPr="00215A1D">
        <w:rPr>
          <w:rFonts w:ascii="Times New Roman" w:hAnsi="Times New Roman" w:cs="Times New Roman"/>
        </w:rPr>
        <w:t xml:space="preserve">jest to najbardziej racjonalne rozwiązanie zarówno </w:t>
      </w:r>
      <w:r w:rsidR="001D0628">
        <w:rPr>
          <w:rFonts w:ascii="Times New Roman" w:hAnsi="Times New Roman" w:cs="Times New Roman"/>
        </w:rPr>
        <w:t>z </w:t>
      </w:r>
      <w:r w:rsidR="001A6B3C" w:rsidRPr="00215A1D">
        <w:rPr>
          <w:rFonts w:ascii="Times New Roman" w:hAnsi="Times New Roman" w:cs="Times New Roman"/>
        </w:rPr>
        <w:t>technicznego</w:t>
      </w:r>
      <w:r w:rsidR="00022158">
        <w:rPr>
          <w:rFonts w:ascii="Times New Roman" w:hAnsi="Times New Roman" w:cs="Times New Roman"/>
        </w:rPr>
        <w:t>,</w:t>
      </w:r>
      <w:r w:rsidR="001A6B3C" w:rsidRPr="00215A1D">
        <w:rPr>
          <w:rFonts w:ascii="Times New Roman" w:hAnsi="Times New Roman" w:cs="Times New Roman"/>
        </w:rPr>
        <w:t xml:space="preserve"> jak</w:t>
      </w:r>
      <w:r w:rsidR="001D0628">
        <w:rPr>
          <w:rFonts w:ascii="Times New Roman" w:hAnsi="Times New Roman" w:cs="Times New Roman"/>
        </w:rPr>
        <w:t xml:space="preserve"> i z </w:t>
      </w:r>
      <w:r w:rsidR="001A6B3C" w:rsidRPr="00215A1D">
        <w:rPr>
          <w:rFonts w:ascii="Times New Roman" w:hAnsi="Times New Roman" w:cs="Times New Roman"/>
        </w:rPr>
        <w:t xml:space="preserve">ekonomicznego punktu widzenia. </w:t>
      </w:r>
    </w:p>
    <w:p w14:paraId="43EA211E" w14:textId="77777777" w:rsidR="001A6B3C"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1A6B3C" w:rsidRPr="00215A1D">
        <w:rPr>
          <w:rFonts w:ascii="Times New Roman" w:hAnsi="Times New Roman" w:cs="Times New Roman"/>
        </w:rPr>
        <w:t>Spośród szczegółowych argumentów przemawiających na rzec</w:t>
      </w:r>
      <w:r w:rsidR="001D0628">
        <w:rPr>
          <w:rFonts w:ascii="Times New Roman" w:hAnsi="Times New Roman" w:cs="Times New Roman"/>
        </w:rPr>
        <w:t>z </w:t>
      </w:r>
      <w:r w:rsidR="001A6B3C" w:rsidRPr="00215A1D">
        <w:rPr>
          <w:rFonts w:ascii="Times New Roman" w:hAnsi="Times New Roman" w:cs="Times New Roman"/>
        </w:rPr>
        <w:t>funkcjonowania na terytorium Polski jednego operatora informacji rynku energii należy przytoczyć następujące:</w:t>
      </w:r>
    </w:p>
    <w:p w14:paraId="08055930" w14:textId="39CF9CA1" w:rsidR="001A6B3C" w:rsidRPr="00215A1D" w:rsidRDefault="00AB35F0" w:rsidP="00215A1D">
      <w:pPr>
        <w:pStyle w:val="USTustnpkodeksu"/>
        <w:numPr>
          <w:ilvl w:val="2"/>
          <w:numId w:val="78"/>
        </w:numPr>
        <w:ind w:left="426"/>
        <w:rPr>
          <w:rFonts w:ascii="Times New Roman" w:hAnsi="Times New Roman" w:cs="Times New Roman"/>
        </w:rPr>
      </w:pPr>
      <w:r>
        <w:rPr>
          <w:rFonts w:ascii="Times New Roman" w:hAnsi="Times New Roman" w:cs="Times New Roman"/>
        </w:rPr>
        <w:t>j</w:t>
      </w:r>
      <w:r w:rsidR="001A6B3C" w:rsidRPr="00215A1D">
        <w:rPr>
          <w:rFonts w:ascii="Times New Roman" w:hAnsi="Times New Roman" w:cs="Times New Roman"/>
        </w:rPr>
        <w:t>eden podmiot gwarantuje najniższe koszty dostępu uczestników rynku do danych, infrastruktury, funkcjonowania</w:t>
      </w:r>
      <w:r w:rsidR="001D0628">
        <w:rPr>
          <w:rFonts w:ascii="Times New Roman" w:hAnsi="Times New Roman" w:cs="Times New Roman"/>
        </w:rPr>
        <w:t xml:space="preserve"> i </w:t>
      </w:r>
      <w:r w:rsidR="001A6B3C" w:rsidRPr="00215A1D">
        <w:rPr>
          <w:rFonts w:ascii="Times New Roman" w:hAnsi="Times New Roman" w:cs="Times New Roman"/>
        </w:rPr>
        <w:t>utrzymania systemu elektroenergetycznego</w:t>
      </w:r>
      <w:r>
        <w:rPr>
          <w:rFonts w:ascii="Times New Roman" w:hAnsi="Times New Roman" w:cs="Times New Roman"/>
        </w:rPr>
        <w:t>,</w:t>
      </w:r>
    </w:p>
    <w:p w14:paraId="503B3F62" w14:textId="191D576A" w:rsidR="001A6B3C" w:rsidRPr="00215A1D" w:rsidRDefault="00AB35F0" w:rsidP="00215A1D">
      <w:pPr>
        <w:pStyle w:val="USTustnpkodeksu"/>
        <w:numPr>
          <w:ilvl w:val="2"/>
          <w:numId w:val="78"/>
        </w:numPr>
        <w:ind w:left="426"/>
        <w:rPr>
          <w:rFonts w:ascii="Times New Roman" w:hAnsi="Times New Roman" w:cs="Times New Roman"/>
        </w:rPr>
      </w:pPr>
      <w:r>
        <w:rPr>
          <w:rFonts w:ascii="Times New Roman" w:hAnsi="Times New Roman" w:cs="Times New Roman"/>
        </w:rPr>
        <w:t>s</w:t>
      </w:r>
      <w:r w:rsidR="001A6B3C" w:rsidRPr="00215A1D">
        <w:rPr>
          <w:rFonts w:ascii="Times New Roman" w:hAnsi="Times New Roman" w:cs="Times New Roman"/>
        </w:rPr>
        <w:t>tandaryzacja zasad przy wprowadzaniu nowych funkcji systemu, w przypadku jednego podmiotu, pozwoli znacznie ograniczyć koszty funkcjonowania systemu</w:t>
      </w:r>
      <w:r>
        <w:rPr>
          <w:rFonts w:ascii="Times New Roman" w:hAnsi="Times New Roman" w:cs="Times New Roman"/>
        </w:rPr>
        <w:t>,</w:t>
      </w:r>
    </w:p>
    <w:p w14:paraId="0BFB6E3E" w14:textId="78F7AF9D" w:rsidR="001A6B3C" w:rsidRPr="00215A1D" w:rsidRDefault="00AB35F0" w:rsidP="00215A1D">
      <w:pPr>
        <w:pStyle w:val="USTustnpkodeksu"/>
        <w:numPr>
          <w:ilvl w:val="2"/>
          <w:numId w:val="78"/>
        </w:numPr>
        <w:ind w:left="426"/>
        <w:rPr>
          <w:rFonts w:ascii="Times New Roman" w:hAnsi="Times New Roman" w:cs="Times New Roman"/>
        </w:rPr>
      </w:pPr>
      <w:r>
        <w:rPr>
          <w:rFonts w:ascii="Times New Roman" w:hAnsi="Times New Roman" w:cs="Times New Roman"/>
        </w:rPr>
        <w:t>o</w:t>
      </w:r>
      <w:r w:rsidR="001A6B3C" w:rsidRPr="00215A1D">
        <w:rPr>
          <w:rFonts w:ascii="Times New Roman" w:hAnsi="Times New Roman" w:cs="Times New Roman"/>
        </w:rPr>
        <w:t>perator informacji rynku energii będzie podmiotem nadzorowanym bezpośrednio prze</w:t>
      </w:r>
      <w:r w:rsidR="001D0628">
        <w:rPr>
          <w:rFonts w:ascii="Times New Roman" w:hAnsi="Times New Roman" w:cs="Times New Roman"/>
        </w:rPr>
        <w:t>z </w:t>
      </w:r>
      <w:r w:rsidR="001A6B3C" w:rsidRPr="00215A1D">
        <w:rPr>
          <w:rFonts w:ascii="Times New Roman" w:hAnsi="Times New Roman" w:cs="Times New Roman"/>
        </w:rPr>
        <w:t>instytucje regulujące</w:t>
      </w:r>
      <w:r w:rsidR="001D0628">
        <w:rPr>
          <w:rFonts w:ascii="Times New Roman" w:hAnsi="Times New Roman" w:cs="Times New Roman"/>
        </w:rPr>
        <w:t xml:space="preserve"> i </w:t>
      </w:r>
      <w:r w:rsidR="001A6B3C" w:rsidRPr="00215A1D">
        <w:rPr>
          <w:rFonts w:ascii="Times New Roman" w:hAnsi="Times New Roman" w:cs="Times New Roman"/>
        </w:rPr>
        <w:t>nadzorujące rynek energii elektrycznej w Polsce ora</w:t>
      </w:r>
      <w:r w:rsidR="001D0628">
        <w:rPr>
          <w:rFonts w:ascii="Times New Roman" w:hAnsi="Times New Roman" w:cs="Times New Roman"/>
        </w:rPr>
        <w:t>z </w:t>
      </w:r>
      <w:r w:rsidR="001A6B3C" w:rsidRPr="00215A1D">
        <w:rPr>
          <w:rFonts w:ascii="Times New Roman" w:hAnsi="Times New Roman" w:cs="Times New Roman"/>
        </w:rPr>
        <w:t>niezależnym od innych uczestników rynku</w:t>
      </w:r>
      <w:r>
        <w:rPr>
          <w:rFonts w:ascii="Times New Roman" w:hAnsi="Times New Roman" w:cs="Times New Roman"/>
        </w:rPr>
        <w:t>,</w:t>
      </w:r>
    </w:p>
    <w:p w14:paraId="47C0F99E" w14:textId="46A2E0B7" w:rsidR="001A6B3C" w:rsidRPr="00215A1D" w:rsidRDefault="00AB35F0" w:rsidP="00215A1D">
      <w:pPr>
        <w:pStyle w:val="USTustnpkodeksu"/>
        <w:numPr>
          <w:ilvl w:val="2"/>
          <w:numId w:val="78"/>
        </w:numPr>
        <w:ind w:left="426"/>
        <w:rPr>
          <w:rFonts w:ascii="Times New Roman" w:hAnsi="Times New Roman" w:cs="Times New Roman"/>
        </w:rPr>
      </w:pPr>
      <w:r>
        <w:rPr>
          <w:rFonts w:ascii="Times New Roman" w:hAnsi="Times New Roman" w:cs="Times New Roman"/>
        </w:rPr>
        <w:t>j</w:t>
      </w:r>
      <w:r w:rsidR="001A6B3C" w:rsidRPr="00215A1D">
        <w:rPr>
          <w:rFonts w:ascii="Times New Roman" w:hAnsi="Times New Roman" w:cs="Times New Roman"/>
        </w:rPr>
        <w:t>eden, niezależny od operatorów systemu dystrybucyjnego</w:t>
      </w:r>
      <w:r w:rsidR="001D0628">
        <w:rPr>
          <w:rFonts w:ascii="Times New Roman" w:hAnsi="Times New Roman" w:cs="Times New Roman"/>
        </w:rPr>
        <w:t xml:space="preserve"> i </w:t>
      </w:r>
      <w:r w:rsidR="001A6B3C" w:rsidRPr="00215A1D">
        <w:rPr>
          <w:rFonts w:ascii="Times New Roman" w:hAnsi="Times New Roman" w:cs="Times New Roman"/>
        </w:rPr>
        <w:t xml:space="preserve">sprzedawców </w:t>
      </w:r>
      <w:r w:rsidR="00F03EF8" w:rsidRPr="00215A1D">
        <w:rPr>
          <w:rFonts w:ascii="Times New Roman" w:hAnsi="Times New Roman" w:cs="Times New Roman"/>
        </w:rPr>
        <w:t xml:space="preserve">operator informacji rynku energii </w:t>
      </w:r>
      <w:r w:rsidR="001A6B3C" w:rsidRPr="00215A1D">
        <w:rPr>
          <w:rFonts w:ascii="Times New Roman" w:hAnsi="Times New Roman" w:cs="Times New Roman"/>
        </w:rPr>
        <w:t>wyeliminuje bariery wejścia/wyjścia dla małych przedsiębiorstw, w tym sprzedawców, firm ESCO ora</w:t>
      </w:r>
      <w:r w:rsidR="001D0628">
        <w:rPr>
          <w:rFonts w:ascii="Times New Roman" w:hAnsi="Times New Roman" w:cs="Times New Roman"/>
        </w:rPr>
        <w:t>z </w:t>
      </w:r>
      <w:r w:rsidR="001A6B3C" w:rsidRPr="00215A1D">
        <w:rPr>
          <w:rFonts w:ascii="Times New Roman" w:hAnsi="Times New Roman" w:cs="Times New Roman"/>
        </w:rPr>
        <w:t>agregatorów</w:t>
      </w:r>
      <w:r>
        <w:rPr>
          <w:rFonts w:ascii="Times New Roman" w:hAnsi="Times New Roman" w:cs="Times New Roman"/>
        </w:rPr>
        <w:t>,</w:t>
      </w:r>
    </w:p>
    <w:p w14:paraId="51350BF9" w14:textId="630B4B04" w:rsidR="001A6B3C" w:rsidRPr="00215A1D" w:rsidRDefault="00AB35F0" w:rsidP="00215A1D">
      <w:pPr>
        <w:pStyle w:val="USTustnpkodeksu"/>
        <w:numPr>
          <w:ilvl w:val="2"/>
          <w:numId w:val="78"/>
        </w:numPr>
        <w:ind w:left="426"/>
        <w:rPr>
          <w:rFonts w:ascii="Times New Roman" w:hAnsi="Times New Roman" w:cs="Times New Roman"/>
        </w:rPr>
      </w:pPr>
      <w:r>
        <w:rPr>
          <w:rFonts w:ascii="Times New Roman" w:hAnsi="Times New Roman" w:cs="Times New Roman"/>
        </w:rPr>
        <w:t>j</w:t>
      </w:r>
      <w:r w:rsidR="001A6B3C" w:rsidRPr="00215A1D">
        <w:rPr>
          <w:rFonts w:ascii="Times New Roman" w:hAnsi="Times New Roman" w:cs="Times New Roman"/>
        </w:rPr>
        <w:t xml:space="preserve">eden </w:t>
      </w:r>
      <w:r w:rsidR="00F03EF8" w:rsidRPr="00215A1D">
        <w:rPr>
          <w:rFonts w:ascii="Times New Roman" w:hAnsi="Times New Roman" w:cs="Times New Roman"/>
        </w:rPr>
        <w:t>operator informacji rynku energii</w:t>
      </w:r>
      <w:r w:rsidR="001A6B3C" w:rsidRPr="00215A1D">
        <w:rPr>
          <w:rFonts w:ascii="Times New Roman" w:hAnsi="Times New Roman" w:cs="Times New Roman"/>
        </w:rPr>
        <w:t>, jako podmiot przeznaczony do obsługi rozliczeń między prosumentem a sprzedawcami, ułatwia dostęp prosumentów do wielu sprzedawców. Tym samym przyczynia się do wprowadzenia konkurencyjnego rynku ora</w:t>
      </w:r>
      <w:r w:rsidR="001D0628">
        <w:rPr>
          <w:rFonts w:ascii="Times New Roman" w:hAnsi="Times New Roman" w:cs="Times New Roman"/>
        </w:rPr>
        <w:t>z </w:t>
      </w:r>
      <w:r w:rsidR="001A6B3C" w:rsidRPr="00215A1D">
        <w:rPr>
          <w:rFonts w:ascii="Times New Roman" w:hAnsi="Times New Roman" w:cs="Times New Roman"/>
        </w:rPr>
        <w:t>uzyskania korzystniejszych dla prosumentów cen energii elektrycznej</w:t>
      </w:r>
      <w:r>
        <w:rPr>
          <w:rFonts w:ascii="Times New Roman" w:hAnsi="Times New Roman" w:cs="Times New Roman"/>
        </w:rPr>
        <w:t>,</w:t>
      </w:r>
    </w:p>
    <w:p w14:paraId="7B1926AC" w14:textId="4349B3B7" w:rsidR="001A6B3C" w:rsidRPr="00215A1D" w:rsidRDefault="00AB35F0" w:rsidP="00215A1D">
      <w:pPr>
        <w:pStyle w:val="USTustnpkodeksu"/>
        <w:numPr>
          <w:ilvl w:val="2"/>
          <w:numId w:val="78"/>
        </w:numPr>
        <w:ind w:left="426"/>
        <w:rPr>
          <w:rFonts w:ascii="Times New Roman" w:hAnsi="Times New Roman" w:cs="Times New Roman"/>
        </w:rPr>
      </w:pPr>
      <w:r>
        <w:rPr>
          <w:rFonts w:ascii="Times New Roman" w:hAnsi="Times New Roman" w:cs="Times New Roman"/>
        </w:rPr>
        <w:t>j</w:t>
      </w:r>
      <w:r w:rsidR="001A6B3C" w:rsidRPr="00215A1D">
        <w:rPr>
          <w:rFonts w:ascii="Times New Roman" w:hAnsi="Times New Roman" w:cs="Times New Roman"/>
        </w:rPr>
        <w:t xml:space="preserve">edna centralna baza </w:t>
      </w:r>
      <w:r w:rsidR="00F03EF8" w:rsidRPr="00215A1D">
        <w:rPr>
          <w:rFonts w:ascii="Times New Roman" w:hAnsi="Times New Roman" w:cs="Times New Roman"/>
        </w:rPr>
        <w:t xml:space="preserve">informacji rynku energii </w:t>
      </w:r>
      <w:r w:rsidR="001A6B3C" w:rsidRPr="00215A1D">
        <w:rPr>
          <w:rFonts w:ascii="Times New Roman" w:hAnsi="Times New Roman" w:cs="Times New Roman"/>
        </w:rPr>
        <w:t>umożliwi zdalne sterowanie prze</w:t>
      </w:r>
      <w:r w:rsidR="001D0628">
        <w:rPr>
          <w:rFonts w:ascii="Times New Roman" w:hAnsi="Times New Roman" w:cs="Times New Roman"/>
        </w:rPr>
        <w:t>z </w:t>
      </w:r>
      <w:r w:rsidR="001A6B3C" w:rsidRPr="00215A1D">
        <w:rPr>
          <w:rFonts w:ascii="Times New Roman" w:hAnsi="Times New Roman" w:cs="Times New Roman"/>
        </w:rPr>
        <w:t>operatora systemu przesyłowego całością generacji rozproszonej prze</w:t>
      </w:r>
      <w:r w:rsidR="001D0628">
        <w:rPr>
          <w:rFonts w:ascii="Times New Roman" w:hAnsi="Times New Roman" w:cs="Times New Roman"/>
        </w:rPr>
        <w:t>z </w:t>
      </w:r>
      <w:r w:rsidR="001A6B3C" w:rsidRPr="00215A1D">
        <w:rPr>
          <w:rFonts w:ascii="Times New Roman" w:hAnsi="Times New Roman" w:cs="Times New Roman"/>
        </w:rPr>
        <w:t>dostęp do aktualnej</w:t>
      </w:r>
      <w:r w:rsidR="001D0628">
        <w:rPr>
          <w:rFonts w:ascii="Times New Roman" w:hAnsi="Times New Roman" w:cs="Times New Roman"/>
        </w:rPr>
        <w:t xml:space="preserve"> i </w:t>
      </w:r>
      <w:r w:rsidR="001A6B3C" w:rsidRPr="00215A1D">
        <w:rPr>
          <w:rFonts w:ascii="Times New Roman" w:hAnsi="Times New Roman" w:cs="Times New Roman"/>
        </w:rPr>
        <w:t>pełnej bazy danych tych wytwórców</w:t>
      </w:r>
      <w:r>
        <w:rPr>
          <w:rFonts w:ascii="Times New Roman" w:hAnsi="Times New Roman" w:cs="Times New Roman"/>
        </w:rPr>
        <w:t>,</w:t>
      </w:r>
    </w:p>
    <w:p w14:paraId="0EED7ED0" w14:textId="14065111" w:rsidR="001A6B3C" w:rsidRPr="00215A1D" w:rsidRDefault="00AB35F0" w:rsidP="00215A1D">
      <w:pPr>
        <w:pStyle w:val="USTustnpkodeksu"/>
        <w:numPr>
          <w:ilvl w:val="2"/>
          <w:numId w:val="78"/>
        </w:numPr>
        <w:ind w:left="426"/>
        <w:rPr>
          <w:rFonts w:ascii="Times New Roman" w:hAnsi="Times New Roman" w:cs="Times New Roman"/>
        </w:rPr>
      </w:pPr>
      <w:r>
        <w:rPr>
          <w:rFonts w:ascii="Times New Roman" w:hAnsi="Times New Roman" w:cs="Times New Roman"/>
        </w:rPr>
        <w:t>z</w:t>
      </w:r>
      <w:r w:rsidR="001A6B3C" w:rsidRPr="00215A1D">
        <w:rPr>
          <w:rFonts w:ascii="Times New Roman" w:hAnsi="Times New Roman" w:cs="Times New Roman"/>
        </w:rPr>
        <w:t>aproponowane w projekcie założeń rozwiązanie jest jedynym</w:t>
      </w:r>
      <w:r w:rsidR="00AB5A94">
        <w:rPr>
          <w:rFonts w:ascii="Times New Roman" w:hAnsi="Times New Roman" w:cs="Times New Roman"/>
        </w:rPr>
        <w:t>,</w:t>
      </w:r>
      <w:r w:rsidR="001A6B3C" w:rsidRPr="00215A1D">
        <w:rPr>
          <w:rFonts w:ascii="Times New Roman" w:hAnsi="Times New Roman" w:cs="Times New Roman"/>
        </w:rPr>
        <w:t xml:space="preserve"> które gwarantuje ciągłość dostępu odbiorcy do swoich danych historycznych, niezależnie od liczby wcześniej zmienionych sprzedawców. Doświadczenie </w:t>
      </w:r>
      <w:r w:rsidR="001D0628">
        <w:rPr>
          <w:rFonts w:ascii="Times New Roman" w:hAnsi="Times New Roman" w:cs="Times New Roman"/>
        </w:rPr>
        <w:t>z </w:t>
      </w:r>
      <w:r w:rsidR="001A6B3C" w:rsidRPr="00215A1D">
        <w:rPr>
          <w:rFonts w:ascii="Times New Roman" w:hAnsi="Times New Roman" w:cs="Times New Roman"/>
        </w:rPr>
        <w:t>innych branż wskazuje na likwidację konta użytkownika wra</w:t>
      </w:r>
      <w:r w:rsidR="001D0628">
        <w:rPr>
          <w:rFonts w:ascii="Times New Roman" w:hAnsi="Times New Roman" w:cs="Times New Roman"/>
        </w:rPr>
        <w:t>z z </w:t>
      </w:r>
      <w:r w:rsidR="001A6B3C" w:rsidRPr="00215A1D">
        <w:rPr>
          <w:rFonts w:ascii="Times New Roman" w:hAnsi="Times New Roman" w:cs="Times New Roman"/>
        </w:rPr>
        <w:t>umieszczonymi w nim historycznymi danymi po zakończeniu umowy</w:t>
      </w:r>
      <w:r>
        <w:rPr>
          <w:rFonts w:ascii="Times New Roman" w:hAnsi="Times New Roman" w:cs="Times New Roman"/>
        </w:rPr>
        <w:t>,</w:t>
      </w:r>
      <w:r w:rsidR="001A6B3C" w:rsidRPr="00215A1D">
        <w:rPr>
          <w:rFonts w:ascii="Times New Roman" w:hAnsi="Times New Roman" w:cs="Times New Roman"/>
        </w:rPr>
        <w:t xml:space="preserve"> </w:t>
      </w:r>
    </w:p>
    <w:p w14:paraId="48269B72" w14:textId="073098CC" w:rsidR="001A6B3C" w:rsidRPr="00215A1D" w:rsidRDefault="00AB35F0" w:rsidP="00215A1D">
      <w:pPr>
        <w:pStyle w:val="USTustnpkodeksu"/>
        <w:numPr>
          <w:ilvl w:val="2"/>
          <w:numId w:val="78"/>
        </w:numPr>
        <w:ind w:left="426"/>
        <w:rPr>
          <w:rFonts w:ascii="Times New Roman" w:hAnsi="Times New Roman" w:cs="Times New Roman"/>
        </w:rPr>
      </w:pPr>
      <w:r>
        <w:rPr>
          <w:rFonts w:ascii="Times New Roman" w:hAnsi="Times New Roman" w:cs="Times New Roman"/>
        </w:rPr>
        <w:t>o</w:t>
      </w:r>
      <w:r w:rsidR="00F03EF8" w:rsidRPr="00215A1D">
        <w:rPr>
          <w:rFonts w:ascii="Times New Roman" w:hAnsi="Times New Roman" w:cs="Times New Roman"/>
        </w:rPr>
        <w:t xml:space="preserve">perator informacji rynku energii </w:t>
      </w:r>
      <w:r w:rsidR="001A6B3C" w:rsidRPr="00215A1D">
        <w:rPr>
          <w:rFonts w:ascii="Times New Roman" w:hAnsi="Times New Roman" w:cs="Times New Roman"/>
        </w:rPr>
        <w:t>stanowi gwarancję standaryzacji technologicznej w komunikacji między uczestnikami rynku ora</w:t>
      </w:r>
      <w:r w:rsidR="001D0628">
        <w:rPr>
          <w:rFonts w:ascii="Times New Roman" w:hAnsi="Times New Roman" w:cs="Times New Roman"/>
        </w:rPr>
        <w:t>z </w:t>
      </w:r>
      <w:r w:rsidR="001A6B3C" w:rsidRPr="00215A1D">
        <w:rPr>
          <w:rFonts w:ascii="Times New Roman" w:hAnsi="Times New Roman" w:cs="Times New Roman"/>
        </w:rPr>
        <w:t>trwałości rozwiązania, szybkości</w:t>
      </w:r>
      <w:r w:rsidR="001D0628">
        <w:rPr>
          <w:rFonts w:ascii="Times New Roman" w:hAnsi="Times New Roman" w:cs="Times New Roman"/>
        </w:rPr>
        <w:t xml:space="preserve"> i </w:t>
      </w:r>
      <w:r w:rsidR="001A6B3C" w:rsidRPr="00215A1D">
        <w:rPr>
          <w:rFonts w:ascii="Times New Roman" w:hAnsi="Times New Roman" w:cs="Times New Roman"/>
        </w:rPr>
        <w:t>bezpieczeństwa przesyłanych danych, a także przejrzystości podziału realizowanych zadań prze</w:t>
      </w:r>
      <w:r w:rsidR="001D0628">
        <w:rPr>
          <w:rFonts w:ascii="Times New Roman" w:hAnsi="Times New Roman" w:cs="Times New Roman"/>
        </w:rPr>
        <w:t>z </w:t>
      </w:r>
      <w:r w:rsidR="001A6B3C" w:rsidRPr="00215A1D">
        <w:rPr>
          <w:rFonts w:ascii="Times New Roman" w:hAnsi="Times New Roman" w:cs="Times New Roman"/>
        </w:rPr>
        <w:t>poszczególnych uczestników rynku energii elektrycznej, co szczególnie istotne znaczenie będzie miało np. w przypadku wystąpienia awarii w systemie</w:t>
      </w:r>
      <w:r>
        <w:rPr>
          <w:rFonts w:ascii="Times New Roman" w:hAnsi="Times New Roman" w:cs="Times New Roman"/>
        </w:rPr>
        <w:t>,</w:t>
      </w:r>
    </w:p>
    <w:p w14:paraId="0C2652DD" w14:textId="03073C3D" w:rsidR="001A6B3C" w:rsidRPr="00215A1D" w:rsidRDefault="00AB35F0" w:rsidP="00215A1D">
      <w:pPr>
        <w:pStyle w:val="USTustnpkodeksu"/>
        <w:numPr>
          <w:ilvl w:val="2"/>
          <w:numId w:val="78"/>
        </w:numPr>
        <w:ind w:left="426"/>
        <w:rPr>
          <w:rFonts w:ascii="Times New Roman" w:hAnsi="Times New Roman" w:cs="Times New Roman"/>
        </w:rPr>
      </w:pPr>
      <w:r>
        <w:rPr>
          <w:rFonts w:ascii="Times New Roman" w:hAnsi="Times New Roman" w:cs="Times New Roman"/>
        </w:rPr>
        <w:lastRenderedPageBreak/>
        <w:t>p</w:t>
      </w:r>
      <w:r w:rsidR="00F03EF8" w:rsidRPr="00215A1D">
        <w:rPr>
          <w:rFonts w:ascii="Times New Roman" w:hAnsi="Times New Roman" w:cs="Times New Roman"/>
        </w:rPr>
        <w:t xml:space="preserve">roponowane rozwiązanie </w:t>
      </w:r>
      <w:r w:rsidR="001A6B3C" w:rsidRPr="00215A1D">
        <w:rPr>
          <w:rFonts w:ascii="Times New Roman" w:hAnsi="Times New Roman" w:cs="Times New Roman"/>
        </w:rPr>
        <w:t>eliminuje ryzyko zastosowania technologii korzystnych tylko dla jednego podmiotu, ale niespełniających wymagań uniwersalności zastosowania w skali kraju ora</w:t>
      </w:r>
      <w:r w:rsidR="001D0628">
        <w:rPr>
          <w:rFonts w:ascii="Times New Roman" w:hAnsi="Times New Roman" w:cs="Times New Roman"/>
        </w:rPr>
        <w:t>z </w:t>
      </w:r>
      <w:r w:rsidR="001A6B3C" w:rsidRPr="00215A1D">
        <w:rPr>
          <w:rFonts w:ascii="Times New Roman" w:hAnsi="Times New Roman" w:cs="Times New Roman"/>
        </w:rPr>
        <w:t>barierę technologiczną</w:t>
      </w:r>
      <w:r w:rsidR="001D0628">
        <w:rPr>
          <w:rFonts w:ascii="Times New Roman" w:hAnsi="Times New Roman" w:cs="Times New Roman"/>
        </w:rPr>
        <w:t xml:space="preserve"> i </w:t>
      </w:r>
      <w:r w:rsidR="001A6B3C" w:rsidRPr="00215A1D">
        <w:rPr>
          <w:rFonts w:ascii="Times New Roman" w:hAnsi="Times New Roman" w:cs="Times New Roman"/>
        </w:rPr>
        <w:t>kosztową dla małego lub średniego sprzedawcy obsługującego odbiorców na terenie całego kraju (ze względu na różnych operatorów systemu dystrybucyjnego)</w:t>
      </w:r>
      <w:r>
        <w:rPr>
          <w:rFonts w:ascii="Times New Roman" w:hAnsi="Times New Roman" w:cs="Times New Roman"/>
        </w:rPr>
        <w:t>,</w:t>
      </w:r>
    </w:p>
    <w:p w14:paraId="354591B9" w14:textId="1563872D" w:rsidR="001A6B3C" w:rsidRPr="00215A1D" w:rsidRDefault="00AB35F0" w:rsidP="00215A1D">
      <w:pPr>
        <w:pStyle w:val="USTustnpkodeksu"/>
        <w:numPr>
          <w:ilvl w:val="2"/>
          <w:numId w:val="78"/>
        </w:numPr>
        <w:ind w:left="426"/>
        <w:rPr>
          <w:rFonts w:ascii="Times New Roman" w:hAnsi="Times New Roman" w:cs="Times New Roman"/>
        </w:rPr>
      </w:pPr>
      <w:r>
        <w:rPr>
          <w:rFonts w:ascii="Times New Roman" w:hAnsi="Times New Roman" w:cs="Times New Roman"/>
        </w:rPr>
        <w:t>w</w:t>
      </w:r>
      <w:r w:rsidR="001A6B3C" w:rsidRPr="00215A1D">
        <w:rPr>
          <w:rFonts w:ascii="Times New Roman" w:hAnsi="Times New Roman" w:cs="Times New Roman"/>
        </w:rPr>
        <w:t xml:space="preserve">prowadzenie jednego </w:t>
      </w:r>
      <w:r w:rsidR="00F03EF8" w:rsidRPr="00215A1D">
        <w:rPr>
          <w:rFonts w:ascii="Times New Roman" w:hAnsi="Times New Roman" w:cs="Times New Roman"/>
        </w:rPr>
        <w:t xml:space="preserve">operatora informacji rynku energii </w:t>
      </w:r>
      <w:r w:rsidR="001A6B3C" w:rsidRPr="00215A1D">
        <w:rPr>
          <w:rFonts w:ascii="Times New Roman" w:hAnsi="Times New Roman" w:cs="Times New Roman"/>
        </w:rPr>
        <w:t>spowoduje znaczne uproszczenie schematu komunikacji między uczestnikami rynku energii elektrycznej</w:t>
      </w:r>
      <w:r w:rsidR="00AB5A94">
        <w:rPr>
          <w:rFonts w:ascii="Times New Roman" w:hAnsi="Times New Roman" w:cs="Times New Roman"/>
        </w:rPr>
        <w:t>,</w:t>
      </w:r>
      <w:r w:rsidR="001A6B3C" w:rsidRPr="00215A1D">
        <w:rPr>
          <w:rFonts w:ascii="Times New Roman" w:hAnsi="Times New Roman" w:cs="Times New Roman"/>
        </w:rPr>
        <w:t xml:space="preserve"> co bezpośrednio wpłynie na poprawienie bezpieczeństwa danych pomiarowych m.in. ze względu na zdecydowanie mniejszą ilość występowania komunikacji </w:t>
      </w:r>
      <w:r w:rsidR="001D0628">
        <w:rPr>
          <w:rFonts w:ascii="Times New Roman" w:hAnsi="Times New Roman" w:cs="Times New Roman"/>
        </w:rPr>
        <w:t>z </w:t>
      </w:r>
      <w:r w:rsidR="001A6B3C" w:rsidRPr="00215A1D">
        <w:rPr>
          <w:rFonts w:ascii="Times New Roman" w:hAnsi="Times New Roman" w:cs="Times New Roman"/>
        </w:rPr>
        <w:t>danymi pomiarowymi, ograniczając do minimum miejsca potencjalnych „wycieków” tych danych</w:t>
      </w:r>
      <w:r>
        <w:rPr>
          <w:rFonts w:ascii="Times New Roman" w:hAnsi="Times New Roman" w:cs="Times New Roman"/>
        </w:rPr>
        <w:t>,</w:t>
      </w:r>
    </w:p>
    <w:p w14:paraId="48F42AD7" w14:textId="665EFCE3" w:rsidR="001A6B3C" w:rsidRPr="00EF6F97" w:rsidRDefault="00AB35F0" w:rsidP="00215A1D">
      <w:pPr>
        <w:pStyle w:val="USTustnpkodeksu"/>
        <w:numPr>
          <w:ilvl w:val="2"/>
          <w:numId w:val="78"/>
        </w:numPr>
        <w:ind w:left="426"/>
        <w:rPr>
          <w:rFonts w:ascii="Times New Roman" w:hAnsi="Times New Roman" w:cs="Times New Roman"/>
          <w:szCs w:val="24"/>
        </w:rPr>
      </w:pPr>
      <w:r>
        <w:rPr>
          <w:rFonts w:ascii="Times New Roman" w:hAnsi="Times New Roman" w:cs="Times New Roman"/>
        </w:rPr>
        <w:t>z</w:t>
      </w:r>
      <w:r w:rsidR="001A6B3C" w:rsidRPr="00215A1D">
        <w:rPr>
          <w:rFonts w:ascii="Times New Roman" w:hAnsi="Times New Roman" w:cs="Times New Roman"/>
        </w:rPr>
        <w:t xml:space="preserve">e względu na duże znaczenie </w:t>
      </w:r>
      <w:r w:rsidR="00F03EF8" w:rsidRPr="00215A1D">
        <w:rPr>
          <w:rFonts w:ascii="Times New Roman" w:hAnsi="Times New Roman" w:cs="Times New Roman"/>
        </w:rPr>
        <w:t xml:space="preserve">informacji rynku energii, w tym </w:t>
      </w:r>
      <w:r w:rsidR="001A6B3C" w:rsidRPr="00215A1D">
        <w:rPr>
          <w:rFonts w:ascii="Times New Roman" w:hAnsi="Times New Roman" w:cs="Times New Roman"/>
        </w:rPr>
        <w:t>danych pomiarowych</w:t>
      </w:r>
      <w:r w:rsidR="00AB5A94">
        <w:rPr>
          <w:rFonts w:ascii="Times New Roman" w:hAnsi="Times New Roman" w:cs="Times New Roman"/>
        </w:rPr>
        <w:t>,</w:t>
      </w:r>
      <w:r w:rsidR="001A6B3C" w:rsidRPr="00215A1D">
        <w:rPr>
          <w:rFonts w:ascii="Times New Roman" w:hAnsi="Times New Roman" w:cs="Times New Roman"/>
        </w:rPr>
        <w:t xml:space="preserve"> bardzo ważną </w:t>
      </w:r>
      <w:r w:rsidR="001A6B3C" w:rsidRPr="00EF6F97">
        <w:rPr>
          <w:rFonts w:ascii="Times New Roman" w:hAnsi="Times New Roman" w:cs="Times New Roman"/>
          <w:szCs w:val="24"/>
        </w:rPr>
        <w:t xml:space="preserve">rolę będzie odgrywała kontrola poprawności przetwarzania tych danych. Jeden </w:t>
      </w:r>
      <w:r w:rsidR="00F03EF8" w:rsidRPr="00EF6F97">
        <w:rPr>
          <w:rFonts w:ascii="Times New Roman" w:hAnsi="Times New Roman" w:cs="Times New Roman"/>
          <w:szCs w:val="24"/>
        </w:rPr>
        <w:t xml:space="preserve">operator informacji rynku energii </w:t>
      </w:r>
      <w:r w:rsidR="001A6B3C" w:rsidRPr="00EF6F97">
        <w:rPr>
          <w:rFonts w:ascii="Times New Roman" w:hAnsi="Times New Roman" w:cs="Times New Roman"/>
          <w:szCs w:val="24"/>
        </w:rPr>
        <w:t>zdecydowania upraszcza realizację tej funkcji.</w:t>
      </w:r>
    </w:p>
    <w:p w14:paraId="5A1C62A1" w14:textId="2645813F" w:rsidR="001A6B3C" w:rsidRPr="00215A1D" w:rsidRDefault="00EF6F97" w:rsidP="00EF6F97">
      <w:pPr>
        <w:pStyle w:val="USTustnpkodeksu"/>
        <w:rPr>
          <w:rFonts w:ascii="Times New Roman" w:hAnsi="Times New Roman" w:cs="Times New Roman"/>
          <w:u w:val="single"/>
        </w:rPr>
      </w:pPr>
      <w:r w:rsidRPr="00EF6F97">
        <w:rPr>
          <w:rFonts w:ascii="Times New Roman" w:hAnsi="Times New Roman" w:cs="Times New Roman"/>
          <w:szCs w:val="24"/>
        </w:rPr>
        <w:tab/>
      </w:r>
      <w:r w:rsidR="001A6B3C" w:rsidRPr="00EF6F97">
        <w:rPr>
          <w:rFonts w:ascii="Times New Roman" w:hAnsi="Times New Roman" w:cs="Times New Roman"/>
          <w:szCs w:val="24"/>
        </w:rPr>
        <w:t>W projekcie ustawy wskazuje się, że zadania operatora</w:t>
      </w:r>
      <w:r w:rsidR="001A6B3C" w:rsidRPr="00215A1D">
        <w:rPr>
          <w:rFonts w:ascii="Times New Roman" w:hAnsi="Times New Roman" w:cs="Times New Roman"/>
        </w:rPr>
        <w:t xml:space="preserve"> informacji </w:t>
      </w:r>
      <w:r w:rsidR="00F03EF8" w:rsidRPr="00215A1D">
        <w:rPr>
          <w:rFonts w:ascii="Times New Roman" w:hAnsi="Times New Roman" w:cs="Times New Roman"/>
        </w:rPr>
        <w:t xml:space="preserve">rynku energii </w:t>
      </w:r>
      <w:r w:rsidR="001A6B3C" w:rsidRPr="00215A1D">
        <w:rPr>
          <w:rFonts w:ascii="Times New Roman" w:hAnsi="Times New Roman" w:cs="Times New Roman"/>
        </w:rPr>
        <w:t>wykonywać będzie operator systemu przesyłowego elektroenergetycznego, bowiem podmiot wykonujący zadania operatora informacji</w:t>
      </w:r>
      <w:r w:rsidR="00F03EF8" w:rsidRPr="00215A1D">
        <w:rPr>
          <w:rFonts w:ascii="Times New Roman" w:hAnsi="Times New Roman" w:cs="Times New Roman"/>
        </w:rPr>
        <w:t xml:space="preserve"> rynku energii </w:t>
      </w:r>
      <w:r w:rsidR="001A6B3C" w:rsidRPr="00215A1D">
        <w:rPr>
          <w:rFonts w:ascii="Times New Roman" w:hAnsi="Times New Roman" w:cs="Times New Roman"/>
        </w:rPr>
        <w:t>(OI</w:t>
      </w:r>
      <w:r w:rsidR="00F03EF8" w:rsidRPr="00215A1D">
        <w:rPr>
          <w:rFonts w:ascii="Times New Roman" w:hAnsi="Times New Roman" w:cs="Times New Roman"/>
        </w:rPr>
        <w:t>RE</w:t>
      </w:r>
      <w:r w:rsidR="001A6B3C" w:rsidRPr="00215A1D">
        <w:rPr>
          <w:rFonts w:ascii="Times New Roman" w:hAnsi="Times New Roman" w:cs="Times New Roman"/>
        </w:rPr>
        <w:t>) powinien posiadać formę prawną zapewniającą niezależność od innych uczestników rynku energii, w szczególności</w:t>
      </w:r>
      <w:r w:rsidR="00AB5A94">
        <w:rPr>
          <w:rFonts w:ascii="Times New Roman" w:hAnsi="Times New Roman" w:cs="Times New Roman"/>
        </w:rPr>
        <w:t xml:space="preserve"> </w:t>
      </w:r>
      <w:r w:rsidR="001A6B3C" w:rsidRPr="00215A1D">
        <w:rPr>
          <w:rFonts w:ascii="Times New Roman" w:hAnsi="Times New Roman" w:cs="Times New Roman"/>
        </w:rPr>
        <w:t>sprzedawców</w:t>
      </w:r>
      <w:r w:rsidR="001D0628">
        <w:rPr>
          <w:rFonts w:ascii="Times New Roman" w:hAnsi="Times New Roman" w:cs="Times New Roman"/>
        </w:rPr>
        <w:t xml:space="preserve"> i </w:t>
      </w:r>
      <w:r w:rsidR="001A6B3C" w:rsidRPr="00215A1D">
        <w:rPr>
          <w:rFonts w:ascii="Times New Roman" w:hAnsi="Times New Roman" w:cs="Times New Roman"/>
        </w:rPr>
        <w:t>dystrybutorów energii elektrycznej. Umiejscowienie OI</w:t>
      </w:r>
      <w:r w:rsidR="00F03EF8" w:rsidRPr="00215A1D">
        <w:rPr>
          <w:rFonts w:ascii="Times New Roman" w:hAnsi="Times New Roman" w:cs="Times New Roman"/>
        </w:rPr>
        <w:t>RE</w:t>
      </w:r>
      <w:r w:rsidR="001A6B3C" w:rsidRPr="00215A1D">
        <w:rPr>
          <w:rFonts w:ascii="Times New Roman" w:hAnsi="Times New Roman" w:cs="Times New Roman"/>
        </w:rPr>
        <w:t xml:space="preserve"> powinno gwarantować </w:t>
      </w:r>
      <w:r w:rsidR="001D0628">
        <w:rPr>
          <w:rFonts w:ascii="Times New Roman" w:hAnsi="Times New Roman" w:cs="Times New Roman"/>
        </w:rPr>
        <w:t>z </w:t>
      </w:r>
      <w:r w:rsidR="001A6B3C" w:rsidRPr="00215A1D">
        <w:rPr>
          <w:rFonts w:ascii="Times New Roman" w:hAnsi="Times New Roman" w:cs="Times New Roman"/>
        </w:rPr>
        <w:t xml:space="preserve">jednej strony skuteczny nadzór nad jego działalnością, a </w:t>
      </w:r>
      <w:r w:rsidR="001D0628">
        <w:rPr>
          <w:rFonts w:ascii="Times New Roman" w:hAnsi="Times New Roman" w:cs="Times New Roman"/>
        </w:rPr>
        <w:t>z </w:t>
      </w:r>
      <w:r w:rsidR="001A6B3C" w:rsidRPr="00215A1D">
        <w:rPr>
          <w:rFonts w:ascii="Times New Roman" w:hAnsi="Times New Roman" w:cs="Times New Roman"/>
        </w:rPr>
        <w:t>drugiej dawać rękojmę sprawnego zarządzania procesem budowy</w:t>
      </w:r>
      <w:r w:rsidR="00AB5A94">
        <w:rPr>
          <w:rFonts w:ascii="Times New Roman" w:hAnsi="Times New Roman" w:cs="Times New Roman"/>
        </w:rPr>
        <w:t>,</w:t>
      </w:r>
      <w:r w:rsidR="001A6B3C" w:rsidRPr="00215A1D">
        <w:rPr>
          <w:rFonts w:ascii="Times New Roman" w:hAnsi="Times New Roman" w:cs="Times New Roman"/>
        </w:rPr>
        <w:t xml:space="preserve"> a następnie utrzymania systemu </w:t>
      </w:r>
      <w:r w:rsidR="00B077B9">
        <w:rPr>
          <w:rFonts w:ascii="Times New Roman" w:hAnsi="Times New Roman" w:cs="Times New Roman"/>
        </w:rPr>
        <w:t>informacyjnego</w:t>
      </w:r>
      <w:r w:rsidR="001A6B3C" w:rsidRPr="00215A1D">
        <w:rPr>
          <w:rFonts w:ascii="Times New Roman" w:hAnsi="Times New Roman" w:cs="Times New Roman"/>
        </w:rPr>
        <w:t>. Obecnie w wielu państwach w Europie nie został przesądzony model repozytorium danych pomiarowych. W tych, w których to uczyniono</w:t>
      </w:r>
      <w:r w:rsidR="00AB5A94">
        <w:rPr>
          <w:rFonts w:ascii="Times New Roman" w:hAnsi="Times New Roman" w:cs="Times New Roman"/>
        </w:rPr>
        <w:t>,</w:t>
      </w:r>
      <w:r w:rsidR="001A6B3C" w:rsidRPr="00215A1D">
        <w:rPr>
          <w:rFonts w:ascii="Times New Roman" w:hAnsi="Times New Roman" w:cs="Times New Roman"/>
        </w:rPr>
        <w:t xml:space="preserve"> widać wyraźne tendencje </w:t>
      </w:r>
      <w:r w:rsidR="00F03EF8" w:rsidRPr="00215A1D">
        <w:rPr>
          <w:rFonts w:ascii="Times New Roman" w:hAnsi="Times New Roman" w:cs="Times New Roman"/>
        </w:rPr>
        <w:t>do</w:t>
      </w:r>
      <w:r w:rsidR="001A6B3C" w:rsidRPr="00215A1D">
        <w:rPr>
          <w:rFonts w:ascii="Times New Roman" w:hAnsi="Times New Roman" w:cs="Times New Roman"/>
        </w:rPr>
        <w:t xml:space="preserve"> powierzeni</w:t>
      </w:r>
      <w:r w:rsidR="00AB35F0">
        <w:rPr>
          <w:rFonts w:ascii="Times New Roman" w:hAnsi="Times New Roman" w:cs="Times New Roman"/>
        </w:rPr>
        <w:t xml:space="preserve">a </w:t>
      </w:r>
      <w:r w:rsidR="001A6B3C" w:rsidRPr="00215A1D">
        <w:rPr>
          <w:rFonts w:ascii="Times New Roman" w:hAnsi="Times New Roman" w:cs="Times New Roman"/>
        </w:rPr>
        <w:t>tych zadań operatorowi systemu przesyłowego elektroenergetycznego lub ew</w:t>
      </w:r>
      <w:r w:rsidR="00AB35F0">
        <w:rPr>
          <w:rFonts w:ascii="Times New Roman" w:hAnsi="Times New Roman" w:cs="Times New Roman"/>
        </w:rPr>
        <w:t>entualnie</w:t>
      </w:r>
      <w:r w:rsidR="001A6B3C" w:rsidRPr="00215A1D">
        <w:rPr>
          <w:rFonts w:ascii="Times New Roman" w:hAnsi="Times New Roman" w:cs="Times New Roman"/>
        </w:rPr>
        <w:t xml:space="preserve"> spółce zależnej od tego operatora (Finlandia czy Norwegia). </w:t>
      </w:r>
      <w:r w:rsidR="00D975AF" w:rsidRPr="00215A1D">
        <w:rPr>
          <w:rFonts w:ascii="Times New Roman" w:hAnsi="Times New Roman" w:cs="Times New Roman"/>
        </w:rPr>
        <w:t xml:space="preserve">Dodatkowo należy zaznaczyć, że zgodnie </w:t>
      </w:r>
      <w:r w:rsidR="001D0628">
        <w:rPr>
          <w:rFonts w:ascii="Times New Roman" w:hAnsi="Times New Roman" w:cs="Times New Roman"/>
        </w:rPr>
        <w:t>z </w:t>
      </w:r>
      <w:r w:rsidR="00D975AF" w:rsidRPr="00215A1D">
        <w:rPr>
          <w:rFonts w:ascii="Times New Roman" w:hAnsi="Times New Roman" w:cs="Times New Roman"/>
        </w:rPr>
        <w:t xml:space="preserve">art. 40 ust. 8 dyrektywy 944/2019: Art. 40 dyrektywy: </w:t>
      </w:r>
      <w:r w:rsidR="00D975AF" w:rsidRPr="00215A1D">
        <w:rPr>
          <w:rFonts w:ascii="Times New Roman" w:hAnsi="Times New Roman" w:cs="Times New Roman"/>
          <w:i/>
        </w:rPr>
        <w:t>Państwa członkowskie lub wyznaczone prze</w:t>
      </w:r>
      <w:r w:rsidR="001D0628">
        <w:rPr>
          <w:rFonts w:ascii="Times New Roman" w:hAnsi="Times New Roman" w:cs="Times New Roman"/>
          <w:i/>
        </w:rPr>
        <w:t>z </w:t>
      </w:r>
      <w:r w:rsidR="00D975AF" w:rsidRPr="00215A1D">
        <w:rPr>
          <w:rFonts w:ascii="Times New Roman" w:hAnsi="Times New Roman" w:cs="Times New Roman"/>
          <w:i/>
        </w:rPr>
        <w:t>nie właściwe organy mogą zezwolić operatorom systemów przesyłowych na wykonywanie czynności innych niż przewidziane w niniejszej dyrektywie</w:t>
      </w:r>
      <w:r w:rsidR="001D0628">
        <w:rPr>
          <w:rFonts w:ascii="Times New Roman" w:hAnsi="Times New Roman" w:cs="Times New Roman"/>
          <w:i/>
        </w:rPr>
        <w:t xml:space="preserve"> i </w:t>
      </w:r>
      <w:r w:rsidR="00D975AF" w:rsidRPr="00215A1D">
        <w:rPr>
          <w:rFonts w:ascii="Times New Roman" w:hAnsi="Times New Roman" w:cs="Times New Roman"/>
          <w:i/>
        </w:rPr>
        <w:t xml:space="preserve">w rozporządzeniu (UE) 2019/943, jeżeli działania te są niezbędne, by operatorzy systemów przesyłowych wypełnili obowiązki wynikające </w:t>
      </w:r>
      <w:r w:rsidR="001D0628">
        <w:rPr>
          <w:rFonts w:ascii="Times New Roman" w:hAnsi="Times New Roman" w:cs="Times New Roman"/>
          <w:i/>
        </w:rPr>
        <w:t>z </w:t>
      </w:r>
      <w:r w:rsidR="00D975AF" w:rsidRPr="00215A1D">
        <w:rPr>
          <w:rFonts w:ascii="Times New Roman" w:hAnsi="Times New Roman" w:cs="Times New Roman"/>
          <w:i/>
        </w:rPr>
        <w:t xml:space="preserve">niniejszej dyrektywy lub </w:t>
      </w:r>
      <w:r w:rsidR="001D0628">
        <w:rPr>
          <w:rFonts w:ascii="Times New Roman" w:hAnsi="Times New Roman" w:cs="Times New Roman"/>
          <w:i/>
        </w:rPr>
        <w:t>z </w:t>
      </w:r>
      <w:r w:rsidR="00D975AF" w:rsidRPr="00215A1D">
        <w:rPr>
          <w:rFonts w:ascii="Times New Roman" w:hAnsi="Times New Roman" w:cs="Times New Roman"/>
          <w:i/>
        </w:rPr>
        <w:t xml:space="preserve">rozporządzenia (UE) 2019/943, pod warunkiem że organ regulacyjny ocenił konieczność zastosowania takiego odstępstwa. </w:t>
      </w:r>
      <w:r w:rsidR="00D975AF" w:rsidRPr="00215A1D">
        <w:rPr>
          <w:rFonts w:ascii="Times New Roman" w:hAnsi="Times New Roman" w:cs="Times New Roman"/>
          <w:i/>
          <w:u w:val="single"/>
        </w:rPr>
        <w:t>Niniejszy ustęp pozostaje be</w:t>
      </w:r>
      <w:r w:rsidR="001D0628">
        <w:rPr>
          <w:rFonts w:ascii="Times New Roman" w:hAnsi="Times New Roman" w:cs="Times New Roman"/>
          <w:i/>
          <w:u w:val="single"/>
        </w:rPr>
        <w:t>z </w:t>
      </w:r>
      <w:r w:rsidR="00D975AF" w:rsidRPr="00215A1D">
        <w:rPr>
          <w:rFonts w:ascii="Times New Roman" w:hAnsi="Times New Roman" w:cs="Times New Roman"/>
          <w:i/>
          <w:u w:val="single"/>
        </w:rPr>
        <w:t xml:space="preserve">uszczerbku dla prawa operatorów systemów przesyłowych do bycia właścicielem, tworzenia lub obsługi sieci </w:t>
      </w:r>
      <w:r w:rsidR="00D975AF" w:rsidRPr="00215A1D">
        <w:rPr>
          <w:rFonts w:ascii="Times New Roman" w:hAnsi="Times New Roman" w:cs="Times New Roman"/>
          <w:i/>
          <w:u w:val="single"/>
        </w:rPr>
        <w:lastRenderedPageBreak/>
        <w:t>innych niż sieci elektroenergetyczne, lub zarządzania nimi, jeżeli państwo członkowskie lub wyznaczony właściwy organ przyznały takie prawo.</w:t>
      </w:r>
    </w:p>
    <w:p w14:paraId="0E00A33E" w14:textId="6E48A878" w:rsidR="001A6B3C"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1A6B3C" w:rsidRPr="00215A1D">
        <w:rPr>
          <w:rFonts w:ascii="Times New Roman" w:hAnsi="Times New Roman" w:cs="Times New Roman"/>
        </w:rPr>
        <w:t>Dodatkowo, opróc</w:t>
      </w:r>
      <w:r w:rsidR="001D0628">
        <w:rPr>
          <w:rFonts w:ascii="Times New Roman" w:hAnsi="Times New Roman" w:cs="Times New Roman"/>
        </w:rPr>
        <w:t>z </w:t>
      </w:r>
      <w:r w:rsidR="001A6B3C" w:rsidRPr="00215A1D">
        <w:rPr>
          <w:rFonts w:ascii="Times New Roman" w:hAnsi="Times New Roman" w:cs="Times New Roman"/>
        </w:rPr>
        <w:t>ww. argumentów</w:t>
      </w:r>
      <w:r w:rsidR="00AB5A94">
        <w:rPr>
          <w:rFonts w:ascii="Times New Roman" w:hAnsi="Times New Roman" w:cs="Times New Roman"/>
        </w:rPr>
        <w:t>,</w:t>
      </w:r>
      <w:r w:rsidR="001A6B3C" w:rsidRPr="00215A1D">
        <w:rPr>
          <w:rFonts w:ascii="Times New Roman" w:hAnsi="Times New Roman" w:cs="Times New Roman"/>
        </w:rPr>
        <w:t xml:space="preserve"> za powierzeniem pełnienia funkcji OI</w:t>
      </w:r>
      <w:r w:rsidR="00F03EF8" w:rsidRPr="00215A1D">
        <w:rPr>
          <w:rFonts w:ascii="Times New Roman" w:hAnsi="Times New Roman" w:cs="Times New Roman"/>
        </w:rPr>
        <w:t>RE</w:t>
      </w:r>
      <w:r w:rsidR="001A6B3C" w:rsidRPr="00215A1D">
        <w:rPr>
          <w:rFonts w:ascii="Times New Roman" w:hAnsi="Times New Roman" w:cs="Times New Roman"/>
        </w:rPr>
        <w:t xml:space="preserve"> operatorowi systemu przesyłowego elektroenergetycznego przemawiają argumenty o charakterze ekonomicznym</w:t>
      </w:r>
      <w:r w:rsidR="00F03EF8" w:rsidRPr="00215A1D">
        <w:rPr>
          <w:rFonts w:ascii="Times New Roman" w:hAnsi="Times New Roman" w:cs="Times New Roman"/>
        </w:rPr>
        <w:t>,</w:t>
      </w:r>
      <w:r w:rsidR="001A6B3C" w:rsidRPr="00215A1D">
        <w:rPr>
          <w:rFonts w:ascii="Times New Roman" w:hAnsi="Times New Roman" w:cs="Times New Roman"/>
        </w:rPr>
        <w:t xml:space="preserve"> jak brak konieczności powołania nowego podmiotu czy posiadanie gotowych rozwiązań gwarantujących przetwarzanie </w:t>
      </w:r>
      <w:r w:rsidR="00F03EF8" w:rsidRPr="00215A1D">
        <w:rPr>
          <w:rFonts w:ascii="Times New Roman" w:hAnsi="Times New Roman" w:cs="Times New Roman"/>
        </w:rPr>
        <w:t xml:space="preserve">informacji rynku energii </w:t>
      </w:r>
      <w:r w:rsidR="001A6B3C" w:rsidRPr="00215A1D">
        <w:rPr>
          <w:rFonts w:ascii="Times New Roman" w:hAnsi="Times New Roman" w:cs="Times New Roman"/>
        </w:rPr>
        <w:t>przy zachowaniu jak najwyższych standardów bezpieczeństwa.</w:t>
      </w:r>
    </w:p>
    <w:p w14:paraId="49833274" w14:textId="77777777" w:rsidR="00271648" w:rsidRPr="00EF6F97" w:rsidRDefault="00271648" w:rsidP="00AB5A94">
      <w:pPr>
        <w:pStyle w:val="Default"/>
        <w:spacing w:line="360" w:lineRule="auto"/>
        <w:ind w:firstLine="510"/>
        <w:jc w:val="both"/>
        <w:rPr>
          <w:rFonts w:ascii="Times New Roman" w:hAnsi="Times New Roman" w:cs="Times New Roman"/>
        </w:rPr>
      </w:pPr>
      <w:r w:rsidRPr="00EF6F97">
        <w:rPr>
          <w:rFonts w:ascii="Times New Roman" w:hAnsi="Times New Roman" w:cs="Times New Roman"/>
        </w:rPr>
        <w:t xml:space="preserve">Zbieżne stanowisko </w:t>
      </w:r>
      <w:r w:rsidR="001D0628">
        <w:rPr>
          <w:rFonts w:ascii="Times New Roman" w:hAnsi="Times New Roman" w:cs="Times New Roman"/>
        </w:rPr>
        <w:t>z </w:t>
      </w:r>
      <w:r w:rsidRPr="00EF6F97">
        <w:rPr>
          <w:rFonts w:ascii="Times New Roman" w:hAnsi="Times New Roman" w:cs="Times New Roman"/>
        </w:rPr>
        <w:t>ww. opiniami przedstawił też Prezes URE w stanowisku pt. „</w:t>
      </w:r>
      <w:r w:rsidRPr="00EF6F97">
        <w:rPr>
          <w:rFonts w:ascii="Times New Roman" w:hAnsi="Times New Roman" w:cs="Times New Roman"/>
          <w:bCs/>
        </w:rPr>
        <w:t xml:space="preserve">Koncepcja dotycząca modelu rynku opomiarowania w Polsce, ze szczególnym uwzględnieniem wymagań” </w:t>
      </w:r>
      <w:r w:rsidR="001D0628">
        <w:rPr>
          <w:rFonts w:ascii="Times New Roman" w:hAnsi="Times New Roman" w:cs="Times New Roman"/>
          <w:bCs/>
        </w:rPr>
        <w:t>z </w:t>
      </w:r>
      <w:r w:rsidRPr="00EF6F97">
        <w:rPr>
          <w:rFonts w:ascii="Times New Roman" w:hAnsi="Times New Roman" w:cs="Times New Roman"/>
          <w:bCs/>
        </w:rPr>
        <w:t>dnia 9 maja 2012 r</w:t>
      </w:r>
      <w:r w:rsidRPr="00EF6F97">
        <w:rPr>
          <w:rStyle w:val="Odwoanieprzypisudolnego"/>
          <w:rFonts w:ascii="Times New Roman" w:hAnsi="Times New Roman" w:cs="Times New Roman"/>
          <w:bCs/>
        </w:rPr>
        <w:footnoteReference w:id="5"/>
      </w:r>
      <w:r w:rsidRPr="00EF6F97">
        <w:rPr>
          <w:rFonts w:ascii="Times New Roman" w:hAnsi="Times New Roman" w:cs="Times New Roman"/>
          <w:bCs/>
        </w:rPr>
        <w:t xml:space="preserve">. </w:t>
      </w:r>
    </w:p>
    <w:p w14:paraId="49335712" w14:textId="02B3EDF5" w:rsidR="001A6B3C"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F03EF8" w:rsidRPr="00215A1D">
        <w:rPr>
          <w:rFonts w:ascii="Times New Roman" w:hAnsi="Times New Roman" w:cs="Times New Roman"/>
        </w:rPr>
        <w:t>Przepis art. 11z ust. 1 nakłada obowiązek na użytkowników systemu elektroenergetycznego realizacji procesów rynku energii elektrycznej wyłącznie za pośrednictwem centr</w:t>
      </w:r>
      <w:r w:rsidR="007A55BB" w:rsidRPr="00215A1D">
        <w:rPr>
          <w:rFonts w:ascii="Times New Roman" w:hAnsi="Times New Roman" w:cs="Times New Roman"/>
        </w:rPr>
        <w:t xml:space="preserve">alnego systemu informacji rynku energii. </w:t>
      </w:r>
      <w:r w:rsidR="00AB35F0">
        <w:rPr>
          <w:rFonts w:ascii="Times New Roman" w:hAnsi="Times New Roman" w:cs="Times New Roman"/>
        </w:rPr>
        <w:t>Z kolei u</w:t>
      </w:r>
      <w:r w:rsidR="00A0542F" w:rsidRPr="00215A1D">
        <w:rPr>
          <w:rFonts w:ascii="Times New Roman" w:hAnsi="Times New Roman" w:cs="Times New Roman"/>
        </w:rPr>
        <w:t xml:space="preserve">st. 2 </w:t>
      </w:r>
      <w:r w:rsidR="00AB35F0">
        <w:rPr>
          <w:rFonts w:ascii="Times New Roman" w:hAnsi="Times New Roman" w:cs="Times New Roman"/>
        </w:rPr>
        <w:t xml:space="preserve">tego artykułu </w:t>
      </w:r>
      <w:r w:rsidR="00A0542F" w:rsidRPr="00215A1D">
        <w:rPr>
          <w:rFonts w:ascii="Times New Roman" w:hAnsi="Times New Roman" w:cs="Times New Roman"/>
        </w:rPr>
        <w:t>dotyczy możliwości wymiany innych informacji prze</w:t>
      </w:r>
      <w:r w:rsidR="001D0628">
        <w:rPr>
          <w:rFonts w:ascii="Times New Roman" w:hAnsi="Times New Roman" w:cs="Times New Roman"/>
        </w:rPr>
        <w:t>z </w:t>
      </w:r>
      <w:r w:rsidR="00A0542F" w:rsidRPr="00215A1D">
        <w:rPr>
          <w:rFonts w:ascii="Times New Roman" w:hAnsi="Times New Roman" w:cs="Times New Roman"/>
        </w:rPr>
        <w:t xml:space="preserve">CSIRE. </w:t>
      </w:r>
      <w:r w:rsidR="00997743" w:rsidRPr="00215A1D">
        <w:rPr>
          <w:rFonts w:ascii="Times New Roman" w:hAnsi="Times New Roman" w:cs="Times New Roman"/>
        </w:rPr>
        <w:t>Przepis</w:t>
      </w:r>
      <w:r w:rsidR="00057BA7" w:rsidRPr="00215A1D">
        <w:rPr>
          <w:rFonts w:ascii="Times New Roman" w:hAnsi="Times New Roman" w:cs="Times New Roman"/>
        </w:rPr>
        <w:t>y ust. 1</w:t>
      </w:r>
      <w:r w:rsidR="001D0628">
        <w:rPr>
          <w:rFonts w:ascii="Times New Roman" w:hAnsi="Times New Roman" w:cs="Times New Roman"/>
        </w:rPr>
        <w:t xml:space="preserve"> i </w:t>
      </w:r>
      <w:r w:rsidR="00057BA7" w:rsidRPr="00215A1D">
        <w:rPr>
          <w:rFonts w:ascii="Times New Roman" w:hAnsi="Times New Roman" w:cs="Times New Roman"/>
        </w:rPr>
        <w:t>2</w:t>
      </w:r>
      <w:r w:rsidR="00AB35F0">
        <w:rPr>
          <w:rFonts w:ascii="Times New Roman" w:hAnsi="Times New Roman" w:cs="Times New Roman"/>
        </w:rPr>
        <w:t xml:space="preserve"> </w:t>
      </w:r>
      <w:r w:rsidR="00997743" w:rsidRPr="00215A1D">
        <w:rPr>
          <w:rFonts w:ascii="Times New Roman" w:hAnsi="Times New Roman" w:cs="Times New Roman"/>
        </w:rPr>
        <w:t>zaczn</w:t>
      </w:r>
      <w:r w:rsidR="00057BA7" w:rsidRPr="00215A1D">
        <w:rPr>
          <w:rFonts w:ascii="Times New Roman" w:hAnsi="Times New Roman" w:cs="Times New Roman"/>
        </w:rPr>
        <w:t>ą</w:t>
      </w:r>
      <w:r w:rsidR="00997743" w:rsidRPr="00215A1D">
        <w:rPr>
          <w:rFonts w:ascii="Times New Roman" w:hAnsi="Times New Roman" w:cs="Times New Roman"/>
        </w:rPr>
        <w:t xml:space="preserve"> obowiązywać po wdrożeniu CSIRE. </w:t>
      </w:r>
    </w:p>
    <w:p w14:paraId="51A01997" w14:textId="1BBBC291" w:rsidR="00997743"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057BA7" w:rsidRPr="00215A1D">
        <w:rPr>
          <w:rFonts w:ascii="Times New Roman" w:hAnsi="Times New Roman" w:cs="Times New Roman"/>
        </w:rPr>
        <w:t>P</w:t>
      </w:r>
      <w:r w:rsidR="00997743" w:rsidRPr="00215A1D">
        <w:rPr>
          <w:rFonts w:ascii="Times New Roman" w:hAnsi="Times New Roman" w:cs="Times New Roman"/>
        </w:rPr>
        <w:t xml:space="preserve">rzepisy art. 11z </w:t>
      </w:r>
      <w:r w:rsidR="00057BA7" w:rsidRPr="00215A1D">
        <w:rPr>
          <w:rFonts w:ascii="Times New Roman" w:hAnsi="Times New Roman" w:cs="Times New Roman"/>
        </w:rPr>
        <w:t>ust. 3</w:t>
      </w:r>
      <w:r w:rsidR="001D0628">
        <w:rPr>
          <w:rFonts w:ascii="Times New Roman" w:hAnsi="Times New Roman" w:cs="Times New Roman"/>
        </w:rPr>
        <w:t xml:space="preserve"> i </w:t>
      </w:r>
      <w:r w:rsidR="00057BA7" w:rsidRPr="00215A1D">
        <w:rPr>
          <w:rFonts w:ascii="Times New Roman" w:hAnsi="Times New Roman" w:cs="Times New Roman"/>
        </w:rPr>
        <w:t xml:space="preserve">4 </w:t>
      </w:r>
      <w:r w:rsidR="00A0542F" w:rsidRPr="00215A1D">
        <w:rPr>
          <w:rFonts w:ascii="Times New Roman" w:hAnsi="Times New Roman" w:cs="Times New Roman"/>
        </w:rPr>
        <w:t>określają</w:t>
      </w:r>
      <w:r w:rsidR="00CF0C86">
        <w:rPr>
          <w:rFonts w:ascii="Times New Roman" w:hAnsi="Times New Roman" w:cs="Times New Roman"/>
        </w:rPr>
        <w:t xml:space="preserve"> </w:t>
      </w:r>
      <w:r w:rsidR="00997743" w:rsidRPr="00215A1D">
        <w:rPr>
          <w:rFonts w:ascii="Times New Roman" w:hAnsi="Times New Roman" w:cs="Times New Roman"/>
        </w:rPr>
        <w:t>tryb aktualizacji</w:t>
      </w:r>
      <w:r w:rsidR="00AB35F0">
        <w:rPr>
          <w:rFonts w:ascii="Times New Roman" w:hAnsi="Times New Roman" w:cs="Times New Roman"/>
        </w:rPr>
        <w:t>,</w:t>
      </w:r>
      <w:r w:rsidR="00997743" w:rsidRPr="00215A1D">
        <w:rPr>
          <w:rFonts w:ascii="Times New Roman" w:hAnsi="Times New Roman" w:cs="Times New Roman"/>
        </w:rPr>
        <w:t xml:space="preserve"> a także zawartoś</w:t>
      </w:r>
      <w:r w:rsidR="00A0542F" w:rsidRPr="00215A1D">
        <w:rPr>
          <w:rFonts w:ascii="Times New Roman" w:hAnsi="Times New Roman" w:cs="Times New Roman"/>
        </w:rPr>
        <w:t>ć</w:t>
      </w:r>
      <w:r w:rsidR="00997743" w:rsidRPr="00215A1D">
        <w:rPr>
          <w:rFonts w:ascii="Times New Roman" w:hAnsi="Times New Roman" w:cs="Times New Roman"/>
        </w:rPr>
        <w:t xml:space="preserve"> standardów wymiany informacji CSIRE.</w:t>
      </w:r>
    </w:p>
    <w:p w14:paraId="06029DB6" w14:textId="537C14B1" w:rsidR="00997743"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997743" w:rsidRPr="00215A1D">
        <w:rPr>
          <w:rFonts w:ascii="Times New Roman" w:hAnsi="Times New Roman" w:cs="Times New Roman"/>
        </w:rPr>
        <w:t>Przepisy art. 11z</w:t>
      </w:r>
      <w:r w:rsidR="00810D8B">
        <w:rPr>
          <w:rFonts w:ascii="Times New Roman" w:hAnsi="Times New Roman" w:cs="Times New Roman"/>
        </w:rPr>
        <w:t>a</w:t>
      </w:r>
      <w:r w:rsidR="00997743" w:rsidRPr="00215A1D">
        <w:rPr>
          <w:rFonts w:ascii="Times New Roman" w:hAnsi="Times New Roman" w:cs="Times New Roman"/>
        </w:rPr>
        <w:t xml:space="preserve"> dotyczą zasad korzystania</w:t>
      </w:r>
      <w:r w:rsidR="001D0628">
        <w:rPr>
          <w:rFonts w:ascii="Times New Roman" w:hAnsi="Times New Roman" w:cs="Times New Roman"/>
        </w:rPr>
        <w:t xml:space="preserve"> i </w:t>
      </w:r>
      <w:r w:rsidR="00997743" w:rsidRPr="00215A1D">
        <w:rPr>
          <w:rFonts w:ascii="Times New Roman" w:hAnsi="Times New Roman" w:cs="Times New Roman"/>
        </w:rPr>
        <w:t>zasad dostępu do informacji udostępnianych prze</w:t>
      </w:r>
      <w:r w:rsidR="001D0628">
        <w:rPr>
          <w:rFonts w:ascii="Times New Roman" w:hAnsi="Times New Roman" w:cs="Times New Roman"/>
        </w:rPr>
        <w:t>z </w:t>
      </w:r>
      <w:r w:rsidR="00997743" w:rsidRPr="00215A1D">
        <w:rPr>
          <w:rFonts w:ascii="Times New Roman" w:hAnsi="Times New Roman" w:cs="Times New Roman"/>
        </w:rPr>
        <w:t>CSIRE,</w:t>
      </w:r>
      <w:r w:rsidR="00CF0C86">
        <w:rPr>
          <w:rFonts w:ascii="Times New Roman" w:hAnsi="Times New Roman" w:cs="Times New Roman"/>
        </w:rPr>
        <w:t xml:space="preserve"> </w:t>
      </w:r>
      <w:r w:rsidR="00997743" w:rsidRPr="00215A1D">
        <w:rPr>
          <w:rFonts w:ascii="Times New Roman" w:hAnsi="Times New Roman" w:cs="Times New Roman"/>
        </w:rPr>
        <w:t xml:space="preserve">a także wymagań odnośnie współpracy </w:t>
      </w:r>
      <w:r w:rsidR="001D0628">
        <w:rPr>
          <w:rFonts w:ascii="Times New Roman" w:hAnsi="Times New Roman" w:cs="Times New Roman"/>
        </w:rPr>
        <w:t>z </w:t>
      </w:r>
      <w:r w:rsidR="00997743" w:rsidRPr="00215A1D">
        <w:rPr>
          <w:rFonts w:ascii="Times New Roman" w:hAnsi="Times New Roman" w:cs="Times New Roman"/>
        </w:rPr>
        <w:t xml:space="preserve">CSIRE systemów </w:t>
      </w:r>
      <w:r w:rsidR="00B077B9">
        <w:rPr>
          <w:rFonts w:ascii="Times New Roman" w:hAnsi="Times New Roman" w:cs="Times New Roman"/>
        </w:rPr>
        <w:t>informacyjnych</w:t>
      </w:r>
      <w:r w:rsidR="00997743" w:rsidRPr="00215A1D">
        <w:rPr>
          <w:rFonts w:ascii="Times New Roman" w:hAnsi="Times New Roman" w:cs="Times New Roman"/>
        </w:rPr>
        <w:t>użytkowników systemu.</w:t>
      </w:r>
      <w:r w:rsidR="006B4C7A" w:rsidRPr="00215A1D">
        <w:rPr>
          <w:rFonts w:ascii="Times New Roman" w:hAnsi="Times New Roman" w:cs="Times New Roman"/>
        </w:rPr>
        <w:t xml:space="preserve"> Przepis </w:t>
      </w:r>
      <w:r w:rsidR="00DE3CE7">
        <w:rPr>
          <w:rFonts w:ascii="Times New Roman" w:hAnsi="Times New Roman" w:cs="Times New Roman"/>
        </w:rPr>
        <w:t xml:space="preserve">ten </w:t>
      </w:r>
      <w:r w:rsidR="006B4C7A" w:rsidRPr="00215A1D">
        <w:rPr>
          <w:rFonts w:ascii="Times New Roman" w:hAnsi="Times New Roman" w:cs="Times New Roman"/>
        </w:rPr>
        <w:t>powinien wejść w życie po wdrożeniu CSIRE</w:t>
      </w:r>
      <w:r w:rsidR="00A0542F" w:rsidRPr="00215A1D">
        <w:rPr>
          <w:rFonts w:ascii="Times New Roman" w:hAnsi="Times New Roman" w:cs="Times New Roman"/>
        </w:rPr>
        <w:t>.</w:t>
      </w:r>
    </w:p>
    <w:p w14:paraId="2D68F927" w14:textId="1D7ACC7E" w:rsidR="009A1099"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 xml:space="preserve">W projekcie ustawy uregulowano </w:t>
      </w:r>
      <w:r w:rsidR="00997743" w:rsidRPr="00215A1D">
        <w:rPr>
          <w:rFonts w:ascii="Times New Roman" w:hAnsi="Times New Roman" w:cs="Times New Roman"/>
        </w:rPr>
        <w:t>w art. 11z</w:t>
      </w:r>
      <w:r w:rsidR="00810D8B">
        <w:rPr>
          <w:rFonts w:ascii="Times New Roman" w:hAnsi="Times New Roman" w:cs="Times New Roman"/>
        </w:rPr>
        <w:t>b</w:t>
      </w:r>
      <w:r w:rsidR="00AB35F0">
        <w:rPr>
          <w:rFonts w:ascii="Times New Roman" w:hAnsi="Times New Roman" w:cs="Times New Roman"/>
        </w:rPr>
        <w:t xml:space="preserve"> </w:t>
      </w:r>
      <w:r w:rsidR="009A1099" w:rsidRPr="00215A1D">
        <w:rPr>
          <w:rFonts w:ascii="Times New Roman" w:hAnsi="Times New Roman" w:cs="Times New Roman"/>
        </w:rPr>
        <w:t>obowiązki operatorów systemów elektroenergetycznych ora</w:t>
      </w:r>
      <w:r w:rsidR="001D0628">
        <w:rPr>
          <w:rFonts w:ascii="Times New Roman" w:hAnsi="Times New Roman" w:cs="Times New Roman"/>
        </w:rPr>
        <w:t>z </w:t>
      </w:r>
      <w:r w:rsidR="009A1099" w:rsidRPr="00215A1D">
        <w:rPr>
          <w:rFonts w:ascii="Times New Roman" w:hAnsi="Times New Roman" w:cs="Times New Roman"/>
        </w:rPr>
        <w:t>przedsiębiorstw energetycznych zajmujących się obrotem energią elektryczn</w:t>
      </w:r>
      <w:r w:rsidR="008D39DF" w:rsidRPr="00215A1D">
        <w:rPr>
          <w:rFonts w:ascii="Times New Roman" w:hAnsi="Times New Roman" w:cs="Times New Roman"/>
        </w:rPr>
        <w:t>ą</w:t>
      </w:r>
      <w:r w:rsidR="009A1099" w:rsidRPr="00215A1D">
        <w:rPr>
          <w:rFonts w:ascii="Times New Roman" w:hAnsi="Times New Roman" w:cs="Times New Roman"/>
        </w:rPr>
        <w:t xml:space="preserve"> względem operatora informacji </w:t>
      </w:r>
      <w:r w:rsidR="00997743" w:rsidRPr="00215A1D">
        <w:rPr>
          <w:rFonts w:ascii="Times New Roman" w:hAnsi="Times New Roman" w:cs="Times New Roman"/>
        </w:rPr>
        <w:t xml:space="preserve">rynku energii </w:t>
      </w:r>
      <w:r w:rsidR="009A1099" w:rsidRPr="00215A1D">
        <w:rPr>
          <w:rFonts w:ascii="Times New Roman" w:hAnsi="Times New Roman" w:cs="Times New Roman"/>
        </w:rPr>
        <w:t xml:space="preserve">w zakresie przekazywaniainformacji </w:t>
      </w:r>
      <w:r w:rsidR="00997743" w:rsidRPr="00215A1D">
        <w:rPr>
          <w:rFonts w:ascii="Times New Roman" w:hAnsi="Times New Roman" w:cs="Times New Roman"/>
        </w:rPr>
        <w:t xml:space="preserve">rynku energii, w tym danych </w:t>
      </w:r>
      <w:r w:rsidR="009A1099" w:rsidRPr="00215A1D">
        <w:rPr>
          <w:rFonts w:ascii="Times New Roman" w:hAnsi="Times New Roman" w:cs="Times New Roman"/>
        </w:rPr>
        <w:t>pomiarowych</w:t>
      </w:r>
      <w:r w:rsidR="00AB5A94">
        <w:rPr>
          <w:rFonts w:ascii="Times New Roman" w:hAnsi="Times New Roman" w:cs="Times New Roman"/>
        </w:rPr>
        <w:t>,</w:t>
      </w:r>
      <w:r w:rsidR="009A1099" w:rsidRPr="00215A1D">
        <w:rPr>
          <w:rFonts w:ascii="Times New Roman" w:hAnsi="Times New Roman" w:cs="Times New Roman"/>
        </w:rPr>
        <w:t xml:space="preserve"> </w:t>
      </w:r>
      <w:r w:rsidR="008D39DF" w:rsidRPr="00215A1D">
        <w:rPr>
          <w:rFonts w:ascii="Times New Roman" w:hAnsi="Times New Roman" w:cs="Times New Roman"/>
        </w:rPr>
        <w:t xml:space="preserve">do centralnego systemu informacji rynku energii </w:t>
      </w:r>
      <w:r w:rsidR="009A1099" w:rsidRPr="00215A1D">
        <w:rPr>
          <w:rFonts w:ascii="Times New Roman" w:hAnsi="Times New Roman" w:cs="Times New Roman"/>
        </w:rPr>
        <w:t>m.in. w celu prawidłowego przyporządkowania poszczególnych zdarzeń</w:t>
      </w:r>
      <w:r w:rsidR="001D0628">
        <w:rPr>
          <w:rFonts w:ascii="Times New Roman" w:hAnsi="Times New Roman" w:cs="Times New Roman"/>
        </w:rPr>
        <w:t xml:space="preserve"> i </w:t>
      </w:r>
      <w:r w:rsidR="009A1099" w:rsidRPr="00215A1D">
        <w:rPr>
          <w:rFonts w:ascii="Times New Roman" w:hAnsi="Times New Roman" w:cs="Times New Roman"/>
        </w:rPr>
        <w:t xml:space="preserve">informacji </w:t>
      </w:r>
      <w:r w:rsidR="00C94C9C" w:rsidRPr="00215A1D">
        <w:rPr>
          <w:rFonts w:ascii="Times New Roman" w:hAnsi="Times New Roman" w:cs="Times New Roman"/>
        </w:rPr>
        <w:t>rynku energii</w:t>
      </w:r>
      <w:r w:rsidR="009A1099" w:rsidRPr="00215A1D">
        <w:rPr>
          <w:rFonts w:ascii="Times New Roman" w:hAnsi="Times New Roman" w:cs="Times New Roman"/>
        </w:rPr>
        <w:t xml:space="preserve"> do poszczególnych odbiorców</w:t>
      </w:r>
      <w:r w:rsidR="00AB35F0">
        <w:rPr>
          <w:rFonts w:ascii="Times New Roman" w:hAnsi="Times New Roman" w:cs="Times New Roman"/>
        </w:rPr>
        <w:t>,</w:t>
      </w:r>
      <w:r w:rsidR="008D39DF" w:rsidRPr="00215A1D">
        <w:rPr>
          <w:rFonts w:ascii="Times New Roman" w:hAnsi="Times New Roman" w:cs="Times New Roman"/>
        </w:rPr>
        <w:t xml:space="preserve"> a także zapewniania właściwych informacji do rozliczeń na rynku energii elektrycznej</w:t>
      </w:r>
      <w:r w:rsidR="009A1099" w:rsidRPr="00215A1D">
        <w:rPr>
          <w:rFonts w:ascii="Times New Roman" w:hAnsi="Times New Roman" w:cs="Times New Roman"/>
        </w:rPr>
        <w:t xml:space="preserve">. </w:t>
      </w:r>
    </w:p>
    <w:p w14:paraId="2F2B2330" w14:textId="169CDE58" w:rsidR="00257AB3"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DC0E40" w:rsidRPr="00215A1D">
        <w:rPr>
          <w:rFonts w:ascii="Times New Roman" w:hAnsi="Times New Roman" w:cs="Times New Roman"/>
        </w:rPr>
        <w:t>Sprzedawca energii elektrycznej, o</w:t>
      </w:r>
      <w:r w:rsidR="00257AB3" w:rsidRPr="00215A1D">
        <w:rPr>
          <w:rFonts w:ascii="Times New Roman" w:hAnsi="Times New Roman" w:cs="Times New Roman"/>
        </w:rPr>
        <w:t>perator systemu dystrybucyjnego elektroenergetycznego</w:t>
      </w:r>
      <w:r w:rsidR="00DC0E40" w:rsidRPr="00215A1D">
        <w:rPr>
          <w:rFonts w:ascii="Times New Roman" w:hAnsi="Times New Roman" w:cs="Times New Roman"/>
        </w:rPr>
        <w:t xml:space="preserve">, </w:t>
      </w:r>
      <w:r w:rsidR="00257AB3" w:rsidRPr="00215A1D">
        <w:rPr>
          <w:rFonts w:ascii="Times New Roman" w:hAnsi="Times New Roman" w:cs="Times New Roman"/>
        </w:rPr>
        <w:t xml:space="preserve">operator systemu przesyłowego elektroenergetycznego </w:t>
      </w:r>
      <w:r w:rsidR="00DC0E40" w:rsidRPr="00215A1D">
        <w:rPr>
          <w:rFonts w:ascii="Times New Roman" w:hAnsi="Times New Roman" w:cs="Times New Roman"/>
        </w:rPr>
        <w:t>ora</w:t>
      </w:r>
      <w:r w:rsidR="001D0628">
        <w:rPr>
          <w:rFonts w:ascii="Times New Roman" w:hAnsi="Times New Roman" w:cs="Times New Roman"/>
        </w:rPr>
        <w:t>z </w:t>
      </w:r>
      <w:r w:rsidR="00DC0E40" w:rsidRPr="00215A1D">
        <w:rPr>
          <w:rFonts w:ascii="Times New Roman" w:hAnsi="Times New Roman" w:cs="Times New Roman"/>
        </w:rPr>
        <w:t xml:space="preserve">operator ogólnodostępnej stacji ładowania </w:t>
      </w:r>
      <w:r w:rsidR="00257AB3" w:rsidRPr="00215A1D">
        <w:rPr>
          <w:rFonts w:ascii="Times New Roman" w:hAnsi="Times New Roman" w:cs="Times New Roman"/>
        </w:rPr>
        <w:t xml:space="preserve">będą mogli </w:t>
      </w:r>
      <w:r w:rsidR="00DC0E40" w:rsidRPr="00215A1D">
        <w:rPr>
          <w:rFonts w:ascii="Times New Roman" w:hAnsi="Times New Roman" w:cs="Times New Roman"/>
        </w:rPr>
        <w:t>prowadzić własny rejestr odbiorców lub punktów pomiarowych, przechowywać informacje rynku energii ora</w:t>
      </w:r>
      <w:r w:rsidR="001D0628">
        <w:rPr>
          <w:rFonts w:ascii="Times New Roman" w:hAnsi="Times New Roman" w:cs="Times New Roman"/>
        </w:rPr>
        <w:t>z </w:t>
      </w:r>
      <w:r w:rsidR="00DC0E40" w:rsidRPr="00215A1D">
        <w:rPr>
          <w:rFonts w:ascii="Times New Roman" w:hAnsi="Times New Roman" w:cs="Times New Roman"/>
        </w:rPr>
        <w:t>prz</w:t>
      </w:r>
      <w:r w:rsidR="00257AB3" w:rsidRPr="00215A1D">
        <w:rPr>
          <w:rFonts w:ascii="Times New Roman" w:hAnsi="Times New Roman" w:cs="Times New Roman"/>
        </w:rPr>
        <w:t xml:space="preserve">etwarzać </w:t>
      </w:r>
      <w:r w:rsidR="00DC0E40" w:rsidRPr="00215A1D">
        <w:rPr>
          <w:rFonts w:ascii="Times New Roman" w:hAnsi="Times New Roman" w:cs="Times New Roman"/>
        </w:rPr>
        <w:t xml:space="preserve">je w celu </w:t>
      </w:r>
      <w:r w:rsidR="00DC0E40" w:rsidRPr="00215A1D">
        <w:rPr>
          <w:rFonts w:ascii="Times New Roman" w:hAnsi="Times New Roman" w:cs="Times New Roman"/>
        </w:rPr>
        <w:lastRenderedPageBreak/>
        <w:t xml:space="preserve">wykonywania obowiązków ustawowych, jednakże </w:t>
      </w:r>
      <w:r w:rsidR="001D0628">
        <w:rPr>
          <w:rFonts w:ascii="Times New Roman" w:hAnsi="Times New Roman" w:cs="Times New Roman"/>
        </w:rPr>
        <w:t>z </w:t>
      </w:r>
      <w:r w:rsidR="00DC0E40" w:rsidRPr="00215A1D">
        <w:rPr>
          <w:rFonts w:ascii="Times New Roman" w:hAnsi="Times New Roman" w:cs="Times New Roman"/>
        </w:rPr>
        <w:t>wyłączeniem prowadzenia rozliczeń za dostarczoną energię lub usługi.</w:t>
      </w:r>
      <w:r w:rsidR="00AB35F0">
        <w:rPr>
          <w:rFonts w:ascii="Times New Roman" w:hAnsi="Times New Roman" w:cs="Times New Roman"/>
        </w:rPr>
        <w:t xml:space="preserve"> P</w:t>
      </w:r>
      <w:r w:rsidR="006B4C7A" w:rsidRPr="00215A1D">
        <w:rPr>
          <w:rFonts w:ascii="Times New Roman" w:hAnsi="Times New Roman" w:cs="Times New Roman"/>
        </w:rPr>
        <w:t xml:space="preserve">rzepisy wejdą w życie po wdrożeniu CSIRE. </w:t>
      </w:r>
    </w:p>
    <w:p w14:paraId="24F1AFFF" w14:textId="2EF25794" w:rsidR="008D39DF"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8D39DF" w:rsidRPr="00215A1D">
        <w:rPr>
          <w:rFonts w:ascii="Times New Roman" w:hAnsi="Times New Roman" w:cs="Times New Roman"/>
        </w:rPr>
        <w:t>W ustawie w art. 11z</w:t>
      </w:r>
      <w:r w:rsidR="00810D8B">
        <w:rPr>
          <w:rFonts w:ascii="Times New Roman" w:hAnsi="Times New Roman" w:cs="Times New Roman"/>
        </w:rPr>
        <w:t>c</w:t>
      </w:r>
      <w:r w:rsidR="008D39DF" w:rsidRPr="00215A1D">
        <w:rPr>
          <w:rFonts w:ascii="Times New Roman" w:hAnsi="Times New Roman" w:cs="Times New Roman"/>
        </w:rPr>
        <w:t xml:space="preserve"> określono zamknięty katalog podmiotów, którym mogą być przekazywane informacje rynku energii be</w:t>
      </w:r>
      <w:r w:rsidR="001D0628">
        <w:rPr>
          <w:rFonts w:ascii="Times New Roman" w:hAnsi="Times New Roman" w:cs="Times New Roman"/>
        </w:rPr>
        <w:t>z </w:t>
      </w:r>
      <w:r w:rsidR="008D39DF" w:rsidRPr="00215A1D">
        <w:rPr>
          <w:rFonts w:ascii="Times New Roman" w:hAnsi="Times New Roman" w:cs="Times New Roman"/>
        </w:rPr>
        <w:t xml:space="preserve">prawa do ich dalszego udostępniania. Podobnie uczyniono </w:t>
      </w:r>
      <w:r w:rsidR="001D0628">
        <w:rPr>
          <w:rFonts w:ascii="Times New Roman" w:hAnsi="Times New Roman" w:cs="Times New Roman"/>
        </w:rPr>
        <w:t>z </w:t>
      </w:r>
      <w:r w:rsidR="008D39DF" w:rsidRPr="00215A1D">
        <w:rPr>
          <w:rFonts w:ascii="Times New Roman" w:hAnsi="Times New Roman" w:cs="Times New Roman"/>
        </w:rPr>
        <w:t>określeniem celu przetwarzania danych pomiarowych.</w:t>
      </w:r>
      <w:r w:rsidR="00DE3CE7">
        <w:rPr>
          <w:rFonts w:ascii="Times New Roman" w:hAnsi="Times New Roman" w:cs="Times New Roman"/>
        </w:rPr>
        <w:t xml:space="preserve"> </w:t>
      </w:r>
      <w:r w:rsidR="00E50C5E">
        <w:rPr>
          <w:rFonts w:ascii="Times New Roman" w:hAnsi="Times New Roman" w:cs="Times New Roman"/>
        </w:rPr>
        <w:t>I</w:t>
      </w:r>
      <w:r w:rsidR="001D0628">
        <w:rPr>
          <w:rFonts w:ascii="Times New Roman" w:hAnsi="Times New Roman" w:cs="Times New Roman"/>
        </w:rPr>
        <w:t> </w:t>
      </w:r>
      <w:r w:rsidR="008D39DF" w:rsidRPr="00215A1D">
        <w:rPr>
          <w:rFonts w:ascii="Times New Roman" w:hAnsi="Times New Roman" w:cs="Times New Roman"/>
        </w:rPr>
        <w:t xml:space="preserve">tak dane pomiarowe będą mogły być przetwarzane wyłącznie w celu: </w:t>
      </w:r>
    </w:p>
    <w:p w14:paraId="66F98F05" w14:textId="77777777" w:rsidR="008D39DF" w:rsidRPr="00215A1D" w:rsidRDefault="008D39DF" w:rsidP="00215A1D">
      <w:pPr>
        <w:pStyle w:val="USTustnpkodeksu"/>
        <w:numPr>
          <w:ilvl w:val="0"/>
          <w:numId w:val="80"/>
        </w:numPr>
        <w:ind w:left="567" w:hanging="283"/>
        <w:rPr>
          <w:rFonts w:ascii="Times New Roman" w:hAnsi="Times New Roman" w:cs="Times New Roman"/>
        </w:rPr>
      </w:pPr>
      <w:r w:rsidRPr="00215A1D">
        <w:rPr>
          <w:rFonts w:ascii="Times New Roman" w:hAnsi="Times New Roman" w:cs="Times New Roman"/>
        </w:rPr>
        <w:t xml:space="preserve">zawarcia, realizacji, zmiany lub ustalenia treści umowy </w:t>
      </w:r>
      <w:r w:rsidR="001D0628">
        <w:rPr>
          <w:rFonts w:ascii="Times New Roman" w:hAnsi="Times New Roman" w:cs="Times New Roman"/>
        </w:rPr>
        <w:t>z </w:t>
      </w:r>
      <w:r w:rsidRPr="00215A1D">
        <w:rPr>
          <w:rFonts w:ascii="Times New Roman" w:hAnsi="Times New Roman" w:cs="Times New Roman"/>
        </w:rPr>
        <w:t>użytkownikiem systemu elektroenergetycznego w zakresie dostarczania energii elektrycznej;</w:t>
      </w:r>
    </w:p>
    <w:p w14:paraId="0EF0944D" w14:textId="77777777" w:rsidR="008D39DF" w:rsidRPr="00215A1D" w:rsidRDefault="008D39DF" w:rsidP="00215A1D">
      <w:pPr>
        <w:pStyle w:val="USTustnpkodeksu"/>
        <w:numPr>
          <w:ilvl w:val="0"/>
          <w:numId w:val="80"/>
        </w:numPr>
        <w:ind w:left="567" w:hanging="283"/>
        <w:rPr>
          <w:rFonts w:ascii="Times New Roman" w:hAnsi="Times New Roman" w:cs="Times New Roman"/>
        </w:rPr>
      </w:pPr>
      <w:r w:rsidRPr="00215A1D">
        <w:rPr>
          <w:rFonts w:ascii="Times New Roman" w:hAnsi="Times New Roman" w:cs="Times New Roman"/>
        </w:rPr>
        <w:t xml:space="preserve">realizacji obowiązków wynikających </w:t>
      </w:r>
      <w:r w:rsidR="001D0628">
        <w:rPr>
          <w:rFonts w:ascii="Times New Roman" w:hAnsi="Times New Roman" w:cs="Times New Roman"/>
        </w:rPr>
        <w:t>z </w:t>
      </w:r>
      <w:r w:rsidRPr="00215A1D">
        <w:rPr>
          <w:rFonts w:ascii="Times New Roman" w:hAnsi="Times New Roman" w:cs="Times New Roman"/>
        </w:rPr>
        <w:t>udziału w rynku mocy;</w:t>
      </w:r>
    </w:p>
    <w:p w14:paraId="3E760D83" w14:textId="77777777" w:rsidR="008D39DF" w:rsidRPr="00215A1D" w:rsidRDefault="008D39DF" w:rsidP="00215A1D">
      <w:pPr>
        <w:pStyle w:val="USTustnpkodeksu"/>
        <w:numPr>
          <w:ilvl w:val="0"/>
          <w:numId w:val="80"/>
        </w:numPr>
        <w:ind w:left="567" w:hanging="283"/>
        <w:rPr>
          <w:rFonts w:ascii="Times New Roman" w:hAnsi="Times New Roman" w:cs="Times New Roman"/>
        </w:rPr>
      </w:pPr>
      <w:r w:rsidRPr="00215A1D">
        <w:rPr>
          <w:rFonts w:ascii="Times New Roman" w:hAnsi="Times New Roman" w:cs="Times New Roman"/>
        </w:rPr>
        <w:t>dokonywania rozliczeń za sprzedaż energii elektrycznej lub usług przesyłania lub dystrybucji energii elektrycznej;</w:t>
      </w:r>
    </w:p>
    <w:p w14:paraId="51F135A0" w14:textId="77777777" w:rsidR="008D39DF" w:rsidRPr="00215A1D" w:rsidRDefault="008D39DF" w:rsidP="00215A1D">
      <w:pPr>
        <w:pStyle w:val="USTustnpkodeksu"/>
        <w:numPr>
          <w:ilvl w:val="0"/>
          <w:numId w:val="80"/>
        </w:numPr>
        <w:ind w:left="567" w:hanging="283"/>
        <w:rPr>
          <w:rFonts w:ascii="Times New Roman" w:hAnsi="Times New Roman" w:cs="Times New Roman"/>
        </w:rPr>
      </w:pPr>
      <w:r w:rsidRPr="00215A1D">
        <w:rPr>
          <w:rFonts w:ascii="Times New Roman" w:hAnsi="Times New Roman" w:cs="Times New Roman"/>
        </w:rPr>
        <w:t>realizacji</w:t>
      </w:r>
      <w:r w:rsidR="001D0628">
        <w:rPr>
          <w:rFonts w:ascii="Times New Roman" w:hAnsi="Times New Roman" w:cs="Times New Roman"/>
        </w:rPr>
        <w:t xml:space="preserve"> i </w:t>
      </w:r>
      <w:r w:rsidRPr="00215A1D">
        <w:rPr>
          <w:rFonts w:ascii="Times New Roman" w:hAnsi="Times New Roman" w:cs="Times New Roman"/>
        </w:rPr>
        <w:t>rozliczeń umów dotyczących świadczenia usług systemowych;</w:t>
      </w:r>
    </w:p>
    <w:p w14:paraId="2DA32F91" w14:textId="77777777" w:rsidR="008D39DF" w:rsidRPr="00215A1D" w:rsidRDefault="008D39DF" w:rsidP="00215A1D">
      <w:pPr>
        <w:pStyle w:val="USTustnpkodeksu"/>
        <w:numPr>
          <w:ilvl w:val="0"/>
          <w:numId w:val="80"/>
        </w:numPr>
        <w:ind w:left="567" w:hanging="283"/>
        <w:rPr>
          <w:rFonts w:ascii="Times New Roman" w:hAnsi="Times New Roman" w:cs="Times New Roman"/>
        </w:rPr>
      </w:pPr>
      <w:r w:rsidRPr="00215A1D">
        <w:rPr>
          <w:rFonts w:ascii="Times New Roman" w:hAnsi="Times New Roman" w:cs="Times New Roman"/>
        </w:rPr>
        <w:t>zapewnienia bezpieczeństwa pracy sieci elektroenergetycznej;</w:t>
      </w:r>
    </w:p>
    <w:p w14:paraId="68648B7D" w14:textId="77777777" w:rsidR="008D39DF" w:rsidRPr="00215A1D" w:rsidRDefault="008D39DF" w:rsidP="00215A1D">
      <w:pPr>
        <w:pStyle w:val="USTustnpkodeksu"/>
        <w:numPr>
          <w:ilvl w:val="0"/>
          <w:numId w:val="80"/>
        </w:numPr>
        <w:ind w:left="567" w:hanging="283"/>
        <w:rPr>
          <w:rFonts w:ascii="Times New Roman" w:hAnsi="Times New Roman" w:cs="Times New Roman"/>
        </w:rPr>
      </w:pPr>
      <w:r w:rsidRPr="00215A1D">
        <w:rPr>
          <w:rFonts w:ascii="Times New Roman" w:hAnsi="Times New Roman" w:cs="Times New Roman"/>
        </w:rPr>
        <w:t>wykrywania nieprawidłowości w poborze energii elektrycznej;</w:t>
      </w:r>
    </w:p>
    <w:p w14:paraId="744834FD" w14:textId="77777777" w:rsidR="008D39DF" w:rsidRPr="00215A1D" w:rsidRDefault="008D39DF" w:rsidP="00215A1D">
      <w:pPr>
        <w:pStyle w:val="USTustnpkodeksu"/>
        <w:numPr>
          <w:ilvl w:val="0"/>
          <w:numId w:val="80"/>
        </w:numPr>
        <w:ind w:left="567" w:hanging="283"/>
        <w:rPr>
          <w:rFonts w:ascii="Times New Roman" w:hAnsi="Times New Roman" w:cs="Times New Roman"/>
        </w:rPr>
      </w:pPr>
      <w:r w:rsidRPr="00215A1D">
        <w:rPr>
          <w:rFonts w:ascii="Times New Roman" w:hAnsi="Times New Roman" w:cs="Times New Roman"/>
        </w:rPr>
        <w:t xml:space="preserve">dokonywania rozliczeń za energię elektryczną w punkcie ładowania ogólnodostępnej stacji ładowania; </w:t>
      </w:r>
    </w:p>
    <w:p w14:paraId="1125D469" w14:textId="77777777" w:rsidR="008D39DF" w:rsidRPr="00215A1D" w:rsidRDefault="008D39DF" w:rsidP="00215A1D">
      <w:pPr>
        <w:pStyle w:val="USTustnpkodeksu"/>
        <w:numPr>
          <w:ilvl w:val="0"/>
          <w:numId w:val="80"/>
        </w:numPr>
        <w:ind w:left="567" w:hanging="283"/>
        <w:rPr>
          <w:rFonts w:ascii="Times New Roman" w:hAnsi="Times New Roman" w:cs="Times New Roman"/>
        </w:rPr>
      </w:pPr>
      <w:r w:rsidRPr="00215A1D">
        <w:rPr>
          <w:rFonts w:ascii="Times New Roman" w:hAnsi="Times New Roman" w:cs="Times New Roman"/>
        </w:rPr>
        <w:t>anali</w:t>
      </w:r>
      <w:r w:rsidR="001D0628">
        <w:rPr>
          <w:rFonts w:ascii="Times New Roman" w:hAnsi="Times New Roman" w:cs="Times New Roman"/>
        </w:rPr>
        <w:t>z </w:t>
      </w:r>
      <w:r w:rsidRPr="00215A1D">
        <w:rPr>
          <w:rFonts w:ascii="Times New Roman" w:hAnsi="Times New Roman" w:cs="Times New Roman"/>
        </w:rPr>
        <w:t>statystycznych;</w:t>
      </w:r>
    </w:p>
    <w:p w14:paraId="7352756A" w14:textId="77777777" w:rsidR="008D39DF" w:rsidRPr="00215A1D" w:rsidRDefault="008D39DF" w:rsidP="00215A1D">
      <w:pPr>
        <w:pStyle w:val="USTustnpkodeksu"/>
        <w:numPr>
          <w:ilvl w:val="0"/>
          <w:numId w:val="80"/>
        </w:numPr>
        <w:ind w:left="567" w:hanging="283"/>
        <w:rPr>
          <w:rFonts w:ascii="Times New Roman" w:hAnsi="Times New Roman" w:cs="Times New Roman"/>
        </w:rPr>
      </w:pPr>
      <w:r w:rsidRPr="00215A1D">
        <w:rPr>
          <w:rFonts w:ascii="Times New Roman" w:hAnsi="Times New Roman" w:cs="Times New Roman"/>
        </w:rPr>
        <w:t>ustalenia, dochodzenia lub obrony roszczeń;</w:t>
      </w:r>
    </w:p>
    <w:p w14:paraId="3D6F6955" w14:textId="77777777" w:rsidR="008D39DF" w:rsidRPr="00215A1D" w:rsidRDefault="008D39DF" w:rsidP="00215A1D">
      <w:pPr>
        <w:pStyle w:val="USTustnpkodeksu"/>
        <w:numPr>
          <w:ilvl w:val="0"/>
          <w:numId w:val="80"/>
        </w:numPr>
        <w:ind w:left="567" w:hanging="283"/>
        <w:rPr>
          <w:rFonts w:ascii="Times New Roman" w:hAnsi="Times New Roman" w:cs="Times New Roman"/>
        </w:rPr>
      </w:pPr>
      <w:r w:rsidRPr="00215A1D">
        <w:rPr>
          <w:rFonts w:ascii="Times New Roman" w:hAnsi="Times New Roman" w:cs="Times New Roman"/>
        </w:rPr>
        <w:t>rozliczeń podmiotów odpowiedzialnych za bilansowanie handlowe;</w:t>
      </w:r>
    </w:p>
    <w:p w14:paraId="7628A53D" w14:textId="77777777" w:rsidR="008D39DF" w:rsidRPr="00215A1D" w:rsidRDefault="008D39DF" w:rsidP="00215A1D">
      <w:pPr>
        <w:pStyle w:val="USTustnpkodeksu"/>
        <w:numPr>
          <w:ilvl w:val="0"/>
          <w:numId w:val="80"/>
        </w:numPr>
        <w:ind w:left="567" w:hanging="283"/>
        <w:rPr>
          <w:rFonts w:ascii="Times New Roman" w:hAnsi="Times New Roman" w:cs="Times New Roman"/>
        </w:rPr>
      </w:pPr>
      <w:r w:rsidRPr="00215A1D">
        <w:rPr>
          <w:rFonts w:ascii="Times New Roman" w:hAnsi="Times New Roman" w:cs="Times New Roman"/>
        </w:rPr>
        <w:t xml:space="preserve">realizacji innych obowiązków wynikających </w:t>
      </w:r>
      <w:r w:rsidR="001D0628">
        <w:rPr>
          <w:rFonts w:ascii="Times New Roman" w:hAnsi="Times New Roman" w:cs="Times New Roman"/>
        </w:rPr>
        <w:t>z </w:t>
      </w:r>
      <w:r w:rsidRPr="00215A1D">
        <w:rPr>
          <w:rFonts w:ascii="Times New Roman" w:hAnsi="Times New Roman" w:cs="Times New Roman"/>
        </w:rPr>
        <w:t>przepisów odrębnych.</w:t>
      </w:r>
    </w:p>
    <w:p w14:paraId="1057FA51" w14:textId="6555AE08" w:rsidR="00E7466D"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E7466D" w:rsidRPr="00215A1D">
        <w:rPr>
          <w:rFonts w:ascii="Times New Roman" w:hAnsi="Times New Roman" w:cs="Times New Roman"/>
        </w:rPr>
        <w:t xml:space="preserve">Ponadto określono katalogi podmiotów uprawnionych do dostępu do danych zagregowanych. </w:t>
      </w:r>
      <w:r w:rsidR="008D39DF" w:rsidRPr="00215A1D">
        <w:rPr>
          <w:rFonts w:ascii="Times New Roman" w:hAnsi="Times New Roman" w:cs="Times New Roman"/>
        </w:rPr>
        <w:t xml:space="preserve">Precyzyjne uregulowanie zasad dostępu do </w:t>
      </w:r>
      <w:r w:rsidR="00E7466D" w:rsidRPr="00215A1D">
        <w:rPr>
          <w:rFonts w:ascii="Times New Roman" w:hAnsi="Times New Roman" w:cs="Times New Roman"/>
        </w:rPr>
        <w:t xml:space="preserve">informacji rynku energii, w tym </w:t>
      </w:r>
      <w:r w:rsidR="008D39DF" w:rsidRPr="00215A1D">
        <w:rPr>
          <w:rFonts w:ascii="Times New Roman" w:hAnsi="Times New Roman" w:cs="Times New Roman"/>
        </w:rPr>
        <w:t>danych pomiarowych</w:t>
      </w:r>
      <w:r w:rsidR="00767D2C">
        <w:rPr>
          <w:rFonts w:ascii="Times New Roman" w:hAnsi="Times New Roman" w:cs="Times New Roman"/>
        </w:rPr>
        <w:t>,</w:t>
      </w:r>
      <w:r w:rsidR="008D39DF" w:rsidRPr="00215A1D">
        <w:rPr>
          <w:rFonts w:ascii="Times New Roman" w:hAnsi="Times New Roman" w:cs="Times New Roman"/>
        </w:rPr>
        <w:t xml:space="preserve"> ma na celu, niezależnie od pozostałych rozwiązań przewidzianych w projekcie ustawy,</w:t>
      </w:r>
      <w:r w:rsidR="00767D2C">
        <w:rPr>
          <w:rFonts w:ascii="Times New Roman" w:hAnsi="Times New Roman" w:cs="Times New Roman"/>
        </w:rPr>
        <w:t xml:space="preserve"> </w:t>
      </w:r>
      <w:r w:rsidR="008D39DF" w:rsidRPr="00215A1D">
        <w:rPr>
          <w:rFonts w:ascii="Times New Roman" w:hAnsi="Times New Roman" w:cs="Times New Roman"/>
        </w:rPr>
        <w:t>zapewnienie bezpieczeństwa wymiany tych danych, w szczególności danych osobowych.</w:t>
      </w:r>
    </w:p>
    <w:p w14:paraId="1A2AB14C" w14:textId="22168888" w:rsidR="006B4C7A"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E7466D" w:rsidRPr="00215A1D">
        <w:rPr>
          <w:rFonts w:ascii="Times New Roman" w:hAnsi="Times New Roman" w:cs="Times New Roman"/>
        </w:rPr>
        <w:t>Zastrzeżono, że dostęp</w:t>
      </w:r>
      <w:r w:rsidR="00DE3CE7">
        <w:rPr>
          <w:rFonts w:ascii="Times New Roman" w:hAnsi="Times New Roman" w:cs="Times New Roman"/>
        </w:rPr>
        <w:t xml:space="preserve"> </w:t>
      </w:r>
      <w:r w:rsidR="00E7466D" w:rsidRPr="00215A1D">
        <w:rPr>
          <w:rFonts w:ascii="Times New Roman" w:hAnsi="Times New Roman" w:cs="Times New Roman"/>
        </w:rPr>
        <w:t>uprawnionych użytkowników do CSIRE odbywa się w postaci elektronicznej</w:t>
      </w:r>
      <w:r w:rsidR="001D0628">
        <w:rPr>
          <w:rFonts w:ascii="Times New Roman" w:hAnsi="Times New Roman" w:cs="Times New Roman"/>
        </w:rPr>
        <w:t xml:space="preserve"> i </w:t>
      </w:r>
      <w:r w:rsidR="00E7466D" w:rsidRPr="00215A1D">
        <w:rPr>
          <w:rFonts w:ascii="Times New Roman" w:hAnsi="Times New Roman" w:cs="Times New Roman"/>
        </w:rPr>
        <w:t>jest nieodpłatny.</w:t>
      </w:r>
    </w:p>
    <w:p w14:paraId="72E0691A" w14:textId="77777777" w:rsidR="008D39DF"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6B4C7A" w:rsidRPr="00215A1D">
        <w:rPr>
          <w:rFonts w:ascii="Times New Roman" w:hAnsi="Times New Roman" w:cs="Times New Roman"/>
        </w:rPr>
        <w:t>Przepisy art. 11z</w:t>
      </w:r>
      <w:r w:rsidR="00810D8B">
        <w:rPr>
          <w:rFonts w:ascii="Times New Roman" w:hAnsi="Times New Roman" w:cs="Times New Roman"/>
        </w:rPr>
        <w:t>c</w:t>
      </w:r>
      <w:r w:rsidR="006B4C7A" w:rsidRPr="00215A1D">
        <w:rPr>
          <w:rFonts w:ascii="Times New Roman" w:hAnsi="Times New Roman" w:cs="Times New Roman"/>
        </w:rPr>
        <w:t xml:space="preserve"> wejdą w życie po wdrożeniu CSIRE.</w:t>
      </w:r>
    </w:p>
    <w:p w14:paraId="262D0900" w14:textId="678CFFAF" w:rsidR="00DC0E40"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9A1099" w:rsidRPr="00215A1D">
        <w:rPr>
          <w:rFonts w:ascii="Times New Roman" w:hAnsi="Times New Roman" w:cs="Times New Roman"/>
        </w:rPr>
        <w:t xml:space="preserve">Zobowiązano </w:t>
      </w:r>
      <w:r w:rsidR="00E7466D" w:rsidRPr="00215A1D">
        <w:rPr>
          <w:rFonts w:ascii="Times New Roman" w:hAnsi="Times New Roman" w:cs="Times New Roman"/>
        </w:rPr>
        <w:t>podmioty uprawnione do dostępu do informacji rynku energii (art. 11z</w:t>
      </w:r>
      <w:r w:rsidR="00810D8B">
        <w:rPr>
          <w:rFonts w:ascii="Times New Roman" w:hAnsi="Times New Roman" w:cs="Times New Roman"/>
        </w:rPr>
        <w:t>d</w:t>
      </w:r>
      <w:r w:rsidR="00E7466D" w:rsidRPr="00215A1D">
        <w:rPr>
          <w:rFonts w:ascii="Times New Roman" w:hAnsi="Times New Roman" w:cs="Times New Roman"/>
        </w:rPr>
        <w:t xml:space="preserve">) </w:t>
      </w:r>
      <w:r w:rsidR="009A1099" w:rsidRPr="00215A1D">
        <w:rPr>
          <w:rFonts w:ascii="Times New Roman" w:hAnsi="Times New Roman" w:cs="Times New Roman"/>
        </w:rPr>
        <w:t>do stosowania środków technicznych</w:t>
      </w:r>
      <w:r w:rsidR="001D0628">
        <w:rPr>
          <w:rFonts w:ascii="Times New Roman" w:hAnsi="Times New Roman" w:cs="Times New Roman"/>
        </w:rPr>
        <w:t xml:space="preserve"> i </w:t>
      </w:r>
      <w:r w:rsidR="009A1099" w:rsidRPr="00215A1D">
        <w:rPr>
          <w:rFonts w:ascii="Times New Roman" w:hAnsi="Times New Roman" w:cs="Times New Roman"/>
        </w:rPr>
        <w:t xml:space="preserve">organizacyjnych zapewniających ochronę przetwarzanych informacji </w:t>
      </w:r>
      <w:r w:rsidR="00E7466D" w:rsidRPr="00215A1D">
        <w:rPr>
          <w:rFonts w:ascii="Times New Roman" w:hAnsi="Times New Roman" w:cs="Times New Roman"/>
        </w:rPr>
        <w:t>rynku energii</w:t>
      </w:r>
      <w:r w:rsidR="009A1099" w:rsidRPr="00215A1D">
        <w:rPr>
          <w:rFonts w:ascii="Times New Roman" w:hAnsi="Times New Roman" w:cs="Times New Roman"/>
        </w:rPr>
        <w:t>.</w:t>
      </w:r>
      <w:r w:rsidR="00DE3CE7">
        <w:rPr>
          <w:rFonts w:ascii="Times New Roman" w:hAnsi="Times New Roman" w:cs="Times New Roman"/>
        </w:rPr>
        <w:t xml:space="preserve"> </w:t>
      </w:r>
      <w:r w:rsidR="00810D8B">
        <w:rPr>
          <w:rFonts w:ascii="Times New Roman" w:hAnsi="Times New Roman" w:cs="Times New Roman"/>
        </w:rPr>
        <w:t>I</w:t>
      </w:r>
      <w:r w:rsidR="001D0628">
        <w:rPr>
          <w:rFonts w:ascii="Times New Roman" w:hAnsi="Times New Roman" w:cs="Times New Roman"/>
        </w:rPr>
        <w:t> </w:t>
      </w:r>
      <w:r w:rsidR="00DC0E40" w:rsidRPr="00215A1D">
        <w:rPr>
          <w:rFonts w:ascii="Times New Roman" w:hAnsi="Times New Roman" w:cs="Times New Roman"/>
        </w:rPr>
        <w:t>tak podmioty te, odpowiednio do wykonywanych zadań, są zobowiązane do:</w:t>
      </w:r>
    </w:p>
    <w:p w14:paraId="28BF16E6" w14:textId="77777777" w:rsidR="00DC0E40" w:rsidRPr="00215A1D" w:rsidRDefault="00DC0E40" w:rsidP="00215A1D">
      <w:pPr>
        <w:pStyle w:val="USTustnpkodeksu"/>
        <w:numPr>
          <w:ilvl w:val="0"/>
          <w:numId w:val="83"/>
        </w:numPr>
        <w:ind w:left="567" w:hanging="341"/>
        <w:rPr>
          <w:rFonts w:ascii="Times New Roman" w:hAnsi="Times New Roman" w:cs="Times New Roman"/>
        </w:rPr>
      </w:pPr>
      <w:r w:rsidRPr="00215A1D">
        <w:rPr>
          <w:rFonts w:ascii="Times New Roman" w:hAnsi="Times New Roman" w:cs="Times New Roman"/>
        </w:rPr>
        <w:t>ustalania warunków</w:t>
      </w:r>
      <w:r w:rsidR="001D0628">
        <w:rPr>
          <w:rFonts w:ascii="Times New Roman" w:hAnsi="Times New Roman" w:cs="Times New Roman"/>
        </w:rPr>
        <w:t xml:space="preserve"> i </w:t>
      </w:r>
      <w:r w:rsidRPr="00215A1D">
        <w:rPr>
          <w:rFonts w:ascii="Times New Roman" w:hAnsi="Times New Roman" w:cs="Times New Roman"/>
        </w:rPr>
        <w:t xml:space="preserve">sposobu przydzielania uprawnień do dostępu do </w:t>
      </w:r>
      <w:r w:rsidR="002A15C1" w:rsidRPr="00215A1D">
        <w:rPr>
          <w:rFonts w:ascii="Times New Roman" w:hAnsi="Times New Roman" w:cs="Times New Roman"/>
        </w:rPr>
        <w:t>informacji rynku energii</w:t>
      </w:r>
      <w:r w:rsidRPr="00215A1D">
        <w:rPr>
          <w:rFonts w:ascii="Times New Roman" w:hAnsi="Times New Roman" w:cs="Times New Roman"/>
        </w:rPr>
        <w:t>;</w:t>
      </w:r>
    </w:p>
    <w:p w14:paraId="45DE3D7C" w14:textId="77777777" w:rsidR="00DC0E40" w:rsidRPr="00215A1D" w:rsidRDefault="00DC0E40" w:rsidP="00215A1D">
      <w:pPr>
        <w:pStyle w:val="USTustnpkodeksu"/>
        <w:numPr>
          <w:ilvl w:val="0"/>
          <w:numId w:val="83"/>
        </w:numPr>
        <w:ind w:left="567" w:hanging="341"/>
        <w:rPr>
          <w:rFonts w:ascii="Times New Roman" w:hAnsi="Times New Roman" w:cs="Times New Roman"/>
        </w:rPr>
      </w:pPr>
      <w:r w:rsidRPr="00215A1D">
        <w:rPr>
          <w:rFonts w:ascii="Times New Roman" w:hAnsi="Times New Roman" w:cs="Times New Roman"/>
        </w:rPr>
        <w:lastRenderedPageBreak/>
        <w:t>zapewnienia właściwej ochrony informacji rynku energii;</w:t>
      </w:r>
    </w:p>
    <w:p w14:paraId="79E9A645" w14:textId="77777777" w:rsidR="00DC0E40" w:rsidRPr="00215A1D" w:rsidRDefault="00DC0E40" w:rsidP="00215A1D">
      <w:pPr>
        <w:pStyle w:val="USTustnpkodeksu"/>
        <w:numPr>
          <w:ilvl w:val="0"/>
          <w:numId w:val="83"/>
        </w:numPr>
        <w:ind w:left="567" w:hanging="341"/>
        <w:rPr>
          <w:rFonts w:ascii="Times New Roman" w:hAnsi="Times New Roman" w:cs="Times New Roman"/>
        </w:rPr>
      </w:pPr>
      <w:r w:rsidRPr="00215A1D">
        <w:rPr>
          <w:rFonts w:ascii="Times New Roman" w:hAnsi="Times New Roman" w:cs="Times New Roman"/>
        </w:rPr>
        <w:t xml:space="preserve">stosowania szablonu oceny skutków w zakresie ochrony </w:t>
      </w:r>
      <w:r w:rsidR="002A15C1" w:rsidRPr="00215A1D">
        <w:rPr>
          <w:rFonts w:ascii="Times New Roman" w:hAnsi="Times New Roman" w:cs="Times New Roman"/>
        </w:rPr>
        <w:t>informacji rynku energii.</w:t>
      </w:r>
    </w:p>
    <w:p w14:paraId="139C984F" w14:textId="77777777" w:rsidR="00CE2D80" w:rsidRPr="00215A1D" w:rsidRDefault="00B077B9" w:rsidP="00CE2D80">
      <w:pPr>
        <w:pStyle w:val="USTustnpkodeksu"/>
        <w:rPr>
          <w:rFonts w:ascii="Times New Roman" w:hAnsi="Times New Roman" w:cs="Times New Roman"/>
        </w:rPr>
      </w:pPr>
      <w:r>
        <w:rPr>
          <w:rFonts w:ascii="Times New Roman" w:hAnsi="Times New Roman" w:cs="Times New Roman"/>
        </w:rPr>
        <w:t>Projekt ustawy ma na celu również pełne zapewnienie</w:t>
      </w:r>
      <w:r w:rsidR="00CE2D80">
        <w:rPr>
          <w:rFonts w:ascii="Times New Roman" w:hAnsi="Times New Roman" w:cs="Times New Roman"/>
        </w:rPr>
        <w:t xml:space="preserve"> że </w:t>
      </w:r>
      <w:r w:rsidR="00CE2D80" w:rsidRPr="00CE2D80">
        <w:rPr>
          <w:rFonts w:ascii="Times New Roman" w:hAnsi="Times New Roman" w:cs="Times New Roman"/>
        </w:rPr>
        <w:t>wszyscy uczestnicy CSIRE są zobo</w:t>
      </w:r>
      <w:r w:rsidR="00CE2D80">
        <w:rPr>
          <w:rFonts w:ascii="Times New Roman" w:hAnsi="Times New Roman" w:cs="Times New Roman"/>
        </w:rPr>
        <w:t xml:space="preserve">wiązani do </w:t>
      </w:r>
      <w:r w:rsidR="00CE2D80" w:rsidRPr="00CE2D80">
        <w:rPr>
          <w:rFonts w:ascii="Times New Roman" w:hAnsi="Times New Roman" w:cs="Times New Roman"/>
        </w:rPr>
        <w:t xml:space="preserve">stosowania </w:t>
      </w:r>
      <w:r w:rsidR="00CE2D80">
        <w:rPr>
          <w:rFonts w:ascii="Times New Roman" w:hAnsi="Times New Roman" w:cs="Times New Roman"/>
        </w:rPr>
        <w:t xml:space="preserve">ustawy </w:t>
      </w:r>
      <w:r w:rsidR="00CE2D80" w:rsidRPr="00CE2D80">
        <w:rPr>
          <w:rFonts w:ascii="Times New Roman" w:hAnsi="Times New Roman" w:cs="Times New Roman"/>
        </w:rPr>
        <w:t xml:space="preserve"> z dnia 5 lipca 2018 r. o krajowy</w:t>
      </w:r>
      <w:r w:rsidR="00CE2D80">
        <w:rPr>
          <w:rFonts w:ascii="Times New Roman" w:hAnsi="Times New Roman" w:cs="Times New Roman"/>
        </w:rPr>
        <w:t xml:space="preserve">m systemie cyberbezpieczeństwa </w:t>
      </w:r>
    </w:p>
    <w:p w14:paraId="798BD042" w14:textId="77777777" w:rsidR="006B4C7A"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6B4C7A" w:rsidRPr="00215A1D">
        <w:rPr>
          <w:rFonts w:ascii="Times New Roman" w:hAnsi="Times New Roman" w:cs="Times New Roman"/>
        </w:rPr>
        <w:t>Przepisy art. 11z</w:t>
      </w:r>
      <w:r w:rsidR="00810D8B">
        <w:rPr>
          <w:rFonts w:ascii="Times New Roman" w:hAnsi="Times New Roman" w:cs="Times New Roman"/>
        </w:rPr>
        <w:t>d</w:t>
      </w:r>
      <w:r w:rsidR="006B4C7A" w:rsidRPr="00215A1D">
        <w:rPr>
          <w:rFonts w:ascii="Times New Roman" w:hAnsi="Times New Roman" w:cs="Times New Roman"/>
        </w:rPr>
        <w:t xml:space="preserve"> wejdą w życie po wdrożeniu CSIRE.</w:t>
      </w:r>
    </w:p>
    <w:p w14:paraId="03C171B6" w14:textId="77777777" w:rsidR="00E7466D"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E7466D" w:rsidRPr="00215A1D">
        <w:rPr>
          <w:rFonts w:ascii="Times New Roman" w:hAnsi="Times New Roman" w:cs="Times New Roman"/>
        </w:rPr>
        <w:t>W art. 11z</w:t>
      </w:r>
      <w:r w:rsidR="00810D8B">
        <w:rPr>
          <w:rFonts w:ascii="Times New Roman" w:hAnsi="Times New Roman" w:cs="Times New Roman"/>
        </w:rPr>
        <w:t>e</w:t>
      </w:r>
      <w:r w:rsidR="00E7466D" w:rsidRPr="00215A1D">
        <w:rPr>
          <w:rFonts w:ascii="Times New Roman" w:hAnsi="Times New Roman" w:cs="Times New Roman"/>
        </w:rPr>
        <w:t xml:space="preserve"> proponuje się przyjąć </w:t>
      </w:r>
      <w:r w:rsidR="00F52319" w:rsidRPr="00215A1D">
        <w:rPr>
          <w:rFonts w:ascii="Times New Roman" w:hAnsi="Times New Roman" w:cs="Times New Roman"/>
        </w:rPr>
        <w:t>zasadę</w:t>
      </w:r>
      <w:r w:rsidR="00E7466D" w:rsidRPr="00215A1D">
        <w:rPr>
          <w:rFonts w:ascii="Times New Roman" w:hAnsi="Times New Roman" w:cs="Times New Roman"/>
        </w:rPr>
        <w:t xml:space="preserve"> współadministrowania informacjami rynku energii, stanowiącymi dane osobowe. Współadministratorami będę: operator systemu dystrybucyjnego lub przesyłowego, sprzedawca energii elektrycznej ora</w:t>
      </w:r>
      <w:r w:rsidR="001D0628">
        <w:rPr>
          <w:rFonts w:ascii="Times New Roman" w:hAnsi="Times New Roman" w:cs="Times New Roman"/>
        </w:rPr>
        <w:t>z </w:t>
      </w:r>
      <w:r w:rsidR="00E7466D" w:rsidRPr="00215A1D">
        <w:rPr>
          <w:rFonts w:ascii="Times New Roman" w:hAnsi="Times New Roman" w:cs="Times New Roman"/>
        </w:rPr>
        <w:t xml:space="preserve">operator informacji rynku energii. </w:t>
      </w:r>
    </w:p>
    <w:p w14:paraId="2F33FECD" w14:textId="3199A2CA" w:rsidR="001C02F8" w:rsidRPr="00EF6F97" w:rsidRDefault="00EF6F97"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F52319" w:rsidRPr="00EF6F97">
        <w:rPr>
          <w:rFonts w:ascii="Times New Roman" w:hAnsi="Times New Roman" w:cs="Times New Roman"/>
          <w:sz w:val="24"/>
          <w:szCs w:val="24"/>
        </w:rPr>
        <w:t>Wejście w życie przepisów rozporządzenia Parlamentu Europejskiego</w:t>
      </w:r>
      <w:r w:rsidR="001D0628">
        <w:rPr>
          <w:rFonts w:ascii="Times New Roman" w:hAnsi="Times New Roman" w:cs="Times New Roman"/>
          <w:sz w:val="24"/>
          <w:szCs w:val="24"/>
        </w:rPr>
        <w:t xml:space="preserve"> i </w:t>
      </w:r>
      <w:r w:rsidR="00F52319" w:rsidRPr="00EF6F97">
        <w:rPr>
          <w:rFonts w:ascii="Times New Roman" w:hAnsi="Times New Roman" w:cs="Times New Roman"/>
          <w:sz w:val="24"/>
          <w:szCs w:val="24"/>
        </w:rPr>
        <w:t xml:space="preserve">Rady (UE) 2016/679 </w:t>
      </w:r>
      <w:r w:rsidR="001D0628">
        <w:rPr>
          <w:rFonts w:ascii="Times New Roman" w:hAnsi="Times New Roman" w:cs="Times New Roman"/>
          <w:sz w:val="24"/>
          <w:szCs w:val="24"/>
        </w:rPr>
        <w:t>z </w:t>
      </w:r>
      <w:r w:rsidR="00F52319" w:rsidRPr="00EF6F97">
        <w:rPr>
          <w:rFonts w:ascii="Times New Roman" w:hAnsi="Times New Roman" w:cs="Times New Roman"/>
          <w:sz w:val="24"/>
          <w:szCs w:val="24"/>
        </w:rPr>
        <w:t>dnia 27 kwietnia 2016</w:t>
      </w:r>
      <w:r w:rsidR="001D0628">
        <w:rPr>
          <w:rFonts w:ascii="Times New Roman" w:hAnsi="Times New Roman" w:cs="Times New Roman"/>
          <w:sz w:val="24"/>
          <w:szCs w:val="24"/>
        </w:rPr>
        <w:t> r.</w:t>
      </w:r>
      <w:r w:rsidR="00F52319" w:rsidRPr="00EF6F97">
        <w:rPr>
          <w:rFonts w:ascii="Times New Roman" w:hAnsi="Times New Roman" w:cs="Times New Roman"/>
          <w:sz w:val="24"/>
          <w:szCs w:val="24"/>
        </w:rPr>
        <w:t xml:space="preserve"> w sprawie ochrony osób fizycznych w związku </w:t>
      </w:r>
      <w:r w:rsidR="001D0628">
        <w:rPr>
          <w:rFonts w:ascii="Times New Roman" w:hAnsi="Times New Roman" w:cs="Times New Roman"/>
          <w:sz w:val="24"/>
          <w:szCs w:val="24"/>
        </w:rPr>
        <w:t>z </w:t>
      </w:r>
      <w:r w:rsidR="00F52319" w:rsidRPr="00EF6F97">
        <w:rPr>
          <w:rFonts w:ascii="Times New Roman" w:hAnsi="Times New Roman" w:cs="Times New Roman"/>
          <w:sz w:val="24"/>
          <w:szCs w:val="24"/>
        </w:rPr>
        <w:t>przetwarzaniem danych osobowych</w:t>
      </w:r>
      <w:r w:rsidR="001D0628">
        <w:rPr>
          <w:rFonts w:ascii="Times New Roman" w:hAnsi="Times New Roman" w:cs="Times New Roman"/>
          <w:sz w:val="24"/>
          <w:szCs w:val="24"/>
        </w:rPr>
        <w:t xml:space="preserve"> i </w:t>
      </w:r>
      <w:r w:rsidR="00F52319" w:rsidRPr="00EF6F97">
        <w:rPr>
          <w:rFonts w:ascii="Times New Roman" w:hAnsi="Times New Roman" w:cs="Times New Roman"/>
          <w:sz w:val="24"/>
          <w:szCs w:val="24"/>
        </w:rPr>
        <w:t>w sprawie swobodnego przepływu takich danych ora</w:t>
      </w:r>
      <w:r w:rsidR="001D0628">
        <w:rPr>
          <w:rFonts w:ascii="Times New Roman" w:hAnsi="Times New Roman" w:cs="Times New Roman"/>
          <w:sz w:val="24"/>
          <w:szCs w:val="24"/>
        </w:rPr>
        <w:t>z </w:t>
      </w:r>
      <w:r w:rsidR="00F52319" w:rsidRPr="00EF6F97">
        <w:rPr>
          <w:rFonts w:ascii="Times New Roman" w:hAnsi="Times New Roman" w:cs="Times New Roman"/>
          <w:sz w:val="24"/>
          <w:szCs w:val="24"/>
        </w:rPr>
        <w:t>uchylenia dyrektywy 95/46/WE (ogólne rozporządzenie o ochronie danych osobowych dalej określane jako RODO) stanowi, że podmioty, w zakresie</w:t>
      </w:r>
      <w:r w:rsidR="00767D2C">
        <w:rPr>
          <w:rFonts w:ascii="Times New Roman" w:hAnsi="Times New Roman" w:cs="Times New Roman"/>
          <w:sz w:val="24"/>
          <w:szCs w:val="24"/>
        </w:rPr>
        <w:t>,</w:t>
      </w:r>
      <w:r w:rsidR="00F52319" w:rsidRPr="00EF6F97">
        <w:rPr>
          <w:rFonts w:ascii="Times New Roman" w:hAnsi="Times New Roman" w:cs="Times New Roman"/>
          <w:sz w:val="24"/>
          <w:szCs w:val="24"/>
        </w:rPr>
        <w:t xml:space="preserve"> w jakim przetwarzają dane pomiarowe stanowiące dane osobowe, będą ich administratorami w rozumieniu rozporządzenia 2016/679</w:t>
      </w:r>
      <w:r w:rsidR="001D0628">
        <w:rPr>
          <w:rFonts w:ascii="Times New Roman" w:hAnsi="Times New Roman" w:cs="Times New Roman"/>
          <w:sz w:val="24"/>
          <w:szCs w:val="24"/>
        </w:rPr>
        <w:t xml:space="preserve"> i </w:t>
      </w:r>
      <w:r w:rsidR="00F52319" w:rsidRPr="00EF6F97">
        <w:rPr>
          <w:rFonts w:ascii="Times New Roman" w:hAnsi="Times New Roman" w:cs="Times New Roman"/>
          <w:sz w:val="24"/>
          <w:szCs w:val="24"/>
        </w:rPr>
        <w:t xml:space="preserve">w związku </w:t>
      </w:r>
      <w:r w:rsidR="001D0628">
        <w:rPr>
          <w:rFonts w:ascii="Times New Roman" w:hAnsi="Times New Roman" w:cs="Times New Roman"/>
          <w:sz w:val="24"/>
          <w:szCs w:val="24"/>
        </w:rPr>
        <w:t>z </w:t>
      </w:r>
      <w:r w:rsidR="00F52319" w:rsidRPr="00EF6F97">
        <w:rPr>
          <w:rFonts w:ascii="Times New Roman" w:hAnsi="Times New Roman" w:cs="Times New Roman"/>
          <w:sz w:val="24"/>
          <w:szCs w:val="24"/>
        </w:rPr>
        <w:t>tym posiadają szereg obowiązków, międ</w:t>
      </w:r>
      <w:r w:rsidR="001C02F8" w:rsidRPr="00EF6F97">
        <w:rPr>
          <w:rFonts w:ascii="Times New Roman" w:hAnsi="Times New Roman" w:cs="Times New Roman"/>
          <w:sz w:val="24"/>
          <w:szCs w:val="24"/>
        </w:rPr>
        <w:t>zy innymi obowiązek informacyjny</w:t>
      </w:r>
      <w:r w:rsidR="00767D2C">
        <w:rPr>
          <w:rFonts w:ascii="Times New Roman" w:hAnsi="Times New Roman" w:cs="Times New Roman"/>
          <w:sz w:val="24"/>
          <w:szCs w:val="24"/>
        </w:rPr>
        <w:t>,</w:t>
      </w:r>
      <w:r w:rsidR="001C02F8" w:rsidRPr="00EF6F97">
        <w:rPr>
          <w:rFonts w:ascii="Times New Roman" w:hAnsi="Times New Roman" w:cs="Times New Roman"/>
          <w:sz w:val="24"/>
          <w:szCs w:val="24"/>
        </w:rPr>
        <w:t xml:space="preserve"> o którym mowa w art. 13</w:t>
      </w:r>
      <w:r w:rsidR="001D0628">
        <w:rPr>
          <w:rFonts w:ascii="Times New Roman" w:hAnsi="Times New Roman" w:cs="Times New Roman"/>
          <w:sz w:val="24"/>
          <w:szCs w:val="24"/>
        </w:rPr>
        <w:t xml:space="preserve"> i </w:t>
      </w:r>
      <w:r w:rsidR="001C02F8" w:rsidRPr="00EF6F97">
        <w:rPr>
          <w:rFonts w:ascii="Times New Roman" w:hAnsi="Times New Roman" w:cs="Times New Roman"/>
          <w:sz w:val="24"/>
          <w:szCs w:val="24"/>
        </w:rPr>
        <w:t xml:space="preserve">14 RODO. Jednocześnie RODO wprowadza w art. 26 pojęcie współadministrowania danymi osobowymi. </w:t>
      </w:r>
    </w:p>
    <w:p w14:paraId="78C2D456" w14:textId="77777777" w:rsidR="00F41194"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F41194" w:rsidRPr="00215A1D">
        <w:rPr>
          <w:rFonts w:ascii="Times New Roman" w:hAnsi="Times New Roman" w:cs="Times New Roman"/>
        </w:rPr>
        <w:t>Operator systemu dystrybucyjnego elektroenergetycznego, operator systemu przesyłowego elektroenergetycznego ora</w:t>
      </w:r>
      <w:r w:rsidR="001D0628">
        <w:rPr>
          <w:rFonts w:ascii="Times New Roman" w:hAnsi="Times New Roman" w:cs="Times New Roman"/>
        </w:rPr>
        <w:t>z </w:t>
      </w:r>
      <w:r w:rsidR="00F41194" w:rsidRPr="00215A1D">
        <w:rPr>
          <w:rFonts w:ascii="Times New Roman" w:hAnsi="Times New Roman" w:cs="Times New Roman"/>
        </w:rPr>
        <w:t xml:space="preserve">sprzedawca energii elektrycznej zostaną zobowiązani do informowania odbiorców końcowych będących osobami fizycznymi, </w:t>
      </w:r>
      <w:r w:rsidR="001D0628">
        <w:rPr>
          <w:rFonts w:ascii="Times New Roman" w:hAnsi="Times New Roman" w:cs="Times New Roman"/>
        </w:rPr>
        <w:t>z </w:t>
      </w:r>
      <w:r w:rsidR="00F41194" w:rsidRPr="00215A1D">
        <w:rPr>
          <w:rFonts w:ascii="Times New Roman" w:hAnsi="Times New Roman" w:cs="Times New Roman"/>
        </w:rPr>
        <w:t>którymi mają zawarte umowy o dostarczanie energii elektrycznej, o zakresie</w:t>
      </w:r>
      <w:r w:rsidR="001D0628">
        <w:rPr>
          <w:rFonts w:ascii="Times New Roman" w:hAnsi="Times New Roman" w:cs="Times New Roman"/>
        </w:rPr>
        <w:t xml:space="preserve"> i </w:t>
      </w:r>
      <w:r w:rsidR="00F41194" w:rsidRPr="00215A1D">
        <w:rPr>
          <w:rFonts w:ascii="Times New Roman" w:hAnsi="Times New Roman" w:cs="Times New Roman"/>
        </w:rPr>
        <w:t>celu wykorzystywania danych osobowych ora</w:t>
      </w:r>
      <w:r w:rsidR="001D0628">
        <w:rPr>
          <w:rFonts w:ascii="Times New Roman" w:hAnsi="Times New Roman" w:cs="Times New Roman"/>
        </w:rPr>
        <w:t>z </w:t>
      </w:r>
      <w:r w:rsidR="00F41194" w:rsidRPr="00215A1D">
        <w:rPr>
          <w:rFonts w:ascii="Times New Roman" w:hAnsi="Times New Roman" w:cs="Times New Roman"/>
        </w:rPr>
        <w:t>o prawie wglądu do tych danych. Sprzedawca energii elektrycznej będzie dodatkowo zobowiązany do poinformowania odbiorców końcowych będących osobami fizycznymi o zakresie</w:t>
      </w:r>
      <w:r w:rsidR="001D0628">
        <w:rPr>
          <w:rFonts w:ascii="Times New Roman" w:hAnsi="Times New Roman" w:cs="Times New Roman"/>
        </w:rPr>
        <w:t xml:space="preserve"> i </w:t>
      </w:r>
      <w:r w:rsidR="00F41194" w:rsidRPr="00215A1D">
        <w:rPr>
          <w:rFonts w:ascii="Times New Roman" w:hAnsi="Times New Roman" w:cs="Times New Roman"/>
        </w:rPr>
        <w:t>celu przetwarzania danym pomiarowych prze</w:t>
      </w:r>
      <w:r w:rsidR="001D0628">
        <w:rPr>
          <w:rFonts w:ascii="Times New Roman" w:hAnsi="Times New Roman" w:cs="Times New Roman"/>
        </w:rPr>
        <w:t>z </w:t>
      </w:r>
      <w:r w:rsidR="00F41194" w:rsidRPr="00215A1D">
        <w:rPr>
          <w:rFonts w:ascii="Times New Roman" w:hAnsi="Times New Roman" w:cs="Times New Roman"/>
        </w:rPr>
        <w:t>operatora informacji rynku energii ora</w:t>
      </w:r>
      <w:r w:rsidR="001D0628">
        <w:rPr>
          <w:rFonts w:ascii="Times New Roman" w:hAnsi="Times New Roman" w:cs="Times New Roman"/>
        </w:rPr>
        <w:t>z </w:t>
      </w:r>
      <w:r w:rsidR="00F41194" w:rsidRPr="00215A1D">
        <w:rPr>
          <w:rFonts w:ascii="Times New Roman" w:hAnsi="Times New Roman" w:cs="Times New Roman"/>
        </w:rPr>
        <w:t xml:space="preserve">o prawie wglądu do danych osobowych dotyczących tych odbiorców. Powyższe jest uzasadnione tym, że operator informacji rynku energii nie posiada relacji umownej </w:t>
      </w:r>
      <w:r w:rsidR="001D0628">
        <w:rPr>
          <w:rFonts w:ascii="Times New Roman" w:hAnsi="Times New Roman" w:cs="Times New Roman"/>
        </w:rPr>
        <w:t>z </w:t>
      </w:r>
      <w:r w:rsidR="00F41194" w:rsidRPr="00215A1D">
        <w:rPr>
          <w:rFonts w:ascii="Times New Roman" w:hAnsi="Times New Roman" w:cs="Times New Roman"/>
        </w:rPr>
        <w:t>odbiorcą energii elektrycznej, tymczasem sprzedawca ją posiada.</w:t>
      </w:r>
    </w:p>
    <w:p w14:paraId="6558ED96" w14:textId="2739BEBB" w:rsidR="00F52319" w:rsidRPr="00EF6F97" w:rsidRDefault="00EF6F97"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F52319" w:rsidRPr="00EF6F97">
        <w:rPr>
          <w:rFonts w:ascii="Times New Roman" w:hAnsi="Times New Roman" w:cs="Times New Roman"/>
          <w:sz w:val="24"/>
          <w:szCs w:val="24"/>
        </w:rPr>
        <w:t>Zasada współadministrowania informacjami w CSIRE pozwoli zminimalizować koszty ponoszone prze</w:t>
      </w:r>
      <w:r w:rsidR="001D0628">
        <w:rPr>
          <w:rFonts w:ascii="Times New Roman" w:hAnsi="Times New Roman" w:cs="Times New Roman"/>
          <w:sz w:val="24"/>
          <w:szCs w:val="24"/>
        </w:rPr>
        <w:t>z </w:t>
      </w:r>
      <w:r w:rsidR="001C02F8" w:rsidRPr="00EF6F97">
        <w:rPr>
          <w:rFonts w:ascii="Times New Roman" w:hAnsi="Times New Roman" w:cs="Times New Roman"/>
          <w:sz w:val="24"/>
          <w:szCs w:val="24"/>
        </w:rPr>
        <w:t>poszczególnych administratorów</w:t>
      </w:r>
      <w:r w:rsidR="00DE3CE7">
        <w:rPr>
          <w:rFonts w:ascii="Times New Roman" w:hAnsi="Times New Roman" w:cs="Times New Roman"/>
          <w:sz w:val="24"/>
          <w:szCs w:val="24"/>
        </w:rPr>
        <w:t>,</w:t>
      </w:r>
      <w:r w:rsidR="001C02F8" w:rsidRPr="00EF6F97">
        <w:rPr>
          <w:rFonts w:ascii="Times New Roman" w:hAnsi="Times New Roman" w:cs="Times New Roman"/>
          <w:sz w:val="24"/>
          <w:szCs w:val="24"/>
        </w:rPr>
        <w:t xml:space="preserve"> a tym samym przenoszone później na </w:t>
      </w:r>
      <w:r w:rsidR="00F52319" w:rsidRPr="00EF6F97">
        <w:rPr>
          <w:rFonts w:ascii="Times New Roman" w:hAnsi="Times New Roman" w:cs="Times New Roman"/>
          <w:sz w:val="24"/>
          <w:szCs w:val="24"/>
        </w:rPr>
        <w:t>odbiorców</w:t>
      </w:r>
      <w:r w:rsidR="00F41194" w:rsidRPr="00EF6F97">
        <w:rPr>
          <w:rFonts w:ascii="Times New Roman" w:hAnsi="Times New Roman" w:cs="Times New Roman"/>
          <w:sz w:val="24"/>
          <w:szCs w:val="24"/>
        </w:rPr>
        <w:t xml:space="preserve"> końcowych</w:t>
      </w:r>
      <w:r w:rsidR="00F52319" w:rsidRPr="00EF6F97">
        <w:rPr>
          <w:rFonts w:ascii="Times New Roman" w:hAnsi="Times New Roman" w:cs="Times New Roman"/>
          <w:sz w:val="24"/>
          <w:szCs w:val="24"/>
        </w:rPr>
        <w:t>, w szczególności prze</w:t>
      </w:r>
      <w:r w:rsidR="001D0628">
        <w:rPr>
          <w:rFonts w:ascii="Times New Roman" w:hAnsi="Times New Roman" w:cs="Times New Roman"/>
          <w:sz w:val="24"/>
          <w:szCs w:val="24"/>
        </w:rPr>
        <w:t>z </w:t>
      </w:r>
      <w:r w:rsidR="00F52319" w:rsidRPr="00EF6F97">
        <w:rPr>
          <w:rFonts w:ascii="Times New Roman" w:hAnsi="Times New Roman" w:cs="Times New Roman"/>
          <w:sz w:val="24"/>
          <w:szCs w:val="24"/>
        </w:rPr>
        <w:t xml:space="preserve">uniknięcie podwójnych </w:t>
      </w:r>
      <w:r w:rsidR="001C02F8" w:rsidRPr="00EF6F97">
        <w:rPr>
          <w:rFonts w:ascii="Times New Roman" w:hAnsi="Times New Roman" w:cs="Times New Roman"/>
          <w:sz w:val="24"/>
          <w:szCs w:val="24"/>
        </w:rPr>
        <w:t xml:space="preserve">lub potrójnych </w:t>
      </w:r>
      <w:r w:rsidR="00F52319" w:rsidRPr="00EF6F97">
        <w:rPr>
          <w:rFonts w:ascii="Times New Roman" w:hAnsi="Times New Roman" w:cs="Times New Roman"/>
          <w:sz w:val="24"/>
          <w:szCs w:val="24"/>
        </w:rPr>
        <w:t xml:space="preserve">kosztów związanych </w:t>
      </w:r>
      <w:r w:rsidR="001D0628">
        <w:rPr>
          <w:rFonts w:ascii="Times New Roman" w:hAnsi="Times New Roman" w:cs="Times New Roman"/>
          <w:sz w:val="24"/>
          <w:szCs w:val="24"/>
        </w:rPr>
        <w:t>z </w:t>
      </w:r>
      <w:r w:rsidR="00F52319" w:rsidRPr="00EF6F97">
        <w:rPr>
          <w:rFonts w:ascii="Times New Roman" w:hAnsi="Times New Roman" w:cs="Times New Roman"/>
          <w:sz w:val="24"/>
          <w:szCs w:val="24"/>
        </w:rPr>
        <w:t xml:space="preserve">realizacją obowiązku informacyjnego. Zgodnie </w:t>
      </w:r>
      <w:r w:rsidR="001D0628">
        <w:rPr>
          <w:rFonts w:ascii="Times New Roman" w:hAnsi="Times New Roman" w:cs="Times New Roman"/>
          <w:sz w:val="24"/>
          <w:szCs w:val="24"/>
        </w:rPr>
        <w:t>z </w:t>
      </w:r>
      <w:r w:rsidR="00F52319" w:rsidRPr="00EF6F97">
        <w:rPr>
          <w:rFonts w:ascii="Times New Roman" w:hAnsi="Times New Roman" w:cs="Times New Roman"/>
          <w:sz w:val="24"/>
          <w:szCs w:val="24"/>
        </w:rPr>
        <w:t xml:space="preserve">przepisami, </w:t>
      </w:r>
      <w:r w:rsidR="001C02F8" w:rsidRPr="00EF6F97">
        <w:rPr>
          <w:rFonts w:ascii="Times New Roman" w:hAnsi="Times New Roman" w:cs="Times New Roman"/>
          <w:sz w:val="24"/>
          <w:szCs w:val="24"/>
        </w:rPr>
        <w:lastRenderedPageBreak/>
        <w:t>operatorzy systemów dystrybucyjnych elektroenergetycznych</w:t>
      </w:r>
      <w:r w:rsidR="001D0628">
        <w:rPr>
          <w:rFonts w:ascii="Times New Roman" w:hAnsi="Times New Roman" w:cs="Times New Roman"/>
          <w:sz w:val="24"/>
          <w:szCs w:val="24"/>
        </w:rPr>
        <w:t xml:space="preserve"> i </w:t>
      </w:r>
      <w:r w:rsidR="00F52319" w:rsidRPr="00EF6F97">
        <w:rPr>
          <w:rFonts w:ascii="Times New Roman" w:hAnsi="Times New Roman" w:cs="Times New Roman"/>
          <w:sz w:val="24"/>
          <w:szCs w:val="24"/>
        </w:rPr>
        <w:t xml:space="preserve">sprzedawcy </w:t>
      </w:r>
      <w:r w:rsidR="001C02F8" w:rsidRPr="00EF6F97">
        <w:rPr>
          <w:rFonts w:ascii="Times New Roman" w:hAnsi="Times New Roman" w:cs="Times New Roman"/>
          <w:sz w:val="24"/>
          <w:szCs w:val="24"/>
        </w:rPr>
        <w:t>energii elektrycznej</w:t>
      </w:r>
      <w:r w:rsidR="00767D2C">
        <w:rPr>
          <w:rFonts w:ascii="Times New Roman" w:hAnsi="Times New Roman" w:cs="Times New Roman"/>
          <w:sz w:val="24"/>
          <w:szCs w:val="24"/>
        </w:rPr>
        <w:t>,</w:t>
      </w:r>
      <w:r w:rsidR="001C02F8" w:rsidRPr="00EF6F97">
        <w:rPr>
          <w:rFonts w:ascii="Times New Roman" w:hAnsi="Times New Roman" w:cs="Times New Roman"/>
          <w:sz w:val="24"/>
          <w:szCs w:val="24"/>
        </w:rPr>
        <w:t xml:space="preserve"> </w:t>
      </w:r>
      <w:r w:rsidR="00F52319" w:rsidRPr="00EF6F97">
        <w:rPr>
          <w:rFonts w:ascii="Times New Roman" w:hAnsi="Times New Roman" w:cs="Times New Roman"/>
          <w:sz w:val="24"/>
          <w:szCs w:val="24"/>
        </w:rPr>
        <w:t>realizując dodatkowy cel przetwarzania danych</w:t>
      </w:r>
      <w:r w:rsidR="00767D2C">
        <w:rPr>
          <w:rFonts w:ascii="Times New Roman" w:hAnsi="Times New Roman" w:cs="Times New Roman"/>
          <w:sz w:val="24"/>
          <w:szCs w:val="24"/>
        </w:rPr>
        <w:t>,</w:t>
      </w:r>
      <w:r w:rsidR="00F52319" w:rsidRPr="00EF6F97">
        <w:rPr>
          <w:rFonts w:ascii="Times New Roman" w:hAnsi="Times New Roman" w:cs="Times New Roman"/>
          <w:sz w:val="24"/>
          <w:szCs w:val="24"/>
        </w:rPr>
        <w:t xml:space="preserve"> jakim jest </w:t>
      </w:r>
      <w:r w:rsidR="001C02F8" w:rsidRPr="00EF6F97">
        <w:rPr>
          <w:rFonts w:ascii="Times New Roman" w:hAnsi="Times New Roman" w:cs="Times New Roman"/>
          <w:sz w:val="24"/>
          <w:szCs w:val="24"/>
        </w:rPr>
        <w:t>operator informacji rynku energii</w:t>
      </w:r>
      <w:r w:rsidR="00F52319" w:rsidRPr="00EF6F97">
        <w:rPr>
          <w:rFonts w:ascii="Times New Roman" w:hAnsi="Times New Roman" w:cs="Times New Roman"/>
          <w:sz w:val="24"/>
          <w:szCs w:val="24"/>
        </w:rPr>
        <w:t>, zobowiązani są do jego ponownego wykonania. Koncepcja współadministrowania pozwala uniknąć dublowania kosztów – zamiast dwóch informacji od PSE</w:t>
      </w:r>
      <w:r w:rsidR="001D0628">
        <w:rPr>
          <w:rFonts w:ascii="Times New Roman" w:hAnsi="Times New Roman" w:cs="Times New Roman"/>
          <w:sz w:val="24"/>
          <w:szCs w:val="24"/>
        </w:rPr>
        <w:t xml:space="preserve"> i </w:t>
      </w:r>
      <w:r w:rsidR="00F52319" w:rsidRPr="00EF6F97">
        <w:rPr>
          <w:rFonts w:ascii="Times New Roman" w:hAnsi="Times New Roman" w:cs="Times New Roman"/>
          <w:sz w:val="24"/>
          <w:szCs w:val="24"/>
        </w:rPr>
        <w:t>od sprzedawcy (bądź trzech w przypadku odrębnych umów dystrybucyjnych), odbiorca końcowy może otrzymać jedną. Ustawa precyzuje</w:t>
      </w:r>
      <w:r w:rsidR="00767D2C">
        <w:rPr>
          <w:rFonts w:ascii="Times New Roman" w:hAnsi="Times New Roman" w:cs="Times New Roman"/>
          <w:sz w:val="24"/>
          <w:szCs w:val="24"/>
        </w:rPr>
        <w:t>,</w:t>
      </w:r>
      <w:r w:rsidR="00F52319" w:rsidRPr="00EF6F97">
        <w:rPr>
          <w:rFonts w:ascii="Times New Roman" w:hAnsi="Times New Roman" w:cs="Times New Roman"/>
          <w:sz w:val="24"/>
          <w:szCs w:val="24"/>
        </w:rPr>
        <w:t xml:space="preserve"> kto ten obowiązek wykona w imieniu pozostałych</w:t>
      </w:r>
      <w:r w:rsidR="001C02F8" w:rsidRPr="00EF6F97">
        <w:rPr>
          <w:rFonts w:ascii="Times New Roman" w:hAnsi="Times New Roman" w:cs="Times New Roman"/>
          <w:sz w:val="24"/>
          <w:szCs w:val="24"/>
        </w:rPr>
        <w:t xml:space="preserve"> współadministratorów</w:t>
      </w:r>
      <w:r w:rsidR="00F52319" w:rsidRPr="00EF6F97">
        <w:rPr>
          <w:rFonts w:ascii="Times New Roman" w:hAnsi="Times New Roman" w:cs="Times New Roman"/>
          <w:sz w:val="24"/>
          <w:szCs w:val="24"/>
        </w:rPr>
        <w:t>. Koszty realizacji takiego jednokrotnego obowiązku szacuje się na ok</w:t>
      </w:r>
      <w:r w:rsidR="00DE3CE7">
        <w:rPr>
          <w:rFonts w:ascii="Times New Roman" w:hAnsi="Times New Roman" w:cs="Times New Roman"/>
          <w:sz w:val="24"/>
          <w:szCs w:val="24"/>
        </w:rPr>
        <w:t>.</w:t>
      </w:r>
      <w:r w:rsidR="00F52319" w:rsidRPr="00EF6F97">
        <w:rPr>
          <w:rFonts w:ascii="Times New Roman" w:hAnsi="Times New Roman" w:cs="Times New Roman"/>
          <w:sz w:val="24"/>
          <w:szCs w:val="24"/>
        </w:rPr>
        <w:t xml:space="preserve"> 20 mln zł.</w:t>
      </w:r>
    </w:p>
    <w:p w14:paraId="1F9F878F" w14:textId="0B51DCB5" w:rsidR="00F52319" w:rsidRPr="00EF6F97" w:rsidRDefault="00EF6F97"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F52319" w:rsidRPr="00EF6F97">
        <w:rPr>
          <w:rFonts w:ascii="Times New Roman" w:hAnsi="Times New Roman" w:cs="Times New Roman"/>
          <w:sz w:val="24"/>
          <w:szCs w:val="24"/>
        </w:rPr>
        <w:t>Uczestnicy rynku będą pozyskiwać/udostępniać dane osobowe prze</w:t>
      </w:r>
      <w:r w:rsidR="001D0628">
        <w:rPr>
          <w:rFonts w:ascii="Times New Roman" w:hAnsi="Times New Roman" w:cs="Times New Roman"/>
          <w:sz w:val="24"/>
          <w:szCs w:val="24"/>
        </w:rPr>
        <w:t>z </w:t>
      </w:r>
      <w:r w:rsidR="00F52319" w:rsidRPr="00EF6F97">
        <w:rPr>
          <w:rFonts w:ascii="Times New Roman" w:hAnsi="Times New Roman" w:cs="Times New Roman"/>
          <w:sz w:val="24"/>
          <w:szCs w:val="24"/>
        </w:rPr>
        <w:t>obecną infrastrukturę sprzedażową</w:t>
      </w:r>
      <w:r w:rsidR="001D0628">
        <w:rPr>
          <w:rFonts w:ascii="Times New Roman" w:hAnsi="Times New Roman" w:cs="Times New Roman"/>
          <w:sz w:val="24"/>
          <w:szCs w:val="24"/>
        </w:rPr>
        <w:t xml:space="preserve"> i </w:t>
      </w:r>
      <w:r w:rsidR="00F52319" w:rsidRPr="00EF6F97">
        <w:rPr>
          <w:rFonts w:ascii="Times New Roman" w:hAnsi="Times New Roman" w:cs="Times New Roman"/>
          <w:sz w:val="24"/>
          <w:szCs w:val="24"/>
        </w:rPr>
        <w:t xml:space="preserve">dystrybucyjną. Przy tych procesach sprzedawcy </w:t>
      </w:r>
      <w:r w:rsidR="001C02F8" w:rsidRPr="00EF6F97">
        <w:rPr>
          <w:rFonts w:ascii="Times New Roman" w:hAnsi="Times New Roman" w:cs="Times New Roman"/>
          <w:sz w:val="24"/>
          <w:szCs w:val="24"/>
        </w:rPr>
        <w:t>energii elektrycznej</w:t>
      </w:r>
      <w:r w:rsidR="001D0628">
        <w:rPr>
          <w:rFonts w:ascii="Times New Roman" w:hAnsi="Times New Roman" w:cs="Times New Roman"/>
          <w:sz w:val="24"/>
          <w:szCs w:val="24"/>
        </w:rPr>
        <w:t xml:space="preserve"> i </w:t>
      </w:r>
      <w:r w:rsidR="001C02F8" w:rsidRPr="00EF6F97">
        <w:rPr>
          <w:rFonts w:ascii="Times New Roman" w:hAnsi="Times New Roman" w:cs="Times New Roman"/>
          <w:sz w:val="24"/>
          <w:szCs w:val="24"/>
        </w:rPr>
        <w:t xml:space="preserve">operatorzy systemów dystrybucyjnych elektroenergetycznych </w:t>
      </w:r>
      <w:r w:rsidR="00F52319" w:rsidRPr="00EF6F97">
        <w:rPr>
          <w:rFonts w:ascii="Times New Roman" w:hAnsi="Times New Roman" w:cs="Times New Roman"/>
          <w:sz w:val="24"/>
          <w:szCs w:val="24"/>
        </w:rPr>
        <w:t>realizują już obowiązki informacyjne</w:t>
      </w:r>
      <w:r w:rsidR="001D0628">
        <w:rPr>
          <w:rFonts w:ascii="Times New Roman" w:hAnsi="Times New Roman" w:cs="Times New Roman"/>
          <w:sz w:val="24"/>
          <w:szCs w:val="24"/>
        </w:rPr>
        <w:t xml:space="preserve"> i </w:t>
      </w:r>
      <w:r w:rsidR="00F52319" w:rsidRPr="00EF6F97">
        <w:rPr>
          <w:rFonts w:ascii="Times New Roman" w:hAnsi="Times New Roman" w:cs="Times New Roman"/>
          <w:sz w:val="24"/>
          <w:szCs w:val="24"/>
        </w:rPr>
        <w:t xml:space="preserve">inne obowiązki wynikające </w:t>
      </w:r>
      <w:r w:rsidR="001D0628">
        <w:rPr>
          <w:rFonts w:ascii="Times New Roman" w:hAnsi="Times New Roman" w:cs="Times New Roman"/>
          <w:sz w:val="24"/>
          <w:szCs w:val="24"/>
        </w:rPr>
        <w:t>z </w:t>
      </w:r>
      <w:r w:rsidR="00F52319" w:rsidRPr="00EF6F97">
        <w:rPr>
          <w:rFonts w:ascii="Times New Roman" w:hAnsi="Times New Roman" w:cs="Times New Roman"/>
          <w:sz w:val="24"/>
          <w:szCs w:val="24"/>
        </w:rPr>
        <w:t>RODO w ramach przetwarzania danych do własnych celów. Są również pierwszym punktem kontaktowym dla odbiorc</w:t>
      </w:r>
      <w:r w:rsidR="001C02F8" w:rsidRPr="00EF6F97">
        <w:rPr>
          <w:rFonts w:ascii="Times New Roman" w:hAnsi="Times New Roman" w:cs="Times New Roman"/>
          <w:sz w:val="24"/>
          <w:szCs w:val="24"/>
        </w:rPr>
        <w:t xml:space="preserve">y końcowego. Celem ustawowym operatora informacji rynku energii </w:t>
      </w:r>
      <w:r w:rsidR="00F52319" w:rsidRPr="00EF6F97">
        <w:rPr>
          <w:rFonts w:ascii="Times New Roman" w:hAnsi="Times New Roman" w:cs="Times New Roman"/>
          <w:sz w:val="24"/>
          <w:szCs w:val="24"/>
        </w:rPr>
        <w:t>nie była nig</w:t>
      </w:r>
      <w:r w:rsidR="001C02F8" w:rsidRPr="00EF6F97">
        <w:rPr>
          <w:rFonts w:ascii="Times New Roman" w:hAnsi="Times New Roman" w:cs="Times New Roman"/>
          <w:sz w:val="24"/>
          <w:szCs w:val="24"/>
        </w:rPr>
        <w:t>dy obsługa odbiorcy końcowego</w:t>
      </w:r>
      <w:r w:rsidR="00767D2C">
        <w:rPr>
          <w:rFonts w:ascii="Times New Roman" w:hAnsi="Times New Roman" w:cs="Times New Roman"/>
          <w:sz w:val="24"/>
          <w:szCs w:val="24"/>
        </w:rPr>
        <w:t>,</w:t>
      </w:r>
      <w:r w:rsidR="001C02F8" w:rsidRPr="00EF6F97">
        <w:rPr>
          <w:rFonts w:ascii="Times New Roman" w:hAnsi="Times New Roman" w:cs="Times New Roman"/>
          <w:sz w:val="24"/>
          <w:szCs w:val="24"/>
        </w:rPr>
        <w:t xml:space="preserve"> a ponadto </w:t>
      </w:r>
      <w:r w:rsidR="00F52319" w:rsidRPr="00EF6F97">
        <w:rPr>
          <w:rFonts w:ascii="Times New Roman" w:hAnsi="Times New Roman" w:cs="Times New Roman"/>
          <w:sz w:val="24"/>
          <w:szCs w:val="24"/>
        </w:rPr>
        <w:t xml:space="preserve">nie jest </w:t>
      </w:r>
      <w:r w:rsidR="001C02F8" w:rsidRPr="00EF6F97">
        <w:rPr>
          <w:rFonts w:ascii="Times New Roman" w:hAnsi="Times New Roman" w:cs="Times New Roman"/>
          <w:sz w:val="24"/>
          <w:szCs w:val="24"/>
        </w:rPr>
        <w:t xml:space="preserve">on </w:t>
      </w:r>
      <w:r w:rsidR="00F52319" w:rsidRPr="00EF6F97">
        <w:rPr>
          <w:rFonts w:ascii="Times New Roman" w:hAnsi="Times New Roman" w:cs="Times New Roman"/>
          <w:sz w:val="24"/>
          <w:szCs w:val="24"/>
        </w:rPr>
        <w:t xml:space="preserve">stroną umów </w:t>
      </w:r>
      <w:r w:rsidR="001D0628">
        <w:rPr>
          <w:rFonts w:ascii="Times New Roman" w:hAnsi="Times New Roman" w:cs="Times New Roman"/>
          <w:sz w:val="24"/>
          <w:szCs w:val="24"/>
        </w:rPr>
        <w:t>z </w:t>
      </w:r>
      <w:r w:rsidR="00F52319" w:rsidRPr="00EF6F97">
        <w:rPr>
          <w:rFonts w:ascii="Times New Roman" w:hAnsi="Times New Roman" w:cs="Times New Roman"/>
          <w:sz w:val="24"/>
          <w:szCs w:val="24"/>
        </w:rPr>
        <w:t xml:space="preserve">osobami fizycznymi. Osobna administracja wiązałaby się </w:t>
      </w:r>
      <w:r w:rsidR="001D0628">
        <w:rPr>
          <w:rFonts w:ascii="Times New Roman" w:hAnsi="Times New Roman" w:cs="Times New Roman"/>
          <w:sz w:val="24"/>
          <w:szCs w:val="24"/>
        </w:rPr>
        <w:t>z </w:t>
      </w:r>
      <w:r w:rsidR="00F52319" w:rsidRPr="00EF6F97">
        <w:rPr>
          <w:rFonts w:ascii="Times New Roman" w:hAnsi="Times New Roman" w:cs="Times New Roman"/>
          <w:sz w:val="24"/>
          <w:szCs w:val="24"/>
        </w:rPr>
        <w:t xml:space="preserve">koniecznością budowy po stronie </w:t>
      </w:r>
      <w:r w:rsidR="001C02F8" w:rsidRPr="00EF6F97">
        <w:rPr>
          <w:rFonts w:ascii="Times New Roman" w:hAnsi="Times New Roman" w:cs="Times New Roman"/>
          <w:sz w:val="24"/>
          <w:szCs w:val="24"/>
        </w:rPr>
        <w:t xml:space="preserve">operatora informacji rynku energii </w:t>
      </w:r>
      <w:r w:rsidR="00F52319" w:rsidRPr="00EF6F97">
        <w:rPr>
          <w:rFonts w:ascii="Times New Roman" w:hAnsi="Times New Roman" w:cs="Times New Roman"/>
          <w:sz w:val="24"/>
          <w:szCs w:val="24"/>
        </w:rPr>
        <w:t>odrębnej infrastruktury dla obsługi odbiorcy końcowego, a w tym również koniecznością bieżącego uaktualniania</w:t>
      </w:r>
      <w:r w:rsidR="00DE3CE7" w:rsidRPr="00DE3CE7">
        <w:rPr>
          <w:rFonts w:ascii="Times New Roman" w:hAnsi="Times New Roman" w:cs="Times New Roman"/>
          <w:sz w:val="24"/>
          <w:szCs w:val="24"/>
        </w:rPr>
        <w:t xml:space="preserve"> </w:t>
      </w:r>
      <w:r w:rsidR="00DE3CE7" w:rsidRPr="00EF6F97">
        <w:rPr>
          <w:rFonts w:ascii="Times New Roman" w:hAnsi="Times New Roman" w:cs="Times New Roman"/>
          <w:sz w:val="24"/>
          <w:szCs w:val="24"/>
        </w:rPr>
        <w:t>danych</w:t>
      </w:r>
      <w:r w:rsidR="00F52319" w:rsidRPr="00EF6F97">
        <w:rPr>
          <w:rFonts w:ascii="Times New Roman" w:hAnsi="Times New Roman" w:cs="Times New Roman"/>
          <w:sz w:val="24"/>
          <w:szCs w:val="24"/>
        </w:rPr>
        <w:t xml:space="preserve">, co wiązałoby się </w:t>
      </w:r>
      <w:r w:rsidR="001D0628">
        <w:rPr>
          <w:rFonts w:ascii="Times New Roman" w:hAnsi="Times New Roman" w:cs="Times New Roman"/>
          <w:sz w:val="24"/>
          <w:szCs w:val="24"/>
        </w:rPr>
        <w:t>z </w:t>
      </w:r>
      <w:r w:rsidR="00F52319" w:rsidRPr="00EF6F97">
        <w:rPr>
          <w:rFonts w:ascii="Times New Roman" w:hAnsi="Times New Roman" w:cs="Times New Roman"/>
          <w:sz w:val="24"/>
          <w:szCs w:val="24"/>
        </w:rPr>
        <w:t>do</w:t>
      </w:r>
      <w:r w:rsidR="00F41194" w:rsidRPr="00EF6F97">
        <w:rPr>
          <w:rFonts w:ascii="Times New Roman" w:hAnsi="Times New Roman" w:cs="Times New Roman"/>
          <w:sz w:val="24"/>
          <w:szCs w:val="24"/>
        </w:rPr>
        <w:t>datkowymi kosztami.</w:t>
      </w:r>
    </w:p>
    <w:p w14:paraId="46203A49" w14:textId="77777777" w:rsidR="00F52319" w:rsidRPr="00EF6F97" w:rsidRDefault="00EF6F97" w:rsidP="00EF6F9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F52319" w:rsidRPr="00EF6F97">
        <w:rPr>
          <w:rFonts w:ascii="Times New Roman" w:hAnsi="Times New Roman" w:cs="Times New Roman"/>
          <w:sz w:val="24"/>
          <w:szCs w:val="24"/>
        </w:rPr>
        <w:t>Współadministrowanie pozwala na jasne przypisanie odpowiedzialności za poszczególne obowiązki w jego ramach. Pozwala to podzielić się obowiązkami, co zmniejsza pracochłonność przyjętego rozwiązania w jego implementacji (dodatkowe etaty). Dodatkowo nie wprowadza zamieszania dla klienta końcowego w zakresie punktu kontaktowego – jest to transparentne</w:t>
      </w:r>
      <w:r w:rsidR="001D0628">
        <w:rPr>
          <w:rFonts w:ascii="Times New Roman" w:hAnsi="Times New Roman" w:cs="Times New Roman"/>
          <w:sz w:val="24"/>
          <w:szCs w:val="24"/>
        </w:rPr>
        <w:t xml:space="preserve"> i </w:t>
      </w:r>
      <w:r w:rsidR="00F52319" w:rsidRPr="00EF6F97">
        <w:rPr>
          <w:rFonts w:ascii="Times New Roman" w:hAnsi="Times New Roman" w:cs="Times New Roman"/>
          <w:sz w:val="24"/>
          <w:szCs w:val="24"/>
        </w:rPr>
        <w:t>przejrzyste dla odbiorcy końcowego.</w:t>
      </w:r>
    </w:p>
    <w:p w14:paraId="5D68EB58" w14:textId="396EF1F7" w:rsidR="003B7CFB" w:rsidRDefault="00EF6F97"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3B7CFB" w:rsidRPr="00EF6F97">
        <w:rPr>
          <w:rFonts w:ascii="Times New Roman" w:hAnsi="Times New Roman" w:cs="Times New Roman"/>
          <w:sz w:val="24"/>
          <w:szCs w:val="24"/>
        </w:rPr>
        <w:t xml:space="preserve">Dodatkowo wprowadzono przepis, zgodnie </w:t>
      </w:r>
      <w:r w:rsidR="001D0628">
        <w:rPr>
          <w:rFonts w:ascii="Times New Roman" w:hAnsi="Times New Roman" w:cs="Times New Roman"/>
          <w:sz w:val="24"/>
          <w:szCs w:val="24"/>
        </w:rPr>
        <w:t>z </w:t>
      </w:r>
      <w:r w:rsidR="003B7CFB" w:rsidRPr="00EF6F97">
        <w:rPr>
          <w:rFonts w:ascii="Times New Roman" w:hAnsi="Times New Roman" w:cs="Times New Roman"/>
          <w:sz w:val="24"/>
          <w:szCs w:val="24"/>
        </w:rPr>
        <w:t>którym w przypadku złożenia prze</w:t>
      </w:r>
      <w:r w:rsidR="001D0628">
        <w:rPr>
          <w:rFonts w:ascii="Times New Roman" w:hAnsi="Times New Roman" w:cs="Times New Roman"/>
          <w:sz w:val="24"/>
          <w:szCs w:val="24"/>
        </w:rPr>
        <w:t>z </w:t>
      </w:r>
      <w:r w:rsidR="003B7CFB" w:rsidRPr="00EF6F97">
        <w:rPr>
          <w:rFonts w:ascii="Times New Roman" w:hAnsi="Times New Roman" w:cs="Times New Roman"/>
          <w:sz w:val="24"/>
          <w:szCs w:val="24"/>
        </w:rPr>
        <w:t>użytkownika systemu będącego osobą fizyczną wniosku o realizację uprawnienia</w:t>
      </w:r>
      <w:r w:rsidR="00767D2C">
        <w:rPr>
          <w:rFonts w:ascii="Times New Roman" w:hAnsi="Times New Roman" w:cs="Times New Roman"/>
          <w:sz w:val="24"/>
          <w:szCs w:val="24"/>
        </w:rPr>
        <w:t>,</w:t>
      </w:r>
      <w:r w:rsidR="003B7CFB" w:rsidRPr="00EF6F97">
        <w:rPr>
          <w:rFonts w:ascii="Times New Roman" w:hAnsi="Times New Roman" w:cs="Times New Roman"/>
          <w:sz w:val="24"/>
          <w:szCs w:val="24"/>
        </w:rPr>
        <w:t xml:space="preserve"> o którym mowa w art. 15 ust. 3 rozporządzenia 2016/679</w:t>
      </w:r>
      <w:r w:rsidR="00767D2C">
        <w:rPr>
          <w:rFonts w:ascii="Times New Roman" w:hAnsi="Times New Roman" w:cs="Times New Roman"/>
          <w:sz w:val="24"/>
          <w:szCs w:val="24"/>
        </w:rPr>
        <w:t>,</w:t>
      </w:r>
      <w:r w:rsidR="003B7CFB" w:rsidRPr="00EF6F97">
        <w:rPr>
          <w:rFonts w:ascii="Times New Roman" w:hAnsi="Times New Roman" w:cs="Times New Roman"/>
          <w:sz w:val="24"/>
          <w:szCs w:val="24"/>
        </w:rPr>
        <w:t xml:space="preserve"> w formie papierowej, zakres danych dostarczanych w kopii danych osobowych zawiera dane pomiarowe zsumowane do okresów nie krótszych niż dobowe. </w:t>
      </w:r>
      <w:r w:rsidR="00D16D40">
        <w:rPr>
          <w:rFonts w:ascii="Times New Roman" w:hAnsi="Times New Roman" w:cs="Times New Roman"/>
          <w:sz w:val="24"/>
          <w:szCs w:val="24"/>
        </w:rPr>
        <w:t>P</w:t>
      </w:r>
      <w:r w:rsidR="003B7CFB" w:rsidRPr="00EF6F97">
        <w:rPr>
          <w:rFonts w:ascii="Times New Roman" w:hAnsi="Times New Roman" w:cs="Times New Roman"/>
          <w:sz w:val="24"/>
          <w:szCs w:val="24"/>
        </w:rPr>
        <w:t xml:space="preserve">rzepis </w:t>
      </w:r>
      <w:r w:rsidR="00D16D40">
        <w:rPr>
          <w:rFonts w:ascii="Times New Roman" w:hAnsi="Times New Roman" w:cs="Times New Roman"/>
          <w:sz w:val="24"/>
          <w:szCs w:val="24"/>
        </w:rPr>
        <w:t xml:space="preserve">ten </w:t>
      </w:r>
      <w:r w:rsidR="003B7CFB" w:rsidRPr="00EF6F97">
        <w:rPr>
          <w:rFonts w:ascii="Times New Roman" w:hAnsi="Times New Roman" w:cs="Times New Roman"/>
          <w:sz w:val="24"/>
          <w:szCs w:val="24"/>
        </w:rPr>
        <w:t xml:space="preserve">nie pozbawia odbiorcy </w:t>
      </w:r>
      <w:r w:rsidR="00D16D40" w:rsidRPr="00EF6F97">
        <w:rPr>
          <w:rFonts w:ascii="Times New Roman" w:hAnsi="Times New Roman" w:cs="Times New Roman"/>
          <w:sz w:val="24"/>
          <w:szCs w:val="24"/>
        </w:rPr>
        <w:t xml:space="preserve">prawa </w:t>
      </w:r>
      <w:r w:rsidR="003B7CFB" w:rsidRPr="00EF6F97">
        <w:rPr>
          <w:rFonts w:ascii="Times New Roman" w:hAnsi="Times New Roman" w:cs="Times New Roman"/>
          <w:sz w:val="24"/>
          <w:szCs w:val="24"/>
        </w:rPr>
        <w:t>do złożenia wniosku o udostępnienie danych pomiarowych za krótsze okresy czasu w formie elektronicznej. Ma on jedynie na celu eliminacj</w:t>
      </w:r>
      <w:r w:rsidR="00CF0C86">
        <w:rPr>
          <w:rFonts w:ascii="Times New Roman" w:hAnsi="Times New Roman" w:cs="Times New Roman"/>
          <w:sz w:val="24"/>
          <w:szCs w:val="24"/>
        </w:rPr>
        <w:t>ę</w:t>
      </w:r>
      <w:r w:rsidR="003B7CFB" w:rsidRPr="00EF6F97">
        <w:rPr>
          <w:rFonts w:ascii="Times New Roman" w:hAnsi="Times New Roman" w:cs="Times New Roman"/>
          <w:sz w:val="24"/>
          <w:szCs w:val="24"/>
        </w:rPr>
        <w:t xml:space="preserve"> sytuacji, w której na żądanie odbiorcy współadministrator zobowiązany był</w:t>
      </w:r>
      <w:r w:rsidR="00D16D40">
        <w:rPr>
          <w:rFonts w:ascii="Times New Roman" w:hAnsi="Times New Roman" w:cs="Times New Roman"/>
          <w:sz w:val="24"/>
          <w:szCs w:val="24"/>
        </w:rPr>
        <w:t>b</w:t>
      </w:r>
      <w:r w:rsidR="003B7CFB" w:rsidRPr="00EF6F97">
        <w:rPr>
          <w:rFonts w:ascii="Times New Roman" w:hAnsi="Times New Roman" w:cs="Times New Roman"/>
          <w:sz w:val="24"/>
          <w:szCs w:val="24"/>
        </w:rPr>
        <w:t>y do wydrukowania wielu arkuszy papierów, co nie pozostałoby be</w:t>
      </w:r>
      <w:r w:rsidR="001D0628">
        <w:rPr>
          <w:rFonts w:ascii="Times New Roman" w:hAnsi="Times New Roman" w:cs="Times New Roman"/>
          <w:sz w:val="24"/>
          <w:szCs w:val="24"/>
        </w:rPr>
        <w:t>z </w:t>
      </w:r>
      <w:r w:rsidR="003B7CFB" w:rsidRPr="00EF6F97">
        <w:rPr>
          <w:rFonts w:ascii="Times New Roman" w:hAnsi="Times New Roman" w:cs="Times New Roman"/>
          <w:sz w:val="24"/>
          <w:szCs w:val="24"/>
        </w:rPr>
        <w:t>wpływu na koszty ponoszone prze</w:t>
      </w:r>
      <w:r w:rsidR="001D0628">
        <w:rPr>
          <w:rFonts w:ascii="Times New Roman" w:hAnsi="Times New Roman" w:cs="Times New Roman"/>
          <w:sz w:val="24"/>
          <w:szCs w:val="24"/>
        </w:rPr>
        <w:t>z </w:t>
      </w:r>
      <w:r w:rsidR="003B7CFB" w:rsidRPr="00EF6F97">
        <w:rPr>
          <w:rFonts w:ascii="Times New Roman" w:hAnsi="Times New Roman" w:cs="Times New Roman"/>
          <w:sz w:val="24"/>
          <w:szCs w:val="24"/>
        </w:rPr>
        <w:t>użytkowników systemu</w:t>
      </w:r>
      <w:r w:rsidR="008324B7" w:rsidRPr="00EF6F97">
        <w:rPr>
          <w:rFonts w:ascii="Times New Roman" w:hAnsi="Times New Roman" w:cs="Times New Roman"/>
          <w:sz w:val="24"/>
          <w:szCs w:val="24"/>
        </w:rPr>
        <w:t>.</w:t>
      </w:r>
    </w:p>
    <w:p w14:paraId="1D196D3B" w14:textId="77777777" w:rsidR="00F943DA" w:rsidRPr="00EF6F97" w:rsidRDefault="00F943DA" w:rsidP="00F943D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Uregulowano także sposób realizacji obowiązków określonych w rozporządzeniu RODO. Współadministratorzy wypełniać będą</w:t>
      </w:r>
      <w:r w:rsidRPr="00F943DA">
        <w:rPr>
          <w:rFonts w:ascii="Times New Roman" w:hAnsi="Times New Roman" w:cs="Times New Roman"/>
          <w:sz w:val="24"/>
          <w:szCs w:val="24"/>
        </w:rPr>
        <w:t xml:space="preserve">  w stosunku do osób, których dane osobowe </w:t>
      </w:r>
      <w:r w:rsidRPr="00F943DA">
        <w:rPr>
          <w:rFonts w:ascii="Times New Roman" w:hAnsi="Times New Roman" w:cs="Times New Roman"/>
          <w:sz w:val="24"/>
          <w:szCs w:val="24"/>
        </w:rPr>
        <w:lastRenderedPageBreak/>
        <w:t>będą przetwarzane na potrzeby budowy i prowadzenia  centralnego systemu informacji rynku energii, obowiązki informacyjne określone w art. 13 rozporządzenia 2016/679, przez zamieszczenie informacji na  stronach internetowych, w widocznym miejscu w siedzibach, w miejscach przeznaczonych do obsługi odbiorców, w tym w systemach informacyjnych w miejscach służących obsłudze poszczególnych odbiorców, a także na stronie Biuletynu Informacji Publicznej, o ile są zobowiązani do jego prowadzenia.</w:t>
      </w:r>
      <w:r>
        <w:rPr>
          <w:rFonts w:ascii="Times New Roman" w:hAnsi="Times New Roman" w:cs="Times New Roman"/>
          <w:sz w:val="24"/>
          <w:szCs w:val="24"/>
        </w:rPr>
        <w:t xml:space="preserve"> Dzięki przedmiotowej propozycji koszty z tym związane zostaną zminimalizowane. </w:t>
      </w:r>
    </w:p>
    <w:p w14:paraId="7380373D" w14:textId="77777777" w:rsidR="006B4C7A"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6B4C7A" w:rsidRPr="00215A1D">
        <w:rPr>
          <w:rFonts w:ascii="Times New Roman" w:hAnsi="Times New Roman" w:cs="Times New Roman"/>
        </w:rPr>
        <w:t>Przepisy art. 11z</w:t>
      </w:r>
      <w:r w:rsidR="00810D8B">
        <w:rPr>
          <w:rFonts w:ascii="Times New Roman" w:hAnsi="Times New Roman" w:cs="Times New Roman"/>
        </w:rPr>
        <w:t xml:space="preserve">e </w:t>
      </w:r>
      <w:r w:rsidR="006B4C7A" w:rsidRPr="00215A1D">
        <w:rPr>
          <w:rFonts w:ascii="Times New Roman" w:hAnsi="Times New Roman" w:cs="Times New Roman"/>
        </w:rPr>
        <w:t>wejdą w życie po wdrożeniu CSIRE.</w:t>
      </w:r>
    </w:p>
    <w:p w14:paraId="18D411F4" w14:textId="00B94E57" w:rsidR="00A166BB" w:rsidRPr="00EF6F97" w:rsidRDefault="00EF6F97" w:rsidP="00EF6F97">
      <w:pPr>
        <w:pStyle w:val="USTustnpkodeksu"/>
        <w:rPr>
          <w:rFonts w:ascii="Times New Roman" w:hAnsi="Times New Roman" w:cs="Times New Roman"/>
          <w:szCs w:val="24"/>
        </w:rPr>
      </w:pPr>
      <w:r w:rsidRPr="00EF6F97">
        <w:rPr>
          <w:rFonts w:ascii="Times New Roman" w:hAnsi="Times New Roman" w:cs="Times New Roman"/>
          <w:szCs w:val="24"/>
        </w:rPr>
        <w:tab/>
      </w:r>
      <w:r w:rsidR="009A1099" w:rsidRPr="00EF6F97">
        <w:rPr>
          <w:rFonts w:ascii="Times New Roman" w:hAnsi="Times New Roman" w:cs="Times New Roman"/>
          <w:szCs w:val="24"/>
        </w:rPr>
        <w:t xml:space="preserve">Operator informacji </w:t>
      </w:r>
      <w:r w:rsidR="00C94C9C" w:rsidRPr="00EF6F97">
        <w:rPr>
          <w:rFonts w:ascii="Times New Roman" w:hAnsi="Times New Roman" w:cs="Times New Roman"/>
          <w:szCs w:val="24"/>
        </w:rPr>
        <w:t xml:space="preserve">rynku energii </w:t>
      </w:r>
      <w:r w:rsidR="009A1099" w:rsidRPr="00EF6F97">
        <w:rPr>
          <w:rFonts w:ascii="Times New Roman" w:hAnsi="Times New Roman" w:cs="Times New Roman"/>
          <w:szCs w:val="24"/>
        </w:rPr>
        <w:t xml:space="preserve">będzie przechowywał </w:t>
      </w:r>
      <w:r w:rsidR="00E7466D" w:rsidRPr="00EF6F97">
        <w:rPr>
          <w:rFonts w:ascii="Times New Roman" w:hAnsi="Times New Roman" w:cs="Times New Roman"/>
          <w:szCs w:val="24"/>
        </w:rPr>
        <w:t xml:space="preserve">w CSIRE jednostkowe </w:t>
      </w:r>
      <w:r w:rsidR="009A1099" w:rsidRPr="00EF6F97">
        <w:rPr>
          <w:rFonts w:ascii="Times New Roman" w:hAnsi="Times New Roman" w:cs="Times New Roman"/>
          <w:szCs w:val="24"/>
        </w:rPr>
        <w:t>dane pomiarowe prze</w:t>
      </w:r>
      <w:r w:rsidR="001D0628">
        <w:rPr>
          <w:rFonts w:ascii="Times New Roman" w:hAnsi="Times New Roman" w:cs="Times New Roman"/>
          <w:szCs w:val="24"/>
        </w:rPr>
        <w:t>z </w:t>
      </w:r>
      <w:r w:rsidR="009A1099" w:rsidRPr="00EF6F97">
        <w:rPr>
          <w:rFonts w:ascii="Times New Roman" w:hAnsi="Times New Roman" w:cs="Times New Roman"/>
          <w:szCs w:val="24"/>
        </w:rPr>
        <w:t xml:space="preserve">okres </w:t>
      </w:r>
      <w:r w:rsidR="00E7466D" w:rsidRPr="00EF6F97">
        <w:rPr>
          <w:rFonts w:ascii="Times New Roman" w:hAnsi="Times New Roman" w:cs="Times New Roman"/>
          <w:szCs w:val="24"/>
        </w:rPr>
        <w:t>7</w:t>
      </w:r>
      <w:r w:rsidR="009A1099" w:rsidRPr="00EF6F97">
        <w:rPr>
          <w:rFonts w:ascii="Times New Roman" w:hAnsi="Times New Roman" w:cs="Times New Roman"/>
          <w:szCs w:val="24"/>
        </w:rPr>
        <w:t xml:space="preserve"> lat </w:t>
      </w:r>
      <w:r w:rsidR="00E7466D" w:rsidRPr="00EF6F97">
        <w:rPr>
          <w:rFonts w:ascii="Times New Roman" w:hAnsi="Times New Roman" w:cs="Times New Roman"/>
          <w:szCs w:val="24"/>
        </w:rPr>
        <w:t>od dnia, w którym dane te zostały przekazane do CSIRE</w:t>
      </w:r>
      <w:r w:rsidR="00767D2C">
        <w:rPr>
          <w:rFonts w:ascii="Times New Roman" w:hAnsi="Times New Roman" w:cs="Times New Roman"/>
          <w:szCs w:val="24"/>
        </w:rPr>
        <w:t>,</w:t>
      </w:r>
      <w:r w:rsidR="00E7466D" w:rsidRPr="00EF6F97">
        <w:rPr>
          <w:rFonts w:ascii="Times New Roman" w:hAnsi="Times New Roman" w:cs="Times New Roman"/>
          <w:szCs w:val="24"/>
        </w:rPr>
        <w:t xml:space="preserve"> a po upływie tego czasu dane to będą anonimizowane. </w:t>
      </w:r>
    </w:p>
    <w:p w14:paraId="1AC17B9C" w14:textId="7045622D" w:rsidR="00A166BB" w:rsidRPr="00EF6F97" w:rsidRDefault="00EF6F97" w:rsidP="00EF6F97">
      <w:pPr>
        <w:widowControl/>
        <w:autoSpaceDE/>
        <w:autoSpaceDN/>
        <w:adjustRightInd/>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6B4C7A" w:rsidRPr="00EF6F97">
        <w:rPr>
          <w:rFonts w:ascii="Times New Roman" w:hAnsi="Times New Roman" w:cs="Times New Roman"/>
          <w:sz w:val="24"/>
          <w:szCs w:val="24"/>
        </w:rPr>
        <w:t xml:space="preserve">Wskazany wyżej termin </w:t>
      </w:r>
      <w:r w:rsidR="00A166BB" w:rsidRPr="00EF6F97">
        <w:rPr>
          <w:rFonts w:ascii="Times New Roman" w:hAnsi="Times New Roman" w:cs="Times New Roman"/>
          <w:sz w:val="24"/>
          <w:szCs w:val="24"/>
        </w:rPr>
        <w:t xml:space="preserve">wynika ze sposobu liczenia terminów przedawnienia określonych w </w:t>
      </w:r>
      <w:r w:rsidR="006B4C7A" w:rsidRPr="00EF6F97">
        <w:rPr>
          <w:rFonts w:ascii="Times New Roman" w:hAnsi="Times New Roman" w:cs="Times New Roman"/>
          <w:sz w:val="24"/>
          <w:szCs w:val="24"/>
        </w:rPr>
        <w:t>Kodeksie cywilnym</w:t>
      </w:r>
      <w:r w:rsidR="00A166BB" w:rsidRPr="00EF6F97">
        <w:rPr>
          <w:rFonts w:ascii="Times New Roman" w:hAnsi="Times New Roman" w:cs="Times New Roman"/>
          <w:sz w:val="24"/>
          <w:szCs w:val="24"/>
        </w:rPr>
        <w:t xml:space="preserve">, które przypadają zawsze po 6 latach na ostatni dzień roku. Celem uniknięcia sytuacji, w której system musiałby anonimizować w ciągu jednego dnia (na przełomie roku) wszystkie dane, które uległy przedawnieniu, wprowadzony został okres 7 lat. </w:t>
      </w:r>
      <w:r w:rsidR="00037F92" w:rsidRPr="00EF6F97">
        <w:rPr>
          <w:rFonts w:ascii="Times New Roman" w:hAnsi="Times New Roman" w:cs="Times New Roman"/>
          <w:sz w:val="24"/>
          <w:szCs w:val="24"/>
        </w:rPr>
        <w:t xml:space="preserve">Zapewni </w:t>
      </w:r>
      <w:r w:rsidR="006B4C7A" w:rsidRPr="00EF6F97">
        <w:rPr>
          <w:rFonts w:ascii="Times New Roman" w:hAnsi="Times New Roman" w:cs="Times New Roman"/>
          <w:sz w:val="24"/>
          <w:szCs w:val="24"/>
        </w:rPr>
        <w:t>to korzyści w postaci u</w:t>
      </w:r>
      <w:r w:rsidR="00A166BB" w:rsidRPr="00EF6F97">
        <w:rPr>
          <w:rFonts w:ascii="Times New Roman" w:hAnsi="Times New Roman" w:cs="Times New Roman"/>
          <w:sz w:val="24"/>
          <w:szCs w:val="24"/>
        </w:rPr>
        <w:t>nika</w:t>
      </w:r>
      <w:r w:rsidR="006B4C7A" w:rsidRPr="00EF6F97">
        <w:rPr>
          <w:rFonts w:ascii="Times New Roman" w:hAnsi="Times New Roman" w:cs="Times New Roman"/>
          <w:sz w:val="24"/>
          <w:szCs w:val="24"/>
        </w:rPr>
        <w:t>nia problemów</w:t>
      </w:r>
      <w:r w:rsidR="00A166BB" w:rsidRPr="00EF6F97">
        <w:rPr>
          <w:rFonts w:ascii="Times New Roman" w:hAnsi="Times New Roman" w:cs="Times New Roman"/>
          <w:sz w:val="24"/>
          <w:szCs w:val="24"/>
        </w:rPr>
        <w:t xml:space="preserve"> technicznych związanych </w:t>
      </w:r>
      <w:r w:rsidR="001D0628">
        <w:rPr>
          <w:rFonts w:ascii="Times New Roman" w:hAnsi="Times New Roman" w:cs="Times New Roman"/>
          <w:sz w:val="24"/>
          <w:szCs w:val="24"/>
        </w:rPr>
        <w:t>z </w:t>
      </w:r>
      <w:r w:rsidR="00A166BB" w:rsidRPr="00EF6F97">
        <w:rPr>
          <w:rFonts w:ascii="Times New Roman" w:hAnsi="Times New Roman" w:cs="Times New Roman"/>
          <w:sz w:val="24"/>
          <w:szCs w:val="24"/>
        </w:rPr>
        <w:t>jednoczesną anonimizacją dużego wolumenu danych (milionów rekordów) – dane będą anonimizowane sukcesywnie</w:t>
      </w:r>
      <w:r w:rsidR="00D16D40">
        <w:rPr>
          <w:rFonts w:ascii="Times New Roman" w:hAnsi="Times New Roman" w:cs="Times New Roman"/>
          <w:sz w:val="24"/>
          <w:szCs w:val="24"/>
        </w:rPr>
        <w:t>,</w:t>
      </w:r>
      <w:r w:rsidR="00037F92" w:rsidRPr="00EF6F97">
        <w:rPr>
          <w:rFonts w:ascii="Times New Roman" w:hAnsi="Times New Roman" w:cs="Times New Roman"/>
          <w:sz w:val="24"/>
          <w:szCs w:val="24"/>
        </w:rPr>
        <w:t xml:space="preserve"> a ponadto d</w:t>
      </w:r>
      <w:r w:rsidR="00A166BB" w:rsidRPr="00EF6F97">
        <w:rPr>
          <w:rFonts w:ascii="Times New Roman" w:hAnsi="Times New Roman" w:cs="Times New Roman"/>
          <w:sz w:val="24"/>
          <w:szCs w:val="24"/>
        </w:rPr>
        <w:t>aje to margines czasu dla obsługi roszczeń – np. w sytuacji gdy podmiot zgłosiłby roszczenie „w ostatniej chwili</w:t>
      </w:r>
      <w:r w:rsidR="00037F92" w:rsidRPr="00EF6F97">
        <w:rPr>
          <w:rFonts w:ascii="Times New Roman" w:hAnsi="Times New Roman" w:cs="Times New Roman"/>
          <w:sz w:val="24"/>
          <w:szCs w:val="24"/>
        </w:rPr>
        <w:t>”, o czym operator informacji rynku energii</w:t>
      </w:r>
      <w:r w:rsidR="00A166BB" w:rsidRPr="00EF6F97">
        <w:rPr>
          <w:rFonts w:ascii="Times New Roman" w:hAnsi="Times New Roman" w:cs="Times New Roman"/>
          <w:sz w:val="24"/>
          <w:szCs w:val="24"/>
        </w:rPr>
        <w:t xml:space="preserve"> zostałby poinformowany już po anonimizacji</w:t>
      </w:r>
      <w:r w:rsidR="00037F92" w:rsidRPr="00EF6F97">
        <w:rPr>
          <w:rFonts w:ascii="Times New Roman" w:hAnsi="Times New Roman" w:cs="Times New Roman"/>
          <w:sz w:val="24"/>
          <w:szCs w:val="24"/>
        </w:rPr>
        <w:t>. Jednoczesna anonimizacja ogromnych wolumentów danych skutkowałaby koniecznością zapewnienia wysoce nadmiarowych mocy przetwarzania, co spowodowałoby większe koszty operatora informacji rynku energii</w:t>
      </w:r>
      <w:r w:rsidR="00D16D40">
        <w:rPr>
          <w:rFonts w:ascii="Times New Roman" w:hAnsi="Times New Roman" w:cs="Times New Roman"/>
          <w:sz w:val="24"/>
          <w:szCs w:val="24"/>
        </w:rPr>
        <w:t>,</w:t>
      </w:r>
      <w:r w:rsidR="00037F92" w:rsidRPr="00EF6F97">
        <w:rPr>
          <w:rFonts w:ascii="Times New Roman" w:hAnsi="Times New Roman" w:cs="Times New Roman"/>
          <w:sz w:val="24"/>
          <w:szCs w:val="24"/>
        </w:rPr>
        <w:t xml:space="preserve"> a tym samym większe koszty ponoszone prze</w:t>
      </w:r>
      <w:r w:rsidR="001D0628">
        <w:rPr>
          <w:rFonts w:ascii="Times New Roman" w:hAnsi="Times New Roman" w:cs="Times New Roman"/>
          <w:sz w:val="24"/>
          <w:szCs w:val="24"/>
        </w:rPr>
        <w:t>z </w:t>
      </w:r>
      <w:r w:rsidR="00037F92" w:rsidRPr="00EF6F97">
        <w:rPr>
          <w:rFonts w:ascii="Times New Roman" w:hAnsi="Times New Roman" w:cs="Times New Roman"/>
          <w:sz w:val="24"/>
          <w:szCs w:val="24"/>
        </w:rPr>
        <w:t xml:space="preserve">odbiorców. </w:t>
      </w:r>
    </w:p>
    <w:p w14:paraId="0BAFCB78" w14:textId="77777777" w:rsidR="00037F92" w:rsidRPr="00EF6F97" w:rsidRDefault="00EF6F97" w:rsidP="00EF6F97">
      <w:pPr>
        <w:pStyle w:val="USTustnpkodeksu"/>
        <w:rPr>
          <w:rFonts w:ascii="Times New Roman" w:hAnsi="Times New Roman" w:cs="Times New Roman"/>
          <w:szCs w:val="24"/>
        </w:rPr>
      </w:pPr>
      <w:r w:rsidRPr="00EF6F97">
        <w:rPr>
          <w:rFonts w:ascii="Times New Roman" w:hAnsi="Times New Roman" w:cs="Times New Roman"/>
          <w:szCs w:val="24"/>
        </w:rPr>
        <w:tab/>
      </w:r>
      <w:r w:rsidR="00037F92" w:rsidRPr="00215A1D">
        <w:rPr>
          <w:rFonts w:ascii="Times New Roman" w:hAnsi="Times New Roman" w:cs="Times New Roman"/>
        </w:rPr>
        <w:t>Przepisy art. 11z</w:t>
      </w:r>
      <w:r w:rsidR="00810D8B">
        <w:rPr>
          <w:rFonts w:ascii="Times New Roman" w:hAnsi="Times New Roman" w:cs="Times New Roman"/>
        </w:rPr>
        <w:t>f</w:t>
      </w:r>
      <w:r w:rsidR="00037F92" w:rsidRPr="00215A1D">
        <w:rPr>
          <w:rFonts w:ascii="Times New Roman" w:hAnsi="Times New Roman" w:cs="Times New Roman"/>
        </w:rPr>
        <w:t xml:space="preserve"> wejdą w życie po wdrożeniu CSIRE.</w:t>
      </w:r>
    </w:p>
    <w:p w14:paraId="721D6C1E" w14:textId="77777777" w:rsidR="00037F92" w:rsidRPr="00215A1D" w:rsidRDefault="00EF6F97" w:rsidP="00EF6F97">
      <w:pPr>
        <w:pStyle w:val="USTustnpkodeksu"/>
        <w:rPr>
          <w:rFonts w:ascii="Times New Roman" w:hAnsi="Times New Roman" w:cs="Times New Roman"/>
        </w:rPr>
      </w:pPr>
      <w:r>
        <w:rPr>
          <w:rFonts w:ascii="Times New Roman" w:hAnsi="Times New Roman" w:cs="Times New Roman"/>
        </w:rPr>
        <w:tab/>
      </w:r>
      <w:r w:rsidR="00257AB3" w:rsidRPr="00215A1D">
        <w:rPr>
          <w:rFonts w:ascii="Times New Roman" w:hAnsi="Times New Roman" w:cs="Times New Roman"/>
        </w:rPr>
        <w:t>Proponuje się w art. 11z</w:t>
      </w:r>
      <w:r w:rsidR="00810D8B">
        <w:rPr>
          <w:rFonts w:ascii="Times New Roman" w:hAnsi="Times New Roman" w:cs="Times New Roman"/>
        </w:rPr>
        <w:t>g</w:t>
      </w:r>
      <w:r w:rsidR="00257AB3" w:rsidRPr="00215A1D">
        <w:rPr>
          <w:rFonts w:ascii="Times New Roman" w:hAnsi="Times New Roman" w:cs="Times New Roman"/>
        </w:rPr>
        <w:t xml:space="preserve"> przepisy regulujące zagadnienie relacji umownych związanych </w:t>
      </w:r>
      <w:r w:rsidR="001D0628">
        <w:rPr>
          <w:rFonts w:ascii="Times New Roman" w:hAnsi="Times New Roman" w:cs="Times New Roman"/>
        </w:rPr>
        <w:t>z </w:t>
      </w:r>
      <w:r w:rsidR="00257AB3" w:rsidRPr="00215A1D">
        <w:rPr>
          <w:rFonts w:ascii="Times New Roman" w:hAnsi="Times New Roman" w:cs="Times New Roman"/>
        </w:rPr>
        <w:t xml:space="preserve">korzystaniem </w:t>
      </w:r>
      <w:r w:rsidR="001D0628">
        <w:rPr>
          <w:rFonts w:ascii="Times New Roman" w:hAnsi="Times New Roman" w:cs="Times New Roman"/>
        </w:rPr>
        <w:t>z </w:t>
      </w:r>
      <w:r w:rsidR="00257AB3" w:rsidRPr="00215A1D">
        <w:rPr>
          <w:rFonts w:ascii="Times New Roman" w:hAnsi="Times New Roman" w:cs="Times New Roman"/>
        </w:rPr>
        <w:t xml:space="preserve">centralnego systemu informacji rynku energii m.in. na potrzeby realizacji procesów rynku energii. Potrzeba zawarcia takich umów, przewidzianych do zawarcia w formie elektronicznej, </w:t>
      </w:r>
      <w:r w:rsidR="001D0628">
        <w:rPr>
          <w:rFonts w:ascii="Times New Roman" w:hAnsi="Times New Roman" w:cs="Times New Roman"/>
        </w:rPr>
        <w:t>z </w:t>
      </w:r>
      <w:r w:rsidR="00257AB3" w:rsidRPr="00215A1D">
        <w:rPr>
          <w:rFonts w:ascii="Times New Roman" w:hAnsi="Times New Roman" w:cs="Times New Roman"/>
        </w:rPr>
        <w:t xml:space="preserve">użytkownikami CSIRE wynika </w:t>
      </w:r>
      <w:r w:rsidR="001D0628">
        <w:rPr>
          <w:rFonts w:ascii="Times New Roman" w:hAnsi="Times New Roman" w:cs="Times New Roman"/>
        </w:rPr>
        <w:t>z </w:t>
      </w:r>
      <w:r w:rsidR="00257AB3" w:rsidRPr="00215A1D">
        <w:rPr>
          <w:rFonts w:ascii="Times New Roman" w:hAnsi="Times New Roman" w:cs="Times New Roman"/>
        </w:rPr>
        <w:t>konieczności doprecyzowania obowiązków użytkowników systemu poprze</w:t>
      </w:r>
      <w:r w:rsidR="001D0628">
        <w:rPr>
          <w:rFonts w:ascii="Times New Roman" w:hAnsi="Times New Roman" w:cs="Times New Roman"/>
        </w:rPr>
        <w:t>z </w:t>
      </w:r>
      <w:r w:rsidR="00257AB3" w:rsidRPr="00215A1D">
        <w:rPr>
          <w:rFonts w:ascii="Times New Roman" w:hAnsi="Times New Roman" w:cs="Times New Roman"/>
        </w:rPr>
        <w:t>użycie wzorca zatwierdzonego prze</w:t>
      </w:r>
      <w:r w:rsidR="001D0628">
        <w:rPr>
          <w:rFonts w:ascii="Times New Roman" w:hAnsi="Times New Roman" w:cs="Times New Roman"/>
        </w:rPr>
        <w:t>z </w:t>
      </w:r>
      <w:r w:rsidR="00257AB3" w:rsidRPr="00215A1D">
        <w:rPr>
          <w:rFonts w:ascii="Times New Roman" w:hAnsi="Times New Roman" w:cs="Times New Roman"/>
        </w:rPr>
        <w:t>Prezesa URE.</w:t>
      </w:r>
    </w:p>
    <w:p w14:paraId="6DC9BD92" w14:textId="66A0F4E1" w:rsidR="009A1099" w:rsidRPr="00215A1D" w:rsidRDefault="00037F92" w:rsidP="00EF6F97">
      <w:pPr>
        <w:pStyle w:val="USTustnpkodeksu"/>
        <w:rPr>
          <w:rFonts w:ascii="Times New Roman" w:hAnsi="Times New Roman" w:cs="Times New Roman"/>
        </w:rPr>
      </w:pPr>
      <w:r w:rsidRPr="00215A1D">
        <w:rPr>
          <w:rFonts w:ascii="Times New Roman" w:hAnsi="Times New Roman" w:cs="Times New Roman"/>
        </w:rPr>
        <w:t>Przepisy art. 11z</w:t>
      </w:r>
      <w:r w:rsidR="00810D8B">
        <w:rPr>
          <w:rFonts w:ascii="Times New Roman" w:hAnsi="Times New Roman" w:cs="Times New Roman"/>
        </w:rPr>
        <w:t>g</w:t>
      </w:r>
      <w:r w:rsidRPr="00215A1D">
        <w:rPr>
          <w:rFonts w:ascii="Times New Roman" w:hAnsi="Times New Roman" w:cs="Times New Roman"/>
        </w:rPr>
        <w:t xml:space="preserve"> wejdą w życie </w:t>
      </w:r>
      <w:r w:rsidR="00CF0C86">
        <w:rPr>
          <w:rFonts w:ascii="Times New Roman" w:hAnsi="Times New Roman" w:cs="Times New Roman"/>
        </w:rPr>
        <w:t xml:space="preserve">pierwszego dnia miesiąca następującego </w:t>
      </w:r>
      <w:r w:rsidR="00D16D40">
        <w:rPr>
          <w:rFonts w:ascii="Times New Roman" w:hAnsi="Times New Roman" w:cs="Times New Roman"/>
        </w:rPr>
        <w:t xml:space="preserve">po upływie </w:t>
      </w:r>
      <w:r w:rsidRPr="00215A1D">
        <w:rPr>
          <w:rFonts w:ascii="Times New Roman" w:hAnsi="Times New Roman" w:cs="Times New Roman"/>
        </w:rPr>
        <w:t>30 miesięcy od</w:t>
      </w:r>
      <w:r w:rsidR="00CF0C86">
        <w:rPr>
          <w:rFonts w:ascii="Times New Roman" w:hAnsi="Times New Roman" w:cs="Times New Roman"/>
        </w:rPr>
        <w:t xml:space="preserve"> dnia ogłoszenia</w:t>
      </w:r>
      <w:r w:rsidRPr="00215A1D">
        <w:rPr>
          <w:rFonts w:ascii="Times New Roman" w:hAnsi="Times New Roman" w:cs="Times New Roman"/>
        </w:rPr>
        <w:t>.</w:t>
      </w:r>
    </w:p>
    <w:p w14:paraId="6F7A81D9" w14:textId="22AE1AA5" w:rsidR="009A1099" w:rsidRPr="00215A1D" w:rsidRDefault="00EF6F97" w:rsidP="00EF6F97">
      <w:pPr>
        <w:pStyle w:val="USTustnpkodeksu"/>
        <w:rPr>
          <w:rFonts w:ascii="Times New Roman" w:hAnsi="Times New Roman" w:cs="Times New Roman"/>
        </w:rPr>
      </w:pPr>
      <w:r w:rsidRPr="00215A1D">
        <w:rPr>
          <w:rFonts w:ascii="Times New Roman" w:hAnsi="Times New Roman" w:cs="Times New Roman"/>
        </w:rPr>
        <w:tab/>
      </w:r>
      <w:r w:rsidR="00BE7549">
        <w:rPr>
          <w:rFonts w:ascii="Times New Roman" w:hAnsi="Times New Roman" w:cs="Times New Roman"/>
        </w:rPr>
        <w:t>A</w:t>
      </w:r>
      <w:r w:rsidR="00514FF9" w:rsidRPr="00215A1D">
        <w:rPr>
          <w:rFonts w:ascii="Times New Roman" w:hAnsi="Times New Roman" w:cs="Times New Roman"/>
        </w:rPr>
        <w:t>rt. 11z</w:t>
      </w:r>
      <w:r w:rsidR="00810D8B">
        <w:rPr>
          <w:rFonts w:ascii="Times New Roman" w:hAnsi="Times New Roman" w:cs="Times New Roman"/>
        </w:rPr>
        <w:t>h</w:t>
      </w:r>
      <w:r w:rsidR="009452B2">
        <w:rPr>
          <w:rFonts w:ascii="Times New Roman" w:hAnsi="Times New Roman" w:cs="Times New Roman"/>
        </w:rPr>
        <w:t xml:space="preserve"> </w:t>
      </w:r>
      <w:r w:rsidR="009A1099" w:rsidRPr="00215A1D">
        <w:rPr>
          <w:rFonts w:ascii="Times New Roman" w:hAnsi="Times New Roman" w:cs="Times New Roman"/>
        </w:rPr>
        <w:t xml:space="preserve">będzie określał zakres </w:t>
      </w:r>
      <w:r w:rsidR="00D16D40">
        <w:rPr>
          <w:rFonts w:ascii="Times New Roman" w:hAnsi="Times New Roman" w:cs="Times New Roman"/>
        </w:rPr>
        <w:t>spraw przekazanych do uregulowani</w:t>
      </w:r>
      <w:r w:rsidR="00BE7549">
        <w:rPr>
          <w:rFonts w:ascii="Times New Roman" w:hAnsi="Times New Roman" w:cs="Times New Roman"/>
        </w:rPr>
        <w:t>a</w:t>
      </w:r>
      <w:r w:rsidR="00D16D40">
        <w:rPr>
          <w:rFonts w:ascii="Times New Roman" w:hAnsi="Times New Roman" w:cs="Times New Roman"/>
        </w:rPr>
        <w:t xml:space="preserve"> w </w:t>
      </w:r>
      <w:r w:rsidR="009A1099" w:rsidRPr="00215A1D">
        <w:rPr>
          <w:rFonts w:ascii="Times New Roman" w:hAnsi="Times New Roman" w:cs="Times New Roman"/>
        </w:rPr>
        <w:t>rozporządzeni</w:t>
      </w:r>
      <w:r w:rsidR="00D16D40">
        <w:rPr>
          <w:rFonts w:ascii="Times New Roman" w:hAnsi="Times New Roman" w:cs="Times New Roman"/>
        </w:rPr>
        <w:t>u</w:t>
      </w:r>
      <w:r w:rsidR="009A1099" w:rsidRPr="00215A1D">
        <w:rPr>
          <w:rFonts w:ascii="Times New Roman" w:hAnsi="Times New Roman" w:cs="Times New Roman"/>
        </w:rPr>
        <w:t xml:space="preserve"> </w:t>
      </w:r>
      <w:r w:rsidR="00514FF9" w:rsidRPr="00215A1D">
        <w:rPr>
          <w:rFonts w:ascii="Times New Roman" w:hAnsi="Times New Roman" w:cs="Times New Roman"/>
        </w:rPr>
        <w:t>dotycząc</w:t>
      </w:r>
      <w:r w:rsidR="00D16D40">
        <w:rPr>
          <w:rFonts w:ascii="Times New Roman" w:hAnsi="Times New Roman" w:cs="Times New Roman"/>
        </w:rPr>
        <w:t>ym</w:t>
      </w:r>
      <w:r w:rsidR="00514FF9" w:rsidRPr="00215A1D">
        <w:rPr>
          <w:rFonts w:ascii="Times New Roman" w:hAnsi="Times New Roman" w:cs="Times New Roman"/>
        </w:rPr>
        <w:t xml:space="preserve"> centralnego systemu informacji rynku energii, obejmujący</w:t>
      </w:r>
      <w:r w:rsidR="009A1099" w:rsidRPr="00215A1D">
        <w:rPr>
          <w:rFonts w:ascii="Times New Roman" w:hAnsi="Times New Roman" w:cs="Times New Roman"/>
        </w:rPr>
        <w:t>:</w:t>
      </w:r>
    </w:p>
    <w:p w14:paraId="49D44CC1" w14:textId="77777777" w:rsidR="00F943DA" w:rsidRPr="00F943DA" w:rsidRDefault="00F943DA" w:rsidP="00F943DA">
      <w:pPr>
        <w:pStyle w:val="ZPKTzmpktartykuempunktem"/>
        <w:rPr>
          <w:rFonts w:ascii="Times New Roman" w:hAnsi="Times New Roman" w:cs="Times New Roman"/>
        </w:rPr>
      </w:pPr>
      <w:r w:rsidRPr="00F943DA">
        <w:rPr>
          <w:rFonts w:ascii="Times New Roman" w:hAnsi="Times New Roman" w:cs="Times New Roman"/>
        </w:rPr>
        <w:lastRenderedPageBreak/>
        <w:t xml:space="preserve">1) </w:t>
      </w:r>
      <w:r w:rsidRPr="00F943DA">
        <w:rPr>
          <w:rFonts w:ascii="Times New Roman" w:hAnsi="Times New Roman" w:cs="Times New Roman"/>
        </w:rPr>
        <w:tab/>
        <w:t>wykaz procesów rynku energii elektrycznej realizowanych za pośrednictwem centralnego systemu informacji rynku energii;</w:t>
      </w:r>
    </w:p>
    <w:p w14:paraId="709169BE" w14:textId="77777777" w:rsidR="00F943DA" w:rsidRPr="00F943DA" w:rsidRDefault="00F943DA" w:rsidP="00F943DA">
      <w:pPr>
        <w:pStyle w:val="ZPKTzmpktartykuempunktem"/>
        <w:rPr>
          <w:rFonts w:ascii="Times New Roman" w:hAnsi="Times New Roman" w:cs="Times New Roman"/>
        </w:rPr>
      </w:pPr>
      <w:r w:rsidRPr="00F943DA">
        <w:rPr>
          <w:rFonts w:ascii="Times New Roman" w:hAnsi="Times New Roman" w:cs="Times New Roman"/>
        </w:rPr>
        <w:t xml:space="preserve">2) </w:t>
      </w:r>
      <w:r w:rsidRPr="00F943DA">
        <w:rPr>
          <w:rFonts w:ascii="Times New Roman" w:hAnsi="Times New Roman" w:cs="Times New Roman"/>
        </w:rPr>
        <w:tab/>
        <w:t>sposób realizacji procesów, o których mowa w pkt 1;</w:t>
      </w:r>
    </w:p>
    <w:p w14:paraId="159291DE" w14:textId="77777777" w:rsidR="00F943DA" w:rsidRPr="00F943DA" w:rsidRDefault="00F943DA" w:rsidP="00F943DA">
      <w:pPr>
        <w:pStyle w:val="ZPKTzmpktartykuempunktem"/>
        <w:rPr>
          <w:rFonts w:ascii="Times New Roman" w:hAnsi="Times New Roman" w:cs="Times New Roman"/>
        </w:rPr>
      </w:pPr>
      <w:r w:rsidRPr="00F943DA">
        <w:rPr>
          <w:rFonts w:ascii="Times New Roman" w:hAnsi="Times New Roman" w:cs="Times New Roman"/>
        </w:rPr>
        <w:t xml:space="preserve">3) </w:t>
      </w:r>
      <w:r w:rsidRPr="00F943DA">
        <w:rPr>
          <w:rFonts w:ascii="Times New Roman" w:hAnsi="Times New Roman" w:cs="Times New Roman"/>
        </w:rPr>
        <w:tab/>
        <w:t>zakres poleceń wysyłanych  do licznika zdalnego odczytu za pośrednictwem centralnego systemu informacji rynku energii oraz warunki ich wysyłania;</w:t>
      </w:r>
    </w:p>
    <w:p w14:paraId="32F29E3B" w14:textId="77777777" w:rsidR="00F943DA" w:rsidRPr="00F943DA" w:rsidRDefault="00F943DA" w:rsidP="00F943DA">
      <w:pPr>
        <w:pStyle w:val="ZPKTzmpktartykuempunktem"/>
        <w:rPr>
          <w:rFonts w:ascii="Times New Roman" w:hAnsi="Times New Roman" w:cs="Times New Roman"/>
        </w:rPr>
      </w:pPr>
      <w:r w:rsidRPr="00F943DA">
        <w:rPr>
          <w:rFonts w:ascii="Times New Roman" w:hAnsi="Times New Roman" w:cs="Times New Roman"/>
        </w:rPr>
        <w:t xml:space="preserve">4) </w:t>
      </w:r>
      <w:r w:rsidRPr="00F943DA">
        <w:rPr>
          <w:rFonts w:ascii="Times New Roman" w:hAnsi="Times New Roman" w:cs="Times New Roman"/>
        </w:rPr>
        <w:tab/>
        <w:t>wymagania dotyczące zapewnienia poprawności i kompletności informacji rynku energii oraz ich weryfikacji;</w:t>
      </w:r>
    </w:p>
    <w:p w14:paraId="20AD1A32" w14:textId="77777777" w:rsidR="00F943DA" w:rsidRPr="00F943DA" w:rsidRDefault="00F943DA" w:rsidP="00F943DA">
      <w:pPr>
        <w:pStyle w:val="ZPKTzmpktartykuempunktem"/>
        <w:rPr>
          <w:rFonts w:ascii="Times New Roman" w:hAnsi="Times New Roman" w:cs="Times New Roman"/>
        </w:rPr>
      </w:pPr>
      <w:r w:rsidRPr="00F943DA">
        <w:rPr>
          <w:rFonts w:ascii="Times New Roman" w:hAnsi="Times New Roman" w:cs="Times New Roman"/>
        </w:rPr>
        <w:t xml:space="preserve">5) </w:t>
      </w:r>
      <w:r w:rsidRPr="00F943DA">
        <w:rPr>
          <w:rFonts w:ascii="Times New Roman" w:hAnsi="Times New Roman" w:cs="Times New Roman"/>
        </w:rPr>
        <w:tab/>
        <w:t>wskaźniki jakości informacji rynku energii przekazywanych przez poszczególnych użytkowników systemu i sposób ich publikacji;</w:t>
      </w:r>
    </w:p>
    <w:p w14:paraId="2BD2C50F" w14:textId="77777777" w:rsidR="00580688" w:rsidRDefault="00F943DA" w:rsidP="00EB2609">
      <w:pPr>
        <w:pStyle w:val="ZPKTzmpktartykuempunktem"/>
        <w:rPr>
          <w:rFonts w:ascii="Times New Roman" w:hAnsi="Times New Roman" w:cs="Times New Roman"/>
        </w:rPr>
      </w:pPr>
      <w:r w:rsidRPr="00F943DA">
        <w:rPr>
          <w:rFonts w:ascii="Times New Roman" w:hAnsi="Times New Roman" w:cs="Times New Roman"/>
        </w:rPr>
        <w:t xml:space="preserve">6) </w:t>
      </w:r>
      <w:r w:rsidRPr="00F943DA">
        <w:rPr>
          <w:rFonts w:ascii="Times New Roman" w:hAnsi="Times New Roman" w:cs="Times New Roman"/>
        </w:rPr>
        <w:tab/>
        <w:t>wzór szablonu oceny skutków w zakresie ochrony danych pomiarowych.</w:t>
      </w:r>
    </w:p>
    <w:p w14:paraId="69726865" w14:textId="3F04FDE8" w:rsidR="009A1099" w:rsidRPr="00215A1D" w:rsidRDefault="005859BF" w:rsidP="00EF6F97">
      <w:pPr>
        <w:pStyle w:val="USTustnpkodeksu"/>
        <w:ind w:firstLine="0"/>
        <w:rPr>
          <w:rFonts w:ascii="Times New Roman" w:hAnsi="Times New Roman" w:cs="Times New Roman"/>
        </w:rPr>
      </w:pPr>
      <w:r w:rsidRPr="00215A1D">
        <w:rPr>
          <w:rFonts w:ascii="Times New Roman" w:hAnsi="Times New Roman" w:cs="Times New Roman"/>
        </w:rPr>
        <w:t>1</w:t>
      </w:r>
      <w:r w:rsidR="00F943DA">
        <w:rPr>
          <w:rFonts w:ascii="Times New Roman" w:hAnsi="Times New Roman" w:cs="Times New Roman"/>
        </w:rPr>
        <w:t>6</w:t>
      </w:r>
      <w:r w:rsidR="00A65E2D" w:rsidRPr="00215A1D">
        <w:rPr>
          <w:rFonts w:ascii="Times New Roman" w:hAnsi="Times New Roman" w:cs="Times New Roman"/>
        </w:rPr>
        <w:t xml:space="preserve">. </w:t>
      </w:r>
      <w:r w:rsidR="00EE6A04" w:rsidRPr="00215A1D">
        <w:rPr>
          <w:rFonts w:ascii="Times New Roman" w:hAnsi="Times New Roman" w:cs="Times New Roman"/>
        </w:rPr>
        <w:t>5</w:t>
      </w:r>
      <w:r w:rsidR="009A1099" w:rsidRPr="00215A1D">
        <w:rPr>
          <w:rFonts w:ascii="Times New Roman" w:hAnsi="Times New Roman" w:cs="Times New Roman"/>
        </w:rPr>
        <w:t>. Przepisy zmieniające:</w:t>
      </w:r>
    </w:p>
    <w:p w14:paraId="651BD7C9" w14:textId="77777777" w:rsidR="009A1099" w:rsidRPr="00215A1D" w:rsidRDefault="009A1099" w:rsidP="00EF6F97">
      <w:pPr>
        <w:pStyle w:val="USTustnpkodeksu"/>
        <w:rPr>
          <w:rFonts w:ascii="Times New Roman" w:hAnsi="Times New Roman" w:cs="Times New Roman"/>
        </w:rPr>
      </w:pPr>
      <w:r w:rsidRPr="00215A1D">
        <w:rPr>
          <w:rFonts w:ascii="Times New Roman" w:hAnsi="Times New Roman" w:cs="Times New Roman"/>
        </w:rPr>
        <w:t>Projekt ustawy przewiduje zmiany w:</w:t>
      </w:r>
    </w:p>
    <w:p w14:paraId="783225D7" w14:textId="30D44332" w:rsidR="009A1099" w:rsidRPr="00215A1D" w:rsidRDefault="009A1099" w:rsidP="00215A1D">
      <w:pPr>
        <w:pStyle w:val="USTustnpkodeksu"/>
        <w:numPr>
          <w:ilvl w:val="0"/>
          <w:numId w:val="90"/>
        </w:numPr>
        <w:rPr>
          <w:rFonts w:ascii="Times New Roman" w:hAnsi="Times New Roman" w:cs="Times New Roman"/>
        </w:rPr>
      </w:pPr>
      <w:r w:rsidRPr="00215A1D">
        <w:rPr>
          <w:rFonts w:ascii="Times New Roman" w:hAnsi="Times New Roman" w:cs="Times New Roman"/>
        </w:rPr>
        <w:t xml:space="preserve">ustawie </w:t>
      </w:r>
      <w:r w:rsidR="001D0628">
        <w:rPr>
          <w:rFonts w:ascii="Times New Roman" w:hAnsi="Times New Roman" w:cs="Times New Roman"/>
        </w:rPr>
        <w:t>z </w:t>
      </w:r>
      <w:r w:rsidRPr="00215A1D">
        <w:rPr>
          <w:rFonts w:ascii="Times New Roman" w:hAnsi="Times New Roman" w:cs="Times New Roman"/>
        </w:rPr>
        <w:t>dnia 20 lutego 2015</w:t>
      </w:r>
      <w:r w:rsidR="001D0628">
        <w:rPr>
          <w:rFonts w:ascii="Times New Roman" w:hAnsi="Times New Roman" w:cs="Times New Roman"/>
        </w:rPr>
        <w:t> r.</w:t>
      </w:r>
      <w:r w:rsidRPr="00215A1D">
        <w:rPr>
          <w:rFonts w:ascii="Times New Roman" w:hAnsi="Times New Roman" w:cs="Times New Roman"/>
        </w:rPr>
        <w:t xml:space="preserve"> o odnawialnych źródłach energii</w:t>
      </w:r>
      <w:r w:rsidR="00767D2C">
        <w:rPr>
          <w:rFonts w:ascii="Times New Roman" w:hAnsi="Times New Roman" w:cs="Times New Roman"/>
        </w:rPr>
        <w:t>,</w:t>
      </w:r>
    </w:p>
    <w:p w14:paraId="36E2918E" w14:textId="5A22AFE7" w:rsidR="009A1099" w:rsidRPr="00215A1D" w:rsidRDefault="009A1099" w:rsidP="00215A1D">
      <w:pPr>
        <w:pStyle w:val="USTustnpkodeksu"/>
        <w:numPr>
          <w:ilvl w:val="0"/>
          <w:numId w:val="90"/>
        </w:numPr>
        <w:rPr>
          <w:rFonts w:ascii="Times New Roman" w:hAnsi="Times New Roman" w:cs="Times New Roman"/>
        </w:rPr>
      </w:pPr>
      <w:r w:rsidRPr="00215A1D">
        <w:rPr>
          <w:rFonts w:ascii="Times New Roman" w:hAnsi="Times New Roman" w:cs="Times New Roman"/>
        </w:rPr>
        <w:t xml:space="preserve">ustawie </w:t>
      </w:r>
      <w:r w:rsidR="001D0628">
        <w:rPr>
          <w:rFonts w:ascii="Times New Roman" w:hAnsi="Times New Roman" w:cs="Times New Roman"/>
        </w:rPr>
        <w:t>z </w:t>
      </w:r>
      <w:r w:rsidRPr="00215A1D">
        <w:rPr>
          <w:rFonts w:ascii="Times New Roman" w:hAnsi="Times New Roman" w:cs="Times New Roman"/>
        </w:rPr>
        <w:t>dnia 8 grudnia 2017</w:t>
      </w:r>
      <w:r w:rsidR="001D0628">
        <w:rPr>
          <w:rFonts w:ascii="Times New Roman" w:hAnsi="Times New Roman" w:cs="Times New Roman"/>
        </w:rPr>
        <w:t> r.</w:t>
      </w:r>
      <w:r w:rsidRPr="00215A1D">
        <w:rPr>
          <w:rFonts w:ascii="Times New Roman" w:hAnsi="Times New Roman" w:cs="Times New Roman"/>
        </w:rPr>
        <w:t xml:space="preserve"> o rynku mocy</w:t>
      </w:r>
      <w:r w:rsidR="00767D2C">
        <w:rPr>
          <w:rFonts w:ascii="Times New Roman" w:hAnsi="Times New Roman" w:cs="Times New Roman"/>
        </w:rPr>
        <w:t>,</w:t>
      </w:r>
    </w:p>
    <w:p w14:paraId="2CF6D685" w14:textId="77777777" w:rsidR="009A1099" w:rsidRPr="00215A1D" w:rsidRDefault="009A1099" w:rsidP="00215A1D">
      <w:pPr>
        <w:pStyle w:val="USTustnpkodeksu"/>
        <w:numPr>
          <w:ilvl w:val="0"/>
          <w:numId w:val="90"/>
        </w:numPr>
        <w:rPr>
          <w:rFonts w:ascii="Times New Roman" w:hAnsi="Times New Roman" w:cs="Times New Roman"/>
        </w:rPr>
      </w:pPr>
      <w:r w:rsidRPr="00215A1D">
        <w:rPr>
          <w:rFonts w:ascii="Times New Roman" w:hAnsi="Times New Roman" w:cs="Times New Roman"/>
        </w:rPr>
        <w:t xml:space="preserve">ustawie </w:t>
      </w:r>
      <w:r w:rsidR="001D0628">
        <w:rPr>
          <w:rFonts w:ascii="Times New Roman" w:hAnsi="Times New Roman" w:cs="Times New Roman"/>
        </w:rPr>
        <w:t>z </w:t>
      </w:r>
      <w:r w:rsidRPr="00215A1D">
        <w:rPr>
          <w:rFonts w:ascii="Times New Roman" w:hAnsi="Times New Roman" w:cs="Times New Roman"/>
        </w:rPr>
        <w:t>dnia 11 stycznia 2018</w:t>
      </w:r>
      <w:r w:rsidR="001D0628">
        <w:rPr>
          <w:rFonts w:ascii="Times New Roman" w:hAnsi="Times New Roman" w:cs="Times New Roman"/>
        </w:rPr>
        <w:t> r.</w:t>
      </w:r>
      <w:r w:rsidRPr="00215A1D">
        <w:rPr>
          <w:rFonts w:ascii="Times New Roman" w:hAnsi="Times New Roman" w:cs="Times New Roman"/>
        </w:rPr>
        <w:t xml:space="preserve"> o elektromobilności</w:t>
      </w:r>
      <w:r w:rsidR="001D0628">
        <w:rPr>
          <w:rFonts w:ascii="Times New Roman" w:hAnsi="Times New Roman" w:cs="Times New Roman"/>
        </w:rPr>
        <w:t xml:space="preserve"> i </w:t>
      </w:r>
      <w:r w:rsidRPr="00215A1D">
        <w:rPr>
          <w:rFonts w:ascii="Times New Roman" w:hAnsi="Times New Roman" w:cs="Times New Roman"/>
        </w:rPr>
        <w:t>paliwach alternatywnych</w:t>
      </w:r>
    </w:p>
    <w:p w14:paraId="14906F4E" w14:textId="7FC3097B" w:rsidR="009A1099" w:rsidRPr="00215A1D" w:rsidRDefault="00767D2C" w:rsidP="00EF6F97">
      <w:pPr>
        <w:pStyle w:val="USTustnpkodeksu"/>
        <w:rPr>
          <w:rFonts w:ascii="Times New Roman" w:hAnsi="Times New Roman" w:cs="Times New Roman"/>
        </w:rPr>
      </w:pPr>
      <w:r w:rsidRPr="00EF6F97">
        <w:rPr>
          <w:rFonts w:ascii="Times New Roman" w:hAnsi="Times New Roman" w:cs="Times New Roman"/>
          <w:szCs w:val="24"/>
        </w:rPr>
        <w:t>–</w:t>
      </w:r>
      <w:r w:rsidR="009A1099" w:rsidRPr="00215A1D">
        <w:rPr>
          <w:rFonts w:ascii="Times New Roman" w:hAnsi="Times New Roman" w:cs="Times New Roman"/>
        </w:rPr>
        <w:t xml:space="preserve"> dostosowujące </w:t>
      </w:r>
      <w:r w:rsidR="00D16D40">
        <w:rPr>
          <w:rFonts w:ascii="Times New Roman" w:hAnsi="Times New Roman" w:cs="Times New Roman"/>
        </w:rPr>
        <w:t xml:space="preserve">te ustawy </w:t>
      </w:r>
      <w:r w:rsidR="009A1099" w:rsidRPr="00215A1D">
        <w:rPr>
          <w:rFonts w:ascii="Times New Roman" w:hAnsi="Times New Roman" w:cs="Times New Roman"/>
        </w:rPr>
        <w:t>do zmian w ustawie - Prawo energetyczne.</w:t>
      </w:r>
    </w:p>
    <w:p w14:paraId="040AC5A7" w14:textId="1577AB4B" w:rsidR="003966D7" w:rsidRDefault="003966D7" w:rsidP="00EF6F97">
      <w:pPr>
        <w:pStyle w:val="USTustnpkodeksu"/>
        <w:ind w:firstLine="709"/>
        <w:rPr>
          <w:rFonts w:ascii="Times New Roman" w:hAnsi="Times New Roman" w:cs="Times New Roman"/>
        </w:rPr>
      </w:pPr>
      <w:r w:rsidRPr="00215A1D">
        <w:rPr>
          <w:rFonts w:ascii="Times New Roman" w:hAnsi="Times New Roman" w:cs="Times New Roman"/>
        </w:rPr>
        <w:t xml:space="preserve">Dodatkowo w ustawie </w:t>
      </w:r>
      <w:r w:rsidR="001D0628">
        <w:rPr>
          <w:rFonts w:ascii="Times New Roman" w:hAnsi="Times New Roman" w:cs="Times New Roman"/>
        </w:rPr>
        <w:t>z </w:t>
      </w:r>
      <w:r w:rsidRPr="00215A1D">
        <w:rPr>
          <w:rFonts w:ascii="Times New Roman" w:hAnsi="Times New Roman" w:cs="Times New Roman"/>
        </w:rPr>
        <w:t>dnia 8 grudnia 2017</w:t>
      </w:r>
      <w:r w:rsidR="001D0628">
        <w:rPr>
          <w:rFonts w:ascii="Times New Roman" w:hAnsi="Times New Roman" w:cs="Times New Roman"/>
        </w:rPr>
        <w:t> r.</w:t>
      </w:r>
      <w:r w:rsidRPr="00215A1D">
        <w:rPr>
          <w:rFonts w:ascii="Times New Roman" w:hAnsi="Times New Roman" w:cs="Times New Roman"/>
        </w:rPr>
        <w:t xml:space="preserve"> o rynku mocy wprowadza się zmiany ograniczające obowiązek instalacji liczników zdalnego odczytu u odbiorców końcowych w grupie C1x. Obecnie obowiązująca ustawa nakłada obowiązek zainstalowania ok. 1,35 mln liczników w tej grupie do </w:t>
      </w:r>
      <w:r w:rsidR="00D16D40">
        <w:rPr>
          <w:rFonts w:ascii="Times New Roman" w:hAnsi="Times New Roman" w:cs="Times New Roman"/>
        </w:rPr>
        <w:t xml:space="preserve">dnia </w:t>
      </w:r>
      <w:r w:rsidRPr="00215A1D">
        <w:rPr>
          <w:rFonts w:ascii="Times New Roman" w:hAnsi="Times New Roman" w:cs="Times New Roman"/>
        </w:rPr>
        <w:t>30</w:t>
      </w:r>
      <w:r w:rsidR="005848ED">
        <w:rPr>
          <w:rFonts w:ascii="Times New Roman" w:hAnsi="Times New Roman" w:cs="Times New Roman"/>
        </w:rPr>
        <w:t xml:space="preserve"> </w:t>
      </w:r>
      <w:r w:rsidR="00D16D40">
        <w:rPr>
          <w:rFonts w:ascii="Times New Roman" w:hAnsi="Times New Roman" w:cs="Times New Roman"/>
        </w:rPr>
        <w:t xml:space="preserve">września </w:t>
      </w:r>
      <w:r w:rsidRPr="00215A1D">
        <w:rPr>
          <w:rFonts w:ascii="Times New Roman" w:hAnsi="Times New Roman" w:cs="Times New Roman"/>
        </w:rPr>
        <w:t>2020</w:t>
      </w:r>
      <w:r w:rsidR="001D0628">
        <w:rPr>
          <w:rFonts w:ascii="Times New Roman" w:hAnsi="Times New Roman" w:cs="Times New Roman"/>
        </w:rPr>
        <w:t> r.</w:t>
      </w:r>
      <w:r w:rsidR="00767D2C">
        <w:rPr>
          <w:rFonts w:ascii="Times New Roman" w:hAnsi="Times New Roman" w:cs="Times New Roman"/>
        </w:rPr>
        <w:t>,</w:t>
      </w:r>
      <w:r w:rsidRPr="00215A1D">
        <w:rPr>
          <w:rFonts w:ascii="Times New Roman" w:hAnsi="Times New Roman" w:cs="Times New Roman"/>
        </w:rPr>
        <w:t xml:space="preserve"> co będzie kosztowało, zgodnie </w:t>
      </w:r>
      <w:r w:rsidR="001D0628">
        <w:rPr>
          <w:rFonts w:ascii="Times New Roman" w:hAnsi="Times New Roman" w:cs="Times New Roman"/>
        </w:rPr>
        <w:t>z </w:t>
      </w:r>
      <w:r w:rsidRPr="00215A1D">
        <w:rPr>
          <w:rFonts w:ascii="Times New Roman" w:hAnsi="Times New Roman" w:cs="Times New Roman"/>
        </w:rPr>
        <w:t>szacunkami Polskiego Towarzystwa Przesyłu</w:t>
      </w:r>
      <w:r w:rsidR="001D0628">
        <w:rPr>
          <w:rFonts w:ascii="Times New Roman" w:hAnsi="Times New Roman" w:cs="Times New Roman"/>
        </w:rPr>
        <w:t xml:space="preserve"> i </w:t>
      </w:r>
      <w:r w:rsidRPr="00215A1D">
        <w:rPr>
          <w:rFonts w:ascii="Times New Roman" w:hAnsi="Times New Roman" w:cs="Times New Roman"/>
        </w:rPr>
        <w:t>Rozdziału Energii Elektrycznej, ok. 900 mln zł. W projekcie ustawy proponuje się</w:t>
      </w:r>
      <w:r w:rsidR="00A8567E" w:rsidRPr="00215A1D">
        <w:rPr>
          <w:rFonts w:ascii="Times New Roman" w:hAnsi="Times New Roman" w:cs="Times New Roman"/>
        </w:rPr>
        <w:t>,</w:t>
      </w:r>
      <w:r w:rsidRPr="00215A1D">
        <w:rPr>
          <w:rFonts w:ascii="Times New Roman" w:hAnsi="Times New Roman" w:cs="Times New Roman"/>
        </w:rPr>
        <w:t xml:space="preserve"> aby odbiorcy grupy C1x byli rozliczani na takich samych zasadach jak odbiorcy grupy G (gospodarstwa domowe), co w konsekwencji doprowadzi do ograniczenia tego obowiązku do </w:t>
      </w:r>
      <w:r w:rsidR="00604DA8" w:rsidRPr="00215A1D">
        <w:rPr>
          <w:rFonts w:ascii="Times New Roman" w:hAnsi="Times New Roman" w:cs="Times New Roman"/>
        </w:rPr>
        <w:t>ok. 320</w:t>
      </w:r>
      <w:r w:rsidRPr="00215A1D">
        <w:rPr>
          <w:rFonts w:ascii="Times New Roman" w:hAnsi="Times New Roman" w:cs="Times New Roman"/>
        </w:rPr>
        <w:t xml:space="preserve"> tys. liczników (ok. 20% obowiązku pierwotnie zakładanego prze</w:t>
      </w:r>
      <w:r w:rsidR="001D0628">
        <w:rPr>
          <w:rFonts w:ascii="Times New Roman" w:hAnsi="Times New Roman" w:cs="Times New Roman"/>
        </w:rPr>
        <w:t>z </w:t>
      </w:r>
      <w:r w:rsidRPr="00215A1D">
        <w:rPr>
          <w:rFonts w:ascii="Times New Roman" w:hAnsi="Times New Roman" w:cs="Times New Roman"/>
        </w:rPr>
        <w:t xml:space="preserve">ustawę o rynku mocy). Należy podkreślić, że tego typu odbiorcy charakteryzują się niewielkim średniorocznym zużyciem energii elektrycznej. Wprowadzenie takiego rozwiązania w znaczący sposób zmniejszy </w:t>
      </w:r>
      <w:r w:rsidR="00071568">
        <w:rPr>
          <w:rFonts w:ascii="Times New Roman" w:hAnsi="Times New Roman" w:cs="Times New Roman"/>
        </w:rPr>
        <w:t>liczbę</w:t>
      </w:r>
      <w:r w:rsidRPr="00215A1D">
        <w:rPr>
          <w:rFonts w:ascii="Times New Roman" w:hAnsi="Times New Roman" w:cs="Times New Roman"/>
        </w:rPr>
        <w:t xml:space="preserve"> liczników odbiorców grupy C1x podlegających wymianie na liczniki </w:t>
      </w:r>
      <w:r w:rsidR="001D0628">
        <w:rPr>
          <w:rFonts w:ascii="Times New Roman" w:hAnsi="Times New Roman" w:cs="Times New Roman"/>
        </w:rPr>
        <w:t>z </w:t>
      </w:r>
      <w:r w:rsidRPr="00215A1D">
        <w:rPr>
          <w:rFonts w:ascii="Times New Roman" w:hAnsi="Times New Roman" w:cs="Times New Roman"/>
        </w:rPr>
        <w:t>transmisją danych ora</w:t>
      </w:r>
      <w:r w:rsidR="001D0628">
        <w:rPr>
          <w:rFonts w:ascii="Times New Roman" w:hAnsi="Times New Roman" w:cs="Times New Roman"/>
        </w:rPr>
        <w:t>z </w:t>
      </w:r>
      <w:r w:rsidRPr="00215A1D">
        <w:rPr>
          <w:rFonts w:ascii="Times New Roman" w:hAnsi="Times New Roman" w:cs="Times New Roman"/>
        </w:rPr>
        <w:t xml:space="preserve">zmniejszy wynikające stąd koszty – </w:t>
      </w:r>
      <w:r w:rsidR="00071568">
        <w:rPr>
          <w:rFonts w:ascii="Times New Roman" w:hAnsi="Times New Roman" w:cs="Times New Roman"/>
        </w:rPr>
        <w:t>liczba</w:t>
      </w:r>
      <w:r w:rsidRPr="00215A1D">
        <w:rPr>
          <w:rFonts w:ascii="Times New Roman" w:hAnsi="Times New Roman" w:cs="Times New Roman"/>
        </w:rPr>
        <w:t xml:space="preserve"> liczników </w:t>
      </w:r>
      <w:r w:rsidR="001D0628">
        <w:rPr>
          <w:rFonts w:ascii="Times New Roman" w:hAnsi="Times New Roman" w:cs="Times New Roman"/>
        </w:rPr>
        <w:t>z </w:t>
      </w:r>
      <w:r w:rsidRPr="00215A1D">
        <w:rPr>
          <w:rFonts w:ascii="Times New Roman" w:hAnsi="Times New Roman" w:cs="Times New Roman"/>
        </w:rPr>
        <w:t xml:space="preserve">ok </w:t>
      </w:r>
      <w:r w:rsidR="00604DA8" w:rsidRPr="00215A1D">
        <w:rPr>
          <w:rFonts w:ascii="Times New Roman" w:hAnsi="Times New Roman" w:cs="Times New Roman"/>
        </w:rPr>
        <w:t>1,35 mln spadnie do ok. 320 tys.</w:t>
      </w:r>
      <w:r w:rsidRPr="00215A1D">
        <w:rPr>
          <w:rFonts w:ascii="Times New Roman" w:hAnsi="Times New Roman" w:cs="Times New Roman"/>
        </w:rPr>
        <w:t xml:space="preserve"> szt., a koszty </w:t>
      </w:r>
      <w:r w:rsidR="001D0628">
        <w:rPr>
          <w:rFonts w:ascii="Times New Roman" w:hAnsi="Times New Roman" w:cs="Times New Roman"/>
        </w:rPr>
        <w:t>z </w:t>
      </w:r>
      <w:r w:rsidRPr="00215A1D">
        <w:rPr>
          <w:rFonts w:ascii="Times New Roman" w:hAnsi="Times New Roman" w:cs="Times New Roman"/>
        </w:rPr>
        <w:t>ok. 900 mln zł zostaną obniżone do ok. 220 mln.W grupie C1x średniorocznie wymianie legalizacyjnej podlega w Polsce ok. 130 tys. liczn</w:t>
      </w:r>
      <w:r w:rsidR="00604DA8" w:rsidRPr="00215A1D">
        <w:rPr>
          <w:rFonts w:ascii="Times New Roman" w:hAnsi="Times New Roman" w:cs="Times New Roman"/>
        </w:rPr>
        <w:t>ików – dostosowanie do ustawy o rynku mocy</w:t>
      </w:r>
      <w:r w:rsidRPr="00215A1D">
        <w:rPr>
          <w:rFonts w:ascii="Times New Roman" w:hAnsi="Times New Roman" w:cs="Times New Roman"/>
        </w:rPr>
        <w:t xml:space="preserve"> będzie wymagało wymiany ok. 1,35 mln liczników w ciągu około 15 miesięcy – przy założeniu, że liczniki ora</w:t>
      </w:r>
      <w:r w:rsidR="001D0628">
        <w:rPr>
          <w:rFonts w:ascii="Times New Roman" w:hAnsi="Times New Roman" w:cs="Times New Roman"/>
        </w:rPr>
        <w:t>z </w:t>
      </w:r>
      <w:r w:rsidRPr="00215A1D">
        <w:rPr>
          <w:rFonts w:ascii="Times New Roman" w:hAnsi="Times New Roman" w:cs="Times New Roman"/>
        </w:rPr>
        <w:t xml:space="preserve">modemy transmisyjne będą </w:t>
      </w:r>
      <w:r w:rsidRPr="00215A1D">
        <w:rPr>
          <w:rFonts w:ascii="Times New Roman" w:hAnsi="Times New Roman" w:cs="Times New Roman"/>
        </w:rPr>
        <w:lastRenderedPageBreak/>
        <w:t xml:space="preserve">dostępne w wymaganej </w:t>
      </w:r>
      <w:r w:rsidR="00071568">
        <w:rPr>
          <w:rFonts w:ascii="Times New Roman" w:hAnsi="Times New Roman" w:cs="Times New Roman"/>
        </w:rPr>
        <w:t>liczbie</w:t>
      </w:r>
      <w:r w:rsidRPr="00215A1D">
        <w:rPr>
          <w:rFonts w:ascii="Times New Roman" w:hAnsi="Times New Roman" w:cs="Times New Roman"/>
        </w:rPr>
        <w:t xml:space="preserve"> od połowy 2019</w:t>
      </w:r>
      <w:r w:rsidR="001D0628">
        <w:rPr>
          <w:rFonts w:ascii="Times New Roman" w:hAnsi="Times New Roman" w:cs="Times New Roman"/>
        </w:rPr>
        <w:t> r.</w:t>
      </w:r>
      <w:r w:rsidRPr="00215A1D">
        <w:rPr>
          <w:rFonts w:ascii="Times New Roman" w:hAnsi="Times New Roman" w:cs="Times New Roman"/>
        </w:rPr>
        <w:t xml:space="preserve"> (zakładany termin dostaw pierwszych liczników </w:t>
      </w:r>
      <w:r w:rsidR="00071568">
        <w:rPr>
          <w:rFonts w:ascii="Times New Roman" w:hAnsi="Times New Roman" w:cs="Times New Roman"/>
        </w:rPr>
        <w:t>po rozstrzygnięciu przetargów).</w:t>
      </w:r>
    </w:p>
    <w:p w14:paraId="29EAD7AF" w14:textId="77777777" w:rsidR="00071568" w:rsidRPr="00215A1D" w:rsidRDefault="00071568" w:rsidP="00EF6F97">
      <w:pPr>
        <w:pStyle w:val="USTustnpkodeksu"/>
        <w:ind w:firstLine="709"/>
        <w:rPr>
          <w:rFonts w:ascii="Times New Roman" w:hAnsi="Times New Roman" w:cs="Times New Roman"/>
        </w:rPr>
      </w:pPr>
    </w:p>
    <w:p w14:paraId="2C4D41A1" w14:textId="4278637F" w:rsidR="009A1099" w:rsidRPr="00215A1D" w:rsidRDefault="00D24A41" w:rsidP="00EF6F97">
      <w:pPr>
        <w:pStyle w:val="USTustnpkodeksu"/>
        <w:ind w:firstLine="0"/>
        <w:rPr>
          <w:rFonts w:ascii="Times New Roman" w:hAnsi="Times New Roman" w:cs="Times New Roman"/>
        </w:rPr>
      </w:pPr>
      <w:r>
        <w:rPr>
          <w:rFonts w:ascii="Times New Roman" w:hAnsi="Times New Roman" w:cs="Times New Roman"/>
        </w:rPr>
        <w:t>1</w:t>
      </w:r>
      <w:r w:rsidR="00F943DA">
        <w:rPr>
          <w:rFonts w:ascii="Times New Roman" w:hAnsi="Times New Roman" w:cs="Times New Roman"/>
        </w:rPr>
        <w:t>6</w:t>
      </w:r>
      <w:r w:rsidR="00A65E2D" w:rsidRPr="00215A1D">
        <w:rPr>
          <w:rFonts w:ascii="Times New Roman" w:hAnsi="Times New Roman" w:cs="Times New Roman"/>
        </w:rPr>
        <w:t>.</w:t>
      </w:r>
      <w:r w:rsidR="00EE6A04" w:rsidRPr="00215A1D">
        <w:rPr>
          <w:rFonts w:ascii="Times New Roman" w:hAnsi="Times New Roman" w:cs="Times New Roman"/>
        </w:rPr>
        <w:t>6</w:t>
      </w:r>
      <w:r w:rsidR="009A1099" w:rsidRPr="00215A1D">
        <w:rPr>
          <w:rFonts w:ascii="Times New Roman" w:hAnsi="Times New Roman" w:cs="Times New Roman"/>
        </w:rPr>
        <w:t>. Przepisy przejściowe:</w:t>
      </w:r>
    </w:p>
    <w:p w14:paraId="2ADB8C8A" w14:textId="77777777" w:rsidR="009A1099" w:rsidRPr="00215A1D" w:rsidRDefault="00EF6F97" w:rsidP="00EF6F97">
      <w:pPr>
        <w:pStyle w:val="PKTpunkt"/>
        <w:rPr>
          <w:rFonts w:ascii="Times New Roman" w:hAnsi="Times New Roman" w:cs="Times New Roman"/>
        </w:rPr>
      </w:pPr>
      <w:r>
        <w:rPr>
          <w:rFonts w:ascii="Times New Roman" w:hAnsi="Times New Roman" w:cs="Times New Roman"/>
        </w:rPr>
        <w:tab/>
      </w:r>
      <w:r w:rsidR="009A1099" w:rsidRPr="00215A1D">
        <w:rPr>
          <w:rFonts w:ascii="Times New Roman" w:hAnsi="Times New Roman" w:cs="Times New Roman"/>
        </w:rPr>
        <w:t>Proponuje się, aby:</w:t>
      </w:r>
    </w:p>
    <w:p w14:paraId="43AB55CF" w14:textId="12ECA4F4" w:rsidR="009C2C5E" w:rsidRPr="00215A1D" w:rsidRDefault="009C2C5E" w:rsidP="00215A1D">
      <w:pPr>
        <w:pStyle w:val="PKTpunkt"/>
        <w:numPr>
          <w:ilvl w:val="0"/>
          <w:numId w:val="88"/>
        </w:numPr>
        <w:rPr>
          <w:rFonts w:ascii="Times New Roman" w:hAnsi="Times New Roman" w:cs="Times New Roman"/>
        </w:rPr>
      </w:pPr>
      <w:r w:rsidRPr="00215A1D">
        <w:rPr>
          <w:rFonts w:ascii="Times New Roman" w:hAnsi="Times New Roman" w:cs="Times New Roman"/>
        </w:rPr>
        <w:t xml:space="preserve">Operator systemu przesyłowego elektroenergetycznego </w:t>
      </w:r>
      <w:r w:rsidR="00962958">
        <w:rPr>
          <w:rFonts w:ascii="Times New Roman" w:hAnsi="Times New Roman" w:cs="Times New Roman"/>
        </w:rPr>
        <w:t xml:space="preserve">przedłożył Prezesowi URE do zatwierdzenia instrukcję zawierającą Standardy Wymiany Informacji </w:t>
      </w:r>
      <w:r w:rsidRPr="00215A1D">
        <w:rPr>
          <w:rFonts w:ascii="Times New Roman" w:hAnsi="Times New Roman" w:cs="Times New Roman"/>
        </w:rPr>
        <w:t>w terminie 1</w:t>
      </w:r>
      <w:r w:rsidR="00962958">
        <w:rPr>
          <w:rFonts w:ascii="Times New Roman" w:hAnsi="Times New Roman" w:cs="Times New Roman"/>
        </w:rPr>
        <w:t>8</w:t>
      </w:r>
      <w:r w:rsidRPr="00215A1D">
        <w:rPr>
          <w:rFonts w:ascii="Times New Roman" w:hAnsi="Times New Roman" w:cs="Times New Roman"/>
        </w:rPr>
        <w:t xml:space="preserve"> miesięcy od dnia wejścia w życie niniejszej ustawy.</w:t>
      </w:r>
    </w:p>
    <w:p w14:paraId="1F07D193" w14:textId="09E167BD" w:rsidR="009A1099" w:rsidRPr="00215A1D" w:rsidRDefault="009A1099" w:rsidP="00215A1D">
      <w:pPr>
        <w:pStyle w:val="PKTpunkt"/>
        <w:numPr>
          <w:ilvl w:val="0"/>
          <w:numId w:val="88"/>
        </w:numPr>
        <w:rPr>
          <w:rFonts w:ascii="Times New Roman" w:hAnsi="Times New Roman" w:cs="Times New Roman"/>
        </w:rPr>
      </w:pPr>
      <w:r w:rsidRPr="00215A1D">
        <w:rPr>
          <w:rFonts w:ascii="Times New Roman" w:hAnsi="Times New Roman" w:cs="Times New Roman"/>
        </w:rPr>
        <w:t xml:space="preserve">Operator systemu przesyłowego elektroenergetycznego utworzył centralny system informacji </w:t>
      </w:r>
      <w:r w:rsidR="00514FF9" w:rsidRPr="00215A1D">
        <w:rPr>
          <w:rFonts w:ascii="Times New Roman" w:hAnsi="Times New Roman" w:cs="Times New Roman"/>
        </w:rPr>
        <w:t xml:space="preserve">rynku energii </w:t>
      </w:r>
      <w:r w:rsidRPr="00215A1D">
        <w:rPr>
          <w:rFonts w:ascii="Times New Roman" w:hAnsi="Times New Roman" w:cs="Times New Roman"/>
        </w:rPr>
        <w:t>w</w:t>
      </w:r>
      <w:r w:rsidR="00BE7549">
        <w:rPr>
          <w:rFonts w:ascii="Times New Roman" w:hAnsi="Times New Roman" w:cs="Times New Roman"/>
        </w:rPr>
        <w:t xml:space="preserve"> </w:t>
      </w:r>
      <w:r w:rsidRPr="00215A1D">
        <w:rPr>
          <w:rFonts w:ascii="Times New Roman" w:hAnsi="Times New Roman" w:cs="Times New Roman"/>
        </w:rPr>
        <w:t>terminie 36 miesięcy od dnia wejścia w życie niniejszej ustawy</w:t>
      </w:r>
      <w:r w:rsidR="00BE7549">
        <w:rPr>
          <w:rFonts w:ascii="Times New Roman" w:hAnsi="Times New Roman" w:cs="Times New Roman"/>
        </w:rPr>
        <w:t>.</w:t>
      </w:r>
    </w:p>
    <w:p w14:paraId="09FFB30C" w14:textId="397F1919" w:rsidR="00A5339F" w:rsidRPr="00215A1D" w:rsidRDefault="00A5339F" w:rsidP="00215A1D">
      <w:pPr>
        <w:pStyle w:val="ARTartustawynprozporzdzenia"/>
        <w:numPr>
          <w:ilvl w:val="0"/>
          <w:numId w:val="88"/>
        </w:numPr>
        <w:spacing w:before="0"/>
        <w:rPr>
          <w:rFonts w:ascii="Times New Roman" w:hAnsi="Times New Roman" w:cs="Times New Roman"/>
        </w:rPr>
      </w:pPr>
      <w:r w:rsidRPr="00215A1D">
        <w:rPr>
          <w:rFonts w:ascii="Times New Roman" w:hAnsi="Times New Roman" w:cs="Times New Roman"/>
        </w:rPr>
        <w:t>Operatorzy systemów dystrybucyjnych elektroenergetycznych</w:t>
      </w:r>
      <w:r w:rsidR="00A166BB" w:rsidRPr="00215A1D">
        <w:rPr>
          <w:rFonts w:ascii="Times New Roman" w:hAnsi="Times New Roman" w:cs="Times New Roman"/>
        </w:rPr>
        <w:t xml:space="preserve">, </w:t>
      </w:r>
      <w:r w:rsidR="00C0170C" w:rsidRPr="00215A1D">
        <w:rPr>
          <w:rFonts w:ascii="Times New Roman" w:hAnsi="Times New Roman" w:cs="Times New Roman"/>
        </w:rPr>
        <w:t>operator systemu przesyłowego elektroenergetycznego</w:t>
      </w:r>
      <w:r w:rsidR="001D0628">
        <w:rPr>
          <w:rFonts w:ascii="Times New Roman" w:hAnsi="Times New Roman" w:cs="Times New Roman"/>
        </w:rPr>
        <w:t xml:space="preserve"> i </w:t>
      </w:r>
      <w:r w:rsidR="00A166BB" w:rsidRPr="00215A1D">
        <w:rPr>
          <w:rFonts w:ascii="Times New Roman" w:hAnsi="Times New Roman" w:cs="Times New Roman"/>
        </w:rPr>
        <w:t xml:space="preserve">operatorzy ogólnodostępnych stacji ładowania </w:t>
      </w:r>
      <w:r w:rsidR="009C2C5E" w:rsidRPr="00215A1D">
        <w:rPr>
          <w:rFonts w:ascii="Times New Roman" w:hAnsi="Times New Roman" w:cs="Times New Roman"/>
        </w:rPr>
        <w:t xml:space="preserve">nadali kody punktom pomiarowym, </w:t>
      </w:r>
      <w:r w:rsidRPr="00215A1D">
        <w:rPr>
          <w:rFonts w:ascii="Times New Roman" w:hAnsi="Times New Roman" w:cs="Times New Roman"/>
        </w:rPr>
        <w:t>każdy dla swojej sieci</w:t>
      </w:r>
      <w:r w:rsidR="00A166BB" w:rsidRPr="00215A1D">
        <w:rPr>
          <w:rFonts w:ascii="Times New Roman" w:hAnsi="Times New Roman" w:cs="Times New Roman"/>
        </w:rPr>
        <w:t>, instalacji lub urządzenia</w:t>
      </w:r>
      <w:r w:rsidRPr="00215A1D">
        <w:rPr>
          <w:rFonts w:ascii="Times New Roman" w:hAnsi="Times New Roman" w:cs="Times New Roman"/>
        </w:rPr>
        <w:t>, zgodnie ze standardem GS1, w terminie 24 miesięcy od dnia wejścia w życie niniejszej ustawy.</w:t>
      </w:r>
    </w:p>
    <w:p w14:paraId="31848124" w14:textId="6026FD3A" w:rsidR="009A1099" w:rsidRPr="00215A1D" w:rsidRDefault="009A1099" w:rsidP="00215A1D">
      <w:pPr>
        <w:pStyle w:val="PKTpunkt"/>
        <w:numPr>
          <w:ilvl w:val="0"/>
          <w:numId w:val="88"/>
        </w:numPr>
        <w:rPr>
          <w:rFonts w:ascii="Times New Roman" w:hAnsi="Times New Roman" w:cs="Times New Roman"/>
        </w:rPr>
      </w:pPr>
      <w:r w:rsidRPr="00215A1D">
        <w:rPr>
          <w:rFonts w:ascii="Times New Roman" w:hAnsi="Times New Roman" w:cs="Times New Roman"/>
        </w:rPr>
        <w:t xml:space="preserve">Operatorzy systemów dystrybucyjnych elektroenergetycznych przekazali operatorowi systemu przesyłowego elektroenergetycznego w postaci elektronicznej za pośrednictwem centralnego systemu informacji </w:t>
      </w:r>
      <w:r w:rsidR="00F8706F" w:rsidRPr="00215A1D">
        <w:rPr>
          <w:rFonts w:ascii="Times New Roman" w:hAnsi="Times New Roman" w:cs="Times New Roman"/>
        </w:rPr>
        <w:t>rynku energii</w:t>
      </w:r>
      <w:r w:rsidRPr="00215A1D">
        <w:rPr>
          <w:rFonts w:ascii="Times New Roman" w:hAnsi="Times New Roman" w:cs="Times New Roman"/>
        </w:rPr>
        <w:t>informacje o punktach pomiarowych w terminie 30 miesięcy od dnia wejścia w życie niniejszej ustawy</w:t>
      </w:r>
      <w:r w:rsidR="00A5339F" w:rsidRPr="00215A1D">
        <w:rPr>
          <w:rFonts w:ascii="Times New Roman" w:hAnsi="Times New Roman" w:cs="Times New Roman"/>
        </w:rPr>
        <w:t>.</w:t>
      </w:r>
      <w:r w:rsidR="00F8706F" w:rsidRPr="00215A1D">
        <w:rPr>
          <w:rFonts w:ascii="Times New Roman" w:hAnsi="Times New Roman" w:cs="Times New Roman"/>
        </w:rPr>
        <w:t xml:space="preserve"> Informacje o punktach pomiarowych będą spełniać wymagania określone w standardach wymiany informacji centralnego systemu informacji rynku energii</w:t>
      </w:r>
      <w:r w:rsidR="00BE7549">
        <w:rPr>
          <w:rFonts w:ascii="Times New Roman" w:hAnsi="Times New Roman" w:cs="Times New Roman"/>
        </w:rPr>
        <w:t>.</w:t>
      </w:r>
    </w:p>
    <w:p w14:paraId="435B1B3E" w14:textId="1F9BF8E0" w:rsidR="00A5339F" w:rsidRPr="00215A1D" w:rsidRDefault="00A5339F" w:rsidP="00215A1D">
      <w:pPr>
        <w:pStyle w:val="ARTartustawynprozporzdzenia"/>
        <w:numPr>
          <w:ilvl w:val="0"/>
          <w:numId w:val="88"/>
        </w:numPr>
        <w:spacing w:before="0"/>
        <w:rPr>
          <w:rFonts w:ascii="Times New Roman" w:hAnsi="Times New Roman" w:cs="Times New Roman"/>
        </w:rPr>
      </w:pPr>
      <w:r w:rsidRPr="00215A1D">
        <w:rPr>
          <w:rFonts w:ascii="Times New Roman" w:hAnsi="Times New Roman" w:cs="Times New Roman"/>
        </w:rPr>
        <w:t>Użytkownicy systemu, o których mowa w art. 11z</w:t>
      </w:r>
      <w:r w:rsidR="00810D8B">
        <w:rPr>
          <w:rFonts w:ascii="Times New Roman" w:hAnsi="Times New Roman" w:cs="Times New Roman"/>
        </w:rPr>
        <w:t>g</w:t>
      </w:r>
      <w:r w:rsidRPr="00215A1D">
        <w:rPr>
          <w:rFonts w:ascii="Times New Roman" w:hAnsi="Times New Roman" w:cs="Times New Roman"/>
        </w:rPr>
        <w:t xml:space="preserve"> ust. 1 ustawy zmienianej w art. 1</w:t>
      </w:r>
      <w:r w:rsidR="00BE7549">
        <w:rPr>
          <w:rFonts w:ascii="Times New Roman" w:hAnsi="Times New Roman" w:cs="Times New Roman"/>
        </w:rPr>
        <w:t>,</w:t>
      </w:r>
      <w:r w:rsidRPr="00215A1D">
        <w:rPr>
          <w:rFonts w:ascii="Times New Roman" w:hAnsi="Times New Roman" w:cs="Times New Roman"/>
        </w:rPr>
        <w:t xml:space="preserve"> w brzmieniu nadanym niniejszą ustawą</w:t>
      </w:r>
      <w:r w:rsidR="00BE7549">
        <w:rPr>
          <w:rFonts w:ascii="Times New Roman" w:hAnsi="Times New Roman" w:cs="Times New Roman"/>
        </w:rPr>
        <w:t>,</w:t>
      </w:r>
      <w:r w:rsidRPr="00215A1D">
        <w:rPr>
          <w:rFonts w:ascii="Times New Roman" w:hAnsi="Times New Roman" w:cs="Times New Roman"/>
        </w:rPr>
        <w:t xml:space="preserve"> zawarli umowę, o której mowa w tym przepisie w terminie 3</w:t>
      </w:r>
      <w:r w:rsidR="00EB7FEA">
        <w:rPr>
          <w:rFonts w:ascii="Times New Roman" w:hAnsi="Times New Roman" w:cs="Times New Roman"/>
        </w:rPr>
        <w:t>3</w:t>
      </w:r>
      <w:r w:rsidRPr="00215A1D">
        <w:rPr>
          <w:rFonts w:ascii="Times New Roman" w:hAnsi="Times New Roman" w:cs="Times New Roman"/>
        </w:rPr>
        <w:t xml:space="preserve"> miesięcy od dnia wejścia w życie niniejszej ustawy.</w:t>
      </w:r>
    </w:p>
    <w:p w14:paraId="1930F936" w14:textId="77777777" w:rsidR="00930817" w:rsidRPr="00215A1D" w:rsidRDefault="00EF6F97" w:rsidP="00EF6F97">
      <w:pPr>
        <w:pStyle w:val="PKTpunkt"/>
        <w:ind w:left="0" w:firstLine="0"/>
        <w:rPr>
          <w:rFonts w:ascii="Times New Roman" w:hAnsi="Times New Roman" w:cs="Times New Roman"/>
        </w:rPr>
      </w:pPr>
      <w:r>
        <w:rPr>
          <w:rFonts w:ascii="Times New Roman" w:hAnsi="Times New Roman" w:cs="Times New Roman"/>
        </w:rPr>
        <w:tab/>
      </w:r>
      <w:r w:rsidR="00930817" w:rsidRPr="00215A1D">
        <w:rPr>
          <w:rFonts w:ascii="Times New Roman" w:hAnsi="Times New Roman" w:cs="Times New Roman"/>
        </w:rPr>
        <w:t xml:space="preserve">Przedstawiony powyżej harmonogram utworzenia centralnego systemu informacji rynku energii wynika </w:t>
      </w:r>
      <w:r w:rsidR="001D0628">
        <w:rPr>
          <w:rFonts w:ascii="Times New Roman" w:hAnsi="Times New Roman" w:cs="Times New Roman"/>
        </w:rPr>
        <w:t>z </w:t>
      </w:r>
      <w:r w:rsidR="00930817" w:rsidRPr="00215A1D">
        <w:rPr>
          <w:rFonts w:ascii="Times New Roman" w:hAnsi="Times New Roman" w:cs="Times New Roman"/>
        </w:rPr>
        <w:t>faktu, iż konieczne będzie:</w:t>
      </w:r>
    </w:p>
    <w:p w14:paraId="06D53E60" w14:textId="14263F85" w:rsidR="00930817" w:rsidRPr="00215A1D" w:rsidRDefault="00930817" w:rsidP="00215A1D">
      <w:pPr>
        <w:pStyle w:val="PKTpunkt"/>
        <w:numPr>
          <w:ilvl w:val="0"/>
          <w:numId w:val="86"/>
        </w:numPr>
        <w:rPr>
          <w:rFonts w:ascii="Times New Roman" w:hAnsi="Times New Roman" w:cs="Times New Roman"/>
        </w:rPr>
      </w:pPr>
      <w:r w:rsidRPr="00215A1D">
        <w:rPr>
          <w:rFonts w:ascii="Times New Roman" w:hAnsi="Times New Roman" w:cs="Times New Roman"/>
        </w:rPr>
        <w:t>opracowanie standardów wymiany informacji rynku energii elektrycznej określających sposób realizacji podstawowych procesów rynku energii elektrycznej obsługiwanych prze</w:t>
      </w:r>
      <w:r w:rsidR="001D0628">
        <w:rPr>
          <w:rFonts w:ascii="Times New Roman" w:hAnsi="Times New Roman" w:cs="Times New Roman"/>
        </w:rPr>
        <w:t>z </w:t>
      </w:r>
      <w:r w:rsidRPr="00215A1D">
        <w:rPr>
          <w:rFonts w:ascii="Times New Roman" w:hAnsi="Times New Roman" w:cs="Times New Roman"/>
        </w:rPr>
        <w:t>CSIRE</w:t>
      </w:r>
      <w:r w:rsidR="00EB7FEA">
        <w:rPr>
          <w:rFonts w:ascii="Times New Roman" w:hAnsi="Times New Roman" w:cs="Times New Roman"/>
        </w:rPr>
        <w:t>,</w:t>
      </w:r>
    </w:p>
    <w:p w14:paraId="3DC68D5E" w14:textId="0BFB3C30" w:rsidR="00930817" w:rsidRPr="00215A1D" w:rsidRDefault="00930817" w:rsidP="00215A1D">
      <w:pPr>
        <w:pStyle w:val="PKTpunkt"/>
        <w:numPr>
          <w:ilvl w:val="0"/>
          <w:numId w:val="86"/>
        </w:numPr>
        <w:rPr>
          <w:rFonts w:ascii="Times New Roman" w:hAnsi="Times New Roman" w:cs="Times New Roman"/>
        </w:rPr>
      </w:pPr>
      <w:r w:rsidRPr="00215A1D">
        <w:rPr>
          <w:rFonts w:ascii="Times New Roman" w:hAnsi="Times New Roman" w:cs="Times New Roman"/>
        </w:rPr>
        <w:t>opracowanie wymagań do specyfikacji istotnych warunków zamówienia, która będzie podstawą przygotowania postępowania przetargowego na zakup</w:t>
      </w:r>
      <w:r w:rsidR="001D0628">
        <w:rPr>
          <w:rFonts w:ascii="Times New Roman" w:hAnsi="Times New Roman" w:cs="Times New Roman"/>
        </w:rPr>
        <w:t xml:space="preserve"> i </w:t>
      </w:r>
      <w:r w:rsidRPr="00215A1D">
        <w:rPr>
          <w:rFonts w:ascii="Times New Roman" w:hAnsi="Times New Roman" w:cs="Times New Roman"/>
        </w:rPr>
        <w:t xml:space="preserve">wdrożenie systemu </w:t>
      </w:r>
      <w:r w:rsidR="00B077B9">
        <w:rPr>
          <w:rFonts w:ascii="Times New Roman" w:hAnsi="Times New Roman" w:cs="Times New Roman"/>
        </w:rPr>
        <w:t>informacyjnego</w:t>
      </w:r>
      <w:r w:rsidR="00071568">
        <w:rPr>
          <w:rFonts w:ascii="Times New Roman" w:hAnsi="Times New Roman" w:cs="Times New Roman"/>
        </w:rPr>
        <w:t xml:space="preserve"> </w:t>
      </w:r>
      <w:r w:rsidRPr="00215A1D">
        <w:rPr>
          <w:rFonts w:ascii="Times New Roman" w:hAnsi="Times New Roman" w:cs="Times New Roman"/>
        </w:rPr>
        <w:t>o funkcjonalnościach wymaganych w opracowanych uprzednio standardach wymiany informacji rynku energii,</w:t>
      </w:r>
    </w:p>
    <w:p w14:paraId="052A143C" w14:textId="1A5F7E93" w:rsidR="00930817" w:rsidRPr="00215A1D" w:rsidRDefault="00930817" w:rsidP="00215A1D">
      <w:pPr>
        <w:pStyle w:val="PKTpunkt"/>
        <w:numPr>
          <w:ilvl w:val="0"/>
          <w:numId w:val="86"/>
        </w:numPr>
        <w:rPr>
          <w:rFonts w:ascii="Times New Roman" w:hAnsi="Times New Roman" w:cs="Times New Roman"/>
        </w:rPr>
      </w:pPr>
      <w:r w:rsidRPr="00215A1D">
        <w:rPr>
          <w:rFonts w:ascii="Times New Roman" w:hAnsi="Times New Roman" w:cs="Times New Roman"/>
        </w:rPr>
        <w:lastRenderedPageBreak/>
        <w:t>przeprowadzenie postępowania przetargowego</w:t>
      </w:r>
      <w:r w:rsidR="00EB7FEA">
        <w:rPr>
          <w:rFonts w:ascii="Times New Roman" w:hAnsi="Times New Roman" w:cs="Times New Roman"/>
        </w:rPr>
        <w:t>,</w:t>
      </w:r>
      <w:r w:rsidRPr="00215A1D">
        <w:rPr>
          <w:rFonts w:ascii="Times New Roman" w:hAnsi="Times New Roman" w:cs="Times New Roman"/>
        </w:rPr>
        <w:t xml:space="preserve"> </w:t>
      </w:r>
    </w:p>
    <w:p w14:paraId="3A570768" w14:textId="5C879C27" w:rsidR="00930817" w:rsidRPr="00215A1D" w:rsidRDefault="00930817" w:rsidP="00215A1D">
      <w:pPr>
        <w:pStyle w:val="PKTpunkt"/>
        <w:numPr>
          <w:ilvl w:val="0"/>
          <w:numId w:val="86"/>
        </w:numPr>
        <w:rPr>
          <w:rFonts w:ascii="Times New Roman" w:hAnsi="Times New Roman" w:cs="Times New Roman"/>
        </w:rPr>
      </w:pPr>
      <w:r w:rsidRPr="00215A1D">
        <w:rPr>
          <w:rFonts w:ascii="Times New Roman" w:hAnsi="Times New Roman" w:cs="Times New Roman"/>
        </w:rPr>
        <w:t xml:space="preserve">wdrożenie systemu </w:t>
      </w:r>
      <w:r w:rsidR="00B077B9">
        <w:rPr>
          <w:rFonts w:ascii="Times New Roman" w:hAnsi="Times New Roman" w:cs="Times New Roman"/>
        </w:rPr>
        <w:t>informacyjnego</w:t>
      </w:r>
      <w:r w:rsidRPr="00215A1D">
        <w:rPr>
          <w:rFonts w:ascii="Times New Roman" w:hAnsi="Times New Roman" w:cs="Times New Roman"/>
        </w:rPr>
        <w:t>realizującego funkcje CSIRE</w:t>
      </w:r>
      <w:r w:rsidR="00EB7FEA">
        <w:rPr>
          <w:rFonts w:ascii="Times New Roman" w:hAnsi="Times New Roman" w:cs="Times New Roman"/>
        </w:rPr>
        <w:t>,</w:t>
      </w:r>
      <w:r w:rsidRPr="00215A1D">
        <w:rPr>
          <w:rFonts w:ascii="Times New Roman" w:hAnsi="Times New Roman" w:cs="Times New Roman"/>
        </w:rPr>
        <w:t xml:space="preserve"> </w:t>
      </w:r>
    </w:p>
    <w:p w14:paraId="37C3F0CE" w14:textId="597E5A56" w:rsidR="009C2C5E" w:rsidRPr="00215A1D" w:rsidRDefault="009C2C5E" w:rsidP="00215A1D">
      <w:pPr>
        <w:pStyle w:val="PKTpunkt"/>
        <w:numPr>
          <w:ilvl w:val="0"/>
          <w:numId w:val="86"/>
        </w:numPr>
        <w:rPr>
          <w:rFonts w:ascii="Times New Roman" w:hAnsi="Times New Roman" w:cs="Times New Roman"/>
        </w:rPr>
      </w:pPr>
      <w:r w:rsidRPr="00215A1D">
        <w:rPr>
          <w:rFonts w:ascii="Times New Roman" w:hAnsi="Times New Roman" w:cs="Times New Roman"/>
        </w:rPr>
        <w:t>przeprowadzenie inicjalnego zasilenia CSIRE informacjami rynku energii</w:t>
      </w:r>
      <w:r w:rsidR="00EB7FEA">
        <w:rPr>
          <w:rFonts w:ascii="Times New Roman" w:hAnsi="Times New Roman" w:cs="Times New Roman"/>
        </w:rPr>
        <w:t>,</w:t>
      </w:r>
    </w:p>
    <w:p w14:paraId="72F9E85F" w14:textId="2AF31A23" w:rsidR="009C2C5E" w:rsidRPr="00215A1D" w:rsidRDefault="009C2C5E" w:rsidP="00215A1D">
      <w:pPr>
        <w:pStyle w:val="PKTpunkt"/>
        <w:numPr>
          <w:ilvl w:val="0"/>
          <w:numId w:val="86"/>
        </w:numPr>
        <w:rPr>
          <w:rFonts w:ascii="Times New Roman" w:hAnsi="Times New Roman" w:cs="Times New Roman"/>
        </w:rPr>
      </w:pPr>
      <w:r w:rsidRPr="00215A1D">
        <w:rPr>
          <w:rFonts w:ascii="Times New Roman" w:hAnsi="Times New Roman" w:cs="Times New Roman"/>
        </w:rPr>
        <w:t>zawarcie stosownych umów pomiędzy OIRE a użytkownikami systemu</w:t>
      </w:r>
      <w:r w:rsidR="00EB7FEA">
        <w:rPr>
          <w:rFonts w:ascii="Times New Roman" w:hAnsi="Times New Roman" w:cs="Times New Roman"/>
        </w:rPr>
        <w:t>,</w:t>
      </w:r>
    </w:p>
    <w:p w14:paraId="78548709" w14:textId="07C5BF97" w:rsidR="00C0170C" w:rsidRPr="00215A1D" w:rsidRDefault="00C0170C" w:rsidP="00215A1D">
      <w:pPr>
        <w:pStyle w:val="PKTpunkt"/>
        <w:numPr>
          <w:ilvl w:val="0"/>
          <w:numId w:val="86"/>
        </w:numPr>
        <w:rPr>
          <w:rFonts w:ascii="Times New Roman" w:hAnsi="Times New Roman" w:cs="Times New Roman"/>
        </w:rPr>
      </w:pPr>
      <w:r w:rsidRPr="00215A1D">
        <w:rPr>
          <w:rFonts w:ascii="Times New Roman" w:hAnsi="Times New Roman" w:cs="Times New Roman"/>
        </w:rPr>
        <w:t>przeprowadzenie migracji danych</w:t>
      </w:r>
      <w:r w:rsidR="00EB7FEA">
        <w:rPr>
          <w:rFonts w:ascii="Times New Roman" w:hAnsi="Times New Roman" w:cs="Times New Roman"/>
        </w:rPr>
        <w:t>,</w:t>
      </w:r>
    </w:p>
    <w:p w14:paraId="5DCD4E4B" w14:textId="4853C857" w:rsidR="00930817" w:rsidRPr="00215A1D" w:rsidRDefault="00930817" w:rsidP="00215A1D">
      <w:pPr>
        <w:pStyle w:val="PKTpunkt"/>
        <w:numPr>
          <w:ilvl w:val="0"/>
          <w:numId w:val="86"/>
        </w:numPr>
        <w:rPr>
          <w:rFonts w:ascii="Times New Roman" w:hAnsi="Times New Roman" w:cs="Times New Roman"/>
        </w:rPr>
      </w:pPr>
      <w:r w:rsidRPr="00215A1D">
        <w:rPr>
          <w:rFonts w:ascii="Times New Roman" w:hAnsi="Times New Roman" w:cs="Times New Roman"/>
        </w:rPr>
        <w:t xml:space="preserve">przeprowadzenie testów wdrożonego centralnego systemu informacji rynku energii, wynikających </w:t>
      </w:r>
      <w:r w:rsidR="001D0628">
        <w:rPr>
          <w:rFonts w:ascii="Times New Roman" w:hAnsi="Times New Roman" w:cs="Times New Roman"/>
        </w:rPr>
        <w:t>z </w:t>
      </w:r>
      <w:r w:rsidRPr="00215A1D">
        <w:rPr>
          <w:rFonts w:ascii="Times New Roman" w:hAnsi="Times New Roman" w:cs="Times New Roman"/>
        </w:rPr>
        <w:t xml:space="preserve">potrzeby zapewnienia właściwej współpracy </w:t>
      </w:r>
      <w:r w:rsidR="001D0628">
        <w:rPr>
          <w:rFonts w:ascii="Times New Roman" w:hAnsi="Times New Roman" w:cs="Times New Roman"/>
        </w:rPr>
        <w:t>z </w:t>
      </w:r>
      <w:r w:rsidRPr="00215A1D">
        <w:rPr>
          <w:rFonts w:ascii="Times New Roman" w:hAnsi="Times New Roman" w:cs="Times New Roman"/>
        </w:rPr>
        <w:t xml:space="preserve">systemami </w:t>
      </w:r>
      <w:r w:rsidR="00B077B9">
        <w:rPr>
          <w:rFonts w:ascii="Times New Roman" w:hAnsi="Times New Roman" w:cs="Times New Roman"/>
        </w:rPr>
        <w:t>informacyjnymi</w:t>
      </w:r>
      <w:r w:rsidR="00EB7FEA">
        <w:rPr>
          <w:rFonts w:ascii="Times New Roman" w:hAnsi="Times New Roman" w:cs="Times New Roman"/>
        </w:rPr>
        <w:t xml:space="preserve"> </w:t>
      </w:r>
      <w:r w:rsidRPr="00215A1D">
        <w:rPr>
          <w:rFonts w:ascii="Times New Roman" w:hAnsi="Times New Roman" w:cs="Times New Roman"/>
        </w:rPr>
        <w:t xml:space="preserve">kluczowych użytkowników systemu elektroenergetycznego. </w:t>
      </w:r>
    </w:p>
    <w:p w14:paraId="28416DFC" w14:textId="4B3E8BE7" w:rsidR="00EE6A04" w:rsidRPr="00215A1D" w:rsidRDefault="00930817" w:rsidP="00215A1D">
      <w:pPr>
        <w:pStyle w:val="ARTartustawynprozporzdzenia"/>
        <w:spacing w:before="0"/>
        <w:ind w:firstLine="0"/>
        <w:rPr>
          <w:rFonts w:ascii="Times New Roman" w:hAnsi="Times New Roman" w:cs="Times New Roman"/>
        </w:rPr>
      </w:pPr>
      <w:r w:rsidRPr="00215A1D">
        <w:rPr>
          <w:rFonts w:ascii="Times New Roman" w:hAnsi="Times New Roman" w:cs="Times New Roman"/>
        </w:rPr>
        <w:t xml:space="preserve">Należy jednocześnie podkreślić, że równolegle </w:t>
      </w:r>
      <w:r w:rsidR="001D0628">
        <w:rPr>
          <w:rFonts w:ascii="Times New Roman" w:hAnsi="Times New Roman" w:cs="Times New Roman"/>
        </w:rPr>
        <w:t>z </w:t>
      </w:r>
      <w:r w:rsidRPr="00215A1D">
        <w:rPr>
          <w:rFonts w:ascii="Times New Roman" w:hAnsi="Times New Roman" w:cs="Times New Roman"/>
        </w:rPr>
        <w:t xml:space="preserve">wdrożeniem CSIRE kluczowi użytkownicy systemu elektroenergetycznego muszą dokonać dostosowania swoich systemów </w:t>
      </w:r>
      <w:r w:rsidR="00B077B9">
        <w:rPr>
          <w:rFonts w:ascii="Times New Roman" w:hAnsi="Times New Roman" w:cs="Times New Roman"/>
        </w:rPr>
        <w:t>informacyjnych</w:t>
      </w:r>
      <w:r w:rsidR="00EB7FEA">
        <w:rPr>
          <w:rFonts w:ascii="Times New Roman" w:hAnsi="Times New Roman" w:cs="Times New Roman"/>
        </w:rPr>
        <w:t xml:space="preserve"> </w:t>
      </w:r>
      <w:r w:rsidRPr="00215A1D">
        <w:rPr>
          <w:rFonts w:ascii="Times New Roman" w:hAnsi="Times New Roman" w:cs="Times New Roman"/>
        </w:rPr>
        <w:t xml:space="preserve">do wymagań wynikających </w:t>
      </w:r>
      <w:r w:rsidR="001D0628">
        <w:rPr>
          <w:rFonts w:ascii="Times New Roman" w:hAnsi="Times New Roman" w:cs="Times New Roman"/>
        </w:rPr>
        <w:t>z </w:t>
      </w:r>
      <w:r w:rsidRPr="00215A1D">
        <w:rPr>
          <w:rFonts w:ascii="Times New Roman" w:hAnsi="Times New Roman" w:cs="Times New Roman"/>
        </w:rPr>
        <w:t>opracowanych</w:t>
      </w:r>
      <w:r w:rsidR="001D0628">
        <w:rPr>
          <w:rFonts w:ascii="Times New Roman" w:hAnsi="Times New Roman" w:cs="Times New Roman"/>
        </w:rPr>
        <w:t xml:space="preserve"> i </w:t>
      </w:r>
      <w:r w:rsidRPr="00215A1D">
        <w:rPr>
          <w:rFonts w:ascii="Times New Roman" w:hAnsi="Times New Roman" w:cs="Times New Roman"/>
        </w:rPr>
        <w:t>opublikowanych prze</w:t>
      </w:r>
      <w:r w:rsidR="001D0628">
        <w:rPr>
          <w:rFonts w:ascii="Times New Roman" w:hAnsi="Times New Roman" w:cs="Times New Roman"/>
        </w:rPr>
        <w:t>z </w:t>
      </w:r>
      <w:r w:rsidRPr="00215A1D">
        <w:rPr>
          <w:rFonts w:ascii="Times New Roman" w:hAnsi="Times New Roman" w:cs="Times New Roman"/>
        </w:rPr>
        <w:t>PSE S.A. standardów wymiany informacji rynku energii elektrycznej ora</w:t>
      </w:r>
      <w:r w:rsidR="001D0628">
        <w:rPr>
          <w:rFonts w:ascii="Times New Roman" w:hAnsi="Times New Roman" w:cs="Times New Roman"/>
        </w:rPr>
        <w:t>z </w:t>
      </w:r>
      <w:r w:rsidRPr="00215A1D">
        <w:rPr>
          <w:rFonts w:ascii="Times New Roman" w:hAnsi="Times New Roman" w:cs="Times New Roman"/>
        </w:rPr>
        <w:t>do wymagań technicznych związanych ze współprac</w:t>
      </w:r>
      <w:r w:rsidR="00071568">
        <w:rPr>
          <w:rFonts w:ascii="Times New Roman" w:hAnsi="Times New Roman" w:cs="Times New Roman"/>
        </w:rPr>
        <w:t>ą</w:t>
      </w:r>
      <w:r w:rsidRPr="00215A1D">
        <w:rPr>
          <w:rFonts w:ascii="Times New Roman" w:hAnsi="Times New Roman" w:cs="Times New Roman"/>
        </w:rPr>
        <w:t xml:space="preserve"> tych systemów </w:t>
      </w:r>
      <w:r w:rsidR="00B077B9">
        <w:rPr>
          <w:rFonts w:ascii="Times New Roman" w:hAnsi="Times New Roman" w:cs="Times New Roman"/>
        </w:rPr>
        <w:t>informacyjnych</w:t>
      </w:r>
      <w:r w:rsidR="00EB7FEA">
        <w:rPr>
          <w:rFonts w:ascii="Times New Roman" w:hAnsi="Times New Roman" w:cs="Times New Roman"/>
        </w:rPr>
        <w:t xml:space="preserve"> </w:t>
      </w:r>
      <w:r w:rsidR="001D0628">
        <w:rPr>
          <w:rFonts w:ascii="Times New Roman" w:hAnsi="Times New Roman" w:cs="Times New Roman"/>
        </w:rPr>
        <w:t>z </w:t>
      </w:r>
      <w:r w:rsidRPr="00215A1D">
        <w:rPr>
          <w:rFonts w:ascii="Times New Roman" w:hAnsi="Times New Roman" w:cs="Times New Roman"/>
        </w:rPr>
        <w:t xml:space="preserve">CSIRE. </w:t>
      </w:r>
    </w:p>
    <w:p w14:paraId="7125351C" w14:textId="26CA7AB1" w:rsidR="00AF1196" w:rsidRPr="00215A1D" w:rsidRDefault="00630A72" w:rsidP="00215A1D">
      <w:pPr>
        <w:pStyle w:val="ARTartustawynprozporzdzenia"/>
        <w:spacing w:before="0"/>
        <w:ind w:firstLine="0"/>
        <w:rPr>
          <w:rFonts w:ascii="Times New Roman" w:hAnsi="Times New Roman" w:cs="Times New Roman"/>
        </w:rPr>
      </w:pPr>
      <w:r w:rsidRPr="00215A1D">
        <w:rPr>
          <w:rFonts w:ascii="Times New Roman" w:hAnsi="Times New Roman" w:cs="Times New Roman"/>
        </w:rPr>
        <w:t>Ocenia się, że mimo planowanego</w:t>
      </w:r>
      <w:r w:rsidR="00BE7549">
        <w:rPr>
          <w:rFonts w:ascii="Times New Roman" w:hAnsi="Times New Roman" w:cs="Times New Roman"/>
        </w:rPr>
        <w:t xml:space="preserve"> </w:t>
      </w:r>
      <w:r w:rsidRPr="00215A1D">
        <w:rPr>
          <w:rFonts w:ascii="Times New Roman" w:hAnsi="Times New Roman" w:cs="Times New Roman"/>
        </w:rPr>
        <w:t>zrealizowania części prac koncepcyjnych przed wejściem w życie ustawy</w:t>
      </w:r>
      <w:r w:rsidR="00EB7FEA">
        <w:rPr>
          <w:rFonts w:ascii="Times New Roman" w:hAnsi="Times New Roman" w:cs="Times New Roman"/>
        </w:rPr>
        <w:t xml:space="preserve"> (</w:t>
      </w:r>
      <w:r w:rsidR="00BD1376" w:rsidRPr="00215A1D">
        <w:rPr>
          <w:rFonts w:ascii="Times New Roman" w:hAnsi="Times New Roman" w:cs="Times New Roman"/>
        </w:rPr>
        <w:t xml:space="preserve">m.in. </w:t>
      </w:r>
      <w:r w:rsidRPr="00215A1D">
        <w:rPr>
          <w:rFonts w:ascii="Times New Roman" w:hAnsi="Times New Roman" w:cs="Times New Roman"/>
        </w:rPr>
        <w:t>w oparciu o opracowane prze</w:t>
      </w:r>
      <w:r w:rsidR="001D0628">
        <w:rPr>
          <w:rFonts w:ascii="Times New Roman" w:hAnsi="Times New Roman" w:cs="Times New Roman"/>
        </w:rPr>
        <w:t>z </w:t>
      </w:r>
      <w:r w:rsidRPr="00215A1D">
        <w:rPr>
          <w:rFonts w:ascii="Times New Roman" w:hAnsi="Times New Roman" w:cs="Times New Roman"/>
        </w:rPr>
        <w:t>PTPiREE w ubiegłych latach standardy wymiany informacji (</w:t>
      </w:r>
      <w:hyperlink r:id="rId15" w:history="1">
        <w:r w:rsidRPr="00215A1D">
          <w:rPr>
            <w:rStyle w:val="Hipercze"/>
            <w:rFonts w:ascii="Times New Roman" w:hAnsi="Times New Roman" w:cs="Times New Roman"/>
          </w:rPr>
          <w:t>http://www.cswi.ptpiree.pl/aktualnosci</w:t>
        </w:r>
      </w:hyperlink>
      <w:r w:rsidRPr="00215A1D">
        <w:rPr>
          <w:rFonts w:ascii="Times New Roman" w:hAnsi="Times New Roman" w:cs="Times New Roman"/>
        </w:rPr>
        <w:t>)</w:t>
      </w:r>
      <w:r w:rsidR="00EB7FEA">
        <w:rPr>
          <w:rFonts w:ascii="Times New Roman" w:hAnsi="Times New Roman" w:cs="Times New Roman"/>
        </w:rPr>
        <w:t>)</w:t>
      </w:r>
      <w:r w:rsidR="00BD1376" w:rsidRPr="00215A1D">
        <w:rPr>
          <w:rFonts w:ascii="Times New Roman" w:hAnsi="Times New Roman" w:cs="Times New Roman"/>
        </w:rPr>
        <w:t xml:space="preserve"> minimalny czas na zapewnienie funkcjonowania CSIRE</w:t>
      </w:r>
      <w:r w:rsidR="001D0628">
        <w:rPr>
          <w:rFonts w:ascii="Times New Roman" w:hAnsi="Times New Roman" w:cs="Times New Roman"/>
        </w:rPr>
        <w:t xml:space="preserve"> i </w:t>
      </w:r>
      <w:r w:rsidR="00BD1376" w:rsidRPr="00215A1D">
        <w:rPr>
          <w:rFonts w:ascii="Times New Roman" w:hAnsi="Times New Roman" w:cs="Times New Roman"/>
        </w:rPr>
        <w:t xml:space="preserve">współpracujących systemów </w:t>
      </w:r>
      <w:r w:rsidR="00B077B9">
        <w:rPr>
          <w:rFonts w:ascii="Times New Roman" w:hAnsi="Times New Roman" w:cs="Times New Roman"/>
        </w:rPr>
        <w:t>informacyjnych</w:t>
      </w:r>
      <w:r w:rsidR="00BE7549">
        <w:rPr>
          <w:rFonts w:ascii="Times New Roman" w:hAnsi="Times New Roman" w:cs="Times New Roman"/>
        </w:rPr>
        <w:t xml:space="preserve"> </w:t>
      </w:r>
      <w:r w:rsidR="00BD1376" w:rsidRPr="00215A1D">
        <w:rPr>
          <w:rFonts w:ascii="Times New Roman" w:hAnsi="Times New Roman" w:cs="Times New Roman"/>
        </w:rPr>
        <w:t xml:space="preserve">użytkowników systemu to 36 miesięcy. </w:t>
      </w:r>
    </w:p>
    <w:p w14:paraId="3B7367D6" w14:textId="77777777" w:rsidR="000C0060" w:rsidRPr="00215A1D" w:rsidRDefault="000C0060" w:rsidP="00215A1D">
      <w:pPr>
        <w:pStyle w:val="ARTartustawynprozporzdzenia"/>
        <w:spacing w:before="0"/>
        <w:ind w:firstLine="0"/>
        <w:rPr>
          <w:rFonts w:ascii="Times New Roman" w:hAnsi="Times New Roman" w:cs="Times New Roman"/>
        </w:rPr>
      </w:pPr>
    </w:p>
    <w:p w14:paraId="55634F89" w14:textId="3989F8EE" w:rsidR="00580688" w:rsidRDefault="00D24A41" w:rsidP="00215A1D">
      <w:pPr>
        <w:pStyle w:val="ARTartustawynprozporzdzenia"/>
        <w:spacing w:before="0"/>
        <w:ind w:firstLine="0"/>
        <w:rPr>
          <w:rFonts w:ascii="Times New Roman" w:hAnsi="Times New Roman" w:cs="Times New Roman"/>
        </w:rPr>
      </w:pPr>
      <w:r>
        <w:rPr>
          <w:rFonts w:ascii="Times New Roman" w:hAnsi="Times New Roman" w:cs="Times New Roman"/>
        </w:rPr>
        <w:t>Ad 1</w:t>
      </w:r>
      <w:r w:rsidR="00962958">
        <w:rPr>
          <w:rFonts w:ascii="Times New Roman" w:hAnsi="Times New Roman" w:cs="Times New Roman"/>
        </w:rPr>
        <w:t>7</w:t>
      </w:r>
      <w:r w:rsidR="000C0060" w:rsidRPr="00215A1D">
        <w:rPr>
          <w:rFonts w:ascii="Times New Roman" w:hAnsi="Times New Roman" w:cs="Times New Roman"/>
        </w:rPr>
        <w:t xml:space="preserve">. </w:t>
      </w:r>
    </w:p>
    <w:p w14:paraId="3C0FA724" w14:textId="7D1F9E65" w:rsidR="000C0060" w:rsidRPr="00215A1D" w:rsidRDefault="00580688" w:rsidP="00EB2609">
      <w:pPr>
        <w:pStyle w:val="ARTartustawynprozporzdzenia"/>
        <w:spacing w:before="0"/>
        <w:ind w:firstLin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W projektowanym art. 32b ustaw</w:t>
      </w:r>
      <w:r w:rsidR="00BE7549">
        <w:rPr>
          <w:rFonts w:ascii="Times New Roman" w:hAnsi="Times New Roman" w:cs="Times New Roman"/>
        </w:rPr>
        <w:t xml:space="preserve">y </w:t>
      </w:r>
      <w:r w:rsidR="00071568">
        <w:rPr>
          <w:rFonts w:ascii="Times New Roman" w:hAnsi="Times New Roman" w:cs="Times New Roman"/>
        </w:rPr>
        <w:t>–</w:t>
      </w:r>
      <w:r w:rsidR="00BE7549">
        <w:rPr>
          <w:rFonts w:ascii="Times New Roman" w:hAnsi="Times New Roman" w:cs="Times New Roman"/>
        </w:rPr>
        <w:t xml:space="preserve"> Prawo energetyczne </w:t>
      </w:r>
      <w:r w:rsidR="00EB7FEA">
        <w:rPr>
          <w:rFonts w:ascii="Times New Roman" w:hAnsi="Times New Roman" w:cs="Times New Roman"/>
        </w:rPr>
        <w:t>(określając</w:t>
      </w:r>
      <w:r w:rsidR="00BE7549">
        <w:rPr>
          <w:rFonts w:ascii="Times New Roman" w:hAnsi="Times New Roman" w:cs="Times New Roman"/>
        </w:rPr>
        <w:t>y</w:t>
      </w:r>
      <w:r w:rsidR="00EB7FEA">
        <w:rPr>
          <w:rFonts w:ascii="Times New Roman" w:hAnsi="Times New Roman" w:cs="Times New Roman"/>
        </w:rPr>
        <w:t>m przypadki</w:t>
      </w:r>
      <w:r w:rsidR="00071568">
        <w:rPr>
          <w:rFonts w:ascii="Times New Roman" w:hAnsi="Times New Roman" w:cs="Times New Roman"/>
        </w:rPr>
        <w:t>,</w:t>
      </w:r>
      <w:r w:rsidR="00EB7FEA">
        <w:rPr>
          <w:rFonts w:ascii="Times New Roman" w:hAnsi="Times New Roman" w:cs="Times New Roman"/>
        </w:rPr>
        <w:t xml:space="preserve"> w jakich nie jest możliwe dokonanie wpisu  danego podmiotu do rejestru podmiotów przywożących)</w:t>
      </w:r>
      <w:r w:rsidR="000C0060" w:rsidRPr="00215A1D">
        <w:rPr>
          <w:rFonts w:ascii="Times New Roman" w:hAnsi="Times New Roman" w:cs="Times New Roman"/>
        </w:rPr>
        <w:t xml:space="preserve">, w ust. 1 pkt 1 wprowadza się pojęcie „przestępstwo mające związek </w:t>
      </w:r>
      <w:r w:rsidR="001D0628">
        <w:rPr>
          <w:rFonts w:ascii="Times New Roman" w:hAnsi="Times New Roman" w:cs="Times New Roman"/>
        </w:rPr>
        <w:t>z </w:t>
      </w:r>
      <w:r w:rsidR="000C0060" w:rsidRPr="00215A1D">
        <w:rPr>
          <w:rFonts w:ascii="Times New Roman" w:hAnsi="Times New Roman" w:cs="Times New Roman"/>
        </w:rPr>
        <w:t xml:space="preserve">prowadzoną działalnością gospodarczą”, które jest zakresowo szersze niż ustawowe pojęcie „przestępstwo mające związek </w:t>
      </w:r>
      <w:r w:rsidR="001D0628">
        <w:rPr>
          <w:rFonts w:ascii="Times New Roman" w:hAnsi="Times New Roman" w:cs="Times New Roman"/>
        </w:rPr>
        <w:t>z </w:t>
      </w:r>
      <w:r w:rsidR="000C0060" w:rsidRPr="00215A1D">
        <w:rPr>
          <w:rFonts w:ascii="Times New Roman" w:hAnsi="Times New Roman" w:cs="Times New Roman"/>
        </w:rPr>
        <w:t xml:space="preserve">przedmiotem działalności gospodarczej określonej ustawą”, w którym zawierają się przestępstwa mające związek </w:t>
      </w:r>
      <w:r w:rsidR="001D0628">
        <w:rPr>
          <w:rFonts w:ascii="Times New Roman" w:hAnsi="Times New Roman" w:cs="Times New Roman"/>
        </w:rPr>
        <w:t>z </w:t>
      </w:r>
      <w:r w:rsidR="000C0060" w:rsidRPr="00215A1D">
        <w:rPr>
          <w:rFonts w:ascii="Times New Roman" w:hAnsi="Times New Roman" w:cs="Times New Roman"/>
        </w:rPr>
        <w:t>prowadzoną działalnością gospodarczą w zakresie wytwarzania, przetwarzania, magazynowania, przesyłania, dystrybucji paliw albo energii lub obrotu nimi albo przesyłania dwutlenku węgla</w:t>
      </w:r>
      <w:r w:rsidR="00EB7FEA">
        <w:rPr>
          <w:rFonts w:ascii="Times New Roman" w:hAnsi="Times New Roman" w:cs="Times New Roman"/>
        </w:rPr>
        <w:t xml:space="preserve">. </w:t>
      </w:r>
      <w:r w:rsidR="000C0060" w:rsidRPr="00215A1D">
        <w:rPr>
          <w:rFonts w:ascii="Times New Roman" w:hAnsi="Times New Roman" w:cs="Times New Roman"/>
        </w:rPr>
        <w:t>Natomiast w projektowanym art. 32b ust. 2 rozciąga się wymogi określone w ust. 1 pkt 1 na osoby uprawnione do reprezentowania wnioskodawców we wskazanych w przepisie przypadkach.</w:t>
      </w:r>
    </w:p>
    <w:p w14:paraId="7454DCA7" w14:textId="4B8931F8" w:rsidR="000C0060"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Zmiana ma celu zaostrzenie wymogów, jakie musi spełniać podmiot składający wniosek o wpis do rejestru podmiotów przywożących, co powinno sprzyjać ograniczeniu udziału nieuczciwych podmiotów w</w:t>
      </w:r>
      <w:r w:rsidR="00EB7FEA">
        <w:rPr>
          <w:rFonts w:ascii="Times New Roman" w:hAnsi="Times New Roman" w:cs="Times New Roman"/>
        </w:rPr>
        <w:t xml:space="preserve"> </w:t>
      </w:r>
      <w:r w:rsidR="000C0060" w:rsidRPr="00215A1D">
        <w:rPr>
          <w:rFonts w:ascii="Times New Roman" w:hAnsi="Times New Roman" w:cs="Times New Roman"/>
        </w:rPr>
        <w:t>obszarze przywozu paliw ciekłych</w:t>
      </w:r>
      <w:r w:rsidR="00AD6598">
        <w:rPr>
          <w:rFonts w:ascii="Times New Roman" w:hAnsi="Times New Roman" w:cs="Times New Roman"/>
        </w:rPr>
        <w:t>.</w:t>
      </w:r>
      <w:r w:rsidR="00BE7549">
        <w:rPr>
          <w:rFonts w:ascii="Times New Roman" w:hAnsi="Times New Roman" w:cs="Times New Roman"/>
        </w:rPr>
        <w:t xml:space="preserve"> </w:t>
      </w:r>
      <w:r w:rsidR="000C0060" w:rsidRPr="00215A1D">
        <w:rPr>
          <w:rFonts w:ascii="Times New Roman" w:hAnsi="Times New Roman" w:cs="Times New Roman"/>
        </w:rPr>
        <w:t xml:space="preserve">W konsekwencji </w:t>
      </w:r>
      <w:r w:rsidR="000C0060" w:rsidRPr="00215A1D">
        <w:rPr>
          <w:rFonts w:ascii="Times New Roman" w:hAnsi="Times New Roman" w:cs="Times New Roman"/>
        </w:rPr>
        <w:lastRenderedPageBreak/>
        <w:t>zmiana może wpłynąć pozytywnie na ograniczanie nieprawidłowości na rynku paliw ciekłych</w:t>
      </w:r>
      <w:r w:rsidR="00EB7FEA">
        <w:rPr>
          <w:rFonts w:ascii="Times New Roman" w:hAnsi="Times New Roman" w:cs="Times New Roman"/>
        </w:rPr>
        <w:t xml:space="preserve"> </w:t>
      </w:r>
      <w:r w:rsidR="000C0060" w:rsidRPr="00215A1D">
        <w:rPr>
          <w:rFonts w:ascii="Times New Roman" w:hAnsi="Times New Roman" w:cs="Times New Roman"/>
        </w:rPr>
        <w:t>ora</w:t>
      </w:r>
      <w:r w:rsidR="001D0628">
        <w:rPr>
          <w:rFonts w:ascii="Times New Roman" w:hAnsi="Times New Roman" w:cs="Times New Roman"/>
        </w:rPr>
        <w:t>z </w:t>
      </w:r>
      <w:r w:rsidR="000C0060" w:rsidRPr="00215A1D">
        <w:rPr>
          <w:rFonts w:ascii="Times New Roman" w:hAnsi="Times New Roman" w:cs="Times New Roman"/>
        </w:rPr>
        <w:t>wzmocnić uczciwą konkurencję podmiotów gospodarczych.</w:t>
      </w:r>
    </w:p>
    <w:p w14:paraId="76A1F7BD" w14:textId="410C8406" w:rsidR="000C0060"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Prze</w:t>
      </w:r>
      <w:r w:rsidR="001D0628">
        <w:rPr>
          <w:rFonts w:ascii="Times New Roman" w:hAnsi="Times New Roman" w:cs="Times New Roman"/>
        </w:rPr>
        <w:t>z </w:t>
      </w:r>
      <w:r w:rsidR="000C0060" w:rsidRPr="00215A1D">
        <w:rPr>
          <w:rFonts w:ascii="Times New Roman" w:hAnsi="Times New Roman" w:cs="Times New Roman"/>
        </w:rPr>
        <w:t xml:space="preserve">uchylenie przepisu art. 32c ust. 6 Prezes URE będzie uprawniony do merytorycznej oceny wniosku o wpis do rejestru do podmiotów przywożących. Ma to zapobiegać zidentyfikowanemu problemowi wpisywania do tego rejestru podmiotów, które prawdopodobnie nie są podmiotami przywożącymi (np. przewoźnicy), a wniosek złożyły </w:t>
      </w:r>
      <w:r w:rsidR="001D0628">
        <w:rPr>
          <w:rFonts w:ascii="Times New Roman" w:hAnsi="Times New Roman" w:cs="Times New Roman"/>
        </w:rPr>
        <w:t>z </w:t>
      </w:r>
      <w:r w:rsidR="000C0060" w:rsidRPr="00215A1D">
        <w:rPr>
          <w:rFonts w:ascii="Times New Roman" w:hAnsi="Times New Roman" w:cs="Times New Roman"/>
        </w:rPr>
        <w:t>ostrożności lub braku zrozumienia przepisów. Przepis ten powinien równocześnie poprawić jakość sprawozdawczości na podstawie art. 43d</w:t>
      </w:r>
      <w:r w:rsidR="001D0628">
        <w:rPr>
          <w:rFonts w:ascii="Times New Roman" w:hAnsi="Times New Roman" w:cs="Times New Roman"/>
        </w:rPr>
        <w:t xml:space="preserve"> i</w:t>
      </w:r>
      <w:r w:rsidR="00EB7FEA">
        <w:rPr>
          <w:rFonts w:ascii="Times New Roman" w:hAnsi="Times New Roman" w:cs="Times New Roman"/>
        </w:rPr>
        <w:t xml:space="preserve"> art.</w:t>
      </w:r>
      <w:r w:rsidR="001D0628">
        <w:rPr>
          <w:rFonts w:ascii="Times New Roman" w:hAnsi="Times New Roman" w:cs="Times New Roman"/>
        </w:rPr>
        <w:t> </w:t>
      </w:r>
      <w:r w:rsidR="000C0060" w:rsidRPr="00215A1D">
        <w:rPr>
          <w:rFonts w:ascii="Times New Roman" w:hAnsi="Times New Roman" w:cs="Times New Roman"/>
        </w:rPr>
        <w:t xml:space="preserve">43e ustawy. Ponadto, w związku </w:t>
      </w:r>
      <w:r w:rsidR="001D0628">
        <w:rPr>
          <w:rFonts w:ascii="Times New Roman" w:hAnsi="Times New Roman" w:cs="Times New Roman"/>
        </w:rPr>
        <w:t>z </w:t>
      </w:r>
      <w:r w:rsidR="000C0060" w:rsidRPr="00215A1D">
        <w:rPr>
          <w:rFonts w:ascii="Times New Roman" w:hAnsi="Times New Roman" w:cs="Times New Roman"/>
        </w:rPr>
        <w:t>możliwością przeprowadzenia postępowania dowodowego w zakresie wpisu do rejestru, należy zmienić obecny termin 7 dni na dokonanie wpisu prze</w:t>
      </w:r>
      <w:r w:rsidR="001D0628">
        <w:rPr>
          <w:rFonts w:ascii="Times New Roman" w:hAnsi="Times New Roman" w:cs="Times New Roman"/>
        </w:rPr>
        <w:t>z </w:t>
      </w:r>
      <w:r w:rsidR="000C0060" w:rsidRPr="00215A1D">
        <w:rPr>
          <w:rFonts w:ascii="Times New Roman" w:hAnsi="Times New Roman" w:cs="Times New Roman"/>
        </w:rPr>
        <w:t xml:space="preserve">Prezesa URE. W tym zakresie obowiązywać będą terminy wskazane na załatwienie sprawy </w:t>
      </w:r>
      <w:r w:rsidR="001D0628">
        <w:rPr>
          <w:rFonts w:ascii="Times New Roman" w:hAnsi="Times New Roman" w:cs="Times New Roman"/>
        </w:rPr>
        <w:t>z </w:t>
      </w:r>
      <w:r w:rsidR="000C0060" w:rsidRPr="00215A1D">
        <w:rPr>
          <w:rFonts w:ascii="Times New Roman" w:hAnsi="Times New Roman" w:cs="Times New Roman"/>
        </w:rPr>
        <w:t xml:space="preserve">art. 35 k.p.a. </w:t>
      </w:r>
    </w:p>
    <w:p w14:paraId="3EA9FE47" w14:textId="24DC6D0B" w:rsidR="000C0060"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 xml:space="preserve">Kolejna zmiana, która obejmuje rejestr podmiotów przywożących, dotyczy art. 32d ust. 3. Proponuje się w niej, aby Prezes URE mógł </w:t>
      </w:r>
      <w:r w:rsidR="001D0628">
        <w:rPr>
          <w:rFonts w:ascii="Times New Roman" w:hAnsi="Times New Roman" w:cs="Times New Roman"/>
        </w:rPr>
        <w:t>z </w:t>
      </w:r>
      <w:r w:rsidR="000C0060" w:rsidRPr="00215A1D">
        <w:rPr>
          <w:rFonts w:ascii="Times New Roman" w:hAnsi="Times New Roman" w:cs="Times New Roman"/>
        </w:rPr>
        <w:t xml:space="preserve">urzędu wykreślić podmiot </w:t>
      </w:r>
      <w:r w:rsidR="001D0628">
        <w:rPr>
          <w:rFonts w:ascii="Times New Roman" w:hAnsi="Times New Roman" w:cs="Times New Roman"/>
        </w:rPr>
        <w:t>z </w:t>
      </w:r>
      <w:r w:rsidR="000C0060" w:rsidRPr="00215A1D">
        <w:rPr>
          <w:rFonts w:ascii="Times New Roman" w:hAnsi="Times New Roman" w:cs="Times New Roman"/>
        </w:rPr>
        <w:t xml:space="preserve">rejestru w przypadku ignorowania ustawowego obowiązku składania sprawozdań, o których mowa w art. 43d ustawy. Brak realizacji tego obowiązku może wynikać zarówno </w:t>
      </w:r>
      <w:r w:rsidR="001D0628">
        <w:rPr>
          <w:rFonts w:ascii="Times New Roman" w:hAnsi="Times New Roman" w:cs="Times New Roman"/>
        </w:rPr>
        <w:t>z </w:t>
      </w:r>
      <w:r w:rsidR="000C0060" w:rsidRPr="00215A1D">
        <w:rPr>
          <w:rFonts w:ascii="Times New Roman" w:hAnsi="Times New Roman" w:cs="Times New Roman"/>
        </w:rPr>
        <w:t>niewystarczająco wysokiej sankcji pieniężnej, jak</w:t>
      </w:r>
      <w:r w:rsidR="001D0628">
        <w:rPr>
          <w:rFonts w:ascii="Times New Roman" w:hAnsi="Times New Roman" w:cs="Times New Roman"/>
        </w:rPr>
        <w:t xml:space="preserve"> i z </w:t>
      </w:r>
      <w:r w:rsidR="000C0060" w:rsidRPr="00215A1D">
        <w:rPr>
          <w:rFonts w:ascii="Times New Roman" w:hAnsi="Times New Roman" w:cs="Times New Roman"/>
        </w:rPr>
        <w:t xml:space="preserve">trudnością </w:t>
      </w:r>
      <w:r w:rsidR="001D0628">
        <w:rPr>
          <w:rFonts w:ascii="Times New Roman" w:hAnsi="Times New Roman" w:cs="Times New Roman"/>
        </w:rPr>
        <w:t>z </w:t>
      </w:r>
      <w:r w:rsidR="000C0060" w:rsidRPr="00215A1D">
        <w:rPr>
          <w:rFonts w:ascii="Times New Roman" w:hAnsi="Times New Roman" w:cs="Times New Roman"/>
        </w:rPr>
        <w:t xml:space="preserve">jego wyegzekwowaniem w przypadku przedsiębiorstw </w:t>
      </w:r>
      <w:r w:rsidR="001D0628">
        <w:rPr>
          <w:rFonts w:ascii="Times New Roman" w:hAnsi="Times New Roman" w:cs="Times New Roman"/>
        </w:rPr>
        <w:t>z </w:t>
      </w:r>
      <w:r w:rsidR="000C0060" w:rsidRPr="00215A1D">
        <w:rPr>
          <w:rFonts w:ascii="Times New Roman" w:hAnsi="Times New Roman" w:cs="Times New Roman"/>
        </w:rPr>
        <w:t xml:space="preserve">siedziba poza terytorium RP. Przedsiębiorstwa te, nie składając sprawozdań, jednocześnie uniemożliwiają Prezesowi URE realizację dyspozycji art. 32d ust. 3 ustawy nakazującej mu wykreślenie </w:t>
      </w:r>
      <w:r w:rsidR="001D0628">
        <w:rPr>
          <w:rFonts w:ascii="Times New Roman" w:hAnsi="Times New Roman" w:cs="Times New Roman"/>
        </w:rPr>
        <w:t>z </w:t>
      </w:r>
      <w:r w:rsidR="000C0060" w:rsidRPr="00215A1D">
        <w:rPr>
          <w:rFonts w:ascii="Times New Roman" w:hAnsi="Times New Roman" w:cs="Times New Roman"/>
        </w:rPr>
        <w:t>rejestru podmiotów przywożących podmiotów, które prze</w:t>
      </w:r>
      <w:r w:rsidR="001D0628">
        <w:rPr>
          <w:rFonts w:ascii="Times New Roman" w:hAnsi="Times New Roman" w:cs="Times New Roman"/>
        </w:rPr>
        <w:t>z </w:t>
      </w:r>
      <w:r w:rsidR="000C0060" w:rsidRPr="00215A1D">
        <w:rPr>
          <w:rFonts w:ascii="Times New Roman" w:hAnsi="Times New Roman" w:cs="Times New Roman"/>
        </w:rPr>
        <w:t xml:space="preserve">sześć kolejnych miesięcy nie dokonają przywozu paliw ciekłych. Projektowana regulacja pozwoli uporządkować rejestr podmiotów przywożących, eliminując podmioty, które </w:t>
      </w:r>
      <w:r w:rsidR="001D0628">
        <w:rPr>
          <w:rFonts w:ascii="Times New Roman" w:hAnsi="Times New Roman" w:cs="Times New Roman"/>
        </w:rPr>
        <w:t>z </w:t>
      </w:r>
      <w:r w:rsidR="000C0060" w:rsidRPr="00215A1D">
        <w:rPr>
          <w:rFonts w:ascii="Times New Roman" w:hAnsi="Times New Roman" w:cs="Times New Roman"/>
        </w:rPr>
        <w:t>różnych przyczyn ustawicznie naruszają obowiązek sprawozdawczy.</w:t>
      </w:r>
    </w:p>
    <w:p w14:paraId="1A8CC3EF" w14:textId="6DD4362A" w:rsidR="000C0060"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 xml:space="preserve">Projektowana zmiana w art. 33 ust. 3 pkt 7 pozostaje w związku </w:t>
      </w:r>
      <w:r w:rsidR="001D0628">
        <w:rPr>
          <w:rFonts w:ascii="Times New Roman" w:hAnsi="Times New Roman" w:cs="Times New Roman"/>
        </w:rPr>
        <w:t>z </w:t>
      </w:r>
      <w:r w:rsidR="000C0060" w:rsidRPr="00215A1D">
        <w:rPr>
          <w:rFonts w:ascii="Times New Roman" w:hAnsi="Times New Roman" w:cs="Times New Roman"/>
        </w:rPr>
        <w:t xml:space="preserve">projektowanym art. 32b ust. 1 pkt 1 ustawy. Analogicznie wprowadza w przepisie pojęcie „przestępstwo mające związek </w:t>
      </w:r>
      <w:r w:rsidR="001D0628">
        <w:rPr>
          <w:rFonts w:ascii="Times New Roman" w:hAnsi="Times New Roman" w:cs="Times New Roman"/>
        </w:rPr>
        <w:t>z </w:t>
      </w:r>
      <w:r w:rsidR="000C0060" w:rsidRPr="00215A1D">
        <w:rPr>
          <w:rFonts w:ascii="Times New Roman" w:hAnsi="Times New Roman" w:cs="Times New Roman"/>
        </w:rPr>
        <w:t>prowadzoną działalnością gospodarczą.</w:t>
      </w:r>
      <w:r w:rsidR="00071568">
        <w:rPr>
          <w:rFonts w:ascii="Times New Roman" w:hAnsi="Times New Roman" w:cs="Times New Roman"/>
        </w:rPr>
        <w:t xml:space="preserve"> </w:t>
      </w:r>
      <w:r w:rsidR="000C0060" w:rsidRPr="00215A1D">
        <w:rPr>
          <w:rFonts w:ascii="Times New Roman" w:hAnsi="Times New Roman" w:cs="Times New Roman"/>
        </w:rPr>
        <w:t>Przepis ten dotyczyć będzie koncesji na wykonywanie działalności gospodarczej w zakresie paliw ciekłych</w:t>
      </w:r>
      <w:r w:rsidR="001D0628">
        <w:rPr>
          <w:rFonts w:ascii="Times New Roman" w:hAnsi="Times New Roman" w:cs="Times New Roman"/>
        </w:rPr>
        <w:t xml:space="preserve"> i </w:t>
      </w:r>
      <w:r w:rsidR="000C0060" w:rsidRPr="00215A1D">
        <w:rPr>
          <w:rFonts w:ascii="Times New Roman" w:hAnsi="Times New Roman" w:cs="Times New Roman"/>
        </w:rPr>
        <w:t>będzie miał charakter regulacji szczególnej w stosunku do art. 33 ust. 3 pkt 6. Regulacja ma na celu wzmocnienie kompetencji Prezesa URE jako regulatora rynku paliw ciekłych. Może wpłynąć pozytywnie na ograniczanie nieprawidłowości na tym rynku</w:t>
      </w:r>
      <w:r w:rsidR="001D0628">
        <w:rPr>
          <w:rFonts w:ascii="Times New Roman" w:hAnsi="Times New Roman" w:cs="Times New Roman"/>
        </w:rPr>
        <w:t xml:space="preserve"> i </w:t>
      </w:r>
      <w:r w:rsidR="000C0060" w:rsidRPr="00215A1D">
        <w:rPr>
          <w:rFonts w:ascii="Times New Roman" w:hAnsi="Times New Roman" w:cs="Times New Roman"/>
        </w:rPr>
        <w:t>wzmocnić uczciwą konkurencję podmiotów gospodarczych.</w:t>
      </w:r>
    </w:p>
    <w:p w14:paraId="0D0D159C" w14:textId="266F8ED4" w:rsidR="006569DD" w:rsidRDefault="00EF6F97" w:rsidP="00EB2609">
      <w:pPr>
        <w:pStyle w:val="ARTartustawynprozporzdzenia"/>
        <w:spacing w:before="0"/>
      </w:pPr>
      <w:r>
        <w:rPr>
          <w:rFonts w:ascii="Times New Roman" w:hAnsi="Times New Roman" w:cs="Times New Roman"/>
        </w:rPr>
        <w:tab/>
      </w:r>
      <w:r w:rsidR="000C0060" w:rsidRPr="00215A1D">
        <w:rPr>
          <w:rFonts w:ascii="Times New Roman" w:hAnsi="Times New Roman" w:cs="Times New Roman"/>
        </w:rPr>
        <w:t>Zaproponowane brzmienie przepisu art. 34 ust. 5 ustawy przewiduje doprecyzowanie, że ogólna kompetencja Prezesa URE do żądania od przedsiębiorstwa energetycznego, któremu została udzielona koncesja, informacji w sprawie opłaty koncesyjnej w zakresie podstaw ora</w:t>
      </w:r>
      <w:r w:rsidR="001D0628">
        <w:rPr>
          <w:rFonts w:ascii="Times New Roman" w:hAnsi="Times New Roman" w:cs="Times New Roman"/>
        </w:rPr>
        <w:t>z </w:t>
      </w:r>
      <w:r w:rsidR="000C0060" w:rsidRPr="00215A1D">
        <w:rPr>
          <w:rFonts w:ascii="Times New Roman" w:hAnsi="Times New Roman" w:cs="Times New Roman"/>
        </w:rPr>
        <w:t xml:space="preserve">prawidłowości jej obliczania, obejmuje także informację o operacjach </w:t>
      </w:r>
      <w:r w:rsidR="000C0060" w:rsidRPr="00215A1D">
        <w:rPr>
          <w:rFonts w:ascii="Times New Roman" w:hAnsi="Times New Roman" w:cs="Times New Roman"/>
        </w:rPr>
        <w:lastRenderedPageBreak/>
        <w:t>gospodarczych potwierdzających wysokość osiągniętego przychodu ora</w:t>
      </w:r>
      <w:r w:rsidR="001D0628">
        <w:rPr>
          <w:rFonts w:ascii="Times New Roman" w:hAnsi="Times New Roman" w:cs="Times New Roman"/>
        </w:rPr>
        <w:t>z </w:t>
      </w:r>
      <w:r w:rsidR="000C0060" w:rsidRPr="00215A1D">
        <w:rPr>
          <w:rFonts w:ascii="Times New Roman" w:hAnsi="Times New Roman" w:cs="Times New Roman"/>
        </w:rPr>
        <w:t xml:space="preserve">o wysokości przychodu </w:t>
      </w:r>
      <w:r w:rsidR="001D0628">
        <w:rPr>
          <w:rFonts w:ascii="Times New Roman" w:hAnsi="Times New Roman" w:cs="Times New Roman"/>
        </w:rPr>
        <w:t>z </w:t>
      </w:r>
      <w:r w:rsidR="000C0060" w:rsidRPr="00215A1D">
        <w:rPr>
          <w:rFonts w:ascii="Times New Roman" w:hAnsi="Times New Roman" w:cs="Times New Roman"/>
        </w:rPr>
        <w:t>działalności koncesjonowanej</w:t>
      </w:r>
      <w:r w:rsidR="00EB7FEA">
        <w:rPr>
          <w:rFonts w:ascii="Times New Roman" w:hAnsi="Times New Roman" w:cs="Times New Roman"/>
        </w:rPr>
        <w:t xml:space="preserve">. Zmiana </w:t>
      </w:r>
      <w:r w:rsidR="000C0060" w:rsidRPr="00215A1D">
        <w:t>art. 35</w:t>
      </w:r>
      <w:r w:rsidR="00DF0F91">
        <w:t xml:space="preserve"> ust. 2a</w:t>
      </w:r>
      <w:r w:rsidR="000C0060" w:rsidRPr="00215A1D">
        <w:t xml:space="preserve"> umożliwi Prezesowi URE, przed wydaniem decyzji w sprawie udzielenia </w:t>
      </w:r>
      <w:r w:rsidR="00DF0F91">
        <w:t xml:space="preserve">lub zmiany </w:t>
      </w:r>
      <w:r w:rsidR="000C0060" w:rsidRPr="00215A1D">
        <w:t>koncesji, wezwanie wnioskodawcy do uzupełnienia dokumentacji poświadczającej, że spełnia on warunki do wykonywania określonej działalności gospodarczej</w:t>
      </w:r>
      <w:r w:rsidR="00071568">
        <w:t>,</w:t>
      </w:r>
      <w:r w:rsidR="000C0060" w:rsidRPr="00215A1D">
        <w:t xml:space="preserve"> ora</w:t>
      </w:r>
      <w:r w:rsidR="001D0628">
        <w:t>z </w:t>
      </w:r>
      <w:r w:rsidR="000C0060" w:rsidRPr="00215A1D">
        <w:t>sprawdzenie faktów podanych we wniosku w celu stwierdzenia, czy przedsiębiorca spełnia warunki wykonywania działalności gospodarczej objętej koncesją</w:t>
      </w:r>
      <w:r w:rsidR="00150FEA">
        <w:t>,</w:t>
      </w:r>
      <w:r w:rsidR="000C0060" w:rsidRPr="00215A1D">
        <w:t xml:space="preserve"> </w:t>
      </w:r>
      <w:r w:rsidR="006569DD" w:rsidRPr="00107718">
        <w:t>w terminie nie krótszym niż 21</w:t>
      </w:r>
      <w:r w:rsidR="006569DD">
        <w:t xml:space="preserve"> </w:t>
      </w:r>
      <w:r w:rsidR="006569DD" w:rsidRPr="00107718">
        <w:t>dni od dnia doręczenia wezwania.</w:t>
      </w:r>
    </w:p>
    <w:p w14:paraId="4A02C3D5" w14:textId="77777777" w:rsidR="000C0060" w:rsidRPr="00215A1D" w:rsidRDefault="000C0060" w:rsidP="00215A1D">
      <w:pPr>
        <w:pStyle w:val="ARTartustawynprozporzdzenia"/>
        <w:spacing w:before="0"/>
        <w:rPr>
          <w:rFonts w:ascii="Times New Roman" w:hAnsi="Times New Roman" w:cs="Times New Roman"/>
        </w:rPr>
      </w:pPr>
    </w:p>
    <w:p w14:paraId="671FAB20" w14:textId="14E4AB80" w:rsidR="000C0060"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W dodanym art. 37a wprowadza się dodatkowe obowiązki informacyjne w przypadku zmian w strukturze kapitał</w:t>
      </w:r>
      <w:r w:rsidR="004D42B3">
        <w:rPr>
          <w:rFonts w:ascii="Times New Roman" w:hAnsi="Times New Roman" w:cs="Times New Roman"/>
        </w:rPr>
        <w:t>owej</w:t>
      </w:r>
      <w:r w:rsidR="000C0060" w:rsidRPr="00215A1D">
        <w:rPr>
          <w:rFonts w:ascii="Times New Roman" w:hAnsi="Times New Roman" w:cs="Times New Roman"/>
        </w:rPr>
        <w:t xml:space="preserve"> spółek prowadzących działalność w zakresie wytwarzania paliw ciekłych, obrotu paliwami ciekłymi ora</w:t>
      </w:r>
      <w:r w:rsidR="001D0628">
        <w:rPr>
          <w:rFonts w:ascii="Times New Roman" w:hAnsi="Times New Roman" w:cs="Times New Roman"/>
        </w:rPr>
        <w:t>z </w:t>
      </w:r>
      <w:r w:rsidR="000C0060" w:rsidRPr="00215A1D">
        <w:rPr>
          <w:rFonts w:ascii="Times New Roman" w:hAnsi="Times New Roman" w:cs="Times New Roman"/>
        </w:rPr>
        <w:t xml:space="preserve">obrotu paliwami ciekłymi </w:t>
      </w:r>
      <w:r w:rsidR="001D0628">
        <w:rPr>
          <w:rFonts w:ascii="Times New Roman" w:hAnsi="Times New Roman" w:cs="Times New Roman"/>
        </w:rPr>
        <w:t>z </w:t>
      </w:r>
      <w:r w:rsidR="000C0060" w:rsidRPr="00215A1D">
        <w:rPr>
          <w:rFonts w:ascii="Times New Roman" w:hAnsi="Times New Roman" w:cs="Times New Roman"/>
        </w:rPr>
        <w:t xml:space="preserve">zagranicą, które wzorowane są na rozwiązaniach przyjętych w ustawie </w:t>
      </w:r>
      <w:r w:rsidR="001D0628">
        <w:rPr>
          <w:rFonts w:ascii="Times New Roman" w:hAnsi="Times New Roman" w:cs="Times New Roman"/>
        </w:rPr>
        <w:t>z </w:t>
      </w:r>
      <w:r w:rsidR="000C0060" w:rsidRPr="00215A1D">
        <w:rPr>
          <w:rFonts w:ascii="Times New Roman" w:hAnsi="Times New Roman" w:cs="Times New Roman"/>
        </w:rPr>
        <w:t>dnia 19 listopada 2009</w:t>
      </w:r>
      <w:r w:rsidR="001D0628">
        <w:rPr>
          <w:rFonts w:ascii="Times New Roman" w:hAnsi="Times New Roman" w:cs="Times New Roman"/>
        </w:rPr>
        <w:t> r.</w:t>
      </w:r>
      <w:r w:rsidR="000C0060" w:rsidRPr="00215A1D">
        <w:rPr>
          <w:rFonts w:ascii="Times New Roman" w:hAnsi="Times New Roman" w:cs="Times New Roman"/>
        </w:rPr>
        <w:t xml:space="preserve"> o grach hazardowych. Celem tej regulacji jest ograniczenie zasygnalizowanych prze</w:t>
      </w:r>
      <w:r w:rsidR="001D0628">
        <w:rPr>
          <w:rFonts w:ascii="Times New Roman" w:hAnsi="Times New Roman" w:cs="Times New Roman"/>
        </w:rPr>
        <w:t>z </w:t>
      </w:r>
      <w:r w:rsidR="000C0060" w:rsidRPr="00215A1D">
        <w:rPr>
          <w:rFonts w:ascii="Times New Roman" w:hAnsi="Times New Roman" w:cs="Times New Roman"/>
        </w:rPr>
        <w:t>Prezesa URE negatywnych skutków, które niekiedy towarzyszą praktyce sprzedaży udziałów lub akcji przedsiębiorstw, którym została udzielone wymienione wyżej koncesje. Do skutków tych należą m.in. zaniedbywanie obowiązków informacyjnych, a niekiedy także realizacja prze</w:t>
      </w:r>
      <w:r w:rsidR="001D0628">
        <w:rPr>
          <w:rFonts w:ascii="Times New Roman" w:hAnsi="Times New Roman" w:cs="Times New Roman"/>
        </w:rPr>
        <w:t>z </w:t>
      </w:r>
      <w:r w:rsidR="000C0060" w:rsidRPr="00215A1D">
        <w:rPr>
          <w:rFonts w:ascii="Times New Roman" w:hAnsi="Times New Roman" w:cs="Times New Roman"/>
        </w:rPr>
        <w:t>te spółki działań w szarej strefie. Projektowana regulacja ma również doprowadzić do zwiększenia możliwości identyfikowania potencjalnych nieprawidłowości w działaniu spółek kapitałowych na rynku paliw ciekłych prze</w:t>
      </w:r>
      <w:r w:rsidR="001D0628">
        <w:rPr>
          <w:rFonts w:ascii="Times New Roman" w:hAnsi="Times New Roman" w:cs="Times New Roman"/>
        </w:rPr>
        <w:t>z </w:t>
      </w:r>
      <w:r w:rsidR="000C0060" w:rsidRPr="00215A1D">
        <w:rPr>
          <w:rFonts w:ascii="Times New Roman" w:hAnsi="Times New Roman" w:cs="Times New Roman"/>
        </w:rPr>
        <w:t>Prezesa URE</w:t>
      </w:r>
      <w:r w:rsidR="004D42B3">
        <w:rPr>
          <w:rFonts w:ascii="Times New Roman" w:hAnsi="Times New Roman" w:cs="Times New Roman"/>
        </w:rPr>
        <w:t>,</w:t>
      </w:r>
      <w:r w:rsidR="000C0060" w:rsidRPr="00215A1D">
        <w:rPr>
          <w:rFonts w:ascii="Times New Roman" w:hAnsi="Times New Roman" w:cs="Times New Roman"/>
        </w:rPr>
        <w:t xml:space="preserve"> jako organu sprawującemu nadzór nad tym rynkiem, zgodnie </w:t>
      </w:r>
      <w:r w:rsidR="001D0628">
        <w:rPr>
          <w:rFonts w:ascii="Times New Roman" w:hAnsi="Times New Roman" w:cs="Times New Roman"/>
        </w:rPr>
        <w:t>z </w:t>
      </w:r>
      <w:r w:rsidR="000C0060" w:rsidRPr="00215A1D">
        <w:rPr>
          <w:rFonts w:ascii="Times New Roman" w:hAnsi="Times New Roman" w:cs="Times New Roman"/>
        </w:rPr>
        <w:t>art. 23 ust. 1 ustawy. Ponadto regulacja ma na celu monitorowanie przekształceń własnościowych spółek w celu identyfikowania zjawiska faktyczne</w:t>
      </w:r>
      <w:r w:rsidR="004D42B3">
        <w:rPr>
          <w:rFonts w:ascii="Times New Roman" w:hAnsi="Times New Roman" w:cs="Times New Roman"/>
        </w:rPr>
        <w:t>go</w:t>
      </w:r>
      <w:r w:rsidR="000C0060" w:rsidRPr="00215A1D">
        <w:rPr>
          <w:rFonts w:ascii="Times New Roman" w:hAnsi="Times New Roman" w:cs="Times New Roman"/>
        </w:rPr>
        <w:t xml:space="preserve"> handlu koncesjami prze</w:t>
      </w:r>
      <w:r w:rsidR="001D0628">
        <w:rPr>
          <w:rFonts w:ascii="Times New Roman" w:hAnsi="Times New Roman" w:cs="Times New Roman"/>
        </w:rPr>
        <w:t>z </w:t>
      </w:r>
      <w:r w:rsidR="000C0060" w:rsidRPr="00215A1D">
        <w:rPr>
          <w:rFonts w:ascii="Times New Roman" w:hAnsi="Times New Roman" w:cs="Times New Roman"/>
        </w:rPr>
        <w:t>nabycie spółek posiadających już koncesję prze</w:t>
      </w:r>
      <w:r w:rsidR="001D0628">
        <w:rPr>
          <w:rFonts w:ascii="Times New Roman" w:hAnsi="Times New Roman" w:cs="Times New Roman"/>
        </w:rPr>
        <w:t>z </w:t>
      </w:r>
      <w:r w:rsidR="000C0060" w:rsidRPr="00215A1D">
        <w:rPr>
          <w:rFonts w:ascii="Times New Roman" w:hAnsi="Times New Roman" w:cs="Times New Roman"/>
        </w:rPr>
        <w:t>inne podmioty. Projekt wprowadza również przepisy karnoadministracyjne za naruszenie obowiązku sprawozdawczego (art. 56 ust. 1 pkt 53 ora</w:t>
      </w:r>
      <w:r w:rsidR="001D0628">
        <w:rPr>
          <w:rFonts w:ascii="Times New Roman" w:hAnsi="Times New Roman" w:cs="Times New Roman"/>
        </w:rPr>
        <w:t>z </w:t>
      </w:r>
      <w:r w:rsidR="000C0060" w:rsidRPr="00215A1D">
        <w:rPr>
          <w:rFonts w:ascii="Times New Roman" w:hAnsi="Times New Roman" w:cs="Times New Roman"/>
        </w:rPr>
        <w:t>art. 56 ust. 2</w:t>
      </w:r>
      <w:r w:rsidR="00071A48">
        <w:rPr>
          <w:rFonts w:ascii="Times New Roman" w:hAnsi="Times New Roman" w:cs="Times New Roman"/>
        </w:rPr>
        <w:t>h</w:t>
      </w:r>
      <w:r w:rsidR="000C0060" w:rsidRPr="00215A1D">
        <w:rPr>
          <w:rFonts w:ascii="Times New Roman" w:hAnsi="Times New Roman" w:cs="Times New Roman"/>
        </w:rPr>
        <w:t xml:space="preserve"> pkt 9).</w:t>
      </w:r>
    </w:p>
    <w:p w14:paraId="027FDD17" w14:textId="1FBFD04F" w:rsidR="000C0060"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 xml:space="preserve">W art. 41 ust. 4 pkt </w:t>
      </w:r>
      <w:r w:rsidR="00071A48">
        <w:rPr>
          <w:rFonts w:ascii="Times New Roman" w:hAnsi="Times New Roman" w:cs="Times New Roman"/>
        </w:rPr>
        <w:t>5 i 6</w:t>
      </w:r>
      <w:r w:rsidR="000C0060" w:rsidRPr="00215A1D">
        <w:rPr>
          <w:rFonts w:ascii="Times New Roman" w:hAnsi="Times New Roman" w:cs="Times New Roman"/>
        </w:rPr>
        <w:t xml:space="preserve"> uzupełniono przesłanki </w:t>
      </w:r>
      <w:r w:rsidR="00071A48">
        <w:rPr>
          <w:rFonts w:ascii="Times New Roman" w:hAnsi="Times New Roman" w:cs="Times New Roman"/>
        </w:rPr>
        <w:t xml:space="preserve">możliwości </w:t>
      </w:r>
      <w:r w:rsidR="000C0060" w:rsidRPr="00215A1D">
        <w:rPr>
          <w:rFonts w:ascii="Times New Roman" w:hAnsi="Times New Roman" w:cs="Times New Roman"/>
        </w:rPr>
        <w:t>cofnięcia koncesji</w:t>
      </w:r>
      <w:r w:rsidR="00071568">
        <w:rPr>
          <w:rFonts w:ascii="Times New Roman" w:hAnsi="Times New Roman" w:cs="Times New Roman"/>
        </w:rPr>
        <w:t>,</w:t>
      </w:r>
      <w:r w:rsidR="000C0060" w:rsidRPr="00215A1D">
        <w:rPr>
          <w:rFonts w:ascii="Times New Roman" w:hAnsi="Times New Roman" w:cs="Times New Roman"/>
        </w:rPr>
        <w:t xml:space="preserve"> które związane są </w:t>
      </w:r>
      <w:r w:rsidR="001D0628">
        <w:rPr>
          <w:rFonts w:ascii="Times New Roman" w:hAnsi="Times New Roman" w:cs="Times New Roman"/>
        </w:rPr>
        <w:t>z </w:t>
      </w:r>
      <w:r w:rsidR="000C0060" w:rsidRPr="00215A1D">
        <w:rPr>
          <w:rFonts w:ascii="Times New Roman" w:hAnsi="Times New Roman" w:cs="Times New Roman"/>
        </w:rPr>
        <w:t>nowymi zasadami składania zabezpieczenia majątkowego w projektowanym art. 38 ustawy – Prawo energetyczne.</w:t>
      </w:r>
    </w:p>
    <w:p w14:paraId="1304CADA" w14:textId="62097904" w:rsidR="000C0060"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p>
    <w:p w14:paraId="39E6CE4F" w14:textId="2394156F" w:rsidR="000C0060" w:rsidRPr="00215A1D" w:rsidRDefault="00EF6F97" w:rsidP="00215A1D">
      <w:pPr>
        <w:pStyle w:val="ARTartustawynprozporzdzenia"/>
        <w:spacing w:before="0"/>
        <w:ind w:firstLine="0"/>
        <w:rPr>
          <w:rFonts w:ascii="Times New Roman" w:hAnsi="Times New Roman" w:cs="Times New Roman"/>
        </w:rPr>
      </w:pPr>
      <w:r>
        <w:rPr>
          <w:rFonts w:ascii="Times New Roman" w:hAnsi="Times New Roman" w:cs="Times New Roman"/>
        </w:rPr>
        <w:tab/>
      </w:r>
      <w:r w:rsidR="00D24A41">
        <w:rPr>
          <w:rFonts w:ascii="Times New Roman" w:hAnsi="Times New Roman" w:cs="Times New Roman"/>
        </w:rPr>
        <w:t>Ad 1</w:t>
      </w:r>
      <w:r w:rsidR="00962958">
        <w:rPr>
          <w:rFonts w:ascii="Times New Roman" w:hAnsi="Times New Roman" w:cs="Times New Roman"/>
        </w:rPr>
        <w:t>8</w:t>
      </w:r>
      <w:r w:rsidR="000C0060" w:rsidRPr="00215A1D">
        <w:rPr>
          <w:rFonts w:ascii="Times New Roman" w:hAnsi="Times New Roman" w:cs="Times New Roman"/>
        </w:rPr>
        <w:t>. Projekt wprowadza następujące zmiany, które maj</w:t>
      </w:r>
      <w:r w:rsidR="004D42B3">
        <w:rPr>
          <w:rFonts w:ascii="Times New Roman" w:hAnsi="Times New Roman" w:cs="Times New Roman"/>
        </w:rPr>
        <w:t>ą</w:t>
      </w:r>
      <w:r w:rsidR="000C0060" w:rsidRPr="00215A1D">
        <w:rPr>
          <w:rFonts w:ascii="Times New Roman" w:hAnsi="Times New Roman" w:cs="Times New Roman"/>
        </w:rPr>
        <w:t xml:space="preserve"> na celu doprecyzowanie brzmienia obecnych przepisów, które wywołują rozbieżności interpretacyjnym, lub usunięcia luk prawnych.</w:t>
      </w:r>
    </w:p>
    <w:p w14:paraId="6685809E" w14:textId="77777777" w:rsidR="000C0060" w:rsidRDefault="000C0060" w:rsidP="00215A1D">
      <w:pPr>
        <w:pStyle w:val="ARTartustawynprozporzdzenia"/>
        <w:spacing w:before="0"/>
        <w:rPr>
          <w:rFonts w:ascii="Times New Roman" w:hAnsi="Times New Roman" w:cs="Times New Roman"/>
        </w:rPr>
      </w:pPr>
      <w:r w:rsidRPr="00215A1D">
        <w:rPr>
          <w:rFonts w:ascii="Times New Roman" w:hAnsi="Times New Roman" w:cs="Times New Roman"/>
        </w:rPr>
        <w:t xml:space="preserve">Projekt rozszerza definicję przedsiębiorstwa energetycznego w art. 3 pkt 12 o działalność w zakresie przeładunku paliw ciekłych. Działalność ta podlega obowiązkowi </w:t>
      </w:r>
      <w:r w:rsidRPr="00215A1D">
        <w:rPr>
          <w:rFonts w:ascii="Times New Roman" w:hAnsi="Times New Roman" w:cs="Times New Roman"/>
        </w:rPr>
        <w:lastRenderedPageBreak/>
        <w:t>koncesyjnemu na podstawie art. 32 ust. 1 pkt 2 ustawy, co uzasadnia uzupełnienie definicji przedsiębiorstwa energetycznego o przeładunek paliw ciekłych.</w:t>
      </w:r>
    </w:p>
    <w:p w14:paraId="2AA41806" w14:textId="03070531" w:rsidR="007041EF" w:rsidRPr="00215A1D" w:rsidRDefault="007041EF" w:rsidP="007041EF">
      <w:pPr>
        <w:pStyle w:val="ARTartustawynprozporzdzenia"/>
        <w:spacing w:before="0"/>
        <w:ind w:firstLine="709"/>
        <w:rPr>
          <w:rFonts w:ascii="Times New Roman" w:hAnsi="Times New Roman" w:cs="Times New Roman"/>
        </w:rPr>
      </w:pPr>
      <w:r w:rsidRPr="007041EF">
        <w:rPr>
          <w:rFonts w:ascii="Times New Roman" w:hAnsi="Times New Roman" w:cs="Times New Roman"/>
        </w:rPr>
        <w:t>Proponuje się uchylenie art. 23 ust. 2 pkt 21a jako przepisu martwego. Zgodnie z art. 30 ustawy z dnia 11 lipca 2014 r. o zmianie ustawy – Prawo ochrony środowiska oraz niektórych innych ustaw (Dz. U. poz. 1101), składanie wniosków o zastosowanie drugiej zasady łączenia, o której mowa w art. 157a ust. 2 pkt 2 ustawy – Prawo ochrony środowiska, a tym samym występowanie do Prezesa URE z wnioskiem o opinię</w:t>
      </w:r>
      <w:r w:rsidR="00E442DD">
        <w:rPr>
          <w:rFonts w:ascii="Times New Roman" w:hAnsi="Times New Roman" w:cs="Times New Roman"/>
        </w:rPr>
        <w:t>,</w:t>
      </w:r>
      <w:r w:rsidRPr="007041EF">
        <w:rPr>
          <w:rFonts w:ascii="Times New Roman" w:hAnsi="Times New Roman" w:cs="Times New Roman"/>
        </w:rPr>
        <w:t xml:space="preserve"> było możliwe przez 12 miesięcy od dnia wejścia w życie ustawy o zmianie ustawy – Prawo ochrony środowiska oraz niektórych innych ustaw, tj. do września 2015 r.</w:t>
      </w:r>
    </w:p>
    <w:p w14:paraId="743A63DC" w14:textId="514ED73E" w:rsidR="000C0060"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5674FD">
        <w:rPr>
          <w:rFonts w:ascii="Times New Roman" w:hAnsi="Times New Roman" w:cs="Times New Roman"/>
        </w:rPr>
        <w:t>W</w:t>
      </w:r>
      <w:r w:rsidR="000C0060" w:rsidRPr="00215A1D">
        <w:rPr>
          <w:rFonts w:ascii="Times New Roman" w:hAnsi="Times New Roman" w:cs="Times New Roman"/>
        </w:rPr>
        <w:t>prowadzono przepis karnoadministracyjny za utrudnianie lub uniemożliwianie kontroli ora</w:t>
      </w:r>
      <w:r w:rsidR="001D0628">
        <w:rPr>
          <w:rFonts w:ascii="Times New Roman" w:hAnsi="Times New Roman" w:cs="Times New Roman"/>
        </w:rPr>
        <w:t>z </w:t>
      </w:r>
      <w:r w:rsidR="000C0060" w:rsidRPr="00215A1D">
        <w:rPr>
          <w:rFonts w:ascii="Times New Roman" w:hAnsi="Times New Roman" w:cs="Times New Roman"/>
        </w:rPr>
        <w:t>określono wysokość kary (art. 56</w:t>
      </w:r>
      <w:r w:rsidR="004D42B3">
        <w:rPr>
          <w:rFonts w:ascii="Times New Roman" w:hAnsi="Times New Roman" w:cs="Times New Roman"/>
        </w:rPr>
        <w:t xml:space="preserve"> </w:t>
      </w:r>
      <w:r w:rsidR="000C0060" w:rsidRPr="00215A1D">
        <w:rPr>
          <w:rFonts w:ascii="Times New Roman" w:hAnsi="Times New Roman" w:cs="Times New Roman"/>
        </w:rPr>
        <w:t>ust. 1 pkt 52 ora</w:t>
      </w:r>
      <w:r w:rsidR="001D0628">
        <w:rPr>
          <w:rFonts w:ascii="Times New Roman" w:hAnsi="Times New Roman" w:cs="Times New Roman"/>
        </w:rPr>
        <w:t>z </w:t>
      </w:r>
      <w:r w:rsidR="000C0060" w:rsidRPr="00215A1D">
        <w:rPr>
          <w:rFonts w:ascii="Times New Roman" w:hAnsi="Times New Roman" w:cs="Times New Roman"/>
        </w:rPr>
        <w:t>ust. 2h pkt 9).</w:t>
      </w:r>
    </w:p>
    <w:p w14:paraId="7F15EC46" w14:textId="77777777" w:rsidR="000C0060"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 xml:space="preserve">Projektowana zmiana w art. 32d ust. 5 doprecyzowuje, że zwolnieniu </w:t>
      </w:r>
      <w:r w:rsidR="001D0628">
        <w:rPr>
          <w:rFonts w:ascii="Times New Roman" w:hAnsi="Times New Roman" w:cs="Times New Roman"/>
        </w:rPr>
        <w:t>z </w:t>
      </w:r>
      <w:r w:rsidR="000C0060" w:rsidRPr="00215A1D">
        <w:rPr>
          <w:rFonts w:ascii="Times New Roman" w:hAnsi="Times New Roman" w:cs="Times New Roman"/>
        </w:rPr>
        <w:t xml:space="preserve">opłaty skarbowej podlega także wykreślenie </w:t>
      </w:r>
      <w:r w:rsidR="001D0628">
        <w:rPr>
          <w:rFonts w:ascii="Times New Roman" w:hAnsi="Times New Roman" w:cs="Times New Roman"/>
        </w:rPr>
        <w:t>z </w:t>
      </w:r>
      <w:r w:rsidR="000C0060" w:rsidRPr="00215A1D">
        <w:rPr>
          <w:rFonts w:ascii="Times New Roman" w:hAnsi="Times New Roman" w:cs="Times New Roman"/>
        </w:rPr>
        <w:t>rejestru podmiotów przywożących.</w:t>
      </w:r>
    </w:p>
    <w:p w14:paraId="0716354A" w14:textId="4663F632" w:rsidR="000C0060" w:rsidRPr="00215A1D" w:rsidRDefault="00EF6F97" w:rsidP="004A019D">
      <w:pPr>
        <w:pStyle w:val="ARTartustawynprozporzdzenia"/>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 xml:space="preserve">W projekcie proponuje się zmienić brzmienie definicji sieci gazociągów kopalnianych, rozszerzając ją o </w:t>
      </w:r>
      <w:r w:rsidR="00150FEA">
        <w:rPr>
          <w:rFonts w:ascii="Times New Roman" w:hAnsi="Times New Roman" w:cs="Times New Roman"/>
        </w:rPr>
        <w:t xml:space="preserve">gazociągi lub </w:t>
      </w:r>
      <w:r w:rsidR="004D42B3">
        <w:rPr>
          <w:rFonts w:ascii="Times New Roman" w:hAnsi="Times New Roman" w:cs="Times New Roman"/>
        </w:rPr>
        <w:t xml:space="preserve">sieci </w:t>
      </w:r>
      <w:r w:rsidR="000C0060" w:rsidRPr="00215A1D">
        <w:rPr>
          <w:rFonts w:ascii="Times New Roman" w:hAnsi="Times New Roman" w:cs="Times New Roman"/>
        </w:rPr>
        <w:t>gazociąg</w:t>
      </w:r>
      <w:r w:rsidR="00150FEA">
        <w:rPr>
          <w:rFonts w:ascii="Times New Roman" w:hAnsi="Times New Roman" w:cs="Times New Roman"/>
        </w:rPr>
        <w:t>ów</w:t>
      </w:r>
      <w:r w:rsidR="000C0060" w:rsidRPr="00215A1D">
        <w:rPr>
          <w:rFonts w:ascii="Times New Roman" w:hAnsi="Times New Roman" w:cs="Times New Roman"/>
        </w:rPr>
        <w:t xml:space="preserve"> zbudowanych</w:t>
      </w:r>
      <w:r w:rsidR="001D0628">
        <w:rPr>
          <w:rFonts w:ascii="Times New Roman" w:hAnsi="Times New Roman" w:cs="Times New Roman"/>
        </w:rPr>
        <w:t xml:space="preserve"> i </w:t>
      </w:r>
      <w:r w:rsidR="000C0060" w:rsidRPr="00215A1D">
        <w:rPr>
          <w:rFonts w:ascii="Times New Roman" w:hAnsi="Times New Roman" w:cs="Times New Roman"/>
        </w:rPr>
        <w:t>eksploatowanych w ramach przedsięwzięcia polegającego na wydobywaniu ropy naftowej lub gazu ziemnego ze złóż. Projektowana zmiana ma na celu uzupełnienie implementacji do polskiego porządku prawnego kompletnej definicji tych gazociągów przewidzianej w przepisach dyrektywy Parlamentu Europejskiego</w:t>
      </w:r>
      <w:r w:rsidR="001D0628">
        <w:rPr>
          <w:rFonts w:ascii="Times New Roman" w:hAnsi="Times New Roman" w:cs="Times New Roman"/>
        </w:rPr>
        <w:t xml:space="preserve"> i </w:t>
      </w:r>
      <w:r w:rsidR="000C0060" w:rsidRPr="00215A1D">
        <w:rPr>
          <w:rFonts w:ascii="Times New Roman" w:hAnsi="Times New Roman" w:cs="Times New Roman"/>
        </w:rPr>
        <w:t xml:space="preserve">Rady 2009/73/WE </w:t>
      </w:r>
      <w:r w:rsidR="001D0628">
        <w:rPr>
          <w:rFonts w:ascii="Times New Roman" w:hAnsi="Times New Roman" w:cs="Times New Roman"/>
        </w:rPr>
        <w:t>z </w:t>
      </w:r>
      <w:r w:rsidR="000C0060" w:rsidRPr="00215A1D">
        <w:rPr>
          <w:rFonts w:ascii="Times New Roman" w:hAnsi="Times New Roman" w:cs="Times New Roman"/>
        </w:rPr>
        <w:t>dnia 13 lipca 2009</w:t>
      </w:r>
      <w:r w:rsidR="001D0628">
        <w:rPr>
          <w:rFonts w:ascii="Times New Roman" w:hAnsi="Times New Roman" w:cs="Times New Roman"/>
        </w:rPr>
        <w:t> r.</w:t>
      </w:r>
      <w:r w:rsidR="000C0060" w:rsidRPr="00215A1D">
        <w:rPr>
          <w:rFonts w:ascii="Times New Roman" w:hAnsi="Times New Roman" w:cs="Times New Roman"/>
        </w:rPr>
        <w:t xml:space="preserve"> dotyczącej wspólnych zasad rynku wewnętrznego gazu ziemnego</w:t>
      </w:r>
      <w:r w:rsidR="001D0628">
        <w:rPr>
          <w:rFonts w:ascii="Times New Roman" w:hAnsi="Times New Roman" w:cs="Times New Roman"/>
        </w:rPr>
        <w:t xml:space="preserve"> i </w:t>
      </w:r>
      <w:r w:rsidR="000C0060" w:rsidRPr="00215A1D">
        <w:rPr>
          <w:rFonts w:ascii="Times New Roman" w:hAnsi="Times New Roman" w:cs="Times New Roman"/>
        </w:rPr>
        <w:t>uchylającej dyrektywę 2003/55/WE.</w:t>
      </w:r>
      <w:r w:rsidR="004A019D">
        <w:rPr>
          <w:rFonts w:ascii="Times New Roman" w:hAnsi="Times New Roman" w:cs="Times New Roman"/>
        </w:rPr>
        <w:t xml:space="preserve"> W przedmiotowej definicji, inaczej aniżeli w definicji zawartej w ww. dyrektywie, użyto </w:t>
      </w:r>
      <w:r w:rsidR="004A019D" w:rsidRPr="004A019D">
        <w:rPr>
          <w:rFonts w:ascii="Times New Roman" w:hAnsi="Times New Roman" w:cs="Times New Roman"/>
        </w:rPr>
        <w:t>spójnika „i”</w:t>
      </w:r>
      <w:r w:rsidR="004A019D">
        <w:rPr>
          <w:rFonts w:ascii="Times New Roman" w:hAnsi="Times New Roman" w:cs="Times New Roman"/>
        </w:rPr>
        <w:t xml:space="preserve"> zamiast „lub”</w:t>
      </w:r>
      <w:r w:rsidR="00E442DD">
        <w:rPr>
          <w:rFonts w:ascii="Times New Roman" w:hAnsi="Times New Roman" w:cs="Times New Roman"/>
        </w:rPr>
        <w:t>,</w:t>
      </w:r>
      <w:r w:rsidR="004A019D">
        <w:rPr>
          <w:rFonts w:ascii="Times New Roman" w:hAnsi="Times New Roman" w:cs="Times New Roman"/>
        </w:rPr>
        <w:t xml:space="preserve"> bowiem </w:t>
      </w:r>
      <w:r w:rsidR="004A019D" w:rsidRPr="004A019D">
        <w:rPr>
          <w:rFonts w:ascii="Times New Roman" w:hAnsi="Times New Roman" w:cs="Times New Roman"/>
        </w:rPr>
        <w:t xml:space="preserve">wykładnia celowościowa przemawia na rzecz użycia </w:t>
      </w:r>
      <w:r w:rsidR="004A019D">
        <w:rPr>
          <w:rFonts w:ascii="Times New Roman" w:hAnsi="Times New Roman" w:cs="Times New Roman"/>
        </w:rPr>
        <w:t>koniunkcji, gdyż</w:t>
      </w:r>
      <w:r w:rsidR="004A019D" w:rsidRPr="004A019D">
        <w:rPr>
          <w:rFonts w:ascii="Times New Roman" w:hAnsi="Times New Roman" w:cs="Times New Roman"/>
        </w:rPr>
        <w:t xml:space="preserve"> zasada dostępu powinna być zapewniona dla gazociągów eksploatowanych</w:t>
      </w:r>
      <w:r w:rsidR="00E442DD">
        <w:rPr>
          <w:rFonts w:ascii="Times New Roman" w:hAnsi="Times New Roman" w:cs="Times New Roman"/>
        </w:rPr>
        <w:t>,</w:t>
      </w:r>
      <w:r w:rsidR="004A019D" w:rsidRPr="004A019D">
        <w:rPr>
          <w:rFonts w:ascii="Times New Roman" w:hAnsi="Times New Roman" w:cs="Times New Roman"/>
        </w:rPr>
        <w:t xml:space="preserve"> a nie tylko wybudowanych. </w:t>
      </w:r>
      <w:r w:rsidR="004A019D">
        <w:rPr>
          <w:rFonts w:ascii="Times New Roman" w:hAnsi="Times New Roman" w:cs="Times New Roman"/>
        </w:rPr>
        <w:t>Tak więc p</w:t>
      </w:r>
      <w:r w:rsidR="004A019D" w:rsidRPr="004A019D">
        <w:rPr>
          <w:rFonts w:ascii="Times New Roman" w:hAnsi="Times New Roman" w:cs="Times New Roman"/>
        </w:rPr>
        <w:t xml:space="preserve">rzedmiotowa propozycja definicji </w:t>
      </w:r>
      <w:r w:rsidR="004A019D">
        <w:rPr>
          <w:rFonts w:ascii="Times New Roman" w:hAnsi="Times New Roman" w:cs="Times New Roman"/>
        </w:rPr>
        <w:t xml:space="preserve">pozwala w najpełniejszy sposób zrealizować cel </w:t>
      </w:r>
      <w:r w:rsidR="004A019D" w:rsidRPr="004A019D">
        <w:rPr>
          <w:rFonts w:ascii="Times New Roman" w:hAnsi="Times New Roman" w:cs="Times New Roman"/>
        </w:rPr>
        <w:t>dyrektywy i służy wykonaniu zasady TPA (dostępu strony trzeciej) określonej w art. 34 dyrektywy Parlamentu Europejskiego i Rady 2009/73/WE z dnia 13 lipca 2009 r. dotyczącej wspólnych zasad rynku wewnętrznego gazu ziemnego i uchylającej dyrektywę 2003/55/WE.</w:t>
      </w:r>
    </w:p>
    <w:p w14:paraId="7A071519" w14:textId="3F5ECF50" w:rsidR="003A33E9" w:rsidRDefault="00EF6F97" w:rsidP="003A33E9">
      <w:pPr>
        <w:pStyle w:val="ARTartustawynprozporzdzenia"/>
      </w:pPr>
      <w:r>
        <w:rPr>
          <w:rFonts w:ascii="Times New Roman" w:hAnsi="Times New Roman" w:cs="Times New Roman"/>
        </w:rPr>
        <w:tab/>
      </w:r>
      <w:r w:rsidR="000C0060" w:rsidRPr="00215A1D">
        <w:rPr>
          <w:rFonts w:ascii="Times New Roman" w:hAnsi="Times New Roman" w:cs="Times New Roman"/>
        </w:rPr>
        <w:t>Celem wprowadzonych rozwiązań jest wdrożenie mechanizmów umożliwiających przekwalifikowanie infrastruktury gazowej, dotychczas eksploatowanej jako pozasystemowa, na element majątku sieciowego wchodzącego w skład systemu eksploatowanego prze</w:t>
      </w:r>
      <w:r w:rsidR="001D0628">
        <w:rPr>
          <w:rFonts w:ascii="Times New Roman" w:hAnsi="Times New Roman" w:cs="Times New Roman"/>
        </w:rPr>
        <w:t>z </w:t>
      </w:r>
      <w:r w:rsidR="000C0060" w:rsidRPr="00215A1D">
        <w:rPr>
          <w:rFonts w:ascii="Times New Roman" w:hAnsi="Times New Roman" w:cs="Times New Roman"/>
        </w:rPr>
        <w:t xml:space="preserve">operatora systemu dystrybucyjnego. Dzięki nowym rozwiązaniom możliwe będzie przekwalifikowanie infrastruktury w sposób zorganizowany, </w:t>
      </w:r>
      <w:r w:rsidR="001D0628">
        <w:rPr>
          <w:rFonts w:ascii="Times New Roman" w:hAnsi="Times New Roman" w:cs="Times New Roman"/>
        </w:rPr>
        <w:t>z </w:t>
      </w:r>
      <w:r w:rsidR="000C0060" w:rsidRPr="00215A1D">
        <w:rPr>
          <w:rFonts w:ascii="Times New Roman" w:hAnsi="Times New Roman" w:cs="Times New Roman"/>
        </w:rPr>
        <w:t xml:space="preserve">uwzględnieniem dbałości o </w:t>
      </w:r>
      <w:r w:rsidR="000C0060" w:rsidRPr="00215A1D">
        <w:rPr>
          <w:rFonts w:ascii="Times New Roman" w:hAnsi="Times New Roman" w:cs="Times New Roman"/>
        </w:rPr>
        <w:lastRenderedPageBreak/>
        <w:t>interes odbiorców ora</w:t>
      </w:r>
      <w:r w:rsidR="001D0628">
        <w:rPr>
          <w:rFonts w:ascii="Times New Roman" w:hAnsi="Times New Roman" w:cs="Times New Roman"/>
        </w:rPr>
        <w:t>z </w:t>
      </w:r>
      <w:r w:rsidR="000C0060" w:rsidRPr="00215A1D">
        <w:rPr>
          <w:rFonts w:ascii="Times New Roman" w:hAnsi="Times New Roman" w:cs="Times New Roman"/>
        </w:rPr>
        <w:t>przy pełnej kontroli Prezesa Urzędu Regulacji Energetyki.</w:t>
      </w:r>
      <w:r w:rsidR="004D42B3">
        <w:rPr>
          <w:rFonts w:ascii="Times New Roman" w:hAnsi="Times New Roman" w:cs="Times New Roman"/>
        </w:rPr>
        <w:t xml:space="preserve"> </w:t>
      </w:r>
      <w:r w:rsidR="000C0060" w:rsidRPr="00215A1D">
        <w:rPr>
          <w:rFonts w:ascii="Times New Roman" w:hAnsi="Times New Roman" w:cs="Times New Roman"/>
        </w:rPr>
        <w:t xml:space="preserve">W szczególności przewidziano generalną sukcesję umów </w:t>
      </w:r>
      <w:r w:rsidR="001D0628">
        <w:rPr>
          <w:rFonts w:ascii="Times New Roman" w:hAnsi="Times New Roman" w:cs="Times New Roman"/>
        </w:rPr>
        <w:t>z </w:t>
      </w:r>
      <w:r w:rsidR="000C0060" w:rsidRPr="00215A1D">
        <w:rPr>
          <w:rFonts w:ascii="Times New Roman" w:hAnsi="Times New Roman" w:cs="Times New Roman"/>
        </w:rPr>
        <w:t>odbiorcami, która ma zapewnić odpowiedni poziom ochrony konsumentów gazu</w:t>
      </w:r>
      <w:r w:rsidR="00E442DD">
        <w:rPr>
          <w:rFonts w:ascii="Times New Roman" w:hAnsi="Times New Roman" w:cs="Times New Roman"/>
        </w:rPr>
        <w:t>,</w:t>
      </w:r>
      <w:r w:rsidR="000C0060" w:rsidRPr="00215A1D">
        <w:rPr>
          <w:rFonts w:ascii="Times New Roman" w:hAnsi="Times New Roman" w:cs="Times New Roman"/>
        </w:rPr>
        <w:t xml:space="preserve"> ora</w:t>
      </w:r>
      <w:r w:rsidR="001D0628">
        <w:rPr>
          <w:rFonts w:ascii="Times New Roman" w:hAnsi="Times New Roman" w:cs="Times New Roman"/>
        </w:rPr>
        <w:t>z </w:t>
      </w:r>
      <w:r w:rsidR="000C0060" w:rsidRPr="00215A1D">
        <w:rPr>
          <w:rFonts w:ascii="Times New Roman" w:hAnsi="Times New Roman" w:cs="Times New Roman"/>
        </w:rPr>
        <w:t>uregulowano proces przenoszenia infrastruktury w zarządzanie prze</w:t>
      </w:r>
      <w:r w:rsidR="001D0628">
        <w:rPr>
          <w:rFonts w:ascii="Times New Roman" w:hAnsi="Times New Roman" w:cs="Times New Roman"/>
        </w:rPr>
        <w:t>z </w:t>
      </w:r>
      <w:r w:rsidR="000C0060" w:rsidRPr="00215A1D">
        <w:rPr>
          <w:rFonts w:ascii="Times New Roman" w:hAnsi="Times New Roman" w:cs="Times New Roman"/>
        </w:rPr>
        <w:t>operatora systemu dystrybucyjnego.</w:t>
      </w:r>
      <w:r w:rsidR="003A33E9">
        <w:rPr>
          <w:rFonts w:ascii="Times New Roman" w:hAnsi="Times New Roman" w:cs="Times New Roman"/>
        </w:rPr>
        <w:t xml:space="preserve"> </w:t>
      </w:r>
      <w:r w:rsidR="003A33E9">
        <w:t>Należy podkreślić, że umowa kompleksowa zawarta w imieniu odbiorcy końcowego po przekwalifikowaniu gazociągu bezpośredniego lub sieci gazociągów kopalnianych, którymi dostarczane były do tego odbiorcy paliwa gazowe</w:t>
      </w:r>
      <w:r w:rsidR="00E442DD">
        <w:t>,</w:t>
      </w:r>
      <w:r w:rsidR="003A33E9">
        <w:t xml:space="preserve"> </w:t>
      </w:r>
      <w:r w:rsidR="003A33E9" w:rsidRPr="00332DAA">
        <w:t>może ulec rozwiązaniu</w:t>
      </w:r>
      <w:r w:rsidR="003A33E9">
        <w:t xml:space="preserve"> w</w:t>
      </w:r>
      <w:r w:rsidR="003A33E9" w:rsidRPr="00332DAA">
        <w:t>:</w:t>
      </w:r>
    </w:p>
    <w:p w14:paraId="7CC14947" w14:textId="334417D7" w:rsidR="003A33E9" w:rsidRPr="00332DAA" w:rsidRDefault="003A33E9" w:rsidP="00EB2609">
      <w:pPr>
        <w:pStyle w:val="ZPKTzmpktartykuempunktem"/>
        <w:numPr>
          <w:ilvl w:val="0"/>
          <w:numId w:val="93"/>
        </w:numPr>
        <w:ind w:left="993"/>
      </w:pPr>
      <w:r w:rsidRPr="00332DAA">
        <w:t xml:space="preserve">dowolnym terminie na mocy porozumienia stron lub </w:t>
      </w:r>
    </w:p>
    <w:p w14:paraId="1E2529E6" w14:textId="77777777" w:rsidR="000C0060" w:rsidRPr="00215A1D" w:rsidRDefault="003A33E9" w:rsidP="00EB2609">
      <w:pPr>
        <w:pStyle w:val="ARTartustawynprozporzdzenia"/>
        <w:numPr>
          <w:ilvl w:val="0"/>
          <w:numId w:val="93"/>
        </w:numPr>
        <w:spacing w:before="0"/>
        <w:ind w:left="993"/>
        <w:rPr>
          <w:rFonts w:ascii="Times New Roman" w:hAnsi="Times New Roman" w:cs="Times New Roman"/>
        </w:rPr>
      </w:pPr>
      <w:r w:rsidRPr="00332DAA">
        <w:t>drodze wypowiedzenia przez odbiorcę końcowego z zachowaniem miesięcznego okresu wypowiedzenia ze skutkiem na ostatni dzień miesiąca następujący po miesiącu, w którym nastąpiło doręczenie oświadczenia o wypowiedzeniu umowy, przy czym odbiorca może wskazać późniejszy jej termin rozwiązania</w:t>
      </w:r>
      <w:r>
        <w:t xml:space="preserve">. </w:t>
      </w:r>
    </w:p>
    <w:p w14:paraId="12C50ED6" w14:textId="7CC0B522" w:rsidR="000C0060"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Jednocześnie w związku ze zmianą definicji sieci gazociągów kopalnianych przewidziany został okres przejściowy, w którym przedsiębiorstwa dostosują się do projektowanych rozwiązań.</w:t>
      </w:r>
      <w:r w:rsidR="00E442DD">
        <w:rPr>
          <w:rFonts w:ascii="Times New Roman" w:hAnsi="Times New Roman" w:cs="Times New Roman"/>
        </w:rPr>
        <w:t xml:space="preserve"> </w:t>
      </w:r>
      <w:r w:rsidR="00FE3F4D" w:rsidRPr="00FE3F4D">
        <w:rPr>
          <w:rFonts w:ascii="Times New Roman" w:hAnsi="Times New Roman" w:cs="Times New Roman"/>
        </w:rPr>
        <w:t>Ponadto, w związku z przewidzianą w projekcie możliwością zmiany przeznaczenia gazociągu bezpośredniego lub sieci gazociągów kopalnianych na sieci dystrybucyjne gazowe, zasadne jest rozważ</w:t>
      </w:r>
      <w:r w:rsidR="00FE3F4D">
        <w:rPr>
          <w:rFonts w:ascii="Times New Roman" w:hAnsi="Times New Roman" w:cs="Times New Roman"/>
        </w:rPr>
        <w:t>e</w:t>
      </w:r>
      <w:r w:rsidR="00FE3F4D" w:rsidRPr="00FE3F4D">
        <w:rPr>
          <w:rFonts w:ascii="Times New Roman" w:hAnsi="Times New Roman" w:cs="Times New Roman"/>
        </w:rPr>
        <w:t>nie konieczności dostosowania przepisów wykonawczych określających szczegółowe warunki funkcjonowania systemu gazowego oraz szczegółowe zasady kształtowania i kalkulacji taryf dla paliw gazowych.</w:t>
      </w:r>
    </w:p>
    <w:p w14:paraId="2CD6D6A6" w14:textId="5653738A" w:rsidR="000C0060"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W projektowanym art. 56 ust. 3 doprecyzowuje się zasady wymierzania kar</w:t>
      </w:r>
      <w:r w:rsidR="00E442DD">
        <w:rPr>
          <w:rFonts w:ascii="Times New Roman" w:hAnsi="Times New Roman" w:cs="Times New Roman"/>
        </w:rPr>
        <w:t>,</w:t>
      </w:r>
      <w:r w:rsidR="000C0060" w:rsidRPr="00215A1D">
        <w:rPr>
          <w:rFonts w:ascii="Times New Roman" w:hAnsi="Times New Roman" w:cs="Times New Roman"/>
        </w:rPr>
        <w:t xml:space="preserve"> w przypadku gdy podmiot nie osiągnął przychodu </w:t>
      </w:r>
      <w:r w:rsidR="001D0628">
        <w:rPr>
          <w:rFonts w:ascii="Times New Roman" w:hAnsi="Times New Roman" w:cs="Times New Roman"/>
        </w:rPr>
        <w:t>z </w:t>
      </w:r>
      <w:r w:rsidR="000C0060" w:rsidRPr="00215A1D">
        <w:rPr>
          <w:rFonts w:ascii="Times New Roman" w:hAnsi="Times New Roman" w:cs="Times New Roman"/>
        </w:rPr>
        <w:t>działalności koncesjonowanej, ora</w:t>
      </w:r>
      <w:r w:rsidR="001D0628">
        <w:rPr>
          <w:rFonts w:ascii="Times New Roman" w:hAnsi="Times New Roman" w:cs="Times New Roman"/>
        </w:rPr>
        <w:t>z </w:t>
      </w:r>
      <w:r w:rsidR="000C0060" w:rsidRPr="00215A1D">
        <w:rPr>
          <w:rFonts w:ascii="Times New Roman" w:hAnsi="Times New Roman" w:cs="Times New Roman"/>
        </w:rPr>
        <w:t xml:space="preserve">wprowadza się minimalną wysokość kary w kwocie 2000 zł lub 10 000 zł, w celu zagwarantowania, że wymierzona kara spełni swój cel również w przypadku, gdy podmiot osiągnie zerowy lub niski przychód </w:t>
      </w:r>
      <w:r w:rsidR="001D0628">
        <w:rPr>
          <w:rFonts w:ascii="Times New Roman" w:hAnsi="Times New Roman" w:cs="Times New Roman"/>
        </w:rPr>
        <w:t>z </w:t>
      </w:r>
      <w:r w:rsidR="000C0060" w:rsidRPr="00215A1D">
        <w:rPr>
          <w:rFonts w:ascii="Times New Roman" w:hAnsi="Times New Roman" w:cs="Times New Roman"/>
        </w:rPr>
        <w:t>działalności koncesjonowanej.</w:t>
      </w:r>
    </w:p>
    <w:p w14:paraId="48F56CE7" w14:textId="5A844634" w:rsidR="006B7133"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6B7133" w:rsidRPr="00215A1D">
        <w:rPr>
          <w:rFonts w:ascii="Times New Roman" w:hAnsi="Times New Roman" w:cs="Times New Roman"/>
        </w:rPr>
        <w:t>Nowelizacja art. 57g ma na celu rozszerzenie stosowania sankcji karnej na inne nośniki energii</w:t>
      </w:r>
      <w:r w:rsidR="00E442DD">
        <w:rPr>
          <w:rFonts w:ascii="Times New Roman" w:hAnsi="Times New Roman" w:cs="Times New Roman"/>
        </w:rPr>
        <w:t>,</w:t>
      </w:r>
      <w:r w:rsidR="006B7133" w:rsidRPr="00215A1D">
        <w:rPr>
          <w:rFonts w:ascii="Times New Roman" w:hAnsi="Times New Roman" w:cs="Times New Roman"/>
        </w:rPr>
        <w:t xml:space="preserve"> takie jak paliwa gazowe, energia elektryczna ora</w:t>
      </w:r>
      <w:r w:rsidR="001D0628">
        <w:rPr>
          <w:rFonts w:ascii="Times New Roman" w:hAnsi="Times New Roman" w:cs="Times New Roman"/>
        </w:rPr>
        <w:t>z </w:t>
      </w:r>
      <w:r w:rsidR="006B7133" w:rsidRPr="00215A1D">
        <w:rPr>
          <w:rFonts w:ascii="Times New Roman" w:hAnsi="Times New Roman" w:cs="Times New Roman"/>
        </w:rPr>
        <w:t>ciepło</w:t>
      </w:r>
      <w:r w:rsidR="00E442DD">
        <w:rPr>
          <w:rFonts w:ascii="Times New Roman" w:hAnsi="Times New Roman" w:cs="Times New Roman"/>
        </w:rPr>
        <w:t>,</w:t>
      </w:r>
      <w:r w:rsidR="006B7133" w:rsidRPr="00215A1D">
        <w:rPr>
          <w:rFonts w:ascii="Times New Roman" w:hAnsi="Times New Roman" w:cs="Times New Roman"/>
        </w:rPr>
        <w:t xml:space="preserve"> ze względu na konieczność równego traktowania naruszeń obowiązków ciążących na wszystkich przedsiębiorstwach energetycznych. Ministerstwu była sygnalizowana kwestia, nieznajdującego w niczym uzasadnienia, różnicowania sytuacji podmiotów dopuszczających się tego samego rodzaju zabronionych zachowań.</w:t>
      </w:r>
    </w:p>
    <w:p w14:paraId="0A5FC884" w14:textId="2F5770E5" w:rsidR="000C0060"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W przepisie epizodycznym projektowanego art. 62</w:t>
      </w:r>
      <w:r w:rsidR="00071A48">
        <w:rPr>
          <w:rFonts w:ascii="Times New Roman" w:hAnsi="Times New Roman" w:cs="Times New Roman"/>
        </w:rPr>
        <w:t>e</w:t>
      </w:r>
      <w:r w:rsidR="000C0060" w:rsidRPr="00215A1D">
        <w:rPr>
          <w:rFonts w:ascii="Times New Roman" w:hAnsi="Times New Roman" w:cs="Times New Roman"/>
        </w:rPr>
        <w:t xml:space="preserve"> ustawy – Prawo energetyczne wprowadza się jednorazowy obowiązek dla przedsiębiorstwa energetycznego, które wykonuje działalność polegającą na wytwarzaniu paliw ciekłych, magazynowaniu lub przeładunku paliw ciekłych, przesyłaniu lub dystrybucji paliw ciekłych, obrocie paliwami ciekłymi, w tym </w:t>
      </w:r>
      <w:r w:rsidR="000C0060" w:rsidRPr="00215A1D">
        <w:rPr>
          <w:rFonts w:ascii="Times New Roman" w:hAnsi="Times New Roman" w:cs="Times New Roman"/>
        </w:rPr>
        <w:lastRenderedPageBreak/>
        <w:t xml:space="preserve">obrocie nimi </w:t>
      </w:r>
      <w:r w:rsidR="001D0628">
        <w:rPr>
          <w:rFonts w:ascii="Times New Roman" w:hAnsi="Times New Roman" w:cs="Times New Roman"/>
        </w:rPr>
        <w:t>z </w:t>
      </w:r>
      <w:r w:rsidR="000C0060" w:rsidRPr="00215A1D">
        <w:rPr>
          <w:rFonts w:ascii="Times New Roman" w:hAnsi="Times New Roman" w:cs="Times New Roman"/>
        </w:rPr>
        <w:t>zagranicą, a także podmiot przywożący, które nie wykonały obowiązku, o którym mowa w art. 31 ust. 1</w:t>
      </w:r>
      <w:r w:rsidR="001D0628">
        <w:rPr>
          <w:rFonts w:ascii="Times New Roman" w:hAnsi="Times New Roman" w:cs="Times New Roman"/>
        </w:rPr>
        <w:t xml:space="preserve"> i </w:t>
      </w:r>
      <w:r w:rsidR="000C0060" w:rsidRPr="00215A1D">
        <w:rPr>
          <w:rFonts w:ascii="Times New Roman" w:hAnsi="Times New Roman" w:cs="Times New Roman"/>
        </w:rPr>
        <w:t xml:space="preserve">2 ustawy </w:t>
      </w:r>
      <w:r w:rsidR="001D0628">
        <w:rPr>
          <w:rFonts w:ascii="Times New Roman" w:hAnsi="Times New Roman" w:cs="Times New Roman"/>
        </w:rPr>
        <w:t>z </w:t>
      </w:r>
      <w:r w:rsidR="000C0060" w:rsidRPr="00215A1D">
        <w:rPr>
          <w:rFonts w:ascii="Times New Roman" w:hAnsi="Times New Roman" w:cs="Times New Roman"/>
        </w:rPr>
        <w:t>dnia 22 lipca 2016</w:t>
      </w:r>
      <w:r w:rsidR="001D0628">
        <w:rPr>
          <w:rFonts w:ascii="Times New Roman" w:hAnsi="Times New Roman" w:cs="Times New Roman"/>
        </w:rPr>
        <w:t> r.</w:t>
      </w:r>
      <w:r w:rsidR="000C0060" w:rsidRPr="00215A1D">
        <w:rPr>
          <w:rFonts w:ascii="Times New Roman" w:hAnsi="Times New Roman" w:cs="Times New Roman"/>
        </w:rPr>
        <w:t xml:space="preserve"> o zmianie ustawy – Prawo energetyczne ora</w:t>
      </w:r>
      <w:r w:rsidR="001D0628">
        <w:rPr>
          <w:rFonts w:ascii="Times New Roman" w:hAnsi="Times New Roman" w:cs="Times New Roman"/>
        </w:rPr>
        <w:t>z </w:t>
      </w:r>
      <w:r w:rsidR="000C0060" w:rsidRPr="00215A1D">
        <w:rPr>
          <w:rFonts w:ascii="Times New Roman" w:hAnsi="Times New Roman" w:cs="Times New Roman"/>
        </w:rPr>
        <w:t xml:space="preserve">niektórych innych ustaw (Dz. U. poz. 1165). Obowiązek ten dotyczył zgłaszania do Prezesa URE pierwszej informacji o infrastrukturze paliw ciekłych w związku </w:t>
      </w:r>
      <w:r w:rsidR="001D0628">
        <w:rPr>
          <w:rFonts w:ascii="Times New Roman" w:hAnsi="Times New Roman" w:cs="Times New Roman"/>
        </w:rPr>
        <w:t>z </w:t>
      </w:r>
      <w:r w:rsidR="000C0060" w:rsidRPr="00215A1D">
        <w:rPr>
          <w:rFonts w:ascii="Times New Roman" w:hAnsi="Times New Roman" w:cs="Times New Roman"/>
        </w:rPr>
        <w:t>wejściem w życie nowych przepisów. Ustawa ta nie wprowadziła jednak przepisów karnoadministracyjnych za naruszenie tego obowiązku.</w:t>
      </w:r>
    </w:p>
    <w:p w14:paraId="179C2754" w14:textId="76406EFB" w:rsidR="0098717B" w:rsidRPr="00215A1D" w:rsidRDefault="00EF6F97" w:rsidP="00215A1D">
      <w:pPr>
        <w:pStyle w:val="ARTartustawynprozporzdzenia"/>
        <w:spacing w:before="0"/>
        <w:ind w:firstLine="0"/>
        <w:rPr>
          <w:rFonts w:ascii="Times New Roman" w:hAnsi="Times New Roman" w:cs="Times New Roman"/>
        </w:rPr>
      </w:pPr>
      <w:r>
        <w:rPr>
          <w:rFonts w:ascii="Times New Roman" w:hAnsi="Times New Roman" w:cs="Times New Roman"/>
        </w:rPr>
        <w:tab/>
      </w:r>
      <w:r w:rsidR="000C0060" w:rsidRPr="00215A1D">
        <w:rPr>
          <w:rFonts w:ascii="Times New Roman" w:hAnsi="Times New Roman" w:cs="Times New Roman"/>
        </w:rPr>
        <w:t>W celu usunięcia ww. luki prawnej wprowadzono regulację epizodyczną skierowaną do adresatów określonych w art. 31 ust. 1</w:t>
      </w:r>
      <w:r w:rsidR="001D0628">
        <w:rPr>
          <w:rFonts w:ascii="Times New Roman" w:hAnsi="Times New Roman" w:cs="Times New Roman"/>
        </w:rPr>
        <w:t xml:space="preserve"> i </w:t>
      </w:r>
      <w:r w:rsidR="000C0060" w:rsidRPr="00215A1D">
        <w:rPr>
          <w:rFonts w:ascii="Times New Roman" w:hAnsi="Times New Roman" w:cs="Times New Roman"/>
        </w:rPr>
        <w:t xml:space="preserve">2 ustawy </w:t>
      </w:r>
      <w:r w:rsidR="001D0628">
        <w:rPr>
          <w:rFonts w:ascii="Times New Roman" w:hAnsi="Times New Roman" w:cs="Times New Roman"/>
        </w:rPr>
        <w:t>z </w:t>
      </w:r>
      <w:r w:rsidR="000C0060" w:rsidRPr="00215A1D">
        <w:rPr>
          <w:rFonts w:ascii="Times New Roman" w:hAnsi="Times New Roman" w:cs="Times New Roman"/>
        </w:rPr>
        <w:t>dnia 22 lipca 2016</w:t>
      </w:r>
      <w:r w:rsidR="001D0628">
        <w:rPr>
          <w:rFonts w:ascii="Times New Roman" w:hAnsi="Times New Roman" w:cs="Times New Roman"/>
        </w:rPr>
        <w:t> r.</w:t>
      </w:r>
      <w:r w:rsidR="000C0060" w:rsidRPr="00215A1D">
        <w:rPr>
          <w:rFonts w:ascii="Times New Roman" w:hAnsi="Times New Roman" w:cs="Times New Roman"/>
        </w:rPr>
        <w:t xml:space="preserve"> o zmianie ustawy – Prawo energetyczne ora</w:t>
      </w:r>
      <w:r w:rsidR="001D0628">
        <w:rPr>
          <w:rFonts w:ascii="Times New Roman" w:hAnsi="Times New Roman" w:cs="Times New Roman"/>
        </w:rPr>
        <w:t>z </w:t>
      </w:r>
      <w:r w:rsidR="000C0060" w:rsidRPr="00215A1D">
        <w:rPr>
          <w:rFonts w:ascii="Times New Roman" w:hAnsi="Times New Roman" w:cs="Times New Roman"/>
        </w:rPr>
        <w:t>niektórych innych ustaw, która umożliwia Prezesowi URE egzekwowanie wykonania określonego w tej ustawie obowiązku.</w:t>
      </w:r>
    </w:p>
    <w:p w14:paraId="5C9D7DE8" w14:textId="126BFC44" w:rsidR="0098717B"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98717B" w:rsidRPr="00215A1D">
        <w:rPr>
          <w:rFonts w:ascii="Times New Roman" w:hAnsi="Times New Roman" w:cs="Times New Roman"/>
        </w:rPr>
        <w:t>Proponowany nowy ust</w:t>
      </w:r>
      <w:r w:rsidR="004D42B3">
        <w:rPr>
          <w:rFonts w:ascii="Times New Roman" w:hAnsi="Times New Roman" w:cs="Times New Roman"/>
        </w:rPr>
        <w:t>.</w:t>
      </w:r>
      <w:r w:rsidR="0098717B" w:rsidRPr="00215A1D">
        <w:rPr>
          <w:rFonts w:ascii="Times New Roman" w:hAnsi="Times New Roman" w:cs="Times New Roman"/>
        </w:rPr>
        <w:t xml:space="preserve"> 2aa w art. 9c ma na celu umożliwienie operatorowi systemu przesyłowego elektroenergetycznego dokonywania odsprzedaży nadwyżki energii elektrycznej zakupionej w celu pokrywania strat sieciowych w związku </w:t>
      </w:r>
      <w:r w:rsidR="001D0628">
        <w:rPr>
          <w:rFonts w:ascii="Times New Roman" w:hAnsi="Times New Roman" w:cs="Times New Roman"/>
        </w:rPr>
        <w:t>z </w:t>
      </w:r>
      <w:r w:rsidR="0098717B" w:rsidRPr="00215A1D">
        <w:rPr>
          <w:rFonts w:ascii="Times New Roman" w:hAnsi="Times New Roman" w:cs="Times New Roman"/>
        </w:rPr>
        <w:t>aktualizacją prognozy zapotrzebowania na tę energię, pod warunkiem dokonywania tych czynności jedynie za pośrednictwem przejrzystych</w:t>
      </w:r>
      <w:r w:rsidR="001D0628">
        <w:rPr>
          <w:rFonts w:ascii="Times New Roman" w:hAnsi="Times New Roman" w:cs="Times New Roman"/>
        </w:rPr>
        <w:t xml:space="preserve"> i </w:t>
      </w:r>
      <w:r w:rsidR="0098717B" w:rsidRPr="00215A1D">
        <w:rPr>
          <w:rFonts w:ascii="Times New Roman" w:hAnsi="Times New Roman" w:cs="Times New Roman"/>
        </w:rPr>
        <w:t>niedyskryminacyjnych procedur udostępnianych prze</w:t>
      </w:r>
      <w:r w:rsidR="001D0628">
        <w:rPr>
          <w:rFonts w:ascii="Times New Roman" w:hAnsi="Times New Roman" w:cs="Times New Roman"/>
        </w:rPr>
        <w:t>z </w:t>
      </w:r>
      <w:r w:rsidR="0098717B" w:rsidRPr="00215A1D">
        <w:rPr>
          <w:rFonts w:ascii="Times New Roman" w:hAnsi="Times New Roman" w:cs="Times New Roman"/>
        </w:rPr>
        <w:t>giełdę towarową, rynek regulowany, zorganizowaną platformę obrotu lub w ramach jednolitego łączenia rynków. Brak takiej możliwości, w przypadku zmiany zapotrzebowania na energię na pokrycie strat sieciowych, spowoduje konieczność wprowadzenia</w:t>
      </w:r>
      <w:r w:rsidR="001D0628">
        <w:rPr>
          <w:rFonts w:ascii="Times New Roman" w:hAnsi="Times New Roman" w:cs="Times New Roman"/>
        </w:rPr>
        <w:t xml:space="preserve"> i </w:t>
      </w:r>
      <w:r w:rsidR="0098717B" w:rsidRPr="00215A1D">
        <w:rPr>
          <w:rFonts w:ascii="Times New Roman" w:hAnsi="Times New Roman" w:cs="Times New Roman"/>
        </w:rPr>
        <w:t>rozliczania nadwyżki tej energii na rynku bilansującym, który co do zasady jest mechanizmem bilansowania technicznego.</w:t>
      </w:r>
    </w:p>
    <w:p w14:paraId="20F4168F" w14:textId="1F862743" w:rsidR="0098717B"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98717B" w:rsidRPr="00215A1D">
        <w:rPr>
          <w:rFonts w:ascii="Times New Roman" w:hAnsi="Times New Roman" w:cs="Times New Roman"/>
        </w:rPr>
        <w:t>Projektowana zmiana nie narusza zakazu prowadzenia działalności w zakresie obrotu energią elektryczną prze</w:t>
      </w:r>
      <w:r w:rsidR="001D0628">
        <w:rPr>
          <w:rFonts w:ascii="Times New Roman" w:hAnsi="Times New Roman" w:cs="Times New Roman"/>
        </w:rPr>
        <w:t>z </w:t>
      </w:r>
      <w:r w:rsidR="0098717B" w:rsidRPr="00215A1D">
        <w:rPr>
          <w:rFonts w:ascii="Times New Roman" w:hAnsi="Times New Roman" w:cs="Times New Roman"/>
        </w:rPr>
        <w:t xml:space="preserve">operatora systemu przesyłowego elektroenergetycznego. Możliwość odsprzedaży jest ograniczona wyłącznie do nadwyżki energii elektrycznej zakupionej na potrzeby pokrywania strat sieciowych – a więc możliwość taka nie dotyczy energii elektrycznej zakupionej </w:t>
      </w:r>
      <w:r w:rsidR="001D0628">
        <w:rPr>
          <w:rFonts w:ascii="Times New Roman" w:hAnsi="Times New Roman" w:cs="Times New Roman"/>
        </w:rPr>
        <w:t>z </w:t>
      </w:r>
      <w:r w:rsidR="0098717B" w:rsidRPr="00215A1D">
        <w:rPr>
          <w:rFonts w:ascii="Times New Roman" w:hAnsi="Times New Roman" w:cs="Times New Roman"/>
        </w:rPr>
        <w:t>uprzednio powziętym zamiarem jej odsprzedaży. Proponowana zmiana dotyczyć będzie tylko</w:t>
      </w:r>
      <w:r w:rsidR="001D0628">
        <w:rPr>
          <w:rFonts w:ascii="Times New Roman" w:hAnsi="Times New Roman" w:cs="Times New Roman"/>
        </w:rPr>
        <w:t xml:space="preserve"> i </w:t>
      </w:r>
      <w:r w:rsidR="0098717B" w:rsidRPr="00215A1D">
        <w:rPr>
          <w:rFonts w:ascii="Times New Roman" w:hAnsi="Times New Roman" w:cs="Times New Roman"/>
        </w:rPr>
        <w:t>wyłącznie sytuacji</w:t>
      </w:r>
      <w:r w:rsidR="00E442DD">
        <w:rPr>
          <w:rFonts w:ascii="Times New Roman" w:hAnsi="Times New Roman" w:cs="Times New Roman"/>
        </w:rPr>
        <w:t>,</w:t>
      </w:r>
      <w:r w:rsidR="0098717B" w:rsidRPr="00215A1D">
        <w:rPr>
          <w:rFonts w:ascii="Times New Roman" w:hAnsi="Times New Roman" w:cs="Times New Roman"/>
        </w:rPr>
        <w:t xml:space="preserve"> gdy nadwyżka energii elektrycznej powstała w wyniku obiektywnych przesłanek, przede wszystkim w przypadku aktualizacji prognozy strat sieciowych. W celu zapewnienia dodatkowej przejrzystości transakcji odsprzedaży</w:t>
      </w:r>
      <w:r w:rsidR="00E442DD">
        <w:rPr>
          <w:rFonts w:ascii="Times New Roman" w:hAnsi="Times New Roman" w:cs="Times New Roman"/>
        </w:rPr>
        <w:t xml:space="preserve"> </w:t>
      </w:r>
      <w:r w:rsidR="0098717B" w:rsidRPr="00215A1D">
        <w:rPr>
          <w:rFonts w:ascii="Times New Roman" w:hAnsi="Times New Roman" w:cs="Times New Roman"/>
        </w:rPr>
        <w:t>będą one zawierane wyłącznie na giełdzie towarowej, rynku regulowanym, zorganizowanej platformie obrotu lub w ramach jednolitego łączenia rynków.</w:t>
      </w:r>
    </w:p>
    <w:p w14:paraId="4F12274B" w14:textId="39FB4FE3" w:rsidR="0098717B"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98717B" w:rsidRPr="00215A1D">
        <w:rPr>
          <w:rFonts w:ascii="Times New Roman" w:hAnsi="Times New Roman" w:cs="Times New Roman"/>
        </w:rPr>
        <w:t>Obowiązująca jeszcze dyrektywa 2009/72/WE , której implementacji służył (między innymi) zmieniany przepis</w:t>
      </w:r>
      <w:r w:rsidR="00E442DD">
        <w:rPr>
          <w:rFonts w:ascii="Times New Roman" w:hAnsi="Times New Roman" w:cs="Times New Roman"/>
        </w:rPr>
        <w:t>,</w:t>
      </w:r>
      <w:r w:rsidR="0098717B" w:rsidRPr="00215A1D">
        <w:rPr>
          <w:rFonts w:ascii="Times New Roman" w:hAnsi="Times New Roman" w:cs="Times New Roman"/>
        </w:rPr>
        <w:t xml:space="preserve"> określała jedynie zasady zakupu energii elektrycznej na pokrycie strat sieciowych. Nowa dyrektywa 2019/944</w:t>
      </w:r>
      <w:r w:rsidR="004D42B3">
        <w:rPr>
          <w:rFonts w:ascii="Times New Roman" w:hAnsi="Times New Roman" w:cs="Times New Roman"/>
        </w:rPr>
        <w:t xml:space="preserve"> </w:t>
      </w:r>
      <w:r w:rsidR="0098717B" w:rsidRPr="00215A1D">
        <w:rPr>
          <w:rFonts w:ascii="Times New Roman" w:hAnsi="Times New Roman" w:cs="Times New Roman"/>
        </w:rPr>
        <w:t>ora</w:t>
      </w:r>
      <w:r w:rsidR="001D0628">
        <w:rPr>
          <w:rFonts w:ascii="Times New Roman" w:hAnsi="Times New Roman" w:cs="Times New Roman"/>
        </w:rPr>
        <w:t>z </w:t>
      </w:r>
      <w:r w:rsidR="0098717B" w:rsidRPr="00215A1D">
        <w:rPr>
          <w:rFonts w:ascii="Times New Roman" w:hAnsi="Times New Roman" w:cs="Times New Roman"/>
        </w:rPr>
        <w:t>rozporządzenie 2019/943</w:t>
      </w:r>
      <w:r w:rsidR="004D42B3">
        <w:rPr>
          <w:rFonts w:ascii="Times New Roman" w:hAnsi="Times New Roman" w:cs="Times New Roman"/>
        </w:rPr>
        <w:t xml:space="preserve"> </w:t>
      </w:r>
      <w:r w:rsidR="0098717B" w:rsidRPr="00215A1D">
        <w:rPr>
          <w:rFonts w:ascii="Times New Roman" w:hAnsi="Times New Roman" w:cs="Times New Roman"/>
        </w:rPr>
        <w:t xml:space="preserve">nie regulują ani zagadnienia zakupu, ani odsprzedaży nadwyżek energii elektrycznej zakupionej na potrzeby </w:t>
      </w:r>
      <w:r w:rsidR="0098717B" w:rsidRPr="00215A1D">
        <w:rPr>
          <w:rFonts w:ascii="Times New Roman" w:hAnsi="Times New Roman" w:cs="Times New Roman"/>
        </w:rPr>
        <w:lastRenderedPageBreak/>
        <w:t xml:space="preserve">strat sieciowych. Powyższe nie stoi jednak na przeszkodzie temu, </w:t>
      </w:r>
      <w:r w:rsidR="00E442DD">
        <w:rPr>
          <w:rFonts w:ascii="Times New Roman" w:hAnsi="Times New Roman" w:cs="Times New Roman"/>
        </w:rPr>
        <w:t>a</w:t>
      </w:r>
      <w:r w:rsidR="0098717B" w:rsidRPr="00215A1D">
        <w:rPr>
          <w:rFonts w:ascii="Times New Roman" w:hAnsi="Times New Roman" w:cs="Times New Roman"/>
        </w:rPr>
        <w:t>by państwa członkowskie wprowadziły dodatkowe ograniczenia, jeżeli służą one realizacji celów dyrektywy (zob. wyrok Essent</w:t>
      </w:r>
      <w:r w:rsidR="001D0628">
        <w:rPr>
          <w:rFonts w:ascii="Times New Roman" w:hAnsi="Times New Roman" w:cs="Times New Roman"/>
        </w:rPr>
        <w:t xml:space="preserve"> i </w:t>
      </w:r>
      <w:r w:rsidR="0098717B" w:rsidRPr="00215A1D">
        <w:rPr>
          <w:rFonts w:ascii="Times New Roman" w:hAnsi="Times New Roman" w:cs="Times New Roman"/>
        </w:rPr>
        <w:t>in., C-105/12 do C-107/12, EU:C:2013:677, pkt 64</w:t>
      </w:r>
      <w:r w:rsidR="001D0628">
        <w:rPr>
          <w:rFonts w:ascii="Times New Roman" w:hAnsi="Times New Roman" w:cs="Times New Roman"/>
        </w:rPr>
        <w:t xml:space="preserve"> i </w:t>
      </w:r>
      <w:r w:rsidR="0098717B" w:rsidRPr="00215A1D">
        <w:rPr>
          <w:rFonts w:ascii="Times New Roman" w:hAnsi="Times New Roman" w:cs="Times New Roman"/>
        </w:rPr>
        <w:t>65). W przypadku zmienianego przepisu</w:t>
      </w:r>
      <w:r w:rsidR="004D42B3">
        <w:rPr>
          <w:rFonts w:ascii="Times New Roman" w:hAnsi="Times New Roman" w:cs="Times New Roman"/>
        </w:rPr>
        <w:t xml:space="preserve"> </w:t>
      </w:r>
      <w:r w:rsidR="0098717B" w:rsidRPr="00215A1D">
        <w:rPr>
          <w:rFonts w:ascii="Times New Roman" w:hAnsi="Times New Roman" w:cs="Times New Roman"/>
        </w:rPr>
        <w:t>takim celem jest zapewnienie przejrzystości</w:t>
      </w:r>
      <w:r w:rsidR="001D0628">
        <w:rPr>
          <w:rFonts w:ascii="Times New Roman" w:hAnsi="Times New Roman" w:cs="Times New Roman"/>
        </w:rPr>
        <w:t xml:space="preserve"> i </w:t>
      </w:r>
      <w:r w:rsidR="0098717B" w:rsidRPr="00215A1D">
        <w:rPr>
          <w:rFonts w:ascii="Times New Roman" w:hAnsi="Times New Roman" w:cs="Times New Roman"/>
        </w:rPr>
        <w:t xml:space="preserve">konkurencyjności na rynkach energii elektrycznej. </w:t>
      </w:r>
    </w:p>
    <w:p w14:paraId="067A3CB2" w14:textId="77777777" w:rsidR="00DB0148" w:rsidRDefault="00EF6F97">
      <w:pPr>
        <w:pStyle w:val="ARTartustawynprozporzdzenia"/>
        <w:spacing w:before="0"/>
        <w:ind w:firstLine="0"/>
        <w:rPr>
          <w:rFonts w:ascii="Times New Roman" w:hAnsi="Times New Roman" w:cs="Times New Roman"/>
        </w:rPr>
      </w:pPr>
      <w:r>
        <w:rPr>
          <w:rFonts w:ascii="Times New Roman" w:hAnsi="Times New Roman" w:cs="Times New Roman"/>
        </w:rPr>
        <w:tab/>
      </w:r>
      <w:r w:rsidR="0098717B" w:rsidRPr="00215A1D">
        <w:rPr>
          <w:rFonts w:ascii="Times New Roman" w:hAnsi="Times New Roman" w:cs="Times New Roman"/>
        </w:rPr>
        <w:t>Analogiczne rozwiązania zostały wdrożone w wielu państwach członkowskich Unii Europejskiej, w których za realizację zakupu energii elektrycznej na potrzeby pokrycia strat sieciowych odpowiada operator systemu przesyłowego, w tym Austrii, Chorwacji, Francji, Niemczech, Rumunii</w:t>
      </w:r>
      <w:r w:rsidR="001D0628">
        <w:rPr>
          <w:rFonts w:ascii="Times New Roman" w:hAnsi="Times New Roman" w:cs="Times New Roman"/>
        </w:rPr>
        <w:t xml:space="preserve"> i </w:t>
      </w:r>
      <w:r w:rsidR="0098717B" w:rsidRPr="00215A1D">
        <w:rPr>
          <w:rFonts w:ascii="Times New Roman" w:hAnsi="Times New Roman" w:cs="Times New Roman"/>
        </w:rPr>
        <w:t>Słowenii.</w:t>
      </w:r>
      <w:r w:rsidR="00222469" w:rsidRPr="00222469">
        <w:rPr>
          <w:rFonts w:ascii="Times New Roman" w:hAnsi="Times New Roman" w:cs="Times New Roman"/>
        </w:rPr>
        <w:tab/>
      </w:r>
    </w:p>
    <w:p w14:paraId="1A7720FA" w14:textId="77777777" w:rsidR="003B7594" w:rsidRDefault="003B7594">
      <w:pPr>
        <w:pStyle w:val="ARTartustawynprozporzdzenia"/>
        <w:spacing w:before="0"/>
        <w:ind w:firstLine="0"/>
        <w:rPr>
          <w:rFonts w:ascii="Times New Roman" w:hAnsi="Times New Roman" w:cs="Times New Roman"/>
        </w:rPr>
      </w:pPr>
    </w:p>
    <w:p w14:paraId="6738E604" w14:textId="235C3958" w:rsidR="00341F9D" w:rsidRPr="00215A1D" w:rsidRDefault="00EF6F97" w:rsidP="00215A1D">
      <w:pPr>
        <w:pStyle w:val="ARTartustawynprozporzdzenia"/>
        <w:spacing w:before="0"/>
        <w:ind w:firstLine="0"/>
        <w:rPr>
          <w:rFonts w:ascii="Times New Roman" w:hAnsi="Times New Roman" w:cs="Times New Roman"/>
        </w:rPr>
      </w:pPr>
      <w:r>
        <w:rPr>
          <w:rFonts w:ascii="Times New Roman" w:hAnsi="Times New Roman" w:cs="Times New Roman"/>
        </w:rPr>
        <w:tab/>
      </w:r>
      <w:r w:rsidR="00D24A41">
        <w:rPr>
          <w:rFonts w:ascii="Times New Roman" w:hAnsi="Times New Roman" w:cs="Times New Roman"/>
        </w:rPr>
        <w:t xml:space="preserve">Ad </w:t>
      </w:r>
      <w:r w:rsidR="00962958">
        <w:rPr>
          <w:rFonts w:ascii="Times New Roman" w:hAnsi="Times New Roman" w:cs="Times New Roman"/>
        </w:rPr>
        <w:t>19</w:t>
      </w:r>
      <w:r w:rsidR="0065641E" w:rsidRPr="00215A1D">
        <w:rPr>
          <w:rFonts w:ascii="Times New Roman" w:hAnsi="Times New Roman" w:cs="Times New Roman"/>
        </w:rPr>
        <w:t xml:space="preserve">. </w:t>
      </w:r>
      <w:r w:rsidR="00341F9D" w:rsidRPr="00215A1D">
        <w:rPr>
          <w:rFonts w:ascii="Times New Roman" w:hAnsi="Times New Roman" w:cs="Times New Roman"/>
        </w:rPr>
        <w:t xml:space="preserve">Zmiana przepisów epizodycznych w ustawie </w:t>
      </w:r>
      <w:r w:rsidR="001D0628">
        <w:rPr>
          <w:rFonts w:ascii="Times New Roman" w:hAnsi="Times New Roman" w:cs="Times New Roman"/>
        </w:rPr>
        <w:t>z </w:t>
      </w:r>
      <w:r w:rsidR="00341F9D" w:rsidRPr="00215A1D">
        <w:rPr>
          <w:rFonts w:ascii="Times New Roman" w:hAnsi="Times New Roman" w:cs="Times New Roman"/>
        </w:rPr>
        <w:t>dnia 11 maja 2001</w:t>
      </w:r>
      <w:r w:rsidR="001D0628">
        <w:rPr>
          <w:rFonts w:ascii="Times New Roman" w:hAnsi="Times New Roman" w:cs="Times New Roman"/>
        </w:rPr>
        <w:t> r.</w:t>
      </w:r>
      <w:r w:rsidR="00341F9D" w:rsidRPr="00215A1D">
        <w:rPr>
          <w:rFonts w:ascii="Times New Roman" w:hAnsi="Times New Roman" w:cs="Times New Roman"/>
        </w:rPr>
        <w:t xml:space="preserve"> </w:t>
      </w:r>
      <w:r w:rsidR="00E442DD">
        <w:rPr>
          <w:rFonts w:ascii="Times New Roman" w:hAnsi="Times New Roman" w:cs="Times New Roman"/>
        </w:rPr>
        <w:t>–</w:t>
      </w:r>
      <w:r w:rsidR="00341F9D" w:rsidRPr="00215A1D">
        <w:rPr>
          <w:rFonts w:ascii="Times New Roman" w:hAnsi="Times New Roman" w:cs="Times New Roman"/>
        </w:rPr>
        <w:t xml:space="preserve"> Prawo o miarach dotyczy dodania</w:t>
      </w:r>
      <w:r w:rsidR="00E442DD">
        <w:rPr>
          <w:rFonts w:ascii="Times New Roman" w:hAnsi="Times New Roman" w:cs="Times New Roman"/>
        </w:rPr>
        <w:t>,</w:t>
      </w:r>
      <w:r w:rsidR="00341F9D" w:rsidRPr="00215A1D">
        <w:rPr>
          <w:rFonts w:ascii="Times New Roman" w:hAnsi="Times New Roman" w:cs="Times New Roman"/>
        </w:rPr>
        <w:t xml:space="preserve"> obok już wprowadzonego poprzednią nowelizacją,</w:t>
      </w:r>
      <w:r w:rsidR="004D42B3">
        <w:rPr>
          <w:rFonts w:ascii="Times New Roman" w:hAnsi="Times New Roman" w:cs="Times New Roman"/>
        </w:rPr>
        <w:t xml:space="preserve"> </w:t>
      </w:r>
      <w:r w:rsidR="00341F9D" w:rsidRPr="00215A1D">
        <w:rPr>
          <w:rFonts w:ascii="Times New Roman" w:hAnsi="Times New Roman" w:cs="Times New Roman"/>
        </w:rPr>
        <w:t>nowego okresu odraczania terminu dokonania legalizacji ponownej</w:t>
      </w:r>
      <w:r w:rsidR="001D0628">
        <w:rPr>
          <w:rFonts w:ascii="Times New Roman" w:hAnsi="Times New Roman" w:cs="Times New Roman"/>
        </w:rPr>
        <w:t xml:space="preserve"> i </w:t>
      </w:r>
      <w:r w:rsidR="00341F9D" w:rsidRPr="00215A1D">
        <w:rPr>
          <w:rFonts w:ascii="Times New Roman" w:hAnsi="Times New Roman" w:cs="Times New Roman"/>
        </w:rPr>
        <w:t>zezwalania na dalsze użytkowanie przyrządów pomiarowych</w:t>
      </w:r>
      <w:r w:rsidR="00E442DD">
        <w:rPr>
          <w:rFonts w:ascii="Times New Roman" w:hAnsi="Times New Roman" w:cs="Times New Roman"/>
        </w:rPr>
        <w:t>,</w:t>
      </w:r>
      <w:r w:rsidR="00341F9D" w:rsidRPr="00215A1D">
        <w:rPr>
          <w:rFonts w:ascii="Times New Roman" w:hAnsi="Times New Roman" w:cs="Times New Roman"/>
        </w:rPr>
        <w:t xml:space="preserve"> wobec których dokonano takiego odroczenia</w:t>
      </w:r>
      <w:r w:rsidR="00E442DD">
        <w:rPr>
          <w:rFonts w:ascii="Times New Roman" w:hAnsi="Times New Roman" w:cs="Times New Roman"/>
        </w:rPr>
        <w:t>,</w:t>
      </w:r>
      <w:r w:rsidR="00341F9D" w:rsidRPr="00215A1D">
        <w:rPr>
          <w:rFonts w:ascii="Times New Roman" w:hAnsi="Times New Roman" w:cs="Times New Roman"/>
        </w:rPr>
        <w:t xml:space="preserve"> prze</w:t>
      </w:r>
      <w:r w:rsidR="001D0628">
        <w:rPr>
          <w:rFonts w:ascii="Times New Roman" w:hAnsi="Times New Roman" w:cs="Times New Roman"/>
        </w:rPr>
        <w:t>z </w:t>
      </w:r>
      <w:r w:rsidR="00341F9D" w:rsidRPr="00215A1D">
        <w:rPr>
          <w:rFonts w:ascii="Times New Roman" w:hAnsi="Times New Roman" w:cs="Times New Roman"/>
        </w:rPr>
        <w:t xml:space="preserve">okres nie dłuższy niż 12 miesięcy. Okres </w:t>
      </w:r>
      <w:r w:rsidR="004D42B3">
        <w:rPr>
          <w:rFonts w:ascii="Times New Roman" w:hAnsi="Times New Roman" w:cs="Times New Roman"/>
        </w:rPr>
        <w:t>odroczenia (</w:t>
      </w:r>
      <w:r w:rsidR="00341F9D" w:rsidRPr="00215A1D">
        <w:rPr>
          <w:rFonts w:ascii="Times New Roman" w:hAnsi="Times New Roman" w:cs="Times New Roman"/>
        </w:rPr>
        <w:t>do 6 lub 12 miesięcy</w:t>
      </w:r>
      <w:r w:rsidR="004D42B3">
        <w:rPr>
          <w:rFonts w:ascii="Times New Roman" w:hAnsi="Times New Roman" w:cs="Times New Roman"/>
        </w:rPr>
        <w:t>)</w:t>
      </w:r>
      <w:r w:rsidR="00341F9D" w:rsidRPr="00215A1D">
        <w:rPr>
          <w:rFonts w:ascii="Times New Roman" w:hAnsi="Times New Roman" w:cs="Times New Roman"/>
        </w:rPr>
        <w:t xml:space="preserve"> wyznaczany będzie mógł być w zależności od sposobu wyrażania ważności okresu legalizacji, liczonej w miesiącach lub latach. Dodano również możliwość odraczania legalizacji ponownej wobec przyrządów pomiarowych, wprowadzonych do obrotu lub użytkowania po dokonaniu oceny zgodności. Obecnie obowiązująca regulacja nie zaspokaja w pełni potrzeb rynku, gdyż wiele grup przyrządów pomiarowych nowo produkowanych ora</w:t>
      </w:r>
      <w:r w:rsidR="001D0628">
        <w:rPr>
          <w:rFonts w:ascii="Times New Roman" w:hAnsi="Times New Roman" w:cs="Times New Roman"/>
        </w:rPr>
        <w:t>z </w:t>
      </w:r>
      <w:r w:rsidR="00341F9D" w:rsidRPr="00215A1D">
        <w:rPr>
          <w:rFonts w:ascii="Times New Roman" w:hAnsi="Times New Roman" w:cs="Times New Roman"/>
        </w:rPr>
        <w:t xml:space="preserve">użytkowanych zostało wprowadzonych na rynek po dokonaniu oceny zgodności. Aktualnie rozwiązany jest problem wykonywania legalizacji ponownej (art. 26c ustawy </w:t>
      </w:r>
      <w:r w:rsidR="00E442DD">
        <w:rPr>
          <w:rFonts w:ascii="Times New Roman" w:hAnsi="Times New Roman" w:cs="Times New Roman"/>
        </w:rPr>
        <w:t>–</w:t>
      </w:r>
      <w:r w:rsidR="004D42B3">
        <w:rPr>
          <w:rFonts w:ascii="Times New Roman" w:hAnsi="Times New Roman" w:cs="Times New Roman"/>
        </w:rPr>
        <w:t xml:space="preserve"> </w:t>
      </w:r>
      <w:r w:rsidR="00341F9D" w:rsidRPr="00215A1D">
        <w:rPr>
          <w:rFonts w:ascii="Times New Roman" w:hAnsi="Times New Roman" w:cs="Times New Roman"/>
        </w:rPr>
        <w:t>Prawo</w:t>
      </w:r>
      <w:r w:rsidR="00E442DD">
        <w:rPr>
          <w:rFonts w:ascii="Times New Roman" w:hAnsi="Times New Roman" w:cs="Times New Roman"/>
        </w:rPr>
        <w:t xml:space="preserve"> </w:t>
      </w:r>
      <w:r w:rsidR="00341F9D" w:rsidRPr="00215A1D">
        <w:rPr>
          <w:rFonts w:ascii="Times New Roman" w:hAnsi="Times New Roman" w:cs="Times New Roman"/>
        </w:rPr>
        <w:t xml:space="preserve"> o miarach), który nie uwzględnia przyrządów pomiarowych wprowadzonych do obrotu lub użytkowania po dokonaniu oceny zgodności. Sama zaś ocena zgodności jest, w odróżnieniu od wcześniej występującego zatwierdzenia typu, inną formą wprowadzania na rynek przyrządów pomiarowych. Przepisy w tej materii powinny więc być spójne, a wszystkie przyrządy pomiarowe powinny podlegać tym samym regulacjom. </w:t>
      </w:r>
    </w:p>
    <w:p w14:paraId="0CDD276F" w14:textId="2410A688" w:rsidR="00341F9D" w:rsidRPr="00215A1D"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341F9D" w:rsidRPr="00215A1D">
        <w:rPr>
          <w:rFonts w:ascii="Times New Roman" w:hAnsi="Times New Roman" w:cs="Times New Roman"/>
        </w:rPr>
        <w:t xml:space="preserve">Nowa redakcja </w:t>
      </w:r>
      <w:r w:rsidR="00E442DD">
        <w:rPr>
          <w:rFonts w:ascii="Times New Roman" w:hAnsi="Times New Roman" w:cs="Times New Roman"/>
        </w:rPr>
        <w:t>prze</w:t>
      </w:r>
      <w:r w:rsidR="00341F9D" w:rsidRPr="00215A1D">
        <w:rPr>
          <w:rFonts w:ascii="Times New Roman" w:hAnsi="Times New Roman" w:cs="Times New Roman"/>
        </w:rPr>
        <w:t>pisów art. 26c rozwiązuje zidentyfikowany problem przeprowadzania, w warunkach epidemii, legalizacji ponownej przyrządów pomiarowych szczególnie ważnych dla polskiej gospodarki ze względu na ich znaczenia dla funkcjonowania infrastruktury krytycznej państwa ora</w:t>
      </w:r>
      <w:r w:rsidR="001D0628">
        <w:rPr>
          <w:rFonts w:ascii="Times New Roman" w:hAnsi="Times New Roman" w:cs="Times New Roman"/>
        </w:rPr>
        <w:t>z </w:t>
      </w:r>
      <w:r w:rsidR="00341F9D" w:rsidRPr="00215A1D">
        <w:rPr>
          <w:rFonts w:ascii="Times New Roman" w:hAnsi="Times New Roman" w:cs="Times New Roman"/>
        </w:rPr>
        <w:t xml:space="preserve">przyrządów pomiarowych, w szczególności wykorzystywane w użytkowaniu wszystkich rodzajów mediów. Przyrządy te użytkowane są w masowej skali </w:t>
      </w:r>
      <w:r w:rsidR="004D42B3">
        <w:rPr>
          <w:rFonts w:ascii="Times New Roman" w:hAnsi="Times New Roman" w:cs="Times New Roman"/>
        </w:rPr>
        <w:t>i obejmują</w:t>
      </w:r>
      <w:r w:rsidR="00341F9D" w:rsidRPr="00215A1D">
        <w:rPr>
          <w:rFonts w:ascii="Times New Roman" w:hAnsi="Times New Roman" w:cs="Times New Roman"/>
        </w:rPr>
        <w:t xml:space="preserve"> gazomierz</w:t>
      </w:r>
      <w:r w:rsidR="004D42B3">
        <w:rPr>
          <w:rFonts w:ascii="Times New Roman" w:hAnsi="Times New Roman" w:cs="Times New Roman"/>
        </w:rPr>
        <w:t>e</w:t>
      </w:r>
      <w:r w:rsidR="00341F9D" w:rsidRPr="00215A1D">
        <w:rPr>
          <w:rFonts w:ascii="Times New Roman" w:hAnsi="Times New Roman" w:cs="Times New Roman"/>
        </w:rPr>
        <w:t>, licznik</w:t>
      </w:r>
      <w:r w:rsidR="004D42B3">
        <w:rPr>
          <w:rFonts w:ascii="Times New Roman" w:hAnsi="Times New Roman" w:cs="Times New Roman"/>
        </w:rPr>
        <w:t>i</w:t>
      </w:r>
      <w:r w:rsidR="00341F9D" w:rsidRPr="00215A1D">
        <w:rPr>
          <w:rFonts w:ascii="Times New Roman" w:hAnsi="Times New Roman" w:cs="Times New Roman"/>
        </w:rPr>
        <w:t xml:space="preserve"> energii elektrycznej, wodomierz</w:t>
      </w:r>
      <w:r w:rsidR="004D42B3">
        <w:rPr>
          <w:rFonts w:ascii="Times New Roman" w:hAnsi="Times New Roman" w:cs="Times New Roman"/>
        </w:rPr>
        <w:t>e</w:t>
      </w:r>
      <w:r w:rsidR="00341F9D" w:rsidRPr="00215A1D">
        <w:rPr>
          <w:rFonts w:ascii="Times New Roman" w:hAnsi="Times New Roman" w:cs="Times New Roman"/>
        </w:rPr>
        <w:t>, ciepłomierz</w:t>
      </w:r>
      <w:r w:rsidR="004D42B3">
        <w:rPr>
          <w:rFonts w:ascii="Times New Roman" w:hAnsi="Times New Roman" w:cs="Times New Roman"/>
        </w:rPr>
        <w:t>e</w:t>
      </w:r>
      <w:r w:rsidR="00341F9D" w:rsidRPr="00215A1D">
        <w:rPr>
          <w:rFonts w:ascii="Times New Roman" w:hAnsi="Times New Roman" w:cs="Times New Roman"/>
        </w:rPr>
        <w:t xml:space="preserve"> ora</w:t>
      </w:r>
      <w:r w:rsidR="001D0628">
        <w:rPr>
          <w:rFonts w:ascii="Times New Roman" w:hAnsi="Times New Roman" w:cs="Times New Roman"/>
        </w:rPr>
        <w:t>z </w:t>
      </w:r>
      <w:r w:rsidR="00341F9D" w:rsidRPr="00215A1D">
        <w:rPr>
          <w:rFonts w:ascii="Times New Roman" w:hAnsi="Times New Roman" w:cs="Times New Roman"/>
        </w:rPr>
        <w:t>ich podzespoł</w:t>
      </w:r>
      <w:r w:rsidR="004D42B3">
        <w:rPr>
          <w:rFonts w:ascii="Times New Roman" w:hAnsi="Times New Roman" w:cs="Times New Roman"/>
        </w:rPr>
        <w:t>y</w:t>
      </w:r>
      <w:r w:rsidR="00341F9D" w:rsidRPr="00215A1D">
        <w:rPr>
          <w:rFonts w:ascii="Times New Roman" w:hAnsi="Times New Roman" w:cs="Times New Roman"/>
        </w:rPr>
        <w:t xml:space="preserve">, a ich demontaż aktualnie, w związku </w:t>
      </w:r>
      <w:r w:rsidR="001D0628">
        <w:rPr>
          <w:rFonts w:ascii="Times New Roman" w:hAnsi="Times New Roman" w:cs="Times New Roman"/>
        </w:rPr>
        <w:lastRenderedPageBreak/>
        <w:t>z </w:t>
      </w:r>
      <w:r w:rsidR="00341F9D" w:rsidRPr="00215A1D">
        <w:rPr>
          <w:rFonts w:ascii="Times New Roman" w:hAnsi="Times New Roman" w:cs="Times New Roman"/>
        </w:rPr>
        <w:t xml:space="preserve">ograniczeniami wynikającymi </w:t>
      </w:r>
      <w:r w:rsidR="001D0628">
        <w:rPr>
          <w:rFonts w:ascii="Times New Roman" w:hAnsi="Times New Roman" w:cs="Times New Roman"/>
        </w:rPr>
        <w:t>z </w:t>
      </w:r>
      <w:r w:rsidR="00341F9D" w:rsidRPr="00215A1D">
        <w:rPr>
          <w:rFonts w:ascii="Times New Roman" w:hAnsi="Times New Roman" w:cs="Times New Roman"/>
        </w:rPr>
        <w:t>zasad ochrony w okresie pandemii, w celu wykonania legalizacji ponownej nie jest możliwy lub znacznie utrudniony. Utrudnienia</w:t>
      </w:r>
      <w:r w:rsidR="001D0628">
        <w:rPr>
          <w:rFonts w:ascii="Times New Roman" w:hAnsi="Times New Roman" w:cs="Times New Roman"/>
        </w:rPr>
        <w:t xml:space="preserve"> i </w:t>
      </w:r>
      <w:r w:rsidR="00341F9D" w:rsidRPr="00215A1D">
        <w:rPr>
          <w:rFonts w:ascii="Times New Roman" w:hAnsi="Times New Roman" w:cs="Times New Roman"/>
        </w:rPr>
        <w:t xml:space="preserve">ograniczenia związane są na przykład </w:t>
      </w:r>
      <w:r w:rsidR="001D0628">
        <w:rPr>
          <w:rFonts w:ascii="Times New Roman" w:hAnsi="Times New Roman" w:cs="Times New Roman"/>
        </w:rPr>
        <w:t>z </w:t>
      </w:r>
      <w:r w:rsidR="00341F9D" w:rsidRPr="00215A1D">
        <w:rPr>
          <w:rFonts w:ascii="Times New Roman" w:hAnsi="Times New Roman" w:cs="Times New Roman"/>
        </w:rPr>
        <w:t>odmową wstępu do mieszkań</w:t>
      </w:r>
      <w:r w:rsidR="001D0628">
        <w:rPr>
          <w:rFonts w:ascii="Times New Roman" w:hAnsi="Times New Roman" w:cs="Times New Roman"/>
        </w:rPr>
        <w:t xml:space="preserve"> i </w:t>
      </w:r>
      <w:r w:rsidR="00341F9D" w:rsidRPr="00215A1D">
        <w:rPr>
          <w:rFonts w:ascii="Times New Roman" w:hAnsi="Times New Roman" w:cs="Times New Roman"/>
        </w:rPr>
        <w:t>domów przedstawicieli podmiotów odpowiedzialnych za demontaż przyrządów pomiarowych.</w:t>
      </w:r>
    </w:p>
    <w:p w14:paraId="1B3E8A18" w14:textId="6B9A2BF2" w:rsidR="00341F9D" w:rsidRPr="00EF6F97"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341F9D" w:rsidRPr="00215A1D">
        <w:rPr>
          <w:rFonts w:ascii="Times New Roman" w:hAnsi="Times New Roman" w:cs="Times New Roman"/>
        </w:rPr>
        <w:t xml:space="preserve">Ponadto, biorąc pod uwagę treść art. 8k ust. 3 ustawy </w:t>
      </w:r>
      <w:r w:rsidR="001D0628">
        <w:rPr>
          <w:rFonts w:ascii="Times New Roman" w:hAnsi="Times New Roman" w:cs="Times New Roman"/>
        </w:rPr>
        <w:t>z </w:t>
      </w:r>
      <w:r w:rsidR="00341F9D" w:rsidRPr="00215A1D">
        <w:rPr>
          <w:rFonts w:ascii="Times New Roman" w:hAnsi="Times New Roman" w:cs="Times New Roman"/>
        </w:rPr>
        <w:t>dnia 11 maja 2001</w:t>
      </w:r>
      <w:r w:rsidR="001D0628">
        <w:rPr>
          <w:rFonts w:ascii="Times New Roman" w:hAnsi="Times New Roman" w:cs="Times New Roman"/>
        </w:rPr>
        <w:t> r.</w:t>
      </w:r>
      <w:r w:rsidR="00341F9D" w:rsidRPr="00215A1D">
        <w:rPr>
          <w:rFonts w:ascii="Times New Roman" w:hAnsi="Times New Roman" w:cs="Times New Roman"/>
        </w:rPr>
        <w:t xml:space="preserve"> – Prawo o miarach, zgodnie </w:t>
      </w:r>
      <w:r w:rsidR="001D0628">
        <w:rPr>
          <w:rFonts w:ascii="Times New Roman" w:hAnsi="Times New Roman" w:cs="Times New Roman"/>
        </w:rPr>
        <w:t>z </w:t>
      </w:r>
      <w:r w:rsidR="00341F9D" w:rsidRPr="00215A1D">
        <w:rPr>
          <w:rFonts w:ascii="Times New Roman" w:hAnsi="Times New Roman" w:cs="Times New Roman"/>
        </w:rPr>
        <w:t>którym termin na zgłoszenie po ra</w:t>
      </w:r>
      <w:r w:rsidR="001D0628">
        <w:rPr>
          <w:rFonts w:ascii="Times New Roman" w:hAnsi="Times New Roman" w:cs="Times New Roman"/>
        </w:rPr>
        <w:t>z </w:t>
      </w:r>
      <w:r w:rsidR="00341F9D" w:rsidRPr="00215A1D">
        <w:rPr>
          <w:rFonts w:ascii="Times New Roman" w:hAnsi="Times New Roman" w:cs="Times New Roman"/>
        </w:rPr>
        <w:t>pierwszy do legalizacji ponownej przyrządu pomiarowego wprowadzonego do obrotu lub użytkowania po dokonaniu oceny zgodności liczy się do pierwszego dnia grudnia roku, którego oznaczenie zostało naniesione na przyrządzie podczas dokonywania tej oceny, dojdzie do skumulowania demontażu</w:t>
      </w:r>
      <w:r w:rsidR="001D0628">
        <w:rPr>
          <w:rFonts w:ascii="Times New Roman" w:hAnsi="Times New Roman" w:cs="Times New Roman"/>
        </w:rPr>
        <w:t xml:space="preserve"> i </w:t>
      </w:r>
      <w:r w:rsidR="00341F9D" w:rsidRPr="00215A1D">
        <w:rPr>
          <w:rFonts w:ascii="Times New Roman" w:hAnsi="Times New Roman" w:cs="Times New Roman"/>
        </w:rPr>
        <w:t xml:space="preserve">instalacji w bardzo krótkim okresie czasu ze względu na wielomiesięczny przestój w realizacji tych działań. Wiąże się to </w:t>
      </w:r>
      <w:r w:rsidR="001D0628">
        <w:rPr>
          <w:rFonts w:ascii="Times New Roman" w:hAnsi="Times New Roman" w:cs="Times New Roman"/>
        </w:rPr>
        <w:t>z </w:t>
      </w:r>
      <w:r w:rsidR="00341F9D" w:rsidRPr="00215A1D">
        <w:rPr>
          <w:rFonts w:ascii="Times New Roman" w:hAnsi="Times New Roman" w:cs="Times New Roman"/>
        </w:rPr>
        <w:t>tym, że przedsiębiorstwa, w szczególności te odpowiedzialne za przyrządy pomiarowe mające zastosowanie na szeroką skalę</w:t>
      </w:r>
      <w:r w:rsidR="00D4660E">
        <w:rPr>
          <w:rFonts w:ascii="Times New Roman" w:hAnsi="Times New Roman" w:cs="Times New Roman"/>
        </w:rPr>
        <w:t>,</w:t>
      </w:r>
      <w:r w:rsidR="00341F9D" w:rsidRPr="00215A1D">
        <w:rPr>
          <w:rFonts w:ascii="Times New Roman" w:hAnsi="Times New Roman" w:cs="Times New Roman"/>
        </w:rPr>
        <w:t xml:space="preserve"> jak np. liczniki energii elektrycznej, rozkładają w czasie, zgodnie </w:t>
      </w:r>
      <w:r w:rsidR="001D0628">
        <w:rPr>
          <w:rFonts w:ascii="Times New Roman" w:hAnsi="Times New Roman" w:cs="Times New Roman"/>
        </w:rPr>
        <w:t>z </w:t>
      </w:r>
      <w:r w:rsidR="00341F9D" w:rsidRPr="00215A1D">
        <w:rPr>
          <w:rFonts w:ascii="Times New Roman" w:hAnsi="Times New Roman" w:cs="Times New Roman"/>
        </w:rPr>
        <w:t>wcześniej określonym harmonogramem, demontaż</w:t>
      </w:r>
      <w:r w:rsidR="001D0628">
        <w:rPr>
          <w:rFonts w:ascii="Times New Roman" w:hAnsi="Times New Roman" w:cs="Times New Roman"/>
        </w:rPr>
        <w:t xml:space="preserve"> i </w:t>
      </w:r>
      <w:r w:rsidR="00341F9D" w:rsidRPr="00215A1D">
        <w:rPr>
          <w:rFonts w:ascii="Times New Roman" w:hAnsi="Times New Roman" w:cs="Times New Roman"/>
        </w:rPr>
        <w:t>instalację przyrządów pomiarowych, zarówno ze względów możliwości fizycznych na wykonanie tych czynności</w:t>
      </w:r>
      <w:r w:rsidR="00D4660E">
        <w:rPr>
          <w:rFonts w:ascii="Times New Roman" w:hAnsi="Times New Roman" w:cs="Times New Roman"/>
        </w:rPr>
        <w:t>,</w:t>
      </w:r>
      <w:r w:rsidR="00341F9D" w:rsidRPr="00215A1D">
        <w:rPr>
          <w:rFonts w:ascii="Times New Roman" w:hAnsi="Times New Roman" w:cs="Times New Roman"/>
        </w:rPr>
        <w:t xml:space="preserve"> jak również ekonomicznych, kierując się przesłanką jak najmniejszego obciążenia kosztami odbiorców końcowych. Na marginesie należy zaznaczyć, że koszty związane </w:t>
      </w:r>
      <w:r w:rsidR="001D0628">
        <w:rPr>
          <w:rFonts w:ascii="Times New Roman" w:hAnsi="Times New Roman" w:cs="Times New Roman"/>
        </w:rPr>
        <w:t>z </w:t>
      </w:r>
      <w:r w:rsidR="00341F9D" w:rsidRPr="00EF6F97">
        <w:rPr>
          <w:rFonts w:ascii="Times New Roman" w:hAnsi="Times New Roman" w:cs="Times New Roman"/>
        </w:rPr>
        <w:t>kupnem</w:t>
      </w:r>
      <w:r w:rsidR="001D0628">
        <w:rPr>
          <w:rFonts w:ascii="Times New Roman" w:hAnsi="Times New Roman" w:cs="Times New Roman"/>
        </w:rPr>
        <w:t xml:space="preserve"> i </w:t>
      </w:r>
      <w:r w:rsidR="00341F9D" w:rsidRPr="00EF6F97">
        <w:rPr>
          <w:rFonts w:ascii="Times New Roman" w:hAnsi="Times New Roman" w:cs="Times New Roman"/>
        </w:rPr>
        <w:t>instalacją albo demontażem liczników energii elektrycznej stanowią koszty uzasadnione, które prze</w:t>
      </w:r>
      <w:r w:rsidR="001D0628">
        <w:rPr>
          <w:rFonts w:ascii="Times New Roman" w:hAnsi="Times New Roman" w:cs="Times New Roman"/>
        </w:rPr>
        <w:t>z</w:t>
      </w:r>
      <w:r w:rsidR="00E442DD">
        <w:rPr>
          <w:rFonts w:ascii="Times New Roman" w:hAnsi="Times New Roman" w:cs="Times New Roman"/>
        </w:rPr>
        <w:t xml:space="preserve"> </w:t>
      </w:r>
      <w:r w:rsidR="00341F9D" w:rsidRPr="00EF6F97">
        <w:rPr>
          <w:rFonts w:ascii="Times New Roman" w:hAnsi="Times New Roman" w:cs="Times New Roman"/>
        </w:rPr>
        <w:t>taryfę przedsiębiorstwa energetycznego zajmującego się dystrybucj</w:t>
      </w:r>
      <w:r w:rsidR="00E442DD">
        <w:rPr>
          <w:rFonts w:ascii="Times New Roman" w:hAnsi="Times New Roman" w:cs="Times New Roman"/>
        </w:rPr>
        <w:t>ą</w:t>
      </w:r>
      <w:r w:rsidR="00341F9D" w:rsidRPr="00EF6F97">
        <w:rPr>
          <w:rFonts w:ascii="Times New Roman" w:hAnsi="Times New Roman" w:cs="Times New Roman"/>
        </w:rPr>
        <w:t xml:space="preserve"> energii elektrycznej przenoszone są na odbiorcę końcowego. Co więcej koszty te muszą być uzasadnione</w:t>
      </w:r>
      <w:r w:rsidR="00E442DD">
        <w:rPr>
          <w:rFonts w:ascii="Times New Roman" w:hAnsi="Times New Roman" w:cs="Times New Roman"/>
        </w:rPr>
        <w:t>,</w:t>
      </w:r>
      <w:r w:rsidR="00341F9D" w:rsidRPr="00EF6F97">
        <w:rPr>
          <w:rFonts w:ascii="Times New Roman" w:hAnsi="Times New Roman" w:cs="Times New Roman"/>
        </w:rPr>
        <w:t xml:space="preserve"> aby taryfa takiego przedsiębiorstwa została zatwierdzona prze</w:t>
      </w:r>
      <w:r w:rsidR="001D0628">
        <w:rPr>
          <w:rFonts w:ascii="Times New Roman" w:hAnsi="Times New Roman" w:cs="Times New Roman"/>
        </w:rPr>
        <w:t>z </w:t>
      </w:r>
      <w:r w:rsidR="00341F9D" w:rsidRPr="00EF6F97">
        <w:rPr>
          <w:rFonts w:ascii="Times New Roman" w:hAnsi="Times New Roman" w:cs="Times New Roman"/>
        </w:rPr>
        <w:t>regulatora.</w:t>
      </w:r>
    </w:p>
    <w:p w14:paraId="49447A1C" w14:textId="33ECF9F7" w:rsidR="00341F9D" w:rsidRPr="00EF6F97"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341F9D" w:rsidRPr="00EF6F97">
        <w:rPr>
          <w:rFonts w:ascii="Times New Roman" w:hAnsi="Times New Roman" w:cs="Times New Roman"/>
        </w:rPr>
        <w:t>W praktyce postulowane rozwiązania legislacyjne umożliwiają złożenie</w:t>
      </w:r>
      <w:r w:rsidR="00D4660E">
        <w:rPr>
          <w:rFonts w:ascii="Times New Roman" w:hAnsi="Times New Roman" w:cs="Times New Roman"/>
        </w:rPr>
        <w:t xml:space="preserve"> </w:t>
      </w:r>
      <w:r w:rsidR="00341F9D" w:rsidRPr="00EF6F97">
        <w:rPr>
          <w:rFonts w:ascii="Times New Roman" w:hAnsi="Times New Roman" w:cs="Times New Roman"/>
        </w:rPr>
        <w:t>wniosków o odroczenie legalizacji</w:t>
      </w:r>
      <w:r w:rsidR="002D3DD6">
        <w:rPr>
          <w:rFonts w:ascii="Times New Roman" w:hAnsi="Times New Roman" w:cs="Times New Roman"/>
        </w:rPr>
        <w:t xml:space="preserve"> w okresie obowiązywania epidemii lub stanu zagrożenia tą epidemią</w:t>
      </w:r>
      <w:r w:rsidR="00341F9D" w:rsidRPr="00EF6F97">
        <w:rPr>
          <w:rFonts w:ascii="Times New Roman" w:hAnsi="Times New Roman" w:cs="Times New Roman"/>
        </w:rPr>
        <w:t xml:space="preserve">. W związku </w:t>
      </w:r>
      <w:r w:rsidR="001D0628">
        <w:rPr>
          <w:rFonts w:ascii="Times New Roman" w:hAnsi="Times New Roman" w:cs="Times New Roman"/>
        </w:rPr>
        <w:t>z </w:t>
      </w:r>
      <w:r w:rsidR="00341F9D" w:rsidRPr="00EF6F97">
        <w:rPr>
          <w:rFonts w:ascii="Times New Roman" w:hAnsi="Times New Roman" w:cs="Times New Roman"/>
        </w:rPr>
        <w:t>odroczeniem terminów, legalizacja ponowna wykonywana będzie w okresie do 6 lub 12 miesięcy od pierwszego dnia upływu okresu ważności legalizacji przyrządu albo terminu, w którym przyrząd powinien być zgłoszony po ra</w:t>
      </w:r>
      <w:r w:rsidR="001D0628">
        <w:rPr>
          <w:rFonts w:ascii="Times New Roman" w:hAnsi="Times New Roman" w:cs="Times New Roman"/>
        </w:rPr>
        <w:t>z </w:t>
      </w:r>
      <w:r w:rsidR="00341F9D" w:rsidRPr="00EF6F97">
        <w:rPr>
          <w:rFonts w:ascii="Times New Roman" w:hAnsi="Times New Roman" w:cs="Times New Roman"/>
        </w:rPr>
        <w:t xml:space="preserve">pierwszy do legalizacji ponownej po dokonaniu oceny zgodności. </w:t>
      </w:r>
    </w:p>
    <w:p w14:paraId="630D5145" w14:textId="18AA14C7" w:rsidR="00341F9D" w:rsidRPr="00EF6F97"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341F9D" w:rsidRPr="00EF6F97">
        <w:rPr>
          <w:rFonts w:ascii="Times New Roman" w:hAnsi="Times New Roman" w:cs="Times New Roman"/>
        </w:rPr>
        <w:t>W nowym brzmieniu dodano również</w:t>
      </w:r>
      <w:r w:rsidR="00A8083D">
        <w:rPr>
          <w:rFonts w:ascii="Times New Roman" w:hAnsi="Times New Roman" w:cs="Times New Roman"/>
        </w:rPr>
        <w:t xml:space="preserve"> </w:t>
      </w:r>
      <w:r w:rsidR="00D4660E">
        <w:rPr>
          <w:rFonts w:ascii="Times New Roman" w:hAnsi="Times New Roman" w:cs="Times New Roman"/>
        </w:rPr>
        <w:t>przepis</w:t>
      </w:r>
      <w:r w:rsidR="00341F9D" w:rsidRPr="00EF6F97">
        <w:rPr>
          <w:rFonts w:ascii="Times New Roman" w:hAnsi="Times New Roman" w:cs="Times New Roman"/>
        </w:rPr>
        <w:t>, który wskazuje, iż wniosek o odroczenie legalizacji można złożyć tylko do jednego organu administracji miar. Przepis ten eliminuje możliwość składania tego samego wniosku do wielu organów administracji miar.</w:t>
      </w:r>
    </w:p>
    <w:p w14:paraId="10F3C0C0" w14:textId="1494CB24" w:rsidR="00341F9D" w:rsidRPr="00EF6F97" w:rsidRDefault="00EF6F97" w:rsidP="00215A1D">
      <w:pPr>
        <w:pStyle w:val="ARTartustawynprozporzdzenia"/>
        <w:spacing w:before="0"/>
        <w:rPr>
          <w:rFonts w:ascii="Times New Roman" w:hAnsi="Times New Roman" w:cs="Times New Roman"/>
        </w:rPr>
      </w:pPr>
      <w:r>
        <w:rPr>
          <w:rFonts w:ascii="Times New Roman" w:hAnsi="Times New Roman" w:cs="Times New Roman"/>
        </w:rPr>
        <w:tab/>
      </w:r>
      <w:r w:rsidR="00341F9D" w:rsidRPr="00EF6F97">
        <w:rPr>
          <w:rFonts w:ascii="Times New Roman" w:hAnsi="Times New Roman" w:cs="Times New Roman"/>
        </w:rPr>
        <w:t xml:space="preserve">Wprowadzono również </w:t>
      </w:r>
      <w:r w:rsidR="00D4660E">
        <w:rPr>
          <w:rFonts w:ascii="Times New Roman" w:hAnsi="Times New Roman" w:cs="Times New Roman"/>
        </w:rPr>
        <w:t>przepis</w:t>
      </w:r>
      <w:r w:rsidR="00A8083D">
        <w:rPr>
          <w:rFonts w:ascii="Times New Roman" w:hAnsi="Times New Roman" w:cs="Times New Roman"/>
        </w:rPr>
        <w:t>,</w:t>
      </w:r>
      <w:r w:rsidR="00D4660E">
        <w:rPr>
          <w:rFonts w:ascii="Times New Roman" w:hAnsi="Times New Roman" w:cs="Times New Roman"/>
        </w:rPr>
        <w:t xml:space="preserve"> </w:t>
      </w:r>
      <w:r w:rsidR="00341F9D" w:rsidRPr="00EF6F97">
        <w:rPr>
          <w:rFonts w:ascii="Times New Roman" w:hAnsi="Times New Roman" w:cs="Times New Roman"/>
        </w:rPr>
        <w:t xml:space="preserve">zgodnie </w:t>
      </w:r>
      <w:r w:rsidR="001D0628">
        <w:rPr>
          <w:rFonts w:ascii="Times New Roman" w:hAnsi="Times New Roman" w:cs="Times New Roman"/>
        </w:rPr>
        <w:t>z </w:t>
      </w:r>
      <w:r w:rsidR="00341F9D" w:rsidRPr="00EF6F97">
        <w:rPr>
          <w:rFonts w:ascii="Times New Roman" w:hAnsi="Times New Roman" w:cs="Times New Roman"/>
        </w:rPr>
        <w:t>którym do wniosku o odroczenie legalizacji dołączana będzie klauzula dotycząca odpowiedzialności karnej za składanie fałszywego oświadczenia.</w:t>
      </w:r>
    </w:p>
    <w:p w14:paraId="723642D0" w14:textId="5241E650" w:rsidR="00341F9D" w:rsidRPr="00EF6F97" w:rsidRDefault="00EF6F97" w:rsidP="00215A1D">
      <w:pPr>
        <w:pStyle w:val="ARTartustawynprozporzdzenia"/>
        <w:spacing w:before="0"/>
        <w:rPr>
          <w:rFonts w:ascii="Times New Roman" w:hAnsi="Times New Roman" w:cs="Times New Roman"/>
        </w:rPr>
      </w:pPr>
      <w:r>
        <w:rPr>
          <w:rFonts w:ascii="Times New Roman" w:hAnsi="Times New Roman" w:cs="Times New Roman"/>
        </w:rPr>
        <w:lastRenderedPageBreak/>
        <w:tab/>
      </w:r>
      <w:r w:rsidR="00341F9D" w:rsidRPr="00EF6F97">
        <w:rPr>
          <w:rFonts w:ascii="Times New Roman" w:hAnsi="Times New Roman" w:cs="Times New Roman"/>
        </w:rPr>
        <w:t>W celu zachowania bezpieczeństwa wniosek o odroczenie terminu dokonania legalizacji ponownej ora</w:t>
      </w:r>
      <w:r w:rsidR="001D0628">
        <w:rPr>
          <w:rFonts w:ascii="Times New Roman" w:hAnsi="Times New Roman" w:cs="Times New Roman"/>
        </w:rPr>
        <w:t>z </w:t>
      </w:r>
      <w:r w:rsidR="00341F9D" w:rsidRPr="00EF6F97">
        <w:rPr>
          <w:rFonts w:ascii="Times New Roman" w:hAnsi="Times New Roman" w:cs="Times New Roman"/>
        </w:rPr>
        <w:t>oświadczenie, iż od dnia dokonania ostatniej legalizacji albo przeprowadzenia oceny zgodności nie wprowadzono zmian dotyczących konstrukcji, wykonania</w:t>
      </w:r>
      <w:r w:rsidR="001D0628">
        <w:rPr>
          <w:rFonts w:ascii="Times New Roman" w:hAnsi="Times New Roman" w:cs="Times New Roman"/>
        </w:rPr>
        <w:t xml:space="preserve"> i </w:t>
      </w:r>
      <w:r w:rsidR="00341F9D" w:rsidRPr="00EF6F97">
        <w:rPr>
          <w:rFonts w:ascii="Times New Roman" w:hAnsi="Times New Roman" w:cs="Times New Roman"/>
        </w:rPr>
        <w:t>warunków właściwego stosowania przyrządu pomiarowego</w:t>
      </w:r>
      <w:r w:rsidR="001D0628">
        <w:rPr>
          <w:rFonts w:ascii="Times New Roman" w:hAnsi="Times New Roman" w:cs="Times New Roman"/>
        </w:rPr>
        <w:t xml:space="preserve"> i </w:t>
      </w:r>
      <w:r w:rsidR="00341F9D" w:rsidRPr="00EF6F97">
        <w:rPr>
          <w:rFonts w:ascii="Times New Roman" w:hAnsi="Times New Roman" w:cs="Times New Roman"/>
        </w:rPr>
        <w:t>że spełnia on wymagania, w szczególności w zakresie charakterystyk metrologicznych</w:t>
      </w:r>
      <w:r w:rsidR="00A8083D">
        <w:rPr>
          <w:rFonts w:ascii="Times New Roman" w:hAnsi="Times New Roman" w:cs="Times New Roman"/>
        </w:rPr>
        <w:t>,</w:t>
      </w:r>
      <w:r w:rsidR="00341F9D" w:rsidRPr="00EF6F97">
        <w:rPr>
          <w:rFonts w:ascii="Times New Roman" w:hAnsi="Times New Roman" w:cs="Times New Roman"/>
        </w:rPr>
        <w:t xml:space="preserve"> oraz że jego dalsze użytkowanie, w ocenie wnioskodawcy, nie stwarza zagrożenia dla wymaganej dokładności pomiarów, a także dla życia lub zdrowia ludzkiego ora</w:t>
      </w:r>
      <w:r w:rsidR="001D0628">
        <w:rPr>
          <w:rFonts w:ascii="Times New Roman" w:hAnsi="Times New Roman" w:cs="Times New Roman"/>
        </w:rPr>
        <w:t>z </w:t>
      </w:r>
      <w:r w:rsidR="00341F9D" w:rsidRPr="00EF6F97">
        <w:rPr>
          <w:rFonts w:ascii="Times New Roman" w:hAnsi="Times New Roman" w:cs="Times New Roman"/>
        </w:rPr>
        <w:t>mienia</w:t>
      </w:r>
      <w:r w:rsidR="001D0628">
        <w:rPr>
          <w:rFonts w:ascii="Times New Roman" w:hAnsi="Times New Roman" w:cs="Times New Roman"/>
        </w:rPr>
        <w:t xml:space="preserve"> i </w:t>
      </w:r>
      <w:r w:rsidR="00341F9D" w:rsidRPr="00EF6F97">
        <w:rPr>
          <w:rFonts w:ascii="Times New Roman" w:hAnsi="Times New Roman" w:cs="Times New Roman"/>
        </w:rPr>
        <w:t>środowiska, będą mogły zostać złożone tylko do jednego organu administracji miar</w:t>
      </w:r>
      <w:r w:rsidR="00D4660E">
        <w:rPr>
          <w:rFonts w:ascii="Times New Roman" w:hAnsi="Times New Roman" w:cs="Times New Roman"/>
        </w:rPr>
        <w:t>,</w:t>
      </w:r>
      <w:r w:rsidR="00341F9D" w:rsidRPr="00EF6F97">
        <w:rPr>
          <w:rFonts w:ascii="Times New Roman" w:hAnsi="Times New Roman" w:cs="Times New Roman"/>
        </w:rPr>
        <w:t xml:space="preserve"> pisemnie lub za pomocą środków komunikacji elektronicznej w rozumieniu art. 2 pkt 5 ustawy </w:t>
      </w:r>
      <w:r w:rsidR="001D0628">
        <w:rPr>
          <w:rFonts w:ascii="Times New Roman" w:hAnsi="Times New Roman" w:cs="Times New Roman"/>
        </w:rPr>
        <w:t>z </w:t>
      </w:r>
      <w:r w:rsidR="00341F9D" w:rsidRPr="00EF6F97">
        <w:rPr>
          <w:rFonts w:ascii="Times New Roman" w:hAnsi="Times New Roman" w:cs="Times New Roman"/>
        </w:rPr>
        <w:t>dnia 18 lipca 2002</w:t>
      </w:r>
      <w:r w:rsidR="001D0628">
        <w:rPr>
          <w:rFonts w:ascii="Times New Roman" w:hAnsi="Times New Roman" w:cs="Times New Roman"/>
        </w:rPr>
        <w:t> r.</w:t>
      </w:r>
      <w:r w:rsidR="00341F9D" w:rsidRPr="00EF6F97">
        <w:rPr>
          <w:rFonts w:ascii="Times New Roman" w:hAnsi="Times New Roman" w:cs="Times New Roman"/>
        </w:rPr>
        <w:t xml:space="preserve"> o świadczeniu usług drogą elektroniczną (Dz. U. </w:t>
      </w:r>
      <w:r w:rsidR="001D0628">
        <w:rPr>
          <w:rFonts w:ascii="Times New Roman" w:hAnsi="Times New Roman" w:cs="Times New Roman"/>
        </w:rPr>
        <w:t>z </w:t>
      </w:r>
      <w:r w:rsidR="00341F9D" w:rsidRPr="00EF6F97">
        <w:rPr>
          <w:rFonts w:ascii="Times New Roman" w:hAnsi="Times New Roman" w:cs="Times New Roman"/>
        </w:rPr>
        <w:t>2020</w:t>
      </w:r>
      <w:r w:rsidR="001D0628">
        <w:rPr>
          <w:rFonts w:ascii="Times New Roman" w:hAnsi="Times New Roman" w:cs="Times New Roman"/>
        </w:rPr>
        <w:t> r.</w:t>
      </w:r>
      <w:r w:rsidR="00341F9D" w:rsidRPr="00EF6F97">
        <w:rPr>
          <w:rFonts w:ascii="Times New Roman" w:hAnsi="Times New Roman" w:cs="Times New Roman"/>
        </w:rPr>
        <w:t xml:space="preserve"> poz. 344). Obowiązek złożenia ww. oświadczenia podyktowany jest </w:t>
      </w:r>
      <w:r w:rsidR="001D0628">
        <w:rPr>
          <w:rFonts w:ascii="Times New Roman" w:hAnsi="Times New Roman" w:cs="Times New Roman"/>
        </w:rPr>
        <w:t>z </w:t>
      </w:r>
      <w:r w:rsidR="00341F9D" w:rsidRPr="00EF6F97">
        <w:rPr>
          <w:rFonts w:ascii="Times New Roman" w:hAnsi="Times New Roman" w:cs="Times New Roman"/>
        </w:rPr>
        <w:t xml:space="preserve">kolei potrzebą zapewnienia dokładności pomiarów – jedną </w:t>
      </w:r>
      <w:r w:rsidR="001D0628">
        <w:rPr>
          <w:rFonts w:ascii="Times New Roman" w:hAnsi="Times New Roman" w:cs="Times New Roman"/>
        </w:rPr>
        <w:t>z </w:t>
      </w:r>
      <w:r w:rsidR="00341F9D" w:rsidRPr="00EF6F97">
        <w:rPr>
          <w:rFonts w:ascii="Times New Roman" w:hAnsi="Times New Roman" w:cs="Times New Roman"/>
        </w:rPr>
        <w:t xml:space="preserve">podstawowych zasad wyrażonych w ustawie </w:t>
      </w:r>
      <w:r w:rsidR="001D0628">
        <w:rPr>
          <w:rFonts w:ascii="Times New Roman" w:hAnsi="Times New Roman" w:cs="Times New Roman"/>
        </w:rPr>
        <w:t>z </w:t>
      </w:r>
      <w:r w:rsidR="00341F9D" w:rsidRPr="00EF6F97">
        <w:rPr>
          <w:rFonts w:ascii="Times New Roman" w:hAnsi="Times New Roman" w:cs="Times New Roman"/>
        </w:rPr>
        <w:t>dnia 11 maja 2001</w:t>
      </w:r>
      <w:r w:rsidR="001D0628">
        <w:rPr>
          <w:rFonts w:ascii="Times New Roman" w:hAnsi="Times New Roman" w:cs="Times New Roman"/>
        </w:rPr>
        <w:t> r.</w:t>
      </w:r>
      <w:r w:rsidR="00341F9D" w:rsidRPr="00EF6F97">
        <w:rPr>
          <w:rFonts w:ascii="Times New Roman" w:hAnsi="Times New Roman" w:cs="Times New Roman"/>
        </w:rPr>
        <w:t xml:space="preserve"> </w:t>
      </w:r>
      <w:r w:rsidR="001A683F">
        <w:rPr>
          <w:rFonts w:ascii="Times New Roman" w:hAnsi="Times New Roman" w:cs="Times New Roman"/>
        </w:rPr>
        <w:t>–</w:t>
      </w:r>
      <w:r w:rsidR="00341F9D" w:rsidRPr="00EF6F97">
        <w:rPr>
          <w:rFonts w:ascii="Times New Roman" w:hAnsi="Times New Roman" w:cs="Times New Roman"/>
        </w:rPr>
        <w:t xml:space="preserve"> Prawo o miarach. Dodatkowo oświadczenie, o którym mowa powyżej, będzie składane pod rygorem odpowiedzialności karnej</w:t>
      </w:r>
      <w:r w:rsidR="00D4660E">
        <w:rPr>
          <w:rFonts w:ascii="Times New Roman" w:hAnsi="Times New Roman" w:cs="Times New Roman"/>
        </w:rPr>
        <w:t xml:space="preserve">, </w:t>
      </w:r>
      <w:r w:rsidR="00341F9D" w:rsidRPr="00EF6F97">
        <w:rPr>
          <w:rFonts w:ascii="Times New Roman" w:hAnsi="Times New Roman" w:cs="Times New Roman"/>
        </w:rPr>
        <w:t>co jest powszechnie stosowanym zabiegiem w prawie. W celu usunięcia pojawiających się wątpliwości interpretacyjnych dookreślono, że odroczenie terminu dokonania legalizacji ponownej</w:t>
      </w:r>
      <w:r w:rsidR="001D0628">
        <w:rPr>
          <w:rFonts w:ascii="Times New Roman" w:hAnsi="Times New Roman" w:cs="Times New Roman"/>
        </w:rPr>
        <w:t xml:space="preserve"> i </w:t>
      </w:r>
      <w:r w:rsidR="00341F9D" w:rsidRPr="00EF6F97">
        <w:rPr>
          <w:rFonts w:ascii="Times New Roman" w:hAnsi="Times New Roman" w:cs="Times New Roman"/>
        </w:rPr>
        <w:t>zezwolenie na dalsze użytkowanie na warunkach określonych w projekcie następuje w drodze decyzji administracyjnej, wydanej w terminie 30 dni od dnia złożenia wniosku, a za czynności wydania takiej decyzji nie pobiera się opłaty. Odroczenie</w:t>
      </w:r>
      <w:r w:rsidR="001D0628">
        <w:rPr>
          <w:rFonts w:ascii="Times New Roman" w:hAnsi="Times New Roman" w:cs="Times New Roman"/>
        </w:rPr>
        <w:t xml:space="preserve"> i </w:t>
      </w:r>
      <w:r w:rsidR="00341F9D" w:rsidRPr="00EF6F97">
        <w:rPr>
          <w:rFonts w:ascii="Times New Roman" w:hAnsi="Times New Roman" w:cs="Times New Roman"/>
        </w:rPr>
        <w:t>zezwolenie na dalsze użytkowanie będzie liczone są od pierwszego dnia upływu okresu ważności legalizacji przyrządu albo terminu, w którym przyrząd powinien być zgłoszony po ra</w:t>
      </w:r>
      <w:r w:rsidR="001D0628">
        <w:rPr>
          <w:rFonts w:ascii="Times New Roman" w:hAnsi="Times New Roman" w:cs="Times New Roman"/>
        </w:rPr>
        <w:t>z </w:t>
      </w:r>
      <w:r w:rsidR="00341F9D" w:rsidRPr="00EF6F97">
        <w:rPr>
          <w:rFonts w:ascii="Times New Roman" w:hAnsi="Times New Roman" w:cs="Times New Roman"/>
        </w:rPr>
        <w:t>pierwszy do legalizacji ponownej po dokonaniu oceny zgodności. Niniejszy zabieg pozwoli na równe traktowanie przedsiębiorców w zaistniałych okolicznościach ora</w:t>
      </w:r>
      <w:r w:rsidR="001D0628">
        <w:rPr>
          <w:rFonts w:ascii="Times New Roman" w:hAnsi="Times New Roman" w:cs="Times New Roman"/>
        </w:rPr>
        <w:t>z </w:t>
      </w:r>
      <w:r w:rsidR="00341F9D" w:rsidRPr="00EF6F97">
        <w:rPr>
          <w:rFonts w:ascii="Times New Roman" w:hAnsi="Times New Roman" w:cs="Times New Roman"/>
        </w:rPr>
        <w:t xml:space="preserve">stanowi wypełnienie zasady, zgodnie </w:t>
      </w:r>
      <w:r w:rsidR="001D0628">
        <w:rPr>
          <w:rFonts w:ascii="Times New Roman" w:hAnsi="Times New Roman" w:cs="Times New Roman"/>
        </w:rPr>
        <w:t>z </w:t>
      </w:r>
      <w:r w:rsidR="00341F9D" w:rsidRPr="00EF6F97">
        <w:rPr>
          <w:rFonts w:ascii="Times New Roman" w:hAnsi="Times New Roman" w:cs="Times New Roman"/>
        </w:rPr>
        <w:t>którą legalizacja dotyczy indywidualnych przyrządów pomiarowych</w:t>
      </w:r>
      <w:r w:rsidR="001D0628">
        <w:rPr>
          <w:rFonts w:ascii="Times New Roman" w:hAnsi="Times New Roman" w:cs="Times New Roman"/>
        </w:rPr>
        <w:t xml:space="preserve"> i </w:t>
      </w:r>
      <w:r w:rsidR="00341F9D" w:rsidRPr="00EF6F97">
        <w:rPr>
          <w:rFonts w:ascii="Times New Roman" w:hAnsi="Times New Roman" w:cs="Times New Roman"/>
        </w:rPr>
        <w:t>ich okresów.</w:t>
      </w:r>
    </w:p>
    <w:p w14:paraId="26AE2731" w14:textId="77777777" w:rsidR="00DB0148" w:rsidRDefault="00EF6F97" w:rsidP="001C092A">
      <w:pPr>
        <w:pStyle w:val="ARTartustawynprozporzdzenia"/>
        <w:spacing w:before="0"/>
        <w:rPr>
          <w:rFonts w:ascii="Times New Roman" w:hAnsi="Times New Roman" w:cs="Times New Roman"/>
        </w:rPr>
      </w:pPr>
      <w:r>
        <w:rPr>
          <w:rFonts w:ascii="Times New Roman" w:hAnsi="Times New Roman" w:cs="Times New Roman"/>
        </w:rPr>
        <w:tab/>
      </w:r>
      <w:r w:rsidR="00CD674B">
        <w:rPr>
          <w:rFonts w:ascii="Times New Roman" w:hAnsi="Times New Roman" w:cs="Times New Roman"/>
        </w:rPr>
        <w:t xml:space="preserve">Przepisy </w:t>
      </w:r>
      <w:r w:rsidR="00341F9D" w:rsidRPr="00EF6F97">
        <w:rPr>
          <w:rFonts w:ascii="Times New Roman" w:hAnsi="Times New Roman" w:cs="Times New Roman"/>
        </w:rPr>
        <w:t>dotycząc</w:t>
      </w:r>
      <w:r w:rsidR="00CD674B">
        <w:rPr>
          <w:rFonts w:ascii="Times New Roman" w:hAnsi="Times New Roman" w:cs="Times New Roman"/>
        </w:rPr>
        <w:t>e</w:t>
      </w:r>
      <w:r w:rsidR="00341F9D" w:rsidRPr="00EF6F97">
        <w:rPr>
          <w:rFonts w:ascii="Times New Roman" w:hAnsi="Times New Roman" w:cs="Times New Roman"/>
        </w:rPr>
        <w:t xml:space="preserve"> decyzji administracyjnej związan</w:t>
      </w:r>
      <w:r w:rsidR="00CD674B">
        <w:rPr>
          <w:rFonts w:ascii="Times New Roman" w:hAnsi="Times New Roman" w:cs="Times New Roman"/>
        </w:rPr>
        <w:t>e</w:t>
      </w:r>
      <w:r w:rsidR="00341F9D" w:rsidRPr="00EF6F97">
        <w:rPr>
          <w:rFonts w:ascii="Times New Roman" w:hAnsi="Times New Roman" w:cs="Times New Roman"/>
        </w:rPr>
        <w:t xml:space="preserve"> ze zwolnieniem </w:t>
      </w:r>
      <w:r w:rsidR="001D0628">
        <w:rPr>
          <w:rFonts w:ascii="Times New Roman" w:hAnsi="Times New Roman" w:cs="Times New Roman"/>
        </w:rPr>
        <w:t>z </w:t>
      </w:r>
      <w:r w:rsidR="00341F9D" w:rsidRPr="00EF6F97">
        <w:rPr>
          <w:rFonts w:ascii="Times New Roman" w:hAnsi="Times New Roman" w:cs="Times New Roman"/>
        </w:rPr>
        <w:t>opłat w jednoznaczny sposób wskazują, iż decyzja administracyjna wydawana jest be</w:t>
      </w:r>
      <w:r w:rsidR="001D0628">
        <w:rPr>
          <w:rFonts w:ascii="Times New Roman" w:hAnsi="Times New Roman" w:cs="Times New Roman"/>
        </w:rPr>
        <w:t>z</w:t>
      </w:r>
      <w:r w:rsidR="00D75ED4">
        <w:rPr>
          <w:rFonts w:ascii="Times New Roman" w:hAnsi="Times New Roman" w:cs="Times New Roman"/>
        </w:rPr>
        <w:t xml:space="preserve"> ponoszenia</w:t>
      </w:r>
      <w:r w:rsidR="001D0628">
        <w:rPr>
          <w:rFonts w:ascii="Times New Roman" w:hAnsi="Times New Roman" w:cs="Times New Roman"/>
        </w:rPr>
        <w:t> </w:t>
      </w:r>
      <w:r w:rsidR="00341F9D" w:rsidRPr="00EF6F97">
        <w:rPr>
          <w:rFonts w:ascii="Times New Roman" w:hAnsi="Times New Roman" w:cs="Times New Roman"/>
        </w:rPr>
        <w:t>opłat. Regulacja ta nie ma wpływu na późniejsze pobieranie opłat za wykonanie legalizacji ponownej.</w:t>
      </w:r>
    </w:p>
    <w:p w14:paraId="02223F92" w14:textId="77777777" w:rsidR="00DB0148" w:rsidRDefault="00DB0148" w:rsidP="001C092A">
      <w:pPr>
        <w:pStyle w:val="ARTartustawynprozporzdzenia"/>
        <w:spacing w:before="0"/>
        <w:rPr>
          <w:rFonts w:ascii="Times New Roman" w:hAnsi="Times New Roman" w:cs="Times New Roman"/>
        </w:rPr>
      </w:pPr>
    </w:p>
    <w:p w14:paraId="76ED836D" w14:textId="7BF1A7A7" w:rsidR="00DB0148" w:rsidRPr="00DB0148" w:rsidRDefault="00DB0148" w:rsidP="001C092A">
      <w:pPr>
        <w:pStyle w:val="ARTartustawynprozporzdzenia"/>
        <w:spacing w:before="0"/>
        <w:rPr>
          <w:rFonts w:ascii="Times New Roman" w:hAnsi="Times New Roman" w:cs="Times New Roman"/>
        </w:rPr>
      </w:pPr>
      <w:r>
        <w:rPr>
          <w:rFonts w:ascii="Times New Roman" w:hAnsi="Times New Roman" w:cs="Times New Roman"/>
        </w:rPr>
        <w:t>Ad 2</w:t>
      </w:r>
      <w:r w:rsidR="00962958">
        <w:rPr>
          <w:rFonts w:ascii="Times New Roman" w:hAnsi="Times New Roman" w:cs="Times New Roman"/>
        </w:rPr>
        <w:t>0</w:t>
      </w:r>
      <w:r>
        <w:rPr>
          <w:rFonts w:ascii="Times New Roman" w:hAnsi="Times New Roman" w:cs="Times New Roman"/>
        </w:rPr>
        <w:t xml:space="preserve">. </w:t>
      </w:r>
      <w:r w:rsidRPr="00DB0148">
        <w:rPr>
          <w:rFonts w:ascii="Times New Roman" w:hAnsi="Times New Roman" w:cs="Times New Roman"/>
        </w:rPr>
        <w:t xml:space="preserve">Projekt wprowadza zmiany w ustawie z dnia 14 grudnia 2018 r. o promowaniu energii elektrycznej z wysokosprawnej kogeneracji (Dz. U. z 2020 r. poz. 250 i 843). Przyjęcie proponowanych zmian usprawni i uczyni bardziej przejrzystym i spójnym z odrębnymi przepisami proces dopuszczenia </w:t>
      </w:r>
      <w:r w:rsidR="00D4660E">
        <w:rPr>
          <w:rFonts w:ascii="Times New Roman" w:hAnsi="Times New Roman" w:cs="Times New Roman"/>
        </w:rPr>
        <w:t xml:space="preserve">wytwórców </w:t>
      </w:r>
      <w:r w:rsidRPr="00DB0148">
        <w:rPr>
          <w:rFonts w:ascii="Times New Roman" w:hAnsi="Times New Roman" w:cs="Times New Roman"/>
        </w:rPr>
        <w:t xml:space="preserve">do aukcji lub naboru, co powinno </w:t>
      </w:r>
      <w:r w:rsidRPr="00DB0148">
        <w:rPr>
          <w:rFonts w:ascii="Times New Roman" w:hAnsi="Times New Roman" w:cs="Times New Roman"/>
        </w:rPr>
        <w:lastRenderedPageBreak/>
        <w:t>przełożyć się na wzrost liczby ofert inwestorów na premię kogeneracyjną i premię kogeneracyjną indywidualną, a tym samym na realizację celów ustawy.</w:t>
      </w:r>
    </w:p>
    <w:p w14:paraId="10D7E011" w14:textId="15EF8349" w:rsidR="00DB0148" w:rsidRPr="00DB0148" w:rsidRDefault="00DB0148" w:rsidP="00DB0148">
      <w:pPr>
        <w:pStyle w:val="ARTartustawynprozporzdzenia"/>
        <w:rPr>
          <w:rFonts w:ascii="Times New Roman" w:hAnsi="Times New Roman" w:cs="Times New Roman"/>
        </w:rPr>
      </w:pPr>
      <w:r w:rsidRPr="00DB0148">
        <w:rPr>
          <w:rFonts w:ascii="Times New Roman" w:hAnsi="Times New Roman" w:cs="Times New Roman"/>
        </w:rPr>
        <w:t xml:space="preserve">Proponowane zmiany nie są sprzeczne z postanowieniami </w:t>
      </w:r>
      <w:r w:rsidR="00D4660E">
        <w:rPr>
          <w:rFonts w:ascii="Times New Roman" w:hAnsi="Times New Roman" w:cs="Times New Roman"/>
        </w:rPr>
        <w:t>d</w:t>
      </w:r>
      <w:r w:rsidRPr="00DB0148">
        <w:rPr>
          <w:rFonts w:ascii="Times New Roman" w:hAnsi="Times New Roman" w:cs="Times New Roman"/>
        </w:rPr>
        <w:t>ecyzji Komisji Europejskiej w sprawie SA.51192 (2019/N) dotyczącej zatwierdzenia polskiego mechanizmu wsparcia energii elektrycznej z wysokosprawnej kogeneracji, toteż nie podlegają zgłoszeniu i ocenie Komisji Europejskiej pod kątem zgodności z warunkami dopuszczalności pomocy publicznej, określonymi w przepisach unijnych.</w:t>
      </w:r>
    </w:p>
    <w:p w14:paraId="44BBB322" w14:textId="593DFFEF" w:rsidR="00DB0148" w:rsidRDefault="00DB0148" w:rsidP="001C092A">
      <w:pPr>
        <w:pStyle w:val="ARTartustawynprozporzdzenia"/>
        <w:rPr>
          <w:rFonts w:ascii="Times New Roman" w:hAnsi="Times New Roman" w:cs="Times New Roman"/>
        </w:rPr>
      </w:pPr>
      <w:r w:rsidRPr="00DB0148">
        <w:rPr>
          <w:rFonts w:ascii="Times New Roman" w:hAnsi="Times New Roman" w:cs="Times New Roman"/>
        </w:rPr>
        <w:t>Proponowane przepisy nie zmieniają zasad udzielania wsparcia dla energii elektrycznej z wysokosprawnej kogeneracji, nie wpływają na zmianę prognozowanych kosztów obowiązującego mechanizmu wsparcia i nie powodują wzrostu obciążeń odbiorców energii elektrycznej i ciepła. Jednocześnie pozwolą zoptymalizować koszty przygotowania inwestycji u inwestorów, zwiększyć przejrzystość regulacji i ograniczą ryzyka, które mogą spowodować niezrealizowanie założeń, co do celów i efektów modernizacji polskiego sektora ciepłowniczego i przekształcania systemów w efektywne systemy ciepłownicze.</w:t>
      </w:r>
      <w:r w:rsidR="006C0FA5">
        <w:rPr>
          <w:rFonts w:ascii="Times New Roman" w:hAnsi="Times New Roman" w:cs="Times New Roman"/>
        </w:rPr>
        <w:t xml:space="preserve"> </w:t>
      </w:r>
      <w:r w:rsidRPr="00DB0148">
        <w:rPr>
          <w:rFonts w:ascii="Times New Roman" w:hAnsi="Times New Roman" w:cs="Times New Roman"/>
        </w:rPr>
        <w:t>Celowi temu służy również możliwość zastosowania zmienionych przepisów już w naborze ogłoszonym w 2020 r., co powinno przyczynić się do lepszego wykorzystania środków zaplanowanych na promowanie energii elektrycznej z wysokosprawnej kogeneracji.</w:t>
      </w:r>
    </w:p>
    <w:p w14:paraId="3328B7DC" w14:textId="7E9EF93D" w:rsidR="00D53206" w:rsidRDefault="00D53206" w:rsidP="00EB2609">
      <w:pPr>
        <w:pStyle w:val="ARTartustawynprozporzdzenia"/>
        <w:ind w:firstLine="0"/>
        <w:rPr>
          <w:rFonts w:ascii="Times New Roman" w:hAnsi="Times New Roman" w:cs="Times New Roman"/>
        </w:rPr>
      </w:pPr>
    </w:p>
    <w:p w14:paraId="33CC8223" w14:textId="495F0484" w:rsidR="00D53206" w:rsidRDefault="00D53206" w:rsidP="00EB2609">
      <w:pPr>
        <w:pStyle w:val="ARTartustawynprozporzdzenia"/>
        <w:ind w:firstLine="0"/>
        <w:rPr>
          <w:rFonts w:ascii="Times New Roman" w:hAnsi="Times New Roman" w:cs="Times New Roman"/>
        </w:rPr>
      </w:pPr>
      <w:r>
        <w:rPr>
          <w:rFonts w:ascii="Times New Roman" w:hAnsi="Times New Roman" w:cs="Times New Roman"/>
        </w:rPr>
        <w:t>Oprócz ww. zmian w innych ustawach nowelizuje się następujące ustawy:</w:t>
      </w:r>
    </w:p>
    <w:p w14:paraId="5C411F6A" w14:textId="3EF6D520" w:rsidR="00D53206" w:rsidRPr="00D53206" w:rsidRDefault="00D53206" w:rsidP="006C0FA5">
      <w:pPr>
        <w:pStyle w:val="ARTartustawynprozporzdzenia"/>
        <w:ind w:left="284" w:hanging="284"/>
        <w:rPr>
          <w:rFonts w:ascii="Times New Roman" w:hAnsi="Times New Roman" w:cs="Times New Roman"/>
        </w:rPr>
      </w:pPr>
      <w:r>
        <w:rPr>
          <w:rFonts w:ascii="Times New Roman" w:hAnsi="Times New Roman" w:cs="Times New Roman"/>
        </w:rPr>
        <w:t>1. Ustaw</w:t>
      </w:r>
      <w:r w:rsidR="00D4660E">
        <w:rPr>
          <w:rFonts w:ascii="Times New Roman" w:hAnsi="Times New Roman" w:cs="Times New Roman"/>
        </w:rPr>
        <w:t>ę</w:t>
      </w:r>
      <w:r w:rsidRPr="00D53206">
        <w:rPr>
          <w:rFonts w:ascii="Times New Roman" w:hAnsi="Times New Roman" w:cs="Times New Roman"/>
        </w:rPr>
        <w:t xml:space="preserve"> z dnia 25 sierpnia 2006 r. o systemie monitorowania i kontrolowania jakości paliw (Dz. U. z 2019 r. poz. 660 i 1527 oraz z 2020 r. poz. 284)</w:t>
      </w:r>
    </w:p>
    <w:p w14:paraId="3C225048" w14:textId="00B9A9A2" w:rsidR="00D53206" w:rsidRPr="00D53206" w:rsidRDefault="00D53206" w:rsidP="00D53206">
      <w:pPr>
        <w:pStyle w:val="ARTartustawynprozporzdzenia"/>
        <w:rPr>
          <w:rFonts w:ascii="Times New Roman" w:hAnsi="Times New Roman" w:cs="Times New Roman"/>
        </w:rPr>
      </w:pPr>
      <w:r>
        <w:rPr>
          <w:rFonts w:ascii="Times New Roman" w:hAnsi="Times New Roman" w:cs="Times New Roman"/>
        </w:rPr>
        <w:t>Zmiana w ww. ustawie</w:t>
      </w:r>
      <w:r w:rsidRPr="00D53206">
        <w:rPr>
          <w:rFonts w:ascii="Times New Roman" w:hAnsi="Times New Roman" w:cs="Times New Roman"/>
        </w:rPr>
        <w:t xml:space="preserve"> na celu wyeliminowanie pojawiających się wątpliwości interpretacyjnych dotyczących obowiązku realizacji Narodowego Celu Redukcyjnego po roku 2020. Na podstawie obowiązującego przepisu art. 30b ust. 1 ustawy z dnia 25 sierpnia 2006 r. o systemie monitorowania i kontrolowania jakości paliw podmioty zobowiązane do realizacji Narodowego Celu Redukcyjnego mają obowiązek osiągnąć, do dnia 31 grudnia 2020 r., ograniczenie emisji gazów cieplarnianych z paliw stosowanych w transporcie na poziomie 6%. Przywołany przepis należy interpretować w ten sposób, że wymagany poziom ograniczenia emisji gazów cieplarnianych trzeba osiągnąć najpóźniej do dnia 31 grudnia 2020</w:t>
      </w:r>
      <w:r w:rsidR="006C0FA5">
        <w:t> </w:t>
      </w:r>
      <w:r w:rsidRPr="00D53206">
        <w:rPr>
          <w:rFonts w:ascii="Times New Roman" w:hAnsi="Times New Roman" w:cs="Times New Roman"/>
        </w:rPr>
        <w:t xml:space="preserve">r., a następnie go utrzymać w kolejnych latach. Z opinii przedkładanych przez podmioty zobowiązanie wynika jednak, iż część z nich ma wątpliwości dotyczące ciągłości obowiązku w latach po 2020 r. Powyższa kwestia została wyjaśniona przez Komisje Europejską w piśmie </w:t>
      </w:r>
      <w:r w:rsidRPr="00D53206">
        <w:rPr>
          <w:rFonts w:ascii="Times New Roman" w:hAnsi="Times New Roman" w:cs="Times New Roman"/>
        </w:rPr>
        <w:lastRenderedPageBreak/>
        <w:t>skierowanym do państw członkowskich. Zmiana poprawi przejrzystość i jednoznaczność przepisu.</w:t>
      </w:r>
    </w:p>
    <w:p w14:paraId="13A6EE4D" w14:textId="3FD6825F" w:rsidR="00D53206" w:rsidRDefault="00D53206" w:rsidP="006C0FA5">
      <w:pPr>
        <w:pStyle w:val="ARTartustawynprozporzdzenia"/>
        <w:ind w:left="284" w:hanging="284"/>
        <w:rPr>
          <w:rFonts w:ascii="Times New Roman" w:hAnsi="Times New Roman" w:cs="Times New Roman"/>
        </w:rPr>
      </w:pPr>
      <w:r>
        <w:rPr>
          <w:rFonts w:ascii="Times New Roman" w:hAnsi="Times New Roman" w:cs="Times New Roman"/>
        </w:rPr>
        <w:t>2. Ustaw</w:t>
      </w:r>
      <w:r w:rsidR="00D4660E">
        <w:rPr>
          <w:rFonts w:ascii="Times New Roman" w:hAnsi="Times New Roman" w:cs="Times New Roman"/>
        </w:rPr>
        <w:t>ę</w:t>
      </w:r>
      <w:r w:rsidRPr="00D53206">
        <w:rPr>
          <w:rFonts w:ascii="Times New Roman" w:hAnsi="Times New Roman" w:cs="Times New Roman"/>
        </w:rPr>
        <w:t xml:space="preserve"> z dnia 11 lipca 2014 r. o zmianie ustawy o systemie monitorowania i kontrolowania jakości paliw</w:t>
      </w:r>
      <w:r w:rsidR="00150FEA">
        <w:rPr>
          <w:rFonts w:ascii="Times New Roman" w:hAnsi="Times New Roman" w:cs="Times New Roman"/>
        </w:rPr>
        <w:t xml:space="preserve"> oraz niektórych innych ustaw</w:t>
      </w:r>
      <w:r w:rsidRPr="00D53206">
        <w:rPr>
          <w:rFonts w:ascii="Times New Roman" w:hAnsi="Times New Roman" w:cs="Times New Roman"/>
        </w:rPr>
        <w:t xml:space="preserve"> (Dz. U. poz. 1088 oraz z 2017 r. poz. 2290)</w:t>
      </w:r>
    </w:p>
    <w:p w14:paraId="37DCD851" w14:textId="2354529A" w:rsidR="00D53206" w:rsidRPr="00EF6F97" w:rsidRDefault="00D53206" w:rsidP="00EB2609">
      <w:pPr>
        <w:pStyle w:val="ARTartustawynprozporzdzenia"/>
        <w:ind w:firstLine="567"/>
        <w:rPr>
          <w:rFonts w:ascii="Times New Roman" w:hAnsi="Times New Roman" w:cs="Times New Roman"/>
        </w:rPr>
      </w:pPr>
      <w:r w:rsidRPr="00D53206">
        <w:rPr>
          <w:rFonts w:ascii="Times New Roman" w:hAnsi="Times New Roman" w:cs="Times New Roman"/>
        </w:rPr>
        <w:t xml:space="preserve">Zmiany w </w:t>
      </w:r>
      <w:r w:rsidR="00150FEA">
        <w:rPr>
          <w:rFonts w:ascii="Times New Roman" w:hAnsi="Times New Roman" w:cs="Times New Roman"/>
        </w:rPr>
        <w:t xml:space="preserve">ww. </w:t>
      </w:r>
      <w:r w:rsidRPr="00D53206">
        <w:rPr>
          <w:rFonts w:ascii="Times New Roman" w:hAnsi="Times New Roman" w:cs="Times New Roman"/>
        </w:rPr>
        <w:t>ustawie zawarte w art. 6 mają na celu zapewnienie dostępności benzyn silnikowych z udziałem biokomponentów do 5% o kolejne 2 lata. Przedłużenie pozwoli na dostosowanie systemu logistyki paliwowej oraz przygotowanie efektywnego wprowadzenia do obrotu benzyn silnikowych E10. Czas 2 lat jest niezbędny na wypracowanie zasad efektywnego wprowadzenia E10 na rynek. Należy wskazać, że zgodnie z dostępnymi informacjami 3,6-6 mln pojazdów nie ma potwierdzonej kompatybilności z benzyną E10.</w:t>
      </w:r>
    </w:p>
    <w:p w14:paraId="6FD3F9B6" w14:textId="77777777" w:rsidR="00AD2C0D" w:rsidRDefault="008D4F44"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p>
    <w:p w14:paraId="0A4E46EC" w14:textId="6FE8E9F5" w:rsidR="00D53206" w:rsidRDefault="00D53206" w:rsidP="00EF6F97">
      <w:pPr>
        <w:spacing w:line="360" w:lineRule="auto"/>
        <w:jc w:val="both"/>
        <w:rPr>
          <w:rFonts w:ascii="Times New Roman" w:hAnsi="Times New Roman" w:cs="Times New Roman"/>
          <w:sz w:val="24"/>
          <w:szCs w:val="24"/>
        </w:rPr>
      </w:pPr>
      <w:r>
        <w:rPr>
          <w:rFonts w:ascii="Times New Roman" w:hAnsi="Times New Roman" w:cs="Times New Roman"/>
          <w:sz w:val="24"/>
          <w:szCs w:val="24"/>
        </w:rPr>
        <w:t>3. Ustaw</w:t>
      </w:r>
      <w:r w:rsidR="00D4660E">
        <w:rPr>
          <w:rFonts w:ascii="Times New Roman" w:hAnsi="Times New Roman" w:cs="Times New Roman"/>
          <w:sz w:val="24"/>
          <w:szCs w:val="24"/>
        </w:rPr>
        <w:t>ę</w:t>
      </w:r>
      <w:r w:rsidRPr="00D53206">
        <w:rPr>
          <w:rFonts w:ascii="Times New Roman" w:hAnsi="Times New Roman" w:cs="Times New Roman"/>
          <w:sz w:val="24"/>
          <w:szCs w:val="24"/>
        </w:rPr>
        <w:t xml:space="preserve"> z dnia 8 grudnia 2017 r. o rynku mocy (Dz. U. z 2020 r. poz. 247 i 1565)</w:t>
      </w:r>
    </w:p>
    <w:p w14:paraId="1879CE2F" w14:textId="2E1537DD" w:rsidR="00D53206" w:rsidRPr="00D53206" w:rsidRDefault="00D53206" w:rsidP="00ED62D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w:t>
      </w:r>
      <w:r w:rsidRPr="00D53206">
        <w:rPr>
          <w:rFonts w:ascii="Times New Roman" w:hAnsi="Times New Roman" w:cs="Times New Roman"/>
          <w:sz w:val="24"/>
          <w:szCs w:val="24"/>
        </w:rPr>
        <w:t xml:space="preserve"> celu wprowadzenia obniżenia kosztu ryzyka przy realizacji inwestycji w nowe jednostki wytwórcze wprowadzono zmianę modelu naliczania kar za opóźnienie. W przypadku oddania jednostki do eksploatacji z aktualnej kary w wysokości 15% wartości obowiązku mocowego objętego umową mocową zrezygnowano na rzecz modelu progresywnego zakładającego karę w wysokości 5% za każdy miesiąc opóźnienia, w pierwszym roku objętym umową, 15% w drugim roku oraz 25% w trzecim roku dostaw. Dodatkowo wprowadzono przepis wyjaśniający wątpliwość, że w przypadku naliczania kary za opóźnienie w realizacji inwestycji nie nalicza się kary przewidzianej za niewykonanie obowiązku mocowego w okresie zagrożenia. Przepis jest korzystny dla przedsiębiorców, ponieważ zmniejsza się wysokość kar za pierwszy rok objęty umowy, natomiast nie ma wpływu negatywnego, gdyż suma kar łącznie w trzech latach się nie zmieni w porównaniu z obowiązującą ustawą.</w:t>
      </w:r>
    </w:p>
    <w:p w14:paraId="0756C6B8" w14:textId="2D832F47" w:rsidR="00D53206" w:rsidRPr="00D53206" w:rsidRDefault="00C164A1" w:rsidP="00ED62D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Dodatkowo </w:t>
      </w:r>
      <w:r w:rsidR="00D53206" w:rsidRPr="00D53206">
        <w:rPr>
          <w:rFonts w:ascii="Times New Roman" w:hAnsi="Times New Roman" w:cs="Times New Roman"/>
          <w:sz w:val="24"/>
          <w:szCs w:val="24"/>
        </w:rPr>
        <w:t>przedstawiono zmiany mające na celu lepsze odzwierciedlenie dokumentacji dostępnej dla inwestorów na poszczególnych etapach realizacji inwestycji niezależnie od tego</w:t>
      </w:r>
      <w:r w:rsidR="006C0FA5">
        <w:rPr>
          <w:rFonts w:ascii="Times New Roman" w:hAnsi="Times New Roman" w:cs="Times New Roman"/>
          <w:sz w:val="24"/>
          <w:szCs w:val="24"/>
        </w:rPr>
        <w:t>,</w:t>
      </w:r>
      <w:r w:rsidR="00D53206" w:rsidRPr="00D53206">
        <w:rPr>
          <w:rFonts w:ascii="Times New Roman" w:hAnsi="Times New Roman" w:cs="Times New Roman"/>
          <w:sz w:val="24"/>
          <w:szCs w:val="24"/>
        </w:rPr>
        <w:t xml:space="preserve"> czy jest budowana nowa jednostka czy też modernizowana istniejąca. Ponadto w terminach uwzględniono możliwe opóźnienia wynikające z pandemii COVID-19.</w:t>
      </w:r>
    </w:p>
    <w:p w14:paraId="00B01C7E" w14:textId="14A99724" w:rsidR="00D53206" w:rsidRDefault="00C164A1" w:rsidP="00D53206">
      <w:p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D53206" w:rsidRPr="00D53206">
        <w:rPr>
          <w:rFonts w:ascii="Times New Roman" w:hAnsi="Times New Roman" w:cs="Times New Roman"/>
          <w:sz w:val="24"/>
          <w:szCs w:val="24"/>
        </w:rPr>
        <w:t xml:space="preserve"> związku z </w:t>
      </w:r>
      <w:r>
        <w:rPr>
          <w:rFonts w:ascii="Times New Roman" w:hAnsi="Times New Roman" w:cs="Times New Roman"/>
          <w:sz w:val="24"/>
          <w:szCs w:val="24"/>
        </w:rPr>
        <w:t xml:space="preserve">opóźnieniami we wdrażaniu inteligentnego opomiarowania spowodowanymi w głównej mierze </w:t>
      </w:r>
      <w:r w:rsidR="00D53206" w:rsidRPr="00D53206">
        <w:rPr>
          <w:rFonts w:ascii="Times New Roman" w:hAnsi="Times New Roman" w:cs="Times New Roman"/>
          <w:sz w:val="24"/>
          <w:szCs w:val="24"/>
        </w:rPr>
        <w:t>sytuacją epidemiczną, wprowadzono rozwiązanie, które w kontekście poboru opłaty mocowej traktuje najmniejszych odbiorców</w:t>
      </w:r>
      <w:r w:rsidR="006C0FA5">
        <w:rPr>
          <w:rFonts w:ascii="Times New Roman" w:hAnsi="Times New Roman" w:cs="Times New Roman"/>
          <w:sz w:val="24"/>
          <w:szCs w:val="24"/>
        </w:rPr>
        <w:t>,</w:t>
      </w:r>
      <w:r w:rsidR="00D53206" w:rsidRPr="00D53206">
        <w:rPr>
          <w:rFonts w:ascii="Times New Roman" w:hAnsi="Times New Roman" w:cs="Times New Roman"/>
          <w:sz w:val="24"/>
          <w:szCs w:val="24"/>
        </w:rPr>
        <w:t xml:space="preserve"> tj. zasilanych z sieci o napięciu do 1 kV i mocy do 16 kW innych niż odbiorcy w gospodarstwach domowych</w:t>
      </w:r>
      <w:r w:rsidR="006C0FA5">
        <w:rPr>
          <w:rFonts w:ascii="Times New Roman" w:hAnsi="Times New Roman" w:cs="Times New Roman"/>
          <w:sz w:val="24"/>
          <w:szCs w:val="24"/>
        </w:rPr>
        <w:t>,</w:t>
      </w:r>
      <w:r w:rsidR="00D53206" w:rsidRPr="00D53206">
        <w:rPr>
          <w:rFonts w:ascii="Times New Roman" w:hAnsi="Times New Roman" w:cs="Times New Roman"/>
          <w:sz w:val="24"/>
          <w:szCs w:val="24"/>
        </w:rPr>
        <w:t xml:space="preserve"> tak jak odbiorców pobierających energię elektryczną w gospodarstwach domowych. Przejście na ryczałtowe </w:t>
      </w:r>
      <w:r w:rsidR="00D53206" w:rsidRPr="00D53206">
        <w:rPr>
          <w:rFonts w:ascii="Times New Roman" w:hAnsi="Times New Roman" w:cs="Times New Roman"/>
          <w:sz w:val="24"/>
          <w:szCs w:val="24"/>
        </w:rPr>
        <w:lastRenderedPageBreak/>
        <w:t>rozliczanie ww. odbiorców przyczyni się do zmniejszenia kosztów ponoszonych przez Operatorów Systemów Dystrybucyjnych na wymianę układów pomiarowo-rozliczeniowych oraz zwiększy pewność w zakresie prawidłowego naliczenia opłaty mocowej już od początku okresu jej pobierania. Dodatkowo w projekcie ustawy uwzględniono przeniesienie na Prezesa URE obowiązku do wyznaczenia godzin szczytowego zapotrzebowania na moc, które będą podstawą do naliczenia opłaty mocowej dla odbiorców, którzy nie będą rozliczani w sposób ryczałtowy, płatny za punkt pomiarowy.</w:t>
      </w:r>
    </w:p>
    <w:p w14:paraId="7F41AEBD" w14:textId="77777777" w:rsidR="00D53206" w:rsidRDefault="00D53206" w:rsidP="00D53206">
      <w:pPr>
        <w:spacing w:line="360" w:lineRule="auto"/>
        <w:jc w:val="both"/>
        <w:rPr>
          <w:rFonts w:ascii="Times New Roman" w:hAnsi="Times New Roman" w:cs="Times New Roman"/>
          <w:sz w:val="24"/>
          <w:szCs w:val="24"/>
        </w:rPr>
      </w:pPr>
    </w:p>
    <w:p w14:paraId="2D2374D0" w14:textId="05D6CC44" w:rsidR="00411ED6" w:rsidRDefault="00411ED6" w:rsidP="00EF6F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przepisach karnych </w:t>
      </w:r>
      <w:r w:rsidR="00150FEA">
        <w:rPr>
          <w:rFonts w:ascii="Times New Roman" w:hAnsi="Times New Roman" w:cs="Times New Roman"/>
          <w:sz w:val="24"/>
          <w:szCs w:val="24"/>
        </w:rPr>
        <w:t xml:space="preserve">ustawy </w:t>
      </w:r>
      <w:r w:rsidR="00B524B7">
        <w:rPr>
          <w:rFonts w:ascii="Times New Roman" w:hAnsi="Times New Roman" w:cs="Times New Roman"/>
          <w:sz w:val="24"/>
          <w:szCs w:val="24"/>
        </w:rPr>
        <w:t>–</w:t>
      </w:r>
      <w:r w:rsidR="00150FEA">
        <w:rPr>
          <w:rFonts w:ascii="Times New Roman" w:hAnsi="Times New Roman" w:cs="Times New Roman"/>
          <w:sz w:val="24"/>
          <w:szCs w:val="24"/>
        </w:rPr>
        <w:t xml:space="preserve"> Prawo energetyczne </w:t>
      </w:r>
      <w:r>
        <w:rPr>
          <w:rFonts w:ascii="Times New Roman" w:hAnsi="Times New Roman" w:cs="Times New Roman"/>
          <w:sz w:val="24"/>
          <w:szCs w:val="24"/>
        </w:rPr>
        <w:t>objęto sankcją nowe obowiązki wynikające z projektu ustawy. W zależności od stopnia szkodliwości czynu dopasowano wysokość wymierzanej kary. Przy czym na każdy przepis sankcyjny należy patrzeć przez pryzmat art. 56 ust. 6 i 6a. Zgodnie z tymi przepisami</w:t>
      </w:r>
      <w:r w:rsidR="00B524B7">
        <w:rPr>
          <w:rFonts w:ascii="Times New Roman" w:hAnsi="Times New Roman" w:cs="Times New Roman"/>
          <w:sz w:val="24"/>
          <w:szCs w:val="24"/>
        </w:rPr>
        <w:t>,</w:t>
      </w:r>
      <w:r>
        <w:rPr>
          <w:rFonts w:ascii="Times New Roman" w:hAnsi="Times New Roman" w:cs="Times New Roman"/>
          <w:sz w:val="24"/>
          <w:szCs w:val="24"/>
        </w:rPr>
        <w:t xml:space="preserve"> u</w:t>
      </w:r>
      <w:r w:rsidRPr="00411ED6">
        <w:rPr>
          <w:rFonts w:ascii="Times New Roman" w:hAnsi="Times New Roman" w:cs="Times New Roman"/>
          <w:sz w:val="24"/>
          <w:szCs w:val="24"/>
        </w:rPr>
        <w:t>stalając wysokość kary pieniężnej, Prezes URE uwzględnia stopień szkodliwości czynu, stopień zawinienia oraz dotychczasowe zachowanie podmiot</w:t>
      </w:r>
      <w:r>
        <w:rPr>
          <w:rFonts w:ascii="Times New Roman" w:hAnsi="Times New Roman" w:cs="Times New Roman"/>
          <w:sz w:val="24"/>
          <w:szCs w:val="24"/>
        </w:rPr>
        <w:t>u i</w:t>
      </w:r>
      <w:r w:rsidR="00B524B7">
        <w:rPr>
          <w:rFonts w:ascii="Times New Roman" w:hAnsi="Times New Roman" w:cs="Times New Roman"/>
          <w:sz w:val="24"/>
          <w:szCs w:val="24"/>
        </w:rPr>
        <w:t xml:space="preserve"> </w:t>
      </w:r>
      <w:r>
        <w:rPr>
          <w:rFonts w:ascii="Times New Roman" w:hAnsi="Times New Roman" w:cs="Times New Roman"/>
          <w:sz w:val="24"/>
          <w:szCs w:val="24"/>
        </w:rPr>
        <w:t xml:space="preserve">jego możliwości finansowe. </w:t>
      </w:r>
      <w:r w:rsidRPr="00411ED6">
        <w:rPr>
          <w:rFonts w:ascii="Times New Roman" w:hAnsi="Times New Roman" w:cs="Times New Roman"/>
          <w:sz w:val="24"/>
          <w:szCs w:val="24"/>
        </w:rPr>
        <w:t>Prezes URE może odstąpić od  wymierzenia kary, jeżeli stopień szkodliwości czynu jest znikomy, a</w:t>
      </w:r>
      <w:r w:rsidR="00B524B7">
        <w:rPr>
          <w:rFonts w:ascii="Times New Roman" w:hAnsi="Times New Roman" w:cs="Times New Roman"/>
          <w:sz w:val="24"/>
          <w:szCs w:val="24"/>
        </w:rPr>
        <w:t xml:space="preserve"> </w:t>
      </w:r>
      <w:r w:rsidRPr="00411ED6">
        <w:rPr>
          <w:rFonts w:ascii="Times New Roman" w:hAnsi="Times New Roman" w:cs="Times New Roman"/>
          <w:sz w:val="24"/>
          <w:szCs w:val="24"/>
        </w:rPr>
        <w:t>podmiot zaprzestał naruszania prawa lub zrealizował obowiązek</w:t>
      </w:r>
      <w:r>
        <w:rPr>
          <w:rFonts w:ascii="Times New Roman" w:hAnsi="Times New Roman" w:cs="Times New Roman"/>
          <w:sz w:val="24"/>
          <w:szCs w:val="24"/>
        </w:rPr>
        <w:t>. Przykładowo dodan</w:t>
      </w:r>
      <w:r w:rsidR="00CC2273">
        <w:rPr>
          <w:rFonts w:ascii="Times New Roman" w:hAnsi="Times New Roman" w:cs="Times New Roman"/>
          <w:sz w:val="24"/>
          <w:szCs w:val="24"/>
        </w:rPr>
        <w:t xml:space="preserve">ego </w:t>
      </w:r>
      <w:r>
        <w:rPr>
          <w:rFonts w:ascii="Times New Roman" w:hAnsi="Times New Roman" w:cs="Times New Roman"/>
          <w:sz w:val="24"/>
          <w:szCs w:val="24"/>
        </w:rPr>
        <w:t>pkt 1k w art. 56 nie należy</w:t>
      </w:r>
      <w:r w:rsidR="00B524B7">
        <w:rPr>
          <w:rFonts w:ascii="Times New Roman" w:hAnsi="Times New Roman" w:cs="Times New Roman"/>
          <w:sz w:val="24"/>
          <w:szCs w:val="24"/>
        </w:rPr>
        <w:t xml:space="preserve"> </w:t>
      </w:r>
      <w:r w:rsidR="00D4660E">
        <w:rPr>
          <w:rFonts w:ascii="Times New Roman" w:hAnsi="Times New Roman" w:cs="Times New Roman"/>
          <w:sz w:val="24"/>
          <w:szCs w:val="24"/>
        </w:rPr>
        <w:t xml:space="preserve">rozumieć w </w:t>
      </w:r>
      <w:r w:rsidR="005848ED">
        <w:rPr>
          <w:rFonts w:ascii="Times New Roman" w:hAnsi="Times New Roman" w:cs="Times New Roman"/>
          <w:sz w:val="24"/>
          <w:szCs w:val="24"/>
        </w:rPr>
        <w:t xml:space="preserve">ten </w:t>
      </w:r>
      <w:r w:rsidR="00D4660E">
        <w:rPr>
          <w:rFonts w:ascii="Times New Roman" w:hAnsi="Times New Roman" w:cs="Times New Roman"/>
          <w:sz w:val="24"/>
          <w:szCs w:val="24"/>
        </w:rPr>
        <w:t>sposób</w:t>
      </w:r>
      <w:r>
        <w:rPr>
          <w:rFonts w:ascii="Times New Roman" w:hAnsi="Times New Roman" w:cs="Times New Roman"/>
          <w:sz w:val="24"/>
          <w:szCs w:val="24"/>
        </w:rPr>
        <w:t>, że opóźnienie w wykonaniu obowiązku w wymiarze jednego dnia jest zagorożone tą samą sankcją co opóźnienie roczne. Narzędzie przewidziane w art. 56 ust. 6 i 6a daje Prezesowi URE podstaw</w:t>
      </w:r>
      <w:r w:rsidR="00CC2273">
        <w:rPr>
          <w:rFonts w:ascii="Times New Roman" w:hAnsi="Times New Roman" w:cs="Times New Roman"/>
          <w:sz w:val="24"/>
          <w:szCs w:val="24"/>
        </w:rPr>
        <w:t>ę</w:t>
      </w:r>
      <w:r>
        <w:rPr>
          <w:rFonts w:ascii="Times New Roman" w:hAnsi="Times New Roman" w:cs="Times New Roman"/>
          <w:sz w:val="24"/>
          <w:szCs w:val="24"/>
        </w:rPr>
        <w:t xml:space="preserve"> do miarkowania kary w takich właśnie przypadkach.</w:t>
      </w:r>
    </w:p>
    <w:p w14:paraId="002BE961" w14:textId="77777777" w:rsidR="00C24424" w:rsidRDefault="003844F1" w:rsidP="00E37B48">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51AC37FA" w14:textId="3920250B" w:rsidR="00E37B48" w:rsidRDefault="003844F1" w:rsidP="00C2442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Zasadnicza część przepisów ustawy wejdzie w życie po upływie 14 dni od dnia ogłoszenia. Jednakże w przepisie końcowym przewidziano szereg wyjątków w tym zakresie. </w:t>
      </w:r>
      <w:r w:rsidR="00E37B48" w:rsidRPr="00E37B48">
        <w:rPr>
          <w:rFonts w:ascii="Times New Roman" w:hAnsi="Times New Roman" w:cs="Times New Roman"/>
          <w:sz w:val="24"/>
          <w:szCs w:val="24"/>
        </w:rPr>
        <w:t xml:space="preserve">Przepisy w zakresie inteligentnego opomiarowania ze względu na konieczność dostosowania systemów teleinformatycznych, przygotowania rynku do nowych realiów oraz stworzenie </w:t>
      </w:r>
      <w:r w:rsidR="00E37B48">
        <w:rPr>
          <w:rFonts w:ascii="Times New Roman" w:hAnsi="Times New Roman" w:cs="Times New Roman"/>
          <w:sz w:val="24"/>
          <w:szCs w:val="24"/>
        </w:rPr>
        <w:br/>
      </w:r>
      <w:r w:rsidR="00E37B48" w:rsidRPr="00E37B48">
        <w:rPr>
          <w:rFonts w:ascii="Times New Roman" w:hAnsi="Times New Roman" w:cs="Times New Roman"/>
          <w:sz w:val="24"/>
          <w:szCs w:val="24"/>
        </w:rPr>
        <w:t>w pełni funkcjonalnego centralnego repozytorium danych pomiarowych wejdą w życie w okresie późniejszym</w:t>
      </w:r>
      <w:r w:rsidR="00E37B48">
        <w:rPr>
          <w:rFonts w:ascii="Times New Roman" w:hAnsi="Times New Roman" w:cs="Times New Roman"/>
          <w:sz w:val="24"/>
          <w:szCs w:val="24"/>
        </w:rPr>
        <w:t xml:space="preserve"> </w:t>
      </w:r>
      <w:r w:rsidR="00E37B48" w:rsidRPr="00E37B48">
        <w:rPr>
          <w:rFonts w:ascii="Times New Roman" w:hAnsi="Times New Roman" w:cs="Times New Roman"/>
          <w:sz w:val="24"/>
          <w:szCs w:val="24"/>
        </w:rPr>
        <w:t xml:space="preserve">niż pozostała część ustawy. I tak przepisy </w:t>
      </w:r>
      <w:r w:rsidR="00E37B48">
        <w:rPr>
          <w:rFonts w:ascii="Times New Roman" w:hAnsi="Times New Roman" w:cs="Times New Roman"/>
          <w:sz w:val="24"/>
          <w:szCs w:val="24"/>
        </w:rPr>
        <w:t>odnoszące się do</w:t>
      </w:r>
      <w:r w:rsidR="00E37B48" w:rsidRPr="00E37B48">
        <w:rPr>
          <w:rFonts w:ascii="Times New Roman" w:hAnsi="Times New Roman" w:cs="Times New Roman"/>
          <w:sz w:val="24"/>
          <w:szCs w:val="24"/>
        </w:rPr>
        <w:t xml:space="preserve"> rozporządzenia w zakresie infrastrutury sieci domowej wejdą w życie po 12 miesiącach od dnia</w:t>
      </w:r>
      <w:r w:rsidR="007934B5">
        <w:rPr>
          <w:rFonts w:ascii="Times New Roman" w:hAnsi="Times New Roman" w:cs="Times New Roman"/>
          <w:sz w:val="24"/>
          <w:szCs w:val="24"/>
        </w:rPr>
        <w:t xml:space="preserve"> </w:t>
      </w:r>
      <w:r w:rsidR="00CC2273">
        <w:rPr>
          <w:rFonts w:ascii="Times New Roman" w:hAnsi="Times New Roman" w:cs="Times New Roman"/>
          <w:sz w:val="24"/>
          <w:szCs w:val="24"/>
        </w:rPr>
        <w:t>ogłoszenia</w:t>
      </w:r>
      <w:r w:rsidR="00E37B48" w:rsidRPr="00E37B48">
        <w:rPr>
          <w:rFonts w:ascii="Times New Roman" w:hAnsi="Times New Roman" w:cs="Times New Roman"/>
          <w:sz w:val="24"/>
          <w:szCs w:val="24"/>
        </w:rPr>
        <w:t xml:space="preserve">, </w:t>
      </w:r>
      <w:r w:rsidR="00CC2273">
        <w:rPr>
          <w:rFonts w:ascii="Times New Roman" w:hAnsi="Times New Roman" w:cs="Times New Roman"/>
          <w:sz w:val="24"/>
          <w:szCs w:val="24"/>
        </w:rPr>
        <w:t xml:space="preserve">zaś przepisy </w:t>
      </w:r>
      <w:r w:rsidR="00E37B48" w:rsidRPr="00E37B48">
        <w:rPr>
          <w:rFonts w:ascii="Times New Roman" w:hAnsi="Times New Roman" w:cs="Times New Roman"/>
          <w:sz w:val="24"/>
          <w:szCs w:val="24"/>
        </w:rPr>
        <w:t xml:space="preserve">w zakresie pełnienia przez operatora systemu przesyłowego elektroenergetycznego funkcji operatora informacji rynku energii oraz umów zawieranych pomiędzy użytkownikami systemu w celu realizacji procesów rynku energii i wymiany informacji rynku energii za pośrednictwem centralnego systemu informacji rynku energii </w:t>
      </w:r>
      <w:r w:rsidR="00CC2273" w:rsidRPr="00E37B48">
        <w:rPr>
          <w:rFonts w:ascii="Times New Roman" w:hAnsi="Times New Roman" w:cs="Times New Roman"/>
          <w:sz w:val="24"/>
          <w:szCs w:val="24"/>
        </w:rPr>
        <w:t xml:space="preserve">wejdą w życie </w:t>
      </w:r>
      <w:r w:rsidR="00CC2273">
        <w:rPr>
          <w:rFonts w:ascii="Times New Roman" w:hAnsi="Times New Roman" w:cs="Times New Roman"/>
          <w:sz w:val="24"/>
          <w:szCs w:val="24"/>
        </w:rPr>
        <w:t>pierwszego dnia miesiąca następującego po upływie</w:t>
      </w:r>
      <w:r w:rsidR="00E37B48" w:rsidRPr="00E37B48">
        <w:rPr>
          <w:rFonts w:ascii="Times New Roman" w:hAnsi="Times New Roman" w:cs="Times New Roman"/>
          <w:sz w:val="24"/>
          <w:szCs w:val="24"/>
        </w:rPr>
        <w:t xml:space="preserve"> 30 miesiąc</w:t>
      </w:r>
      <w:r w:rsidR="00CC2273">
        <w:rPr>
          <w:rFonts w:ascii="Times New Roman" w:hAnsi="Times New Roman" w:cs="Times New Roman"/>
          <w:sz w:val="24"/>
          <w:szCs w:val="24"/>
        </w:rPr>
        <w:t>y</w:t>
      </w:r>
      <w:r w:rsidR="00E37B48" w:rsidRPr="00E37B48">
        <w:rPr>
          <w:rFonts w:ascii="Times New Roman" w:hAnsi="Times New Roman" w:cs="Times New Roman"/>
          <w:sz w:val="24"/>
          <w:szCs w:val="24"/>
        </w:rPr>
        <w:t xml:space="preserve"> od dnia</w:t>
      </w:r>
      <w:r w:rsidR="007934B5">
        <w:rPr>
          <w:rFonts w:ascii="Times New Roman" w:hAnsi="Times New Roman" w:cs="Times New Roman"/>
          <w:sz w:val="24"/>
          <w:szCs w:val="24"/>
        </w:rPr>
        <w:t xml:space="preserve"> </w:t>
      </w:r>
      <w:r w:rsidR="00CC2273">
        <w:rPr>
          <w:rFonts w:ascii="Times New Roman" w:hAnsi="Times New Roman" w:cs="Times New Roman"/>
          <w:sz w:val="24"/>
          <w:szCs w:val="24"/>
        </w:rPr>
        <w:t>ogłoszenia</w:t>
      </w:r>
      <w:r w:rsidR="00E37B48">
        <w:rPr>
          <w:rFonts w:ascii="Times New Roman" w:hAnsi="Times New Roman" w:cs="Times New Roman"/>
          <w:sz w:val="24"/>
          <w:szCs w:val="24"/>
        </w:rPr>
        <w:t>.</w:t>
      </w:r>
      <w:r w:rsidR="00E37B48" w:rsidRPr="00E37B48">
        <w:rPr>
          <w:rFonts w:ascii="Times New Roman" w:hAnsi="Times New Roman" w:cs="Times New Roman"/>
          <w:sz w:val="24"/>
          <w:szCs w:val="24"/>
        </w:rPr>
        <w:t xml:space="preserve"> </w:t>
      </w:r>
      <w:r w:rsidR="00E37B48">
        <w:rPr>
          <w:rFonts w:ascii="Times New Roman" w:hAnsi="Times New Roman" w:cs="Times New Roman"/>
          <w:sz w:val="24"/>
          <w:szCs w:val="24"/>
        </w:rPr>
        <w:t>W</w:t>
      </w:r>
      <w:r w:rsidR="00E37B48" w:rsidRPr="00E37B48">
        <w:rPr>
          <w:rFonts w:ascii="Times New Roman" w:hAnsi="Times New Roman" w:cs="Times New Roman"/>
          <w:sz w:val="24"/>
          <w:szCs w:val="24"/>
        </w:rPr>
        <w:t xml:space="preserve"> pozostałym zakresie związanym z centralnym systemem informacji rynku energii </w:t>
      </w:r>
      <w:r w:rsidR="00E37B48">
        <w:rPr>
          <w:rFonts w:ascii="Times New Roman" w:hAnsi="Times New Roman" w:cs="Times New Roman"/>
          <w:sz w:val="24"/>
          <w:szCs w:val="24"/>
        </w:rPr>
        <w:t xml:space="preserve">przepisy zaczną obowiązywać </w:t>
      </w:r>
      <w:r w:rsidR="00CC2273">
        <w:rPr>
          <w:rFonts w:ascii="Times New Roman" w:hAnsi="Times New Roman" w:cs="Times New Roman"/>
          <w:sz w:val="24"/>
          <w:szCs w:val="24"/>
        </w:rPr>
        <w:t>pierwszego dnia miesiąca następującego po upływie</w:t>
      </w:r>
      <w:r w:rsidR="00E37B48" w:rsidRPr="00E37B48">
        <w:rPr>
          <w:rFonts w:ascii="Times New Roman" w:hAnsi="Times New Roman" w:cs="Times New Roman"/>
          <w:sz w:val="24"/>
          <w:szCs w:val="24"/>
        </w:rPr>
        <w:t xml:space="preserve"> 36 </w:t>
      </w:r>
      <w:r w:rsidR="00E37B48" w:rsidRPr="00E37B48">
        <w:rPr>
          <w:rFonts w:ascii="Times New Roman" w:hAnsi="Times New Roman" w:cs="Times New Roman"/>
          <w:sz w:val="24"/>
          <w:szCs w:val="24"/>
        </w:rPr>
        <w:lastRenderedPageBreak/>
        <w:t>miesi</w:t>
      </w:r>
      <w:r w:rsidR="00CC2273">
        <w:rPr>
          <w:rFonts w:ascii="Times New Roman" w:hAnsi="Times New Roman" w:cs="Times New Roman"/>
          <w:sz w:val="24"/>
          <w:szCs w:val="24"/>
        </w:rPr>
        <w:t>ęcy</w:t>
      </w:r>
      <w:r w:rsidR="00E37B48" w:rsidRPr="00E37B48">
        <w:rPr>
          <w:rFonts w:ascii="Times New Roman" w:hAnsi="Times New Roman" w:cs="Times New Roman"/>
          <w:sz w:val="24"/>
          <w:szCs w:val="24"/>
        </w:rPr>
        <w:t xml:space="preserve"> od dnia </w:t>
      </w:r>
      <w:r w:rsidR="00CC2273">
        <w:rPr>
          <w:rFonts w:ascii="Times New Roman" w:hAnsi="Times New Roman" w:cs="Times New Roman"/>
          <w:sz w:val="24"/>
          <w:szCs w:val="24"/>
        </w:rPr>
        <w:t>ogłoszenia</w:t>
      </w:r>
      <w:r w:rsidR="00E37B48" w:rsidRPr="00E37B48">
        <w:rPr>
          <w:rFonts w:ascii="Times New Roman" w:hAnsi="Times New Roman" w:cs="Times New Roman"/>
          <w:sz w:val="24"/>
          <w:szCs w:val="24"/>
        </w:rPr>
        <w:t>. Przepisy dot</w:t>
      </w:r>
      <w:r w:rsidR="00E37B48">
        <w:rPr>
          <w:rFonts w:ascii="Times New Roman" w:hAnsi="Times New Roman" w:cs="Times New Roman"/>
          <w:sz w:val="24"/>
          <w:szCs w:val="24"/>
        </w:rPr>
        <w:t>yczące</w:t>
      </w:r>
      <w:r w:rsidR="00E37B48" w:rsidRPr="00E37B48">
        <w:rPr>
          <w:rFonts w:ascii="Times New Roman" w:hAnsi="Times New Roman" w:cs="Times New Roman"/>
          <w:sz w:val="24"/>
          <w:szCs w:val="24"/>
        </w:rPr>
        <w:t xml:space="preserve"> wynagrodzenia za wprowadzenie ograniczeń wejdą w życie po 24 miesiącach od dnia </w:t>
      </w:r>
      <w:r w:rsidR="005848ED">
        <w:rPr>
          <w:rFonts w:ascii="Times New Roman" w:hAnsi="Times New Roman" w:cs="Times New Roman"/>
          <w:sz w:val="24"/>
          <w:szCs w:val="24"/>
        </w:rPr>
        <w:t>ogłoszenia</w:t>
      </w:r>
      <w:r w:rsidR="00E37B48" w:rsidRPr="00E37B48">
        <w:rPr>
          <w:rFonts w:ascii="Times New Roman" w:hAnsi="Times New Roman" w:cs="Times New Roman"/>
          <w:sz w:val="24"/>
          <w:szCs w:val="24"/>
        </w:rPr>
        <w:t xml:space="preserve"> ze względu na konieczność uzgodnienia pomiędzy użytkownikami systemu szczegółowych zasad jego wypłaty w </w:t>
      </w:r>
      <w:r w:rsidR="004D0B73">
        <w:rPr>
          <w:rFonts w:ascii="Times New Roman" w:hAnsi="Times New Roman" w:cs="Times New Roman"/>
          <w:sz w:val="24"/>
          <w:szCs w:val="24"/>
        </w:rPr>
        <w:t>ś</w:t>
      </w:r>
      <w:r w:rsidR="00E37B48" w:rsidRPr="00E37B48">
        <w:rPr>
          <w:rFonts w:ascii="Times New Roman" w:hAnsi="Times New Roman" w:cs="Times New Roman"/>
          <w:sz w:val="24"/>
          <w:szCs w:val="24"/>
        </w:rPr>
        <w:t>wietle nowych okoliczności na rynku energii elektrycznej i ujęcia ich w akcie wykonawczy</w:t>
      </w:r>
      <w:r w:rsidR="00D4660E">
        <w:rPr>
          <w:rFonts w:ascii="Times New Roman" w:hAnsi="Times New Roman" w:cs="Times New Roman"/>
          <w:sz w:val="24"/>
          <w:szCs w:val="24"/>
        </w:rPr>
        <w:t>m</w:t>
      </w:r>
      <w:r w:rsidR="00E37B48" w:rsidRPr="00E37B48">
        <w:rPr>
          <w:rFonts w:ascii="Times New Roman" w:hAnsi="Times New Roman" w:cs="Times New Roman"/>
          <w:sz w:val="24"/>
          <w:szCs w:val="24"/>
        </w:rPr>
        <w:t>. Termin wejścia w życie przepisów karnych został dopasowany do terminu wejścia w życie przepisów merytorycznych.</w:t>
      </w:r>
    </w:p>
    <w:p w14:paraId="190BBCA0" w14:textId="2139F449" w:rsidR="00196557" w:rsidRDefault="00196557" w:rsidP="00C2442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Do projektu ustawy przygotowane zostały cztery projekty aktów wykonawczych: tj. projekt rozporządzenia w sprawie </w:t>
      </w:r>
      <w:r w:rsidRPr="00196557">
        <w:rPr>
          <w:rFonts w:ascii="Times New Roman" w:hAnsi="Times New Roman" w:cs="Times New Roman"/>
          <w:sz w:val="24"/>
          <w:szCs w:val="24"/>
        </w:rPr>
        <w:t>funkcjonowania oraz wykazu procesów centralnego systemu informacji rynku energii</w:t>
      </w:r>
      <w:r>
        <w:rPr>
          <w:rFonts w:ascii="Times New Roman" w:hAnsi="Times New Roman" w:cs="Times New Roman"/>
          <w:sz w:val="24"/>
          <w:szCs w:val="24"/>
        </w:rPr>
        <w:t xml:space="preserve">, projekt rozporządzenia w sprawie </w:t>
      </w:r>
      <w:r w:rsidRPr="00196557">
        <w:rPr>
          <w:rFonts w:ascii="Times New Roman" w:hAnsi="Times New Roman" w:cs="Times New Roman"/>
          <w:sz w:val="24"/>
          <w:szCs w:val="24"/>
        </w:rPr>
        <w:t>infrastruktury sieci domowej</w:t>
      </w:r>
      <w:r>
        <w:rPr>
          <w:rFonts w:ascii="Times New Roman" w:hAnsi="Times New Roman" w:cs="Times New Roman"/>
          <w:sz w:val="24"/>
          <w:szCs w:val="24"/>
        </w:rPr>
        <w:t xml:space="preserve">, projekt rozporządzenia w sprawie </w:t>
      </w:r>
      <w:r w:rsidRPr="00196557">
        <w:rPr>
          <w:rFonts w:ascii="Times New Roman" w:hAnsi="Times New Roman" w:cs="Times New Roman"/>
          <w:sz w:val="24"/>
          <w:szCs w:val="24"/>
        </w:rPr>
        <w:t>systemu pomiarowego</w:t>
      </w:r>
      <w:r>
        <w:rPr>
          <w:rFonts w:ascii="Times New Roman" w:hAnsi="Times New Roman" w:cs="Times New Roman"/>
          <w:sz w:val="24"/>
          <w:szCs w:val="24"/>
        </w:rPr>
        <w:t xml:space="preserve"> oraz projekt rozporządzenia </w:t>
      </w:r>
      <w:r w:rsidRPr="00196557">
        <w:rPr>
          <w:rFonts w:ascii="Times New Roman" w:hAnsi="Times New Roman" w:cs="Times New Roman"/>
          <w:sz w:val="24"/>
          <w:szCs w:val="24"/>
        </w:rPr>
        <w:t>w sprawie prowadzenia rejestru magazyn</w:t>
      </w:r>
      <w:r w:rsidR="00D4660E">
        <w:rPr>
          <w:rFonts w:ascii="Times New Roman" w:hAnsi="Times New Roman" w:cs="Times New Roman"/>
          <w:sz w:val="24"/>
          <w:szCs w:val="24"/>
        </w:rPr>
        <w:t>ów</w:t>
      </w:r>
      <w:r w:rsidRPr="00196557">
        <w:rPr>
          <w:rFonts w:ascii="Times New Roman" w:hAnsi="Times New Roman" w:cs="Times New Roman"/>
          <w:sz w:val="24"/>
          <w:szCs w:val="24"/>
        </w:rPr>
        <w:t xml:space="preserve"> energii elektrycznej</w:t>
      </w:r>
      <w:r>
        <w:rPr>
          <w:rFonts w:ascii="Times New Roman" w:hAnsi="Times New Roman" w:cs="Times New Roman"/>
          <w:sz w:val="24"/>
          <w:szCs w:val="24"/>
        </w:rPr>
        <w:t>. Akty wykonawcze będą niezbędne dla zapewnienia prawidłowego funkcjonowania przepisów ustawowych, które ze względu na zbyt ogólny charakter nie mogły w sposób szczegółowy uregulować wielu zaganień o charakterze technicznym.</w:t>
      </w:r>
    </w:p>
    <w:p w14:paraId="4FF3178B" w14:textId="475D4D77" w:rsidR="00196557" w:rsidRDefault="00196557" w:rsidP="00C2442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Projekt ustawy będzie miał pozytywny wpływ na mikro</w:t>
      </w:r>
      <w:r w:rsidR="007934B5">
        <w:rPr>
          <w:rFonts w:ascii="Times New Roman" w:hAnsi="Times New Roman" w:cs="Times New Roman"/>
          <w:sz w:val="24"/>
          <w:szCs w:val="24"/>
        </w:rPr>
        <w:t>-</w:t>
      </w:r>
      <w:r>
        <w:rPr>
          <w:rFonts w:ascii="Times New Roman" w:hAnsi="Times New Roman" w:cs="Times New Roman"/>
          <w:sz w:val="24"/>
          <w:szCs w:val="24"/>
        </w:rPr>
        <w:t>, małe i średnie przedsiębiorstwa m.in. przez stworzenie warunków konkurencji na rynku energii elektrycznej oraz storzenie wielu nowych możliwości w związku z wprowadzeniem systemu inteligentnego opomiarowania.</w:t>
      </w:r>
    </w:p>
    <w:p w14:paraId="06B846A9" w14:textId="205E032A" w:rsidR="00085870" w:rsidRPr="00EF6F97" w:rsidRDefault="00085870" w:rsidP="00E37B48">
      <w:pPr>
        <w:spacing w:line="360" w:lineRule="auto"/>
        <w:ind w:firstLine="708"/>
        <w:jc w:val="both"/>
        <w:rPr>
          <w:rFonts w:ascii="Times New Roman" w:hAnsi="Times New Roman" w:cs="Times New Roman"/>
          <w:sz w:val="24"/>
          <w:szCs w:val="24"/>
        </w:rPr>
      </w:pPr>
      <w:r w:rsidRPr="00EF6F97">
        <w:rPr>
          <w:rFonts w:ascii="Times New Roman" w:hAnsi="Times New Roman" w:cs="Times New Roman"/>
          <w:sz w:val="24"/>
          <w:szCs w:val="24"/>
        </w:rPr>
        <w:t xml:space="preserve">Projekt jest zgodny </w:t>
      </w:r>
      <w:r w:rsidR="001D0628">
        <w:rPr>
          <w:rFonts w:ascii="Times New Roman" w:hAnsi="Times New Roman" w:cs="Times New Roman"/>
          <w:sz w:val="24"/>
          <w:szCs w:val="24"/>
        </w:rPr>
        <w:t>z </w:t>
      </w:r>
      <w:r w:rsidRPr="00EF6F97">
        <w:rPr>
          <w:rFonts w:ascii="Times New Roman" w:hAnsi="Times New Roman" w:cs="Times New Roman"/>
          <w:sz w:val="24"/>
          <w:szCs w:val="24"/>
        </w:rPr>
        <w:t>prawem Unii Europejskiej.</w:t>
      </w:r>
    </w:p>
    <w:p w14:paraId="667B72D8" w14:textId="52CDE4A2" w:rsidR="00085870" w:rsidRPr="00EF6F97" w:rsidRDefault="008D4F44"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085870" w:rsidRPr="00EF6F97">
        <w:rPr>
          <w:rFonts w:ascii="Times New Roman" w:hAnsi="Times New Roman" w:cs="Times New Roman"/>
          <w:sz w:val="24"/>
          <w:szCs w:val="24"/>
        </w:rPr>
        <w:t xml:space="preserve">Projekt ustawy nie zawiera przepisów technicznych w rozumieniu przepisów rozporządzenia Rady Ministrów </w:t>
      </w:r>
      <w:r w:rsidR="001D0628">
        <w:rPr>
          <w:rFonts w:ascii="Times New Roman" w:hAnsi="Times New Roman" w:cs="Times New Roman"/>
          <w:sz w:val="24"/>
          <w:szCs w:val="24"/>
        </w:rPr>
        <w:t>z </w:t>
      </w:r>
      <w:r w:rsidR="00085870" w:rsidRPr="00EF6F97">
        <w:rPr>
          <w:rFonts w:ascii="Times New Roman" w:hAnsi="Times New Roman" w:cs="Times New Roman"/>
          <w:sz w:val="24"/>
          <w:szCs w:val="24"/>
        </w:rPr>
        <w:t>dnia 23 grudnia 2002</w:t>
      </w:r>
      <w:r w:rsidR="001D0628">
        <w:rPr>
          <w:rFonts w:ascii="Times New Roman" w:hAnsi="Times New Roman" w:cs="Times New Roman"/>
          <w:sz w:val="24"/>
          <w:szCs w:val="24"/>
        </w:rPr>
        <w:t> r.</w:t>
      </w:r>
      <w:r w:rsidR="00085870" w:rsidRPr="00EF6F97">
        <w:rPr>
          <w:rFonts w:ascii="Times New Roman" w:hAnsi="Times New Roman" w:cs="Times New Roman"/>
          <w:sz w:val="24"/>
          <w:szCs w:val="24"/>
        </w:rPr>
        <w:t xml:space="preserve"> w sprawie funkcjonowania krajowego systemu notyfikacji norm</w:t>
      </w:r>
      <w:r w:rsidR="001D0628">
        <w:rPr>
          <w:rFonts w:ascii="Times New Roman" w:hAnsi="Times New Roman" w:cs="Times New Roman"/>
          <w:sz w:val="24"/>
          <w:szCs w:val="24"/>
        </w:rPr>
        <w:t xml:space="preserve"> i </w:t>
      </w:r>
      <w:r w:rsidR="00085870" w:rsidRPr="00EF6F97">
        <w:rPr>
          <w:rFonts w:ascii="Times New Roman" w:hAnsi="Times New Roman" w:cs="Times New Roman"/>
          <w:sz w:val="24"/>
          <w:szCs w:val="24"/>
        </w:rPr>
        <w:t>aktów prawnych (Dz. U. poz. 2039 ora</w:t>
      </w:r>
      <w:r w:rsidR="001D0628">
        <w:rPr>
          <w:rFonts w:ascii="Times New Roman" w:hAnsi="Times New Roman" w:cs="Times New Roman"/>
          <w:sz w:val="24"/>
          <w:szCs w:val="24"/>
        </w:rPr>
        <w:t>z z </w:t>
      </w:r>
      <w:r w:rsidR="00085870" w:rsidRPr="00EF6F97">
        <w:rPr>
          <w:rFonts w:ascii="Times New Roman" w:hAnsi="Times New Roman" w:cs="Times New Roman"/>
          <w:sz w:val="24"/>
          <w:szCs w:val="24"/>
        </w:rPr>
        <w:t>2004</w:t>
      </w:r>
      <w:r w:rsidR="001D0628">
        <w:rPr>
          <w:rFonts w:ascii="Times New Roman" w:hAnsi="Times New Roman" w:cs="Times New Roman"/>
          <w:sz w:val="24"/>
          <w:szCs w:val="24"/>
        </w:rPr>
        <w:t> r.</w:t>
      </w:r>
      <w:r w:rsidR="00085870" w:rsidRPr="00EF6F97">
        <w:rPr>
          <w:rFonts w:ascii="Times New Roman" w:hAnsi="Times New Roman" w:cs="Times New Roman"/>
          <w:sz w:val="24"/>
          <w:szCs w:val="24"/>
        </w:rPr>
        <w:t xml:space="preserve"> poz.</w:t>
      </w:r>
      <w:r w:rsidR="007934B5">
        <w:rPr>
          <w:rFonts w:ascii="Times New Roman" w:hAnsi="Times New Roman" w:cs="Times New Roman"/>
          <w:sz w:val="24"/>
          <w:szCs w:val="24"/>
        </w:rPr>
        <w:t> </w:t>
      </w:r>
      <w:r w:rsidR="00085870" w:rsidRPr="00EF6F97">
        <w:rPr>
          <w:rFonts w:ascii="Times New Roman" w:hAnsi="Times New Roman" w:cs="Times New Roman"/>
          <w:sz w:val="24"/>
          <w:szCs w:val="24"/>
        </w:rPr>
        <w:t>597)</w:t>
      </w:r>
      <w:r w:rsidR="001D0628">
        <w:rPr>
          <w:rFonts w:ascii="Times New Roman" w:hAnsi="Times New Roman" w:cs="Times New Roman"/>
          <w:sz w:val="24"/>
          <w:szCs w:val="24"/>
        </w:rPr>
        <w:t xml:space="preserve"> i </w:t>
      </w:r>
      <w:r w:rsidR="00085870" w:rsidRPr="00EF6F97">
        <w:rPr>
          <w:rFonts w:ascii="Times New Roman" w:hAnsi="Times New Roman" w:cs="Times New Roman"/>
          <w:sz w:val="24"/>
          <w:szCs w:val="24"/>
        </w:rPr>
        <w:t xml:space="preserve">w związku </w:t>
      </w:r>
      <w:r w:rsidR="001D0628">
        <w:rPr>
          <w:rFonts w:ascii="Times New Roman" w:hAnsi="Times New Roman" w:cs="Times New Roman"/>
          <w:sz w:val="24"/>
          <w:szCs w:val="24"/>
        </w:rPr>
        <w:t>z </w:t>
      </w:r>
      <w:r w:rsidR="00085870" w:rsidRPr="00EF6F97">
        <w:rPr>
          <w:rFonts w:ascii="Times New Roman" w:hAnsi="Times New Roman" w:cs="Times New Roman"/>
          <w:sz w:val="24"/>
          <w:szCs w:val="24"/>
        </w:rPr>
        <w:t>tym nie podlega w tym zakresie notyfikacji Komisji Europejskiej.</w:t>
      </w:r>
    </w:p>
    <w:p w14:paraId="40453A28" w14:textId="3285A8A4" w:rsidR="00CE103A" w:rsidRDefault="008D4F44" w:rsidP="00EF6F97">
      <w:pPr>
        <w:spacing w:line="360" w:lineRule="auto"/>
        <w:jc w:val="both"/>
        <w:rPr>
          <w:rFonts w:ascii="Times New Roman" w:hAnsi="Times New Roman" w:cs="Times New Roman"/>
          <w:sz w:val="24"/>
          <w:szCs w:val="24"/>
        </w:rPr>
      </w:pPr>
      <w:r w:rsidRPr="00EF6F97">
        <w:rPr>
          <w:rFonts w:ascii="Times New Roman" w:hAnsi="Times New Roman" w:cs="Times New Roman"/>
          <w:sz w:val="24"/>
          <w:szCs w:val="24"/>
        </w:rPr>
        <w:tab/>
      </w:r>
      <w:r w:rsidR="00085870" w:rsidRPr="00EF6F97">
        <w:rPr>
          <w:rFonts w:ascii="Times New Roman" w:hAnsi="Times New Roman" w:cs="Times New Roman"/>
          <w:sz w:val="24"/>
          <w:szCs w:val="24"/>
        </w:rPr>
        <w:t xml:space="preserve">Zgodnie </w:t>
      </w:r>
      <w:r w:rsidR="001D0628">
        <w:rPr>
          <w:rFonts w:ascii="Times New Roman" w:hAnsi="Times New Roman" w:cs="Times New Roman"/>
          <w:sz w:val="24"/>
          <w:szCs w:val="24"/>
        </w:rPr>
        <w:t>z </w:t>
      </w:r>
      <w:r w:rsidR="00085870" w:rsidRPr="00EF6F97">
        <w:rPr>
          <w:rFonts w:ascii="Times New Roman" w:hAnsi="Times New Roman" w:cs="Times New Roman"/>
          <w:sz w:val="24"/>
          <w:szCs w:val="24"/>
        </w:rPr>
        <w:t xml:space="preserve">art. 5 ustawy </w:t>
      </w:r>
      <w:r w:rsidR="001D0628">
        <w:rPr>
          <w:rFonts w:ascii="Times New Roman" w:hAnsi="Times New Roman" w:cs="Times New Roman"/>
          <w:sz w:val="24"/>
          <w:szCs w:val="24"/>
        </w:rPr>
        <w:t>z </w:t>
      </w:r>
      <w:r w:rsidR="00085870" w:rsidRPr="00EF6F97">
        <w:rPr>
          <w:rFonts w:ascii="Times New Roman" w:hAnsi="Times New Roman" w:cs="Times New Roman"/>
          <w:sz w:val="24"/>
          <w:szCs w:val="24"/>
        </w:rPr>
        <w:t>dnia 7 lipca 2005</w:t>
      </w:r>
      <w:r w:rsidR="001D0628">
        <w:rPr>
          <w:rFonts w:ascii="Times New Roman" w:hAnsi="Times New Roman" w:cs="Times New Roman"/>
          <w:sz w:val="24"/>
          <w:szCs w:val="24"/>
        </w:rPr>
        <w:t> r.</w:t>
      </w:r>
      <w:r w:rsidR="00085870" w:rsidRPr="00EF6F97">
        <w:rPr>
          <w:rFonts w:ascii="Times New Roman" w:hAnsi="Times New Roman" w:cs="Times New Roman"/>
          <w:sz w:val="24"/>
          <w:szCs w:val="24"/>
        </w:rPr>
        <w:t xml:space="preserve"> o działalności lobbingowej w procesie stanowienia prawa (Dz. U. </w:t>
      </w:r>
      <w:r w:rsidR="001D0628">
        <w:rPr>
          <w:rFonts w:ascii="Times New Roman" w:hAnsi="Times New Roman" w:cs="Times New Roman"/>
          <w:sz w:val="24"/>
          <w:szCs w:val="24"/>
        </w:rPr>
        <w:t>z </w:t>
      </w:r>
      <w:r w:rsidR="00085870" w:rsidRPr="00EF6F97">
        <w:rPr>
          <w:rFonts w:ascii="Times New Roman" w:hAnsi="Times New Roman" w:cs="Times New Roman"/>
          <w:sz w:val="24"/>
          <w:szCs w:val="24"/>
        </w:rPr>
        <w:t xml:space="preserve">2017 </w:t>
      </w:r>
      <w:r w:rsidR="007B2800">
        <w:rPr>
          <w:rFonts w:ascii="Times New Roman" w:hAnsi="Times New Roman" w:cs="Times New Roman"/>
          <w:sz w:val="24"/>
          <w:szCs w:val="24"/>
        </w:rPr>
        <w:t xml:space="preserve">r. </w:t>
      </w:r>
      <w:r w:rsidR="00085870" w:rsidRPr="00EF6F97">
        <w:rPr>
          <w:rFonts w:ascii="Times New Roman" w:hAnsi="Times New Roman" w:cs="Times New Roman"/>
          <w:sz w:val="24"/>
          <w:szCs w:val="24"/>
        </w:rPr>
        <w:t>poz. 248), p</w:t>
      </w:r>
      <w:r w:rsidR="00215A1D">
        <w:rPr>
          <w:rFonts w:ascii="Times New Roman" w:hAnsi="Times New Roman" w:cs="Times New Roman"/>
          <w:sz w:val="24"/>
          <w:szCs w:val="24"/>
        </w:rPr>
        <w:t>rojekt został</w:t>
      </w:r>
      <w:r w:rsidR="00085870" w:rsidRPr="00EF6F97">
        <w:rPr>
          <w:rFonts w:ascii="Times New Roman" w:hAnsi="Times New Roman" w:cs="Times New Roman"/>
          <w:sz w:val="24"/>
          <w:szCs w:val="24"/>
        </w:rPr>
        <w:t xml:space="preserve"> umieszczony w Biuletynie Informacji Publicznej Rządowego Centrum Legislacji</w:t>
      </w:r>
      <w:r w:rsidR="00215A1D">
        <w:rPr>
          <w:rFonts w:ascii="Times New Roman" w:hAnsi="Times New Roman" w:cs="Times New Roman"/>
          <w:sz w:val="24"/>
          <w:szCs w:val="24"/>
        </w:rPr>
        <w:t xml:space="preserve"> oraz </w:t>
      </w:r>
      <w:r w:rsidR="00085870" w:rsidRPr="00EF6F97">
        <w:rPr>
          <w:rFonts w:ascii="Times New Roman" w:hAnsi="Times New Roman" w:cs="Times New Roman"/>
          <w:sz w:val="24"/>
          <w:szCs w:val="24"/>
        </w:rPr>
        <w:t>przekazany do uzgodnień międzyresortowych</w:t>
      </w:r>
      <w:r w:rsidR="00215A1D">
        <w:rPr>
          <w:rFonts w:ascii="Times New Roman" w:hAnsi="Times New Roman" w:cs="Times New Roman"/>
          <w:sz w:val="24"/>
          <w:szCs w:val="24"/>
        </w:rPr>
        <w:t xml:space="preserve"> i konsultacji publicznych w październiku 2018 r</w:t>
      </w:r>
      <w:r w:rsidR="00085870" w:rsidRPr="00EF6F97">
        <w:rPr>
          <w:rFonts w:ascii="Times New Roman" w:hAnsi="Times New Roman" w:cs="Times New Roman"/>
          <w:sz w:val="24"/>
          <w:szCs w:val="24"/>
        </w:rPr>
        <w:t xml:space="preserve">. </w:t>
      </w:r>
      <w:r w:rsidR="00CE103A" w:rsidRPr="00CE103A">
        <w:rPr>
          <w:rFonts w:ascii="Times New Roman" w:hAnsi="Times New Roman" w:cs="Times New Roman"/>
          <w:sz w:val="24"/>
          <w:szCs w:val="24"/>
        </w:rPr>
        <w:t>W toku prac nad projektem żaden podmiot nie zgłosił zainteresowania pracami nad tym projektem w trybie przewidzianym w ww. ustawie.</w:t>
      </w:r>
    </w:p>
    <w:p w14:paraId="05967252" w14:textId="07ADCADA" w:rsidR="00C24424" w:rsidRPr="00C24424" w:rsidRDefault="00C24424" w:rsidP="007934B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 ramach konsultacji publicznych uwagi zglosi</w:t>
      </w:r>
      <w:r w:rsidR="00372C70">
        <w:rPr>
          <w:rFonts w:ascii="Times New Roman" w:hAnsi="Times New Roman" w:cs="Times New Roman"/>
          <w:sz w:val="24"/>
          <w:szCs w:val="24"/>
        </w:rPr>
        <w:t>ł</w:t>
      </w:r>
      <w:r>
        <w:rPr>
          <w:rFonts w:ascii="Times New Roman" w:hAnsi="Times New Roman" w:cs="Times New Roman"/>
          <w:sz w:val="24"/>
          <w:szCs w:val="24"/>
        </w:rPr>
        <w:t xml:space="preserve">o 49 podmiotów. </w:t>
      </w:r>
      <w:r w:rsidRPr="00C24424">
        <w:rPr>
          <w:rFonts w:ascii="Times New Roman" w:hAnsi="Times New Roman" w:cs="Times New Roman"/>
          <w:sz w:val="24"/>
          <w:szCs w:val="24"/>
        </w:rPr>
        <w:t xml:space="preserve">Przepisy w obszarze inteligentnego opomiarowania zostały ponownie opracowane w ramach Zespołu ds. wprowadzenia w Polsce inteligentnego opomiarowania, w skład którego wchodzą przedstawiciele URE, GUMu, PSE S.A., PTPiREE, TOE, KIGEiT, OSDnEE oraz Federacji Konsumentów, uzgadniając tym samym wszelkie zgłoszone uwagi podczas uzgodnień </w:t>
      </w:r>
      <w:r w:rsidRPr="00C24424">
        <w:rPr>
          <w:rFonts w:ascii="Times New Roman" w:hAnsi="Times New Roman" w:cs="Times New Roman"/>
          <w:sz w:val="24"/>
          <w:szCs w:val="24"/>
        </w:rPr>
        <w:lastRenderedPageBreak/>
        <w:t>międzyresortowych i konsultacji publicznych.</w:t>
      </w:r>
    </w:p>
    <w:p w14:paraId="77AC6F21" w14:textId="77777777" w:rsidR="00C24424" w:rsidRPr="00C24424" w:rsidRDefault="00C24424" w:rsidP="007934B5">
      <w:pPr>
        <w:spacing w:line="360" w:lineRule="auto"/>
        <w:ind w:firstLine="708"/>
        <w:jc w:val="both"/>
        <w:rPr>
          <w:rFonts w:ascii="Times New Roman" w:hAnsi="Times New Roman" w:cs="Times New Roman"/>
          <w:sz w:val="24"/>
          <w:szCs w:val="24"/>
        </w:rPr>
      </w:pPr>
      <w:r w:rsidRPr="00C24424">
        <w:rPr>
          <w:rFonts w:ascii="Times New Roman" w:hAnsi="Times New Roman" w:cs="Times New Roman"/>
          <w:sz w:val="24"/>
          <w:szCs w:val="24"/>
        </w:rPr>
        <w:t>Podobnie w zakresie magazynowania energii elektrycznej. Wypracowano nowe przepisy, które w najwyższym stopniu uwzględniają zgłoszone uwagi oraz stanowiska zajęte przez resorty podczas uzgodnień międzyresortowych i konferencji uzgodnieniowej, w szczególności Urząd Regulacji Energetyki, kierując się zasadą, że projektowane zmiany znoszą bariery dla rozwoju magazynów energii elektrycznej w Polsce, nie wprowadzając jednocześnie systemu wsparcia, który mógłby stanowić obciążenie po stronie pozostałych odbiorców energii elektrycznej.</w:t>
      </w:r>
    </w:p>
    <w:p w14:paraId="2D303FCC" w14:textId="254AD479" w:rsidR="00C24424" w:rsidRPr="00C24424" w:rsidRDefault="00C24424" w:rsidP="007934B5">
      <w:pPr>
        <w:spacing w:line="360" w:lineRule="auto"/>
        <w:ind w:firstLine="708"/>
        <w:jc w:val="both"/>
        <w:rPr>
          <w:rFonts w:ascii="Times New Roman" w:hAnsi="Times New Roman" w:cs="Times New Roman"/>
          <w:sz w:val="24"/>
          <w:szCs w:val="24"/>
        </w:rPr>
      </w:pPr>
      <w:r w:rsidRPr="00C24424">
        <w:rPr>
          <w:rFonts w:ascii="Times New Roman" w:hAnsi="Times New Roman" w:cs="Times New Roman"/>
          <w:sz w:val="24"/>
          <w:szCs w:val="24"/>
        </w:rPr>
        <w:t>Również przepisy w obszarze zamkniętych systemów dystrybucyjnych zostały przeredagowane, głównie w wyniku uwzględnienia uwag Urzędu Regulacji Energetyki, ale i również PSE S.A. oraz OSDnEE. Należy zaznaczyć, że ograniczono się do niezbędnych wyłączeń (z obowiązków OSD) przewidzianych w prawie UE</w:t>
      </w:r>
      <w:r w:rsidR="007934B5">
        <w:rPr>
          <w:rFonts w:ascii="Times New Roman" w:hAnsi="Times New Roman" w:cs="Times New Roman"/>
          <w:sz w:val="24"/>
          <w:szCs w:val="24"/>
        </w:rPr>
        <w:t>,</w:t>
      </w:r>
      <w:r w:rsidRPr="00C24424">
        <w:rPr>
          <w:rFonts w:ascii="Times New Roman" w:hAnsi="Times New Roman" w:cs="Times New Roman"/>
          <w:sz w:val="24"/>
          <w:szCs w:val="24"/>
        </w:rPr>
        <w:t xml:space="preserve"> posiłkując się najnowszym orzecznictwem TSUE.</w:t>
      </w:r>
    </w:p>
    <w:p w14:paraId="2F0C43DC" w14:textId="13E8F2D6" w:rsidR="00C24424" w:rsidRPr="00C24424" w:rsidRDefault="00C24424" w:rsidP="007934B5">
      <w:pPr>
        <w:spacing w:line="360" w:lineRule="auto"/>
        <w:ind w:firstLine="708"/>
        <w:jc w:val="both"/>
        <w:rPr>
          <w:rFonts w:ascii="Times New Roman" w:hAnsi="Times New Roman" w:cs="Times New Roman"/>
          <w:sz w:val="24"/>
          <w:szCs w:val="24"/>
        </w:rPr>
      </w:pPr>
      <w:r w:rsidRPr="00C24424">
        <w:rPr>
          <w:rFonts w:ascii="Times New Roman" w:hAnsi="Times New Roman" w:cs="Times New Roman"/>
          <w:sz w:val="24"/>
          <w:szCs w:val="24"/>
        </w:rPr>
        <w:t>Wypracowano również nowe rozwiązania dotyczące rekuperacji energii elektrycznej. Wsłuchując się w głos przewoźników kolejowych</w:t>
      </w:r>
      <w:r w:rsidR="007934B5">
        <w:rPr>
          <w:rFonts w:ascii="Times New Roman" w:hAnsi="Times New Roman" w:cs="Times New Roman"/>
          <w:sz w:val="24"/>
          <w:szCs w:val="24"/>
        </w:rPr>
        <w:t>,</w:t>
      </w:r>
      <w:r w:rsidRPr="00C24424">
        <w:rPr>
          <w:rFonts w:ascii="Times New Roman" w:hAnsi="Times New Roman" w:cs="Times New Roman"/>
          <w:sz w:val="24"/>
          <w:szCs w:val="24"/>
        </w:rPr>
        <w:t xml:space="preserve"> zrezygnowano z ustawowego określania ceny zakupu energii elektrycznej zwróconej do sieci trakcyjnej lub dystrybucyjnej na rzecz umownego rozliczania. </w:t>
      </w:r>
    </w:p>
    <w:p w14:paraId="04942518" w14:textId="6171A9DE" w:rsidR="00C24424" w:rsidRPr="00C24424" w:rsidRDefault="00C24424" w:rsidP="007934B5">
      <w:pPr>
        <w:spacing w:line="360" w:lineRule="auto"/>
        <w:ind w:firstLine="708"/>
        <w:jc w:val="both"/>
        <w:rPr>
          <w:rFonts w:ascii="Times New Roman" w:hAnsi="Times New Roman" w:cs="Times New Roman"/>
          <w:sz w:val="24"/>
          <w:szCs w:val="24"/>
        </w:rPr>
      </w:pPr>
      <w:r w:rsidRPr="00C24424">
        <w:rPr>
          <w:rFonts w:ascii="Times New Roman" w:hAnsi="Times New Roman" w:cs="Times New Roman"/>
          <w:sz w:val="24"/>
          <w:szCs w:val="24"/>
        </w:rPr>
        <w:t>Duża część uwag stała się nieaktualna w wyniku opracowania nowej wersji przepisów będącej wynikiem uwag zgłoszonych przez inne podmioty oraz resorty. I tak np. oprócz ww. zmian w obszarze inteligentnego opomiarowania oraz magazynowania energii elektrycznej ograniczono zakres zmian w obszarze kwalifikacji energetycznych</w:t>
      </w:r>
      <w:r w:rsidR="007934B5">
        <w:rPr>
          <w:rFonts w:ascii="Times New Roman" w:hAnsi="Times New Roman" w:cs="Times New Roman"/>
          <w:sz w:val="24"/>
          <w:szCs w:val="24"/>
        </w:rPr>
        <w:t>,</w:t>
      </w:r>
      <w:r w:rsidRPr="00C24424">
        <w:rPr>
          <w:rFonts w:ascii="Times New Roman" w:hAnsi="Times New Roman" w:cs="Times New Roman"/>
          <w:sz w:val="24"/>
          <w:szCs w:val="24"/>
        </w:rPr>
        <w:t xml:space="preserve"> kierując się przesłankami o charakterze ekonomicznym – ograniczenie wydatków z budżetu </w:t>
      </w:r>
      <w:r w:rsidR="007934B5">
        <w:rPr>
          <w:rFonts w:ascii="Times New Roman" w:hAnsi="Times New Roman" w:cs="Times New Roman"/>
          <w:sz w:val="24"/>
          <w:szCs w:val="24"/>
        </w:rPr>
        <w:t>p</w:t>
      </w:r>
      <w:r w:rsidRPr="00C24424">
        <w:rPr>
          <w:rFonts w:ascii="Times New Roman" w:hAnsi="Times New Roman" w:cs="Times New Roman"/>
          <w:sz w:val="24"/>
          <w:szCs w:val="24"/>
        </w:rPr>
        <w:t>aństwa, z którymi mogłoby się wiązać m.in. stworzenie centralnego systemu rejestru świadectw kwalifikacyjnych.</w:t>
      </w:r>
    </w:p>
    <w:p w14:paraId="50F3A451" w14:textId="48080579" w:rsidR="00C24424" w:rsidRDefault="00C24424" w:rsidP="007934B5">
      <w:pPr>
        <w:spacing w:line="360" w:lineRule="auto"/>
        <w:ind w:firstLine="708"/>
        <w:jc w:val="both"/>
        <w:rPr>
          <w:rFonts w:ascii="Times New Roman" w:hAnsi="Times New Roman" w:cs="Times New Roman"/>
          <w:sz w:val="24"/>
          <w:szCs w:val="24"/>
        </w:rPr>
      </w:pPr>
      <w:r w:rsidRPr="00C24424">
        <w:rPr>
          <w:rFonts w:ascii="Times New Roman" w:hAnsi="Times New Roman" w:cs="Times New Roman"/>
          <w:sz w:val="24"/>
          <w:szCs w:val="24"/>
        </w:rPr>
        <w:t>Uwzględniono również wiele bardziej szczegółowych uwag, jak np.: skorygowanie definicji uczestnika rynku hurtowego, zapewnienie zgodności z przepisami UE rozwiązań w obszarze gazociągów bezpośrednich, doprecyzowanie metedologii głosowania przez NEMO na podstawie art. 9 ust. 6 rozporządzenia 2015/1222.</w:t>
      </w:r>
    </w:p>
    <w:p w14:paraId="5DFFC7EA" w14:textId="527D6996" w:rsidR="00F1576E" w:rsidRPr="00EF6F97" w:rsidRDefault="00085870" w:rsidP="00CE103A">
      <w:pPr>
        <w:spacing w:line="360" w:lineRule="auto"/>
        <w:ind w:firstLine="708"/>
        <w:jc w:val="both"/>
        <w:rPr>
          <w:rFonts w:ascii="Times New Roman" w:hAnsi="Times New Roman" w:cs="Times New Roman"/>
          <w:sz w:val="24"/>
          <w:szCs w:val="24"/>
        </w:rPr>
      </w:pPr>
      <w:r w:rsidRPr="00EF6F97">
        <w:rPr>
          <w:rFonts w:ascii="Times New Roman" w:hAnsi="Times New Roman" w:cs="Times New Roman"/>
          <w:sz w:val="24"/>
          <w:szCs w:val="24"/>
        </w:rPr>
        <w:t xml:space="preserve">Projekt </w:t>
      </w:r>
      <w:r w:rsidR="00AF3458" w:rsidRPr="00EF6F97">
        <w:rPr>
          <w:rFonts w:ascii="Times New Roman" w:hAnsi="Times New Roman" w:cs="Times New Roman"/>
          <w:sz w:val="24"/>
          <w:szCs w:val="24"/>
        </w:rPr>
        <w:t>ustawy</w:t>
      </w:r>
      <w:r w:rsidRPr="00EF6F97">
        <w:rPr>
          <w:rFonts w:ascii="Times New Roman" w:hAnsi="Times New Roman" w:cs="Times New Roman"/>
          <w:sz w:val="24"/>
          <w:szCs w:val="24"/>
        </w:rPr>
        <w:t xml:space="preserve"> nie wymaga przedstawienia organom</w:t>
      </w:r>
      <w:r w:rsidR="001D0628">
        <w:rPr>
          <w:rFonts w:ascii="Times New Roman" w:hAnsi="Times New Roman" w:cs="Times New Roman"/>
          <w:sz w:val="24"/>
          <w:szCs w:val="24"/>
        </w:rPr>
        <w:t xml:space="preserve"> i </w:t>
      </w:r>
      <w:r w:rsidRPr="00EF6F97">
        <w:rPr>
          <w:rFonts w:ascii="Times New Roman" w:hAnsi="Times New Roman" w:cs="Times New Roman"/>
          <w:sz w:val="24"/>
          <w:szCs w:val="24"/>
        </w:rPr>
        <w:t>instytucjom Unii Europejskiej, w tym Europejskiemu</w:t>
      </w:r>
      <w:r w:rsidR="00CE103A">
        <w:rPr>
          <w:rFonts w:ascii="Times New Roman" w:hAnsi="Times New Roman" w:cs="Times New Roman"/>
          <w:sz w:val="24"/>
          <w:szCs w:val="24"/>
        </w:rPr>
        <w:t xml:space="preserve"> </w:t>
      </w:r>
      <w:r w:rsidRPr="00EF6F97">
        <w:rPr>
          <w:rFonts w:ascii="Times New Roman" w:hAnsi="Times New Roman" w:cs="Times New Roman"/>
          <w:sz w:val="24"/>
          <w:szCs w:val="24"/>
        </w:rPr>
        <w:t xml:space="preserve">Bankowi Centralnemu, w celu uzyskania opinii, dokonania powiadomienia, konsultacji albo uzgodnienia, zgodnie </w:t>
      </w:r>
      <w:r w:rsidR="001D0628">
        <w:rPr>
          <w:rFonts w:ascii="Times New Roman" w:hAnsi="Times New Roman" w:cs="Times New Roman"/>
          <w:sz w:val="24"/>
          <w:szCs w:val="24"/>
        </w:rPr>
        <w:t>z </w:t>
      </w:r>
      <w:r w:rsidRPr="00EF6F97">
        <w:rPr>
          <w:rFonts w:ascii="Times New Roman" w:hAnsi="Times New Roman" w:cs="Times New Roman"/>
          <w:sz w:val="24"/>
          <w:szCs w:val="24"/>
        </w:rPr>
        <w:t xml:space="preserve">§ 27 ust 4 uchwały nr 190 Rady Ministrów </w:t>
      </w:r>
      <w:r w:rsidR="001D0628">
        <w:rPr>
          <w:rFonts w:ascii="Times New Roman" w:hAnsi="Times New Roman" w:cs="Times New Roman"/>
          <w:sz w:val="24"/>
          <w:szCs w:val="24"/>
        </w:rPr>
        <w:t>z </w:t>
      </w:r>
      <w:r w:rsidRPr="00EF6F97">
        <w:rPr>
          <w:rFonts w:ascii="Times New Roman" w:hAnsi="Times New Roman" w:cs="Times New Roman"/>
          <w:sz w:val="24"/>
          <w:szCs w:val="24"/>
        </w:rPr>
        <w:t>dnia 29 października 2013</w:t>
      </w:r>
      <w:r w:rsidR="001D0628">
        <w:rPr>
          <w:rFonts w:ascii="Times New Roman" w:hAnsi="Times New Roman" w:cs="Times New Roman"/>
          <w:sz w:val="24"/>
          <w:szCs w:val="24"/>
        </w:rPr>
        <w:t> r.</w:t>
      </w:r>
      <w:r w:rsidRPr="00EF6F97">
        <w:rPr>
          <w:rFonts w:ascii="Times New Roman" w:hAnsi="Times New Roman" w:cs="Times New Roman"/>
          <w:sz w:val="24"/>
          <w:szCs w:val="24"/>
        </w:rPr>
        <w:t xml:space="preserve"> - Regulamin pracy Rady Ministrów (M.P. </w:t>
      </w:r>
      <w:r w:rsidR="001D0628">
        <w:rPr>
          <w:rFonts w:ascii="Times New Roman" w:hAnsi="Times New Roman" w:cs="Times New Roman"/>
          <w:sz w:val="24"/>
          <w:szCs w:val="24"/>
        </w:rPr>
        <w:t>z </w:t>
      </w:r>
      <w:r w:rsidRPr="00EF6F97">
        <w:rPr>
          <w:rFonts w:ascii="Times New Roman" w:hAnsi="Times New Roman" w:cs="Times New Roman"/>
          <w:sz w:val="24"/>
          <w:szCs w:val="24"/>
        </w:rPr>
        <w:t>2016</w:t>
      </w:r>
      <w:r w:rsidR="001D0628">
        <w:rPr>
          <w:rFonts w:ascii="Times New Roman" w:hAnsi="Times New Roman" w:cs="Times New Roman"/>
          <w:sz w:val="24"/>
          <w:szCs w:val="24"/>
        </w:rPr>
        <w:t> r.</w:t>
      </w:r>
      <w:r w:rsidRPr="00EF6F97">
        <w:rPr>
          <w:rFonts w:ascii="Times New Roman" w:hAnsi="Times New Roman" w:cs="Times New Roman"/>
          <w:sz w:val="24"/>
          <w:szCs w:val="24"/>
        </w:rPr>
        <w:t xml:space="preserve"> poz. 1006</w:t>
      </w:r>
      <w:r w:rsidR="003A3043">
        <w:rPr>
          <w:rFonts w:ascii="Times New Roman" w:hAnsi="Times New Roman" w:cs="Times New Roman"/>
          <w:sz w:val="24"/>
          <w:szCs w:val="24"/>
        </w:rPr>
        <w:t>, z późn.</w:t>
      </w:r>
      <w:r w:rsidR="007934B5">
        <w:rPr>
          <w:rFonts w:ascii="Times New Roman" w:hAnsi="Times New Roman" w:cs="Times New Roman"/>
          <w:sz w:val="24"/>
          <w:szCs w:val="24"/>
        </w:rPr>
        <w:t xml:space="preserve"> </w:t>
      </w:r>
      <w:r w:rsidR="003A3043">
        <w:rPr>
          <w:rFonts w:ascii="Times New Roman" w:hAnsi="Times New Roman" w:cs="Times New Roman"/>
          <w:sz w:val="24"/>
          <w:szCs w:val="24"/>
        </w:rPr>
        <w:t>zm.</w:t>
      </w:r>
      <w:r w:rsidRPr="00EF6F97">
        <w:rPr>
          <w:rFonts w:ascii="Times New Roman" w:hAnsi="Times New Roman" w:cs="Times New Roman"/>
          <w:sz w:val="24"/>
          <w:szCs w:val="24"/>
        </w:rPr>
        <w:t>).</w:t>
      </w:r>
    </w:p>
    <w:sectPr w:rsidR="00F1576E" w:rsidRPr="00EF6F97" w:rsidSect="006F259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6C6D4" w14:textId="77777777" w:rsidR="000366CE" w:rsidRDefault="000366CE" w:rsidP="00377EAC">
      <w:r>
        <w:separator/>
      </w:r>
    </w:p>
  </w:endnote>
  <w:endnote w:type="continuationSeparator" w:id="0">
    <w:p w14:paraId="3060070C" w14:textId="77777777" w:rsidR="000366CE" w:rsidRDefault="000366CE" w:rsidP="0037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EYInterstate Light">
    <w:altName w:val="Times New Roman"/>
    <w:charset w:val="EE"/>
    <w:family w:val="auto"/>
    <w:pitch w:val="variable"/>
    <w:sig w:usb0="00000001" w:usb1="5000206A" w:usb2="00000000" w:usb3="00000000" w:csb0="0000009F" w:csb1="00000000"/>
  </w:font>
  <w:font w:name="timekst podstawowy)">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58434"/>
      <w:docPartObj>
        <w:docPartGallery w:val="Page Numbers (Bottom of Page)"/>
        <w:docPartUnique/>
      </w:docPartObj>
    </w:sdtPr>
    <w:sdtEndPr>
      <w:rPr>
        <w:rFonts w:ascii="Times New Roman" w:hAnsi="Times New Roman" w:cs="Times New Roman"/>
        <w:sz w:val="24"/>
        <w:szCs w:val="24"/>
      </w:rPr>
    </w:sdtEndPr>
    <w:sdtContent>
      <w:p w14:paraId="2A0F9154" w14:textId="7E7D993F" w:rsidR="008F7945" w:rsidRPr="002A066F" w:rsidRDefault="008F7945">
        <w:pPr>
          <w:pStyle w:val="Stopka"/>
          <w:jc w:val="center"/>
          <w:rPr>
            <w:rFonts w:ascii="Times New Roman" w:hAnsi="Times New Roman" w:cs="Times New Roman"/>
            <w:sz w:val="24"/>
            <w:szCs w:val="24"/>
          </w:rPr>
        </w:pPr>
        <w:r w:rsidRPr="002A066F">
          <w:rPr>
            <w:rFonts w:ascii="Times New Roman" w:hAnsi="Times New Roman" w:cs="Times New Roman"/>
            <w:sz w:val="24"/>
            <w:szCs w:val="24"/>
          </w:rPr>
          <w:fldChar w:fldCharType="begin"/>
        </w:r>
        <w:r w:rsidRPr="002A066F">
          <w:rPr>
            <w:rFonts w:ascii="Times New Roman" w:hAnsi="Times New Roman" w:cs="Times New Roman"/>
            <w:sz w:val="24"/>
            <w:szCs w:val="24"/>
          </w:rPr>
          <w:instrText>PAGE   \* MERGEFORMAT</w:instrText>
        </w:r>
        <w:r w:rsidRPr="002A066F">
          <w:rPr>
            <w:rFonts w:ascii="Times New Roman" w:hAnsi="Times New Roman" w:cs="Times New Roman"/>
            <w:sz w:val="24"/>
            <w:szCs w:val="24"/>
          </w:rPr>
          <w:fldChar w:fldCharType="separate"/>
        </w:r>
        <w:r w:rsidR="00607DFE">
          <w:rPr>
            <w:rFonts w:ascii="Times New Roman" w:hAnsi="Times New Roman" w:cs="Times New Roman"/>
            <w:noProof/>
            <w:sz w:val="24"/>
            <w:szCs w:val="24"/>
          </w:rPr>
          <w:t>21</w:t>
        </w:r>
        <w:r w:rsidRPr="002A066F">
          <w:rPr>
            <w:rFonts w:ascii="Times New Roman" w:hAnsi="Times New Roman" w:cs="Times New Roman"/>
            <w:sz w:val="24"/>
            <w:szCs w:val="24"/>
          </w:rPr>
          <w:fldChar w:fldCharType="end"/>
        </w:r>
      </w:p>
    </w:sdtContent>
  </w:sdt>
  <w:p w14:paraId="01B1001D" w14:textId="77777777" w:rsidR="008F7945" w:rsidRDefault="008F794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2C719" w14:textId="7C39C285" w:rsidR="008F7945" w:rsidRPr="00EB2609" w:rsidRDefault="008F7945">
    <w:pPr>
      <w:pStyle w:val="Stopka"/>
      <w:jc w:val="center"/>
      <w:rPr>
        <w:rFonts w:ascii="Times New Roman" w:hAnsi="Times New Roman"/>
      </w:rPr>
    </w:pPr>
    <w:r w:rsidRPr="00EB2609">
      <w:rPr>
        <w:rFonts w:ascii="Times New Roman" w:hAnsi="Times New Roman"/>
        <w:noProof/>
      </w:rPr>
      <w:fldChar w:fldCharType="begin"/>
    </w:r>
    <w:r w:rsidRPr="00EB2609">
      <w:rPr>
        <w:rFonts w:ascii="Times New Roman" w:hAnsi="Times New Roman"/>
        <w:noProof/>
      </w:rPr>
      <w:instrText>PAGE   \* MERGEFORMAT</w:instrText>
    </w:r>
    <w:r w:rsidRPr="00EB2609">
      <w:rPr>
        <w:rFonts w:ascii="Times New Roman" w:hAnsi="Times New Roman"/>
        <w:noProof/>
      </w:rPr>
      <w:fldChar w:fldCharType="separate"/>
    </w:r>
    <w:r w:rsidR="00607DFE">
      <w:rPr>
        <w:rFonts w:ascii="Times New Roman" w:hAnsi="Times New Roman"/>
        <w:noProof/>
      </w:rPr>
      <w:t>91</w:t>
    </w:r>
    <w:r w:rsidRPr="00EB2609">
      <w:rPr>
        <w:rFonts w:ascii="Times New Roman" w:hAnsi="Times New Roman"/>
        <w:noProof/>
      </w:rPr>
      <w:fldChar w:fldCharType="end"/>
    </w:r>
  </w:p>
  <w:p w14:paraId="664D0496" w14:textId="77777777" w:rsidR="008F7945" w:rsidRDefault="008F79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929F6" w14:textId="77777777" w:rsidR="000366CE" w:rsidRDefault="000366CE" w:rsidP="00377EAC">
      <w:r>
        <w:separator/>
      </w:r>
    </w:p>
  </w:footnote>
  <w:footnote w:type="continuationSeparator" w:id="0">
    <w:p w14:paraId="71B75F59" w14:textId="77777777" w:rsidR="000366CE" w:rsidRDefault="000366CE" w:rsidP="00377EAC">
      <w:r>
        <w:continuationSeparator/>
      </w:r>
    </w:p>
  </w:footnote>
  <w:footnote w:id="1">
    <w:p w14:paraId="5F811181" w14:textId="77777777" w:rsidR="008F7945" w:rsidRPr="00EC63F6" w:rsidRDefault="008F7945" w:rsidP="0097130C">
      <w:pPr>
        <w:pStyle w:val="Tekstprzypisudolnego"/>
        <w:rPr>
          <w:rFonts w:ascii="EYInterstate Light" w:hAnsi="EYInterstate Light"/>
        </w:rPr>
      </w:pPr>
      <w:r w:rsidRPr="00EC63F6">
        <w:rPr>
          <w:rStyle w:val="Odwoanieprzypisudolnego"/>
          <w:rFonts w:ascii="EYInterstate Light" w:hAnsi="EYInterstate Light"/>
        </w:rPr>
        <w:footnoteRef/>
      </w:r>
      <w:hyperlink r:id="rId1" w:history="1">
        <w:r w:rsidRPr="00EC63F6">
          <w:rPr>
            <w:rStyle w:val="Hipercze"/>
            <w:rFonts w:ascii="EYInterstate Light" w:hAnsi="EYInterstate Light"/>
          </w:rPr>
          <w:t>https://bip.ure.gov.pl/bip/rejestry-i-bazy/operatorzy-systemow-el/787,Operatorzy-systemow-elektroenergetycznych-dane-adresowe-i-obszary-dzialania.html</w:t>
        </w:r>
      </w:hyperlink>
    </w:p>
  </w:footnote>
  <w:footnote w:id="2">
    <w:p w14:paraId="75897374" w14:textId="77777777" w:rsidR="008F7945" w:rsidRPr="00D55610" w:rsidRDefault="008F7945" w:rsidP="0097130C">
      <w:pPr>
        <w:pStyle w:val="Tekstprzypisudolnego"/>
        <w:rPr>
          <w:rFonts w:ascii="Times New Roman" w:hAnsi="Times New Roman"/>
        </w:rPr>
      </w:pPr>
      <w:r w:rsidRPr="00D55610">
        <w:rPr>
          <w:rStyle w:val="Odwoanieprzypisudolnego"/>
          <w:rFonts w:ascii="Times New Roman" w:hAnsi="Times New Roman"/>
        </w:rPr>
        <w:footnoteRef/>
      </w:r>
      <w:hyperlink r:id="rId2" w:history="1">
        <w:r w:rsidRPr="00D55610">
          <w:rPr>
            <w:rStyle w:val="Hipercze"/>
            <w:rFonts w:ascii="Times New Roman" w:hAnsi="Times New Roman"/>
          </w:rPr>
          <w:t>http://www.senat.gov.pl/prace/komisje-senackie/przebieg,6946,1.html</w:t>
        </w:r>
      </w:hyperlink>
    </w:p>
  </w:footnote>
  <w:footnote w:id="3">
    <w:p w14:paraId="351F1111" w14:textId="4590B724" w:rsidR="008F7945" w:rsidRPr="00577A55" w:rsidRDefault="008F7945" w:rsidP="001A323E">
      <w:pPr>
        <w:pStyle w:val="Tekstprzypisudolnego"/>
        <w:ind w:left="142" w:hanging="142"/>
        <w:jc w:val="both"/>
        <w:rPr>
          <w:rFonts w:ascii="Times New Roman" w:hAnsi="Times New Roman"/>
          <w:lang w:val="en-US"/>
        </w:rPr>
      </w:pPr>
      <w:r w:rsidRPr="00577A55">
        <w:rPr>
          <w:rStyle w:val="Odwoanieprzypisudolnego"/>
          <w:rFonts w:ascii="Times New Roman" w:hAnsi="Times New Roman"/>
        </w:rPr>
        <w:footnoteRef/>
      </w:r>
      <w:r>
        <w:rPr>
          <w:rFonts w:ascii="Times New Roman" w:hAnsi="Times New Roman"/>
          <w:i/>
          <w:lang w:val="en-US"/>
        </w:rPr>
        <w:t xml:space="preserve"> </w:t>
      </w:r>
      <w:r w:rsidRPr="00577A55">
        <w:rPr>
          <w:rFonts w:ascii="Times New Roman" w:hAnsi="Times New Roman"/>
          <w:i/>
          <w:lang w:val="en-US"/>
        </w:rPr>
        <w:t>Electric Storage Participation in Markets Operated by Regional Transmission Organizations and Independent System Operators, Order No. 841, 162 FERC 61,127 (2018)</w:t>
      </w:r>
      <w:r w:rsidRPr="00577A55">
        <w:rPr>
          <w:rFonts w:ascii="Times New Roman" w:hAnsi="Times New Roman"/>
          <w:lang w:val="en-US"/>
        </w:rPr>
        <w:t xml:space="preserve">ferc.gov/whats-new/comm-meet/2018/021518/E-1.pdf </w:t>
      </w:r>
    </w:p>
  </w:footnote>
  <w:footnote w:id="4">
    <w:p w14:paraId="03DE909F" w14:textId="77777777" w:rsidR="008F7945" w:rsidRPr="00F33BC4" w:rsidRDefault="008F7945" w:rsidP="00F33BC4">
      <w:pPr>
        <w:pStyle w:val="Tekstprzypisudolnego"/>
        <w:jc w:val="both"/>
        <w:rPr>
          <w:rFonts w:ascii="Times New Roman" w:hAnsi="Times New Roman"/>
        </w:rPr>
      </w:pPr>
      <w:r>
        <w:rPr>
          <w:rStyle w:val="Odwoanieprzypisudolnego"/>
        </w:rPr>
        <w:footnoteRef/>
      </w:r>
      <w:r>
        <w:t xml:space="preserve"> </w:t>
      </w:r>
      <w:r w:rsidRPr="00F33BC4">
        <w:rPr>
          <w:rFonts w:ascii="Times New Roman" w:hAnsi="Times New Roman"/>
        </w:rPr>
        <w:t xml:space="preserve">Wyniki certyfikacji ogólnej przeprowadzone przez PSE S.A. wskazują na zgłoszenie jako planowanych 20 projektów magazynów energii elektrycznej o łącznej mocy 5623 MW, co nie wydaje się realne, biorąc pod uwagę znacznie mniejszy zakres inwestycji w magazyny energii elektrycznej w najbardziej zaawansowanych i zasobnych stanach/krajach (np. Kalifornia, Australia). </w:t>
      </w:r>
    </w:p>
    <w:p w14:paraId="0C5ED644" w14:textId="77777777" w:rsidR="008F7945" w:rsidRDefault="000366CE">
      <w:pPr>
        <w:pStyle w:val="Tekstprzypisudolnego"/>
      </w:pPr>
      <w:hyperlink r:id="rId3" w:history="1">
        <w:r w:rsidR="008F7945">
          <w:rPr>
            <w:rStyle w:val="Hipercze"/>
          </w:rPr>
          <w:t>https://www.pse.pl/aktualnosci-rynku-mocy/-/asset_publisher/XaFia9l65YKy/content/rynek-mocy-w-liczbach-certyfikacja-ogolna-20-2?safeargs=696e686572697452656469726563743d66616c73652672656469726563743d68747470732533412532462532467777772e7073652e706c253246616b7475616c6e6f7363692d72796e6b752d6d6f6379253346705f705f69642533443130315f494e5354414e43455f5861466961396c3635594b79253236705f705f6c6966656379636c6525334430253236705f705f73746174652533446e6f726d616c253236705f705f6d6f646525334476696577253236705f705f636f6c5f6964253344636f6c756d6e2d32253236705f705f636f6c5f636f756e7425334431</w:t>
        </w:r>
      </w:hyperlink>
    </w:p>
  </w:footnote>
  <w:footnote w:id="5">
    <w:p w14:paraId="2D4EB284" w14:textId="77777777" w:rsidR="008F7945" w:rsidRDefault="008F7945" w:rsidP="00271648">
      <w:pPr>
        <w:pStyle w:val="Tekstprzypisudolnego"/>
      </w:pPr>
      <w:r>
        <w:rPr>
          <w:rStyle w:val="Odwoanieprzypisudolnego"/>
        </w:rPr>
        <w:footnoteRef/>
      </w:r>
      <w:hyperlink r:id="rId4" w:history="1">
        <w:r w:rsidRPr="004448B9">
          <w:rPr>
            <w:rStyle w:val="Hipercze"/>
          </w:rPr>
          <w:t>http://www.ure.gov.pl/pl/urzad/informacje-ogolne/aktualnosci/4638,Stanowisko-Regulatora-w-sprawie-Operatora-Informacji-Pomiarowej.html?search=7789464507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00FAB" w14:textId="77777777" w:rsidR="008F7945" w:rsidRPr="00EA2468" w:rsidRDefault="008F7945" w:rsidP="005D3849">
    <w:pPr>
      <w:tabs>
        <w:tab w:val="left" w:pos="3064"/>
        <w:tab w:val="right" w:pos="14570"/>
      </w:tabs>
      <w:jc w:val="right"/>
      <w:rPr>
        <w:rFonts w:ascii="timekst podstawowy)" w:hAnsi="timekst podstawowy)"/>
      </w:rPr>
    </w:pPr>
    <w:r>
      <w:rPr>
        <w:rFonts w:ascii="timekst podstawowy)" w:hAnsi="timekst podstawowy)"/>
      </w:rPr>
      <w:tab/>
    </w:r>
  </w:p>
  <w:p w14:paraId="3845BF08" w14:textId="77777777" w:rsidR="008F7945" w:rsidRDefault="008F79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5A82"/>
    <w:multiLevelType w:val="hybridMultilevel"/>
    <w:tmpl w:val="74AA0EF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6E4E7D"/>
    <w:multiLevelType w:val="hybridMultilevel"/>
    <w:tmpl w:val="0F84C134"/>
    <w:lvl w:ilvl="0" w:tplc="08388D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2D57FA"/>
    <w:multiLevelType w:val="hybridMultilevel"/>
    <w:tmpl w:val="3B42B3B4"/>
    <w:lvl w:ilvl="0" w:tplc="1A28D014">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
    <w:nsid w:val="050D71B6"/>
    <w:multiLevelType w:val="hybridMultilevel"/>
    <w:tmpl w:val="2C4831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35025A"/>
    <w:multiLevelType w:val="hybridMultilevel"/>
    <w:tmpl w:val="93827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202A69"/>
    <w:multiLevelType w:val="hybridMultilevel"/>
    <w:tmpl w:val="96E2F51A"/>
    <w:lvl w:ilvl="0" w:tplc="55AAADE0">
      <w:start w:val="1"/>
      <w:numFmt w:val="bullet"/>
      <w:lvlText w:val="–"/>
      <w:lvlJc w:val="left"/>
      <w:pPr>
        <w:ind w:left="720" w:hanging="360"/>
      </w:pPr>
      <w:rPr>
        <w:rFonts w:ascii="Vrinda" w:hAnsi="Vrind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8849D9"/>
    <w:multiLevelType w:val="hybridMultilevel"/>
    <w:tmpl w:val="4EC2C666"/>
    <w:lvl w:ilvl="0" w:tplc="46907BE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6AF0888"/>
    <w:multiLevelType w:val="hybridMultilevel"/>
    <w:tmpl w:val="3D2AC2A6"/>
    <w:lvl w:ilvl="0" w:tplc="EC620EF8">
      <w:start w:val="1"/>
      <w:numFmt w:val="decimal"/>
      <w:lvlText w:val="%1)"/>
      <w:lvlJc w:val="left"/>
      <w:pPr>
        <w:ind w:left="833" w:hanging="465"/>
      </w:pPr>
      <w:rPr>
        <w:rFonts w:hint="default"/>
        <w:b w:val="0"/>
      </w:rPr>
    </w:lvl>
    <w:lvl w:ilvl="1" w:tplc="04150019">
      <w:start w:val="1"/>
      <w:numFmt w:val="lowerLetter"/>
      <w:lvlText w:val="%2."/>
      <w:lvlJc w:val="left"/>
      <w:pPr>
        <w:ind w:left="1448" w:hanging="360"/>
      </w:pPr>
    </w:lvl>
    <w:lvl w:ilvl="2" w:tplc="0415001B" w:tentative="1">
      <w:start w:val="1"/>
      <w:numFmt w:val="lowerRoman"/>
      <w:lvlText w:val="%3."/>
      <w:lvlJc w:val="right"/>
      <w:pPr>
        <w:ind w:left="2168" w:hanging="180"/>
      </w:pPr>
    </w:lvl>
    <w:lvl w:ilvl="3" w:tplc="0415000F" w:tentative="1">
      <w:start w:val="1"/>
      <w:numFmt w:val="decimal"/>
      <w:lvlText w:val="%4."/>
      <w:lvlJc w:val="left"/>
      <w:pPr>
        <w:ind w:left="2888" w:hanging="360"/>
      </w:pPr>
    </w:lvl>
    <w:lvl w:ilvl="4" w:tplc="04150019" w:tentative="1">
      <w:start w:val="1"/>
      <w:numFmt w:val="lowerLetter"/>
      <w:lvlText w:val="%5."/>
      <w:lvlJc w:val="left"/>
      <w:pPr>
        <w:ind w:left="3608" w:hanging="360"/>
      </w:pPr>
    </w:lvl>
    <w:lvl w:ilvl="5" w:tplc="0415001B" w:tentative="1">
      <w:start w:val="1"/>
      <w:numFmt w:val="lowerRoman"/>
      <w:lvlText w:val="%6."/>
      <w:lvlJc w:val="right"/>
      <w:pPr>
        <w:ind w:left="4328" w:hanging="180"/>
      </w:pPr>
    </w:lvl>
    <w:lvl w:ilvl="6" w:tplc="0415000F" w:tentative="1">
      <w:start w:val="1"/>
      <w:numFmt w:val="decimal"/>
      <w:lvlText w:val="%7."/>
      <w:lvlJc w:val="left"/>
      <w:pPr>
        <w:ind w:left="5048" w:hanging="360"/>
      </w:pPr>
    </w:lvl>
    <w:lvl w:ilvl="7" w:tplc="04150019" w:tentative="1">
      <w:start w:val="1"/>
      <w:numFmt w:val="lowerLetter"/>
      <w:lvlText w:val="%8."/>
      <w:lvlJc w:val="left"/>
      <w:pPr>
        <w:ind w:left="5768" w:hanging="360"/>
      </w:pPr>
    </w:lvl>
    <w:lvl w:ilvl="8" w:tplc="0415001B" w:tentative="1">
      <w:start w:val="1"/>
      <w:numFmt w:val="lowerRoman"/>
      <w:lvlText w:val="%9."/>
      <w:lvlJc w:val="right"/>
      <w:pPr>
        <w:ind w:left="6488" w:hanging="180"/>
      </w:pPr>
    </w:lvl>
  </w:abstractNum>
  <w:abstractNum w:abstractNumId="8">
    <w:nsid w:val="07B564D2"/>
    <w:multiLevelType w:val="hybridMultilevel"/>
    <w:tmpl w:val="10F2646E"/>
    <w:lvl w:ilvl="0" w:tplc="55AAADE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A006292"/>
    <w:multiLevelType w:val="hybridMultilevel"/>
    <w:tmpl w:val="75D62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3B23D3"/>
    <w:multiLevelType w:val="hybridMultilevel"/>
    <w:tmpl w:val="2AA8E6D4"/>
    <w:lvl w:ilvl="0" w:tplc="7AC8EAAE">
      <w:start w:val="1"/>
      <w:numFmt w:val="decimal"/>
      <w:lvlText w:val="%1)"/>
      <w:lvlJc w:val="left"/>
      <w:pPr>
        <w:ind w:left="138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1">
    <w:nsid w:val="0AE2446C"/>
    <w:multiLevelType w:val="hybridMultilevel"/>
    <w:tmpl w:val="3F04E0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6D6D26"/>
    <w:multiLevelType w:val="hybridMultilevel"/>
    <w:tmpl w:val="3CDC322A"/>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3">
    <w:nsid w:val="0CF25208"/>
    <w:multiLevelType w:val="hybridMultilevel"/>
    <w:tmpl w:val="870E95A8"/>
    <w:lvl w:ilvl="0" w:tplc="B00668B0">
      <w:start w:val="1"/>
      <w:numFmt w:val="decimal"/>
      <w:lvlText w:val="%1)"/>
      <w:lvlJc w:val="left"/>
      <w:pPr>
        <w:tabs>
          <w:tab w:val="num" w:pos="1421"/>
        </w:tabs>
        <w:ind w:left="1421" w:hanging="570"/>
      </w:pPr>
      <w:rPr>
        <w:rFonts w:cs="Times New Roman" w:hint="default"/>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4">
    <w:nsid w:val="0DC44ED7"/>
    <w:multiLevelType w:val="hybridMultilevel"/>
    <w:tmpl w:val="BA98E88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C23112"/>
    <w:multiLevelType w:val="hybridMultilevel"/>
    <w:tmpl w:val="4CACD58C"/>
    <w:lvl w:ilvl="0" w:tplc="80443986">
      <w:start w:val="1"/>
      <w:numFmt w:val="decimal"/>
      <w:lvlText w:val="%1)"/>
      <w:lvlJc w:val="left"/>
      <w:pPr>
        <w:ind w:left="1014" w:hanging="504"/>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6">
    <w:nsid w:val="0FE74C51"/>
    <w:multiLevelType w:val="hybridMultilevel"/>
    <w:tmpl w:val="2206BE8A"/>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F841C2"/>
    <w:multiLevelType w:val="hybridMultilevel"/>
    <w:tmpl w:val="EC2298B6"/>
    <w:lvl w:ilvl="0" w:tplc="3EBCFDAC">
      <w:start w:val="1"/>
      <w:numFmt w:val="decimal"/>
      <w:lvlText w:val="%1)"/>
      <w:lvlJc w:val="left"/>
      <w:pPr>
        <w:ind w:left="1845" w:hanging="825"/>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8">
    <w:nsid w:val="10094F67"/>
    <w:multiLevelType w:val="hybridMultilevel"/>
    <w:tmpl w:val="F4C4AA58"/>
    <w:lvl w:ilvl="0" w:tplc="55AAADE0">
      <w:start w:val="1"/>
      <w:numFmt w:val="bullet"/>
      <w:lvlText w:val="–"/>
      <w:lvlJc w:val="left"/>
      <w:pPr>
        <w:ind w:left="1230" w:hanging="360"/>
      </w:pPr>
      <w:rPr>
        <w:rFonts w:ascii="Vrinda" w:hAnsi="Vrinda"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9">
    <w:nsid w:val="1273094B"/>
    <w:multiLevelType w:val="hybridMultilevel"/>
    <w:tmpl w:val="B1ACA45C"/>
    <w:lvl w:ilvl="0" w:tplc="3EBCFDAC">
      <w:start w:val="1"/>
      <w:numFmt w:val="decimal"/>
      <w:lvlText w:val="%1)"/>
      <w:lvlJc w:val="left"/>
      <w:pPr>
        <w:ind w:left="1335" w:hanging="825"/>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0">
    <w:nsid w:val="129F0442"/>
    <w:multiLevelType w:val="hybridMultilevel"/>
    <w:tmpl w:val="F4C4B53E"/>
    <w:lvl w:ilvl="0" w:tplc="55AAADE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338126D"/>
    <w:multiLevelType w:val="hybridMultilevel"/>
    <w:tmpl w:val="292E31CA"/>
    <w:lvl w:ilvl="0" w:tplc="3EBCFDAC">
      <w:start w:val="1"/>
      <w:numFmt w:val="decimal"/>
      <w:lvlText w:val="%1)"/>
      <w:lvlJc w:val="left"/>
      <w:pPr>
        <w:ind w:left="1845" w:hanging="825"/>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2">
    <w:nsid w:val="143316B2"/>
    <w:multiLevelType w:val="hybridMultilevel"/>
    <w:tmpl w:val="D112410C"/>
    <w:lvl w:ilvl="0" w:tplc="55AAADE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57E3A0F"/>
    <w:multiLevelType w:val="hybridMultilevel"/>
    <w:tmpl w:val="2B443342"/>
    <w:lvl w:ilvl="0" w:tplc="01F6B4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EC28E1"/>
    <w:multiLevelType w:val="hybridMultilevel"/>
    <w:tmpl w:val="1AC8F4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C503DA"/>
    <w:multiLevelType w:val="hybridMultilevel"/>
    <w:tmpl w:val="E81E61C0"/>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6">
    <w:nsid w:val="17F7043D"/>
    <w:multiLevelType w:val="hybridMultilevel"/>
    <w:tmpl w:val="6F1E4F2C"/>
    <w:lvl w:ilvl="0" w:tplc="55AAADE0">
      <w:start w:val="1"/>
      <w:numFmt w:val="bullet"/>
      <w:lvlText w:val="–"/>
      <w:lvlJc w:val="left"/>
      <w:pPr>
        <w:ind w:left="644"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B1E15BB"/>
    <w:multiLevelType w:val="hybridMultilevel"/>
    <w:tmpl w:val="B3CC407C"/>
    <w:lvl w:ilvl="0" w:tplc="7AC8EAAE">
      <w:start w:val="1"/>
      <w:numFmt w:val="decimal"/>
      <w:lvlText w:val="%1)"/>
      <w:lvlJc w:val="left"/>
      <w:pPr>
        <w:ind w:left="138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8">
    <w:nsid w:val="1BC91AE8"/>
    <w:multiLevelType w:val="hybridMultilevel"/>
    <w:tmpl w:val="D4C89F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D810506"/>
    <w:multiLevelType w:val="hybridMultilevel"/>
    <w:tmpl w:val="5880797E"/>
    <w:lvl w:ilvl="0" w:tplc="04150011">
      <w:start w:val="1"/>
      <w:numFmt w:val="decimal"/>
      <w:lvlText w:val="%1)"/>
      <w:lvlJc w:val="left"/>
      <w:pPr>
        <w:ind w:left="720" w:hanging="360"/>
      </w:pPr>
      <w:rPr>
        <w:rFonts w:hint="default"/>
      </w:rPr>
    </w:lvl>
    <w:lvl w:ilvl="1" w:tplc="07C6AEE2">
      <w:start w:val="1"/>
      <w:numFmt w:val="decimal"/>
      <w:lvlText w:val="%2."/>
      <w:lvlJc w:val="left"/>
      <w:pPr>
        <w:ind w:left="1440" w:hanging="360"/>
      </w:pPr>
      <w:rPr>
        <w:rFonts w:hint="default"/>
      </w:rPr>
    </w:lvl>
    <w:lvl w:ilvl="2" w:tplc="0E80C4D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ED21DEA"/>
    <w:multiLevelType w:val="hybridMultilevel"/>
    <w:tmpl w:val="837A65D4"/>
    <w:lvl w:ilvl="0" w:tplc="55AAADE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2972865"/>
    <w:multiLevelType w:val="hybridMultilevel"/>
    <w:tmpl w:val="AFE2000E"/>
    <w:lvl w:ilvl="0" w:tplc="0415000F">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2">
    <w:nsid w:val="24CA0C8C"/>
    <w:multiLevelType w:val="hybridMultilevel"/>
    <w:tmpl w:val="29061D0E"/>
    <w:lvl w:ilvl="0" w:tplc="55AAADE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6107B7D"/>
    <w:multiLevelType w:val="hybridMultilevel"/>
    <w:tmpl w:val="110C36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78C646C"/>
    <w:multiLevelType w:val="hybridMultilevel"/>
    <w:tmpl w:val="91E0BB16"/>
    <w:lvl w:ilvl="0" w:tplc="1A28D014">
      <w:start w:val="1"/>
      <w:numFmt w:val="decimal"/>
      <w:lvlText w:val="%1)"/>
      <w:lvlJc w:val="left"/>
      <w:pPr>
        <w:ind w:left="138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5">
    <w:nsid w:val="27F50ADB"/>
    <w:multiLevelType w:val="hybridMultilevel"/>
    <w:tmpl w:val="760ACF88"/>
    <w:lvl w:ilvl="0" w:tplc="7AC8EAAE">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6">
    <w:nsid w:val="28347A78"/>
    <w:multiLevelType w:val="hybridMultilevel"/>
    <w:tmpl w:val="A74A30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2BA510B0"/>
    <w:multiLevelType w:val="hybridMultilevel"/>
    <w:tmpl w:val="BE5C4258"/>
    <w:lvl w:ilvl="0" w:tplc="55AAADE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CD80C1C"/>
    <w:multiLevelType w:val="hybridMultilevel"/>
    <w:tmpl w:val="5BBC9F44"/>
    <w:lvl w:ilvl="0" w:tplc="55AAADE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DC21CC0"/>
    <w:multiLevelType w:val="hybridMultilevel"/>
    <w:tmpl w:val="74CC42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0C3554D"/>
    <w:multiLevelType w:val="hybridMultilevel"/>
    <w:tmpl w:val="5C1893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18154DE"/>
    <w:multiLevelType w:val="hybridMultilevel"/>
    <w:tmpl w:val="16FE4F6C"/>
    <w:lvl w:ilvl="0" w:tplc="55AAADE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4222CA6"/>
    <w:multiLevelType w:val="hybridMultilevel"/>
    <w:tmpl w:val="6E845F3E"/>
    <w:lvl w:ilvl="0" w:tplc="3EBCFDAC">
      <w:start w:val="1"/>
      <w:numFmt w:val="decimal"/>
      <w:lvlText w:val="%1)"/>
      <w:lvlJc w:val="left"/>
      <w:pPr>
        <w:ind w:left="1335" w:hanging="825"/>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3">
    <w:nsid w:val="34A854EB"/>
    <w:multiLevelType w:val="hybridMultilevel"/>
    <w:tmpl w:val="01F8C8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65F1BBD"/>
    <w:multiLevelType w:val="hybridMultilevel"/>
    <w:tmpl w:val="27B22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85A203C"/>
    <w:multiLevelType w:val="hybridMultilevel"/>
    <w:tmpl w:val="A1C2126E"/>
    <w:lvl w:ilvl="0" w:tplc="55AAADE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89731ED"/>
    <w:multiLevelType w:val="hybridMultilevel"/>
    <w:tmpl w:val="2C62F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B752CB5"/>
    <w:multiLevelType w:val="hybridMultilevel"/>
    <w:tmpl w:val="C2909D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F9309A"/>
    <w:multiLevelType w:val="hybridMultilevel"/>
    <w:tmpl w:val="9EA465CA"/>
    <w:lvl w:ilvl="0" w:tplc="04150011">
      <w:start w:val="1"/>
      <w:numFmt w:val="decimal"/>
      <w:lvlText w:val="%1)"/>
      <w:lvlJc w:val="left"/>
      <w:pPr>
        <w:ind w:left="1741" w:hanging="360"/>
      </w:pPr>
      <w:rPr>
        <w:rFonts w:hint="default"/>
      </w:rPr>
    </w:lvl>
    <w:lvl w:ilvl="1" w:tplc="04150019" w:tentative="1">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49">
    <w:nsid w:val="40AB184F"/>
    <w:multiLevelType w:val="hybridMultilevel"/>
    <w:tmpl w:val="9D86B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081BD8"/>
    <w:multiLevelType w:val="multilevel"/>
    <w:tmpl w:val="C54A3F48"/>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nsid w:val="414372DE"/>
    <w:multiLevelType w:val="hybridMultilevel"/>
    <w:tmpl w:val="EC42407A"/>
    <w:lvl w:ilvl="0" w:tplc="3EBCFDAC">
      <w:start w:val="1"/>
      <w:numFmt w:val="decimal"/>
      <w:lvlText w:val="%1)"/>
      <w:lvlJc w:val="left"/>
      <w:pPr>
        <w:ind w:left="1335" w:hanging="8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1466E44"/>
    <w:multiLevelType w:val="hybridMultilevel"/>
    <w:tmpl w:val="F410990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3">
    <w:nsid w:val="419068C2"/>
    <w:multiLevelType w:val="hybridMultilevel"/>
    <w:tmpl w:val="53C898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3100A9F"/>
    <w:multiLevelType w:val="hybridMultilevel"/>
    <w:tmpl w:val="CE6C8422"/>
    <w:lvl w:ilvl="0" w:tplc="A524EE3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31D6BC4"/>
    <w:multiLevelType w:val="hybridMultilevel"/>
    <w:tmpl w:val="96D8551A"/>
    <w:lvl w:ilvl="0" w:tplc="619E6F6E">
      <w:start w:val="1"/>
      <w:numFmt w:val="decimal"/>
      <w:lvlText w:val="%1)"/>
      <w:lvlJc w:val="left"/>
      <w:pPr>
        <w:tabs>
          <w:tab w:val="num" w:pos="720"/>
        </w:tabs>
        <w:ind w:left="720" w:hanging="360"/>
      </w:pPr>
      <w:rPr>
        <w:rFonts w:hint="default"/>
      </w:rPr>
    </w:lvl>
    <w:lvl w:ilvl="1" w:tplc="43FA54D8">
      <w:start w:val="1"/>
      <w:numFmt w:val="decimal"/>
      <w:lvlText w:val="%2."/>
      <w:lvlJc w:val="left"/>
      <w:pPr>
        <w:tabs>
          <w:tab w:val="num" w:pos="1440"/>
        </w:tabs>
        <w:ind w:left="1440" w:hanging="360"/>
      </w:pPr>
      <w:rPr>
        <w:rFonts w:hint="default"/>
        <w:u w:val="singl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4AF2CA6"/>
    <w:multiLevelType w:val="hybridMultilevel"/>
    <w:tmpl w:val="3BFCAB70"/>
    <w:lvl w:ilvl="0" w:tplc="55AAADE0">
      <w:start w:val="1"/>
      <w:numFmt w:val="bullet"/>
      <w:lvlText w:val="–"/>
      <w:lvlJc w:val="left"/>
      <w:pPr>
        <w:ind w:left="1230" w:hanging="360"/>
      </w:pPr>
      <w:rPr>
        <w:rFonts w:ascii="Vrinda" w:hAnsi="Vrinda" w:hint="default"/>
      </w:rPr>
    </w:lvl>
    <w:lvl w:ilvl="1" w:tplc="04150003" w:tentative="1">
      <w:start w:val="1"/>
      <w:numFmt w:val="bullet"/>
      <w:lvlText w:val="o"/>
      <w:lvlJc w:val="left"/>
      <w:pPr>
        <w:ind w:left="1950" w:hanging="360"/>
      </w:pPr>
      <w:rPr>
        <w:rFonts w:ascii="Courier New" w:hAnsi="Courier New" w:cs="Courier New" w:hint="default"/>
      </w:rPr>
    </w:lvl>
    <w:lvl w:ilvl="2" w:tplc="04150005">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57">
    <w:nsid w:val="45E40FF0"/>
    <w:multiLevelType w:val="hybridMultilevel"/>
    <w:tmpl w:val="45F2C7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605673A"/>
    <w:multiLevelType w:val="hybridMultilevel"/>
    <w:tmpl w:val="EE96B980"/>
    <w:lvl w:ilvl="0" w:tplc="55AAADE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55AAADE0">
      <w:start w:val="1"/>
      <w:numFmt w:val="bullet"/>
      <w:lvlText w:val="–"/>
      <w:lvlJc w:val="left"/>
      <w:pPr>
        <w:ind w:left="2160" w:hanging="360"/>
      </w:pPr>
      <w:rPr>
        <w:rFonts w:ascii="Vrinda" w:hAnsi="Vrinda"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46E75664"/>
    <w:multiLevelType w:val="hybridMultilevel"/>
    <w:tmpl w:val="A066E732"/>
    <w:lvl w:ilvl="0" w:tplc="ED98A7AA">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0">
    <w:nsid w:val="492A17FA"/>
    <w:multiLevelType w:val="hybridMultilevel"/>
    <w:tmpl w:val="F2D46E98"/>
    <w:lvl w:ilvl="0" w:tplc="55AAADE0">
      <w:start w:val="1"/>
      <w:numFmt w:val="bullet"/>
      <w:lvlText w:val="–"/>
      <w:lvlJc w:val="left"/>
      <w:pPr>
        <w:ind w:left="1230" w:hanging="360"/>
      </w:pPr>
      <w:rPr>
        <w:rFonts w:ascii="Vrinda" w:hAnsi="Vrinda" w:hint="default"/>
      </w:rPr>
    </w:lvl>
    <w:lvl w:ilvl="1" w:tplc="04150003" w:tentative="1">
      <w:start w:val="1"/>
      <w:numFmt w:val="bullet"/>
      <w:lvlText w:val="o"/>
      <w:lvlJc w:val="left"/>
      <w:pPr>
        <w:ind w:left="1950" w:hanging="360"/>
      </w:pPr>
      <w:rPr>
        <w:rFonts w:ascii="Courier New" w:hAnsi="Courier New" w:cs="Courier New" w:hint="default"/>
      </w:rPr>
    </w:lvl>
    <w:lvl w:ilvl="2" w:tplc="55AAADE0">
      <w:start w:val="1"/>
      <w:numFmt w:val="bullet"/>
      <w:lvlText w:val="–"/>
      <w:lvlJc w:val="left"/>
      <w:pPr>
        <w:ind w:left="2670" w:hanging="360"/>
      </w:pPr>
      <w:rPr>
        <w:rFonts w:ascii="Vrinda" w:hAnsi="Vrinda"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61">
    <w:nsid w:val="4AB25DDB"/>
    <w:multiLevelType w:val="hybridMultilevel"/>
    <w:tmpl w:val="02EEC9EA"/>
    <w:lvl w:ilvl="0" w:tplc="2A903296">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2">
    <w:nsid w:val="4ABB24BF"/>
    <w:multiLevelType w:val="hybridMultilevel"/>
    <w:tmpl w:val="10167654"/>
    <w:lvl w:ilvl="0" w:tplc="04150011">
      <w:start w:val="1"/>
      <w:numFmt w:val="decimal"/>
      <w:lvlText w:val="%1)"/>
      <w:lvlJc w:val="left"/>
      <w:pPr>
        <w:ind w:left="727" w:hanging="360"/>
      </w:pPr>
      <w:rPr>
        <w:rFonts w:hint="default"/>
        <w:b w:val="0"/>
      </w:rPr>
    </w:lvl>
    <w:lvl w:ilvl="1" w:tplc="04150019">
      <w:start w:val="1"/>
      <w:numFmt w:val="lowerLetter"/>
      <w:lvlText w:val="%2."/>
      <w:lvlJc w:val="left"/>
      <w:pPr>
        <w:ind w:left="1447" w:hanging="360"/>
      </w:pPr>
    </w:lvl>
    <w:lvl w:ilvl="2" w:tplc="0415001B" w:tentative="1">
      <w:start w:val="1"/>
      <w:numFmt w:val="lowerRoman"/>
      <w:lvlText w:val="%3."/>
      <w:lvlJc w:val="right"/>
      <w:pPr>
        <w:ind w:left="2167" w:hanging="180"/>
      </w:pPr>
    </w:lvl>
    <w:lvl w:ilvl="3" w:tplc="0415000F" w:tentative="1">
      <w:start w:val="1"/>
      <w:numFmt w:val="decimal"/>
      <w:lvlText w:val="%4."/>
      <w:lvlJc w:val="left"/>
      <w:pPr>
        <w:ind w:left="2887" w:hanging="360"/>
      </w:pPr>
    </w:lvl>
    <w:lvl w:ilvl="4" w:tplc="04150019" w:tentative="1">
      <w:start w:val="1"/>
      <w:numFmt w:val="lowerLetter"/>
      <w:lvlText w:val="%5."/>
      <w:lvlJc w:val="left"/>
      <w:pPr>
        <w:ind w:left="3607" w:hanging="360"/>
      </w:pPr>
    </w:lvl>
    <w:lvl w:ilvl="5" w:tplc="0415001B" w:tentative="1">
      <w:start w:val="1"/>
      <w:numFmt w:val="lowerRoman"/>
      <w:lvlText w:val="%6."/>
      <w:lvlJc w:val="right"/>
      <w:pPr>
        <w:ind w:left="4327" w:hanging="180"/>
      </w:pPr>
    </w:lvl>
    <w:lvl w:ilvl="6" w:tplc="0415000F" w:tentative="1">
      <w:start w:val="1"/>
      <w:numFmt w:val="decimal"/>
      <w:lvlText w:val="%7."/>
      <w:lvlJc w:val="left"/>
      <w:pPr>
        <w:ind w:left="5047" w:hanging="360"/>
      </w:pPr>
    </w:lvl>
    <w:lvl w:ilvl="7" w:tplc="04150019" w:tentative="1">
      <w:start w:val="1"/>
      <w:numFmt w:val="lowerLetter"/>
      <w:lvlText w:val="%8."/>
      <w:lvlJc w:val="left"/>
      <w:pPr>
        <w:ind w:left="5767" w:hanging="360"/>
      </w:pPr>
    </w:lvl>
    <w:lvl w:ilvl="8" w:tplc="0415001B" w:tentative="1">
      <w:start w:val="1"/>
      <w:numFmt w:val="lowerRoman"/>
      <w:lvlText w:val="%9."/>
      <w:lvlJc w:val="right"/>
      <w:pPr>
        <w:ind w:left="6487" w:hanging="180"/>
      </w:pPr>
    </w:lvl>
  </w:abstractNum>
  <w:abstractNum w:abstractNumId="63">
    <w:nsid w:val="4C773AFC"/>
    <w:multiLevelType w:val="hybridMultilevel"/>
    <w:tmpl w:val="36B40BF6"/>
    <w:lvl w:ilvl="0" w:tplc="55AAADE0">
      <w:start w:val="1"/>
      <w:numFmt w:val="bullet"/>
      <w:lvlText w:val="–"/>
      <w:lvlJc w:val="left"/>
      <w:pPr>
        <w:ind w:left="644" w:hanging="360"/>
      </w:pPr>
      <w:rPr>
        <w:rFonts w:ascii="Vrinda" w:hAnsi="Vrinda"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4">
    <w:nsid w:val="4DB84FFB"/>
    <w:multiLevelType w:val="hybridMultilevel"/>
    <w:tmpl w:val="288042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F203F8F"/>
    <w:multiLevelType w:val="hybridMultilevel"/>
    <w:tmpl w:val="9D622300"/>
    <w:lvl w:ilvl="0" w:tplc="04150011">
      <w:start w:val="1"/>
      <w:numFmt w:val="decimal"/>
      <w:lvlText w:val="%1)"/>
      <w:lvlJc w:val="left"/>
      <w:pPr>
        <w:ind w:left="720" w:hanging="360"/>
      </w:pPr>
    </w:lvl>
    <w:lvl w:ilvl="1" w:tplc="D924BD9C">
      <w:start w:val="1"/>
      <w:numFmt w:val="lowerLetter"/>
      <w:lvlText w:val="%2)"/>
      <w:lvlJc w:val="left"/>
      <w:pPr>
        <w:ind w:left="1440" w:hanging="360"/>
      </w:pPr>
      <w:rPr>
        <w:rFonts w:hint="default"/>
      </w:rPr>
    </w:lvl>
    <w:lvl w:ilvl="2" w:tplc="D5EA0E36">
      <w:start w:val="2"/>
      <w:numFmt w:val="bullet"/>
      <w:lvlText w:val="•"/>
      <w:lvlJc w:val="left"/>
      <w:pPr>
        <w:ind w:left="2685" w:hanging="705"/>
      </w:pPr>
      <w:rPr>
        <w:rFonts w:ascii="Times New Roman" w:eastAsia="Times New Roman" w:hAnsi="Times New Roman" w:cs="Times New Roman" w:hint="default"/>
      </w:rPr>
    </w:lvl>
    <w:lvl w:ilvl="3" w:tplc="11625E30">
      <w:start w:val="1"/>
      <w:numFmt w:val="decimal"/>
      <w:lvlText w:val="%4."/>
      <w:lvlJc w:val="left"/>
      <w:pPr>
        <w:ind w:left="3225" w:hanging="70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F7E4972"/>
    <w:multiLevelType w:val="hybridMultilevel"/>
    <w:tmpl w:val="BDCE1E10"/>
    <w:lvl w:ilvl="0" w:tplc="875C6D9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1647"/>
        </w:tabs>
        <w:ind w:left="1647" w:hanging="360"/>
      </w:pPr>
      <w:rPr>
        <w:rFonts w:cs="Times New Roman"/>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67">
    <w:nsid w:val="501C13E3"/>
    <w:multiLevelType w:val="hybridMultilevel"/>
    <w:tmpl w:val="305A6632"/>
    <w:lvl w:ilvl="0" w:tplc="BD8C236C">
      <w:start w:val="1"/>
      <w:numFmt w:val="decimal"/>
      <w:lvlText w:val="%1)"/>
      <w:lvlJc w:val="left"/>
      <w:pPr>
        <w:ind w:left="1020" w:hanging="360"/>
      </w:pPr>
      <w:rPr>
        <w:rFonts w:cs="Times New Roman" w:hint="default"/>
      </w:rPr>
    </w:lvl>
    <w:lvl w:ilvl="1" w:tplc="04150019" w:tentative="1">
      <w:start w:val="1"/>
      <w:numFmt w:val="lowerLetter"/>
      <w:lvlText w:val="%2."/>
      <w:lvlJc w:val="left"/>
      <w:pPr>
        <w:ind w:left="1740" w:hanging="360"/>
      </w:pPr>
      <w:rPr>
        <w:rFonts w:cs="Times New Roman"/>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68">
    <w:nsid w:val="5215492A"/>
    <w:multiLevelType w:val="hybridMultilevel"/>
    <w:tmpl w:val="BE4864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2F6742C"/>
    <w:multiLevelType w:val="hybridMultilevel"/>
    <w:tmpl w:val="41969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59153EF"/>
    <w:multiLevelType w:val="hybridMultilevel"/>
    <w:tmpl w:val="58F62760"/>
    <w:lvl w:ilvl="0" w:tplc="1A28D014">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71">
    <w:nsid w:val="56BB0DE3"/>
    <w:multiLevelType w:val="hybridMultilevel"/>
    <w:tmpl w:val="BDEC79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57AE7867"/>
    <w:multiLevelType w:val="hybridMultilevel"/>
    <w:tmpl w:val="C76AE92E"/>
    <w:lvl w:ilvl="0" w:tplc="55AAADE0">
      <w:start w:val="1"/>
      <w:numFmt w:val="bullet"/>
      <w:lvlText w:val="–"/>
      <w:lvlJc w:val="left"/>
      <w:pPr>
        <w:ind w:left="1230" w:hanging="360"/>
      </w:pPr>
      <w:rPr>
        <w:rFonts w:ascii="Vrinda" w:hAnsi="Vrinda"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73">
    <w:nsid w:val="591C5B9A"/>
    <w:multiLevelType w:val="hybridMultilevel"/>
    <w:tmpl w:val="C458EDB0"/>
    <w:lvl w:ilvl="0" w:tplc="08388DCA">
      <w:start w:val="1"/>
      <w:numFmt w:val="decimal"/>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74">
    <w:nsid w:val="5BD675C7"/>
    <w:multiLevelType w:val="hybridMultilevel"/>
    <w:tmpl w:val="2CD075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CFF5D81"/>
    <w:multiLevelType w:val="hybridMultilevel"/>
    <w:tmpl w:val="FBD6F2B6"/>
    <w:lvl w:ilvl="0" w:tplc="7AC8EAAE">
      <w:start w:val="1"/>
      <w:numFmt w:val="decimal"/>
      <w:lvlText w:val="%1)"/>
      <w:lvlJc w:val="left"/>
      <w:pPr>
        <w:ind w:left="870" w:hanging="360"/>
      </w:pPr>
      <w:rPr>
        <w:rFonts w:hint="default"/>
      </w:rPr>
    </w:lvl>
    <w:lvl w:ilvl="1" w:tplc="B3264E58">
      <w:start w:val="1"/>
      <w:numFmt w:val="lowerLetter"/>
      <w:lvlText w:val="%2)"/>
      <w:lvlJc w:val="left"/>
      <w:pPr>
        <w:ind w:left="1590" w:hanging="360"/>
      </w:pPr>
      <w:rPr>
        <w:rFonts w:hint="default"/>
      </w:r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76">
    <w:nsid w:val="5E313BD9"/>
    <w:multiLevelType w:val="hybridMultilevel"/>
    <w:tmpl w:val="3E3274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FBA1F43"/>
    <w:multiLevelType w:val="hybridMultilevel"/>
    <w:tmpl w:val="001A60B8"/>
    <w:lvl w:ilvl="0" w:tplc="B00668B0">
      <w:start w:val="1"/>
      <w:numFmt w:val="decimal"/>
      <w:lvlText w:val="%1)"/>
      <w:lvlJc w:val="left"/>
      <w:pPr>
        <w:tabs>
          <w:tab w:val="num" w:pos="1639"/>
        </w:tabs>
        <w:ind w:left="1639" w:hanging="57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8">
    <w:nsid w:val="60CB04D9"/>
    <w:multiLevelType w:val="hybridMultilevel"/>
    <w:tmpl w:val="35508844"/>
    <w:lvl w:ilvl="0" w:tplc="7AC8EAAE">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79">
    <w:nsid w:val="64931718"/>
    <w:multiLevelType w:val="hybridMultilevel"/>
    <w:tmpl w:val="45DED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58D2BCD"/>
    <w:multiLevelType w:val="hybridMultilevel"/>
    <w:tmpl w:val="448C2E6A"/>
    <w:lvl w:ilvl="0" w:tplc="55AAADE0">
      <w:start w:val="1"/>
      <w:numFmt w:val="bullet"/>
      <w:lvlText w:val="–"/>
      <w:lvlJc w:val="left"/>
      <w:pPr>
        <w:ind w:left="2160" w:hanging="360"/>
      </w:pPr>
      <w:rPr>
        <w:rFonts w:ascii="Vrinda" w:hAnsi="Vrinda"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1">
    <w:nsid w:val="668E16CA"/>
    <w:multiLevelType w:val="hybridMultilevel"/>
    <w:tmpl w:val="EFB82F70"/>
    <w:lvl w:ilvl="0" w:tplc="55AAADE0">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679B7CBF"/>
    <w:multiLevelType w:val="hybridMultilevel"/>
    <w:tmpl w:val="070E19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8C65127"/>
    <w:multiLevelType w:val="hybridMultilevel"/>
    <w:tmpl w:val="F34AE8F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F6430E8"/>
    <w:multiLevelType w:val="hybridMultilevel"/>
    <w:tmpl w:val="F4AC1074"/>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1023931"/>
    <w:multiLevelType w:val="hybridMultilevel"/>
    <w:tmpl w:val="AC443E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2B26254"/>
    <w:multiLevelType w:val="hybridMultilevel"/>
    <w:tmpl w:val="5BC2B6F6"/>
    <w:lvl w:ilvl="0" w:tplc="7AC8EAAE">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87">
    <w:nsid w:val="73F97092"/>
    <w:multiLevelType w:val="hybridMultilevel"/>
    <w:tmpl w:val="D5605E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4F64C07"/>
    <w:multiLevelType w:val="hybridMultilevel"/>
    <w:tmpl w:val="BAF4CD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87568F6"/>
    <w:multiLevelType w:val="hybridMultilevel"/>
    <w:tmpl w:val="E57C52CA"/>
    <w:lvl w:ilvl="0" w:tplc="55AAADE0">
      <w:start w:val="1"/>
      <w:numFmt w:val="bullet"/>
      <w:lvlText w:val="–"/>
      <w:lvlJc w:val="left"/>
      <w:pPr>
        <w:ind w:left="1230" w:hanging="360"/>
      </w:pPr>
      <w:rPr>
        <w:rFonts w:ascii="Vrinda" w:hAnsi="Vrinda"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90">
    <w:nsid w:val="78AF3497"/>
    <w:multiLevelType w:val="hybridMultilevel"/>
    <w:tmpl w:val="88BC11B2"/>
    <w:lvl w:ilvl="0" w:tplc="04150011">
      <w:start w:val="1"/>
      <w:numFmt w:val="decimal"/>
      <w:lvlText w:val="%1)"/>
      <w:lvlJc w:val="left"/>
      <w:pPr>
        <w:ind w:left="720" w:hanging="360"/>
      </w:pPr>
    </w:lvl>
    <w:lvl w:ilvl="1" w:tplc="43A20E78">
      <w:start w:val="1"/>
      <w:numFmt w:val="decimal"/>
      <w:lvlText w:val="%2)"/>
      <w:lvlJc w:val="left"/>
      <w:pPr>
        <w:ind w:left="1980" w:hanging="9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95A42F6"/>
    <w:multiLevelType w:val="hybridMultilevel"/>
    <w:tmpl w:val="148A5E02"/>
    <w:lvl w:ilvl="0" w:tplc="7AC8EAAE">
      <w:start w:val="1"/>
      <w:numFmt w:val="decimal"/>
      <w:lvlText w:val="%1)"/>
      <w:lvlJc w:val="left"/>
      <w:pPr>
        <w:ind w:left="8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D493661"/>
    <w:multiLevelType w:val="hybridMultilevel"/>
    <w:tmpl w:val="0DB05882"/>
    <w:lvl w:ilvl="0" w:tplc="0EB2230C">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7D600DA7"/>
    <w:multiLevelType w:val="hybridMultilevel"/>
    <w:tmpl w:val="03B2004C"/>
    <w:lvl w:ilvl="0" w:tplc="7AC8EAAE">
      <w:start w:val="1"/>
      <w:numFmt w:val="decimal"/>
      <w:lvlText w:val="%1)"/>
      <w:lvlJc w:val="left"/>
      <w:pPr>
        <w:ind w:left="138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num w:numId="1">
    <w:abstractNumId w:val="55"/>
  </w:num>
  <w:num w:numId="2">
    <w:abstractNumId w:val="62"/>
  </w:num>
  <w:num w:numId="3">
    <w:abstractNumId w:val="67"/>
  </w:num>
  <w:num w:numId="4">
    <w:abstractNumId w:val="61"/>
  </w:num>
  <w:num w:numId="5">
    <w:abstractNumId w:val="66"/>
  </w:num>
  <w:num w:numId="6">
    <w:abstractNumId w:val="13"/>
  </w:num>
  <w:num w:numId="7">
    <w:abstractNumId w:val="77"/>
  </w:num>
  <w:num w:numId="8">
    <w:abstractNumId w:val="0"/>
  </w:num>
  <w:num w:numId="9">
    <w:abstractNumId w:val="7"/>
  </w:num>
  <w:num w:numId="10">
    <w:abstractNumId w:val="54"/>
  </w:num>
  <w:num w:numId="11">
    <w:abstractNumId w:val="92"/>
  </w:num>
  <w:num w:numId="12">
    <w:abstractNumId w:val="50"/>
  </w:num>
  <w:num w:numId="13">
    <w:abstractNumId w:val="23"/>
  </w:num>
  <w:num w:numId="14">
    <w:abstractNumId w:val="36"/>
  </w:num>
  <w:num w:numId="15">
    <w:abstractNumId w:val="3"/>
  </w:num>
  <w:num w:numId="16">
    <w:abstractNumId w:val="57"/>
  </w:num>
  <w:num w:numId="17">
    <w:abstractNumId w:val="71"/>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0"/>
  </w:num>
  <w:num w:numId="21">
    <w:abstractNumId w:val="28"/>
  </w:num>
  <w:num w:numId="22">
    <w:abstractNumId w:val="49"/>
  </w:num>
  <w:num w:numId="23">
    <w:abstractNumId w:val="6"/>
  </w:num>
  <w:num w:numId="24">
    <w:abstractNumId w:val="65"/>
  </w:num>
  <w:num w:numId="25">
    <w:abstractNumId w:val="74"/>
  </w:num>
  <w:num w:numId="26">
    <w:abstractNumId w:val="11"/>
  </w:num>
  <w:num w:numId="27">
    <w:abstractNumId w:val="83"/>
  </w:num>
  <w:num w:numId="28">
    <w:abstractNumId w:val="63"/>
  </w:num>
  <w:num w:numId="29">
    <w:abstractNumId w:val="41"/>
  </w:num>
  <w:num w:numId="30">
    <w:abstractNumId w:val="80"/>
  </w:num>
  <w:num w:numId="31">
    <w:abstractNumId w:val="9"/>
  </w:num>
  <w:num w:numId="32">
    <w:abstractNumId w:val="52"/>
  </w:num>
  <w:num w:numId="33">
    <w:abstractNumId w:val="85"/>
  </w:num>
  <w:num w:numId="34">
    <w:abstractNumId w:val="82"/>
  </w:num>
  <w:num w:numId="35">
    <w:abstractNumId w:val="68"/>
  </w:num>
  <w:num w:numId="36">
    <w:abstractNumId w:val="4"/>
  </w:num>
  <w:num w:numId="37">
    <w:abstractNumId w:val="26"/>
  </w:num>
  <w:num w:numId="38">
    <w:abstractNumId w:val="37"/>
  </w:num>
  <w:num w:numId="39">
    <w:abstractNumId w:val="81"/>
  </w:num>
  <w:num w:numId="40">
    <w:abstractNumId w:val="32"/>
  </w:num>
  <w:num w:numId="41">
    <w:abstractNumId w:val="79"/>
  </w:num>
  <w:num w:numId="42">
    <w:abstractNumId w:val="76"/>
  </w:num>
  <w:num w:numId="43">
    <w:abstractNumId w:val="30"/>
  </w:num>
  <w:num w:numId="44">
    <w:abstractNumId w:val="38"/>
  </w:num>
  <w:num w:numId="45">
    <w:abstractNumId w:val="8"/>
  </w:num>
  <w:num w:numId="46">
    <w:abstractNumId w:val="22"/>
  </w:num>
  <w:num w:numId="47">
    <w:abstractNumId w:val="58"/>
  </w:num>
  <w:num w:numId="48">
    <w:abstractNumId w:val="43"/>
  </w:num>
  <w:num w:numId="49">
    <w:abstractNumId w:val="14"/>
  </w:num>
  <w:num w:numId="50">
    <w:abstractNumId w:val="64"/>
  </w:num>
  <w:num w:numId="51">
    <w:abstractNumId w:val="44"/>
  </w:num>
  <w:num w:numId="52">
    <w:abstractNumId w:val="24"/>
  </w:num>
  <w:num w:numId="53">
    <w:abstractNumId w:val="40"/>
  </w:num>
  <w:num w:numId="54">
    <w:abstractNumId w:val="25"/>
  </w:num>
  <w:num w:numId="55">
    <w:abstractNumId w:val="88"/>
  </w:num>
  <w:num w:numId="56">
    <w:abstractNumId w:val="46"/>
  </w:num>
  <w:num w:numId="57">
    <w:abstractNumId w:val="87"/>
  </w:num>
  <w:num w:numId="58">
    <w:abstractNumId w:val="29"/>
  </w:num>
  <w:num w:numId="59">
    <w:abstractNumId w:val="53"/>
  </w:num>
  <w:num w:numId="60">
    <w:abstractNumId w:val="69"/>
  </w:num>
  <w:num w:numId="61">
    <w:abstractNumId w:val="47"/>
  </w:num>
  <w:num w:numId="62">
    <w:abstractNumId w:val="16"/>
  </w:num>
  <w:num w:numId="63">
    <w:abstractNumId w:val="5"/>
  </w:num>
  <w:num w:numId="64">
    <w:abstractNumId w:val="89"/>
  </w:num>
  <w:num w:numId="65">
    <w:abstractNumId w:val="72"/>
  </w:num>
  <w:num w:numId="66">
    <w:abstractNumId w:val="18"/>
  </w:num>
  <w:num w:numId="67">
    <w:abstractNumId w:val="84"/>
  </w:num>
  <w:num w:numId="68">
    <w:abstractNumId w:val="12"/>
  </w:num>
  <w:num w:numId="69">
    <w:abstractNumId w:val="48"/>
  </w:num>
  <w:num w:numId="70">
    <w:abstractNumId w:val="78"/>
  </w:num>
  <w:num w:numId="71">
    <w:abstractNumId w:val="93"/>
  </w:num>
  <w:num w:numId="72">
    <w:abstractNumId w:val="75"/>
  </w:num>
  <w:num w:numId="73">
    <w:abstractNumId w:val="27"/>
  </w:num>
  <w:num w:numId="74">
    <w:abstractNumId w:val="35"/>
  </w:num>
  <w:num w:numId="75">
    <w:abstractNumId w:val="10"/>
  </w:num>
  <w:num w:numId="76">
    <w:abstractNumId w:val="86"/>
  </w:num>
  <w:num w:numId="77">
    <w:abstractNumId w:val="56"/>
  </w:num>
  <w:num w:numId="78">
    <w:abstractNumId w:val="60"/>
  </w:num>
  <w:num w:numId="79">
    <w:abstractNumId w:val="31"/>
  </w:num>
  <w:num w:numId="80">
    <w:abstractNumId w:val="42"/>
  </w:num>
  <w:num w:numId="81">
    <w:abstractNumId w:val="17"/>
  </w:num>
  <w:num w:numId="82">
    <w:abstractNumId w:val="19"/>
  </w:num>
  <w:num w:numId="83">
    <w:abstractNumId w:val="51"/>
  </w:num>
  <w:num w:numId="84">
    <w:abstractNumId w:val="21"/>
  </w:num>
  <w:num w:numId="85">
    <w:abstractNumId w:val="59"/>
  </w:num>
  <w:num w:numId="86">
    <w:abstractNumId w:val="45"/>
  </w:num>
  <w:num w:numId="87">
    <w:abstractNumId w:val="91"/>
  </w:num>
  <w:num w:numId="88">
    <w:abstractNumId w:val="1"/>
  </w:num>
  <w:num w:numId="89">
    <w:abstractNumId w:val="73"/>
  </w:num>
  <w:num w:numId="90">
    <w:abstractNumId w:val="2"/>
  </w:num>
  <w:num w:numId="91">
    <w:abstractNumId w:val="34"/>
  </w:num>
  <w:num w:numId="92">
    <w:abstractNumId w:val="70"/>
  </w:num>
  <w:num w:numId="93">
    <w:abstractNumId w:val="39"/>
  </w:num>
  <w:num w:numId="94">
    <w:abstractNumId w:val="1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E1"/>
    <w:rsid w:val="0001271E"/>
    <w:rsid w:val="00012E24"/>
    <w:rsid w:val="00013A56"/>
    <w:rsid w:val="00022158"/>
    <w:rsid w:val="00025850"/>
    <w:rsid w:val="00026572"/>
    <w:rsid w:val="000300BA"/>
    <w:rsid w:val="0003299D"/>
    <w:rsid w:val="00032DC8"/>
    <w:rsid w:val="0003327D"/>
    <w:rsid w:val="00036638"/>
    <w:rsid w:val="000366CE"/>
    <w:rsid w:val="00037F92"/>
    <w:rsid w:val="000575A4"/>
    <w:rsid w:val="00057BA7"/>
    <w:rsid w:val="0006346B"/>
    <w:rsid w:val="00063A5A"/>
    <w:rsid w:val="000653BF"/>
    <w:rsid w:val="00071568"/>
    <w:rsid w:val="00071A48"/>
    <w:rsid w:val="000721B2"/>
    <w:rsid w:val="000770F7"/>
    <w:rsid w:val="00085870"/>
    <w:rsid w:val="00091572"/>
    <w:rsid w:val="000937D0"/>
    <w:rsid w:val="00096E8D"/>
    <w:rsid w:val="000A128D"/>
    <w:rsid w:val="000A38CE"/>
    <w:rsid w:val="000A76B7"/>
    <w:rsid w:val="000B442C"/>
    <w:rsid w:val="000B75CD"/>
    <w:rsid w:val="000C0060"/>
    <w:rsid w:val="000C0C31"/>
    <w:rsid w:val="000C4B5E"/>
    <w:rsid w:val="000C64B3"/>
    <w:rsid w:val="000E38B9"/>
    <w:rsid w:val="000E52FF"/>
    <w:rsid w:val="000E5708"/>
    <w:rsid w:val="000E5F84"/>
    <w:rsid w:val="000F040F"/>
    <w:rsid w:val="000F111F"/>
    <w:rsid w:val="000F4042"/>
    <w:rsid w:val="00101607"/>
    <w:rsid w:val="001117FD"/>
    <w:rsid w:val="001127E9"/>
    <w:rsid w:val="00112DB1"/>
    <w:rsid w:val="00114EC4"/>
    <w:rsid w:val="00117FBD"/>
    <w:rsid w:val="00122F15"/>
    <w:rsid w:val="00127BFF"/>
    <w:rsid w:val="00127DFB"/>
    <w:rsid w:val="00131455"/>
    <w:rsid w:val="00141291"/>
    <w:rsid w:val="00150B08"/>
    <w:rsid w:val="00150FEA"/>
    <w:rsid w:val="001520CF"/>
    <w:rsid w:val="00154F38"/>
    <w:rsid w:val="00155FBC"/>
    <w:rsid w:val="00161011"/>
    <w:rsid w:val="001663EC"/>
    <w:rsid w:val="00172458"/>
    <w:rsid w:val="00173903"/>
    <w:rsid w:val="00180FE8"/>
    <w:rsid w:val="00193079"/>
    <w:rsid w:val="00193465"/>
    <w:rsid w:val="0019543D"/>
    <w:rsid w:val="001963DF"/>
    <w:rsid w:val="00196557"/>
    <w:rsid w:val="00196716"/>
    <w:rsid w:val="001970B8"/>
    <w:rsid w:val="001A323E"/>
    <w:rsid w:val="001A3D36"/>
    <w:rsid w:val="001A5701"/>
    <w:rsid w:val="001A683F"/>
    <w:rsid w:val="001A6B3C"/>
    <w:rsid w:val="001B00B6"/>
    <w:rsid w:val="001C02F8"/>
    <w:rsid w:val="001C092A"/>
    <w:rsid w:val="001C2DE6"/>
    <w:rsid w:val="001C41C0"/>
    <w:rsid w:val="001D0628"/>
    <w:rsid w:val="001D681A"/>
    <w:rsid w:val="001E3CCC"/>
    <w:rsid w:val="001F2587"/>
    <w:rsid w:val="00207992"/>
    <w:rsid w:val="00211759"/>
    <w:rsid w:val="00215A1D"/>
    <w:rsid w:val="00216B16"/>
    <w:rsid w:val="00222109"/>
    <w:rsid w:val="00222469"/>
    <w:rsid w:val="002259AD"/>
    <w:rsid w:val="00225AD9"/>
    <w:rsid w:val="00236391"/>
    <w:rsid w:val="002371C4"/>
    <w:rsid w:val="00242812"/>
    <w:rsid w:val="00244C08"/>
    <w:rsid w:val="00245B40"/>
    <w:rsid w:val="002524F7"/>
    <w:rsid w:val="002533ED"/>
    <w:rsid w:val="00255CF2"/>
    <w:rsid w:val="00257AB3"/>
    <w:rsid w:val="00261934"/>
    <w:rsid w:val="00261C27"/>
    <w:rsid w:val="002648FF"/>
    <w:rsid w:val="00266DE9"/>
    <w:rsid w:val="00267666"/>
    <w:rsid w:val="00271648"/>
    <w:rsid w:val="00275EB0"/>
    <w:rsid w:val="0028315D"/>
    <w:rsid w:val="00292F3A"/>
    <w:rsid w:val="00295CC5"/>
    <w:rsid w:val="00296771"/>
    <w:rsid w:val="00296AE8"/>
    <w:rsid w:val="002A066F"/>
    <w:rsid w:val="002A15C1"/>
    <w:rsid w:val="002C068B"/>
    <w:rsid w:val="002C166E"/>
    <w:rsid w:val="002C20F4"/>
    <w:rsid w:val="002C6541"/>
    <w:rsid w:val="002D3DD6"/>
    <w:rsid w:val="002E3596"/>
    <w:rsid w:val="002E4653"/>
    <w:rsid w:val="002F2209"/>
    <w:rsid w:val="002F7586"/>
    <w:rsid w:val="002F7BB5"/>
    <w:rsid w:val="00306D56"/>
    <w:rsid w:val="00310368"/>
    <w:rsid w:val="0031416F"/>
    <w:rsid w:val="0031660F"/>
    <w:rsid w:val="00321358"/>
    <w:rsid w:val="00321E00"/>
    <w:rsid w:val="00322617"/>
    <w:rsid w:val="003312F6"/>
    <w:rsid w:val="00340266"/>
    <w:rsid w:val="00341F9D"/>
    <w:rsid w:val="00342C84"/>
    <w:rsid w:val="00351ECC"/>
    <w:rsid w:val="00354FAB"/>
    <w:rsid w:val="003560C4"/>
    <w:rsid w:val="00357A30"/>
    <w:rsid w:val="00360DD7"/>
    <w:rsid w:val="00363C38"/>
    <w:rsid w:val="00364AF5"/>
    <w:rsid w:val="003670AB"/>
    <w:rsid w:val="00371F92"/>
    <w:rsid w:val="00372981"/>
    <w:rsid w:val="00372C70"/>
    <w:rsid w:val="00374EF3"/>
    <w:rsid w:val="00377EAC"/>
    <w:rsid w:val="003810F7"/>
    <w:rsid w:val="003835E1"/>
    <w:rsid w:val="003844F1"/>
    <w:rsid w:val="003853B0"/>
    <w:rsid w:val="00385491"/>
    <w:rsid w:val="00385524"/>
    <w:rsid w:val="00391539"/>
    <w:rsid w:val="003938F2"/>
    <w:rsid w:val="003966D7"/>
    <w:rsid w:val="00397E3C"/>
    <w:rsid w:val="003A3043"/>
    <w:rsid w:val="003A33E9"/>
    <w:rsid w:val="003B2540"/>
    <w:rsid w:val="003B64D6"/>
    <w:rsid w:val="003B7594"/>
    <w:rsid w:val="003B7BD2"/>
    <w:rsid w:val="003B7CFB"/>
    <w:rsid w:val="003C0401"/>
    <w:rsid w:val="003C292E"/>
    <w:rsid w:val="003C60C1"/>
    <w:rsid w:val="003D0342"/>
    <w:rsid w:val="003D62FD"/>
    <w:rsid w:val="003E48C5"/>
    <w:rsid w:val="003E6DE8"/>
    <w:rsid w:val="003F2E70"/>
    <w:rsid w:val="004004E1"/>
    <w:rsid w:val="00401B97"/>
    <w:rsid w:val="00404078"/>
    <w:rsid w:val="00405041"/>
    <w:rsid w:val="00407418"/>
    <w:rsid w:val="00411ED6"/>
    <w:rsid w:val="00422BB2"/>
    <w:rsid w:val="00424DA5"/>
    <w:rsid w:val="00430319"/>
    <w:rsid w:val="00433680"/>
    <w:rsid w:val="0044062C"/>
    <w:rsid w:val="00441D83"/>
    <w:rsid w:val="00444CBD"/>
    <w:rsid w:val="00444DA5"/>
    <w:rsid w:val="004471F3"/>
    <w:rsid w:val="00452194"/>
    <w:rsid w:val="00452E53"/>
    <w:rsid w:val="00456109"/>
    <w:rsid w:val="00457B28"/>
    <w:rsid w:val="004614CC"/>
    <w:rsid w:val="00465D05"/>
    <w:rsid w:val="00471EC6"/>
    <w:rsid w:val="00473144"/>
    <w:rsid w:val="00473641"/>
    <w:rsid w:val="0047498B"/>
    <w:rsid w:val="004755DC"/>
    <w:rsid w:val="00480453"/>
    <w:rsid w:val="00485874"/>
    <w:rsid w:val="004923D6"/>
    <w:rsid w:val="004A019D"/>
    <w:rsid w:val="004A1865"/>
    <w:rsid w:val="004A58B8"/>
    <w:rsid w:val="004A654C"/>
    <w:rsid w:val="004B1604"/>
    <w:rsid w:val="004B2AA1"/>
    <w:rsid w:val="004B2E7F"/>
    <w:rsid w:val="004B7C91"/>
    <w:rsid w:val="004C47FB"/>
    <w:rsid w:val="004D00B7"/>
    <w:rsid w:val="004D0B73"/>
    <w:rsid w:val="004D2802"/>
    <w:rsid w:val="004D2FFB"/>
    <w:rsid w:val="004D42B3"/>
    <w:rsid w:val="004E0D73"/>
    <w:rsid w:val="004E2823"/>
    <w:rsid w:val="004E459B"/>
    <w:rsid w:val="004F7473"/>
    <w:rsid w:val="00501EBA"/>
    <w:rsid w:val="005032BB"/>
    <w:rsid w:val="0050796C"/>
    <w:rsid w:val="00514E74"/>
    <w:rsid w:val="00514FF9"/>
    <w:rsid w:val="00517494"/>
    <w:rsid w:val="00522DCF"/>
    <w:rsid w:val="005260EE"/>
    <w:rsid w:val="00531055"/>
    <w:rsid w:val="0053461A"/>
    <w:rsid w:val="00535010"/>
    <w:rsid w:val="005374FE"/>
    <w:rsid w:val="00540D8A"/>
    <w:rsid w:val="0054167B"/>
    <w:rsid w:val="005426F8"/>
    <w:rsid w:val="0055060D"/>
    <w:rsid w:val="00551173"/>
    <w:rsid w:val="00551F15"/>
    <w:rsid w:val="00553818"/>
    <w:rsid w:val="005557FE"/>
    <w:rsid w:val="00564850"/>
    <w:rsid w:val="00564D77"/>
    <w:rsid w:val="005674FD"/>
    <w:rsid w:val="00580688"/>
    <w:rsid w:val="005808DE"/>
    <w:rsid w:val="005848ED"/>
    <w:rsid w:val="005859BF"/>
    <w:rsid w:val="005870DA"/>
    <w:rsid w:val="0059638D"/>
    <w:rsid w:val="00596885"/>
    <w:rsid w:val="005A44C5"/>
    <w:rsid w:val="005B2910"/>
    <w:rsid w:val="005C0F4A"/>
    <w:rsid w:val="005C3FB7"/>
    <w:rsid w:val="005C696A"/>
    <w:rsid w:val="005D3849"/>
    <w:rsid w:val="005D7ADC"/>
    <w:rsid w:val="005F6F7F"/>
    <w:rsid w:val="00603227"/>
    <w:rsid w:val="00604DA8"/>
    <w:rsid w:val="00607DFE"/>
    <w:rsid w:val="006228AB"/>
    <w:rsid w:val="00624CAA"/>
    <w:rsid w:val="00625B02"/>
    <w:rsid w:val="006265D4"/>
    <w:rsid w:val="00630A72"/>
    <w:rsid w:val="006315C7"/>
    <w:rsid w:val="006326C1"/>
    <w:rsid w:val="00633FD9"/>
    <w:rsid w:val="00634DCE"/>
    <w:rsid w:val="006440FF"/>
    <w:rsid w:val="006445BE"/>
    <w:rsid w:val="00645C7B"/>
    <w:rsid w:val="00646221"/>
    <w:rsid w:val="0065591B"/>
    <w:rsid w:val="0065641E"/>
    <w:rsid w:val="006569DD"/>
    <w:rsid w:val="006607B7"/>
    <w:rsid w:val="00661DB4"/>
    <w:rsid w:val="00665C47"/>
    <w:rsid w:val="006714D8"/>
    <w:rsid w:val="00675679"/>
    <w:rsid w:val="00681C86"/>
    <w:rsid w:val="006851D0"/>
    <w:rsid w:val="00695DE8"/>
    <w:rsid w:val="0069784F"/>
    <w:rsid w:val="006B06C9"/>
    <w:rsid w:val="006B0F3B"/>
    <w:rsid w:val="006B297D"/>
    <w:rsid w:val="006B4C7A"/>
    <w:rsid w:val="006B7133"/>
    <w:rsid w:val="006C0F5A"/>
    <w:rsid w:val="006C0FA5"/>
    <w:rsid w:val="006C4234"/>
    <w:rsid w:val="006D30EA"/>
    <w:rsid w:val="006D44F3"/>
    <w:rsid w:val="006E1AEF"/>
    <w:rsid w:val="006E5528"/>
    <w:rsid w:val="006E552E"/>
    <w:rsid w:val="006F0C38"/>
    <w:rsid w:val="006F2593"/>
    <w:rsid w:val="006F4FCE"/>
    <w:rsid w:val="006F5599"/>
    <w:rsid w:val="00703991"/>
    <w:rsid w:val="007041EF"/>
    <w:rsid w:val="00707978"/>
    <w:rsid w:val="00712ADC"/>
    <w:rsid w:val="00713C87"/>
    <w:rsid w:val="0072328A"/>
    <w:rsid w:val="00723570"/>
    <w:rsid w:val="0072626A"/>
    <w:rsid w:val="00732D48"/>
    <w:rsid w:val="00736325"/>
    <w:rsid w:val="00745479"/>
    <w:rsid w:val="00746FA9"/>
    <w:rsid w:val="00765693"/>
    <w:rsid w:val="0076671F"/>
    <w:rsid w:val="00767D2C"/>
    <w:rsid w:val="00770679"/>
    <w:rsid w:val="00771B6B"/>
    <w:rsid w:val="00772387"/>
    <w:rsid w:val="00783533"/>
    <w:rsid w:val="007934B5"/>
    <w:rsid w:val="00793A1B"/>
    <w:rsid w:val="00795099"/>
    <w:rsid w:val="007953FE"/>
    <w:rsid w:val="0079779C"/>
    <w:rsid w:val="007A0BFA"/>
    <w:rsid w:val="007A4643"/>
    <w:rsid w:val="007A55BB"/>
    <w:rsid w:val="007A5883"/>
    <w:rsid w:val="007B2800"/>
    <w:rsid w:val="007B4677"/>
    <w:rsid w:val="007C0858"/>
    <w:rsid w:val="007C7CA1"/>
    <w:rsid w:val="007D3DB8"/>
    <w:rsid w:val="007D3EE2"/>
    <w:rsid w:val="007E4B81"/>
    <w:rsid w:val="007F5E38"/>
    <w:rsid w:val="00801AE1"/>
    <w:rsid w:val="0080324E"/>
    <w:rsid w:val="00805011"/>
    <w:rsid w:val="008068FE"/>
    <w:rsid w:val="00810D8B"/>
    <w:rsid w:val="00814987"/>
    <w:rsid w:val="0082098E"/>
    <w:rsid w:val="00820F1F"/>
    <w:rsid w:val="008232A8"/>
    <w:rsid w:val="008324B7"/>
    <w:rsid w:val="008332FC"/>
    <w:rsid w:val="008352B2"/>
    <w:rsid w:val="008424DE"/>
    <w:rsid w:val="008608AC"/>
    <w:rsid w:val="00861F92"/>
    <w:rsid w:val="00866AEE"/>
    <w:rsid w:val="008670E7"/>
    <w:rsid w:val="0087401E"/>
    <w:rsid w:val="00876793"/>
    <w:rsid w:val="00880D81"/>
    <w:rsid w:val="00891A75"/>
    <w:rsid w:val="00892918"/>
    <w:rsid w:val="00892E01"/>
    <w:rsid w:val="00893730"/>
    <w:rsid w:val="0089737F"/>
    <w:rsid w:val="008A1A9F"/>
    <w:rsid w:val="008A3538"/>
    <w:rsid w:val="008B4905"/>
    <w:rsid w:val="008B4A71"/>
    <w:rsid w:val="008B66CA"/>
    <w:rsid w:val="008C3AA5"/>
    <w:rsid w:val="008C4EB7"/>
    <w:rsid w:val="008C7F1F"/>
    <w:rsid w:val="008D39DF"/>
    <w:rsid w:val="008D4F44"/>
    <w:rsid w:val="008D571C"/>
    <w:rsid w:val="008D629D"/>
    <w:rsid w:val="008D7079"/>
    <w:rsid w:val="008E0113"/>
    <w:rsid w:val="008E1B7A"/>
    <w:rsid w:val="008E4C53"/>
    <w:rsid w:val="008E7B39"/>
    <w:rsid w:val="008F7839"/>
    <w:rsid w:val="008F7945"/>
    <w:rsid w:val="008F7BFE"/>
    <w:rsid w:val="00907B8D"/>
    <w:rsid w:val="0092455F"/>
    <w:rsid w:val="00930817"/>
    <w:rsid w:val="00930D82"/>
    <w:rsid w:val="00932801"/>
    <w:rsid w:val="00932C1E"/>
    <w:rsid w:val="00935366"/>
    <w:rsid w:val="00941021"/>
    <w:rsid w:val="00942C98"/>
    <w:rsid w:val="00943A0D"/>
    <w:rsid w:val="009452B2"/>
    <w:rsid w:val="00946EE6"/>
    <w:rsid w:val="00950B90"/>
    <w:rsid w:val="00952076"/>
    <w:rsid w:val="00956630"/>
    <w:rsid w:val="00962958"/>
    <w:rsid w:val="00964F9B"/>
    <w:rsid w:val="009679B5"/>
    <w:rsid w:val="0097014C"/>
    <w:rsid w:val="0097130C"/>
    <w:rsid w:val="00973F71"/>
    <w:rsid w:val="009750D1"/>
    <w:rsid w:val="00984B0F"/>
    <w:rsid w:val="0098717B"/>
    <w:rsid w:val="009908F5"/>
    <w:rsid w:val="009943AF"/>
    <w:rsid w:val="00997743"/>
    <w:rsid w:val="00997EAB"/>
    <w:rsid w:val="009A0461"/>
    <w:rsid w:val="009A1099"/>
    <w:rsid w:val="009A1CFD"/>
    <w:rsid w:val="009A282B"/>
    <w:rsid w:val="009A3C27"/>
    <w:rsid w:val="009B21D6"/>
    <w:rsid w:val="009B24C3"/>
    <w:rsid w:val="009C0A17"/>
    <w:rsid w:val="009C2680"/>
    <w:rsid w:val="009C2C5E"/>
    <w:rsid w:val="009C6DA3"/>
    <w:rsid w:val="009D27A5"/>
    <w:rsid w:val="009D3060"/>
    <w:rsid w:val="009D3534"/>
    <w:rsid w:val="009E324B"/>
    <w:rsid w:val="009E482E"/>
    <w:rsid w:val="009E4D81"/>
    <w:rsid w:val="009F245A"/>
    <w:rsid w:val="009F3D5A"/>
    <w:rsid w:val="00A00414"/>
    <w:rsid w:val="00A0542F"/>
    <w:rsid w:val="00A1095D"/>
    <w:rsid w:val="00A166BB"/>
    <w:rsid w:val="00A21AB8"/>
    <w:rsid w:val="00A223C3"/>
    <w:rsid w:val="00A2575F"/>
    <w:rsid w:val="00A26478"/>
    <w:rsid w:val="00A32E6F"/>
    <w:rsid w:val="00A36528"/>
    <w:rsid w:val="00A40AA9"/>
    <w:rsid w:val="00A41A65"/>
    <w:rsid w:val="00A47788"/>
    <w:rsid w:val="00A5339F"/>
    <w:rsid w:val="00A538F8"/>
    <w:rsid w:val="00A64316"/>
    <w:rsid w:val="00A65E2D"/>
    <w:rsid w:val="00A67B2D"/>
    <w:rsid w:val="00A76B79"/>
    <w:rsid w:val="00A8083D"/>
    <w:rsid w:val="00A83610"/>
    <w:rsid w:val="00A84F2A"/>
    <w:rsid w:val="00A8567E"/>
    <w:rsid w:val="00A90B74"/>
    <w:rsid w:val="00A91F44"/>
    <w:rsid w:val="00A96CF8"/>
    <w:rsid w:val="00AA0917"/>
    <w:rsid w:val="00AA10B5"/>
    <w:rsid w:val="00AA434E"/>
    <w:rsid w:val="00AB35F0"/>
    <w:rsid w:val="00AB3B7A"/>
    <w:rsid w:val="00AB5A94"/>
    <w:rsid w:val="00AC25F5"/>
    <w:rsid w:val="00AC4332"/>
    <w:rsid w:val="00AD2C0D"/>
    <w:rsid w:val="00AD40C6"/>
    <w:rsid w:val="00AD41DE"/>
    <w:rsid w:val="00AD422A"/>
    <w:rsid w:val="00AD6598"/>
    <w:rsid w:val="00AD7018"/>
    <w:rsid w:val="00AE688C"/>
    <w:rsid w:val="00AF1196"/>
    <w:rsid w:val="00AF230E"/>
    <w:rsid w:val="00AF3268"/>
    <w:rsid w:val="00AF3458"/>
    <w:rsid w:val="00AF7C2A"/>
    <w:rsid w:val="00B03034"/>
    <w:rsid w:val="00B0492F"/>
    <w:rsid w:val="00B04ACE"/>
    <w:rsid w:val="00B06651"/>
    <w:rsid w:val="00B077B9"/>
    <w:rsid w:val="00B12942"/>
    <w:rsid w:val="00B16EDE"/>
    <w:rsid w:val="00B23EBF"/>
    <w:rsid w:val="00B25FE4"/>
    <w:rsid w:val="00B353EC"/>
    <w:rsid w:val="00B37D68"/>
    <w:rsid w:val="00B50CAA"/>
    <w:rsid w:val="00B524B7"/>
    <w:rsid w:val="00B52F70"/>
    <w:rsid w:val="00B6175B"/>
    <w:rsid w:val="00B61ED5"/>
    <w:rsid w:val="00B64FAC"/>
    <w:rsid w:val="00B720CD"/>
    <w:rsid w:val="00B767D8"/>
    <w:rsid w:val="00B855AB"/>
    <w:rsid w:val="00B8631C"/>
    <w:rsid w:val="00B91A50"/>
    <w:rsid w:val="00B96BC8"/>
    <w:rsid w:val="00BA7311"/>
    <w:rsid w:val="00BB11D3"/>
    <w:rsid w:val="00BB1EA2"/>
    <w:rsid w:val="00BB49FF"/>
    <w:rsid w:val="00BC0F8E"/>
    <w:rsid w:val="00BC1F66"/>
    <w:rsid w:val="00BC71A8"/>
    <w:rsid w:val="00BD010C"/>
    <w:rsid w:val="00BD0EC5"/>
    <w:rsid w:val="00BD1376"/>
    <w:rsid w:val="00BD2E7C"/>
    <w:rsid w:val="00BD5BB9"/>
    <w:rsid w:val="00BE449A"/>
    <w:rsid w:val="00BE666F"/>
    <w:rsid w:val="00BE7549"/>
    <w:rsid w:val="00BF36D4"/>
    <w:rsid w:val="00BF421A"/>
    <w:rsid w:val="00BF6F8B"/>
    <w:rsid w:val="00C00ECA"/>
    <w:rsid w:val="00C0170C"/>
    <w:rsid w:val="00C0241D"/>
    <w:rsid w:val="00C06659"/>
    <w:rsid w:val="00C10C29"/>
    <w:rsid w:val="00C11660"/>
    <w:rsid w:val="00C146D2"/>
    <w:rsid w:val="00C154EC"/>
    <w:rsid w:val="00C163AA"/>
    <w:rsid w:val="00C164A1"/>
    <w:rsid w:val="00C24424"/>
    <w:rsid w:val="00C33B05"/>
    <w:rsid w:val="00C370CF"/>
    <w:rsid w:val="00C425E7"/>
    <w:rsid w:val="00C44398"/>
    <w:rsid w:val="00C4523B"/>
    <w:rsid w:val="00C45A1E"/>
    <w:rsid w:val="00C777A5"/>
    <w:rsid w:val="00C82FC8"/>
    <w:rsid w:val="00C83D86"/>
    <w:rsid w:val="00C84C2A"/>
    <w:rsid w:val="00C87142"/>
    <w:rsid w:val="00C93B52"/>
    <w:rsid w:val="00C94C9C"/>
    <w:rsid w:val="00C95BA8"/>
    <w:rsid w:val="00C96863"/>
    <w:rsid w:val="00C96E81"/>
    <w:rsid w:val="00CA423C"/>
    <w:rsid w:val="00CB37FB"/>
    <w:rsid w:val="00CB5761"/>
    <w:rsid w:val="00CC2273"/>
    <w:rsid w:val="00CC5F44"/>
    <w:rsid w:val="00CC7157"/>
    <w:rsid w:val="00CD166A"/>
    <w:rsid w:val="00CD6568"/>
    <w:rsid w:val="00CD674B"/>
    <w:rsid w:val="00CD6B8E"/>
    <w:rsid w:val="00CE103A"/>
    <w:rsid w:val="00CE2D80"/>
    <w:rsid w:val="00CE6C58"/>
    <w:rsid w:val="00CF0C86"/>
    <w:rsid w:val="00CF1DF5"/>
    <w:rsid w:val="00CF6623"/>
    <w:rsid w:val="00CF666D"/>
    <w:rsid w:val="00D0196F"/>
    <w:rsid w:val="00D03FA8"/>
    <w:rsid w:val="00D0483F"/>
    <w:rsid w:val="00D15AA8"/>
    <w:rsid w:val="00D16D40"/>
    <w:rsid w:val="00D20DB5"/>
    <w:rsid w:val="00D23DFB"/>
    <w:rsid w:val="00D24A41"/>
    <w:rsid w:val="00D27428"/>
    <w:rsid w:val="00D36719"/>
    <w:rsid w:val="00D41851"/>
    <w:rsid w:val="00D4660E"/>
    <w:rsid w:val="00D5115E"/>
    <w:rsid w:val="00D518ED"/>
    <w:rsid w:val="00D53206"/>
    <w:rsid w:val="00D55610"/>
    <w:rsid w:val="00D6014E"/>
    <w:rsid w:val="00D617BE"/>
    <w:rsid w:val="00D61F0B"/>
    <w:rsid w:val="00D719A0"/>
    <w:rsid w:val="00D7302F"/>
    <w:rsid w:val="00D74EEF"/>
    <w:rsid w:val="00D75ED4"/>
    <w:rsid w:val="00D814C5"/>
    <w:rsid w:val="00D81B39"/>
    <w:rsid w:val="00D82EDD"/>
    <w:rsid w:val="00D975AF"/>
    <w:rsid w:val="00DA175B"/>
    <w:rsid w:val="00DA4F86"/>
    <w:rsid w:val="00DA6A30"/>
    <w:rsid w:val="00DB0148"/>
    <w:rsid w:val="00DC08EB"/>
    <w:rsid w:val="00DC0E40"/>
    <w:rsid w:val="00DC2C22"/>
    <w:rsid w:val="00DC5BED"/>
    <w:rsid w:val="00DD13CB"/>
    <w:rsid w:val="00DD4D1B"/>
    <w:rsid w:val="00DE0FEF"/>
    <w:rsid w:val="00DE3CE7"/>
    <w:rsid w:val="00DF0F91"/>
    <w:rsid w:val="00DF215C"/>
    <w:rsid w:val="00DF56C2"/>
    <w:rsid w:val="00E11115"/>
    <w:rsid w:val="00E16797"/>
    <w:rsid w:val="00E17DA7"/>
    <w:rsid w:val="00E2221D"/>
    <w:rsid w:val="00E237C5"/>
    <w:rsid w:val="00E2499B"/>
    <w:rsid w:val="00E32654"/>
    <w:rsid w:val="00E346E4"/>
    <w:rsid w:val="00E374C5"/>
    <w:rsid w:val="00E37B48"/>
    <w:rsid w:val="00E37F76"/>
    <w:rsid w:val="00E435CA"/>
    <w:rsid w:val="00E442DD"/>
    <w:rsid w:val="00E4542E"/>
    <w:rsid w:val="00E45C0D"/>
    <w:rsid w:val="00E46073"/>
    <w:rsid w:val="00E46B9D"/>
    <w:rsid w:val="00E5096F"/>
    <w:rsid w:val="00E50C5E"/>
    <w:rsid w:val="00E52CF7"/>
    <w:rsid w:val="00E54F83"/>
    <w:rsid w:val="00E56E5B"/>
    <w:rsid w:val="00E577E0"/>
    <w:rsid w:val="00E70B10"/>
    <w:rsid w:val="00E72C4A"/>
    <w:rsid w:val="00E7466D"/>
    <w:rsid w:val="00E8251F"/>
    <w:rsid w:val="00E85AD1"/>
    <w:rsid w:val="00E9108B"/>
    <w:rsid w:val="00E91116"/>
    <w:rsid w:val="00EA3F9B"/>
    <w:rsid w:val="00EA68DF"/>
    <w:rsid w:val="00EA6B6D"/>
    <w:rsid w:val="00EB13A7"/>
    <w:rsid w:val="00EB2609"/>
    <w:rsid w:val="00EB7C3D"/>
    <w:rsid w:val="00EB7FEA"/>
    <w:rsid w:val="00EC5D63"/>
    <w:rsid w:val="00EC7F9A"/>
    <w:rsid w:val="00ED15CF"/>
    <w:rsid w:val="00ED62D0"/>
    <w:rsid w:val="00ED70FC"/>
    <w:rsid w:val="00EE6A04"/>
    <w:rsid w:val="00EE7F51"/>
    <w:rsid w:val="00EF2ACF"/>
    <w:rsid w:val="00EF6F97"/>
    <w:rsid w:val="00F014D3"/>
    <w:rsid w:val="00F021B8"/>
    <w:rsid w:val="00F03EF8"/>
    <w:rsid w:val="00F052A0"/>
    <w:rsid w:val="00F1576E"/>
    <w:rsid w:val="00F17363"/>
    <w:rsid w:val="00F20691"/>
    <w:rsid w:val="00F23FE4"/>
    <w:rsid w:val="00F33BC4"/>
    <w:rsid w:val="00F3728B"/>
    <w:rsid w:val="00F3785E"/>
    <w:rsid w:val="00F41194"/>
    <w:rsid w:val="00F44FCB"/>
    <w:rsid w:val="00F5055A"/>
    <w:rsid w:val="00F52319"/>
    <w:rsid w:val="00F52D76"/>
    <w:rsid w:val="00F57EBE"/>
    <w:rsid w:val="00F71EAD"/>
    <w:rsid w:val="00F72330"/>
    <w:rsid w:val="00F80615"/>
    <w:rsid w:val="00F8262E"/>
    <w:rsid w:val="00F8310D"/>
    <w:rsid w:val="00F84CD8"/>
    <w:rsid w:val="00F8551F"/>
    <w:rsid w:val="00F86AB1"/>
    <w:rsid w:val="00F8706F"/>
    <w:rsid w:val="00F909E9"/>
    <w:rsid w:val="00F943DA"/>
    <w:rsid w:val="00FA0991"/>
    <w:rsid w:val="00FA6E5D"/>
    <w:rsid w:val="00FB225C"/>
    <w:rsid w:val="00FB4C05"/>
    <w:rsid w:val="00FB6165"/>
    <w:rsid w:val="00FC0980"/>
    <w:rsid w:val="00FC678D"/>
    <w:rsid w:val="00FD212D"/>
    <w:rsid w:val="00FD5BC7"/>
    <w:rsid w:val="00FD7284"/>
    <w:rsid w:val="00FE10F9"/>
    <w:rsid w:val="00FE3F4D"/>
    <w:rsid w:val="00FE6018"/>
    <w:rsid w:val="00FF172C"/>
    <w:rsid w:val="00FF3CB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8EE6B"/>
  <w15:docId w15:val="{FBD3C9A0-3678-4B81-8FD7-635A964B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1AE1"/>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1">
    <w:name w:val="tabulatory1"/>
    <w:basedOn w:val="Domylnaczcionkaakapitu"/>
    <w:rsid w:val="00801AE1"/>
  </w:style>
  <w:style w:type="character" w:customStyle="1" w:styleId="akapitustep1">
    <w:name w:val="akapitustep1"/>
    <w:rsid w:val="00801AE1"/>
  </w:style>
  <w:style w:type="character" w:customStyle="1" w:styleId="htytul1">
    <w:name w:val="htytul1"/>
    <w:rsid w:val="00801AE1"/>
    <w:rPr>
      <w:b/>
      <w:bCs/>
      <w:sz w:val="27"/>
      <w:szCs w:val="27"/>
    </w:rPr>
  </w:style>
  <w:style w:type="paragraph" w:styleId="Tekstpodstawowywcity3">
    <w:name w:val="Body Text Indent 3"/>
    <w:basedOn w:val="Normalny"/>
    <w:rsid w:val="00F1576E"/>
    <w:pPr>
      <w:widowControl/>
      <w:autoSpaceDE/>
      <w:autoSpaceDN/>
      <w:adjustRightInd/>
      <w:spacing w:after="120"/>
      <w:ind w:left="283" w:right="-360"/>
    </w:pPr>
    <w:rPr>
      <w:rFonts w:ascii="Times New Roman" w:hAnsi="Times New Roman" w:cs="Times New Roman"/>
      <w:sz w:val="16"/>
      <w:szCs w:val="16"/>
    </w:rPr>
  </w:style>
  <w:style w:type="paragraph" w:customStyle="1" w:styleId="ust2art">
    <w:name w:val="ust2 art"/>
    <w:basedOn w:val="Normalny"/>
    <w:rsid w:val="00275EB0"/>
    <w:pPr>
      <w:widowControl/>
      <w:overflowPunct w:val="0"/>
      <w:spacing w:before="60" w:after="60"/>
      <w:jc w:val="both"/>
      <w:textAlignment w:val="baseline"/>
      <w:outlineLvl w:val="4"/>
    </w:pPr>
    <w:rPr>
      <w:rFonts w:ascii="Times New Roman" w:hAnsi="Times New Roman" w:cs="Times New Roman"/>
      <w:sz w:val="24"/>
    </w:rPr>
  </w:style>
  <w:style w:type="character" w:styleId="Odwoanieprzypisukocowego">
    <w:name w:val="endnote reference"/>
    <w:semiHidden/>
    <w:rsid w:val="00131455"/>
    <w:rPr>
      <w:vertAlign w:val="superscript"/>
    </w:rPr>
  </w:style>
  <w:style w:type="character" w:styleId="Hipercze">
    <w:name w:val="Hyperlink"/>
    <w:rsid w:val="008608AC"/>
    <w:rPr>
      <w:color w:val="0563C1"/>
      <w:u w:val="single"/>
    </w:rPr>
  </w:style>
  <w:style w:type="paragraph" w:styleId="Nagwek">
    <w:name w:val="header"/>
    <w:basedOn w:val="Normalny"/>
    <w:link w:val="NagwekZnak"/>
    <w:uiPriority w:val="99"/>
    <w:rsid w:val="00377EAC"/>
    <w:pPr>
      <w:tabs>
        <w:tab w:val="center" w:pos="4536"/>
        <w:tab w:val="right" w:pos="9072"/>
      </w:tabs>
    </w:pPr>
  </w:style>
  <w:style w:type="character" w:customStyle="1" w:styleId="NagwekZnak">
    <w:name w:val="Nagłówek Znak"/>
    <w:link w:val="Nagwek"/>
    <w:uiPriority w:val="99"/>
    <w:rsid w:val="00377EAC"/>
    <w:rPr>
      <w:rFonts w:ascii="Arial" w:hAnsi="Arial" w:cs="Arial"/>
    </w:rPr>
  </w:style>
  <w:style w:type="paragraph" w:styleId="Stopka">
    <w:name w:val="footer"/>
    <w:basedOn w:val="Normalny"/>
    <w:link w:val="StopkaZnak"/>
    <w:uiPriority w:val="99"/>
    <w:rsid w:val="00377EAC"/>
    <w:pPr>
      <w:tabs>
        <w:tab w:val="center" w:pos="4536"/>
        <w:tab w:val="right" w:pos="9072"/>
      </w:tabs>
    </w:pPr>
  </w:style>
  <w:style w:type="character" w:customStyle="1" w:styleId="StopkaZnak">
    <w:name w:val="Stopka Znak"/>
    <w:link w:val="Stopka"/>
    <w:uiPriority w:val="99"/>
    <w:rsid w:val="00377EAC"/>
    <w:rPr>
      <w:rFonts w:ascii="Arial" w:hAnsi="Arial" w:cs="Arial"/>
    </w:rPr>
  </w:style>
  <w:style w:type="paragraph" w:styleId="Tekstdymka">
    <w:name w:val="Balloon Text"/>
    <w:basedOn w:val="Normalny"/>
    <w:link w:val="TekstdymkaZnak"/>
    <w:rsid w:val="00B52F70"/>
    <w:rPr>
      <w:rFonts w:ascii="Segoe UI" w:hAnsi="Segoe UI" w:cs="Segoe UI"/>
      <w:sz w:val="18"/>
      <w:szCs w:val="18"/>
    </w:rPr>
  </w:style>
  <w:style w:type="character" w:customStyle="1" w:styleId="TekstdymkaZnak">
    <w:name w:val="Tekst dymka Znak"/>
    <w:link w:val="Tekstdymka"/>
    <w:rsid w:val="00B52F70"/>
    <w:rPr>
      <w:rFonts w:ascii="Segoe UI" w:hAnsi="Segoe UI" w:cs="Segoe UI"/>
      <w:sz w:val="18"/>
      <w:szCs w:val="18"/>
    </w:rPr>
  </w:style>
  <w:style w:type="paragraph" w:styleId="Akapitzlist">
    <w:name w:val="List Paragraph"/>
    <w:basedOn w:val="Normalny"/>
    <w:link w:val="AkapitzlistZnak"/>
    <w:uiPriority w:val="34"/>
    <w:qFormat/>
    <w:rsid w:val="00D719A0"/>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paragraph" w:styleId="Tekstprzypisudolnego">
    <w:name w:val="footnote text"/>
    <w:basedOn w:val="Normalny"/>
    <w:link w:val="TekstprzypisudolnegoZnak"/>
    <w:uiPriority w:val="99"/>
    <w:unhideWhenUsed/>
    <w:rsid w:val="00D719A0"/>
    <w:pPr>
      <w:widowControl/>
      <w:autoSpaceDE/>
      <w:autoSpaceDN/>
      <w:adjustRightInd/>
    </w:pPr>
    <w:rPr>
      <w:rFonts w:ascii="Calibri" w:eastAsia="Calibri" w:hAnsi="Calibri" w:cs="Times New Roman"/>
      <w:lang w:eastAsia="en-US"/>
    </w:rPr>
  </w:style>
  <w:style w:type="character" w:customStyle="1" w:styleId="TekstprzypisudolnegoZnak">
    <w:name w:val="Tekst przypisu dolnego Znak"/>
    <w:link w:val="Tekstprzypisudolnego"/>
    <w:uiPriority w:val="99"/>
    <w:rsid w:val="00D719A0"/>
    <w:rPr>
      <w:rFonts w:ascii="Calibri" w:eastAsia="Calibri" w:hAnsi="Calibri"/>
      <w:lang w:eastAsia="en-US"/>
    </w:rPr>
  </w:style>
  <w:style w:type="character" w:styleId="Odwoanieprzypisudolnego">
    <w:name w:val="footnote reference"/>
    <w:uiPriority w:val="99"/>
    <w:unhideWhenUsed/>
    <w:rsid w:val="00D719A0"/>
    <w:rPr>
      <w:vertAlign w:val="superscript"/>
    </w:rPr>
  </w:style>
  <w:style w:type="character" w:customStyle="1" w:styleId="AkapitzlistZnak">
    <w:name w:val="Akapit z listą Znak"/>
    <w:link w:val="Akapitzlist"/>
    <w:uiPriority w:val="34"/>
    <w:rsid w:val="00D719A0"/>
    <w:rPr>
      <w:rFonts w:ascii="Calibri" w:eastAsia="Calibri" w:hAnsi="Calibri"/>
      <w:sz w:val="22"/>
      <w:szCs w:val="22"/>
      <w:lang w:eastAsia="en-US"/>
    </w:rPr>
  </w:style>
  <w:style w:type="table" w:styleId="Tabela-Siatka">
    <w:name w:val="Table Grid"/>
    <w:basedOn w:val="Standardowy"/>
    <w:uiPriority w:val="39"/>
    <w:rsid w:val="00D719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736325"/>
  </w:style>
  <w:style w:type="character" w:customStyle="1" w:styleId="TekstprzypisukocowegoZnak">
    <w:name w:val="Tekst przypisu końcowego Znak"/>
    <w:link w:val="Tekstprzypisukocowego"/>
    <w:rsid w:val="00736325"/>
    <w:rPr>
      <w:rFonts w:ascii="Arial" w:hAnsi="Arial" w:cs="Arial"/>
    </w:rPr>
  </w:style>
  <w:style w:type="paragraph" w:styleId="NormalnyWeb">
    <w:name w:val="Normal (Web)"/>
    <w:basedOn w:val="Normalny"/>
    <w:uiPriority w:val="99"/>
    <w:unhideWhenUsed/>
    <w:rsid w:val="005D3849"/>
    <w:pPr>
      <w:widowControl/>
      <w:autoSpaceDE/>
      <w:autoSpaceDN/>
      <w:adjustRightInd/>
      <w:spacing w:before="100" w:beforeAutospacing="1" w:after="100" w:afterAutospacing="1"/>
    </w:pPr>
    <w:rPr>
      <w:rFonts w:ascii="Times New Roman" w:hAnsi="Times New Roman" w:cs="Times New Roman"/>
      <w:sz w:val="24"/>
      <w:szCs w:val="24"/>
    </w:rPr>
  </w:style>
  <w:style w:type="character" w:styleId="Pogrubienie">
    <w:name w:val="Strong"/>
    <w:uiPriority w:val="22"/>
    <w:qFormat/>
    <w:rsid w:val="005D3849"/>
    <w:rPr>
      <w:b/>
      <w:bCs/>
    </w:rPr>
  </w:style>
  <w:style w:type="paragraph" w:customStyle="1" w:styleId="Default">
    <w:name w:val="Default"/>
    <w:rsid w:val="005D3849"/>
    <w:pPr>
      <w:autoSpaceDE w:val="0"/>
      <w:autoSpaceDN w:val="0"/>
      <w:adjustRightInd w:val="0"/>
    </w:pPr>
    <w:rPr>
      <w:rFonts w:ascii="Calibri" w:eastAsia="Calibri" w:hAnsi="Calibri" w:cs="Calibri"/>
      <w:color w:val="000000"/>
      <w:sz w:val="24"/>
      <w:szCs w:val="24"/>
      <w:lang w:eastAsia="en-US"/>
    </w:rPr>
  </w:style>
  <w:style w:type="paragraph" w:customStyle="1" w:styleId="ARTartustawynprozporzdzenia">
    <w:name w:val="ART(§) – art. ustawy (§ np. rozporządzenia)"/>
    <w:uiPriority w:val="99"/>
    <w:qFormat/>
    <w:rsid w:val="009A1099"/>
    <w:pPr>
      <w:suppressAutoHyphens/>
      <w:autoSpaceDE w:val="0"/>
      <w:autoSpaceDN w:val="0"/>
      <w:adjustRightInd w:val="0"/>
      <w:spacing w:before="120" w:line="360" w:lineRule="auto"/>
      <w:ind w:firstLine="510"/>
      <w:jc w:val="both"/>
    </w:pPr>
    <w:rPr>
      <w:rFonts w:ascii="Times" w:hAnsi="Times" w:cs="Arial"/>
      <w:sz w:val="24"/>
    </w:rPr>
  </w:style>
  <w:style w:type="paragraph" w:customStyle="1" w:styleId="USTustnpkodeksu">
    <w:name w:val="UST(§) – ust. (§ np. kodeksu)"/>
    <w:basedOn w:val="ARTartustawynprozporzdzenia"/>
    <w:uiPriority w:val="12"/>
    <w:qFormat/>
    <w:rsid w:val="009A1099"/>
    <w:pPr>
      <w:spacing w:before="0"/>
    </w:pPr>
    <w:rPr>
      <w:bCs/>
    </w:rPr>
  </w:style>
  <w:style w:type="paragraph" w:customStyle="1" w:styleId="PKTpunkt">
    <w:name w:val="PKT – punkt"/>
    <w:uiPriority w:val="13"/>
    <w:qFormat/>
    <w:rsid w:val="009A1099"/>
    <w:pPr>
      <w:spacing w:line="360" w:lineRule="auto"/>
      <w:ind w:left="510" w:hanging="510"/>
      <w:jc w:val="both"/>
    </w:pPr>
    <w:rPr>
      <w:rFonts w:ascii="Times" w:hAnsi="Times" w:cs="Arial"/>
      <w:bCs/>
      <w:sz w:val="24"/>
    </w:rPr>
  </w:style>
  <w:style w:type="paragraph" w:customStyle="1" w:styleId="TYTDZOZNoznaczenietytuulubdziau">
    <w:name w:val="TYT(DZ)_OZN – oznaczenie tytułu lub działu"/>
    <w:next w:val="Normalny"/>
    <w:uiPriority w:val="9"/>
    <w:qFormat/>
    <w:rsid w:val="009A1099"/>
    <w:pPr>
      <w:keepNext/>
      <w:spacing w:before="120" w:line="360" w:lineRule="auto"/>
      <w:jc w:val="center"/>
    </w:pPr>
    <w:rPr>
      <w:rFonts w:ascii="Times" w:hAnsi="Times" w:cs="Arial"/>
      <w:bCs/>
      <w:caps/>
      <w:kern w:val="24"/>
      <w:sz w:val="24"/>
      <w:szCs w:val="24"/>
    </w:rPr>
  </w:style>
  <w:style w:type="character" w:customStyle="1" w:styleId="IGindeksgrny">
    <w:name w:val="_IG_ – indeks górny"/>
    <w:uiPriority w:val="2"/>
    <w:qFormat/>
    <w:rsid w:val="009A1099"/>
    <w:rPr>
      <w:b w:val="0"/>
      <w:i w:val="0"/>
      <w:vanish w:val="0"/>
      <w:spacing w:val="0"/>
      <w:vertAlign w:val="superscript"/>
    </w:rPr>
  </w:style>
  <w:style w:type="character" w:customStyle="1" w:styleId="Ppogrubienie">
    <w:name w:val="_P_ – pogrubienie"/>
    <w:uiPriority w:val="1"/>
    <w:qFormat/>
    <w:rsid w:val="009A1099"/>
    <w:rPr>
      <w:b/>
    </w:rPr>
  </w:style>
  <w:style w:type="character" w:styleId="UyteHipercze">
    <w:name w:val="FollowedHyperlink"/>
    <w:rsid w:val="00444DA5"/>
    <w:rPr>
      <w:color w:val="954F72"/>
      <w:u w:val="single"/>
    </w:rPr>
  </w:style>
  <w:style w:type="character" w:styleId="Odwoaniedokomentarza">
    <w:name w:val="annotation reference"/>
    <w:rsid w:val="00E346E4"/>
    <w:rPr>
      <w:sz w:val="16"/>
      <w:szCs w:val="16"/>
    </w:rPr>
  </w:style>
  <w:style w:type="paragraph" w:styleId="Tekstkomentarza">
    <w:name w:val="annotation text"/>
    <w:basedOn w:val="Normalny"/>
    <w:link w:val="TekstkomentarzaZnak"/>
    <w:rsid w:val="00E346E4"/>
  </w:style>
  <w:style w:type="character" w:customStyle="1" w:styleId="TekstkomentarzaZnak">
    <w:name w:val="Tekst komentarza Znak"/>
    <w:link w:val="Tekstkomentarza"/>
    <w:rsid w:val="00E346E4"/>
    <w:rPr>
      <w:rFonts w:ascii="Arial" w:hAnsi="Arial" w:cs="Arial"/>
      <w:lang w:val="pl-PL" w:eastAsia="pl-PL"/>
    </w:rPr>
  </w:style>
  <w:style w:type="paragraph" w:styleId="Tematkomentarza">
    <w:name w:val="annotation subject"/>
    <w:basedOn w:val="Tekstkomentarza"/>
    <w:next w:val="Tekstkomentarza"/>
    <w:link w:val="TematkomentarzaZnak"/>
    <w:rsid w:val="00E346E4"/>
    <w:rPr>
      <w:b/>
      <w:bCs/>
    </w:rPr>
  </w:style>
  <w:style w:type="character" w:customStyle="1" w:styleId="TematkomentarzaZnak">
    <w:name w:val="Temat komentarza Znak"/>
    <w:link w:val="Tematkomentarza"/>
    <w:rsid w:val="00E346E4"/>
    <w:rPr>
      <w:rFonts w:ascii="Arial" w:hAnsi="Arial" w:cs="Arial"/>
      <w:b/>
      <w:bCs/>
      <w:lang w:val="pl-PL" w:eastAsia="pl-PL"/>
    </w:rPr>
  </w:style>
  <w:style w:type="paragraph" w:customStyle="1" w:styleId="ZLITPKTzmpktliter">
    <w:name w:val="Z_LIT/PKT – zm. pkt literą"/>
    <w:basedOn w:val="PKTpunkt"/>
    <w:uiPriority w:val="47"/>
    <w:qFormat/>
    <w:rsid w:val="00292F3A"/>
    <w:pPr>
      <w:ind w:left="1497"/>
    </w:pPr>
  </w:style>
  <w:style w:type="paragraph" w:customStyle="1" w:styleId="ZARTzmartartykuempunktem">
    <w:name w:val="Z/ART(§) – zm. art. (§) artykułem (punktem)"/>
    <w:basedOn w:val="ARTartustawynprozporzdzenia"/>
    <w:uiPriority w:val="99"/>
    <w:qFormat/>
    <w:rsid w:val="00A2575F"/>
    <w:pPr>
      <w:spacing w:before="0"/>
      <w:ind w:left="510"/>
    </w:pPr>
  </w:style>
  <w:style w:type="paragraph" w:customStyle="1" w:styleId="ZLITwPKTzmlitwpktartykuempunktem">
    <w:name w:val="Z/LIT_w_PKT – zm. lit. w pkt artykułem (punktem)"/>
    <w:basedOn w:val="Normalny"/>
    <w:uiPriority w:val="32"/>
    <w:qFormat/>
    <w:rsid w:val="00267666"/>
    <w:pPr>
      <w:widowControl/>
      <w:autoSpaceDE/>
      <w:autoSpaceDN/>
      <w:adjustRightInd/>
      <w:spacing w:line="360" w:lineRule="auto"/>
      <w:ind w:left="1497" w:hanging="476"/>
      <w:jc w:val="both"/>
    </w:pPr>
    <w:rPr>
      <w:rFonts w:ascii="Times" w:hAnsi="Times"/>
      <w:bCs/>
      <w:sz w:val="24"/>
    </w:rPr>
  </w:style>
  <w:style w:type="paragraph" w:customStyle="1" w:styleId="ZPKTzmpktartykuempunktem">
    <w:name w:val="Z/PKT – zm. pkt artykułem (punktem)"/>
    <w:basedOn w:val="PKTpunkt"/>
    <w:uiPriority w:val="31"/>
    <w:qFormat/>
    <w:rsid w:val="00267666"/>
    <w:pPr>
      <w:ind w:left="1020"/>
    </w:pPr>
  </w:style>
  <w:style w:type="paragraph" w:customStyle="1" w:styleId="ZUSTzmustartykuempunktem">
    <w:name w:val="Z/UST(§) – zm. ust. (§) artykułem (punktem)"/>
    <w:basedOn w:val="ZARTzmartartykuempunktem"/>
    <w:uiPriority w:val="30"/>
    <w:qFormat/>
    <w:rsid w:val="00FC0980"/>
  </w:style>
  <w:style w:type="paragraph" w:customStyle="1" w:styleId="ZTIRzmtirartykuempunktem">
    <w:name w:val="Z/TIR – zm. tir. artykułem (punktem)"/>
    <w:basedOn w:val="Normalny"/>
    <w:next w:val="Normalny"/>
    <w:uiPriority w:val="33"/>
    <w:qFormat/>
    <w:rsid w:val="00770679"/>
    <w:pPr>
      <w:widowControl/>
      <w:autoSpaceDE/>
      <w:autoSpaceDN/>
      <w:adjustRightInd/>
      <w:spacing w:line="360" w:lineRule="auto"/>
      <w:ind w:left="907" w:hanging="397"/>
      <w:jc w:val="both"/>
    </w:pPr>
    <w:rPr>
      <w:rFonts w:ascii="Times" w:hAnsi="Times"/>
      <w:bCs/>
      <w:sz w:val="24"/>
    </w:rPr>
  </w:style>
  <w:style w:type="paragraph" w:customStyle="1" w:styleId="ZLITLITwPKTzmlitwpktliter">
    <w:name w:val="Z_LIT/LIT_w_PKT – zm. lit. w pkt literą"/>
    <w:basedOn w:val="Normalny"/>
    <w:uiPriority w:val="48"/>
    <w:qFormat/>
    <w:rsid w:val="00E2499B"/>
    <w:pPr>
      <w:widowControl/>
      <w:autoSpaceDE/>
      <w:autoSpaceDN/>
      <w:adjustRightInd/>
      <w:spacing w:line="360" w:lineRule="auto"/>
      <w:ind w:left="1973" w:hanging="476"/>
      <w:jc w:val="both"/>
    </w:pPr>
    <w:rPr>
      <w:rFonts w:ascii="Times" w:hAnsi="Times"/>
      <w:bCs/>
      <w:sz w:val="24"/>
    </w:rPr>
  </w:style>
  <w:style w:type="paragraph" w:styleId="Poprawka">
    <w:name w:val="Revision"/>
    <w:hidden/>
    <w:uiPriority w:val="99"/>
    <w:semiHidden/>
    <w:rsid w:val="00D20DB5"/>
    <w:rPr>
      <w:rFonts w:ascii="Arial" w:hAnsi="Arial" w:cs="Arial"/>
    </w:rPr>
  </w:style>
  <w:style w:type="paragraph" w:customStyle="1" w:styleId="ZLITUSTzmustliter">
    <w:name w:val="Z_LIT/UST(§) – zm. ust. (§) literą"/>
    <w:basedOn w:val="USTustnpkodeksu"/>
    <w:uiPriority w:val="46"/>
    <w:qFormat/>
    <w:rsid w:val="006569DD"/>
    <w:pPr>
      <w:ind w:left="987"/>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611541">
      <w:bodyDiv w:val="1"/>
      <w:marLeft w:val="0"/>
      <w:marRight w:val="0"/>
      <w:marTop w:val="0"/>
      <w:marBottom w:val="0"/>
      <w:divBdr>
        <w:top w:val="none" w:sz="0" w:space="0" w:color="auto"/>
        <w:left w:val="none" w:sz="0" w:space="0" w:color="auto"/>
        <w:bottom w:val="none" w:sz="0" w:space="0" w:color="auto"/>
        <w:right w:val="none" w:sz="0" w:space="0" w:color="auto"/>
      </w:divBdr>
    </w:div>
    <w:div w:id="917904601">
      <w:bodyDiv w:val="1"/>
      <w:marLeft w:val="0"/>
      <w:marRight w:val="0"/>
      <w:marTop w:val="0"/>
      <w:marBottom w:val="0"/>
      <w:divBdr>
        <w:top w:val="none" w:sz="0" w:space="0" w:color="auto"/>
        <w:left w:val="none" w:sz="0" w:space="0" w:color="auto"/>
        <w:bottom w:val="none" w:sz="0" w:space="0" w:color="auto"/>
        <w:right w:val="none" w:sz="0" w:space="0" w:color="auto"/>
      </w:divBdr>
    </w:div>
    <w:div w:id="10653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ergystorageexchange.org/projec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cswi.ptpiree.pl/aktualnosci"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es.jrc.ec.europa.eu/smart-metering-deployment-european-un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se.pl/aktualnosci-rynku-mocy/-/asset_publisher/XaFia9l65YKy/content/rynek-mocy-w-liczbach-certyfikacja-ogolna-20-2?safeargs=696e686572697452656469726563743d66616c73652672656469726563743d68747470732533412532462532467777772e7073652e706c253246616b7475616c6e6f7363692d72796e6b752d6d6f6379253346705f705f69642533443130315f494e5354414e43455f5861466961396c3635594b79253236705f705f6c6966656379636c6525334430253236705f705f73746174652533446e6f726d616c253236705f705f6d6f646525334476696577253236705f705f636f6c5f6964253344636f6c756d6e2d32253236705f705f636f6c5f636f756e7425334431" TargetMode="External"/><Relationship Id="rId2" Type="http://schemas.openxmlformats.org/officeDocument/2006/relationships/hyperlink" Target="http://www.senat.gov.pl/prace/komisje-senackie/przebieg,6946,1.html" TargetMode="External"/><Relationship Id="rId1" Type="http://schemas.openxmlformats.org/officeDocument/2006/relationships/hyperlink" Target="https://bip.ure.gov.pl/bip/rejestry-i-bazy/operatorzy-systemow-el/787,Operatorzy-systemow-elektroenergetycznych-dane-adresowe-i-obszary-dzialania.html" TargetMode="External"/><Relationship Id="rId4" Type="http://schemas.openxmlformats.org/officeDocument/2006/relationships/hyperlink" Target="http://www.ure.gov.pl/pl/urzad/informacje-ogolne/aktualnosci/4638,Stanowisko-Regulatora-w-sprawie-Operatora-Informacji-Pomiarowej.html?search=778946450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CC7BC-4EF7-43DC-9EF5-08BB0AAF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31394</Words>
  <Characters>188366</Characters>
  <Application>Microsoft Office Word</Application>
  <DocSecurity>0</DocSecurity>
  <Lines>1569</Lines>
  <Paragraphs>438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Dział X</vt:lpstr>
      <vt:lpstr>Dział X</vt:lpstr>
    </vt:vector>
  </TitlesOfParts>
  <Company>Ministerstwo Gospodarki</Company>
  <LinksUpToDate>false</LinksUpToDate>
  <CharactersWithSpaces>219322</CharactersWithSpaces>
  <SharedDoc>false</SharedDoc>
  <HLinks>
    <vt:vector size="42" baseType="variant">
      <vt:variant>
        <vt:i4>2818172</vt:i4>
      </vt:variant>
      <vt:variant>
        <vt:i4>6</vt:i4>
      </vt:variant>
      <vt:variant>
        <vt:i4>0</vt:i4>
      </vt:variant>
      <vt:variant>
        <vt:i4>5</vt:i4>
      </vt:variant>
      <vt:variant>
        <vt:lpwstr>http://www.cswi.ptpiree.pl/aktualnosci</vt:lpwstr>
      </vt:variant>
      <vt:variant>
        <vt:lpwstr/>
      </vt:variant>
      <vt:variant>
        <vt:i4>6029399</vt:i4>
      </vt:variant>
      <vt:variant>
        <vt:i4>3</vt:i4>
      </vt:variant>
      <vt:variant>
        <vt:i4>0</vt:i4>
      </vt:variant>
      <vt:variant>
        <vt:i4>5</vt:i4>
      </vt:variant>
      <vt:variant>
        <vt:lpwstr>https://ses.jrc.ec.europa.eu/smart-metering-deployment-european-union</vt:lpwstr>
      </vt:variant>
      <vt:variant>
        <vt:lpwstr/>
      </vt:variant>
      <vt:variant>
        <vt:i4>3604514</vt:i4>
      </vt:variant>
      <vt:variant>
        <vt:i4>0</vt:i4>
      </vt:variant>
      <vt:variant>
        <vt:i4>0</vt:i4>
      </vt:variant>
      <vt:variant>
        <vt:i4>5</vt:i4>
      </vt:variant>
      <vt:variant>
        <vt:lpwstr>https://www.energystorageexchange.org/projects</vt:lpwstr>
      </vt:variant>
      <vt:variant>
        <vt:lpwstr/>
      </vt:variant>
      <vt:variant>
        <vt:i4>5111890</vt:i4>
      </vt:variant>
      <vt:variant>
        <vt:i4>9</vt:i4>
      </vt:variant>
      <vt:variant>
        <vt:i4>0</vt:i4>
      </vt:variant>
      <vt:variant>
        <vt:i4>5</vt:i4>
      </vt:variant>
      <vt:variant>
        <vt:lpwstr>http://www.ure.gov.pl/pl/urzad/informacje-ogolne/aktualnosci/4638,Stanowisko-Regulatora-w-sprawie-Operatora-Informacji-Pomiarowej.html?search=7789464507</vt:lpwstr>
      </vt:variant>
      <vt:variant>
        <vt:lpwstr/>
      </vt:variant>
      <vt:variant>
        <vt:i4>5636149</vt:i4>
      </vt:variant>
      <vt:variant>
        <vt:i4>6</vt:i4>
      </vt:variant>
      <vt:variant>
        <vt:i4>0</vt:i4>
      </vt:variant>
      <vt:variant>
        <vt:i4>5</vt:i4>
      </vt:variant>
      <vt:variant>
        <vt:lpwstr>https://www.pse.pl/aktualnosci-rynku-mocy/-/asset_publisher/XaFia9l65YKy/content/rynek-mocy-w-liczbach-certyfikacja-ogolna-20-2?safeargs=696e686572697452656469726563743d66616c73652672656469726563743d68747470732533412532462532467777772e7073652e706c253246616b7475616c6e6f7363692d72796e6b752d6d6f6379253346705f705f69642533443130315f494e5354414e43455f5861466961396c3635594b79253236705f705f6c6966656379636c6525334430253236705f705f73746174652533446e6f726d616c253236705f705f6d6f646525334476696577253236705f705f636f6c5f6964253344636f6c756d6e2d32253236705f705f636f6c5f636f756e7425334431</vt:lpwstr>
      </vt:variant>
      <vt:variant>
        <vt:lpwstr/>
      </vt:variant>
      <vt:variant>
        <vt:i4>6488166</vt:i4>
      </vt:variant>
      <vt:variant>
        <vt:i4>3</vt:i4>
      </vt:variant>
      <vt:variant>
        <vt:i4>0</vt:i4>
      </vt:variant>
      <vt:variant>
        <vt:i4>5</vt:i4>
      </vt:variant>
      <vt:variant>
        <vt:lpwstr>http://www.senat.gov.pl/prace/komisje-senackie/przebieg,6946,1.html</vt:lpwstr>
      </vt:variant>
      <vt:variant>
        <vt:lpwstr/>
      </vt:variant>
      <vt:variant>
        <vt:i4>2097201</vt:i4>
      </vt:variant>
      <vt:variant>
        <vt:i4>0</vt:i4>
      </vt:variant>
      <vt:variant>
        <vt:i4>0</vt:i4>
      </vt:variant>
      <vt:variant>
        <vt:i4>5</vt:i4>
      </vt:variant>
      <vt:variant>
        <vt:lpwstr>https://bip.ure.gov.pl/bip/rejestry-i-bazy/operatorzy-systemow-el/787,Operatorzy-systemow-elektroenergetycznych-dane-adresowe-i-obszary-dzialania.html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Dział X</dc:title>
  <dc:creator>Bartuszek Łukasz</dc:creator>
  <cp:lastModifiedBy>KGHM</cp:lastModifiedBy>
  <cp:revision>2</cp:revision>
  <cp:lastPrinted>2019-05-08T06:53:00Z</cp:lastPrinted>
  <dcterms:created xsi:type="dcterms:W3CDTF">2020-12-10T09:09:00Z</dcterms:created>
  <dcterms:modified xsi:type="dcterms:W3CDTF">2020-12-10T09:09:00Z</dcterms:modified>
</cp:coreProperties>
</file>