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8C1BF4" w14:paraId="79D87B5B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4E225881" w14:textId="77777777" w:rsidR="006A701A" w:rsidRPr="008C1BF4" w:rsidRDefault="006A701A" w:rsidP="00A828C8">
            <w:pPr>
              <w:tabs>
                <w:tab w:val="left" w:pos="2493"/>
                <w:tab w:val="left" w:pos="3108"/>
              </w:tabs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r w:rsidRPr="008C1BF4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 w:rsidRPr="008C1BF4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16AA2E59" w14:textId="65D590A4" w:rsidR="006A701A" w:rsidRPr="008C1BF4" w:rsidRDefault="00C25DB1" w:rsidP="00A828C8">
            <w:pPr>
              <w:tabs>
                <w:tab w:val="left" w:pos="2493"/>
                <w:tab w:val="left" w:pos="3108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 xml:space="preserve">Projekt rozporządzenia Ministra Zdrowia </w:t>
            </w:r>
            <w:r w:rsidR="00A66A70" w:rsidRPr="008C1BF4">
              <w:rPr>
                <w:rFonts w:ascii="Times New Roman" w:hAnsi="Times New Roman"/>
                <w:color w:val="000000"/>
              </w:rPr>
              <w:t>zmieniając</w:t>
            </w:r>
            <w:r w:rsidR="008C1BF4" w:rsidRPr="008C1BF4">
              <w:rPr>
                <w:rFonts w:ascii="Times New Roman" w:hAnsi="Times New Roman"/>
                <w:color w:val="000000"/>
              </w:rPr>
              <w:t xml:space="preserve">ego </w:t>
            </w:r>
            <w:r w:rsidR="00A66A70" w:rsidRPr="008C1BF4">
              <w:rPr>
                <w:rFonts w:ascii="Times New Roman" w:hAnsi="Times New Roman"/>
                <w:color w:val="000000"/>
              </w:rPr>
              <w:t>rozporządzenie w sprawie świadczeń gwarantowanych z zakresu leczenia szpitalnego</w:t>
            </w:r>
          </w:p>
          <w:p w14:paraId="722609E6" w14:textId="77777777" w:rsidR="001F630A" w:rsidRPr="008C1BF4" w:rsidRDefault="001F630A" w:rsidP="00A828C8">
            <w:pPr>
              <w:tabs>
                <w:tab w:val="left" w:pos="2493"/>
                <w:tab w:val="left" w:pos="3108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694C6509" w14:textId="77777777" w:rsidR="004171FF" w:rsidRPr="008C1BF4" w:rsidRDefault="006A701A" w:rsidP="00A828C8">
            <w:pPr>
              <w:tabs>
                <w:tab w:val="left" w:pos="2493"/>
                <w:tab w:val="left" w:pos="3108"/>
              </w:tabs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C1BF4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  <w:bookmarkEnd w:id="0"/>
          </w:p>
          <w:p w14:paraId="145A050D" w14:textId="32CCFD83" w:rsidR="007415D0" w:rsidRPr="008C1BF4" w:rsidRDefault="00C25DB1" w:rsidP="00A828C8">
            <w:pPr>
              <w:tabs>
                <w:tab w:val="left" w:pos="2493"/>
                <w:tab w:val="left" w:pos="3108"/>
              </w:tabs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Ministerstwo Zdrowia</w:t>
            </w:r>
          </w:p>
          <w:p w14:paraId="5C8091CC" w14:textId="77777777" w:rsidR="00C25DB1" w:rsidRPr="008C1BF4" w:rsidRDefault="00C25DB1" w:rsidP="00A828C8">
            <w:pPr>
              <w:tabs>
                <w:tab w:val="left" w:pos="2493"/>
                <w:tab w:val="left" w:pos="3108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B66234A" w14:textId="77777777" w:rsidR="001B3460" w:rsidRPr="008C1BF4" w:rsidRDefault="001B3460" w:rsidP="00A828C8">
            <w:pPr>
              <w:tabs>
                <w:tab w:val="left" w:pos="2493"/>
                <w:tab w:val="left" w:pos="3108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8C1BF4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2864A21B" w14:textId="43B5DEDF" w:rsidR="00B455B5" w:rsidRPr="008C1BF4" w:rsidRDefault="005B3F18" w:rsidP="00A828C8">
            <w:pPr>
              <w:tabs>
                <w:tab w:val="left" w:pos="2493"/>
                <w:tab w:val="left" w:pos="3108"/>
              </w:tabs>
              <w:spacing w:line="240" w:lineRule="auto"/>
              <w:rPr>
                <w:rFonts w:ascii="Times New Roman" w:hAnsi="Times New Roman"/>
              </w:rPr>
            </w:pPr>
            <w:r w:rsidRPr="008C1BF4">
              <w:rPr>
                <w:rFonts w:ascii="Times New Roman" w:hAnsi="Times New Roman"/>
              </w:rPr>
              <w:t>Minister Zdrowia</w:t>
            </w:r>
          </w:p>
          <w:p w14:paraId="5AA474EA" w14:textId="77777777" w:rsidR="001F630A" w:rsidRPr="008C1BF4" w:rsidRDefault="001F630A" w:rsidP="00A828C8">
            <w:pPr>
              <w:tabs>
                <w:tab w:val="left" w:pos="2493"/>
                <w:tab w:val="left" w:pos="3108"/>
              </w:tabs>
              <w:spacing w:line="240" w:lineRule="auto"/>
              <w:rPr>
                <w:rFonts w:ascii="Times New Roman" w:hAnsi="Times New Roman"/>
              </w:rPr>
            </w:pPr>
          </w:p>
          <w:p w14:paraId="37AB9F94" w14:textId="77777777" w:rsidR="00B455B5" w:rsidRPr="008C1BF4" w:rsidRDefault="006A701A" w:rsidP="00A828C8">
            <w:pPr>
              <w:tabs>
                <w:tab w:val="left" w:pos="2493"/>
                <w:tab w:val="left" w:pos="3108"/>
              </w:tabs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C1BF4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05F4D78E" w14:textId="38D499F6" w:rsidR="00262EDA" w:rsidRPr="008C1BF4" w:rsidRDefault="00262EDA" w:rsidP="00A828C8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 xml:space="preserve">Dominika Janiszewska-Kajka Zastępca Dyrektora Departamentu </w:t>
            </w:r>
            <w:r w:rsidR="00CB0C1F">
              <w:rPr>
                <w:rFonts w:ascii="Times New Roman" w:hAnsi="Times New Roman"/>
                <w:color w:val="000000"/>
              </w:rPr>
              <w:t>Lecznictwa</w:t>
            </w:r>
            <w:r w:rsidRPr="008C1BF4">
              <w:rPr>
                <w:rFonts w:ascii="Times New Roman" w:hAnsi="Times New Roman"/>
                <w:color w:val="000000"/>
              </w:rPr>
              <w:t xml:space="preserve"> w Ministerstwie Zdrowia, tel. </w:t>
            </w:r>
            <w:r w:rsidRPr="008C1BF4">
              <w:rPr>
                <w:rFonts w:ascii="Times New Roman" w:hAnsi="Times New Roman"/>
                <w:bCs/>
                <w:color w:val="000000"/>
              </w:rPr>
              <w:t>880 340 006</w:t>
            </w:r>
            <w:r w:rsidRPr="008C1BF4">
              <w:rPr>
                <w:rFonts w:ascii="Times New Roman" w:hAnsi="Times New Roman"/>
                <w:color w:val="000000"/>
              </w:rPr>
              <w:t>,</w:t>
            </w:r>
          </w:p>
          <w:p w14:paraId="354C8B02" w14:textId="3ADFF69F" w:rsidR="00262EDA" w:rsidRPr="00F421D8" w:rsidRDefault="00262EDA" w:rsidP="00A828C8">
            <w:pPr>
              <w:tabs>
                <w:tab w:val="left" w:pos="2493"/>
                <w:tab w:val="left" w:pos="3108"/>
              </w:tabs>
              <w:spacing w:line="240" w:lineRule="auto"/>
              <w:ind w:hanging="34"/>
              <w:rPr>
                <w:rFonts w:ascii="Times New Roman" w:hAnsi="Times New Roman"/>
                <w:color w:val="000000"/>
                <w:lang w:val="en-US"/>
              </w:rPr>
            </w:pPr>
            <w:r w:rsidRPr="00C02234">
              <w:rPr>
                <w:rFonts w:ascii="Times New Roman" w:hAnsi="Times New Roman"/>
                <w:color w:val="000000"/>
              </w:rPr>
              <w:t xml:space="preserve"> </w:t>
            </w:r>
            <w:r w:rsidRPr="00A21B9A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r w:rsidR="00694D5D" w:rsidRPr="00A21B9A">
              <w:rPr>
                <w:rFonts w:ascii="Times New Roman" w:hAnsi="Times New Roman"/>
                <w:color w:val="000000"/>
                <w:lang w:val="en-US"/>
              </w:rPr>
              <w:t>d.janiszewska@mz.gov.pl</w:t>
            </w:r>
            <w:hyperlink r:id="rId8" w:history="1"/>
          </w:p>
        </w:tc>
        <w:tc>
          <w:tcPr>
            <w:tcW w:w="4306" w:type="dxa"/>
            <w:gridSpan w:val="12"/>
            <w:shd w:val="clear" w:color="auto" w:fill="FFFFFF"/>
          </w:tcPr>
          <w:p w14:paraId="547D930F" w14:textId="1DD4199D" w:rsidR="001B3460" w:rsidRPr="008C1BF4" w:rsidRDefault="001B3460" w:rsidP="00A828C8">
            <w:pPr>
              <w:tabs>
                <w:tab w:val="left" w:pos="2493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5A717C">
              <w:rPr>
                <w:rFonts w:ascii="Times New Roman" w:hAnsi="Times New Roman"/>
                <w:b/>
              </w:rPr>
              <w:t>Data sporządzenia</w:t>
            </w:r>
            <w:r w:rsidRPr="005A717C">
              <w:rPr>
                <w:rFonts w:ascii="Times New Roman" w:hAnsi="Times New Roman"/>
                <w:b/>
              </w:rPr>
              <w:br/>
            </w:r>
            <w:r w:rsidR="00E07E51">
              <w:rPr>
                <w:rFonts w:ascii="Times New Roman" w:hAnsi="Times New Roman"/>
              </w:rPr>
              <w:t>0</w:t>
            </w:r>
            <w:r w:rsidR="005D36C5">
              <w:rPr>
                <w:rFonts w:ascii="Times New Roman" w:hAnsi="Times New Roman"/>
              </w:rPr>
              <w:t>9</w:t>
            </w:r>
            <w:r w:rsidR="001E6591">
              <w:rPr>
                <w:rFonts w:ascii="Times New Roman" w:hAnsi="Times New Roman"/>
              </w:rPr>
              <w:t>.</w:t>
            </w:r>
            <w:r w:rsidR="00185562">
              <w:rPr>
                <w:rFonts w:ascii="Times New Roman" w:hAnsi="Times New Roman"/>
              </w:rPr>
              <w:t>1</w:t>
            </w:r>
            <w:r w:rsidR="00E07E51">
              <w:rPr>
                <w:rFonts w:ascii="Times New Roman" w:hAnsi="Times New Roman"/>
              </w:rPr>
              <w:t>2</w:t>
            </w:r>
            <w:r w:rsidR="00701DE7" w:rsidRPr="008C1BF4">
              <w:rPr>
                <w:rFonts w:ascii="Times New Roman" w:hAnsi="Times New Roman"/>
              </w:rPr>
              <w:t>.2020 r.</w:t>
            </w:r>
          </w:p>
          <w:p w14:paraId="707F7D4A" w14:textId="77777777" w:rsidR="00F76884" w:rsidRPr="008C1BF4" w:rsidRDefault="00F76884" w:rsidP="00A828C8">
            <w:pPr>
              <w:tabs>
                <w:tab w:val="left" w:pos="2493"/>
                <w:tab w:val="left" w:pos="3108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65F66DBA" w14:textId="77777777" w:rsidR="00F76884" w:rsidRPr="008C1BF4" w:rsidRDefault="00F76884" w:rsidP="00A828C8">
            <w:pPr>
              <w:tabs>
                <w:tab w:val="left" w:pos="2493"/>
                <w:tab w:val="left" w:pos="3108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8C1BF4">
              <w:rPr>
                <w:rFonts w:ascii="Times New Roman" w:hAnsi="Times New Roman"/>
                <w:b/>
              </w:rPr>
              <w:t xml:space="preserve">Źródło: </w:t>
            </w:r>
            <w:bookmarkStart w:id="1" w:name="Lista1"/>
          </w:p>
          <w:bookmarkEnd w:id="1" w:displacedByCustomXml="next"/>
          <w:sdt>
            <w:sdtPr>
              <w:rPr>
                <w:rFonts w:ascii="Times New Roman" w:hAnsi="Times New Roman"/>
              </w:rPr>
              <w:id w:val="-1451614635"/>
              <w:placeholder>
                <w:docPart w:val="DefaultPlaceholder_1082065159"/>
              </w:placeholder>
              <w:dropDownList>
                <w:listItem w:value="Wybierz element."/>
                <w:listItem w:displayText="Exposé PRM" w:value="Exposé PRM"/>
                <w:listItem w:displayText="Decyzja PRM/RM" w:value="Decyzja PRM/RM"/>
                <w:listItem w:displayText="Prawo UE" w:value="Prawo UE"/>
                <w:listItem w:displayText="Orzeczenie TK" w:value="Orzeczenie TK"/>
                <w:listItem w:displayText="Upoważnienie ustawowe" w:value="Upoważnienie ustawowe"/>
                <w:listItem w:displayText="Strategia" w:value="Strategia"/>
                <w:listItem w:displayText="Inne" w:value="Inne"/>
              </w:dropDownList>
            </w:sdtPr>
            <w:sdtEndPr/>
            <w:sdtContent>
              <w:p w14:paraId="39DC5D80" w14:textId="57B4BD56" w:rsidR="00F76884" w:rsidRPr="008C1BF4" w:rsidRDefault="00C25DB1" w:rsidP="00A828C8">
                <w:pPr>
                  <w:tabs>
                    <w:tab w:val="left" w:pos="2493"/>
                    <w:tab w:val="left" w:pos="3108"/>
                  </w:tabs>
                  <w:spacing w:line="240" w:lineRule="auto"/>
                  <w:rPr>
                    <w:rFonts w:ascii="Times New Roman" w:hAnsi="Times New Roman"/>
                  </w:rPr>
                </w:pPr>
                <w:r w:rsidRPr="008C1BF4">
                  <w:rPr>
                    <w:rFonts w:ascii="Times New Roman" w:hAnsi="Times New Roman"/>
                  </w:rPr>
                  <w:t>Upoważnienie ustawowe</w:t>
                </w:r>
              </w:p>
            </w:sdtContent>
          </w:sdt>
          <w:p w14:paraId="55FBC4AD" w14:textId="7FD9CF87" w:rsidR="00BA2BB7" w:rsidRPr="008C1BF4" w:rsidRDefault="00056CD4" w:rsidP="00A828C8">
            <w:pPr>
              <w:tabs>
                <w:tab w:val="left" w:pos="2493"/>
                <w:tab w:val="left" w:pos="3108"/>
              </w:tabs>
              <w:spacing w:line="240" w:lineRule="auto"/>
              <w:rPr>
                <w:rFonts w:ascii="Times New Roman" w:hAnsi="Times New Roman"/>
              </w:rPr>
            </w:pPr>
            <w:r w:rsidRPr="008C1BF4">
              <w:rPr>
                <w:rFonts w:ascii="Times New Roman" w:hAnsi="Times New Roman"/>
              </w:rPr>
              <w:t xml:space="preserve">art. </w:t>
            </w:r>
            <w:r w:rsidR="00A66A70" w:rsidRPr="001E6591">
              <w:rPr>
                <w:rFonts w:ascii="Times New Roman" w:hAnsi="Times New Roman"/>
              </w:rPr>
              <w:t>31d u</w:t>
            </w:r>
            <w:r w:rsidR="00A66A70" w:rsidRPr="008C1BF4" w:rsidDel="00A66A70">
              <w:rPr>
                <w:rFonts w:ascii="Times New Roman" w:hAnsi="Times New Roman"/>
              </w:rPr>
              <w:t xml:space="preserve"> </w:t>
            </w:r>
            <w:r w:rsidRPr="008C1BF4">
              <w:rPr>
                <w:rFonts w:ascii="Times New Roman" w:hAnsi="Times New Roman"/>
              </w:rPr>
              <w:t>ustawy z dnia 27 sierpnia 2004 r. o</w:t>
            </w:r>
            <w:r w:rsidR="00402353">
              <w:rPr>
                <w:rFonts w:ascii="Times New Roman" w:hAnsi="Times New Roman"/>
              </w:rPr>
              <w:t> </w:t>
            </w:r>
            <w:r w:rsidRPr="008C1BF4">
              <w:rPr>
                <w:rFonts w:ascii="Times New Roman" w:hAnsi="Times New Roman"/>
              </w:rPr>
              <w:t>świadczeniach opieki zdrowotnej finanso</w:t>
            </w:r>
            <w:bookmarkStart w:id="2" w:name="_GoBack"/>
            <w:bookmarkEnd w:id="2"/>
            <w:r w:rsidRPr="008C1BF4">
              <w:rPr>
                <w:rFonts w:ascii="Times New Roman" w:hAnsi="Times New Roman"/>
              </w:rPr>
              <w:t>wanych ze środków publicznych (</w:t>
            </w:r>
            <w:r w:rsidR="00ED0D62" w:rsidRPr="005A717C">
              <w:rPr>
                <w:rFonts w:ascii="Times New Roman" w:hAnsi="Times New Roman"/>
              </w:rPr>
              <w:t>Dz.</w:t>
            </w:r>
            <w:r w:rsidR="00402353">
              <w:rPr>
                <w:rFonts w:ascii="Times New Roman" w:hAnsi="Times New Roman"/>
              </w:rPr>
              <w:t> </w:t>
            </w:r>
            <w:r w:rsidR="00ED0D62" w:rsidRPr="005A717C">
              <w:rPr>
                <w:rFonts w:ascii="Times New Roman" w:hAnsi="Times New Roman"/>
              </w:rPr>
              <w:t>U. z 20</w:t>
            </w:r>
            <w:r w:rsidR="00402353">
              <w:rPr>
                <w:rFonts w:ascii="Times New Roman" w:hAnsi="Times New Roman"/>
              </w:rPr>
              <w:t>20</w:t>
            </w:r>
            <w:r w:rsidR="00ED0D62" w:rsidRPr="005A717C">
              <w:rPr>
                <w:rFonts w:ascii="Times New Roman" w:hAnsi="Times New Roman"/>
              </w:rPr>
              <w:t xml:space="preserve"> r. poz. </w:t>
            </w:r>
            <w:r w:rsidR="00402353">
              <w:rPr>
                <w:rFonts w:ascii="Times New Roman" w:hAnsi="Times New Roman"/>
              </w:rPr>
              <w:t>1398</w:t>
            </w:r>
            <w:r w:rsidR="00B87D71">
              <w:rPr>
                <w:rFonts w:ascii="Times New Roman" w:hAnsi="Times New Roman"/>
              </w:rPr>
              <w:t>, z późn. zm.</w:t>
            </w:r>
            <w:r w:rsidRPr="008C1BF4">
              <w:rPr>
                <w:rFonts w:ascii="Times New Roman" w:hAnsi="Times New Roman"/>
              </w:rPr>
              <w:t>)</w:t>
            </w:r>
          </w:p>
          <w:p w14:paraId="36B4FE22" w14:textId="77777777" w:rsidR="00F76884" w:rsidRPr="008C1BF4" w:rsidRDefault="00F76884" w:rsidP="00A828C8">
            <w:pPr>
              <w:tabs>
                <w:tab w:val="left" w:pos="2493"/>
                <w:tab w:val="left" w:pos="3108"/>
              </w:tabs>
              <w:spacing w:line="240" w:lineRule="auto"/>
              <w:rPr>
                <w:rFonts w:ascii="Times New Roman" w:hAnsi="Times New Roman"/>
              </w:rPr>
            </w:pPr>
          </w:p>
          <w:p w14:paraId="58863DA9" w14:textId="47BBEB1B" w:rsidR="006A701A" w:rsidRPr="008C1BF4" w:rsidRDefault="006A701A" w:rsidP="00A828C8">
            <w:pPr>
              <w:tabs>
                <w:tab w:val="left" w:pos="2493"/>
                <w:tab w:val="left" w:pos="3108"/>
              </w:tabs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8C1BF4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 w:rsidRPr="008C1BF4">
              <w:rPr>
                <w:rFonts w:ascii="Times New Roman" w:hAnsi="Times New Roman"/>
                <w:b/>
                <w:color w:val="000000"/>
              </w:rPr>
              <w:t>w</w:t>
            </w:r>
            <w:r w:rsidRPr="008C1BF4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 w:rsidRPr="008C1BF4">
              <w:rPr>
                <w:rFonts w:ascii="Times New Roman" w:hAnsi="Times New Roman"/>
                <w:b/>
                <w:color w:val="000000"/>
              </w:rPr>
              <w:t>ie</w:t>
            </w:r>
            <w:r w:rsidRPr="008C1BF4">
              <w:rPr>
                <w:rFonts w:ascii="Times New Roman" w:hAnsi="Times New Roman"/>
                <w:b/>
                <w:color w:val="000000"/>
              </w:rPr>
              <w:t xml:space="preserve"> prac </w:t>
            </w:r>
            <w:r w:rsidR="00D73487" w:rsidRPr="008C1BF4">
              <w:rPr>
                <w:rFonts w:ascii="Times New Roman" w:hAnsi="Times New Roman"/>
                <w:b/>
                <w:color w:val="000000"/>
              </w:rPr>
              <w:t>Ministra Zdrowia:</w:t>
            </w:r>
          </w:p>
          <w:p w14:paraId="42560A5D" w14:textId="07C6305C" w:rsidR="006A701A" w:rsidRPr="00A828C8" w:rsidRDefault="00250A22" w:rsidP="00A828C8">
            <w:pPr>
              <w:tabs>
                <w:tab w:val="left" w:pos="2493"/>
                <w:tab w:val="left" w:pos="3108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28C8">
              <w:rPr>
                <w:rFonts w:ascii="Times New Roman" w:hAnsi="Times New Roman"/>
                <w:b/>
                <w:bCs/>
                <w:color w:val="000000"/>
              </w:rPr>
              <w:t xml:space="preserve">MZ </w:t>
            </w:r>
            <w:r w:rsidR="00D03A4F" w:rsidRPr="00A828C8">
              <w:rPr>
                <w:rFonts w:ascii="Times New Roman" w:hAnsi="Times New Roman"/>
                <w:b/>
                <w:bCs/>
                <w:color w:val="000000"/>
              </w:rPr>
              <w:t>1087</w:t>
            </w:r>
          </w:p>
        </w:tc>
      </w:tr>
      <w:tr w:rsidR="006A701A" w:rsidRPr="008C1BF4" w14:paraId="2A590A8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01014FA4" w14:textId="77777777" w:rsidR="006A701A" w:rsidRPr="008C1BF4" w:rsidRDefault="006A701A" w:rsidP="00A828C8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8C1BF4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6A701A" w:rsidRPr="008C1BF4" w14:paraId="61424350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4F6204F" w14:textId="77777777" w:rsidR="006A701A" w:rsidRPr="008C1BF4" w:rsidRDefault="003D12F6" w:rsidP="00A828C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C1BF4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8C1BF4">
              <w:rPr>
                <w:rFonts w:ascii="Times New Roman" w:hAnsi="Times New Roman"/>
                <w:b/>
              </w:rPr>
              <w:t>rozwiązywany?</w:t>
            </w:r>
            <w:bookmarkStart w:id="3" w:name="Wybór1"/>
            <w:bookmarkEnd w:id="3"/>
          </w:p>
        </w:tc>
      </w:tr>
      <w:tr w:rsidR="006A701A" w:rsidRPr="008C1BF4" w14:paraId="7D501EC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68A93AD" w14:textId="69A3006B" w:rsidR="00704932" w:rsidRPr="006C7D85" w:rsidRDefault="00F23EF6" w:rsidP="00A828C8">
            <w:pPr>
              <w:pStyle w:val="USTustnpkodeksu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D85">
              <w:rPr>
                <w:rFonts w:ascii="Times New Roman" w:hAnsi="Times New Roman" w:cs="Times New Roman"/>
                <w:sz w:val="22"/>
                <w:szCs w:val="22"/>
              </w:rPr>
              <w:t xml:space="preserve">Zgodnie </w:t>
            </w:r>
            <w:r w:rsidR="00027075" w:rsidRPr="006C7D85">
              <w:rPr>
                <w:rFonts w:ascii="Times New Roman" w:hAnsi="Times New Roman" w:cs="Times New Roman"/>
                <w:sz w:val="22"/>
                <w:szCs w:val="22"/>
              </w:rPr>
              <w:t xml:space="preserve">ze </w:t>
            </w:r>
            <w:r w:rsidR="00A21B9A" w:rsidRPr="006C7D85">
              <w:rPr>
                <w:rFonts w:ascii="Times New Roman" w:hAnsi="Times New Roman" w:cs="Times New Roman"/>
                <w:sz w:val="22"/>
                <w:szCs w:val="22"/>
              </w:rPr>
              <w:t>składanymi</w:t>
            </w:r>
            <w:r w:rsidRPr="006C7D85">
              <w:rPr>
                <w:rFonts w:ascii="Times New Roman" w:hAnsi="Times New Roman" w:cs="Times New Roman"/>
                <w:sz w:val="22"/>
                <w:szCs w:val="22"/>
              </w:rPr>
              <w:t xml:space="preserve"> wnioskami przez świadczeniodawców, którzy dotychczas realizują </w:t>
            </w:r>
            <w:bookmarkStart w:id="4" w:name="_Hlk58316761"/>
            <w:r w:rsidRPr="006C7D85">
              <w:rPr>
                <w:rFonts w:ascii="Times New Roman" w:hAnsi="Times New Roman" w:cs="Times New Roman"/>
                <w:sz w:val="22"/>
                <w:szCs w:val="22"/>
              </w:rPr>
              <w:t>świadczenie gwarantowane</w:t>
            </w:r>
            <w:r w:rsidR="00A21B9A" w:rsidRPr="006C7D8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C7D8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45D9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6C7D85">
              <w:rPr>
                <w:rFonts w:ascii="Times New Roman" w:hAnsi="Times New Roman" w:cs="Times New Roman"/>
                <w:sz w:val="22"/>
                <w:szCs w:val="22"/>
              </w:rPr>
              <w:t>ndoprotezoplastyka stawu biodrowego lub kolanowego</w:t>
            </w:r>
            <w:bookmarkEnd w:id="4"/>
            <w:r w:rsidR="00A21B9A" w:rsidRPr="006C7D85">
              <w:rPr>
                <w:rFonts w:ascii="Times New Roman" w:hAnsi="Times New Roman" w:cs="Times New Roman"/>
                <w:sz w:val="22"/>
                <w:szCs w:val="22"/>
              </w:rPr>
              <w:t>, zachowanie w obecnie obowiązującym kształc</w:t>
            </w:r>
            <w:r w:rsidR="002234A3" w:rsidRPr="006C7D85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="00A21B9A" w:rsidRPr="006C7D85">
              <w:rPr>
                <w:rFonts w:ascii="Times New Roman" w:hAnsi="Times New Roman" w:cs="Times New Roman"/>
                <w:sz w:val="22"/>
                <w:szCs w:val="22"/>
              </w:rPr>
              <w:t xml:space="preserve"> warunku odnoszącego się do wymogu </w:t>
            </w:r>
            <w:r w:rsidR="00A21B9A" w:rsidRPr="004B610E">
              <w:rPr>
                <w:rFonts w:ascii="Times New Roman" w:hAnsi="Times New Roman" w:cs="Times New Roman"/>
                <w:sz w:val="22"/>
                <w:szCs w:val="22"/>
              </w:rPr>
              <w:t>udokumentowania wykonana liczby zabiegów</w:t>
            </w:r>
            <w:r w:rsidR="008C504F" w:rsidRPr="004B610E">
              <w:rPr>
                <w:rFonts w:ascii="Times New Roman" w:hAnsi="Times New Roman" w:cs="Times New Roman"/>
                <w:sz w:val="22"/>
                <w:szCs w:val="22"/>
              </w:rPr>
              <w:t xml:space="preserve"> pierwotnej endoprotezoplastyki</w:t>
            </w:r>
            <w:r w:rsidR="006C7D8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C504F" w:rsidRPr="004B610E">
              <w:rPr>
                <w:rFonts w:ascii="Times New Roman" w:hAnsi="Times New Roman" w:cs="Times New Roman"/>
                <w:sz w:val="22"/>
                <w:szCs w:val="22"/>
              </w:rPr>
              <w:t xml:space="preserve"> jak również </w:t>
            </w:r>
            <w:r w:rsidR="008C504F" w:rsidRPr="004B61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liczby operacji rewizyjnych po endoprotezoplastyce</w:t>
            </w:r>
            <w:r w:rsidR="00A21B9A" w:rsidRPr="006C7D85">
              <w:rPr>
                <w:rFonts w:ascii="Times New Roman" w:hAnsi="Times New Roman" w:cs="Times New Roman"/>
                <w:sz w:val="22"/>
                <w:szCs w:val="22"/>
              </w:rPr>
              <w:t xml:space="preserve">, z uwagi na </w:t>
            </w:r>
            <w:r w:rsidR="00A21B9A" w:rsidRPr="004B610E">
              <w:rPr>
                <w:rFonts w:ascii="Times New Roman" w:hAnsi="Times New Roman" w:cs="Times New Roman"/>
                <w:sz w:val="22"/>
                <w:szCs w:val="22"/>
              </w:rPr>
              <w:t xml:space="preserve">obecnie </w:t>
            </w:r>
            <w:r w:rsidRPr="004B610E">
              <w:rPr>
                <w:rFonts w:ascii="Times New Roman" w:hAnsi="Times New Roman" w:cs="Times New Roman"/>
                <w:sz w:val="22"/>
                <w:szCs w:val="22"/>
              </w:rPr>
              <w:t>trwająca sytuacj</w:t>
            </w:r>
            <w:r w:rsidR="00A21B9A" w:rsidRPr="004B610E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4B610E">
              <w:rPr>
                <w:rFonts w:ascii="Times New Roman" w:hAnsi="Times New Roman" w:cs="Times New Roman"/>
                <w:sz w:val="22"/>
                <w:szCs w:val="22"/>
              </w:rPr>
              <w:t xml:space="preserve"> epidemiologiczną w kraju</w:t>
            </w:r>
            <w:r w:rsidR="00F421D8" w:rsidRPr="004B610E">
              <w:rPr>
                <w:rFonts w:ascii="Times New Roman" w:hAnsi="Times New Roman" w:cs="Times New Roman"/>
                <w:sz w:val="22"/>
                <w:szCs w:val="22"/>
              </w:rPr>
              <w:t xml:space="preserve"> może spowodować, iż </w:t>
            </w:r>
            <w:r w:rsidR="00A21B9A" w:rsidRPr="004B610E">
              <w:rPr>
                <w:rFonts w:ascii="Times New Roman" w:hAnsi="Times New Roman" w:cs="Times New Roman"/>
                <w:sz w:val="22"/>
                <w:szCs w:val="22"/>
              </w:rPr>
              <w:t>znaczna liczb</w:t>
            </w:r>
            <w:r w:rsidR="002234A3" w:rsidRPr="004B610E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A21B9A" w:rsidRPr="004B610E">
              <w:rPr>
                <w:rFonts w:ascii="Times New Roman" w:hAnsi="Times New Roman" w:cs="Times New Roman"/>
                <w:sz w:val="22"/>
                <w:szCs w:val="22"/>
              </w:rPr>
              <w:t xml:space="preserve"> świadczeniodawców nie spełni tego warunku, co w</w:t>
            </w:r>
            <w:r w:rsidR="000057DC" w:rsidRPr="004B61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21B9A" w:rsidRPr="004B610E">
              <w:rPr>
                <w:rFonts w:ascii="Times New Roman" w:hAnsi="Times New Roman" w:cs="Times New Roman"/>
                <w:sz w:val="22"/>
                <w:szCs w:val="22"/>
              </w:rPr>
              <w:t>konsekwencji uniemożliwi tym świadczeniodawcom realizację przedmiotowych świadczeń w kolejnych latach, a</w:t>
            </w:r>
            <w:r w:rsidR="000057DC" w:rsidRPr="004B61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21B9A" w:rsidRPr="004B610E">
              <w:rPr>
                <w:rFonts w:ascii="Times New Roman" w:hAnsi="Times New Roman" w:cs="Times New Roman"/>
                <w:sz w:val="22"/>
                <w:szCs w:val="22"/>
              </w:rPr>
              <w:t>pacjentom utrudni dostęp do tego typu świadczeń.</w:t>
            </w:r>
          </w:p>
        </w:tc>
      </w:tr>
      <w:tr w:rsidR="006A701A" w:rsidRPr="008C1BF4" w14:paraId="39170BE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5B98459" w14:textId="77777777" w:rsidR="006A701A" w:rsidRPr="008C1BF4" w:rsidRDefault="0013216E" w:rsidP="00A828C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C1BF4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F226AD" w:rsidRPr="008C1BF4" w14:paraId="4F28DDE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38FFDA6A" w14:textId="34C2B683" w:rsidR="00C34C01" w:rsidRDefault="00F226AD" w:rsidP="00A828C8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07E51">
              <w:rPr>
                <w:rFonts w:ascii="Times New Roman" w:hAnsi="Times New Roman"/>
                <w:sz w:val="22"/>
                <w:szCs w:val="22"/>
              </w:rPr>
              <w:t xml:space="preserve">Określenie </w:t>
            </w:r>
            <w:r w:rsidR="005E671F" w:rsidRPr="00E07E51">
              <w:rPr>
                <w:rFonts w:ascii="Times New Roman" w:hAnsi="Times New Roman"/>
                <w:sz w:val="22"/>
                <w:szCs w:val="22"/>
              </w:rPr>
              <w:t>2</w:t>
            </w:r>
            <w:r w:rsidR="00545D9F">
              <w:rPr>
                <w:rFonts w:ascii="Times New Roman" w:hAnsi="Times New Roman"/>
                <w:sz w:val="22"/>
                <w:szCs w:val="22"/>
              </w:rPr>
              <w:t>-</w:t>
            </w:r>
            <w:r w:rsidR="005E671F" w:rsidRPr="00E07E51">
              <w:rPr>
                <w:rFonts w:ascii="Times New Roman" w:hAnsi="Times New Roman"/>
                <w:sz w:val="22"/>
                <w:szCs w:val="22"/>
              </w:rPr>
              <w:t>letniego czas obowiązywania przepisu epizodycznego</w:t>
            </w:r>
            <w:r w:rsidR="00545D9F">
              <w:rPr>
                <w:rFonts w:ascii="Times New Roman" w:hAnsi="Times New Roman"/>
                <w:sz w:val="22"/>
                <w:szCs w:val="22"/>
              </w:rPr>
              <w:t xml:space="preserve">, zgodnie z którym w </w:t>
            </w:r>
            <w:r w:rsidR="005E671F" w:rsidRPr="00E07E51">
              <w:rPr>
                <w:rFonts w:ascii="Times New Roman" w:hAnsi="Times New Roman"/>
                <w:sz w:val="22"/>
                <w:szCs w:val="22"/>
              </w:rPr>
              <w:t>okresie od dnia 1 stycznia 2021 r. do dnia 31 grudnia 2022 r. świadczeniodawca ubiegający się o zawarcie lub kontynuację umowy na realizację świadczeń gwarantowanych z zakresu leczenia szpitalnego</w:t>
            </w:r>
            <w:r w:rsidR="00C02234">
              <w:rPr>
                <w:rFonts w:ascii="Times New Roman" w:hAnsi="Times New Roman"/>
                <w:sz w:val="22"/>
                <w:szCs w:val="22"/>
              </w:rPr>
              <w:t>,</w:t>
            </w:r>
            <w:r w:rsidR="005E671F" w:rsidRPr="00E07E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5481" w:rsidRPr="00985481">
              <w:rPr>
                <w:rFonts w:ascii="Times New Roman" w:hAnsi="Times New Roman"/>
                <w:sz w:val="22"/>
                <w:szCs w:val="22"/>
              </w:rPr>
              <w:t xml:space="preserve">w odniesieniu do </w:t>
            </w:r>
            <w:r w:rsidR="005E671F" w:rsidRPr="00E07E51">
              <w:rPr>
                <w:rFonts w:ascii="Times New Roman" w:hAnsi="Times New Roman"/>
                <w:sz w:val="22"/>
                <w:szCs w:val="22"/>
              </w:rPr>
              <w:t>spełniania warunków określonych w pkt 1</w:t>
            </w:r>
            <w:r w:rsidR="00F5398D">
              <w:rPr>
                <w:rFonts w:ascii="Times New Roman" w:hAnsi="Times New Roman"/>
                <w:sz w:val="22"/>
                <w:szCs w:val="22"/>
              </w:rPr>
              <w:t>-</w:t>
            </w:r>
            <w:r w:rsidR="008842BF">
              <w:rPr>
                <w:rFonts w:ascii="Times New Roman" w:hAnsi="Times New Roman"/>
                <w:sz w:val="22"/>
                <w:szCs w:val="22"/>
              </w:rPr>
              <w:t>3</w:t>
            </w:r>
            <w:r w:rsidR="005E671F" w:rsidRPr="00E07E51">
              <w:rPr>
                <w:rFonts w:ascii="Times New Roman" w:hAnsi="Times New Roman"/>
                <w:sz w:val="22"/>
                <w:szCs w:val="22"/>
              </w:rPr>
              <w:t xml:space="preserve"> w</w:t>
            </w:r>
            <w:r w:rsidR="000057DC">
              <w:rPr>
                <w:rFonts w:ascii="Times New Roman" w:hAnsi="Times New Roman"/>
                <w:sz w:val="22"/>
                <w:szCs w:val="22"/>
              </w:rPr>
              <w:t> </w:t>
            </w:r>
            <w:r w:rsidR="005E671F" w:rsidRPr="00E07E51">
              <w:rPr>
                <w:rFonts w:ascii="Times New Roman" w:hAnsi="Times New Roman"/>
                <w:sz w:val="22"/>
                <w:szCs w:val="22"/>
              </w:rPr>
              <w:t xml:space="preserve">załączniku nr 4 „Wykaz świadczeń gwarantowanych z zakresu leczenia szpitalnego, które są udzielane po spełnieniu dodatkowych warunków ich realizacji, oraz dodatkowe warunki realizacji tych świadczeń” w </w:t>
            </w:r>
            <w:r w:rsidR="00AA39BA">
              <w:rPr>
                <w:rFonts w:ascii="Times New Roman" w:hAnsi="Times New Roman"/>
                <w:sz w:val="22"/>
                <w:szCs w:val="22"/>
              </w:rPr>
              <w:t>l</w:t>
            </w:r>
            <w:r w:rsidR="005E671F" w:rsidRPr="00E07E51">
              <w:rPr>
                <w:rFonts w:ascii="Times New Roman" w:hAnsi="Times New Roman"/>
                <w:sz w:val="22"/>
                <w:szCs w:val="22"/>
              </w:rPr>
              <w:t>p. 32 „Endoprotezoplastyka stawu biodrowego lub kolanowego”</w:t>
            </w:r>
            <w:r w:rsidR="00A828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71F" w:rsidRPr="00E07E51">
              <w:rPr>
                <w:rFonts w:ascii="Times New Roman" w:hAnsi="Times New Roman"/>
                <w:sz w:val="22"/>
                <w:szCs w:val="22"/>
              </w:rPr>
              <w:t>w kolumnie „Dodatkowe warunki realizacji świadczeń</w:t>
            </w:r>
            <w:bookmarkStart w:id="5" w:name="_Hlk57730011"/>
            <w:r w:rsidR="005E671F" w:rsidRPr="00E07E51">
              <w:rPr>
                <w:rFonts w:ascii="Times New Roman" w:hAnsi="Times New Roman"/>
                <w:sz w:val="22"/>
                <w:szCs w:val="22"/>
              </w:rPr>
              <w:t>”</w:t>
            </w:r>
            <w:bookmarkEnd w:id="5"/>
            <w:r w:rsidR="005E671F" w:rsidRPr="00E07E51">
              <w:rPr>
                <w:rFonts w:ascii="Times New Roman" w:hAnsi="Times New Roman"/>
                <w:sz w:val="22"/>
                <w:szCs w:val="22"/>
              </w:rPr>
              <w:t xml:space="preserve"> w części „Pozostałe wymagania” jest obowiązany</w:t>
            </w:r>
            <w:r w:rsidR="00545D9F" w:rsidRPr="00C34C01">
              <w:rPr>
                <w:rFonts w:ascii="Times New Roman" w:hAnsi="Times New Roman"/>
                <w:sz w:val="22"/>
                <w:szCs w:val="22"/>
              </w:rPr>
              <w:t xml:space="preserve"> w przypadku realizacji</w:t>
            </w:r>
            <w:r w:rsidR="00C34C01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41F543C" w14:textId="4B56DC2A" w:rsidR="00C34C01" w:rsidRDefault="00C34C01" w:rsidP="00A828C8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1) </w:t>
            </w:r>
            <w:r w:rsidRPr="00C34C01">
              <w:rPr>
                <w:rFonts w:ascii="Times New Roman" w:hAnsi="Times New Roman"/>
                <w:sz w:val="22"/>
                <w:szCs w:val="22"/>
              </w:rPr>
              <w:t xml:space="preserve">pierwotnej endoprotezoplastyki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stawu biodrowego lub kolanowego </w:t>
            </w:r>
            <w:r w:rsidRPr="00C34C01">
              <w:rPr>
                <w:rFonts w:ascii="Times New Roman" w:hAnsi="Times New Roman"/>
                <w:sz w:val="22"/>
                <w:szCs w:val="22"/>
              </w:rPr>
              <w:t>udokumentować wykonanie w ciągu ostatnich dwóch lat, poprzedzających ubieganie się o zawarcie lub kontynuację umowy na realizację świadczeń gwarantowanych z zakresu leczenia szpitalnego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minimalnej </w:t>
            </w:r>
            <w:r w:rsidRPr="00C34C01">
              <w:rPr>
                <w:rFonts w:ascii="Times New Roman" w:hAnsi="Times New Roman"/>
                <w:sz w:val="22"/>
                <w:szCs w:val="22"/>
              </w:rPr>
              <w:t>liczby zabiegów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57E0DCC" w14:textId="5C660B2B" w:rsidR="006C7D85" w:rsidRPr="007C63A5" w:rsidRDefault="00C34C01" w:rsidP="00F5398D">
            <w:pPr>
              <w:pStyle w:val="ARTartustawynprozporzdzenia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2) </w:t>
            </w:r>
            <w:r w:rsidRPr="00C34C01">
              <w:rPr>
                <w:rFonts w:ascii="Times New Roman" w:hAnsi="Times New Roman"/>
                <w:sz w:val="22"/>
                <w:szCs w:val="22"/>
              </w:rPr>
              <w:t>operacji rewizyjnych po endoprotezoplastyce stawu biodrowego lub kolanowego wymagających częściowej lub całkowitej wymiany endoprotezy również z koniecznością odtworzenia łożyska kostnego - udokumento</w:t>
            </w:r>
            <w:r>
              <w:rPr>
                <w:rFonts w:ascii="Times New Roman" w:hAnsi="Times New Roman"/>
                <w:sz w:val="22"/>
                <w:szCs w:val="22"/>
              </w:rPr>
              <w:t>wać</w:t>
            </w:r>
            <w:r w:rsidRPr="00C34C01">
              <w:rPr>
                <w:rFonts w:ascii="Times New Roman" w:hAnsi="Times New Roman"/>
                <w:sz w:val="22"/>
                <w:szCs w:val="22"/>
              </w:rPr>
              <w:t xml:space="preserve"> wykona</w:t>
            </w:r>
            <w:r>
              <w:rPr>
                <w:rFonts w:ascii="Times New Roman" w:hAnsi="Times New Roman"/>
                <w:sz w:val="22"/>
                <w:szCs w:val="22"/>
              </w:rPr>
              <w:t>nie</w:t>
            </w:r>
            <w:r w:rsidRPr="00C34C01">
              <w:rPr>
                <w:rFonts w:ascii="Times New Roman" w:hAnsi="Times New Roman"/>
                <w:sz w:val="22"/>
                <w:szCs w:val="22"/>
              </w:rPr>
              <w:t xml:space="preserve"> w okresie 4 lat, poprzedzających ubieganie się o zawarcie lub kontynuację umowy na realizację świadczeń gwarantowanych z zakresu leczenia szpitalnego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minimalnej </w:t>
            </w:r>
            <w:r w:rsidRPr="00C34C01">
              <w:rPr>
                <w:rFonts w:ascii="Times New Roman" w:hAnsi="Times New Roman"/>
                <w:sz w:val="22"/>
                <w:szCs w:val="22"/>
              </w:rPr>
              <w:t>liczby zabiegów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1121E80" w14:textId="050663CB" w:rsidR="00655BB4" w:rsidRPr="008C1BF4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3438D8">
              <w:rPr>
                <w:rFonts w:ascii="Times New Roman" w:hAnsi="Times New Roman"/>
              </w:rPr>
              <w:t>Zmiana</w:t>
            </w:r>
            <w:r w:rsidR="00655BB4">
              <w:rPr>
                <w:rFonts w:ascii="Times New Roman" w:hAnsi="Times New Roman"/>
              </w:rPr>
              <w:t xml:space="preserve"> pozwoli</w:t>
            </w:r>
            <w:r w:rsidR="003438D8">
              <w:rPr>
                <w:rFonts w:ascii="Times New Roman" w:hAnsi="Times New Roman"/>
              </w:rPr>
              <w:t xml:space="preserve"> świadczeniodawcom</w:t>
            </w:r>
            <w:r w:rsidR="00655BB4">
              <w:rPr>
                <w:rFonts w:ascii="Times New Roman" w:hAnsi="Times New Roman"/>
              </w:rPr>
              <w:t xml:space="preserve"> </w:t>
            </w:r>
            <w:r w:rsidR="003438D8">
              <w:rPr>
                <w:rFonts w:ascii="Times New Roman" w:hAnsi="Times New Roman"/>
              </w:rPr>
              <w:t xml:space="preserve">kontynuować </w:t>
            </w:r>
            <w:r w:rsidR="00655BB4">
              <w:rPr>
                <w:rFonts w:ascii="Times New Roman" w:hAnsi="Times New Roman"/>
              </w:rPr>
              <w:t>realizacj</w:t>
            </w:r>
            <w:r w:rsidR="003438D8">
              <w:rPr>
                <w:rFonts w:ascii="Times New Roman" w:hAnsi="Times New Roman"/>
              </w:rPr>
              <w:t>ę świadczenia</w:t>
            </w:r>
            <w:r w:rsidR="00F421D8">
              <w:rPr>
                <w:rFonts w:ascii="Times New Roman" w:hAnsi="Times New Roman"/>
              </w:rPr>
              <w:t xml:space="preserve"> gwarantowanego:</w:t>
            </w:r>
            <w:r w:rsidR="003438D8">
              <w:rPr>
                <w:rFonts w:ascii="Times New Roman" w:hAnsi="Times New Roman"/>
              </w:rPr>
              <w:t xml:space="preserve"> </w:t>
            </w:r>
            <w:r w:rsidR="00655BB4" w:rsidRPr="00A865CF">
              <w:rPr>
                <w:rFonts w:ascii="Times New Roman" w:hAnsi="Times New Roman"/>
              </w:rPr>
              <w:t>Endoprotezoplastyka stawu biodrowego lub kolanowego</w:t>
            </w:r>
            <w:r w:rsidR="00655BB4">
              <w:rPr>
                <w:rFonts w:ascii="Times New Roman" w:hAnsi="Times New Roman"/>
              </w:rPr>
              <w:t>, oraz</w:t>
            </w:r>
            <w:r w:rsidR="00402A8D">
              <w:rPr>
                <w:rFonts w:ascii="Times New Roman" w:hAnsi="Times New Roman"/>
              </w:rPr>
              <w:t xml:space="preserve"> zachować </w:t>
            </w:r>
            <w:r w:rsidR="002234A3">
              <w:rPr>
                <w:rFonts w:ascii="Times New Roman" w:hAnsi="Times New Roman"/>
              </w:rPr>
              <w:t xml:space="preserve">świadczeniobiorcom </w:t>
            </w:r>
            <w:r w:rsidR="00402A8D">
              <w:rPr>
                <w:rFonts w:ascii="Times New Roman" w:hAnsi="Times New Roman"/>
              </w:rPr>
              <w:t>dotychczasow</w:t>
            </w:r>
            <w:r w:rsidR="002234A3">
              <w:rPr>
                <w:rFonts w:ascii="Times New Roman" w:hAnsi="Times New Roman"/>
              </w:rPr>
              <w:t>ą</w:t>
            </w:r>
            <w:r w:rsidR="00402A8D">
              <w:rPr>
                <w:rFonts w:ascii="Times New Roman" w:hAnsi="Times New Roman"/>
              </w:rPr>
              <w:t xml:space="preserve"> dostępność do </w:t>
            </w:r>
            <w:r w:rsidRPr="003438D8">
              <w:rPr>
                <w:rFonts w:ascii="Times New Roman" w:hAnsi="Times New Roman"/>
              </w:rPr>
              <w:t>przedmiotowych świadczeń.</w:t>
            </w:r>
          </w:p>
        </w:tc>
      </w:tr>
      <w:tr w:rsidR="00F226AD" w:rsidRPr="008C1BF4" w14:paraId="649A5420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DD6CD99" w14:textId="77777777" w:rsidR="00F226AD" w:rsidRPr="008C1BF4" w:rsidRDefault="00F226AD" w:rsidP="00A828C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C1BF4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Pr="008C1BF4">
              <w:rPr>
                <w:rFonts w:ascii="Times New Roman" w:hAnsi="Times New Roman"/>
                <w:b/>
                <w:color w:val="000000"/>
              </w:rPr>
              <w:t>?</w:t>
            </w:r>
            <w:r w:rsidRPr="008C1BF4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F226AD" w:rsidRPr="008C1BF4" w14:paraId="5E75013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6B31541E" w14:textId="2CFFB708" w:rsidR="003438D8" w:rsidRPr="005A717C" w:rsidRDefault="003438D8" w:rsidP="00A828C8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Rozwiązania przyjęte w innych krajach pozostają bez wpływu na projektowane rozporządzenie.</w:t>
            </w:r>
          </w:p>
        </w:tc>
      </w:tr>
      <w:tr w:rsidR="00F226AD" w:rsidRPr="008C1BF4" w14:paraId="708996C3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9BCF180" w14:textId="77777777" w:rsidR="00F226AD" w:rsidRPr="008C1BF4" w:rsidRDefault="00F226AD" w:rsidP="00A828C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C1BF4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F226AD" w:rsidRPr="008C1BF4" w14:paraId="116C620D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696999D1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33EE52F" w14:textId="77777777" w:rsidR="00F226AD" w:rsidRPr="003D0418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5A717C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EEAF205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C1BF4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4653A1A0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F226AD" w:rsidRPr="008C1BF4" w14:paraId="63FDC395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05FA47EB" w14:textId="7733CDB6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color w:val="000000"/>
                <w:spacing w:val="-2"/>
              </w:rPr>
              <w:t xml:space="preserve">Świadczeniobiorcy 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0C1836A9" w14:textId="0078EE06" w:rsidR="00F226AD" w:rsidRPr="003D0418" w:rsidRDefault="006F165F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ok 90</w:t>
            </w:r>
            <w:r w:rsidR="002B3ECC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tyś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17F5997C" w14:textId="02745E57" w:rsidR="00F226AD" w:rsidRPr="008C1BF4" w:rsidRDefault="006F165F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Narodowy Fundusz Zdrowia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440DE457" w14:textId="4F2830DD" w:rsidR="00F226AD" w:rsidRPr="008C1BF4" w:rsidRDefault="006F165F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Zachowanie dostępności do świadczeń opieki zdrowotnej. </w:t>
            </w:r>
          </w:p>
        </w:tc>
      </w:tr>
      <w:tr w:rsidR="00F226AD" w:rsidRPr="008C1BF4" w14:paraId="27356948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CA770E2" w14:textId="00DA8E0F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color w:val="000000"/>
                <w:spacing w:val="-2"/>
              </w:rPr>
              <w:t>Świadczeniodawcy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EA26732" w14:textId="1A18F01E" w:rsidR="00F226AD" w:rsidRPr="008C1BF4" w:rsidRDefault="00402A8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Ok </w:t>
            </w:r>
            <w:r w:rsidR="006F165F">
              <w:rPr>
                <w:rFonts w:ascii="Times New Roman" w:hAnsi="Times New Roman"/>
                <w:color w:val="000000"/>
                <w:spacing w:val="-2"/>
              </w:rPr>
              <w:t>2</w:t>
            </w:r>
            <w:r>
              <w:rPr>
                <w:rFonts w:ascii="Times New Roman" w:hAnsi="Times New Roman"/>
                <w:color w:val="000000"/>
                <w:spacing w:val="-2"/>
              </w:rPr>
              <w:t>70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575D9B84" w14:textId="777C36CE" w:rsidR="00F226AD" w:rsidRPr="008C1BF4" w:rsidRDefault="006F165F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Narodowy Fundusz Zdrowia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3D23F331" w14:textId="57E3D9D0" w:rsidR="00F226AD" w:rsidRPr="008C1BF4" w:rsidRDefault="006F165F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Możliwość kontynuacji umów zawartych z Narodowym Funduszem Zdrowia.</w:t>
            </w:r>
          </w:p>
        </w:tc>
      </w:tr>
      <w:tr w:rsidR="00F226AD" w:rsidRPr="008C1BF4" w14:paraId="1C198C17" w14:textId="5D708B65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0B1DEA90" w14:textId="7FAACC83" w:rsidR="00F226AD" w:rsidRPr="005A717C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color w:val="000000"/>
                <w:spacing w:val="-2"/>
              </w:rPr>
              <w:t>Narodowy Fundusz Zdrowia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5BC4991" w14:textId="55ADBCFF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73B9CA87" w14:textId="76312919" w:rsidR="00F226AD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color w:val="000000"/>
                <w:spacing w:val="-2"/>
              </w:rPr>
              <w:t>Ustawa</w:t>
            </w:r>
            <w:r w:rsidRPr="001E6591">
              <w:rPr>
                <w:rFonts w:ascii="Times New Roman" w:hAnsi="Times New Roman"/>
              </w:rPr>
              <w:t xml:space="preserve"> </w:t>
            </w:r>
            <w:r w:rsidRPr="008C1BF4">
              <w:rPr>
                <w:rFonts w:ascii="Times New Roman" w:hAnsi="Times New Roman"/>
                <w:color w:val="000000"/>
                <w:spacing w:val="-2"/>
              </w:rPr>
              <w:t xml:space="preserve">z dnia 27 sierpnia </w:t>
            </w:r>
            <w:r w:rsidRPr="008C1BF4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5A717C">
              <w:rPr>
                <w:rFonts w:ascii="Times New Roman" w:hAnsi="Times New Roman"/>
                <w:color w:val="000000"/>
                <w:spacing w:val="-2"/>
              </w:rPr>
              <w:t>2004 r. o świadczeniach opieki zdrowotnej finansowanych ze środków publicznych</w:t>
            </w:r>
          </w:p>
          <w:p w14:paraId="735EFC71" w14:textId="57029B9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81" w:type="dxa"/>
            <w:gridSpan w:val="6"/>
            <w:shd w:val="clear" w:color="auto" w:fill="auto"/>
          </w:tcPr>
          <w:p w14:paraId="1E0760CE" w14:textId="3D8A87BF" w:rsidR="00F226AD" w:rsidRPr="008C1BF4" w:rsidRDefault="006F165F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Kontynuacja zawartych umów ze świadczeniodawcami realizującymi świadczenie gwarantowane: </w:t>
            </w:r>
            <w:r w:rsidRPr="00804D93">
              <w:rPr>
                <w:rFonts w:ascii="Times New Roman" w:hAnsi="Times New Roman"/>
              </w:rPr>
              <w:t>Endoprotezoplastyka stawu biodrowego lub kolanowego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226AD" w:rsidRPr="008C1BF4" w14:paraId="0915C1AC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9450D23" w14:textId="77777777" w:rsidR="00F226AD" w:rsidRPr="008C1BF4" w:rsidRDefault="00F226AD" w:rsidP="00A828C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C1BF4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F226AD" w:rsidRPr="008C1BF4" w14:paraId="061C2D0F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755B0084" w14:textId="77777777" w:rsidR="00F226AD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Projekt rozporządzenia </w:t>
            </w:r>
            <w:r w:rsidRPr="00475FFE">
              <w:rPr>
                <w:rFonts w:ascii="Times New Roman" w:hAnsi="Times New Roman"/>
                <w:spacing w:val="-2"/>
              </w:rPr>
              <w:t>nie był przedmiotem pre-konsultacji.</w:t>
            </w:r>
            <w:r>
              <w:rPr>
                <w:rFonts w:ascii="Times New Roman" w:hAnsi="Times New Roman"/>
                <w:spacing w:val="-2"/>
              </w:rPr>
              <w:t xml:space="preserve">  </w:t>
            </w:r>
          </w:p>
          <w:p w14:paraId="24E831D5" w14:textId="0C473C3B" w:rsidR="00F226AD" w:rsidRPr="00B37C80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02043">
              <w:rPr>
                <w:rFonts w:ascii="Times New Roman" w:hAnsi="Times New Roman"/>
                <w:color w:val="000000"/>
                <w:spacing w:val="-2"/>
              </w:rPr>
              <w:lastRenderedPageBreak/>
              <w:t>Projekt rozporządzenia zosta</w:t>
            </w:r>
            <w:r w:rsidR="0086053F">
              <w:rPr>
                <w:rFonts w:ascii="Times New Roman" w:hAnsi="Times New Roman"/>
                <w:color w:val="000000"/>
                <w:spacing w:val="-2"/>
              </w:rPr>
              <w:t xml:space="preserve">ł </w:t>
            </w:r>
            <w:r w:rsidRPr="00402043">
              <w:rPr>
                <w:rFonts w:ascii="Times New Roman" w:hAnsi="Times New Roman"/>
                <w:color w:val="000000"/>
                <w:spacing w:val="-2"/>
              </w:rPr>
              <w:t xml:space="preserve">przekazany do konsultacji publicznych z </w:t>
            </w:r>
            <w:r w:rsidR="00F82786" w:rsidRPr="00402043">
              <w:rPr>
                <w:rFonts w:ascii="Times New Roman" w:hAnsi="Times New Roman"/>
                <w:color w:val="000000"/>
                <w:spacing w:val="-2"/>
              </w:rPr>
              <w:t>5</w:t>
            </w:r>
            <w:r w:rsidRPr="00402043">
              <w:rPr>
                <w:rFonts w:ascii="Times New Roman" w:hAnsi="Times New Roman"/>
                <w:color w:val="000000"/>
                <w:spacing w:val="-2"/>
              </w:rPr>
              <w:t>-dniowym terminem na zgłaszanie uwag. Skrócenie terminu konsultacji podyktowane</w:t>
            </w:r>
            <w:r w:rsidR="00402043">
              <w:rPr>
                <w:rFonts w:ascii="Times New Roman" w:hAnsi="Times New Roman"/>
                <w:color w:val="000000"/>
                <w:spacing w:val="-2"/>
              </w:rPr>
              <w:t xml:space="preserve"> jest</w:t>
            </w:r>
            <w:r w:rsidR="00402043" w:rsidRPr="00402043">
              <w:rPr>
                <w:rFonts w:ascii="Times New Roman" w:hAnsi="Times New Roman"/>
              </w:rPr>
              <w:t xml:space="preserve"> faktem, iż każdy dzień opóźnienia wejścia w życie przedmiotowych przepisów, może skutkować ograniczeniem dostępności do świadczeń opieki zdrowotnej</w:t>
            </w:r>
            <w:r w:rsidR="00A02AD3">
              <w:rPr>
                <w:rFonts w:ascii="Times New Roman" w:hAnsi="Times New Roman"/>
              </w:rPr>
              <w:t xml:space="preserve"> od 2021 r</w:t>
            </w:r>
            <w:r w:rsidR="00402043" w:rsidRPr="00402043">
              <w:rPr>
                <w:rFonts w:ascii="Times New Roman" w:hAnsi="Times New Roman"/>
              </w:rPr>
              <w:t>.</w:t>
            </w:r>
          </w:p>
          <w:p w14:paraId="7ACC7F8F" w14:textId="1B6CF2C8" w:rsidR="00F226AD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032A">
              <w:rPr>
                <w:rFonts w:ascii="Times New Roman" w:hAnsi="Times New Roman"/>
                <w:color w:val="000000"/>
                <w:shd w:val="clear" w:color="auto" w:fill="FFFFFF"/>
              </w:rPr>
              <w:t>W ramach konsultacji publicznych i opiniowania projekt zosta</w:t>
            </w:r>
            <w:r w:rsidR="0086053F">
              <w:rPr>
                <w:rFonts w:ascii="Times New Roman" w:hAnsi="Times New Roman"/>
                <w:color w:val="000000"/>
                <w:shd w:val="clear" w:color="auto" w:fill="FFFFFF"/>
              </w:rPr>
              <w:t>ł</w:t>
            </w:r>
            <w:r w:rsidRPr="0010032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przesłany do zaopiniowania przez następujące podmioty: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14:paraId="12468039" w14:textId="2456ACEF" w:rsidR="00F226AD" w:rsidRPr="0059708D" w:rsidRDefault="00A828C8" w:rsidP="00A828C8">
            <w:pPr>
              <w:pStyle w:val="Akapitzlist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k</w:t>
            </w:r>
            <w:r w:rsidRPr="0059708D">
              <w:rPr>
                <w:rFonts w:ascii="Times New Roman" w:hAnsi="Times New Roman"/>
                <w:color w:val="000000"/>
                <w:shd w:val="clear" w:color="auto" w:fill="FFFFFF"/>
              </w:rPr>
              <w:t>onsulta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ntów </w:t>
            </w:r>
            <w:r w:rsidR="00F226AD" w:rsidRPr="0059708D">
              <w:rPr>
                <w:rFonts w:ascii="Times New Roman" w:hAnsi="Times New Roman"/>
                <w:color w:val="000000"/>
                <w:shd w:val="clear" w:color="auto" w:fill="FFFFFF"/>
              </w:rPr>
              <w:t>krajo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wych </w:t>
            </w:r>
            <w:r w:rsidR="00F226AD" w:rsidRPr="0059708D">
              <w:rPr>
                <w:rFonts w:ascii="Times New Roman" w:hAnsi="Times New Roman"/>
                <w:color w:val="000000"/>
                <w:shd w:val="clear" w:color="auto" w:fill="FFFFFF"/>
              </w:rPr>
              <w:t>w wybranych dziedzinach medycyny (</w:t>
            </w:r>
            <w:r w:rsidR="00F226AD" w:rsidRPr="0059708D">
              <w:rPr>
                <w:rFonts w:ascii="Times New Roman" w:hAnsi="Times New Roman"/>
                <w:color w:val="000000"/>
                <w:spacing w:val="-2"/>
              </w:rPr>
              <w:t>Konsultant Krajowy w dziedzinie pielęgniarstwa</w:t>
            </w:r>
            <w:r w:rsidR="00F226AD" w:rsidRPr="0059708D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="00402A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F226AD" w:rsidRPr="0059708D">
              <w:rPr>
                <w:rFonts w:ascii="Times New Roman" w:hAnsi="Times New Roman"/>
                <w:color w:val="000000"/>
                <w:spacing w:val="-2"/>
              </w:rPr>
              <w:t>Konsultant Krajowy w dziedzinie pielęgniarstwa chirurgicznego i operacyjnego</w:t>
            </w:r>
            <w:r w:rsidR="00F226AD" w:rsidRPr="005970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="00F226AD" w:rsidRPr="0059708D">
              <w:rPr>
                <w:rFonts w:ascii="Times New Roman" w:hAnsi="Times New Roman"/>
                <w:color w:val="000000"/>
                <w:spacing w:val="-2"/>
              </w:rPr>
              <w:t xml:space="preserve">Konsultant Krajowy w </w:t>
            </w:r>
            <w:r w:rsidR="00F421D8" w:rsidRPr="00F421D8">
              <w:rPr>
                <w:rFonts w:ascii="Times New Roman" w:hAnsi="Times New Roman"/>
                <w:color w:val="000000"/>
                <w:spacing w:val="-2"/>
              </w:rPr>
              <w:t>dziedzinie ortopedii i traumatologii narządu ruchu</w:t>
            </w:r>
            <w:r w:rsidR="00F226AD" w:rsidRPr="005970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="00F226AD" w:rsidRPr="0059708D">
              <w:rPr>
                <w:rFonts w:ascii="Times New Roman" w:hAnsi="Times New Roman"/>
                <w:color w:val="000000"/>
                <w:spacing w:val="-2"/>
              </w:rPr>
              <w:t>Konsultant Krajowy w dziedzinie anestezjologii i intensywnej terapii</w:t>
            </w:r>
            <w:r w:rsidR="005C1D29">
              <w:rPr>
                <w:rFonts w:ascii="Times New Roman" w:hAnsi="Times New Roman"/>
                <w:color w:val="000000"/>
                <w:spacing w:val="-2"/>
              </w:rPr>
              <w:t>;</w:t>
            </w:r>
            <w:r w:rsidR="00F226AD" w:rsidRPr="0059708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35B1B425" w14:textId="793F34BA" w:rsidR="00F226AD" w:rsidRDefault="00F226AD" w:rsidP="00A828C8">
            <w:pPr>
              <w:pStyle w:val="Akapitzlist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bookmarkStart w:id="6" w:name="_Hlk47292491"/>
            <w:bookmarkStart w:id="7" w:name="_Hlk47292100"/>
            <w:r w:rsidRPr="0059708D">
              <w:rPr>
                <w:rFonts w:ascii="Times New Roman" w:hAnsi="Times New Roman"/>
                <w:color w:val="000000"/>
                <w:shd w:val="clear" w:color="auto" w:fill="FFFFFF"/>
              </w:rPr>
              <w:t>samorządy</w:t>
            </w:r>
            <w:r w:rsidRPr="00C07C1E">
              <w:rPr>
                <w:rFonts w:ascii="Times New Roman" w:hAnsi="Times New Roman"/>
                <w:color w:val="000000"/>
                <w:spacing w:val="-2"/>
              </w:rPr>
              <w:t xml:space="preserve"> zawodowe (Naczelna Izba Lekarska, Naczeln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a Izba Aptekarska, Krajowa Izba Diagnostów Laboratoryjnych, </w:t>
            </w:r>
            <w:r w:rsidRPr="00D0738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Naczelna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Izba</w:t>
            </w:r>
            <w:r w:rsidRPr="00D0738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Pielęgniarek i Położnych,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Krajowa Izba Fizjoterapeutów</w:t>
            </w:r>
            <w:r w:rsidRPr="00D07385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14:paraId="7D58B413" w14:textId="7DE70B2B" w:rsidR="00F226AD" w:rsidRDefault="00F226AD" w:rsidP="00A828C8">
            <w:pPr>
              <w:pStyle w:val="Akapitzlist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związki zawodowe</w:t>
            </w:r>
            <w:r w:rsidRPr="00D0738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oraz stowarzyszenia reprezentując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e</w:t>
            </w:r>
            <w:r w:rsidRPr="00D0738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zawody medyczne (Ogólnopolskie Porozumienie Związków Zawodowych, Ogólnopolski Związek Zawodowy Lekarzy, </w:t>
            </w:r>
            <w:r w:rsidRPr="007F458D">
              <w:rPr>
                <w:rFonts w:ascii="Times New Roman" w:hAnsi="Times New Roman"/>
                <w:bCs/>
                <w:color w:val="000000"/>
                <w:spacing w:val="-2"/>
              </w:rPr>
              <w:t>Biuro Komisji Krajowej NSZZ „Solidarność”,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 Krajowy Sekretariat Ochrony Zdrowia NSZZ „Solidarność 80”, </w:t>
            </w:r>
            <w:r w:rsidRPr="007F458D">
              <w:rPr>
                <w:rFonts w:ascii="Times New Roman" w:hAnsi="Times New Roman"/>
                <w:bCs/>
                <w:color w:val="000000"/>
                <w:spacing w:val="-2"/>
              </w:rPr>
              <w:t xml:space="preserve"> </w:t>
            </w:r>
            <w:r w:rsidRPr="00D07385">
              <w:rPr>
                <w:rFonts w:ascii="Times New Roman" w:hAnsi="Times New Roman"/>
                <w:color w:val="000000"/>
                <w:shd w:val="clear" w:color="auto" w:fill="FFFFFF"/>
              </w:rPr>
              <w:t>Ogólnopolski Związek Zawodowy Pielęgniarek i Położnych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 Ogólnopolski Związek Zawodowy Położnych</w:t>
            </w:r>
            <w:r w:rsidRPr="00D07385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14:paraId="4F01256D" w14:textId="631B3C27" w:rsidR="00F226AD" w:rsidRDefault="00F226AD" w:rsidP="00A828C8">
            <w:pPr>
              <w:pStyle w:val="Akapitzlist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stowarzyszenia</w:t>
            </w:r>
            <w:r w:rsidRPr="00D0738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w ochronie zdrowia, w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tym z tymi działające</w:t>
            </w:r>
            <w:r w:rsidRPr="00D0738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na rzecz pacjentów (Stowarzyszenie Primum Non Nocere,  </w:t>
            </w:r>
            <w:r w:rsidRPr="00152F46">
              <w:rPr>
                <w:rFonts w:ascii="Times New Roman" w:hAnsi="Times New Roman"/>
                <w:color w:val="000000"/>
                <w:shd w:val="clear" w:color="auto" w:fill="FFFFFF"/>
              </w:rPr>
              <w:t>Federacja Pacjentów Polskich, Instytut Praw Pacjenta i Edukacji Zdrowotnej, Obywatelskie Stowarzyszenie – Dla Dobra Pacjenta)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14:paraId="1792DBE9" w14:textId="344735D8" w:rsidR="00F226AD" w:rsidRPr="00152F46" w:rsidRDefault="00F226AD" w:rsidP="00A828C8">
            <w:pPr>
              <w:pStyle w:val="Akapitzlist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9708D">
              <w:rPr>
                <w:rFonts w:ascii="Times New Roman" w:hAnsi="Times New Roman"/>
                <w:color w:val="000000"/>
                <w:shd w:val="clear" w:color="auto" w:fill="FFFFFF"/>
              </w:rPr>
              <w:t>organizacje pracodawców (Pracodawcy RP, Konferencja Lewiatan, Związek Pracodawców Business Centre Club, Związek Rzemiosła Polskiego, Porozumienie Pracodawców Ochrony Zdrowia,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402A8D" w:rsidRPr="00402A8D">
              <w:rPr>
                <w:rFonts w:ascii="Times New Roman" w:hAnsi="Times New Roman"/>
                <w:color w:val="000000"/>
                <w:shd w:val="clear" w:color="auto" w:fill="FFFFFF"/>
              </w:rPr>
              <w:t>Federacja Przedsiębiorców Polskich</w:t>
            </w:r>
            <w:r w:rsidR="00402A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Federacja Związków Pracodawców Ochrony Zdrowia „Porozumienie Zielonogórskie”,</w:t>
            </w:r>
            <w:r w:rsidRPr="005970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Forum Związków Zawodowych, Związek Przedsiębiorców i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59708D">
              <w:rPr>
                <w:rFonts w:ascii="Times New Roman" w:hAnsi="Times New Roman"/>
                <w:color w:val="000000"/>
                <w:shd w:val="clear" w:color="auto" w:fill="FFFFFF"/>
              </w:rPr>
              <w:t>Pracodawców)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14:paraId="588B9F47" w14:textId="4801C7C0" w:rsidR="00E301BF" w:rsidRPr="007C63A5" w:rsidRDefault="00210C8C" w:rsidP="007C63A5">
            <w:pPr>
              <w:pStyle w:val="Akapitzlist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S</w:t>
            </w:r>
            <w:r w:rsidRPr="00210C8C">
              <w:rPr>
                <w:rFonts w:ascii="Times New Roman" w:hAnsi="Times New Roman"/>
                <w:color w:val="000000"/>
                <w:shd w:val="clear" w:color="auto" w:fill="FFFFFF"/>
              </w:rPr>
              <w:t>pecjalistyczne Centrum Medyczne im. Jana Pawła II S.A. w Polanicy-Zdroju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="00F226AD" w:rsidRPr="00D07385">
              <w:rPr>
                <w:rFonts w:ascii="Times New Roman" w:hAnsi="Times New Roman"/>
                <w:color w:val="000000"/>
                <w:shd w:val="clear" w:color="auto" w:fill="FFFFFF"/>
              </w:rPr>
              <w:t>Narodowy Instytut Zdrowia Publicznego – Państwowy Zakład Higieny</w:t>
            </w:r>
            <w:r w:rsidR="007C63A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oraz </w:t>
            </w:r>
            <w:r w:rsidR="00E301BF" w:rsidRPr="007C63A5">
              <w:rPr>
                <w:rFonts w:ascii="Times New Roman" w:hAnsi="Times New Roman"/>
                <w:color w:val="000000"/>
                <w:shd w:val="clear" w:color="auto" w:fill="FFFFFF"/>
              </w:rPr>
              <w:t>Narodowy Instytut Onkologii im. Marii Skłodowskiej-Curie – Państwowy Instytut Badawczy;</w:t>
            </w:r>
          </w:p>
          <w:bookmarkEnd w:id="6"/>
          <w:p w14:paraId="5644EF18" w14:textId="0FB7C5C9" w:rsidR="00F226AD" w:rsidRDefault="00F226AD" w:rsidP="00A828C8">
            <w:pPr>
              <w:pStyle w:val="Akapitzlist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07385">
              <w:rPr>
                <w:rFonts w:ascii="Times New Roman" w:hAnsi="Times New Roman"/>
                <w:color w:val="000000"/>
                <w:shd w:val="clear" w:color="auto" w:fill="FFFFFF"/>
              </w:rPr>
              <w:t>Rad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ę</w:t>
            </w:r>
            <w:r w:rsidRPr="00D0738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Działalności Pożytku Publicznego i Rad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ę</w:t>
            </w:r>
            <w:r w:rsidRPr="00D0738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Dialogu Społecznego</w:t>
            </w:r>
            <w:r w:rsidR="005C1D29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bookmarkEnd w:id="7"/>
          <w:p w14:paraId="52AE6FB7" w14:textId="77777777" w:rsidR="00F226AD" w:rsidRPr="0010032A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0900A264" w14:textId="7C2E0F68" w:rsidR="00F226AD" w:rsidRPr="0010032A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Projekt </w:t>
            </w:r>
            <w:r w:rsidRPr="0055192D">
              <w:rPr>
                <w:rFonts w:ascii="Times New Roman" w:hAnsi="Times New Roman"/>
                <w:shd w:val="clear" w:color="auto" w:fill="FFFFFF"/>
              </w:rPr>
              <w:t>rozporządzenia zosta</w:t>
            </w:r>
            <w:r w:rsidR="0086053F">
              <w:rPr>
                <w:rFonts w:ascii="Times New Roman" w:hAnsi="Times New Roman"/>
                <w:shd w:val="clear" w:color="auto" w:fill="FFFFFF"/>
              </w:rPr>
              <w:t>ł</w:t>
            </w:r>
            <w:r w:rsidRPr="0055192D">
              <w:rPr>
                <w:rFonts w:ascii="Times New Roman" w:hAnsi="Times New Roman"/>
                <w:shd w:val="clear" w:color="auto" w:fill="FFFFFF"/>
              </w:rPr>
              <w:t xml:space="preserve"> udostępniony w </w:t>
            </w:r>
            <w:r w:rsidRPr="0010032A">
              <w:rPr>
                <w:rFonts w:ascii="Times New Roman" w:hAnsi="Times New Roman"/>
                <w:color w:val="000000"/>
                <w:shd w:val="clear" w:color="auto" w:fill="FFFFFF"/>
              </w:rPr>
              <w:t>Biuletynie Informacji Publicznej Ministerstwa Zdrowia zgodnie z art. 5  ustawy z dnia 7 lipca 2005 r. o działalności lobbingowej w procesie stanowienia prawa (Dz. U. z 2017 r. poz. 248) oraz w</w:t>
            </w:r>
            <w:r w:rsidR="000057DC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10032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Biuletynie Informacji Publicznej Rządowego Centrum Legislacji, zgodnie z § 52 uchwały nr 190 Rady Ministrów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Pr="0010032A">
              <w:rPr>
                <w:rFonts w:ascii="Times New Roman" w:hAnsi="Times New Roman"/>
                <w:color w:val="000000"/>
                <w:shd w:val="clear" w:color="auto" w:fill="FFFFFF"/>
              </w:rPr>
              <w:t>z dnia 29 października 2013 r. – Regulamin pracy Rady Ministrów (M.P. z 2016 r. poz. 1006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 z późn. zm.</w:t>
            </w:r>
            <w:r w:rsidRPr="0010032A">
              <w:rPr>
                <w:rFonts w:ascii="Times New Roman" w:hAnsi="Times New Roman"/>
                <w:color w:val="000000"/>
                <w:shd w:val="clear" w:color="auto" w:fill="FFFFFF"/>
              </w:rPr>
              <w:t>).</w:t>
            </w:r>
          </w:p>
          <w:p w14:paraId="786280CF" w14:textId="77777777" w:rsidR="00F226AD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283673C" w14:textId="2C350911" w:rsidR="00F226AD" w:rsidRPr="00A828C8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B1331">
              <w:rPr>
                <w:rFonts w:ascii="Times New Roman" w:hAnsi="Times New Roman"/>
                <w:color w:val="000000"/>
                <w:spacing w:val="-2"/>
              </w:rPr>
              <w:t xml:space="preserve">Wyniki konsultacji </w:t>
            </w:r>
            <w:r>
              <w:rPr>
                <w:rFonts w:ascii="Times New Roman" w:hAnsi="Times New Roman"/>
                <w:color w:val="000000"/>
                <w:spacing w:val="-2"/>
              </w:rPr>
              <w:t>publicznych i opiniowania zosta</w:t>
            </w:r>
            <w:r w:rsidR="005C1D29">
              <w:rPr>
                <w:rFonts w:ascii="Times New Roman" w:hAnsi="Times New Roman"/>
                <w:color w:val="000000"/>
                <w:spacing w:val="-2"/>
              </w:rPr>
              <w:t>ną</w:t>
            </w:r>
            <w:r w:rsidRPr="001B1331">
              <w:rPr>
                <w:rFonts w:ascii="Times New Roman" w:hAnsi="Times New Roman"/>
                <w:color w:val="000000"/>
                <w:spacing w:val="-2"/>
              </w:rPr>
              <w:t xml:space="preserve"> omówione w raporcie, stanowiącym załącznik do niniejszej </w:t>
            </w:r>
            <w:r w:rsidRPr="004F50BD">
              <w:rPr>
                <w:rFonts w:ascii="Times New Roman" w:hAnsi="Times New Roman"/>
                <w:color w:val="000000"/>
                <w:spacing w:val="-2"/>
              </w:rPr>
              <w:t>Oceny Skutków Regulacji</w:t>
            </w:r>
            <w:r w:rsidRPr="001B1331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F226AD" w:rsidRPr="008C1BF4" w14:paraId="569D2C56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1F95E24" w14:textId="77777777" w:rsidR="00F226AD" w:rsidRPr="008C1BF4" w:rsidRDefault="00F226AD" w:rsidP="00A828C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C1BF4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F226AD" w:rsidRPr="008C1BF4" w14:paraId="28C18D5C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66BAC2B3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(ceny stałe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25CC46B6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F226AD" w:rsidRPr="008C1BF4" w14:paraId="445F23D1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2458C2B6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7C32941C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68E7C4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900BC4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B203592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DB3F3F0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4BA2061E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1D19520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052B981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A34B48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38BAC3A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705AEF37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6B9814B4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F226AD" w:rsidRPr="008C1BF4" w14:paraId="30AFA20C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0EDEE75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2E1B6B4" w14:textId="10511C00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82AD3B4" w14:textId="12ABF429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E08A910" w14:textId="69C2794C" w:rsidR="00F226AD" w:rsidRPr="003D0418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71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D4A8A47" w14:textId="64B43F7C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FA799DD" w14:textId="71F460F2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BC6857C" w14:textId="47380924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9FBA37D" w14:textId="4BC39334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5BBCA27" w14:textId="28F305AA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47088C" w14:textId="0E2D0116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01F9630" w14:textId="6F8F508D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6D1732D" w14:textId="68122DD4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7C3C4F00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226AD" w:rsidRPr="008C1BF4" w14:paraId="35DEE1B2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CE86154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9EAAB7B" w14:textId="061B3218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AC170F7" w14:textId="0BE6761C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A17810F" w14:textId="234DBACF" w:rsidR="00F226AD" w:rsidRPr="003D0418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71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2BEE14F" w14:textId="7804583C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FD66AC4" w14:textId="59B9E91C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FCABD97" w14:textId="4C30C5FE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FD82246" w14:textId="06286D8E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1A797CC" w14:textId="57FF909D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57721B5" w14:textId="025BC170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6550A3A" w14:textId="15189678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7761502" w14:textId="6B513696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7810C191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226AD" w:rsidRPr="008C1BF4" w14:paraId="2A2B4218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285339E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B1A18F5" w14:textId="5C5D8268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33C1958" w14:textId="25A803CB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3A4EA22" w14:textId="39A63A6B" w:rsidR="00F226AD" w:rsidRPr="003D0418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71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8B6F7CA" w14:textId="391BF323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4CDE44" w14:textId="004B5E82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5F7C765" w14:textId="66755E11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DA94EB9" w14:textId="3FA69EE6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33DF1AA" w14:textId="762AB4EB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A6CD44F" w14:textId="5F6B93A1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19B477" w14:textId="3D0B75DC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12D03F0" w14:textId="7BB541C0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6FCC557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6AD" w:rsidRPr="008C1BF4" w14:paraId="40FD81B9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89361FE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9232DDC" w14:textId="0A60B8C2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5A30991" w14:textId="73A851DE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AB2E5CE" w14:textId="1B5999E0" w:rsidR="00F226AD" w:rsidRPr="003D0418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71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C26D96A" w14:textId="5770F353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96F9F95" w14:textId="2333A5E6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A49FC6F" w14:textId="0F702DDE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365F7FA" w14:textId="5D9C51CC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9E720DE" w14:textId="50FAE922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2E49F9E" w14:textId="44CE9804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7CC485D" w14:textId="44AAA30D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3300FB11" w14:textId="613DFC24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7AC8880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6AD" w:rsidRPr="008C1BF4" w14:paraId="685747DD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8666D46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C7AF2D0" w14:textId="3B9CB04F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3C21457" w14:textId="21FEE9CA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933456" w14:textId="4B5BB5C3" w:rsidR="00F226AD" w:rsidRPr="003D0418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71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54B7BD8" w14:textId="1858C95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BDAD494" w14:textId="2130DDBB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519F3B5" w14:textId="6AB72194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FA7143C" w14:textId="0E901205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7C02573" w14:textId="481008D5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1699CF3" w14:textId="2A2FA401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B6C688" w14:textId="00B37EED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3DEB2859" w14:textId="0119054C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177B494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6AD" w:rsidRPr="008C1BF4" w14:paraId="191ECB34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76CC8AB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35B3631" w14:textId="0524ABA2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D3AC931" w14:textId="37ECD4C1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45635F" w14:textId="13AAD288" w:rsidR="00F226AD" w:rsidRPr="003D0418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71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802160B" w14:textId="1B5B718B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14785D" w14:textId="1E1F9593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35A75DA" w14:textId="3CB9E518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06825F3" w14:textId="4296A881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684E1EC" w14:textId="28CB2E16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2DC0450" w14:textId="15B3D7F0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D9E21EB" w14:textId="2F6FD2C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687F854" w14:textId="6FF5E5CC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94EA50E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6AD" w:rsidRPr="008C1BF4" w14:paraId="1588457F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D663772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569FB09" w14:textId="6AD90CAA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DD07451" w14:textId="477DA43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10B1E6B" w14:textId="3A11BB68" w:rsidR="00F226AD" w:rsidRPr="003D0418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71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29AC44B" w14:textId="554F4E0F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669276B" w14:textId="5E728803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B1A1A3A" w14:textId="6AD8D0E0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36CDB31" w14:textId="1AD20FE6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221C284" w14:textId="07B89B09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4300205" w14:textId="50206FC0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0CA38E8" w14:textId="076BFD88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8F5F3DF" w14:textId="54EA09A5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6E9998D0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6AD" w:rsidRPr="008C1BF4" w14:paraId="6D562EB6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7DEDC33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BB259CF" w14:textId="6091BD84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42C2666" w14:textId="522049F8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CCA0CD7" w14:textId="3BC280D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71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E5B82A0" w14:textId="2FD598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7AF0AE5" w14:textId="3046D756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141B3B5" w14:textId="28BFCA5F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097E94A" w14:textId="60C366F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EDDA11C" w14:textId="4352045F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77AA3AF" w14:textId="3C7E86E8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6E65BCC" w14:textId="5D0A3651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E5C782E" w14:textId="6BD29891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C7B32BD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6AD" w:rsidRPr="008C1BF4" w14:paraId="0A60B5DF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E4AE2D9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9ED5382" w14:textId="3F2C8C61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A9704D" w14:textId="0A4C49D4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F461E26" w14:textId="2BB90DC1" w:rsidR="00F226AD" w:rsidRPr="003D0418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71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FFF9264" w14:textId="75516061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A9FC019" w14:textId="4DEB5D14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D995AA5" w14:textId="595E9B36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F37446F" w14:textId="1D754361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6491DA8" w14:textId="36A6B522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E038CDF" w14:textId="347FAB79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94034DA" w14:textId="20E21DCC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F389A57" w14:textId="1D9DD09C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985BAEC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6AD" w:rsidRPr="008C1BF4" w14:paraId="51422EFB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B2DE016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9FA8F0C" w14:textId="2B1247D8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4E9E25" w14:textId="4A58BEAC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F15C2A9" w14:textId="4997A9B2" w:rsidR="00F226AD" w:rsidRPr="003D0418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71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0D9C9B4" w14:textId="5A55EA01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E1BBF0E" w14:textId="2CFF0820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97D4C8F" w14:textId="4EE76C58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6EEF266" w14:textId="1F345911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7D614D5" w14:textId="3649A6A3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AEA3127" w14:textId="428A7D4D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6C9616" w14:textId="55F5D4C1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1C699A5" w14:textId="52EFCB86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5B0105A3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6AD" w:rsidRPr="008C1BF4" w14:paraId="2779802D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3113B2E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7185868" w14:textId="775B04CE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C0481FE" w14:textId="545FC499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FBE2FC" w14:textId="7905F127" w:rsidR="00F226AD" w:rsidRPr="003D0418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71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13FC52D" w14:textId="7401619F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67C0AD8" w14:textId="740B05B9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FB8BC7C" w14:textId="65E778E0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D23D957" w14:textId="7C150E26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355B598" w14:textId="4ECCD3C5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A248400" w14:textId="22E51219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5E8D08A" w14:textId="48F4014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F94FE1E" w14:textId="53E1E379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1E5C9BF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6AD" w:rsidRPr="008C1BF4" w14:paraId="09E3BBA1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B370560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8D63B93" w14:textId="0933D609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DB82815" w14:textId="24A6C55A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CE67184" w14:textId="2CEDDC5F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71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F9D9E28" w14:textId="3C2BF7B6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CC95022" w14:textId="7DCADABA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213D589" w14:textId="6A361B10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DF3B08C" w14:textId="38B91AA4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8C8EB83" w14:textId="303FD9A6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EFFD5C9" w14:textId="1C8D8781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B947A8" w14:textId="7C941D4D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9FE9E05" w14:textId="59351113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6801032D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6AD" w:rsidRPr="008C1BF4" w14:paraId="7073931F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00A1C0A5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18FE579B" w14:textId="56255EA3" w:rsidR="00804D93" w:rsidRPr="008C1BF4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Projektowana zmiana nie będzie miała wpływu na budżet państwa i budżety jednostek samorządu terytorialnego.</w:t>
            </w:r>
            <w:r>
              <w:rPr>
                <w:rFonts w:ascii="Times New Roman" w:hAnsi="Times New Roman"/>
                <w:color w:val="000000"/>
              </w:rPr>
              <w:t xml:space="preserve"> Finansowanie odbędzie się w ramach wysokości kosztów określonych w planie finansowym Narodowego Funduszu Zdrowia bez konieczności ich zwiększania.</w:t>
            </w:r>
          </w:p>
        </w:tc>
      </w:tr>
      <w:tr w:rsidR="00F226AD" w:rsidRPr="008C1BF4" w14:paraId="5983442D" w14:textId="77777777" w:rsidTr="006B22FB">
        <w:trPr>
          <w:gridAfter w:val="1"/>
          <w:wAfter w:w="10" w:type="dxa"/>
          <w:trHeight w:val="416"/>
        </w:trPr>
        <w:tc>
          <w:tcPr>
            <w:tcW w:w="2243" w:type="dxa"/>
            <w:gridSpan w:val="2"/>
            <w:shd w:val="clear" w:color="auto" w:fill="FFFFFF"/>
          </w:tcPr>
          <w:p w14:paraId="1CE006D9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5303F2B7" w14:textId="56E685E3" w:rsidR="00F226AD" w:rsidRPr="008C1BF4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</w:tr>
      <w:tr w:rsidR="00F226AD" w:rsidRPr="008C1BF4" w14:paraId="4693A448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1BDB4931" w14:textId="77777777" w:rsidR="00F226AD" w:rsidRPr="008C1BF4" w:rsidRDefault="00F226AD" w:rsidP="00A828C8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 xml:space="preserve">Wpływ na </w:t>
            </w:r>
            <w:r w:rsidRPr="008C1BF4">
              <w:rPr>
                <w:rFonts w:ascii="Times New Roman" w:hAnsi="Times New Roman"/>
                <w:b/>
                <w:color w:val="000000"/>
              </w:rPr>
              <w:t>konkurencyjność gospodarki i</w:t>
            </w:r>
            <w:r w:rsidRPr="005A717C">
              <w:rPr>
                <w:rFonts w:ascii="Times New Roman" w:hAnsi="Times New Roman"/>
                <w:b/>
                <w:color w:val="000000"/>
              </w:rPr>
              <w:t xml:space="preserve"> przedsiębiorczość</w:t>
            </w:r>
            <w:r w:rsidRPr="003D0418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Pr="008C1BF4">
              <w:rPr>
                <w:rFonts w:ascii="Times New Roman" w:hAnsi="Times New Roman"/>
                <w:b/>
                <w:color w:val="000000"/>
              </w:rPr>
              <w:t xml:space="preserve">w tym funkcjonowanie przedsiębiorców oraz na rodzinę, obywateli i gospodarstwa domowe </w:t>
            </w:r>
          </w:p>
        </w:tc>
      </w:tr>
      <w:tr w:rsidR="00F226AD" w:rsidRPr="008C1BF4" w14:paraId="3C9EB06D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91242F0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F226AD" w:rsidRPr="008C1BF4" w14:paraId="4083C5FA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2EE32B20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BFA492F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2BD672C2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CFD386B" w14:textId="77777777" w:rsidR="00F226AD" w:rsidRPr="003D0418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71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796A46B2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D271518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F61326D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2ED8716A" w14:textId="77777777" w:rsidR="00F226AD" w:rsidRPr="008C1BF4" w:rsidRDefault="00F226AD" w:rsidP="00A828C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Pr="008C1BF4" w:rsidDel="0073273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Pr="008C1BF4">
              <w:rPr>
                <w:rFonts w:ascii="Times New Roman" w:hAnsi="Times New Roman"/>
                <w:i/>
                <w:color w:val="000000"/>
                <w:spacing w:val="-2"/>
              </w:rPr>
              <w:t>(0-10)</w:t>
            </w:r>
          </w:p>
        </w:tc>
      </w:tr>
      <w:tr w:rsidR="00F226AD" w:rsidRPr="008C1BF4" w14:paraId="2A4ADE54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1A4ED2D3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5CFABBAC" w14:textId="77777777" w:rsidR="00F226AD" w:rsidRPr="005A717C" w:rsidRDefault="00F226AD" w:rsidP="00A828C8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8C1BF4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19FE9937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5748A3C1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8BEF59D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70E13AFC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BA0C32C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16C1892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AF76B9D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20E81FF5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041EBD25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226AD" w:rsidRPr="008C1BF4" w14:paraId="739DB78F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15400499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3FD3161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35C413D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753F8352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09DC98B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60498A93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0560246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7EA1D4DF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21707DFB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226AD" w:rsidRPr="008C1BF4" w14:paraId="75503BC7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497DDB1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12082C7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745DDF6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7E61261E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7000417C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54DD2429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2C12B4F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07A75D8E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3ABCBA9F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226AD" w:rsidRPr="008C1BF4" w14:paraId="497EB97C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2122F37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EAA1671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8C1BF4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C1BF4">
              <w:rPr>
                <w:rFonts w:ascii="Times New Roman" w:hAnsi="Times New Roman"/>
                <w:color w:val="000000"/>
              </w:rPr>
            </w:r>
            <w:r w:rsidRPr="008C1BF4">
              <w:rPr>
                <w:rFonts w:ascii="Times New Roman" w:hAnsi="Times New Roman"/>
                <w:color w:val="000000"/>
              </w:rPr>
              <w:fldChar w:fldCharType="separate"/>
            </w:r>
            <w:r w:rsidRPr="008C1BF4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8C1BF4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E2BAF23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7CEAB37E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52F4EA8C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18D6EDC7" w14:textId="77777777" w:rsidR="00F226AD" w:rsidRPr="005A717C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86CBADF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4E49ACBE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7B74C38C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226AD" w:rsidRPr="008C1BF4" w14:paraId="769A9D01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1D9EABFB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B387F2B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19C2F9E8" w14:textId="793B5EB2" w:rsidR="00F226AD" w:rsidRPr="008C1BF4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color w:val="000000"/>
                <w:spacing w:val="-2"/>
              </w:rPr>
              <w:t xml:space="preserve">Przedmiotowy projekt będzie mieć wpływ na działalność </w:t>
            </w:r>
            <w:r w:rsidRPr="005A717C">
              <w:rPr>
                <w:rFonts w:ascii="Times New Roman" w:hAnsi="Times New Roman"/>
                <w:color w:val="000000"/>
                <w:spacing w:val="-2"/>
              </w:rPr>
              <w:t xml:space="preserve">dużych </w:t>
            </w:r>
            <w:r w:rsidRPr="00C86947">
              <w:rPr>
                <w:rFonts w:ascii="Times New Roman" w:hAnsi="Times New Roman"/>
                <w:color w:val="000000"/>
                <w:spacing w:val="-2"/>
              </w:rPr>
              <w:t>przedsiębiorców przez wzrost konkurencyjności podmiotów realizujących świadcze</w:t>
            </w:r>
            <w:r w:rsidR="00804D93">
              <w:rPr>
                <w:rFonts w:ascii="Times New Roman" w:hAnsi="Times New Roman"/>
                <w:color w:val="000000"/>
                <w:spacing w:val="-2"/>
              </w:rPr>
              <w:t>nia</w:t>
            </w:r>
            <w:r w:rsidRPr="00C86947">
              <w:rPr>
                <w:rFonts w:ascii="Times New Roman" w:hAnsi="Times New Roman"/>
                <w:color w:val="000000"/>
                <w:spacing w:val="-2"/>
              </w:rPr>
              <w:t xml:space="preserve"> gwarantowan</w:t>
            </w:r>
            <w:r w:rsidR="00804D93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C86947">
              <w:rPr>
                <w:rFonts w:ascii="Times New Roman" w:hAnsi="Times New Roman"/>
                <w:color w:val="000000"/>
                <w:spacing w:val="-2"/>
              </w:rPr>
              <w:t xml:space="preserve"> w ramach umowy z publicznym płatnikiem</w:t>
            </w:r>
            <w:r w:rsidRPr="001E6591">
              <w:rPr>
                <w:rFonts w:ascii="Times New Roman" w:hAnsi="Times New Roman"/>
                <w:color w:val="000000"/>
                <w:spacing w:val="-2"/>
              </w:rPr>
              <w:t>, względem podmiotów świadczących te  świadczenia w sektorze poza finansowaniem świadczeń ze środków publicznych.</w:t>
            </w:r>
          </w:p>
          <w:p w14:paraId="71737D4B" w14:textId="7A4AD20B" w:rsidR="00F226AD" w:rsidRPr="008C1BF4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226AD" w:rsidRPr="008C1BF4" w14:paraId="2BD73130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4862BD2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A4BE5E3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5859F658" w14:textId="77777777" w:rsidR="00F226AD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color w:val="000000"/>
                <w:spacing w:val="-2"/>
              </w:rPr>
              <w:t>Przedmiotowy projekt nie będzie mieć wpływu na działalność mikro-, małych i</w:t>
            </w:r>
            <w:r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8C1BF4">
              <w:rPr>
                <w:rFonts w:ascii="Times New Roman" w:hAnsi="Times New Roman"/>
                <w:color w:val="000000"/>
                <w:spacing w:val="-2"/>
              </w:rPr>
              <w:t>średnich przedsiębiorstw z uwagi na fakt, że ze względu na konieczność zapewnienia wysokiej jakości przedmiotowego świadczenia, ich realizacja zostanie zapewniona wyłącznie w dużych przedsiębiorstwach o wieloletnim doświadczeniu w realizacji świadczeń</w:t>
            </w:r>
            <w:r w:rsidR="006E3E49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5CBF240F" w14:textId="77E647B6" w:rsidR="00804D93" w:rsidRPr="008C1BF4" w:rsidRDefault="00804D93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226AD" w:rsidRPr="008C1BF4" w14:paraId="1527AD2C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7986BAD4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0BA404A" w14:textId="77777777" w:rsidR="00F226AD" w:rsidRPr="008C1BF4" w:rsidRDefault="00F226AD" w:rsidP="00A828C8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</w:rPr>
              <w:t>rodzina, obywatele oraz gospodarstwa domowe</w:t>
            </w:r>
            <w:r w:rsidRPr="008C1B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131D595C" w14:textId="77777777" w:rsidR="00F226AD" w:rsidRDefault="00F226AD" w:rsidP="00A828C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C1BF4">
              <w:rPr>
                <w:rFonts w:ascii="Times New Roman" w:hAnsi="Times New Roman"/>
              </w:rPr>
              <w:t xml:space="preserve">Świadczenie objęte finansowaniem ze środków publicznych </w:t>
            </w:r>
            <w:r>
              <w:rPr>
                <w:rFonts w:ascii="Times New Roman" w:hAnsi="Times New Roman"/>
              </w:rPr>
              <w:t xml:space="preserve">na </w:t>
            </w:r>
            <w:r w:rsidRPr="008C1BF4">
              <w:rPr>
                <w:rFonts w:ascii="Times New Roman" w:hAnsi="Times New Roman"/>
              </w:rPr>
              <w:t>skutek wprowadzenia przedmiotow</w:t>
            </w:r>
            <w:r>
              <w:rPr>
                <w:rFonts w:ascii="Times New Roman" w:hAnsi="Times New Roman"/>
              </w:rPr>
              <w:t>ej</w:t>
            </w:r>
            <w:r w:rsidRPr="008C1BF4">
              <w:rPr>
                <w:rFonts w:ascii="Times New Roman" w:hAnsi="Times New Roman"/>
              </w:rPr>
              <w:t xml:space="preserve"> regulacji</w:t>
            </w:r>
            <w:r>
              <w:rPr>
                <w:rFonts w:ascii="Times New Roman" w:hAnsi="Times New Roman"/>
              </w:rPr>
              <w:t>,</w:t>
            </w:r>
            <w:r w:rsidRPr="008C1BF4">
              <w:rPr>
                <w:rFonts w:ascii="Times New Roman" w:hAnsi="Times New Roman"/>
              </w:rPr>
              <w:t xml:space="preserve"> zwiększ</w:t>
            </w:r>
            <w:r>
              <w:rPr>
                <w:rFonts w:ascii="Times New Roman" w:hAnsi="Times New Roman"/>
              </w:rPr>
              <w:t>y</w:t>
            </w:r>
            <w:r w:rsidRPr="008C1BF4">
              <w:rPr>
                <w:rFonts w:ascii="Times New Roman" w:hAnsi="Times New Roman"/>
              </w:rPr>
              <w:t xml:space="preserve"> dostęp do świadczenia dla osób mających wskazania do ich uzyskania. </w:t>
            </w:r>
          </w:p>
          <w:p w14:paraId="444138AA" w14:textId="6868AF63" w:rsidR="00804D93" w:rsidRPr="008C1BF4" w:rsidRDefault="00804D93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226AD" w:rsidRPr="008C1BF4" w14:paraId="7E93A05A" w14:textId="77777777" w:rsidTr="00676C8D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2E2B3B8A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B97ECB5" w14:textId="3E474EC9" w:rsidR="00F226AD" w:rsidRPr="008C1BF4" w:rsidRDefault="00F226AD" w:rsidP="00A828C8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 w:rsidRPr="008C1BF4">
              <w:rPr>
                <w:rFonts w:ascii="Times New Roman" w:hAnsi="Times New Roman"/>
                <w:color w:val="000000"/>
              </w:rPr>
              <w:t>osoby niepełnosprawne, osoby starsze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7B14D10" w14:textId="5DB6B96A" w:rsidR="00F226AD" w:rsidRDefault="00F226AD" w:rsidP="00A828C8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color w:val="000000"/>
                <w:spacing w:val="-2"/>
              </w:rPr>
              <w:t>Przedmiotowa regulacja będzie zapewniać osobom niepełnosprawnym i</w:t>
            </w:r>
            <w:r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8C1BF4">
              <w:rPr>
                <w:rFonts w:ascii="Times New Roman" w:hAnsi="Times New Roman"/>
                <w:color w:val="000000"/>
                <w:spacing w:val="-2"/>
              </w:rPr>
              <w:t xml:space="preserve">osobom starszym, </w:t>
            </w:r>
            <w:r w:rsidR="00402A8D">
              <w:rPr>
                <w:rFonts w:ascii="Times New Roman" w:hAnsi="Times New Roman"/>
                <w:color w:val="000000"/>
                <w:spacing w:val="-2"/>
              </w:rPr>
              <w:t xml:space="preserve">dostęp do świadczeń opieki zdrowotnej na równych </w:t>
            </w:r>
            <w:r w:rsidRPr="008C1BF4">
              <w:rPr>
                <w:rFonts w:ascii="Times New Roman" w:hAnsi="Times New Roman"/>
                <w:color w:val="000000"/>
                <w:spacing w:val="-2"/>
              </w:rPr>
              <w:t>na zasadach jak dla innych obywateli</w:t>
            </w:r>
            <w:r w:rsidR="00402A8D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1E60B1D9" w14:textId="05BD3BF1" w:rsidR="00804D93" w:rsidRPr="008C1BF4" w:rsidRDefault="00804D93" w:rsidP="00A828C8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226AD" w:rsidRPr="008C1BF4" w14:paraId="51DD16CB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007BAAB0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34FDD82" w14:textId="2A96F0C5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9F18737" w14:textId="0830A3DA" w:rsidR="00F226AD" w:rsidRPr="003D0418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Przedmiotowa regulacja nie będzie miała wpływu na </w:t>
            </w:r>
            <w:r w:rsidRPr="008C1BF4">
              <w:rPr>
                <w:rFonts w:ascii="Times New Roman" w:hAnsi="Times New Roman"/>
                <w:color w:val="000000"/>
              </w:rPr>
              <w:t>sektor mikro-, małych i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8C1BF4">
              <w:rPr>
                <w:rFonts w:ascii="Times New Roman" w:hAnsi="Times New Roman"/>
                <w:color w:val="000000"/>
              </w:rPr>
              <w:t>średnich przedsiębiorstw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F226AD" w:rsidRPr="008C1BF4" w14:paraId="7BEF5B84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9C048C2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0B3FA3D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8C1BF4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C1BF4">
              <w:rPr>
                <w:rFonts w:ascii="Times New Roman" w:hAnsi="Times New Roman"/>
                <w:color w:val="000000"/>
              </w:rPr>
            </w:r>
            <w:r w:rsidRPr="008C1BF4">
              <w:rPr>
                <w:rFonts w:ascii="Times New Roman" w:hAnsi="Times New Roman"/>
                <w:color w:val="000000"/>
              </w:rPr>
              <w:fldChar w:fldCharType="separate"/>
            </w:r>
            <w:r w:rsidRPr="008C1BF4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8C1BF4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393E61B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226AD" w:rsidRPr="008C1BF4" w14:paraId="232BC5D0" w14:textId="77777777" w:rsidTr="00676C8D">
        <w:trPr>
          <w:gridAfter w:val="1"/>
          <w:wAfter w:w="10" w:type="dxa"/>
          <w:trHeight w:val="1643"/>
        </w:trPr>
        <w:tc>
          <w:tcPr>
            <w:tcW w:w="2243" w:type="dxa"/>
            <w:gridSpan w:val="2"/>
            <w:shd w:val="clear" w:color="auto" w:fill="FFFFFF"/>
          </w:tcPr>
          <w:p w14:paraId="2896E29F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27CA9E68" w14:textId="3EBC4E25" w:rsidR="00F226AD" w:rsidRPr="008C1BF4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226AD" w:rsidRPr="008C1BF4" w14:paraId="688D62C8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15081B8" w14:textId="77777777" w:rsidR="00F226AD" w:rsidRPr="008C1BF4" w:rsidRDefault="00F226AD" w:rsidP="00A828C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C1BF4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</w:t>
            </w:r>
            <w:r w:rsidRPr="005A717C">
              <w:rPr>
                <w:rFonts w:ascii="Times New Roman" w:hAnsi="Times New Roman"/>
                <w:b/>
                <w:color w:val="000000"/>
              </w:rPr>
              <w:t xml:space="preserve">ów </w:t>
            </w:r>
            <w:r w:rsidRPr="003D0418">
              <w:rPr>
                <w:rFonts w:ascii="Times New Roman" w:hAnsi="Times New Roman"/>
                <w:b/>
                <w:color w:val="000000"/>
              </w:rPr>
              <w:t>informacyjnych)</w:t>
            </w:r>
            <w:r w:rsidRPr="008C1BF4">
              <w:rPr>
                <w:rFonts w:ascii="Times New Roman" w:hAnsi="Times New Roman"/>
                <w:b/>
                <w:color w:val="000000"/>
              </w:rPr>
              <w:t xml:space="preserve"> wynikających z projektu</w:t>
            </w:r>
          </w:p>
        </w:tc>
      </w:tr>
      <w:tr w:rsidR="00F226AD" w:rsidRPr="008C1BF4" w14:paraId="6EDF2BA5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131384ED" w14:textId="0C266721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930998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☒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  <w:spacing w:val="-2"/>
              </w:rPr>
              <w:t xml:space="preserve"> nie dotyczy</w:t>
            </w:r>
          </w:p>
        </w:tc>
      </w:tr>
      <w:tr w:rsidR="00F226AD" w:rsidRPr="008C1BF4" w14:paraId="26092B60" w14:textId="77777777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029A57F3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8C1BF4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762CB441" w14:textId="52298E66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50143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2C0C1D8C" w14:textId="78BF29D8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77400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7D65F0C" w14:textId="74882D68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515336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</w:rPr>
                  <w:t>☒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F226AD" w:rsidRPr="008C1BF4" w14:paraId="0B324F57" w14:textId="77777777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48D1B773" w14:textId="74541C63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64611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  <w:spacing w:val="-2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  <w:spacing w:val="-2"/>
              </w:rPr>
              <w:t xml:space="preserve"> zmniejszenie liczby dokumentów </w:t>
            </w:r>
          </w:p>
          <w:p w14:paraId="30778BBF" w14:textId="2C40BCA2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8765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  <w:spacing w:val="-2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  <w:spacing w:val="-2"/>
              </w:rPr>
              <w:t xml:space="preserve"> zmniejszenie liczby procedur</w:t>
            </w:r>
          </w:p>
          <w:p w14:paraId="7538F779" w14:textId="10087DC6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20820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  <w:spacing w:val="-2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  <w:spacing w:val="-2"/>
              </w:rPr>
              <w:t xml:space="preserve"> skrócenie czasu na załatwienie sprawy</w:t>
            </w:r>
          </w:p>
          <w:p w14:paraId="257ADC0A" w14:textId="07E67E85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125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>
                  <w:rPr>
                    <w:rFonts w:ascii="MS Gothic" w:eastAsia="MS Gothic" w:hAnsi="MS Gothic" w:cs="Segoe UI Symbol" w:hint="eastAsia"/>
                    <w:color w:val="000000"/>
                    <w:spacing w:val="-2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  <w:spacing w:val="-2"/>
              </w:rPr>
              <w:t xml:space="preserve"> inne:</w:t>
            </w:r>
            <w:r w:rsidR="00F226AD" w:rsidRPr="008C1BF4">
              <w:rPr>
                <w:rFonts w:ascii="Times New Roman" w:hAnsi="Times New Roman"/>
                <w:color w:val="000000"/>
              </w:rPr>
              <w:t xml:space="preserve"> uporządkowanie i ujednolicenie dokumentacji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75582181" w14:textId="3B147D81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0499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  <w:spacing w:val="-2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  <w:spacing w:val="-2"/>
              </w:rPr>
              <w:t xml:space="preserve"> zwiększenie liczby dokumentów</w:t>
            </w:r>
          </w:p>
          <w:p w14:paraId="510A42B4" w14:textId="2CFB5E5A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76241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</w:rPr>
              <w:t xml:space="preserve"> </w:t>
            </w:r>
            <w:r w:rsidR="00F226AD" w:rsidRPr="008C1BF4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11ADE283" w14:textId="19AEBD5B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3570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  <w:spacing w:val="-2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  <w:spacing w:val="-2"/>
              </w:rPr>
              <w:t xml:space="preserve"> wydłużenie czasu na załatwienie sprawy</w:t>
            </w:r>
          </w:p>
          <w:p w14:paraId="23F1B826" w14:textId="2BEFC68C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1495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  <w:spacing w:val="-2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  <w:spacing w:val="-2"/>
              </w:rPr>
              <w:t xml:space="preserve"> inne:</w:t>
            </w:r>
            <w:r w:rsidR="00F226AD" w:rsidRPr="008C1BF4">
              <w:rPr>
                <w:rFonts w:ascii="Times New Roman" w:hAnsi="Times New Roman"/>
                <w:color w:val="000000"/>
              </w:rPr>
              <w:t xml:space="preserve"> …</w:t>
            </w:r>
          </w:p>
        </w:tc>
      </w:tr>
      <w:tr w:rsidR="00F226AD" w:rsidRPr="008C1BF4" w14:paraId="2A766981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241A85AA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2886820F" w14:textId="31A25C2F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2972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4B382EDF" w14:textId="25E7B5C4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70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37148D1D" w14:textId="7AAC4B19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904862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F226AD" w:rsidRPr="008C1BF4" w14:paraId="4C7AC0C2" w14:textId="77777777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6D1B5437" w14:textId="39C8F726" w:rsidR="00F226AD" w:rsidRPr="008C1BF4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Komentarz</w:t>
            </w:r>
            <w:r w:rsidRPr="001E6591">
              <w:rPr>
                <w:rFonts w:ascii="Times New Roman" w:hAnsi="Times New Roman"/>
              </w:rPr>
              <w:t xml:space="preserve"> </w:t>
            </w:r>
            <w:r w:rsidRPr="008C1BF4">
              <w:rPr>
                <w:rFonts w:ascii="Times New Roman" w:hAnsi="Times New Roman"/>
                <w:color w:val="000000"/>
              </w:rPr>
              <w:t>Brak</w:t>
            </w:r>
          </w:p>
        </w:tc>
      </w:tr>
      <w:tr w:rsidR="00F226AD" w:rsidRPr="008C1BF4" w14:paraId="206ADAD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C41B935" w14:textId="77777777" w:rsidR="00F226AD" w:rsidRPr="008C1BF4" w:rsidRDefault="00F226AD" w:rsidP="00A828C8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C1BF4">
              <w:rPr>
                <w:rFonts w:ascii="Times New Roman" w:hAnsi="Times New Roman"/>
                <w:b/>
                <w:color w:val="000000"/>
              </w:rPr>
              <w:lastRenderedPageBreak/>
              <w:t xml:space="preserve">Wpływ na rynek pracy </w:t>
            </w:r>
          </w:p>
        </w:tc>
      </w:tr>
      <w:tr w:rsidR="00F226AD" w:rsidRPr="008C1BF4" w14:paraId="7F887DD2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0E44C6BA" w14:textId="35EE4B84" w:rsidR="00F226AD" w:rsidRPr="008C1BF4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</w:rPr>
              <w:t xml:space="preserve">Brak bezpośredniego wpływu na rynek pracy. </w:t>
            </w:r>
          </w:p>
        </w:tc>
      </w:tr>
      <w:tr w:rsidR="00F226AD" w:rsidRPr="008C1BF4" w14:paraId="3D67F21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24FE098" w14:textId="77777777" w:rsidR="00F226AD" w:rsidRPr="008C1BF4" w:rsidRDefault="00F226AD" w:rsidP="00A828C8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C1BF4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F226AD" w:rsidRPr="008C1BF4" w14:paraId="51A725E1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57BE87FC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373BA85" w14:textId="2EA04D6C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659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</w:rPr>
              <w:t xml:space="preserve"> </w:t>
            </w:r>
            <w:r w:rsidR="00F226AD" w:rsidRPr="008C1BF4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49C75057" w14:textId="5BCC6986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878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7E61F324" w14:textId="1D19683E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3668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  <w:spacing w:val="-2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  <w:spacing w:val="-2"/>
              </w:rPr>
              <w:t xml:space="preserve"> inne: </w:t>
            </w:r>
            <w:r w:rsidR="00F226AD" w:rsidRPr="008C1BF4"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0EB9AE9B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46C33F9" w14:textId="14220BC0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1708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  <w:spacing w:val="-2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  <w:spacing w:val="-2"/>
              </w:rPr>
              <w:t xml:space="preserve"> demografia</w:t>
            </w:r>
          </w:p>
          <w:p w14:paraId="46128BC2" w14:textId="2F5F867C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09050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50886313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1B4DA253" w14:textId="58556102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4850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  <w:spacing w:val="-2"/>
                  </w:rPr>
                  <w:t>☐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  <w:spacing w:val="-2"/>
              </w:rPr>
              <w:t xml:space="preserve"> informatyzacja</w:t>
            </w:r>
          </w:p>
          <w:p w14:paraId="0C591C81" w14:textId="77777777" w:rsidR="00F226AD" w:rsidRPr="008C1BF4" w:rsidRDefault="00922CE0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70105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AD" w:rsidRPr="008C1BF4">
                  <w:rPr>
                    <w:rFonts w:ascii="Segoe UI Symbol" w:eastAsia="MS Gothic" w:hAnsi="Segoe UI Symbol" w:cs="Segoe UI Symbol"/>
                    <w:color w:val="000000"/>
                    <w:spacing w:val="-2"/>
                  </w:rPr>
                  <w:t>☒</w:t>
                </w:r>
              </w:sdtContent>
            </w:sdt>
            <w:r w:rsidR="00F226AD" w:rsidRPr="008C1BF4">
              <w:rPr>
                <w:rFonts w:ascii="Times New Roman" w:hAnsi="Times New Roman"/>
                <w:color w:val="000000"/>
                <w:spacing w:val="-2"/>
              </w:rPr>
              <w:t xml:space="preserve"> zdrowie</w:t>
            </w:r>
          </w:p>
        </w:tc>
      </w:tr>
      <w:tr w:rsidR="00F226AD" w:rsidRPr="008C1BF4" w14:paraId="6F02AC82" w14:textId="77777777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1464F83D" w14:textId="77777777" w:rsidR="00F226AD" w:rsidRPr="008C1BF4" w:rsidRDefault="00F226AD" w:rsidP="00A828C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C1BF4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4A81C22A" w14:textId="4F8EF533" w:rsidR="00F226AD" w:rsidRPr="003D0418" w:rsidRDefault="00804D93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</w:rPr>
              <w:t xml:space="preserve">Zachowanie dostępności do świadczenia gwarantowanego: Endoprotezoplastyka stawu biodrowego i kolanowego.  </w:t>
            </w:r>
          </w:p>
        </w:tc>
      </w:tr>
      <w:tr w:rsidR="00F226AD" w:rsidRPr="008C1BF4" w14:paraId="3BF3C34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54A0E811" w14:textId="77777777" w:rsidR="00F226AD" w:rsidRPr="008C1BF4" w:rsidRDefault="00F226AD" w:rsidP="00A828C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8C1BF4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F226AD" w:rsidRPr="008C1BF4" w14:paraId="6DE93822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A37E8C3" w14:textId="6848CD4E" w:rsidR="00804D93" w:rsidRPr="008C1BF4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C1BF4">
              <w:rPr>
                <w:rFonts w:ascii="Times New Roman" w:hAnsi="Times New Roman"/>
                <w:spacing w:val="-2"/>
              </w:rPr>
              <w:t xml:space="preserve">Projektowane rozporządzenie wejdzie w życie </w:t>
            </w:r>
            <w:r w:rsidR="00F5398D">
              <w:rPr>
                <w:rFonts w:ascii="Times New Roman" w:hAnsi="Times New Roman"/>
                <w:spacing w:val="-2"/>
              </w:rPr>
              <w:t xml:space="preserve">z dniem </w:t>
            </w:r>
            <w:r w:rsidR="00804D93" w:rsidRPr="00804D93">
              <w:rPr>
                <w:rFonts w:ascii="Times New Roman" w:hAnsi="Times New Roman"/>
                <w:spacing w:val="-2"/>
              </w:rPr>
              <w:t xml:space="preserve"> następującym po dniu ogłoszenia</w:t>
            </w:r>
            <w:r w:rsidR="00804D93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F226AD" w:rsidRPr="008C1BF4" w14:paraId="630485F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71B7281" w14:textId="77777777" w:rsidR="00F226AD" w:rsidRPr="008C1BF4" w:rsidRDefault="00F226AD" w:rsidP="00A828C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C1BF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C1BF4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F226AD" w:rsidRPr="008C1BF4" w14:paraId="7066846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AB5ED89" w14:textId="4CFF3E50" w:rsidR="00F226AD" w:rsidRPr="008C1BF4" w:rsidRDefault="00F226AD" w:rsidP="00A828C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pacing w:val="-2"/>
              </w:rPr>
            </w:pPr>
            <w:r w:rsidRPr="008C1BF4">
              <w:rPr>
                <w:rFonts w:ascii="Times New Roman" w:hAnsi="Times New Roman"/>
                <w:spacing w:val="-2"/>
              </w:rPr>
              <w:t>Brak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F226AD" w:rsidRPr="008C1BF4" w14:paraId="333C2D1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7F31367" w14:textId="77777777" w:rsidR="00F226AD" w:rsidRPr="008C1BF4" w:rsidRDefault="00F226AD" w:rsidP="00A828C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C1BF4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8C1BF4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8C1BF4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F226AD" w:rsidRPr="008C1BF4" w14:paraId="0CCBD83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D9A200A" w14:textId="614B0161" w:rsidR="00F226AD" w:rsidRPr="008C1BF4" w:rsidRDefault="006E3E49" w:rsidP="00A828C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Brak.</w:t>
            </w:r>
          </w:p>
        </w:tc>
      </w:tr>
    </w:tbl>
    <w:p w14:paraId="15ABE2BA" w14:textId="47115EB8" w:rsidR="006176ED" w:rsidRPr="008C1BF4" w:rsidRDefault="006176ED" w:rsidP="00A828C8">
      <w:pPr>
        <w:pStyle w:val="Nagwek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sectPr w:rsidR="006176ED" w:rsidRPr="008C1BF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06A18" w14:textId="77777777" w:rsidR="00CE0F80" w:rsidRDefault="00CE0F80" w:rsidP="00044739">
      <w:pPr>
        <w:spacing w:line="240" w:lineRule="auto"/>
      </w:pPr>
      <w:r>
        <w:separator/>
      </w:r>
    </w:p>
  </w:endnote>
  <w:endnote w:type="continuationSeparator" w:id="0">
    <w:p w14:paraId="61638750" w14:textId="77777777" w:rsidR="00CE0F80" w:rsidRDefault="00CE0F80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98EF0" w14:textId="77777777" w:rsidR="00CE0F80" w:rsidRDefault="00CE0F80" w:rsidP="00044739">
      <w:pPr>
        <w:spacing w:line="240" w:lineRule="auto"/>
      </w:pPr>
      <w:r>
        <w:separator/>
      </w:r>
    </w:p>
  </w:footnote>
  <w:footnote w:type="continuationSeparator" w:id="0">
    <w:p w14:paraId="202D5296" w14:textId="77777777" w:rsidR="00CE0F80" w:rsidRDefault="00CE0F80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303E085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0243"/>
    <w:multiLevelType w:val="hybridMultilevel"/>
    <w:tmpl w:val="F3D48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" w15:restartNumberingAfterBreak="0">
    <w:nsid w:val="16A56FC5"/>
    <w:multiLevelType w:val="hybridMultilevel"/>
    <w:tmpl w:val="425E65A8"/>
    <w:lvl w:ilvl="0" w:tplc="E070C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0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711C6"/>
    <w:multiLevelType w:val="hybridMultilevel"/>
    <w:tmpl w:val="38B62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164F2"/>
    <w:multiLevelType w:val="hybridMultilevel"/>
    <w:tmpl w:val="E8A0DC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5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E022204"/>
    <w:multiLevelType w:val="hybridMultilevel"/>
    <w:tmpl w:val="BA8E6200"/>
    <w:lvl w:ilvl="0" w:tplc="87B48F8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466C62EA"/>
    <w:multiLevelType w:val="hybridMultilevel"/>
    <w:tmpl w:val="E9B67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0" w15:restartNumberingAfterBreak="0">
    <w:nsid w:val="4B2B03E1"/>
    <w:multiLevelType w:val="hybridMultilevel"/>
    <w:tmpl w:val="2D9C4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23F0E4A"/>
    <w:multiLevelType w:val="hybridMultilevel"/>
    <w:tmpl w:val="D8783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53143"/>
    <w:multiLevelType w:val="hybridMultilevel"/>
    <w:tmpl w:val="56183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62F224A5"/>
    <w:multiLevelType w:val="hybridMultilevel"/>
    <w:tmpl w:val="57FA8A56"/>
    <w:lvl w:ilvl="0" w:tplc="50C85F38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722693"/>
    <w:multiLevelType w:val="hybridMultilevel"/>
    <w:tmpl w:val="FF18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079E4"/>
    <w:multiLevelType w:val="hybridMultilevel"/>
    <w:tmpl w:val="C812D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27"/>
  </w:num>
  <w:num w:numId="5">
    <w:abstractNumId w:val="3"/>
  </w:num>
  <w:num w:numId="6">
    <w:abstractNumId w:val="10"/>
  </w:num>
  <w:num w:numId="7">
    <w:abstractNumId w:val="18"/>
  </w:num>
  <w:num w:numId="8">
    <w:abstractNumId w:val="7"/>
  </w:num>
  <w:num w:numId="9">
    <w:abstractNumId w:val="21"/>
  </w:num>
  <w:num w:numId="10">
    <w:abstractNumId w:val="15"/>
  </w:num>
  <w:num w:numId="11">
    <w:abstractNumId w:val="19"/>
  </w:num>
  <w:num w:numId="12">
    <w:abstractNumId w:val="4"/>
  </w:num>
  <w:num w:numId="13">
    <w:abstractNumId w:val="14"/>
  </w:num>
  <w:num w:numId="14">
    <w:abstractNumId w:val="28"/>
  </w:num>
  <w:num w:numId="15">
    <w:abstractNumId w:val="24"/>
  </w:num>
  <w:num w:numId="16">
    <w:abstractNumId w:val="26"/>
  </w:num>
  <w:num w:numId="17">
    <w:abstractNumId w:val="8"/>
  </w:num>
  <w:num w:numId="18">
    <w:abstractNumId w:val="30"/>
  </w:num>
  <w:num w:numId="19">
    <w:abstractNumId w:val="33"/>
  </w:num>
  <w:num w:numId="20">
    <w:abstractNumId w:val="25"/>
  </w:num>
  <w:num w:numId="21">
    <w:abstractNumId w:val="9"/>
  </w:num>
  <w:num w:numId="22">
    <w:abstractNumId w:val="23"/>
  </w:num>
  <w:num w:numId="23">
    <w:abstractNumId w:val="5"/>
  </w:num>
  <w:num w:numId="24">
    <w:abstractNumId w:val="2"/>
  </w:num>
  <w:num w:numId="25">
    <w:abstractNumId w:val="11"/>
  </w:num>
  <w:num w:numId="26">
    <w:abstractNumId w:val="2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0"/>
  </w:num>
  <w:num w:numId="30">
    <w:abstractNumId w:val="16"/>
  </w:num>
  <w:num w:numId="31">
    <w:abstractNumId w:val="32"/>
  </w:num>
  <w:num w:numId="32">
    <w:abstractNumId w:val="22"/>
  </w:num>
  <w:num w:numId="33">
    <w:abstractNumId w:val="3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CB"/>
    <w:rsid w:val="000008E5"/>
    <w:rsid w:val="000015EE"/>
    <w:rsid w:val="00002088"/>
    <w:rsid w:val="000022D5"/>
    <w:rsid w:val="00002583"/>
    <w:rsid w:val="00004C6A"/>
    <w:rsid w:val="000057DC"/>
    <w:rsid w:val="000113C6"/>
    <w:rsid w:val="00012D11"/>
    <w:rsid w:val="00013D84"/>
    <w:rsid w:val="00013EB5"/>
    <w:rsid w:val="000206AD"/>
    <w:rsid w:val="00023836"/>
    <w:rsid w:val="00027075"/>
    <w:rsid w:val="00034E7B"/>
    <w:rsid w:val="000356A9"/>
    <w:rsid w:val="00044138"/>
    <w:rsid w:val="00044739"/>
    <w:rsid w:val="00051637"/>
    <w:rsid w:val="00056681"/>
    <w:rsid w:val="00056CD4"/>
    <w:rsid w:val="000648A7"/>
    <w:rsid w:val="0006618B"/>
    <w:rsid w:val="000670C0"/>
    <w:rsid w:val="000718DB"/>
    <w:rsid w:val="00071B99"/>
    <w:rsid w:val="000756E5"/>
    <w:rsid w:val="0007704E"/>
    <w:rsid w:val="00080EC8"/>
    <w:rsid w:val="00085CF7"/>
    <w:rsid w:val="00086538"/>
    <w:rsid w:val="000944AC"/>
    <w:rsid w:val="00094CB9"/>
    <w:rsid w:val="000956B2"/>
    <w:rsid w:val="000969E7"/>
    <w:rsid w:val="000A23DE"/>
    <w:rsid w:val="000A2615"/>
    <w:rsid w:val="000A4020"/>
    <w:rsid w:val="000A68A7"/>
    <w:rsid w:val="000B3300"/>
    <w:rsid w:val="000B54FB"/>
    <w:rsid w:val="000C03B6"/>
    <w:rsid w:val="000C2772"/>
    <w:rsid w:val="000C29B0"/>
    <w:rsid w:val="000C42A1"/>
    <w:rsid w:val="000C76FC"/>
    <w:rsid w:val="000D38FC"/>
    <w:rsid w:val="000D4D90"/>
    <w:rsid w:val="000D6B97"/>
    <w:rsid w:val="000E2D10"/>
    <w:rsid w:val="000F3204"/>
    <w:rsid w:val="000F76C3"/>
    <w:rsid w:val="00103499"/>
    <w:rsid w:val="0010548B"/>
    <w:rsid w:val="001068F8"/>
    <w:rsid w:val="00106BFB"/>
    <w:rsid w:val="001072D1"/>
    <w:rsid w:val="00111B47"/>
    <w:rsid w:val="00117017"/>
    <w:rsid w:val="00130AD0"/>
    <w:rsid w:val="00130E8E"/>
    <w:rsid w:val="00131D1B"/>
    <w:rsid w:val="0013216E"/>
    <w:rsid w:val="001401B5"/>
    <w:rsid w:val="001422B9"/>
    <w:rsid w:val="0014665F"/>
    <w:rsid w:val="001518CF"/>
    <w:rsid w:val="00153464"/>
    <w:rsid w:val="00153B91"/>
    <w:rsid w:val="001541B3"/>
    <w:rsid w:val="001550B0"/>
    <w:rsid w:val="00155B15"/>
    <w:rsid w:val="00161BC2"/>
    <w:rsid w:val="001625BE"/>
    <w:rsid w:val="001643A4"/>
    <w:rsid w:val="001727BB"/>
    <w:rsid w:val="00180D25"/>
    <w:rsid w:val="0018224F"/>
    <w:rsid w:val="0018318D"/>
    <w:rsid w:val="001839D4"/>
    <w:rsid w:val="00185562"/>
    <w:rsid w:val="0018572C"/>
    <w:rsid w:val="0018603C"/>
    <w:rsid w:val="00187E79"/>
    <w:rsid w:val="00187F0D"/>
    <w:rsid w:val="00192CC5"/>
    <w:rsid w:val="0019321A"/>
    <w:rsid w:val="00194E20"/>
    <w:rsid w:val="00195585"/>
    <w:rsid w:val="001956A7"/>
    <w:rsid w:val="001979F7"/>
    <w:rsid w:val="00197C1B"/>
    <w:rsid w:val="001A118A"/>
    <w:rsid w:val="001A25CB"/>
    <w:rsid w:val="001A27F4"/>
    <w:rsid w:val="001A2D95"/>
    <w:rsid w:val="001A5989"/>
    <w:rsid w:val="001B3460"/>
    <w:rsid w:val="001B4CA1"/>
    <w:rsid w:val="001B75D8"/>
    <w:rsid w:val="001C1060"/>
    <w:rsid w:val="001C3C63"/>
    <w:rsid w:val="001D1257"/>
    <w:rsid w:val="001D16B2"/>
    <w:rsid w:val="001D4732"/>
    <w:rsid w:val="001D6A3C"/>
    <w:rsid w:val="001D6BC1"/>
    <w:rsid w:val="001D6D51"/>
    <w:rsid w:val="001E45CD"/>
    <w:rsid w:val="001E6591"/>
    <w:rsid w:val="001F630A"/>
    <w:rsid w:val="001F653A"/>
    <w:rsid w:val="001F6979"/>
    <w:rsid w:val="00201C9D"/>
    <w:rsid w:val="00202BC6"/>
    <w:rsid w:val="00205141"/>
    <w:rsid w:val="0020516B"/>
    <w:rsid w:val="00205F0F"/>
    <w:rsid w:val="00207F49"/>
    <w:rsid w:val="00210C8C"/>
    <w:rsid w:val="00213559"/>
    <w:rsid w:val="00213EFD"/>
    <w:rsid w:val="002172F1"/>
    <w:rsid w:val="002234A3"/>
    <w:rsid w:val="00223C7B"/>
    <w:rsid w:val="00224AB1"/>
    <w:rsid w:val="0022687A"/>
    <w:rsid w:val="00230728"/>
    <w:rsid w:val="00234040"/>
    <w:rsid w:val="00235CD2"/>
    <w:rsid w:val="00241519"/>
    <w:rsid w:val="00244B85"/>
    <w:rsid w:val="0024786F"/>
    <w:rsid w:val="00250A22"/>
    <w:rsid w:val="002512FB"/>
    <w:rsid w:val="00254DED"/>
    <w:rsid w:val="00255619"/>
    <w:rsid w:val="00255DAD"/>
    <w:rsid w:val="00256108"/>
    <w:rsid w:val="002607A0"/>
    <w:rsid w:val="00260F33"/>
    <w:rsid w:val="002613BD"/>
    <w:rsid w:val="002624F1"/>
    <w:rsid w:val="00262EDA"/>
    <w:rsid w:val="002651A9"/>
    <w:rsid w:val="00270C81"/>
    <w:rsid w:val="00271558"/>
    <w:rsid w:val="00274862"/>
    <w:rsid w:val="002819BF"/>
    <w:rsid w:val="0028214B"/>
    <w:rsid w:val="00282D72"/>
    <w:rsid w:val="00283402"/>
    <w:rsid w:val="00284EC7"/>
    <w:rsid w:val="00290FD6"/>
    <w:rsid w:val="00291E85"/>
    <w:rsid w:val="00294259"/>
    <w:rsid w:val="00296073"/>
    <w:rsid w:val="0029713C"/>
    <w:rsid w:val="00297D30"/>
    <w:rsid w:val="002A2C2A"/>
    <w:rsid w:val="002A2C81"/>
    <w:rsid w:val="002A7418"/>
    <w:rsid w:val="002B3D1A"/>
    <w:rsid w:val="002B3ECC"/>
    <w:rsid w:val="002C0436"/>
    <w:rsid w:val="002C27D0"/>
    <w:rsid w:val="002C2C9B"/>
    <w:rsid w:val="002C4DC1"/>
    <w:rsid w:val="002C6AF0"/>
    <w:rsid w:val="002D15E5"/>
    <w:rsid w:val="002D17D6"/>
    <w:rsid w:val="002D18D7"/>
    <w:rsid w:val="002D21CE"/>
    <w:rsid w:val="002D668F"/>
    <w:rsid w:val="002E2BCB"/>
    <w:rsid w:val="002E3DA3"/>
    <w:rsid w:val="002E450F"/>
    <w:rsid w:val="002E6B38"/>
    <w:rsid w:val="002E6D63"/>
    <w:rsid w:val="002E6E2B"/>
    <w:rsid w:val="002F0952"/>
    <w:rsid w:val="002F41B1"/>
    <w:rsid w:val="002F500B"/>
    <w:rsid w:val="00300991"/>
    <w:rsid w:val="00301959"/>
    <w:rsid w:val="00305563"/>
    <w:rsid w:val="00305B8A"/>
    <w:rsid w:val="003168C0"/>
    <w:rsid w:val="00324A85"/>
    <w:rsid w:val="00331BF9"/>
    <w:rsid w:val="0033495E"/>
    <w:rsid w:val="00334A79"/>
    <w:rsid w:val="00334D8D"/>
    <w:rsid w:val="00337345"/>
    <w:rsid w:val="00337DD2"/>
    <w:rsid w:val="003404D1"/>
    <w:rsid w:val="003438D8"/>
    <w:rsid w:val="003443FF"/>
    <w:rsid w:val="003511AC"/>
    <w:rsid w:val="0035433E"/>
    <w:rsid w:val="00355808"/>
    <w:rsid w:val="00362C7E"/>
    <w:rsid w:val="00363309"/>
    <w:rsid w:val="00363601"/>
    <w:rsid w:val="00371857"/>
    <w:rsid w:val="00372480"/>
    <w:rsid w:val="00376AC9"/>
    <w:rsid w:val="00377FA3"/>
    <w:rsid w:val="0038777E"/>
    <w:rsid w:val="00392281"/>
    <w:rsid w:val="00393032"/>
    <w:rsid w:val="00394B69"/>
    <w:rsid w:val="00397078"/>
    <w:rsid w:val="003A3518"/>
    <w:rsid w:val="003A6953"/>
    <w:rsid w:val="003B1E6E"/>
    <w:rsid w:val="003B3C11"/>
    <w:rsid w:val="003B6083"/>
    <w:rsid w:val="003C1AF4"/>
    <w:rsid w:val="003C3838"/>
    <w:rsid w:val="003C5847"/>
    <w:rsid w:val="003D0418"/>
    <w:rsid w:val="003D0668"/>
    <w:rsid w:val="003D0681"/>
    <w:rsid w:val="003D12F6"/>
    <w:rsid w:val="003D1426"/>
    <w:rsid w:val="003E2F4E"/>
    <w:rsid w:val="003E720A"/>
    <w:rsid w:val="003F3631"/>
    <w:rsid w:val="003F4DA0"/>
    <w:rsid w:val="003F7995"/>
    <w:rsid w:val="00402043"/>
    <w:rsid w:val="00402353"/>
    <w:rsid w:val="00402A8D"/>
    <w:rsid w:val="00403CDE"/>
    <w:rsid w:val="00403E6E"/>
    <w:rsid w:val="00412664"/>
    <w:rsid w:val="004129B4"/>
    <w:rsid w:val="004171FF"/>
    <w:rsid w:val="00417EF0"/>
    <w:rsid w:val="00422181"/>
    <w:rsid w:val="004244A8"/>
    <w:rsid w:val="00425F72"/>
    <w:rsid w:val="00427736"/>
    <w:rsid w:val="00430F8A"/>
    <w:rsid w:val="004354CC"/>
    <w:rsid w:val="00440470"/>
    <w:rsid w:val="00441787"/>
    <w:rsid w:val="00442A26"/>
    <w:rsid w:val="00444F2D"/>
    <w:rsid w:val="00451844"/>
    <w:rsid w:val="00452034"/>
    <w:rsid w:val="00454CDC"/>
    <w:rsid w:val="00455FA6"/>
    <w:rsid w:val="00461B1A"/>
    <w:rsid w:val="004636FA"/>
    <w:rsid w:val="00465519"/>
    <w:rsid w:val="00466337"/>
    <w:rsid w:val="00466C70"/>
    <w:rsid w:val="004702C9"/>
    <w:rsid w:val="00472E45"/>
    <w:rsid w:val="00473FEA"/>
    <w:rsid w:val="0047579D"/>
    <w:rsid w:val="00483262"/>
    <w:rsid w:val="00484107"/>
    <w:rsid w:val="00485CC5"/>
    <w:rsid w:val="0049343F"/>
    <w:rsid w:val="0049574F"/>
    <w:rsid w:val="004961BE"/>
    <w:rsid w:val="004964FC"/>
    <w:rsid w:val="00497312"/>
    <w:rsid w:val="004A07DE"/>
    <w:rsid w:val="004A145E"/>
    <w:rsid w:val="004A1CEE"/>
    <w:rsid w:val="004A1F15"/>
    <w:rsid w:val="004A2063"/>
    <w:rsid w:val="004A2A81"/>
    <w:rsid w:val="004A7BD7"/>
    <w:rsid w:val="004B610E"/>
    <w:rsid w:val="004C07B6"/>
    <w:rsid w:val="004C15C2"/>
    <w:rsid w:val="004C36D8"/>
    <w:rsid w:val="004D1248"/>
    <w:rsid w:val="004D1E3C"/>
    <w:rsid w:val="004D21CF"/>
    <w:rsid w:val="004D4169"/>
    <w:rsid w:val="004D51AD"/>
    <w:rsid w:val="004D6E14"/>
    <w:rsid w:val="004E6423"/>
    <w:rsid w:val="004E6C5A"/>
    <w:rsid w:val="004F0575"/>
    <w:rsid w:val="004F080C"/>
    <w:rsid w:val="004F42ED"/>
    <w:rsid w:val="004F4E17"/>
    <w:rsid w:val="0050082F"/>
    <w:rsid w:val="00500C56"/>
    <w:rsid w:val="00501713"/>
    <w:rsid w:val="0050352A"/>
    <w:rsid w:val="00506568"/>
    <w:rsid w:val="0051551B"/>
    <w:rsid w:val="00520C57"/>
    <w:rsid w:val="00522D94"/>
    <w:rsid w:val="00533A6C"/>
    <w:rsid w:val="00533D89"/>
    <w:rsid w:val="00536564"/>
    <w:rsid w:val="00544597"/>
    <w:rsid w:val="00544FFE"/>
    <w:rsid w:val="00545D9F"/>
    <w:rsid w:val="005473F5"/>
    <w:rsid w:val="005474BB"/>
    <w:rsid w:val="005477E7"/>
    <w:rsid w:val="005519AA"/>
    <w:rsid w:val="00552794"/>
    <w:rsid w:val="00554FEF"/>
    <w:rsid w:val="005579B7"/>
    <w:rsid w:val="00563199"/>
    <w:rsid w:val="00564874"/>
    <w:rsid w:val="00567963"/>
    <w:rsid w:val="0057009A"/>
    <w:rsid w:val="00571260"/>
    <w:rsid w:val="0057189C"/>
    <w:rsid w:val="00573FC1"/>
    <w:rsid w:val="005741EE"/>
    <w:rsid w:val="0057668E"/>
    <w:rsid w:val="00581F2D"/>
    <w:rsid w:val="00587A08"/>
    <w:rsid w:val="00587EB9"/>
    <w:rsid w:val="00595E83"/>
    <w:rsid w:val="00596530"/>
    <w:rsid w:val="005967F3"/>
    <w:rsid w:val="0059708D"/>
    <w:rsid w:val="00597686"/>
    <w:rsid w:val="005A06DF"/>
    <w:rsid w:val="005A2C72"/>
    <w:rsid w:val="005A2C76"/>
    <w:rsid w:val="005A50BD"/>
    <w:rsid w:val="005A5527"/>
    <w:rsid w:val="005A5AE6"/>
    <w:rsid w:val="005A717C"/>
    <w:rsid w:val="005A7CF3"/>
    <w:rsid w:val="005B1206"/>
    <w:rsid w:val="005B37E8"/>
    <w:rsid w:val="005B3F18"/>
    <w:rsid w:val="005C0056"/>
    <w:rsid w:val="005C1CEE"/>
    <w:rsid w:val="005C1D29"/>
    <w:rsid w:val="005C486B"/>
    <w:rsid w:val="005D36C5"/>
    <w:rsid w:val="005D61D6"/>
    <w:rsid w:val="005E0672"/>
    <w:rsid w:val="005E0D13"/>
    <w:rsid w:val="005E49DD"/>
    <w:rsid w:val="005E5047"/>
    <w:rsid w:val="005E671F"/>
    <w:rsid w:val="005E7205"/>
    <w:rsid w:val="005E7371"/>
    <w:rsid w:val="005F116C"/>
    <w:rsid w:val="005F20A8"/>
    <w:rsid w:val="005F2131"/>
    <w:rsid w:val="005F4F42"/>
    <w:rsid w:val="005F6AD6"/>
    <w:rsid w:val="00605649"/>
    <w:rsid w:val="00605858"/>
    <w:rsid w:val="00605EF6"/>
    <w:rsid w:val="00606455"/>
    <w:rsid w:val="00607755"/>
    <w:rsid w:val="00614929"/>
    <w:rsid w:val="00616511"/>
    <w:rsid w:val="006176ED"/>
    <w:rsid w:val="006202F3"/>
    <w:rsid w:val="0062097A"/>
    <w:rsid w:val="00621DA6"/>
    <w:rsid w:val="00623CFE"/>
    <w:rsid w:val="00627221"/>
    <w:rsid w:val="00627EE8"/>
    <w:rsid w:val="006316FA"/>
    <w:rsid w:val="006319CA"/>
    <w:rsid w:val="0063275A"/>
    <w:rsid w:val="006370D2"/>
    <w:rsid w:val="006400D8"/>
    <w:rsid w:val="0064074F"/>
    <w:rsid w:val="00641F55"/>
    <w:rsid w:val="00645E4A"/>
    <w:rsid w:val="00653688"/>
    <w:rsid w:val="00654782"/>
    <w:rsid w:val="00655BB4"/>
    <w:rsid w:val="00655E4B"/>
    <w:rsid w:val="006568D6"/>
    <w:rsid w:val="0066091B"/>
    <w:rsid w:val="00662BCC"/>
    <w:rsid w:val="006646F3"/>
    <w:rsid w:val="006660E9"/>
    <w:rsid w:val="006664E8"/>
    <w:rsid w:val="0066702D"/>
    <w:rsid w:val="00667249"/>
    <w:rsid w:val="00667558"/>
    <w:rsid w:val="00671523"/>
    <w:rsid w:val="006754EF"/>
    <w:rsid w:val="00676261"/>
    <w:rsid w:val="00676C8D"/>
    <w:rsid w:val="00676F1F"/>
    <w:rsid w:val="00677381"/>
    <w:rsid w:val="00677414"/>
    <w:rsid w:val="006832CF"/>
    <w:rsid w:val="00684535"/>
    <w:rsid w:val="0068601E"/>
    <w:rsid w:val="0069486B"/>
    <w:rsid w:val="00694D5D"/>
    <w:rsid w:val="006A1929"/>
    <w:rsid w:val="006A4904"/>
    <w:rsid w:val="006A548F"/>
    <w:rsid w:val="006A5748"/>
    <w:rsid w:val="006A6C14"/>
    <w:rsid w:val="006A701A"/>
    <w:rsid w:val="006A734D"/>
    <w:rsid w:val="006B1183"/>
    <w:rsid w:val="006B1DE8"/>
    <w:rsid w:val="006B22FB"/>
    <w:rsid w:val="006B3618"/>
    <w:rsid w:val="006B5A87"/>
    <w:rsid w:val="006B5CB3"/>
    <w:rsid w:val="006B64DC"/>
    <w:rsid w:val="006B7A91"/>
    <w:rsid w:val="006C7D85"/>
    <w:rsid w:val="006D4704"/>
    <w:rsid w:val="006D6A2D"/>
    <w:rsid w:val="006E02FB"/>
    <w:rsid w:val="006E1E18"/>
    <w:rsid w:val="006E31CE"/>
    <w:rsid w:val="006E34D3"/>
    <w:rsid w:val="006E3E49"/>
    <w:rsid w:val="006F1435"/>
    <w:rsid w:val="006F165F"/>
    <w:rsid w:val="006F2D44"/>
    <w:rsid w:val="006F78C4"/>
    <w:rsid w:val="00701DE7"/>
    <w:rsid w:val="007031A0"/>
    <w:rsid w:val="00704932"/>
    <w:rsid w:val="00704E8B"/>
    <w:rsid w:val="00705A29"/>
    <w:rsid w:val="00707498"/>
    <w:rsid w:val="00711A65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318DD"/>
    <w:rsid w:val="00733167"/>
    <w:rsid w:val="00740D2C"/>
    <w:rsid w:val="007415D0"/>
    <w:rsid w:val="00744BF9"/>
    <w:rsid w:val="00745A4F"/>
    <w:rsid w:val="00752623"/>
    <w:rsid w:val="00760F1F"/>
    <w:rsid w:val="0076423E"/>
    <w:rsid w:val="007646CB"/>
    <w:rsid w:val="0076658F"/>
    <w:rsid w:val="007666CC"/>
    <w:rsid w:val="0077040A"/>
    <w:rsid w:val="00772D64"/>
    <w:rsid w:val="00774895"/>
    <w:rsid w:val="007779F1"/>
    <w:rsid w:val="00777D8C"/>
    <w:rsid w:val="0078093C"/>
    <w:rsid w:val="00792609"/>
    <w:rsid w:val="00792887"/>
    <w:rsid w:val="007943E2"/>
    <w:rsid w:val="00794F2C"/>
    <w:rsid w:val="007A3BC7"/>
    <w:rsid w:val="007A5AC4"/>
    <w:rsid w:val="007B0FDD"/>
    <w:rsid w:val="007B4802"/>
    <w:rsid w:val="007B6668"/>
    <w:rsid w:val="007B6B33"/>
    <w:rsid w:val="007C2701"/>
    <w:rsid w:val="007C63A5"/>
    <w:rsid w:val="007D2192"/>
    <w:rsid w:val="007D30F0"/>
    <w:rsid w:val="007D6353"/>
    <w:rsid w:val="007E7FF4"/>
    <w:rsid w:val="007F0021"/>
    <w:rsid w:val="007F239D"/>
    <w:rsid w:val="007F2F52"/>
    <w:rsid w:val="007F458D"/>
    <w:rsid w:val="00801F71"/>
    <w:rsid w:val="00804D93"/>
    <w:rsid w:val="008052C0"/>
    <w:rsid w:val="00805F28"/>
    <w:rsid w:val="0080749F"/>
    <w:rsid w:val="008076DA"/>
    <w:rsid w:val="00811D46"/>
    <w:rsid w:val="008125B0"/>
    <w:rsid w:val="008144CB"/>
    <w:rsid w:val="008171D2"/>
    <w:rsid w:val="00821717"/>
    <w:rsid w:val="00824210"/>
    <w:rsid w:val="008263C0"/>
    <w:rsid w:val="008360D2"/>
    <w:rsid w:val="0084028B"/>
    <w:rsid w:val="00841422"/>
    <w:rsid w:val="00841D3B"/>
    <w:rsid w:val="0084314C"/>
    <w:rsid w:val="00843154"/>
    <w:rsid w:val="00843171"/>
    <w:rsid w:val="0085570A"/>
    <w:rsid w:val="00855835"/>
    <w:rsid w:val="00856799"/>
    <w:rsid w:val="008575C3"/>
    <w:rsid w:val="0086053F"/>
    <w:rsid w:val="00863D28"/>
    <w:rsid w:val="008648C3"/>
    <w:rsid w:val="00864F47"/>
    <w:rsid w:val="00880F26"/>
    <w:rsid w:val="008842BF"/>
    <w:rsid w:val="00896C2E"/>
    <w:rsid w:val="008A5095"/>
    <w:rsid w:val="008A608F"/>
    <w:rsid w:val="008B1A9A"/>
    <w:rsid w:val="008B4FE6"/>
    <w:rsid w:val="008B6C37"/>
    <w:rsid w:val="008C1BF4"/>
    <w:rsid w:val="008C504F"/>
    <w:rsid w:val="008D243A"/>
    <w:rsid w:val="008D27BB"/>
    <w:rsid w:val="008E18F7"/>
    <w:rsid w:val="008E1C17"/>
    <w:rsid w:val="008E1E10"/>
    <w:rsid w:val="008E1E68"/>
    <w:rsid w:val="008E291B"/>
    <w:rsid w:val="008E4F2F"/>
    <w:rsid w:val="008E74B0"/>
    <w:rsid w:val="008F23BF"/>
    <w:rsid w:val="008F6DC4"/>
    <w:rsid w:val="009005C3"/>
    <w:rsid w:val="009008A8"/>
    <w:rsid w:val="00902827"/>
    <w:rsid w:val="009042ED"/>
    <w:rsid w:val="009063B0"/>
    <w:rsid w:val="00907106"/>
    <w:rsid w:val="009107FD"/>
    <w:rsid w:val="0091137C"/>
    <w:rsid w:val="00911567"/>
    <w:rsid w:val="00914030"/>
    <w:rsid w:val="00917AAE"/>
    <w:rsid w:val="00922582"/>
    <w:rsid w:val="00922631"/>
    <w:rsid w:val="00922CE0"/>
    <w:rsid w:val="009251A9"/>
    <w:rsid w:val="00926231"/>
    <w:rsid w:val="0092724B"/>
    <w:rsid w:val="00927427"/>
    <w:rsid w:val="009278E1"/>
    <w:rsid w:val="00930699"/>
    <w:rsid w:val="00931F69"/>
    <w:rsid w:val="00934123"/>
    <w:rsid w:val="00935E45"/>
    <w:rsid w:val="0095125A"/>
    <w:rsid w:val="00955774"/>
    <w:rsid w:val="009560B5"/>
    <w:rsid w:val="009627A6"/>
    <w:rsid w:val="009703D6"/>
    <w:rsid w:val="0097181B"/>
    <w:rsid w:val="00974D77"/>
    <w:rsid w:val="00976DC5"/>
    <w:rsid w:val="00980C6E"/>
    <w:rsid w:val="009818C7"/>
    <w:rsid w:val="00982DD4"/>
    <w:rsid w:val="009841E5"/>
    <w:rsid w:val="0098479F"/>
    <w:rsid w:val="00984A8A"/>
    <w:rsid w:val="00985481"/>
    <w:rsid w:val="009857B6"/>
    <w:rsid w:val="00985A8D"/>
    <w:rsid w:val="00986610"/>
    <w:rsid w:val="009877DC"/>
    <w:rsid w:val="0099136B"/>
    <w:rsid w:val="009916B5"/>
    <w:rsid w:val="00991F96"/>
    <w:rsid w:val="00996F0A"/>
    <w:rsid w:val="009A0658"/>
    <w:rsid w:val="009A1D86"/>
    <w:rsid w:val="009A2432"/>
    <w:rsid w:val="009A3CFA"/>
    <w:rsid w:val="009B049C"/>
    <w:rsid w:val="009B11C8"/>
    <w:rsid w:val="009B2BCF"/>
    <w:rsid w:val="009B2FF8"/>
    <w:rsid w:val="009B5BA3"/>
    <w:rsid w:val="009C71D3"/>
    <w:rsid w:val="009C7B8E"/>
    <w:rsid w:val="009C7D67"/>
    <w:rsid w:val="009D0027"/>
    <w:rsid w:val="009D0655"/>
    <w:rsid w:val="009D0862"/>
    <w:rsid w:val="009D2666"/>
    <w:rsid w:val="009E1E98"/>
    <w:rsid w:val="009E3ABE"/>
    <w:rsid w:val="009E3C4B"/>
    <w:rsid w:val="009F0637"/>
    <w:rsid w:val="009F0CFC"/>
    <w:rsid w:val="009F62A6"/>
    <w:rsid w:val="009F674F"/>
    <w:rsid w:val="009F799E"/>
    <w:rsid w:val="00A02020"/>
    <w:rsid w:val="00A02AD3"/>
    <w:rsid w:val="00A056CB"/>
    <w:rsid w:val="00A07A29"/>
    <w:rsid w:val="00A10FF1"/>
    <w:rsid w:val="00A1506B"/>
    <w:rsid w:val="00A17CB2"/>
    <w:rsid w:val="00A21623"/>
    <w:rsid w:val="00A21B9A"/>
    <w:rsid w:val="00A23191"/>
    <w:rsid w:val="00A27F74"/>
    <w:rsid w:val="00A319C0"/>
    <w:rsid w:val="00A33560"/>
    <w:rsid w:val="00A356E2"/>
    <w:rsid w:val="00A364E4"/>
    <w:rsid w:val="00A371A5"/>
    <w:rsid w:val="00A43F17"/>
    <w:rsid w:val="00A45CA1"/>
    <w:rsid w:val="00A47BDF"/>
    <w:rsid w:val="00A5018B"/>
    <w:rsid w:val="00A51CD7"/>
    <w:rsid w:val="00A52ADB"/>
    <w:rsid w:val="00A533E8"/>
    <w:rsid w:val="00A542D9"/>
    <w:rsid w:val="00A56E64"/>
    <w:rsid w:val="00A61326"/>
    <w:rsid w:val="00A6170B"/>
    <w:rsid w:val="00A624C3"/>
    <w:rsid w:val="00A64257"/>
    <w:rsid w:val="00A6610C"/>
    <w:rsid w:val="00A6641C"/>
    <w:rsid w:val="00A66A70"/>
    <w:rsid w:val="00A67D21"/>
    <w:rsid w:val="00A767D2"/>
    <w:rsid w:val="00A77616"/>
    <w:rsid w:val="00A805DA"/>
    <w:rsid w:val="00A811B4"/>
    <w:rsid w:val="00A828C8"/>
    <w:rsid w:val="00A87CDE"/>
    <w:rsid w:val="00A91F4A"/>
    <w:rsid w:val="00A92BAF"/>
    <w:rsid w:val="00A94737"/>
    <w:rsid w:val="00A94BA3"/>
    <w:rsid w:val="00A96CBA"/>
    <w:rsid w:val="00A972CD"/>
    <w:rsid w:val="00A97DB8"/>
    <w:rsid w:val="00AA06F4"/>
    <w:rsid w:val="00AA39BA"/>
    <w:rsid w:val="00AB0BC1"/>
    <w:rsid w:val="00AB1ACD"/>
    <w:rsid w:val="00AB277F"/>
    <w:rsid w:val="00AB3470"/>
    <w:rsid w:val="00AB4099"/>
    <w:rsid w:val="00AB449A"/>
    <w:rsid w:val="00AB61B4"/>
    <w:rsid w:val="00AC4D18"/>
    <w:rsid w:val="00AD14F9"/>
    <w:rsid w:val="00AD2981"/>
    <w:rsid w:val="00AD35D6"/>
    <w:rsid w:val="00AD58C5"/>
    <w:rsid w:val="00AE272D"/>
    <w:rsid w:val="00AE36C4"/>
    <w:rsid w:val="00AE472C"/>
    <w:rsid w:val="00AE5375"/>
    <w:rsid w:val="00AE63C4"/>
    <w:rsid w:val="00AE6CF8"/>
    <w:rsid w:val="00AF14BD"/>
    <w:rsid w:val="00AF4CAC"/>
    <w:rsid w:val="00AF77AA"/>
    <w:rsid w:val="00B03E0D"/>
    <w:rsid w:val="00B04CFA"/>
    <w:rsid w:val="00B054F8"/>
    <w:rsid w:val="00B107D6"/>
    <w:rsid w:val="00B217C2"/>
    <w:rsid w:val="00B2219A"/>
    <w:rsid w:val="00B22B82"/>
    <w:rsid w:val="00B2517B"/>
    <w:rsid w:val="00B25EF8"/>
    <w:rsid w:val="00B2650E"/>
    <w:rsid w:val="00B342B3"/>
    <w:rsid w:val="00B3581B"/>
    <w:rsid w:val="00B36B81"/>
    <w:rsid w:val="00B36FEE"/>
    <w:rsid w:val="00B37C80"/>
    <w:rsid w:val="00B455B5"/>
    <w:rsid w:val="00B47172"/>
    <w:rsid w:val="00B5092B"/>
    <w:rsid w:val="00B5194E"/>
    <w:rsid w:val="00B51AF5"/>
    <w:rsid w:val="00B531FC"/>
    <w:rsid w:val="00B54D20"/>
    <w:rsid w:val="00B55347"/>
    <w:rsid w:val="00B57E13"/>
    <w:rsid w:val="00B57E5E"/>
    <w:rsid w:val="00B61F37"/>
    <w:rsid w:val="00B73765"/>
    <w:rsid w:val="00B7770F"/>
    <w:rsid w:val="00B77A89"/>
    <w:rsid w:val="00B77B27"/>
    <w:rsid w:val="00B8129F"/>
    <w:rsid w:val="00B8134E"/>
    <w:rsid w:val="00B81B55"/>
    <w:rsid w:val="00B84613"/>
    <w:rsid w:val="00B87AF0"/>
    <w:rsid w:val="00B87D71"/>
    <w:rsid w:val="00B9037B"/>
    <w:rsid w:val="00B905D7"/>
    <w:rsid w:val="00B907BE"/>
    <w:rsid w:val="00B909F2"/>
    <w:rsid w:val="00B910BD"/>
    <w:rsid w:val="00B9189C"/>
    <w:rsid w:val="00B93834"/>
    <w:rsid w:val="00B96469"/>
    <w:rsid w:val="00B97FF6"/>
    <w:rsid w:val="00BA0DA2"/>
    <w:rsid w:val="00BA1468"/>
    <w:rsid w:val="00BA2981"/>
    <w:rsid w:val="00BA2BB7"/>
    <w:rsid w:val="00BA33FE"/>
    <w:rsid w:val="00BA42EE"/>
    <w:rsid w:val="00BA48F9"/>
    <w:rsid w:val="00BB0DCA"/>
    <w:rsid w:val="00BB2666"/>
    <w:rsid w:val="00BB6B80"/>
    <w:rsid w:val="00BB7FB8"/>
    <w:rsid w:val="00BC29C9"/>
    <w:rsid w:val="00BC3773"/>
    <w:rsid w:val="00BC381A"/>
    <w:rsid w:val="00BC7571"/>
    <w:rsid w:val="00BD0962"/>
    <w:rsid w:val="00BD1EED"/>
    <w:rsid w:val="00BE1A24"/>
    <w:rsid w:val="00BF0DA2"/>
    <w:rsid w:val="00BF109C"/>
    <w:rsid w:val="00BF34FA"/>
    <w:rsid w:val="00BF6FE2"/>
    <w:rsid w:val="00C004B6"/>
    <w:rsid w:val="00C02234"/>
    <w:rsid w:val="00C043AA"/>
    <w:rsid w:val="00C047A7"/>
    <w:rsid w:val="00C05DE5"/>
    <w:rsid w:val="00C07C1E"/>
    <w:rsid w:val="00C1121A"/>
    <w:rsid w:val="00C1196D"/>
    <w:rsid w:val="00C13C8D"/>
    <w:rsid w:val="00C16F0A"/>
    <w:rsid w:val="00C25DB1"/>
    <w:rsid w:val="00C25FCB"/>
    <w:rsid w:val="00C26CE1"/>
    <w:rsid w:val="00C33027"/>
    <w:rsid w:val="00C34C01"/>
    <w:rsid w:val="00C356E1"/>
    <w:rsid w:val="00C37667"/>
    <w:rsid w:val="00C435DB"/>
    <w:rsid w:val="00C44D73"/>
    <w:rsid w:val="00C45FBB"/>
    <w:rsid w:val="00C50B42"/>
    <w:rsid w:val="00C50BD7"/>
    <w:rsid w:val="00C516FF"/>
    <w:rsid w:val="00C5192D"/>
    <w:rsid w:val="00C51AD8"/>
    <w:rsid w:val="00C52BFA"/>
    <w:rsid w:val="00C53D1D"/>
    <w:rsid w:val="00C53F26"/>
    <w:rsid w:val="00C540BC"/>
    <w:rsid w:val="00C5499D"/>
    <w:rsid w:val="00C564FD"/>
    <w:rsid w:val="00C64F7D"/>
    <w:rsid w:val="00C67309"/>
    <w:rsid w:val="00C7131E"/>
    <w:rsid w:val="00C7614E"/>
    <w:rsid w:val="00C77BF1"/>
    <w:rsid w:val="00C801BB"/>
    <w:rsid w:val="00C80D60"/>
    <w:rsid w:val="00C82FBD"/>
    <w:rsid w:val="00C84817"/>
    <w:rsid w:val="00C85267"/>
    <w:rsid w:val="00C86947"/>
    <w:rsid w:val="00C8721B"/>
    <w:rsid w:val="00C9372C"/>
    <w:rsid w:val="00C9470E"/>
    <w:rsid w:val="00C95CEB"/>
    <w:rsid w:val="00CA1054"/>
    <w:rsid w:val="00CA63EB"/>
    <w:rsid w:val="00CA69F1"/>
    <w:rsid w:val="00CB0C1F"/>
    <w:rsid w:val="00CB6991"/>
    <w:rsid w:val="00CC2961"/>
    <w:rsid w:val="00CC3CE2"/>
    <w:rsid w:val="00CC6194"/>
    <w:rsid w:val="00CC6305"/>
    <w:rsid w:val="00CC78A5"/>
    <w:rsid w:val="00CD0516"/>
    <w:rsid w:val="00CD756B"/>
    <w:rsid w:val="00CE0F80"/>
    <w:rsid w:val="00CE734F"/>
    <w:rsid w:val="00CE7C05"/>
    <w:rsid w:val="00CF112E"/>
    <w:rsid w:val="00CF27CC"/>
    <w:rsid w:val="00CF5F4F"/>
    <w:rsid w:val="00D037F9"/>
    <w:rsid w:val="00D03A4F"/>
    <w:rsid w:val="00D11CBE"/>
    <w:rsid w:val="00D11E5E"/>
    <w:rsid w:val="00D13D53"/>
    <w:rsid w:val="00D14FEE"/>
    <w:rsid w:val="00D20AE9"/>
    <w:rsid w:val="00D218DC"/>
    <w:rsid w:val="00D230F7"/>
    <w:rsid w:val="00D23B0D"/>
    <w:rsid w:val="00D24E56"/>
    <w:rsid w:val="00D31643"/>
    <w:rsid w:val="00D31AEB"/>
    <w:rsid w:val="00D32ECD"/>
    <w:rsid w:val="00D361E4"/>
    <w:rsid w:val="00D366D8"/>
    <w:rsid w:val="00D36C8D"/>
    <w:rsid w:val="00D41982"/>
    <w:rsid w:val="00D42A8F"/>
    <w:rsid w:val="00D42E2C"/>
    <w:rsid w:val="00D439F6"/>
    <w:rsid w:val="00D459C6"/>
    <w:rsid w:val="00D50729"/>
    <w:rsid w:val="00D50C19"/>
    <w:rsid w:val="00D5193A"/>
    <w:rsid w:val="00D5379E"/>
    <w:rsid w:val="00D62643"/>
    <w:rsid w:val="00D64C0F"/>
    <w:rsid w:val="00D72EFE"/>
    <w:rsid w:val="00D73487"/>
    <w:rsid w:val="00D73697"/>
    <w:rsid w:val="00D745FF"/>
    <w:rsid w:val="00D76227"/>
    <w:rsid w:val="00D77DF1"/>
    <w:rsid w:val="00D86AFF"/>
    <w:rsid w:val="00D91A74"/>
    <w:rsid w:val="00D95A44"/>
    <w:rsid w:val="00D95D16"/>
    <w:rsid w:val="00D97C76"/>
    <w:rsid w:val="00D97DD1"/>
    <w:rsid w:val="00DA3BBD"/>
    <w:rsid w:val="00DA5594"/>
    <w:rsid w:val="00DB02B4"/>
    <w:rsid w:val="00DB07CE"/>
    <w:rsid w:val="00DB15EF"/>
    <w:rsid w:val="00DB1F00"/>
    <w:rsid w:val="00DB538D"/>
    <w:rsid w:val="00DC275C"/>
    <w:rsid w:val="00DC4B0D"/>
    <w:rsid w:val="00DC7FE1"/>
    <w:rsid w:val="00DD3F3F"/>
    <w:rsid w:val="00DD5572"/>
    <w:rsid w:val="00DE5D80"/>
    <w:rsid w:val="00DF0F4E"/>
    <w:rsid w:val="00DF2DEA"/>
    <w:rsid w:val="00DF58CD"/>
    <w:rsid w:val="00DF65DE"/>
    <w:rsid w:val="00DF7387"/>
    <w:rsid w:val="00E019A5"/>
    <w:rsid w:val="00E02EC8"/>
    <w:rsid w:val="00E037F5"/>
    <w:rsid w:val="00E04ECB"/>
    <w:rsid w:val="00E05A09"/>
    <w:rsid w:val="00E06CA1"/>
    <w:rsid w:val="00E07E51"/>
    <w:rsid w:val="00E11E7F"/>
    <w:rsid w:val="00E126F8"/>
    <w:rsid w:val="00E13C7C"/>
    <w:rsid w:val="00E14436"/>
    <w:rsid w:val="00E172B8"/>
    <w:rsid w:val="00E17FB4"/>
    <w:rsid w:val="00E20B75"/>
    <w:rsid w:val="00E214F2"/>
    <w:rsid w:val="00E222DE"/>
    <w:rsid w:val="00E2371E"/>
    <w:rsid w:val="00E24BD7"/>
    <w:rsid w:val="00E26523"/>
    <w:rsid w:val="00E26809"/>
    <w:rsid w:val="00E2775E"/>
    <w:rsid w:val="00E301BF"/>
    <w:rsid w:val="00E3412D"/>
    <w:rsid w:val="00E44A5E"/>
    <w:rsid w:val="00E4628A"/>
    <w:rsid w:val="00E543DA"/>
    <w:rsid w:val="00E57322"/>
    <w:rsid w:val="00E628CB"/>
    <w:rsid w:val="00E62AD9"/>
    <w:rsid w:val="00E638C8"/>
    <w:rsid w:val="00E651D1"/>
    <w:rsid w:val="00E7466E"/>
    <w:rsid w:val="00E7509B"/>
    <w:rsid w:val="00E76DF5"/>
    <w:rsid w:val="00E86590"/>
    <w:rsid w:val="00E907FF"/>
    <w:rsid w:val="00EA42D1"/>
    <w:rsid w:val="00EA42EF"/>
    <w:rsid w:val="00EA49F5"/>
    <w:rsid w:val="00EA6028"/>
    <w:rsid w:val="00EB0505"/>
    <w:rsid w:val="00EB2DD1"/>
    <w:rsid w:val="00EB473D"/>
    <w:rsid w:val="00EB6B37"/>
    <w:rsid w:val="00EB7F57"/>
    <w:rsid w:val="00EC29FE"/>
    <w:rsid w:val="00EC3C70"/>
    <w:rsid w:val="00ED0D62"/>
    <w:rsid w:val="00ED1F73"/>
    <w:rsid w:val="00ED3A3D"/>
    <w:rsid w:val="00ED538A"/>
    <w:rsid w:val="00ED6FBC"/>
    <w:rsid w:val="00ED72D5"/>
    <w:rsid w:val="00EE2F16"/>
    <w:rsid w:val="00EE3861"/>
    <w:rsid w:val="00EE5CF4"/>
    <w:rsid w:val="00EF290C"/>
    <w:rsid w:val="00EF2E73"/>
    <w:rsid w:val="00EF41D7"/>
    <w:rsid w:val="00EF7563"/>
    <w:rsid w:val="00EF7683"/>
    <w:rsid w:val="00EF7A2D"/>
    <w:rsid w:val="00F004F1"/>
    <w:rsid w:val="00F02C75"/>
    <w:rsid w:val="00F0360C"/>
    <w:rsid w:val="00F04F8D"/>
    <w:rsid w:val="00F07811"/>
    <w:rsid w:val="00F10AD0"/>
    <w:rsid w:val="00F10E21"/>
    <w:rsid w:val="00F116CC"/>
    <w:rsid w:val="00F12BD1"/>
    <w:rsid w:val="00F14FF8"/>
    <w:rsid w:val="00F15327"/>
    <w:rsid w:val="00F168CF"/>
    <w:rsid w:val="00F226AD"/>
    <w:rsid w:val="00F23EF6"/>
    <w:rsid w:val="00F2555C"/>
    <w:rsid w:val="00F27101"/>
    <w:rsid w:val="00F31DF3"/>
    <w:rsid w:val="00F33AE5"/>
    <w:rsid w:val="00F3597D"/>
    <w:rsid w:val="00F421D8"/>
    <w:rsid w:val="00F434A1"/>
    <w:rsid w:val="00F4376D"/>
    <w:rsid w:val="00F447FE"/>
    <w:rsid w:val="00F45399"/>
    <w:rsid w:val="00F465EA"/>
    <w:rsid w:val="00F5398D"/>
    <w:rsid w:val="00F54E7B"/>
    <w:rsid w:val="00F55A88"/>
    <w:rsid w:val="00F57B92"/>
    <w:rsid w:val="00F73556"/>
    <w:rsid w:val="00F74005"/>
    <w:rsid w:val="00F76884"/>
    <w:rsid w:val="00F82786"/>
    <w:rsid w:val="00F83D24"/>
    <w:rsid w:val="00F83DD9"/>
    <w:rsid w:val="00F83F40"/>
    <w:rsid w:val="00F856EC"/>
    <w:rsid w:val="00F87CFF"/>
    <w:rsid w:val="00F93263"/>
    <w:rsid w:val="00FA117A"/>
    <w:rsid w:val="00FA471A"/>
    <w:rsid w:val="00FA540E"/>
    <w:rsid w:val="00FA5EA2"/>
    <w:rsid w:val="00FB386A"/>
    <w:rsid w:val="00FB3B65"/>
    <w:rsid w:val="00FC0786"/>
    <w:rsid w:val="00FC2259"/>
    <w:rsid w:val="00FC3359"/>
    <w:rsid w:val="00FC49EF"/>
    <w:rsid w:val="00FD29B7"/>
    <w:rsid w:val="00FE36E2"/>
    <w:rsid w:val="00FE565C"/>
    <w:rsid w:val="00FE630A"/>
    <w:rsid w:val="00FF11AD"/>
    <w:rsid w:val="00FF2971"/>
    <w:rsid w:val="00FF2A94"/>
    <w:rsid w:val="00FF34D4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4B2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styleId="Tekstzastpczy">
    <w:name w:val="Placeholder Text"/>
    <w:basedOn w:val="Domylnaczcionkaakapitu"/>
    <w:uiPriority w:val="99"/>
    <w:semiHidden/>
    <w:rsid w:val="00EF290C"/>
    <w:rPr>
      <w:color w:val="808080"/>
    </w:rPr>
  </w:style>
  <w:style w:type="character" w:styleId="Uwydatnienie">
    <w:name w:val="Emphasis"/>
    <w:basedOn w:val="Domylnaczcionkaakapitu"/>
    <w:uiPriority w:val="20"/>
    <w:qFormat/>
    <w:locked/>
    <w:rsid w:val="00F93263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2ED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6B1DE8"/>
    <w:pPr>
      <w:widowControl w:val="0"/>
      <w:autoSpaceDE w:val="0"/>
      <w:autoSpaceDN w:val="0"/>
      <w:spacing w:line="240" w:lineRule="auto"/>
      <w:ind w:left="628"/>
    </w:pPr>
    <w:rPr>
      <w:rFonts w:ascii="Times New Roman" w:eastAsia="Times New Roman" w:hAnsi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1DE8"/>
    <w:rPr>
      <w:rFonts w:ascii="Times New Roman" w:eastAsia="Times New Roman" w:hAnsi="Times New Roman"/>
      <w:sz w:val="24"/>
      <w:szCs w:val="24"/>
      <w:lang w:bidi="pl-PL"/>
    </w:rPr>
  </w:style>
  <w:style w:type="character" w:customStyle="1" w:styleId="Teksttreci4">
    <w:name w:val="Tekst treści (4)_"/>
    <w:link w:val="Teksttreci41"/>
    <w:rsid w:val="0078093C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78093C"/>
    <w:pPr>
      <w:widowControl w:val="0"/>
      <w:shd w:val="clear" w:color="auto" w:fill="FFFFFF"/>
      <w:spacing w:line="254" w:lineRule="exact"/>
      <w:ind w:hanging="380"/>
      <w:jc w:val="both"/>
    </w:pPr>
    <w:rPr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F23EF6"/>
    <w:pPr>
      <w:suppressAutoHyphens/>
      <w:autoSpaceDE w:val="0"/>
      <w:autoSpaceDN w:val="0"/>
      <w:adjustRightInd w:val="0"/>
      <w:spacing w:after="12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F226A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F226AD"/>
    <w:rPr>
      <w:rFonts w:ascii="Times" w:eastAsia="Times New Roman" w:hAnsi="Times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5E671F"/>
    <w:pPr>
      <w:spacing w:before="0" w:after="120"/>
      <w:ind w:left="510"/>
    </w:pPr>
    <w:rPr>
      <w:rFonts w:eastAsiaTheme="minorEastAsi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BFA08-CA9F-4AF9-91D6-5D6458516FEB}"/>
      </w:docPartPr>
      <w:docPartBody>
        <w:p w:rsidR="00F523DD" w:rsidRDefault="00AD66A9">
          <w:r w:rsidRPr="008D24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6A9"/>
    <w:rsid w:val="00047EE1"/>
    <w:rsid w:val="000B58D2"/>
    <w:rsid w:val="000B6994"/>
    <w:rsid w:val="00104A5E"/>
    <w:rsid w:val="00136CDB"/>
    <w:rsid w:val="00175BE2"/>
    <w:rsid w:val="00190BAF"/>
    <w:rsid w:val="0024790A"/>
    <w:rsid w:val="00305E7E"/>
    <w:rsid w:val="003069EF"/>
    <w:rsid w:val="00345575"/>
    <w:rsid w:val="003732E4"/>
    <w:rsid w:val="00387A6D"/>
    <w:rsid w:val="003A6E45"/>
    <w:rsid w:val="003B4292"/>
    <w:rsid w:val="003C2F72"/>
    <w:rsid w:val="00464608"/>
    <w:rsid w:val="004A5171"/>
    <w:rsid w:val="004C7C53"/>
    <w:rsid w:val="004F2A62"/>
    <w:rsid w:val="00501043"/>
    <w:rsid w:val="005034BF"/>
    <w:rsid w:val="005051FA"/>
    <w:rsid w:val="00515AB4"/>
    <w:rsid w:val="00561B3E"/>
    <w:rsid w:val="00626E1A"/>
    <w:rsid w:val="006642CA"/>
    <w:rsid w:val="006754B0"/>
    <w:rsid w:val="00681BA0"/>
    <w:rsid w:val="00696884"/>
    <w:rsid w:val="00697529"/>
    <w:rsid w:val="006A72F0"/>
    <w:rsid w:val="00700103"/>
    <w:rsid w:val="00732721"/>
    <w:rsid w:val="00754C77"/>
    <w:rsid w:val="007668AF"/>
    <w:rsid w:val="00775B4D"/>
    <w:rsid w:val="0078331A"/>
    <w:rsid w:val="007A02B3"/>
    <w:rsid w:val="007B42B5"/>
    <w:rsid w:val="007F3091"/>
    <w:rsid w:val="00860C07"/>
    <w:rsid w:val="008C7CA2"/>
    <w:rsid w:val="008E0CF9"/>
    <w:rsid w:val="008E6D54"/>
    <w:rsid w:val="0092397E"/>
    <w:rsid w:val="00952A3C"/>
    <w:rsid w:val="00962BA7"/>
    <w:rsid w:val="009C25D5"/>
    <w:rsid w:val="009C454B"/>
    <w:rsid w:val="009D27B5"/>
    <w:rsid w:val="00A055C7"/>
    <w:rsid w:val="00A131FE"/>
    <w:rsid w:val="00A928BC"/>
    <w:rsid w:val="00AD46FF"/>
    <w:rsid w:val="00AD66A9"/>
    <w:rsid w:val="00AE61DC"/>
    <w:rsid w:val="00AF426D"/>
    <w:rsid w:val="00B179FB"/>
    <w:rsid w:val="00BC46AF"/>
    <w:rsid w:val="00BE6EF5"/>
    <w:rsid w:val="00C03A77"/>
    <w:rsid w:val="00C30031"/>
    <w:rsid w:val="00C960A4"/>
    <w:rsid w:val="00D75554"/>
    <w:rsid w:val="00E0536A"/>
    <w:rsid w:val="00E06C67"/>
    <w:rsid w:val="00E55F7B"/>
    <w:rsid w:val="00EA50FC"/>
    <w:rsid w:val="00EC4AC9"/>
    <w:rsid w:val="00ED2500"/>
    <w:rsid w:val="00EE2630"/>
    <w:rsid w:val="00F015DE"/>
    <w:rsid w:val="00F0285A"/>
    <w:rsid w:val="00F05AD4"/>
    <w:rsid w:val="00F27655"/>
    <w:rsid w:val="00F523DD"/>
    <w:rsid w:val="00F7146B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66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5220-DDE7-47CC-9158-655D55DB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9724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OSR</vt:lpstr>
    </vt:vector>
  </TitlesOfParts>
  <LinksUpToDate>false</LinksUpToDate>
  <CharactersWithSpaces>11196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OSR</dc:title>
  <dc:creator/>
  <cp:keywords>ocena skutków regulacji</cp:keywords>
  <cp:lastModifiedBy/>
  <cp:revision>1</cp:revision>
  <dcterms:created xsi:type="dcterms:W3CDTF">2020-12-09T15:30:00Z</dcterms:created>
  <dcterms:modified xsi:type="dcterms:W3CDTF">2020-12-09T15:30:00Z</dcterms:modified>
</cp:coreProperties>
</file>