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3E8B" w14:textId="77777777" w:rsidR="00A76B40" w:rsidRPr="00C94D00" w:rsidRDefault="00A76B40" w:rsidP="00C94D00">
      <w:pPr>
        <w:jc w:val="center"/>
        <w:rPr>
          <w:b/>
          <w:position w:val="12"/>
        </w:rPr>
      </w:pPr>
      <w:bookmarkStart w:id="0" w:name="_GoBack"/>
      <w:bookmarkEnd w:id="0"/>
      <w:r w:rsidRPr="00C94D00">
        <w:rPr>
          <w:b/>
          <w:position w:val="12"/>
        </w:rPr>
        <w:t>Uzasadnienie</w:t>
      </w:r>
    </w:p>
    <w:p w14:paraId="228D3B4E" w14:textId="77777777" w:rsidR="00AE541E" w:rsidRPr="00C94D00" w:rsidRDefault="00AE541E" w:rsidP="00C94D00">
      <w:pPr>
        <w:jc w:val="center"/>
        <w:rPr>
          <w:b/>
          <w:position w:val="12"/>
        </w:rPr>
      </w:pPr>
    </w:p>
    <w:p w14:paraId="1F28ECE4" w14:textId="4FC21DBB" w:rsidR="00A74F8A" w:rsidRDefault="0014254E" w:rsidP="009B0701">
      <w:pPr>
        <w:jc w:val="both"/>
      </w:pPr>
      <w:r w:rsidRPr="00C94D00">
        <w:t>Ustaw</w:t>
      </w:r>
      <w:r w:rsidR="004E5727">
        <w:t>ą</w:t>
      </w:r>
      <w:r w:rsidRPr="00C94D00">
        <w:t xml:space="preserve"> </w:t>
      </w:r>
      <w:r w:rsidR="002D562E">
        <w:t xml:space="preserve">z dnia 4 lipca 2019 r. </w:t>
      </w:r>
      <w:r w:rsidR="00D37008">
        <w:t>o</w:t>
      </w:r>
      <w:r w:rsidR="00F950DD" w:rsidRPr="00C94D00">
        <w:t xml:space="preserve"> zmianie </w:t>
      </w:r>
      <w:r w:rsidR="00093557">
        <w:t xml:space="preserve">ustawy o postępowaniu egzekucyjnym w administracji oraz niektórych innych ustaw </w:t>
      </w:r>
      <w:r w:rsidR="002D562E">
        <w:t>(Dz. U. poz. 1553</w:t>
      </w:r>
      <w:r w:rsidR="002746E7">
        <w:t>, z późn. zm.</w:t>
      </w:r>
      <w:r w:rsidR="002D562E">
        <w:t xml:space="preserve">) </w:t>
      </w:r>
      <w:r w:rsidR="00F950DD" w:rsidRPr="00C94D00">
        <w:t>wprowadz</w:t>
      </w:r>
      <w:r w:rsidR="004E5727">
        <w:t>ono</w:t>
      </w:r>
      <w:r w:rsidR="00F950DD" w:rsidRPr="00C94D00">
        <w:t xml:space="preserve"> do ustawy z dnia 17 czerwca 1966</w:t>
      </w:r>
      <w:r w:rsidR="003D1212">
        <w:t xml:space="preserve"> </w:t>
      </w:r>
      <w:r w:rsidR="00F950DD" w:rsidRPr="00C94D00">
        <w:t>r. o postępowaniu egzekucyjny</w:t>
      </w:r>
      <w:r w:rsidR="00703C26">
        <w:t>m w administracji (Dz. U. z 20</w:t>
      </w:r>
      <w:r w:rsidR="00DD0B15">
        <w:t>20</w:t>
      </w:r>
      <w:r w:rsidR="00F950DD" w:rsidRPr="00C94D00">
        <w:t xml:space="preserve"> r. poz. </w:t>
      </w:r>
      <w:r w:rsidR="003C1BC6">
        <w:t>1</w:t>
      </w:r>
      <w:r w:rsidR="002D562E">
        <w:t>4</w:t>
      </w:r>
      <w:r w:rsidR="00DD0B15">
        <w:t>27</w:t>
      </w:r>
      <w:r w:rsidR="00727582">
        <w:t>, z późn. zm.</w:t>
      </w:r>
      <w:r w:rsidR="00DB4E3E">
        <w:t>),</w:t>
      </w:r>
      <w:r w:rsidR="00703C26">
        <w:t xml:space="preserve"> </w:t>
      </w:r>
      <w:r w:rsidR="0043279F">
        <w:t xml:space="preserve">zwanej dalej </w:t>
      </w:r>
      <w:r w:rsidR="00DB4E3E">
        <w:t>„</w:t>
      </w:r>
      <w:r w:rsidR="0043279F">
        <w:t>ustawą</w:t>
      </w:r>
      <w:r w:rsidR="00DB4E3E">
        <w:t>”,</w:t>
      </w:r>
      <w:r w:rsidR="00093557">
        <w:t xml:space="preserve"> przepis</w:t>
      </w:r>
      <w:r w:rsidR="00061CA3">
        <w:t xml:space="preserve"> art. 7a § 2</w:t>
      </w:r>
      <w:r w:rsidR="004E5727">
        <w:t xml:space="preserve"> upoważniający do </w:t>
      </w:r>
      <w:r w:rsidR="002A6E94">
        <w:t xml:space="preserve">wydania rozporządzenia określającego </w:t>
      </w:r>
      <w:r w:rsidR="006D4EB8">
        <w:t xml:space="preserve">szczegółowy sposób i </w:t>
      </w:r>
      <w:r w:rsidR="00093557">
        <w:t>tryb współpracy pomiędzy</w:t>
      </w:r>
      <w:r w:rsidR="00A94323">
        <w:t xml:space="preserve"> wierzycielem</w:t>
      </w:r>
      <w:r w:rsidR="00EC55D4">
        <w:t xml:space="preserve">, </w:t>
      </w:r>
      <w:r w:rsidR="00A94323">
        <w:t>organem egzekucyjnym i</w:t>
      </w:r>
      <w:r w:rsidR="00093557">
        <w:t xml:space="preserve"> dłużnikiem zajętej wierzytelności w postępowani</w:t>
      </w:r>
      <w:r w:rsidR="006D4EB8">
        <w:t>u</w:t>
      </w:r>
      <w:r w:rsidR="00093557">
        <w:t xml:space="preserve"> egzekucyjn</w:t>
      </w:r>
      <w:r w:rsidR="006D4EB8">
        <w:t>ym</w:t>
      </w:r>
      <w:r w:rsidR="003B0D2B">
        <w:t xml:space="preserve"> należności pieniężnych</w:t>
      </w:r>
      <w:r w:rsidR="004E5727">
        <w:t xml:space="preserve">. Przy wydawaniu tego rozporządzenia niezbędne jest </w:t>
      </w:r>
      <w:r w:rsidR="003D1212">
        <w:t>zapewni</w:t>
      </w:r>
      <w:r w:rsidR="004757EE">
        <w:t>eni</w:t>
      </w:r>
      <w:r w:rsidR="004E5727">
        <w:t>e</w:t>
      </w:r>
      <w:r w:rsidR="003D1212">
        <w:t xml:space="preserve"> sprawne</w:t>
      </w:r>
      <w:r w:rsidR="004757EE">
        <w:t>go</w:t>
      </w:r>
      <w:r w:rsidR="003D1212">
        <w:t xml:space="preserve"> </w:t>
      </w:r>
      <w:r w:rsidR="006D4EB8">
        <w:t>oraz</w:t>
      </w:r>
      <w:r w:rsidR="003D1212">
        <w:t xml:space="preserve"> efektywne</w:t>
      </w:r>
      <w:r w:rsidR="004757EE">
        <w:t>go</w:t>
      </w:r>
      <w:r w:rsidR="003D1212">
        <w:t xml:space="preserve"> prowadzenia postępowania egzekucyjnego</w:t>
      </w:r>
      <w:r w:rsidR="006D4EB8">
        <w:t>, w szczególności</w:t>
      </w:r>
      <w:r w:rsidR="003D1212">
        <w:t xml:space="preserve"> prawidłowe</w:t>
      </w:r>
      <w:r w:rsidR="004757EE">
        <w:t>go</w:t>
      </w:r>
      <w:r w:rsidR="003D1212">
        <w:t xml:space="preserve"> naliczani</w:t>
      </w:r>
      <w:r w:rsidR="004757EE">
        <w:t>a</w:t>
      </w:r>
      <w:r w:rsidR="003D1212">
        <w:t xml:space="preserve"> </w:t>
      </w:r>
      <w:r w:rsidR="006D4EB8">
        <w:t>lub</w:t>
      </w:r>
      <w:r w:rsidR="003D1212">
        <w:t xml:space="preserve"> pob</w:t>
      </w:r>
      <w:r w:rsidR="004757EE">
        <w:t>oru</w:t>
      </w:r>
      <w:r w:rsidR="006D4EB8">
        <w:t xml:space="preserve"> należności pieniężnej,</w:t>
      </w:r>
      <w:r w:rsidR="003D1212">
        <w:t xml:space="preserve"> odsetek z tytułu niezapłacenia</w:t>
      </w:r>
      <w:r w:rsidR="006D4EB8">
        <w:t xml:space="preserve"> </w:t>
      </w:r>
      <w:r w:rsidR="001B4581">
        <w:t xml:space="preserve">jej </w:t>
      </w:r>
      <w:r w:rsidR="006D4EB8">
        <w:t xml:space="preserve">w terminie, kosztów upomnienia </w:t>
      </w:r>
      <w:r w:rsidR="003D1212">
        <w:t>i kosztów egzekucyjnych.</w:t>
      </w:r>
    </w:p>
    <w:p w14:paraId="00149A3C" w14:textId="77777777" w:rsidR="00435838" w:rsidRDefault="00435838" w:rsidP="00D57990">
      <w:pPr>
        <w:ind w:firstLine="510"/>
        <w:jc w:val="both"/>
      </w:pPr>
    </w:p>
    <w:p w14:paraId="316D9423" w14:textId="64FB66F9" w:rsidR="00DC077A" w:rsidRDefault="00330993" w:rsidP="009B0701">
      <w:pPr>
        <w:jc w:val="both"/>
      </w:pPr>
      <w:r>
        <w:t>Celem proponowanych rozwiązań jest</w:t>
      </w:r>
      <w:r w:rsidR="00DC077A">
        <w:t xml:space="preserve"> stworzenie modelu współpracy </w:t>
      </w:r>
      <w:r w:rsidR="003B0D2B">
        <w:t>w</w:t>
      </w:r>
      <w:r w:rsidR="004757EE">
        <w:t xml:space="preserve"> </w:t>
      </w:r>
      <w:r w:rsidR="003B0D2B">
        <w:t xml:space="preserve">toku postępowania egzekucyjnego należności pieniężnych </w:t>
      </w:r>
      <w:r w:rsidR="00382725">
        <w:t>pomiędzy</w:t>
      </w:r>
      <w:r w:rsidR="00C11694">
        <w:t xml:space="preserve"> </w:t>
      </w:r>
      <w:r w:rsidR="002D562E">
        <w:t>wierzycielem</w:t>
      </w:r>
      <w:r w:rsidR="003B3A55">
        <w:t>,</w:t>
      </w:r>
      <w:r w:rsidR="002D562E">
        <w:t xml:space="preserve"> </w:t>
      </w:r>
      <w:r w:rsidR="003B0D2B">
        <w:t>organ</w:t>
      </w:r>
      <w:r w:rsidR="002D562E">
        <w:t>em</w:t>
      </w:r>
      <w:r w:rsidR="003B0D2B">
        <w:t xml:space="preserve"> egzekucyjn</w:t>
      </w:r>
      <w:r w:rsidR="002D562E">
        <w:t>ym</w:t>
      </w:r>
      <w:r w:rsidR="003B3A55">
        <w:t xml:space="preserve"> </w:t>
      </w:r>
      <w:r w:rsidR="002D562E">
        <w:t>i</w:t>
      </w:r>
      <w:r w:rsidR="00DD0B15">
        <w:t> </w:t>
      </w:r>
      <w:r w:rsidR="003B0D2B">
        <w:t>dłużnikiem zajętej wierzytelności</w:t>
      </w:r>
      <w:r w:rsidR="00A24620">
        <w:t>. To zaś</w:t>
      </w:r>
      <w:r w:rsidR="00D57990">
        <w:t xml:space="preserve"> </w:t>
      </w:r>
      <w:r w:rsidR="00A24620">
        <w:t>za</w:t>
      </w:r>
      <w:r w:rsidR="003C1BC6">
        <w:t>gwarant</w:t>
      </w:r>
      <w:r w:rsidR="00A24620">
        <w:t>ować ma</w:t>
      </w:r>
      <w:r w:rsidR="003C1BC6">
        <w:t xml:space="preserve"> prawidłowe wykonanie obowiązków przez współpracujące podmioty</w:t>
      </w:r>
      <w:r w:rsidR="00017353">
        <w:t>, w tym obowiązków w</w:t>
      </w:r>
      <w:r w:rsidR="00345827">
        <w:t> </w:t>
      </w:r>
      <w:r w:rsidR="00017353">
        <w:t xml:space="preserve">zakresie </w:t>
      </w:r>
      <w:r w:rsidR="009E1E49">
        <w:t xml:space="preserve">poboru należności pieniężnej, odsetek z tytułu niezapłacenia </w:t>
      </w:r>
      <w:r w:rsidR="001B4581">
        <w:t xml:space="preserve">jej </w:t>
      </w:r>
      <w:r w:rsidR="009E1E49">
        <w:t>w terminie, kosztów upomnienia</w:t>
      </w:r>
      <w:r w:rsidR="00ED334B">
        <w:t xml:space="preserve"> oraz naliczania i poboru</w:t>
      </w:r>
      <w:r w:rsidR="00E83BAD">
        <w:t xml:space="preserve"> kosztów egzekuc</w:t>
      </w:r>
      <w:r w:rsidR="00017353">
        <w:t>yjnych</w:t>
      </w:r>
      <w:r w:rsidR="00510B94">
        <w:t xml:space="preserve">. </w:t>
      </w:r>
      <w:r w:rsidR="00A24620">
        <w:t xml:space="preserve">Przyjęty model współpracy </w:t>
      </w:r>
      <w:r w:rsidR="000672F0">
        <w:t xml:space="preserve">winien </w:t>
      </w:r>
      <w:r w:rsidR="00510B94">
        <w:t>wpłyn</w:t>
      </w:r>
      <w:r w:rsidR="000672F0">
        <w:t>ąć</w:t>
      </w:r>
      <w:r w:rsidR="00510B94">
        <w:t xml:space="preserve"> na usprawnienie</w:t>
      </w:r>
      <w:r w:rsidR="000070BD">
        <w:t xml:space="preserve"> i</w:t>
      </w:r>
      <w:r w:rsidR="00737061">
        <w:t xml:space="preserve"> </w:t>
      </w:r>
      <w:r w:rsidR="006D14DC">
        <w:t xml:space="preserve">efektywność </w:t>
      </w:r>
      <w:r w:rsidR="00510B94">
        <w:t>prowad</w:t>
      </w:r>
      <w:r w:rsidR="00C22463">
        <w:t>zon</w:t>
      </w:r>
      <w:r w:rsidR="004757EE">
        <w:t>ej</w:t>
      </w:r>
      <w:r w:rsidR="00C22463">
        <w:t xml:space="preserve"> egzekuc</w:t>
      </w:r>
      <w:r w:rsidR="00737061">
        <w:t>ji administracyjn</w:t>
      </w:r>
      <w:r w:rsidR="004757EE">
        <w:t>ej</w:t>
      </w:r>
      <w:r w:rsidR="00C22463">
        <w:t>.</w:t>
      </w:r>
    </w:p>
    <w:p w14:paraId="53D8E03A" w14:textId="77777777" w:rsidR="00435838" w:rsidRDefault="00435838" w:rsidP="009B0701">
      <w:pPr>
        <w:jc w:val="both"/>
      </w:pPr>
    </w:p>
    <w:p w14:paraId="421EEC8F" w14:textId="442BEAA5" w:rsidR="000E2D20" w:rsidRDefault="00E73DCF" w:rsidP="009B0701">
      <w:pPr>
        <w:jc w:val="both"/>
        <w:rPr>
          <w:color w:val="000000"/>
        </w:rPr>
      </w:pPr>
      <w:r>
        <w:rPr>
          <w:color w:val="000000"/>
        </w:rPr>
        <w:t xml:space="preserve">W </w:t>
      </w:r>
      <w:r w:rsidR="00035B10" w:rsidRPr="00061CA3">
        <w:rPr>
          <w:color w:val="000000"/>
        </w:rPr>
        <w:t xml:space="preserve">§ 1 </w:t>
      </w:r>
      <w:r w:rsidR="000E2D20" w:rsidRPr="00061CA3">
        <w:rPr>
          <w:color w:val="000000"/>
        </w:rPr>
        <w:t>projektu rozporządzenia</w:t>
      </w:r>
      <w:r w:rsidR="00035B10">
        <w:rPr>
          <w:color w:val="000000"/>
        </w:rPr>
        <w:t xml:space="preserve"> </w:t>
      </w:r>
      <w:r w:rsidR="00035B10">
        <w:t>zawarto</w:t>
      </w:r>
      <w:r>
        <w:rPr>
          <w:color w:val="000000"/>
        </w:rPr>
        <w:t xml:space="preserve"> </w:t>
      </w:r>
      <w:r w:rsidR="000E2D20" w:rsidRPr="00061CA3">
        <w:rPr>
          <w:color w:val="000000"/>
        </w:rPr>
        <w:t>zakres przekazany do uregulowania</w:t>
      </w:r>
      <w:r w:rsidR="00035B10">
        <w:rPr>
          <w:color w:val="000000"/>
        </w:rPr>
        <w:t>. Natomiast w</w:t>
      </w:r>
      <w:r w:rsidR="00EB6C1C">
        <w:rPr>
          <w:color w:val="000000"/>
        </w:rPr>
        <w:t> § 2 </w:t>
      </w:r>
      <w:r w:rsidR="00035B10">
        <w:rPr>
          <w:color w:val="000000"/>
        </w:rPr>
        <w:t xml:space="preserve">ustanowiono </w:t>
      </w:r>
      <w:r w:rsidR="00656557">
        <w:rPr>
          <w:color w:val="000000"/>
        </w:rPr>
        <w:t>definicje podstawowych pojęć</w:t>
      </w:r>
      <w:r w:rsidR="006F2E63">
        <w:rPr>
          <w:color w:val="000000"/>
        </w:rPr>
        <w:t xml:space="preserve">, w tym </w:t>
      </w:r>
      <w:r w:rsidR="00656557">
        <w:rPr>
          <w:color w:val="000000"/>
        </w:rPr>
        <w:t>organów egzekucyjnych</w:t>
      </w:r>
      <w:r w:rsidR="000672F0">
        <w:rPr>
          <w:color w:val="000000"/>
        </w:rPr>
        <w:t xml:space="preserve"> mogących </w:t>
      </w:r>
      <w:r w:rsidR="00656557">
        <w:rPr>
          <w:color w:val="000000"/>
        </w:rPr>
        <w:t>uczestnicz</w:t>
      </w:r>
      <w:r w:rsidR="000672F0">
        <w:rPr>
          <w:color w:val="000000"/>
        </w:rPr>
        <w:t>yć</w:t>
      </w:r>
      <w:r w:rsidR="00656557">
        <w:rPr>
          <w:color w:val="000000"/>
        </w:rPr>
        <w:t xml:space="preserve"> w </w:t>
      </w:r>
      <w:r w:rsidR="00B435D1">
        <w:rPr>
          <w:color w:val="000000"/>
        </w:rPr>
        <w:t>p</w:t>
      </w:r>
      <w:r w:rsidR="00656557">
        <w:rPr>
          <w:color w:val="000000"/>
        </w:rPr>
        <w:t>ostępowaniu egzekucyjnym</w:t>
      </w:r>
      <w:r w:rsidR="000672F0">
        <w:rPr>
          <w:color w:val="000000"/>
        </w:rPr>
        <w:t xml:space="preserve"> w różnym charakterze</w:t>
      </w:r>
      <w:r w:rsidR="00656557">
        <w:rPr>
          <w:color w:val="000000"/>
        </w:rPr>
        <w:t xml:space="preserve">. </w:t>
      </w:r>
      <w:r w:rsidR="004A3805">
        <w:rPr>
          <w:color w:val="000000"/>
        </w:rPr>
        <w:t xml:space="preserve">Wobec tego </w:t>
      </w:r>
      <w:r w:rsidR="000672F0">
        <w:rPr>
          <w:color w:val="000000"/>
        </w:rPr>
        <w:t xml:space="preserve">zdefiniowano </w:t>
      </w:r>
      <w:r w:rsidR="004A3805">
        <w:rPr>
          <w:color w:val="000000"/>
        </w:rPr>
        <w:t>pojęci</w:t>
      </w:r>
      <w:r w:rsidR="000672F0">
        <w:rPr>
          <w:color w:val="000000"/>
        </w:rPr>
        <w:t>e</w:t>
      </w:r>
      <w:r w:rsidR="004A3805">
        <w:rPr>
          <w:color w:val="000000"/>
        </w:rPr>
        <w:t xml:space="preserve"> organu egzekucyjnego </w:t>
      </w:r>
      <w:r w:rsidR="000672F0">
        <w:rPr>
          <w:color w:val="000000"/>
        </w:rPr>
        <w:t xml:space="preserve">jako organu </w:t>
      </w:r>
      <w:r w:rsidR="004A3805">
        <w:rPr>
          <w:color w:val="000000"/>
        </w:rPr>
        <w:t>prowadzącego postępowanie egzekucyjne</w:t>
      </w:r>
      <w:r w:rsidR="00035B10">
        <w:rPr>
          <w:color w:val="000000"/>
        </w:rPr>
        <w:t>. Określono również pojęci</w:t>
      </w:r>
      <w:r w:rsidR="006F2E63">
        <w:rPr>
          <w:color w:val="000000"/>
        </w:rPr>
        <w:t>e</w:t>
      </w:r>
      <w:r w:rsidR="00035B10">
        <w:rPr>
          <w:color w:val="000000"/>
        </w:rPr>
        <w:t xml:space="preserve"> </w:t>
      </w:r>
      <w:r w:rsidR="004A3805">
        <w:rPr>
          <w:color w:val="000000"/>
        </w:rPr>
        <w:t>innego organu egzekucyjnego, którym może być organ egzekucyjny inny niż prowadzący postępowanie egzekucyjne</w:t>
      </w:r>
      <w:r w:rsidR="002746E7">
        <w:rPr>
          <w:color w:val="000000"/>
        </w:rPr>
        <w:t>,</w:t>
      </w:r>
      <w:r w:rsidR="004A3805">
        <w:rPr>
          <w:color w:val="000000"/>
        </w:rPr>
        <w:t xml:space="preserve"> tj. organ </w:t>
      </w:r>
      <w:r w:rsidR="00A251B3">
        <w:rPr>
          <w:color w:val="000000"/>
        </w:rPr>
        <w:t xml:space="preserve">egzekucyjny </w:t>
      </w:r>
      <w:r w:rsidR="004A3805">
        <w:rPr>
          <w:color w:val="000000"/>
        </w:rPr>
        <w:t xml:space="preserve">uprawniony do stosowania środków egzekucyjnych, do których nie jest uprawiony organ prowadzący postępowanie egzekucyjne </w:t>
      </w:r>
      <w:r w:rsidR="00874299">
        <w:rPr>
          <w:color w:val="000000"/>
        </w:rPr>
        <w:t>(§ 2 pkt 3 lit. a)</w:t>
      </w:r>
      <w:r w:rsidR="006F2E63">
        <w:rPr>
          <w:color w:val="000000"/>
        </w:rPr>
        <w:t>,</w:t>
      </w:r>
      <w:r w:rsidR="00035B10">
        <w:rPr>
          <w:color w:val="000000"/>
        </w:rPr>
        <w:t xml:space="preserve"> </w:t>
      </w:r>
      <w:r w:rsidR="004A3805">
        <w:rPr>
          <w:color w:val="000000"/>
        </w:rPr>
        <w:t>organ egzekucyjny uprawniony do prowadzenia łącznie egzekucji do rzeczy lub prawa majątkowego po zbiegu egzekucji</w:t>
      </w:r>
      <w:r w:rsidR="00874299">
        <w:rPr>
          <w:color w:val="000000"/>
        </w:rPr>
        <w:t xml:space="preserve"> (§ 2 pkt 3 lit. b)</w:t>
      </w:r>
      <w:r w:rsidR="009E7D0A">
        <w:rPr>
          <w:color w:val="000000"/>
        </w:rPr>
        <w:t xml:space="preserve"> </w:t>
      </w:r>
      <w:r w:rsidR="006F2E63">
        <w:rPr>
          <w:color w:val="000000"/>
        </w:rPr>
        <w:t>bądź</w:t>
      </w:r>
      <w:r w:rsidR="00035B10">
        <w:rPr>
          <w:color w:val="000000"/>
        </w:rPr>
        <w:t xml:space="preserve"> </w:t>
      </w:r>
      <w:r w:rsidR="000672F0">
        <w:rPr>
          <w:color w:val="000000"/>
        </w:rPr>
        <w:t>organ rekwizycyjny (§ 2 pkt 3 lit. c).</w:t>
      </w:r>
      <w:r w:rsidR="00435838">
        <w:rPr>
          <w:color w:val="000000"/>
        </w:rPr>
        <w:t xml:space="preserve"> </w:t>
      </w:r>
    </w:p>
    <w:p w14:paraId="3765FB79" w14:textId="77777777" w:rsidR="00435838" w:rsidRPr="00CC7789" w:rsidRDefault="00435838" w:rsidP="009B0701">
      <w:pPr>
        <w:jc w:val="both"/>
        <w:rPr>
          <w:color w:val="000000"/>
        </w:rPr>
      </w:pPr>
    </w:p>
    <w:p w14:paraId="5E6D1C69" w14:textId="5163AD83" w:rsidR="003F1635" w:rsidRDefault="0073389C" w:rsidP="009B0701">
      <w:pPr>
        <w:jc w:val="both"/>
      </w:pPr>
      <w:r w:rsidRPr="009B0701">
        <w:rPr>
          <w:color w:val="000000"/>
        </w:rPr>
        <w:t>W</w:t>
      </w:r>
      <w:r w:rsidR="00844EEC" w:rsidRPr="009B0701">
        <w:rPr>
          <w:color w:val="000000"/>
        </w:rPr>
        <w:t xml:space="preserve"> </w:t>
      </w:r>
      <w:r w:rsidR="002A55AC" w:rsidRPr="009B0701">
        <w:rPr>
          <w:color w:val="000000"/>
        </w:rPr>
        <w:t>§ 3</w:t>
      </w:r>
      <w:r w:rsidR="002E4637" w:rsidRPr="009B0701">
        <w:rPr>
          <w:color w:val="000000"/>
        </w:rPr>
        <w:t xml:space="preserve"> </w:t>
      </w:r>
      <w:r w:rsidR="009B0701" w:rsidRPr="009B0701">
        <w:rPr>
          <w:color w:val="000000"/>
        </w:rPr>
        <w:t xml:space="preserve">uregulowano </w:t>
      </w:r>
      <w:r w:rsidR="002E4637" w:rsidRPr="009B0701">
        <w:rPr>
          <w:color w:val="000000"/>
        </w:rPr>
        <w:t>sposób współpracy</w:t>
      </w:r>
      <w:r w:rsidR="00473AA0" w:rsidRPr="009B0701">
        <w:rPr>
          <w:color w:val="000000"/>
        </w:rPr>
        <w:t xml:space="preserve"> pomiędzy </w:t>
      </w:r>
      <w:r w:rsidR="009B0701" w:rsidRPr="009B0701">
        <w:rPr>
          <w:color w:val="000000"/>
        </w:rPr>
        <w:t>wierzycielem, organem egzekucyjnym i</w:t>
      </w:r>
      <w:r w:rsidR="00DD0B15">
        <w:rPr>
          <w:color w:val="000000"/>
        </w:rPr>
        <w:t> </w:t>
      </w:r>
      <w:r w:rsidR="009B0701" w:rsidRPr="009B0701">
        <w:rPr>
          <w:color w:val="000000"/>
        </w:rPr>
        <w:t xml:space="preserve">innym organem egzekucyjnym. </w:t>
      </w:r>
      <w:r w:rsidR="004E5727">
        <w:rPr>
          <w:color w:val="000000"/>
        </w:rPr>
        <w:t>U</w:t>
      </w:r>
      <w:r w:rsidR="002A55AC" w:rsidRPr="009B0701">
        <w:rPr>
          <w:color w:val="000000"/>
        </w:rPr>
        <w:t>względniono obowiązujący art. 39</w:t>
      </w:r>
      <w:r w:rsidR="002A55AC" w:rsidRPr="004E5727">
        <w:rPr>
          <w:color w:val="000000"/>
          <w:vertAlign w:val="superscript"/>
        </w:rPr>
        <w:t>2</w:t>
      </w:r>
      <w:r w:rsidR="002A55AC" w:rsidRPr="009B0701">
        <w:rPr>
          <w:color w:val="000000"/>
        </w:rPr>
        <w:t xml:space="preserve"> </w:t>
      </w:r>
      <w:r w:rsidR="00EB6C1C">
        <w:rPr>
          <w:color w:val="000000"/>
        </w:rPr>
        <w:t>ustawy z dnia 14 </w:t>
      </w:r>
      <w:r w:rsidR="00593DFE" w:rsidRPr="009B0701">
        <w:rPr>
          <w:color w:val="000000"/>
        </w:rPr>
        <w:t xml:space="preserve">czerwca 1960 r. – </w:t>
      </w:r>
      <w:r w:rsidR="002A55AC" w:rsidRPr="009B0701">
        <w:rPr>
          <w:color w:val="000000"/>
        </w:rPr>
        <w:t>Kodeks postępow</w:t>
      </w:r>
      <w:r w:rsidR="00844EEC" w:rsidRPr="009B0701">
        <w:rPr>
          <w:color w:val="000000"/>
        </w:rPr>
        <w:t>an</w:t>
      </w:r>
      <w:r w:rsidR="002A55AC" w:rsidRPr="009B0701">
        <w:rPr>
          <w:color w:val="000000"/>
        </w:rPr>
        <w:t>ia administracyjnego</w:t>
      </w:r>
      <w:r w:rsidR="00593DFE" w:rsidRPr="009B0701">
        <w:rPr>
          <w:color w:val="000000"/>
        </w:rPr>
        <w:t xml:space="preserve"> (Dz.</w:t>
      </w:r>
      <w:r w:rsidR="00473AA0" w:rsidRPr="009B0701">
        <w:rPr>
          <w:color w:val="000000"/>
        </w:rPr>
        <w:t xml:space="preserve"> </w:t>
      </w:r>
      <w:r w:rsidR="00593DFE" w:rsidRPr="009B0701">
        <w:rPr>
          <w:color w:val="000000"/>
        </w:rPr>
        <w:t>U. z 20</w:t>
      </w:r>
      <w:r w:rsidR="00A251B3" w:rsidRPr="009B0701">
        <w:rPr>
          <w:color w:val="000000"/>
        </w:rPr>
        <w:t>20</w:t>
      </w:r>
      <w:r w:rsidR="00593DFE" w:rsidRPr="009B0701">
        <w:rPr>
          <w:color w:val="000000"/>
        </w:rPr>
        <w:t xml:space="preserve"> r. poz. 2</w:t>
      </w:r>
      <w:r w:rsidR="00A251B3" w:rsidRPr="009B0701">
        <w:rPr>
          <w:color w:val="000000"/>
        </w:rPr>
        <w:t>56</w:t>
      </w:r>
      <w:r w:rsidR="00EB6C1C">
        <w:rPr>
          <w:color w:val="000000"/>
        </w:rPr>
        <w:t xml:space="preserve">, </w:t>
      </w:r>
      <w:r w:rsidR="00EB6C1C" w:rsidRPr="00EB6C1C">
        <w:t>z</w:t>
      </w:r>
      <w:r w:rsidR="00EB6C1C">
        <w:t> </w:t>
      </w:r>
      <w:r w:rsidR="00593DFE" w:rsidRPr="00EB6C1C">
        <w:t>późn</w:t>
      </w:r>
      <w:r w:rsidR="00593DFE" w:rsidRPr="009B0701">
        <w:rPr>
          <w:color w:val="000000"/>
        </w:rPr>
        <w:t>. zm.)</w:t>
      </w:r>
      <w:r w:rsidR="00473AA0" w:rsidRPr="009B0701">
        <w:rPr>
          <w:color w:val="000000"/>
        </w:rPr>
        <w:t>, z</w:t>
      </w:r>
      <w:r w:rsidR="00844EEC" w:rsidRPr="009B0701">
        <w:rPr>
          <w:color w:val="000000"/>
        </w:rPr>
        <w:t>godnie</w:t>
      </w:r>
      <w:r w:rsidR="00844EEC">
        <w:t xml:space="preserve"> z </w:t>
      </w:r>
      <w:r w:rsidR="00473AA0">
        <w:t xml:space="preserve">którym </w:t>
      </w:r>
      <w:r w:rsidR="00844EEC">
        <w:t>w</w:t>
      </w:r>
      <w:r w:rsidR="002A55AC" w:rsidRPr="002A55AC">
        <w:t xml:space="preserve"> przypadku gdy stroną lub innym uczestnikiem postępowania jest podmiot publiczny obowiązany do udostępniania i obsługi elektronicznej skrzynki podawczej na podstawie </w:t>
      </w:r>
      <w:hyperlink r:id="rId7" w:anchor="mip38215381" w:history="1">
        <w:r w:rsidR="002A55AC" w:rsidRPr="002A55AC">
          <w:t>art. 16 ust. 1a</w:t>
        </w:r>
      </w:hyperlink>
      <w:r w:rsidR="002A55AC" w:rsidRPr="002A55AC">
        <w:t xml:space="preserve"> ustawy z dnia 17 lutego 2005 r. o</w:t>
      </w:r>
      <w:r w:rsidR="00345827">
        <w:t> </w:t>
      </w:r>
      <w:r w:rsidR="002A55AC" w:rsidRPr="002A55AC">
        <w:t xml:space="preserve">informatyzacji działalności podmiotów realizujących zadania publiczne </w:t>
      </w:r>
      <w:r w:rsidR="00593DFE">
        <w:t>(Dz. U. z 20</w:t>
      </w:r>
      <w:r w:rsidR="00EA21C3">
        <w:t>20</w:t>
      </w:r>
      <w:r w:rsidR="00593DFE">
        <w:t xml:space="preserve"> r. poz. </w:t>
      </w:r>
      <w:r w:rsidR="00EA21C3">
        <w:t>346</w:t>
      </w:r>
      <w:r w:rsidR="00593DFE">
        <w:t xml:space="preserve">, z późn. zm.) </w:t>
      </w:r>
      <w:r w:rsidR="002A55AC" w:rsidRPr="002A55AC">
        <w:t>doręczenia dokonuje się na elektroniczną skrzynkę podawczą tego podmiotu.</w:t>
      </w:r>
      <w:r w:rsidR="00844EEC">
        <w:t xml:space="preserve"> Kierowano się również art.</w:t>
      </w:r>
      <w:r w:rsidR="00DD0B15">
        <w:t> </w:t>
      </w:r>
      <w:r w:rsidR="00844EEC">
        <w:t>26 § 1c ustawy stanowiącym</w:t>
      </w:r>
      <w:r w:rsidR="00AF062C">
        <w:t>,</w:t>
      </w:r>
      <w:r w:rsidR="00844EEC">
        <w:t xml:space="preserve"> że w</w:t>
      </w:r>
      <w:r w:rsidR="00844EEC" w:rsidRPr="00844EEC">
        <w:t>nioski egzekucyjne i tytuły wykonawcze mogą być przekazywane do organu egzekucyjnego przy wykorzystaniu systemu teleinformatycznego albo z użyciem środków komunikacji elektronicznej</w:t>
      </w:r>
      <w:r w:rsidR="006F2E63">
        <w:t xml:space="preserve">, a także </w:t>
      </w:r>
      <w:r w:rsidR="00C936DD">
        <w:t>art. 26aa § 1 ustawy przewidujący</w:t>
      </w:r>
      <w:r w:rsidR="006F2E63">
        <w:t>m</w:t>
      </w:r>
      <w:r w:rsidR="00C936DD">
        <w:t xml:space="preserve"> przekazywanie wniosku egzekucyjnego i tytułu wykonawczego lub informacji, o których mowa w art. 26 § 1e</w:t>
      </w:r>
      <w:r w:rsidR="00DD0B15">
        <w:t xml:space="preserve"> ustawy</w:t>
      </w:r>
      <w:r w:rsidR="00C936DD">
        <w:t>, do organu egzekucyjnego będącego naczelnikiem urzędu skarbowego za pośrednictwem s</w:t>
      </w:r>
      <w:r w:rsidR="002E4637">
        <w:t>ystemu teleinformatycznego</w:t>
      </w:r>
      <w:r w:rsidR="00C936DD">
        <w:t xml:space="preserve"> </w:t>
      </w:r>
      <w:r w:rsidR="002E4637">
        <w:t>prowadzonego przez Szefa Krajowej Administracji Skarbowej</w:t>
      </w:r>
      <w:r w:rsidR="00C936DD">
        <w:t xml:space="preserve">. </w:t>
      </w:r>
      <w:r w:rsidR="00844EEC">
        <w:t>W związku z</w:t>
      </w:r>
      <w:r w:rsidR="00CF488D">
        <w:t xml:space="preserve"> </w:t>
      </w:r>
      <w:r w:rsidR="00844EEC">
        <w:t>powyższym w projektowanym § 3</w:t>
      </w:r>
      <w:r w:rsidR="003F1635">
        <w:t xml:space="preserve"> ust. 1</w:t>
      </w:r>
      <w:r w:rsidR="00844EEC">
        <w:t xml:space="preserve"> </w:t>
      </w:r>
      <w:r w:rsidR="009E7D0A">
        <w:t xml:space="preserve">projektu </w:t>
      </w:r>
      <w:r w:rsidR="00844EEC">
        <w:t>rozporządzenia przyjęto, że</w:t>
      </w:r>
      <w:r w:rsidR="003F1635">
        <w:t xml:space="preserve"> </w:t>
      </w:r>
      <w:r w:rsidR="00844EEC">
        <w:t xml:space="preserve">pisma i </w:t>
      </w:r>
      <w:r w:rsidR="003F1635">
        <w:t xml:space="preserve">odpisy </w:t>
      </w:r>
      <w:r w:rsidR="004423D2">
        <w:t>pism</w:t>
      </w:r>
      <w:r w:rsidR="00844EEC">
        <w:t xml:space="preserve"> </w:t>
      </w:r>
      <w:r w:rsidR="002E4637">
        <w:t xml:space="preserve">sporządzone przez </w:t>
      </w:r>
      <w:r w:rsidR="007752B4">
        <w:t>wierzyciela, organ egzekucyjny i inny organ egzekucyjny</w:t>
      </w:r>
      <w:r w:rsidR="003F1635">
        <w:t>, po wszczęciu postępowania egzekucyjnego,</w:t>
      </w:r>
      <w:r w:rsidR="007752B4">
        <w:t xml:space="preserve"> </w:t>
      </w:r>
      <w:r w:rsidR="00844EEC">
        <w:t xml:space="preserve">będą przekazywane </w:t>
      </w:r>
      <w:r w:rsidR="003F1635">
        <w:t xml:space="preserve">na elektroniczną skrzynkę podawczą. </w:t>
      </w:r>
    </w:p>
    <w:p w14:paraId="1AE7BE9D" w14:textId="5269EDE0" w:rsidR="00DE77E3" w:rsidRDefault="00B435D1" w:rsidP="009B0701">
      <w:pPr>
        <w:jc w:val="both"/>
      </w:pPr>
      <w:r>
        <w:t>Z kolei s</w:t>
      </w:r>
      <w:r w:rsidR="006F2E63">
        <w:t>posób przekazywania tytułu wykonawczego, zarządzenia zabezpieczenia, dodatkowej informacji, o której mowa w art. 26 § 1e</w:t>
      </w:r>
      <w:r w:rsidR="006F2E63" w:rsidDel="0055152C">
        <w:t xml:space="preserve"> </w:t>
      </w:r>
      <w:r w:rsidR="00DD0B15">
        <w:t xml:space="preserve">ustawy, </w:t>
      </w:r>
      <w:r w:rsidR="006F2E63">
        <w:t xml:space="preserve">uregulowano w rozporządzeniu wydanym na podstawie przepisu upoważniającego zawartego w art. 27 § 2b ustawy. </w:t>
      </w:r>
      <w:r w:rsidR="00EC00E1">
        <w:t>W</w:t>
      </w:r>
      <w:r w:rsidR="00AB4137">
        <w:t>ierzyciel, oprócz tytułu wykonawczego, zarządzenia zabezpieczenia, dodatkowej informacji, o której mowa w</w:t>
      </w:r>
      <w:r w:rsidR="00DD0B15">
        <w:t> </w:t>
      </w:r>
      <w:r w:rsidR="00AB4137">
        <w:t>art. 26 § 1e</w:t>
      </w:r>
      <w:r w:rsidR="00DD0B15">
        <w:t xml:space="preserve"> ustawy</w:t>
      </w:r>
      <w:r w:rsidR="00AB4137">
        <w:t xml:space="preserve">, </w:t>
      </w:r>
      <w:r w:rsidR="0055152C">
        <w:t xml:space="preserve">przekaże </w:t>
      </w:r>
      <w:r w:rsidR="007F2CB6">
        <w:t xml:space="preserve">organowi egzekucyjnemu będącemu naczelnikiem urzędu skarbowego </w:t>
      </w:r>
      <w:r w:rsidR="0055152C">
        <w:t xml:space="preserve">za pośrednictwem systemu </w:t>
      </w:r>
      <w:r w:rsidR="007F2CB6">
        <w:t xml:space="preserve">teleinformatycznego </w:t>
      </w:r>
      <w:r w:rsidR="00EC00E1">
        <w:t>ok</w:t>
      </w:r>
      <w:r w:rsidR="00767A3A">
        <w:t>r</w:t>
      </w:r>
      <w:r w:rsidR="00EC00E1">
        <w:t xml:space="preserve">eślonego w art. 26aa </w:t>
      </w:r>
      <w:r w:rsidR="00F80BE0">
        <w:t xml:space="preserve">ustawy </w:t>
      </w:r>
      <w:r w:rsidR="00E97CD9">
        <w:t xml:space="preserve">również </w:t>
      </w:r>
      <w:r w:rsidR="004423D2">
        <w:t>zawiadomienie, o którym</w:t>
      </w:r>
      <w:r w:rsidR="00A07080">
        <w:t xml:space="preserve"> </w:t>
      </w:r>
      <w:r w:rsidR="004423D2">
        <w:t>mowa w art. 32aa ustawy</w:t>
      </w:r>
      <w:r w:rsidR="006F2E63">
        <w:t>,</w:t>
      </w:r>
      <w:r w:rsidR="00EB6C1C">
        <w:t xml:space="preserve"> stosownie do proponowanego § 3 </w:t>
      </w:r>
      <w:r w:rsidR="006F2E63">
        <w:t>ust. 2</w:t>
      </w:r>
      <w:r w:rsidR="00DD0B15">
        <w:t xml:space="preserve"> projektu rozporządzenia</w:t>
      </w:r>
      <w:r w:rsidR="00E97CD9">
        <w:t xml:space="preserve">. </w:t>
      </w:r>
      <w:r w:rsidR="00E77EF3">
        <w:t>Jednocześnie doprecyzowano, że w przypadku niemożności przekazania t</w:t>
      </w:r>
      <w:r w:rsidR="00B31A51">
        <w:t xml:space="preserve">ego zawiadomienia </w:t>
      </w:r>
      <w:r w:rsidR="00E77EF3">
        <w:t xml:space="preserve">za pośrednictwem </w:t>
      </w:r>
      <w:r w:rsidR="00B31A51">
        <w:t xml:space="preserve">ww. </w:t>
      </w:r>
      <w:r w:rsidR="008B465D">
        <w:t xml:space="preserve">systemu </w:t>
      </w:r>
      <w:r w:rsidR="00B31A51">
        <w:t xml:space="preserve">będzie ono </w:t>
      </w:r>
      <w:r w:rsidR="00E77EF3">
        <w:t>przekazywane na elektroniczną skrzynkę podawczą</w:t>
      </w:r>
      <w:r w:rsidR="001D7BEB">
        <w:t xml:space="preserve"> bądź</w:t>
      </w:r>
      <w:r w:rsidR="00A94895">
        <w:t xml:space="preserve"> </w:t>
      </w:r>
      <w:r w:rsidR="00DD0B15">
        <w:t>−</w:t>
      </w:r>
      <w:r w:rsidR="001D7BEB">
        <w:t xml:space="preserve"> w przypadku wierzyciela będącego naczelnikiem urzędu skarbowego</w:t>
      </w:r>
      <w:r w:rsidR="00A94895">
        <w:t xml:space="preserve"> </w:t>
      </w:r>
      <w:r w:rsidR="00DD0B15">
        <w:t>−</w:t>
      </w:r>
      <w:r w:rsidR="001D7BEB">
        <w:t xml:space="preserve"> za pośrednictwem systemu teleinformatycznego używanego do obsługi Centralnego Rejestru Danych Podatkowych</w:t>
      </w:r>
      <w:r w:rsidR="00E77EF3">
        <w:t>.</w:t>
      </w:r>
      <w:r w:rsidR="001D7BEB">
        <w:t xml:space="preserve"> Uznano, że pomimo tego, że przekazywanie za pośrednictwem systemu teleinformatycznego pozostanie podstawowym kanałem przekazywania zawiadomień, o których mowa w art. 32aa ustawy, to jednak w przypadku problemów technicznych zastosowanie znajdą </w:t>
      </w:r>
      <w:r w:rsidR="001D7BEB">
        <w:lastRenderedPageBreak/>
        <w:t xml:space="preserve">dwa alternatywne kanały przekazywania zawiadomień. Umożliwi to sprawne przekazywanie ww. zawiadomień przez wierzyciela. </w:t>
      </w:r>
      <w:r>
        <w:t>W</w:t>
      </w:r>
      <w:r w:rsidR="00DD0B15">
        <w:t> </w:t>
      </w:r>
      <w:r w:rsidR="00DC50E5">
        <w:t>§</w:t>
      </w:r>
      <w:r w:rsidR="00DD0B15">
        <w:t> </w:t>
      </w:r>
      <w:r w:rsidR="00DC50E5">
        <w:t xml:space="preserve">3 </w:t>
      </w:r>
      <w:r w:rsidR="00E77EF3">
        <w:t xml:space="preserve">ust. 3 </w:t>
      </w:r>
      <w:r w:rsidR="00DC50E5">
        <w:t>projektu rozporządzenia uregulowano</w:t>
      </w:r>
      <w:r w:rsidR="00E77EF3">
        <w:t xml:space="preserve"> sytuację, w której </w:t>
      </w:r>
      <w:r w:rsidR="00DC50E5">
        <w:t>przekazywanie, o którym mowa w ust.</w:t>
      </w:r>
      <w:r w:rsidR="00DE77E3">
        <w:t xml:space="preserve"> 1 i</w:t>
      </w:r>
      <w:r w:rsidR="00DC50E5">
        <w:t xml:space="preserve"> </w:t>
      </w:r>
      <w:r w:rsidR="00DE77E3">
        <w:t xml:space="preserve">ust. </w:t>
      </w:r>
      <w:r w:rsidR="00DC50E5">
        <w:t xml:space="preserve">2 </w:t>
      </w:r>
      <w:r w:rsidR="00DE77E3">
        <w:t xml:space="preserve">zdanie drugie nie będzie możliwe </w:t>
      </w:r>
      <w:r w:rsidR="00DC50E5">
        <w:t xml:space="preserve">za pomocą </w:t>
      </w:r>
      <w:r w:rsidR="00DE77E3">
        <w:t>elektronicznej skrzynki podawczej</w:t>
      </w:r>
      <w:r>
        <w:t>; wówczas</w:t>
      </w:r>
      <w:r w:rsidR="004423D2">
        <w:t xml:space="preserve"> pisma i </w:t>
      </w:r>
      <w:r>
        <w:t xml:space="preserve">odpisy pism oraz </w:t>
      </w:r>
      <w:r w:rsidR="004423D2">
        <w:t>zawiadomieni</w:t>
      </w:r>
      <w:r>
        <w:t>e, o którym mowa w art. 32aa</w:t>
      </w:r>
      <w:r w:rsidR="00FF5BB3">
        <w:t xml:space="preserve"> ustawy, </w:t>
      </w:r>
      <w:r w:rsidR="00DC50E5">
        <w:t xml:space="preserve">będą przekazywane w postaci papierowej. </w:t>
      </w:r>
    </w:p>
    <w:p w14:paraId="4788580A" w14:textId="2EAF2DCD" w:rsidR="00F80BE0" w:rsidRDefault="00F80BE0" w:rsidP="009B0701">
      <w:pPr>
        <w:jc w:val="both"/>
      </w:pPr>
      <w:r>
        <w:t>Przyjęt</w:t>
      </w:r>
      <w:r w:rsidR="008B465D">
        <w:t>e</w:t>
      </w:r>
      <w:r>
        <w:t xml:space="preserve"> regulacj</w:t>
      </w:r>
      <w:r w:rsidR="008B465D">
        <w:t>e</w:t>
      </w:r>
      <w:r>
        <w:t xml:space="preserve"> ujednolic</w:t>
      </w:r>
      <w:r w:rsidR="008B465D">
        <w:t>ą</w:t>
      </w:r>
      <w:r>
        <w:t xml:space="preserve"> i usprawni</w:t>
      </w:r>
      <w:r w:rsidR="008B465D">
        <w:t>ą</w:t>
      </w:r>
      <w:r>
        <w:t xml:space="preserve"> sposób przekazywania korespondencji pomiędzy wierzycielem, organem egzekucyjnym</w:t>
      </w:r>
      <w:r w:rsidR="00500EE7">
        <w:t xml:space="preserve"> i innym organem egzekucyjnym</w:t>
      </w:r>
      <w:r>
        <w:t>. W</w:t>
      </w:r>
      <w:r w:rsidR="00D538F6">
        <w:t>ykorzystanie</w:t>
      </w:r>
      <w:r>
        <w:t xml:space="preserve"> systemu teleinformatycznego, o którym mowa w art. 26aa ustawy, do przekazywania </w:t>
      </w:r>
      <w:r w:rsidR="004423D2">
        <w:t>zawiadomienia</w:t>
      </w:r>
      <w:r w:rsidR="00500EE7">
        <w:t xml:space="preserve"> </w:t>
      </w:r>
      <w:r w:rsidR="004423D2">
        <w:t>którym</w:t>
      </w:r>
      <w:r w:rsidR="00500EE7">
        <w:t xml:space="preserve"> mowa w art. 32aa ustawy, </w:t>
      </w:r>
      <w:r>
        <w:t xml:space="preserve">przez wierzycieli do organu egzekucyjnego będącego naczelnikiem urzędu skarbowego pozwoli na </w:t>
      </w:r>
      <w:r w:rsidR="00D538F6">
        <w:t xml:space="preserve">zwiększenie funkcjonalności tego systemu. </w:t>
      </w:r>
      <w:r w:rsidR="0022267F">
        <w:t>Zakłada się, że</w:t>
      </w:r>
      <w:r w:rsidR="00D538F6">
        <w:t xml:space="preserve"> </w:t>
      </w:r>
      <w:r w:rsidR="0022267F">
        <w:t xml:space="preserve">użytkowanie </w:t>
      </w:r>
      <w:r>
        <w:t xml:space="preserve">systemu </w:t>
      </w:r>
      <w:r w:rsidR="0022267F">
        <w:t xml:space="preserve">teleinformatycznego </w:t>
      </w:r>
      <w:r>
        <w:t>do zadań innych niż przekazywanie tytułu wykonawczego, zarządzenia zabezpieczenia i dodatkowej informacji, o</w:t>
      </w:r>
      <w:r w:rsidR="00DD0B15">
        <w:t> </w:t>
      </w:r>
      <w:r>
        <w:t>której mowa w art.</w:t>
      </w:r>
      <w:r w:rsidR="0022267F">
        <w:t xml:space="preserve"> 26 § 1e ustawy, korzystnie wpłynie na pracę wierzycieli i organów egzekucyjnych będących naczelnikami urzędu skarbowego.</w:t>
      </w:r>
    </w:p>
    <w:p w14:paraId="54A64AA7" w14:textId="77777777" w:rsidR="00435838" w:rsidRDefault="00435838" w:rsidP="00353B0D">
      <w:pPr>
        <w:ind w:firstLine="510"/>
        <w:jc w:val="both"/>
      </w:pPr>
    </w:p>
    <w:p w14:paraId="0A8ACC67" w14:textId="5C212AD1" w:rsidR="00AD6EFD" w:rsidRDefault="00322185" w:rsidP="009B0701">
      <w:pPr>
        <w:jc w:val="both"/>
      </w:pPr>
      <w:r>
        <w:t xml:space="preserve">W </w:t>
      </w:r>
      <w:r w:rsidR="00B55706">
        <w:t xml:space="preserve">§ </w:t>
      </w:r>
      <w:r w:rsidR="004965BA">
        <w:t>4</w:t>
      </w:r>
      <w:r w:rsidR="00B55706">
        <w:t xml:space="preserve"> projektu rozporządzenia </w:t>
      </w:r>
      <w:r w:rsidR="008B465D">
        <w:t xml:space="preserve">doprecyzowano zakres danych przekazywanych przez </w:t>
      </w:r>
      <w:r w:rsidR="00A17791">
        <w:t>wierzyciela</w:t>
      </w:r>
      <w:r w:rsidR="008B465D">
        <w:t xml:space="preserve"> organowi egzekucyjnemu, o który</w:t>
      </w:r>
      <w:r w:rsidR="00FF5BB3">
        <w:t>ch</w:t>
      </w:r>
      <w:r w:rsidR="008B465D">
        <w:t xml:space="preserve"> mowa w</w:t>
      </w:r>
      <w:r w:rsidR="00A17791">
        <w:t xml:space="preserve"> art. 32aa </w:t>
      </w:r>
      <w:r w:rsidR="004423D2">
        <w:t>ustawy</w:t>
      </w:r>
      <w:r w:rsidR="008B465D">
        <w:t>.</w:t>
      </w:r>
      <w:r w:rsidR="00A17791">
        <w:t xml:space="preserve"> </w:t>
      </w:r>
      <w:r w:rsidR="00370503">
        <w:t>Zaproponowany</w:t>
      </w:r>
      <w:r w:rsidR="00FF5BB3">
        <w:t xml:space="preserve"> </w:t>
      </w:r>
      <w:r w:rsidR="00370503">
        <w:t xml:space="preserve">tryb współpracy pozwoli na </w:t>
      </w:r>
      <w:r w:rsidR="00D12B43">
        <w:t>ujednolicenie czynności wierzyciela i przekazywanie informacji, które są niezbędne organowi egzekucyjnemu</w:t>
      </w:r>
      <w:r w:rsidR="00FF5BB3">
        <w:t xml:space="preserve"> do</w:t>
      </w:r>
      <w:r w:rsidR="00690E99">
        <w:t xml:space="preserve"> pr</w:t>
      </w:r>
      <w:r w:rsidR="00D12B43">
        <w:t>awidłowego naliczenia opłaty egzeku</w:t>
      </w:r>
      <w:r w:rsidR="00A27F4A">
        <w:t xml:space="preserve">cyjnej. </w:t>
      </w:r>
      <w:r w:rsidR="00537DDF">
        <w:t>W przypadku gdy wierzyciel będzie przekazywał organowi egzekucyjnemu informacje o</w:t>
      </w:r>
      <w:r w:rsidR="00DD0B15">
        <w:t> </w:t>
      </w:r>
      <w:r w:rsidR="00537DDF">
        <w:t>wyegzekwowaniu należności pieniężnej przez inny organ egzekucyjny</w:t>
      </w:r>
      <w:r w:rsidR="00634C89">
        <w:t xml:space="preserve"> (art. 32aa pkt 1 lit. a ustawy) </w:t>
      </w:r>
      <w:r w:rsidR="00A94895">
        <w:t xml:space="preserve">proponuje się, </w:t>
      </w:r>
      <w:r w:rsidR="00634C89">
        <w:t>aby wskazał</w:t>
      </w:r>
      <w:r w:rsidR="00A94895">
        <w:t>,</w:t>
      </w:r>
      <w:r w:rsidR="00634C89">
        <w:t xml:space="preserve"> który inny</w:t>
      </w:r>
      <w:r w:rsidR="00537DDF">
        <w:t xml:space="preserve"> organ</w:t>
      </w:r>
      <w:r w:rsidR="00634C89">
        <w:t xml:space="preserve"> egzekucyjny wyegzekwował należność pieniężna</w:t>
      </w:r>
      <w:r w:rsidR="00537DDF">
        <w:t xml:space="preserve">. </w:t>
      </w:r>
      <w:r w:rsidR="00634C89">
        <w:t xml:space="preserve">Informacja ta usprawni pracę organu egzekucyjnego związaną ze stałą kontrolą kosztów egzekucyjnych w prowadzonym postępowaniu egzekucyjnym. </w:t>
      </w:r>
      <w:r w:rsidR="00F33853">
        <w:t>Uznano, że w</w:t>
      </w:r>
      <w:r w:rsidR="00E0797E">
        <w:t> </w:t>
      </w:r>
      <w:r w:rsidR="00F33853">
        <w:t xml:space="preserve">przypadku </w:t>
      </w:r>
      <w:r w:rsidR="00690E99">
        <w:t xml:space="preserve">określonym w </w:t>
      </w:r>
      <w:r w:rsidR="00F33853">
        <w:t>art. 32aa pkt 1 lit. b</w:t>
      </w:r>
      <w:r w:rsidR="00E0797E">
        <w:t xml:space="preserve"> ustawy</w:t>
      </w:r>
      <w:r w:rsidR="00F33853">
        <w:t xml:space="preserve">, </w:t>
      </w:r>
      <w:r w:rsidR="00690E99">
        <w:t>tj. w przypadku</w:t>
      </w:r>
      <w:r w:rsidR="00E0797E">
        <w:t>,</w:t>
      </w:r>
      <w:r w:rsidR="00690E99">
        <w:t xml:space="preserve"> </w:t>
      </w:r>
      <w:r w:rsidR="00F33853">
        <w:t xml:space="preserve">gdy zmiana wysokości należności pieniężnej objętej tytułem wykonawczym </w:t>
      </w:r>
      <w:r w:rsidR="00FF5BB3">
        <w:t xml:space="preserve">jest </w:t>
      </w:r>
      <w:r w:rsidR="00F33853">
        <w:t>związana z korektą dokumentu, o</w:t>
      </w:r>
      <w:r w:rsidR="00E0797E">
        <w:t> </w:t>
      </w:r>
      <w:r w:rsidR="00F33853">
        <w:t>którym mowa w art. 3a § 1 ustawy, niezbędne</w:t>
      </w:r>
      <w:r w:rsidR="00FF5BB3">
        <w:t xml:space="preserve"> będzie </w:t>
      </w:r>
      <w:r w:rsidR="00F33853">
        <w:t>podanie wysokości odsetek z tytułu niezapłacenia należności w terminie naliczonych na dzień wystawienia tytułu wykonawczego od zmniejszonej kwoty należności pieniężnej. Pozwoli to organowi egzekucyjnemu na dokonanie aktualizacji wysokości maksymalnej opłaty egzekucyjnej, o której mowa w art. 64 § 4 ustawy</w:t>
      </w:r>
      <w:r w:rsidR="004423D2">
        <w:t xml:space="preserve">. </w:t>
      </w:r>
      <w:r w:rsidR="00EE7583">
        <w:t xml:space="preserve">Z kolei w </w:t>
      </w:r>
      <w:r w:rsidR="008B465D">
        <w:t>przypadku, o którym mowa art. 32aa pkt 1 lit. d ustawy</w:t>
      </w:r>
      <w:r w:rsidR="00EE7583">
        <w:t>,</w:t>
      </w:r>
      <w:r w:rsidR="008B465D">
        <w:t xml:space="preserve"> tj. zapłaty środków pieniężnych wierzycielowi, będzie</w:t>
      </w:r>
      <w:r w:rsidR="00BD502F">
        <w:t xml:space="preserve"> niezbędne przekazanie dodatkowych informacji o</w:t>
      </w:r>
      <w:r w:rsidR="004423D2">
        <w:t xml:space="preserve">kreślonych w § 4 pkt </w:t>
      </w:r>
      <w:r w:rsidR="00AC499D">
        <w:t>3</w:t>
      </w:r>
      <w:r w:rsidR="00BD502F">
        <w:t xml:space="preserve"> projektu rozporządzenia</w:t>
      </w:r>
      <w:r w:rsidR="00FF5BB3">
        <w:t>:</w:t>
      </w:r>
      <w:r w:rsidR="00AD6EFD">
        <w:t xml:space="preserve"> wysokości uzyskanych i </w:t>
      </w:r>
      <w:r w:rsidR="00AD6EFD">
        <w:lastRenderedPageBreak/>
        <w:t xml:space="preserve">pozostałych do wyegzekwowania należności pieniężnej, odsetek z tytułu niezapłacenia jej w terminie i kosztów upomnienia oraz </w:t>
      </w:r>
      <w:r w:rsidR="00FF5BB3">
        <w:t>daty</w:t>
      </w:r>
      <w:r w:rsidR="00AD6EFD">
        <w:t xml:space="preserve"> ich uzyskania. Niezbędne </w:t>
      </w:r>
      <w:r w:rsidR="00FF5BB3">
        <w:t xml:space="preserve">będzie </w:t>
      </w:r>
      <w:r w:rsidR="00AD6EFD">
        <w:t>także podanie wysokości</w:t>
      </w:r>
      <w:r w:rsidR="00AD6EFD" w:rsidRPr="004423D2">
        <w:t xml:space="preserve"> </w:t>
      </w:r>
      <w:r w:rsidR="00AD6EFD" w:rsidRPr="00CD51D4">
        <w:t>odsetek z</w:t>
      </w:r>
      <w:r w:rsidR="00E0797E">
        <w:t> </w:t>
      </w:r>
      <w:r w:rsidR="00AD6EFD" w:rsidRPr="00CD51D4">
        <w:t xml:space="preserve">tytułu niezapłacenia </w:t>
      </w:r>
      <w:r w:rsidR="00AD6EFD">
        <w:t xml:space="preserve">należności pieniężnej </w:t>
      </w:r>
      <w:r w:rsidR="00AD6EFD" w:rsidRPr="00CD51D4">
        <w:t>w terminie</w:t>
      </w:r>
      <w:r w:rsidR="00AD6EFD">
        <w:t xml:space="preserve"> </w:t>
      </w:r>
      <w:r w:rsidR="00AD6EFD" w:rsidRPr="00CD51D4">
        <w:t>naliczonych na dzień wystawienia tytułu wykonawczego od zmniejszonej</w:t>
      </w:r>
      <w:r w:rsidR="00AD6EFD">
        <w:t xml:space="preserve"> w wyniku zapłaty wysokości </w:t>
      </w:r>
      <w:r w:rsidR="00AD6EFD" w:rsidRPr="00CD51D4">
        <w:t>należności pieniężnej</w:t>
      </w:r>
      <w:r w:rsidR="00AD6EFD">
        <w:t>, co po</w:t>
      </w:r>
      <w:r w:rsidR="00AC499D">
        <w:t>z</w:t>
      </w:r>
      <w:r w:rsidR="00AD6EFD">
        <w:t xml:space="preserve">woli organowi egzekucyjnemu na prawidłowe naliczenie maksymalnej opłaty egzekucyjnej, o której mowa w art. 64 § </w:t>
      </w:r>
      <w:r w:rsidR="00091557">
        <w:t>4</w:t>
      </w:r>
      <w:r w:rsidR="00AD6EFD">
        <w:t xml:space="preserve"> ustawy. </w:t>
      </w:r>
    </w:p>
    <w:p w14:paraId="09D035D5" w14:textId="3141E2C3" w:rsidR="00BD578E" w:rsidRDefault="00AD6EFD" w:rsidP="009B0701">
      <w:pPr>
        <w:jc w:val="both"/>
      </w:pPr>
      <w:r>
        <w:t xml:space="preserve">Jeżeli zapłaty wierzycielowi należności pieniężnej, odsetek z tytułu niezapłacenia jej w terminie i kosztów upomnienia dokona </w:t>
      </w:r>
      <w:r w:rsidR="00BF1C44">
        <w:t>podmio</w:t>
      </w:r>
      <w:r>
        <w:t>t,</w:t>
      </w:r>
      <w:r w:rsidR="00BC55A4">
        <w:t xml:space="preserve"> </w:t>
      </w:r>
      <w:r w:rsidR="005A622E">
        <w:t>o którym mowa w art. 71</w:t>
      </w:r>
      <w:r w:rsidR="00BC55A4">
        <w:t>ca</w:t>
      </w:r>
      <w:r w:rsidR="005A622E">
        <w:t xml:space="preserve"> § 1 pkt </w:t>
      </w:r>
      <w:r w:rsidR="00A50A90">
        <w:t>1, 2 i 4</w:t>
      </w:r>
      <w:r w:rsidR="00451F86">
        <w:t xml:space="preserve"> </w:t>
      </w:r>
      <w:r w:rsidR="005A622E">
        <w:t>ustawy</w:t>
      </w:r>
      <w:r>
        <w:t xml:space="preserve">, niezbędne jest podanie </w:t>
      </w:r>
      <w:r w:rsidR="00AC499D">
        <w:t>tej informacji</w:t>
      </w:r>
      <w:r w:rsidR="00E0797E">
        <w:t xml:space="preserve"> </w:t>
      </w:r>
      <w:r w:rsidR="00EC12CE">
        <w:t>(</w:t>
      </w:r>
      <w:r w:rsidR="00E0797E">
        <w:t xml:space="preserve">o </w:t>
      </w:r>
      <w:r w:rsidR="00EC12CE">
        <w:t>byci</w:t>
      </w:r>
      <w:r w:rsidR="00E0797E">
        <w:t>u</w:t>
      </w:r>
      <w:r w:rsidR="00EC12CE">
        <w:t xml:space="preserve"> aktualnym właścicielem lub użytkownikiem wieczystym przedmiotu hipoteki przymusowej, aktualnym właściciel</w:t>
      </w:r>
      <w:r w:rsidR="00E0797E">
        <w:t>u</w:t>
      </w:r>
      <w:r w:rsidR="00EC12CE">
        <w:t xml:space="preserve"> przedmiotu zastawu skarbowego lub osobą trzecią, o której mowa w art. 533 ustawy z dnia 23 kwietnia 1964 – Kodeks cywilny). Dane te </w:t>
      </w:r>
      <w:r w:rsidR="00FF5BB3">
        <w:t xml:space="preserve">stanowić będą podstawę </w:t>
      </w:r>
      <w:r w:rsidR="00A50A90">
        <w:t>do odstąpienia od naliczania opłaty eg</w:t>
      </w:r>
      <w:r w:rsidR="00EC12CE">
        <w:t>z</w:t>
      </w:r>
      <w:r w:rsidR="00A50A90">
        <w:t>ekucyjnej</w:t>
      </w:r>
      <w:r w:rsidR="00EC12CE">
        <w:t>, albowiem z</w:t>
      </w:r>
      <w:r w:rsidR="00A50A90">
        <w:t xml:space="preserve">godnie </w:t>
      </w:r>
      <w:r w:rsidR="00EC12CE">
        <w:t>z</w:t>
      </w:r>
      <w:r w:rsidR="00A50A90">
        <w:t xml:space="preserve"> art. 64 § 9 pkt 2 ustawy, w taki</w:t>
      </w:r>
      <w:r w:rsidR="00EC12CE">
        <w:t>ch</w:t>
      </w:r>
      <w:r w:rsidR="00A50A90">
        <w:t xml:space="preserve"> przypadk</w:t>
      </w:r>
      <w:r w:rsidR="00EC12CE">
        <w:t>ach</w:t>
      </w:r>
      <w:r w:rsidR="00A50A90">
        <w:t xml:space="preserve"> nie powsta</w:t>
      </w:r>
      <w:r w:rsidR="00EC12CE">
        <w:t>je</w:t>
      </w:r>
      <w:r w:rsidR="00A50A90">
        <w:t xml:space="preserve"> obowiązek zapłaty tej opłaty.</w:t>
      </w:r>
    </w:p>
    <w:p w14:paraId="13ADD884" w14:textId="77777777" w:rsidR="00A50A90" w:rsidRDefault="00A50A90" w:rsidP="009B0701">
      <w:pPr>
        <w:jc w:val="both"/>
      </w:pPr>
    </w:p>
    <w:p w14:paraId="0F57F2E8" w14:textId="5BE076E6" w:rsidR="00BD578E" w:rsidRDefault="00BD578E" w:rsidP="009B0701">
      <w:pPr>
        <w:autoSpaceDE w:val="0"/>
        <w:autoSpaceDN w:val="0"/>
        <w:adjustRightInd w:val="0"/>
        <w:jc w:val="both"/>
      </w:pPr>
      <w:r>
        <w:t xml:space="preserve">W § 5 projektu rozporządzenia uregulowano tryb współpracy organu egzekucyjnego i innego organu egzekucyjnego w rozumieniu § 2 pkt 3 projektu rozporządzenia. Konieczność sprawowania przez organ egzekucyjny kontroli wysokości kosztów egzekucyjnych naliczanych i pobieranych w postępowaniu egzekucyjnym wymaga współpracy na każdym etapie tego postępowania. Wobec tego § </w:t>
      </w:r>
      <w:r w:rsidR="00FF5BB3">
        <w:t>5</w:t>
      </w:r>
      <w:r>
        <w:t xml:space="preserve"> projektu wskazuje zakres informacji przekazywanych przez organ egzekucyjny prowadzący postępowanie egzekucyjne do innego organu egzekucyjnemu uczestniczącego w tym postępowaniu. Jeżeli bowiem wierzyciel zawiadomi organ egzekucyjny o okolicznościach, o których mowa w art. 32aa ustawy, mających wpływ na prowadzone postępowanie egzekucyjne, to organ ten winien zawiadomić inne organy egzekucyjne o</w:t>
      </w:r>
      <w:r w:rsidR="00A2752E">
        <w:t> </w:t>
      </w:r>
      <w:r>
        <w:t xml:space="preserve">istotnych zdarzeniach występujących w tym postępowaniu. Są to: </w:t>
      </w:r>
      <w:r>
        <w:rPr>
          <w:bCs/>
          <w:lang w:eastAsia="pl-PL"/>
        </w:rPr>
        <w:t xml:space="preserve">zmiana wysokości należności pieniężnej, o której mowa w art. 32aa pkt 1 ustawy, zawieszenie </w:t>
      </w:r>
      <w:r>
        <w:t>postępowania egzekucyjnego, wstrzymanie postępowaniu egzekucyjnego lub czynności egzekucyjnych, podjęcie zawieszonego postępowania egzekucyjnego i wstrzymanego postępowania egzekucyjnego lub czynności egzekucyjnych,</w:t>
      </w:r>
      <w:r w:rsidR="00D06432">
        <w:t xml:space="preserve"> umorzenie postępowania egzekucyjnego w</w:t>
      </w:r>
      <w:r w:rsidR="00A2752E">
        <w:t> </w:t>
      </w:r>
      <w:r w:rsidR="00D06432">
        <w:t>całości albo w części,</w:t>
      </w:r>
      <w:r>
        <w:t xml:space="preserve"> </w:t>
      </w:r>
      <w:r w:rsidR="00FF5BB3">
        <w:t xml:space="preserve">wskazanie </w:t>
      </w:r>
      <w:r>
        <w:t>okres</w:t>
      </w:r>
      <w:r w:rsidR="00FF5BB3">
        <w:t>u</w:t>
      </w:r>
      <w:r>
        <w:t>, za który nie nalicza się odsetek z tytułu niezapłacenia w terminie należności pieniężnej w wyniku zdarzenia zaistniałego po dniu wystawienia tytułu wykonawczego, a także informacje o zobowiązanym, o których mowa w</w:t>
      </w:r>
      <w:r w:rsidR="00A2752E">
        <w:t> </w:t>
      </w:r>
      <w:r>
        <w:t>art. 32aa pkt 6 ustawy.</w:t>
      </w:r>
    </w:p>
    <w:p w14:paraId="3C0E758A" w14:textId="77777777" w:rsidR="00560FFB" w:rsidRDefault="00560FFB" w:rsidP="000A6620">
      <w:pPr>
        <w:ind w:firstLine="510"/>
        <w:jc w:val="both"/>
      </w:pPr>
    </w:p>
    <w:p w14:paraId="11BFFF02" w14:textId="6B211429" w:rsidR="005D2D9B" w:rsidRDefault="00BD578E" w:rsidP="00591724">
      <w:pPr>
        <w:jc w:val="both"/>
      </w:pPr>
      <w:r>
        <w:t>W § 6</w:t>
      </w:r>
      <w:r w:rsidR="00446168">
        <w:t xml:space="preserve"> projektu rozporządzenia uregulowano tryb współpracy wierzyciela i organu egzekucyjnego w zakresie niezbędnym do </w:t>
      </w:r>
      <w:r w:rsidR="00AE455F">
        <w:t>wydania</w:t>
      </w:r>
      <w:r w:rsidR="00446168">
        <w:t xml:space="preserve"> dalszego tytułu wykonawczego</w:t>
      </w:r>
      <w:r w:rsidR="00AE455F">
        <w:t xml:space="preserve"> i kolejnego tytułu wykonawczego</w:t>
      </w:r>
      <w:r w:rsidR="00446168">
        <w:t>.</w:t>
      </w:r>
      <w:r w:rsidR="00F240C2">
        <w:t xml:space="preserve"> Uznano</w:t>
      </w:r>
      <w:r w:rsidR="00BB4DFC">
        <w:t xml:space="preserve">, że wierzyciel przed wystawieniem </w:t>
      </w:r>
      <w:r w:rsidR="00FF5BB3">
        <w:t xml:space="preserve">jednego z tych </w:t>
      </w:r>
      <w:r w:rsidR="00AE455F">
        <w:t xml:space="preserve">tytułów wykonawczych </w:t>
      </w:r>
      <w:r w:rsidR="00BB4DFC">
        <w:t>występuje do organu egzekucyjnego o podanie informacji dotyczącej nadania tytułowi wykonawczemu klauzuli o skierowaniu tego tytułu do egzekucji administracyjnej lub wysokości kosztów egzekucyjnych.</w:t>
      </w:r>
      <w:r w:rsidR="002C0C62">
        <w:t xml:space="preserve"> </w:t>
      </w:r>
      <w:r w:rsidR="00EC12CE">
        <w:t>P</w:t>
      </w:r>
      <w:r w:rsidR="00A13ED5">
        <w:t xml:space="preserve">odobna regulacja znajduje się </w:t>
      </w:r>
      <w:r w:rsidR="002C0C62">
        <w:t xml:space="preserve">również w rozporządzeniu </w:t>
      </w:r>
      <w:r w:rsidR="00405495">
        <w:t>Ministra Finansów</w:t>
      </w:r>
      <w:r w:rsidR="00CA5F9A">
        <w:t>, Funduszy i Polityki Regionalnej</w:t>
      </w:r>
      <w:r w:rsidR="00405495">
        <w:t xml:space="preserve"> z dnia </w:t>
      </w:r>
      <w:r w:rsidR="007903C6">
        <w:t>18 listopada</w:t>
      </w:r>
      <w:r w:rsidR="00405495">
        <w:t xml:space="preserve"> 2020 r. w sprawie postępowania wierzycieli należności pieniężnych (Dz. U. poz.</w:t>
      </w:r>
      <w:r w:rsidR="00A94895">
        <w:t xml:space="preserve"> 2083</w:t>
      </w:r>
      <w:r w:rsidR="00CA5F9A">
        <w:t>)</w:t>
      </w:r>
      <w:r w:rsidR="00FF5BB3">
        <w:t>. D</w:t>
      </w:r>
      <w:r w:rsidR="00EC12CE">
        <w:t>otyczy ona j</w:t>
      </w:r>
      <w:r w:rsidR="00F07B6C">
        <w:t xml:space="preserve">ednak </w:t>
      </w:r>
      <w:r w:rsidR="005D2D9B">
        <w:t>wystąpienia wierzyciela do organu egzekucyjnego o podanie informacji dotyczące</w:t>
      </w:r>
      <w:r w:rsidR="00A13ED5">
        <w:t>j nada</w:t>
      </w:r>
      <w:r w:rsidR="00882861">
        <w:t>nia tytułowi wykonawczemu</w:t>
      </w:r>
      <w:r w:rsidR="002C0C62">
        <w:t xml:space="preserve"> klauzuli wykonalności</w:t>
      </w:r>
      <w:r w:rsidR="00446168">
        <w:t xml:space="preserve"> </w:t>
      </w:r>
      <w:r w:rsidR="00882861">
        <w:t>w przypadku</w:t>
      </w:r>
      <w:r w:rsidR="00F07B6C">
        <w:t>,</w:t>
      </w:r>
      <w:r w:rsidR="00882861">
        <w:t xml:space="preserve"> gdy wystawieni</w:t>
      </w:r>
      <w:r w:rsidR="00EC12CE">
        <w:t>e</w:t>
      </w:r>
      <w:r w:rsidR="00882861">
        <w:t xml:space="preserve"> dalszego tytułu wykonawczego </w:t>
      </w:r>
      <w:r w:rsidR="00EC12CE">
        <w:t xml:space="preserve">jest konieczne </w:t>
      </w:r>
      <w:r w:rsidR="00882861">
        <w:t xml:space="preserve">przed </w:t>
      </w:r>
      <w:r w:rsidR="00EC12CE">
        <w:t xml:space="preserve">ponownym </w:t>
      </w:r>
      <w:r w:rsidR="00882861">
        <w:t>wszczęciem postępowania egzekucyjnego</w:t>
      </w:r>
      <w:r w:rsidR="00EC12CE">
        <w:t xml:space="preserve">, </w:t>
      </w:r>
      <w:r w:rsidR="00BC456B">
        <w:t xml:space="preserve">stosownie do </w:t>
      </w:r>
      <w:r w:rsidR="00882861" w:rsidRPr="00E86D47">
        <w:t>art. 26c § 1 pkt 2 ustawy</w:t>
      </w:r>
      <w:r w:rsidR="00E86D47">
        <w:t xml:space="preserve">. </w:t>
      </w:r>
      <w:r w:rsidR="00BC456B">
        <w:t xml:space="preserve">Z kolei </w:t>
      </w:r>
      <w:r w:rsidR="008417E6">
        <w:t>r</w:t>
      </w:r>
      <w:r w:rsidR="005D2D9B">
        <w:t xml:space="preserve">egulacja </w:t>
      </w:r>
      <w:r w:rsidR="00BC456B">
        <w:t xml:space="preserve">zawarta </w:t>
      </w:r>
      <w:r>
        <w:t>w § 6</w:t>
      </w:r>
      <w:r w:rsidR="002A4B2E">
        <w:t xml:space="preserve"> projektu rozporządzenia umożliwi </w:t>
      </w:r>
      <w:r w:rsidR="005D2D9B">
        <w:t>wierzycielowi</w:t>
      </w:r>
      <w:r w:rsidR="00BC456B">
        <w:t xml:space="preserve"> wystąpienie do organu egzekucyjnego o podanie informacji dotyczącej nadania tytułowi wykonawczemu klauzuli o skierowaniu tytułu do egzekucji administracyjnej lub informacji o wysokości kosztów egzekucyjnych - już </w:t>
      </w:r>
      <w:r w:rsidR="005D2D9B">
        <w:t xml:space="preserve">po wszczęciu postępowania egzekucyjnego. Wierzyciel </w:t>
      </w:r>
      <w:r w:rsidR="00560342">
        <w:t>nie dysponuje</w:t>
      </w:r>
      <w:r w:rsidR="00C91D1D">
        <w:t xml:space="preserve"> </w:t>
      </w:r>
      <w:r w:rsidR="00560342">
        <w:t>wiedzą dotyczącą</w:t>
      </w:r>
      <w:r w:rsidR="00C91D1D">
        <w:t xml:space="preserve"> </w:t>
      </w:r>
      <w:r w:rsidR="005D2D9B">
        <w:t xml:space="preserve">nadania klauzuli o skierowaniu tytułu wykonawczego do egzekucji administracyjnej. Klauzulę tę nadaje </w:t>
      </w:r>
      <w:r w:rsidR="00BC456B">
        <w:t xml:space="preserve">bowiem </w:t>
      </w:r>
      <w:r w:rsidR="005D2D9B">
        <w:t>organ egzekucyjny stosownie do art. 27 § 1 pkt 10 ustawy. Zgodnie natomiast z</w:t>
      </w:r>
      <w:r w:rsidR="00A2752E">
        <w:t> </w:t>
      </w:r>
      <w:r w:rsidR="005D2D9B">
        <w:t>art.</w:t>
      </w:r>
      <w:r w:rsidR="00A2752E">
        <w:t> </w:t>
      </w:r>
      <w:r w:rsidR="005D2D9B">
        <w:t xml:space="preserve">26c § 2 i art. 26ca § 2 pkt 4 ustawy zarówno dalszy tytuł wykonawczy, jak i kolejny tytuł wykonawczy winien zawierać informację o nadaniu </w:t>
      </w:r>
      <w:r w:rsidR="007C5606">
        <w:t>uprzednio wystawi</w:t>
      </w:r>
      <w:r w:rsidR="008417E6">
        <w:t>onemu</w:t>
      </w:r>
      <w:r w:rsidR="005D2D9B">
        <w:t xml:space="preserve"> tytułowi klauzuli o skierowaniu tytułu wykonawczego do egzekucji administracyjnej. Udzielenie tej informacji stanowi realizację obowiązków organu</w:t>
      </w:r>
      <w:r w:rsidR="00C91D1D">
        <w:t xml:space="preserve"> egzekucyjnego</w:t>
      </w:r>
      <w:r w:rsidR="005D2D9B">
        <w:t xml:space="preserve">, </w:t>
      </w:r>
      <w:r w:rsidR="00BC456B">
        <w:t xml:space="preserve">który </w:t>
      </w:r>
      <w:r w:rsidR="005D2D9B">
        <w:t>posiada wiedzę w tym zakresie</w:t>
      </w:r>
      <w:r w:rsidR="00BC456B">
        <w:t xml:space="preserve">, co umożliwi </w:t>
      </w:r>
      <w:r w:rsidR="005D2D9B">
        <w:t>wystawieni</w:t>
      </w:r>
      <w:r w:rsidR="00BC456B">
        <w:t>e</w:t>
      </w:r>
      <w:r w:rsidR="005D2D9B">
        <w:t xml:space="preserve"> </w:t>
      </w:r>
      <w:r w:rsidR="00C91D1D">
        <w:t xml:space="preserve">dalszego bądź kolejnego </w:t>
      </w:r>
      <w:r w:rsidR="005D2D9B">
        <w:t>tytuł</w:t>
      </w:r>
      <w:r w:rsidR="00C91D1D">
        <w:t>u</w:t>
      </w:r>
      <w:r w:rsidR="005D2D9B">
        <w:t xml:space="preserve"> wykonawcz</w:t>
      </w:r>
      <w:r w:rsidR="00C91D1D">
        <w:t>ego</w:t>
      </w:r>
      <w:r w:rsidR="005D2D9B">
        <w:t xml:space="preserve"> i</w:t>
      </w:r>
      <w:r w:rsidR="00A2752E">
        <w:t> </w:t>
      </w:r>
      <w:r w:rsidR="00BC456B">
        <w:t>skierowanie go do</w:t>
      </w:r>
      <w:r w:rsidR="00A460CB">
        <w:t xml:space="preserve"> organ</w:t>
      </w:r>
      <w:r w:rsidR="00BC456B">
        <w:t xml:space="preserve">u </w:t>
      </w:r>
      <w:r w:rsidR="005D2D9B">
        <w:t>egzekucyjn</w:t>
      </w:r>
      <w:r w:rsidR="00BC456B">
        <w:t xml:space="preserve">ego właściwego do </w:t>
      </w:r>
      <w:r>
        <w:t xml:space="preserve">przeprowadzenia egzekucji ze składnika majątkowego do którego organ egzekucyjny nie jest uprawniony. </w:t>
      </w:r>
    </w:p>
    <w:p w14:paraId="362913A4" w14:textId="78DB2170" w:rsidR="00F6608C" w:rsidRPr="00F6608C" w:rsidRDefault="00F6608C" w:rsidP="00F6608C">
      <w:pPr>
        <w:suppressAutoHyphens w:val="0"/>
        <w:jc w:val="both"/>
        <w:rPr>
          <w:rFonts w:eastAsiaTheme="minorHAnsi"/>
          <w:lang w:eastAsia="en-US"/>
        </w:rPr>
      </w:pPr>
      <w:r w:rsidRPr="00F6608C">
        <w:rPr>
          <w:rFonts w:eastAsiaTheme="minorHAnsi"/>
          <w:lang w:eastAsia="en-US"/>
        </w:rPr>
        <w:t>Z kolei w przypadku potrzeby zabezpieczenia należności pieniężnej hipoteką przymusową,</w:t>
      </w:r>
      <w:r>
        <w:rPr>
          <w:rFonts w:eastAsiaTheme="minorHAnsi"/>
          <w:lang w:eastAsia="en-US"/>
        </w:rPr>
        <w:t xml:space="preserve"> w</w:t>
      </w:r>
      <w:r w:rsidR="00722EE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tym hipoteką morską,</w:t>
      </w:r>
      <w:r w:rsidRPr="00F6608C">
        <w:rPr>
          <w:rFonts w:eastAsiaTheme="minorHAnsi"/>
          <w:lang w:eastAsia="en-US"/>
        </w:rPr>
        <w:t xml:space="preserve"> wierzyciel wystąpi do organu egzekucyjnego o udzielenie informacji o wysokości kosztów egzekucyjnych. Umożliwi to zabezpieczenie tych kosztów </w:t>
      </w:r>
      <w:r>
        <w:rPr>
          <w:rFonts w:eastAsiaTheme="minorHAnsi"/>
          <w:lang w:eastAsia="en-US"/>
        </w:rPr>
        <w:t>hipotek</w:t>
      </w:r>
      <w:r w:rsidR="00E92DF2"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 przymusow</w:t>
      </w:r>
      <w:r w:rsidR="00E92DF2">
        <w:rPr>
          <w:rFonts w:eastAsiaTheme="minorHAnsi"/>
          <w:lang w:eastAsia="en-US"/>
        </w:rPr>
        <w:t>ą</w:t>
      </w:r>
      <w:r w:rsidRPr="00F6608C">
        <w:rPr>
          <w:rFonts w:eastAsiaTheme="minorHAnsi"/>
          <w:lang w:eastAsia="en-US"/>
        </w:rPr>
        <w:t xml:space="preserve">. </w:t>
      </w:r>
      <w:r w:rsidR="00E92DF2">
        <w:rPr>
          <w:rFonts w:eastAsiaTheme="minorHAnsi"/>
          <w:lang w:eastAsia="en-US"/>
        </w:rPr>
        <w:t>Ponadto z</w:t>
      </w:r>
      <w:r w:rsidRPr="00F6608C">
        <w:rPr>
          <w:rFonts w:eastAsiaTheme="minorHAnsi"/>
          <w:lang w:eastAsia="en-US"/>
        </w:rPr>
        <w:t>godnie z</w:t>
      </w:r>
      <w:r>
        <w:rPr>
          <w:rFonts w:eastAsiaTheme="minorHAnsi"/>
          <w:lang w:eastAsia="en-US"/>
        </w:rPr>
        <w:t xml:space="preserve"> art. </w:t>
      </w:r>
      <w:r w:rsidRPr="00F6608C">
        <w:rPr>
          <w:rFonts w:eastAsiaTheme="minorHAnsi"/>
          <w:lang w:eastAsia="en-US"/>
        </w:rPr>
        <w:t>26ca § 2 pkt 2 ustawy kolejny tytu</w:t>
      </w:r>
      <w:r w:rsidR="00E92DF2">
        <w:rPr>
          <w:rFonts w:eastAsiaTheme="minorHAnsi"/>
          <w:lang w:eastAsia="en-US"/>
        </w:rPr>
        <w:t>ł</w:t>
      </w:r>
      <w:r w:rsidRPr="00F6608C">
        <w:rPr>
          <w:rFonts w:eastAsiaTheme="minorHAnsi"/>
          <w:lang w:eastAsia="en-US"/>
        </w:rPr>
        <w:t xml:space="preserve"> wykonawczy zawiera wysokoś</w:t>
      </w:r>
      <w:r w:rsidR="00E92DF2">
        <w:rPr>
          <w:rFonts w:eastAsiaTheme="minorHAnsi"/>
          <w:lang w:eastAsia="en-US"/>
        </w:rPr>
        <w:t>ć</w:t>
      </w:r>
      <w:r w:rsidRPr="00F6608C">
        <w:rPr>
          <w:rFonts w:eastAsiaTheme="minorHAnsi"/>
          <w:lang w:eastAsia="en-US"/>
        </w:rPr>
        <w:t xml:space="preserve"> kosztów egzekucyjnych w razie zabezpieczenia należności pieniężnej hipoteką przymusową.</w:t>
      </w:r>
    </w:p>
    <w:p w14:paraId="0DA6BB55" w14:textId="77777777" w:rsidR="00560FFB" w:rsidRDefault="00560FFB" w:rsidP="009B0701">
      <w:pPr>
        <w:ind w:firstLine="510"/>
        <w:jc w:val="both"/>
      </w:pPr>
    </w:p>
    <w:p w14:paraId="506D69EB" w14:textId="5C806B18" w:rsidR="00AA2E66" w:rsidRDefault="009151A8" w:rsidP="009B0701">
      <w:pPr>
        <w:jc w:val="both"/>
        <w:rPr>
          <w:bCs/>
          <w:lang w:eastAsia="pl-PL"/>
        </w:rPr>
      </w:pPr>
      <w:r>
        <w:lastRenderedPageBreak/>
        <w:t xml:space="preserve">Do </w:t>
      </w:r>
      <w:r w:rsidR="00BD578E">
        <w:t>§ 7</w:t>
      </w:r>
      <w:r w:rsidR="004423D2">
        <w:t xml:space="preserve"> ust. 1</w:t>
      </w:r>
      <w:r w:rsidR="00AD0DE6">
        <w:t xml:space="preserve"> </w:t>
      </w:r>
      <w:r>
        <w:t xml:space="preserve">projektu rozporządzenia </w:t>
      </w:r>
      <w:r w:rsidR="00AD0DE6">
        <w:t>przeniesiono</w:t>
      </w:r>
      <w:r w:rsidR="00330D41">
        <w:t>, z pewnymi modyfikacjami,</w:t>
      </w:r>
      <w:r w:rsidR="00AD0DE6">
        <w:t xml:space="preserve"> dotychczasowe</w:t>
      </w:r>
      <w:r>
        <w:t xml:space="preserve"> r</w:t>
      </w:r>
      <w:r w:rsidR="00AD0DE6">
        <w:t>ozwiązania</w:t>
      </w:r>
      <w:r>
        <w:t xml:space="preserve"> zawar</w:t>
      </w:r>
      <w:r w:rsidR="00AD0DE6">
        <w:t>te</w:t>
      </w:r>
      <w:r>
        <w:t xml:space="preserve"> w </w:t>
      </w:r>
      <w:r w:rsidR="00CB475B">
        <w:t>§ 11 rozporządzenia</w:t>
      </w:r>
      <w:r w:rsidR="00CA5F9A">
        <w:t xml:space="preserve"> Ministra Finansów z dnia 23 lipca 2020 r. w</w:t>
      </w:r>
      <w:r w:rsidR="00A2752E">
        <w:t> </w:t>
      </w:r>
      <w:r w:rsidR="00CA5F9A">
        <w:t>sprawie postępowania wierzycieli należności pieniężnych (Dz.</w:t>
      </w:r>
      <w:r w:rsidR="00A2752E">
        <w:t xml:space="preserve"> </w:t>
      </w:r>
      <w:r w:rsidR="00CA5F9A">
        <w:t>U.</w:t>
      </w:r>
      <w:r w:rsidR="00CB475B">
        <w:t xml:space="preserve"> </w:t>
      </w:r>
      <w:r w:rsidR="00CA5F9A">
        <w:t>poz. 1294)</w:t>
      </w:r>
      <w:r w:rsidR="00CB475B">
        <w:t xml:space="preserve">. </w:t>
      </w:r>
      <w:r w:rsidR="00F07B6C">
        <w:t xml:space="preserve">Przepis ten reguluje współpracę pomiędzy wierzycielem, </w:t>
      </w:r>
      <w:r>
        <w:t>organ</w:t>
      </w:r>
      <w:r w:rsidR="00F07B6C">
        <w:t>em</w:t>
      </w:r>
      <w:r>
        <w:t xml:space="preserve"> egzekucyjny</w:t>
      </w:r>
      <w:r w:rsidR="00F07B6C">
        <w:t>m</w:t>
      </w:r>
      <w:r>
        <w:t xml:space="preserve"> prowadzący</w:t>
      </w:r>
      <w:r w:rsidR="00F07B6C">
        <w:t>m</w:t>
      </w:r>
      <w:r>
        <w:t xml:space="preserve"> postępowanie</w:t>
      </w:r>
      <w:r w:rsidR="00F07B6C">
        <w:t xml:space="preserve"> egzekucyjnym a organem egzekucyjnym uprawnionym do </w:t>
      </w:r>
      <w:r>
        <w:t>stosowania niektórych środków egzekucyjnych</w:t>
      </w:r>
      <w:r w:rsidR="00F07B6C">
        <w:t xml:space="preserve">, do których organ prowadzący postępowanie </w:t>
      </w:r>
      <w:r w:rsidR="00891840">
        <w:t>egzekucyjne</w:t>
      </w:r>
      <w:r w:rsidR="00F07B6C">
        <w:t xml:space="preserve"> nie jest właściwy. </w:t>
      </w:r>
      <w:r w:rsidR="00393010">
        <w:t>W</w:t>
      </w:r>
      <w:r w:rsidR="00891840">
        <w:t xml:space="preserve"> takim przypadku </w:t>
      </w:r>
      <w:r>
        <w:t>wierzyciel przekaże dalszy tytuł</w:t>
      </w:r>
      <w:r w:rsidR="00393010">
        <w:t xml:space="preserve"> wykonawczy </w:t>
      </w:r>
      <w:r w:rsidR="00330D41">
        <w:t xml:space="preserve">bądź kolejny tytuł wykonawczy </w:t>
      </w:r>
      <w:r>
        <w:t>do organu egzekucyjnego prowadz</w:t>
      </w:r>
      <w:r w:rsidR="00560342">
        <w:t>ącego postępowanie egzekucyjne.</w:t>
      </w:r>
      <w:r>
        <w:t xml:space="preserve"> </w:t>
      </w:r>
      <w:r w:rsidR="00393010">
        <w:t xml:space="preserve">Następnie </w:t>
      </w:r>
      <w:r w:rsidR="00C91D1D">
        <w:t xml:space="preserve">ten </w:t>
      </w:r>
      <w:r>
        <w:t xml:space="preserve">organ </w:t>
      </w:r>
      <w:r w:rsidR="00393010">
        <w:t xml:space="preserve">przekaże </w:t>
      </w:r>
      <w:r w:rsidR="00C91D1D">
        <w:t>otrzymany</w:t>
      </w:r>
      <w:r w:rsidR="004D4381">
        <w:t xml:space="preserve"> </w:t>
      </w:r>
      <w:r w:rsidR="00393010">
        <w:t>dalszy</w:t>
      </w:r>
      <w:r w:rsidR="009C5F41">
        <w:t>/kolejny</w:t>
      </w:r>
      <w:r w:rsidR="00393010">
        <w:t xml:space="preserve"> tytuł wykonawczy organowi </w:t>
      </w:r>
      <w:r w:rsidR="00C91D1D">
        <w:t xml:space="preserve">egzekucyjnemu </w:t>
      </w:r>
      <w:r w:rsidR="00393010">
        <w:t>właściwemu</w:t>
      </w:r>
      <w:r>
        <w:t xml:space="preserve"> do zastosowania środków egzekucyjnych, do których organ prowadzący postępowanie egzekucyjne nie jest uprawniony</w:t>
      </w:r>
      <w:r w:rsidR="00BC456B">
        <w:t>,</w:t>
      </w:r>
      <w:r w:rsidR="00EB6C1C">
        <w:t xml:space="preserve"> wraz z wnioskiem o </w:t>
      </w:r>
      <w:r w:rsidR="00891840">
        <w:t xml:space="preserve">zastosowanie środków egzekucyjnych. </w:t>
      </w:r>
      <w:r w:rsidR="00F60A17">
        <w:t xml:space="preserve">W § 7 ust. 3 projektu rozporządzenia określono elementy tego wniosku. </w:t>
      </w:r>
      <w:r w:rsidR="00891840">
        <w:t xml:space="preserve">Wniosek ten </w:t>
      </w:r>
      <w:r w:rsidR="00891840">
        <w:rPr>
          <w:bCs/>
          <w:lang w:eastAsia="pl-PL"/>
        </w:rPr>
        <w:t>winien</w:t>
      </w:r>
      <w:r w:rsidR="00983332">
        <w:rPr>
          <w:bCs/>
          <w:lang w:eastAsia="pl-PL"/>
        </w:rPr>
        <w:t xml:space="preserve"> zawiera</w:t>
      </w:r>
      <w:r w:rsidR="00891840">
        <w:rPr>
          <w:bCs/>
          <w:lang w:eastAsia="pl-PL"/>
        </w:rPr>
        <w:t>ć</w:t>
      </w:r>
      <w:r w:rsidR="00983332">
        <w:rPr>
          <w:bCs/>
          <w:lang w:eastAsia="pl-PL"/>
        </w:rPr>
        <w:t xml:space="preserve"> </w:t>
      </w:r>
      <w:r w:rsidR="00F60A17">
        <w:rPr>
          <w:bCs/>
          <w:lang w:eastAsia="pl-PL"/>
        </w:rPr>
        <w:t xml:space="preserve">numer rachunku bankowego, na który należy przekazywać wyegzekwowane koszty egzekucyjne, oraz </w:t>
      </w:r>
      <w:r w:rsidR="00983332">
        <w:rPr>
          <w:bCs/>
          <w:lang w:eastAsia="pl-PL"/>
        </w:rPr>
        <w:t>informacj</w:t>
      </w:r>
      <w:r w:rsidR="00891840">
        <w:rPr>
          <w:bCs/>
          <w:lang w:eastAsia="pl-PL"/>
        </w:rPr>
        <w:t>e</w:t>
      </w:r>
      <w:r w:rsidR="00983332">
        <w:rPr>
          <w:bCs/>
          <w:lang w:eastAsia="pl-PL"/>
        </w:rPr>
        <w:t xml:space="preserve"> </w:t>
      </w:r>
      <w:r w:rsidR="00A940F3">
        <w:rPr>
          <w:bCs/>
          <w:lang w:eastAsia="pl-PL"/>
        </w:rPr>
        <w:t xml:space="preserve">o </w:t>
      </w:r>
      <w:r w:rsidR="0071754B">
        <w:rPr>
          <w:bCs/>
          <w:lang w:eastAsia="pl-PL"/>
        </w:rPr>
        <w:t xml:space="preserve">aktualnej </w:t>
      </w:r>
      <w:r w:rsidR="00A940F3">
        <w:rPr>
          <w:bCs/>
          <w:lang w:eastAsia="pl-PL"/>
        </w:rPr>
        <w:t xml:space="preserve">wysokości </w:t>
      </w:r>
      <w:r w:rsidR="00891840">
        <w:rPr>
          <w:bCs/>
          <w:lang w:eastAsia="pl-PL"/>
        </w:rPr>
        <w:t xml:space="preserve">dochodzonych </w:t>
      </w:r>
      <w:r w:rsidR="00FA3A87">
        <w:rPr>
          <w:bCs/>
          <w:lang w:eastAsia="pl-PL"/>
        </w:rPr>
        <w:t>należności</w:t>
      </w:r>
      <w:r w:rsidR="00AE76A4">
        <w:rPr>
          <w:bCs/>
          <w:lang w:eastAsia="pl-PL"/>
        </w:rPr>
        <w:t xml:space="preserve"> pieniężn</w:t>
      </w:r>
      <w:r w:rsidR="00891840">
        <w:rPr>
          <w:bCs/>
          <w:lang w:eastAsia="pl-PL"/>
        </w:rPr>
        <w:t>ych</w:t>
      </w:r>
      <w:r w:rsidR="00BC456B">
        <w:rPr>
          <w:bCs/>
          <w:lang w:eastAsia="pl-PL"/>
        </w:rPr>
        <w:t>,</w:t>
      </w:r>
      <w:r w:rsidR="00FA3A87">
        <w:rPr>
          <w:bCs/>
          <w:lang w:eastAsia="pl-PL"/>
        </w:rPr>
        <w:t xml:space="preserve"> </w:t>
      </w:r>
      <w:r w:rsidR="00BC456B">
        <w:rPr>
          <w:bCs/>
          <w:lang w:eastAsia="pl-PL"/>
        </w:rPr>
        <w:t>odsetek z tytułu niezapłacenia jej w terminie, kosztach upomnienia oraz koszt</w:t>
      </w:r>
      <w:r w:rsidR="00F94D00">
        <w:rPr>
          <w:bCs/>
          <w:lang w:eastAsia="pl-PL"/>
        </w:rPr>
        <w:t>ach</w:t>
      </w:r>
      <w:r w:rsidR="00BC456B">
        <w:rPr>
          <w:bCs/>
          <w:lang w:eastAsia="pl-PL"/>
        </w:rPr>
        <w:t xml:space="preserve"> egzekucyjnych </w:t>
      </w:r>
      <w:r w:rsidR="00891840">
        <w:rPr>
          <w:bCs/>
          <w:lang w:eastAsia="pl-PL"/>
        </w:rPr>
        <w:t xml:space="preserve">należnych </w:t>
      </w:r>
      <w:r w:rsidR="00A940F3">
        <w:rPr>
          <w:bCs/>
          <w:lang w:eastAsia="pl-PL"/>
        </w:rPr>
        <w:t xml:space="preserve">na dzień wystawienia </w:t>
      </w:r>
      <w:r w:rsidR="00983332">
        <w:rPr>
          <w:bCs/>
          <w:lang w:eastAsia="pl-PL"/>
        </w:rPr>
        <w:t xml:space="preserve">tego </w:t>
      </w:r>
      <w:r w:rsidR="006D05AF">
        <w:rPr>
          <w:bCs/>
          <w:lang w:eastAsia="pl-PL"/>
        </w:rPr>
        <w:t>wni</w:t>
      </w:r>
      <w:r w:rsidR="000D5743">
        <w:rPr>
          <w:bCs/>
          <w:lang w:eastAsia="pl-PL"/>
        </w:rPr>
        <w:t>o</w:t>
      </w:r>
      <w:r w:rsidR="006D05AF">
        <w:rPr>
          <w:bCs/>
          <w:lang w:eastAsia="pl-PL"/>
        </w:rPr>
        <w:t>sku</w:t>
      </w:r>
      <w:r w:rsidR="00591724">
        <w:rPr>
          <w:bCs/>
          <w:lang w:eastAsia="pl-PL"/>
        </w:rPr>
        <w:t xml:space="preserve"> (z rozbiciem na ich rodzaje)</w:t>
      </w:r>
      <w:r w:rsidR="00BC456B">
        <w:rPr>
          <w:bCs/>
          <w:lang w:eastAsia="pl-PL"/>
        </w:rPr>
        <w:t>.</w:t>
      </w:r>
      <w:r w:rsidR="00E571EE">
        <w:rPr>
          <w:bCs/>
          <w:lang w:eastAsia="pl-PL"/>
        </w:rPr>
        <w:t xml:space="preserve"> </w:t>
      </w:r>
      <w:r w:rsidR="00DD5589">
        <w:rPr>
          <w:bCs/>
          <w:lang w:eastAsia="pl-PL"/>
        </w:rPr>
        <w:t>Dodatkowo p</w:t>
      </w:r>
      <w:r w:rsidR="00E571EE">
        <w:rPr>
          <w:bCs/>
          <w:lang w:eastAsia="pl-PL"/>
        </w:rPr>
        <w:t xml:space="preserve">recyzyjność tych informacji </w:t>
      </w:r>
      <w:r w:rsidR="000C60BB">
        <w:rPr>
          <w:bCs/>
          <w:lang w:eastAsia="pl-PL"/>
        </w:rPr>
        <w:t xml:space="preserve">ma </w:t>
      </w:r>
      <w:r w:rsidR="00E571EE">
        <w:rPr>
          <w:bCs/>
          <w:lang w:eastAsia="pl-PL"/>
        </w:rPr>
        <w:t>gwarantować przyporządkowanie ich do konkretnego tytułu wykonawczego</w:t>
      </w:r>
      <w:r w:rsidR="00126AC5">
        <w:rPr>
          <w:bCs/>
          <w:lang w:eastAsia="pl-PL"/>
        </w:rPr>
        <w:t xml:space="preserve"> (§ 7</w:t>
      </w:r>
      <w:r w:rsidR="006D05AF">
        <w:rPr>
          <w:bCs/>
          <w:lang w:eastAsia="pl-PL"/>
        </w:rPr>
        <w:t xml:space="preserve"> ust. 4</w:t>
      </w:r>
      <w:r w:rsidR="00560FFB">
        <w:rPr>
          <w:bCs/>
          <w:lang w:eastAsia="pl-PL"/>
        </w:rPr>
        <w:t>)</w:t>
      </w:r>
      <w:r w:rsidR="00E571EE">
        <w:rPr>
          <w:bCs/>
          <w:lang w:eastAsia="pl-PL"/>
        </w:rPr>
        <w:t xml:space="preserve">. </w:t>
      </w:r>
    </w:p>
    <w:p w14:paraId="10854580" w14:textId="77777777" w:rsidR="00126AC5" w:rsidRDefault="004423D2" w:rsidP="00477B01">
      <w:pPr>
        <w:autoSpaceDE w:val="0"/>
        <w:autoSpaceDN w:val="0"/>
        <w:adjustRightInd w:val="0"/>
        <w:jc w:val="both"/>
      </w:pPr>
      <w:r>
        <w:rPr>
          <w:bCs/>
          <w:lang w:eastAsia="pl-PL"/>
        </w:rPr>
        <w:t>Natomiast w §</w:t>
      </w:r>
      <w:r w:rsidR="00D5127C">
        <w:rPr>
          <w:bCs/>
          <w:lang w:eastAsia="pl-PL"/>
        </w:rPr>
        <w:t xml:space="preserve"> </w:t>
      </w:r>
      <w:r w:rsidR="00126AC5">
        <w:rPr>
          <w:bCs/>
          <w:lang w:eastAsia="pl-PL"/>
        </w:rPr>
        <w:t>7</w:t>
      </w:r>
      <w:r w:rsidR="00D5127C">
        <w:rPr>
          <w:bCs/>
          <w:lang w:eastAsia="pl-PL"/>
        </w:rPr>
        <w:t xml:space="preserve"> ust. 2</w:t>
      </w:r>
      <w:r w:rsidR="00151E1A">
        <w:rPr>
          <w:bCs/>
          <w:lang w:eastAsia="pl-PL"/>
        </w:rPr>
        <w:t xml:space="preserve"> projektu rozporządzenia uregulowano szczególny przypadek prowadzenia postępowania egzekucyjnego przez więcej niż jeden organ egzekuc</w:t>
      </w:r>
      <w:r w:rsidR="00C82F34">
        <w:rPr>
          <w:bCs/>
          <w:lang w:eastAsia="pl-PL"/>
        </w:rPr>
        <w:t>yjny</w:t>
      </w:r>
      <w:r w:rsidR="001C641C">
        <w:rPr>
          <w:bCs/>
          <w:lang w:eastAsia="pl-PL"/>
        </w:rPr>
        <w:t>. Ma to miejsce</w:t>
      </w:r>
      <w:r w:rsidR="00891840">
        <w:rPr>
          <w:bCs/>
          <w:lang w:eastAsia="pl-PL"/>
        </w:rPr>
        <w:t>, gdy</w:t>
      </w:r>
      <w:r w:rsidR="00C82F34">
        <w:rPr>
          <w:bCs/>
          <w:lang w:eastAsia="pl-PL"/>
        </w:rPr>
        <w:t xml:space="preserve"> podstawą prowadzenia egzekucji jest </w:t>
      </w:r>
      <w:r w:rsidR="00151E1A">
        <w:t>tytuł wykonawcz</w:t>
      </w:r>
      <w:r w:rsidR="001C641C">
        <w:t>y</w:t>
      </w:r>
      <w:r w:rsidR="00151E1A">
        <w:t xml:space="preserve">, o którym mowa w art. 79 ust. 1 </w:t>
      </w:r>
      <w:r w:rsidR="00151E1A" w:rsidRPr="007F4A34">
        <w:t>rozporządzenia Parlamentu Europejskiego i Rady (WE) nr 987/2009 r. z dnia 16 września 2009 r. dotyczącego wykonywania rozporządzenia (WE) nr 883/2004 w sprawie koordynacji systemów zabezpieczenia społecznego (Dz. Urz. UE L nr 284 z 30.09.2009 str. 1</w:t>
      </w:r>
      <w:r w:rsidR="00151E1A">
        <w:t>,</w:t>
      </w:r>
      <w:r w:rsidR="00151E1A" w:rsidRPr="000B4A9B">
        <w:t xml:space="preserve"> </w:t>
      </w:r>
      <w:r w:rsidR="00151E1A">
        <w:t>z późn. zm.</w:t>
      </w:r>
      <w:r w:rsidR="00151E1A" w:rsidRPr="007F4A34">
        <w:t>)</w:t>
      </w:r>
      <w:r w:rsidR="00C82F34">
        <w:t>. Przyjęto, że w takim przypadku organ egzekucyjny</w:t>
      </w:r>
      <w:r w:rsidR="00891840">
        <w:t>,</w:t>
      </w:r>
      <w:r w:rsidR="00C82F34">
        <w:t xml:space="preserve"> zlecając zastosowanie środka egzekucyjnego innemu organowi egzekucyjnemu, o którym mowa w § 2 pkt 3 lit. a, </w:t>
      </w:r>
      <w:r w:rsidR="00151E1A">
        <w:t>zamiast dalszeg</w:t>
      </w:r>
      <w:r w:rsidR="00C82F34">
        <w:t>o tytułu wykonawczego przekaże</w:t>
      </w:r>
      <w:r w:rsidR="00151E1A">
        <w:t xml:space="preserve"> do innego organu egzekucyjnego</w:t>
      </w:r>
      <w:r w:rsidR="00C82F34">
        <w:t xml:space="preserve"> </w:t>
      </w:r>
      <w:r w:rsidR="00151E1A">
        <w:t>odpis tytułu wykonawczego</w:t>
      </w:r>
      <w:r w:rsidR="008715B9">
        <w:t xml:space="preserve"> sporządzony zgodnie z</w:t>
      </w:r>
      <w:r w:rsidR="00151E1A">
        <w:t xml:space="preserve"> art. 26b § 2 ustawy.</w:t>
      </w:r>
      <w:r w:rsidR="0073220A">
        <w:t xml:space="preserve"> W </w:t>
      </w:r>
      <w:r w:rsidR="008715B9">
        <w:t xml:space="preserve">takim bowiem przypadku brak jest podstawy prawnej do żądania </w:t>
      </w:r>
      <w:r w:rsidR="00745ED5">
        <w:t>wystawi</w:t>
      </w:r>
      <w:r w:rsidR="008715B9">
        <w:t xml:space="preserve">enia przez wierzyciela (państwo członkowskie) dalszego czy kolejnego tytułu wykonawczego. </w:t>
      </w:r>
    </w:p>
    <w:p w14:paraId="63C7ECE8" w14:textId="77777777" w:rsidR="00126AC5" w:rsidRDefault="00126AC5" w:rsidP="009B0701">
      <w:pPr>
        <w:autoSpaceDE w:val="0"/>
        <w:autoSpaceDN w:val="0"/>
        <w:adjustRightInd w:val="0"/>
        <w:ind w:firstLine="510"/>
        <w:jc w:val="both"/>
      </w:pPr>
    </w:p>
    <w:p w14:paraId="07D85CF9" w14:textId="28AF44B3" w:rsidR="00126AC5" w:rsidRDefault="00126AC5" w:rsidP="009B0701">
      <w:pPr>
        <w:autoSpaceDE w:val="0"/>
        <w:autoSpaceDN w:val="0"/>
        <w:adjustRightInd w:val="0"/>
        <w:jc w:val="both"/>
      </w:pPr>
      <w:r>
        <w:lastRenderedPageBreak/>
        <w:t>Ujednolicenie współpracy organu egzekucyjnego i organu egzekucyjnego, któremu zlecono zastosowanie środka egzekucyjnego, do którego organ egzekucyjny nie jest uprawniony</w:t>
      </w:r>
      <w:r w:rsidR="00F60A17">
        <w:t>,</w:t>
      </w:r>
      <w:r>
        <w:t xml:space="preserve"> odnosi się również do czynności organu </w:t>
      </w:r>
      <w:r w:rsidR="00F60A17">
        <w:t xml:space="preserve">egzekucyjnego </w:t>
      </w:r>
      <w:r>
        <w:t>wykonującego wniosek. W § 8 projektu rozporządzenia określono niezbędne informacje, jakie winno zawierać zawiadomienie innego organu egzekucyjnego, o którym mowa w § 2 pkt 3 lit. a, w przypadku wyegzekwowania</w:t>
      </w:r>
      <w:r w:rsidR="0004466A">
        <w:t xml:space="preserve"> – w</w:t>
      </w:r>
      <w:r w:rsidR="00A2752E">
        <w:t> </w:t>
      </w:r>
      <w:r w:rsidR="0004466A">
        <w:t>całości albo w części -</w:t>
      </w:r>
      <w:r>
        <w:t xml:space="preserve"> należności pieniężnej, odsetek z tytułu niezapłacenia jej w terminie, kosztów upomnienia i kosztów egzekucyjnych. Przede wszystkim ten organ powinien poinformować o realizacji środka egzekucyjnego</w:t>
      </w:r>
      <w:r w:rsidR="00F60A17">
        <w:t>,</w:t>
      </w:r>
      <w:r>
        <w:t xml:space="preserve"> podając jego rodzaj i </w:t>
      </w:r>
      <w:r w:rsidR="00591F7C">
        <w:t>datę zastosowania. Efektywna</w:t>
      </w:r>
      <w:r>
        <w:t xml:space="preserve"> realizacj</w:t>
      </w:r>
      <w:r w:rsidR="0004466A">
        <w:t>a</w:t>
      </w:r>
      <w:r>
        <w:t xml:space="preserve"> wniosku</w:t>
      </w:r>
      <w:r w:rsidR="00591F7C">
        <w:t xml:space="preserve"> obliguje inny organ egzekucyjny, o którym mowa w § 2 pkt 3 lit. a, do podania</w:t>
      </w:r>
      <w:r>
        <w:t xml:space="preserve"> w </w:t>
      </w:r>
      <w:r w:rsidR="0004466A">
        <w:t>tym</w:t>
      </w:r>
      <w:r>
        <w:t xml:space="preserve"> zawiadomieniu </w:t>
      </w:r>
      <w:r w:rsidR="00591F7C">
        <w:t>wysokości</w:t>
      </w:r>
      <w:r>
        <w:t xml:space="preserve"> przypadających mu kos</w:t>
      </w:r>
      <w:r w:rsidR="00591F7C">
        <w:t xml:space="preserve">ztów egzekucyjnych, </w:t>
      </w:r>
      <w:r>
        <w:t>kosztów egzekucyjnych podlegających przekazaniu</w:t>
      </w:r>
      <w:r w:rsidR="00591F7C">
        <w:t xml:space="preserve"> organowi egzekucyjnemu oraz wysokości wyegzekwowanych należności pieniężnej, odsetek z tytułu niezapłacenia jej w terminie i</w:t>
      </w:r>
      <w:r w:rsidR="00A2752E">
        <w:t> </w:t>
      </w:r>
      <w:r w:rsidR="00591F7C">
        <w:t xml:space="preserve">kosztów upomnienia przekazanych wierzycielowi. </w:t>
      </w:r>
      <w:r w:rsidR="00F60A17">
        <w:t>I</w:t>
      </w:r>
      <w:r w:rsidR="00591F7C">
        <w:t xml:space="preserve">nny organ egzekucyjny, dokonuje </w:t>
      </w:r>
      <w:r w:rsidR="00F60A17">
        <w:t xml:space="preserve">bowiem </w:t>
      </w:r>
      <w:r>
        <w:t>rozl</w:t>
      </w:r>
      <w:r w:rsidR="00591F7C">
        <w:t xml:space="preserve">iczenia </w:t>
      </w:r>
      <w:r>
        <w:t>kwot</w:t>
      </w:r>
      <w:r w:rsidR="00F60A17">
        <w:t>y</w:t>
      </w:r>
      <w:r>
        <w:t xml:space="preserve"> </w:t>
      </w:r>
      <w:r w:rsidR="00F60A17">
        <w:t xml:space="preserve">uzyskanej z egzekucji </w:t>
      </w:r>
      <w:r w:rsidR="00591F7C">
        <w:t>zgodnie z art. 115 ustawy</w:t>
      </w:r>
      <w:r w:rsidR="00F60A17">
        <w:t>,</w:t>
      </w:r>
      <w:r w:rsidR="00591F7C">
        <w:t xml:space="preserve"> a następnie przekazuje </w:t>
      </w:r>
      <w:r w:rsidR="00F60A17">
        <w:t>należne w</w:t>
      </w:r>
      <w:r w:rsidR="00591F7C">
        <w:t>ierzycielowi</w:t>
      </w:r>
      <w:r w:rsidR="00F60A17">
        <w:t xml:space="preserve"> środki pieniężne, </w:t>
      </w:r>
      <w:r w:rsidR="00AC2B18">
        <w:t xml:space="preserve">a </w:t>
      </w:r>
      <w:r w:rsidR="00F60A17">
        <w:t xml:space="preserve">wyegzekwowane </w:t>
      </w:r>
      <w:r w:rsidR="00AC2B18">
        <w:t xml:space="preserve">koszty egzekucyjne </w:t>
      </w:r>
      <w:r w:rsidR="00192234">
        <w:t xml:space="preserve">– </w:t>
      </w:r>
      <w:r w:rsidR="00AC2B18">
        <w:t xml:space="preserve">nie przypadające temu innemu organowi egzekucyjnemu </w:t>
      </w:r>
      <w:r w:rsidR="005B2CB7">
        <w:t>–</w:t>
      </w:r>
      <w:r w:rsidR="00AC2B18">
        <w:t xml:space="preserve"> </w:t>
      </w:r>
      <w:r w:rsidR="005B2CB7">
        <w:t xml:space="preserve">przekazuje </w:t>
      </w:r>
      <w:r w:rsidR="00591F7C">
        <w:t>organowi egzekucyjnemu.</w:t>
      </w:r>
      <w:r w:rsidR="00AC2B18">
        <w:t xml:space="preserve"> Wówczas organ egzekucyjny prowadzący postępowanie egzekucyjne dokona </w:t>
      </w:r>
      <w:r w:rsidR="005B2CB7">
        <w:t xml:space="preserve">rozliczenia tych </w:t>
      </w:r>
      <w:r w:rsidR="00AC2B18">
        <w:t xml:space="preserve">kosztów egzekucyjnych </w:t>
      </w:r>
      <w:r w:rsidR="00192234">
        <w:t xml:space="preserve">stosowanie do art. </w:t>
      </w:r>
      <w:r w:rsidR="005B2CB7">
        <w:t xml:space="preserve">64cb § 1 ustawy, albowiem </w:t>
      </w:r>
      <w:r w:rsidR="00AC2B18">
        <w:t xml:space="preserve">posiada </w:t>
      </w:r>
      <w:r w:rsidR="005B2CB7">
        <w:t xml:space="preserve">on informacje o </w:t>
      </w:r>
      <w:r w:rsidR="00AC2B18">
        <w:t>kosztach egzekucyjnych powstałych w prowadzonym postępowaniu egzekucyjnym</w:t>
      </w:r>
      <w:r w:rsidR="005B2CB7">
        <w:t>.</w:t>
      </w:r>
    </w:p>
    <w:p w14:paraId="12736406" w14:textId="77777777" w:rsidR="00375050" w:rsidRDefault="00375050" w:rsidP="009B0701">
      <w:pPr>
        <w:autoSpaceDE w:val="0"/>
        <w:autoSpaceDN w:val="0"/>
        <w:adjustRightInd w:val="0"/>
        <w:jc w:val="both"/>
      </w:pPr>
    </w:p>
    <w:p w14:paraId="6FD0EA0E" w14:textId="77777777" w:rsidR="0004466A" w:rsidRDefault="005B2CB7" w:rsidP="0004466A">
      <w:pPr>
        <w:autoSpaceDE w:val="0"/>
        <w:autoSpaceDN w:val="0"/>
        <w:adjustRightInd w:val="0"/>
        <w:jc w:val="both"/>
      </w:pPr>
      <w:r>
        <w:t>W</w:t>
      </w:r>
      <w:r w:rsidR="00591F7C">
        <w:t xml:space="preserve"> § 9 </w:t>
      </w:r>
      <w:r w:rsidR="00126AC5">
        <w:t xml:space="preserve">projektu rozporządzenia uregulowano </w:t>
      </w:r>
      <w:r w:rsidR="0077052C">
        <w:t xml:space="preserve">współpracę pomiędzy organami egzekucyjnymi w przypadku </w:t>
      </w:r>
      <w:r w:rsidR="0004466A">
        <w:t xml:space="preserve">nieefektywnego </w:t>
      </w:r>
      <w:r w:rsidR="0077052C">
        <w:t xml:space="preserve">zakończenia </w:t>
      </w:r>
      <w:r>
        <w:t xml:space="preserve">egzekucji </w:t>
      </w:r>
      <w:r w:rsidR="00591F7C">
        <w:t>przez inny organ egzekucyjny</w:t>
      </w:r>
      <w:r w:rsidR="0077052C">
        <w:t>, do której nie jest uprawniony organ egzekucyjny prowadzący postępowanie egzekucyjne</w:t>
      </w:r>
      <w:r w:rsidR="00E31CA0">
        <w:t xml:space="preserve">. </w:t>
      </w:r>
      <w:r w:rsidR="0004466A">
        <w:t xml:space="preserve">Zawiadamiając </w:t>
      </w:r>
      <w:r w:rsidR="0004466A" w:rsidRPr="00414346">
        <w:t xml:space="preserve">organ egzekucyjny o </w:t>
      </w:r>
      <w:r w:rsidR="0004466A">
        <w:t>zakończeniu prowadzonej egzekucji, inny o</w:t>
      </w:r>
      <w:r w:rsidR="0004466A" w:rsidRPr="00414346">
        <w:t>rgan egzekucyjny, o którym mowa w § 2 pkt 3 lit. a,</w:t>
      </w:r>
      <w:r w:rsidR="0004466A">
        <w:t xml:space="preserve"> zawiadomi o w</w:t>
      </w:r>
      <w:r w:rsidR="0004466A" w:rsidRPr="00BC192D">
        <w:t>ysokoś</w:t>
      </w:r>
      <w:r w:rsidR="0004466A">
        <w:t>ci</w:t>
      </w:r>
      <w:r w:rsidR="0004466A" w:rsidRPr="00BC192D">
        <w:t xml:space="preserve"> kosztów egzekucyjnych,</w:t>
      </w:r>
      <w:r w:rsidR="0004466A">
        <w:t xml:space="preserve"> w tym wydatków egzekucyjnych, </w:t>
      </w:r>
      <w:r w:rsidR="0004466A" w:rsidRPr="00BC192D">
        <w:t>jeżeli powstały w egzekucji</w:t>
      </w:r>
      <w:r w:rsidR="0004466A">
        <w:t xml:space="preserve"> prowadzonej przez ten inny organ egzekucyjny, np. w ramach egzekucji z ruchomości, której sprzedaż nie doszła do skutku. </w:t>
      </w:r>
    </w:p>
    <w:p w14:paraId="3CB01DE9" w14:textId="77777777" w:rsidR="00126AC5" w:rsidRDefault="00126AC5" w:rsidP="005B2CB7">
      <w:pPr>
        <w:autoSpaceDE w:val="0"/>
        <w:autoSpaceDN w:val="0"/>
        <w:adjustRightInd w:val="0"/>
        <w:jc w:val="both"/>
      </w:pPr>
    </w:p>
    <w:p w14:paraId="4B78532D" w14:textId="66EB47B0" w:rsidR="00893BA5" w:rsidRDefault="003969B9" w:rsidP="009B0701">
      <w:pPr>
        <w:autoSpaceDE w:val="0"/>
        <w:autoSpaceDN w:val="0"/>
        <w:adjustRightInd w:val="0"/>
        <w:jc w:val="both"/>
      </w:pPr>
      <w:r>
        <w:t xml:space="preserve">W </w:t>
      </w:r>
      <w:r w:rsidR="00375050">
        <w:t xml:space="preserve">§ 10 ust. 1 projektu rozporządzenia </w:t>
      </w:r>
      <w:r>
        <w:t>zawarto</w:t>
      </w:r>
      <w:r w:rsidR="00375050">
        <w:t xml:space="preserve"> regulację dotyczącą odpowiedniego stosowania przepisów </w:t>
      </w:r>
      <w:r w:rsidR="00C04559">
        <w:t>d</w:t>
      </w:r>
      <w:r w:rsidR="00375050">
        <w:t xml:space="preserve">o współpracy </w:t>
      </w:r>
      <w:r w:rsidR="00C04559">
        <w:t>organu</w:t>
      </w:r>
      <w:r>
        <w:t xml:space="preserve"> egzekucyjn</w:t>
      </w:r>
      <w:r w:rsidR="00C04559">
        <w:t>ego prowadzącego postępowanie egzekucyjne a</w:t>
      </w:r>
      <w:r w:rsidR="00A2752E">
        <w:t> </w:t>
      </w:r>
      <w:r w:rsidR="00C04559">
        <w:t>i</w:t>
      </w:r>
      <w:r w:rsidR="00375050">
        <w:t>nn</w:t>
      </w:r>
      <w:r w:rsidR="00A42727">
        <w:t>ym</w:t>
      </w:r>
      <w:r w:rsidR="00375050">
        <w:t xml:space="preserve"> orga</w:t>
      </w:r>
      <w:r w:rsidR="00A42727">
        <w:t>nem</w:t>
      </w:r>
      <w:r w:rsidR="00375050">
        <w:t xml:space="preserve"> egzekucyjn</w:t>
      </w:r>
      <w:r w:rsidR="00A42727">
        <w:t xml:space="preserve">ym: uprawnionym do prowadzenia łącznie </w:t>
      </w:r>
      <w:r w:rsidR="00A42727">
        <w:lastRenderedPageBreak/>
        <w:t>egzekucji do rzeczy lub prawa majątkowego po zbiegu egzekucji oraz organem rekwizycyjnym</w:t>
      </w:r>
      <w:r w:rsidR="00375050">
        <w:t xml:space="preserve"> </w:t>
      </w:r>
      <w:r w:rsidR="00A42727">
        <w:t xml:space="preserve">realizującym </w:t>
      </w:r>
      <w:r w:rsidR="00375050">
        <w:t>zlecenie rekwizycyjne, o którym mowa w art. 31 ustawy.</w:t>
      </w:r>
      <w:r w:rsidR="00192234">
        <w:t xml:space="preserve"> </w:t>
      </w:r>
    </w:p>
    <w:p w14:paraId="621BD5E3" w14:textId="27444BE2" w:rsidR="00E82B7A" w:rsidRDefault="00375050" w:rsidP="009B0701">
      <w:pPr>
        <w:autoSpaceDE w:val="0"/>
        <w:autoSpaceDN w:val="0"/>
        <w:adjustRightInd w:val="0"/>
        <w:jc w:val="both"/>
      </w:pPr>
      <w:r>
        <w:t>Organ egzekucyjny uprawniony do prowadzenia łącznie egzekucji do rzeczy lub prawa majątkowego po zbiegu egzekucji</w:t>
      </w:r>
      <w:r w:rsidR="00A42727">
        <w:t xml:space="preserve">, na podstawie odpowiedniego stosowania § </w:t>
      </w:r>
      <w:r w:rsidR="00893BA5">
        <w:t>8</w:t>
      </w:r>
      <w:r w:rsidR="00A2752E">
        <w:t xml:space="preserve"> projektu rozporządzenia</w:t>
      </w:r>
      <w:r w:rsidR="00A42727">
        <w:t xml:space="preserve">, </w:t>
      </w:r>
      <w:r>
        <w:t>zawiadomi organ egzekucyjny</w:t>
      </w:r>
      <w:r w:rsidR="006E5DB0">
        <w:t xml:space="preserve"> o </w:t>
      </w:r>
      <w:r w:rsidR="00893BA5">
        <w:t xml:space="preserve">wysokości wyegzekwowanych środków pieniężnych z tytułu: </w:t>
      </w:r>
      <w:r w:rsidR="00893BA5" w:rsidRPr="005748DA">
        <w:t>należności pieniężnej, odsetek z tytułu niezapłacenia</w:t>
      </w:r>
      <w:r w:rsidR="00893BA5">
        <w:t xml:space="preserve"> jej w terminie i</w:t>
      </w:r>
      <w:r w:rsidR="00A2752E">
        <w:t> </w:t>
      </w:r>
      <w:r w:rsidR="00893BA5" w:rsidRPr="005748DA">
        <w:t>kosztów upomnienia</w:t>
      </w:r>
      <w:r w:rsidR="00893BA5">
        <w:t xml:space="preserve"> podlegających przekazaniu wierzycielowi, kosztów egzekucyjnych podlegających przekazaniu organowi egzekucyjnemu. Niezbędne będzie w takim przypadku także zawiadomienie o wysokości kosztów egzekucyjnych naliczonych i pobranych przez ten inny organ egzekucyjny stosownie do art. 64cb § 1 pkt 3 i 4 ustawy. Informacje  przekazywane przez inny organ egzekucyjny, o którym mowa w § 2 pkt 3 lit. b, winny być przyporządkowane do konkretnych tytułów wykonawczych, których dotyczą, co umożliwi sprawne naliczenie i</w:t>
      </w:r>
      <w:r w:rsidR="00A2752E">
        <w:t> </w:t>
      </w:r>
      <w:r w:rsidR="00893BA5">
        <w:t xml:space="preserve">pobranie kosztów egzekucyjnych powstałych w postępowaniu egzekucyjnym. W drodze odpowiedniego stosowania § 9 organ </w:t>
      </w:r>
      <w:r w:rsidR="00E82B7A">
        <w:t>egzekucyjny</w:t>
      </w:r>
      <w:r w:rsidR="00893BA5">
        <w:t xml:space="preserve"> właściwy do prowadzenia łącznej </w:t>
      </w:r>
      <w:r w:rsidR="00E82B7A">
        <w:t>egzekucji</w:t>
      </w:r>
      <w:r w:rsidR="00893BA5">
        <w:t xml:space="preserve"> po zbiegu </w:t>
      </w:r>
      <w:r w:rsidR="00E82B7A">
        <w:t>egzekucji</w:t>
      </w:r>
      <w:r w:rsidR="00600619">
        <w:t xml:space="preserve"> zawiadomi </w:t>
      </w:r>
      <w:r w:rsidR="00600619" w:rsidRPr="00414346">
        <w:t xml:space="preserve">organ egzekucyjny o </w:t>
      </w:r>
      <w:r w:rsidR="00600619">
        <w:t>zakończeniu prowadzonej egzekucji, w</w:t>
      </w:r>
      <w:r w:rsidR="00A2752E">
        <w:t> </w:t>
      </w:r>
      <w:r w:rsidR="00600619">
        <w:t>tym o w</w:t>
      </w:r>
      <w:r w:rsidR="00600619" w:rsidRPr="00BC192D">
        <w:t>ysokoś</w:t>
      </w:r>
      <w:r w:rsidR="00600619">
        <w:t>ci</w:t>
      </w:r>
      <w:r w:rsidR="00600619" w:rsidRPr="00BC192D">
        <w:t xml:space="preserve"> kosztów egzekucyjnych,</w:t>
      </w:r>
      <w:r w:rsidR="00600619">
        <w:t xml:space="preserve"> </w:t>
      </w:r>
      <w:r w:rsidR="00600619" w:rsidRPr="00BC192D">
        <w:t>jeżeli powstały w egzekucji</w:t>
      </w:r>
      <w:r w:rsidR="00600619">
        <w:t xml:space="preserve"> prowadzonej przez ten inny organ egzekucyjny.</w:t>
      </w:r>
    </w:p>
    <w:p w14:paraId="60E95EEC" w14:textId="021FE9D5" w:rsidR="00893BA5" w:rsidRDefault="00E82B7A" w:rsidP="00E82B7A">
      <w:pPr>
        <w:autoSpaceDE w:val="0"/>
        <w:autoSpaceDN w:val="0"/>
        <w:adjustRightInd w:val="0"/>
        <w:jc w:val="both"/>
      </w:pPr>
      <w:r>
        <w:t xml:space="preserve">Analogiczne rozwiązania przewidziano w § 10 pkt 2 </w:t>
      </w:r>
      <w:r w:rsidR="00A2752E">
        <w:t xml:space="preserve">projektu rozporządzenia </w:t>
      </w:r>
      <w:r>
        <w:t>dla organu rekwizycyjnego, nakazując odpowiednie stosowanie również do współpracy tego organu z</w:t>
      </w:r>
      <w:r w:rsidR="00A2752E">
        <w:t> </w:t>
      </w:r>
      <w:r>
        <w:t>organem egzekucyjnym prowadzącym postępowanie egzekucyjne również przepisów zawartych w § 7 ust. 3 i 4</w:t>
      </w:r>
      <w:r w:rsidR="00A2752E">
        <w:t xml:space="preserve"> projektu rozporządzenia</w:t>
      </w:r>
      <w:r>
        <w:t xml:space="preserve"> regulujących występowanie organu egzekucyjnego ze zleceniem rekwizycyjnym.</w:t>
      </w:r>
      <w:r w:rsidR="00893BA5">
        <w:t xml:space="preserve"> </w:t>
      </w:r>
    </w:p>
    <w:p w14:paraId="73EB6E6E" w14:textId="77777777" w:rsidR="005A3AAF" w:rsidRDefault="005A3AAF" w:rsidP="009B0701">
      <w:pPr>
        <w:autoSpaceDE w:val="0"/>
        <w:autoSpaceDN w:val="0"/>
        <w:adjustRightInd w:val="0"/>
        <w:ind w:firstLine="510"/>
        <w:jc w:val="both"/>
      </w:pPr>
    </w:p>
    <w:p w14:paraId="29F864FA" w14:textId="1D5A43DB" w:rsidR="005A3AAF" w:rsidRDefault="005A3AAF" w:rsidP="005A3AAF">
      <w:pPr>
        <w:autoSpaceDE w:val="0"/>
        <w:autoSpaceDN w:val="0"/>
        <w:adjustRightInd w:val="0"/>
        <w:jc w:val="both"/>
      </w:pPr>
      <w:r>
        <w:t xml:space="preserve">W § 11 ust. 1 projektu rozporządzenia </w:t>
      </w:r>
      <w:r w:rsidR="00E82B7A">
        <w:t>u</w:t>
      </w:r>
      <w:r w:rsidR="00EA42B1">
        <w:t xml:space="preserve">regulowano </w:t>
      </w:r>
      <w:r w:rsidR="00E82B7A">
        <w:t xml:space="preserve">przypadki dokonania zapłaty </w:t>
      </w:r>
      <w:r>
        <w:t>inne</w:t>
      </w:r>
      <w:r w:rsidR="00E82B7A">
        <w:t>mu</w:t>
      </w:r>
      <w:r>
        <w:t xml:space="preserve"> organ</w:t>
      </w:r>
      <w:r w:rsidR="009A5BE1">
        <w:t>owi</w:t>
      </w:r>
      <w:r>
        <w:t xml:space="preserve"> egzekucyjn</w:t>
      </w:r>
      <w:r w:rsidR="009A5BE1">
        <w:t>emu</w:t>
      </w:r>
      <w:r w:rsidR="00E82B7A">
        <w:t>. Uz</w:t>
      </w:r>
      <w:r>
        <w:t xml:space="preserve">nano, że </w:t>
      </w:r>
      <w:r w:rsidR="00E82B7A">
        <w:t xml:space="preserve">w takim przypadku </w:t>
      </w:r>
      <w:r>
        <w:t xml:space="preserve">inny organ egzekucyjny powinien wystąpić do organu egzekucyjnego o podanie maksymalnej opłaty egzekucyjnej, o której mowa w art. 64 § 5 zdanie drugie ustawy, należnej na dzień dokonania tej zapłaty.  Informacja ta pozwoli temu organowi egzekucyjnemu na prawidłowe naliczenie i pobranie opłaty egzekucyjnej należnej w związku z dokonaną zapłatą. Kompletne informacje o wysokości możliwych do pobrania maksymalnych wysokościach opłat egzekucyjnych posiada wyłącznie organ egzekucyjny prowadzący postępowanie egzekucyjne. Następnie inny organ egzekucyjny </w:t>
      </w:r>
      <w:r w:rsidR="00EA42B1">
        <w:t>za</w:t>
      </w:r>
      <w:r>
        <w:t>wiadomi organ egzekucyjny o wysokości uzyskanych w wyniku zapłaty należności pieniężnych, a to przyczyni się do stałej kontroli wysokości dochodzonych należności w</w:t>
      </w:r>
      <w:r w:rsidR="00A2752E">
        <w:t> </w:t>
      </w:r>
      <w:r>
        <w:t xml:space="preserve">postępowaniu egzekucyjnym. Organy </w:t>
      </w:r>
      <w:r>
        <w:lastRenderedPageBreak/>
        <w:t xml:space="preserve">egzekucyjne uczestniczące w postępowaniu egzekucyjnym muszą na bieżąco posiadać informację o aktualnej wysokości obowiązku, którego dotyczy prowadzone przez te organy postępowanie. </w:t>
      </w:r>
    </w:p>
    <w:p w14:paraId="39469DC4" w14:textId="77777777" w:rsidR="00E93029" w:rsidRDefault="00526753" w:rsidP="00CB719E">
      <w:pPr>
        <w:autoSpaceDE w:val="0"/>
        <w:autoSpaceDN w:val="0"/>
        <w:adjustRightInd w:val="0"/>
        <w:jc w:val="both"/>
      </w:pPr>
      <w:r>
        <w:t xml:space="preserve">Z kolei </w:t>
      </w:r>
      <w:r w:rsidR="005A3AAF" w:rsidRPr="009B0701">
        <w:t xml:space="preserve">w § 11 ust. 2 projektu rozporządzenia </w:t>
      </w:r>
      <w:r w:rsidR="005A3AAF">
        <w:t xml:space="preserve">uregulowano czynności organu </w:t>
      </w:r>
      <w:r>
        <w:t>egzekucyjnego prowadzącego postępowanie egzekucyjne w zakresie trybu za</w:t>
      </w:r>
      <w:r w:rsidR="005A3AAF">
        <w:t>wiadamiania innych organów egzekucyjnych o zapłacie</w:t>
      </w:r>
      <w:r w:rsidR="00CB719E">
        <w:t xml:space="preserve"> należności pieniężnych </w:t>
      </w:r>
      <w:r w:rsidR="00D63BF6">
        <w:t xml:space="preserve">do wierzyciela, do </w:t>
      </w:r>
      <w:r w:rsidR="005A3AAF">
        <w:t xml:space="preserve">tego organu egzekucyjnego bądź innego organu egzekucyjnego. </w:t>
      </w:r>
      <w:r w:rsidR="00CB719E">
        <w:t>Rozwiązanie to zapewni bieżące informowanie o aktualnej wysokości należności pieniężnych objętych tytułem wykonawczym i kosztów egzekucyjnych.</w:t>
      </w:r>
      <w:r w:rsidR="001C1706">
        <w:t xml:space="preserve"> </w:t>
      </w:r>
    </w:p>
    <w:p w14:paraId="651F44F6" w14:textId="77777777" w:rsidR="00E93029" w:rsidRDefault="00E93029" w:rsidP="001C1706">
      <w:pPr>
        <w:autoSpaceDE w:val="0"/>
        <w:autoSpaceDN w:val="0"/>
        <w:adjustRightInd w:val="0"/>
        <w:ind w:firstLine="510"/>
        <w:jc w:val="both"/>
      </w:pPr>
    </w:p>
    <w:p w14:paraId="7BA58C9F" w14:textId="2AE9FA3C" w:rsidR="00FA433A" w:rsidRDefault="00CB719E" w:rsidP="004E5727">
      <w:pPr>
        <w:autoSpaceDE w:val="0"/>
        <w:autoSpaceDN w:val="0"/>
        <w:adjustRightInd w:val="0"/>
        <w:jc w:val="both"/>
      </w:pPr>
      <w:r>
        <w:t xml:space="preserve">W § 12 </w:t>
      </w:r>
      <w:r w:rsidR="00A2752E">
        <w:t xml:space="preserve">projektu rozporządzenia </w:t>
      </w:r>
      <w:r>
        <w:t>uregulowano w</w:t>
      </w:r>
      <w:r w:rsidR="00FA433A">
        <w:t>spółprac</w:t>
      </w:r>
      <w:r>
        <w:t>ę</w:t>
      </w:r>
      <w:r w:rsidR="00FA433A">
        <w:t xml:space="preserve"> pomiędzy organami egzekucyjnymi w przypadku ponownego wszczęcia egzekucji administracyjnej.</w:t>
      </w:r>
      <w:r w:rsidR="00990B2F">
        <w:t xml:space="preserve"> Organ egzekucyjny właściwy do ponownego wszczęcia i prowadzenia egzekucji administracyjnej</w:t>
      </w:r>
      <w:r w:rsidR="00E23C7F">
        <w:t xml:space="preserve">, inny niż organ egzekucyjny, który </w:t>
      </w:r>
      <w:r w:rsidR="00990B2F">
        <w:t>umorzył postępowani</w:t>
      </w:r>
      <w:r w:rsidR="00206AB2">
        <w:t>e</w:t>
      </w:r>
      <w:r w:rsidR="00990B2F">
        <w:t xml:space="preserve"> egzekucyjne </w:t>
      </w:r>
      <w:r w:rsidR="00206AB2">
        <w:t>ze względu na jego bezskuteczność</w:t>
      </w:r>
      <w:r w:rsidR="00990B2F">
        <w:t>, nie dyspon</w:t>
      </w:r>
      <w:r w:rsidR="00E23C7F">
        <w:t>uje</w:t>
      </w:r>
      <w:r w:rsidR="00990B2F">
        <w:t xml:space="preserve"> wiedzą o wyegzekwowanej lub uzyskanej opłacie manipulacyjnej i opłacie egzekucyjnej w umorzonym postępowaniu egzekucyjnym</w:t>
      </w:r>
      <w:r w:rsidR="00E23C7F">
        <w:t>,</w:t>
      </w:r>
      <w:r w:rsidR="00990B2F">
        <w:t xml:space="preserve"> jak również</w:t>
      </w:r>
      <w:r w:rsidR="0077765F">
        <w:t xml:space="preserve"> </w:t>
      </w:r>
      <w:r w:rsidR="00206AB2">
        <w:t xml:space="preserve">o </w:t>
      </w:r>
      <w:r w:rsidR="0077765F">
        <w:t>wysokości kosztów egzekucyjnych</w:t>
      </w:r>
      <w:r w:rsidR="0037748C">
        <w:t>, które powstał</w:t>
      </w:r>
      <w:r w:rsidR="00A2752E">
        <w:t>y</w:t>
      </w:r>
      <w:r w:rsidR="0037748C">
        <w:t xml:space="preserve"> w umorzonym postępowaniu </w:t>
      </w:r>
      <w:r w:rsidR="005F639E">
        <w:t>egzekucyjnym</w:t>
      </w:r>
      <w:r w:rsidR="0037748C">
        <w:t xml:space="preserve"> i nie zostały umorzone</w:t>
      </w:r>
      <w:r w:rsidR="0077765F">
        <w:t>,</w:t>
      </w:r>
      <w:r w:rsidR="0037748C">
        <w:t xml:space="preserve"> a </w:t>
      </w:r>
      <w:r w:rsidR="0077765F">
        <w:t>które mogą być dochodzone w ponownie wszczętej egzekucji administracyjnej</w:t>
      </w:r>
      <w:r w:rsidR="00C2507C">
        <w:t xml:space="preserve">. </w:t>
      </w:r>
      <w:r w:rsidR="00990B2F">
        <w:t>I</w:t>
      </w:r>
      <w:r w:rsidR="0077765F">
        <w:t>nformacji tych</w:t>
      </w:r>
      <w:r w:rsidR="00990B2F">
        <w:t xml:space="preserve"> nie przekaże również organowi egzekucyjnemu </w:t>
      </w:r>
      <w:r w:rsidR="005F639E">
        <w:t xml:space="preserve">właściwemu do ponownego wszczęcia egzekucji </w:t>
      </w:r>
      <w:r w:rsidR="00990B2F">
        <w:t xml:space="preserve">wierzyciel wraz z wnioskiem o ponowne wszczęcie egzekucji administracyjnej. </w:t>
      </w:r>
      <w:r w:rsidR="00E23C7F">
        <w:t xml:space="preserve">Dlatego niezbędna jest regulacja, zgodnie z którą </w:t>
      </w:r>
      <w:r w:rsidR="0077765F">
        <w:t>to organ egzekucyjny właściwy do ponownego wszczęcia egzekucji administracyjnej wystąpi o ww. informacje do organu, który umorzył postępowanie egzekucyjne.</w:t>
      </w:r>
      <w:r w:rsidR="00435838">
        <w:t xml:space="preserve"> </w:t>
      </w:r>
    </w:p>
    <w:p w14:paraId="1910A840" w14:textId="77777777" w:rsidR="005F639E" w:rsidRDefault="005F639E" w:rsidP="0049525A">
      <w:pPr>
        <w:autoSpaceDE w:val="0"/>
        <w:autoSpaceDN w:val="0"/>
        <w:adjustRightInd w:val="0"/>
        <w:ind w:firstLine="510"/>
        <w:jc w:val="both"/>
        <w:rPr>
          <w:bCs/>
          <w:lang w:eastAsia="pl-PL"/>
        </w:rPr>
      </w:pPr>
    </w:p>
    <w:p w14:paraId="2F1355B9" w14:textId="77777777" w:rsidR="00401334" w:rsidRDefault="00565AA2" w:rsidP="004E5727">
      <w:pPr>
        <w:jc w:val="both"/>
      </w:pPr>
      <w:r>
        <w:t xml:space="preserve">W </w:t>
      </w:r>
      <w:r w:rsidR="009B262F">
        <w:t xml:space="preserve">§ 13 </w:t>
      </w:r>
      <w:r w:rsidR="00A15656">
        <w:t xml:space="preserve">projektu rozporządzenia </w:t>
      </w:r>
      <w:r>
        <w:t xml:space="preserve">zawarto </w:t>
      </w:r>
      <w:r w:rsidR="00A104A0">
        <w:t xml:space="preserve">tryb współpracy </w:t>
      </w:r>
      <w:r w:rsidR="00113CF9">
        <w:t>orga</w:t>
      </w:r>
      <w:r w:rsidR="00CA1FEB">
        <w:t>n</w:t>
      </w:r>
      <w:r w:rsidR="00A104A0">
        <w:t>u</w:t>
      </w:r>
      <w:r w:rsidR="00113CF9">
        <w:t xml:space="preserve"> </w:t>
      </w:r>
      <w:r w:rsidR="00CA1FEB">
        <w:t>egzekucyjne</w:t>
      </w:r>
      <w:r w:rsidR="00A104A0">
        <w:t>go</w:t>
      </w:r>
      <w:r w:rsidR="00247312">
        <w:t xml:space="preserve"> i</w:t>
      </w:r>
      <w:r w:rsidR="005609DC">
        <w:t xml:space="preserve"> inne</w:t>
      </w:r>
      <w:r w:rsidR="00A72F15">
        <w:t>go</w:t>
      </w:r>
      <w:r w:rsidR="005609DC">
        <w:t xml:space="preserve"> organ</w:t>
      </w:r>
      <w:r w:rsidR="00A72F15">
        <w:t>u</w:t>
      </w:r>
      <w:r w:rsidR="005609DC">
        <w:t xml:space="preserve"> egzekucyjne</w:t>
      </w:r>
      <w:r w:rsidR="00A72F15">
        <w:t>go</w:t>
      </w:r>
      <w:r w:rsidR="00A104A0">
        <w:t xml:space="preserve"> z</w:t>
      </w:r>
      <w:r w:rsidR="00113CF9">
        <w:t xml:space="preserve"> dłużnik</w:t>
      </w:r>
      <w:r w:rsidR="00A104A0">
        <w:t>iem</w:t>
      </w:r>
      <w:r w:rsidR="00113CF9">
        <w:t xml:space="preserve"> zajętej wierzytelności. Prawidłowy przebieg postępowania egzekucyjnego wymaga</w:t>
      </w:r>
      <w:r w:rsidR="00C25E26">
        <w:t xml:space="preserve"> bowiem</w:t>
      </w:r>
      <w:r w:rsidR="003D2670">
        <w:t>,</w:t>
      </w:r>
      <w:r w:rsidR="00113CF9">
        <w:t xml:space="preserve"> aby dłużnik zajętej wierzytelności </w:t>
      </w:r>
      <w:r w:rsidR="00911519">
        <w:t xml:space="preserve">był </w:t>
      </w:r>
      <w:r w:rsidR="00113CF9">
        <w:t xml:space="preserve">na bieżąco informowany o okolicznościach wpływających na </w:t>
      </w:r>
      <w:r w:rsidR="00D07B46">
        <w:t xml:space="preserve">realizowane przez niego zajęcie egzekucyjne. </w:t>
      </w:r>
      <w:r w:rsidR="00727776">
        <w:t>Wobec tego u</w:t>
      </w:r>
      <w:r w:rsidR="00481FD1">
        <w:t xml:space="preserve">znano, że dłużnik zajętej wierzytelności winien być niezwłocznie </w:t>
      </w:r>
      <w:r w:rsidR="00401334">
        <w:t xml:space="preserve">zawiadomiony </w:t>
      </w:r>
      <w:r w:rsidR="00727776">
        <w:t>o zmianie</w:t>
      </w:r>
      <w:r w:rsidR="00481FD1">
        <w:t xml:space="preserve"> </w:t>
      </w:r>
      <w:r w:rsidR="00113CF9">
        <w:t xml:space="preserve">wysokości </w:t>
      </w:r>
      <w:r w:rsidR="00FF5DCE">
        <w:t xml:space="preserve">należności pieniężnych </w:t>
      </w:r>
      <w:r w:rsidR="00113CF9">
        <w:t>dochodzonych w</w:t>
      </w:r>
      <w:r w:rsidR="00401334">
        <w:t xml:space="preserve"> </w:t>
      </w:r>
      <w:r w:rsidR="00113CF9">
        <w:t>egzekucji</w:t>
      </w:r>
      <w:r w:rsidR="00727776">
        <w:t>, okresie, za który nie nalicza się odsetek z tytułu niezapłacenia w terminie należności pieniężnej w wyniku zdarzenia zaistniałego po dniu wystawienia zawiadomienia o zajęciu</w:t>
      </w:r>
      <w:r w:rsidR="00401334">
        <w:t>, co gwarantuje prawidłową realizację ustawowych obowiązków dłużnika zajętej wierzytelności.</w:t>
      </w:r>
      <w:r w:rsidR="00AD58B3">
        <w:t xml:space="preserve"> </w:t>
      </w:r>
      <w:r w:rsidR="003F25AC">
        <w:lastRenderedPageBreak/>
        <w:t>W</w:t>
      </w:r>
      <w:r w:rsidR="00AD58B3">
        <w:t xml:space="preserve">obec </w:t>
      </w:r>
      <w:r w:rsidR="00DC1B08">
        <w:t xml:space="preserve">ciążącego na dłużniku zajętej wierzytelności </w:t>
      </w:r>
      <w:r w:rsidR="00AD58B3">
        <w:t xml:space="preserve">obowiązku </w:t>
      </w:r>
      <w:r w:rsidR="00A87F46">
        <w:t>realizacj</w:t>
      </w:r>
      <w:r w:rsidR="00DC1B08">
        <w:t>i</w:t>
      </w:r>
      <w:r w:rsidR="003D2670">
        <w:t xml:space="preserve"> zajęcia</w:t>
      </w:r>
      <w:r w:rsidR="003F25AC">
        <w:t xml:space="preserve"> kluczowa </w:t>
      </w:r>
      <w:r w:rsidR="00AD58B3">
        <w:t xml:space="preserve">jest </w:t>
      </w:r>
      <w:r w:rsidR="00401334">
        <w:t xml:space="preserve">też </w:t>
      </w:r>
      <w:r w:rsidR="00AD58B3">
        <w:t>informacja o uchyleniu czynności egzekucyjnej</w:t>
      </w:r>
      <w:r w:rsidR="00A15656">
        <w:t xml:space="preserve"> (ust. 1)</w:t>
      </w:r>
      <w:r w:rsidR="00AD58B3">
        <w:t>.</w:t>
      </w:r>
      <w:r w:rsidR="00B53EE0">
        <w:t xml:space="preserve"> </w:t>
      </w:r>
    </w:p>
    <w:p w14:paraId="13CC7612" w14:textId="77777777" w:rsidR="002C336C" w:rsidRDefault="00C65417" w:rsidP="002C336C">
      <w:pPr>
        <w:jc w:val="both"/>
      </w:pPr>
      <w:r>
        <w:t>Natomiast r</w:t>
      </w:r>
      <w:r w:rsidR="00611A72">
        <w:t>egulacja zawarta w projektowanym</w:t>
      </w:r>
      <w:r w:rsidR="00A87809">
        <w:t xml:space="preserve"> § 13</w:t>
      </w:r>
      <w:r>
        <w:t xml:space="preserve"> ust. 2</w:t>
      </w:r>
      <w:r w:rsidR="00611A72">
        <w:t xml:space="preserve"> </w:t>
      </w:r>
      <w:r w:rsidR="00A15656">
        <w:t xml:space="preserve">projektu rozporządzenia </w:t>
      </w:r>
      <w:r w:rsidR="00611A72">
        <w:t xml:space="preserve">ma </w:t>
      </w:r>
      <w:r w:rsidR="002C336C">
        <w:t xml:space="preserve">na celu ograniczenie </w:t>
      </w:r>
      <w:r w:rsidR="00401334">
        <w:t>zawiadamiani</w:t>
      </w:r>
      <w:r w:rsidR="002C336C">
        <w:t>a</w:t>
      </w:r>
      <w:r w:rsidR="00401334">
        <w:t xml:space="preserve"> dłużnika zajętej wierzytelności o zmienionej wysokości kosztów egzekucyjnych</w:t>
      </w:r>
      <w:r w:rsidR="002C336C">
        <w:t>, jeżeli ich wysokość jest nieznaczna, np. 5 zł.</w:t>
      </w:r>
      <w:r w:rsidR="00401334">
        <w:t xml:space="preserve"> </w:t>
      </w:r>
    </w:p>
    <w:p w14:paraId="25DA5E8B" w14:textId="17A3CE01" w:rsidR="002C336C" w:rsidRPr="005E74C4" w:rsidRDefault="00BA1226" w:rsidP="002C336C">
      <w:pPr>
        <w:jc w:val="both"/>
      </w:pPr>
      <w:r>
        <w:t>Skierowana</w:t>
      </w:r>
      <w:r w:rsidR="00611A72">
        <w:t xml:space="preserve"> do dłużnika zajętej wierzytelności </w:t>
      </w:r>
      <w:r>
        <w:t>w zawiadomieniu</w:t>
      </w:r>
      <w:r w:rsidR="00611A72">
        <w:t xml:space="preserve"> o zajęciu </w:t>
      </w:r>
      <w:r>
        <w:t>informacja o</w:t>
      </w:r>
      <w:r w:rsidR="00A15656">
        <w:t> </w:t>
      </w:r>
      <w:r w:rsidR="00611A72">
        <w:t>wysokości należnych kosztów egzekucyjnych</w:t>
      </w:r>
      <w:r w:rsidR="005643BB">
        <w:t>,</w:t>
      </w:r>
      <w:r w:rsidR="00611A72">
        <w:t xml:space="preserve"> niejednokrotnie</w:t>
      </w:r>
      <w:r w:rsidR="00F35712">
        <w:t>,</w:t>
      </w:r>
      <w:r w:rsidR="00611A72">
        <w:t xml:space="preserve"> z uwagi na okres prowadzonego postępowania egzekucyjnego</w:t>
      </w:r>
      <w:r w:rsidR="00F35712">
        <w:t>,</w:t>
      </w:r>
      <w:r w:rsidR="00611A72">
        <w:t xml:space="preserve"> </w:t>
      </w:r>
      <w:r>
        <w:t xml:space="preserve">może być </w:t>
      </w:r>
      <w:r w:rsidR="003F25AC">
        <w:t>po jakimś czasie</w:t>
      </w:r>
      <w:r>
        <w:t xml:space="preserve"> nieaktualna</w:t>
      </w:r>
      <w:r w:rsidR="00611A72">
        <w:t>. Wysokość kosztów egzekucyjnych wskazana w zawiadomieniu o zajęciu może różnić się od kosztów należnych na dzień wyegzekwowania środków pieniężnych. W przypadku bowiem niewyegzekwowania należności pieniężnych, po zastosowaniu środka egzekucyjnego, organ egzekucyjny stosuje inne środki</w:t>
      </w:r>
      <w:r w:rsidR="00401334">
        <w:t xml:space="preserve"> egzekucyjne, podejmuje inne cz</w:t>
      </w:r>
      <w:r w:rsidR="00611A72">
        <w:t>ynności egzekucyjne</w:t>
      </w:r>
      <w:r w:rsidR="002C336C">
        <w:t>.</w:t>
      </w:r>
      <w:r w:rsidR="00611A72">
        <w:t xml:space="preserve"> W</w:t>
      </w:r>
      <w:r w:rsidR="00A15656">
        <w:t> </w:t>
      </w:r>
      <w:r w:rsidR="00611A72">
        <w:t xml:space="preserve">wyniku tych czynności powstają koszty egzekucyjne nieujęte w </w:t>
      </w:r>
      <w:r w:rsidR="00401334">
        <w:t>zawiadomieniu o zajęciu. Są to niejednokrotnie wydatki egzekucyjne, których wysokość jest nieznaczna. Również wysokość opłaty za czynności egzekucyjne, o której mowa w art.</w:t>
      </w:r>
      <w:r w:rsidR="002C336C">
        <w:t xml:space="preserve"> 64 § 10 ustawy, jest nieznaczna i wynosi </w:t>
      </w:r>
      <w:r w:rsidR="00401334">
        <w:t>20 zł</w:t>
      </w:r>
      <w:r w:rsidR="002C336C">
        <w:t>. W związku z czym przyjęto, że organ egzekucyjny zawiadomi</w:t>
      </w:r>
      <w:r w:rsidR="002C336C" w:rsidRPr="005E74C4">
        <w:t xml:space="preserve"> dłużnika z</w:t>
      </w:r>
      <w:r w:rsidR="002C336C">
        <w:t xml:space="preserve">ajętej wierzytelności o wysokości </w:t>
      </w:r>
      <w:r w:rsidR="002C336C" w:rsidRPr="005E74C4">
        <w:t>opłaty za czynność egzekucyjną</w:t>
      </w:r>
      <w:r w:rsidR="002C336C">
        <w:t xml:space="preserve"> i w</w:t>
      </w:r>
      <w:r w:rsidR="002C336C" w:rsidRPr="005E74C4">
        <w:t>ydatk</w:t>
      </w:r>
      <w:r w:rsidR="002C336C">
        <w:t>ach</w:t>
      </w:r>
      <w:r w:rsidR="002C336C" w:rsidRPr="005E74C4">
        <w:t xml:space="preserve"> egzekucyjnych</w:t>
      </w:r>
      <w:r w:rsidR="002C336C" w:rsidRPr="002C336C">
        <w:t xml:space="preserve"> </w:t>
      </w:r>
      <w:r w:rsidR="002C336C">
        <w:t>przy kolejnej czynności egzekucyjnej, co najmniej raz na 6 miesięcy,</w:t>
      </w:r>
    </w:p>
    <w:p w14:paraId="4569B158" w14:textId="77777777" w:rsidR="00C2507C" w:rsidRDefault="00401334" w:rsidP="002C336C">
      <w:pPr>
        <w:jc w:val="both"/>
      </w:pPr>
      <w:r>
        <w:t xml:space="preserve">  </w:t>
      </w:r>
    </w:p>
    <w:p w14:paraId="02C55550" w14:textId="0222A8E0" w:rsidR="00D76FA5" w:rsidRDefault="00B91BEB" w:rsidP="004E5727">
      <w:pPr>
        <w:jc w:val="both"/>
      </w:pPr>
      <w:r>
        <w:t>U</w:t>
      </w:r>
      <w:r w:rsidR="00D76FA5">
        <w:t>stawa z dnia 4 lipca 2019 r. o zmianie ustawy o postępowaniu egzekucyjnym w administracji oraz niektórych innych ustaw w art.</w:t>
      </w:r>
      <w:r w:rsidR="00134637">
        <w:t xml:space="preserve"> 1</w:t>
      </w:r>
      <w:r w:rsidR="00200B15">
        <w:t>3</w:t>
      </w:r>
      <w:r w:rsidR="00134637">
        <w:t xml:space="preserve"> </w:t>
      </w:r>
      <w:r>
        <w:t xml:space="preserve">nakłada </w:t>
      </w:r>
      <w:r w:rsidR="00134637">
        <w:t>na organ egzekucyjny obowiązek zawiadomienia odpowiednio zobowiązanego i dłużnika zajętej wierzytelności, o</w:t>
      </w:r>
      <w:r w:rsidR="00D76FA5">
        <w:t xml:space="preserve"> </w:t>
      </w:r>
      <w:r w:rsidR="00134637">
        <w:t>wysokości opłaty manipulacyjnej ustalonej zgodnie z art. 7</w:t>
      </w:r>
      <w:r w:rsidR="00A15656">
        <w:t xml:space="preserve"> ww. ustawy</w:t>
      </w:r>
      <w:r w:rsidR="00134637">
        <w:t xml:space="preserve"> i opłaty za czynności egzekucyjne ustalonej zgodnie z art. 8 i 9 tej ustawy</w:t>
      </w:r>
      <w:r>
        <w:t>. Z tego względu</w:t>
      </w:r>
      <w:r w:rsidR="00134637">
        <w:t xml:space="preserve"> uznano za konieczne</w:t>
      </w:r>
      <w:r w:rsidR="00753C14">
        <w:t>,</w:t>
      </w:r>
      <w:r w:rsidR="00134637">
        <w:t xml:space="preserve"> aby o powyższych okolicznościach organ egzekucyjny powiadomił również inne organy egzekucyjne</w:t>
      </w:r>
      <w:r>
        <w:t xml:space="preserve"> </w:t>
      </w:r>
      <w:r w:rsidR="002533E6">
        <w:t>biorące udział w postepowaniu egzekucyjnym wszczętym i niezakończonym przed dniem wejścia w</w:t>
      </w:r>
      <w:r w:rsidR="00A15656">
        <w:t> </w:t>
      </w:r>
      <w:r w:rsidR="002533E6">
        <w:t xml:space="preserve">życie tej ustawy </w:t>
      </w:r>
      <w:r w:rsidR="001E15A6">
        <w:t xml:space="preserve">(§ </w:t>
      </w:r>
      <w:r w:rsidR="00C65417">
        <w:t>1</w:t>
      </w:r>
      <w:r w:rsidR="009B262F">
        <w:t>4</w:t>
      </w:r>
      <w:r w:rsidR="001E15A6">
        <w:t xml:space="preserve"> projektu rozporządzenia)</w:t>
      </w:r>
      <w:r w:rsidR="00134637">
        <w:t xml:space="preserve">. </w:t>
      </w:r>
    </w:p>
    <w:p w14:paraId="67669775" w14:textId="77777777" w:rsidR="002533E6" w:rsidRDefault="002533E6" w:rsidP="004E5727">
      <w:pPr>
        <w:jc w:val="both"/>
        <w:rPr>
          <w:position w:val="6"/>
        </w:rPr>
      </w:pPr>
    </w:p>
    <w:p w14:paraId="65CD4297" w14:textId="25B82E2D" w:rsidR="0057137F" w:rsidRDefault="00A21717" w:rsidP="004E5727">
      <w:pPr>
        <w:jc w:val="both"/>
        <w:rPr>
          <w:position w:val="6"/>
        </w:rPr>
      </w:pPr>
      <w:r>
        <w:rPr>
          <w:position w:val="6"/>
        </w:rPr>
        <w:t xml:space="preserve">W </w:t>
      </w:r>
      <w:r w:rsidR="009B262F">
        <w:rPr>
          <w:position w:val="6"/>
        </w:rPr>
        <w:t>§ 15</w:t>
      </w:r>
      <w:r w:rsidR="00590E54">
        <w:rPr>
          <w:position w:val="6"/>
        </w:rPr>
        <w:t xml:space="preserve"> </w:t>
      </w:r>
      <w:r w:rsidR="00A104A0">
        <w:rPr>
          <w:position w:val="6"/>
        </w:rPr>
        <w:t xml:space="preserve">projektu rozporządzenia </w:t>
      </w:r>
      <w:r w:rsidR="00DD78FD">
        <w:rPr>
          <w:position w:val="6"/>
        </w:rPr>
        <w:t>zawarto</w:t>
      </w:r>
      <w:r w:rsidR="00A104A0">
        <w:rPr>
          <w:position w:val="6"/>
        </w:rPr>
        <w:t xml:space="preserve"> regulację</w:t>
      </w:r>
      <w:r w:rsidR="00786E42">
        <w:rPr>
          <w:position w:val="6"/>
        </w:rPr>
        <w:t xml:space="preserve"> analogiczną</w:t>
      </w:r>
      <w:r w:rsidR="00A15656">
        <w:rPr>
          <w:position w:val="6"/>
        </w:rPr>
        <w:t xml:space="preserve"> do regulacji zawartej w</w:t>
      </w:r>
      <w:r w:rsidR="00DD78FD">
        <w:rPr>
          <w:position w:val="6"/>
        </w:rPr>
        <w:t xml:space="preserve"> </w:t>
      </w:r>
      <w:r w:rsidR="00A104A0">
        <w:rPr>
          <w:position w:val="6"/>
        </w:rPr>
        <w:t xml:space="preserve">§ </w:t>
      </w:r>
      <w:r w:rsidR="00590E54">
        <w:rPr>
          <w:position w:val="6"/>
        </w:rPr>
        <w:t>14</w:t>
      </w:r>
      <w:r w:rsidR="00A15656">
        <w:rPr>
          <w:position w:val="6"/>
        </w:rPr>
        <w:t xml:space="preserve"> rozporządzenia</w:t>
      </w:r>
      <w:r w:rsidR="00722EE4" w:rsidRPr="00722EE4">
        <w:t xml:space="preserve"> </w:t>
      </w:r>
      <w:r w:rsidR="00722EE4" w:rsidRPr="00722EE4">
        <w:rPr>
          <w:position w:val="6"/>
        </w:rPr>
        <w:t>Ministra Finansów z dnia 23 lipca 2020 r. w  sprawie postępowania wierzycieli należności pieniężnych</w:t>
      </w:r>
      <w:r w:rsidR="002533E6">
        <w:rPr>
          <w:position w:val="6"/>
        </w:rPr>
        <w:t>,</w:t>
      </w:r>
      <w:r w:rsidR="00A104A0">
        <w:rPr>
          <w:position w:val="6"/>
        </w:rPr>
        <w:t xml:space="preserve"> dotyczącą przekazywania do</w:t>
      </w:r>
      <w:r w:rsidR="002A609B">
        <w:rPr>
          <w:position w:val="6"/>
        </w:rPr>
        <w:t xml:space="preserve"> organu egzekucyjnego </w:t>
      </w:r>
      <w:r w:rsidR="00A104A0">
        <w:rPr>
          <w:position w:val="6"/>
        </w:rPr>
        <w:t xml:space="preserve">odpisu </w:t>
      </w:r>
      <w:r w:rsidR="00A104A0">
        <w:rPr>
          <w:position w:val="6"/>
        </w:rPr>
        <w:lastRenderedPageBreak/>
        <w:t>tytułu wykonawczego zamiast dalszego tytułu wykonawczego.</w:t>
      </w:r>
      <w:r w:rsidR="00DD78FD">
        <w:rPr>
          <w:position w:val="6"/>
        </w:rPr>
        <w:t xml:space="preserve"> </w:t>
      </w:r>
      <w:r w:rsidR="002A609B">
        <w:rPr>
          <w:position w:val="6"/>
        </w:rPr>
        <w:t xml:space="preserve">Tryb współpracy organu egzekucyjnego prowadzącego postępowanie egzekucyjne z innym organem egzekucyjnym, uprawnionym do stosowania niektórych środków egzekucyjnych był bowiem dotychczas uregulowany w </w:t>
      </w:r>
      <w:r w:rsidR="00722EE4">
        <w:rPr>
          <w:position w:val="6"/>
        </w:rPr>
        <w:t xml:space="preserve"> ww. </w:t>
      </w:r>
      <w:r w:rsidR="002A609B">
        <w:rPr>
          <w:position w:val="6"/>
        </w:rPr>
        <w:t xml:space="preserve">rozporządzeniu </w:t>
      </w:r>
      <w:r w:rsidR="00722EE4" w:rsidRPr="00722EE4">
        <w:rPr>
          <w:position w:val="6"/>
        </w:rPr>
        <w:t xml:space="preserve">Ministra </w:t>
      </w:r>
      <w:r w:rsidR="00722EE4">
        <w:rPr>
          <w:position w:val="6"/>
        </w:rPr>
        <w:t>Finansów z dnia 23 lipca 2020 r</w:t>
      </w:r>
      <w:r w:rsidR="002A609B">
        <w:rPr>
          <w:position w:val="6"/>
        </w:rPr>
        <w:t>. Przyjęto, że w</w:t>
      </w:r>
      <w:r w:rsidR="002533E6">
        <w:rPr>
          <w:position w:val="6"/>
        </w:rPr>
        <w:t xml:space="preserve"> </w:t>
      </w:r>
      <w:r w:rsidR="00A104A0">
        <w:rPr>
          <w:position w:val="6"/>
        </w:rPr>
        <w:t>przypadku postępowań egzekucyjnych wszczętych prz</w:t>
      </w:r>
      <w:r w:rsidR="00EB6C1C">
        <w:rPr>
          <w:position w:val="6"/>
        </w:rPr>
        <w:t>ed dniem 21 listopada 2013 r. i </w:t>
      </w:r>
      <w:r w:rsidR="00A104A0">
        <w:rPr>
          <w:position w:val="6"/>
        </w:rPr>
        <w:t>niezakończonych przed dniem wejścia w życie niniejszego rozporządzenia do tytułu wykonawczego wystawionego przez wierzyciela, na podstawie którego zostało wszczęte to pos</w:t>
      </w:r>
      <w:r w:rsidR="007B505B">
        <w:rPr>
          <w:position w:val="6"/>
        </w:rPr>
        <w:t>tępowanie, zastosowanie znaj</w:t>
      </w:r>
      <w:r w:rsidR="00581D96">
        <w:rPr>
          <w:position w:val="6"/>
        </w:rPr>
        <w:t>dzie</w:t>
      </w:r>
      <w:r w:rsidR="00A104A0">
        <w:rPr>
          <w:position w:val="6"/>
        </w:rPr>
        <w:t xml:space="preserve"> przepis § </w:t>
      </w:r>
      <w:r w:rsidR="001C6680">
        <w:rPr>
          <w:position w:val="6"/>
        </w:rPr>
        <w:t>7</w:t>
      </w:r>
      <w:r w:rsidR="00455B19">
        <w:rPr>
          <w:position w:val="6"/>
        </w:rPr>
        <w:t xml:space="preserve"> ust. 1</w:t>
      </w:r>
      <w:r w:rsidR="001C6680">
        <w:rPr>
          <w:position w:val="6"/>
        </w:rPr>
        <w:t>, 3 i 4</w:t>
      </w:r>
      <w:r w:rsidR="0025475C">
        <w:rPr>
          <w:position w:val="6"/>
        </w:rPr>
        <w:t xml:space="preserve"> projektu rozporządzenia</w:t>
      </w:r>
      <w:r w:rsidR="00392E91">
        <w:rPr>
          <w:position w:val="6"/>
        </w:rPr>
        <w:t>.</w:t>
      </w:r>
      <w:r w:rsidR="00E539F0">
        <w:rPr>
          <w:position w:val="6"/>
        </w:rPr>
        <w:t xml:space="preserve"> </w:t>
      </w:r>
    </w:p>
    <w:p w14:paraId="0E807898" w14:textId="77777777" w:rsidR="00A21717" w:rsidRDefault="00A21717" w:rsidP="00D57990">
      <w:pPr>
        <w:ind w:firstLine="510"/>
        <w:jc w:val="both"/>
        <w:rPr>
          <w:position w:val="6"/>
        </w:rPr>
      </w:pPr>
    </w:p>
    <w:p w14:paraId="719F1B9C" w14:textId="77777777" w:rsidR="00A21717" w:rsidRDefault="00A26389" w:rsidP="004E5727">
      <w:pPr>
        <w:jc w:val="both"/>
        <w:rPr>
          <w:position w:val="6"/>
        </w:rPr>
      </w:pPr>
      <w:r>
        <w:rPr>
          <w:position w:val="6"/>
        </w:rPr>
        <w:t>N</w:t>
      </w:r>
      <w:r w:rsidR="00455B19">
        <w:rPr>
          <w:position w:val="6"/>
        </w:rPr>
        <w:t>atomiast w § 1</w:t>
      </w:r>
      <w:r w:rsidR="009B262F">
        <w:rPr>
          <w:position w:val="6"/>
        </w:rPr>
        <w:t>6</w:t>
      </w:r>
      <w:r w:rsidR="00A21717">
        <w:rPr>
          <w:position w:val="6"/>
        </w:rPr>
        <w:t xml:space="preserve"> projektu rozporządzenia zawarto przepis </w:t>
      </w:r>
      <w:r w:rsidR="004E5727">
        <w:rPr>
          <w:position w:val="6"/>
        </w:rPr>
        <w:t>końcowy, zgodnie z który</w:t>
      </w:r>
      <w:r w:rsidR="00D71D8E">
        <w:rPr>
          <w:position w:val="6"/>
        </w:rPr>
        <w:t xml:space="preserve">m rozporządzenie wejdzie w życie </w:t>
      </w:r>
      <w:r w:rsidR="00A21717">
        <w:rPr>
          <w:position w:val="6"/>
        </w:rPr>
        <w:t xml:space="preserve">z dniem </w:t>
      </w:r>
      <w:r>
        <w:rPr>
          <w:position w:val="6"/>
        </w:rPr>
        <w:t>20 lutego 2021</w:t>
      </w:r>
      <w:r w:rsidR="00A21717">
        <w:rPr>
          <w:position w:val="6"/>
        </w:rPr>
        <w:t xml:space="preserve"> r., tj. wraz z ustawą </w:t>
      </w:r>
      <w:r w:rsidR="00AB66AF">
        <w:rPr>
          <w:position w:val="6"/>
        </w:rPr>
        <w:t>z dnia 4 lipca 2019 r. o zmianie ustawy o postępowaniu egzekucyjnym w administracji oraz niektórych innych ustaw.</w:t>
      </w:r>
    </w:p>
    <w:p w14:paraId="7FF318F1" w14:textId="77777777" w:rsidR="00581D96" w:rsidRDefault="00581D96" w:rsidP="009B0701">
      <w:pPr>
        <w:ind w:firstLine="510"/>
        <w:jc w:val="both"/>
        <w:rPr>
          <w:position w:val="6"/>
        </w:rPr>
      </w:pPr>
    </w:p>
    <w:p w14:paraId="2C10DDB2" w14:textId="77777777" w:rsidR="001E32B7" w:rsidRDefault="001E32B7" w:rsidP="001E32B7">
      <w:pPr>
        <w:jc w:val="both"/>
        <w:rPr>
          <w:color w:val="000000"/>
        </w:rPr>
      </w:pPr>
      <w:r w:rsidRPr="00753965">
        <w:rPr>
          <w:color w:val="000000"/>
        </w:rPr>
        <w:t>Projektowane przepisy nie mają wpływu na konkurencyjność gospodarki i przedsiębiorczość, w tym funkcjonowanie przedsiębiorców (w tym mikroprzedsiębiorców, małych i średnich przedsiębiorców), jak również na rodzinę, obywateli i gospodarstwa domowe, w szczególności na sytuację ekonomiczną i społeczną rodziny, a także osób niepełnosprawnych oraz osób starszych.</w:t>
      </w:r>
    </w:p>
    <w:p w14:paraId="1E15D127" w14:textId="77777777" w:rsidR="001E32B7" w:rsidRPr="00753965" w:rsidRDefault="001E32B7" w:rsidP="00D71D8E">
      <w:pPr>
        <w:jc w:val="both"/>
        <w:rPr>
          <w:color w:val="000000"/>
        </w:rPr>
      </w:pPr>
      <w:r w:rsidRPr="00753965">
        <w:rPr>
          <w:color w:val="000000"/>
        </w:rPr>
        <w:t>Projekt rozporządzenia nie podlega obowiązkowi notyfikacji zgodnie z trybem przewidzianym w przepisach dotyczących funkcjonowania krajowego systemu notyfikacji norm i aktów prawnych.</w:t>
      </w:r>
    </w:p>
    <w:p w14:paraId="460596B1" w14:textId="49B696EF" w:rsidR="003D16CE" w:rsidRPr="006C6582" w:rsidRDefault="001E32B7" w:rsidP="00D71D8E">
      <w:pPr>
        <w:jc w:val="both"/>
        <w:rPr>
          <w:color w:val="000000"/>
        </w:rPr>
      </w:pPr>
      <w:r w:rsidRPr="00753965">
        <w:rPr>
          <w:color w:val="000000"/>
        </w:rPr>
        <w:t xml:space="preserve">Projektowane rozporządzenie jest zgodne z prawem Unii Europejskiej. Nie istnieje  konieczność przedstawiania projektowanego rozporządzenia właściwym organom                              i instytucjom Unii Europejskiej, </w:t>
      </w:r>
      <w:r w:rsidR="003D16CE">
        <w:rPr>
          <w:color w:val="000000"/>
        </w:rPr>
        <w:t xml:space="preserve">w tym Europejskiemu Bankowi Centralnemu, </w:t>
      </w:r>
      <w:r w:rsidRPr="00753965">
        <w:rPr>
          <w:color w:val="000000"/>
        </w:rPr>
        <w:t>zgodnie z</w:t>
      </w:r>
      <w:r w:rsidR="002264C3">
        <w:rPr>
          <w:color w:val="000000"/>
        </w:rPr>
        <w:t> </w:t>
      </w:r>
      <w:r w:rsidRPr="00753965">
        <w:rPr>
          <w:color w:val="000000"/>
        </w:rPr>
        <w:t>przepisami uchwały nr 190 Rady Ministrów z dnia 29 października 2013 r. − Regulamin pracy Rady Ministrów (M.P. z 2016 r. poz. 1006</w:t>
      </w:r>
      <w:r w:rsidR="00521E1A">
        <w:rPr>
          <w:color w:val="000000"/>
        </w:rPr>
        <w:t>,</w:t>
      </w:r>
      <w:r w:rsidRPr="00753965">
        <w:rPr>
          <w:color w:val="000000"/>
        </w:rPr>
        <w:t xml:space="preserve"> z późn. zm.).</w:t>
      </w:r>
      <w:r w:rsidR="003D16CE" w:rsidRPr="003D16CE">
        <w:rPr>
          <w:color w:val="000000"/>
        </w:rPr>
        <w:t xml:space="preserve"> </w:t>
      </w:r>
    </w:p>
    <w:p w14:paraId="5F72CFC1" w14:textId="77777777" w:rsidR="001E32B7" w:rsidRDefault="001E32B7" w:rsidP="00D71D8E">
      <w:pPr>
        <w:jc w:val="both"/>
        <w:rPr>
          <w:position w:val="6"/>
        </w:rPr>
      </w:pPr>
      <w:r>
        <w:rPr>
          <w:position w:val="6"/>
        </w:rPr>
        <w:t>Projekt r</w:t>
      </w:r>
      <w:r w:rsidRPr="000766B4">
        <w:rPr>
          <w:position w:val="6"/>
        </w:rPr>
        <w:t>ozporządzeni</w:t>
      </w:r>
      <w:r>
        <w:rPr>
          <w:position w:val="6"/>
        </w:rPr>
        <w:t>a</w:t>
      </w:r>
      <w:r w:rsidRPr="000766B4">
        <w:rPr>
          <w:position w:val="6"/>
        </w:rPr>
        <w:t xml:space="preserve"> dotyczy funkcjonowania sam</w:t>
      </w:r>
      <w:r>
        <w:rPr>
          <w:position w:val="6"/>
        </w:rPr>
        <w:t>orządu terytorialnego i zostanie</w:t>
      </w:r>
      <w:r w:rsidRPr="000766B4">
        <w:rPr>
          <w:position w:val="6"/>
        </w:rPr>
        <w:t xml:space="preserve"> przedstawion</w:t>
      </w:r>
      <w:r>
        <w:rPr>
          <w:position w:val="6"/>
        </w:rPr>
        <w:t>y</w:t>
      </w:r>
      <w:r w:rsidRPr="000766B4">
        <w:rPr>
          <w:position w:val="6"/>
        </w:rPr>
        <w:t xml:space="preserve"> do opinii Komisji Wspólnej Rz</w:t>
      </w:r>
      <w:r>
        <w:rPr>
          <w:position w:val="6"/>
        </w:rPr>
        <w:t>ądu i Samorządu Terytorialnego.</w:t>
      </w:r>
    </w:p>
    <w:p w14:paraId="5298F594" w14:textId="77777777" w:rsidR="001E32B7" w:rsidRPr="000766B4" w:rsidRDefault="001E32B7" w:rsidP="00D71D8E">
      <w:pPr>
        <w:jc w:val="both"/>
        <w:rPr>
          <w:position w:val="6"/>
        </w:rPr>
      </w:pPr>
      <w:r w:rsidRPr="000766B4">
        <w:rPr>
          <w:position w:val="6"/>
        </w:rPr>
        <w:lastRenderedPageBreak/>
        <w:t xml:space="preserve">Stosownie do art. 5 ustawy z dnia 7 lipca 2005 r. o działalności lobbingowej w procesie stanowienia prawa (Dz. U. z 2017 r. poz. 248) oraz § 80 uchwały </w:t>
      </w:r>
      <w:r>
        <w:rPr>
          <w:position w:val="6"/>
        </w:rPr>
        <w:t>n</w:t>
      </w:r>
      <w:r w:rsidRPr="000766B4">
        <w:rPr>
          <w:position w:val="6"/>
        </w:rPr>
        <w:t xml:space="preserve">r 190 Rady Ministrów z dnia 29 października 2013 r. – Regulamin pracy Rady Ministrów </w:t>
      </w:r>
      <w:r>
        <w:rPr>
          <w:position w:val="6"/>
        </w:rPr>
        <w:t xml:space="preserve">projekt </w:t>
      </w:r>
      <w:r w:rsidRPr="000766B4">
        <w:rPr>
          <w:position w:val="6"/>
        </w:rPr>
        <w:t>rozporządzeni</w:t>
      </w:r>
      <w:r>
        <w:rPr>
          <w:position w:val="6"/>
        </w:rPr>
        <w:t>a zostanie</w:t>
      </w:r>
      <w:r w:rsidRPr="000766B4">
        <w:rPr>
          <w:position w:val="6"/>
        </w:rPr>
        <w:t xml:space="preserve"> udostępnion</w:t>
      </w:r>
      <w:r>
        <w:rPr>
          <w:position w:val="6"/>
        </w:rPr>
        <w:t>y</w:t>
      </w:r>
      <w:r w:rsidRPr="000766B4">
        <w:rPr>
          <w:position w:val="6"/>
        </w:rPr>
        <w:t xml:space="preserve"> w Biuletynie Informacji Publicznej </w:t>
      </w:r>
      <w:r>
        <w:rPr>
          <w:position w:val="6"/>
        </w:rPr>
        <w:t xml:space="preserve">na stronie podmiotowej </w:t>
      </w:r>
      <w:r w:rsidRPr="000766B4">
        <w:rPr>
          <w:position w:val="6"/>
        </w:rPr>
        <w:t>Rządowego Centrum Legislacji</w:t>
      </w:r>
      <w:r>
        <w:rPr>
          <w:position w:val="6"/>
        </w:rPr>
        <w:t>, w zakładce Rządowy Proces Legislacyjny.</w:t>
      </w:r>
    </w:p>
    <w:p w14:paraId="51122022" w14:textId="77777777" w:rsidR="001E246A" w:rsidRDefault="001E246A" w:rsidP="00D57990">
      <w:pPr>
        <w:ind w:firstLine="510"/>
        <w:jc w:val="both"/>
        <w:rPr>
          <w:position w:val="12"/>
        </w:rPr>
      </w:pPr>
    </w:p>
    <w:p w14:paraId="3F678B5F" w14:textId="77777777" w:rsidR="009A0EB0" w:rsidRPr="00C94D00" w:rsidRDefault="009A0EB0" w:rsidP="00D57990">
      <w:pPr>
        <w:spacing w:line="192" w:lineRule="auto"/>
        <w:jc w:val="both"/>
        <w:rPr>
          <w:position w:val="12"/>
        </w:rPr>
      </w:pPr>
    </w:p>
    <w:sectPr w:rsidR="009A0EB0" w:rsidRPr="00C9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4841" w14:textId="77777777" w:rsidR="00610972" w:rsidRDefault="00610972">
      <w:r>
        <w:separator/>
      </w:r>
    </w:p>
  </w:endnote>
  <w:endnote w:type="continuationSeparator" w:id="0">
    <w:p w14:paraId="43F05DBD" w14:textId="77777777" w:rsidR="00610972" w:rsidRDefault="0061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F1C9" w14:textId="77777777" w:rsidR="00610972" w:rsidRDefault="00610972">
      <w:r>
        <w:separator/>
      </w:r>
    </w:p>
  </w:footnote>
  <w:footnote w:type="continuationSeparator" w:id="0">
    <w:p w14:paraId="40704F6A" w14:textId="77777777" w:rsidR="00610972" w:rsidRDefault="0061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26D7"/>
    <w:multiLevelType w:val="hybridMultilevel"/>
    <w:tmpl w:val="E9421CFC"/>
    <w:lvl w:ilvl="0" w:tplc="1F5C51D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63191184"/>
    <w:multiLevelType w:val="hybridMultilevel"/>
    <w:tmpl w:val="F650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0"/>
    <w:rsid w:val="00003A92"/>
    <w:rsid w:val="000068D4"/>
    <w:rsid w:val="000070BD"/>
    <w:rsid w:val="0001101C"/>
    <w:rsid w:val="0001179A"/>
    <w:rsid w:val="000131BA"/>
    <w:rsid w:val="00017353"/>
    <w:rsid w:val="00017C52"/>
    <w:rsid w:val="00022D2D"/>
    <w:rsid w:val="00026871"/>
    <w:rsid w:val="000268A8"/>
    <w:rsid w:val="000269CB"/>
    <w:rsid w:val="000307D5"/>
    <w:rsid w:val="000311F1"/>
    <w:rsid w:val="00032975"/>
    <w:rsid w:val="00035B10"/>
    <w:rsid w:val="00037D3A"/>
    <w:rsid w:val="0004085D"/>
    <w:rsid w:val="00041F29"/>
    <w:rsid w:val="00042551"/>
    <w:rsid w:val="0004429B"/>
    <w:rsid w:val="0004466A"/>
    <w:rsid w:val="00044E10"/>
    <w:rsid w:val="00045E7A"/>
    <w:rsid w:val="00047572"/>
    <w:rsid w:val="00047BCD"/>
    <w:rsid w:val="00052A74"/>
    <w:rsid w:val="00055A0A"/>
    <w:rsid w:val="00055AD1"/>
    <w:rsid w:val="00061CA3"/>
    <w:rsid w:val="00063211"/>
    <w:rsid w:val="0006409B"/>
    <w:rsid w:val="000645D2"/>
    <w:rsid w:val="00066665"/>
    <w:rsid w:val="00067266"/>
    <w:rsid w:val="000672F0"/>
    <w:rsid w:val="00067998"/>
    <w:rsid w:val="0007020F"/>
    <w:rsid w:val="00070A8C"/>
    <w:rsid w:val="000721C2"/>
    <w:rsid w:val="000726F5"/>
    <w:rsid w:val="00073313"/>
    <w:rsid w:val="0007359D"/>
    <w:rsid w:val="000737F8"/>
    <w:rsid w:val="0007501A"/>
    <w:rsid w:val="00075ADD"/>
    <w:rsid w:val="0008411F"/>
    <w:rsid w:val="00084314"/>
    <w:rsid w:val="000854C9"/>
    <w:rsid w:val="00090C0C"/>
    <w:rsid w:val="00091557"/>
    <w:rsid w:val="0009254A"/>
    <w:rsid w:val="00093557"/>
    <w:rsid w:val="00093AD3"/>
    <w:rsid w:val="00093FD1"/>
    <w:rsid w:val="0009606F"/>
    <w:rsid w:val="00096A86"/>
    <w:rsid w:val="000A023C"/>
    <w:rsid w:val="000A1866"/>
    <w:rsid w:val="000A5F69"/>
    <w:rsid w:val="000A6620"/>
    <w:rsid w:val="000A6648"/>
    <w:rsid w:val="000B0C54"/>
    <w:rsid w:val="000B43A1"/>
    <w:rsid w:val="000B4B08"/>
    <w:rsid w:val="000B56D6"/>
    <w:rsid w:val="000C2FB3"/>
    <w:rsid w:val="000C60BB"/>
    <w:rsid w:val="000C789C"/>
    <w:rsid w:val="000D0E2E"/>
    <w:rsid w:val="000D2CB9"/>
    <w:rsid w:val="000D5575"/>
    <w:rsid w:val="000D5743"/>
    <w:rsid w:val="000D5D41"/>
    <w:rsid w:val="000D60DA"/>
    <w:rsid w:val="000E135C"/>
    <w:rsid w:val="000E2D20"/>
    <w:rsid w:val="000E3A59"/>
    <w:rsid w:val="000E5B18"/>
    <w:rsid w:val="000E5C85"/>
    <w:rsid w:val="000E63A0"/>
    <w:rsid w:val="000F115B"/>
    <w:rsid w:val="000F3A4C"/>
    <w:rsid w:val="00103ED2"/>
    <w:rsid w:val="001040F1"/>
    <w:rsid w:val="001045D6"/>
    <w:rsid w:val="001055D0"/>
    <w:rsid w:val="001076AF"/>
    <w:rsid w:val="001120D8"/>
    <w:rsid w:val="00113CF9"/>
    <w:rsid w:val="001217A3"/>
    <w:rsid w:val="001224EC"/>
    <w:rsid w:val="001237E6"/>
    <w:rsid w:val="00124C03"/>
    <w:rsid w:val="001250EE"/>
    <w:rsid w:val="00126AC5"/>
    <w:rsid w:val="00130E73"/>
    <w:rsid w:val="00134637"/>
    <w:rsid w:val="00134A01"/>
    <w:rsid w:val="0013751E"/>
    <w:rsid w:val="0014066C"/>
    <w:rsid w:val="00141308"/>
    <w:rsid w:val="0014254E"/>
    <w:rsid w:val="00142E43"/>
    <w:rsid w:val="00145D57"/>
    <w:rsid w:val="00147811"/>
    <w:rsid w:val="00151CB8"/>
    <w:rsid w:val="00151E1A"/>
    <w:rsid w:val="00154A67"/>
    <w:rsid w:val="00160462"/>
    <w:rsid w:val="00166118"/>
    <w:rsid w:val="00167B61"/>
    <w:rsid w:val="00172DB1"/>
    <w:rsid w:val="0017474C"/>
    <w:rsid w:val="00175666"/>
    <w:rsid w:val="00176A9B"/>
    <w:rsid w:val="00176C61"/>
    <w:rsid w:val="00176F64"/>
    <w:rsid w:val="00177867"/>
    <w:rsid w:val="001778D0"/>
    <w:rsid w:val="00190AD2"/>
    <w:rsid w:val="0019100A"/>
    <w:rsid w:val="00192234"/>
    <w:rsid w:val="001936BC"/>
    <w:rsid w:val="001A3210"/>
    <w:rsid w:val="001A55AE"/>
    <w:rsid w:val="001A6324"/>
    <w:rsid w:val="001A7CE5"/>
    <w:rsid w:val="001B0630"/>
    <w:rsid w:val="001B1D5B"/>
    <w:rsid w:val="001B3259"/>
    <w:rsid w:val="001B4581"/>
    <w:rsid w:val="001B6E96"/>
    <w:rsid w:val="001C06C6"/>
    <w:rsid w:val="001C1706"/>
    <w:rsid w:val="001C282E"/>
    <w:rsid w:val="001C3AFB"/>
    <w:rsid w:val="001C641C"/>
    <w:rsid w:val="001C6680"/>
    <w:rsid w:val="001D1984"/>
    <w:rsid w:val="001D1AFE"/>
    <w:rsid w:val="001D26C4"/>
    <w:rsid w:val="001D31CF"/>
    <w:rsid w:val="001D7BEB"/>
    <w:rsid w:val="001E0607"/>
    <w:rsid w:val="001E15A6"/>
    <w:rsid w:val="001E1924"/>
    <w:rsid w:val="001E246A"/>
    <w:rsid w:val="001E32B7"/>
    <w:rsid w:val="001E6313"/>
    <w:rsid w:val="001E64D6"/>
    <w:rsid w:val="001F0469"/>
    <w:rsid w:val="001F15C9"/>
    <w:rsid w:val="001F21B6"/>
    <w:rsid w:val="001F39C4"/>
    <w:rsid w:val="001F437C"/>
    <w:rsid w:val="001F6FBC"/>
    <w:rsid w:val="001F7FD7"/>
    <w:rsid w:val="0020072C"/>
    <w:rsid w:val="002008DF"/>
    <w:rsid w:val="00200B15"/>
    <w:rsid w:val="00201515"/>
    <w:rsid w:val="00201BB7"/>
    <w:rsid w:val="0020688B"/>
    <w:rsid w:val="0020698F"/>
    <w:rsid w:val="00206AB2"/>
    <w:rsid w:val="002072B5"/>
    <w:rsid w:val="00213AF2"/>
    <w:rsid w:val="00216341"/>
    <w:rsid w:val="002164C8"/>
    <w:rsid w:val="0021662D"/>
    <w:rsid w:val="0022267F"/>
    <w:rsid w:val="002251F7"/>
    <w:rsid w:val="002257D2"/>
    <w:rsid w:val="00225D2C"/>
    <w:rsid w:val="002264C3"/>
    <w:rsid w:val="00226CFA"/>
    <w:rsid w:val="0023146F"/>
    <w:rsid w:val="002358C1"/>
    <w:rsid w:val="00237179"/>
    <w:rsid w:val="0023749D"/>
    <w:rsid w:val="00237891"/>
    <w:rsid w:val="00241038"/>
    <w:rsid w:val="00241EF6"/>
    <w:rsid w:val="0024268E"/>
    <w:rsid w:val="00245618"/>
    <w:rsid w:val="00247312"/>
    <w:rsid w:val="00251D45"/>
    <w:rsid w:val="002533E6"/>
    <w:rsid w:val="002536A3"/>
    <w:rsid w:val="0025475C"/>
    <w:rsid w:val="0025700A"/>
    <w:rsid w:val="00257E48"/>
    <w:rsid w:val="00265924"/>
    <w:rsid w:val="00266D46"/>
    <w:rsid w:val="00267FE2"/>
    <w:rsid w:val="002746E7"/>
    <w:rsid w:val="0028042B"/>
    <w:rsid w:val="002809CB"/>
    <w:rsid w:val="00281FE7"/>
    <w:rsid w:val="00283797"/>
    <w:rsid w:val="0029045E"/>
    <w:rsid w:val="0029144A"/>
    <w:rsid w:val="00293380"/>
    <w:rsid w:val="002955C9"/>
    <w:rsid w:val="002978F1"/>
    <w:rsid w:val="002A052D"/>
    <w:rsid w:val="002A0AA2"/>
    <w:rsid w:val="002A12DA"/>
    <w:rsid w:val="002A4B2E"/>
    <w:rsid w:val="002A5491"/>
    <w:rsid w:val="002A55AC"/>
    <w:rsid w:val="002A609B"/>
    <w:rsid w:val="002A6E94"/>
    <w:rsid w:val="002B0AE4"/>
    <w:rsid w:val="002B12F2"/>
    <w:rsid w:val="002B1E41"/>
    <w:rsid w:val="002B2ECE"/>
    <w:rsid w:val="002B5FD0"/>
    <w:rsid w:val="002C0075"/>
    <w:rsid w:val="002C0C62"/>
    <w:rsid w:val="002C1DB2"/>
    <w:rsid w:val="002C2244"/>
    <w:rsid w:val="002C336C"/>
    <w:rsid w:val="002C44C1"/>
    <w:rsid w:val="002C5F15"/>
    <w:rsid w:val="002C6434"/>
    <w:rsid w:val="002C7C03"/>
    <w:rsid w:val="002D2527"/>
    <w:rsid w:val="002D2930"/>
    <w:rsid w:val="002D562E"/>
    <w:rsid w:val="002E0605"/>
    <w:rsid w:val="002E19AB"/>
    <w:rsid w:val="002E1A17"/>
    <w:rsid w:val="002E4637"/>
    <w:rsid w:val="002E595B"/>
    <w:rsid w:val="002E6995"/>
    <w:rsid w:val="002E7637"/>
    <w:rsid w:val="002F22D5"/>
    <w:rsid w:val="002F2B35"/>
    <w:rsid w:val="002F361D"/>
    <w:rsid w:val="002F3D14"/>
    <w:rsid w:val="002F6D5F"/>
    <w:rsid w:val="00300CD3"/>
    <w:rsid w:val="00301623"/>
    <w:rsid w:val="00304290"/>
    <w:rsid w:val="00304513"/>
    <w:rsid w:val="0030582D"/>
    <w:rsid w:val="00305871"/>
    <w:rsid w:val="00305ACB"/>
    <w:rsid w:val="0031460A"/>
    <w:rsid w:val="00314902"/>
    <w:rsid w:val="00315B37"/>
    <w:rsid w:val="00316179"/>
    <w:rsid w:val="00316A91"/>
    <w:rsid w:val="00320694"/>
    <w:rsid w:val="00322185"/>
    <w:rsid w:val="00325D3C"/>
    <w:rsid w:val="00326EC6"/>
    <w:rsid w:val="003305F3"/>
    <w:rsid w:val="00330993"/>
    <w:rsid w:val="00330D41"/>
    <w:rsid w:val="0033130A"/>
    <w:rsid w:val="00332A49"/>
    <w:rsid w:val="0034017B"/>
    <w:rsid w:val="00343607"/>
    <w:rsid w:val="00344AB2"/>
    <w:rsid w:val="00345827"/>
    <w:rsid w:val="0035392C"/>
    <w:rsid w:val="00353B0D"/>
    <w:rsid w:val="003562BA"/>
    <w:rsid w:val="00357EA0"/>
    <w:rsid w:val="00360A31"/>
    <w:rsid w:val="00366A65"/>
    <w:rsid w:val="00367025"/>
    <w:rsid w:val="00370503"/>
    <w:rsid w:val="0037386D"/>
    <w:rsid w:val="00374145"/>
    <w:rsid w:val="00374284"/>
    <w:rsid w:val="00375050"/>
    <w:rsid w:val="00375667"/>
    <w:rsid w:val="00376ADA"/>
    <w:rsid w:val="00377115"/>
    <w:rsid w:val="0037748C"/>
    <w:rsid w:val="00381C0B"/>
    <w:rsid w:val="00382725"/>
    <w:rsid w:val="003862C7"/>
    <w:rsid w:val="0038633F"/>
    <w:rsid w:val="00390CE7"/>
    <w:rsid w:val="00392E53"/>
    <w:rsid w:val="00392E91"/>
    <w:rsid w:val="00393010"/>
    <w:rsid w:val="00395A75"/>
    <w:rsid w:val="003969B9"/>
    <w:rsid w:val="003A0A12"/>
    <w:rsid w:val="003A28B6"/>
    <w:rsid w:val="003A2E68"/>
    <w:rsid w:val="003A2EE4"/>
    <w:rsid w:val="003A31DD"/>
    <w:rsid w:val="003A5070"/>
    <w:rsid w:val="003A7FC7"/>
    <w:rsid w:val="003A7FEE"/>
    <w:rsid w:val="003B0D2B"/>
    <w:rsid w:val="003B3A55"/>
    <w:rsid w:val="003B3E4E"/>
    <w:rsid w:val="003B4A84"/>
    <w:rsid w:val="003C1120"/>
    <w:rsid w:val="003C1BC6"/>
    <w:rsid w:val="003C21C5"/>
    <w:rsid w:val="003C25A5"/>
    <w:rsid w:val="003D1212"/>
    <w:rsid w:val="003D16CE"/>
    <w:rsid w:val="003D2670"/>
    <w:rsid w:val="003D2E49"/>
    <w:rsid w:val="003D2E6D"/>
    <w:rsid w:val="003D50EE"/>
    <w:rsid w:val="003E0175"/>
    <w:rsid w:val="003E2CFF"/>
    <w:rsid w:val="003E3888"/>
    <w:rsid w:val="003E5559"/>
    <w:rsid w:val="003E5E6B"/>
    <w:rsid w:val="003E5FE9"/>
    <w:rsid w:val="003E6770"/>
    <w:rsid w:val="003E7239"/>
    <w:rsid w:val="003F01E9"/>
    <w:rsid w:val="003F1635"/>
    <w:rsid w:val="003F25AC"/>
    <w:rsid w:val="003F3028"/>
    <w:rsid w:val="003F45CD"/>
    <w:rsid w:val="003F4E1D"/>
    <w:rsid w:val="00401334"/>
    <w:rsid w:val="00401768"/>
    <w:rsid w:val="00402135"/>
    <w:rsid w:val="00403A91"/>
    <w:rsid w:val="00405495"/>
    <w:rsid w:val="00407F14"/>
    <w:rsid w:val="00412DC3"/>
    <w:rsid w:val="004156AF"/>
    <w:rsid w:val="0042175E"/>
    <w:rsid w:val="00421F7D"/>
    <w:rsid w:val="00423C37"/>
    <w:rsid w:val="0042408F"/>
    <w:rsid w:val="0042415A"/>
    <w:rsid w:val="00424C49"/>
    <w:rsid w:val="004268C2"/>
    <w:rsid w:val="00426C5B"/>
    <w:rsid w:val="004276C2"/>
    <w:rsid w:val="004315E6"/>
    <w:rsid w:val="0043279F"/>
    <w:rsid w:val="00435838"/>
    <w:rsid w:val="00436915"/>
    <w:rsid w:val="00437B17"/>
    <w:rsid w:val="004423D2"/>
    <w:rsid w:val="004436EB"/>
    <w:rsid w:val="004447E7"/>
    <w:rsid w:val="004454C8"/>
    <w:rsid w:val="00446168"/>
    <w:rsid w:val="00451F86"/>
    <w:rsid w:val="0045272A"/>
    <w:rsid w:val="00455B19"/>
    <w:rsid w:val="00455F94"/>
    <w:rsid w:val="0045697D"/>
    <w:rsid w:val="00456FE6"/>
    <w:rsid w:val="00457657"/>
    <w:rsid w:val="00465CD4"/>
    <w:rsid w:val="00471A9D"/>
    <w:rsid w:val="00472110"/>
    <w:rsid w:val="00472559"/>
    <w:rsid w:val="00472B85"/>
    <w:rsid w:val="00473AA0"/>
    <w:rsid w:val="00474B33"/>
    <w:rsid w:val="004757EE"/>
    <w:rsid w:val="00475CA8"/>
    <w:rsid w:val="00476229"/>
    <w:rsid w:val="00476C8B"/>
    <w:rsid w:val="00477B01"/>
    <w:rsid w:val="00477F9F"/>
    <w:rsid w:val="00481FD1"/>
    <w:rsid w:val="0048263C"/>
    <w:rsid w:val="00492C18"/>
    <w:rsid w:val="004936EB"/>
    <w:rsid w:val="00493A05"/>
    <w:rsid w:val="0049525A"/>
    <w:rsid w:val="00495A6B"/>
    <w:rsid w:val="00495A6D"/>
    <w:rsid w:val="00496144"/>
    <w:rsid w:val="004965BA"/>
    <w:rsid w:val="004A09F4"/>
    <w:rsid w:val="004A1C63"/>
    <w:rsid w:val="004A3805"/>
    <w:rsid w:val="004A53FE"/>
    <w:rsid w:val="004A5A88"/>
    <w:rsid w:val="004B0B05"/>
    <w:rsid w:val="004B3274"/>
    <w:rsid w:val="004B58CF"/>
    <w:rsid w:val="004B5AB1"/>
    <w:rsid w:val="004B72C1"/>
    <w:rsid w:val="004B74F2"/>
    <w:rsid w:val="004C3BDF"/>
    <w:rsid w:val="004C482C"/>
    <w:rsid w:val="004C6263"/>
    <w:rsid w:val="004C628B"/>
    <w:rsid w:val="004C7FA2"/>
    <w:rsid w:val="004D042B"/>
    <w:rsid w:val="004D0E45"/>
    <w:rsid w:val="004D1BCE"/>
    <w:rsid w:val="004D4381"/>
    <w:rsid w:val="004D4781"/>
    <w:rsid w:val="004E023F"/>
    <w:rsid w:val="004E09C0"/>
    <w:rsid w:val="004E409A"/>
    <w:rsid w:val="004E5153"/>
    <w:rsid w:val="004E5727"/>
    <w:rsid w:val="004E5BD9"/>
    <w:rsid w:val="004F4374"/>
    <w:rsid w:val="004F5B53"/>
    <w:rsid w:val="0050053B"/>
    <w:rsid w:val="00500B46"/>
    <w:rsid w:val="00500EE7"/>
    <w:rsid w:val="00503A86"/>
    <w:rsid w:val="00504DB4"/>
    <w:rsid w:val="00510B94"/>
    <w:rsid w:val="0051187A"/>
    <w:rsid w:val="00516A85"/>
    <w:rsid w:val="00517B91"/>
    <w:rsid w:val="00520A41"/>
    <w:rsid w:val="00520AA4"/>
    <w:rsid w:val="00521E1A"/>
    <w:rsid w:val="005227BB"/>
    <w:rsid w:val="00524717"/>
    <w:rsid w:val="00524FCE"/>
    <w:rsid w:val="00526753"/>
    <w:rsid w:val="00530150"/>
    <w:rsid w:val="00530883"/>
    <w:rsid w:val="00531B48"/>
    <w:rsid w:val="00531EB9"/>
    <w:rsid w:val="00533400"/>
    <w:rsid w:val="00533839"/>
    <w:rsid w:val="00534289"/>
    <w:rsid w:val="00535EFB"/>
    <w:rsid w:val="00536B38"/>
    <w:rsid w:val="00536D5D"/>
    <w:rsid w:val="00537DDF"/>
    <w:rsid w:val="00541106"/>
    <w:rsid w:val="00541F45"/>
    <w:rsid w:val="0054508F"/>
    <w:rsid w:val="0055049B"/>
    <w:rsid w:val="0055152C"/>
    <w:rsid w:val="00553807"/>
    <w:rsid w:val="00560342"/>
    <w:rsid w:val="005609DC"/>
    <w:rsid w:val="00560FFB"/>
    <w:rsid w:val="005614CF"/>
    <w:rsid w:val="005632D2"/>
    <w:rsid w:val="005638A0"/>
    <w:rsid w:val="005643BB"/>
    <w:rsid w:val="0056516A"/>
    <w:rsid w:val="00565AA2"/>
    <w:rsid w:val="0057137F"/>
    <w:rsid w:val="00575F2D"/>
    <w:rsid w:val="00576432"/>
    <w:rsid w:val="00581D96"/>
    <w:rsid w:val="00582A9B"/>
    <w:rsid w:val="00582E8E"/>
    <w:rsid w:val="0059048D"/>
    <w:rsid w:val="00590E54"/>
    <w:rsid w:val="00591724"/>
    <w:rsid w:val="00591F7C"/>
    <w:rsid w:val="00593DFE"/>
    <w:rsid w:val="00594544"/>
    <w:rsid w:val="0059506C"/>
    <w:rsid w:val="00596218"/>
    <w:rsid w:val="00596B2B"/>
    <w:rsid w:val="00597A57"/>
    <w:rsid w:val="005A1D6A"/>
    <w:rsid w:val="005A1E92"/>
    <w:rsid w:val="005A3618"/>
    <w:rsid w:val="005A3AAF"/>
    <w:rsid w:val="005A48E2"/>
    <w:rsid w:val="005A5196"/>
    <w:rsid w:val="005A622E"/>
    <w:rsid w:val="005A6DF4"/>
    <w:rsid w:val="005B173B"/>
    <w:rsid w:val="005B2AE1"/>
    <w:rsid w:val="005B2CB7"/>
    <w:rsid w:val="005B6229"/>
    <w:rsid w:val="005B6D56"/>
    <w:rsid w:val="005B73E1"/>
    <w:rsid w:val="005C00BA"/>
    <w:rsid w:val="005C07A9"/>
    <w:rsid w:val="005C1610"/>
    <w:rsid w:val="005C1695"/>
    <w:rsid w:val="005C404B"/>
    <w:rsid w:val="005C72BC"/>
    <w:rsid w:val="005D0BEB"/>
    <w:rsid w:val="005D0F16"/>
    <w:rsid w:val="005D1E14"/>
    <w:rsid w:val="005D252E"/>
    <w:rsid w:val="005D2D9B"/>
    <w:rsid w:val="005D51A5"/>
    <w:rsid w:val="005D6D62"/>
    <w:rsid w:val="005D7174"/>
    <w:rsid w:val="005E0ACC"/>
    <w:rsid w:val="005E330D"/>
    <w:rsid w:val="005E41B0"/>
    <w:rsid w:val="005E53E7"/>
    <w:rsid w:val="005F0A83"/>
    <w:rsid w:val="005F3973"/>
    <w:rsid w:val="005F5CD2"/>
    <w:rsid w:val="005F639E"/>
    <w:rsid w:val="005F67C9"/>
    <w:rsid w:val="00600619"/>
    <w:rsid w:val="006011D7"/>
    <w:rsid w:val="006053BD"/>
    <w:rsid w:val="00606158"/>
    <w:rsid w:val="00606332"/>
    <w:rsid w:val="00610972"/>
    <w:rsid w:val="00611A72"/>
    <w:rsid w:val="00613FF3"/>
    <w:rsid w:val="0061672A"/>
    <w:rsid w:val="00622F11"/>
    <w:rsid w:val="006247E8"/>
    <w:rsid w:val="00624D1A"/>
    <w:rsid w:val="00625507"/>
    <w:rsid w:val="00633D87"/>
    <w:rsid w:val="00634711"/>
    <w:rsid w:val="00634C89"/>
    <w:rsid w:val="00636303"/>
    <w:rsid w:val="006401C2"/>
    <w:rsid w:val="0064082A"/>
    <w:rsid w:val="006428F4"/>
    <w:rsid w:val="006435B7"/>
    <w:rsid w:val="00643E51"/>
    <w:rsid w:val="00646FE4"/>
    <w:rsid w:val="0065110E"/>
    <w:rsid w:val="00651B89"/>
    <w:rsid w:val="00656557"/>
    <w:rsid w:val="006636D7"/>
    <w:rsid w:val="00664114"/>
    <w:rsid w:val="0066479C"/>
    <w:rsid w:val="00664A19"/>
    <w:rsid w:val="00664D80"/>
    <w:rsid w:val="0066703D"/>
    <w:rsid w:val="006671D6"/>
    <w:rsid w:val="0067006E"/>
    <w:rsid w:val="00670836"/>
    <w:rsid w:val="00672AB6"/>
    <w:rsid w:val="00673DC6"/>
    <w:rsid w:val="006774E5"/>
    <w:rsid w:val="00680A1D"/>
    <w:rsid w:val="006848E8"/>
    <w:rsid w:val="0068780B"/>
    <w:rsid w:val="00690E99"/>
    <w:rsid w:val="0069108E"/>
    <w:rsid w:val="006936E8"/>
    <w:rsid w:val="00694162"/>
    <w:rsid w:val="00694390"/>
    <w:rsid w:val="00695ADB"/>
    <w:rsid w:val="006A0CC9"/>
    <w:rsid w:val="006A16CE"/>
    <w:rsid w:val="006A26F0"/>
    <w:rsid w:val="006A586F"/>
    <w:rsid w:val="006A71AC"/>
    <w:rsid w:val="006B1B5B"/>
    <w:rsid w:val="006B2CCA"/>
    <w:rsid w:val="006B32ED"/>
    <w:rsid w:val="006B4453"/>
    <w:rsid w:val="006B4A05"/>
    <w:rsid w:val="006B7929"/>
    <w:rsid w:val="006C0A6F"/>
    <w:rsid w:val="006C1DC0"/>
    <w:rsid w:val="006C2150"/>
    <w:rsid w:val="006C2886"/>
    <w:rsid w:val="006C2C8F"/>
    <w:rsid w:val="006C2E9B"/>
    <w:rsid w:val="006C5FA0"/>
    <w:rsid w:val="006D05AF"/>
    <w:rsid w:val="006D14DC"/>
    <w:rsid w:val="006D2B08"/>
    <w:rsid w:val="006D2C97"/>
    <w:rsid w:val="006D2FE0"/>
    <w:rsid w:val="006D34CC"/>
    <w:rsid w:val="006D3FB2"/>
    <w:rsid w:val="006D48D1"/>
    <w:rsid w:val="006D4EB8"/>
    <w:rsid w:val="006D5866"/>
    <w:rsid w:val="006D5F8B"/>
    <w:rsid w:val="006D7ACA"/>
    <w:rsid w:val="006E045B"/>
    <w:rsid w:val="006E090E"/>
    <w:rsid w:val="006E129C"/>
    <w:rsid w:val="006E32FF"/>
    <w:rsid w:val="006E3326"/>
    <w:rsid w:val="006E5DB0"/>
    <w:rsid w:val="006F2469"/>
    <w:rsid w:val="006F2E63"/>
    <w:rsid w:val="006F6BA3"/>
    <w:rsid w:val="006F7CB7"/>
    <w:rsid w:val="00703C26"/>
    <w:rsid w:val="00704274"/>
    <w:rsid w:val="00704BDF"/>
    <w:rsid w:val="00704C62"/>
    <w:rsid w:val="007061E8"/>
    <w:rsid w:val="0070753C"/>
    <w:rsid w:val="00713BAB"/>
    <w:rsid w:val="00715EBE"/>
    <w:rsid w:val="0071754B"/>
    <w:rsid w:val="0072118A"/>
    <w:rsid w:val="00722AAB"/>
    <w:rsid w:val="00722EE4"/>
    <w:rsid w:val="007233C2"/>
    <w:rsid w:val="0072724C"/>
    <w:rsid w:val="00727582"/>
    <w:rsid w:val="00727776"/>
    <w:rsid w:val="00730318"/>
    <w:rsid w:val="007306D6"/>
    <w:rsid w:val="0073220A"/>
    <w:rsid w:val="00732CD2"/>
    <w:rsid w:val="0073389C"/>
    <w:rsid w:val="0073538C"/>
    <w:rsid w:val="00737061"/>
    <w:rsid w:val="00742BBE"/>
    <w:rsid w:val="00745ED5"/>
    <w:rsid w:val="00746A32"/>
    <w:rsid w:val="007502AC"/>
    <w:rsid w:val="00752741"/>
    <w:rsid w:val="00753C14"/>
    <w:rsid w:val="00757865"/>
    <w:rsid w:val="00764C4D"/>
    <w:rsid w:val="007661E9"/>
    <w:rsid w:val="00767168"/>
    <w:rsid w:val="00767322"/>
    <w:rsid w:val="007679E7"/>
    <w:rsid w:val="00767A3A"/>
    <w:rsid w:val="0077052C"/>
    <w:rsid w:val="00773BB0"/>
    <w:rsid w:val="007752B4"/>
    <w:rsid w:val="00776369"/>
    <w:rsid w:val="0077765F"/>
    <w:rsid w:val="00783743"/>
    <w:rsid w:val="00786A4F"/>
    <w:rsid w:val="00786E42"/>
    <w:rsid w:val="007903C6"/>
    <w:rsid w:val="007913E4"/>
    <w:rsid w:val="00791758"/>
    <w:rsid w:val="00792081"/>
    <w:rsid w:val="00792415"/>
    <w:rsid w:val="00792842"/>
    <w:rsid w:val="007956E9"/>
    <w:rsid w:val="007A1DD9"/>
    <w:rsid w:val="007A1EF9"/>
    <w:rsid w:val="007A4793"/>
    <w:rsid w:val="007A6502"/>
    <w:rsid w:val="007A750D"/>
    <w:rsid w:val="007B1173"/>
    <w:rsid w:val="007B22E5"/>
    <w:rsid w:val="007B2A4D"/>
    <w:rsid w:val="007B2E55"/>
    <w:rsid w:val="007B33E4"/>
    <w:rsid w:val="007B4062"/>
    <w:rsid w:val="007B505B"/>
    <w:rsid w:val="007B6B42"/>
    <w:rsid w:val="007C5606"/>
    <w:rsid w:val="007C63AD"/>
    <w:rsid w:val="007C6982"/>
    <w:rsid w:val="007C7D5C"/>
    <w:rsid w:val="007D0082"/>
    <w:rsid w:val="007D140E"/>
    <w:rsid w:val="007D402A"/>
    <w:rsid w:val="007D6861"/>
    <w:rsid w:val="007E06EA"/>
    <w:rsid w:val="007E1645"/>
    <w:rsid w:val="007E5446"/>
    <w:rsid w:val="007E68DB"/>
    <w:rsid w:val="007F1284"/>
    <w:rsid w:val="007F2CB6"/>
    <w:rsid w:val="007F2D5B"/>
    <w:rsid w:val="007F3691"/>
    <w:rsid w:val="007F47E5"/>
    <w:rsid w:val="007F5395"/>
    <w:rsid w:val="007F5A3C"/>
    <w:rsid w:val="007F6282"/>
    <w:rsid w:val="007F73CC"/>
    <w:rsid w:val="007F7FB6"/>
    <w:rsid w:val="00801DD1"/>
    <w:rsid w:val="00802628"/>
    <w:rsid w:val="00802EF0"/>
    <w:rsid w:val="0080601F"/>
    <w:rsid w:val="0081201A"/>
    <w:rsid w:val="008132B5"/>
    <w:rsid w:val="00813D3C"/>
    <w:rsid w:val="00814E0D"/>
    <w:rsid w:val="00816066"/>
    <w:rsid w:val="00816647"/>
    <w:rsid w:val="0081686F"/>
    <w:rsid w:val="00816DBB"/>
    <w:rsid w:val="00820664"/>
    <w:rsid w:val="00822CB0"/>
    <w:rsid w:val="00824E4D"/>
    <w:rsid w:val="008250D4"/>
    <w:rsid w:val="0082746B"/>
    <w:rsid w:val="00834311"/>
    <w:rsid w:val="00834E63"/>
    <w:rsid w:val="00840065"/>
    <w:rsid w:val="00840537"/>
    <w:rsid w:val="008417E6"/>
    <w:rsid w:val="00841894"/>
    <w:rsid w:val="008421E0"/>
    <w:rsid w:val="008445B5"/>
    <w:rsid w:val="00844617"/>
    <w:rsid w:val="00844EEC"/>
    <w:rsid w:val="008520AD"/>
    <w:rsid w:val="008528BF"/>
    <w:rsid w:val="0085380E"/>
    <w:rsid w:val="0085552C"/>
    <w:rsid w:val="00857E56"/>
    <w:rsid w:val="008605F0"/>
    <w:rsid w:val="0086066F"/>
    <w:rsid w:val="00860870"/>
    <w:rsid w:val="008675CA"/>
    <w:rsid w:val="008715B9"/>
    <w:rsid w:val="00872E1B"/>
    <w:rsid w:val="008738B8"/>
    <w:rsid w:val="00874273"/>
    <w:rsid w:val="00874299"/>
    <w:rsid w:val="008746C1"/>
    <w:rsid w:val="008759D4"/>
    <w:rsid w:val="00875D57"/>
    <w:rsid w:val="00882861"/>
    <w:rsid w:val="0088347F"/>
    <w:rsid w:val="00886265"/>
    <w:rsid w:val="0088677C"/>
    <w:rsid w:val="008873CD"/>
    <w:rsid w:val="00887D01"/>
    <w:rsid w:val="00891840"/>
    <w:rsid w:val="00892DAC"/>
    <w:rsid w:val="00893460"/>
    <w:rsid w:val="00893BA5"/>
    <w:rsid w:val="00895758"/>
    <w:rsid w:val="008A41A3"/>
    <w:rsid w:val="008A4D39"/>
    <w:rsid w:val="008A52AD"/>
    <w:rsid w:val="008A724E"/>
    <w:rsid w:val="008B351D"/>
    <w:rsid w:val="008B465D"/>
    <w:rsid w:val="008B4D17"/>
    <w:rsid w:val="008B5B66"/>
    <w:rsid w:val="008C0B12"/>
    <w:rsid w:val="008C31DB"/>
    <w:rsid w:val="008C3993"/>
    <w:rsid w:val="008C4E84"/>
    <w:rsid w:val="008D3237"/>
    <w:rsid w:val="008D3F75"/>
    <w:rsid w:val="008D73DB"/>
    <w:rsid w:val="008D7A53"/>
    <w:rsid w:val="008E0A1D"/>
    <w:rsid w:val="008E1463"/>
    <w:rsid w:val="008E4796"/>
    <w:rsid w:val="008E4CCA"/>
    <w:rsid w:val="008E7E4B"/>
    <w:rsid w:val="008F0445"/>
    <w:rsid w:val="008F4E9D"/>
    <w:rsid w:val="008F665D"/>
    <w:rsid w:val="009032B2"/>
    <w:rsid w:val="00903F9C"/>
    <w:rsid w:val="0090509F"/>
    <w:rsid w:val="00911519"/>
    <w:rsid w:val="00914CA8"/>
    <w:rsid w:val="009151A8"/>
    <w:rsid w:val="00915892"/>
    <w:rsid w:val="00916C20"/>
    <w:rsid w:val="00916D5C"/>
    <w:rsid w:val="00916E48"/>
    <w:rsid w:val="00917381"/>
    <w:rsid w:val="009173D7"/>
    <w:rsid w:val="00922D51"/>
    <w:rsid w:val="00922FD8"/>
    <w:rsid w:val="00923ADC"/>
    <w:rsid w:val="00923C2B"/>
    <w:rsid w:val="00926959"/>
    <w:rsid w:val="00932466"/>
    <w:rsid w:val="0094064C"/>
    <w:rsid w:val="009432B1"/>
    <w:rsid w:val="00943C6E"/>
    <w:rsid w:val="00950952"/>
    <w:rsid w:val="009511CC"/>
    <w:rsid w:val="00952B64"/>
    <w:rsid w:val="00957BA1"/>
    <w:rsid w:val="00960823"/>
    <w:rsid w:val="00960A19"/>
    <w:rsid w:val="009612E2"/>
    <w:rsid w:val="009619C2"/>
    <w:rsid w:val="009701A7"/>
    <w:rsid w:val="009721C2"/>
    <w:rsid w:val="00972DCF"/>
    <w:rsid w:val="0097307E"/>
    <w:rsid w:val="00973D59"/>
    <w:rsid w:val="00976202"/>
    <w:rsid w:val="00981ED1"/>
    <w:rsid w:val="00982DA6"/>
    <w:rsid w:val="00983332"/>
    <w:rsid w:val="009848DF"/>
    <w:rsid w:val="00990B2F"/>
    <w:rsid w:val="0099322A"/>
    <w:rsid w:val="009975B4"/>
    <w:rsid w:val="00997DEB"/>
    <w:rsid w:val="009A0EB0"/>
    <w:rsid w:val="009A18CB"/>
    <w:rsid w:val="009A2130"/>
    <w:rsid w:val="009A299C"/>
    <w:rsid w:val="009A5BE1"/>
    <w:rsid w:val="009B0701"/>
    <w:rsid w:val="009B184E"/>
    <w:rsid w:val="009B262F"/>
    <w:rsid w:val="009B4BA0"/>
    <w:rsid w:val="009B75D4"/>
    <w:rsid w:val="009C0DCF"/>
    <w:rsid w:val="009C1B5E"/>
    <w:rsid w:val="009C206A"/>
    <w:rsid w:val="009C27B7"/>
    <w:rsid w:val="009C5F41"/>
    <w:rsid w:val="009C6FFA"/>
    <w:rsid w:val="009C7A12"/>
    <w:rsid w:val="009D0657"/>
    <w:rsid w:val="009D297D"/>
    <w:rsid w:val="009D45EE"/>
    <w:rsid w:val="009E0C39"/>
    <w:rsid w:val="009E1E49"/>
    <w:rsid w:val="009E515E"/>
    <w:rsid w:val="009E7D0A"/>
    <w:rsid w:val="00A01888"/>
    <w:rsid w:val="00A021CC"/>
    <w:rsid w:val="00A03A9C"/>
    <w:rsid w:val="00A06128"/>
    <w:rsid w:val="00A07080"/>
    <w:rsid w:val="00A104A0"/>
    <w:rsid w:val="00A11E16"/>
    <w:rsid w:val="00A13ED5"/>
    <w:rsid w:val="00A15656"/>
    <w:rsid w:val="00A16075"/>
    <w:rsid w:val="00A17791"/>
    <w:rsid w:val="00A20B68"/>
    <w:rsid w:val="00A20BF3"/>
    <w:rsid w:val="00A21717"/>
    <w:rsid w:val="00A21B87"/>
    <w:rsid w:val="00A24620"/>
    <w:rsid w:val="00A251B3"/>
    <w:rsid w:val="00A26389"/>
    <w:rsid w:val="00A2752E"/>
    <w:rsid w:val="00A27F4A"/>
    <w:rsid w:val="00A356AE"/>
    <w:rsid w:val="00A35C7D"/>
    <w:rsid w:val="00A35CA6"/>
    <w:rsid w:val="00A41F68"/>
    <w:rsid w:val="00A42727"/>
    <w:rsid w:val="00A42F59"/>
    <w:rsid w:val="00A449C3"/>
    <w:rsid w:val="00A460CB"/>
    <w:rsid w:val="00A465CF"/>
    <w:rsid w:val="00A50A90"/>
    <w:rsid w:val="00A51957"/>
    <w:rsid w:val="00A575A4"/>
    <w:rsid w:val="00A577D2"/>
    <w:rsid w:val="00A604FF"/>
    <w:rsid w:val="00A61330"/>
    <w:rsid w:val="00A623D3"/>
    <w:rsid w:val="00A62BE4"/>
    <w:rsid w:val="00A62F7B"/>
    <w:rsid w:val="00A63617"/>
    <w:rsid w:val="00A63B29"/>
    <w:rsid w:val="00A63B55"/>
    <w:rsid w:val="00A6422B"/>
    <w:rsid w:val="00A656AB"/>
    <w:rsid w:val="00A7105E"/>
    <w:rsid w:val="00A72F15"/>
    <w:rsid w:val="00A73FCE"/>
    <w:rsid w:val="00A74F8A"/>
    <w:rsid w:val="00A75B03"/>
    <w:rsid w:val="00A76B40"/>
    <w:rsid w:val="00A76D82"/>
    <w:rsid w:val="00A77AD5"/>
    <w:rsid w:val="00A80A90"/>
    <w:rsid w:val="00A8519F"/>
    <w:rsid w:val="00A8559E"/>
    <w:rsid w:val="00A87809"/>
    <w:rsid w:val="00A87EC2"/>
    <w:rsid w:val="00A87F46"/>
    <w:rsid w:val="00A90E63"/>
    <w:rsid w:val="00A940F3"/>
    <w:rsid w:val="00A94323"/>
    <w:rsid w:val="00A94895"/>
    <w:rsid w:val="00A968E7"/>
    <w:rsid w:val="00A97A90"/>
    <w:rsid w:val="00A97B8F"/>
    <w:rsid w:val="00AA0D10"/>
    <w:rsid w:val="00AA2E66"/>
    <w:rsid w:val="00AA573A"/>
    <w:rsid w:val="00AB1DA9"/>
    <w:rsid w:val="00AB4137"/>
    <w:rsid w:val="00AB51FE"/>
    <w:rsid w:val="00AB66AF"/>
    <w:rsid w:val="00AC0387"/>
    <w:rsid w:val="00AC0D97"/>
    <w:rsid w:val="00AC2B18"/>
    <w:rsid w:val="00AC3891"/>
    <w:rsid w:val="00AC4215"/>
    <w:rsid w:val="00AC499D"/>
    <w:rsid w:val="00AC61C3"/>
    <w:rsid w:val="00AD0DE6"/>
    <w:rsid w:val="00AD1875"/>
    <w:rsid w:val="00AD4F31"/>
    <w:rsid w:val="00AD58B3"/>
    <w:rsid w:val="00AD6BD4"/>
    <w:rsid w:val="00AD6EFD"/>
    <w:rsid w:val="00AD78C9"/>
    <w:rsid w:val="00AD7FEA"/>
    <w:rsid w:val="00AE0D0A"/>
    <w:rsid w:val="00AE240F"/>
    <w:rsid w:val="00AE28B0"/>
    <w:rsid w:val="00AE2E4F"/>
    <w:rsid w:val="00AE44BF"/>
    <w:rsid w:val="00AE455F"/>
    <w:rsid w:val="00AE541E"/>
    <w:rsid w:val="00AE69AE"/>
    <w:rsid w:val="00AE76A4"/>
    <w:rsid w:val="00AF0091"/>
    <w:rsid w:val="00AF062C"/>
    <w:rsid w:val="00AF0FFC"/>
    <w:rsid w:val="00AF45D1"/>
    <w:rsid w:val="00AF6997"/>
    <w:rsid w:val="00AF7B21"/>
    <w:rsid w:val="00B0339E"/>
    <w:rsid w:val="00B070AF"/>
    <w:rsid w:val="00B07129"/>
    <w:rsid w:val="00B10274"/>
    <w:rsid w:val="00B12A0D"/>
    <w:rsid w:val="00B147AF"/>
    <w:rsid w:val="00B14803"/>
    <w:rsid w:val="00B14E15"/>
    <w:rsid w:val="00B22519"/>
    <w:rsid w:val="00B238EA"/>
    <w:rsid w:val="00B24880"/>
    <w:rsid w:val="00B24B65"/>
    <w:rsid w:val="00B26C74"/>
    <w:rsid w:val="00B2727B"/>
    <w:rsid w:val="00B31A51"/>
    <w:rsid w:val="00B32B97"/>
    <w:rsid w:val="00B33929"/>
    <w:rsid w:val="00B3731A"/>
    <w:rsid w:val="00B423A5"/>
    <w:rsid w:val="00B43523"/>
    <w:rsid w:val="00B435D1"/>
    <w:rsid w:val="00B448E2"/>
    <w:rsid w:val="00B458EF"/>
    <w:rsid w:val="00B47A49"/>
    <w:rsid w:val="00B47B59"/>
    <w:rsid w:val="00B53CBE"/>
    <w:rsid w:val="00B53EE0"/>
    <w:rsid w:val="00B5433B"/>
    <w:rsid w:val="00B55706"/>
    <w:rsid w:val="00B614D1"/>
    <w:rsid w:val="00B64C1C"/>
    <w:rsid w:val="00B64CB7"/>
    <w:rsid w:val="00B7040D"/>
    <w:rsid w:val="00B724CA"/>
    <w:rsid w:val="00B72A09"/>
    <w:rsid w:val="00B76899"/>
    <w:rsid w:val="00B769D2"/>
    <w:rsid w:val="00B8067C"/>
    <w:rsid w:val="00B8508E"/>
    <w:rsid w:val="00B91A07"/>
    <w:rsid w:val="00B91BEB"/>
    <w:rsid w:val="00B93F3C"/>
    <w:rsid w:val="00B961F9"/>
    <w:rsid w:val="00BA0D8F"/>
    <w:rsid w:val="00BA1226"/>
    <w:rsid w:val="00BA2966"/>
    <w:rsid w:val="00BA43D6"/>
    <w:rsid w:val="00BA4441"/>
    <w:rsid w:val="00BB3A1F"/>
    <w:rsid w:val="00BB4233"/>
    <w:rsid w:val="00BB4DFC"/>
    <w:rsid w:val="00BB5D27"/>
    <w:rsid w:val="00BB614F"/>
    <w:rsid w:val="00BB71C7"/>
    <w:rsid w:val="00BC20BC"/>
    <w:rsid w:val="00BC456B"/>
    <w:rsid w:val="00BC4DA7"/>
    <w:rsid w:val="00BC55A4"/>
    <w:rsid w:val="00BC7830"/>
    <w:rsid w:val="00BD0EFE"/>
    <w:rsid w:val="00BD1F4A"/>
    <w:rsid w:val="00BD4FC6"/>
    <w:rsid w:val="00BD502F"/>
    <w:rsid w:val="00BD578E"/>
    <w:rsid w:val="00BD684D"/>
    <w:rsid w:val="00BE1617"/>
    <w:rsid w:val="00BE487E"/>
    <w:rsid w:val="00BE4E83"/>
    <w:rsid w:val="00BE50E3"/>
    <w:rsid w:val="00BE5D9E"/>
    <w:rsid w:val="00BE7034"/>
    <w:rsid w:val="00BF1C44"/>
    <w:rsid w:val="00BF4938"/>
    <w:rsid w:val="00BF79DB"/>
    <w:rsid w:val="00C01A9C"/>
    <w:rsid w:val="00C03D5D"/>
    <w:rsid w:val="00C04559"/>
    <w:rsid w:val="00C11694"/>
    <w:rsid w:val="00C116A1"/>
    <w:rsid w:val="00C13922"/>
    <w:rsid w:val="00C13B28"/>
    <w:rsid w:val="00C15136"/>
    <w:rsid w:val="00C155E7"/>
    <w:rsid w:val="00C156EB"/>
    <w:rsid w:val="00C170C9"/>
    <w:rsid w:val="00C22463"/>
    <w:rsid w:val="00C22DB1"/>
    <w:rsid w:val="00C2507C"/>
    <w:rsid w:val="00C258FA"/>
    <w:rsid w:val="00C25E26"/>
    <w:rsid w:val="00C266F3"/>
    <w:rsid w:val="00C31E7C"/>
    <w:rsid w:val="00C324FF"/>
    <w:rsid w:val="00C34769"/>
    <w:rsid w:val="00C35023"/>
    <w:rsid w:val="00C4454C"/>
    <w:rsid w:val="00C51BB8"/>
    <w:rsid w:val="00C52098"/>
    <w:rsid w:val="00C54BE8"/>
    <w:rsid w:val="00C55438"/>
    <w:rsid w:val="00C57528"/>
    <w:rsid w:val="00C6190C"/>
    <w:rsid w:val="00C63AF8"/>
    <w:rsid w:val="00C65417"/>
    <w:rsid w:val="00C71285"/>
    <w:rsid w:val="00C71CB5"/>
    <w:rsid w:val="00C75732"/>
    <w:rsid w:val="00C7744D"/>
    <w:rsid w:val="00C776CD"/>
    <w:rsid w:val="00C807AA"/>
    <w:rsid w:val="00C818FF"/>
    <w:rsid w:val="00C8216C"/>
    <w:rsid w:val="00C82BB9"/>
    <w:rsid w:val="00C82F34"/>
    <w:rsid w:val="00C85CDB"/>
    <w:rsid w:val="00C8748E"/>
    <w:rsid w:val="00C8766F"/>
    <w:rsid w:val="00C87F59"/>
    <w:rsid w:val="00C90AC5"/>
    <w:rsid w:val="00C91D1D"/>
    <w:rsid w:val="00C936DD"/>
    <w:rsid w:val="00C942D5"/>
    <w:rsid w:val="00C94D00"/>
    <w:rsid w:val="00C95A37"/>
    <w:rsid w:val="00CA1162"/>
    <w:rsid w:val="00CA1FEB"/>
    <w:rsid w:val="00CA573E"/>
    <w:rsid w:val="00CA5F9A"/>
    <w:rsid w:val="00CA6D46"/>
    <w:rsid w:val="00CA7D3B"/>
    <w:rsid w:val="00CB0298"/>
    <w:rsid w:val="00CB1BB7"/>
    <w:rsid w:val="00CB1F56"/>
    <w:rsid w:val="00CB298C"/>
    <w:rsid w:val="00CB313B"/>
    <w:rsid w:val="00CB475B"/>
    <w:rsid w:val="00CB5480"/>
    <w:rsid w:val="00CB719E"/>
    <w:rsid w:val="00CC530A"/>
    <w:rsid w:val="00CC58CD"/>
    <w:rsid w:val="00CC60D3"/>
    <w:rsid w:val="00CC7789"/>
    <w:rsid w:val="00CC78A5"/>
    <w:rsid w:val="00CC7C7A"/>
    <w:rsid w:val="00CD0C60"/>
    <w:rsid w:val="00CD2955"/>
    <w:rsid w:val="00CD53F3"/>
    <w:rsid w:val="00CE1AEB"/>
    <w:rsid w:val="00CE431C"/>
    <w:rsid w:val="00CE4A56"/>
    <w:rsid w:val="00CE4B5D"/>
    <w:rsid w:val="00CE67EC"/>
    <w:rsid w:val="00CE7C30"/>
    <w:rsid w:val="00CF34DB"/>
    <w:rsid w:val="00CF3CFB"/>
    <w:rsid w:val="00CF488D"/>
    <w:rsid w:val="00CF56DF"/>
    <w:rsid w:val="00D00CDF"/>
    <w:rsid w:val="00D00DBA"/>
    <w:rsid w:val="00D0160C"/>
    <w:rsid w:val="00D01957"/>
    <w:rsid w:val="00D048F9"/>
    <w:rsid w:val="00D06432"/>
    <w:rsid w:val="00D06BBB"/>
    <w:rsid w:val="00D07B46"/>
    <w:rsid w:val="00D1074C"/>
    <w:rsid w:val="00D10DD3"/>
    <w:rsid w:val="00D11AC2"/>
    <w:rsid w:val="00D1271A"/>
    <w:rsid w:val="00D12AD6"/>
    <w:rsid w:val="00D12B43"/>
    <w:rsid w:val="00D137C8"/>
    <w:rsid w:val="00D160E3"/>
    <w:rsid w:val="00D20DD1"/>
    <w:rsid w:val="00D306B6"/>
    <w:rsid w:val="00D319BB"/>
    <w:rsid w:val="00D35A7B"/>
    <w:rsid w:val="00D37008"/>
    <w:rsid w:val="00D376F7"/>
    <w:rsid w:val="00D40284"/>
    <w:rsid w:val="00D4223F"/>
    <w:rsid w:val="00D44210"/>
    <w:rsid w:val="00D4422A"/>
    <w:rsid w:val="00D4478C"/>
    <w:rsid w:val="00D46083"/>
    <w:rsid w:val="00D5127C"/>
    <w:rsid w:val="00D514BE"/>
    <w:rsid w:val="00D538F6"/>
    <w:rsid w:val="00D5509D"/>
    <w:rsid w:val="00D57990"/>
    <w:rsid w:val="00D62F0B"/>
    <w:rsid w:val="00D63BF6"/>
    <w:rsid w:val="00D64429"/>
    <w:rsid w:val="00D7196E"/>
    <w:rsid w:val="00D71D8E"/>
    <w:rsid w:val="00D71EF0"/>
    <w:rsid w:val="00D73AF0"/>
    <w:rsid w:val="00D7548B"/>
    <w:rsid w:val="00D76FA5"/>
    <w:rsid w:val="00D80883"/>
    <w:rsid w:val="00D81119"/>
    <w:rsid w:val="00D81F2D"/>
    <w:rsid w:val="00D85C60"/>
    <w:rsid w:val="00D87D73"/>
    <w:rsid w:val="00D91A10"/>
    <w:rsid w:val="00D930D5"/>
    <w:rsid w:val="00D93572"/>
    <w:rsid w:val="00D93C4F"/>
    <w:rsid w:val="00D9613B"/>
    <w:rsid w:val="00DA09DD"/>
    <w:rsid w:val="00DA3517"/>
    <w:rsid w:val="00DA7C85"/>
    <w:rsid w:val="00DB00CC"/>
    <w:rsid w:val="00DB0E56"/>
    <w:rsid w:val="00DB2C57"/>
    <w:rsid w:val="00DB3201"/>
    <w:rsid w:val="00DB3D98"/>
    <w:rsid w:val="00DB412A"/>
    <w:rsid w:val="00DB4860"/>
    <w:rsid w:val="00DB4E3E"/>
    <w:rsid w:val="00DC077A"/>
    <w:rsid w:val="00DC14D1"/>
    <w:rsid w:val="00DC1B08"/>
    <w:rsid w:val="00DC50E5"/>
    <w:rsid w:val="00DC535B"/>
    <w:rsid w:val="00DC6A67"/>
    <w:rsid w:val="00DD0B15"/>
    <w:rsid w:val="00DD236D"/>
    <w:rsid w:val="00DD4461"/>
    <w:rsid w:val="00DD5589"/>
    <w:rsid w:val="00DD78FD"/>
    <w:rsid w:val="00DD7CBB"/>
    <w:rsid w:val="00DE07AE"/>
    <w:rsid w:val="00DE40F7"/>
    <w:rsid w:val="00DE77E3"/>
    <w:rsid w:val="00DF0BD6"/>
    <w:rsid w:val="00DF0FFA"/>
    <w:rsid w:val="00DF2282"/>
    <w:rsid w:val="00DF6456"/>
    <w:rsid w:val="00E0045C"/>
    <w:rsid w:val="00E041E8"/>
    <w:rsid w:val="00E04726"/>
    <w:rsid w:val="00E05C26"/>
    <w:rsid w:val="00E06D2A"/>
    <w:rsid w:val="00E0797E"/>
    <w:rsid w:val="00E07B9C"/>
    <w:rsid w:val="00E121B7"/>
    <w:rsid w:val="00E1265E"/>
    <w:rsid w:val="00E13A39"/>
    <w:rsid w:val="00E14A35"/>
    <w:rsid w:val="00E15352"/>
    <w:rsid w:val="00E207A9"/>
    <w:rsid w:val="00E23C7F"/>
    <w:rsid w:val="00E31CA0"/>
    <w:rsid w:val="00E3422E"/>
    <w:rsid w:val="00E353DD"/>
    <w:rsid w:val="00E354C1"/>
    <w:rsid w:val="00E35768"/>
    <w:rsid w:val="00E35D76"/>
    <w:rsid w:val="00E36DE2"/>
    <w:rsid w:val="00E376EA"/>
    <w:rsid w:val="00E41577"/>
    <w:rsid w:val="00E415B3"/>
    <w:rsid w:val="00E47AB4"/>
    <w:rsid w:val="00E517D7"/>
    <w:rsid w:val="00E52D49"/>
    <w:rsid w:val="00E539F0"/>
    <w:rsid w:val="00E5505F"/>
    <w:rsid w:val="00E571EE"/>
    <w:rsid w:val="00E646E2"/>
    <w:rsid w:val="00E66917"/>
    <w:rsid w:val="00E670CD"/>
    <w:rsid w:val="00E7204A"/>
    <w:rsid w:val="00E72C18"/>
    <w:rsid w:val="00E73DCF"/>
    <w:rsid w:val="00E77EF3"/>
    <w:rsid w:val="00E82B7A"/>
    <w:rsid w:val="00E83BAD"/>
    <w:rsid w:val="00E842A0"/>
    <w:rsid w:val="00E8533F"/>
    <w:rsid w:val="00E86D47"/>
    <w:rsid w:val="00E92DF2"/>
    <w:rsid w:val="00E93029"/>
    <w:rsid w:val="00E959FD"/>
    <w:rsid w:val="00E965E0"/>
    <w:rsid w:val="00E97013"/>
    <w:rsid w:val="00E97CD9"/>
    <w:rsid w:val="00EA171F"/>
    <w:rsid w:val="00EA21C3"/>
    <w:rsid w:val="00EA3211"/>
    <w:rsid w:val="00EA42B1"/>
    <w:rsid w:val="00EA490F"/>
    <w:rsid w:val="00EA539D"/>
    <w:rsid w:val="00EA776D"/>
    <w:rsid w:val="00EB2169"/>
    <w:rsid w:val="00EB619C"/>
    <w:rsid w:val="00EB6C1C"/>
    <w:rsid w:val="00EC00E1"/>
    <w:rsid w:val="00EC08C4"/>
    <w:rsid w:val="00EC0BA3"/>
    <w:rsid w:val="00EC12CE"/>
    <w:rsid w:val="00EC55D4"/>
    <w:rsid w:val="00EC60B0"/>
    <w:rsid w:val="00EC62DE"/>
    <w:rsid w:val="00EC6C3B"/>
    <w:rsid w:val="00ED29E5"/>
    <w:rsid w:val="00ED2C69"/>
    <w:rsid w:val="00ED2E91"/>
    <w:rsid w:val="00ED334B"/>
    <w:rsid w:val="00ED3808"/>
    <w:rsid w:val="00ED3DD2"/>
    <w:rsid w:val="00ED3E30"/>
    <w:rsid w:val="00ED41FA"/>
    <w:rsid w:val="00ED5C81"/>
    <w:rsid w:val="00EE2025"/>
    <w:rsid w:val="00EE7583"/>
    <w:rsid w:val="00EF1579"/>
    <w:rsid w:val="00EF38DD"/>
    <w:rsid w:val="00EF3C78"/>
    <w:rsid w:val="00EF51BE"/>
    <w:rsid w:val="00EF5D29"/>
    <w:rsid w:val="00F00253"/>
    <w:rsid w:val="00F0060C"/>
    <w:rsid w:val="00F006F7"/>
    <w:rsid w:val="00F00C34"/>
    <w:rsid w:val="00F0602A"/>
    <w:rsid w:val="00F07B6C"/>
    <w:rsid w:val="00F106D5"/>
    <w:rsid w:val="00F10E2E"/>
    <w:rsid w:val="00F13C81"/>
    <w:rsid w:val="00F1484A"/>
    <w:rsid w:val="00F1548D"/>
    <w:rsid w:val="00F162C2"/>
    <w:rsid w:val="00F166B6"/>
    <w:rsid w:val="00F20DD2"/>
    <w:rsid w:val="00F240C2"/>
    <w:rsid w:val="00F248F2"/>
    <w:rsid w:val="00F24F8D"/>
    <w:rsid w:val="00F25C97"/>
    <w:rsid w:val="00F27A71"/>
    <w:rsid w:val="00F318D1"/>
    <w:rsid w:val="00F33853"/>
    <w:rsid w:val="00F33BB6"/>
    <w:rsid w:val="00F34FDA"/>
    <w:rsid w:val="00F35712"/>
    <w:rsid w:val="00F40B31"/>
    <w:rsid w:val="00F420B3"/>
    <w:rsid w:val="00F45231"/>
    <w:rsid w:val="00F46E7D"/>
    <w:rsid w:val="00F475A6"/>
    <w:rsid w:val="00F47AC5"/>
    <w:rsid w:val="00F52374"/>
    <w:rsid w:val="00F60A17"/>
    <w:rsid w:val="00F62F53"/>
    <w:rsid w:val="00F639D0"/>
    <w:rsid w:val="00F6608C"/>
    <w:rsid w:val="00F660D2"/>
    <w:rsid w:val="00F6675A"/>
    <w:rsid w:val="00F70218"/>
    <w:rsid w:val="00F71465"/>
    <w:rsid w:val="00F74262"/>
    <w:rsid w:val="00F74B4D"/>
    <w:rsid w:val="00F75249"/>
    <w:rsid w:val="00F7631D"/>
    <w:rsid w:val="00F80BE0"/>
    <w:rsid w:val="00F853C2"/>
    <w:rsid w:val="00F86239"/>
    <w:rsid w:val="00F86611"/>
    <w:rsid w:val="00F8673D"/>
    <w:rsid w:val="00F875C9"/>
    <w:rsid w:val="00F87C62"/>
    <w:rsid w:val="00F9056C"/>
    <w:rsid w:val="00F92F6D"/>
    <w:rsid w:val="00F94D00"/>
    <w:rsid w:val="00F950DD"/>
    <w:rsid w:val="00F96ACD"/>
    <w:rsid w:val="00F976EC"/>
    <w:rsid w:val="00FA0E28"/>
    <w:rsid w:val="00FA38A4"/>
    <w:rsid w:val="00FA391E"/>
    <w:rsid w:val="00FA3A87"/>
    <w:rsid w:val="00FA40A0"/>
    <w:rsid w:val="00FA433A"/>
    <w:rsid w:val="00FA7A45"/>
    <w:rsid w:val="00FB0192"/>
    <w:rsid w:val="00FB060D"/>
    <w:rsid w:val="00FB131B"/>
    <w:rsid w:val="00FB1B39"/>
    <w:rsid w:val="00FB6320"/>
    <w:rsid w:val="00FC4ACB"/>
    <w:rsid w:val="00FC4C20"/>
    <w:rsid w:val="00FC7349"/>
    <w:rsid w:val="00FD1944"/>
    <w:rsid w:val="00FD2447"/>
    <w:rsid w:val="00FD2B20"/>
    <w:rsid w:val="00FD4281"/>
    <w:rsid w:val="00FD460F"/>
    <w:rsid w:val="00FD7AF2"/>
    <w:rsid w:val="00FE0E0B"/>
    <w:rsid w:val="00FE2271"/>
    <w:rsid w:val="00FE3764"/>
    <w:rsid w:val="00FE645E"/>
    <w:rsid w:val="00FE64A3"/>
    <w:rsid w:val="00FE7133"/>
    <w:rsid w:val="00FF33C8"/>
    <w:rsid w:val="00FF5263"/>
    <w:rsid w:val="00FF5BB3"/>
    <w:rsid w:val="00FF5DC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2474"/>
  <w15:chartTrackingRefBased/>
  <w15:docId w15:val="{06C5F70D-DF77-426D-A3B6-FA86D16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4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76B40"/>
    <w:rPr>
      <w:sz w:val="20"/>
      <w:szCs w:val="20"/>
    </w:rPr>
  </w:style>
  <w:style w:type="character" w:styleId="Odwoanieprzypisudolnego">
    <w:name w:val="footnote reference"/>
    <w:uiPriority w:val="99"/>
    <w:semiHidden/>
    <w:rsid w:val="00A76B40"/>
    <w:rPr>
      <w:vertAlign w:val="superscript"/>
    </w:rPr>
  </w:style>
  <w:style w:type="paragraph" w:customStyle="1" w:styleId="Default">
    <w:name w:val="Default"/>
    <w:rsid w:val="004241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Gindeksgrny">
    <w:name w:val="_IG_ – indeks górny"/>
    <w:uiPriority w:val="2"/>
    <w:qFormat/>
    <w:rsid w:val="000D2CB9"/>
    <w:rPr>
      <w:b w:val="0"/>
      <w:i w:val="0"/>
      <w:vanish w:val="0"/>
      <w:spacing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D2CB9"/>
    <w:pPr>
      <w:suppressAutoHyphens w:val="0"/>
      <w:ind w:left="283" w:hanging="170"/>
    </w:pPr>
    <w:rPr>
      <w:rFonts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5E0ACC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8B4D1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65110E"/>
    <w:pPr>
      <w:spacing w:before="0"/>
    </w:pPr>
    <w:rPr>
      <w:bCs/>
    </w:rPr>
  </w:style>
  <w:style w:type="character" w:styleId="Hipercze">
    <w:name w:val="Hyperlink"/>
    <w:uiPriority w:val="99"/>
    <w:unhideWhenUsed/>
    <w:rsid w:val="006C2E9B"/>
    <w:rPr>
      <w:color w:val="0000FF"/>
      <w:u w:val="single"/>
    </w:rPr>
  </w:style>
  <w:style w:type="paragraph" w:customStyle="1" w:styleId="LITlitera">
    <w:name w:val="LIT – litera"/>
    <w:basedOn w:val="PKTpunkt"/>
    <w:uiPriority w:val="14"/>
    <w:qFormat/>
    <w:rsid w:val="00F1548D"/>
    <w:pPr>
      <w:ind w:left="986" w:hanging="476"/>
    </w:pPr>
  </w:style>
  <w:style w:type="character" w:styleId="Odwoaniedokomentarza">
    <w:name w:val="annotation reference"/>
    <w:uiPriority w:val="99"/>
    <w:rsid w:val="00DC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6A67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C6A67"/>
    <w:rPr>
      <w:rFonts w:ascii="Times" w:hAnsi="Times"/>
      <w:sz w:val="24"/>
      <w:szCs w:val="24"/>
    </w:rPr>
  </w:style>
  <w:style w:type="character" w:customStyle="1" w:styleId="Ppogrubienie">
    <w:name w:val="_P_ – pogrubienie"/>
    <w:uiPriority w:val="1"/>
    <w:qFormat/>
    <w:rsid w:val="00DC6A67"/>
    <w:rPr>
      <w:b/>
    </w:rPr>
  </w:style>
  <w:style w:type="paragraph" w:styleId="Tekstdymka">
    <w:name w:val="Balloon Text"/>
    <w:basedOn w:val="Normalny"/>
    <w:link w:val="TekstdymkaZnak"/>
    <w:rsid w:val="00DC6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6A67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4066C"/>
    <w:pPr>
      <w:widowControl/>
      <w:suppressAutoHyphens/>
      <w:autoSpaceDE/>
      <w:autoSpaceDN/>
      <w:adjustRightInd/>
      <w:spacing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rsid w:val="0014066C"/>
    <w:rPr>
      <w:rFonts w:ascii="Times" w:hAnsi="Times"/>
      <w:b/>
      <w:bCs/>
      <w:sz w:val="24"/>
      <w:szCs w:val="24"/>
      <w:lang w:eastAsia="ar-SA"/>
    </w:rPr>
  </w:style>
  <w:style w:type="paragraph" w:customStyle="1" w:styleId="w2zmart">
    <w:name w:val="w2_zm_art"/>
    <w:rsid w:val="00B55706"/>
    <w:pPr>
      <w:spacing w:before="60" w:after="60"/>
      <w:ind w:left="851" w:hanging="295"/>
      <w:jc w:val="both"/>
      <w:outlineLvl w:val="3"/>
    </w:pPr>
    <w:rPr>
      <w:sz w:val="24"/>
      <w:szCs w:val="22"/>
      <w:lang w:eastAsia="en-US"/>
    </w:rPr>
  </w:style>
  <w:style w:type="character" w:customStyle="1" w:styleId="USTustnpkodeksuZnak">
    <w:name w:val="UST(§) – ust. (§ np. kodeksu) Znak"/>
    <w:link w:val="USTustnpkodeksu"/>
    <w:rsid w:val="00B55706"/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A940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940F3"/>
    <w:rPr>
      <w:lang w:eastAsia="ar-SA"/>
    </w:rPr>
  </w:style>
  <w:style w:type="character" w:styleId="Odwoanieprzypisukocowego">
    <w:name w:val="endnote reference"/>
    <w:rsid w:val="00A940F3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151E1A"/>
    <w:pPr>
      <w:ind w:left="284" w:hanging="284"/>
      <w:jc w:val="both"/>
    </w:pPr>
    <w:rPr>
      <w:rFonts w:cs="Aria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4769"/>
    <w:pPr>
      <w:ind w:left="0" w:firstLine="0"/>
    </w:pPr>
  </w:style>
  <w:style w:type="character" w:customStyle="1" w:styleId="zmieniony">
    <w:name w:val="zmieniony"/>
    <w:rsid w:val="0037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is.mf.gov.pl/akt.do?link=AKT%5b%5d371097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3626</Words>
  <Characters>24392</Characters>
  <Application>Microsoft Office Word</Application>
  <DocSecurity>4</DocSecurity>
  <Lines>203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           2013r</vt:lpstr>
    </vt:vector>
  </TitlesOfParts>
  <Company>Ministerstwo Finansów</Company>
  <LinksUpToDate>false</LinksUpToDate>
  <CharactersWithSpaces>27963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http://legalis.mf.gov.pl/akt.do?link=AKT%5b%5d371097130</vt:lpwstr>
      </vt:variant>
      <vt:variant>
        <vt:lpwstr>mip38215381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           2013r</dc:title>
  <dc:subject/>
  <dc:creator>Adrian Kostusiak</dc:creator>
  <cp:keywords/>
  <cp:lastModifiedBy>Przybysz Jolanta</cp:lastModifiedBy>
  <cp:revision>2</cp:revision>
  <cp:lastPrinted>2014-07-23T14:27:00Z</cp:lastPrinted>
  <dcterms:created xsi:type="dcterms:W3CDTF">2020-12-17T07:55:00Z</dcterms:created>
  <dcterms:modified xsi:type="dcterms:W3CDTF">2020-12-17T07:55:00Z</dcterms:modified>
</cp:coreProperties>
</file>