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157B" w:rsidRDefault="00FA157B" w:rsidP="009E64CE">
      <w:pPr>
        <w:pStyle w:val="Tytu"/>
      </w:pPr>
      <w:bookmarkStart w:id="0" w:name="_GoBack"/>
      <w:bookmarkEnd w:id="0"/>
      <w:r>
        <w:rPr>
          <w:b/>
          <w:i w:val="0"/>
          <w:sz w:val="28"/>
          <w:szCs w:val="28"/>
        </w:rPr>
        <w:t>Uzasadnienie</w:t>
      </w:r>
    </w:p>
    <w:p w:rsidR="00D85788" w:rsidRDefault="008F07F0" w:rsidP="00855A6F">
      <w:pPr>
        <w:pStyle w:val="Tekstpodstawowywcity31"/>
        <w:spacing w:line="288" w:lineRule="auto"/>
      </w:pPr>
      <w:r>
        <w:t>Konieczność wydania nowego</w:t>
      </w:r>
      <w:r w:rsidR="00B96847">
        <w:t xml:space="preserve"> rozporządzenia wynika z</w:t>
      </w:r>
      <w:r w:rsidR="00300D76">
        <w:t>e z</w:t>
      </w:r>
      <w:r w:rsidR="009A762B">
        <w:t>mian w prawie, jakie wprowadza ustawa</w:t>
      </w:r>
      <w:r w:rsidR="00300D76">
        <w:t xml:space="preserve"> </w:t>
      </w:r>
      <w:bookmarkStart w:id="1" w:name="_Hlk55569545"/>
      <w:r w:rsidR="00300D76">
        <w:t>z dnia 2</w:t>
      </w:r>
      <w:r w:rsidR="00ED24CE">
        <w:t>8</w:t>
      </w:r>
      <w:r w:rsidR="00300D76">
        <w:t xml:space="preserve"> października 2020 r. o zmi</w:t>
      </w:r>
      <w:r w:rsidR="009A762B">
        <w:t>anie niektórych ustaw w związku</w:t>
      </w:r>
      <w:r w:rsidR="009A762B">
        <w:br/>
      </w:r>
      <w:r w:rsidR="00300D76">
        <w:t xml:space="preserve">z przeciwdziałaniem sytuacjom kryzysowym związanym z wystąpieniem COVID-19 </w:t>
      </w:r>
      <w:bookmarkEnd w:id="1"/>
      <w:r w:rsidR="00300D76">
        <w:t>(Dz. U. …). Art. 7 ww.</w:t>
      </w:r>
      <w:r w:rsidR="00396567">
        <w:t> </w:t>
      </w:r>
      <w:r w:rsidR="00300D76">
        <w:t xml:space="preserve">ustawy dodaje do art. 9 </w:t>
      </w:r>
      <w:r w:rsidR="00300D76" w:rsidRPr="00300D76">
        <w:t>ustaw</w:t>
      </w:r>
      <w:r w:rsidR="00300D76">
        <w:t>y</w:t>
      </w:r>
      <w:r w:rsidR="00300D76" w:rsidRPr="00300D76">
        <w:t xml:space="preserve"> z dnia 29 sierpnia 1997 r. o strażach gminnych (Dz.</w:t>
      </w:r>
      <w:r w:rsidR="00396567">
        <w:t> </w:t>
      </w:r>
      <w:r w:rsidR="00300D76" w:rsidRPr="00300D76">
        <w:t>U.</w:t>
      </w:r>
      <w:r w:rsidR="00396567">
        <w:t> </w:t>
      </w:r>
      <w:r w:rsidR="00300D76" w:rsidRPr="00300D76">
        <w:t>z</w:t>
      </w:r>
      <w:r w:rsidR="00396567">
        <w:t> </w:t>
      </w:r>
      <w:r w:rsidR="00300D76" w:rsidRPr="00300D76">
        <w:t>2019 r. poz. 1795, z późn. zm.</w:t>
      </w:r>
      <w:r w:rsidR="00300D76">
        <w:t xml:space="preserve">) ust. 5a i 5b, które </w:t>
      </w:r>
      <w:r w:rsidR="007A6843">
        <w:t xml:space="preserve">wprowadziły na poziomie ustawowym możliwość </w:t>
      </w:r>
      <w:r w:rsidR="007A6843" w:rsidRPr="007A6843">
        <w:t>zarządz</w:t>
      </w:r>
      <w:r w:rsidR="007A6843">
        <w:t>enia przez</w:t>
      </w:r>
      <w:r w:rsidR="007A6843" w:rsidRPr="007A6843">
        <w:t xml:space="preserve"> wojewod</w:t>
      </w:r>
      <w:r w:rsidR="007A6843">
        <w:t>ę</w:t>
      </w:r>
      <w:r w:rsidR="00D85788">
        <w:t>,</w:t>
      </w:r>
      <w:r w:rsidR="007A6843" w:rsidRPr="007A6843">
        <w:t xml:space="preserve"> na czas określony</w:t>
      </w:r>
      <w:r w:rsidR="00D85788">
        <w:t>,</w:t>
      </w:r>
      <w:r w:rsidR="007A6843" w:rsidRPr="007A6843">
        <w:t xml:space="preserve"> użyci</w:t>
      </w:r>
      <w:r w:rsidR="00D85788">
        <w:t>a</w:t>
      </w:r>
      <w:r w:rsidR="007A6843" w:rsidRPr="007A6843">
        <w:t xml:space="preserve"> straży </w:t>
      </w:r>
      <w:r w:rsidR="00D85788">
        <w:t xml:space="preserve">gminnych (miejskich) </w:t>
      </w:r>
      <w:r w:rsidR="007A6843" w:rsidRPr="007A6843">
        <w:t>do wspólnych działań z Policją</w:t>
      </w:r>
      <w:r w:rsidR="00D85788" w:rsidRPr="00D85788">
        <w:t xml:space="preserve"> </w:t>
      </w:r>
      <w:r w:rsidR="00D85788">
        <w:t xml:space="preserve">w związku z wystąpieniem różnych sytuacji kryzysowych. W takim przypadku </w:t>
      </w:r>
      <w:r w:rsidR="00D85788" w:rsidRPr="00D85788">
        <w:t>straż podlega dowództwu właściwego terytorialnie komendanta Policji.</w:t>
      </w:r>
      <w:r w:rsidR="00855A6F">
        <w:t xml:space="preserve"> </w:t>
      </w:r>
      <w:r w:rsidR="00D85788">
        <w:t>Takie o</w:t>
      </w:r>
      <w:r w:rsidR="007A6843">
        <w:t>ddani</w:t>
      </w:r>
      <w:r w:rsidR="00D85788">
        <w:t>e</w:t>
      </w:r>
      <w:r w:rsidR="007A6843">
        <w:t xml:space="preserve"> sił straży gminnych (miejskich) do dyspozycji właściwych miejscowo komendantów Policji </w:t>
      </w:r>
      <w:r w:rsidR="00D85788">
        <w:t xml:space="preserve">ma </w:t>
      </w:r>
      <w:r w:rsidR="007A6843">
        <w:t>pozwoli</w:t>
      </w:r>
      <w:r w:rsidR="00D85788">
        <w:t>ć</w:t>
      </w:r>
      <w:r w:rsidR="007A6843">
        <w:t xml:space="preserve"> na dyslokowanie strażników gminnych zgodnie ze wskazaniami komendanta Policji, organizacj</w:t>
      </w:r>
      <w:r w:rsidR="00D85788">
        <w:t>ę</w:t>
      </w:r>
      <w:r w:rsidR="007A6843">
        <w:t xml:space="preserve"> wspólnych patroli bądź prowadzenie innych form współpracy, co</w:t>
      </w:r>
      <w:r w:rsidR="00D85788">
        <w:t xml:space="preserve"> </w:t>
      </w:r>
      <w:r w:rsidR="007A6843">
        <w:t>wpły</w:t>
      </w:r>
      <w:r w:rsidR="00D85788">
        <w:t>wa</w:t>
      </w:r>
      <w:r w:rsidR="007A6843">
        <w:t xml:space="preserve"> na lepszą koordynację działań obu służb</w:t>
      </w:r>
      <w:r w:rsidR="00F3634F">
        <w:t>,</w:t>
      </w:r>
      <w:r w:rsidR="007A6843">
        <w:t xml:space="preserve"> a w konsekwencji na ich skuteczność. Ma to istotne znaczenie w czasie </w:t>
      </w:r>
      <w:r w:rsidR="00D85788" w:rsidRPr="00D85788">
        <w:t>powszechnego zagrożenia bezpieczeństwa publicznego, katastrofy, klęski żywiołowej, stanu zagrożenia epidemicznego, stanu epidemii</w:t>
      </w:r>
      <w:r w:rsidR="00D85788">
        <w:t xml:space="preserve"> </w:t>
      </w:r>
      <w:r w:rsidR="00D85788" w:rsidRPr="00D85788">
        <w:t>lub innej sytuacji kryzysowej</w:t>
      </w:r>
      <w:r w:rsidR="00D85788">
        <w:t>.</w:t>
      </w:r>
    </w:p>
    <w:p w:rsidR="008F07F0" w:rsidRDefault="00855A6F" w:rsidP="001101F2">
      <w:pPr>
        <w:pStyle w:val="Tekstpodstawowywcity31"/>
        <w:spacing w:line="288" w:lineRule="auto"/>
      </w:pPr>
      <w:r>
        <w:t xml:space="preserve">Mając powyższe na uwadze ww. </w:t>
      </w:r>
      <w:r w:rsidR="007A6843">
        <w:t>przepis</w:t>
      </w:r>
      <w:r w:rsidR="00D85788">
        <w:t>y</w:t>
      </w:r>
      <w:r w:rsidR="007A6843">
        <w:t xml:space="preserve"> doregulowuj</w:t>
      </w:r>
      <w:r w:rsidR="00D85788">
        <w:t>ą</w:t>
      </w:r>
      <w:r w:rsidR="007A6843">
        <w:t xml:space="preserve"> na poziomie ustawowym kwestie związane ze współpracą straży gminnych z Policją, będące jednocześnie przedmiotem regulacji obowiązują</w:t>
      </w:r>
      <w:r w:rsidR="001101F2">
        <w:t>cego rozporządzenia wydawanego na podstawie</w:t>
      </w:r>
      <w:r w:rsidR="007A6843">
        <w:t xml:space="preserve"> upoważnienia </w:t>
      </w:r>
      <w:r w:rsidR="001101F2">
        <w:t xml:space="preserve">zawartego w </w:t>
      </w:r>
      <w:r w:rsidR="007A6843">
        <w:t>art. 9 ust. 7 ustawy, tj.</w:t>
      </w:r>
      <w:r w:rsidR="00396567">
        <w:t> </w:t>
      </w:r>
      <w:r w:rsidR="007A6843">
        <w:t>rozporządzenia Ministra Spr</w:t>
      </w:r>
      <w:r>
        <w:t>aw Wewnętrznych i Administracji</w:t>
      </w:r>
      <w:r>
        <w:br/>
      </w:r>
      <w:r w:rsidR="007A6843">
        <w:t>z dnia 18 grudnia 2009 r. w</w:t>
      </w:r>
      <w:r w:rsidR="00396567">
        <w:t> </w:t>
      </w:r>
      <w:r w:rsidR="007A6843">
        <w:t xml:space="preserve">sprawie form współpracy straży gminnej (miejskiej) z Policją oraz sposobu informowania wojewody </w:t>
      </w:r>
      <w:r w:rsidR="001101F2">
        <w:t>o tej</w:t>
      </w:r>
      <w:r>
        <w:t xml:space="preserve"> współpracy (Dz. U. poz. 1732). </w:t>
      </w:r>
      <w:r w:rsidR="001101F2">
        <w:t xml:space="preserve">Jednocześnie </w:t>
      </w:r>
      <w:r w:rsidR="008F07F0">
        <w:t xml:space="preserve">ustawa </w:t>
      </w:r>
      <w:r>
        <w:t xml:space="preserve">z dnia </w:t>
      </w:r>
      <w:r w:rsidR="008F07F0" w:rsidRPr="008F07F0">
        <w:t>2</w:t>
      </w:r>
      <w:r w:rsidR="00ED24CE">
        <w:t>8</w:t>
      </w:r>
      <w:r w:rsidR="008F07F0" w:rsidRPr="008F07F0">
        <w:t xml:space="preserve"> października 2020 r. o zmianie niektórych ustaw w</w:t>
      </w:r>
      <w:r w:rsidR="008F07F0">
        <w:t> </w:t>
      </w:r>
      <w:r>
        <w:t>związku</w:t>
      </w:r>
      <w:r>
        <w:br/>
      </w:r>
      <w:r w:rsidR="008F07F0" w:rsidRPr="008F07F0">
        <w:t>z przeciwdziałaniem sytuacjom kryzysowym związanym z wystąpieniem COVID</w:t>
      </w:r>
      <w:r w:rsidR="008F07F0">
        <w:noBreakHyphen/>
      </w:r>
      <w:r w:rsidR="008F07F0" w:rsidRPr="008F07F0">
        <w:t>19</w:t>
      </w:r>
      <w:r w:rsidR="001101F2">
        <w:t xml:space="preserve"> </w:t>
      </w:r>
      <w:r w:rsidR="008F07F0">
        <w:t>w art.</w:t>
      </w:r>
      <w:r w:rsidR="008F07F0" w:rsidRPr="008F07F0">
        <w:t xml:space="preserve"> 30</w:t>
      </w:r>
      <w:r>
        <w:t xml:space="preserve"> przewiduje, </w:t>
      </w:r>
      <w:r w:rsidR="008F07F0">
        <w:t>ż</w:t>
      </w:r>
      <w:r w:rsidR="001101F2">
        <w:t>e</w:t>
      </w:r>
      <w:r w:rsidR="008F07F0">
        <w:t xml:space="preserve"> d</w:t>
      </w:r>
      <w:r>
        <w:t xml:space="preserve">otychczasowe </w:t>
      </w:r>
      <w:r w:rsidR="008F07F0">
        <w:t>rozporządzenie</w:t>
      </w:r>
      <w:r w:rsidR="008F07F0" w:rsidRPr="008F07F0">
        <w:t xml:space="preserve"> zachowuj</w:t>
      </w:r>
      <w:r w:rsidR="008F07F0">
        <w:t>e</w:t>
      </w:r>
      <w:r w:rsidR="008F07F0" w:rsidRPr="008F07F0">
        <w:t xml:space="preserve"> moc do dnia wejścia w</w:t>
      </w:r>
      <w:r w:rsidR="008F07F0">
        <w:t xml:space="preserve"> </w:t>
      </w:r>
      <w:r w:rsidR="008F07F0" w:rsidRPr="008F07F0">
        <w:t xml:space="preserve">życie </w:t>
      </w:r>
      <w:r w:rsidR="008F07F0">
        <w:t xml:space="preserve">nowych </w:t>
      </w:r>
      <w:r w:rsidR="008F07F0" w:rsidRPr="008F07F0">
        <w:t xml:space="preserve">przepisów wykonawczych wydanych na podstawie art. 9 ust. 7 ustawy </w:t>
      </w:r>
      <w:r w:rsidR="008F07F0">
        <w:t xml:space="preserve">o strażach gminnych, </w:t>
      </w:r>
      <w:r w:rsidR="008F07F0" w:rsidRPr="008F07F0">
        <w:t>jednak nie dłużej niż przez 12</w:t>
      </w:r>
      <w:r w:rsidR="008F07F0">
        <w:t xml:space="preserve"> </w:t>
      </w:r>
      <w:r w:rsidR="008F07F0" w:rsidRPr="008F07F0">
        <w:t>miesięcy od dnia wejścia w</w:t>
      </w:r>
      <w:r w:rsidR="008F07F0">
        <w:t xml:space="preserve"> </w:t>
      </w:r>
      <w:r w:rsidR="008F07F0" w:rsidRPr="008F07F0">
        <w:t>życie ustawy</w:t>
      </w:r>
      <w:r w:rsidR="008F07F0">
        <w:t xml:space="preserve"> </w:t>
      </w:r>
      <w:r>
        <w:t>z dnia</w:t>
      </w:r>
      <w:r>
        <w:br/>
      </w:r>
      <w:r w:rsidR="008F07F0" w:rsidRPr="008F07F0">
        <w:t>2</w:t>
      </w:r>
      <w:r w:rsidR="00ED24CE">
        <w:t>8</w:t>
      </w:r>
      <w:r w:rsidR="008F07F0" w:rsidRPr="008F07F0">
        <w:t xml:space="preserve"> października 2020 r.</w:t>
      </w:r>
    </w:p>
    <w:p w:rsidR="00D85788" w:rsidRDefault="00855A6F" w:rsidP="00D055F6">
      <w:pPr>
        <w:pStyle w:val="Tekstpodstawowywcity31"/>
        <w:spacing w:line="288" w:lineRule="auto"/>
      </w:pPr>
      <w:r>
        <w:t xml:space="preserve">W związku z powyższym </w:t>
      </w:r>
      <w:r w:rsidR="008F07F0">
        <w:t xml:space="preserve">przygotowano projekt nowego rozporządzenia </w:t>
      </w:r>
      <w:r w:rsidR="001101F2">
        <w:t xml:space="preserve">Ministra Spraw Wewnętrznych i Administracji </w:t>
      </w:r>
      <w:r w:rsidR="008F07F0" w:rsidRPr="008F07F0">
        <w:t>w sprawie form współpracy straży gminnej (miejskiej) z Policją oraz sposobu informowania wojewody o tej współpracy</w:t>
      </w:r>
      <w:r w:rsidR="008F07F0">
        <w:t xml:space="preserve">, który w </w:t>
      </w:r>
      <w:r w:rsidR="008F07F0" w:rsidRPr="00D85788">
        <w:t>§</w:t>
      </w:r>
      <w:r w:rsidR="008F07F0">
        <w:t xml:space="preserve"> 1-4 powiela rozwiązania przyjęte w dotychczasowym rozporządzeniu z dnia 18 grudnia 2009 r.</w:t>
      </w:r>
      <w:r w:rsidR="008F07F0" w:rsidRPr="008F07F0">
        <w:t xml:space="preserve"> </w:t>
      </w:r>
      <w:r w:rsidR="00475798">
        <w:t>Natomiast wykreślony został dotychczasowy</w:t>
      </w:r>
      <w:r w:rsidR="00D055F6">
        <w:t xml:space="preserve"> </w:t>
      </w:r>
      <w:r w:rsidR="00D055F6" w:rsidRPr="00D85788">
        <w:t>§ 5</w:t>
      </w:r>
      <w:r w:rsidR="00D055F6">
        <w:t xml:space="preserve"> rozporządzenia. Zauważyć należy, </w:t>
      </w:r>
      <w:r w:rsidR="00D85788">
        <w:t>ż</w:t>
      </w:r>
      <w:r w:rsidR="00D055F6">
        <w:t>e dotychczasowy</w:t>
      </w:r>
      <w:r w:rsidR="00D055F6">
        <w:br/>
      </w:r>
      <w:r w:rsidR="00D85788" w:rsidRPr="00D85788">
        <w:t>§ 5</w:t>
      </w:r>
      <w:r w:rsidR="00D85788">
        <w:t xml:space="preserve"> ww. rozporządzenia reguluje formułę wspólnych działań straży gminnyc</w:t>
      </w:r>
      <w:r w:rsidR="00D055F6">
        <w:t>h (miejskich)</w:t>
      </w:r>
      <w:r w:rsidR="00D055F6">
        <w:br/>
      </w:r>
      <w:r w:rsidR="00D85788">
        <w:t xml:space="preserve">z Policją w sytuacji </w:t>
      </w:r>
      <w:r w:rsidR="00D85788" w:rsidRPr="00D85788">
        <w:t>powszechnego zagrożenia bezpieczeństwa publicznego, katastrofy lub klęski żywiołowej</w:t>
      </w:r>
      <w:r w:rsidR="00D85788">
        <w:t>. Również obecne przepisy zakładają oddanie straży pod dowództwo właściwego ko</w:t>
      </w:r>
      <w:r w:rsidR="005075A4">
        <w:t xml:space="preserve">mendanta Policji. Natomiast wprowadzane </w:t>
      </w:r>
      <w:r w:rsidR="00B52177">
        <w:t>uregulowania ustaw</w:t>
      </w:r>
      <w:r w:rsidR="005075A4">
        <w:t>owe,</w:t>
      </w:r>
      <w:r w:rsidR="005075A4">
        <w:br/>
      </w:r>
      <w:r w:rsidR="00B52177">
        <w:t xml:space="preserve">w przeciwieństwie do </w:t>
      </w:r>
      <w:r w:rsidR="00B52177" w:rsidRPr="00D85788">
        <w:t>§ 5</w:t>
      </w:r>
      <w:r w:rsidR="00B52177">
        <w:t xml:space="preserve"> ww. rozporządzenia, przewidują zarządzenie takiej formy działań przez wojewodę, podczas gdy przepis rozporządzenia daje takie uprawnienie organowi gminy (wójtowi, burmistrzowi, prezydentowi miasta) na wniosek wojewody</w:t>
      </w:r>
      <w:r w:rsidR="00396567">
        <w:t xml:space="preserve"> (ust. 1) albo właściwego komendanta Policji (ust. 2).</w:t>
      </w:r>
      <w:r w:rsidR="00320217">
        <w:t xml:space="preserve"> </w:t>
      </w:r>
    </w:p>
    <w:p w:rsidR="00400575" w:rsidRPr="00555E2D" w:rsidRDefault="00F3634F" w:rsidP="00442EE9">
      <w:pPr>
        <w:pStyle w:val="Tekstpodstawowywcity31"/>
        <w:spacing w:line="288" w:lineRule="auto"/>
      </w:pPr>
      <w:r>
        <w:lastRenderedPageBreak/>
        <w:t xml:space="preserve">Projektowane rozporządzenie zawiera ponadto </w:t>
      </w:r>
      <w:r w:rsidR="00396567" w:rsidRPr="00555E2D">
        <w:t>przepis pozwalający zachować w</w:t>
      </w:r>
      <w:r w:rsidR="008F07F0" w:rsidRPr="00555E2D">
        <w:t> </w:t>
      </w:r>
      <w:r w:rsidR="00396567" w:rsidRPr="00555E2D">
        <w:t>mocy porozumienia o współpracy straży gminnych (miejskich) i Policji zawarte na podstawie dotychczas obowiązujących przepisów.</w:t>
      </w:r>
      <w:r w:rsidR="00442EE9" w:rsidRPr="00555E2D">
        <w:t xml:space="preserve"> </w:t>
      </w:r>
      <w:r w:rsidR="008E1379" w:rsidRPr="00555E2D">
        <w:t xml:space="preserve"> </w:t>
      </w:r>
    </w:p>
    <w:p w:rsidR="00400575" w:rsidRPr="00555E2D" w:rsidRDefault="00442EE9" w:rsidP="00555E2D">
      <w:pPr>
        <w:pStyle w:val="NIEARTTEKSTtekstnieartykuowanynppodstprawnarozplubpreambua"/>
        <w:spacing w:before="0" w:after="120" w:line="276" w:lineRule="auto"/>
        <w:ind w:firstLine="708"/>
        <w:rPr>
          <w:rFonts w:ascii="Times New Roman" w:hAnsi="Times New Roman" w:cs="Times New Roman"/>
          <w:szCs w:val="24"/>
        </w:rPr>
      </w:pPr>
      <w:r w:rsidRPr="00555E2D">
        <w:rPr>
          <w:rFonts w:ascii="Times New Roman" w:hAnsi="Times New Roman" w:cs="Times New Roman"/>
          <w:szCs w:val="24"/>
        </w:rPr>
        <w:t>Projektowane r</w:t>
      </w:r>
      <w:r w:rsidR="000C16A2" w:rsidRPr="00555E2D">
        <w:rPr>
          <w:rFonts w:ascii="Times New Roman" w:hAnsi="Times New Roman" w:cs="Times New Roman"/>
          <w:szCs w:val="24"/>
        </w:rPr>
        <w:t xml:space="preserve">ozporządzenie wejdzie w życie </w:t>
      </w:r>
      <w:r w:rsidR="000C16A2" w:rsidRPr="00555E2D">
        <w:rPr>
          <w:rFonts w:ascii="Times New Roman" w:hAnsi="Times New Roman" w:cs="Times New Roman"/>
        </w:rPr>
        <w:t>po upływie 14 dni od dnia ogłoszenia</w:t>
      </w:r>
      <w:r w:rsidR="007F3E62">
        <w:rPr>
          <w:rFonts w:ascii="Times New Roman" w:hAnsi="Times New Roman" w:cs="Times New Roman"/>
        </w:rPr>
        <w:t>. Zaproponowany</w:t>
      </w:r>
      <w:r w:rsidR="00C62A6C">
        <w:rPr>
          <w:rFonts w:ascii="Times New Roman" w:hAnsi="Times New Roman" w:cs="Times New Roman"/>
          <w:szCs w:val="24"/>
        </w:rPr>
        <w:t xml:space="preserve"> termin wejścia w życie jest </w:t>
      </w:r>
      <w:r w:rsidR="00F76B5C">
        <w:rPr>
          <w:rFonts w:ascii="Times New Roman" w:hAnsi="Times New Roman" w:cs="Times New Roman"/>
          <w:szCs w:val="24"/>
        </w:rPr>
        <w:t>zgodnie z art. 4 ust. 1</w:t>
      </w:r>
      <w:r w:rsidRPr="00555E2D">
        <w:rPr>
          <w:rFonts w:ascii="Times New Roman" w:hAnsi="Times New Roman" w:cs="Times New Roman"/>
          <w:szCs w:val="24"/>
        </w:rPr>
        <w:t xml:space="preserve"> ustawy z dnia 20 lipca 2000 r. o ogłaszaniu aktów normatywnych i niektórych innych aktów prawnych (Dz. U. z 2</w:t>
      </w:r>
      <w:r w:rsidR="00F76B5C">
        <w:rPr>
          <w:rFonts w:ascii="Times New Roman" w:hAnsi="Times New Roman" w:cs="Times New Roman"/>
          <w:szCs w:val="24"/>
        </w:rPr>
        <w:t>019 r. poz. 1461).</w:t>
      </w:r>
    </w:p>
    <w:p w:rsidR="00FA157B" w:rsidRDefault="00FA157B">
      <w:pPr>
        <w:spacing w:line="288" w:lineRule="auto"/>
        <w:ind w:firstLine="708"/>
        <w:jc w:val="both"/>
      </w:pPr>
      <w:r>
        <w:t>Zakres przedmiotowy regulacji nie jest objęty ani sprzeczny z prawem Unii Europejskiej.</w:t>
      </w:r>
    </w:p>
    <w:p w:rsidR="00FA157B" w:rsidRDefault="00FA157B">
      <w:pPr>
        <w:spacing w:line="288" w:lineRule="auto"/>
        <w:ind w:firstLine="708"/>
        <w:jc w:val="both"/>
        <w:rPr>
          <w:color w:val="000000"/>
        </w:rPr>
      </w:pPr>
      <w:r>
        <w:t>Projekt rozporządzenia nie podlega procedurze notyfikacji określonej w przepisach rozporządzenia Rady Ministrów z dnia 23 grudnia 2002 r. w sprawie sposobu funkcjonowania krajowego systemu notyfikacji norm i aktów pr</w:t>
      </w:r>
      <w:r w:rsidR="00986E6C">
        <w:t xml:space="preserve">awnych (Dz. U. </w:t>
      </w:r>
      <w:r>
        <w:t>poz. 20</w:t>
      </w:r>
      <w:r w:rsidR="00986E6C">
        <w:t>39, z późn. zm.</w:t>
      </w:r>
      <w:r>
        <w:t>).</w:t>
      </w:r>
    </w:p>
    <w:p w:rsidR="00FA157B" w:rsidRDefault="00FA157B">
      <w:pPr>
        <w:spacing w:line="288" w:lineRule="auto"/>
        <w:ind w:firstLine="567"/>
        <w:jc w:val="both"/>
        <w:rPr>
          <w:rFonts w:eastAsia="Calibri"/>
        </w:rPr>
      </w:pPr>
      <w:r>
        <w:rPr>
          <w:color w:val="000000"/>
        </w:rPr>
        <w:t xml:space="preserve">Projekt rozporządzenia został zamieszczony w Biuletynie Informacji Publicznej Rządowego Centrum Legislacji, stosownie do wymogów art. 5 ustawy z dnia 7 lipca 2005 r. </w:t>
      </w:r>
      <w:r>
        <w:rPr>
          <w:color w:val="000000"/>
        </w:rPr>
        <w:br/>
        <w:t xml:space="preserve">o działalności lobbingowej w procesie stanowienia prawa (Dz. U. z 2017 r. poz. 248). </w:t>
      </w:r>
    </w:p>
    <w:p w:rsidR="00FA157B" w:rsidRDefault="00FA157B">
      <w:pPr>
        <w:spacing w:line="288" w:lineRule="auto"/>
        <w:ind w:firstLine="567"/>
        <w:jc w:val="both"/>
      </w:pPr>
      <w:r>
        <w:rPr>
          <w:rFonts w:eastAsia="Calibri"/>
        </w:rPr>
        <w:t>Projekt nie podlega dokonaniu oceny OSR przez koordynatora OSR w trybie § 32 uchwały nr 190 Rady Ministrów z dnia 29 października 2013 r. – Regulamin pracy Rady Ministrów.</w:t>
      </w:r>
    </w:p>
    <w:p w:rsidR="00FA157B" w:rsidRDefault="00FA157B">
      <w:pPr>
        <w:spacing w:line="288" w:lineRule="auto"/>
        <w:ind w:firstLine="708"/>
        <w:jc w:val="both"/>
      </w:pPr>
      <w:r>
        <w:t>Projekt nie wymaga przedstawienia właściwym organom i instytucjom Unii Europejskiej, w tym Europejskiemu Bankowi Centralnemu, w celu uzyskania opinii, dokonania powiadomienia, konsultacji albo uzgodnienia.</w:t>
      </w:r>
    </w:p>
    <w:p w:rsidR="00FA157B" w:rsidRDefault="00FA157B">
      <w:pPr>
        <w:spacing w:line="288" w:lineRule="auto"/>
        <w:ind w:firstLine="708"/>
        <w:jc w:val="both"/>
      </w:pPr>
      <w:r>
        <w:t xml:space="preserve">Projektowane rozporządzenie </w:t>
      </w:r>
      <w:r w:rsidR="00F059DE">
        <w:t>nie</w:t>
      </w:r>
      <w:r>
        <w:t xml:space="preserve"> wpływ</w:t>
      </w:r>
      <w:r w:rsidR="00F059DE">
        <w:t>a</w:t>
      </w:r>
      <w:r>
        <w:t xml:space="preserve"> na sektor mikro, małych i średnich przedsiębiorstw.</w:t>
      </w:r>
    </w:p>
    <w:p w:rsidR="00FA157B" w:rsidRDefault="00FA157B">
      <w:pPr>
        <w:pStyle w:val="Tekstpodstawowywcity21"/>
        <w:spacing w:line="276" w:lineRule="auto"/>
        <w:jc w:val="left"/>
      </w:pPr>
    </w:p>
    <w:sectPr w:rsidR="00FA157B">
      <w:headerReference w:type="default" r:id="rId7"/>
      <w:footerReference w:type="default" r:id="rId8"/>
      <w:pgSz w:w="11906" w:h="16838"/>
      <w:pgMar w:top="1418" w:right="1418" w:bottom="130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351" w:rsidRDefault="00B31351">
      <w:r>
        <w:separator/>
      </w:r>
    </w:p>
  </w:endnote>
  <w:endnote w:type="continuationSeparator" w:id="0">
    <w:p w:rsidR="00B31351" w:rsidRDefault="00B3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00" w:rsidRDefault="003F4D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747A">
      <w:rPr>
        <w:noProof/>
      </w:rPr>
      <w:t>1</w:t>
    </w:r>
    <w:r>
      <w:fldChar w:fldCharType="end"/>
    </w:r>
  </w:p>
  <w:p w:rsidR="003F4D00" w:rsidRDefault="003F4D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351" w:rsidRDefault="00B31351">
      <w:r>
        <w:separator/>
      </w:r>
    </w:p>
  </w:footnote>
  <w:footnote w:type="continuationSeparator" w:id="0">
    <w:p w:rsidR="00B31351" w:rsidRDefault="00B3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00" w:rsidRDefault="003F4D00">
    <w:pPr>
      <w:pStyle w:val="Nagwek"/>
    </w:pPr>
  </w:p>
  <w:p w:rsidR="003F4D00" w:rsidRDefault="003F4D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69"/>
    <w:rsid w:val="000239F0"/>
    <w:rsid w:val="00024860"/>
    <w:rsid w:val="0004472D"/>
    <w:rsid w:val="00055BCD"/>
    <w:rsid w:val="00066CC6"/>
    <w:rsid w:val="000C16A2"/>
    <w:rsid w:val="001101F2"/>
    <w:rsid w:val="00196E57"/>
    <w:rsid w:val="001A3C03"/>
    <w:rsid w:val="00295485"/>
    <w:rsid w:val="002E3699"/>
    <w:rsid w:val="00300D76"/>
    <w:rsid w:val="00320217"/>
    <w:rsid w:val="0033747A"/>
    <w:rsid w:val="00352927"/>
    <w:rsid w:val="003563FF"/>
    <w:rsid w:val="00371D42"/>
    <w:rsid w:val="00396567"/>
    <w:rsid w:val="003F4D00"/>
    <w:rsid w:val="00400575"/>
    <w:rsid w:val="0041462D"/>
    <w:rsid w:val="00442852"/>
    <w:rsid w:val="00442EE9"/>
    <w:rsid w:val="0045378D"/>
    <w:rsid w:val="00475798"/>
    <w:rsid w:val="004A095E"/>
    <w:rsid w:val="005075A4"/>
    <w:rsid w:val="0051472E"/>
    <w:rsid w:val="00523620"/>
    <w:rsid w:val="00555E2D"/>
    <w:rsid w:val="00574E40"/>
    <w:rsid w:val="00601962"/>
    <w:rsid w:val="00636949"/>
    <w:rsid w:val="00653B77"/>
    <w:rsid w:val="00705158"/>
    <w:rsid w:val="00751EB2"/>
    <w:rsid w:val="007A4B1F"/>
    <w:rsid w:val="007A6843"/>
    <w:rsid w:val="007B69BE"/>
    <w:rsid w:val="007C45AC"/>
    <w:rsid w:val="007C52D4"/>
    <w:rsid w:val="007D42AC"/>
    <w:rsid w:val="007F3E62"/>
    <w:rsid w:val="007F7BC3"/>
    <w:rsid w:val="00855A6F"/>
    <w:rsid w:val="00856F3D"/>
    <w:rsid w:val="008D795E"/>
    <w:rsid w:val="008E1379"/>
    <w:rsid w:val="008F07F0"/>
    <w:rsid w:val="0096191F"/>
    <w:rsid w:val="00986E6C"/>
    <w:rsid w:val="009A762B"/>
    <w:rsid w:val="009B4437"/>
    <w:rsid w:val="009C0862"/>
    <w:rsid w:val="009D54BF"/>
    <w:rsid w:val="009E64CE"/>
    <w:rsid w:val="00A33D16"/>
    <w:rsid w:val="00A3730E"/>
    <w:rsid w:val="00AE26A6"/>
    <w:rsid w:val="00AE5CCE"/>
    <w:rsid w:val="00B31351"/>
    <w:rsid w:val="00B52177"/>
    <w:rsid w:val="00B53C69"/>
    <w:rsid w:val="00B70EB5"/>
    <w:rsid w:val="00B71240"/>
    <w:rsid w:val="00B9427B"/>
    <w:rsid w:val="00B96847"/>
    <w:rsid w:val="00C10561"/>
    <w:rsid w:val="00C17848"/>
    <w:rsid w:val="00C567B5"/>
    <w:rsid w:val="00C62A6C"/>
    <w:rsid w:val="00D055F6"/>
    <w:rsid w:val="00D3572B"/>
    <w:rsid w:val="00D748EE"/>
    <w:rsid w:val="00D85788"/>
    <w:rsid w:val="00DE7173"/>
    <w:rsid w:val="00E112D9"/>
    <w:rsid w:val="00E37181"/>
    <w:rsid w:val="00E749C3"/>
    <w:rsid w:val="00EA3090"/>
    <w:rsid w:val="00EB707D"/>
    <w:rsid w:val="00EC3A30"/>
    <w:rsid w:val="00ED24CE"/>
    <w:rsid w:val="00F059DE"/>
    <w:rsid w:val="00F15B5D"/>
    <w:rsid w:val="00F3634F"/>
    <w:rsid w:val="00F6583F"/>
    <w:rsid w:val="00F76B5C"/>
    <w:rsid w:val="00F904DB"/>
    <w:rsid w:val="00FA157B"/>
    <w:rsid w:val="00FB451F"/>
    <w:rsid w:val="00FD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1A1242C-AEAD-4212-9B5F-188340FC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Times New Roman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2">
    <w:name w:val="WW8Num13z2"/>
    <w:rPr>
      <w:rFonts w:ascii="Times New Roman" w:eastAsia="Times New Roman" w:hAnsi="Times New Roman" w:cs="Times New Roman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rFonts w:hint="default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  <w:sz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before="280" w:after="280"/>
      <w:jc w:val="both"/>
    </w:pPr>
    <w:rPr>
      <w:sz w:val="22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ytu">
    <w:name w:val="Title"/>
    <w:basedOn w:val="Normalny"/>
    <w:next w:val="Podtytu"/>
    <w:qFormat/>
    <w:pPr>
      <w:jc w:val="center"/>
    </w:pPr>
    <w:rPr>
      <w:i/>
      <w:iCs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ind w:firstLine="540"/>
      <w:jc w:val="both"/>
    </w:pPr>
  </w:style>
  <w:style w:type="paragraph" w:customStyle="1" w:styleId="Tekstpodstawowywcity21">
    <w:name w:val="Tekst podstawowy wcięty 21"/>
    <w:basedOn w:val="Normalny"/>
    <w:pPr>
      <w:ind w:firstLine="360"/>
      <w:jc w:val="both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line="360" w:lineRule="auto"/>
      <w:ind w:firstLine="708"/>
      <w:jc w:val="both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spacing w:before="280" w:after="280"/>
      <w:jc w:val="both"/>
    </w:pPr>
    <w:rPr>
      <w:color w:val="80008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84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9684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96847"/>
    <w:rPr>
      <w:vertAlign w:val="superscript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qFormat/>
    <w:rsid w:val="00442EE9"/>
    <w:pPr>
      <w:autoSpaceDN w:val="0"/>
      <w:spacing w:before="120" w:line="360" w:lineRule="auto"/>
      <w:ind w:firstLine="510"/>
      <w:jc w:val="both"/>
    </w:pPr>
    <w:rPr>
      <w:rFonts w:ascii="Times" w:eastAsia="Times" w:hAnsi="Times" w:cs="F"/>
      <w:bCs/>
      <w:kern w:val="3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</dc:title>
  <dc:subject/>
  <dc:creator>Romanska</dc:creator>
  <cp:keywords/>
  <cp:lastModifiedBy>Ołtarzewska Karolina</cp:lastModifiedBy>
  <cp:revision>2</cp:revision>
  <cp:lastPrinted>2020-04-28T15:14:00Z</cp:lastPrinted>
  <dcterms:created xsi:type="dcterms:W3CDTF">2020-12-09T17:21:00Z</dcterms:created>
  <dcterms:modified xsi:type="dcterms:W3CDTF">2020-12-09T17:21:00Z</dcterms:modified>
</cp:coreProperties>
</file>