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645"/>
        <w:gridCol w:w="65"/>
        <w:gridCol w:w="825"/>
        <w:gridCol w:w="167"/>
        <w:gridCol w:w="402"/>
        <w:gridCol w:w="187"/>
        <w:gridCol w:w="383"/>
        <w:gridCol w:w="554"/>
        <w:gridCol w:w="16"/>
        <w:gridCol w:w="269"/>
        <w:gridCol w:w="300"/>
        <w:gridCol w:w="157"/>
        <w:gridCol w:w="196"/>
        <w:gridCol w:w="217"/>
        <w:gridCol w:w="437"/>
        <w:gridCol w:w="142"/>
        <w:gridCol w:w="71"/>
        <w:gridCol w:w="604"/>
        <w:gridCol w:w="176"/>
        <w:gridCol w:w="110"/>
        <w:gridCol w:w="281"/>
        <w:gridCol w:w="567"/>
        <w:gridCol w:w="143"/>
        <w:gridCol w:w="424"/>
        <w:gridCol w:w="567"/>
        <w:gridCol w:w="41"/>
        <w:gridCol w:w="1240"/>
      </w:tblGrid>
      <w:tr w:rsidR="006A701A" w:rsidRPr="00424472" w14:paraId="2844B8FB" w14:textId="77777777" w:rsidTr="00461AD7">
        <w:trPr>
          <w:trHeight w:val="1611"/>
          <w:jc w:val="center"/>
        </w:trPr>
        <w:tc>
          <w:tcPr>
            <w:tcW w:w="6621" w:type="dxa"/>
            <w:gridSpan w:val="18"/>
          </w:tcPr>
          <w:p w14:paraId="619F6C04" w14:textId="77777777" w:rsidR="00865A77" w:rsidRPr="00424472" w:rsidRDefault="00865A77" w:rsidP="00E375CA">
            <w:pPr>
              <w:spacing w:line="23" w:lineRule="atLeast"/>
              <w:rPr>
                <w:rFonts w:ascii="Times New Roman" w:hAnsi="Times New Roman"/>
                <w:b/>
                <w:color w:val="000000"/>
              </w:rPr>
            </w:pPr>
            <w:bookmarkStart w:id="0" w:name="t1"/>
            <w:r w:rsidRPr="00424472">
              <w:rPr>
                <w:rFonts w:ascii="Times New Roman" w:hAnsi="Times New Roman"/>
                <w:b/>
                <w:color w:val="000000"/>
              </w:rPr>
              <w:t>Nazwa projektu</w:t>
            </w:r>
          </w:p>
          <w:p w14:paraId="3BFFB18A" w14:textId="44A9B81C" w:rsidR="00EB083A" w:rsidRPr="00EB083A" w:rsidRDefault="0094240D" w:rsidP="00E375CA">
            <w:pPr>
              <w:spacing w:line="23" w:lineRule="atLeast"/>
              <w:jc w:val="both"/>
              <w:rPr>
                <w:rFonts w:ascii="Times New Roman" w:hAnsi="Times New Roman"/>
                <w:bCs/>
                <w:color w:val="000000"/>
              </w:rPr>
            </w:pPr>
            <w:r w:rsidRPr="00EB083A">
              <w:rPr>
                <w:rFonts w:ascii="Times New Roman" w:hAnsi="Times New Roman"/>
                <w:color w:val="000000"/>
              </w:rPr>
              <w:t xml:space="preserve">Projekt </w:t>
            </w:r>
            <w:r w:rsidR="00EB083A" w:rsidRPr="00EB083A">
              <w:rPr>
                <w:rFonts w:ascii="Times New Roman" w:hAnsi="Times New Roman"/>
                <w:color w:val="000000"/>
              </w:rPr>
              <w:t xml:space="preserve">ustawy </w:t>
            </w:r>
            <w:r w:rsidR="00CD733F">
              <w:rPr>
                <w:rFonts w:ascii="Times New Roman" w:hAnsi="Times New Roman"/>
                <w:bCs/>
                <w:color w:val="000000"/>
              </w:rPr>
              <w:t>o zmianie ustawy o ochronie konkurencji i konsumentów</w:t>
            </w:r>
            <w:r w:rsidR="0050748F">
              <w:rPr>
                <w:rFonts w:ascii="Times New Roman" w:hAnsi="Times New Roman"/>
                <w:bCs/>
                <w:color w:val="000000"/>
              </w:rPr>
              <w:t xml:space="preserve"> oraz niektórych innych ustaw</w:t>
            </w:r>
          </w:p>
          <w:p w14:paraId="5B4ADE09" w14:textId="7D06D262" w:rsidR="005D5240" w:rsidRDefault="005D5240" w:rsidP="00E375CA">
            <w:pPr>
              <w:spacing w:line="23" w:lineRule="atLeast"/>
              <w:rPr>
                <w:rFonts w:ascii="Times New Roman" w:hAnsi="Times New Roman"/>
                <w:color w:val="000000"/>
              </w:rPr>
            </w:pPr>
          </w:p>
          <w:p w14:paraId="6234F67B" w14:textId="77777777" w:rsidR="00865A77" w:rsidRDefault="00865A77" w:rsidP="00E375CA">
            <w:pPr>
              <w:spacing w:line="23" w:lineRule="atLeast"/>
              <w:rPr>
                <w:rFonts w:ascii="Times New Roman" w:hAnsi="Times New Roman"/>
                <w:b/>
                <w:color w:val="000000"/>
              </w:rPr>
            </w:pPr>
            <w:r w:rsidRPr="00424472">
              <w:rPr>
                <w:rFonts w:ascii="Times New Roman" w:hAnsi="Times New Roman"/>
                <w:b/>
                <w:color w:val="000000"/>
              </w:rPr>
              <w:t>Ministerstwo wiodące i ministerstwa współpracujące</w:t>
            </w:r>
          </w:p>
          <w:bookmarkEnd w:id="0"/>
          <w:p w14:paraId="24E0A626" w14:textId="77777777" w:rsidR="00865A77" w:rsidRDefault="00CD733F" w:rsidP="00E375CA">
            <w:pPr>
              <w:spacing w:line="23" w:lineRule="atLeast"/>
              <w:rPr>
                <w:rFonts w:ascii="Times New Roman" w:hAnsi="Times New Roman"/>
                <w:color w:val="000000"/>
              </w:rPr>
            </w:pPr>
            <w:r>
              <w:rPr>
                <w:rFonts w:ascii="Times New Roman" w:hAnsi="Times New Roman"/>
                <w:color w:val="000000"/>
              </w:rPr>
              <w:t>Prezes Urzędu Ochrony Konkurencji i Konsumentów</w:t>
            </w:r>
          </w:p>
          <w:p w14:paraId="5952D4FF" w14:textId="77777777" w:rsidR="009E4471" w:rsidRPr="00424472" w:rsidRDefault="009E4471" w:rsidP="00E375CA">
            <w:pPr>
              <w:spacing w:line="23" w:lineRule="atLeast"/>
              <w:rPr>
                <w:rFonts w:ascii="Times New Roman" w:hAnsi="Times New Roman"/>
                <w:color w:val="000000"/>
              </w:rPr>
            </w:pPr>
          </w:p>
          <w:p w14:paraId="59C228A1" w14:textId="77777777" w:rsidR="00865A77" w:rsidRDefault="00865A77" w:rsidP="00E375CA">
            <w:pPr>
              <w:spacing w:line="23" w:lineRule="atLeast"/>
              <w:rPr>
                <w:rFonts w:ascii="Times New Roman" w:hAnsi="Times New Roman"/>
                <w:b/>
              </w:rPr>
            </w:pPr>
            <w:r w:rsidRPr="00424472">
              <w:rPr>
                <w:rFonts w:ascii="Times New Roman" w:hAnsi="Times New Roman"/>
                <w:b/>
              </w:rPr>
              <w:t xml:space="preserve">Osoba odpowiedzialna za projekt w randze Ministra, Sekretarza Stanu lub Podsekretarza Stanu </w:t>
            </w:r>
          </w:p>
          <w:p w14:paraId="089D9B35" w14:textId="77777777" w:rsidR="00EB083A" w:rsidRDefault="00404F33" w:rsidP="00E375CA">
            <w:pPr>
              <w:spacing w:line="23" w:lineRule="atLeast"/>
              <w:rPr>
                <w:rFonts w:ascii="Times New Roman" w:hAnsi="Times New Roman"/>
                <w:bCs/>
              </w:rPr>
            </w:pPr>
            <w:r>
              <w:rPr>
                <w:rFonts w:ascii="Times New Roman" w:hAnsi="Times New Roman"/>
              </w:rPr>
              <w:t xml:space="preserve">Tomasz </w:t>
            </w:r>
            <w:proofErr w:type="spellStart"/>
            <w:r>
              <w:rPr>
                <w:rFonts w:ascii="Times New Roman" w:hAnsi="Times New Roman"/>
              </w:rPr>
              <w:t>Chróstny</w:t>
            </w:r>
            <w:proofErr w:type="spellEnd"/>
            <w:r>
              <w:rPr>
                <w:rFonts w:ascii="Times New Roman" w:hAnsi="Times New Roman"/>
              </w:rPr>
              <w:t xml:space="preserve"> – Prezes Urzędu Ochrony Konkurencji i Konsumentów</w:t>
            </w:r>
          </w:p>
          <w:p w14:paraId="2157F741" w14:textId="77777777" w:rsidR="009E4471" w:rsidRPr="00EB083A" w:rsidRDefault="009E4471" w:rsidP="00E375CA">
            <w:pPr>
              <w:spacing w:line="23" w:lineRule="atLeast"/>
              <w:jc w:val="both"/>
              <w:rPr>
                <w:rFonts w:ascii="Times New Roman" w:hAnsi="Times New Roman"/>
                <w:bCs/>
              </w:rPr>
            </w:pPr>
          </w:p>
          <w:p w14:paraId="46B53887" w14:textId="77777777" w:rsidR="00404F33" w:rsidRDefault="00404F33" w:rsidP="00E375CA">
            <w:pPr>
              <w:spacing w:line="23" w:lineRule="atLeast"/>
              <w:rPr>
                <w:rFonts w:ascii="Times New Roman" w:hAnsi="Times New Roman"/>
                <w:b/>
                <w:color w:val="000000"/>
              </w:rPr>
            </w:pPr>
          </w:p>
          <w:p w14:paraId="31466A8F" w14:textId="77777777" w:rsidR="00865A77" w:rsidRDefault="00865A77" w:rsidP="00E375CA">
            <w:pPr>
              <w:spacing w:line="23" w:lineRule="atLeast"/>
              <w:rPr>
                <w:rFonts w:ascii="Times New Roman" w:hAnsi="Times New Roman"/>
                <w:b/>
                <w:color w:val="000000"/>
              </w:rPr>
            </w:pPr>
            <w:r w:rsidRPr="00424472">
              <w:rPr>
                <w:rFonts w:ascii="Times New Roman" w:hAnsi="Times New Roman"/>
                <w:b/>
                <w:color w:val="000000"/>
              </w:rPr>
              <w:t>Kontakt do opiekuna merytorycznego projektu</w:t>
            </w:r>
          </w:p>
          <w:p w14:paraId="7572CFC8" w14:textId="77777777" w:rsidR="00D35871" w:rsidRDefault="00404F33" w:rsidP="00E375CA">
            <w:pPr>
              <w:spacing w:line="23" w:lineRule="atLeast"/>
              <w:rPr>
                <w:rFonts w:ascii="Times New Roman" w:hAnsi="Times New Roman"/>
                <w:color w:val="000000"/>
              </w:rPr>
            </w:pPr>
            <w:r>
              <w:rPr>
                <w:rFonts w:ascii="Times New Roman" w:hAnsi="Times New Roman"/>
                <w:color w:val="000000"/>
              </w:rPr>
              <w:t xml:space="preserve">Daniel Mańkowski </w:t>
            </w:r>
            <w:r w:rsidR="00BC318D">
              <w:rPr>
                <w:rFonts w:ascii="Times New Roman" w:hAnsi="Times New Roman"/>
                <w:color w:val="000000"/>
              </w:rPr>
              <w:t>–</w:t>
            </w:r>
            <w:r>
              <w:rPr>
                <w:rFonts w:ascii="Times New Roman" w:hAnsi="Times New Roman"/>
                <w:color w:val="000000"/>
              </w:rPr>
              <w:t xml:space="preserve"> </w:t>
            </w:r>
            <w:r w:rsidR="00BC318D">
              <w:rPr>
                <w:rFonts w:ascii="Times New Roman" w:hAnsi="Times New Roman"/>
                <w:color w:val="000000"/>
              </w:rPr>
              <w:t xml:space="preserve">Dyrektor Departamentu Prawnego w Urzędzie </w:t>
            </w:r>
            <w:r w:rsidR="005D5240">
              <w:rPr>
                <w:rFonts w:ascii="Times New Roman" w:hAnsi="Times New Roman"/>
                <w:color w:val="000000"/>
              </w:rPr>
              <w:t>Ochrony Konkurencji i Konsumentów</w:t>
            </w:r>
          </w:p>
          <w:p w14:paraId="509A11B5" w14:textId="1D7C020D" w:rsidR="005D5240" w:rsidRPr="00153F34" w:rsidRDefault="005D5240" w:rsidP="00E375CA">
            <w:pPr>
              <w:spacing w:line="23" w:lineRule="atLeast"/>
              <w:rPr>
                <w:rFonts w:ascii="Times New Roman" w:hAnsi="Times New Roman"/>
                <w:color w:val="000000"/>
                <w:lang w:val="en-GB"/>
              </w:rPr>
            </w:pPr>
            <w:r w:rsidRPr="005D5240">
              <w:rPr>
                <w:rFonts w:ascii="Times New Roman" w:hAnsi="Times New Roman"/>
                <w:color w:val="000000"/>
                <w:lang w:val="en-GB"/>
              </w:rPr>
              <w:t xml:space="preserve">tel. (22) 826 39 60, </w:t>
            </w:r>
            <w:hyperlink r:id="rId8" w:history="1">
              <w:r w:rsidR="002B22C2" w:rsidRPr="0015255C">
                <w:rPr>
                  <w:rStyle w:val="Hipercze"/>
                  <w:rFonts w:ascii="Times New Roman" w:hAnsi="Times New Roman"/>
                  <w:lang w:val="en-GB"/>
                </w:rPr>
                <w:t>daniel.mankowski@uokik.gov.pl</w:t>
              </w:r>
            </w:hyperlink>
          </w:p>
        </w:tc>
        <w:tc>
          <w:tcPr>
            <w:tcW w:w="4153" w:type="dxa"/>
            <w:gridSpan w:val="10"/>
            <w:shd w:val="clear" w:color="auto" w:fill="FFFFFF"/>
          </w:tcPr>
          <w:p w14:paraId="41A635E1" w14:textId="77777777" w:rsidR="00523D7A" w:rsidRDefault="00523D7A" w:rsidP="00E375CA">
            <w:pPr>
              <w:spacing w:line="23" w:lineRule="atLeast"/>
              <w:rPr>
                <w:rFonts w:ascii="Times New Roman" w:hAnsi="Times New Roman"/>
                <w:b/>
                <w:bCs/>
                <w:color w:val="000000"/>
              </w:rPr>
            </w:pPr>
            <w:r>
              <w:rPr>
                <w:rFonts w:ascii="Times New Roman" w:hAnsi="Times New Roman"/>
                <w:b/>
                <w:bCs/>
                <w:color w:val="000000"/>
              </w:rPr>
              <w:t>Data:</w:t>
            </w:r>
          </w:p>
          <w:p w14:paraId="206DCC83" w14:textId="28D572A4" w:rsidR="00B1720E" w:rsidRPr="00523D7A" w:rsidRDefault="0030264B" w:rsidP="009310FA">
            <w:pPr>
              <w:spacing w:line="23" w:lineRule="atLeast"/>
              <w:rPr>
                <w:rFonts w:ascii="Times New Roman" w:hAnsi="Times New Roman"/>
                <w:bCs/>
                <w:color w:val="000000"/>
              </w:rPr>
            </w:pPr>
            <w:r>
              <w:rPr>
                <w:rFonts w:ascii="Times New Roman" w:hAnsi="Times New Roman"/>
                <w:bCs/>
                <w:color w:val="000000"/>
              </w:rPr>
              <w:t>1</w:t>
            </w:r>
            <w:r w:rsidR="00541E9B">
              <w:rPr>
                <w:rFonts w:ascii="Times New Roman" w:hAnsi="Times New Roman"/>
                <w:bCs/>
                <w:color w:val="000000"/>
              </w:rPr>
              <w:t>4</w:t>
            </w:r>
            <w:r w:rsidR="00D752FF">
              <w:rPr>
                <w:rFonts w:ascii="Times New Roman" w:hAnsi="Times New Roman"/>
                <w:bCs/>
                <w:color w:val="000000"/>
              </w:rPr>
              <w:t>.</w:t>
            </w:r>
            <w:r>
              <w:rPr>
                <w:rFonts w:ascii="Times New Roman" w:hAnsi="Times New Roman"/>
                <w:bCs/>
                <w:color w:val="000000"/>
              </w:rPr>
              <w:t>01</w:t>
            </w:r>
            <w:r w:rsidR="00523D7A" w:rsidRPr="00523D7A">
              <w:rPr>
                <w:rFonts w:ascii="Times New Roman" w:hAnsi="Times New Roman"/>
                <w:bCs/>
                <w:color w:val="000000"/>
              </w:rPr>
              <w:t>.</w:t>
            </w:r>
            <w:r w:rsidR="0094240D" w:rsidRPr="00523D7A">
              <w:rPr>
                <w:rFonts w:ascii="Times New Roman" w:hAnsi="Times New Roman"/>
                <w:color w:val="000000"/>
              </w:rPr>
              <w:t>202</w:t>
            </w:r>
            <w:r w:rsidR="00FD5A8B">
              <w:rPr>
                <w:rFonts w:ascii="Times New Roman" w:hAnsi="Times New Roman"/>
                <w:color w:val="000000"/>
              </w:rPr>
              <w:t>1</w:t>
            </w:r>
            <w:r w:rsidR="0094240D" w:rsidRPr="00523D7A">
              <w:rPr>
                <w:rFonts w:ascii="Times New Roman" w:hAnsi="Times New Roman"/>
                <w:color w:val="000000"/>
              </w:rPr>
              <w:t xml:space="preserve"> r.</w:t>
            </w:r>
          </w:p>
          <w:p w14:paraId="4A0C9C61" w14:textId="77777777" w:rsidR="00FC545E" w:rsidRDefault="00FC545E" w:rsidP="009310FA">
            <w:pPr>
              <w:spacing w:line="23" w:lineRule="atLeast"/>
              <w:rPr>
                <w:rFonts w:ascii="Times New Roman" w:hAnsi="Times New Roman"/>
                <w:color w:val="000000"/>
              </w:rPr>
            </w:pPr>
          </w:p>
          <w:p w14:paraId="12E770C0" w14:textId="77777777" w:rsidR="003324FE" w:rsidRDefault="003324FE" w:rsidP="003324FE">
            <w:pPr>
              <w:spacing w:line="23" w:lineRule="atLeast"/>
              <w:rPr>
                <w:rFonts w:ascii="Times New Roman" w:hAnsi="Times New Roman"/>
                <w:b/>
                <w:bCs/>
                <w:color w:val="000000"/>
              </w:rPr>
            </w:pPr>
          </w:p>
          <w:p w14:paraId="7CAAA5EE" w14:textId="1EC1FBD9" w:rsidR="00B1720E" w:rsidRPr="00424472" w:rsidRDefault="00B1720E" w:rsidP="009310FA">
            <w:pPr>
              <w:spacing w:line="23" w:lineRule="atLeast"/>
              <w:rPr>
                <w:rFonts w:ascii="Times New Roman" w:hAnsi="Times New Roman"/>
                <w:b/>
                <w:bCs/>
                <w:color w:val="000000"/>
              </w:rPr>
            </w:pPr>
            <w:r w:rsidRPr="00424472">
              <w:rPr>
                <w:rFonts w:ascii="Times New Roman" w:hAnsi="Times New Roman"/>
                <w:b/>
                <w:bCs/>
                <w:color w:val="000000"/>
              </w:rPr>
              <w:t>Źródło:</w:t>
            </w:r>
          </w:p>
          <w:p w14:paraId="39AC9811" w14:textId="33A1EF39" w:rsidR="00EB083A" w:rsidRPr="00404F33" w:rsidRDefault="00786B41" w:rsidP="009310FA">
            <w:pPr>
              <w:spacing w:line="23" w:lineRule="atLeast"/>
              <w:jc w:val="both"/>
              <w:rPr>
                <w:rFonts w:ascii="Times New Roman" w:hAnsi="Times New Roman"/>
                <w:i/>
                <w:color w:val="000000"/>
              </w:rPr>
            </w:pPr>
            <w:r>
              <w:rPr>
                <w:rFonts w:ascii="Times New Roman" w:hAnsi="Times New Roman"/>
                <w:color w:val="000000"/>
              </w:rPr>
              <w:t>Dyrektywa</w:t>
            </w:r>
            <w:r w:rsidRPr="00786B41">
              <w:rPr>
                <w:rFonts w:ascii="Times New Roman" w:hAnsi="Times New Roman"/>
                <w:color w:val="000000"/>
              </w:rPr>
              <w:t xml:space="preserve"> </w:t>
            </w:r>
            <w:r>
              <w:rPr>
                <w:rFonts w:ascii="Times New Roman" w:hAnsi="Times New Roman"/>
                <w:color w:val="000000"/>
              </w:rPr>
              <w:t xml:space="preserve">Parlamentu Europejskiego </w:t>
            </w:r>
            <w:r>
              <w:rPr>
                <w:rFonts w:ascii="Times New Roman" w:hAnsi="Times New Roman"/>
                <w:color w:val="000000"/>
              </w:rPr>
              <w:br/>
              <w:t>i R</w:t>
            </w:r>
            <w:r w:rsidRPr="00786B41">
              <w:rPr>
                <w:rFonts w:ascii="Times New Roman" w:hAnsi="Times New Roman"/>
                <w:color w:val="000000"/>
              </w:rPr>
              <w:t xml:space="preserve">ady (UE) 2019/1 z dnia 11 grudnia 2018 r. </w:t>
            </w:r>
            <w:r w:rsidR="009651BF" w:rsidRPr="009651BF">
              <w:rPr>
                <w:rFonts w:ascii="Times New Roman" w:hAnsi="Times New Roman"/>
                <w:i/>
                <w:color w:val="000000"/>
              </w:rPr>
              <w:t>mająca na celu nadanie organom ochrony konkurencji państw członkowskich uprawnień w celu</w:t>
            </w:r>
            <w:r w:rsidR="009651BF">
              <w:rPr>
                <w:rFonts w:ascii="Times New Roman" w:hAnsi="Times New Roman"/>
                <w:i/>
                <w:color w:val="000000"/>
              </w:rPr>
              <w:t xml:space="preserve"> </w:t>
            </w:r>
            <w:r w:rsidR="009651BF" w:rsidRPr="009651BF">
              <w:rPr>
                <w:rFonts w:ascii="Times New Roman" w:hAnsi="Times New Roman"/>
                <w:i/>
                <w:color w:val="000000"/>
              </w:rPr>
              <w:t>skuteczniejszego egzekwowania prawa i zapewnienia należytego funkcjonowania rynku wewnętrznego</w:t>
            </w:r>
          </w:p>
          <w:p w14:paraId="2D52A0B7" w14:textId="77777777" w:rsidR="00404F33" w:rsidRDefault="00404F33" w:rsidP="009310FA">
            <w:pPr>
              <w:spacing w:line="23" w:lineRule="atLeast"/>
              <w:jc w:val="both"/>
              <w:rPr>
                <w:rFonts w:ascii="Times New Roman" w:hAnsi="Times New Roman"/>
                <w:color w:val="000000"/>
              </w:rPr>
            </w:pPr>
          </w:p>
          <w:p w14:paraId="6A631B1F" w14:textId="77777777" w:rsidR="003324FE" w:rsidRDefault="003324FE" w:rsidP="003324FE">
            <w:pPr>
              <w:spacing w:line="23" w:lineRule="atLeast"/>
              <w:jc w:val="both"/>
              <w:rPr>
                <w:rFonts w:ascii="Times New Roman" w:hAnsi="Times New Roman"/>
                <w:b/>
                <w:bCs/>
              </w:rPr>
            </w:pPr>
          </w:p>
          <w:p w14:paraId="55EC4C78" w14:textId="771471B0" w:rsidR="004D643B" w:rsidRDefault="004D643B" w:rsidP="009310FA">
            <w:pPr>
              <w:spacing w:line="23" w:lineRule="atLeast"/>
              <w:jc w:val="both"/>
              <w:rPr>
                <w:rFonts w:ascii="Times New Roman" w:hAnsi="Times New Roman"/>
                <w:b/>
                <w:bCs/>
              </w:rPr>
            </w:pPr>
            <w:r w:rsidRPr="00791262">
              <w:rPr>
                <w:rFonts w:ascii="Times New Roman" w:hAnsi="Times New Roman"/>
                <w:b/>
                <w:bCs/>
              </w:rPr>
              <w:t>Nr w wykazie prac</w:t>
            </w:r>
          </w:p>
          <w:p w14:paraId="267E7D16" w14:textId="3F89A0C4" w:rsidR="00FD5A8B" w:rsidRPr="009310FA" w:rsidRDefault="00FD5A8B" w:rsidP="009310FA">
            <w:pPr>
              <w:spacing w:line="23" w:lineRule="atLeast"/>
              <w:jc w:val="both"/>
              <w:rPr>
                <w:rFonts w:ascii="Times New Roman" w:hAnsi="Times New Roman"/>
                <w:bCs/>
              </w:rPr>
            </w:pPr>
            <w:r w:rsidRPr="009310FA">
              <w:rPr>
                <w:rFonts w:ascii="Times New Roman" w:hAnsi="Times New Roman"/>
                <w:bCs/>
              </w:rPr>
              <w:t>UC69</w:t>
            </w:r>
          </w:p>
          <w:p w14:paraId="653E7614" w14:textId="4197DC89" w:rsidR="00791262" w:rsidRPr="00404F33" w:rsidRDefault="00791262" w:rsidP="009310FA">
            <w:pPr>
              <w:spacing w:line="23" w:lineRule="atLeast"/>
              <w:jc w:val="both"/>
              <w:rPr>
                <w:rFonts w:ascii="Times New Roman" w:hAnsi="Times New Roman"/>
                <w:b/>
                <w:bCs/>
              </w:rPr>
            </w:pPr>
          </w:p>
        </w:tc>
      </w:tr>
      <w:tr w:rsidR="006A701A" w:rsidRPr="00424472" w14:paraId="17FC9758" w14:textId="77777777" w:rsidTr="00461AD7">
        <w:trPr>
          <w:trHeight w:val="142"/>
          <w:jc w:val="center"/>
        </w:trPr>
        <w:tc>
          <w:tcPr>
            <w:tcW w:w="10774" w:type="dxa"/>
            <w:gridSpan w:val="28"/>
            <w:shd w:val="clear" w:color="auto" w:fill="99CCFF"/>
          </w:tcPr>
          <w:p w14:paraId="6F79353F" w14:textId="77777777" w:rsidR="006A701A" w:rsidRPr="00424472" w:rsidRDefault="006A701A" w:rsidP="00424472">
            <w:pPr>
              <w:ind w:left="57"/>
              <w:jc w:val="center"/>
              <w:rPr>
                <w:rFonts w:ascii="Times New Roman" w:hAnsi="Times New Roman"/>
                <w:b/>
                <w:color w:val="FFFFFF"/>
              </w:rPr>
            </w:pPr>
            <w:r w:rsidRPr="00424472">
              <w:rPr>
                <w:rFonts w:ascii="Times New Roman" w:hAnsi="Times New Roman"/>
                <w:b/>
                <w:color w:val="FFFFFF"/>
                <w:sz w:val="28"/>
              </w:rPr>
              <w:t>OCENA SKUTKÓW REGULACJI</w:t>
            </w:r>
          </w:p>
        </w:tc>
      </w:tr>
      <w:tr w:rsidR="006A701A" w:rsidRPr="00424472" w14:paraId="44B470B5" w14:textId="77777777" w:rsidTr="00461AD7">
        <w:trPr>
          <w:trHeight w:val="333"/>
          <w:jc w:val="center"/>
        </w:trPr>
        <w:tc>
          <w:tcPr>
            <w:tcW w:w="10774" w:type="dxa"/>
            <w:gridSpan w:val="28"/>
            <w:shd w:val="clear" w:color="auto" w:fill="99CCFF"/>
            <w:vAlign w:val="center"/>
          </w:tcPr>
          <w:p w14:paraId="5046BC59" w14:textId="77777777" w:rsidR="006A701A" w:rsidRPr="00424472" w:rsidRDefault="003D12F6" w:rsidP="00424472">
            <w:pPr>
              <w:numPr>
                <w:ilvl w:val="0"/>
                <w:numId w:val="1"/>
              </w:numPr>
              <w:spacing w:before="60" w:after="60"/>
              <w:ind w:left="318" w:hanging="284"/>
              <w:jc w:val="both"/>
              <w:rPr>
                <w:rFonts w:ascii="Times New Roman" w:hAnsi="Times New Roman"/>
                <w:b/>
                <w:color w:val="000000"/>
              </w:rPr>
            </w:pPr>
            <w:r w:rsidRPr="00424472">
              <w:rPr>
                <w:rFonts w:ascii="Times New Roman" w:hAnsi="Times New Roman"/>
                <w:b/>
              </w:rPr>
              <w:t xml:space="preserve">Jaki problem jest </w:t>
            </w:r>
            <w:r w:rsidR="00CC6305" w:rsidRPr="00424472">
              <w:rPr>
                <w:rFonts w:ascii="Times New Roman" w:hAnsi="Times New Roman"/>
                <w:b/>
              </w:rPr>
              <w:t>rozwiązywany?</w:t>
            </w:r>
            <w:bookmarkStart w:id="1" w:name="Wybór1"/>
            <w:bookmarkEnd w:id="1"/>
          </w:p>
        </w:tc>
      </w:tr>
      <w:tr w:rsidR="006A701A" w:rsidRPr="00424472" w14:paraId="33A9D526" w14:textId="77777777" w:rsidTr="00FB4CB0">
        <w:tblPrEx>
          <w:tblCellMar>
            <w:left w:w="70" w:type="dxa"/>
            <w:right w:w="70" w:type="dxa"/>
          </w:tblCellMar>
        </w:tblPrEx>
        <w:trPr>
          <w:trHeight w:val="142"/>
          <w:jc w:val="center"/>
        </w:trPr>
        <w:tc>
          <w:tcPr>
            <w:tcW w:w="10774" w:type="dxa"/>
            <w:gridSpan w:val="28"/>
            <w:shd w:val="clear" w:color="auto" w:fill="FFFFFF"/>
          </w:tcPr>
          <w:p w14:paraId="5954A971" w14:textId="16A5EECD" w:rsidR="00EF1A4C" w:rsidRDefault="00052016" w:rsidP="00211300">
            <w:pPr>
              <w:spacing w:before="120"/>
              <w:ind w:firstLine="777"/>
              <w:jc w:val="both"/>
              <w:rPr>
                <w:rFonts w:ascii="Times New Roman" w:hAnsi="Times New Roman"/>
                <w:lang w:eastAsia="pl-PL"/>
              </w:rPr>
            </w:pPr>
            <w:r>
              <w:rPr>
                <w:rFonts w:ascii="Times New Roman" w:hAnsi="Times New Roman"/>
                <w:lang w:eastAsia="pl-PL"/>
              </w:rPr>
              <w:t xml:space="preserve">W związku </w:t>
            </w:r>
            <w:r w:rsidR="00EB7D63">
              <w:rPr>
                <w:rFonts w:ascii="Times New Roman" w:hAnsi="Times New Roman"/>
                <w:lang w:eastAsia="pl-PL"/>
              </w:rPr>
              <w:t xml:space="preserve">z przyjęciem przez </w:t>
            </w:r>
            <w:r w:rsidR="00EF1A4C" w:rsidRPr="00581086">
              <w:rPr>
                <w:rFonts w:ascii="Times New Roman" w:hAnsi="Times New Roman"/>
                <w:lang w:eastAsia="pl-PL"/>
              </w:rPr>
              <w:t>Parlament Europejski i Rad</w:t>
            </w:r>
            <w:r w:rsidR="00EB7D63">
              <w:rPr>
                <w:rFonts w:ascii="Times New Roman" w:hAnsi="Times New Roman"/>
                <w:lang w:eastAsia="pl-PL"/>
              </w:rPr>
              <w:t xml:space="preserve">ę w dniu 11 grudnia 2018 r. Dyrektywy </w:t>
            </w:r>
            <w:r w:rsidR="00EF1A4C" w:rsidRPr="00581086">
              <w:rPr>
                <w:rFonts w:ascii="Times New Roman" w:hAnsi="Times New Roman"/>
                <w:lang w:eastAsia="pl-PL"/>
              </w:rPr>
              <w:t xml:space="preserve">2019/1 </w:t>
            </w:r>
            <w:r w:rsidR="00EF1A4C" w:rsidRPr="00EF1A4C">
              <w:rPr>
                <w:rFonts w:ascii="Times New Roman" w:hAnsi="Times New Roman"/>
                <w:i/>
                <w:lang w:eastAsia="pl-PL"/>
              </w:rPr>
              <w:t xml:space="preserve">mającej na celu nadanie organom ochrony konkurencji państw członkowskich uprawnień w celu skuteczniejszego egzekwowania prawa i zapewnienia należytego funkcjonowania rynku </w:t>
            </w:r>
            <w:r w:rsidR="009E3664">
              <w:rPr>
                <w:rFonts w:ascii="Times New Roman" w:hAnsi="Times New Roman"/>
                <w:i/>
                <w:lang w:eastAsia="pl-PL"/>
              </w:rPr>
              <w:t>w</w:t>
            </w:r>
            <w:r w:rsidR="00EF1A4C" w:rsidRPr="00EF1A4C">
              <w:rPr>
                <w:rFonts w:ascii="Times New Roman" w:hAnsi="Times New Roman"/>
                <w:i/>
                <w:lang w:eastAsia="pl-PL"/>
              </w:rPr>
              <w:t>ewnętrznego</w:t>
            </w:r>
            <w:r w:rsidR="00EF1A4C" w:rsidRPr="00581086">
              <w:rPr>
                <w:rFonts w:ascii="Times New Roman" w:hAnsi="Times New Roman"/>
                <w:lang w:eastAsia="pl-PL"/>
              </w:rPr>
              <w:t xml:space="preserve"> (Dz. Urz. UE z 14.1.2019, L 11/26, dalej: „Dyrektywa”)</w:t>
            </w:r>
            <w:r w:rsidR="00EF1A4C">
              <w:rPr>
                <w:rFonts w:ascii="Times New Roman" w:hAnsi="Times New Roman"/>
                <w:lang w:eastAsia="pl-PL"/>
              </w:rPr>
              <w:t xml:space="preserve"> </w:t>
            </w:r>
            <w:r w:rsidR="00EB7D63">
              <w:rPr>
                <w:rFonts w:ascii="Times New Roman" w:hAnsi="Times New Roman"/>
                <w:lang w:eastAsia="pl-PL"/>
              </w:rPr>
              <w:t>zachodzi konieczność jej implementacji do Polskiego porządku prawnego</w:t>
            </w:r>
            <w:r w:rsidR="008F65E0">
              <w:rPr>
                <w:rFonts w:ascii="Times New Roman" w:hAnsi="Times New Roman"/>
                <w:lang w:eastAsia="pl-PL"/>
              </w:rPr>
              <w:t xml:space="preserve">, </w:t>
            </w:r>
            <w:r w:rsidR="00EB7D63">
              <w:rPr>
                <w:rFonts w:ascii="Times New Roman" w:hAnsi="Times New Roman"/>
                <w:lang w:eastAsia="pl-PL"/>
              </w:rPr>
              <w:t xml:space="preserve">poprzez </w:t>
            </w:r>
            <w:r w:rsidR="00EF1A4C">
              <w:rPr>
                <w:rFonts w:ascii="Times New Roman" w:hAnsi="Times New Roman"/>
                <w:lang w:eastAsia="pl-PL"/>
              </w:rPr>
              <w:t>nowelizacj</w:t>
            </w:r>
            <w:r w:rsidR="00EB7D63">
              <w:rPr>
                <w:rFonts w:ascii="Times New Roman" w:hAnsi="Times New Roman"/>
                <w:lang w:eastAsia="pl-PL"/>
              </w:rPr>
              <w:t>ę</w:t>
            </w:r>
            <w:r w:rsidR="00581086" w:rsidRPr="00581086">
              <w:rPr>
                <w:rFonts w:ascii="Times New Roman" w:hAnsi="Times New Roman"/>
                <w:lang w:eastAsia="pl-PL"/>
              </w:rPr>
              <w:t xml:space="preserve"> ustawy z dnia 16 lutego 2007 </w:t>
            </w:r>
            <w:r w:rsidR="00581086" w:rsidRPr="00EF1A4C">
              <w:rPr>
                <w:rFonts w:ascii="Times New Roman" w:hAnsi="Times New Roman"/>
                <w:i/>
                <w:lang w:eastAsia="pl-PL"/>
              </w:rPr>
              <w:t>o ochronie konkurencji i konsumentów</w:t>
            </w:r>
            <w:r w:rsidR="00581086" w:rsidRPr="00581086">
              <w:rPr>
                <w:rFonts w:ascii="Times New Roman" w:hAnsi="Times New Roman"/>
                <w:lang w:eastAsia="pl-PL"/>
              </w:rPr>
              <w:t xml:space="preserve"> (Dz. U. z 2020 </w:t>
            </w:r>
            <w:r w:rsidR="00EF1A4C">
              <w:rPr>
                <w:rFonts w:ascii="Times New Roman" w:hAnsi="Times New Roman"/>
                <w:lang w:eastAsia="pl-PL"/>
              </w:rPr>
              <w:t>poz. 1076 i 1086, dalej: „</w:t>
            </w:r>
            <w:proofErr w:type="spellStart"/>
            <w:r w:rsidR="00EF1A4C">
              <w:rPr>
                <w:rFonts w:ascii="Times New Roman" w:hAnsi="Times New Roman"/>
                <w:lang w:eastAsia="pl-PL"/>
              </w:rPr>
              <w:t>u.o.k.k</w:t>
            </w:r>
            <w:proofErr w:type="spellEnd"/>
            <w:r w:rsidR="00EF1A4C">
              <w:rPr>
                <w:rFonts w:ascii="Times New Roman" w:hAnsi="Times New Roman"/>
                <w:lang w:eastAsia="pl-PL"/>
              </w:rPr>
              <w:t>.</w:t>
            </w:r>
            <w:r w:rsidR="00581086" w:rsidRPr="00581086">
              <w:rPr>
                <w:rFonts w:ascii="Times New Roman" w:hAnsi="Times New Roman"/>
                <w:lang w:eastAsia="pl-PL"/>
              </w:rPr>
              <w:t>”).</w:t>
            </w:r>
          </w:p>
          <w:p w14:paraId="1FF53E27" w14:textId="214BE101" w:rsidR="00211300" w:rsidRDefault="00581086" w:rsidP="00211300">
            <w:pPr>
              <w:ind w:firstLine="777"/>
              <w:jc w:val="both"/>
              <w:rPr>
                <w:rFonts w:ascii="Times New Roman" w:hAnsi="Times New Roman"/>
                <w:lang w:eastAsia="pl-PL"/>
              </w:rPr>
            </w:pPr>
            <w:r w:rsidRPr="00581086">
              <w:rPr>
                <w:rFonts w:ascii="Times New Roman" w:hAnsi="Times New Roman"/>
                <w:lang w:eastAsia="pl-PL"/>
              </w:rPr>
              <w:t xml:space="preserve"> Celem Dyrektywy jest zwiększenie skuteczności egzekwowania unijnych reguł konkurencji na rynku wewnętrznym przez krajowe organy </w:t>
            </w:r>
            <w:r w:rsidR="008F65E0">
              <w:rPr>
                <w:rFonts w:ascii="Times New Roman" w:hAnsi="Times New Roman"/>
                <w:lang w:eastAsia="pl-PL"/>
              </w:rPr>
              <w:t>ochrony</w:t>
            </w:r>
            <w:r w:rsidRPr="00581086">
              <w:rPr>
                <w:rFonts w:ascii="Times New Roman" w:hAnsi="Times New Roman"/>
                <w:lang w:eastAsia="pl-PL"/>
              </w:rPr>
              <w:t xml:space="preserve"> konkurencji</w:t>
            </w:r>
            <w:r w:rsidR="008F65E0">
              <w:rPr>
                <w:rFonts w:ascii="Times New Roman" w:hAnsi="Times New Roman"/>
                <w:lang w:eastAsia="pl-PL"/>
              </w:rPr>
              <w:t xml:space="preserve"> poszczególnych</w:t>
            </w:r>
            <w:r w:rsidRPr="00581086">
              <w:rPr>
                <w:rFonts w:ascii="Times New Roman" w:hAnsi="Times New Roman"/>
                <w:lang w:eastAsia="pl-PL"/>
              </w:rPr>
              <w:t xml:space="preserve"> państw członkowskich. Środkiem do uzyskania tego celu jest ustanowienie minimalnego zakresu uprawnień organów krajowych. Z uwagi na</w:t>
            </w:r>
            <w:r w:rsidR="008F65E0">
              <w:rPr>
                <w:rFonts w:ascii="Times New Roman" w:hAnsi="Times New Roman"/>
                <w:lang w:eastAsia="pl-PL"/>
              </w:rPr>
              <w:t xml:space="preserve"> często</w:t>
            </w:r>
            <w:r w:rsidRPr="00581086">
              <w:rPr>
                <w:rFonts w:ascii="Times New Roman" w:hAnsi="Times New Roman"/>
                <w:lang w:eastAsia="pl-PL"/>
              </w:rPr>
              <w:t xml:space="preserve"> nieostre granice między sprawami, w których ma zastosowanie art. 101 lub 102 Traktatu o funkcjonowaniu Unii Europejskiej (dalej: TFUE), a sprawami, w których organy </w:t>
            </w:r>
            <w:r w:rsidR="000D64E2">
              <w:rPr>
                <w:rFonts w:ascii="Times New Roman" w:hAnsi="Times New Roman"/>
                <w:lang w:eastAsia="pl-PL"/>
              </w:rPr>
              <w:t>antymonopolowe</w:t>
            </w:r>
            <w:r w:rsidRPr="00581086">
              <w:rPr>
                <w:rFonts w:ascii="Times New Roman" w:hAnsi="Times New Roman"/>
                <w:lang w:eastAsia="pl-PL"/>
              </w:rPr>
              <w:t xml:space="preserve"> </w:t>
            </w:r>
            <w:r w:rsidR="008F65E0">
              <w:rPr>
                <w:rFonts w:ascii="Times New Roman" w:hAnsi="Times New Roman"/>
                <w:lang w:eastAsia="pl-PL"/>
              </w:rPr>
              <w:t>działają wyłącznie w oparciu o</w:t>
            </w:r>
            <w:r w:rsidRPr="00581086">
              <w:rPr>
                <w:rFonts w:ascii="Times New Roman" w:hAnsi="Times New Roman"/>
                <w:lang w:eastAsia="pl-PL"/>
              </w:rPr>
              <w:t xml:space="preserve"> prawo krajowe</w:t>
            </w:r>
            <w:r w:rsidR="00211300">
              <w:rPr>
                <w:rFonts w:ascii="Times New Roman" w:hAnsi="Times New Roman"/>
                <w:lang w:eastAsia="pl-PL"/>
              </w:rPr>
              <w:t>,</w:t>
            </w:r>
            <w:r w:rsidRPr="00581086">
              <w:rPr>
                <w:rFonts w:ascii="Times New Roman" w:hAnsi="Times New Roman"/>
                <w:lang w:eastAsia="pl-PL"/>
              </w:rPr>
              <w:t xml:space="preserve"> </w:t>
            </w:r>
            <w:r w:rsidR="008F65E0">
              <w:rPr>
                <w:rFonts w:ascii="Times New Roman" w:hAnsi="Times New Roman"/>
                <w:lang w:eastAsia="pl-PL"/>
              </w:rPr>
              <w:t xml:space="preserve">rozwiązania zawarte w </w:t>
            </w:r>
            <w:r w:rsidRPr="00581086">
              <w:rPr>
                <w:rFonts w:ascii="Times New Roman" w:hAnsi="Times New Roman"/>
                <w:lang w:eastAsia="pl-PL"/>
              </w:rPr>
              <w:t>Dyrektyw</w:t>
            </w:r>
            <w:r w:rsidR="008F65E0">
              <w:rPr>
                <w:rFonts w:ascii="Times New Roman" w:hAnsi="Times New Roman"/>
                <w:lang w:eastAsia="pl-PL"/>
              </w:rPr>
              <w:t xml:space="preserve">ie znają zastosowanie w </w:t>
            </w:r>
            <w:r w:rsidRPr="00581086">
              <w:rPr>
                <w:rFonts w:ascii="Times New Roman" w:hAnsi="Times New Roman"/>
                <w:lang w:eastAsia="pl-PL"/>
              </w:rPr>
              <w:t>obu tych obszar</w:t>
            </w:r>
            <w:r w:rsidR="008F65E0">
              <w:rPr>
                <w:rFonts w:ascii="Times New Roman" w:hAnsi="Times New Roman"/>
                <w:lang w:eastAsia="pl-PL"/>
              </w:rPr>
              <w:t>ach</w:t>
            </w:r>
            <w:r w:rsidRPr="00581086">
              <w:rPr>
                <w:rFonts w:ascii="Times New Roman" w:hAnsi="Times New Roman"/>
                <w:lang w:eastAsia="pl-PL"/>
              </w:rPr>
              <w:t xml:space="preserve">. </w:t>
            </w:r>
          </w:p>
          <w:p w14:paraId="1E5E1970" w14:textId="77039B08" w:rsidR="00D14953" w:rsidRDefault="00581086" w:rsidP="00211300">
            <w:pPr>
              <w:ind w:firstLine="776"/>
              <w:jc w:val="both"/>
              <w:rPr>
                <w:rFonts w:ascii="Times New Roman" w:hAnsi="Times New Roman"/>
                <w:lang w:eastAsia="pl-PL"/>
              </w:rPr>
            </w:pPr>
            <w:r w:rsidRPr="00581086">
              <w:rPr>
                <w:rFonts w:ascii="Times New Roman" w:hAnsi="Times New Roman"/>
                <w:lang w:eastAsia="pl-PL"/>
              </w:rPr>
              <w:t>Dyrektywa zmierza do zapewnienia</w:t>
            </w:r>
            <w:r w:rsidR="008F65E0">
              <w:rPr>
                <w:rFonts w:ascii="Times New Roman" w:hAnsi="Times New Roman"/>
                <w:lang w:eastAsia="pl-PL"/>
              </w:rPr>
              <w:t xml:space="preserve">, </w:t>
            </w:r>
            <w:r w:rsidRPr="00581086">
              <w:rPr>
                <w:rFonts w:ascii="Times New Roman" w:hAnsi="Times New Roman"/>
                <w:lang w:eastAsia="pl-PL"/>
              </w:rPr>
              <w:t xml:space="preserve">aby wszystkie krajowe organy ochrony konkurencji posiadały uprawnienia odpowiadające zasadniczo uprawnieniom Komisji Europejskiej wynikającym z Rozporządzenia 1/2003 z 16 grudnia 2002 r. </w:t>
            </w:r>
            <w:r w:rsidRPr="00581086">
              <w:rPr>
                <w:rFonts w:ascii="Times New Roman" w:hAnsi="Times New Roman"/>
                <w:i/>
                <w:lang w:eastAsia="pl-PL"/>
              </w:rPr>
              <w:t>w sprawie wprowadzenia w życie reguł konkurencji ustanowionych w art. 81 i 82 Traktatu</w:t>
            </w:r>
            <w:r w:rsidRPr="00581086">
              <w:rPr>
                <w:rFonts w:ascii="Times New Roman" w:hAnsi="Times New Roman"/>
                <w:lang w:eastAsia="pl-PL"/>
              </w:rPr>
              <w:t xml:space="preserve"> ((Dz.U. L 1 z 4.1.2003, str. 1</w:t>
            </w:r>
            <w:r w:rsidR="006208D8">
              <w:rPr>
                <w:rFonts w:ascii="Times New Roman" w:hAnsi="Times New Roman"/>
                <w:lang w:eastAsia="pl-PL"/>
              </w:rPr>
              <w:t>, dalej: „Rozporządzenie 1/2003”</w:t>
            </w:r>
            <w:r w:rsidRPr="00581086">
              <w:rPr>
                <w:rFonts w:ascii="Times New Roman" w:hAnsi="Times New Roman"/>
                <w:lang w:eastAsia="pl-PL"/>
              </w:rPr>
              <w:t>).</w:t>
            </w:r>
          </w:p>
          <w:p w14:paraId="1B02AB2A" w14:textId="3C629D11" w:rsidR="004D0B6B" w:rsidRDefault="00D14953" w:rsidP="000E6A14">
            <w:pPr>
              <w:pStyle w:val="mcntmsonormal1"/>
              <w:numPr>
                <w:ilvl w:val="0"/>
                <w:numId w:val="2"/>
              </w:numPr>
              <w:spacing w:before="120" w:after="120" w:line="276" w:lineRule="auto"/>
              <w:ind w:left="714" w:hanging="357"/>
              <w:rPr>
                <w:b/>
              </w:rPr>
            </w:pPr>
            <w:r w:rsidRPr="00D40607">
              <w:rPr>
                <w:b/>
                <w:sz w:val="22"/>
                <w:szCs w:val="22"/>
                <w:lang w:eastAsia="en-US"/>
              </w:rPr>
              <w:t>Pojęcie przedsiębiorstwa</w:t>
            </w:r>
          </w:p>
          <w:p w14:paraId="506D3D0E" w14:textId="4AD2E0B6" w:rsidR="00C371B1" w:rsidRDefault="004D0B6B" w:rsidP="00C371B1">
            <w:pPr>
              <w:pStyle w:val="mcntmsonormal1"/>
              <w:spacing w:line="276" w:lineRule="auto"/>
              <w:ind w:firstLine="777"/>
              <w:jc w:val="both"/>
              <w:rPr>
                <w:sz w:val="22"/>
              </w:rPr>
            </w:pPr>
            <w:r w:rsidRPr="004D0B6B">
              <w:rPr>
                <w:sz w:val="22"/>
              </w:rPr>
              <w:t>Dyrektywa wskazuje, że aby zapewnić skuteczne i jednolite stosowanie art. 101 i 102 TFUE, pojęcie przedsiębiorstwa zawarte w art. 101 i 102 TFUE, należy stosować zgodnie z orzecznictwem Trybunału Sprawiedliwości Unii Europejskiej, czyli jako jednostkę gospodarczą</w:t>
            </w:r>
            <w:r w:rsidR="008F65E0">
              <w:rPr>
                <w:sz w:val="22"/>
              </w:rPr>
              <w:t xml:space="preserve"> (ang. </w:t>
            </w:r>
            <w:r w:rsidR="008F65E0" w:rsidRPr="003168C5">
              <w:rPr>
                <w:i/>
                <w:sz w:val="22"/>
              </w:rPr>
              <w:t xml:space="preserve">single </w:t>
            </w:r>
            <w:proofErr w:type="spellStart"/>
            <w:r w:rsidR="008F65E0" w:rsidRPr="003168C5">
              <w:rPr>
                <w:i/>
                <w:sz w:val="22"/>
              </w:rPr>
              <w:t>economic</w:t>
            </w:r>
            <w:proofErr w:type="spellEnd"/>
            <w:r w:rsidR="008F65E0" w:rsidRPr="003168C5">
              <w:rPr>
                <w:i/>
                <w:sz w:val="22"/>
              </w:rPr>
              <w:t xml:space="preserve"> unit</w:t>
            </w:r>
            <w:r w:rsidR="008F65E0">
              <w:rPr>
                <w:sz w:val="22"/>
              </w:rPr>
              <w:t>)</w:t>
            </w:r>
            <w:r w:rsidRPr="004D0B6B">
              <w:rPr>
                <w:sz w:val="22"/>
              </w:rPr>
              <w:t>, nawet jeśli składa się ona z kilku osób fizycznych lub prawnych. W związku z tym</w:t>
            </w:r>
            <w:r w:rsidR="00C371B1">
              <w:rPr>
                <w:sz w:val="22"/>
              </w:rPr>
              <w:t>,</w:t>
            </w:r>
            <w:r w:rsidRPr="004D0B6B">
              <w:rPr>
                <w:sz w:val="22"/>
              </w:rPr>
              <w:t xml:space="preserve"> krajowe organy ochrony konkurencji powinny mieć możliwość stosowania pojęcia przedsiębiorstwa w celu zidentyfikowania</w:t>
            </w:r>
            <w:r w:rsidR="008F65E0">
              <w:rPr>
                <w:sz w:val="22"/>
              </w:rPr>
              <w:t xml:space="preserve"> </w:t>
            </w:r>
            <w:r w:rsidRPr="004D0B6B">
              <w:rPr>
                <w:sz w:val="22"/>
              </w:rPr>
              <w:t>odpowiedzialnej spółki dominującej i nałożenia na nią kar za praktykę stosowaną w jednej z jej spółek zależnych, w przypadku gdy spółka dominująca i jej spółka zależna stanowią jedną jednostkę gospodarczą.</w:t>
            </w:r>
          </w:p>
          <w:p w14:paraId="09CC10EA" w14:textId="77777777" w:rsidR="00C371B1" w:rsidRPr="00C371B1" w:rsidRDefault="00C371B1" w:rsidP="00C670D9">
            <w:pPr>
              <w:pStyle w:val="mcntmsonormal1"/>
              <w:spacing w:line="276" w:lineRule="auto"/>
              <w:ind w:firstLine="777"/>
              <w:jc w:val="both"/>
              <w:rPr>
                <w:sz w:val="22"/>
              </w:rPr>
            </w:pPr>
            <w:proofErr w:type="spellStart"/>
            <w:r>
              <w:rPr>
                <w:sz w:val="22"/>
              </w:rPr>
              <w:t>U.o.k.k</w:t>
            </w:r>
            <w:proofErr w:type="spellEnd"/>
            <w:r>
              <w:rPr>
                <w:sz w:val="22"/>
              </w:rPr>
              <w:t xml:space="preserve">. </w:t>
            </w:r>
            <w:r w:rsidRPr="00C371B1">
              <w:rPr>
                <w:sz w:val="22"/>
              </w:rPr>
              <w:t xml:space="preserve">w obecnym brzmieniu nie posługuje się pojęciem przedsiębiorstwa lecz przedsiębiorcy, przez którego należy rozumieć przedsiębiorcę w rozumieniu przepisów ustawy z dnia 6 marca 2018 r. – </w:t>
            </w:r>
            <w:r w:rsidRPr="00C670D9">
              <w:rPr>
                <w:i/>
                <w:sz w:val="22"/>
              </w:rPr>
              <w:t>Prawo przedsiębiorców</w:t>
            </w:r>
            <w:r w:rsidRPr="00C371B1">
              <w:rPr>
                <w:sz w:val="22"/>
              </w:rPr>
              <w:t xml:space="preserve"> (Dz. U. z 2019 r. poz. 1292 i 1495 oraz z 2020 r. poz. 424 i 1086), a także: </w:t>
            </w:r>
          </w:p>
          <w:p w14:paraId="74B197C7" w14:textId="77777777" w:rsidR="00C371B1" w:rsidRPr="00C371B1" w:rsidRDefault="00C371B1" w:rsidP="000E6A14">
            <w:pPr>
              <w:pStyle w:val="mcntmsonormal1"/>
              <w:numPr>
                <w:ilvl w:val="0"/>
                <w:numId w:val="4"/>
              </w:numPr>
              <w:spacing w:line="276" w:lineRule="auto"/>
              <w:jc w:val="both"/>
              <w:rPr>
                <w:sz w:val="22"/>
              </w:rPr>
            </w:pPr>
            <w:r w:rsidRPr="00C371B1">
              <w:rPr>
                <w:sz w:val="22"/>
              </w:rPr>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w:t>
            </w:r>
            <w:r w:rsidRPr="00C670D9">
              <w:rPr>
                <w:i/>
                <w:sz w:val="22"/>
              </w:rPr>
              <w:t>Prawo przedsiębiorców</w:t>
            </w:r>
            <w:r w:rsidRPr="00C371B1">
              <w:rPr>
                <w:sz w:val="22"/>
              </w:rPr>
              <w:t>,</w:t>
            </w:r>
          </w:p>
          <w:p w14:paraId="5C18A507" w14:textId="77777777" w:rsidR="00C371B1" w:rsidRPr="00C371B1" w:rsidRDefault="00C371B1" w:rsidP="000E6A14">
            <w:pPr>
              <w:pStyle w:val="mcntmsonormal1"/>
              <w:numPr>
                <w:ilvl w:val="0"/>
                <w:numId w:val="4"/>
              </w:numPr>
              <w:spacing w:line="276" w:lineRule="auto"/>
              <w:jc w:val="both"/>
              <w:rPr>
                <w:sz w:val="22"/>
              </w:rPr>
            </w:pPr>
            <w:r w:rsidRPr="00C371B1">
              <w:rPr>
                <w:sz w:val="22"/>
              </w:rPr>
              <w:t xml:space="preserve">osobę fizyczną wykonującą zawód we własnym imieniu i na własny rachunek lub prowadzącą działalność </w:t>
            </w:r>
            <w:r w:rsidR="00C670D9">
              <w:rPr>
                <w:sz w:val="22"/>
              </w:rPr>
              <w:br/>
            </w:r>
            <w:r w:rsidRPr="00C371B1">
              <w:rPr>
                <w:sz w:val="22"/>
              </w:rPr>
              <w:t xml:space="preserve">w ramach wykonywania takiego zawodu, </w:t>
            </w:r>
          </w:p>
          <w:p w14:paraId="387FE193" w14:textId="77777777" w:rsidR="00C371B1" w:rsidRPr="00C371B1" w:rsidRDefault="00C371B1" w:rsidP="000E6A14">
            <w:pPr>
              <w:pStyle w:val="mcntmsonormal1"/>
              <w:numPr>
                <w:ilvl w:val="0"/>
                <w:numId w:val="4"/>
              </w:numPr>
              <w:spacing w:line="276" w:lineRule="auto"/>
              <w:jc w:val="both"/>
              <w:rPr>
                <w:sz w:val="22"/>
              </w:rPr>
            </w:pPr>
            <w:r w:rsidRPr="00C371B1">
              <w:rPr>
                <w:sz w:val="22"/>
              </w:rPr>
              <w:t>osobę fi</w:t>
            </w:r>
            <w:r w:rsidR="006A6A13">
              <w:rPr>
                <w:sz w:val="22"/>
              </w:rPr>
              <w:t xml:space="preserve">zyczną, która posiada kontrolę </w:t>
            </w:r>
            <w:r w:rsidRPr="00C371B1">
              <w:rPr>
                <w:sz w:val="22"/>
              </w:rPr>
              <w:t xml:space="preserve">nad co najmniej jednym przedsiębiorcą, choćby nie prowadziła działalności gospodarczej w rozumieniu przepisów ustawy z dnia 6 marca 2018 r. – </w:t>
            </w:r>
            <w:r w:rsidRPr="00D30322">
              <w:rPr>
                <w:i/>
                <w:sz w:val="22"/>
              </w:rPr>
              <w:t>Prawo przedsiębiorców</w:t>
            </w:r>
            <w:r w:rsidRPr="00C371B1">
              <w:rPr>
                <w:sz w:val="22"/>
              </w:rPr>
              <w:t xml:space="preserve">, jeżeli podejmuje dalsze działania podlegające kontroli koncentracji, </w:t>
            </w:r>
          </w:p>
          <w:p w14:paraId="1CFD8AB0" w14:textId="2E306234" w:rsidR="00C371B1" w:rsidRPr="00C371B1" w:rsidRDefault="00C371B1" w:rsidP="000E6A14">
            <w:pPr>
              <w:pStyle w:val="mcntmsonormal1"/>
              <w:numPr>
                <w:ilvl w:val="0"/>
                <w:numId w:val="4"/>
              </w:numPr>
              <w:spacing w:line="276" w:lineRule="auto"/>
              <w:jc w:val="both"/>
              <w:rPr>
                <w:sz w:val="22"/>
              </w:rPr>
            </w:pPr>
            <w:r w:rsidRPr="00C371B1">
              <w:rPr>
                <w:sz w:val="22"/>
              </w:rPr>
              <w:lastRenderedPageBreak/>
              <w:t>związek przedsiębiorców w rozumieniu pkt 2, z wyłączeniem przepisów dotyczących koncentracji.</w:t>
            </w:r>
          </w:p>
          <w:p w14:paraId="45BE43F3" w14:textId="276C69A4" w:rsidR="00C371B1" w:rsidRDefault="00C371B1" w:rsidP="00C670D9">
            <w:pPr>
              <w:pStyle w:val="mcntmsonormal1"/>
              <w:spacing w:line="276" w:lineRule="auto"/>
              <w:ind w:firstLine="776"/>
              <w:jc w:val="both"/>
              <w:rPr>
                <w:sz w:val="22"/>
              </w:rPr>
            </w:pPr>
            <w:r w:rsidRPr="00C371B1">
              <w:rPr>
                <w:sz w:val="22"/>
              </w:rPr>
              <w:t xml:space="preserve">Zgodnie zaś z art. 4 </w:t>
            </w:r>
            <w:r w:rsidR="00D30322">
              <w:rPr>
                <w:sz w:val="22"/>
              </w:rPr>
              <w:t xml:space="preserve">ustawy - </w:t>
            </w:r>
            <w:r w:rsidR="00D30322" w:rsidRPr="009310FA">
              <w:rPr>
                <w:i/>
                <w:sz w:val="22"/>
              </w:rPr>
              <w:t>Prawo</w:t>
            </w:r>
            <w:r w:rsidRPr="009310FA">
              <w:rPr>
                <w:i/>
                <w:sz w:val="22"/>
              </w:rPr>
              <w:t xml:space="preserve"> przedsiębiorców</w:t>
            </w:r>
            <w:r w:rsidRPr="00C371B1">
              <w:rPr>
                <w:sz w:val="22"/>
              </w:rPr>
              <w:t xml:space="preserve">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w:t>
            </w:r>
          </w:p>
          <w:p w14:paraId="15C1F088" w14:textId="000CE678" w:rsidR="00FA4098" w:rsidRPr="00FA4098" w:rsidRDefault="00FA4098" w:rsidP="009310FA">
            <w:pPr>
              <w:pStyle w:val="mcntmsonormal1"/>
              <w:spacing w:line="276" w:lineRule="auto"/>
              <w:ind w:firstLine="777"/>
              <w:jc w:val="both"/>
              <w:rPr>
                <w:sz w:val="22"/>
              </w:rPr>
            </w:pPr>
            <w:r w:rsidRPr="00FA4098">
              <w:rPr>
                <w:sz w:val="22"/>
              </w:rPr>
              <w:t xml:space="preserve">Prawo pierwotne i pochodne UE nie zawierają definicji przedsiębiorstwa (ang. </w:t>
            </w:r>
            <w:proofErr w:type="spellStart"/>
            <w:r w:rsidRPr="009310FA">
              <w:rPr>
                <w:i/>
                <w:sz w:val="22"/>
              </w:rPr>
              <w:t>undertaking</w:t>
            </w:r>
            <w:proofErr w:type="spellEnd"/>
            <w:r w:rsidRPr="00FA4098">
              <w:rPr>
                <w:sz w:val="22"/>
              </w:rPr>
              <w:t xml:space="preserve">). Zgodnie z dorobkiem orzeczniczym UE przedsiębiorstwo to „każda osoba fizyczną lub prawną prowadząca działalność gospodarczą bez względu na jej formę organizacyjno-prawną oraz sposób finansowania” . Jeśli spółka dominująca i jej spółka zależna są częścią jednego organizmu gospodarczego (ang. </w:t>
            </w:r>
            <w:r w:rsidRPr="009310FA">
              <w:rPr>
                <w:i/>
                <w:sz w:val="22"/>
              </w:rPr>
              <w:t xml:space="preserve">single </w:t>
            </w:r>
            <w:proofErr w:type="spellStart"/>
            <w:r w:rsidRPr="009310FA">
              <w:rPr>
                <w:i/>
                <w:sz w:val="22"/>
              </w:rPr>
              <w:t>economic</w:t>
            </w:r>
            <w:proofErr w:type="spellEnd"/>
            <w:r w:rsidRPr="009310FA">
              <w:rPr>
                <w:i/>
                <w:sz w:val="22"/>
              </w:rPr>
              <w:t xml:space="preserve"> unit</w:t>
            </w:r>
            <w:r w:rsidRPr="00FA4098">
              <w:rPr>
                <w:sz w:val="22"/>
              </w:rPr>
              <w:t>)</w:t>
            </w:r>
            <w:r w:rsidR="00546F35">
              <w:rPr>
                <w:sz w:val="22"/>
              </w:rPr>
              <w:t xml:space="preserve">, </w:t>
            </w:r>
            <w:r w:rsidRPr="00FA4098">
              <w:rPr>
                <w:sz w:val="22"/>
              </w:rPr>
              <w:t>tworzą one jedno przedsiębiorstwo w rozumieniu art. 101 TFUE, co pozwala Komisji na skierowanie decyzji nakładającej grzywnę do spółki dominującej, bez konieczności ustalania jej bezpośredniego zaangażowania w naruszenie.</w:t>
            </w:r>
          </w:p>
          <w:p w14:paraId="051D9079" w14:textId="09F23FEC" w:rsidR="00FA4098" w:rsidRPr="00C371B1" w:rsidRDefault="00FA4098" w:rsidP="00FA4098">
            <w:pPr>
              <w:pStyle w:val="mcntmsonormal1"/>
              <w:spacing w:line="276" w:lineRule="auto"/>
              <w:ind w:firstLine="776"/>
              <w:jc w:val="both"/>
              <w:rPr>
                <w:sz w:val="22"/>
              </w:rPr>
            </w:pPr>
            <w:r w:rsidRPr="00FA4098">
              <w:rPr>
                <w:sz w:val="22"/>
              </w:rPr>
              <w:t>Dla stwierdzenia czy spółki stanowią jeden organizm gospodarczy należy ustalić</w:t>
            </w:r>
            <w:r w:rsidR="00546F35">
              <w:rPr>
                <w:sz w:val="22"/>
              </w:rPr>
              <w:t>,</w:t>
            </w:r>
            <w:r w:rsidRPr="00FA4098">
              <w:rPr>
                <w:sz w:val="22"/>
              </w:rPr>
              <w:t xml:space="preserve"> czy spółka dominująca wywiera na spółkę zależną „decydujący wpływ” . Decydujący wpływ oznacza istnienie powiązań ekonomicznych, prawnych i organizacyjnych takiego rodzaju, że spółka zależna nie określa samodzielnie swojego zachowania na rynku, lecz co do zasady stosuje się do wskazówek udzielanych jej przez spółkę dominującą, w szczególności z uwzględnieniem więzów ekonomicznych, organizacyjnych i prawnych łączących oba te podmioty prawa . W szczególnym wypadku, kiedy spółka dominująca posiada cały lub prawie cały kapitał spółki zależnej, która popełniła naruszenie unijnych zasad konkurencji, istnieje wzruszalne domniemanie , iż owa spółka dominująca rzeczywiście wywiera decydujący wpływ na swoją spółkę zależną .</w:t>
            </w:r>
          </w:p>
          <w:p w14:paraId="4AD1DE02" w14:textId="7E8FD9D3" w:rsidR="00C94588" w:rsidRPr="00C94588" w:rsidRDefault="00D07F2D" w:rsidP="0050748F">
            <w:pPr>
              <w:pStyle w:val="mcntmsonormal1"/>
              <w:spacing w:line="276" w:lineRule="auto"/>
              <w:ind w:firstLine="777"/>
              <w:jc w:val="both"/>
              <w:rPr>
                <w:sz w:val="22"/>
              </w:rPr>
            </w:pPr>
            <w:r>
              <w:rPr>
                <w:sz w:val="22"/>
              </w:rPr>
              <w:t>W</w:t>
            </w:r>
            <w:r w:rsidR="00D30322" w:rsidRPr="00D30322">
              <w:rPr>
                <w:sz w:val="22"/>
              </w:rPr>
              <w:t xml:space="preserve">drożenie przepisów Dyrektywy wymaga </w:t>
            </w:r>
            <w:r>
              <w:rPr>
                <w:sz w:val="22"/>
              </w:rPr>
              <w:t xml:space="preserve">zatem </w:t>
            </w:r>
            <w:r w:rsidR="00D30322" w:rsidRPr="00D30322">
              <w:rPr>
                <w:sz w:val="22"/>
              </w:rPr>
              <w:t>wprowadzenia możliwości pociągnięcia do odpowiedzialności również przedsiębiorcy dominującego w przypadku</w:t>
            </w:r>
            <w:r>
              <w:rPr>
                <w:sz w:val="22"/>
              </w:rPr>
              <w:t>,</w:t>
            </w:r>
            <w:r w:rsidR="00D30322" w:rsidRPr="00D30322">
              <w:rPr>
                <w:sz w:val="22"/>
              </w:rPr>
              <w:t xml:space="preserve"> gdy naruszenia ustawy poprzez zawarcie niedozwolonego porozumienia lub nadużycie pozycji dominującej dopuścił się przedsiębiorca zależny. </w:t>
            </w:r>
          </w:p>
          <w:p w14:paraId="33380AFE" w14:textId="77777777" w:rsidR="00D14953" w:rsidRPr="00B3354F" w:rsidRDefault="00D14953" w:rsidP="000E6A14">
            <w:pPr>
              <w:pStyle w:val="mcntmsonormal1"/>
              <w:numPr>
                <w:ilvl w:val="0"/>
                <w:numId w:val="2"/>
              </w:numPr>
              <w:spacing w:before="120" w:after="120" w:line="276" w:lineRule="auto"/>
              <w:ind w:left="714" w:hanging="357"/>
              <w:rPr>
                <w:b/>
              </w:rPr>
            </w:pPr>
            <w:r w:rsidRPr="00D40607">
              <w:rPr>
                <w:b/>
                <w:sz w:val="22"/>
                <w:szCs w:val="22"/>
                <w:lang w:eastAsia="en-US"/>
              </w:rPr>
              <w:t>Kary</w:t>
            </w:r>
          </w:p>
          <w:p w14:paraId="080A75F0" w14:textId="4C2F882E" w:rsidR="004B241F" w:rsidRDefault="00B3354F" w:rsidP="00B3354F">
            <w:pPr>
              <w:spacing w:after="120"/>
              <w:ind w:firstLine="776"/>
              <w:jc w:val="both"/>
              <w:rPr>
                <w:rFonts w:ascii="Times New Roman" w:hAnsi="Times New Roman"/>
                <w:szCs w:val="24"/>
              </w:rPr>
            </w:pPr>
            <w:r w:rsidRPr="00B3354F">
              <w:rPr>
                <w:rFonts w:ascii="Times New Roman" w:hAnsi="Times New Roman"/>
                <w:szCs w:val="24"/>
              </w:rPr>
              <w:t xml:space="preserve">Dyrektywa określa obszary harmonizacji w zakresie nakładania kar. Zgodnie z Dyrektywą organy antymonopolowe powinny mieć skuteczne narzędzie do egzekucji prawa konkurencji spełniającego funkcję prewencyjną wobec naruszyciela i wobec </w:t>
            </w:r>
            <w:r>
              <w:rPr>
                <w:rFonts w:ascii="Times New Roman" w:hAnsi="Times New Roman"/>
                <w:szCs w:val="24"/>
              </w:rPr>
              <w:t>innych przedsiębiorstw. Ponadto</w:t>
            </w:r>
            <w:r w:rsidRPr="00B3354F">
              <w:rPr>
                <w:rFonts w:ascii="Times New Roman" w:hAnsi="Times New Roman"/>
                <w:szCs w:val="24"/>
              </w:rPr>
              <w:t xml:space="preserve"> ujednolicenie kar nakładanych w krajach członkowskich przez różne organy antymonopolowe ma na </w:t>
            </w:r>
            <w:r w:rsidR="00823A50">
              <w:rPr>
                <w:rFonts w:ascii="Times New Roman" w:hAnsi="Times New Roman"/>
                <w:szCs w:val="24"/>
              </w:rPr>
              <w:t xml:space="preserve">celu </w:t>
            </w:r>
            <w:r w:rsidRPr="00B3354F">
              <w:rPr>
                <w:rFonts w:ascii="Times New Roman" w:hAnsi="Times New Roman"/>
                <w:szCs w:val="24"/>
              </w:rPr>
              <w:t xml:space="preserve">przeciwdziałanie zjawisku </w:t>
            </w:r>
            <w:r w:rsidRPr="00BB2D9A">
              <w:rPr>
                <w:rFonts w:ascii="Times New Roman" w:hAnsi="Times New Roman"/>
                <w:i/>
                <w:szCs w:val="24"/>
              </w:rPr>
              <w:t>forum shopping</w:t>
            </w:r>
            <w:r w:rsidR="00BB2D9A">
              <w:rPr>
                <w:rFonts w:ascii="Times New Roman" w:hAnsi="Times New Roman"/>
                <w:szCs w:val="24"/>
              </w:rPr>
              <w:t>,</w:t>
            </w:r>
            <w:r w:rsidRPr="00B3354F">
              <w:rPr>
                <w:rFonts w:ascii="Times New Roman" w:hAnsi="Times New Roman"/>
                <w:szCs w:val="24"/>
              </w:rPr>
              <w:t xml:space="preserve"> opartemu na kalkulacji przedsiębiorstw co do tego, w którym z państw członkowskich mogą liczyć na bardzo niskie kary lub całkowity ich brak.</w:t>
            </w:r>
          </w:p>
          <w:p w14:paraId="145B2C7E" w14:textId="77777777" w:rsidR="00234141" w:rsidRPr="00234141" w:rsidRDefault="00234141" w:rsidP="00B3354F">
            <w:pPr>
              <w:spacing w:after="120"/>
              <w:ind w:firstLine="776"/>
              <w:jc w:val="both"/>
              <w:rPr>
                <w:rFonts w:ascii="Times New Roman" w:hAnsi="Times New Roman"/>
                <w:b/>
                <w:i/>
                <w:szCs w:val="24"/>
              </w:rPr>
            </w:pPr>
            <w:r w:rsidRPr="00234141">
              <w:rPr>
                <w:rFonts w:ascii="Times New Roman" w:hAnsi="Times New Roman"/>
                <w:b/>
                <w:i/>
                <w:szCs w:val="24"/>
              </w:rPr>
              <w:t>a) Kary nakładane na związki przedsiębiorców</w:t>
            </w:r>
          </w:p>
          <w:p w14:paraId="08C68903" w14:textId="31038BB4" w:rsidR="00234141" w:rsidRDefault="003E36EE" w:rsidP="00F17FC1">
            <w:pPr>
              <w:ind w:firstLine="777"/>
              <w:jc w:val="both"/>
              <w:rPr>
                <w:rFonts w:ascii="Times New Roman" w:hAnsi="Times New Roman"/>
                <w:szCs w:val="24"/>
              </w:rPr>
            </w:pPr>
            <w:r>
              <w:rPr>
                <w:rFonts w:ascii="Times New Roman" w:hAnsi="Times New Roman"/>
                <w:szCs w:val="24"/>
              </w:rPr>
              <w:t>Dyrektywa</w:t>
            </w:r>
            <w:r w:rsidR="00234141" w:rsidRPr="00234141">
              <w:rPr>
                <w:rFonts w:ascii="Times New Roman" w:hAnsi="Times New Roman"/>
                <w:szCs w:val="24"/>
              </w:rPr>
              <w:t xml:space="preserve"> przewiduje, że organy antymonopolowe powinny mieć uprawnienie do nakładania kar pieniężnych na związki przedsiębiorców. W celu zapewnienia skutecznego ściągania kar pieniężnych nałożonych na związki przedsiębiorstw, </w:t>
            </w:r>
            <w:r>
              <w:rPr>
                <w:rFonts w:ascii="Times New Roman" w:hAnsi="Times New Roman"/>
                <w:szCs w:val="24"/>
              </w:rPr>
              <w:t>Dyrektywa wskazuje</w:t>
            </w:r>
            <w:r w:rsidR="00234141" w:rsidRPr="00234141">
              <w:rPr>
                <w:rFonts w:ascii="Times New Roman" w:hAnsi="Times New Roman"/>
                <w:szCs w:val="24"/>
              </w:rPr>
              <w:t>, że w sytuacji gdy na związek przedsiębiorstw zostaje nałożona kara za naruszenie art. 101 lub 102 TFUE</w:t>
            </w:r>
            <w:r w:rsidR="00F17FC1">
              <w:rPr>
                <w:rFonts w:ascii="Times New Roman" w:hAnsi="Times New Roman"/>
                <w:szCs w:val="24"/>
              </w:rPr>
              <w:t>,</w:t>
            </w:r>
            <w:r w:rsidR="00234141" w:rsidRPr="00234141">
              <w:rPr>
                <w:rFonts w:ascii="Times New Roman" w:hAnsi="Times New Roman"/>
                <w:szCs w:val="24"/>
              </w:rPr>
              <w:t xml:space="preserve"> uwzględniająca obrót jego członków, a związek ten nie jest wypłacalny, był on zobowiązany do wezwania swoich członków do wniesienia wkładów w celu pokrycia kwoty kary. Dyrektywa wskazuje ponadto, że organy antymonopolowe nie będą mogły żądać zapłaty kary od przedsiębiorstw, które wykażą, że nie wdrożyły decyzji związku powodującej naruszenie i albo nie widziały o jej istnieniu, albo aktywnie zdystansowały się od niej przed wszczęciem postępowania.</w:t>
            </w:r>
          </w:p>
          <w:p w14:paraId="4382E426" w14:textId="77777777" w:rsidR="00A61BB4" w:rsidRDefault="00237601" w:rsidP="00F17FC1">
            <w:pPr>
              <w:ind w:firstLine="777"/>
              <w:jc w:val="both"/>
              <w:rPr>
                <w:rFonts w:ascii="Times New Roman" w:hAnsi="Times New Roman"/>
                <w:szCs w:val="24"/>
              </w:rPr>
            </w:pPr>
            <w:proofErr w:type="spellStart"/>
            <w:r>
              <w:rPr>
                <w:rFonts w:ascii="Times New Roman" w:hAnsi="Times New Roman"/>
                <w:szCs w:val="24"/>
              </w:rPr>
              <w:t>U.o.k.k</w:t>
            </w:r>
            <w:proofErr w:type="spellEnd"/>
            <w:r>
              <w:rPr>
                <w:rFonts w:ascii="Times New Roman" w:hAnsi="Times New Roman"/>
                <w:szCs w:val="24"/>
              </w:rPr>
              <w:t>.</w:t>
            </w:r>
            <w:r w:rsidR="00F17FC1" w:rsidRPr="00F17FC1">
              <w:rPr>
                <w:rFonts w:ascii="Times New Roman" w:hAnsi="Times New Roman"/>
                <w:szCs w:val="24"/>
              </w:rPr>
              <w:t xml:space="preserve"> nie zawiera obecnie szczególnej regulacji dotyczącej nakładania kar na związki przedsiębiorców</w:t>
            </w:r>
            <w:r>
              <w:rPr>
                <w:rFonts w:ascii="Times New Roman" w:hAnsi="Times New Roman"/>
                <w:szCs w:val="24"/>
              </w:rPr>
              <w:t xml:space="preserve"> - z</w:t>
            </w:r>
            <w:r w:rsidR="00F17FC1" w:rsidRPr="00F17FC1">
              <w:rPr>
                <w:rFonts w:ascii="Times New Roman" w:hAnsi="Times New Roman"/>
                <w:szCs w:val="24"/>
              </w:rPr>
              <w:t xml:space="preserve">wiązek przedsiębiorców traktowany jest na potrzeby nałożenia kary pieniężnej jako jeden przedsiębiorca. </w:t>
            </w:r>
            <w:proofErr w:type="spellStart"/>
            <w:r w:rsidR="00F17FC1" w:rsidRPr="00F17FC1">
              <w:rPr>
                <w:rFonts w:ascii="Times New Roman" w:hAnsi="Times New Roman"/>
                <w:szCs w:val="24"/>
              </w:rPr>
              <w:t>U</w:t>
            </w:r>
            <w:r>
              <w:rPr>
                <w:rFonts w:ascii="Times New Roman" w:hAnsi="Times New Roman"/>
                <w:szCs w:val="24"/>
              </w:rPr>
              <w:t>.o.k.k</w:t>
            </w:r>
            <w:proofErr w:type="spellEnd"/>
            <w:r>
              <w:rPr>
                <w:rFonts w:ascii="Times New Roman" w:hAnsi="Times New Roman"/>
                <w:szCs w:val="24"/>
              </w:rPr>
              <w:t>.</w:t>
            </w:r>
            <w:r w:rsidR="00F17FC1" w:rsidRPr="00F17FC1">
              <w:rPr>
                <w:rFonts w:ascii="Times New Roman" w:hAnsi="Times New Roman"/>
                <w:szCs w:val="24"/>
              </w:rPr>
              <w:t xml:space="preserve"> nie zawiera również szczególnych regulacji</w:t>
            </w:r>
            <w:r w:rsidR="00A61BB4">
              <w:rPr>
                <w:rFonts w:ascii="Times New Roman" w:hAnsi="Times New Roman"/>
                <w:szCs w:val="24"/>
              </w:rPr>
              <w:t>,</w:t>
            </w:r>
            <w:r w:rsidR="00F17FC1" w:rsidRPr="00F17FC1">
              <w:rPr>
                <w:rFonts w:ascii="Times New Roman" w:hAnsi="Times New Roman"/>
                <w:szCs w:val="24"/>
              </w:rPr>
              <w:t xml:space="preserve"> dotyczących obliczania obrotu związku przedsiębiorców oraz jego poszczególnych członków na potrzeby nakładania kary pieniężnej, ani pozwalających na egzekwowanie kary pieniężnej w przypadku niewypłacalności związku. </w:t>
            </w:r>
          </w:p>
          <w:p w14:paraId="0F775827" w14:textId="741D0E3D" w:rsidR="00F17FC1" w:rsidRDefault="00F17FC1" w:rsidP="00A61BB4">
            <w:pPr>
              <w:spacing w:after="120"/>
              <w:ind w:firstLine="777"/>
              <w:jc w:val="both"/>
              <w:rPr>
                <w:rFonts w:ascii="Times New Roman" w:hAnsi="Times New Roman"/>
                <w:szCs w:val="24"/>
              </w:rPr>
            </w:pPr>
            <w:r w:rsidRPr="00F17FC1">
              <w:rPr>
                <w:rFonts w:ascii="Times New Roman" w:hAnsi="Times New Roman"/>
                <w:szCs w:val="24"/>
              </w:rPr>
              <w:t xml:space="preserve">Z uwagi na powyższe koniecznym jest dostosowanie obecnie obowiązujących przepisów poprzez wprowadzenie </w:t>
            </w:r>
            <w:r w:rsidR="00A61BB4">
              <w:rPr>
                <w:rFonts w:ascii="Times New Roman" w:hAnsi="Times New Roman"/>
                <w:szCs w:val="24"/>
              </w:rPr>
              <w:t xml:space="preserve">rozwiązań, </w:t>
            </w:r>
            <w:r w:rsidRPr="00F17FC1">
              <w:rPr>
                <w:rFonts w:ascii="Times New Roman" w:hAnsi="Times New Roman"/>
                <w:szCs w:val="24"/>
              </w:rPr>
              <w:t>dotyczących tej kateg</w:t>
            </w:r>
            <w:r w:rsidR="00A61BB4">
              <w:rPr>
                <w:rFonts w:ascii="Times New Roman" w:hAnsi="Times New Roman"/>
                <w:szCs w:val="24"/>
              </w:rPr>
              <w:t>orii podmiotów, które pozwoliły</w:t>
            </w:r>
            <w:r w:rsidRPr="00F17FC1">
              <w:rPr>
                <w:rFonts w:ascii="Times New Roman" w:hAnsi="Times New Roman"/>
                <w:szCs w:val="24"/>
              </w:rPr>
              <w:t>by na traktowanie ich w sposób zgodny z wymogami Dyrektywy.</w:t>
            </w:r>
          </w:p>
          <w:p w14:paraId="19B8411C" w14:textId="092E5379" w:rsidR="005902E0" w:rsidRDefault="005902E0" w:rsidP="00A61BB4">
            <w:pPr>
              <w:spacing w:after="120"/>
              <w:ind w:firstLine="777"/>
              <w:jc w:val="both"/>
              <w:rPr>
                <w:rFonts w:ascii="Times New Roman" w:hAnsi="Times New Roman"/>
                <w:b/>
                <w:bCs/>
                <w:i/>
                <w:szCs w:val="24"/>
              </w:rPr>
            </w:pPr>
            <w:r w:rsidRPr="005902E0">
              <w:rPr>
                <w:rFonts w:ascii="Times New Roman" w:hAnsi="Times New Roman"/>
                <w:b/>
                <w:i/>
                <w:szCs w:val="24"/>
              </w:rPr>
              <w:t xml:space="preserve">b) </w:t>
            </w:r>
            <w:r w:rsidRPr="005902E0">
              <w:rPr>
                <w:rFonts w:ascii="Times New Roman" w:hAnsi="Times New Roman"/>
                <w:b/>
                <w:bCs/>
                <w:i/>
                <w:szCs w:val="24"/>
              </w:rPr>
              <w:t>Kara pieniężna obliczana proporcjonalnie do światowego całkowitego obrotu przedsiębiorstw</w:t>
            </w:r>
          </w:p>
          <w:p w14:paraId="50333722" w14:textId="4A59008F" w:rsidR="003E36EE" w:rsidRDefault="003E36EE" w:rsidP="00B3031E">
            <w:pPr>
              <w:ind w:firstLine="777"/>
              <w:jc w:val="both"/>
              <w:rPr>
                <w:rFonts w:ascii="Times New Roman" w:hAnsi="Times New Roman"/>
                <w:szCs w:val="24"/>
              </w:rPr>
            </w:pPr>
            <w:r w:rsidRPr="003E36EE">
              <w:rPr>
                <w:rFonts w:ascii="Times New Roman" w:hAnsi="Times New Roman"/>
                <w:szCs w:val="24"/>
              </w:rPr>
              <w:t xml:space="preserve">Dyrektywa przewiduje, że kary pieniężne </w:t>
            </w:r>
            <w:r w:rsidR="000D64E2">
              <w:rPr>
                <w:rFonts w:ascii="Times New Roman" w:hAnsi="Times New Roman"/>
                <w:szCs w:val="24"/>
              </w:rPr>
              <w:t xml:space="preserve">nałożone za naruszenia </w:t>
            </w:r>
            <w:r w:rsidR="000D64E2" w:rsidRPr="003E36EE">
              <w:rPr>
                <w:rFonts w:ascii="Times New Roman" w:hAnsi="Times New Roman"/>
                <w:szCs w:val="24"/>
              </w:rPr>
              <w:t xml:space="preserve">do których doszło w trakcie bądź w związku </w:t>
            </w:r>
            <w:r w:rsidR="00A7773B">
              <w:rPr>
                <w:rFonts w:ascii="Times New Roman" w:hAnsi="Times New Roman"/>
                <w:szCs w:val="24"/>
              </w:rPr>
              <w:br/>
            </w:r>
            <w:r w:rsidR="000D64E2" w:rsidRPr="003E36EE">
              <w:rPr>
                <w:rFonts w:ascii="Times New Roman" w:hAnsi="Times New Roman"/>
                <w:szCs w:val="24"/>
              </w:rPr>
              <w:t xml:space="preserve">z kontrolą oraz </w:t>
            </w:r>
            <w:r w:rsidR="000D64E2">
              <w:rPr>
                <w:rFonts w:ascii="Times New Roman" w:hAnsi="Times New Roman"/>
                <w:szCs w:val="24"/>
              </w:rPr>
              <w:t xml:space="preserve">wynikłe z </w:t>
            </w:r>
            <w:r w:rsidR="000D64E2" w:rsidRPr="003E36EE">
              <w:rPr>
                <w:rFonts w:ascii="Times New Roman" w:hAnsi="Times New Roman"/>
                <w:szCs w:val="24"/>
              </w:rPr>
              <w:t xml:space="preserve">niezastosowania się do decyzji wydawanych przez organy ochrony konkurencji </w:t>
            </w:r>
            <w:r w:rsidRPr="003E36EE">
              <w:rPr>
                <w:rFonts w:ascii="Times New Roman" w:hAnsi="Times New Roman"/>
                <w:szCs w:val="24"/>
              </w:rPr>
              <w:t xml:space="preserve">powinny być </w:t>
            </w:r>
            <w:r w:rsidRPr="003E36EE">
              <w:rPr>
                <w:rFonts w:ascii="Times New Roman" w:hAnsi="Times New Roman"/>
                <w:szCs w:val="24"/>
              </w:rPr>
              <w:lastRenderedPageBreak/>
              <w:t xml:space="preserve">nakładane proporcjonalnie do światowego całkowitego obrotu przedsiębiorstw </w:t>
            </w:r>
            <w:r w:rsidR="000D64E2">
              <w:rPr>
                <w:rFonts w:ascii="Times New Roman" w:hAnsi="Times New Roman"/>
                <w:szCs w:val="24"/>
              </w:rPr>
              <w:t xml:space="preserve">niezależnie od </w:t>
            </w:r>
            <w:r w:rsidRPr="003E36EE">
              <w:rPr>
                <w:rFonts w:ascii="Times New Roman" w:hAnsi="Times New Roman"/>
                <w:szCs w:val="24"/>
              </w:rPr>
              <w:t xml:space="preserve">umyślnego bądź nieumyślnego </w:t>
            </w:r>
            <w:r w:rsidR="000D64E2">
              <w:rPr>
                <w:rFonts w:ascii="Times New Roman" w:hAnsi="Times New Roman"/>
                <w:szCs w:val="24"/>
              </w:rPr>
              <w:t>ich charakteru</w:t>
            </w:r>
            <w:r w:rsidRPr="003E36EE">
              <w:rPr>
                <w:rFonts w:ascii="Times New Roman" w:hAnsi="Times New Roman"/>
                <w:szCs w:val="24"/>
              </w:rPr>
              <w:t xml:space="preserve">. </w:t>
            </w:r>
            <w:r w:rsidR="000D64E2">
              <w:rPr>
                <w:rFonts w:ascii="Times New Roman" w:hAnsi="Times New Roman"/>
                <w:szCs w:val="24"/>
              </w:rPr>
              <w:t>Możliwość n</w:t>
            </w:r>
            <w:r w:rsidRPr="003E36EE">
              <w:rPr>
                <w:rFonts w:ascii="Times New Roman" w:hAnsi="Times New Roman"/>
                <w:szCs w:val="24"/>
              </w:rPr>
              <w:t xml:space="preserve">akładanie kar </w:t>
            </w:r>
            <w:r w:rsidR="000D64E2">
              <w:rPr>
                <w:rFonts w:ascii="Times New Roman" w:hAnsi="Times New Roman"/>
                <w:szCs w:val="24"/>
              </w:rPr>
              <w:t xml:space="preserve">w tym zakresie </w:t>
            </w:r>
            <w:r w:rsidRPr="003E36EE">
              <w:rPr>
                <w:rFonts w:ascii="Times New Roman" w:hAnsi="Times New Roman"/>
                <w:szCs w:val="24"/>
              </w:rPr>
              <w:t xml:space="preserve">ma na celu zapewnienie </w:t>
            </w:r>
            <w:r w:rsidR="00FE1868">
              <w:rPr>
                <w:rFonts w:ascii="Times New Roman" w:hAnsi="Times New Roman"/>
                <w:szCs w:val="24"/>
              </w:rPr>
              <w:t xml:space="preserve">respektowania przez </w:t>
            </w:r>
            <w:r w:rsidRPr="003E36EE">
              <w:rPr>
                <w:rFonts w:ascii="Times New Roman" w:hAnsi="Times New Roman"/>
                <w:szCs w:val="24"/>
              </w:rPr>
              <w:t>przedsiębiorc</w:t>
            </w:r>
            <w:r w:rsidR="00FE1868">
              <w:rPr>
                <w:rFonts w:ascii="Times New Roman" w:hAnsi="Times New Roman"/>
                <w:szCs w:val="24"/>
              </w:rPr>
              <w:t>ów</w:t>
            </w:r>
            <w:r w:rsidRPr="003E36EE">
              <w:rPr>
                <w:rFonts w:ascii="Times New Roman" w:hAnsi="Times New Roman"/>
                <w:szCs w:val="24"/>
              </w:rPr>
              <w:t xml:space="preserve"> działań dochodzeniowych oraz decyzji organów ochrony konkurencji.</w:t>
            </w:r>
          </w:p>
          <w:p w14:paraId="5400AEC4" w14:textId="6FA45CB3" w:rsidR="00B3031E" w:rsidRPr="00B3031E" w:rsidRDefault="00B3031E" w:rsidP="00B3031E">
            <w:pPr>
              <w:ind w:firstLine="777"/>
              <w:jc w:val="both"/>
              <w:rPr>
                <w:rFonts w:ascii="Times New Roman" w:hAnsi="Times New Roman"/>
                <w:szCs w:val="24"/>
              </w:rPr>
            </w:pPr>
            <w:r w:rsidRPr="00B3031E">
              <w:rPr>
                <w:rFonts w:ascii="Times New Roman" w:hAnsi="Times New Roman"/>
                <w:szCs w:val="24"/>
              </w:rPr>
              <w:t>Odpowiedni</w:t>
            </w:r>
            <w:r w:rsidR="005B26DF">
              <w:rPr>
                <w:rFonts w:ascii="Times New Roman" w:hAnsi="Times New Roman"/>
                <w:szCs w:val="24"/>
              </w:rPr>
              <w:t xml:space="preserve">kiem </w:t>
            </w:r>
            <w:r w:rsidRPr="00B3031E">
              <w:rPr>
                <w:rFonts w:ascii="Times New Roman" w:hAnsi="Times New Roman"/>
                <w:szCs w:val="24"/>
              </w:rPr>
              <w:t xml:space="preserve">art. 13 ust. 2 Dyrektywy w ustawie o ochronie konkurencji i konsumentów jest art. 106 ust. 2, który przewiduje sankcje dla przedsiębiorców, którzy nie współpracują z Prezesem UOKiK na etapie gromadzenia materiału dowodowego lub też przekazują organowi antymonopolowemu informacje lub dokumenty, które są w różny sposób wadliwe (błędne) oraz przewidujący karę za naruszenia związane z kontrolą i przeszukaniem. Przewiduje on karę pieniężną w wysokości do 2 000 000 zł. Wysokość kary została określona jako maksymalna jej kwota. </w:t>
            </w:r>
            <w:r w:rsidR="006C4666">
              <w:rPr>
                <w:rFonts w:ascii="Times New Roman" w:hAnsi="Times New Roman"/>
                <w:szCs w:val="24"/>
              </w:rPr>
              <w:t xml:space="preserve">Mając na względzie wymagania Dyrektywy, </w:t>
            </w:r>
            <w:r w:rsidRPr="00B3031E">
              <w:rPr>
                <w:rFonts w:ascii="Times New Roman" w:hAnsi="Times New Roman"/>
                <w:szCs w:val="24"/>
              </w:rPr>
              <w:t xml:space="preserve">konieczna jest </w:t>
            </w:r>
            <w:r w:rsidR="00C469F4">
              <w:rPr>
                <w:rFonts w:ascii="Times New Roman" w:hAnsi="Times New Roman"/>
                <w:szCs w:val="24"/>
              </w:rPr>
              <w:t>nowelizacja</w:t>
            </w:r>
            <w:r w:rsidRPr="00B3031E">
              <w:rPr>
                <w:rFonts w:ascii="Times New Roman" w:hAnsi="Times New Roman"/>
                <w:szCs w:val="24"/>
              </w:rPr>
              <w:t xml:space="preserve"> </w:t>
            </w:r>
            <w:r w:rsidR="0040786C">
              <w:rPr>
                <w:rFonts w:ascii="Times New Roman" w:hAnsi="Times New Roman"/>
                <w:szCs w:val="24"/>
              </w:rPr>
              <w:t xml:space="preserve">obecnego brzmienia </w:t>
            </w:r>
            <w:proofErr w:type="spellStart"/>
            <w:r w:rsidR="0040786C">
              <w:rPr>
                <w:rFonts w:ascii="Times New Roman" w:hAnsi="Times New Roman"/>
                <w:szCs w:val="24"/>
              </w:rPr>
              <w:t>u.o.k.k</w:t>
            </w:r>
            <w:proofErr w:type="spellEnd"/>
            <w:r w:rsidR="0040786C">
              <w:rPr>
                <w:rFonts w:ascii="Times New Roman" w:hAnsi="Times New Roman"/>
                <w:szCs w:val="24"/>
              </w:rPr>
              <w:t xml:space="preserve">. w tym zakresie. </w:t>
            </w:r>
          </w:p>
          <w:p w14:paraId="1FC81C0D" w14:textId="342A2CE3" w:rsidR="00A7773B" w:rsidRDefault="00B3031E" w:rsidP="009310FA">
            <w:pPr>
              <w:ind w:firstLine="777"/>
              <w:jc w:val="both"/>
              <w:rPr>
                <w:rFonts w:ascii="Times New Roman" w:hAnsi="Times New Roman"/>
                <w:szCs w:val="24"/>
              </w:rPr>
            </w:pPr>
            <w:r w:rsidRPr="00B3031E">
              <w:rPr>
                <w:rFonts w:ascii="Times New Roman" w:hAnsi="Times New Roman"/>
                <w:szCs w:val="24"/>
              </w:rPr>
              <w:t xml:space="preserve">Ponadto </w:t>
            </w:r>
            <w:r w:rsidR="00C469F4">
              <w:rPr>
                <w:rFonts w:ascii="Times New Roman" w:hAnsi="Times New Roman"/>
                <w:szCs w:val="24"/>
              </w:rPr>
              <w:t>niezbędne</w:t>
            </w:r>
            <w:r w:rsidRPr="00B3031E">
              <w:rPr>
                <w:rFonts w:ascii="Times New Roman" w:hAnsi="Times New Roman"/>
                <w:szCs w:val="24"/>
              </w:rPr>
              <w:t xml:space="preserve"> jest rozszerzenie określonego w art. 106 ust. 2 katalogu czynów</w:t>
            </w:r>
            <w:r w:rsidR="00C469F4">
              <w:rPr>
                <w:rFonts w:ascii="Times New Roman" w:hAnsi="Times New Roman"/>
                <w:szCs w:val="24"/>
              </w:rPr>
              <w:t>,</w:t>
            </w:r>
            <w:r w:rsidRPr="00B3031E">
              <w:rPr>
                <w:rFonts w:ascii="Times New Roman" w:hAnsi="Times New Roman"/>
                <w:szCs w:val="24"/>
              </w:rPr>
              <w:t xml:space="preserve"> podlegających karze pieniężnej nakładanej przez Prezesa UOKiK</w:t>
            </w:r>
            <w:r w:rsidR="00C469F4">
              <w:rPr>
                <w:rFonts w:ascii="Times New Roman" w:hAnsi="Times New Roman"/>
                <w:szCs w:val="24"/>
              </w:rPr>
              <w:t>,</w:t>
            </w:r>
            <w:r w:rsidRPr="00B3031E">
              <w:rPr>
                <w:rFonts w:ascii="Times New Roman" w:hAnsi="Times New Roman"/>
                <w:szCs w:val="24"/>
              </w:rPr>
              <w:t xml:space="preserve"> o możliwość nałożenia kary za niewykonanie decyzji Prezesa UOKiK.</w:t>
            </w:r>
          </w:p>
          <w:p w14:paraId="67947FFE" w14:textId="5AE8E873" w:rsidR="00600550" w:rsidRDefault="005B26DF" w:rsidP="009310FA">
            <w:pPr>
              <w:spacing w:after="120"/>
              <w:ind w:firstLine="777"/>
              <w:jc w:val="both"/>
              <w:rPr>
                <w:rFonts w:ascii="Times New Roman" w:hAnsi="Times New Roman"/>
                <w:szCs w:val="24"/>
              </w:rPr>
            </w:pPr>
            <w:r>
              <w:rPr>
                <w:rFonts w:ascii="Times New Roman" w:hAnsi="Times New Roman"/>
                <w:szCs w:val="24"/>
              </w:rPr>
              <w:t xml:space="preserve">Poza tym, w celu skutecznego stosowania przepisów wdrażających Dyrektywę konieczne są zmiany w </w:t>
            </w:r>
            <w:r w:rsidR="001050F0">
              <w:rPr>
                <w:rFonts w:ascii="Times New Roman" w:hAnsi="Times New Roman"/>
                <w:szCs w:val="24"/>
              </w:rPr>
              <w:t xml:space="preserve">art. 108 </w:t>
            </w:r>
            <w:proofErr w:type="spellStart"/>
            <w:r w:rsidR="001050F0">
              <w:rPr>
                <w:rFonts w:ascii="Times New Roman" w:hAnsi="Times New Roman"/>
                <w:szCs w:val="24"/>
              </w:rPr>
              <w:t>u.o.k.k</w:t>
            </w:r>
            <w:proofErr w:type="spellEnd"/>
            <w:r w:rsidR="001050F0">
              <w:rPr>
                <w:rFonts w:ascii="Times New Roman" w:hAnsi="Times New Roman"/>
                <w:szCs w:val="24"/>
              </w:rPr>
              <w:t>.</w:t>
            </w:r>
            <w:r>
              <w:rPr>
                <w:rFonts w:ascii="Times New Roman" w:hAnsi="Times New Roman"/>
                <w:szCs w:val="24"/>
              </w:rPr>
              <w:t>, który daje możliwość nakładania</w:t>
            </w:r>
            <w:r w:rsidRPr="005B26DF">
              <w:rPr>
                <w:rFonts w:ascii="Times New Roman" w:hAnsi="Times New Roman"/>
                <w:szCs w:val="24"/>
              </w:rPr>
              <w:t xml:space="preserve"> </w:t>
            </w:r>
            <w:r>
              <w:rPr>
                <w:rFonts w:ascii="Times New Roman" w:hAnsi="Times New Roman"/>
                <w:szCs w:val="24"/>
              </w:rPr>
              <w:t xml:space="preserve">przez organ antymonopolowy </w:t>
            </w:r>
            <w:r w:rsidRPr="005B26DF">
              <w:rPr>
                <w:rFonts w:ascii="Times New Roman" w:hAnsi="Times New Roman"/>
                <w:szCs w:val="24"/>
              </w:rPr>
              <w:t xml:space="preserve">kar </w:t>
            </w:r>
            <w:r>
              <w:rPr>
                <w:rFonts w:ascii="Times New Roman" w:hAnsi="Times New Roman"/>
                <w:szCs w:val="24"/>
              </w:rPr>
              <w:t>na osoby fizyczne</w:t>
            </w:r>
            <w:r w:rsidRPr="005B26DF">
              <w:rPr>
                <w:rFonts w:ascii="Times New Roman" w:hAnsi="Times New Roman"/>
                <w:szCs w:val="24"/>
              </w:rPr>
              <w:t xml:space="preserve"> za </w:t>
            </w:r>
            <w:r w:rsidR="001050F0">
              <w:rPr>
                <w:rFonts w:ascii="Times New Roman" w:hAnsi="Times New Roman"/>
                <w:szCs w:val="24"/>
              </w:rPr>
              <w:t xml:space="preserve">określone naruszenia przepisów </w:t>
            </w:r>
            <w:proofErr w:type="spellStart"/>
            <w:r w:rsidR="001050F0">
              <w:rPr>
                <w:rFonts w:ascii="Times New Roman" w:hAnsi="Times New Roman"/>
                <w:szCs w:val="24"/>
              </w:rPr>
              <w:t>u.o.k.k</w:t>
            </w:r>
            <w:proofErr w:type="spellEnd"/>
            <w:r w:rsidR="001050F0">
              <w:rPr>
                <w:rFonts w:ascii="Times New Roman" w:hAnsi="Times New Roman"/>
                <w:szCs w:val="24"/>
              </w:rPr>
              <w:t xml:space="preserve">., takie jak nieuprawnione wykorzystanie oświadczeń składanych w ramach programu łagodzenia kar lub w ramach procedury dobrowolnego poddania się karze, nieuzasadniona odmowa zeznań lub niestawiennictwo osoby reprezentującej przedsiębiorcę na przesłuchaniu czy też odmowa udzielenia przez osobę fizyczną informacji, o które występuje Prezes UOKiK na podstawie art. 50 </w:t>
            </w:r>
            <w:proofErr w:type="spellStart"/>
            <w:r w:rsidR="001050F0">
              <w:rPr>
                <w:rFonts w:ascii="Times New Roman" w:hAnsi="Times New Roman"/>
                <w:szCs w:val="24"/>
              </w:rPr>
              <w:t>u.o.k.k</w:t>
            </w:r>
            <w:proofErr w:type="spellEnd"/>
            <w:r w:rsidR="001050F0">
              <w:rPr>
                <w:rFonts w:ascii="Times New Roman" w:hAnsi="Times New Roman"/>
                <w:szCs w:val="24"/>
              </w:rPr>
              <w:t>.</w:t>
            </w:r>
            <w:r w:rsidR="00EA0843">
              <w:rPr>
                <w:rFonts w:ascii="Times New Roman" w:hAnsi="Times New Roman"/>
                <w:szCs w:val="24"/>
              </w:rPr>
              <w:t>:</w:t>
            </w:r>
            <w:r>
              <w:rPr>
                <w:rFonts w:ascii="Times New Roman" w:hAnsi="Times New Roman"/>
                <w:szCs w:val="24"/>
              </w:rPr>
              <w:t xml:space="preserve">- </w:t>
            </w:r>
            <w:r w:rsidRPr="005B26DF">
              <w:rPr>
                <w:rFonts w:ascii="Times New Roman" w:hAnsi="Times New Roman"/>
                <w:szCs w:val="24"/>
              </w:rPr>
              <w:t>wprowadzenie kar</w:t>
            </w:r>
            <w:r>
              <w:rPr>
                <w:rFonts w:ascii="Times New Roman" w:hAnsi="Times New Roman"/>
                <w:szCs w:val="24"/>
              </w:rPr>
              <w:t>y</w:t>
            </w:r>
            <w:r w:rsidRPr="005B26DF">
              <w:rPr>
                <w:rFonts w:ascii="Times New Roman" w:hAnsi="Times New Roman"/>
                <w:szCs w:val="24"/>
              </w:rPr>
              <w:t xml:space="preserve"> za nieuprawnione wykorzystanie oświadczeń w ramach programu łagodzenia kar, oświadczeń przedsiębiorcy lub osoby zarządzającej występującej z wnioskiem </w:t>
            </w:r>
            <w:r w:rsidR="00A7773B">
              <w:rPr>
                <w:rFonts w:ascii="Times New Roman" w:hAnsi="Times New Roman"/>
                <w:szCs w:val="24"/>
              </w:rPr>
              <w:br/>
            </w:r>
            <w:r w:rsidRPr="005B26DF">
              <w:rPr>
                <w:rFonts w:ascii="Times New Roman" w:hAnsi="Times New Roman"/>
                <w:szCs w:val="24"/>
              </w:rPr>
              <w:t>o odstąpienie lub obniżenie kary pieniężnej, propozycji ugodowych lub oświadczenia strony, o którym mowa w art. 89a ust. 8 informacji i dowodów uzyskanych przez Prezesa Urzędu w związku z zastosowaniem art. 89a w innym celu niż określony w art. 70 ust. 2</w:t>
            </w:r>
            <w:r>
              <w:rPr>
                <w:rFonts w:ascii="Times New Roman" w:hAnsi="Times New Roman"/>
                <w:szCs w:val="24"/>
              </w:rPr>
              <w:t>,</w:t>
            </w:r>
            <w:r w:rsidRPr="005B26DF">
              <w:rPr>
                <w:rFonts w:ascii="Times New Roman" w:hAnsi="Times New Roman"/>
                <w:szCs w:val="24"/>
              </w:rPr>
              <w:t>- wprowadzenie kary na osobę upoważnioną do stawienia się w imieniu przedsiębiorcy na rozprawie lub przesłuchaniu za nieuzasadnioną odmowę zeznań lub nieuzasadnione niestawiennictwo na wezwanie Prezesa Urzędu (projektowany art.108 ust. 3 pkt 3),- wprowadzenie kary na osobę fizyczną, która nie udzieliła  informacji żądanych przez Prezesa Urzędu na podstawie art. 50 Ustawy bądź udzieliła nieprawdziwych lub wprowadzających w błąd informacji (projektowany art. 108 ust. 3a).</w:t>
            </w:r>
          </w:p>
          <w:p w14:paraId="6B08C582" w14:textId="77777777" w:rsidR="005E1A01" w:rsidRPr="005E1A01" w:rsidRDefault="005E1A01" w:rsidP="005E1A01">
            <w:pPr>
              <w:spacing w:after="120"/>
              <w:ind w:firstLine="777"/>
              <w:jc w:val="both"/>
              <w:rPr>
                <w:rFonts w:ascii="Times New Roman" w:hAnsi="Times New Roman"/>
                <w:b/>
                <w:bCs/>
                <w:i/>
                <w:szCs w:val="24"/>
              </w:rPr>
            </w:pPr>
            <w:r w:rsidRPr="005E1A01">
              <w:rPr>
                <w:rFonts w:ascii="Times New Roman" w:hAnsi="Times New Roman"/>
                <w:b/>
                <w:i/>
                <w:szCs w:val="24"/>
              </w:rPr>
              <w:t xml:space="preserve">c) </w:t>
            </w:r>
            <w:r w:rsidRPr="005E1A01">
              <w:rPr>
                <w:rFonts w:ascii="Times New Roman" w:hAnsi="Times New Roman"/>
                <w:b/>
                <w:bCs/>
                <w:i/>
                <w:szCs w:val="24"/>
              </w:rPr>
              <w:t>Okresowe kary pieniężne</w:t>
            </w:r>
          </w:p>
          <w:p w14:paraId="22FDEF50" w14:textId="01455057" w:rsidR="00265B9E" w:rsidRDefault="00265B9E" w:rsidP="00265B9E">
            <w:pPr>
              <w:ind w:firstLine="777"/>
              <w:jc w:val="both"/>
              <w:rPr>
                <w:rFonts w:ascii="Times New Roman" w:hAnsi="Times New Roman"/>
                <w:szCs w:val="24"/>
              </w:rPr>
            </w:pPr>
            <w:r w:rsidRPr="00265B9E">
              <w:rPr>
                <w:rFonts w:ascii="Times New Roman" w:hAnsi="Times New Roman"/>
                <w:szCs w:val="24"/>
              </w:rPr>
              <w:t>Dyrektywa</w:t>
            </w:r>
            <w:r>
              <w:rPr>
                <w:rFonts w:ascii="Times New Roman" w:hAnsi="Times New Roman"/>
                <w:szCs w:val="24"/>
              </w:rPr>
              <w:t xml:space="preserve"> </w:t>
            </w:r>
            <w:r w:rsidRPr="00265B9E">
              <w:rPr>
                <w:rFonts w:ascii="Times New Roman" w:hAnsi="Times New Roman"/>
                <w:szCs w:val="24"/>
              </w:rPr>
              <w:t xml:space="preserve">przewiduje nowy rodzaj kar – okresowe kary pieniężne, które są ustalane proporcjonalnie </w:t>
            </w:r>
            <w:r w:rsidRPr="00265B9E">
              <w:rPr>
                <w:rFonts w:ascii="Times New Roman" w:hAnsi="Times New Roman"/>
                <w:bCs/>
                <w:szCs w:val="24"/>
              </w:rPr>
              <w:t>do średniego dziennego całkowitego światowego obrotu</w:t>
            </w:r>
            <w:r w:rsidRPr="00265B9E">
              <w:rPr>
                <w:rFonts w:ascii="Times New Roman" w:hAnsi="Times New Roman"/>
                <w:szCs w:val="24"/>
              </w:rPr>
              <w:t xml:space="preserve"> przedsiębiorstwa lub związku przedsiębiorstw uzyskanego w poprzedzającym roku obrotowym i liczonego od daty wskazanej w tej decyzji. Celem tych kar jest nakłonienie przedsiębiorstwa do</w:t>
            </w:r>
            <w:r w:rsidR="00EA14DC">
              <w:rPr>
                <w:rFonts w:ascii="Times New Roman" w:hAnsi="Times New Roman"/>
                <w:szCs w:val="24"/>
              </w:rPr>
              <w:t>:</w:t>
            </w:r>
          </w:p>
          <w:p w14:paraId="5D9B3CBE" w14:textId="21C41E15" w:rsidR="00265B9E" w:rsidRDefault="00265B9E" w:rsidP="00265B9E">
            <w:pPr>
              <w:jc w:val="both"/>
              <w:rPr>
                <w:rFonts w:ascii="Times New Roman" w:hAnsi="Times New Roman"/>
                <w:szCs w:val="24"/>
              </w:rPr>
            </w:pPr>
            <w:r>
              <w:rPr>
                <w:rFonts w:ascii="Times New Roman" w:hAnsi="Times New Roman"/>
                <w:szCs w:val="24"/>
              </w:rPr>
              <w:t xml:space="preserve">- </w:t>
            </w:r>
            <w:r w:rsidRPr="00265B9E">
              <w:rPr>
                <w:rFonts w:ascii="Times New Roman" w:hAnsi="Times New Roman"/>
                <w:szCs w:val="24"/>
              </w:rPr>
              <w:t>dostarczenia pełnych i prawidłowych informacji w odpowiedzi na wniosek o informacje,</w:t>
            </w:r>
          </w:p>
          <w:p w14:paraId="2992BEB8" w14:textId="2AEA8876" w:rsidR="00671570" w:rsidRDefault="00265B9E" w:rsidP="00956BA5">
            <w:pPr>
              <w:jc w:val="both"/>
              <w:rPr>
                <w:rFonts w:ascii="Times New Roman" w:hAnsi="Times New Roman"/>
                <w:szCs w:val="24"/>
              </w:rPr>
            </w:pPr>
            <w:r>
              <w:rPr>
                <w:rFonts w:ascii="Times New Roman" w:hAnsi="Times New Roman"/>
                <w:szCs w:val="24"/>
              </w:rPr>
              <w:t>- stawienia się na przesłuchaniu</w:t>
            </w:r>
            <w:r w:rsidR="00EA14DC">
              <w:rPr>
                <w:rFonts w:ascii="Times New Roman" w:hAnsi="Times New Roman"/>
                <w:szCs w:val="24"/>
              </w:rPr>
              <w:t xml:space="preserve"> osoby lub osób reprezentujących przedsiębiorstwo</w:t>
            </w:r>
            <w:r w:rsidR="00671570">
              <w:rPr>
                <w:rFonts w:ascii="Times New Roman" w:hAnsi="Times New Roman"/>
                <w:szCs w:val="24"/>
              </w:rPr>
              <w:t>,</w:t>
            </w:r>
          </w:p>
          <w:p w14:paraId="6250B860" w14:textId="77777777" w:rsidR="00671570" w:rsidRDefault="00671570" w:rsidP="00956BA5">
            <w:pPr>
              <w:jc w:val="both"/>
              <w:rPr>
                <w:rFonts w:ascii="Times New Roman" w:hAnsi="Times New Roman"/>
                <w:szCs w:val="24"/>
              </w:rPr>
            </w:pPr>
            <w:r>
              <w:rPr>
                <w:rFonts w:ascii="Times New Roman" w:hAnsi="Times New Roman"/>
                <w:szCs w:val="24"/>
              </w:rPr>
              <w:t xml:space="preserve">- </w:t>
            </w:r>
            <w:r w:rsidRPr="00265B9E">
              <w:rPr>
                <w:rFonts w:ascii="Times New Roman" w:hAnsi="Times New Roman"/>
                <w:szCs w:val="24"/>
              </w:rPr>
              <w:t>poddania się kontroli</w:t>
            </w:r>
            <w:r>
              <w:rPr>
                <w:rFonts w:ascii="Times New Roman" w:hAnsi="Times New Roman"/>
                <w:szCs w:val="24"/>
              </w:rPr>
              <w:t>,</w:t>
            </w:r>
          </w:p>
          <w:p w14:paraId="76EBFDE1" w14:textId="7DB21D0D" w:rsidR="00265B9E" w:rsidRPr="00265B9E" w:rsidRDefault="00671570" w:rsidP="00956BA5">
            <w:pPr>
              <w:jc w:val="both"/>
              <w:rPr>
                <w:rFonts w:ascii="Times New Roman" w:hAnsi="Times New Roman"/>
                <w:szCs w:val="24"/>
              </w:rPr>
            </w:pPr>
            <w:r>
              <w:rPr>
                <w:rFonts w:ascii="Times New Roman" w:hAnsi="Times New Roman"/>
                <w:szCs w:val="24"/>
              </w:rPr>
              <w:t xml:space="preserve">- </w:t>
            </w:r>
            <w:r w:rsidRPr="00265B9E">
              <w:rPr>
                <w:rFonts w:ascii="Times New Roman" w:hAnsi="Times New Roman"/>
                <w:szCs w:val="24"/>
              </w:rPr>
              <w:t>zastosowania się do decyzji</w:t>
            </w:r>
            <w:r>
              <w:rPr>
                <w:rFonts w:ascii="Times New Roman" w:hAnsi="Times New Roman"/>
                <w:szCs w:val="24"/>
              </w:rPr>
              <w:t xml:space="preserve"> (decyzji stwierdzających naruszenie i nakazujących jego zaprzestania oraz nakładających środki zaradcze, decyzji nakładających środki tymczasowe oraz decyzji zobowiązujących).</w:t>
            </w:r>
          </w:p>
          <w:p w14:paraId="3C7CA4F4" w14:textId="4EA21D38" w:rsidR="00FF1192" w:rsidRPr="00FF1192" w:rsidRDefault="00FF1192" w:rsidP="00FF1192">
            <w:pPr>
              <w:ind w:firstLine="777"/>
              <w:jc w:val="both"/>
              <w:rPr>
                <w:rFonts w:ascii="Times New Roman" w:hAnsi="Times New Roman"/>
                <w:szCs w:val="24"/>
              </w:rPr>
            </w:pPr>
            <w:r w:rsidRPr="00FF1192">
              <w:rPr>
                <w:rFonts w:ascii="Times New Roman" w:hAnsi="Times New Roman"/>
                <w:szCs w:val="24"/>
              </w:rPr>
              <w:t xml:space="preserve">Należy wskazać, że </w:t>
            </w:r>
            <w:r>
              <w:rPr>
                <w:rFonts w:ascii="Times New Roman" w:hAnsi="Times New Roman"/>
                <w:szCs w:val="24"/>
              </w:rPr>
              <w:t xml:space="preserve">Dyrektywa przewiduje możliwość nakładania okresowych kar pieniężnych </w:t>
            </w:r>
            <w:r w:rsidRPr="00FF1192">
              <w:rPr>
                <w:rFonts w:ascii="Times New Roman" w:hAnsi="Times New Roman"/>
                <w:szCs w:val="24"/>
              </w:rPr>
              <w:t>obok kar</w:t>
            </w:r>
            <w:r w:rsidR="0096026C">
              <w:rPr>
                <w:rFonts w:ascii="Times New Roman" w:hAnsi="Times New Roman"/>
                <w:szCs w:val="24"/>
              </w:rPr>
              <w:t xml:space="preserve"> nakładanych na podstawie przepisów wdrażających art. 13 ust. 2 Dyrektywy, które także przewidziane są w sytuacji niepoddania się kontroli, niepodporządkowania się wnioskowi organu o dostarczenie informacji bądź stawienie się na przesłuchaniu lub niezastosowania się do decyzji organu</w:t>
            </w:r>
            <w:r w:rsidR="00C97ACD" w:rsidRPr="00C97ACD">
              <w:rPr>
                <w:rFonts w:ascii="Times New Roman" w:hAnsi="Times New Roman"/>
                <w:szCs w:val="24"/>
              </w:rPr>
              <w:t>.</w:t>
            </w:r>
            <w:r w:rsidR="00C97ACD">
              <w:rPr>
                <w:rFonts w:ascii="Times New Roman" w:hAnsi="Times New Roman"/>
                <w:szCs w:val="24"/>
              </w:rPr>
              <w:t xml:space="preserve"> </w:t>
            </w:r>
            <w:r w:rsidRPr="00FF1192">
              <w:rPr>
                <w:rFonts w:ascii="Times New Roman" w:hAnsi="Times New Roman"/>
                <w:szCs w:val="24"/>
              </w:rPr>
              <w:t xml:space="preserve">Dyrektywa przewiduje więc możliwość nałożenia na przedsiębiorcę proporcjonalnej kary pieniężnej za niezastosowanie się przedsiębiorcy do decyzji stwierdzającej naruszenie oraz </w:t>
            </w:r>
            <w:r w:rsidR="00FE1868">
              <w:rPr>
                <w:rFonts w:ascii="Times New Roman" w:hAnsi="Times New Roman"/>
                <w:szCs w:val="24"/>
              </w:rPr>
              <w:t xml:space="preserve">dodatkowo </w:t>
            </w:r>
            <w:r w:rsidRPr="00FF1192">
              <w:rPr>
                <w:rFonts w:ascii="Times New Roman" w:hAnsi="Times New Roman"/>
                <w:szCs w:val="24"/>
              </w:rPr>
              <w:t xml:space="preserve">okresowej kary pieniężnej liczonej od daty wskazanej w decyzji nakładającej </w:t>
            </w:r>
            <w:r w:rsidR="00FE1868">
              <w:rPr>
                <w:rFonts w:ascii="Times New Roman" w:hAnsi="Times New Roman"/>
                <w:szCs w:val="24"/>
              </w:rPr>
              <w:t>ww.</w:t>
            </w:r>
            <w:r w:rsidRPr="00FF1192">
              <w:rPr>
                <w:rFonts w:ascii="Times New Roman" w:hAnsi="Times New Roman"/>
                <w:szCs w:val="24"/>
              </w:rPr>
              <w:t xml:space="preserve"> karę, która ma na celu nakłonienie przedsiębiorcy do zastosowania się przedsiębiorcy do wykonania decyzji stwierdzającej naruszenie.</w:t>
            </w:r>
          </w:p>
          <w:p w14:paraId="5144FDC8" w14:textId="326AB7B4" w:rsidR="005902E0" w:rsidRPr="005902E0" w:rsidRDefault="00FF1192" w:rsidP="00A61BB4">
            <w:pPr>
              <w:spacing w:after="120"/>
              <w:ind w:firstLine="777"/>
              <w:jc w:val="both"/>
              <w:rPr>
                <w:rFonts w:ascii="Times New Roman" w:hAnsi="Times New Roman"/>
                <w:szCs w:val="24"/>
              </w:rPr>
            </w:pPr>
            <w:r w:rsidRPr="00FF1192">
              <w:rPr>
                <w:rFonts w:ascii="Times New Roman" w:hAnsi="Times New Roman"/>
                <w:szCs w:val="24"/>
              </w:rPr>
              <w:t>Prezes UOKiK nie ma obecnie możliwości nakładania okresowych kar pieniężnych</w:t>
            </w:r>
            <w:r w:rsidR="00FE1868">
              <w:rPr>
                <w:rFonts w:ascii="Times New Roman" w:hAnsi="Times New Roman"/>
                <w:szCs w:val="24"/>
              </w:rPr>
              <w:t>.</w:t>
            </w:r>
            <w:r w:rsidRPr="00FF1192">
              <w:rPr>
                <w:rFonts w:ascii="Times New Roman" w:hAnsi="Times New Roman"/>
                <w:szCs w:val="24"/>
              </w:rPr>
              <w:t xml:space="preserve"> </w:t>
            </w:r>
            <w:r w:rsidR="00FE1868">
              <w:rPr>
                <w:rFonts w:ascii="Times New Roman" w:hAnsi="Times New Roman"/>
                <w:szCs w:val="24"/>
              </w:rPr>
              <w:t>Z</w:t>
            </w:r>
            <w:r w:rsidRPr="00FF1192">
              <w:rPr>
                <w:rFonts w:ascii="Times New Roman" w:hAnsi="Times New Roman"/>
                <w:szCs w:val="24"/>
              </w:rPr>
              <w:t xml:space="preserve"> uwagi na powyższe konieczne jest dokonanie stosownych zmian w</w:t>
            </w:r>
            <w:r>
              <w:rPr>
                <w:rFonts w:ascii="Times New Roman" w:hAnsi="Times New Roman"/>
                <w:szCs w:val="24"/>
              </w:rPr>
              <w:t xml:space="preserve"> </w:t>
            </w:r>
            <w:proofErr w:type="spellStart"/>
            <w:r>
              <w:rPr>
                <w:rFonts w:ascii="Times New Roman" w:hAnsi="Times New Roman"/>
                <w:szCs w:val="24"/>
              </w:rPr>
              <w:t>u.o.k.k</w:t>
            </w:r>
            <w:proofErr w:type="spellEnd"/>
            <w:r>
              <w:rPr>
                <w:rFonts w:ascii="Times New Roman" w:hAnsi="Times New Roman"/>
                <w:szCs w:val="24"/>
              </w:rPr>
              <w:t>.</w:t>
            </w:r>
          </w:p>
          <w:p w14:paraId="707D9B8B" w14:textId="77777777" w:rsidR="0013284D" w:rsidRPr="00D40607" w:rsidRDefault="000171DD" w:rsidP="000E6A14">
            <w:pPr>
              <w:pStyle w:val="mcntmsonormal1"/>
              <w:numPr>
                <w:ilvl w:val="0"/>
                <w:numId w:val="2"/>
              </w:numPr>
              <w:spacing w:after="120" w:line="276" w:lineRule="auto"/>
              <w:ind w:left="714" w:hanging="357"/>
              <w:rPr>
                <w:b/>
              </w:rPr>
            </w:pPr>
            <w:r w:rsidRPr="00D40607">
              <w:rPr>
                <w:b/>
                <w:sz w:val="22"/>
                <w:szCs w:val="22"/>
                <w:lang w:eastAsia="en-US"/>
              </w:rPr>
              <w:t>Środki zaradcze o charakterze strukturalnym</w:t>
            </w:r>
          </w:p>
          <w:p w14:paraId="1DC5195C" w14:textId="77B2E49A" w:rsidR="0013284D" w:rsidRDefault="0013284D" w:rsidP="007A476E">
            <w:pPr>
              <w:pStyle w:val="mcntmsonormal1"/>
              <w:spacing w:line="276" w:lineRule="auto"/>
              <w:ind w:firstLine="776"/>
              <w:jc w:val="both"/>
              <w:rPr>
                <w:sz w:val="22"/>
                <w:szCs w:val="22"/>
              </w:rPr>
            </w:pPr>
            <w:r w:rsidRPr="0013284D">
              <w:rPr>
                <w:sz w:val="22"/>
                <w:szCs w:val="22"/>
              </w:rPr>
              <w:t>Artykuł 10 Dyrektywy przewiduje harmonizację w zakresie stwierdzenia przez organy ochrony konkurencji naruszenia art. 101 lub 102 TFUE. Przepis zakłada, że organy</w:t>
            </w:r>
            <w:r w:rsidR="00FE1868">
              <w:rPr>
                <w:sz w:val="22"/>
                <w:szCs w:val="22"/>
              </w:rPr>
              <w:t xml:space="preserve"> te </w:t>
            </w:r>
            <w:r w:rsidRPr="0013284D">
              <w:rPr>
                <w:sz w:val="22"/>
                <w:szCs w:val="22"/>
              </w:rPr>
              <w:t xml:space="preserve"> będą mogły w drodze decyzji nakazać przedsiębiorstwom lub związkom przedsiębiorstw, aby zaprzestały naruszenia. W tym celu mogą one nałożyć dowolne środki zaradcze </w:t>
            </w:r>
            <w:r w:rsidR="009B6B12">
              <w:rPr>
                <w:sz w:val="22"/>
                <w:szCs w:val="22"/>
              </w:rPr>
              <w:br/>
            </w:r>
            <w:r w:rsidRPr="0013284D">
              <w:rPr>
                <w:sz w:val="22"/>
                <w:szCs w:val="22"/>
              </w:rPr>
              <w:t>o charakterze behawioralnym lub strukturalnym, które są proporcjonalne do popełnionego naruszenia i konieczne do sku</w:t>
            </w:r>
            <w:r w:rsidRPr="0013284D">
              <w:rPr>
                <w:sz w:val="22"/>
                <w:szCs w:val="22"/>
              </w:rPr>
              <w:lastRenderedPageBreak/>
              <w:t xml:space="preserve">tecznego zaprzestania tego naruszenia. Dyrektywa wskazuje, że zgodnie z zasadą proporcjonalności, spośród dwóch równie skutecznych środków, zaradczych krajowe organy ochrony konkurencji powinny wybrać środek, najmniej uciążliwy dla danego przedsiębiorstwa. </w:t>
            </w:r>
          </w:p>
          <w:p w14:paraId="3B9DC783" w14:textId="2D24CC00" w:rsidR="00727BF9" w:rsidRDefault="00727BF9" w:rsidP="00727BF9">
            <w:pPr>
              <w:pStyle w:val="mcntmsonormal1"/>
              <w:spacing w:line="276" w:lineRule="auto"/>
              <w:ind w:firstLine="776"/>
              <w:jc w:val="both"/>
              <w:rPr>
                <w:rFonts w:cstheme="minorHAnsi"/>
                <w:sz w:val="22"/>
              </w:rPr>
            </w:pPr>
            <w:r>
              <w:rPr>
                <w:rFonts w:cstheme="minorHAnsi"/>
                <w:sz w:val="22"/>
              </w:rPr>
              <w:t xml:space="preserve">W obecnym stanie prawnym Prezes UOKiK na podstawie art. 10 ust. 4 i 5 </w:t>
            </w:r>
            <w:proofErr w:type="spellStart"/>
            <w:r>
              <w:rPr>
                <w:rFonts w:cstheme="minorHAnsi"/>
                <w:sz w:val="22"/>
              </w:rPr>
              <w:t>u.o.k.k</w:t>
            </w:r>
            <w:proofErr w:type="spellEnd"/>
            <w:r>
              <w:rPr>
                <w:rFonts w:cstheme="minorHAnsi"/>
                <w:sz w:val="22"/>
              </w:rPr>
              <w:t>. ma możliwość nałożenia takich środków w decyzji o uznaniu praktyki za ograniczającą konkurencję (są to praktyki polegające na zawarciu niedozwolonego porozumienia bądź nadużywaniu pozycji dominującej). Polska regulacja, podobnie jak unijna</w:t>
            </w:r>
            <w:r w:rsidR="009B6B12">
              <w:rPr>
                <w:rFonts w:cstheme="minorHAnsi"/>
                <w:sz w:val="22"/>
              </w:rPr>
              <w:t>,</w:t>
            </w:r>
            <w:r>
              <w:rPr>
                <w:rFonts w:cstheme="minorHAnsi"/>
                <w:sz w:val="22"/>
              </w:rPr>
              <w:t xml:space="preserve"> wyróżnia dwa typy środków zaradczych – behawioralne (środki polegające na nakazaniu przedsiębiorcy określonego zachowani</w:t>
            </w:r>
            <w:r w:rsidR="009B6B12">
              <w:rPr>
                <w:rFonts w:cstheme="minorHAnsi"/>
                <w:sz w:val="22"/>
              </w:rPr>
              <w:t>a</w:t>
            </w:r>
            <w:r>
              <w:rPr>
                <w:rFonts w:cstheme="minorHAnsi"/>
                <w:sz w:val="22"/>
              </w:rPr>
              <w:t xml:space="preserve"> na rynku – przykładowy katalog tych środków zawiera obecny art. 10 ust. 4 </w:t>
            </w:r>
            <w:proofErr w:type="spellStart"/>
            <w:r>
              <w:rPr>
                <w:rFonts w:cstheme="minorHAnsi"/>
                <w:sz w:val="22"/>
              </w:rPr>
              <w:t>u.o.k.k</w:t>
            </w:r>
            <w:proofErr w:type="spellEnd"/>
            <w:r>
              <w:rPr>
                <w:rFonts w:cstheme="minorHAnsi"/>
                <w:sz w:val="22"/>
              </w:rPr>
              <w:t xml:space="preserve">.) i strukturalne (art. 10 ust. 5 </w:t>
            </w:r>
            <w:proofErr w:type="spellStart"/>
            <w:r>
              <w:rPr>
                <w:rFonts w:cstheme="minorHAnsi"/>
                <w:sz w:val="22"/>
              </w:rPr>
              <w:t>u.o.k.k</w:t>
            </w:r>
            <w:proofErr w:type="spellEnd"/>
            <w:r>
              <w:rPr>
                <w:rFonts w:cstheme="minorHAnsi"/>
                <w:sz w:val="22"/>
              </w:rPr>
              <w:t>), mimo, że na poziomie ustawowym nie wprowadza ich definicji i nie stosuje pojęć behawioralnych i strukturalnych środków zaradczych.</w:t>
            </w:r>
          </w:p>
          <w:p w14:paraId="70938660" w14:textId="77777777" w:rsidR="0013284D" w:rsidRPr="00D748BB" w:rsidRDefault="00C232FB" w:rsidP="00D748BB">
            <w:pPr>
              <w:pStyle w:val="mcntmsonormal1"/>
              <w:spacing w:line="276" w:lineRule="auto"/>
              <w:ind w:firstLine="776"/>
              <w:jc w:val="both"/>
              <w:rPr>
                <w:sz w:val="20"/>
                <w:szCs w:val="22"/>
              </w:rPr>
            </w:pPr>
            <w:r>
              <w:rPr>
                <w:rFonts w:cstheme="minorHAnsi"/>
                <w:sz w:val="22"/>
              </w:rPr>
              <w:t xml:space="preserve">Mimo że </w:t>
            </w:r>
            <w:proofErr w:type="spellStart"/>
            <w:r>
              <w:rPr>
                <w:rFonts w:cstheme="minorHAnsi"/>
                <w:sz w:val="22"/>
              </w:rPr>
              <w:t>u.o.k.k</w:t>
            </w:r>
            <w:proofErr w:type="spellEnd"/>
            <w:r>
              <w:rPr>
                <w:rFonts w:cstheme="minorHAnsi"/>
                <w:sz w:val="22"/>
              </w:rPr>
              <w:t xml:space="preserve">. w </w:t>
            </w:r>
            <w:r w:rsidR="00D748BB">
              <w:rPr>
                <w:rFonts w:cstheme="minorHAnsi"/>
                <w:sz w:val="22"/>
              </w:rPr>
              <w:t xml:space="preserve">art. </w:t>
            </w:r>
            <w:r w:rsidR="007A631A" w:rsidRPr="007A631A">
              <w:rPr>
                <w:rFonts w:cstheme="minorHAnsi"/>
                <w:sz w:val="22"/>
              </w:rPr>
              <w:t>10 ust. 4 zawiera</w:t>
            </w:r>
            <w:r w:rsidR="007A631A">
              <w:rPr>
                <w:rFonts w:cstheme="minorHAnsi"/>
                <w:sz w:val="22"/>
              </w:rPr>
              <w:t xml:space="preserve"> otwarty katalog </w:t>
            </w:r>
            <w:r>
              <w:rPr>
                <w:rFonts w:cstheme="minorHAnsi"/>
                <w:sz w:val="22"/>
              </w:rPr>
              <w:t xml:space="preserve">środków behawioralnych, w </w:t>
            </w:r>
            <w:r w:rsidR="007A631A" w:rsidRPr="007A631A">
              <w:rPr>
                <w:rFonts w:cstheme="minorHAnsi"/>
                <w:sz w:val="22"/>
              </w:rPr>
              <w:t xml:space="preserve">art. 10 ust. 5 </w:t>
            </w:r>
            <w:proofErr w:type="spellStart"/>
            <w:r w:rsidR="007A631A">
              <w:rPr>
                <w:rFonts w:cstheme="minorHAnsi"/>
                <w:sz w:val="22"/>
              </w:rPr>
              <w:t>u.o.k.k</w:t>
            </w:r>
            <w:proofErr w:type="spellEnd"/>
            <w:r w:rsidR="007A631A">
              <w:rPr>
                <w:rFonts w:cstheme="minorHAnsi"/>
                <w:sz w:val="22"/>
              </w:rPr>
              <w:t>.</w:t>
            </w:r>
            <w:r w:rsidR="007A631A" w:rsidRPr="007A631A">
              <w:rPr>
                <w:rFonts w:cstheme="minorHAnsi"/>
                <w:sz w:val="22"/>
              </w:rPr>
              <w:t xml:space="preserve"> przewiduje tylko jeden środek strukturalny polegający na nałożeniu na przedsiębiorcę obowiązku powierzenia wykonywania określonej działalności gospodarczej, w tym wykonywania tej działalności na różnych szczeblach obrotu, poszczególnym podmiotom w ramach grupy kapitałowej lub odrębnym jednostkom organizacyjnym w </w:t>
            </w:r>
            <w:r w:rsidR="00B868E4">
              <w:rPr>
                <w:rFonts w:cstheme="minorHAnsi"/>
                <w:sz w:val="22"/>
              </w:rPr>
              <w:t xml:space="preserve">ramach struktury przedsiębiorcy, co nie jest wystarczające do pełnej </w:t>
            </w:r>
            <w:r w:rsidR="00674B7C">
              <w:rPr>
                <w:rFonts w:cstheme="minorHAnsi"/>
                <w:sz w:val="22"/>
              </w:rPr>
              <w:t>harmonizacji Dyrektywy.</w:t>
            </w:r>
          </w:p>
          <w:p w14:paraId="6696F401" w14:textId="6F9A8377" w:rsidR="00D14953" w:rsidRPr="007D31C6" w:rsidRDefault="00D14953" w:rsidP="000E6A14">
            <w:pPr>
              <w:pStyle w:val="mcntmsonormal1"/>
              <w:numPr>
                <w:ilvl w:val="0"/>
                <w:numId w:val="2"/>
              </w:numPr>
              <w:spacing w:before="120" w:after="120" w:line="276" w:lineRule="auto"/>
              <w:ind w:left="714" w:hanging="357"/>
              <w:rPr>
                <w:b/>
              </w:rPr>
            </w:pPr>
            <w:r w:rsidRPr="007D31C6">
              <w:rPr>
                <w:b/>
                <w:sz w:val="22"/>
                <w:szCs w:val="22"/>
                <w:lang w:eastAsia="en-US"/>
              </w:rPr>
              <w:t xml:space="preserve">Kadencyjność Prezesa UOKiK, </w:t>
            </w:r>
            <w:r w:rsidR="00941BB8">
              <w:rPr>
                <w:b/>
                <w:sz w:val="22"/>
                <w:szCs w:val="22"/>
                <w:lang w:eastAsia="en-US"/>
              </w:rPr>
              <w:t xml:space="preserve">zapewnienie </w:t>
            </w:r>
            <w:r w:rsidRPr="007D31C6">
              <w:rPr>
                <w:b/>
                <w:sz w:val="22"/>
                <w:szCs w:val="22"/>
                <w:lang w:eastAsia="en-US"/>
              </w:rPr>
              <w:t>bezstronnoś</w:t>
            </w:r>
            <w:r w:rsidR="00941BB8">
              <w:rPr>
                <w:b/>
                <w:sz w:val="22"/>
                <w:szCs w:val="22"/>
                <w:lang w:eastAsia="en-US"/>
              </w:rPr>
              <w:t>ci</w:t>
            </w:r>
            <w:r w:rsidRPr="007D31C6">
              <w:rPr>
                <w:b/>
                <w:sz w:val="22"/>
                <w:szCs w:val="22"/>
                <w:lang w:eastAsia="en-US"/>
              </w:rPr>
              <w:t xml:space="preserve"> i </w:t>
            </w:r>
            <w:r w:rsidR="00941BB8">
              <w:rPr>
                <w:b/>
                <w:sz w:val="22"/>
                <w:szCs w:val="22"/>
                <w:lang w:eastAsia="en-US"/>
              </w:rPr>
              <w:t>przeciwdziałanie</w:t>
            </w:r>
            <w:r w:rsidRPr="007D31C6">
              <w:rPr>
                <w:b/>
                <w:sz w:val="22"/>
                <w:szCs w:val="22"/>
                <w:lang w:eastAsia="en-US"/>
              </w:rPr>
              <w:t xml:space="preserve"> konfliktowi interesów    </w:t>
            </w:r>
          </w:p>
          <w:p w14:paraId="3B7EC8DA" w14:textId="77777777" w:rsidR="006A238B" w:rsidRPr="006A238B" w:rsidRDefault="006A238B" w:rsidP="00F24EE4">
            <w:pPr>
              <w:ind w:firstLine="776"/>
              <w:jc w:val="both"/>
              <w:rPr>
                <w:rFonts w:ascii="Times New Roman" w:hAnsi="Times New Roman"/>
              </w:rPr>
            </w:pPr>
            <w:r w:rsidRPr="006A238B">
              <w:rPr>
                <w:rFonts w:ascii="Times New Roman" w:hAnsi="Times New Roman"/>
              </w:rPr>
              <w:t>Dyrektywa nakłada na państwa członkowskie UE obowiązek przyjmowania regulacji zapewniających niezależność osobom pełniącym funkcję organów antymonopolowych, zarówno w zakresie jasno określonych kryteriów powołania i odwołania tych osób, jak i w odniesieniu do sposobu sprawowania tej funkcji.</w:t>
            </w:r>
          </w:p>
          <w:p w14:paraId="0E6E7604" w14:textId="45CA6CE3" w:rsidR="007D31C6" w:rsidRDefault="006A238B" w:rsidP="00F24EE4">
            <w:pPr>
              <w:pStyle w:val="mcntmsonormal1"/>
              <w:spacing w:line="276" w:lineRule="auto"/>
              <w:ind w:firstLine="492"/>
              <w:jc w:val="both"/>
            </w:pPr>
            <w:r w:rsidRPr="006A238B">
              <w:rPr>
                <w:sz w:val="22"/>
                <w:szCs w:val="22"/>
              </w:rPr>
              <w:t xml:space="preserve">Obecne regulacje w </w:t>
            </w:r>
            <w:proofErr w:type="spellStart"/>
            <w:r w:rsidR="00BC6952">
              <w:rPr>
                <w:sz w:val="22"/>
                <w:szCs w:val="22"/>
              </w:rPr>
              <w:t>u.o.k.k</w:t>
            </w:r>
            <w:proofErr w:type="spellEnd"/>
            <w:r w:rsidR="00BC6952">
              <w:rPr>
                <w:sz w:val="22"/>
                <w:szCs w:val="22"/>
              </w:rPr>
              <w:t xml:space="preserve">. </w:t>
            </w:r>
            <w:r w:rsidRPr="006A238B">
              <w:rPr>
                <w:sz w:val="22"/>
                <w:szCs w:val="22"/>
              </w:rPr>
              <w:t xml:space="preserve">w powyższym zakresie, </w:t>
            </w:r>
            <w:r w:rsidR="00BC6952">
              <w:rPr>
                <w:sz w:val="22"/>
                <w:szCs w:val="22"/>
              </w:rPr>
              <w:t>mimo że</w:t>
            </w:r>
            <w:r w:rsidRPr="006A238B">
              <w:rPr>
                <w:sz w:val="22"/>
                <w:szCs w:val="22"/>
              </w:rPr>
              <w:t xml:space="preserve"> zapewniają Prezesowi UOKiK względną n</w:t>
            </w:r>
            <w:r w:rsidR="00BC6952">
              <w:rPr>
                <w:sz w:val="22"/>
                <w:szCs w:val="22"/>
              </w:rPr>
              <w:t xml:space="preserve">iezależność instytucjonalną, </w:t>
            </w:r>
            <w:r w:rsidRPr="006A238B">
              <w:rPr>
                <w:sz w:val="22"/>
                <w:szCs w:val="22"/>
              </w:rPr>
              <w:t xml:space="preserve">wymagają </w:t>
            </w:r>
            <w:r w:rsidR="00DE0A98">
              <w:rPr>
                <w:sz w:val="22"/>
                <w:szCs w:val="22"/>
              </w:rPr>
              <w:t>uzupełnienia</w:t>
            </w:r>
            <w:r w:rsidR="00DE0A98" w:rsidRPr="006A238B">
              <w:rPr>
                <w:sz w:val="22"/>
                <w:szCs w:val="22"/>
              </w:rPr>
              <w:t xml:space="preserve"> </w:t>
            </w:r>
            <w:r w:rsidRPr="006A238B">
              <w:rPr>
                <w:sz w:val="22"/>
                <w:szCs w:val="22"/>
              </w:rPr>
              <w:t>pod kątem zapewnienia możliwości wykonywania przez organ antymonopolowy ustawowych zadań w sposób niezależny</w:t>
            </w:r>
            <w:r w:rsidRPr="008C4CCE">
              <w:t>.</w:t>
            </w:r>
          </w:p>
          <w:p w14:paraId="04ABC52A" w14:textId="4D33953A" w:rsidR="00680A14" w:rsidRDefault="00E131B1" w:rsidP="00F24EE4">
            <w:pPr>
              <w:pStyle w:val="mcntmsonormal1"/>
              <w:spacing w:line="276" w:lineRule="auto"/>
              <w:ind w:firstLine="492"/>
              <w:jc w:val="both"/>
              <w:rPr>
                <w:sz w:val="22"/>
              </w:rPr>
            </w:pPr>
            <w:r w:rsidRPr="00E131B1">
              <w:rPr>
                <w:sz w:val="22"/>
              </w:rPr>
              <w:t>W aktualnym stanie prawnym</w:t>
            </w:r>
            <w:r>
              <w:rPr>
                <w:sz w:val="22"/>
              </w:rPr>
              <w:t xml:space="preserve"> w większości organów centralnych </w:t>
            </w:r>
            <w:r w:rsidR="00DE0A98">
              <w:rPr>
                <w:sz w:val="22"/>
              </w:rPr>
              <w:t xml:space="preserve">pełniących funkcję regulatorów sektorowych </w:t>
            </w:r>
            <w:r w:rsidR="006836BE">
              <w:rPr>
                <w:sz w:val="22"/>
              </w:rPr>
              <w:br/>
            </w:r>
            <w:r w:rsidR="00DE0A98">
              <w:rPr>
                <w:sz w:val="22"/>
              </w:rPr>
              <w:t xml:space="preserve">w Polsce pełni funkcje kadencyjnie, </w:t>
            </w:r>
            <w:r w:rsidR="00E30496">
              <w:rPr>
                <w:sz w:val="22"/>
              </w:rPr>
              <w:t>co obrazuje poniższa tabela:</w:t>
            </w:r>
          </w:p>
          <w:tbl>
            <w:tblPr>
              <w:tblStyle w:val="Tabela-Siatka"/>
              <w:tblW w:w="0" w:type="auto"/>
              <w:tblInd w:w="65" w:type="dxa"/>
              <w:tblLayout w:type="fixed"/>
              <w:tblLook w:val="04A0" w:firstRow="1" w:lastRow="0" w:firstColumn="1" w:lastColumn="0" w:noHBand="0" w:noVBand="1"/>
            </w:tblPr>
            <w:tblGrid>
              <w:gridCol w:w="851"/>
              <w:gridCol w:w="2976"/>
              <w:gridCol w:w="6591"/>
            </w:tblGrid>
            <w:tr w:rsidR="00E30496" w14:paraId="11C297EA" w14:textId="77777777" w:rsidTr="00D81F2B">
              <w:tc>
                <w:tcPr>
                  <w:tcW w:w="851" w:type="dxa"/>
                  <w:shd w:val="clear" w:color="auto" w:fill="A6A6A6" w:themeFill="background1" w:themeFillShade="A6"/>
                </w:tcPr>
                <w:p w14:paraId="715E968F" w14:textId="77777777" w:rsidR="00E30496" w:rsidRPr="00E30496" w:rsidRDefault="00E30496" w:rsidP="00E30496">
                  <w:pPr>
                    <w:rPr>
                      <w:rFonts w:ascii="Times New Roman" w:hAnsi="Times New Roman"/>
                      <w:b/>
                    </w:rPr>
                  </w:pPr>
                  <w:r w:rsidRPr="00E30496">
                    <w:rPr>
                      <w:rFonts w:ascii="Times New Roman" w:hAnsi="Times New Roman"/>
                      <w:b/>
                    </w:rPr>
                    <w:t>Urząd</w:t>
                  </w:r>
                </w:p>
              </w:tc>
              <w:tc>
                <w:tcPr>
                  <w:tcW w:w="2976" w:type="dxa"/>
                  <w:shd w:val="clear" w:color="auto" w:fill="A6A6A6" w:themeFill="background1" w:themeFillShade="A6"/>
                </w:tcPr>
                <w:p w14:paraId="54C2E329" w14:textId="77777777" w:rsidR="00E30496" w:rsidRPr="00E30496" w:rsidRDefault="00E30496" w:rsidP="00E30496">
                  <w:pPr>
                    <w:rPr>
                      <w:rFonts w:ascii="Times New Roman" w:hAnsi="Times New Roman"/>
                      <w:b/>
                    </w:rPr>
                  </w:pPr>
                  <w:r w:rsidRPr="00E30496">
                    <w:rPr>
                      <w:rFonts w:ascii="Times New Roman" w:hAnsi="Times New Roman"/>
                      <w:b/>
                    </w:rPr>
                    <w:t>Kadencja</w:t>
                  </w:r>
                </w:p>
              </w:tc>
              <w:tc>
                <w:tcPr>
                  <w:tcW w:w="6591" w:type="dxa"/>
                  <w:shd w:val="clear" w:color="auto" w:fill="A6A6A6" w:themeFill="background1" w:themeFillShade="A6"/>
                </w:tcPr>
                <w:p w14:paraId="53918C5C" w14:textId="77777777" w:rsidR="00E30496" w:rsidRPr="00E30496" w:rsidRDefault="00E30496" w:rsidP="00E30496">
                  <w:pPr>
                    <w:rPr>
                      <w:rFonts w:ascii="Times New Roman" w:hAnsi="Times New Roman"/>
                      <w:b/>
                    </w:rPr>
                  </w:pPr>
                  <w:r w:rsidRPr="00E30496">
                    <w:rPr>
                      <w:rFonts w:ascii="Times New Roman" w:hAnsi="Times New Roman"/>
                      <w:b/>
                    </w:rPr>
                    <w:t>Odwołanie</w:t>
                  </w:r>
                </w:p>
              </w:tc>
            </w:tr>
            <w:tr w:rsidR="00E30496" w14:paraId="359F904E" w14:textId="77777777" w:rsidTr="00D81F2B">
              <w:tc>
                <w:tcPr>
                  <w:tcW w:w="851" w:type="dxa"/>
                  <w:shd w:val="clear" w:color="auto" w:fill="D9D9D9" w:themeFill="background1" w:themeFillShade="D9"/>
                </w:tcPr>
                <w:p w14:paraId="366A891C" w14:textId="77777777" w:rsidR="00E30496" w:rsidRPr="00E30496" w:rsidRDefault="00E30496" w:rsidP="00E30496">
                  <w:pPr>
                    <w:rPr>
                      <w:rFonts w:ascii="Times New Roman" w:hAnsi="Times New Roman"/>
                      <w:b/>
                      <w:u w:val="single"/>
                    </w:rPr>
                  </w:pPr>
                  <w:r w:rsidRPr="00E30496">
                    <w:rPr>
                      <w:rFonts w:ascii="Times New Roman" w:hAnsi="Times New Roman"/>
                      <w:b/>
                      <w:u w:val="single"/>
                    </w:rPr>
                    <w:t>UKE</w:t>
                  </w:r>
                  <w:r w:rsidRPr="00E30496">
                    <w:rPr>
                      <w:rStyle w:val="Odwoanieprzypisudolnego"/>
                      <w:rFonts w:ascii="Times New Roman" w:hAnsi="Times New Roman"/>
                      <w:b/>
                      <w:u w:val="single"/>
                    </w:rPr>
                    <w:footnoteReference w:id="1"/>
                  </w:r>
                </w:p>
              </w:tc>
              <w:tc>
                <w:tcPr>
                  <w:tcW w:w="2976" w:type="dxa"/>
                </w:tcPr>
                <w:p w14:paraId="301AD343" w14:textId="77777777" w:rsidR="00E30496" w:rsidRPr="00E30496" w:rsidRDefault="00E30496" w:rsidP="00E30496">
                  <w:pPr>
                    <w:rPr>
                      <w:rFonts w:ascii="Times New Roman" w:hAnsi="Times New Roman"/>
                    </w:rPr>
                  </w:pPr>
                  <w:r w:rsidRPr="00E30496">
                    <w:rPr>
                      <w:rFonts w:ascii="Times New Roman" w:hAnsi="Times New Roman"/>
                      <w:b/>
                    </w:rPr>
                    <w:t>Art. 190 ust. 4.</w:t>
                  </w:r>
                  <w:r w:rsidRPr="00E30496">
                    <w:rPr>
                      <w:rFonts w:ascii="Times New Roman" w:hAnsi="Times New Roman"/>
                    </w:rPr>
                    <w:t xml:space="preserve"> Prezesa UKE powołuje i odwołuje Sejm na wniosek Prezesa Rady Ministrów. Kadencja Prezesa UKE trwa </w:t>
                  </w:r>
                  <w:r w:rsidRPr="00E30496">
                    <w:rPr>
                      <w:rFonts w:ascii="Times New Roman" w:hAnsi="Times New Roman"/>
                      <w:b/>
                      <w:u w:val="single"/>
                    </w:rPr>
                    <w:t>5 lat</w:t>
                  </w:r>
                  <w:r w:rsidRPr="00E30496">
                    <w:rPr>
                      <w:rFonts w:ascii="Times New Roman" w:hAnsi="Times New Roman"/>
                    </w:rPr>
                    <w:t>.</w:t>
                  </w:r>
                </w:p>
              </w:tc>
              <w:tc>
                <w:tcPr>
                  <w:tcW w:w="6591" w:type="dxa"/>
                </w:tcPr>
                <w:p w14:paraId="10276DE3" w14:textId="77777777" w:rsidR="00E30496" w:rsidRPr="00E30496" w:rsidRDefault="00E30496" w:rsidP="00E30496">
                  <w:pPr>
                    <w:jc w:val="both"/>
                    <w:rPr>
                      <w:rFonts w:ascii="Times New Roman" w:hAnsi="Times New Roman"/>
                      <w:b/>
                    </w:rPr>
                  </w:pPr>
                  <w:r w:rsidRPr="00E30496">
                    <w:rPr>
                      <w:rFonts w:ascii="Times New Roman" w:hAnsi="Times New Roman"/>
                      <w:b/>
                    </w:rPr>
                    <w:t>Prezesa odwołuje Sejm na wniosek Prezesa RM (art. 190 ust. 4)</w:t>
                  </w:r>
                </w:p>
                <w:p w14:paraId="53AF47F3" w14:textId="77777777" w:rsidR="00E30496" w:rsidRPr="00E30496" w:rsidRDefault="00E30496" w:rsidP="00E30496">
                  <w:pPr>
                    <w:jc w:val="both"/>
                    <w:rPr>
                      <w:rFonts w:ascii="Times New Roman" w:hAnsi="Times New Roman"/>
                    </w:rPr>
                  </w:pPr>
                  <w:r w:rsidRPr="00E30496">
                    <w:rPr>
                      <w:rFonts w:ascii="Times New Roman" w:hAnsi="Times New Roman"/>
                      <w:b/>
                    </w:rPr>
                    <w:t>Art. 190 ust. 4ac.</w:t>
                  </w:r>
                  <w:r w:rsidRPr="00E30496">
                    <w:rPr>
                      <w:rFonts w:ascii="Times New Roman" w:hAnsi="Times New Roman"/>
                    </w:rPr>
                    <w:t xml:space="preserve"> Prezes UKE może być odwołany przed upływem kadencji, na którą został powołany, wyłącznie w przypadku zaprzestania spełniania warunków, o których mowa w ust. 4aa.</w:t>
                  </w:r>
                </w:p>
                <w:p w14:paraId="06680EBF" w14:textId="77777777" w:rsidR="00E30496" w:rsidRPr="00E30496" w:rsidRDefault="00E30496" w:rsidP="00E30496">
                  <w:pPr>
                    <w:jc w:val="both"/>
                    <w:rPr>
                      <w:rFonts w:ascii="Times New Roman" w:hAnsi="Times New Roman"/>
                    </w:rPr>
                  </w:pPr>
                  <w:r w:rsidRPr="00E30496">
                    <w:rPr>
                      <w:rFonts w:ascii="Times New Roman" w:hAnsi="Times New Roman"/>
                      <w:b/>
                    </w:rPr>
                    <w:t>Art. 190 ust. 4aa.</w:t>
                  </w:r>
                  <w:r w:rsidRPr="00E30496">
                    <w:rPr>
                      <w:rFonts w:ascii="Times New Roman" w:hAnsi="Times New Roman"/>
                    </w:rPr>
                    <w:t xml:space="preserve"> Do naboru, o którym mowa w ust. 4a, może przystąpić osoba, która łącznie spełnia następujące warunki:</w:t>
                  </w:r>
                </w:p>
                <w:p w14:paraId="610A6437" w14:textId="77777777" w:rsidR="00E30496" w:rsidRPr="00E30496" w:rsidRDefault="00E30496" w:rsidP="00E30496">
                  <w:pPr>
                    <w:jc w:val="both"/>
                    <w:rPr>
                      <w:rFonts w:ascii="Times New Roman" w:hAnsi="Times New Roman"/>
                    </w:rPr>
                  </w:pPr>
                  <w:r w:rsidRPr="00E30496">
                    <w:rPr>
                      <w:rFonts w:ascii="Times New Roman" w:hAnsi="Times New Roman"/>
                    </w:rPr>
                    <w:t>1)   posiada tytuł zawodowy magistra lub równorzędny;</w:t>
                  </w:r>
                </w:p>
                <w:p w14:paraId="66B37FF9" w14:textId="77777777" w:rsidR="00E30496" w:rsidRPr="00E30496" w:rsidRDefault="00E30496" w:rsidP="00E30496">
                  <w:pPr>
                    <w:jc w:val="both"/>
                    <w:rPr>
                      <w:rFonts w:ascii="Times New Roman" w:hAnsi="Times New Roman"/>
                    </w:rPr>
                  </w:pPr>
                  <w:r w:rsidRPr="00E30496">
                    <w:rPr>
                      <w:rFonts w:ascii="Times New Roman" w:hAnsi="Times New Roman"/>
                    </w:rPr>
                    <w:t>2)   jest obywatelem polskim;</w:t>
                  </w:r>
                </w:p>
                <w:p w14:paraId="0F41662D" w14:textId="77777777" w:rsidR="00E30496" w:rsidRPr="00E30496" w:rsidRDefault="00E30496" w:rsidP="00E30496">
                  <w:pPr>
                    <w:jc w:val="both"/>
                    <w:rPr>
                      <w:rFonts w:ascii="Times New Roman" w:hAnsi="Times New Roman"/>
                    </w:rPr>
                  </w:pPr>
                  <w:r w:rsidRPr="00E30496">
                    <w:rPr>
                      <w:rFonts w:ascii="Times New Roman" w:hAnsi="Times New Roman"/>
                    </w:rPr>
                    <w:t>3)   korzysta z pełni praw publicznych;</w:t>
                  </w:r>
                </w:p>
                <w:p w14:paraId="5AF98358" w14:textId="77777777" w:rsidR="00E30496" w:rsidRPr="00E30496" w:rsidRDefault="00E30496" w:rsidP="00E30496">
                  <w:pPr>
                    <w:jc w:val="both"/>
                    <w:rPr>
                      <w:rFonts w:ascii="Times New Roman" w:hAnsi="Times New Roman"/>
                    </w:rPr>
                  </w:pPr>
                  <w:r w:rsidRPr="00E30496">
                    <w:rPr>
                      <w:rFonts w:ascii="Times New Roman" w:hAnsi="Times New Roman"/>
                    </w:rPr>
                    <w:t>4)   nie była skazana prawomocnym wyrokiem za umyślne przestępstwo lub umyślne przestępstwo skarbowe;</w:t>
                  </w:r>
                </w:p>
                <w:p w14:paraId="3130AD3F" w14:textId="77777777" w:rsidR="00E30496" w:rsidRPr="00E30496" w:rsidRDefault="00E30496" w:rsidP="00E30496">
                  <w:pPr>
                    <w:jc w:val="both"/>
                    <w:rPr>
                      <w:rFonts w:ascii="Times New Roman" w:hAnsi="Times New Roman"/>
                    </w:rPr>
                  </w:pPr>
                  <w:r w:rsidRPr="00E30496">
                    <w:rPr>
                      <w:rFonts w:ascii="Times New Roman" w:hAnsi="Times New Roman"/>
                    </w:rPr>
                    <w:t>5)   posiada kompetencje kierownicze;</w:t>
                  </w:r>
                </w:p>
                <w:p w14:paraId="33732167" w14:textId="77777777" w:rsidR="00E30496" w:rsidRPr="00E30496" w:rsidRDefault="00E30496" w:rsidP="00E30496">
                  <w:pPr>
                    <w:jc w:val="both"/>
                    <w:rPr>
                      <w:rFonts w:ascii="Times New Roman" w:hAnsi="Times New Roman"/>
                    </w:rPr>
                  </w:pPr>
                  <w:r w:rsidRPr="00E30496">
                    <w:rPr>
                      <w:rFonts w:ascii="Times New Roman" w:hAnsi="Times New Roman"/>
                    </w:rPr>
                    <w:t>6)   posiada co najmniej 5-letni okres zatrudnienia na podstawie umowy o pracę, powołania, wyboru, mianowania, spółdzielczej umowy o pracę, lub świadczenia usług na podstawie innej umowy lub wykonywania działalności gospodarczej na własny rachunek, w tym co najmniej 3-letnie doświadczenie na stanowiskach kierowniczych lub samodzielnych albo wynikające z prowadzenia działalności gospodarczej na własny rachunek;</w:t>
                  </w:r>
                </w:p>
                <w:p w14:paraId="62D54C40" w14:textId="77777777" w:rsidR="00E30496" w:rsidRPr="00E30496" w:rsidRDefault="00E30496" w:rsidP="00E30496">
                  <w:pPr>
                    <w:jc w:val="both"/>
                    <w:rPr>
                      <w:rFonts w:ascii="Times New Roman" w:hAnsi="Times New Roman"/>
                    </w:rPr>
                  </w:pPr>
                  <w:r w:rsidRPr="00E30496">
                    <w:rPr>
                      <w:rFonts w:ascii="Times New Roman" w:hAnsi="Times New Roman"/>
                    </w:rPr>
                    <w:t>7)   posiada wykształcenie i wiedzę z zakresu spraw należących do właściwości Prezesa UKE;</w:t>
                  </w:r>
                </w:p>
                <w:p w14:paraId="2BDB194E" w14:textId="77777777" w:rsidR="00E30496" w:rsidRPr="00E30496" w:rsidRDefault="00E30496" w:rsidP="00E30496">
                  <w:pPr>
                    <w:jc w:val="both"/>
                    <w:rPr>
                      <w:rFonts w:ascii="Times New Roman" w:hAnsi="Times New Roman"/>
                    </w:rPr>
                  </w:pPr>
                  <w:r w:rsidRPr="00E30496">
                    <w:rPr>
                      <w:rFonts w:ascii="Times New Roman" w:hAnsi="Times New Roman"/>
                    </w:rPr>
                    <w:t>8)   posiada co najmniej 3-letnie doświadczenie w pracy na stanowiskach związanych z telekomunikacją lub pocztą;</w:t>
                  </w:r>
                </w:p>
                <w:p w14:paraId="6B7A3B1C" w14:textId="4676ED76" w:rsidR="00E30496" w:rsidRPr="00E30496" w:rsidRDefault="00E30496" w:rsidP="00E30496">
                  <w:pPr>
                    <w:jc w:val="both"/>
                    <w:rPr>
                      <w:rFonts w:ascii="Times New Roman" w:hAnsi="Times New Roman"/>
                    </w:rPr>
                  </w:pPr>
                  <w:r w:rsidRPr="00E30496">
                    <w:rPr>
                      <w:rFonts w:ascii="Times New Roman" w:hAnsi="Times New Roman"/>
                    </w:rPr>
                    <w:t>9)   cieszy się nieposzlakowaną opinią.</w:t>
                  </w:r>
                </w:p>
                <w:p w14:paraId="4B3A861A" w14:textId="77777777" w:rsidR="00E30496" w:rsidRPr="00E30496" w:rsidRDefault="00E30496" w:rsidP="00E30496">
                  <w:pPr>
                    <w:jc w:val="both"/>
                    <w:rPr>
                      <w:rFonts w:ascii="Times New Roman" w:hAnsi="Times New Roman"/>
                    </w:rPr>
                  </w:pPr>
                  <w:r w:rsidRPr="00E30496">
                    <w:rPr>
                      <w:rFonts w:ascii="Times New Roman" w:hAnsi="Times New Roman"/>
                      <w:b/>
                    </w:rPr>
                    <w:t>4ad.</w:t>
                  </w:r>
                  <w:r w:rsidRPr="00E30496">
                    <w:rPr>
                      <w:rFonts w:ascii="Times New Roman" w:hAnsi="Times New Roman"/>
                    </w:rPr>
                    <w:t xml:space="preserve"> Kadencja Prezesa UKE ulega skróceniu w przypadku:</w:t>
                  </w:r>
                </w:p>
                <w:p w14:paraId="1F3760B3" w14:textId="77777777" w:rsidR="00E30496" w:rsidRPr="00E30496" w:rsidRDefault="00E30496" w:rsidP="00E30496">
                  <w:pPr>
                    <w:jc w:val="both"/>
                    <w:rPr>
                      <w:rFonts w:ascii="Times New Roman" w:hAnsi="Times New Roman"/>
                    </w:rPr>
                  </w:pPr>
                  <w:r w:rsidRPr="00E30496">
                    <w:rPr>
                      <w:rFonts w:ascii="Times New Roman" w:hAnsi="Times New Roman"/>
                    </w:rPr>
                    <w:lastRenderedPageBreak/>
                    <w:t>1)   śmierci Prezesa UKE;</w:t>
                  </w:r>
                </w:p>
                <w:p w14:paraId="2A8570EB" w14:textId="77777777" w:rsidR="00E30496" w:rsidRPr="00E30496" w:rsidRDefault="00E30496" w:rsidP="00E30496">
                  <w:pPr>
                    <w:jc w:val="both"/>
                    <w:rPr>
                      <w:rFonts w:ascii="Times New Roman" w:hAnsi="Times New Roman"/>
                    </w:rPr>
                  </w:pPr>
                  <w:r w:rsidRPr="00E30496">
                    <w:rPr>
                      <w:rFonts w:ascii="Times New Roman" w:hAnsi="Times New Roman"/>
                    </w:rPr>
                    <w:t>2)   choroby trwale uniemożliwiającej wykonywanie zadań przez Prezesa UKE;</w:t>
                  </w:r>
                </w:p>
                <w:p w14:paraId="5C49C28F" w14:textId="77777777" w:rsidR="00E30496" w:rsidRPr="00E30496" w:rsidRDefault="00E30496" w:rsidP="00E30496">
                  <w:pPr>
                    <w:jc w:val="both"/>
                    <w:rPr>
                      <w:rFonts w:ascii="Times New Roman" w:hAnsi="Times New Roman"/>
                    </w:rPr>
                  </w:pPr>
                  <w:r w:rsidRPr="00E30496">
                    <w:rPr>
                      <w:rFonts w:ascii="Times New Roman" w:hAnsi="Times New Roman"/>
                    </w:rPr>
                    <w:t>3)   złożenia rezygnacji przez Prezesa UKE.</w:t>
                  </w:r>
                </w:p>
                <w:p w14:paraId="14B9C3F7" w14:textId="6A8F93EA" w:rsidR="00E30496" w:rsidRPr="00E30496" w:rsidRDefault="00E30496" w:rsidP="00E30496">
                  <w:pPr>
                    <w:jc w:val="both"/>
                    <w:rPr>
                      <w:rFonts w:ascii="Times New Roman" w:hAnsi="Times New Roman"/>
                    </w:rPr>
                  </w:pPr>
                  <w:r w:rsidRPr="00E30496">
                    <w:rPr>
                      <w:rFonts w:ascii="Times New Roman" w:hAnsi="Times New Roman"/>
                      <w:b/>
                    </w:rPr>
                    <w:t>4ae.</w:t>
                  </w:r>
                  <w:r w:rsidRPr="00E30496">
                    <w:rPr>
                      <w:rFonts w:ascii="Times New Roman" w:hAnsi="Times New Roman"/>
                    </w:rPr>
                    <w:t xml:space="preserve"> Do skrócenia kadencji Prezesa UKE z przyczyn, o których mowa </w:t>
                  </w:r>
                  <w:r w:rsidR="00CA66FB">
                    <w:rPr>
                      <w:rFonts w:ascii="Times New Roman" w:hAnsi="Times New Roman"/>
                    </w:rPr>
                    <w:br/>
                  </w:r>
                  <w:r w:rsidRPr="00E30496">
                    <w:rPr>
                      <w:rFonts w:ascii="Times New Roman" w:hAnsi="Times New Roman"/>
                    </w:rPr>
                    <w:t>w ust. 4ad, przepisy o odwołaniu Prezesa UKE stosuje się odpowiednio.</w:t>
                  </w:r>
                </w:p>
              </w:tc>
            </w:tr>
            <w:tr w:rsidR="00E30496" w14:paraId="6B26A9BF" w14:textId="77777777" w:rsidTr="00D81F2B">
              <w:tc>
                <w:tcPr>
                  <w:tcW w:w="851" w:type="dxa"/>
                  <w:shd w:val="clear" w:color="auto" w:fill="D9D9D9" w:themeFill="background1" w:themeFillShade="D9"/>
                </w:tcPr>
                <w:p w14:paraId="456FD54E" w14:textId="77777777" w:rsidR="00E30496" w:rsidRPr="00E30496" w:rsidRDefault="00E30496" w:rsidP="00E30496">
                  <w:pPr>
                    <w:rPr>
                      <w:rFonts w:ascii="Times New Roman" w:hAnsi="Times New Roman"/>
                      <w:b/>
                      <w:u w:val="single"/>
                    </w:rPr>
                  </w:pPr>
                  <w:r w:rsidRPr="00E30496">
                    <w:rPr>
                      <w:rFonts w:ascii="Times New Roman" w:hAnsi="Times New Roman"/>
                      <w:b/>
                      <w:u w:val="single"/>
                    </w:rPr>
                    <w:lastRenderedPageBreak/>
                    <w:t>URE</w:t>
                  </w:r>
                  <w:r w:rsidRPr="00E30496">
                    <w:rPr>
                      <w:rStyle w:val="Odwoanieprzypisudolnego"/>
                      <w:rFonts w:ascii="Times New Roman" w:hAnsi="Times New Roman"/>
                      <w:b/>
                      <w:u w:val="single"/>
                    </w:rPr>
                    <w:footnoteReference w:id="2"/>
                  </w:r>
                </w:p>
              </w:tc>
              <w:tc>
                <w:tcPr>
                  <w:tcW w:w="2976" w:type="dxa"/>
                </w:tcPr>
                <w:p w14:paraId="6E56EA6C" w14:textId="77777777" w:rsidR="00E30496" w:rsidRPr="00E30496" w:rsidRDefault="00E30496" w:rsidP="00E30496">
                  <w:pPr>
                    <w:rPr>
                      <w:rFonts w:ascii="Times New Roman" w:hAnsi="Times New Roman"/>
                    </w:rPr>
                  </w:pPr>
                  <w:r w:rsidRPr="00871692">
                    <w:rPr>
                      <w:rFonts w:ascii="Times New Roman" w:hAnsi="Times New Roman"/>
                      <w:b/>
                    </w:rPr>
                    <w:t>Art. 21. ust. 2a.</w:t>
                  </w:r>
                  <w:r w:rsidRPr="00E30496">
                    <w:rPr>
                      <w:rFonts w:ascii="Times New Roman" w:hAnsi="Times New Roman"/>
                    </w:rPr>
                    <w:t xml:space="preserve"> Prezesa URE powołuje </w:t>
                  </w:r>
                  <w:r w:rsidRPr="00E30496">
                    <w:rPr>
                      <w:rFonts w:ascii="Times New Roman" w:hAnsi="Times New Roman"/>
                      <w:b/>
                    </w:rPr>
                    <w:t>Prezes Rady Ministrów</w:t>
                  </w:r>
                  <w:r w:rsidRPr="00E30496">
                    <w:rPr>
                      <w:rFonts w:ascii="Times New Roman" w:hAnsi="Times New Roman"/>
                    </w:rPr>
                    <w:t>, spośród osób wyłonionych w drodze otwartego i konkurencyjnego naboru.</w:t>
                  </w:r>
                </w:p>
                <w:p w14:paraId="176C3051" w14:textId="20EF6589" w:rsidR="00E30496" w:rsidRPr="00E30496" w:rsidRDefault="00E30496" w:rsidP="00E30496">
                  <w:pPr>
                    <w:rPr>
                      <w:rFonts w:ascii="Times New Roman" w:hAnsi="Times New Roman"/>
                    </w:rPr>
                  </w:pPr>
                  <w:r w:rsidRPr="005233DE">
                    <w:rPr>
                      <w:rFonts w:ascii="Times New Roman" w:hAnsi="Times New Roman"/>
                      <w:b/>
                    </w:rPr>
                    <w:t>2l.</w:t>
                  </w:r>
                  <w:r w:rsidRPr="00E30496">
                    <w:rPr>
                      <w:rFonts w:ascii="Times New Roman" w:hAnsi="Times New Roman"/>
                    </w:rPr>
                    <w:t xml:space="preserve"> Prezes URE jest powoływany na </w:t>
                  </w:r>
                  <w:r w:rsidRPr="00E30496">
                    <w:rPr>
                      <w:rFonts w:ascii="Times New Roman" w:hAnsi="Times New Roman"/>
                      <w:b/>
                      <w:u w:val="single"/>
                    </w:rPr>
                    <w:t>pięcioletnią</w:t>
                  </w:r>
                  <w:r w:rsidRPr="00E30496">
                    <w:rPr>
                      <w:rFonts w:ascii="Times New Roman" w:hAnsi="Times New Roman"/>
                    </w:rPr>
                    <w:t xml:space="preserve"> kadencję i może być ponownie powołany tylko raz. Po upływie kadencji Prezes URE pełni swoją funkcję do czasu powołania następcy.</w:t>
                  </w:r>
                </w:p>
              </w:tc>
              <w:tc>
                <w:tcPr>
                  <w:tcW w:w="6591" w:type="dxa"/>
                </w:tcPr>
                <w:p w14:paraId="2C86494D" w14:textId="77777777" w:rsidR="00E30496" w:rsidRPr="00E30496" w:rsidRDefault="00E30496" w:rsidP="009310FA">
                  <w:pPr>
                    <w:jc w:val="both"/>
                    <w:rPr>
                      <w:rFonts w:ascii="Times New Roman" w:hAnsi="Times New Roman"/>
                    </w:rPr>
                  </w:pPr>
                  <w:r w:rsidRPr="001159E0">
                    <w:rPr>
                      <w:rFonts w:ascii="Times New Roman" w:hAnsi="Times New Roman"/>
                      <w:b/>
                    </w:rPr>
                    <w:t>Art. 21 ust. 2m.</w:t>
                  </w:r>
                  <w:r w:rsidRPr="00E30496">
                    <w:rPr>
                      <w:rFonts w:ascii="Times New Roman" w:hAnsi="Times New Roman"/>
                    </w:rPr>
                    <w:t xml:space="preserve"> Prezes URE może zostać </w:t>
                  </w:r>
                  <w:r w:rsidRPr="00E30496">
                    <w:rPr>
                      <w:rFonts w:ascii="Times New Roman" w:hAnsi="Times New Roman"/>
                      <w:b/>
                    </w:rPr>
                    <w:t>odwołany, przez Prezesa Rady Ministrów</w:t>
                  </w:r>
                  <w:r w:rsidRPr="00E30496">
                    <w:rPr>
                      <w:rFonts w:ascii="Times New Roman" w:hAnsi="Times New Roman"/>
                    </w:rPr>
                    <w:t xml:space="preserve">, przed upływem kadencji, na którą został powołany, </w:t>
                  </w:r>
                  <w:r w:rsidRPr="00E30496">
                    <w:rPr>
                      <w:rFonts w:ascii="Times New Roman" w:hAnsi="Times New Roman"/>
                      <w:b/>
                    </w:rPr>
                    <w:t>wyłącznie w przypadku</w:t>
                  </w:r>
                  <w:r w:rsidRPr="00E30496">
                    <w:rPr>
                      <w:rFonts w:ascii="Times New Roman" w:hAnsi="Times New Roman"/>
                    </w:rPr>
                    <w:t>:</w:t>
                  </w:r>
                </w:p>
                <w:p w14:paraId="36B6D974" w14:textId="77777777" w:rsidR="00E30496" w:rsidRPr="00E30496" w:rsidRDefault="00E30496" w:rsidP="009310FA">
                  <w:pPr>
                    <w:jc w:val="both"/>
                    <w:rPr>
                      <w:rFonts w:ascii="Times New Roman" w:hAnsi="Times New Roman"/>
                    </w:rPr>
                  </w:pPr>
                  <w:r w:rsidRPr="00E30496">
                    <w:rPr>
                      <w:rFonts w:ascii="Times New Roman" w:hAnsi="Times New Roman"/>
                    </w:rPr>
                    <w:t>1)   rażącego naruszenia prawa;</w:t>
                  </w:r>
                </w:p>
                <w:p w14:paraId="1FC0FFC0" w14:textId="77777777" w:rsidR="00E30496" w:rsidRPr="00E30496" w:rsidRDefault="00E30496" w:rsidP="009310FA">
                  <w:pPr>
                    <w:jc w:val="both"/>
                    <w:rPr>
                      <w:rFonts w:ascii="Times New Roman" w:hAnsi="Times New Roman"/>
                    </w:rPr>
                  </w:pPr>
                  <w:r w:rsidRPr="00E30496">
                    <w:rPr>
                      <w:rFonts w:ascii="Times New Roman" w:hAnsi="Times New Roman"/>
                    </w:rPr>
                    <w:t>2)   skazania prawomocnym wyrokiem sądu za popełnione umyślnie przestępstwo lub przestępstwo skarbowe;</w:t>
                  </w:r>
                </w:p>
                <w:p w14:paraId="4A201C9A" w14:textId="77777777" w:rsidR="00E30496" w:rsidRPr="00E30496" w:rsidRDefault="00E30496" w:rsidP="009310FA">
                  <w:pPr>
                    <w:jc w:val="both"/>
                    <w:rPr>
                      <w:rFonts w:ascii="Times New Roman" w:hAnsi="Times New Roman"/>
                    </w:rPr>
                  </w:pPr>
                  <w:r w:rsidRPr="00E30496">
                    <w:rPr>
                      <w:rFonts w:ascii="Times New Roman" w:hAnsi="Times New Roman"/>
                    </w:rPr>
                    <w:t>3)   orzeczenia zakazu zajmowania kierowniczych stanowisk lub pełnienia funkcji związanych ze szczególną odpowiedzialnością w organach państwa;</w:t>
                  </w:r>
                </w:p>
                <w:p w14:paraId="4CF60E18" w14:textId="77777777" w:rsidR="00E30496" w:rsidRPr="00E30496" w:rsidRDefault="00E30496" w:rsidP="009310FA">
                  <w:pPr>
                    <w:jc w:val="both"/>
                    <w:rPr>
                      <w:rFonts w:ascii="Times New Roman" w:hAnsi="Times New Roman"/>
                    </w:rPr>
                  </w:pPr>
                  <w:r w:rsidRPr="00E30496">
                    <w:rPr>
                      <w:rFonts w:ascii="Times New Roman" w:hAnsi="Times New Roman"/>
                    </w:rPr>
                    <w:t>4)   choroby trwale uniemożliwiającej wykonywanie zadań;</w:t>
                  </w:r>
                </w:p>
                <w:p w14:paraId="168799DE" w14:textId="77777777" w:rsidR="00E30496" w:rsidRPr="00E30496" w:rsidRDefault="00E30496" w:rsidP="009310FA">
                  <w:pPr>
                    <w:jc w:val="both"/>
                    <w:rPr>
                      <w:rFonts w:ascii="Times New Roman" w:hAnsi="Times New Roman"/>
                    </w:rPr>
                  </w:pPr>
                  <w:r w:rsidRPr="00E30496">
                    <w:rPr>
                      <w:rFonts w:ascii="Times New Roman" w:hAnsi="Times New Roman"/>
                    </w:rPr>
                    <w:t>5)   złożenia rezygnacji.</w:t>
                  </w:r>
                </w:p>
              </w:tc>
            </w:tr>
            <w:tr w:rsidR="00E30496" w14:paraId="3596C4C8" w14:textId="77777777" w:rsidTr="00D81F2B">
              <w:tc>
                <w:tcPr>
                  <w:tcW w:w="851" w:type="dxa"/>
                  <w:shd w:val="clear" w:color="auto" w:fill="D9D9D9" w:themeFill="background1" w:themeFillShade="D9"/>
                </w:tcPr>
                <w:p w14:paraId="454AE4E5" w14:textId="77777777" w:rsidR="00E30496" w:rsidRPr="00E30496" w:rsidRDefault="00E30496" w:rsidP="00E30496">
                  <w:pPr>
                    <w:rPr>
                      <w:rFonts w:ascii="Times New Roman" w:hAnsi="Times New Roman"/>
                      <w:b/>
                      <w:u w:val="single"/>
                    </w:rPr>
                  </w:pPr>
                  <w:r w:rsidRPr="00E30496">
                    <w:rPr>
                      <w:rFonts w:ascii="Times New Roman" w:hAnsi="Times New Roman"/>
                      <w:b/>
                      <w:u w:val="single"/>
                    </w:rPr>
                    <w:t>ULC</w:t>
                  </w:r>
                  <w:r w:rsidRPr="00E30496">
                    <w:rPr>
                      <w:rStyle w:val="Odwoanieprzypisudolnego"/>
                      <w:rFonts w:ascii="Times New Roman" w:hAnsi="Times New Roman"/>
                      <w:b/>
                      <w:u w:val="single"/>
                    </w:rPr>
                    <w:footnoteReference w:id="3"/>
                  </w:r>
                </w:p>
              </w:tc>
              <w:tc>
                <w:tcPr>
                  <w:tcW w:w="2976" w:type="dxa"/>
                </w:tcPr>
                <w:p w14:paraId="653BFD3B" w14:textId="77777777" w:rsidR="00E30496" w:rsidRPr="00E30496" w:rsidRDefault="00E30496" w:rsidP="00E30496">
                  <w:pPr>
                    <w:rPr>
                      <w:rFonts w:ascii="Times New Roman" w:hAnsi="Times New Roman"/>
                    </w:rPr>
                  </w:pPr>
                  <w:r w:rsidRPr="005233DE">
                    <w:rPr>
                      <w:rFonts w:ascii="Times New Roman" w:hAnsi="Times New Roman"/>
                      <w:b/>
                    </w:rPr>
                    <w:t>Art. 20 ust. 2.</w:t>
                  </w:r>
                  <w:r w:rsidRPr="00E30496">
                    <w:rPr>
                      <w:rFonts w:ascii="Times New Roman" w:hAnsi="Times New Roman"/>
                    </w:rPr>
                    <w:t xml:space="preserve"> Prezes Urzędu jest </w:t>
                  </w:r>
                  <w:r w:rsidRPr="00E30496">
                    <w:rPr>
                      <w:rFonts w:ascii="Times New Roman" w:hAnsi="Times New Roman"/>
                      <w:b/>
                    </w:rPr>
                    <w:t>powoływany przez Prezesa Rady Ministrów</w:t>
                  </w:r>
                  <w:r w:rsidRPr="00E30496">
                    <w:rPr>
                      <w:rFonts w:ascii="Times New Roman" w:hAnsi="Times New Roman"/>
                    </w:rPr>
                    <w:t xml:space="preserve">, spośród osób wyłonionych w drodze otwartego i konkurencyjnego naboru, </w:t>
                  </w:r>
                  <w:r w:rsidRPr="00E30496">
                    <w:rPr>
                      <w:rFonts w:ascii="Times New Roman" w:hAnsi="Times New Roman"/>
                      <w:b/>
                    </w:rPr>
                    <w:t>na wniosek ministra właściwego do spraw transportu</w:t>
                  </w:r>
                  <w:r w:rsidRPr="00E30496">
                    <w:rPr>
                      <w:rFonts w:ascii="Times New Roman" w:hAnsi="Times New Roman"/>
                    </w:rPr>
                    <w:t xml:space="preserve">. </w:t>
                  </w:r>
                </w:p>
              </w:tc>
              <w:tc>
                <w:tcPr>
                  <w:tcW w:w="6591" w:type="dxa"/>
                </w:tcPr>
                <w:p w14:paraId="496EAAAF" w14:textId="77777777" w:rsidR="00E30496" w:rsidRPr="00E30496" w:rsidRDefault="00E30496" w:rsidP="009310FA">
                  <w:pPr>
                    <w:jc w:val="both"/>
                    <w:rPr>
                      <w:rFonts w:ascii="Times New Roman" w:hAnsi="Times New Roman"/>
                    </w:rPr>
                  </w:pPr>
                  <w:r w:rsidRPr="005233DE">
                    <w:rPr>
                      <w:rFonts w:ascii="Times New Roman" w:hAnsi="Times New Roman"/>
                      <w:b/>
                    </w:rPr>
                    <w:t>Art. 20 ust. 2.</w:t>
                  </w:r>
                  <w:r w:rsidRPr="00E30496">
                    <w:rPr>
                      <w:rFonts w:ascii="Times New Roman" w:hAnsi="Times New Roman"/>
                    </w:rPr>
                    <w:t xml:space="preserve"> </w:t>
                  </w:r>
                  <w:r w:rsidRPr="00E30496">
                    <w:rPr>
                      <w:rFonts w:ascii="Times New Roman" w:hAnsi="Times New Roman"/>
                      <w:b/>
                    </w:rPr>
                    <w:t>Prezes Rady Ministrów odwołuje</w:t>
                  </w:r>
                  <w:r w:rsidRPr="00E30496">
                    <w:rPr>
                      <w:rFonts w:ascii="Times New Roman" w:hAnsi="Times New Roman"/>
                    </w:rPr>
                    <w:t xml:space="preserve"> Prezesa Urzędu.</w:t>
                  </w:r>
                </w:p>
              </w:tc>
            </w:tr>
            <w:tr w:rsidR="00E30496" w14:paraId="1FA8CF00" w14:textId="77777777" w:rsidTr="00D81F2B">
              <w:tc>
                <w:tcPr>
                  <w:tcW w:w="851" w:type="dxa"/>
                  <w:shd w:val="clear" w:color="auto" w:fill="D9D9D9" w:themeFill="background1" w:themeFillShade="D9"/>
                </w:tcPr>
                <w:p w14:paraId="7407F1E3" w14:textId="77777777" w:rsidR="00E30496" w:rsidRPr="00E30496" w:rsidRDefault="00E30496" w:rsidP="00E30496">
                  <w:pPr>
                    <w:rPr>
                      <w:rFonts w:ascii="Times New Roman" w:hAnsi="Times New Roman"/>
                      <w:b/>
                      <w:u w:val="single"/>
                    </w:rPr>
                  </w:pPr>
                  <w:r w:rsidRPr="00E30496">
                    <w:rPr>
                      <w:rFonts w:ascii="Times New Roman" w:hAnsi="Times New Roman"/>
                      <w:b/>
                      <w:u w:val="single"/>
                    </w:rPr>
                    <w:t>UTK</w:t>
                  </w:r>
                  <w:r w:rsidRPr="00E30496">
                    <w:rPr>
                      <w:rStyle w:val="Odwoanieprzypisudolnego"/>
                      <w:rFonts w:ascii="Times New Roman" w:hAnsi="Times New Roman"/>
                      <w:b/>
                      <w:u w:val="single"/>
                    </w:rPr>
                    <w:footnoteReference w:id="4"/>
                  </w:r>
                </w:p>
              </w:tc>
              <w:tc>
                <w:tcPr>
                  <w:tcW w:w="2976" w:type="dxa"/>
                </w:tcPr>
                <w:p w14:paraId="6FD78B5F" w14:textId="77777777" w:rsidR="00E30496" w:rsidRPr="00E30496" w:rsidRDefault="00E30496" w:rsidP="00E30496">
                  <w:pPr>
                    <w:rPr>
                      <w:rFonts w:ascii="Times New Roman" w:hAnsi="Times New Roman"/>
                    </w:rPr>
                  </w:pPr>
                  <w:r w:rsidRPr="006B51B8">
                    <w:rPr>
                      <w:rFonts w:ascii="Times New Roman" w:hAnsi="Times New Roman"/>
                      <w:b/>
                    </w:rPr>
                    <w:t>Art. 11. ust. 1.</w:t>
                  </w:r>
                  <w:r w:rsidRPr="00E30496">
                    <w:rPr>
                      <w:rFonts w:ascii="Times New Roman" w:hAnsi="Times New Roman"/>
                    </w:rPr>
                    <w:t xml:space="preserve"> Prezesa UTK </w:t>
                  </w:r>
                  <w:r w:rsidRPr="00E30496">
                    <w:rPr>
                      <w:rFonts w:ascii="Times New Roman" w:hAnsi="Times New Roman"/>
                      <w:b/>
                    </w:rPr>
                    <w:t>powołuje Prezes Rady Ministrów</w:t>
                  </w:r>
                  <w:r w:rsidRPr="00E30496">
                    <w:rPr>
                      <w:rFonts w:ascii="Times New Roman" w:hAnsi="Times New Roman"/>
                    </w:rPr>
                    <w:t xml:space="preserve"> spośród osób wyłonionych w drodze otwartego i konkurencyjnego naboru.</w:t>
                  </w:r>
                </w:p>
                <w:p w14:paraId="3B0AA9BB" w14:textId="77777777" w:rsidR="00E30496" w:rsidRPr="00E30496" w:rsidRDefault="00E30496" w:rsidP="00E30496">
                  <w:pPr>
                    <w:rPr>
                      <w:rFonts w:ascii="Times New Roman" w:hAnsi="Times New Roman"/>
                    </w:rPr>
                  </w:pPr>
                  <w:r w:rsidRPr="00902F07">
                    <w:rPr>
                      <w:rFonts w:ascii="Times New Roman" w:hAnsi="Times New Roman"/>
                      <w:b/>
                    </w:rPr>
                    <w:t>Art. 11b. ust. 1.</w:t>
                  </w:r>
                  <w:r w:rsidRPr="00E30496">
                    <w:rPr>
                      <w:rFonts w:ascii="Times New Roman" w:hAnsi="Times New Roman"/>
                    </w:rPr>
                    <w:t xml:space="preserve"> Kadencja Prezesa UTK trwa </w:t>
                  </w:r>
                  <w:r w:rsidRPr="00E30496">
                    <w:rPr>
                      <w:rFonts w:ascii="Times New Roman" w:hAnsi="Times New Roman"/>
                      <w:b/>
                    </w:rPr>
                    <w:t>5 lat</w:t>
                  </w:r>
                  <w:r w:rsidRPr="00E30496">
                    <w:rPr>
                      <w:rFonts w:ascii="Times New Roman" w:hAnsi="Times New Roman"/>
                    </w:rPr>
                    <w:t xml:space="preserve"> od dnia powołania.</w:t>
                  </w:r>
                </w:p>
              </w:tc>
              <w:tc>
                <w:tcPr>
                  <w:tcW w:w="6591" w:type="dxa"/>
                </w:tcPr>
                <w:p w14:paraId="231E4C44" w14:textId="15851CCB" w:rsidR="00E30496" w:rsidRPr="00E30496" w:rsidRDefault="00E30496" w:rsidP="009310FA">
                  <w:pPr>
                    <w:jc w:val="both"/>
                    <w:rPr>
                      <w:rFonts w:ascii="Times New Roman" w:hAnsi="Times New Roman"/>
                    </w:rPr>
                  </w:pPr>
                  <w:r w:rsidRPr="00E30496">
                    <w:rPr>
                      <w:rFonts w:ascii="Times New Roman" w:hAnsi="Times New Roman"/>
                      <w:b/>
                    </w:rPr>
                    <w:t>Art. 11</w:t>
                  </w:r>
                  <w:r w:rsidR="00566B47">
                    <w:rPr>
                      <w:rFonts w:ascii="Times New Roman" w:hAnsi="Times New Roman"/>
                      <w:b/>
                    </w:rPr>
                    <w:t xml:space="preserve">b </w:t>
                  </w:r>
                  <w:r w:rsidRPr="00E30496">
                    <w:rPr>
                      <w:rFonts w:ascii="Times New Roman" w:hAnsi="Times New Roman"/>
                      <w:b/>
                    </w:rPr>
                    <w:t xml:space="preserve">ust. 4. Prezes Rady Ministrów odwołuje </w:t>
                  </w:r>
                  <w:r w:rsidRPr="00E30496">
                    <w:rPr>
                      <w:rFonts w:ascii="Times New Roman" w:hAnsi="Times New Roman"/>
                    </w:rPr>
                    <w:t>Prezesa UTK w przypadku:</w:t>
                  </w:r>
                </w:p>
                <w:p w14:paraId="5C60A4AB" w14:textId="77777777" w:rsidR="00E30496" w:rsidRPr="00E30496" w:rsidRDefault="00E30496" w:rsidP="009310FA">
                  <w:pPr>
                    <w:jc w:val="both"/>
                    <w:rPr>
                      <w:rFonts w:ascii="Times New Roman" w:hAnsi="Times New Roman"/>
                    </w:rPr>
                  </w:pPr>
                  <w:r w:rsidRPr="00E30496">
                    <w:rPr>
                      <w:rFonts w:ascii="Times New Roman" w:hAnsi="Times New Roman"/>
                    </w:rPr>
                    <w:t>1)   ujawnienia, że nie spełnia wymogów, o których mowa w art. 11 ust. 2;</w:t>
                  </w:r>
                </w:p>
                <w:p w14:paraId="029A1768" w14:textId="77777777" w:rsidR="00E30496" w:rsidRPr="00E30496" w:rsidRDefault="00E30496" w:rsidP="009310FA">
                  <w:pPr>
                    <w:jc w:val="both"/>
                    <w:rPr>
                      <w:rFonts w:ascii="Times New Roman" w:hAnsi="Times New Roman"/>
                    </w:rPr>
                  </w:pPr>
                  <w:r w:rsidRPr="00E30496">
                    <w:rPr>
                      <w:rFonts w:ascii="Times New Roman" w:hAnsi="Times New Roman"/>
                    </w:rPr>
                    <w:t>2)   orzeczenia zakazu zajmowania kierowniczych stanowisk lub pełnienia funkcji związanych ze szczególną odpowiedzialnością w organach państwa;</w:t>
                  </w:r>
                </w:p>
                <w:p w14:paraId="6C8097BE" w14:textId="77777777" w:rsidR="00E30496" w:rsidRPr="00E30496" w:rsidRDefault="00E30496" w:rsidP="009310FA">
                  <w:pPr>
                    <w:jc w:val="both"/>
                    <w:rPr>
                      <w:rFonts w:ascii="Times New Roman" w:hAnsi="Times New Roman"/>
                    </w:rPr>
                  </w:pPr>
                  <w:r w:rsidRPr="00E30496">
                    <w:rPr>
                      <w:rFonts w:ascii="Times New Roman" w:hAnsi="Times New Roman"/>
                    </w:rPr>
                    <w:t>3)   choroby trwale uniemożliwiającej wykonywanie zadań;</w:t>
                  </w:r>
                </w:p>
                <w:p w14:paraId="1C4A3F40" w14:textId="77777777" w:rsidR="00E30496" w:rsidRPr="00E30496" w:rsidRDefault="00E30496" w:rsidP="009310FA">
                  <w:pPr>
                    <w:jc w:val="both"/>
                    <w:rPr>
                      <w:rFonts w:ascii="Times New Roman" w:hAnsi="Times New Roman"/>
                    </w:rPr>
                  </w:pPr>
                  <w:r w:rsidRPr="00E30496">
                    <w:rPr>
                      <w:rFonts w:ascii="Times New Roman" w:hAnsi="Times New Roman"/>
                    </w:rPr>
                    <w:t>4)   zaistnienia okoliczności, które wpływają na niezależne sprawowanie funkcji;</w:t>
                  </w:r>
                </w:p>
                <w:p w14:paraId="676941F4" w14:textId="77777777" w:rsidR="00E30496" w:rsidRPr="00E30496" w:rsidRDefault="00E30496" w:rsidP="009310FA">
                  <w:pPr>
                    <w:jc w:val="both"/>
                    <w:rPr>
                      <w:rFonts w:ascii="Times New Roman" w:hAnsi="Times New Roman"/>
                    </w:rPr>
                  </w:pPr>
                  <w:r w:rsidRPr="00E30496">
                    <w:rPr>
                      <w:rFonts w:ascii="Times New Roman" w:hAnsi="Times New Roman"/>
                    </w:rPr>
                    <w:t>5)   złożenia rezygnacji.</w:t>
                  </w:r>
                </w:p>
                <w:p w14:paraId="4C142753" w14:textId="77777777" w:rsidR="00E30496" w:rsidRPr="00E30496" w:rsidRDefault="00E30496" w:rsidP="009310FA">
                  <w:pPr>
                    <w:jc w:val="both"/>
                    <w:rPr>
                      <w:rFonts w:ascii="Times New Roman" w:hAnsi="Times New Roman"/>
                    </w:rPr>
                  </w:pPr>
                  <w:r w:rsidRPr="00E30496">
                    <w:rPr>
                      <w:rFonts w:ascii="Times New Roman" w:hAnsi="Times New Roman"/>
                      <w:b/>
                    </w:rPr>
                    <w:t>Art. 11 ust. 2.</w:t>
                  </w:r>
                  <w:r w:rsidRPr="00E30496">
                    <w:rPr>
                      <w:rFonts w:ascii="Times New Roman" w:hAnsi="Times New Roman"/>
                    </w:rPr>
                    <w:t xml:space="preserve"> Na stanowisko Prezesa UTK może zostać powołana osoba, która:</w:t>
                  </w:r>
                </w:p>
                <w:p w14:paraId="3C357464" w14:textId="77777777" w:rsidR="00E30496" w:rsidRPr="00E30496" w:rsidRDefault="00E30496" w:rsidP="009310FA">
                  <w:pPr>
                    <w:jc w:val="both"/>
                    <w:rPr>
                      <w:rFonts w:ascii="Times New Roman" w:hAnsi="Times New Roman"/>
                    </w:rPr>
                  </w:pPr>
                  <w:r w:rsidRPr="00E30496">
                    <w:rPr>
                      <w:rFonts w:ascii="Times New Roman" w:hAnsi="Times New Roman"/>
                    </w:rPr>
                    <w:t>1)   jest obywatelem polskim;</w:t>
                  </w:r>
                </w:p>
                <w:p w14:paraId="69BF06FA" w14:textId="77777777" w:rsidR="00E30496" w:rsidRPr="00E30496" w:rsidRDefault="00E30496" w:rsidP="009310FA">
                  <w:pPr>
                    <w:jc w:val="both"/>
                    <w:rPr>
                      <w:rFonts w:ascii="Times New Roman" w:hAnsi="Times New Roman"/>
                    </w:rPr>
                  </w:pPr>
                  <w:r w:rsidRPr="00E30496">
                    <w:rPr>
                      <w:rFonts w:ascii="Times New Roman" w:hAnsi="Times New Roman"/>
                    </w:rPr>
                    <w:t>2)   posiada tytuł zawodowy magistra lub równorzędny albo tytuł inżyniera;</w:t>
                  </w:r>
                </w:p>
                <w:p w14:paraId="607B9F2D" w14:textId="77777777" w:rsidR="00E30496" w:rsidRPr="00E30496" w:rsidRDefault="00E30496" w:rsidP="009310FA">
                  <w:pPr>
                    <w:jc w:val="both"/>
                    <w:rPr>
                      <w:rFonts w:ascii="Times New Roman" w:hAnsi="Times New Roman"/>
                    </w:rPr>
                  </w:pPr>
                  <w:r w:rsidRPr="00E30496">
                    <w:rPr>
                      <w:rFonts w:ascii="Times New Roman" w:hAnsi="Times New Roman"/>
                    </w:rPr>
                    <w:t>3)   korzysta z pełni praw publicznych;</w:t>
                  </w:r>
                </w:p>
                <w:p w14:paraId="019672F1" w14:textId="77777777" w:rsidR="00E30496" w:rsidRPr="00E30496" w:rsidRDefault="00E30496" w:rsidP="009310FA">
                  <w:pPr>
                    <w:jc w:val="both"/>
                    <w:rPr>
                      <w:rFonts w:ascii="Times New Roman" w:hAnsi="Times New Roman"/>
                    </w:rPr>
                  </w:pPr>
                  <w:r w:rsidRPr="00E30496">
                    <w:rPr>
                      <w:rFonts w:ascii="Times New Roman" w:hAnsi="Times New Roman"/>
                    </w:rPr>
                    <w:t>4)   nie była skazana prawomocnym wyrokiem za przestępstwo lub przestępstwo skarbowe popełnione umyślnie;</w:t>
                  </w:r>
                </w:p>
                <w:p w14:paraId="03C4491E" w14:textId="77777777" w:rsidR="00E30496" w:rsidRPr="00E30496" w:rsidRDefault="00E30496" w:rsidP="009310FA">
                  <w:pPr>
                    <w:jc w:val="both"/>
                    <w:rPr>
                      <w:rFonts w:ascii="Times New Roman" w:hAnsi="Times New Roman"/>
                    </w:rPr>
                  </w:pPr>
                  <w:r w:rsidRPr="00E30496">
                    <w:rPr>
                      <w:rFonts w:ascii="Times New Roman" w:hAnsi="Times New Roman"/>
                    </w:rPr>
                    <w:t>5)   posiada kompetencje kierownicze;</w:t>
                  </w:r>
                </w:p>
                <w:p w14:paraId="1C35B4E8" w14:textId="77777777" w:rsidR="00E30496" w:rsidRPr="00E30496" w:rsidRDefault="00E30496" w:rsidP="009310FA">
                  <w:pPr>
                    <w:jc w:val="both"/>
                    <w:rPr>
                      <w:rFonts w:ascii="Times New Roman" w:hAnsi="Times New Roman"/>
                    </w:rPr>
                  </w:pPr>
                  <w:r w:rsidRPr="00E30496">
                    <w:rPr>
                      <w:rFonts w:ascii="Times New Roman" w:hAnsi="Times New Roman"/>
                    </w:rPr>
                    <w:t>6)   posiada co najmniej 6-letni staż pracy, w tym co najmniej 3-letni staż pracy na stanowisku kierowniczym;</w:t>
                  </w:r>
                </w:p>
                <w:p w14:paraId="5369DF4F" w14:textId="77777777" w:rsidR="00E30496" w:rsidRPr="00E30496" w:rsidRDefault="00E30496" w:rsidP="009310FA">
                  <w:pPr>
                    <w:jc w:val="both"/>
                    <w:rPr>
                      <w:rFonts w:ascii="Times New Roman" w:hAnsi="Times New Roman"/>
                    </w:rPr>
                  </w:pPr>
                  <w:r w:rsidRPr="00E30496">
                    <w:rPr>
                      <w:rFonts w:ascii="Times New Roman" w:hAnsi="Times New Roman"/>
                    </w:rPr>
                    <w:lastRenderedPageBreak/>
                    <w:t>7)   posiada wykształcenie i wiedzę z zakresu spraw należących do właściwości Prezesa UTK lub innych organów właściwych w sektorach sieciowych.</w:t>
                  </w:r>
                </w:p>
              </w:tc>
            </w:tr>
          </w:tbl>
          <w:p w14:paraId="1274D864" w14:textId="77777777" w:rsidR="00E30496" w:rsidRPr="00E131B1" w:rsidRDefault="00E30496" w:rsidP="00F24EE4">
            <w:pPr>
              <w:pStyle w:val="mcntmsonormal1"/>
              <w:spacing w:line="276" w:lineRule="auto"/>
              <w:ind w:firstLine="492"/>
              <w:jc w:val="both"/>
              <w:rPr>
                <w:sz w:val="22"/>
              </w:rPr>
            </w:pPr>
          </w:p>
          <w:p w14:paraId="351BC0EE" w14:textId="2A33C63C" w:rsidR="00BC6952" w:rsidRPr="00BC6952" w:rsidRDefault="00BC6952" w:rsidP="00BC6952">
            <w:pPr>
              <w:pStyle w:val="mcntmsonormal1"/>
              <w:spacing w:line="276" w:lineRule="auto"/>
              <w:ind w:firstLine="492"/>
              <w:jc w:val="both"/>
              <w:rPr>
                <w:sz w:val="22"/>
              </w:rPr>
            </w:pPr>
            <w:r>
              <w:rPr>
                <w:sz w:val="22"/>
              </w:rPr>
              <w:t>Dyrektywa</w:t>
            </w:r>
            <w:r w:rsidR="009A02D9">
              <w:rPr>
                <w:sz w:val="22"/>
              </w:rPr>
              <w:t xml:space="preserve"> wymaga też</w:t>
            </w:r>
            <w:r w:rsidRPr="00BC6952">
              <w:rPr>
                <w:sz w:val="22"/>
              </w:rPr>
              <w:t xml:space="preserve"> </w:t>
            </w:r>
            <w:r w:rsidR="004F2CD5">
              <w:rPr>
                <w:sz w:val="22"/>
              </w:rPr>
              <w:t>zapewnienia bezstronności oraz niezależności</w:t>
            </w:r>
            <w:r w:rsidRPr="00BC6952">
              <w:rPr>
                <w:sz w:val="22"/>
              </w:rPr>
              <w:t xml:space="preserve"> organu antymonopolowego oraz pracowników wykonujących uprawnienia władcze na podstawie tego aktu. Należy zauważyć, iż w tym zakresie w prawie krajowym obowiązują już stosowne regulacje przewidziane w</w:t>
            </w:r>
            <w:r w:rsidR="004F2CD5">
              <w:rPr>
                <w:sz w:val="22"/>
              </w:rPr>
              <w:t xml:space="preserve"> ustawie z dnia 14 czerwca 1960 r. </w:t>
            </w:r>
            <w:r w:rsidR="004F2CD5" w:rsidRPr="00734D61">
              <w:rPr>
                <w:i/>
                <w:sz w:val="22"/>
              </w:rPr>
              <w:t>Kodeks</w:t>
            </w:r>
            <w:r w:rsidRPr="00734D61">
              <w:rPr>
                <w:i/>
                <w:sz w:val="22"/>
              </w:rPr>
              <w:t xml:space="preserve"> postępowania administracyjnego</w:t>
            </w:r>
            <w:r w:rsidR="00734D61">
              <w:rPr>
                <w:sz w:val="22"/>
              </w:rPr>
              <w:t xml:space="preserve"> </w:t>
            </w:r>
            <w:r w:rsidR="00734D61" w:rsidRPr="00DE0A98">
              <w:rPr>
                <w:sz w:val="22"/>
                <w:szCs w:val="22"/>
              </w:rPr>
              <w:t>(</w:t>
            </w:r>
            <w:r w:rsidR="00734D61" w:rsidRPr="00B02270">
              <w:rPr>
                <w:sz w:val="22"/>
                <w:szCs w:val="22"/>
              </w:rPr>
              <w:t xml:space="preserve">Dz. U. z 2020 r. poz. 256, z </w:t>
            </w:r>
            <w:proofErr w:type="spellStart"/>
            <w:r w:rsidR="00734D61" w:rsidRPr="00B02270">
              <w:rPr>
                <w:sz w:val="22"/>
                <w:szCs w:val="22"/>
              </w:rPr>
              <w:t>późn</w:t>
            </w:r>
            <w:proofErr w:type="spellEnd"/>
            <w:r w:rsidR="00734D61" w:rsidRPr="00B02270">
              <w:rPr>
                <w:sz w:val="22"/>
                <w:szCs w:val="22"/>
              </w:rPr>
              <w:t>. zm.</w:t>
            </w:r>
            <w:r w:rsidR="00B03259" w:rsidRPr="00B02270">
              <w:rPr>
                <w:sz w:val="22"/>
                <w:szCs w:val="22"/>
              </w:rPr>
              <w:t>, dalej: „KPA”</w:t>
            </w:r>
            <w:r w:rsidR="00F12C74" w:rsidRPr="00B02270">
              <w:rPr>
                <w:sz w:val="22"/>
                <w:szCs w:val="22"/>
              </w:rPr>
              <w:t>)</w:t>
            </w:r>
            <w:r w:rsidR="00F12C74" w:rsidRPr="00DE0A98">
              <w:rPr>
                <w:sz w:val="22"/>
                <w:szCs w:val="22"/>
              </w:rPr>
              <w:t xml:space="preserve"> </w:t>
            </w:r>
            <w:r w:rsidRPr="00DE0A98">
              <w:rPr>
                <w:sz w:val="22"/>
                <w:szCs w:val="22"/>
              </w:rPr>
              <w:t xml:space="preserve">zapobiegające konfliktowi interesów zarówno </w:t>
            </w:r>
            <w:r w:rsidR="00C96B81" w:rsidRPr="00DE0A98">
              <w:rPr>
                <w:sz w:val="22"/>
                <w:szCs w:val="22"/>
              </w:rPr>
              <w:br/>
            </w:r>
            <w:r w:rsidRPr="006116F8">
              <w:rPr>
                <w:sz w:val="22"/>
                <w:szCs w:val="22"/>
              </w:rPr>
              <w:t>w odniesieniu do organu administracji</w:t>
            </w:r>
            <w:r w:rsidRPr="001E3440">
              <w:rPr>
                <w:sz w:val="22"/>
                <w:szCs w:val="22"/>
              </w:rPr>
              <w:t xml:space="preserve"> publicznej, jaki pracowników organu, jak i wymogi bezstronności oraz politycznej neutralności spoczywające na członkach korpusu służby cywilnej wynikające z ustawy</w:t>
            </w:r>
            <w:r w:rsidR="000E7521" w:rsidRPr="003168C5">
              <w:rPr>
                <w:sz w:val="22"/>
                <w:szCs w:val="22"/>
              </w:rPr>
              <w:t xml:space="preserve"> z dnia 21 listopada 2008 r.</w:t>
            </w:r>
            <w:r w:rsidRPr="003168C5">
              <w:rPr>
                <w:sz w:val="22"/>
                <w:szCs w:val="22"/>
              </w:rPr>
              <w:t xml:space="preserve"> </w:t>
            </w:r>
            <w:r w:rsidR="00C96B81" w:rsidRPr="003168C5">
              <w:rPr>
                <w:sz w:val="22"/>
                <w:szCs w:val="22"/>
              </w:rPr>
              <w:br/>
            </w:r>
            <w:r w:rsidRPr="003168C5">
              <w:rPr>
                <w:i/>
                <w:sz w:val="22"/>
                <w:szCs w:val="22"/>
              </w:rPr>
              <w:t>o służbie cywilnej</w:t>
            </w:r>
            <w:r w:rsidR="007E5F43" w:rsidRPr="007C058D">
              <w:rPr>
                <w:sz w:val="22"/>
                <w:szCs w:val="22"/>
              </w:rPr>
              <w:t xml:space="preserve"> (</w:t>
            </w:r>
            <w:r w:rsidR="007E5F43" w:rsidRPr="00B02270">
              <w:rPr>
                <w:sz w:val="22"/>
                <w:szCs w:val="22"/>
              </w:rPr>
              <w:t xml:space="preserve">Dz. U. z 2017 r. poz. 1889, z </w:t>
            </w:r>
            <w:proofErr w:type="spellStart"/>
            <w:r w:rsidR="007E5F43" w:rsidRPr="00B02270">
              <w:rPr>
                <w:sz w:val="22"/>
                <w:szCs w:val="22"/>
              </w:rPr>
              <w:t>późn</w:t>
            </w:r>
            <w:proofErr w:type="spellEnd"/>
            <w:r w:rsidR="007E5F43" w:rsidRPr="00B02270">
              <w:rPr>
                <w:sz w:val="22"/>
                <w:szCs w:val="22"/>
              </w:rPr>
              <w:t>. zm.)</w:t>
            </w:r>
            <w:r w:rsidRPr="00DE0A98">
              <w:rPr>
                <w:sz w:val="22"/>
                <w:szCs w:val="22"/>
              </w:rPr>
              <w:t>.</w:t>
            </w:r>
          </w:p>
          <w:p w14:paraId="481BB031" w14:textId="4F1BF8FE" w:rsidR="00D14953" w:rsidRPr="004E5609" w:rsidRDefault="006A2984" w:rsidP="000E6A14">
            <w:pPr>
              <w:pStyle w:val="mcntmsonormal1"/>
              <w:numPr>
                <w:ilvl w:val="0"/>
                <w:numId w:val="2"/>
              </w:numPr>
              <w:spacing w:before="120" w:after="120" w:line="276" w:lineRule="auto"/>
              <w:ind w:left="714" w:hanging="357"/>
              <w:rPr>
                <w:b/>
              </w:rPr>
            </w:pPr>
            <w:r>
              <w:rPr>
                <w:b/>
                <w:sz w:val="22"/>
                <w:szCs w:val="22"/>
                <w:lang w:eastAsia="en-US"/>
              </w:rPr>
              <w:t>U</w:t>
            </w:r>
            <w:r w:rsidR="00D14953" w:rsidRPr="004E5609">
              <w:rPr>
                <w:b/>
                <w:sz w:val="22"/>
                <w:szCs w:val="22"/>
                <w:lang w:eastAsia="en-US"/>
              </w:rPr>
              <w:t>zasadnienie zarzutów</w:t>
            </w:r>
          </w:p>
          <w:p w14:paraId="51274532" w14:textId="6AB0B903" w:rsidR="004E5609" w:rsidRPr="004E5609" w:rsidRDefault="004E5609" w:rsidP="004E5609">
            <w:pPr>
              <w:ind w:firstLine="771"/>
              <w:jc w:val="both"/>
              <w:rPr>
                <w:rFonts w:ascii="Times New Roman" w:hAnsi="Times New Roman"/>
                <w:szCs w:val="24"/>
              </w:rPr>
            </w:pPr>
            <w:r w:rsidRPr="004E5609">
              <w:rPr>
                <w:rFonts w:ascii="Times New Roman" w:hAnsi="Times New Roman"/>
                <w:szCs w:val="24"/>
              </w:rPr>
              <w:t>Dyrektywa stanowi, że Państwa członkowskie zapewniają, aby przed podjęciem decyzji nakaz</w:t>
            </w:r>
            <w:r>
              <w:rPr>
                <w:rFonts w:ascii="Times New Roman" w:hAnsi="Times New Roman"/>
                <w:szCs w:val="24"/>
              </w:rPr>
              <w:t>ującej</w:t>
            </w:r>
            <w:r w:rsidRPr="004E5609">
              <w:rPr>
                <w:rFonts w:ascii="Times New Roman" w:hAnsi="Times New Roman"/>
                <w:szCs w:val="24"/>
              </w:rPr>
              <w:t xml:space="preserve"> przedsiębiorstwom lub związkom przedsiębiorstw</w:t>
            </w:r>
            <w:r>
              <w:rPr>
                <w:rFonts w:ascii="Times New Roman" w:hAnsi="Times New Roman"/>
                <w:szCs w:val="24"/>
              </w:rPr>
              <w:t xml:space="preserve"> zaprzestania </w:t>
            </w:r>
            <w:r w:rsidRPr="004E5609">
              <w:rPr>
                <w:rFonts w:ascii="Times New Roman" w:hAnsi="Times New Roman"/>
                <w:szCs w:val="24"/>
              </w:rPr>
              <w:t>naruszenia</w:t>
            </w:r>
            <w:r>
              <w:rPr>
                <w:rFonts w:ascii="Times New Roman" w:hAnsi="Times New Roman"/>
                <w:szCs w:val="24"/>
              </w:rPr>
              <w:t xml:space="preserve"> ar</w:t>
            </w:r>
            <w:r w:rsidRPr="004E5609">
              <w:rPr>
                <w:rFonts w:ascii="Times New Roman" w:hAnsi="Times New Roman"/>
                <w:szCs w:val="24"/>
              </w:rPr>
              <w:t>t. 101 lub 102 TFUE</w:t>
            </w:r>
            <w:r>
              <w:rPr>
                <w:rFonts w:ascii="Times New Roman" w:hAnsi="Times New Roman"/>
                <w:szCs w:val="24"/>
              </w:rPr>
              <w:t>,</w:t>
            </w:r>
            <w:r w:rsidRPr="004E5609">
              <w:rPr>
                <w:rFonts w:ascii="Times New Roman" w:hAnsi="Times New Roman"/>
                <w:szCs w:val="24"/>
              </w:rPr>
              <w:t xml:space="preserve"> krajowe organy ochrony konkurencji powinny poinformować strony objęte postępowaniem o wstępnych zastrzeżeniach wniesionych wobec nich na podstawie art. 101 lub 102 TFUE w formie szczegółowego uzasadnienia zarzutów lub podobnego środka, a strony postępowania powinny mieć możliwość skutecznego przedstawienia swoich opinii w sprawie wniesionych zastrzeżeń.</w:t>
            </w:r>
          </w:p>
          <w:p w14:paraId="6A96713E" w14:textId="628DE606" w:rsidR="004E5609" w:rsidRPr="004E5609" w:rsidRDefault="004E5609" w:rsidP="004E5609">
            <w:pPr>
              <w:ind w:firstLine="771"/>
              <w:jc w:val="both"/>
              <w:rPr>
                <w:rFonts w:ascii="Times New Roman" w:hAnsi="Times New Roman"/>
                <w:szCs w:val="24"/>
              </w:rPr>
            </w:pPr>
            <w:r w:rsidRPr="004E5609">
              <w:rPr>
                <w:rFonts w:ascii="Times New Roman" w:hAnsi="Times New Roman"/>
                <w:szCs w:val="24"/>
              </w:rPr>
              <w:t>Obowiązek wydawania szczegółowego uzasadnienia zarzutów jest wskazywany jako jedno z podstawowych praw przysługujących przedsiębiorcy. Jak wyjaśnia preambuła Dyrektywy</w:t>
            </w:r>
            <w:r>
              <w:rPr>
                <w:rFonts w:ascii="Times New Roman" w:hAnsi="Times New Roman"/>
                <w:szCs w:val="24"/>
              </w:rPr>
              <w:t xml:space="preserve">, </w:t>
            </w:r>
            <w:r w:rsidRPr="004E5609">
              <w:rPr>
                <w:rFonts w:ascii="Times New Roman" w:hAnsi="Times New Roman"/>
                <w:szCs w:val="24"/>
              </w:rPr>
              <w:t xml:space="preserve">wykonywanie uprawnień, w tym uprawnień dochodzeniowych, przyznanych krajowym organom ochrony konkurencji powinno podlegać odpowiednim gwarancjom, które będą spełniać co najmniej normy przewidziane w ogólnych zasadach prawa Unii i w Karcie praw podstawowych Unii Europejskiej, zgodnie z orzecznictwem Trybunału Sprawiedliwości Unii Europejskiej, zwłaszcza w kontekście postępowań, które mogą doprowadzić do nałożenia kar. </w:t>
            </w:r>
          </w:p>
          <w:p w14:paraId="69431BDE" w14:textId="1360CC31" w:rsidR="00D14953" w:rsidRPr="008D7A59" w:rsidRDefault="00D14953" w:rsidP="000E6A14">
            <w:pPr>
              <w:pStyle w:val="mcntmsonormal1"/>
              <w:numPr>
                <w:ilvl w:val="0"/>
                <w:numId w:val="2"/>
              </w:numPr>
              <w:spacing w:before="120" w:after="120" w:line="276" w:lineRule="auto"/>
              <w:ind w:left="714" w:hanging="357"/>
              <w:rPr>
                <w:b/>
              </w:rPr>
            </w:pPr>
            <w:r w:rsidRPr="00A3683F">
              <w:rPr>
                <w:b/>
                <w:sz w:val="22"/>
                <w:szCs w:val="22"/>
                <w:lang w:eastAsia="en-US"/>
              </w:rPr>
              <w:t>Żądanie informacji</w:t>
            </w:r>
            <w:r w:rsidRPr="00A3683F">
              <w:rPr>
                <w:b/>
              </w:rPr>
              <w:t xml:space="preserve"> oraz </w:t>
            </w:r>
            <w:r w:rsidRPr="00A3683F">
              <w:rPr>
                <w:b/>
                <w:sz w:val="22"/>
                <w:szCs w:val="22"/>
                <w:lang w:eastAsia="en-US"/>
              </w:rPr>
              <w:t>wolność od samooskarżania</w:t>
            </w:r>
          </w:p>
          <w:p w14:paraId="03862196" w14:textId="2CD0BC00" w:rsidR="008D7A59" w:rsidRPr="008D7A59" w:rsidRDefault="008D7A59" w:rsidP="000E6A14">
            <w:pPr>
              <w:pStyle w:val="mcntmsonormal1"/>
              <w:numPr>
                <w:ilvl w:val="0"/>
                <w:numId w:val="5"/>
              </w:numPr>
              <w:spacing w:before="120" w:after="120" w:line="276" w:lineRule="auto"/>
              <w:rPr>
                <w:b/>
                <w:i/>
              </w:rPr>
            </w:pPr>
            <w:r w:rsidRPr="008D7A59">
              <w:rPr>
                <w:b/>
                <w:i/>
                <w:sz w:val="22"/>
              </w:rPr>
              <w:t>Żądanie informacji</w:t>
            </w:r>
          </w:p>
          <w:p w14:paraId="06ABB89C" w14:textId="23DF669E" w:rsidR="005F2D81" w:rsidRDefault="005F2D81" w:rsidP="00846448">
            <w:pPr>
              <w:pStyle w:val="mcntmsonormal1"/>
              <w:spacing w:line="276" w:lineRule="auto"/>
              <w:ind w:firstLine="771"/>
              <w:jc w:val="both"/>
              <w:rPr>
                <w:sz w:val="22"/>
                <w:szCs w:val="20"/>
              </w:rPr>
            </w:pPr>
            <w:r w:rsidRPr="005F2D81">
              <w:rPr>
                <w:sz w:val="22"/>
                <w:szCs w:val="20"/>
              </w:rPr>
              <w:t>Dyrektywa wymaga, aby krajowe organy ochrony konkurencji miały skuteczne uprawnienia, umożliwiające im żądanie od przedsiębiorstw lub związków przedsiębiorstw dostarczenia informacji, niezbędnych do wykrycia naruszeń art. 101 i 102 TFUE. Przepis</w:t>
            </w:r>
            <w:r>
              <w:rPr>
                <w:sz w:val="22"/>
                <w:szCs w:val="20"/>
              </w:rPr>
              <w:t>y dyrektywy</w:t>
            </w:r>
            <w:r w:rsidRPr="005F2D81">
              <w:rPr>
                <w:sz w:val="22"/>
                <w:szCs w:val="20"/>
              </w:rPr>
              <w:t xml:space="preserve"> określa</w:t>
            </w:r>
            <w:r>
              <w:rPr>
                <w:sz w:val="22"/>
                <w:szCs w:val="20"/>
              </w:rPr>
              <w:t>ją</w:t>
            </w:r>
            <w:r w:rsidRPr="005F2D81">
              <w:rPr>
                <w:sz w:val="22"/>
                <w:szCs w:val="20"/>
              </w:rPr>
              <w:t xml:space="preserve">, że wnioski o informacje muszą być proporcjonalne i nie mogą zmuszać </w:t>
            </w:r>
            <w:r>
              <w:rPr>
                <w:sz w:val="22"/>
                <w:szCs w:val="20"/>
              </w:rPr>
              <w:t xml:space="preserve">ich </w:t>
            </w:r>
            <w:r w:rsidRPr="005F2D81">
              <w:rPr>
                <w:sz w:val="22"/>
                <w:szCs w:val="20"/>
              </w:rPr>
              <w:t xml:space="preserve">adresata do przyznania się do naruszenia art. 101 i 102 TFUE. Obowiązek dostarczenia wszelkich niezbędnych informacji obejmuje informacje, do których dane przedsiębiorstwo lub związek przedsiębiorstw mają dostęp. Krajowe organy ochrony konkurencji są także uprawnione do żądania od innych osób fizycznych lub prawnych dostarczenia </w:t>
            </w:r>
            <w:r>
              <w:rPr>
                <w:sz w:val="22"/>
                <w:szCs w:val="20"/>
              </w:rPr>
              <w:br/>
            </w:r>
            <w:r w:rsidRPr="005F2D81">
              <w:rPr>
                <w:sz w:val="22"/>
                <w:szCs w:val="20"/>
              </w:rPr>
              <w:t>w określonym i rozsądnym terminie informacji, które mogą mieć znaczenie dla stosowania postanowień art. 101 i 102 TFUE.</w:t>
            </w:r>
          </w:p>
          <w:p w14:paraId="218F9700" w14:textId="4C707159" w:rsidR="00846448" w:rsidRPr="00846448" w:rsidRDefault="00846448" w:rsidP="00846448">
            <w:pPr>
              <w:pStyle w:val="mcntmsonormal1"/>
              <w:spacing w:line="276" w:lineRule="auto"/>
              <w:ind w:firstLine="771"/>
              <w:jc w:val="both"/>
              <w:rPr>
                <w:sz w:val="22"/>
                <w:szCs w:val="20"/>
              </w:rPr>
            </w:pPr>
            <w:r w:rsidRPr="00846448">
              <w:rPr>
                <w:sz w:val="22"/>
                <w:szCs w:val="20"/>
              </w:rPr>
              <w:t xml:space="preserve">Obecnie, zgodnie z </w:t>
            </w:r>
            <w:proofErr w:type="spellStart"/>
            <w:r w:rsidRPr="00846448">
              <w:rPr>
                <w:sz w:val="22"/>
                <w:szCs w:val="20"/>
              </w:rPr>
              <w:t>u.o.k.k</w:t>
            </w:r>
            <w:proofErr w:type="spellEnd"/>
            <w:r w:rsidRPr="00846448">
              <w:rPr>
                <w:sz w:val="22"/>
                <w:szCs w:val="20"/>
              </w:rPr>
              <w:t xml:space="preserve">., obowiązek przekazywania wszelkich koniecznych informacji i dokumentów na żądanie Prezesa Urzędu nałożony jest </w:t>
            </w:r>
            <w:r>
              <w:rPr>
                <w:sz w:val="22"/>
                <w:szCs w:val="20"/>
              </w:rPr>
              <w:t>jedynie</w:t>
            </w:r>
            <w:r w:rsidRPr="00846448">
              <w:rPr>
                <w:sz w:val="22"/>
                <w:szCs w:val="20"/>
              </w:rPr>
              <w:t xml:space="preserve"> na przedsiębiorców. Prezes UOKiK może zobligować do udzielenia mu informacji każdy podmiot mający status przedsiębiorcy lub związ</w:t>
            </w:r>
            <w:r w:rsidR="00CB68EC">
              <w:rPr>
                <w:sz w:val="22"/>
                <w:szCs w:val="20"/>
              </w:rPr>
              <w:t>ek</w:t>
            </w:r>
            <w:r w:rsidRPr="00846448">
              <w:rPr>
                <w:sz w:val="22"/>
                <w:szCs w:val="20"/>
              </w:rPr>
              <w:t xml:space="preserve"> przedsiębiorców</w:t>
            </w:r>
            <w:r>
              <w:rPr>
                <w:sz w:val="22"/>
                <w:szCs w:val="20"/>
              </w:rPr>
              <w:t xml:space="preserve">, ale </w:t>
            </w:r>
            <w:r w:rsidRPr="00846448">
              <w:rPr>
                <w:sz w:val="22"/>
                <w:szCs w:val="20"/>
              </w:rPr>
              <w:t xml:space="preserve">nie może żądać informacji od osoby niebędącej przedsiębiorcą. Wyjątkiem jest możliwość żądania przez Prezesa Urzędu dokumentów i informacji od osób zarządzających, które złożyły wniosek </w:t>
            </w:r>
            <w:proofErr w:type="spellStart"/>
            <w:r w:rsidRPr="00846448">
              <w:rPr>
                <w:i/>
                <w:sz w:val="22"/>
                <w:szCs w:val="20"/>
              </w:rPr>
              <w:t>leniency</w:t>
            </w:r>
            <w:proofErr w:type="spellEnd"/>
            <w:r>
              <w:rPr>
                <w:sz w:val="22"/>
                <w:szCs w:val="20"/>
              </w:rPr>
              <w:t xml:space="preserve">. </w:t>
            </w:r>
            <w:r w:rsidRPr="00846448">
              <w:rPr>
                <w:sz w:val="22"/>
                <w:szCs w:val="20"/>
              </w:rPr>
              <w:t>Dodatkowo każdy – a więc i każda osoba fizyczna - obowiązany jest przedstawić na żądanie Prezesa UOKiK w oznaczonym terminie i miejscu dokument znajdujący się w jego posiadaniu i stanowiący dowód faktu istotnego dla rozstrzygnięcia sprawy, chyba że dokument zawiera informacje niejawne</w:t>
            </w:r>
            <w:r>
              <w:rPr>
                <w:sz w:val="22"/>
                <w:szCs w:val="20"/>
              </w:rPr>
              <w:t>.</w:t>
            </w:r>
          </w:p>
          <w:p w14:paraId="1CA09453" w14:textId="1112002C" w:rsidR="00846448" w:rsidRDefault="00846448" w:rsidP="00846448">
            <w:pPr>
              <w:pStyle w:val="mcntmsonormal1"/>
              <w:spacing w:line="276" w:lineRule="auto"/>
              <w:ind w:firstLine="771"/>
              <w:jc w:val="both"/>
              <w:rPr>
                <w:sz w:val="22"/>
                <w:szCs w:val="20"/>
              </w:rPr>
            </w:pPr>
            <w:r w:rsidRPr="00846448">
              <w:rPr>
                <w:sz w:val="22"/>
                <w:szCs w:val="20"/>
              </w:rPr>
              <w:t xml:space="preserve">Wymogi </w:t>
            </w:r>
            <w:r>
              <w:rPr>
                <w:sz w:val="22"/>
                <w:szCs w:val="20"/>
              </w:rPr>
              <w:t>D</w:t>
            </w:r>
            <w:r w:rsidRPr="00846448">
              <w:rPr>
                <w:sz w:val="22"/>
                <w:szCs w:val="20"/>
              </w:rPr>
              <w:t>yrektywy w zakresie dysponowania przez Prezesa UOKiK efektywnymi narzędziami gromadzenia materiału dowodowego uzasadniają przyznanie mu kompetencji do żądania informacji na piśmie, we wskazanej formie, od nieograniczonego kręgu podmiotów. Takie rozwiązanie byłoby również zbieżne z obowiązującą w postępowaniu przed Prezesem UOKiK koncepcją otwartego katalogu dowodów</w:t>
            </w:r>
            <w:r>
              <w:rPr>
                <w:sz w:val="22"/>
                <w:szCs w:val="20"/>
              </w:rPr>
              <w:t>.</w:t>
            </w:r>
          </w:p>
          <w:p w14:paraId="1DA0269F" w14:textId="166E57D5" w:rsidR="005E1CCE" w:rsidRPr="00751C3C" w:rsidRDefault="005E1CCE" w:rsidP="00751C3C">
            <w:pPr>
              <w:pStyle w:val="mcntmsonormal1"/>
              <w:spacing w:line="276" w:lineRule="auto"/>
              <w:ind w:firstLine="771"/>
              <w:jc w:val="both"/>
              <w:rPr>
                <w:sz w:val="22"/>
                <w:szCs w:val="20"/>
              </w:rPr>
            </w:pPr>
            <w:r w:rsidRPr="00751C3C">
              <w:rPr>
                <w:sz w:val="22"/>
                <w:szCs w:val="20"/>
              </w:rPr>
              <w:t>Istnieją co najmniej cztery kategorie osób fizycznych, niebędących przedsiębiorcami, które mogą posiadać informacje istotne w sprawach praktyk ograniczających konkurencję. Są to:</w:t>
            </w:r>
          </w:p>
          <w:p w14:paraId="23F662A7" w14:textId="31C0100D" w:rsidR="005E1CCE" w:rsidRPr="00751C3C" w:rsidRDefault="00751C3C" w:rsidP="00751C3C">
            <w:pPr>
              <w:pStyle w:val="mcntmsonormal1"/>
              <w:spacing w:line="276" w:lineRule="auto"/>
              <w:jc w:val="both"/>
              <w:rPr>
                <w:sz w:val="22"/>
                <w:szCs w:val="20"/>
              </w:rPr>
            </w:pPr>
            <w:r w:rsidRPr="00751C3C">
              <w:rPr>
                <w:sz w:val="22"/>
                <w:szCs w:val="20"/>
              </w:rPr>
              <w:t xml:space="preserve">- </w:t>
            </w:r>
            <w:r w:rsidR="005E1CCE" w:rsidRPr="00751C3C">
              <w:rPr>
                <w:sz w:val="22"/>
                <w:szCs w:val="20"/>
              </w:rPr>
              <w:t xml:space="preserve">aktualni i byli członkowie organów przedsiębiorców (którzy nie złożyli wniosku </w:t>
            </w:r>
            <w:proofErr w:type="spellStart"/>
            <w:r w:rsidR="005E1CCE" w:rsidRPr="00751C3C">
              <w:rPr>
                <w:i/>
                <w:sz w:val="22"/>
                <w:szCs w:val="20"/>
              </w:rPr>
              <w:t>leniency</w:t>
            </w:r>
            <w:proofErr w:type="spellEnd"/>
            <w:r w:rsidR="005E1CCE" w:rsidRPr="00751C3C">
              <w:rPr>
                <w:sz w:val="22"/>
                <w:szCs w:val="20"/>
              </w:rPr>
              <w:t>)</w:t>
            </w:r>
            <w:r w:rsidRPr="00751C3C">
              <w:rPr>
                <w:sz w:val="22"/>
                <w:szCs w:val="20"/>
              </w:rPr>
              <w:t>,</w:t>
            </w:r>
          </w:p>
          <w:p w14:paraId="3E335FAF" w14:textId="6CEB778B" w:rsidR="005E1CCE" w:rsidRPr="00751C3C" w:rsidRDefault="00751C3C" w:rsidP="00751C3C">
            <w:pPr>
              <w:pStyle w:val="mcntmsonormal1"/>
              <w:spacing w:line="276" w:lineRule="auto"/>
              <w:jc w:val="both"/>
              <w:rPr>
                <w:sz w:val="22"/>
                <w:szCs w:val="20"/>
              </w:rPr>
            </w:pPr>
            <w:r w:rsidRPr="00751C3C">
              <w:rPr>
                <w:sz w:val="22"/>
                <w:szCs w:val="20"/>
              </w:rPr>
              <w:t xml:space="preserve">- </w:t>
            </w:r>
            <w:r w:rsidR="005E1CCE" w:rsidRPr="00751C3C">
              <w:rPr>
                <w:sz w:val="22"/>
                <w:szCs w:val="20"/>
              </w:rPr>
              <w:t xml:space="preserve">osoby fizyczne, które dopuściły się praktyk </w:t>
            </w:r>
            <w:proofErr w:type="spellStart"/>
            <w:r w:rsidR="005E1CCE" w:rsidRPr="00751C3C">
              <w:rPr>
                <w:sz w:val="22"/>
                <w:szCs w:val="20"/>
              </w:rPr>
              <w:t>antykonkurencyjnych</w:t>
            </w:r>
            <w:proofErr w:type="spellEnd"/>
            <w:r w:rsidR="005E1CCE" w:rsidRPr="00751C3C">
              <w:rPr>
                <w:sz w:val="22"/>
                <w:szCs w:val="20"/>
              </w:rPr>
              <w:t xml:space="preserve"> prowadząc działalność gospodarczą (tj. mając status przedsiębiorcy), a następnie zaprzestały jej prowadzenia</w:t>
            </w:r>
            <w:r w:rsidRPr="00751C3C">
              <w:rPr>
                <w:sz w:val="22"/>
                <w:szCs w:val="20"/>
              </w:rPr>
              <w:t>,</w:t>
            </w:r>
          </w:p>
          <w:p w14:paraId="53EA8D32" w14:textId="1E6351D9" w:rsidR="005E1CCE" w:rsidRPr="00751C3C" w:rsidRDefault="00751C3C" w:rsidP="00751C3C">
            <w:pPr>
              <w:pStyle w:val="mcntmsonormal1"/>
              <w:spacing w:line="276" w:lineRule="auto"/>
              <w:jc w:val="both"/>
              <w:rPr>
                <w:sz w:val="22"/>
                <w:szCs w:val="20"/>
              </w:rPr>
            </w:pPr>
            <w:r w:rsidRPr="00751C3C">
              <w:rPr>
                <w:sz w:val="22"/>
                <w:szCs w:val="20"/>
              </w:rPr>
              <w:t xml:space="preserve">- </w:t>
            </w:r>
            <w:r w:rsidR="005E1CCE" w:rsidRPr="00751C3C">
              <w:rPr>
                <w:sz w:val="22"/>
                <w:szCs w:val="20"/>
              </w:rPr>
              <w:t xml:space="preserve">aktualni i byli pracownicy przedsiębiorcy zaangażowanego w </w:t>
            </w:r>
            <w:proofErr w:type="spellStart"/>
            <w:r w:rsidR="005E1CCE" w:rsidRPr="00751C3C">
              <w:rPr>
                <w:sz w:val="22"/>
                <w:szCs w:val="20"/>
              </w:rPr>
              <w:t>antykonkurencyjną</w:t>
            </w:r>
            <w:proofErr w:type="spellEnd"/>
            <w:r w:rsidR="005E1CCE" w:rsidRPr="00751C3C">
              <w:rPr>
                <w:sz w:val="22"/>
                <w:szCs w:val="20"/>
              </w:rPr>
              <w:t xml:space="preserve"> praktykę</w:t>
            </w:r>
            <w:r w:rsidRPr="00751C3C">
              <w:rPr>
                <w:sz w:val="22"/>
                <w:szCs w:val="20"/>
              </w:rPr>
              <w:t>,</w:t>
            </w:r>
          </w:p>
          <w:p w14:paraId="6837A216" w14:textId="57FB2657" w:rsidR="005E1CCE" w:rsidRPr="00751C3C" w:rsidRDefault="00751C3C" w:rsidP="00751C3C">
            <w:pPr>
              <w:pStyle w:val="mcntmsonormal1"/>
              <w:spacing w:line="276" w:lineRule="auto"/>
              <w:jc w:val="both"/>
              <w:rPr>
                <w:sz w:val="22"/>
                <w:szCs w:val="20"/>
              </w:rPr>
            </w:pPr>
            <w:r w:rsidRPr="00751C3C">
              <w:rPr>
                <w:sz w:val="22"/>
                <w:szCs w:val="20"/>
              </w:rPr>
              <w:lastRenderedPageBreak/>
              <w:t xml:space="preserve">- </w:t>
            </w:r>
            <w:r w:rsidR="005E1CCE" w:rsidRPr="00751C3C">
              <w:rPr>
                <w:sz w:val="22"/>
                <w:szCs w:val="20"/>
              </w:rPr>
              <w:t>osoby, które w dobrej wierze i w interesie publicznym przekazuj</w:t>
            </w:r>
            <w:r w:rsidR="00056A6A">
              <w:rPr>
                <w:sz w:val="22"/>
                <w:szCs w:val="20"/>
              </w:rPr>
              <w:t>ą</w:t>
            </w:r>
            <w:r w:rsidR="005E1CCE" w:rsidRPr="00751C3C">
              <w:rPr>
                <w:sz w:val="22"/>
                <w:szCs w:val="20"/>
              </w:rPr>
              <w:t xml:space="preserve"> informacje o potencjalnych naruszeniach reguł konkurencji, tzw. „sygnaliści” (w przypadku, gdyby nie chcieli udzielić informacji dalszych, niż tylko te wskazane  pierwotnie w zawiadomieniu). </w:t>
            </w:r>
          </w:p>
          <w:p w14:paraId="3952078D" w14:textId="2C2AA124" w:rsidR="005E1CCE" w:rsidRDefault="00751C3C" w:rsidP="008D7A59">
            <w:pPr>
              <w:pStyle w:val="mcntmsonormal1"/>
              <w:spacing w:after="120" w:line="276" w:lineRule="auto"/>
              <w:ind w:firstLine="771"/>
              <w:jc w:val="both"/>
              <w:rPr>
                <w:sz w:val="22"/>
                <w:szCs w:val="20"/>
              </w:rPr>
            </w:pPr>
            <w:r w:rsidRPr="00751C3C">
              <w:rPr>
                <w:sz w:val="22"/>
                <w:szCs w:val="20"/>
              </w:rPr>
              <w:t>C</w:t>
            </w:r>
            <w:r w:rsidR="005E1CCE" w:rsidRPr="00751C3C">
              <w:rPr>
                <w:sz w:val="22"/>
                <w:szCs w:val="20"/>
              </w:rPr>
              <w:t>elowe jest</w:t>
            </w:r>
            <w:r w:rsidRPr="00751C3C">
              <w:rPr>
                <w:sz w:val="22"/>
                <w:szCs w:val="20"/>
              </w:rPr>
              <w:t xml:space="preserve"> również wyposażenie</w:t>
            </w:r>
            <w:r w:rsidR="005E1CCE" w:rsidRPr="00751C3C">
              <w:rPr>
                <w:sz w:val="22"/>
                <w:szCs w:val="20"/>
              </w:rPr>
              <w:t xml:space="preserve"> Prezes</w:t>
            </w:r>
            <w:r w:rsidRPr="00751C3C">
              <w:rPr>
                <w:sz w:val="22"/>
                <w:szCs w:val="20"/>
              </w:rPr>
              <w:t>a</w:t>
            </w:r>
            <w:r w:rsidR="005E1CCE" w:rsidRPr="00751C3C">
              <w:rPr>
                <w:sz w:val="22"/>
                <w:szCs w:val="20"/>
              </w:rPr>
              <w:t xml:space="preserve"> UOKiK</w:t>
            </w:r>
            <w:r w:rsidRPr="00751C3C">
              <w:rPr>
                <w:sz w:val="22"/>
                <w:szCs w:val="20"/>
              </w:rPr>
              <w:t xml:space="preserve"> w</w:t>
            </w:r>
            <w:r w:rsidR="005E1CCE" w:rsidRPr="00751C3C">
              <w:rPr>
                <w:sz w:val="22"/>
                <w:szCs w:val="20"/>
              </w:rPr>
              <w:t xml:space="preserve"> prawo żąda</w:t>
            </w:r>
            <w:r w:rsidRPr="00751C3C">
              <w:rPr>
                <w:sz w:val="22"/>
                <w:szCs w:val="20"/>
              </w:rPr>
              <w:t>nia</w:t>
            </w:r>
            <w:r w:rsidR="005E1CCE" w:rsidRPr="00751C3C">
              <w:rPr>
                <w:sz w:val="22"/>
                <w:szCs w:val="20"/>
              </w:rPr>
              <w:t xml:space="preserve"> informacji i dokumentów (np. </w:t>
            </w:r>
            <w:r w:rsidR="00CB68EC">
              <w:rPr>
                <w:sz w:val="22"/>
                <w:szCs w:val="20"/>
              </w:rPr>
              <w:t>przedstawienia deklaracji podatkowych</w:t>
            </w:r>
            <w:r w:rsidR="005E1CCE" w:rsidRPr="00751C3C">
              <w:rPr>
                <w:sz w:val="22"/>
                <w:szCs w:val="20"/>
              </w:rPr>
              <w:t>) od osób fizycznych</w:t>
            </w:r>
            <w:r w:rsidRPr="00751C3C">
              <w:rPr>
                <w:sz w:val="22"/>
                <w:szCs w:val="20"/>
              </w:rPr>
              <w:t>,</w:t>
            </w:r>
            <w:r w:rsidR="005E1CCE" w:rsidRPr="00751C3C">
              <w:rPr>
                <w:sz w:val="22"/>
                <w:szCs w:val="20"/>
              </w:rPr>
              <w:t xml:space="preserve"> podlegających indywidualnie karom na podstawie ustawy (przykładowo za utrudnianie wszczęcia lub prowadzenia kontroli (przeszukania).</w:t>
            </w:r>
          </w:p>
          <w:p w14:paraId="63873441" w14:textId="118468BB" w:rsidR="008D7A59" w:rsidRDefault="008D7A59" w:rsidP="000E6A14">
            <w:pPr>
              <w:pStyle w:val="mcntmsonormal1"/>
              <w:numPr>
                <w:ilvl w:val="0"/>
                <w:numId w:val="5"/>
              </w:numPr>
              <w:spacing w:after="120" w:line="276" w:lineRule="auto"/>
              <w:jc w:val="both"/>
              <w:rPr>
                <w:b/>
                <w:i/>
                <w:sz w:val="22"/>
                <w:szCs w:val="20"/>
              </w:rPr>
            </w:pPr>
            <w:r w:rsidRPr="008D7A59">
              <w:rPr>
                <w:b/>
                <w:i/>
                <w:sz w:val="22"/>
                <w:szCs w:val="20"/>
              </w:rPr>
              <w:t>Wolność od samooskarżania</w:t>
            </w:r>
          </w:p>
          <w:p w14:paraId="1F072BB7" w14:textId="6B76B6BF" w:rsidR="008D7A59" w:rsidRPr="008D7A59" w:rsidRDefault="00420635" w:rsidP="008D7A59">
            <w:pPr>
              <w:ind w:firstLine="779"/>
              <w:jc w:val="both"/>
              <w:rPr>
                <w:rFonts w:ascii="Times New Roman" w:hAnsi="Times New Roman"/>
                <w:szCs w:val="24"/>
              </w:rPr>
            </w:pPr>
            <w:r>
              <w:rPr>
                <w:rFonts w:ascii="Times New Roman" w:hAnsi="Times New Roman"/>
                <w:szCs w:val="24"/>
              </w:rPr>
              <w:t xml:space="preserve">Według zapisów </w:t>
            </w:r>
            <w:r w:rsidR="008D7A59" w:rsidRPr="008D7A59">
              <w:rPr>
                <w:rFonts w:ascii="Times New Roman" w:hAnsi="Times New Roman"/>
                <w:szCs w:val="24"/>
              </w:rPr>
              <w:t>Dyrektywy, w postępowaniach dotyczących naruszeń art. 101 lub 102 TFUE</w:t>
            </w:r>
            <w:r w:rsidR="000329D3">
              <w:rPr>
                <w:rFonts w:ascii="Times New Roman" w:hAnsi="Times New Roman"/>
                <w:szCs w:val="24"/>
              </w:rPr>
              <w:t>,</w:t>
            </w:r>
            <w:r w:rsidR="008D7A59" w:rsidRPr="008D7A59">
              <w:rPr>
                <w:rFonts w:ascii="Times New Roman" w:hAnsi="Times New Roman"/>
                <w:szCs w:val="24"/>
              </w:rPr>
              <w:t xml:space="preserve"> prowadzonych przez krajowe organy ochrony konkurencji</w:t>
            </w:r>
            <w:r w:rsidR="000329D3">
              <w:rPr>
                <w:rFonts w:ascii="Times New Roman" w:hAnsi="Times New Roman"/>
                <w:szCs w:val="24"/>
              </w:rPr>
              <w:t>,</w:t>
            </w:r>
            <w:r w:rsidR="008D7A59" w:rsidRPr="008D7A59">
              <w:rPr>
                <w:rFonts w:ascii="Times New Roman" w:hAnsi="Times New Roman"/>
                <w:szCs w:val="24"/>
              </w:rPr>
              <w:t xml:space="preserve"> muszą być stosowane ogólne zasady prawa Unii oraz Karta praw podstawowych Unii Europejskiej (dalej: „EKPC”). Należy zauważyć, że obecna regulacja zawarta w </w:t>
            </w:r>
            <w:proofErr w:type="spellStart"/>
            <w:r w:rsidR="008D7A59" w:rsidRPr="008D7A59">
              <w:rPr>
                <w:rFonts w:ascii="Times New Roman" w:hAnsi="Times New Roman"/>
                <w:szCs w:val="24"/>
              </w:rPr>
              <w:t>u</w:t>
            </w:r>
            <w:r w:rsidR="000329D3">
              <w:rPr>
                <w:rFonts w:ascii="Times New Roman" w:hAnsi="Times New Roman"/>
                <w:szCs w:val="24"/>
              </w:rPr>
              <w:t>.o.k.k</w:t>
            </w:r>
            <w:proofErr w:type="spellEnd"/>
            <w:r w:rsidR="000329D3">
              <w:rPr>
                <w:rFonts w:ascii="Times New Roman" w:hAnsi="Times New Roman"/>
                <w:szCs w:val="24"/>
              </w:rPr>
              <w:t>.</w:t>
            </w:r>
            <w:r w:rsidR="008D7A59" w:rsidRPr="008D7A59">
              <w:rPr>
                <w:rFonts w:ascii="Times New Roman" w:hAnsi="Times New Roman"/>
                <w:szCs w:val="24"/>
              </w:rPr>
              <w:t>, co do zasady</w:t>
            </w:r>
            <w:r w:rsidR="000329D3">
              <w:rPr>
                <w:rFonts w:ascii="Times New Roman" w:hAnsi="Times New Roman"/>
                <w:szCs w:val="24"/>
              </w:rPr>
              <w:t>,</w:t>
            </w:r>
            <w:r w:rsidR="008D7A59" w:rsidRPr="008D7A59">
              <w:rPr>
                <w:rFonts w:ascii="Times New Roman" w:hAnsi="Times New Roman"/>
                <w:szCs w:val="24"/>
              </w:rPr>
              <w:t xml:space="preserve"> zapewnia realizację tego postulat</w:t>
            </w:r>
            <w:r w:rsidR="000329D3">
              <w:rPr>
                <w:rFonts w:ascii="Times New Roman" w:hAnsi="Times New Roman"/>
                <w:szCs w:val="24"/>
              </w:rPr>
              <w:t>u</w:t>
            </w:r>
            <w:r w:rsidR="008D7A59" w:rsidRPr="008D7A59">
              <w:rPr>
                <w:rFonts w:ascii="Times New Roman" w:hAnsi="Times New Roman"/>
                <w:szCs w:val="24"/>
              </w:rPr>
              <w:t>, istnieje jednak obszar wymagający podjęcia interwencji legislacyjnej.</w:t>
            </w:r>
          </w:p>
          <w:p w14:paraId="5A20C905" w14:textId="5982BC3D" w:rsidR="005F2D81" w:rsidRPr="000D206B" w:rsidRDefault="008D7A59" w:rsidP="000D206B">
            <w:pPr>
              <w:ind w:firstLine="779"/>
              <w:jc w:val="both"/>
              <w:rPr>
                <w:rFonts w:ascii="Times New Roman" w:hAnsi="Times New Roman"/>
                <w:szCs w:val="24"/>
              </w:rPr>
            </w:pPr>
            <w:r w:rsidRPr="008D7A59">
              <w:rPr>
                <w:rFonts w:ascii="Times New Roman" w:hAnsi="Times New Roman"/>
                <w:szCs w:val="24"/>
              </w:rPr>
              <w:t xml:space="preserve">W związku </w:t>
            </w:r>
            <w:r w:rsidR="000329D3">
              <w:rPr>
                <w:rFonts w:ascii="Times New Roman" w:hAnsi="Times New Roman"/>
                <w:szCs w:val="24"/>
              </w:rPr>
              <w:t xml:space="preserve">z treścią przepisów </w:t>
            </w:r>
            <w:r w:rsidRPr="008D7A59">
              <w:rPr>
                <w:rFonts w:ascii="Times New Roman" w:hAnsi="Times New Roman"/>
                <w:szCs w:val="24"/>
              </w:rPr>
              <w:t xml:space="preserve">Dyrektywy, pojawiła się konieczność zagwarantowania wolności od samooskarżania osobom fizycznym, od których Prezes UOKiK pozyskuje informacje i dokumenty, bądź które są przesłuchiwane </w:t>
            </w:r>
            <w:r w:rsidR="00B40F03">
              <w:rPr>
                <w:rFonts w:ascii="Times New Roman" w:hAnsi="Times New Roman"/>
                <w:szCs w:val="24"/>
              </w:rPr>
              <w:br/>
            </w:r>
            <w:r w:rsidRPr="008D7A59">
              <w:rPr>
                <w:rFonts w:ascii="Times New Roman" w:hAnsi="Times New Roman"/>
                <w:szCs w:val="24"/>
              </w:rPr>
              <w:t>w charakterze strony. Obowiązek przedstawienia informacji stoi często w sprzeczności z prawem do wolności od samooskarżania się.</w:t>
            </w:r>
            <w:r w:rsidR="00B40F03">
              <w:rPr>
                <w:rFonts w:ascii="Times New Roman" w:hAnsi="Times New Roman"/>
                <w:szCs w:val="24"/>
              </w:rPr>
              <w:t xml:space="preserve"> M</w:t>
            </w:r>
            <w:r w:rsidRPr="008D7A59">
              <w:rPr>
                <w:rFonts w:ascii="Times New Roman" w:hAnsi="Times New Roman"/>
                <w:szCs w:val="24"/>
              </w:rPr>
              <w:t xml:space="preserve">.in. doktryna i orzecznictwo dotyczące stosowania unijnego prawa konkurencji w kontekście uprawnień dochodzeniowych Komisji Europejskiej </w:t>
            </w:r>
            <w:r w:rsidR="00886A79">
              <w:rPr>
                <w:rFonts w:ascii="Times New Roman" w:hAnsi="Times New Roman"/>
                <w:szCs w:val="24"/>
              </w:rPr>
              <w:t>p</w:t>
            </w:r>
            <w:r w:rsidRPr="008D7A59">
              <w:rPr>
                <w:rFonts w:ascii="Times New Roman" w:hAnsi="Times New Roman"/>
                <w:szCs w:val="24"/>
              </w:rPr>
              <w:t>odnos</w:t>
            </w:r>
            <w:r w:rsidR="00886A79">
              <w:rPr>
                <w:rFonts w:ascii="Times New Roman" w:hAnsi="Times New Roman"/>
                <w:szCs w:val="24"/>
              </w:rPr>
              <w:t>zą,</w:t>
            </w:r>
            <w:r w:rsidRPr="008D7A59">
              <w:rPr>
                <w:rFonts w:ascii="Times New Roman" w:hAnsi="Times New Roman"/>
                <w:szCs w:val="24"/>
              </w:rPr>
              <w:t xml:space="preserve"> że żądanie przekazania informacji podlegać powinno ograniczeniom z uwagi na istnienie praw podstawowych, zagwarantowanych m.in. w art. 6 Konwencji o ochronie praw człowieka </w:t>
            </w:r>
            <w:r w:rsidR="00B603AB">
              <w:rPr>
                <w:rFonts w:ascii="Times New Roman" w:hAnsi="Times New Roman"/>
                <w:szCs w:val="24"/>
              </w:rPr>
              <w:br/>
            </w:r>
            <w:r w:rsidRPr="008D7A59">
              <w:rPr>
                <w:rFonts w:ascii="Times New Roman" w:hAnsi="Times New Roman"/>
                <w:szCs w:val="24"/>
              </w:rPr>
              <w:t xml:space="preserve">i podstawowych wolności. Nakładając obowiązek udzielenia informacji na osoby fizyczne, a także przesłuchując stronę, trzeba pamiętać o zagwarantowaniu tym osobom wolności od samooskarżania – tj. nieobciążaniu ich ryzykiem, że na skutek przedstawionych przez siebie informacji, zostaną pociągnięte do odpowiedzialności (art. 6 EKPC). Z uwagi na powyższe proponuje się dodanie w tym zakresie odpowiednich przepisów. </w:t>
            </w:r>
          </w:p>
          <w:p w14:paraId="4E910C35" w14:textId="6FC38832" w:rsidR="00D14953" w:rsidRPr="00282251" w:rsidRDefault="00D14953" w:rsidP="000E6A14">
            <w:pPr>
              <w:pStyle w:val="mcntmsonormal1"/>
              <w:numPr>
                <w:ilvl w:val="0"/>
                <w:numId w:val="2"/>
              </w:numPr>
              <w:spacing w:before="120" w:after="120" w:line="276" w:lineRule="auto"/>
              <w:ind w:left="714" w:hanging="357"/>
              <w:rPr>
                <w:b/>
                <w:color w:val="000000" w:themeColor="text1"/>
                <w:sz w:val="22"/>
                <w:szCs w:val="22"/>
                <w:lang w:eastAsia="en-US"/>
              </w:rPr>
            </w:pPr>
            <w:r w:rsidRPr="00282251">
              <w:rPr>
                <w:b/>
                <w:color w:val="000000" w:themeColor="text1"/>
                <w:sz w:val="22"/>
                <w:szCs w:val="22"/>
                <w:lang w:eastAsia="en-US"/>
              </w:rPr>
              <w:t xml:space="preserve">Ochrona informacji uzyskanych w postępowaniu przed Prezesem UOKiK </w:t>
            </w:r>
          </w:p>
          <w:p w14:paraId="37843E30" w14:textId="444DBA4B" w:rsidR="00B34619" w:rsidRPr="00282251" w:rsidRDefault="00CA4F1A" w:rsidP="00B34619">
            <w:pPr>
              <w:shd w:val="clear" w:color="auto" w:fill="FFFFFF"/>
              <w:ind w:firstLine="779"/>
              <w:jc w:val="both"/>
              <w:rPr>
                <w:rFonts w:ascii="Times New Roman" w:eastAsia="Times New Roman" w:hAnsi="Times New Roman"/>
                <w:color w:val="000000" w:themeColor="text1"/>
                <w:lang w:eastAsia="pl-PL"/>
              </w:rPr>
            </w:pPr>
            <w:r w:rsidRPr="00282251">
              <w:rPr>
                <w:rFonts w:ascii="Times New Roman" w:eastAsia="Times New Roman" w:hAnsi="Times New Roman"/>
                <w:color w:val="000000" w:themeColor="text1"/>
                <w:lang w:eastAsia="pl-PL"/>
              </w:rPr>
              <w:t>Zgodnie z Dyrektyw</w:t>
            </w:r>
            <w:r w:rsidR="007B02B4" w:rsidRPr="00282251">
              <w:rPr>
                <w:rFonts w:ascii="Times New Roman" w:eastAsia="Times New Roman" w:hAnsi="Times New Roman"/>
                <w:color w:val="000000" w:themeColor="text1"/>
                <w:lang w:eastAsia="pl-PL"/>
              </w:rPr>
              <w:t>ą</w:t>
            </w:r>
            <w:r w:rsidRPr="00282251">
              <w:rPr>
                <w:rFonts w:ascii="Times New Roman" w:eastAsia="Times New Roman" w:hAnsi="Times New Roman"/>
                <w:color w:val="000000" w:themeColor="text1"/>
                <w:lang w:eastAsia="pl-PL"/>
              </w:rPr>
              <w:t xml:space="preserve"> państwa członkowskie mają zapewnić, aby krajowe organy ochrony konkurencji, ich urzędnicy, pracownicy i inne osoby pracujące pod nadzorem tych organów, nie ujawniały informacji</w:t>
            </w:r>
            <w:r w:rsidR="009A4CAE" w:rsidRPr="00282251">
              <w:rPr>
                <w:rFonts w:ascii="Times New Roman" w:eastAsia="Times New Roman" w:hAnsi="Times New Roman"/>
                <w:color w:val="000000" w:themeColor="text1"/>
                <w:lang w:eastAsia="pl-PL"/>
              </w:rPr>
              <w:t>,</w:t>
            </w:r>
            <w:r w:rsidRPr="00282251">
              <w:rPr>
                <w:rFonts w:ascii="Times New Roman" w:eastAsia="Times New Roman" w:hAnsi="Times New Roman"/>
                <w:color w:val="000000" w:themeColor="text1"/>
                <w:lang w:eastAsia="pl-PL"/>
              </w:rPr>
              <w:t xml:space="preserve"> uzyskanych na podstawie uprawn</w:t>
            </w:r>
            <w:r w:rsidR="009F5DFA" w:rsidRPr="00282251">
              <w:rPr>
                <w:rFonts w:ascii="Times New Roman" w:eastAsia="Times New Roman" w:hAnsi="Times New Roman"/>
                <w:color w:val="000000" w:themeColor="text1"/>
                <w:lang w:eastAsia="pl-PL"/>
              </w:rPr>
              <w:t>ień, o których mowa w D</w:t>
            </w:r>
            <w:r w:rsidRPr="00282251">
              <w:rPr>
                <w:rFonts w:ascii="Times New Roman" w:eastAsia="Times New Roman" w:hAnsi="Times New Roman"/>
                <w:color w:val="000000" w:themeColor="text1"/>
                <w:lang w:eastAsia="pl-PL"/>
              </w:rPr>
              <w:t xml:space="preserve">yrektywie, oraz objętych obowiązkiem zachowania tajemnicy zawodowej, </w:t>
            </w:r>
            <w:r w:rsidR="00282251">
              <w:rPr>
                <w:rFonts w:ascii="Times New Roman" w:eastAsia="Times New Roman" w:hAnsi="Times New Roman"/>
                <w:color w:val="000000" w:themeColor="text1"/>
                <w:lang w:eastAsia="pl-PL"/>
              </w:rPr>
              <w:br/>
            </w:r>
            <w:r w:rsidRPr="00282251">
              <w:rPr>
                <w:rFonts w:ascii="Times New Roman" w:eastAsia="Times New Roman" w:hAnsi="Times New Roman"/>
                <w:color w:val="000000" w:themeColor="text1"/>
                <w:lang w:eastAsia="pl-PL"/>
              </w:rPr>
              <w:t>z wyjątkiem sytuacji, w których na takie ujawnienie zezwala prawo krajowe.</w:t>
            </w:r>
            <w:r w:rsidR="009F5DFA" w:rsidRPr="00282251">
              <w:rPr>
                <w:rFonts w:ascii="Times New Roman" w:eastAsia="Times New Roman" w:hAnsi="Times New Roman"/>
                <w:color w:val="000000" w:themeColor="text1"/>
                <w:lang w:eastAsia="pl-PL"/>
              </w:rPr>
              <w:t xml:space="preserve"> Ponadto</w:t>
            </w:r>
            <w:r w:rsidR="00841E78" w:rsidRPr="00282251">
              <w:rPr>
                <w:rFonts w:ascii="Times New Roman" w:eastAsia="Times New Roman" w:hAnsi="Times New Roman"/>
                <w:color w:val="000000" w:themeColor="text1"/>
                <w:lang w:eastAsia="pl-PL"/>
              </w:rPr>
              <w:t xml:space="preserve"> </w:t>
            </w:r>
            <w:r w:rsidR="009F5DFA" w:rsidRPr="00282251">
              <w:rPr>
                <w:rFonts w:ascii="Times New Roman" w:eastAsia="Times New Roman" w:hAnsi="Times New Roman"/>
                <w:color w:val="000000" w:themeColor="text1"/>
                <w:lang w:eastAsia="pl-PL"/>
              </w:rPr>
              <w:t>Dyrektywa przewiduje obowiązek wprowadzenia szczególnych</w:t>
            </w:r>
            <w:r w:rsidRPr="00282251">
              <w:rPr>
                <w:rFonts w:ascii="Times New Roman" w:eastAsia="Times New Roman" w:hAnsi="Times New Roman"/>
                <w:color w:val="000000" w:themeColor="text1"/>
                <w:lang w:eastAsia="pl-PL"/>
              </w:rPr>
              <w:t xml:space="preserve"> </w:t>
            </w:r>
            <w:r w:rsidR="009F5DFA" w:rsidRPr="00282251">
              <w:rPr>
                <w:rFonts w:ascii="Times New Roman" w:eastAsia="Times New Roman" w:hAnsi="Times New Roman"/>
                <w:color w:val="000000" w:themeColor="text1"/>
                <w:lang w:eastAsia="pl-PL"/>
              </w:rPr>
              <w:t xml:space="preserve">ograniczeń w zakresie udzielania </w:t>
            </w:r>
            <w:r w:rsidRPr="00282251">
              <w:rPr>
                <w:rFonts w:ascii="Times New Roman" w:eastAsia="Times New Roman" w:hAnsi="Times New Roman"/>
                <w:color w:val="000000" w:themeColor="text1"/>
                <w:lang w:eastAsia="pl-PL"/>
              </w:rPr>
              <w:t>dostępu do oświadczeń w ramach progr</w:t>
            </w:r>
            <w:r w:rsidR="009F5DFA" w:rsidRPr="00282251">
              <w:rPr>
                <w:rFonts w:ascii="Times New Roman" w:eastAsia="Times New Roman" w:hAnsi="Times New Roman"/>
                <w:color w:val="000000" w:themeColor="text1"/>
                <w:lang w:eastAsia="pl-PL"/>
              </w:rPr>
              <w:t>amu łagodzenia kar oraz</w:t>
            </w:r>
            <w:r w:rsidRPr="00282251">
              <w:rPr>
                <w:rFonts w:ascii="Times New Roman" w:eastAsia="Times New Roman" w:hAnsi="Times New Roman"/>
                <w:color w:val="000000" w:themeColor="text1"/>
                <w:lang w:eastAsia="pl-PL"/>
              </w:rPr>
              <w:t xml:space="preserve"> pr</w:t>
            </w:r>
            <w:r w:rsidR="009F5DFA" w:rsidRPr="00282251">
              <w:rPr>
                <w:rFonts w:ascii="Times New Roman" w:eastAsia="Times New Roman" w:hAnsi="Times New Roman"/>
                <w:color w:val="000000" w:themeColor="text1"/>
                <w:lang w:eastAsia="pl-PL"/>
              </w:rPr>
              <w:t>opozycji ugodowych, jak również w zakresie wykorzystania informacji</w:t>
            </w:r>
            <w:r w:rsidR="00841E78" w:rsidRPr="00282251">
              <w:rPr>
                <w:rFonts w:ascii="Times New Roman" w:eastAsia="Times New Roman" w:hAnsi="Times New Roman"/>
                <w:color w:val="000000" w:themeColor="text1"/>
                <w:lang w:eastAsia="pl-PL"/>
              </w:rPr>
              <w:t>,</w:t>
            </w:r>
            <w:r w:rsidR="009F5DFA" w:rsidRPr="00282251">
              <w:rPr>
                <w:rFonts w:ascii="Times New Roman" w:eastAsia="Times New Roman" w:hAnsi="Times New Roman"/>
                <w:color w:val="000000" w:themeColor="text1"/>
                <w:lang w:eastAsia="pl-PL"/>
              </w:rPr>
              <w:t xml:space="preserve"> pochodzących</w:t>
            </w:r>
            <w:r w:rsidRPr="00282251">
              <w:rPr>
                <w:rFonts w:ascii="Times New Roman" w:eastAsia="Times New Roman" w:hAnsi="Times New Roman"/>
                <w:color w:val="000000" w:themeColor="text1"/>
                <w:lang w:eastAsia="pl-PL"/>
              </w:rPr>
              <w:t xml:space="preserve"> z oświadczeń w ra</w:t>
            </w:r>
            <w:r w:rsidR="009F5DFA" w:rsidRPr="00282251">
              <w:rPr>
                <w:rFonts w:ascii="Times New Roman" w:eastAsia="Times New Roman" w:hAnsi="Times New Roman"/>
                <w:color w:val="000000" w:themeColor="text1"/>
                <w:lang w:eastAsia="pl-PL"/>
              </w:rPr>
              <w:t>mach programu łagodzenia kar oraz</w:t>
            </w:r>
            <w:r w:rsidRPr="00282251">
              <w:rPr>
                <w:rFonts w:ascii="Times New Roman" w:eastAsia="Times New Roman" w:hAnsi="Times New Roman"/>
                <w:color w:val="000000" w:themeColor="text1"/>
                <w:lang w:eastAsia="pl-PL"/>
              </w:rPr>
              <w:t xml:space="preserve"> propozycji ugodowych</w:t>
            </w:r>
            <w:r w:rsidR="009F5DFA" w:rsidRPr="00282251">
              <w:rPr>
                <w:rFonts w:ascii="Times New Roman" w:eastAsia="Times New Roman" w:hAnsi="Times New Roman"/>
                <w:color w:val="000000" w:themeColor="text1"/>
                <w:lang w:eastAsia="pl-PL"/>
              </w:rPr>
              <w:t xml:space="preserve"> </w:t>
            </w:r>
            <w:r w:rsidR="00532C99" w:rsidRPr="00282251">
              <w:rPr>
                <w:rFonts w:ascii="Times New Roman" w:eastAsia="Times New Roman" w:hAnsi="Times New Roman"/>
                <w:color w:val="000000" w:themeColor="text1"/>
                <w:lang w:eastAsia="pl-PL"/>
              </w:rPr>
              <w:t>oraz wymiany oświadczeń w ramach programu łagodzenia kar między krajowymi organami ochrony konkurencji</w:t>
            </w:r>
            <w:r w:rsidR="00841E78" w:rsidRPr="00282251">
              <w:rPr>
                <w:rFonts w:ascii="Times New Roman" w:eastAsia="Times New Roman" w:hAnsi="Times New Roman"/>
                <w:color w:val="000000" w:themeColor="text1"/>
                <w:lang w:eastAsia="pl-PL"/>
              </w:rPr>
              <w:t xml:space="preserve">. </w:t>
            </w:r>
            <w:r w:rsidR="004600A4" w:rsidRPr="00282251">
              <w:rPr>
                <w:rFonts w:ascii="Times New Roman" w:eastAsia="Times New Roman" w:hAnsi="Times New Roman"/>
                <w:color w:val="000000" w:themeColor="text1"/>
                <w:lang w:eastAsia="pl-PL"/>
              </w:rPr>
              <w:t>W tym miejscu należy podkreślić, iż zgodnie z Dyrektyw</w:t>
            </w:r>
            <w:r w:rsidR="00841E78" w:rsidRPr="00282251">
              <w:rPr>
                <w:rFonts w:ascii="Times New Roman" w:eastAsia="Times New Roman" w:hAnsi="Times New Roman"/>
                <w:color w:val="000000" w:themeColor="text1"/>
                <w:lang w:eastAsia="pl-PL"/>
              </w:rPr>
              <w:t>ą</w:t>
            </w:r>
            <w:r w:rsidR="004600A4" w:rsidRPr="00282251">
              <w:rPr>
                <w:rFonts w:ascii="Times New Roman" w:eastAsia="Times New Roman" w:hAnsi="Times New Roman"/>
                <w:color w:val="000000" w:themeColor="text1"/>
                <w:lang w:eastAsia="pl-PL"/>
              </w:rPr>
              <w:t>, regulacje</w:t>
            </w:r>
            <w:r w:rsidR="00841E78" w:rsidRPr="00282251">
              <w:rPr>
                <w:rFonts w:ascii="Times New Roman" w:eastAsia="Times New Roman" w:hAnsi="Times New Roman"/>
                <w:color w:val="000000" w:themeColor="text1"/>
                <w:lang w:eastAsia="pl-PL"/>
              </w:rPr>
              <w:t xml:space="preserve"> te</w:t>
            </w:r>
            <w:r w:rsidR="004600A4" w:rsidRPr="00282251">
              <w:rPr>
                <w:rFonts w:ascii="Times New Roman" w:eastAsia="Times New Roman" w:hAnsi="Times New Roman"/>
                <w:color w:val="000000" w:themeColor="text1"/>
                <w:lang w:eastAsia="pl-PL"/>
              </w:rPr>
              <w:t xml:space="preserve">, mają zastosowanie również w przypadku stosowania wyłącznie krajowego prawa konkurencji. </w:t>
            </w:r>
          </w:p>
          <w:p w14:paraId="0AB639C5" w14:textId="77777777" w:rsidR="00B34619" w:rsidRDefault="009F5DFA" w:rsidP="00B34619">
            <w:pPr>
              <w:shd w:val="clear" w:color="auto" w:fill="FFFFFF"/>
              <w:ind w:firstLine="779"/>
              <w:jc w:val="both"/>
              <w:rPr>
                <w:rFonts w:ascii="Times New Roman" w:eastAsia="Times New Roman" w:hAnsi="Times New Roman"/>
                <w:lang w:eastAsia="pl-PL"/>
              </w:rPr>
            </w:pPr>
            <w:r w:rsidRPr="00282251">
              <w:rPr>
                <w:rFonts w:ascii="Times New Roman" w:eastAsia="Times New Roman" w:hAnsi="Times New Roman"/>
                <w:color w:val="000000" w:themeColor="text1"/>
                <w:lang w:eastAsia="pl-PL"/>
              </w:rPr>
              <w:t>Dyrektywa wprowadza również pewne ograniczenia czasowe w zakresie możliwości wykorzystywania przez stronę określonych kategorii dokumentów, takich jak:</w:t>
            </w:r>
            <w:r w:rsidR="00CA4F1A" w:rsidRPr="00282251">
              <w:rPr>
                <w:rFonts w:ascii="Times New Roman" w:eastAsia="Times New Roman" w:hAnsi="Times New Roman"/>
                <w:color w:val="000000" w:themeColor="text1"/>
                <w:lang w:eastAsia="pl-PL"/>
              </w:rPr>
              <w:t xml:space="preserve"> </w:t>
            </w:r>
            <w:r>
              <w:rPr>
                <w:rFonts w:ascii="Times New Roman" w:eastAsia="Times New Roman" w:hAnsi="Times New Roman"/>
                <w:lang w:eastAsia="pl-PL"/>
              </w:rPr>
              <w:t>informacje przygotowane przez</w:t>
            </w:r>
            <w:r w:rsidRPr="00CA4F1A">
              <w:rPr>
                <w:rFonts w:ascii="Times New Roman" w:eastAsia="Times New Roman" w:hAnsi="Times New Roman"/>
                <w:lang w:eastAsia="pl-PL"/>
              </w:rPr>
              <w:t xml:space="preserve"> osoby prawne lub fizyczne specjalnie na potrzeby postępowania w sprawie stosowania prawa prowadzonego przez krajowy organ ochrony konkurencji</w:t>
            </w:r>
            <w:r>
              <w:rPr>
                <w:rFonts w:ascii="Times New Roman" w:eastAsia="Times New Roman" w:hAnsi="Times New Roman"/>
                <w:lang w:eastAsia="pl-PL"/>
              </w:rPr>
              <w:t>,</w:t>
            </w:r>
            <w:r w:rsidRPr="00CA4F1A">
              <w:rPr>
                <w:rFonts w:ascii="Times New Roman" w:eastAsia="Times New Roman" w:hAnsi="Times New Roman"/>
                <w:lang w:eastAsia="pl-PL"/>
              </w:rPr>
              <w:t xml:space="preserve"> </w:t>
            </w:r>
            <w:r>
              <w:rPr>
                <w:rFonts w:ascii="Times New Roman" w:eastAsia="Times New Roman" w:hAnsi="Times New Roman"/>
                <w:lang w:eastAsia="pl-PL"/>
              </w:rPr>
              <w:t>informacje sporządzone</w:t>
            </w:r>
            <w:r w:rsidRPr="00CA4F1A">
              <w:rPr>
                <w:rFonts w:ascii="Times New Roman" w:eastAsia="Times New Roman" w:hAnsi="Times New Roman"/>
                <w:lang w:eastAsia="pl-PL"/>
              </w:rPr>
              <w:t xml:space="preserve"> przez krajowy organ o</w:t>
            </w:r>
            <w:r>
              <w:rPr>
                <w:rFonts w:ascii="Times New Roman" w:eastAsia="Times New Roman" w:hAnsi="Times New Roman"/>
                <w:lang w:eastAsia="pl-PL"/>
              </w:rPr>
              <w:t>chrony konkurencji i przesłane</w:t>
            </w:r>
            <w:r w:rsidRPr="00CA4F1A">
              <w:rPr>
                <w:rFonts w:ascii="Times New Roman" w:eastAsia="Times New Roman" w:hAnsi="Times New Roman"/>
                <w:lang w:eastAsia="pl-PL"/>
              </w:rPr>
              <w:t xml:space="preserve"> stronom w trakcie prowadzonego przezeń postępowania w sprawie stosowania prawa</w:t>
            </w:r>
            <w:r>
              <w:rPr>
                <w:rFonts w:ascii="Times New Roman" w:eastAsia="Times New Roman" w:hAnsi="Times New Roman"/>
                <w:lang w:eastAsia="pl-PL"/>
              </w:rPr>
              <w:t xml:space="preserve"> oraz wycofane propozycje ugodowe</w:t>
            </w:r>
            <w:r w:rsidR="00841E78">
              <w:rPr>
                <w:rFonts w:ascii="Times New Roman" w:eastAsia="Times New Roman" w:hAnsi="Times New Roman"/>
                <w:lang w:eastAsia="pl-PL"/>
              </w:rPr>
              <w:t>.</w:t>
            </w:r>
          </w:p>
          <w:p w14:paraId="5A28EF63" w14:textId="75ECD1DB" w:rsidR="00CA4F1A" w:rsidRPr="00B34619" w:rsidRDefault="004600A4" w:rsidP="00B34619">
            <w:pPr>
              <w:shd w:val="clear" w:color="auto" w:fill="FFFFFF"/>
              <w:ind w:firstLine="779"/>
              <w:jc w:val="both"/>
              <w:rPr>
                <w:rFonts w:ascii="Times New Roman" w:eastAsia="Times New Roman" w:hAnsi="Times New Roman"/>
                <w:color w:val="444444"/>
                <w:lang w:eastAsia="pl-PL"/>
              </w:rPr>
            </w:pPr>
            <w:r>
              <w:rPr>
                <w:rFonts w:ascii="Times New Roman" w:eastAsia="Times New Roman" w:hAnsi="Times New Roman"/>
                <w:lang w:eastAsia="pl-PL"/>
              </w:rPr>
              <w:t>W związku z powyższym</w:t>
            </w:r>
            <w:r w:rsidR="00F407DA">
              <w:rPr>
                <w:rFonts w:ascii="Times New Roman" w:eastAsia="Times New Roman" w:hAnsi="Times New Roman"/>
                <w:lang w:eastAsia="pl-PL"/>
              </w:rPr>
              <w:t xml:space="preserve">, zaproponowano dokonanie stosownych zmian w </w:t>
            </w:r>
            <w:proofErr w:type="spellStart"/>
            <w:r w:rsidR="007C2DE1">
              <w:rPr>
                <w:rFonts w:ascii="Times New Roman" w:eastAsia="Times New Roman" w:hAnsi="Times New Roman"/>
                <w:lang w:eastAsia="pl-PL"/>
              </w:rPr>
              <w:t>u.o.k.k</w:t>
            </w:r>
            <w:proofErr w:type="spellEnd"/>
            <w:r w:rsidR="007C2DE1">
              <w:rPr>
                <w:rFonts w:ascii="Times New Roman" w:eastAsia="Times New Roman" w:hAnsi="Times New Roman"/>
                <w:lang w:eastAsia="pl-PL"/>
              </w:rPr>
              <w:t xml:space="preserve">. </w:t>
            </w:r>
            <w:r w:rsidR="00F407DA">
              <w:rPr>
                <w:rFonts w:ascii="Times New Roman" w:eastAsia="Times New Roman" w:hAnsi="Times New Roman"/>
                <w:lang w:eastAsia="pl-PL"/>
              </w:rPr>
              <w:t xml:space="preserve">oraz w </w:t>
            </w:r>
            <w:r w:rsidR="007C2DE1">
              <w:rPr>
                <w:rFonts w:ascii="Times New Roman" w:eastAsia="Times New Roman" w:hAnsi="Times New Roman"/>
                <w:lang w:eastAsia="pl-PL"/>
              </w:rPr>
              <w:t xml:space="preserve">ustawie z dnia 17 listopada 1964 r. - </w:t>
            </w:r>
            <w:r w:rsidR="00F407DA" w:rsidRPr="004E766D">
              <w:rPr>
                <w:rFonts w:ascii="Times New Roman" w:eastAsia="Times New Roman" w:hAnsi="Times New Roman"/>
                <w:i/>
                <w:lang w:eastAsia="pl-PL"/>
              </w:rPr>
              <w:t>Kodeks postępowania cywilnego</w:t>
            </w:r>
            <w:r w:rsidR="00F407DA">
              <w:rPr>
                <w:rFonts w:ascii="Times New Roman" w:eastAsia="Times New Roman" w:hAnsi="Times New Roman"/>
                <w:lang w:eastAsia="pl-PL"/>
              </w:rPr>
              <w:t xml:space="preserve"> </w:t>
            </w:r>
            <w:r w:rsidR="007C2DE1">
              <w:rPr>
                <w:rFonts w:ascii="Times New Roman" w:eastAsia="Times New Roman" w:hAnsi="Times New Roman"/>
                <w:lang w:eastAsia="pl-PL"/>
              </w:rPr>
              <w:t>(</w:t>
            </w:r>
            <w:r w:rsidR="007C2DE1" w:rsidRPr="007C2DE1">
              <w:rPr>
                <w:rFonts w:ascii="Times New Roman" w:eastAsia="Times New Roman" w:hAnsi="Times New Roman"/>
                <w:lang w:eastAsia="pl-PL"/>
              </w:rPr>
              <w:t>Dz. U. z 2020 r. poz. 1575</w:t>
            </w:r>
            <w:r w:rsidR="004E766D">
              <w:rPr>
                <w:rFonts w:ascii="Times New Roman" w:eastAsia="Times New Roman" w:hAnsi="Times New Roman"/>
                <w:lang w:eastAsia="pl-PL"/>
              </w:rPr>
              <w:t xml:space="preserve">, z </w:t>
            </w:r>
            <w:proofErr w:type="spellStart"/>
            <w:r w:rsidR="004E766D">
              <w:rPr>
                <w:rFonts w:ascii="Times New Roman" w:eastAsia="Times New Roman" w:hAnsi="Times New Roman"/>
                <w:lang w:eastAsia="pl-PL"/>
              </w:rPr>
              <w:t>późn</w:t>
            </w:r>
            <w:proofErr w:type="spellEnd"/>
            <w:r w:rsidR="004E766D">
              <w:rPr>
                <w:rFonts w:ascii="Times New Roman" w:eastAsia="Times New Roman" w:hAnsi="Times New Roman"/>
                <w:lang w:eastAsia="pl-PL"/>
              </w:rPr>
              <w:t xml:space="preserve">. zm., dalej: „KPC”) </w:t>
            </w:r>
            <w:r w:rsidR="00F407DA">
              <w:rPr>
                <w:rFonts w:ascii="Times New Roman" w:eastAsia="Times New Roman" w:hAnsi="Times New Roman"/>
                <w:lang w:eastAsia="pl-PL"/>
              </w:rPr>
              <w:t xml:space="preserve">w zakresie </w:t>
            </w:r>
            <w:r w:rsidR="00572DAA">
              <w:rPr>
                <w:rFonts w:ascii="Times New Roman" w:eastAsia="Times New Roman" w:hAnsi="Times New Roman"/>
                <w:lang w:eastAsia="pl-PL"/>
              </w:rPr>
              <w:t>post</w:t>
            </w:r>
            <w:r w:rsidR="002337D3">
              <w:rPr>
                <w:rFonts w:ascii="Times New Roman" w:eastAsia="Times New Roman" w:hAnsi="Times New Roman"/>
                <w:lang w:eastAsia="pl-PL"/>
              </w:rPr>
              <w:t>ę</w:t>
            </w:r>
            <w:r w:rsidR="00572DAA">
              <w:rPr>
                <w:rFonts w:ascii="Times New Roman" w:eastAsia="Times New Roman" w:hAnsi="Times New Roman"/>
                <w:lang w:eastAsia="pl-PL"/>
              </w:rPr>
              <w:t>powań</w:t>
            </w:r>
            <w:r w:rsidR="00572DAA" w:rsidRPr="00572DAA">
              <w:rPr>
                <w:rFonts w:ascii="Times New Roman" w:eastAsia="Times New Roman" w:hAnsi="Times New Roman"/>
                <w:lang w:eastAsia="pl-PL"/>
              </w:rPr>
              <w:t xml:space="preserve"> w sprawach z zakresu ochrony konkurencji i konsumentów</w:t>
            </w:r>
            <w:r w:rsidR="00130D0C">
              <w:rPr>
                <w:rFonts w:ascii="Times New Roman" w:eastAsia="Times New Roman" w:hAnsi="Times New Roman"/>
                <w:lang w:eastAsia="pl-PL"/>
              </w:rPr>
              <w:t>.</w:t>
            </w:r>
          </w:p>
          <w:p w14:paraId="2D8E310F" w14:textId="3CA9C8D1" w:rsidR="00D14953" w:rsidRPr="000D206B" w:rsidRDefault="00D14953" w:rsidP="000E6A14">
            <w:pPr>
              <w:pStyle w:val="mcntmsonormal1"/>
              <w:numPr>
                <w:ilvl w:val="0"/>
                <w:numId w:val="2"/>
              </w:numPr>
              <w:spacing w:before="120" w:after="120" w:line="276" w:lineRule="auto"/>
              <w:ind w:left="714" w:hanging="357"/>
              <w:rPr>
                <w:b/>
              </w:rPr>
            </w:pPr>
            <w:r w:rsidRPr="000D206B">
              <w:rPr>
                <w:b/>
                <w:sz w:val="22"/>
                <w:szCs w:val="22"/>
                <w:lang w:eastAsia="en-US"/>
              </w:rPr>
              <w:t>Kontrol</w:t>
            </w:r>
            <w:r w:rsidR="00E071C7">
              <w:rPr>
                <w:b/>
                <w:sz w:val="22"/>
                <w:szCs w:val="22"/>
                <w:lang w:eastAsia="en-US"/>
              </w:rPr>
              <w:t>a</w:t>
            </w:r>
            <w:r w:rsidR="00EF1876">
              <w:rPr>
                <w:b/>
                <w:sz w:val="22"/>
                <w:szCs w:val="22"/>
                <w:lang w:eastAsia="en-US"/>
              </w:rPr>
              <w:t xml:space="preserve">, </w:t>
            </w:r>
            <w:r w:rsidRPr="000D206B">
              <w:rPr>
                <w:b/>
                <w:sz w:val="22"/>
                <w:szCs w:val="22"/>
                <w:lang w:eastAsia="en-US"/>
              </w:rPr>
              <w:t>przeszukani</w:t>
            </w:r>
            <w:r w:rsidR="00E071C7">
              <w:rPr>
                <w:b/>
                <w:sz w:val="22"/>
                <w:szCs w:val="22"/>
                <w:lang w:eastAsia="en-US"/>
              </w:rPr>
              <w:t>e</w:t>
            </w:r>
            <w:r w:rsidRPr="000D206B">
              <w:rPr>
                <w:b/>
                <w:sz w:val="22"/>
                <w:szCs w:val="22"/>
                <w:lang w:eastAsia="en-US"/>
              </w:rPr>
              <w:t>, pomoc Policji</w:t>
            </w:r>
            <w:r w:rsidRPr="000D206B">
              <w:rPr>
                <w:b/>
              </w:rPr>
              <w:t xml:space="preserve">, </w:t>
            </w:r>
            <w:r w:rsidRPr="000D206B">
              <w:rPr>
                <w:b/>
                <w:sz w:val="22"/>
                <w:szCs w:val="22"/>
                <w:lang w:eastAsia="en-US"/>
              </w:rPr>
              <w:t>LPP (</w:t>
            </w:r>
            <w:proofErr w:type="spellStart"/>
            <w:r w:rsidRPr="000D206B">
              <w:rPr>
                <w:b/>
                <w:i/>
                <w:sz w:val="22"/>
                <w:szCs w:val="22"/>
                <w:lang w:eastAsia="en-US"/>
              </w:rPr>
              <w:t>legal</w:t>
            </w:r>
            <w:proofErr w:type="spellEnd"/>
            <w:r w:rsidRPr="000D206B">
              <w:rPr>
                <w:b/>
                <w:i/>
                <w:sz w:val="22"/>
                <w:szCs w:val="22"/>
                <w:lang w:eastAsia="en-US"/>
              </w:rPr>
              <w:t xml:space="preserve"> </w:t>
            </w:r>
            <w:proofErr w:type="spellStart"/>
            <w:r w:rsidRPr="000D206B">
              <w:rPr>
                <w:b/>
                <w:i/>
                <w:sz w:val="22"/>
                <w:szCs w:val="22"/>
                <w:lang w:eastAsia="en-US"/>
              </w:rPr>
              <w:t>professional</w:t>
            </w:r>
            <w:proofErr w:type="spellEnd"/>
            <w:r w:rsidRPr="000D206B">
              <w:rPr>
                <w:b/>
                <w:i/>
                <w:sz w:val="22"/>
                <w:szCs w:val="22"/>
                <w:lang w:eastAsia="en-US"/>
              </w:rPr>
              <w:t xml:space="preserve"> </w:t>
            </w:r>
            <w:proofErr w:type="spellStart"/>
            <w:r w:rsidRPr="000D206B">
              <w:rPr>
                <w:b/>
                <w:i/>
                <w:sz w:val="22"/>
                <w:szCs w:val="22"/>
                <w:lang w:eastAsia="en-US"/>
              </w:rPr>
              <w:t>privilege</w:t>
            </w:r>
            <w:proofErr w:type="spellEnd"/>
            <w:r w:rsidRPr="000D206B">
              <w:rPr>
                <w:b/>
                <w:sz w:val="22"/>
                <w:szCs w:val="22"/>
                <w:lang w:eastAsia="en-US"/>
              </w:rPr>
              <w:t>)</w:t>
            </w:r>
          </w:p>
          <w:p w14:paraId="3A3FDAC7" w14:textId="22BDF87F" w:rsidR="000D206B" w:rsidRDefault="000D206B" w:rsidP="000E6A14">
            <w:pPr>
              <w:pStyle w:val="mcntmsonormal1"/>
              <w:numPr>
                <w:ilvl w:val="0"/>
                <w:numId w:val="6"/>
              </w:numPr>
              <w:spacing w:before="120" w:after="120" w:line="276" w:lineRule="auto"/>
              <w:rPr>
                <w:b/>
                <w:i/>
                <w:sz w:val="22"/>
              </w:rPr>
            </w:pPr>
            <w:r w:rsidRPr="00B93E64">
              <w:rPr>
                <w:b/>
                <w:i/>
                <w:sz w:val="22"/>
              </w:rPr>
              <w:t>Kontrol</w:t>
            </w:r>
            <w:r w:rsidR="00E071C7">
              <w:rPr>
                <w:b/>
                <w:i/>
                <w:sz w:val="22"/>
              </w:rPr>
              <w:t xml:space="preserve">a, </w:t>
            </w:r>
            <w:r w:rsidRPr="00B93E64">
              <w:rPr>
                <w:b/>
                <w:i/>
                <w:sz w:val="22"/>
              </w:rPr>
              <w:t>przeszukani</w:t>
            </w:r>
            <w:r w:rsidR="00E071C7">
              <w:rPr>
                <w:b/>
                <w:i/>
                <w:sz w:val="22"/>
              </w:rPr>
              <w:t>e</w:t>
            </w:r>
          </w:p>
          <w:p w14:paraId="5F922BDE" w14:textId="77777777" w:rsidR="00720623" w:rsidRDefault="006379F7" w:rsidP="00720623">
            <w:pPr>
              <w:pStyle w:val="mcntmsonormal1"/>
              <w:shd w:val="clear" w:color="auto" w:fill="FFFFFF" w:themeFill="background1"/>
              <w:spacing w:line="276" w:lineRule="auto"/>
              <w:ind w:firstLine="779"/>
              <w:jc w:val="both"/>
              <w:rPr>
                <w:sz w:val="22"/>
              </w:rPr>
            </w:pPr>
            <w:r>
              <w:rPr>
                <w:sz w:val="22"/>
              </w:rPr>
              <w:t>Zgodnie z Dyrektyw</w:t>
            </w:r>
            <w:r w:rsidR="000A50FC">
              <w:rPr>
                <w:sz w:val="22"/>
              </w:rPr>
              <w:t>ą,</w:t>
            </w:r>
            <w:r>
              <w:rPr>
                <w:sz w:val="22"/>
              </w:rPr>
              <w:t xml:space="preserve"> k</w:t>
            </w:r>
            <w:r w:rsidR="00074BA6" w:rsidRPr="006379F7">
              <w:rPr>
                <w:sz w:val="22"/>
              </w:rPr>
              <w:t>rajowe administracyjne organy ochrony konkurencji powinny móc przeprowadzać wszelkie niezbędne kontrole lokali przedsiębiorstw i związków przedsiębiorstw, jeżeli – zgodnie z orzecznictwem Trybunału Sprawiedliwości Unii Europejskiej – są w stanie wykazać, że istnieje uzasadnione podejrzenie, że doszło do naruszenia art. 101 lub 102 TFUE. </w:t>
            </w:r>
            <w:r w:rsidRPr="006379F7">
              <w:rPr>
                <w:sz w:val="22"/>
              </w:rPr>
              <w:t> </w:t>
            </w:r>
          </w:p>
          <w:p w14:paraId="18D85DA0" w14:textId="74F0A14A" w:rsidR="00720623" w:rsidRDefault="006379F7" w:rsidP="00720623">
            <w:pPr>
              <w:pStyle w:val="mcntmsonormal1"/>
              <w:shd w:val="clear" w:color="auto" w:fill="FFFFFF" w:themeFill="background1"/>
              <w:spacing w:line="276" w:lineRule="auto"/>
              <w:ind w:firstLine="779"/>
              <w:jc w:val="both"/>
              <w:rPr>
                <w:sz w:val="22"/>
              </w:rPr>
            </w:pPr>
            <w:r>
              <w:rPr>
                <w:sz w:val="22"/>
              </w:rPr>
              <w:t>Ponadto</w:t>
            </w:r>
            <w:r w:rsidR="000A50FC">
              <w:rPr>
                <w:sz w:val="22"/>
              </w:rPr>
              <w:t xml:space="preserve"> </w:t>
            </w:r>
            <w:r>
              <w:rPr>
                <w:sz w:val="22"/>
              </w:rPr>
              <w:t>Dyrektywa</w:t>
            </w:r>
            <w:r w:rsidR="00E80BF6">
              <w:rPr>
                <w:sz w:val="22"/>
              </w:rPr>
              <w:t>,</w:t>
            </w:r>
            <w:r>
              <w:rPr>
                <w:sz w:val="22"/>
              </w:rPr>
              <w:t xml:space="preserve"> </w:t>
            </w:r>
            <w:r w:rsidR="00090346">
              <w:rPr>
                <w:sz w:val="22"/>
              </w:rPr>
              <w:t>w celu</w:t>
            </w:r>
            <w:r w:rsidRPr="006379F7">
              <w:rPr>
                <w:sz w:val="22"/>
              </w:rPr>
              <w:t xml:space="preserve"> zapewni</w:t>
            </w:r>
            <w:r w:rsidR="00090346">
              <w:rPr>
                <w:sz w:val="22"/>
              </w:rPr>
              <w:t>enia</w:t>
            </w:r>
            <w:r w:rsidRPr="006379F7">
              <w:rPr>
                <w:sz w:val="22"/>
              </w:rPr>
              <w:t xml:space="preserve"> skutecznoś</w:t>
            </w:r>
            <w:r w:rsidR="00090346">
              <w:rPr>
                <w:sz w:val="22"/>
              </w:rPr>
              <w:t>ci</w:t>
            </w:r>
            <w:r w:rsidRPr="006379F7">
              <w:rPr>
                <w:sz w:val="22"/>
              </w:rPr>
              <w:t xml:space="preserve"> kontroli, </w:t>
            </w:r>
            <w:r w:rsidR="00C5667A">
              <w:rPr>
                <w:sz w:val="22"/>
              </w:rPr>
              <w:t xml:space="preserve">przewiduje, że </w:t>
            </w:r>
            <w:r w:rsidRPr="006379F7">
              <w:rPr>
                <w:sz w:val="22"/>
              </w:rPr>
              <w:t xml:space="preserve">krajowe administracyjne organy ochrony konkurencji powinny mieć </w:t>
            </w:r>
            <w:r w:rsidR="00C5667A">
              <w:rPr>
                <w:sz w:val="22"/>
              </w:rPr>
              <w:t xml:space="preserve">także </w:t>
            </w:r>
            <w:r w:rsidRPr="006379F7">
              <w:rPr>
                <w:sz w:val="22"/>
              </w:rPr>
              <w:t xml:space="preserve">uprawnienie do wchodzenia do </w:t>
            </w:r>
            <w:r w:rsidR="003E73EB" w:rsidRPr="006379F7">
              <w:rPr>
                <w:sz w:val="22"/>
              </w:rPr>
              <w:t xml:space="preserve">prywatnych </w:t>
            </w:r>
            <w:r w:rsidRPr="006379F7">
              <w:rPr>
                <w:sz w:val="22"/>
              </w:rPr>
              <w:t>lokali mieszkalnych</w:t>
            </w:r>
            <w:r w:rsidR="00C5667A">
              <w:rPr>
                <w:sz w:val="22"/>
              </w:rPr>
              <w:t xml:space="preserve">. </w:t>
            </w:r>
            <w:r w:rsidR="00DE5776">
              <w:rPr>
                <w:sz w:val="22"/>
              </w:rPr>
              <w:t>Dyrektywa przewiduje także s</w:t>
            </w:r>
            <w:r w:rsidR="00C5667A">
              <w:rPr>
                <w:sz w:val="22"/>
              </w:rPr>
              <w:t>zczegółowe uprawnienia kontrolujących</w:t>
            </w:r>
            <w:r w:rsidR="00E80BF6">
              <w:rPr>
                <w:sz w:val="22"/>
              </w:rPr>
              <w:t xml:space="preserve"> w zakresie kontroli lokalu przedsiębiorcy oraz innych lokali. </w:t>
            </w:r>
            <w:r w:rsidR="003C27C8" w:rsidRPr="003C27C8">
              <w:rPr>
                <w:sz w:val="22"/>
              </w:rPr>
              <w:lastRenderedPageBreak/>
              <w:t>W</w:t>
            </w:r>
            <w:r w:rsidR="003C27C8">
              <w:rPr>
                <w:sz w:val="22"/>
              </w:rPr>
              <w:t xml:space="preserve">śród </w:t>
            </w:r>
            <w:r w:rsidR="00ED09B1">
              <w:rPr>
                <w:sz w:val="22"/>
              </w:rPr>
              <w:t>tych</w:t>
            </w:r>
            <w:r w:rsidR="003C27C8">
              <w:rPr>
                <w:sz w:val="22"/>
              </w:rPr>
              <w:t xml:space="preserve"> uprawnień</w:t>
            </w:r>
            <w:r w:rsidR="00DE5776">
              <w:rPr>
                <w:sz w:val="22"/>
              </w:rPr>
              <w:t>,</w:t>
            </w:r>
            <w:r w:rsidR="003C27C8">
              <w:rPr>
                <w:sz w:val="22"/>
              </w:rPr>
              <w:t xml:space="preserve"> przysługujących kontrolującym w toku kontroli, </w:t>
            </w:r>
            <w:r w:rsidR="00DE5776">
              <w:rPr>
                <w:sz w:val="22"/>
              </w:rPr>
              <w:t>D</w:t>
            </w:r>
            <w:r w:rsidR="003C27C8">
              <w:rPr>
                <w:sz w:val="22"/>
              </w:rPr>
              <w:t xml:space="preserve">yrektywa wymienia m.in. uprawnienie do </w:t>
            </w:r>
            <w:r w:rsidR="003C27C8" w:rsidRPr="003C27C8">
              <w:rPr>
                <w:sz w:val="22"/>
              </w:rPr>
              <w:t>kontynuowania przeszukiwania i do wyboru kopii lub wyciągów z ksiąg i rejestrów</w:t>
            </w:r>
            <w:r w:rsidR="00DE5776">
              <w:rPr>
                <w:sz w:val="22"/>
              </w:rPr>
              <w:t>,</w:t>
            </w:r>
            <w:r w:rsidR="003C27C8" w:rsidRPr="003C27C8">
              <w:rPr>
                <w:sz w:val="22"/>
              </w:rPr>
              <w:t xml:space="preserve"> dotyczących działalności kontrolowanych przedsiębiorstw lub związków przedsiębiorstw w lokalu organu lub</w:t>
            </w:r>
            <w:r w:rsidR="003C27C8">
              <w:rPr>
                <w:sz w:val="22"/>
              </w:rPr>
              <w:t xml:space="preserve"> w innych wyznaczonych </w:t>
            </w:r>
            <w:r w:rsidR="00E43D34">
              <w:rPr>
                <w:sz w:val="22"/>
              </w:rPr>
              <w:t>lokalach.</w:t>
            </w:r>
            <w:r w:rsidR="00720623">
              <w:rPr>
                <w:sz w:val="22"/>
              </w:rPr>
              <w:t xml:space="preserve"> </w:t>
            </w:r>
          </w:p>
          <w:p w14:paraId="40360B5C" w14:textId="4E68901D" w:rsidR="00720623" w:rsidRDefault="003C27C8" w:rsidP="00F635CF">
            <w:pPr>
              <w:pStyle w:val="mcntmsonormal1"/>
              <w:shd w:val="clear" w:color="auto" w:fill="FFFFFF" w:themeFill="background1"/>
              <w:spacing w:line="276" w:lineRule="auto"/>
              <w:ind w:firstLine="779"/>
              <w:jc w:val="both"/>
              <w:rPr>
                <w:sz w:val="22"/>
              </w:rPr>
            </w:pPr>
            <w:r w:rsidRPr="003C27C8">
              <w:rPr>
                <w:sz w:val="22"/>
              </w:rPr>
              <w:t>Z uwagi n</w:t>
            </w:r>
            <w:r>
              <w:rPr>
                <w:sz w:val="22"/>
              </w:rPr>
              <w:t xml:space="preserve">a powyższe proponuje się dokonanie stosownych zmian w </w:t>
            </w:r>
            <w:proofErr w:type="spellStart"/>
            <w:r w:rsidR="00E43D34">
              <w:rPr>
                <w:sz w:val="22"/>
              </w:rPr>
              <w:t>u.o.k.k</w:t>
            </w:r>
            <w:proofErr w:type="spellEnd"/>
            <w:r w:rsidR="00E43D34">
              <w:rPr>
                <w:sz w:val="22"/>
              </w:rPr>
              <w:t xml:space="preserve">., </w:t>
            </w:r>
            <w:r>
              <w:rPr>
                <w:sz w:val="22"/>
              </w:rPr>
              <w:t>dotyczący</w:t>
            </w:r>
            <w:r w:rsidR="00ED09B1">
              <w:rPr>
                <w:sz w:val="22"/>
              </w:rPr>
              <w:t>m</w:t>
            </w:r>
            <w:r>
              <w:rPr>
                <w:sz w:val="22"/>
              </w:rPr>
              <w:t xml:space="preserve"> kontroli oraz przeszukania u przedsiębiorcy</w:t>
            </w:r>
            <w:r w:rsidR="00ED09B1">
              <w:rPr>
                <w:sz w:val="22"/>
              </w:rPr>
              <w:t>, jak również</w:t>
            </w:r>
            <w:r w:rsidR="00720623">
              <w:rPr>
                <w:sz w:val="22"/>
              </w:rPr>
              <w:t xml:space="preserve"> </w:t>
            </w:r>
            <w:r>
              <w:rPr>
                <w:sz w:val="22"/>
              </w:rPr>
              <w:t>przeszukania w innych</w:t>
            </w:r>
            <w:r w:rsidRPr="003C27C8">
              <w:rPr>
                <w:sz w:val="22"/>
              </w:rPr>
              <w:t xml:space="preserve"> </w:t>
            </w:r>
            <w:r>
              <w:rPr>
                <w:sz w:val="22"/>
              </w:rPr>
              <w:t>lokalach</w:t>
            </w:r>
            <w:r w:rsidR="0039356E">
              <w:rPr>
                <w:sz w:val="22"/>
              </w:rPr>
              <w:t>, pomieszczeniach oraz środkach transportu</w:t>
            </w:r>
            <w:r>
              <w:rPr>
                <w:sz w:val="22"/>
              </w:rPr>
              <w:t xml:space="preserve">. </w:t>
            </w:r>
          </w:p>
          <w:p w14:paraId="4EEF4A0E" w14:textId="31DBA1F9" w:rsidR="00B93E64" w:rsidRDefault="00B93E64" w:rsidP="000E6A14">
            <w:pPr>
              <w:pStyle w:val="mcntmsonormal1"/>
              <w:numPr>
                <w:ilvl w:val="0"/>
                <w:numId w:val="6"/>
              </w:numPr>
              <w:spacing w:before="120" w:after="120" w:line="276" w:lineRule="auto"/>
              <w:rPr>
                <w:b/>
                <w:i/>
                <w:sz w:val="22"/>
              </w:rPr>
            </w:pPr>
            <w:r w:rsidRPr="00B93E64">
              <w:rPr>
                <w:b/>
                <w:i/>
                <w:sz w:val="22"/>
              </w:rPr>
              <w:t>Pomoc Policji</w:t>
            </w:r>
          </w:p>
          <w:p w14:paraId="51E1A592" w14:textId="4C37AB37" w:rsidR="00A22DAA" w:rsidRDefault="00A22DAA" w:rsidP="00EB68ED">
            <w:pPr>
              <w:pStyle w:val="mcntmsonormal1"/>
              <w:spacing w:before="120" w:after="120" w:line="276" w:lineRule="auto"/>
              <w:ind w:firstLine="771"/>
              <w:jc w:val="both"/>
              <w:rPr>
                <w:sz w:val="22"/>
              </w:rPr>
            </w:pPr>
            <w:r w:rsidRPr="00A22DAA">
              <w:rPr>
                <w:sz w:val="22"/>
              </w:rPr>
              <w:t>Dyrektyw</w:t>
            </w:r>
            <w:r>
              <w:rPr>
                <w:sz w:val="22"/>
              </w:rPr>
              <w:t>a</w:t>
            </w:r>
            <w:r w:rsidRPr="00A22DAA">
              <w:rPr>
                <w:sz w:val="22"/>
              </w:rPr>
              <w:t xml:space="preserve"> przewiduje, że w przypadku gdy przedsiębiorstwo lub związek przedsiębiorstw sprzeciwiają się kontroli, którą nakazał przeprowadzić krajowy administracyjny organ ochrony konkurencji lub którą zatwierdził krajowy organ sądowy, krajowe organy ochrony konkurencji mogą skorzystać z niezbędnej pomocy policji lub równorzędnego organu ścigania, aby móc przeprowadzić kontrolę. Taka pomoc może być również udzielona tytułem środka zapobiegawczego. Wobec powyższego zdecydowano się na kompleksowe uregulowanie w ustawie pomocy policji w toku kontroli </w:t>
            </w:r>
            <w:r w:rsidR="00EB68ED">
              <w:rPr>
                <w:sz w:val="22"/>
              </w:rPr>
              <w:br/>
            </w:r>
            <w:r w:rsidRPr="00A22DAA">
              <w:rPr>
                <w:sz w:val="22"/>
              </w:rPr>
              <w:t>i przeszukania</w:t>
            </w:r>
            <w:r w:rsidR="00904903">
              <w:rPr>
                <w:sz w:val="22"/>
              </w:rPr>
              <w:t>.</w:t>
            </w:r>
          </w:p>
          <w:p w14:paraId="38328B68" w14:textId="4C84BC30" w:rsidR="00862D89" w:rsidRPr="00FE5046" w:rsidRDefault="00862D89" w:rsidP="000E6A14">
            <w:pPr>
              <w:pStyle w:val="mcntmsonormal1"/>
              <w:numPr>
                <w:ilvl w:val="0"/>
                <w:numId w:val="6"/>
              </w:numPr>
              <w:spacing w:before="120" w:after="120" w:line="276" w:lineRule="auto"/>
              <w:jc w:val="both"/>
              <w:rPr>
                <w:i/>
                <w:sz w:val="22"/>
              </w:rPr>
            </w:pPr>
            <w:r w:rsidRPr="00862D89">
              <w:rPr>
                <w:b/>
                <w:i/>
                <w:sz w:val="22"/>
                <w:szCs w:val="22"/>
                <w:lang w:eastAsia="en-US"/>
              </w:rPr>
              <w:t>LPP (</w:t>
            </w:r>
            <w:proofErr w:type="spellStart"/>
            <w:r w:rsidRPr="00862D89">
              <w:rPr>
                <w:b/>
                <w:i/>
                <w:sz w:val="22"/>
                <w:szCs w:val="22"/>
                <w:lang w:eastAsia="en-US"/>
              </w:rPr>
              <w:t>legal</w:t>
            </w:r>
            <w:proofErr w:type="spellEnd"/>
            <w:r w:rsidRPr="00862D89">
              <w:rPr>
                <w:b/>
                <w:i/>
                <w:sz w:val="22"/>
                <w:szCs w:val="22"/>
                <w:lang w:eastAsia="en-US"/>
              </w:rPr>
              <w:t xml:space="preserve"> </w:t>
            </w:r>
            <w:proofErr w:type="spellStart"/>
            <w:r w:rsidRPr="00862D89">
              <w:rPr>
                <w:b/>
                <w:i/>
                <w:sz w:val="22"/>
                <w:szCs w:val="22"/>
                <w:lang w:eastAsia="en-US"/>
              </w:rPr>
              <w:t>professional</w:t>
            </w:r>
            <w:proofErr w:type="spellEnd"/>
            <w:r w:rsidRPr="00862D89">
              <w:rPr>
                <w:b/>
                <w:i/>
                <w:sz w:val="22"/>
                <w:szCs w:val="22"/>
                <w:lang w:eastAsia="en-US"/>
              </w:rPr>
              <w:t xml:space="preserve"> </w:t>
            </w:r>
            <w:proofErr w:type="spellStart"/>
            <w:r w:rsidRPr="00862D89">
              <w:rPr>
                <w:b/>
                <w:i/>
                <w:sz w:val="22"/>
                <w:szCs w:val="22"/>
                <w:lang w:eastAsia="en-US"/>
              </w:rPr>
              <w:t>privilege</w:t>
            </w:r>
            <w:proofErr w:type="spellEnd"/>
            <w:r w:rsidRPr="00862D89">
              <w:rPr>
                <w:b/>
                <w:i/>
                <w:sz w:val="22"/>
                <w:szCs w:val="22"/>
                <w:lang w:eastAsia="en-US"/>
              </w:rPr>
              <w:t>)</w:t>
            </w:r>
          </w:p>
          <w:p w14:paraId="1B344DD7" w14:textId="67A8970C" w:rsidR="00FE5046" w:rsidRPr="005B6CF4" w:rsidRDefault="00AB4E9A" w:rsidP="005B6CF4">
            <w:pPr>
              <w:pStyle w:val="mcntmsonormal1"/>
              <w:spacing w:before="120" w:after="120" w:line="276" w:lineRule="auto"/>
              <w:ind w:firstLine="779"/>
              <w:jc w:val="both"/>
              <w:rPr>
                <w:b/>
                <w:sz w:val="22"/>
                <w:szCs w:val="22"/>
                <w:highlight w:val="red"/>
              </w:rPr>
            </w:pPr>
            <w:r>
              <w:rPr>
                <w:rFonts w:eastAsia="Times New Roman"/>
                <w:sz w:val="22"/>
                <w:szCs w:val="22"/>
              </w:rPr>
              <w:t xml:space="preserve">W ramach zmian, dotyczących </w:t>
            </w:r>
            <w:r w:rsidR="005B6CF4" w:rsidRPr="005B6CF4">
              <w:rPr>
                <w:rFonts w:eastAsia="Times New Roman"/>
                <w:sz w:val="22"/>
                <w:szCs w:val="22"/>
              </w:rPr>
              <w:t>procedury przeprowadzania przeszukania u przedsiębiorcy</w:t>
            </w:r>
            <w:r>
              <w:rPr>
                <w:rFonts w:eastAsia="Times New Roman"/>
                <w:sz w:val="22"/>
                <w:szCs w:val="22"/>
              </w:rPr>
              <w:t xml:space="preserve">, niezbędne jest doprecyzowanie zasad stosowania </w:t>
            </w:r>
            <w:r w:rsidR="005B6CF4" w:rsidRPr="005B6CF4">
              <w:rPr>
                <w:rFonts w:eastAsia="Times New Roman"/>
                <w:sz w:val="22"/>
                <w:szCs w:val="22"/>
              </w:rPr>
              <w:t>instytucji tzw.</w:t>
            </w:r>
            <w:r>
              <w:rPr>
                <w:rFonts w:eastAsia="Times New Roman"/>
                <w:sz w:val="22"/>
                <w:szCs w:val="22"/>
              </w:rPr>
              <w:t xml:space="preserve"> LPP</w:t>
            </w:r>
            <w:r w:rsidR="005B6CF4" w:rsidRPr="005B6CF4">
              <w:rPr>
                <w:rFonts w:eastAsia="Times New Roman"/>
                <w:sz w:val="22"/>
                <w:szCs w:val="22"/>
              </w:rPr>
              <w:t xml:space="preserve"> </w:t>
            </w:r>
            <w:r>
              <w:rPr>
                <w:rFonts w:eastAsia="Times New Roman"/>
                <w:sz w:val="22"/>
                <w:szCs w:val="22"/>
              </w:rPr>
              <w:t>(</w:t>
            </w:r>
            <w:proofErr w:type="spellStart"/>
            <w:r w:rsidR="00106E23" w:rsidRPr="00106E23">
              <w:rPr>
                <w:rFonts w:eastAsia="Times New Roman"/>
                <w:i/>
                <w:sz w:val="22"/>
                <w:szCs w:val="22"/>
              </w:rPr>
              <w:t>legal</w:t>
            </w:r>
            <w:proofErr w:type="spellEnd"/>
            <w:r w:rsidR="00106E23" w:rsidRPr="00106E23">
              <w:rPr>
                <w:rFonts w:eastAsia="Times New Roman"/>
                <w:i/>
                <w:sz w:val="22"/>
                <w:szCs w:val="22"/>
              </w:rPr>
              <w:t xml:space="preserve"> </w:t>
            </w:r>
            <w:proofErr w:type="spellStart"/>
            <w:r w:rsidR="00106E23" w:rsidRPr="00106E23">
              <w:rPr>
                <w:rFonts w:eastAsia="Times New Roman"/>
                <w:i/>
                <w:sz w:val="22"/>
                <w:szCs w:val="22"/>
              </w:rPr>
              <w:t>professional</w:t>
            </w:r>
            <w:proofErr w:type="spellEnd"/>
            <w:r w:rsidR="00106E23" w:rsidRPr="00106E23">
              <w:rPr>
                <w:rFonts w:eastAsia="Times New Roman"/>
                <w:i/>
                <w:sz w:val="22"/>
                <w:szCs w:val="22"/>
              </w:rPr>
              <w:t xml:space="preserve"> </w:t>
            </w:r>
            <w:proofErr w:type="spellStart"/>
            <w:r w:rsidR="00106E23" w:rsidRPr="00106E23">
              <w:rPr>
                <w:rFonts w:eastAsia="Times New Roman"/>
                <w:i/>
                <w:sz w:val="22"/>
                <w:szCs w:val="22"/>
              </w:rPr>
              <w:t>privilege</w:t>
            </w:r>
            <w:proofErr w:type="spellEnd"/>
            <w:r w:rsidR="00106E23">
              <w:rPr>
                <w:rFonts w:eastAsia="Times New Roman"/>
                <w:sz w:val="22"/>
                <w:szCs w:val="22"/>
              </w:rPr>
              <w:t>)</w:t>
            </w:r>
            <w:r w:rsidR="005B6CF4" w:rsidRPr="005B6CF4">
              <w:rPr>
                <w:rFonts w:eastAsia="Times New Roman"/>
                <w:sz w:val="22"/>
                <w:szCs w:val="22"/>
              </w:rPr>
              <w:t>, mającej na celu ochronę komunikacji między prawnikiem a klientem.</w:t>
            </w:r>
            <w:r w:rsidR="00106E23">
              <w:rPr>
                <w:rFonts w:eastAsia="Times New Roman"/>
                <w:sz w:val="22"/>
                <w:szCs w:val="22"/>
              </w:rPr>
              <w:t xml:space="preserve"> W obecnym kształcie zarówno </w:t>
            </w:r>
            <w:r w:rsidR="005B6CF4" w:rsidRPr="005B6CF4">
              <w:rPr>
                <w:rFonts w:eastAsia="Times New Roman"/>
                <w:sz w:val="22"/>
                <w:szCs w:val="22"/>
              </w:rPr>
              <w:t xml:space="preserve">w doktrynie, jak i w praktyce </w:t>
            </w:r>
            <w:r w:rsidR="009E2CC9">
              <w:rPr>
                <w:rFonts w:eastAsia="Times New Roman"/>
                <w:sz w:val="22"/>
                <w:szCs w:val="22"/>
              </w:rPr>
              <w:t xml:space="preserve">pojawiają się liczne </w:t>
            </w:r>
            <w:r w:rsidR="005B6CF4" w:rsidRPr="005B6CF4">
              <w:rPr>
                <w:rFonts w:eastAsia="Times New Roman"/>
                <w:sz w:val="22"/>
                <w:szCs w:val="22"/>
              </w:rPr>
              <w:t>wątpliwości interpretacyjne dotyczące u</w:t>
            </w:r>
            <w:r w:rsidR="006C3B3B">
              <w:rPr>
                <w:rFonts w:eastAsia="Times New Roman"/>
                <w:sz w:val="22"/>
                <w:szCs w:val="22"/>
              </w:rPr>
              <w:t>normowania</w:t>
            </w:r>
            <w:r w:rsidR="005B6CF4" w:rsidRPr="005B6CF4">
              <w:rPr>
                <w:rFonts w:eastAsia="Times New Roman"/>
                <w:sz w:val="22"/>
                <w:szCs w:val="22"/>
              </w:rPr>
              <w:t xml:space="preserve"> </w:t>
            </w:r>
            <w:r w:rsidR="009E2CC9">
              <w:rPr>
                <w:rFonts w:eastAsia="Times New Roman"/>
                <w:sz w:val="22"/>
                <w:szCs w:val="22"/>
              </w:rPr>
              <w:t xml:space="preserve">instytucji LPP </w:t>
            </w:r>
            <w:r w:rsidR="005B6CF4" w:rsidRPr="005B6CF4">
              <w:rPr>
                <w:rFonts w:eastAsia="Times New Roman"/>
                <w:sz w:val="22"/>
                <w:szCs w:val="22"/>
              </w:rPr>
              <w:t xml:space="preserve">w </w:t>
            </w:r>
            <w:proofErr w:type="spellStart"/>
            <w:r w:rsidR="009E2CC9">
              <w:rPr>
                <w:rFonts w:eastAsia="Times New Roman"/>
                <w:sz w:val="22"/>
                <w:szCs w:val="22"/>
              </w:rPr>
              <w:t>u.o.k.k</w:t>
            </w:r>
            <w:proofErr w:type="spellEnd"/>
            <w:r w:rsidR="009E2CC9">
              <w:rPr>
                <w:rFonts w:eastAsia="Times New Roman"/>
                <w:sz w:val="22"/>
                <w:szCs w:val="22"/>
              </w:rPr>
              <w:t xml:space="preserve">. </w:t>
            </w:r>
            <w:r w:rsidR="005B6CF4" w:rsidRPr="005B6CF4">
              <w:rPr>
                <w:rFonts w:eastAsia="Times New Roman"/>
                <w:sz w:val="22"/>
                <w:szCs w:val="22"/>
              </w:rPr>
              <w:t xml:space="preserve">w jej </w:t>
            </w:r>
            <w:r w:rsidR="009E2CC9">
              <w:rPr>
                <w:rFonts w:eastAsia="Times New Roman"/>
                <w:sz w:val="22"/>
                <w:szCs w:val="22"/>
              </w:rPr>
              <w:t>aktualnym</w:t>
            </w:r>
            <w:r w:rsidR="005B6CF4" w:rsidRPr="005B6CF4">
              <w:rPr>
                <w:rFonts w:eastAsia="Times New Roman"/>
                <w:sz w:val="22"/>
                <w:szCs w:val="22"/>
              </w:rPr>
              <w:t xml:space="preserve"> </w:t>
            </w:r>
            <w:r w:rsidR="009E2CC9" w:rsidRPr="005B6CF4">
              <w:rPr>
                <w:rFonts w:eastAsia="Times New Roman"/>
                <w:sz w:val="22"/>
                <w:szCs w:val="22"/>
              </w:rPr>
              <w:t>brz</w:t>
            </w:r>
            <w:r w:rsidR="009E2CC9">
              <w:rPr>
                <w:rFonts w:eastAsia="Times New Roman"/>
                <w:sz w:val="22"/>
                <w:szCs w:val="22"/>
              </w:rPr>
              <w:t>m</w:t>
            </w:r>
            <w:r w:rsidR="009E2CC9" w:rsidRPr="005B6CF4">
              <w:rPr>
                <w:rFonts w:eastAsia="Times New Roman"/>
                <w:sz w:val="22"/>
                <w:szCs w:val="22"/>
              </w:rPr>
              <w:t>ieniu</w:t>
            </w:r>
            <w:r w:rsidR="005B6CF4" w:rsidRPr="005B6CF4">
              <w:rPr>
                <w:rFonts w:eastAsia="Times New Roman"/>
                <w:sz w:val="22"/>
                <w:szCs w:val="22"/>
              </w:rPr>
              <w:t xml:space="preserve"> tj. poprzez odesłanie w tym zakresie do przepisów </w:t>
            </w:r>
            <w:r w:rsidR="00623B0D">
              <w:rPr>
                <w:sz w:val="22"/>
              </w:rPr>
              <w:t xml:space="preserve">ustawy z dnia 6 czerwca 1997 r. - </w:t>
            </w:r>
            <w:r w:rsidR="00623B0D" w:rsidRPr="00DB35CB">
              <w:rPr>
                <w:i/>
                <w:sz w:val="22"/>
              </w:rPr>
              <w:t>Kodeks postępowania karnego</w:t>
            </w:r>
            <w:r w:rsidR="00623B0D">
              <w:rPr>
                <w:sz w:val="22"/>
              </w:rPr>
              <w:t xml:space="preserve"> (</w:t>
            </w:r>
            <w:r w:rsidR="00623B0D" w:rsidRPr="00A84E94">
              <w:rPr>
                <w:sz w:val="22"/>
              </w:rPr>
              <w:t>Dz. U. z 2020 r. poz. 30</w:t>
            </w:r>
            <w:r w:rsidR="00623B0D">
              <w:rPr>
                <w:sz w:val="22"/>
              </w:rPr>
              <w:t xml:space="preserve">, z </w:t>
            </w:r>
            <w:proofErr w:type="spellStart"/>
            <w:r w:rsidR="00623B0D">
              <w:rPr>
                <w:sz w:val="22"/>
              </w:rPr>
              <w:t>późn</w:t>
            </w:r>
            <w:proofErr w:type="spellEnd"/>
            <w:r w:rsidR="00623B0D">
              <w:rPr>
                <w:sz w:val="22"/>
              </w:rPr>
              <w:t>. zm., dalej: „</w:t>
            </w:r>
            <w:r w:rsidR="004E766D">
              <w:rPr>
                <w:sz w:val="22"/>
              </w:rPr>
              <w:t>KPK</w:t>
            </w:r>
            <w:r w:rsidR="00623B0D">
              <w:rPr>
                <w:sz w:val="22"/>
              </w:rPr>
              <w:t>”)</w:t>
            </w:r>
            <w:r w:rsidR="005B6CF4" w:rsidRPr="005B6CF4">
              <w:rPr>
                <w:rFonts w:eastAsia="Times New Roman"/>
                <w:sz w:val="22"/>
                <w:szCs w:val="22"/>
              </w:rPr>
              <w:t xml:space="preserve">, </w:t>
            </w:r>
            <w:r w:rsidR="00623B0D">
              <w:rPr>
                <w:rFonts w:eastAsia="Times New Roman"/>
                <w:sz w:val="22"/>
                <w:szCs w:val="22"/>
              </w:rPr>
              <w:t>toteż niezbędne jest wprowadzenie kompleksowej regulacji w tym zakresie.</w:t>
            </w:r>
          </w:p>
          <w:p w14:paraId="42FCE431" w14:textId="3BEA79CE" w:rsidR="00D14953" w:rsidRPr="00E47272" w:rsidRDefault="00D14953" w:rsidP="000E6A14">
            <w:pPr>
              <w:pStyle w:val="mcntmsonormal1"/>
              <w:numPr>
                <w:ilvl w:val="0"/>
                <w:numId w:val="2"/>
              </w:numPr>
              <w:spacing w:before="120" w:after="120" w:line="276" w:lineRule="auto"/>
              <w:ind w:left="714" w:hanging="357"/>
              <w:rPr>
                <w:b/>
              </w:rPr>
            </w:pPr>
            <w:r w:rsidRPr="00E47272">
              <w:rPr>
                <w:b/>
                <w:sz w:val="22"/>
                <w:szCs w:val="22"/>
                <w:lang w:eastAsia="en-US"/>
              </w:rPr>
              <w:t>Terminy przedawnień</w:t>
            </w:r>
          </w:p>
          <w:p w14:paraId="659E2DD1" w14:textId="46DF8CBF" w:rsidR="00E47272" w:rsidRPr="00E47272" w:rsidRDefault="00E47272" w:rsidP="00E47272">
            <w:pPr>
              <w:ind w:firstLine="771"/>
              <w:jc w:val="both"/>
              <w:rPr>
                <w:rFonts w:ascii="Times New Roman" w:hAnsi="Times New Roman"/>
                <w:szCs w:val="24"/>
              </w:rPr>
            </w:pPr>
            <w:r w:rsidRPr="00E47272">
              <w:rPr>
                <w:rFonts w:ascii="Times New Roman" w:hAnsi="Times New Roman"/>
                <w:szCs w:val="24"/>
              </w:rPr>
              <w:t xml:space="preserve">Dyrektywa nakazuje wprowadzenie regulacji zapewniających, aby bieg terminu przedawnienia w przypadku nałożenia kar lub okresowych kar pieniężnych przez krajowe organy ochrony konkurencji w związku z naruszeniem art. 101 lub 102 TFUE był zawieszany lub przerywany na czas trwania postępowania dotyczącego tego samego naruszenia ww. przepisów prowadzonego przez Komisję Europejską lub przez krajowy organ ochrony konkurencji państwa członkowskiego UE. Dyrektywa </w:t>
            </w:r>
            <w:r w:rsidR="000A71C6" w:rsidRPr="00E47272">
              <w:rPr>
                <w:rFonts w:ascii="Times New Roman" w:hAnsi="Times New Roman"/>
                <w:szCs w:val="24"/>
              </w:rPr>
              <w:t xml:space="preserve">szczegółowo </w:t>
            </w:r>
            <w:r w:rsidRPr="00E47272">
              <w:rPr>
                <w:rFonts w:ascii="Times New Roman" w:hAnsi="Times New Roman"/>
                <w:szCs w:val="24"/>
              </w:rPr>
              <w:t>określa początek i zakończenie biegu zawieszenia lub przerwania terminu przedawnienia</w:t>
            </w:r>
            <w:r w:rsidR="000A71C6">
              <w:rPr>
                <w:rFonts w:ascii="Times New Roman" w:hAnsi="Times New Roman"/>
                <w:szCs w:val="24"/>
              </w:rPr>
              <w:t xml:space="preserve"> w takim przypadku. </w:t>
            </w:r>
          </w:p>
          <w:p w14:paraId="0050A883" w14:textId="30478411" w:rsidR="00E47272" w:rsidRPr="00E47272" w:rsidRDefault="00E47272" w:rsidP="00E47272">
            <w:pPr>
              <w:jc w:val="both"/>
              <w:rPr>
                <w:rFonts w:ascii="Times New Roman" w:hAnsi="Times New Roman"/>
                <w:szCs w:val="24"/>
              </w:rPr>
            </w:pPr>
            <w:r w:rsidRPr="00E47272">
              <w:rPr>
                <w:rFonts w:ascii="Times New Roman" w:hAnsi="Times New Roman"/>
                <w:szCs w:val="24"/>
              </w:rPr>
              <w:t xml:space="preserve">Krajowe regulacje wdrażające </w:t>
            </w:r>
            <w:r w:rsidR="000A71C6">
              <w:rPr>
                <w:rFonts w:ascii="Times New Roman" w:hAnsi="Times New Roman"/>
                <w:szCs w:val="24"/>
              </w:rPr>
              <w:t>D</w:t>
            </w:r>
            <w:r w:rsidRPr="00E47272">
              <w:rPr>
                <w:rFonts w:ascii="Times New Roman" w:hAnsi="Times New Roman"/>
                <w:szCs w:val="24"/>
              </w:rPr>
              <w:t>yrektyw</w:t>
            </w:r>
            <w:r w:rsidR="00D5663B">
              <w:rPr>
                <w:rFonts w:ascii="Times New Roman" w:hAnsi="Times New Roman"/>
                <w:szCs w:val="24"/>
              </w:rPr>
              <w:t>ę</w:t>
            </w:r>
            <w:r w:rsidRPr="00E47272">
              <w:rPr>
                <w:rFonts w:ascii="Times New Roman" w:hAnsi="Times New Roman"/>
                <w:szCs w:val="24"/>
              </w:rPr>
              <w:t xml:space="preserve"> powinny</w:t>
            </w:r>
            <w:r w:rsidR="00D5663B">
              <w:rPr>
                <w:rFonts w:ascii="Times New Roman" w:hAnsi="Times New Roman"/>
                <w:szCs w:val="24"/>
              </w:rPr>
              <w:t xml:space="preserve"> </w:t>
            </w:r>
            <w:r w:rsidRPr="00E47272">
              <w:rPr>
                <w:rFonts w:ascii="Times New Roman" w:hAnsi="Times New Roman"/>
                <w:szCs w:val="24"/>
              </w:rPr>
              <w:t>odnosić się do sytuacji, w których sprawę związaną z naruszeniem art. 101 i 102 TFUE prowadzi:</w:t>
            </w:r>
          </w:p>
          <w:p w14:paraId="2C20BE80" w14:textId="3120E3AF" w:rsidR="00603134" w:rsidRDefault="00603134" w:rsidP="00603134">
            <w:pPr>
              <w:jc w:val="both"/>
              <w:rPr>
                <w:rFonts w:ascii="Times New Roman" w:hAnsi="Times New Roman"/>
                <w:szCs w:val="24"/>
              </w:rPr>
            </w:pPr>
            <w:r>
              <w:rPr>
                <w:rFonts w:ascii="Times New Roman" w:hAnsi="Times New Roman"/>
                <w:szCs w:val="24"/>
              </w:rPr>
              <w:t xml:space="preserve">- </w:t>
            </w:r>
            <w:r w:rsidR="00E47272" w:rsidRPr="00603134">
              <w:rPr>
                <w:rFonts w:ascii="Times New Roman" w:hAnsi="Times New Roman"/>
                <w:szCs w:val="24"/>
              </w:rPr>
              <w:t xml:space="preserve">KE, co zgodnie z art. 11 ust. 6 </w:t>
            </w:r>
            <w:r w:rsidR="006208D8" w:rsidRPr="00603134">
              <w:rPr>
                <w:rFonts w:ascii="Times New Roman" w:hAnsi="Times New Roman"/>
                <w:szCs w:val="24"/>
              </w:rPr>
              <w:t>R</w:t>
            </w:r>
            <w:r w:rsidR="00E47272" w:rsidRPr="00603134">
              <w:rPr>
                <w:rFonts w:ascii="Times New Roman" w:hAnsi="Times New Roman"/>
                <w:szCs w:val="24"/>
              </w:rPr>
              <w:t>ozporządzenia</w:t>
            </w:r>
            <w:r w:rsidR="00835277" w:rsidRPr="00603134">
              <w:rPr>
                <w:rFonts w:ascii="Times New Roman" w:hAnsi="Times New Roman"/>
                <w:szCs w:val="24"/>
              </w:rPr>
              <w:t xml:space="preserve"> </w:t>
            </w:r>
            <w:r w:rsidR="00E47272" w:rsidRPr="00603134">
              <w:rPr>
                <w:rFonts w:ascii="Times New Roman" w:hAnsi="Times New Roman"/>
                <w:szCs w:val="24"/>
              </w:rPr>
              <w:t>1/200</w:t>
            </w:r>
            <w:r w:rsidR="006208D8" w:rsidRPr="00603134">
              <w:rPr>
                <w:rFonts w:ascii="Times New Roman" w:hAnsi="Times New Roman"/>
                <w:szCs w:val="24"/>
              </w:rPr>
              <w:t>3</w:t>
            </w:r>
            <w:r w:rsidR="00E47272" w:rsidRPr="00603134">
              <w:rPr>
                <w:rFonts w:ascii="Times New Roman" w:hAnsi="Times New Roman"/>
                <w:szCs w:val="24"/>
              </w:rPr>
              <w:t>, pozbawia krajowe organy ochrony konkurencji państw członkowskich ich kompetencji do zajmowania się sprawą</w:t>
            </w:r>
            <w:r w:rsidR="005139CB">
              <w:rPr>
                <w:rFonts w:ascii="Times New Roman" w:hAnsi="Times New Roman"/>
                <w:szCs w:val="24"/>
              </w:rPr>
              <w:t>.</w:t>
            </w:r>
            <w:r w:rsidR="00E47272" w:rsidRPr="00603134">
              <w:rPr>
                <w:rFonts w:ascii="Times New Roman" w:hAnsi="Times New Roman"/>
                <w:szCs w:val="24"/>
              </w:rPr>
              <w:t xml:space="preserve"> </w:t>
            </w:r>
            <w:r w:rsidR="005139CB">
              <w:rPr>
                <w:rFonts w:ascii="Times New Roman" w:hAnsi="Times New Roman"/>
                <w:szCs w:val="24"/>
              </w:rPr>
              <w:t>N</w:t>
            </w:r>
            <w:r w:rsidR="00E47272" w:rsidRPr="00603134">
              <w:rPr>
                <w:rFonts w:ascii="Times New Roman" w:hAnsi="Times New Roman"/>
                <w:szCs w:val="24"/>
              </w:rPr>
              <w:t>ależy jednak podkreślić, że w przypadku wydania przez KE decyzji o braku podstaw do dalszych działań w danej sprawie, organ krajowy może się nią zająć (wszcząć postępowanie), w związku z tym, że przestanie obowiązywać przesłanka, o której mowa w art. 11 ust. 6 rozporządzenia 1/2003 – w takim przypadku okres, w którym KE zajmowała się sprawą (począwszy od pierwszej formalnej czynności dochodzeniowej podjętej przez  KE), nie powinien być wliczony do terminów przedawnienia możliwości nałożenia kar pieniężnych określonych w przepisach krajowych</w:t>
            </w:r>
            <w:r>
              <w:rPr>
                <w:rFonts w:ascii="Times New Roman" w:hAnsi="Times New Roman"/>
                <w:szCs w:val="24"/>
              </w:rPr>
              <w:t>,</w:t>
            </w:r>
          </w:p>
          <w:p w14:paraId="6280CC9C" w14:textId="4B04AFFC" w:rsidR="00E47272" w:rsidRPr="00603134" w:rsidRDefault="00603134" w:rsidP="00603134">
            <w:pPr>
              <w:jc w:val="both"/>
              <w:rPr>
                <w:rFonts w:ascii="Times New Roman" w:hAnsi="Times New Roman"/>
                <w:szCs w:val="24"/>
              </w:rPr>
            </w:pPr>
            <w:r>
              <w:rPr>
                <w:rFonts w:ascii="Times New Roman" w:hAnsi="Times New Roman"/>
                <w:szCs w:val="24"/>
              </w:rPr>
              <w:t xml:space="preserve">- </w:t>
            </w:r>
            <w:r w:rsidR="00E47272" w:rsidRPr="00603134">
              <w:rPr>
                <w:rFonts w:ascii="Times New Roman" w:hAnsi="Times New Roman"/>
                <w:szCs w:val="24"/>
              </w:rPr>
              <w:t xml:space="preserve">więcej niż jeden krajowy organ ochrony konkurencji państwa członkowskiego UE (w przypadku transgranicznego charakteru naruszenia). Zgodnie z art. 13 ust. 1 </w:t>
            </w:r>
            <w:proofErr w:type="spellStart"/>
            <w:r w:rsidR="00E47272" w:rsidRPr="00603134">
              <w:rPr>
                <w:rFonts w:ascii="Times New Roman" w:hAnsi="Times New Roman"/>
                <w:szCs w:val="24"/>
              </w:rPr>
              <w:t>zd</w:t>
            </w:r>
            <w:proofErr w:type="spellEnd"/>
            <w:r w:rsidR="00E47272" w:rsidRPr="00603134">
              <w:rPr>
                <w:rFonts w:ascii="Times New Roman" w:hAnsi="Times New Roman"/>
                <w:szCs w:val="24"/>
              </w:rPr>
              <w:t>. 1 oraz art. 13 ust. 2  rozporządzenia 1/2003 w przypadku prowadzenia sprawy przez inny krajowy organ ochrony konkurencji, istnieje możliwość zawieszenia postępowania lub jego niewszczynania; analogicznie do pkt 1 – okres, w którym sprawą zajmował się inny organ państwa członkowskiego UE, co stanowi przesłankę niewszczynania lub zawieszenia postępowania przez dany organ ochrony konkurencji, nie powinien zgodnie z dyrektywą być wliczany do określonych w prawie krajowym terminów przedawnienia nakładania kar pieniężnych.</w:t>
            </w:r>
          </w:p>
          <w:p w14:paraId="74F1A6E9" w14:textId="77777777" w:rsidR="00E766E0" w:rsidRDefault="00E47272" w:rsidP="00E766E0">
            <w:pPr>
              <w:ind w:firstLine="771"/>
              <w:jc w:val="both"/>
              <w:rPr>
                <w:rFonts w:ascii="Times New Roman" w:hAnsi="Times New Roman"/>
                <w:szCs w:val="24"/>
              </w:rPr>
            </w:pPr>
            <w:r w:rsidRPr="00E47272">
              <w:rPr>
                <w:rFonts w:ascii="Times New Roman" w:hAnsi="Times New Roman"/>
                <w:szCs w:val="24"/>
              </w:rPr>
              <w:t xml:space="preserve">Na gruncie polskich przepisów </w:t>
            </w:r>
            <w:proofErr w:type="spellStart"/>
            <w:r w:rsidR="00B92EA9">
              <w:rPr>
                <w:rFonts w:ascii="Times New Roman" w:hAnsi="Times New Roman"/>
                <w:szCs w:val="24"/>
              </w:rPr>
              <w:t>u.o.k.k</w:t>
            </w:r>
            <w:proofErr w:type="spellEnd"/>
            <w:r w:rsidR="00B92EA9">
              <w:rPr>
                <w:rFonts w:ascii="Times New Roman" w:hAnsi="Times New Roman"/>
                <w:szCs w:val="24"/>
              </w:rPr>
              <w:t xml:space="preserve">. </w:t>
            </w:r>
            <w:r w:rsidRPr="00E47272">
              <w:rPr>
                <w:rFonts w:ascii="Times New Roman" w:hAnsi="Times New Roman"/>
                <w:szCs w:val="24"/>
              </w:rPr>
              <w:t>Prezes UOKiK</w:t>
            </w:r>
            <w:r w:rsidR="00E766E0">
              <w:rPr>
                <w:rFonts w:ascii="Times New Roman" w:hAnsi="Times New Roman"/>
                <w:szCs w:val="24"/>
              </w:rPr>
              <w:t>:</w:t>
            </w:r>
          </w:p>
          <w:p w14:paraId="1D41983F" w14:textId="77777777" w:rsidR="00E766E0" w:rsidRDefault="00E766E0" w:rsidP="00E766E0">
            <w:pPr>
              <w:jc w:val="both"/>
              <w:rPr>
                <w:rFonts w:ascii="Times New Roman" w:hAnsi="Times New Roman"/>
                <w:szCs w:val="24"/>
              </w:rPr>
            </w:pPr>
            <w:r>
              <w:rPr>
                <w:rFonts w:ascii="Times New Roman" w:hAnsi="Times New Roman"/>
                <w:szCs w:val="24"/>
              </w:rPr>
              <w:t xml:space="preserve">- </w:t>
            </w:r>
            <w:r w:rsidR="00E47272" w:rsidRPr="00E47272">
              <w:rPr>
                <w:rFonts w:ascii="Times New Roman" w:hAnsi="Times New Roman"/>
                <w:szCs w:val="24"/>
              </w:rPr>
              <w:t>umarza postępowanie w przypadku przejęcia sprawy przez KE na podstawie przepisów prawa UE</w:t>
            </w:r>
            <w:r>
              <w:rPr>
                <w:rFonts w:ascii="Times New Roman" w:hAnsi="Times New Roman"/>
                <w:szCs w:val="24"/>
              </w:rPr>
              <w:t xml:space="preserve"> oraz</w:t>
            </w:r>
          </w:p>
          <w:p w14:paraId="270A8928" w14:textId="77777777" w:rsidR="00AE2757" w:rsidRDefault="00E766E0" w:rsidP="00E766E0">
            <w:pPr>
              <w:jc w:val="both"/>
              <w:rPr>
                <w:rFonts w:ascii="Times New Roman" w:hAnsi="Times New Roman"/>
                <w:szCs w:val="24"/>
              </w:rPr>
            </w:pPr>
            <w:r>
              <w:rPr>
                <w:rFonts w:ascii="Times New Roman" w:hAnsi="Times New Roman"/>
                <w:szCs w:val="24"/>
              </w:rPr>
              <w:t xml:space="preserve">- </w:t>
            </w:r>
            <w:r w:rsidR="00E47272" w:rsidRPr="00E47272">
              <w:rPr>
                <w:rFonts w:ascii="Times New Roman" w:hAnsi="Times New Roman"/>
                <w:szCs w:val="24"/>
              </w:rPr>
              <w:t>może umorzyć postępowanie w przypadku rozstrzygnięcia sprawy przez inny krajowy organ ochrony konkurencji</w:t>
            </w:r>
            <w:r>
              <w:rPr>
                <w:rFonts w:ascii="Times New Roman" w:hAnsi="Times New Roman"/>
                <w:szCs w:val="24"/>
              </w:rPr>
              <w:t xml:space="preserve"> </w:t>
            </w:r>
            <w:r w:rsidR="00E47272" w:rsidRPr="00E47272">
              <w:rPr>
                <w:rFonts w:ascii="Times New Roman" w:hAnsi="Times New Roman"/>
                <w:szCs w:val="24"/>
              </w:rPr>
              <w:t xml:space="preserve">ustawy nakazuje niewszczynanie postępowania w przypadku, gdy sprawę prowadzi lub rozstrzygnęła KE. </w:t>
            </w:r>
          </w:p>
          <w:p w14:paraId="0236728A" w14:textId="3856D49A" w:rsidR="00E47272" w:rsidRPr="00E47272" w:rsidRDefault="00AE2757" w:rsidP="00E766E0">
            <w:pPr>
              <w:jc w:val="both"/>
              <w:rPr>
                <w:rFonts w:ascii="Times New Roman" w:hAnsi="Times New Roman"/>
                <w:szCs w:val="24"/>
              </w:rPr>
            </w:pPr>
            <w:proofErr w:type="spellStart"/>
            <w:r>
              <w:rPr>
                <w:rFonts w:ascii="Times New Roman" w:hAnsi="Times New Roman"/>
                <w:szCs w:val="24"/>
              </w:rPr>
              <w:t>U.o.k.k</w:t>
            </w:r>
            <w:proofErr w:type="spellEnd"/>
            <w:r>
              <w:rPr>
                <w:rFonts w:ascii="Times New Roman" w:hAnsi="Times New Roman"/>
                <w:szCs w:val="24"/>
              </w:rPr>
              <w:t xml:space="preserve">. </w:t>
            </w:r>
            <w:r w:rsidR="00E47272" w:rsidRPr="00E47272">
              <w:rPr>
                <w:rFonts w:ascii="Times New Roman" w:hAnsi="Times New Roman"/>
                <w:szCs w:val="24"/>
              </w:rPr>
              <w:t>daje Prezesowi UOKiK możliwość niewszczynania postępowania w przypadku, gdy sprawą zajmuje się inny organ</w:t>
            </w:r>
            <w:r>
              <w:rPr>
                <w:rFonts w:ascii="Times New Roman" w:hAnsi="Times New Roman"/>
                <w:szCs w:val="24"/>
              </w:rPr>
              <w:t xml:space="preserve">, zaś </w:t>
            </w:r>
            <w:r w:rsidR="00E47272" w:rsidRPr="00E47272">
              <w:rPr>
                <w:rFonts w:ascii="Times New Roman" w:hAnsi="Times New Roman"/>
                <w:szCs w:val="24"/>
              </w:rPr>
              <w:t>w przypadku wszczęcia postępowania w sprawie prowadzonej przez inny organ krajowy istnieje możliwość zawieszenia postępowania do czasu wydania rozstrzygnięcia przez ten organ.</w:t>
            </w:r>
          </w:p>
          <w:p w14:paraId="7DD4C0E4" w14:textId="77777777" w:rsidR="00E47272" w:rsidRPr="00E47272" w:rsidRDefault="00E47272" w:rsidP="00AE2757">
            <w:pPr>
              <w:ind w:firstLine="771"/>
              <w:jc w:val="both"/>
              <w:rPr>
                <w:rFonts w:ascii="Times New Roman" w:hAnsi="Times New Roman"/>
                <w:szCs w:val="24"/>
              </w:rPr>
            </w:pPr>
            <w:r w:rsidRPr="00E47272">
              <w:rPr>
                <w:rFonts w:ascii="Times New Roman" w:hAnsi="Times New Roman"/>
                <w:szCs w:val="24"/>
              </w:rPr>
              <w:lastRenderedPageBreak/>
              <w:t>W odniesieniu do terminów przedawnienia w ustawie o ochronie konkurencji i konsumentów w sprawach praktyk ograniczających konkurencję obowiązuje 5-letni termin przedawnienia, po upływie którego nie jest możliwe wszczęcie postępowania antymonopolowego przez Prezesa UOKiK. Termin ten liczony jest od:</w:t>
            </w:r>
          </w:p>
          <w:p w14:paraId="65F8E3D6" w14:textId="4888A53D" w:rsidR="00E47272" w:rsidRPr="00E47272" w:rsidRDefault="00E47272" w:rsidP="000E6A14">
            <w:pPr>
              <w:pStyle w:val="Akapitzlist"/>
              <w:numPr>
                <w:ilvl w:val="0"/>
                <w:numId w:val="9"/>
              </w:numPr>
              <w:spacing w:after="160"/>
              <w:jc w:val="both"/>
              <w:rPr>
                <w:rFonts w:ascii="Times New Roman" w:hAnsi="Times New Roman"/>
                <w:szCs w:val="24"/>
              </w:rPr>
            </w:pPr>
            <w:r w:rsidRPr="00E47272">
              <w:rPr>
                <w:rFonts w:ascii="Times New Roman" w:hAnsi="Times New Roman"/>
                <w:szCs w:val="24"/>
              </w:rPr>
              <w:t>końca roku, w którym dopuszczono się naruszenia przepisów ustawy</w:t>
            </w:r>
            <w:r w:rsidR="00AE2757">
              <w:rPr>
                <w:rFonts w:ascii="Times New Roman" w:hAnsi="Times New Roman"/>
                <w:szCs w:val="24"/>
              </w:rPr>
              <w:t>,</w:t>
            </w:r>
          </w:p>
          <w:p w14:paraId="18498700" w14:textId="55CB8910" w:rsidR="00E47272" w:rsidRPr="00E47272" w:rsidRDefault="00E47272" w:rsidP="000E6A14">
            <w:pPr>
              <w:pStyle w:val="Akapitzlist"/>
              <w:numPr>
                <w:ilvl w:val="0"/>
                <w:numId w:val="9"/>
              </w:numPr>
              <w:spacing w:after="160"/>
              <w:jc w:val="both"/>
              <w:rPr>
                <w:rFonts w:ascii="Times New Roman" w:hAnsi="Times New Roman"/>
                <w:szCs w:val="24"/>
              </w:rPr>
            </w:pPr>
            <w:r w:rsidRPr="00E47272">
              <w:rPr>
                <w:rFonts w:ascii="Times New Roman" w:hAnsi="Times New Roman"/>
                <w:szCs w:val="24"/>
              </w:rPr>
              <w:t>końca roku, w którym uprawomocniła się decyzja o nałożeniu kary pieniężnej (termin na wyegzekwowanie kary pieniężnej nałożonej w drodze decyzji),</w:t>
            </w:r>
          </w:p>
          <w:p w14:paraId="57CCC0F2" w14:textId="66294970" w:rsidR="00E47272" w:rsidRPr="00E47272" w:rsidRDefault="00E47272" w:rsidP="000E6A14">
            <w:pPr>
              <w:pStyle w:val="Akapitzlist"/>
              <w:numPr>
                <w:ilvl w:val="0"/>
                <w:numId w:val="9"/>
              </w:numPr>
              <w:ind w:left="714" w:hanging="357"/>
              <w:jc w:val="both"/>
              <w:rPr>
                <w:rFonts w:ascii="Times New Roman" w:hAnsi="Times New Roman"/>
                <w:szCs w:val="24"/>
              </w:rPr>
            </w:pPr>
            <w:r w:rsidRPr="00E47272">
              <w:rPr>
                <w:rFonts w:ascii="Times New Roman" w:hAnsi="Times New Roman"/>
                <w:szCs w:val="24"/>
              </w:rPr>
              <w:t>końca roku, w którym zaprzestano stosowania praktyk ograniczających konkurencję</w:t>
            </w:r>
            <w:r w:rsidR="00AE2757">
              <w:rPr>
                <w:rFonts w:ascii="Times New Roman" w:hAnsi="Times New Roman"/>
                <w:szCs w:val="24"/>
              </w:rPr>
              <w:t>.</w:t>
            </w:r>
          </w:p>
          <w:p w14:paraId="37952DBE" w14:textId="700535CC" w:rsidR="00937BC8" w:rsidRDefault="00E47272" w:rsidP="00937BC8">
            <w:pPr>
              <w:ind w:firstLine="771"/>
              <w:jc w:val="both"/>
              <w:rPr>
                <w:rFonts w:ascii="Times New Roman" w:hAnsi="Times New Roman"/>
                <w:szCs w:val="24"/>
              </w:rPr>
            </w:pPr>
            <w:r w:rsidRPr="00E47272">
              <w:rPr>
                <w:rFonts w:ascii="Times New Roman" w:hAnsi="Times New Roman"/>
                <w:szCs w:val="24"/>
              </w:rPr>
              <w:t xml:space="preserve">Ww. regulacje nie wprowadzają wprost terminów przedawnienia nakładania kar pieniężnych, jednakże brak możliwości wszczęcia postępowania z powodu upływu </w:t>
            </w:r>
            <w:r w:rsidR="006C55E8">
              <w:rPr>
                <w:rFonts w:ascii="Times New Roman" w:hAnsi="Times New Roman"/>
                <w:szCs w:val="24"/>
              </w:rPr>
              <w:t xml:space="preserve">określonych </w:t>
            </w:r>
            <w:r w:rsidRPr="00E47272">
              <w:rPr>
                <w:rFonts w:ascii="Times New Roman" w:hAnsi="Times New Roman"/>
                <w:szCs w:val="24"/>
              </w:rPr>
              <w:t>terminów</w:t>
            </w:r>
            <w:r w:rsidR="009F52E3">
              <w:rPr>
                <w:rFonts w:ascii="Times New Roman" w:hAnsi="Times New Roman"/>
                <w:szCs w:val="24"/>
              </w:rPr>
              <w:t xml:space="preserve"> </w:t>
            </w:r>
            <w:r w:rsidRPr="00E47272">
              <w:rPr>
                <w:rFonts w:ascii="Times New Roman" w:hAnsi="Times New Roman"/>
                <w:szCs w:val="24"/>
              </w:rPr>
              <w:t xml:space="preserve">będzie skutkować brakiem możliwości nałożenia kar pieniężnych. W tym zakresie zatem </w:t>
            </w:r>
            <w:proofErr w:type="spellStart"/>
            <w:r w:rsidR="009F52E3">
              <w:rPr>
                <w:rFonts w:ascii="Times New Roman" w:hAnsi="Times New Roman"/>
                <w:szCs w:val="24"/>
              </w:rPr>
              <w:t>u.o.k.k</w:t>
            </w:r>
            <w:proofErr w:type="spellEnd"/>
            <w:r w:rsidR="009F52E3">
              <w:rPr>
                <w:rFonts w:ascii="Times New Roman" w:hAnsi="Times New Roman"/>
                <w:szCs w:val="24"/>
              </w:rPr>
              <w:t xml:space="preserve">. </w:t>
            </w:r>
            <w:r w:rsidRPr="00E47272">
              <w:rPr>
                <w:rFonts w:ascii="Times New Roman" w:hAnsi="Times New Roman"/>
                <w:szCs w:val="24"/>
              </w:rPr>
              <w:t xml:space="preserve">należy uznać za przepisy określające termin przedawnienia </w:t>
            </w:r>
            <w:r w:rsidR="003E52CE">
              <w:rPr>
                <w:rFonts w:ascii="Times New Roman" w:hAnsi="Times New Roman"/>
                <w:szCs w:val="24"/>
              </w:rPr>
              <w:br/>
            </w:r>
            <w:r w:rsidRPr="00E47272">
              <w:rPr>
                <w:rFonts w:ascii="Times New Roman" w:hAnsi="Times New Roman"/>
                <w:szCs w:val="24"/>
              </w:rPr>
              <w:t xml:space="preserve">w przypadku nałożenia kary pieniężnej w rozumieniu </w:t>
            </w:r>
            <w:r w:rsidR="000576F2">
              <w:rPr>
                <w:rFonts w:ascii="Times New Roman" w:hAnsi="Times New Roman"/>
                <w:szCs w:val="24"/>
              </w:rPr>
              <w:t>D</w:t>
            </w:r>
            <w:r w:rsidRPr="00E47272">
              <w:rPr>
                <w:rFonts w:ascii="Times New Roman" w:hAnsi="Times New Roman"/>
                <w:szCs w:val="24"/>
              </w:rPr>
              <w:t xml:space="preserve">yrektywy. </w:t>
            </w:r>
          </w:p>
          <w:p w14:paraId="30D8E6B6" w14:textId="50726122" w:rsidR="00332295" w:rsidRDefault="00E47272" w:rsidP="00937BC8">
            <w:pPr>
              <w:ind w:firstLine="771"/>
              <w:jc w:val="both"/>
              <w:rPr>
                <w:rFonts w:ascii="Times New Roman" w:hAnsi="Times New Roman"/>
                <w:szCs w:val="24"/>
              </w:rPr>
            </w:pPr>
            <w:r w:rsidRPr="00E47272">
              <w:rPr>
                <w:rFonts w:ascii="Times New Roman" w:hAnsi="Times New Roman"/>
                <w:szCs w:val="24"/>
              </w:rPr>
              <w:t xml:space="preserve">Z kolei </w:t>
            </w:r>
            <w:r w:rsidR="00E347B2">
              <w:rPr>
                <w:rFonts w:ascii="Times New Roman" w:hAnsi="Times New Roman"/>
                <w:szCs w:val="24"/>
              </w:rPr>
              <w:t xml:space="preserve">wskazany w </w:t>
            </w:r>
            <w:proofErr w:type="spellStart"/>
            <w:r w:rsidR="00E347B2">
              <w:rPr>
                <w:rFonts w:ascii="Times New Roman" w:hAnsi="Times New Roman"/>
                <w:szCs w:val="24"/>
              </w:rPr>
              <w:t>u.o.k.k</w:t>
            </w:r>
            <w:proofErr w:type="spellEnd"/>
            <w:r w:rsidR="00E347B2">
              <w:rPr>
                <w:rFonts w:ascii="Times New Roman" w:hAnsi="Times New Roman"/>
                <w:szCs w:val="24"/>
              </w:rPr>
              <w:t>.</w:t>
            </w:r>
            <w:r w:rsidR="00F46ABC">
              <w:rPr>
                <w:rFonts w:ascii="Times New Roman" w:hAnsi="Times New Roman"/>
                <w:szCs w:val="24"/>
              </w:rPr>
              <w:t xml:space="preserve"> termin, zgodnie z którym nie wszczyna się postępowania, jeżeli upłynęło </w:t>
            </w:r>
            <w:r w:rsidR="00332295">
              <w:rPr>
                <w:rFonts w:ascii="Times New Roman" w:hAnsi="Times New Roman"/>
                <w:szCs w:val="24"/>
              </w:rPr>
              <w:t xml:space="preserve">5 lat od końca roku, </w:t>
            </w:r>
            <w:r w:rsidR="00E347B2">
              <w:rPr>
                <w:rFonts w:ascii="Times New Roman" w:hAnsi="Times New Roman"/>
                <w:szCs w:val="24"/>
              </w:rPr>
              <w:t>w którym:</w:t>
            </w:r>
          </w:p>
          <w:p w14:paraId="3B792ED1" w14:textId="4F052C15" w:rsidR="00E347B2" w:rsidRDefault="00332295" w:rsidP="00332295">
            <w:pPr>
              <w:jc w:val="both"/>
              <w:rPr>
                <w:rFonts w:ascii="Times New Roman" w:hAnsi="Times New Roman"/>
                <w:szCs w:val="24"/>
              </w:rPr>
            </w:pPr>
            <w:r>
              <w:rPr>
                <w:rFonts w:ascii="Times New Roman" w:hAnsi="Times New Roman"/>
                <w:szCs w:val="24"/>
              </w:rPr>
              <w:t xml:space="preserve">- </w:t>
            </w:r>
            <w:r w:rsidRPr="00332295">
              <w:rPr>
                <w:rFonts w:ascii="Times New Roman" w:hAnsi="Times New Roman"/>
                <w:szCs w:val="24"/>
              </w:rPr>
              <w:t>dopuszczono się naruszenia przepisów ustawy</w:t>
            </w:r>
            <w:r w:rsidR="00E347B2">
              <w:rPr>
                <w:rFonts w:ascii="Times New Roman" w:hAnsi="Times New Roman"/>
                <w:szCs w:val="24"/>
              </w:rPr>
              <w:t xml:space="preserve">, </w:t>
            </w:r>
          </w:p>
          <w:p w14:paraId="33E94D6C" w14:textId="7EE12CF2" w:rsidR="00E347B2" w:rsidRDefault="00F46ABC" w:rsidP="00332295">
            <w:pPr>
              <w:jc w:val="both"/>
              <w:rPr>
                <w:rFonts w:ascii="Times New Roman" w:hAnsi="Times New Roman"/>
                <w:szCs w:val="24"/>
              </w:rPr>
            </w:pPr>
            <w:r>
              <w:rPr>
                <w:rFonts w:ascii="Times New Roman" w:hAnsi="Times New Roman"/>
                <w:szCs w:val="24"/>
              </w:rPr>
              <w:t xml:space="preserve">- </w:t>
            </w:r>
            <w:r w:rsidR="00332295" w:rsidRPr="00332295">
              <w:rPr>
                <w:rFonts w:ascii="Times New Roman" w:hAnsi="Times New Roman"/>
                <w:szCs w:val="24"/>
              </w:rPr>
              <w:t>uprawomocniła się decyzja o nałożeniu kary pieniężnej</w:t>
            </w:r>
            <w:r w:rsidR="00E347B2">
              <w:rPr>
                <w:rFonts w:ascii="Times New Roman" w:hAnsi="Times New Roman"/>
                <w:szCs w:val="24"/>
              </w:rPr>
              <w:t>,</w:t>
            </w:r>
          </w:p>
          <w:p w14:paraId="2D4FB34C" w14:textId="4DD9EF7B" w:rsidR="00E47272" w:rsidRDefault="005F2050" w:rsidP="00332295">
            <w:pPr>
              <w:jc w:val="both"/>
              <w:rPr>
                <w:rFonts w:ascii="Times New Roman" w:hAnsi="Times New Roman"/>
                <w:szCs w:val="24"/>
              </w:rPr>
            </w:pPr>
            <w:r>
              <w:rPr>
                <w:rFonts w:ascii="Times New Roman" w:hAnsi="Times New Roman"/>
                <w:szCs w:val="24"/>
              </w:rPr>
              <w:t xml:space="preserve">nie </w:t>
            </w:r>
            <w:r w:rsidR="00E47272" w:rsidRPr="00E47272">
              <w:rPr>
                <w:rFonts w:ascii="Times New Roman" w:hAnsi="Times New Roman"/>
                <w:szCs w:val="24"/>
              </w:rPr>
              <w:t xml:space="preserve">jest terminem przedawnienia dla nałożenia kar zgodnie z brzmieniem przepisu </w:t>
            </w:r>
            <w:r w:rsidR="00937BC8">
              <w:rPr>
                <w:rFonts w:ascii="Times New Roman" w:hAnsi="Times New Roman"/>
                <w:szCs w:val="24"/>
              </w:rPr>
              <w:t>D</w:t>
            </w:r>
            <w:r w:rsidR="00E47272" w:rsidRPr="00E47272">
              <w:rPr>
                <w:rFonts w:ascii="Times New Roman" w:hAnsi="Times New Roman"/>
                <w:szCs w:val="24"/>
              </w:rPr>
              <w:t>yrektywy, gdyż dotyczy on możliwości wyegzekwowania kary nałożonej w drodze decyzji, która uzyskała walor prawomocności.</w:t>
            </w:r>
          </w:p>
          <w:p w14:paraId="3CC523B1" w14:textId="0DF70A12" w:rsidR="00AF0CA8" w:rsidRPr="00AF0CA8" w:rsidRDefault="00AF0CA8" w:rsidP="00AF0CA8">
            <w:pPr>
              <w:ind w:firstLine="771"/>
              <w:jc w:val="both"/>
              <w:rPr>
                <w:rFonts w:ascii="Times New Roman" w:hAnsi="Times New Roman"/>
              </w:rPr>
            </w:pPr>
            <w:r>
              <w:rPr>
                <w:rFonts w:ascii="Times New Roman" w:hAnsi="Times New Roman"/>
              </w:rPr>
              <w:t xml:space="preserve">Przepisy </w:t>
            </w:r>
            <w:r w:rsidRPr="005755C3">
              <w:rPr>
                <w:rFonts w:ascii="Times New Roman" w:hAnsi="Times New Roman"/>
              </w:rPr>
              <w:t>Dyrektywy, z któr</w:t>
            </w:r>
            <w:r>
              <w:rPr>
                <w:rFonts w:ascii="Times New Roman" w:hAnsi="Times New Roman"/>
              </w:rPr>
              <w:t>ych</w:t>
            </w:r>
            <w:r w:rsidRPr="005755C3">
              <w:rPr>
                <w:rFonts w:ascii="Times New Roman" w:hAnsi="Times New Roman"/>
              </w:rPr>
              <w:t xml:space="preserve"> wynika nakaz zawieszania lub przerywania biegu przedawnienia dla nałożenia kary pieniężnej na okres, w którym decyzja jest przedmiotem postępowania przed sądem odwoławczym nie będzie wymagać wdrożenia do polskiego porządku prawnego. Na etapie rozpatrywania sprawy przez sąd nie będą mieć zastosowania przepisy określające terminy na wszczęcie lub przeprowadzenie postępowani</w:t>
            </w:r>
            <w:r w:rsidR="00652D68">
              <w:rPr>
                <w:rFonts w:ascii="Times New Roman" w:hAnsi="Times New Roman"/>
              </w:rPr>
              <w:t xml:space="preserve">a. </w:t>
            </w:r>
            <w:r w:rsidRPr="005755C3">
              <w:rPr>
                <w:rFonts w:ascii="Times New Roman" w:hAnsi="Times New Roman"/>
              </w:rPr>
              <w:t xml:space="preserve">Ponadto należy zwrócić uwagę na </w:t>
            </w:r>
            <w:r w:rsidR="00B03259">
              <w:rPr>
                <w:rFonts w:ascii="Times New Roman" w:hAnsi="Times New Roman"/>
              </w:rPr>
              <w:t>rozwiązania przewidziane w KPA</w:t>
            </w:r>
            <w:r w:rsidRPr="005755C3">
              <w:rPr>
                <w:rFonts w:ascii="Times New Roman" w:hAnsi="Times New Roman"/>
              </w:rPr>
              <w:t>, który stanowi, iż bieg terminu przedawnienia nałożenia administracyjnej kary pieniężnej nie rozpoczyna się, a rozpoczęty ulega zawieszeniu z dniem wniesienia środka zaskarżenia od decyzji w przedmiocie administracyjnej kary pieniężnej do sądu administracyjnego albo sądu powszechnego, albo skargi kasacyjnej od prawomocnego orzeczenia w przedmiocie administracyjnej kary pieniężnej.</w:t>
            </w:r>
          </w:p>
          <w:p w14:paraId="7ACAFA2C" w14:textId="2FEA48B0" w:rsidR="00D14953" w:rsidRPr="00971855" w:rsidRDefault="00D14953" w:rsidP="000E6A14">
            <w:pPr>
              <w:pStyle w:val="mcntmsonormal1"/>
              <w:numPr>
                <w:ilvl w:val="0"/>
                <w:numId w:val="2"/>
              </w:numPr>
              <w:spacing w:before="120" w:after="120" w:line="276" w:lineRule="auto"/>
              <w:ind w:left="714" w:hanging="357"/>
              <w:rPr>
                <w:b/>
              </w:rPr>
            </w:pPr>
            <w:r w:rsidRPr="005F2050">
              <w:rPr>
                <w:b/>
                <w:sz w:val="22"/>
                <w:szCs w:val="22"/>
                <w:lang w:eastAsia="en-US"/>
              </w:rPr>
              <w:t>Program łagodzenia kar (</w:t>
            </w:r>
            <w:proofErr w:type="spellStart"/>
            <w:r w:rsidRPr="005F2050">
              <w:rPr>
                <w:b/>
                <w:i/>
                <w:sz w:val="22"/>
                <w:szCs w:val="22"/>
                <w:lang w:eastAsia="en-US"/>
              </w:rPr>
              <w:t>leniency</w:t>
            </w:r>
            <w:proofErr w:type="spellEnd"/>
            <w:r w:rsidRPr="005F2050">
              <w:rPr>
                <w:b/>
                <w:sz w:val="22"/>
                <w:szCs w:val="22"/>
                <w:lang w:eastAsia="en-US"/>
              </w:rPr>
              <w:t xml:space="preserve">) </w:t>
            </w:r>
          </w:p>
          <w:p w14:paraId="49F34C59" w14:textId="5DCC323D" w:rsidR="00971855" w:rsidRDefault="00C9172A" w:rsidP="00D0415C">
            <w:pPr>
              <w:pStyle w:val="mcntmsonormal1"/>
              <w:spacing w:line="276" w:lineRule="auto"/>
              <w:ind w:firstLine="771"/>
              <w:jc w:val="both"/>
              <w:rPr>
                <w:sz w:val="22"/>
              </w:rPr>
            </w:pPr>
            <w:r w:rsidRPr="00C9172A">
              <w:rPr>
                <w:sz w:val="22"/>
              </w:rPr>
              <w:t>Dyrektywa przewiduje pełną harmonizację w zakresie przepisów dotyczących odstąpienia od wymierzenia kary pieniężnej lub jej obniżenia w sprawach porozumień ograniczających konkurencję.</w:t>
            </w:r>
          </w:p>
          <w:p w14:paraId="7DB02A2B" w14:textId="78BA196A" w:rsidR="00D0415C" w:rsidRDefault="00D0415C" w:rsidP="00D64A73">
            <w:pPr>
              <w:pStyle w:val="mcntmsonormal1"/>
              <w:spacing w:line="276" w:lineRule="auto"/>
              <w:ind w:firstLine="771"/>
              <w:jc w:val="both"/>
              <w:rPr>
                <w:sz w:val="22"/>
              </w:rPr>
            </w:pPr>
            <w:r w:rsidRPr="00D0415C">
              <w:rPr>
                <w:sz w:val="22"/>
              </w:rPr>
              <w:t>Dla zapewnienia skuteczności działania programów łagodzenia kar w ramach Unii Europejskiej, w celu zachęcenia potencjalnych wnioskodawców do informowania organów ochrony konkurencji o tajnych niedozwolonych porozumieniach ograniczających konkurencję</w:t>
            </w:r>
            <w:r w:rsidR="001750F8">
              <w:rPr>
                <w:sz w:val="22"/>
              </w:rPr>
              <w:t>,</w:t>
            </w:r>
            <w:r w:rsidRPr="00D0415C">
              <w:rPr>
                <w:sz w:val="22"/>
              </w:rPr>
              <w:t xml:space="preserve"> konieczne jest wyeliminowanie rozbieżności pomiędzy poszczególnymi krajowymi programami łagodzenia kar, szczególnie w zakresie progów dowodowych oraz warunków, od spełnienia których uzależnione jest uzyskanie przez wnioskodawcę zwolnienia od kary lub jej obniżenia. Obecne różnice w krajowych systemach </w:t>
            </w:r>
            <w:proofErr w:type="spellStart"/>
            <w:r w:rsidRPr="001750F8">
              <w:rPr>
                <w:i/>
                <w:sz w:val="22"/>
              </w:rPr>
              <w:t>leniency</w:t>
            </w:r>
            <w:proofErr w:type="spellEnd"/>
            <w:r w:rsidRPr="00D0415C">
              <w:rPr>
                <w:sz w:val="22"/>
              </w:rPr>
              <w:t xml:space="preserve"> negatywnie </w:t>
            </w:r>
            <w:r w:rsidR="001750F8" w:rsidRPr="00D0415C">
              <w:rPr>
                <w:sz w:val="22"/>
              </w:rPr>
              <w:t>oddziaływają</w:t>
            </w:r>
            <w:r w:rsidRPr="00D0415C">
              <w:rPr>
                <w:sz w:val="22"/>
              </w:rPr>
              <w:t xml:space="preserve"> na pewność prawną przedsiębiorców, zniechęcając ich do składania wniosków </w:t>
            </w:r>
            <w:proofErr w:type="spellStart"/>
            <w:r w:rsidRPr="001750F8">
              <w:rPr>
                <w:i/>
                <w:sz w:val="22"/>
              </w:rPr>
              <w:t>leniency</w:t>
            </w:r>
            <w:proofErr w:type="spellEnd"/>
            <w:r w:rsidRPr="00D0415C">
              <w:rPr>
                <w:sz w:val="22"/>
              </w:rPr>
              <w:t xml:space="preserve">, zwłaszcza w odniesieniu do tzw. karteli </w:t>
            </w:r>
            <w:r w:rsidR="001750F8" w:rsidRPr="00D0415C">
              <w:rPr>
                <w:sz w:val="22"/>
              </w:rPr>
              <w:t>transgranicznych</w:t>
            </w:r>
            <w:r w:rsidRPr="00D0415C">
              <w:rPr>
                <w:sz w:val="22"/>
              </w:rPr>
              <w:t xml:space="preserve">, tzn. obejmujących swoim zasięgiem więcej niż jedno państwo. </w:t>
            </w:r>
          </w:p>
          <w:p w14:paraId="0FFC1E86" w14:textId="3511F896" w:rsidR="00A9531D" w:rsidRDefault="00A9531D" w:rsidP="00D3516D">
            <w:pPr>
              <w:ind w:firstLine="771"/>
              <w:jc w:val="both"/>
              <w:rPr>
                <w:rFonts w:ascii="Times New Roman" w:hAnsi="Times New Roman"/>
                <w:szCs w:val="24"/>
              </w:rPr>
            </w:pPr>
            <w:r w:rsidRPr="002B22C2">
              <w:rPr>
                <w:rFonts w:ascii="Times New Roman" w:hAnsi="Times New Roman"/>
                <w:szCs w:val="24"/>
              </w:rPr>
              <w:t xml:space="preserve">Harmonizacja programów </w:t>
            </w:r>
            <w:proofErr w:type="spellStart"/>
            <w:r w:rsidRPr="00EA68D2">
              <w:rPr>
                <w:rFonts w:ascii="Times New Roman" w:hAnsi="Times New Roman"/>
                <w:i/>
                <w:szCs w:val="24"/>
              </w:rPr>
              <w:t>leniency</w:t>
            </w:r>
            <w:proofErr w:type="spellEnd"/>
            <w:r>
              <w:rPr>
                <w:rFonts w:ascii="Times New Roman" w:hAnsi="Times New Roman"/>
                <w:i/>
                <w:szCs w:val="24"/>
              </w:rPr>
              <w:t>,</w:t>
            </w:r>
            <w:r w:rsidRPr="002B22C2">
              <w:rPr>
                <w:rFonts w:ascii="Times New Roman" w:hAnsi="Times New Roman"/>
                <w:szCs w:val="24"/>
              </w:rPr>
              <w:t xml:space="preserve"> przewidziana</w:t>
            </w:r>
            <w:r>
              <w:rPr>
                <w:rFonts w:ascii="Times New Roman" w:hAnsi="Times New Roman"/>
                <w:szCs w:val="24"/>
              </w:rPr>
              <w:t xml:space="preserve"> w </w:t>
            </w:r>
            <w:r w:rsidRPr="002B22C2">
              <w:rPr>
                <w:rFonts w:ascii="Times New Roman" w:hAnsi="Times New Roman"/>
                <w:szCs w:val="24"/>
              </w:rPr>
              <w:t>Dyrektyw</w:t>
            </w:r>
            <w:r>
              <w:rPr>
                <w:rFonts w:ascii="Times New Roman" w:hAnsi="Times New Roman"/>
                <w:szCs w:val="24"/>
              </w:rPr>
              <w:t>ie,</w:t>
            </w:r>
            <w:r w:rsidRPr="002B22C2">
              <w:rPr>
                <w:rFonts w:ascii="Times New Roman" w:hAnsi="Times New Roman"/>
                <w:szCs w:val="24"/>
              </w:rPr>
              <w:t xml:space="preserve"> obejmuje ochronę przed karami przedsiębiorców występujących do organów ochrony konkurencji z informacjami na temat tajnych karteli. Należy jednak zauważyć, że znaczna część państw członkowskich UE (w tym Polska) w swoich krajowych systemach prawnych przewiduje możliwość nałożenia sankcji na osoby fizyczne, przede wszystkim na osoby pełniące funkcje kierownicze u danego przedsiębiorcy, za ich działania lub zaniechania, których skutkiem był udział tego przedsiębiorcy w niedozwolonym porozumieniu ograniczającym konkurencję. </w:t>
            </w:r>
          </w:p>
          <w:p w14:paraId="0D7A6A3D" w14:textId="7ABC90FE" w:rsidR="00326594" w:rsidRDefault="00326594" w:rsidP="00D3516D">
            <w:pPr>
              <w:ind w:firstLine="771"/>
              <w:jc w:val="both"/>
              <w:rPr>
                <w:rFonts w:ascii="Times New Roman" w:hAnsi="Times New Roman"/>
                <w:szCs w:val="24"/>
              </w:rPr>
            </w:pPr>
            <w:r>
              <w:rPr>
                <w:rFonts w:ascii="Times New Roman" w:hAnsi="Times New Roman"/>
                <w:szCs w:val="24"/>
              </w:rPr>
              <w:t xml:space="preserve">Poniższe zestawienie obrazuje wpływ wniosków </w:t>
            </w:r>
            <w:proofErr w:type="spellStart"/>
            <w:r w:rsidRPr="00BE3F10">
              <w:rPr>
                <w:rFonts w:ascii="Times New Roman" w:hAnsi="Times New Roman"/>
                <w:i/>
                <w:szCs w:val="24"/>
              </w:rPr>
              <w:t>leniency</w:t>
            </w:r>
            <w:proofErr w:type="spellEnd"/>
            <w:r>
              <w:rPr>
                <w:rFonts w:ascii="Times New Roman" w:hAnsi="Times New Roman"/>
                <w:szCs w:val="24"/>
              </w:rPr>
              <w:t xml:space="preserve"> do UOKiK w latach 2014-2019:</w:t>
            </w:r>
          </w:p>
          <w:p w14:paraId="697DD4A5" w14:textId="77777777" w:rsidR="00D4138D" w:rsidRDefault="00D4138D" w:rsidP="00D3516D">
            <w:pPr>
              <w:ind w:firstLine="771"/>
              <w:jc w:val="both"/>
              <w:rPr>
                <w:rFonts w:ascii="Times New Roman" w:hAnsi="Times New Roman"/>
                <w:szCs w:val="24"/>
              </w:rPr>
            </w:pPr>
          </w:p>
          <w:tbl>
            <w:tblPr>
              <w:tblStyle w:val="Tabela-Siatka"/>
              <w:tblW w:w="0" w:type="auto"/>
              <w:jc w:val="center"/>
              <w:tblLayout w:type="fixed"/>
              <w:tblLook w:val="04A0" w:firstRow="1" w:lastRow="0" w:firstColumn="1" w:lastColumn="0" w:noHBand="0" w:noVBand="1"/>
            </w:tblPr>
            <w:tblGrid>
              <w:gridCol w:w="3325"/>
              <w:gridCol w:w="816"/>
              <w:gridCol w:w="851"/>
              <w:gridCol w:w="850"/>
              <w:gridCol w:w="851"/>
              <w:gridCol w:w="850"/>
              <w:gridCol w:w="851"/>
            </w:tblGrid>
            <w:tr w:rsidR="009A7997" w14:paraId="633E377F" w14:textId="77777777" w:rsidTr="00F37DA6">
              <w:trPr>
                <w:jc w:val="center"/>
              </w:trPr>
              <w:tc>
                <w:tcPr>
                  <w:tcW w:w="3325" w:type="dxa"/>
                  <w:vMerge w:val="restart"/>
                  <w:vAlign w:val="center"/>
                </w:tcPr>
                <w:p w14:paraId="3AC275C5" w14:textId="0D152E4C" w:rsidR="009A7997" w:rsidRPr="00F37DA6" w:rsidRDefault="009A7997" w:rsidP="00F37DA6">
                  <w:pPr>
                    <w:jc w:val="center"/>
                    <w:rPr>
                      <w:rFonts w:ascii="Times New Roman" w:hAnsi="Times New Roman"/>
                      <w:b/>
                      <w:szCs w:val="24"/>
                    </w:rPr>
                  </w:pPr>
                  <w:r w:rsidRPr="00F37DA6">
                    <w:rPr>
                      <w:rFonts w:ascii="Times New Roman" w:hAnsi="Times New Roman"/>
                      <w:b/>
                      <w:szCs w:val="24"/>
                    </w:rPr>
                    <w:t xml:space="preserve">Wnioski </w:t>
                  </w:r>
                  <w:proofErr w:type="spellStart"/>
                  <w:r w:rsidRPr="00F37DA6">
                    <w:rPr>
                      <w:rFonts w:ascii="Times New Roman" w:hAnsi="Times New Roman"/>
                      <w:b/>
                      <w:i/>
                      <w:szCs w:val="24"/>
                    </w:rPr>
                    <w:t>leniency</w:t>
                  </w:r>
                  <w:proofErr w:type="spellEnd"/>
                </w:p>
              </w:tc>
              <w:tc>
                <w:tcPr>
                  <w:tcW w:w="816" w:type="dxa"/>
                  <w:vAlign w:val="center"/>
                </w:tcPr>
                <w:p w14:paraId="512CE2E1" w14:textId="3A6937F8" w:rsidR="009A7997" w:rsidRPr="00F37DA6" w:rsidRDefault="009A7997" w:rsidP="00F37DA6">
                  <w:pPr>
                    <w:jc w:val="center"/>
                    <w:rPr>
                      <w:rFonts w:ascii="Times New Roman" w:hAnsi="Times New Roman"/>
                      <w:b/>
                      <w:szCs w:val="24"/>
                    </w:rPr>
                  </w:pPr>
                  <w:r w:rsidRPr="00F37DA6">
                    <w:rPr>
                      <w:rFonts w:ascii="Times New Roman" w:hAnsi="Times New Roman"/>
                      <w:b/>
                      <w:szCs w:val="24"/>
                    </w:rPr>
                    <w:t>2014</w:t>
                  </w:r>
                </w:p>
              </w:tc>
              <w:tc>
                <w:tcPr>
                  <w:tcW w:w="851" w:type="dxa"/>
                  <w:vAlign w:val="center"/>
                </w:tcPr>
                <w:p w14:paraId="4208A32F" w14:textId="102F7AC5" w:rsidR="009A7997" w:rsidRPr="00F37DA6" w:rsidRDefault="009A7997" w:rsidP="00F37DA6">
                  <w:pPr>
                    <w:jc w:val="center"/>
                    <w:rPr>
                      <w:rFonts w:ascii="Times New Roman" w:hAnsi="Times New Roman"/>
                      <w:b/>
                      <w:szCs w:val="24"/>
                    </w:rPr>
                  </w:pPr>
                  <w:r w:rsidRPr="00F37DA6">
                    <w:rPr>
                      <w:rFonts w:ascii="Times New Roman" w:hAnsi="Times New Roman"/>
                      <w:b/>
                      <w:szCs w:val="24"/>
                    </w:rPr>
                    <w:t>2015</w:t>
                  </w:r>
                </w:p>
              </w:tc>
              <w:tc>
                <w:tcPr>
                  <w:tcW w:w="850" w:type="dxa"/>
                  <w:vAlign w:val="center"/>
                </w:tcPr>
                <w:p w14:paraId="60692CEC" w14:textId="37517698" w:rsidR="009A7997" w:rsidRPr="00F37DA6" w:rsidRDefault="009A7997" w:rsidP="00F37DA6">
                  <w:pPr>
                    <w:jc w:val="center"/>
                    <w:rPr>
                      <w:rFonts w:ascii="Times New Roman" w:hAnsi="Times New Roman"/>
                      <w:b/>
                      <w:szCs w:val="24"/>
                    </w:rPr>
                  </w:pPr>
                  <w:r w:rsidRPr="00F37DA6">
                    <w:rPr>
                      <w:rFonts w:ascii="Times New Roman" w:hAnsi="Times New Roman"/>
                      <w:b/>
                      <w:szCs w:val="24"/>
                    </w:rPr>
                    <w:t>2016</w:t>
                  </w:r>
                </w:p>
              </w:tc>
              <w:tc>
                <w:tcPr>
                  <w:tcW w:w="851" w:type="dxa"/>
                  <w:vAlign w:val="center"/>
                </w:tcPr>
                <w:p w14:paraId="3DED3453" w14:textId="36B084C6" w:rsidR="009A7997" w:rsidRPr="00F37DA6" w:rsidRDefault="009A7997" w:rsidP="00F37DA6">
                  <w:pPr>
                    <w:jc w:val="center"/>
                    <w:rPr>
                      <w:rFonts w:ascii="Times New Roman" w:hAnsi="Times New Roman"/>
                      <w:b/>
                      <w:szCs w:val="24"/>
                    </w:rPr>
                  </w:pPr>
                  <w:r w:rsidRPr="00F37DA6">
                    <w:rPr>
                      <w:rFonts w:ascii="Times New Roman" w:hAnsi="Times New Roman"/>
                      <w:b/>
                      <w:szCs w:val="24"/>
                    </w:rPr>
                    <w:t>2017</w:t>
                  </w:r>
                </w:p>
              </w:tc>
              <w:tc>
                <w:tcPr>
                  <w:tcW w:w="850" w:type="dxa"/>
                  <w:vAlign w:val="center"/>
                </w:tcPr>
                <w:p w14:paraId="4FFD1EC8" w14:textId="0DA1D169" w:rsidR="009A7997" w:rsidRPr="00F37DA6" w:rsidRDefault="009A7997" w:rsidP="00F37DA6">
                  <w:pPr>
                    <w:jc w:val="center"/>
                    <w:rPr>
                      <w:rFonts w:ascii="Times New Roman" w:hAnsi="Times New Roman"/>
                      <w:b/>
                      <w:szCs w:val="24"/>
                    </w:rPr>
                  </w:pPr>
                  <w:r w:rsidRPr="00F37DA6">
                    <w:rPr>
                      <w:rFonts w:ascii="Times New Roman" w:hAnsi="Times New Roman"/>
                      <w:b/>
                      <w:szCs w:val="24"/>
                    </w:rPr>
                    <w:t>2018</w:t>
                  </w:r>
                </w:p>
              </w:tc>
              <w:tc>
                <w:tcPr>
                  <w:tcW w:w="851" w:type="dxa"/>
                  <w:vAlign w:val="center"/>
                </w:tcPr>
                <w:p w14:paraId="3C92B533" w14:textId="75ACD3B7" w:rsidR="009A7997" w:rsidRPr="00F37DA6" w:rsidRDefault="009A7997" w:rsidP="00F37DA6">
                  <w:pPr>
                    <w:jc w:val="center"/>
                    <w:rPr>
                      <w:rFonts w:ascii="Times New Roman" w:hAnsi="Times New Roman"/>
                      <w:b/>
                      <w:szCs w:val="24"/>
                    </w:rPr>
                  </w:pPr>
                  <w:r w:rsidRPr="00F37DA6">
                    <w:rPr>
                      <w:rFonts w:ascii="Times New Roman" w:hAnsi="Times New Roman"/>
                      <w:b/>
                      <w:szCs w:val="24"/>
                    </w:rPr>
                    <w:t>2019</w:t>
                  </w:r>
                </w:p>
              </w:tc>
            </w:tr>
            <w:tr w:rsidR="009A7997" w14:paraId="493BADC5" w14:textId="77777777" w:rsidTr="00D4138D">
              <w:trPr>
                <w:jc w:val="center"/>
              </w:trPr>
              <w:tc>
                <w:tcPr>
                  <w:tcW w:w="3325" w:type="dxa"/>
                  <w:vMerge/>
                </w:tcPr>
                <w:p w14:paraId="64E3F866" w14:textId="77777777" w:rsidR="009A7997" w:rsidRDefault="009A7997" w:rsidP="00D3516D">
                  <w:pPr>
                    <w:jc w:val="both"/>
                    <w:rPr>
                      <w:rFonts w:ascii="Times New Roman" w:hAnsi="Times New Roman"/>
                      <w:szCs w:val="24"/>
                    </w:rPr>
                  </w:pPr>
                </w:p>
              </w:tc>
              <w:tc>
                <w:tcPr>
                  <w:tcW w:w="816" w:type="dxa"/>
                </w:tcPr>
                <w:p w14:paraId="18BD4529" w14:textId="5E9BCC48" w:rsidR="009A7997" w:rsidRDefault="003B19B7" w:rsidP="00F37DA6">
                  <w:pPr>
                    <w:jc w:val="center"/>
                    <w:rPr>
                      <w:rFonts w:ascii="Times New Roman" w:hAnsi="Times New Roman"/>
                      <w:szCs w:val="24"/>
                    </w:rPr>
                  </w:pPr>
                  <w:r>
                    <w:rPr>
                      <w:rFonts w:ascii="Times New Roman" w:hAnsi="Times New Roman"/>
                      <w:szCs w:val="24"/>
                    </w:rPr>
                    <w:t>10</w:t>
                  </w:r>
                </w:p>
              </w:tc>
              <w:tc>
                <w:tcPr>
                  <w:tcW w:w="851" w:type="dxa"/>
                </w:tcPr>
                <w:p w14:paraId="30130326" w14:textId="342F1480" w:rsidR="009A7997" w:rsidRDefault="003B19B7" w:rsidP="00F37DA6">
                  <w:pPr>
                    <w:jc w:val="center"/>
                    <w:rPr>
                      <w:rFonts w:ascii="Times New Roman" w:hAnsi="Times New Roman"/>
                      <w:szCs w:val="24"/>
                    </w:rPr>
                  </w:pPr>
                  <w:r>
                    <w:rPr>
                      <w:rFonts w:ascii="Times New Roman" w:hAnsi="Times New Roman"/>
                      <w:szCs w:val="24"/>
                    </w:rPr>
                    <w:t>2</w:t>
                  </w:r>
                </w:p>
              </w:tc>
              <w:tc>
                <w:tcPr>
                  <w:tcW w:w="850" w:type="dxa"/>
                </w:tcPr>
                <w:p w14:paraId="646C86B2" w14:textId="3FD1176E" w:rsidR="009A7997" w:rsidRDefault="00211CE8" w:rsidP="00F37DA6">
                  <w:pPr>
                    <w:jc w:val="center"/>
                    <w:rPr>
                      <w:rFonts w:ascii="Times New Roman" w:hAnsi="Times New Roman"/>
                      <w:szCs w:val="24"/>
                    </w:rPr>
                  </w:pPr>
                  <w:r>
                    <w:rPr>
                      <w:rFonts w:ascii="Times New Roman" w:hAnsi="Times New Roman"/>
                      <w:szCs w:val="24"/>
                    </w:rPr>
                    <w:t>3</w:t>
                  </w:r>
                </w:p>
              </w:tc>
              <w:tc>
                <w:tcPr>
                  <w:tcW w:w="851" w:type="dxa"/>
                </w:tcPr>
                <w:p w14:paraId="327835DA" w14:textId="221FE14D" w:rsidR="009A7997" w:rsidRDefault="00211CE8" w:rsidP="00F37DA6">
                  <w:pPr>
                    <w:jc w:val="center"/>
                    <w:rPr>
                      <w:rFonts w:ascii="Times New Roman" w:hAnsi="Times New Roman"/>
                      <w:szCs w:val="24"/>
                    </w:rPr>
                  </w:pPr>
                  <w:r>
                    <w:rPr>
                      <w:rFonts w:ascii="Times New Roman" w:hAnsi="Times New Roman"/>
                      <w:szCs w:val="24"/>
                    </w:rPr>
                    <w:t>7</w:t>
                  </w:r>
                </w:p>
              </w:tc>
              <w:tc>
                <w:tcPr>
                  <w:tcW w:w="850" w:type="dxa"/>
                </w:tcPr>
                <w:p w14:paraId="48B6C835" w14:textId="34C96045" w:rsidR="009A7997" w:rsidRDefault="00211CE8" w:rsidP="00F37DA6">
                  <w:pPr>
                    <w:jc w:val="center"/>
                    <w:rPr>
                      <w:rFonts w:ascii="Times New Roman" w:hAnsi="Times New Roman"/>
                      <w:szCs w:val="24"/>
                    </w:rPr>
                  </w:pPr>
                  <w:r>
                    <w:rPr>
                      <w:rFonts w:ascii="Times New Roman" w:hAnsi="Times New Roman"/>
                      <w:szCs w:val="24"/>
                    </w:rPr>
                    <w:t>7</w:t>
                  </w:r>
                </w:p>
              </w:tc>
              <w:tc>
                <w:tcPr>
                  <w:tcW w:w="851" w:type="dxa"/>
                </w:tcPr>
                <w:p w14:paraId="272B7531" w14:textId="28536B6D" w:rsidR="009A7997" w:rsidRDefault="00F37DA6" w:rsidP="00F37DA6">
                  <w:pPr>
                    <w:jc w:val="center"/>
                    <w:rPr>
                      <w:rFonts w:ascii="Times New Roman" w:hAnsi="Times New Roman"/>
                      <w:szCs w:val="24"/>
                    </w:rPr>
                  </w:pPr>
                  <w:r>
                    <w:rPr>
                      <w:rFonts w:ascii="Times New Roman" w:hAnsi="Times New Roman"/>
                      <w:szCs w:val="24"/>
                    </w:rPr>
                    <w:t>7</w:t>
                  </w:r>
                </w:p>
              </w:tc>
            </w:tr>
            <w:tr w:rsidR="00D3516D" w14:paraId="2956C51D" w14:textId="77777777" w:rsidTr="00D4138D">
              <w:trPr>
                <w:jc w:val="center"/>
              </w:trPr>
              <w:tc>
                <w:tcPr>
                  <w:tcW w:w="3325" w:type="dxa"/>
                </w:tcPr>
                <w:p w14:paraId="118637A9" w14:textId="2A5160CB" w:rsidR="00D3516D" w:rsidRDefault="009A7997" w:rsidP="00D3516D">
                  <w:pPr>
                    <w:jc w:val="both"/>
                    <w:rPr>
                      <w:rFonts w:ascii="Times New Roman" w:hAnsi="Times New Roman"/>
                      <w:szCs w:val="24"/>
                    </w:rPr>
                  </w:pPr>
                  <w:r>
                    <w:rPr>
                      <w:rFonts w:ascii="Times New Roman" w:hAnsi="Times New Roman"/>
                      <w:szCs w:val="24"/>
                    </w:rPr>
                    <w:t xml:space="preserve">w tym </w:t>
                  </w:r>
                  <w:proofErr w:type="spellStart"/>
                  <w:r w:rsidRPr="009A7997">
                    <w:rPr>
                      <w:rFonts w:ascii="Times New Roman" w:hAnsi="Times New Roman"/>
                      <w:i/>
                      <w:szCs w:val="24"/>
                    </w:rPr>
                    <w:t>leniency</w:t>
                  </w:r>
                  <w:proofErr w:type="spellEnd"/>
                  <w:r>
                    <w:rPr>
                      <w:rFonts w:ascii="Times New Roman" w:hAnsi="Times New Roman"/>
                      <w:szCs w:val="24"/>
                    </w:rPr>
                    <w:t xml:space="preserve"> plus</w:t>
                  </w:r>
                </w:p>
              </w:tc>
              <w:tc>
                <w:tcPr>
                  <w:tcW w:w="816" w:type="dxa"/>
                </w:tcPr>
                <w:p w14:paraId="651200BF" w14:textId="19F8E0E4" w:rsidR="00D3516D" w:rsidRDefault="003B19B7" w:rsidP="00F37DA6">
                  <w:pPr>
                    <w:jc w:val="center"/>
                    <w:rPr>
                      <w:rFonts w:ascii="Times New Roman" w:hAnsi="Times New Roman"/>
                      <w:szCs w:val="24"/>
                    </w:rPr>
                  </w:pPr>
                  <w:r>
                    <w:rPr>
                      <w:rFonts w:ascii="Times New Roman" w:hAnsi="Times New Roman"/>
                      <w:szCs w:val="24"/>
                    </w:rPr>
                    <w:t>-</w:t>
                  </w:r>
                </w:p>
              </w:tc>
              <w:tc>
                <w:tcPr>
                  <w:tcW w:w="851" w:type="dxa"/>
                </w:tcPr>
                <w:p w14:paraId="7EB37B9F" w14:textId="7BD85288" w:rsidR="00D3516D" w:rsidRDefault="003B19B7" w:rsidP="00F37DA6">
                  <w:pPr>
                    <w:jc w:val="center"/>
                    <w:rPr>
                      <w:rFonts w:ascii="Times New Roman" w:hAnsi="Times New Roman"/>
                      <w:szCs w:val="24"/>
                    </w:rPr>
                  </w:pPr>
                  <w:r>
                    <w:rPr>
                      <w:rFonts w:ascii="Times New Roman" w:hAnsi="Times New Roman"/>
                      <w:szCs w:val="24"/>
                    </w:rPr>
                    <w:t>-</w:t>
                  </w:r>
                </w:p>
              </w:tc>
              <w:tc>
                <w:tcPr>
                  <w:tcW w:w="850" w:type="dxa"/>
                </w:tcPr>
                <w:p w14:paraId="469A739B" w14:textId="537CBD63" w:rsidR="00D3516D" w:rsidRDefault="00211CE8" w:rsidP="00F37DA6">
                  <w:pPr>
                    <w:jc w:val="center"/>
                    <w:rPr>
                      <w:rFonts w:ascii="Times New Roman" w:hAnsi="Times New Roman"/>
                      <w:szCs w:val="24"/>
                    </w:rPr>
                  </w:pPr>
                  <w:r>
                    <w:rPr>
                      <w:rFonts w:ascii="Times New Roman" w:hAnsi="Times New Roman"/>
                      <w:szCs w:val="24"/>
                    </w:rPr>
                    <w:t>1</w:t>
                  </w:r>
                </w:p>
              </w:tc>
              <w:tc>
                <w:tcPr>
                  <w:tcW w:w="851" w:type="dxa"/>
                </w:tcPr>
                <w:p w14:paraId="2E51CA11" w14:textId="3C12FF18" w:rsidR="00D3516D" w:rsidRDefault="00211CE8" w:rsidP="00F37DA6">
                  <w:pPr>
                    <w:jc w:val="center"/>
                    <w:rPr>
                      <w:rFonts w:ascii="Times New Roman" w:hAnsi="Times New Roman"/>
                      <w:szCs w:val="24"/>
                    </w:rPr>
                  </w:pPr>
                  <w:r>
                    <w:rPr>
                      <w:rFonts w:ascii="Times New Roman" w:hAnsi="Times New Roman"/>
                      <w:szCs w:val="24"/>
                    </w:rPr>
                    <w:t>0</w:t>
                  </w:r>
                </w:p>
              </w:tc>
              <w:tc>
                <w:tcPr>
                  <w:tcW w:w="850" w:type="dxa"/>
                </w:tcPr>
                <w:p w14:paraId="12C1AFF7" w14:textId="2C7F139B" w:rsidR="00D3516D" w:rsidRDefault="00211CE8" w:rsidP="00F37DA6">
                  <w:pPr>
                    <w:jc w:val="center"/>
                    <w:rPr>
                      <w:rFonts w:ascii="Times New Roman" w:hAnsi="Times New Roman"/>
                      <w:szCs w:val="24"/>
                    </w:rPr>
                  </w:pPr>
                  <w:r>
                    <w:rPr>
                      <w:rFonts w:ascii="Times New Roman" w:hAnsi="Times New Roman"/>
                      <w:szCs w:val="24"/>
                    </w:rPr>
                    <w:t>1</w:t>
                  </w:r>
                </w:p>
              </w:tc>
              <w:tc>
                <w:tcPr>
                  <w:tcW w:w="851" w:type="dxa"/>
                </w:tcPr>
                <w:p w14:paraId="2B885CA4" w14:textId="234CF1F7" w:rsidR="00D3516D" w:rsidRDefault="00F37DA6" w:rsidP="00F37DA6">
                  <w:pPr>
                    <w:jc w:val="center"/>
                    <w:rPr>
                      <w:rFonts w:ascii="Times New Roman" w:hAnsi="Times New Roman"/>
                      <w:szCs w:val="24"/>
                    </w:rPr>
                  </w:pPr>
                  <w:r>
                    <w:rPr>
                      <w:rFonts w:ascii="Times New Roman" w:hAnsi="Times New Roman"/>
                      <w:szCs w:val="24"/>
                    </w:rPr>
                    <w:t>1</w:t>
                  </w:r>
                </w:p>
              </w:tc>
            </w:tr>
          </w:tbl>
          <w:p w14:paraId="388DBB2D" w14:textId="77777777" w:rsidR="00D3516D" w:rsidRDefault="00D3516D" w:rsidP="00D3516D">
            <w:pPr>
              <w:ind w:firstLine="771"/>
              <w:jc w:val="both"/>
              <w:rPr>
                <w:rFonts w:ascii="Times New Roman" w:hAnsi="Times New Roman"/>
                <w:szCs w:val="24"/>
              </w:rPr>
            </w:pPr>
          </w:p>
          <w:p w14:paraId="562BC35C" w14:textId="166E4B63" w:rsidR="00A9531D" w:rsidRPr="002B22C2" w:rsidRDefault="00A9531D" w:rsidP="00A9531D">
            <w:pPr>
              <w:ind w:firstLine="771"/>
              <w:jc w:val="both"/>
              <w:rPr>
                <w:rFonts w:ascii="Times New Roman" w:hAnsi="Times New Roman"/>
                <w:szCs w:val="24"/>
              </w:rPr>
            </w:pPr>
            <w:r>
              <w:rPr>
                <w:rFonts w:ascii="Times New Roman" w:hAnsi="Times New Roman"/>
                <w:szCs w:val="24"/>
              </w:rPr>
              <w:t>Dyrektywa</w:t>
            </w:r>
            <w:r w:rsidRPr="002B22C2">
              <w:rPr>
                <w:rFonts w:ascii="Times New Roman" w:hAnsi="Times New Roman"/>
                <w:szCs w:val="24"/>
              </w:rPr>
              <w:t xml:space="preserve"> harmonizuje na poziomie krajowych przepisów państw członkowskich UE regulacje</w:t>
            </w:r>
            <w:r>
              <w:rPr>
                <w:rFonts w:ascii="Times New Roman" w:hAnsi="Times New Roman"/>
                <w:szCs w:val="24"/>
              </w:rPr>
              <w:t>,</w:t>
            </w:r>
            <w:r w:rsidRPr="002B22C2">
              <w:rPr>
                <w:rFonts w:ascii="Times New Roman" w:hAnsi="Times New Roman"/>
                <w:szCs w:val="24"/>
              </w:rPr>
              <w:t xml:space="preserve"> chroniące osoby fizyczne</w:t>
            </w:r>
            <w:r>
              <w:rPr>
                <w:rFonts w:ascii="Times New Roman" w:hAnsi="Times New Roman"/>
                <w:szCs w:val="24"/>
              </w:rPr>
              <w:t>,</w:t>
            </w:r>
            <w:r w:rsidRPr="002B22C2">
              <w:rPr>
                <w:rFonts w:ascii="Times New Roman" w:hAnsi="Times New Roman"/>
                <w:szCs w:val="24"/>
              </w:rPr>
              <w:t xml:space="preserve"> działające na rzecz przedsiębiorcy uczestniczącego w niedozwolonym porozumieniu ograniczającym </w:t>
            </w:r>
            <w:r w:rsidRPr="002B22C2">
              <w:rPr>
                <w:rFonts w:ascii="Times New Roman" w:hAnsi="Times New Roman"/>
                <w:szCs w:val="24"/>
              </w:rPr>
              <w:lastRenderedPageBreak/>
              <w:t>konkurencję przed sankcjami zarówno o charakterze karnym, jak i administracyjnym w przypadku, gdy przedsiębiorca złożył wniosek o zwolnienie z kar w ramach programu łagodzenia kar.</w:t>
            </w:r>
          </w:p>
          <w:p w14:paraId="590639FA" w14:textId="37EC39A4" w:rsidR="00C54DF1" w:rsidRDefault="00A9531D" w:rsidP="00A9531D">
            <w:pPr>
              <w:ind w:firstLine="771"/>
              <w:jc w:val="both"/>
              <w:rPr>
                <w:rFonts w:ascii="Times New Roman" w:hAnsi="Times New Roman"/>
                <w:szCs w:val="24"/>
              </w:rPr>
            </w:pPr>
            <w:r w:rsidRPr="002B22C2">
              <w:rPr>
                <w:rFonts w:ascii="Times New Roman" w:hAnsi="Times New Roman"/>
                <w:szCs w:val="24"/>
              </w:rPr>
              <w:t>W praktyce organu antymonopolowego horyzontalne porozumienia ograniczające konkurencję, w tym zmowy przetargowe, są tymi, które w największym stopniu wywierają negatywne skutki dla rynku, a jednocześnie praktykami najtrudniejszymi do wykrycia</w:t>
            </w:r>
            <w:r w:rsidR="00BE3F10">
              <w:rPr>
                <w:rFonts w:ascii="Times New Roman" w:hAnsi="Times New Roman"/>
                <w:szCs w:val="24"/>
              </w:rPr>
              <w:t>, co zostało wskazane w tabeli:</w:t>
            </w:r>
          </w:p>
          <w:p w14:paraId="50522606" w14:textId="77777777" w:rsidR="0023086F" w:rsidRDefault="0023086F" w:rsidP="00A9531D">
            <w:pPr>
              <w:ind w:firstLine="771"/>
              <w:jc w:val="both"/>
              <w:rPr>
                <w:rFonts w:ascii="Times New Roman" w:hAnsi="Times New Roman"/>
                <w:szCs w:val="24"/>
              </w:rPr>
            </w:pPr>
          </w:p>
          <w:tbl>
            <w:tblPr>
              <w:tblStyle w:val="Tabela-Siatka"/>
              <w:tblW w:w="0" w:type="auto"/>
              <w:jc w:val="center"/>
              <w:tblLayout w:type="fixed"/>
              <w:tblLook w:val="04A0" w:firstRow="1" w:lastRow="0" w:firstColumn="1" w:lastColumn="0" w:noHBand="0" w:noVBand="1"/>
            </w:tblPr>
            <w:tblGrid>
              <w:gridCol w:w="4459"/>
              <w:gridCol w:w="816"/>
              <w:gridCol w:w="851"/>
              <w:gridCol w:w="850"/>
              <w:gridCol w:w="851"/>
              <w:gridCol w:w="850"/>
              <w:gridCol w:w="851"/>
            </w:tblGrid>
            <w:tr w:rsidR="0023086F" w14:paraId="5E035432" w14:textId="77777777" w:rsidTr="00671570">
              <w:trPr>
                <w:jc w:val="center"/>
              </w:trPr>
              <w:tc>
                <w:tcPr>
                  <w:tcW w:w="4459" w:type="dxa"/>
                  <w:vAlign w:val="center"/>
                </w:tcPr>
                <w:p w14:paraId="4F1DD3A4" w14:textId="77777777" w:rsidR="0023086F" w:rsidRPr="006D5FA7" w:rsidRDefault="0023086F" w:rsidP="0023086F">
                  <w:pPr>
                    <w:jc w:val="both"/>
                    <w:rPr>
                      <w:rFonts w:ascii="Times New Roman" w:hAnsi="Times New Roman"/>
                      <w:b/>
                      <w:szCs w:val="24"/>
                    </w:rPr>
                  </w:pPr>
                  <w:r w:rsidRPr="006D5FA7">
                    <w:rPr>
                      <w:rFonts w:ascii="Times New Roman" w:hAnsi="Times New Roman"/>
                      <w:b/>
                      <w:szCs w:val="24"/>
                    </w:rPr>
                    <w:t>Nowe postępowania antymonopolowe w sprawach praktyk ograniczających konkurencję, w tym dotyczących:</w:t>
                  </w:r>
                </w:p>
              </w:tc>
              <w:tc>
                <w:tcPr>
                  <w:tcW w:w="816" w:type="dxa"/>
                  <w:vAlign w:val="center"/>
                </w:tcPr>
                <w:p w14:paraId="464D22BA" w14:textId="77777777" w:rsidR="0023086F" w:rsidRPr="006D5FA7" w:rsidRDefault="0023086F" w:rsidP="0023086F">
                  <w:pPr>
                    <w:jc w:val="center"/>
                    <w:rPr>
                      <w:rFonts w:ascii="Times New Roman" w:hAnsi="Times New Roman"/>
                      <w:b/>
                      <w:szCs w:val="24"/>
                    </w:rPr>
                  </w:pPr>
                  <w:r w:rsidRPr="006D5FA7">
                    <w:rPr>
                      <w:rFonts w:ascii="Times New Roman" w:hAnsi="Times New Roman"/>
                      <w:b/>
                      <w:szCs w:val="24"/>
                    </w:rPr>
                    <w:t>2014</w:t>
                  </w:r>
                </w:p>
              </w:tc>
              <w:tc>
                <w:tcPr>
                  <w:tcW w:w="851" w:type="dxa"/>
                  <w:vAlign w:val="center"/>
                </w:tcPr>
                <w:p w14:paraId="183A25D8" w14:textId="77777777" w:rsidR="0023086F" w:rsidRPr="006D5FA7" w:rsidRDefault="0023086F" w:rsidP="0023086F">
                  <w:pPr>
                    <w:jc w:val="center"/>
                    <w:rPr>
                      <w:rFonts w:ascii="Times New Roman" w:hAnsi="Times New Roman"/>
                      <w:b/>
                      <w:szCs w:val="24"/>
                    </w:rPr>
                  </w:pPr>
                  <w:r w:rsidRPr="006D5FA7">
                    <w:rPr>
                      <w:rFonts w:ascii="Times New Roman" w:hAnsi="Times New Roman"/>
                      <w:b/>
                      <w:szCs w:val="24"/>
                    </w:rPr>
                    <w:t>2015</w:t>
                  </w:r>
                </w:p>
              </w:tc>
              <w:tc>
                <w:tcPr>
                  <w:tcW w:w="850" w:type="dxa"/>
                  <w:vAlign w:val="center"/>
                </w:tcPr>
                <w:p w14:paraId="09CA9501" w14:textId="77777777" w:rsidR="0023086F" w:rsidRPr="006D5FA7" w:rsidRDefault="0023086F" w:rsidP="0023086F">
                  <w:pPr>
                    <w:jc w:val="center"/>
                    <w:rPr>
                      <w:rFonts w:ascii="Times New Roman" w:hAnsi="Times New Roman"/>
                      <w:b/>
                      <w:szCs w:val="24"/>
                    </w:rPr>
                  </w:pPr>
                  <w:r w:rsidRPr="006D5FA7">
                    <w:rPr>
                      <w:rFonts w:ascii="Times New Roman" w:hAnsi="Times New Roman"/>
                      <w:b/>
                      <w:szCs w:val="24"/>
                    </w:rPr>
                    <w:t>2016</w:t>
                  </w:r>
                </w:p>
              </w:tc>
              <w:tc>
                <w:tcPr>
                  <w:tcW w:w="851" w:type="dxa"/>
                  <w:vAlign w:val="center"/>
                </w:tcPr>
                <w:p w14:paraId="3BC3106B" w14:textId="77777777" w:rsidR="0023086F" w:rsidRPr="006D5FA7" w:rsidRDefault="0023086F" w:rsidP="0023086F">
                  <w:pPr>
                    <w:jc w:val="center"/>
                    <w:rPr>
                      <w:rFonts w:ascii="Times New Roman" w:hAnsi="Times New Roman"/>
                      <w:b/>
                      <w:szCs w:val="24"/>
                    </w:rPr>
                  </w:pPr>
                  <w:r w:rsidRPr="006D5FA7">
                    <w:rPr>
                      <w:rFonts w:ascii="Times New Roman" w:hAnsi="Times New Roman"/>
                      <w:b/>
                      <w:szCs w:val="24"/>
                    </w:rPr>
                    <w:t>2017</w:t>
                  </w:r>
                </w:p>
              </w:tc>
              <w:tc>
                <w:tcPr>
                  <w:tcW w:w="850" w:type="dxa"/>
                  <w:vAlign w:val="center"/>
                </w:tcPr>
                <w:p w14:paraId="4559B688" w14:textId="77777777" w:rsidR="0023086F" w:rsidRPr="006D5FA7" w:rsidRDefault="0023086F" w:rsidP="0023086F">
                  <w:pPr>
                    <w:jc w:val="center"/>
                    <w:rPr>
                      <w:rFonts w:ascii="Times New Roman" w:hAnsi="Times New Roman"/>
                      <w:b/>
                      <w:szCs w:val="24"/>
                    </w:rPr>
                  </w:pPr>
                  <w:r w:rsidRPr="006D5FA7">
                    <w:rPr>
                      <w:rFonts w:ascii="Times New Roman" w:hAnsi="Times New Roman"/>
                      <w:b/>
                      <w:szCs w:val="24"/>
                    </w:rPr>
                    <w:t>2018</w:t>
                  </w:r>
                </w:p>
              </w:tc>
              <w:tc>
                <w:tcPr>
                  <w:tcW w:w="851" w:type="dxa"/>
                  <w:vAlign w:val="center"/>
                </w:tcPr>
                <w:p w14:paraId="1DBC5B32" w14:textId="77777777" w:rsidR="0023086F" w:rsidRPr="006D5FA7" w:rsidRDefault="0023086F" w:rsidP="0023086F">
                  <w:pPr>
                    <w:jc w:val="center"/>
                    <w:rPr>
                      <w:rFonts w:ascii="Times New Roman" w:hAnsi="Times New Roman"/>
                      <w:b/>
                      <w:szCs w:val="24"/>
                    </w:rPr>
                  </w:pPr>
                  <w:r w:rsidRPr="006D5FA7">
                    <w:rPr>
                      <w:rFonts w:ascii="Times New Roman" w:hAnsi="Times New Roman"/>
                      <w:b/>
                      <w:szCs w:val="24"/>
                    </w:rPr>
                    <w:t>2019</w:t>
                  </w:r>
                </w:p>
              </w:tc>
            </w:tr>
            <w:tr w:rsidR="0023086F" w14:paraId="785B14CC" w14:textId="77777777" w:rsidTr="0023086F">
              <w:trPr>
                <w:jc w:val="center"/>
              </w:trPr>
              <w:tc>
                <w:tcPr>
                  <w:tcW w:w="4459" w:type="dxa"/>
                </w:tcPr>
                <w:p w14:paraId="40C1E37F" w14:textId="77777777" w:rsidR="0023086F" w:rsidRDefault="0023086F" w:rsidP="0023086F">
                  <w:pPr>
                    <w:jc w:val="both"/>
                    <w:rPr>
                      <w:rFonts w:ascii="Times New Roman" w:hAnsi="Times New Roman"/>
                      <w:szCs w:val="24"/>
                    </w:rPr>
                  </w:pPr>
                  <w:r w:rsidRPr="00450F9E">
                    <w:rPr>
                      <w:rFonts w:ascii="Times New Roman" w:hAnsi="Times New Roman"/>
                      <w:szCs w:val="24"/>
                    </w:rPr>
                    <w:t>porozumień horyzontalnych</w:t>
                  </w:r>
                </w:p>
              </w:tc>
              <w:tc>
                <w:tcPr>
                  <w:tcW w:w="816" w:type="dxa"/>
                  <w:vAlign w:val="center"/>
                </w:tcPr>
                <w:p w14:paraId="6941571A" w14:textId="5618EBEE" w:rsidR="0023086F" w:rsidRDefault="00BB7703" w:rsidP="007E1CB3">
                  <w:pPr>
                    <w:jc w:val="center"/>
                    <w:rPr>
                      <w:rFonts w:ascii="Times New Roman" w:hAnsi="Times New Roman"/>
                      <w:szCs w:val="24"/>
                    </w:rPr>
                  </w:pPr>
                  <w:r>
                    <w:rPr>
                      <w:rFonts w:ascii="Times New Roman" w:hAnsi="Times New Roman"/>
                      <w:szCs w:val="24"/>
                    </w:rPr>
                    <w:t>15</w:t>
                  </w:r>
                </w:p>
              </w:tc>
              <w:tc>
                <w:tcPr>
                  <w:tcW w:w="851" w:type="dxa"/>
                  <w:vAlign w:val="center"/>
                </w:tcPr>
                <w:p w14:paraId="0AB763BB" w14:textId="04400614" w:rsidR="0023086F" w:rsidRDefault="00BB7703" w:rsidP="007E1CB3">
                  <w:pPr>
                    <w:jc w:val="center"/>
                    <w:rPr>
                      <w:rFonts w:ascii="Times New Roman" w:hAnsi="Times New Roman"/>
                      <w:szCs w:val="24"/>
                    </w:rPr>
                  </w:pPr>
                  <w:r>
                    <w:rPr>
                      <w:rFonts w:ascii="Times New Roman" w:hAnsi="Times New Roman"/>
                      <w:szCs w:val="24"/>
                    </w:rPr>
                    <w:t>11</w:t>
                  </w:r>
                </w:p>
              </w:tc>
              <w:tc>
                <w:tcPr>
                  <w:tcW w:w="850" w:type="dxa"/>
                  <w:vAlign w:val="center"/>
                </w:tcPr>
                <w:p w14:paraId="3879A3E6" w14:textId="7AB70E20" w:rsidR="0023086F" w:rsidRDefault="00BB7703" w:rsidP="007E1CB3">
                  <w:pPr>
                    <w:jc w:val="center"/>
                    <w:rPr>
                      <w:rFonts w:ascii="Times New Roman" w:hAnsi="Times New Roman"/>
                      <w:szCs w:val="24"/>
                    </w:rPr>
                  </w:pPr>
                  <w:r>
                    <w:rPr>
                      <w:rFonts w:ascii="Times New Roman" w:hAnsi="Times New Roman"/>
                      <w:szCs w:val="24"/>
                    </w:rPr>
                    <w:t>14</w:t>
                  </w:r>
                </w:p>
              </w:tc>
              <w:tc>
                <w:tcPr>
                  <w:tcW w:w="851" w:type="dxa"/>
                  <w:vAlign w:val="center"/>
                </w:tcPr>
                <w:p w14:paraId="2D91736A" w14:textId="1CC5C2D6" w:rsidR="0023086F" w:rsidRDefault="00F64EAA" w:rsidP="00F64EAA">
                  <w:pPr>
                    <w:jc w:val="center"/>
                    <w:rPr>
                      <w:rFonts w:ascii="Times New Roman" w:hAnsi="Times New Roman"/>
                      <w:szCs w:val="24"/>
                    </w:rPr>
                  </w:pPr>
                  <w:r>
                    <w:rPr>
                      <w:rFonts w:ascii="Times New Roman" w:hAnsi="Times New Roman"/>
                      <w:szCs w:val="24"/>
                    </w:rPr>
                    <w:t>3</w:t>
                  </w:r>
                </w:p>
              </w:tc>
              <w:tc>
                <w:tcPr>
                  <w:tcW w:w="850" w:type="dxa"/>
                  <w:vAlign w:val="center"/>
                </w:tcPr>
                <w:p w14:paraId="40058093" w14:textId="77777777" w:rsidR="0023086F" w:rsidRDefault="0023086F" w:rsidP="0023086F">
                  <w:pPr>
                    <w:jc w:val="center"/>
                    <w:rPr>
                      <w:rFonts w:ascii="Times New Roman" w:hAnsi="Times New Roman"/>
                      <w:szCs w:val="24"/>
                    </w:rPr>
                  </w:pPr>
                  <w:r>
                    <w:rPr>
                      <w:rFonts w:ascii="Times New Roman" w:hAnsi="Times New Roman"/>
                      <w:szCs w:val="24"/>
                    </w:rPr>
                    <w:t>9</w:t>
                  </w:r>
                </w:p>
              </w:tc>
              <w:tc>
                <w:tcPr>
                  <w:tcW w:w="851" w:type="dxa"/>
                  <w:vAlign w:val="center"/>
                </w:tcPr>
                <w:p w14:paraId="2E2263CA" w14:textId="1A7F720E" w:rsidR="0023086F" w:rsidRPr="008D4862" w:rsidRDefault="008D4862" w:rsidP="008D4862">
                  <w:pPr>
                    <w:jc w:val="center"/>
                    <w:rPr>
                      <w:rFonts w:ascii="Times New Roman" w:hAnsi="Times New Roman"/>
                      <w:szCs w:val="24"/>
                    </w:rPr>
                  </w:pPr>
                  <w:r w:rsidRPr="008D4862">
                    <w:rPr>
                      <w:rFonts w:ascii="Times New Roman" w:hAnsi="Times New Roman"/>
                      <w:szCs w:val="24"/>
                    </w:rPr>
                    <w:t>9</w:t>
                  </w:r>
                </w:p>
              </w:tc>
            </w:tr>
            <w:tr w:rsidR="0023086F" w14:paraId="47148844" w14:textId="77777777" w:rsidTr="0023086F">
              <w:trPr>
                <w:jc w:val="center"/>
              </w:trPr>
              <w:tc>
                <w:tcPr>
                  <w:tcW w:w="4459" w:type="dxa"/>
                </w:tcPr>
                <w:p w14:paraId="5939BCD6" w14:textId="77777777" w:rsidR="0023086F" w:rsidRDefault="0023086F" w:rsidP="0023086F">
                  <w:pPr>
                    <w:jc w:val="both"/>
                    <w:rPr>
                      <w:rFonts w:ascii="Times New Roman" w:hAnsi="Times New Roman"/>
                      <w:szCs w:val="24"/>
                    </w:rPr>
                  </w:pPr>
                  <w:r w:rsidRPr="00450F9E">
                    <w:rPr>
                      <w:rFonts w:ascii="Times New Roman" w:hAnsi="Times New Roman"/>
                      <w:szCs w:val="24"/>
                    </w:rPr>
                    <w:t>porozumień wertykalnych</w:t>
                  </w:r>
                </w:p>
              </w:tc>
              <w:tc>
                <w:tcPr>
                  <w:tcW w:w="816" w:type="dxa"/>
                  <w:vAlign w:val="center"/>
                </w:tcPr>
                <w:p w14:paraId="170E38C8" w14:textId="2D258B18" w:rsidR="0023086F" w:rsidRDefault="007E1CB3" w:rsidP="007E1CB3">
                  <w:pPr>
                    <w:jc w:val="center"/>
                    <w:rPr>
                      <w:rFonts w:ascii="Times New Roman" w:hAnsi="Times New Roman"/>
                      <w:szCs w:val="24"/>
                    </w:rPr>
                  </w:pPr>
                  <w:r>
                    <w:rPr>
                      <w:rFonts w:ascii="Times New Roman" w:hAnsi="Times New Roman"/>
                      <w:szCs w:val="24"/>
                    </w:rPr>
                    <w:t>3</w:t>
                  </w:r>
                </w:p>
              </w:tc>
              <w:tc>
                <w:tcPr>
                  <w:tcW w:w="851" w:type="dxa"/>
                  <w:vAlign w:val="center"/>
                </w:tcPr>
                <w:p w14:paraId="17A51EBC" w14:textId="05A885E6" w:rsidR="0023086F" w:rsidRDefault="007E1CB3" w:rsidP="007E1CB3">
                  <w:pPr>
                    <w:jc w:val="center"/>
                    <w:rPr>
                      <w:rFonts w:ascii="Times New Roman" w:hAnsi="Times New Roman"/>
                      <w:szCs w:val="24"/>
                    </w:rPr>
                  </w:pPr>
                  <w:r>
                    <w:rPr>
                      <w:rFonts w:ascii="Times New Roman" w:hAnsi="Times New Roman"/>
                      <w:szCs w:val="24"/>
                    </w:rPr>
                    <w:t>0</w:t>
                  </w:r>
                </w:p>
              </w:tc>
              <w:tc>
                <w:tcPr>
                  <w:tcW w:w="850" w:type="dxa"/>
                  <w:vAlign w:val="center"/>
                </w:tcPr>
                <w:p w14:paraId="3498D01D" w14:textId="419B80C9" w:rsidR="0023086F" w:rsidRDefault="007E1CB3" w:rsidP="007E1CB3">
                  <w:pPr>
                    <w:jc w:val="center"/>
                    <w:rPr>
                      <w:rFonts w:ascii="Times New Roman" w:hAnsi="Times New Roman"/>
                      <w:szCs w:val="24"/>
                    </w:rPr>
                  </w:pPr>
                  <w:r>
                    <w:rPr>
                      <w:rFonts w:ascii="Times New Roman" w:hAnsi="Times New Roman"/>
                      <w:szCs w:val="24"/>
                    </w:rPr>
                    <w:t>0</w:t>
                  </w:r>
                </w:p>
              </w:tc>
              <w:tc>
                <w:tcPr>
                  <w:tcW w:w="851" w:type="dxa"/>
                  <w:vAlign w:val="center"/>
                </w:tcPr>
                <w:p w14:paraId="6574BCC1" w14:textId="77DC1912" w:rsidR="0023086F" w:rsidRDefault="00F64EAA" w:rsidP="00F64EAA">
                  <w:pPr>
                    <w:jc w:val="center"/>
                    <w:rPr>
                      <w:rFonts w:ascii="Times New Roman" w:hAnsi="Times New Roman"/>
                      <w:szCs w:val="24"/>
                    </w:rPr>
                  </w:pPr>
                  <w:r>
                    <w:rPr>
                      <w:rFonts w:ascii="Times New Roman" w:hAnsi="Times New Roman"/>
                      <w:szCs w:val="24"/>
                    </w:rPr>
                    <w:t>-</w:t>
                  </w:r>
                </w:p>
              </w:tc>
              <w:tc>
                <w:tcPr>
                  <w:tcW w:w="850" w:type="dxa"/>
                  <w:vAlign w:val="center"/>
                </w:tcPr>
                <w:p w14:paraId="4A7A183F" w14:textId="77777777" w:rsidR="0023086F" w:rsidRDefault="0023086F" w:rsidP="0023086F">
                  <w:pPr>
                    <w:jc w:val="center"/>
                    <w:rPr>
                      <w:rFonts w:ascii="Times New Roman" w:hAnsi="Times New Roman"/>
                      <w:szCs w:val="24"/>
                    </w:rPr>
                  </w:pPr>
                  <w:r>
                    <w:rPr>
                      <w:rFonts w:ascii="Times New Roman" w:hAnsi="Times New Roman"/>
                      <w:szCs w:val="24"/>
                    </w:rPr>
                    <w:t>3</w:t>
                  </w:r>
                </w:p>
              </w:tc>
              <w:tc>
                <w:tcPr>
                  <w:tcW w:w="851" w:type="dxa"/>
                  <w:vAlign w:val="center"/>
                </w:tcPr>
                <w:p w14:paraId="49010473" w14:textId="26475117" w:rsidR="0023086F" w:rsidRPr="008D4862" w:rsidRDefault="008D4862" w:rsidP="008D4862">
                  <w:pPr>
                    <w:jc w:val="center"/>
                    <w:rPr>
                      <w:rFonts w:ascii="Times New Roman" w:hAnsi="Times New Roman"/>
                      <w:szCs w:val="24"/>
                    </w:rPr>
                  </w:pPr>
                  <w:r w:rsidRPr="008D4862">
                    <w:rPr>
                      <w:rFonts w:ascii="Times New Roman" w:hAnsi="Times New Roman"/>
                      <w:szCs w:val="24"/>
                    </w:rPr>
                    <w:t>4</w:t>
                  </w:r>
                </w:p>
              </w:tc>
            </w:tr>
            <w:tr w:rsidR="0023086F" w14:paraId="01DEBB57" w14:textId="77777777" w:rsidTr="0023086F">
              <w:trPr>
                <w:jc w:val="center"/>
              </w:trPr>
              <w:tc>
                <w:tcPr>
                  <w:tcW w:w="4459" w:type="dxa"/>
                </w:tcPr>
                <w:p w14:paraId="79BC8665" w14:textId="77777777" w:rsidR="0023086F" w:rsidRDefault="0023086F" w:rsidP="0023086F">
                  <w:pPr>
                    <w:jc w:val="both"/>
                    <w:rPr>
                      <w:rFonts w:ascii="Times New Roman" w:hAnsi="Times New Roman"/>
                      <w:szCs w:val="24"/>
                    </w:rPr>
                  </w:pPr>
                  <w:r w:rsidRPr="00450F9E">
                    <w:rPr>
                      <w:rFonts w:ascii="Times New Roman" w:hAnsi="Times New Roman"/>
                      <w:szCs w:val="24"/>
                    </w:rPr>
                    <w:t>nadużywania pozycji dominującej</w:t>
                  </w:r>
                </w:p>
              </w:tc>
              <w:tc>
                <w:tcPr>
                  <w:tcW w:w="816" w:type="dxa"/>
                  <w:vAlign w:val="center"/>
                </w:tcPr>
                <w:p w14:paraId="507CCDE5" w14:textId="5A98979B" w:rsidR="0023086F" w:rsidRDefault="007E1CB3" w:rsidP="007E1CB3">
                  <w:pPr>
                    <w:jc w:val="center"/>
                    <w:rPr>
                      <w:rFonts w:ascii="Times New Roman" w:hAnsi="Times New Roman"/>
                      <w:szCs w:val="24"/>
                    </w:rPr>
                  </w:pPr>
                  <w:r>
                    <w:rPr>
                      <w:rFonts w:ascii="Times New Roman" w:hAnsi="Times New Roman"/>
                      <w:szCs w:val="24"/>
                    </w:rPr>
                    <w:t>46</w:t>
                  </w:r>
                </w:p>
              </w:tc>
              <w:tc>
                <w:tcPr>
                  <w:tcW w:w="851" w:type="dxa"/>
                  <w:vAlign w:val="center"/>
                </w:tcPr>
                <w:p w14:paraId="5EF3B81C" w14:textId="5DE0309B" w:rsidR="0023086F" w:rsidRDefault="007E1CB3" w:rsidP="007E1CB3">
                  <w:pPr>
                    <w:jc w:val="center"/>
                    <w:rPr>
                      <w:rFonts w:ascii="Times New Roman" w:hAnsi="Times New Roman"/>
                      <w:szCs w:val="24"/>
                    </w:rPr>
                  </w:pPr>
                  <w:r>
                    <w:rPr>
                      <w:rFonts w:ascii="Times New Roman" w:hAnsi="Times New Roman"/>
                      <w:szCs w:val="24"/>
                    </w:rPr>
                    <w:t>23</w:t>
                  </w:r>
                </w:p>
              </w:tc>
              <w:tc>
                <w:tcPr>
                  <w:tcW w:w="850" w:type="dxa"/>
                  <w:vAlign w:val="center"/>
                </w:tcPr>
                <w:p w14:paraId="46EAF5EB" w14:textId="1455D696" w:rsidR="0023086F" w:rsidRDefault="007E1CB3" w:rsidP="007E1CB3">
                  <w:pPr>
                    <w:jc w:val="center"/>
                    <w:rPr>
                      <w:rFonts w:ascii="Times New Roman" w:hAnsi="Times New Roman"/>
                      <w:szCs w:val="24"/>
                    </w:rPr>
                  </w:pPr>
                  <w:r>
                    <w:rPr>
                      <w:rFonts w:ascii="Times New Roman" w:hAnsi="Times New Roman"/>
                      <w:szCs w:val="24"/>
                    </w:rPr>
                    <w:t>7</w:t>
                  </w:r>
                </w:p>
              </w:tc>
              <w:tc>
                <w:tcPr>
                  <w:tcW w:w="851" w:type="dxa"/>
                  <w:vAlign w:val="center"/>
                </w:tcPr>
                <w:p w14:paraId="3EE919DA" w14:textId="69D051B9" w:rsidR="0023086F" w:rsidRDefault="00F64EAA" w:rsidP="00F64EAA">
                  <w:pPr>
                    <w:jc w:val="center"/>
                    <w:rPr>
                      <w:rFonts w:ascii="Times New Roman" w:hAnsi="Times New Roman"/>
                      <w:szCs w:val="24"/>
                    </w:rPr>
                  </w:pPr>
                  <w:r>
                    <w:rPr>
                      <w:rFonts w:ascii="Times New Roman" w:hAnsi="Times New Roman"/>
                      <w:szCs w:val="24"/>
                    </w:rPr>
                    <w:t>6</w:t>
                  </w:r>
                </w:p>
              </w:tc>
              <w:tc>
                <w:tcPr>
                  <w:tcW w:w="850" w:type="dxa"/>
                  <w:vAlign w:val="center"/>
                </w:tcPr>
                <w:p w14:paraId="0F91A61A" w14:textId="77777777" w:rsidR="0023086F" w:rsidRDefault="0023086F" w:rsidP="0023086F">
                  <w:pPr>
                    <w:jc w:val="center"/>
                    <w:rPr>
                      <w:rFonts w:ascii="Times New Roman" w:hAnsi="Times New Roman"/>
                      <w:szCs w:val="24"/>
                    </w:rPr>
                  </w:pPr>
                  <w:r>
                    <w:rPr>
                      <w:rFonts w:ascii="Times New Roman" w:hAnsi="Times New Roman"/>
                      <w:szCs w:val="24"/>
                    </w:rPr>
                    <w:t>1</w:t>
                  </w:r>
                </w:p>
              </w:tc>
              <w:tc>
                <w:tcPr>
                  <w:tcW w:w="851" w:type="dxa"/>
                  <w:vAlign w:val="center"/>
                </w:tcPr>
                <w:p w14:paraId="619DE81E" w14:textId="18FE9635" w:rsidR="0023086F" w:rsidRPr="008D4862" w:rsidRDefault="008D4862" w:rsidP="008D4862">
                  <w:pPr>
                    <w:jc w:val="center"/>
                    <w:rPr>
                      <w:rFonts w:ascii="Times New Roman" w:hAnsi="Times New Roman"/>
                      <w:szCs w:val="24"/>
                    </w:rPr>
                  </w:pPr>
                  <w:r w:rsidRPr="008D4862">
                    <w:rPr>
                      <w:rFonts w:ascii="Times New Roman" w:hAnsi="Times New Roman"/>
                      <w:szCs w:val="24"/>
                    </w:rPr>
                    <w:t>1</w:t>
                  </w:r>
                </w:p>
              </w:tc>
            </w:tr>
            <w:tr w:rsidR="004255C9" w14:paraId="0E985F2C" w14:textId="77777777" w:rsidTr="0023086F">
              <w:trPr>
                <w:jc w:val="center"/>
              </w:trPr>
              <w:tc>
                <w:tcPr>
                  <w:tcW w:w="4459" w:type="dxa"/>
                </w:tcPr>
                <w:p w14:paraId="3FA67335" w14:textId="66B80B65" w:rsidR="004255C9" w:rsidRPr="00450F9E" w:rsidRDefault="004255C9" w:rsidP="0023086F">
                  <w:pPr>
                    <w:jc w:val="both"/>
                    <w:rPr>
                      <w:rFonts w:ascii="Times New Roman" w:hAnsi="Times New Roman"/>
                      <w:szCs w:val="24"/>
                    </w:rPr>
                  </w:pPr>
                  <w:r w:rsidRPr="004255C9">
                    <w:rPr>
                      <w:rFonts w:ascii="Times New Roman" w:hAnsi="Times New Roman"/>
                      <w:szCs w:val="24"/>
                    </w:rPr>
                    <w:t>wszczęte na podstawie art. 101 i 102 TFUE</w:t>
                  </w:r>
                </w:p>
              </w:tc>
              <w:tc>
                <w:tcPr>
                  <w:tcW w:w="816" w:type="dxa"/>
                  <w:vAlign w:val="center"/>
                </w:tcPr>
                <w:p w14:paraId="6F9E8FC4" w14:textId="2AFCF2E5" w:rsidR="004255C9" w:rsidRDefault="007E1CB3" w:rsidP="007E1CB3">
                  <w:pPr>
                    <w:jc w:val="center"/>
                    <w:rPr>
                      <w:rFonts w:ascii="Times New Roman" w:hAnsi="Times New Roman"/>
                      <w:szCs w:val="24"/>
                    </w:rPr>
                  </w:pPr>
                  <w:r>
                    <w:rPr>
                      <w:rFonts w:ascii="Times New Roman" w:hAnsi="Times New Roman"/>
                      <w:szCs w:val="24"/>
                    </w:rPr>
                    <w:t>0</w:t>
                  </w:r>
                </w:p>
              </w:tc>
              <w:tc>
                <w:tcPr>
                  <w:tcW w:w="851" w:type="dxa"/>
                  <w:vAlign w:val="center"/>
                </w:tcPr>
                <w:p w14:paraId="30FE5867" w14:textId="44FF1003" w:rsidR="004255C9" w:rsidRDefault="007E1CB3" w:rsidP="007E1CB3">
                  <w:pPr>
                    <w:jc w:val="center"/>
                    <w:rPr>
                      <w:rFonts w:ascii="Times New Roman" w:hAnsi="Times New Roman"/>
                      <w:szCs w:val="24"/>
                    </w:rPr>
                  </w:pPr>
                  <w:r>
                    <w:rPr>
                      <w:rFonts w:ascii="Times New Roman" w:hAnsi="Times New Roman"/>
                      <w:szCs w:val="24"/>
                    </w:rPr>
                    <w:t>0</w:t>
                  </w:r>
                </w:p>
              </w:tc>
              <w:tc>
                <w:tcPr>
                  <w:tcW w:w="850" w:type="dxa"/>
                  <w:vAlign w:val="center"/>
                </w:tcPr>
                <w:p w14:paraId="2892272F" w14:textId="08160E3F" w:rsidR="004255C9" w:rsidRDefault="007E1CB3" w:rsidP="007E1CB3">
                  <w:pPr>
                    <w:jc w:val="center"/>
                    <w:rPr>
                      <w:rFonts w:ascii="Times New Roman" w:hAnsi="Times New Roman"/>
                      <w:szCs w:val="24"/>
                    </w:rPr>
                  </w:pPr>
                  <w:r>
                    <w:rPr>
                      <w:rFonts w:ascii="Times New Roman" w:hAnsi="Times New Roman"/>
                      <w:szCs w:val="24"/>
                    </w:rPr>
                    <w:t>0</w:t>
                  </w:r>
                </w:p>
              </w:tc>
              <w:tc>
                <w:tcPr>
                  <w:tcW w:w="851" w:type="dxa"/>
                  <w:vAlign w:val="center"/>
                </w:tcPr>
                <w:p w14:paraId="09F5FFA8" w14:textId="0DE88FEB" w:rsidR="004255C9" w:rsidRDefault="00BB7703" w:rsidP="00F64EAA">
                  <w:pPr>
                    <w:jc w:val="center"/>
                    <w:rPr>
                      <w:rFonts w:ascii="Times New Roman" w:hAnsi="Times New Roman"/>
                      <w:szCs w:val="24"/>
                    </w:rPr>
                  </w:pPr>
                  <w:r>
                    <w:rPr>
                      <w:rFonts w:ascii="Times New Roman" w:hAnsi="Times New Roman"/>
                      <w:szCs w:val="24"/>
                    </w:rPr>
                    <w:t>0</w:t>
                  </w:r>
                </w:p>
              </w:tc>
              <w:tc>
                <w:tcPr>
                  <w:tcW w:w="850" w:type="dxa"/>
                  <w:vAlign w:val="center"/>
                </w:tcPr>
                <w:p w14:paraId="3D5D91BE" w14:textId="67657507" w:rsidR="004255C9" w:rsidRDefault="00BB7703" w:rsidP="0023086F">
                  <w:pPr>
                    <w:jc w:val="center"/>
                    <w:rPr>
                      <w:rFonts w:ascii="Times New Roman" w:hAnsi="Times New Roman"/>
                      <w:szCs w:val="24"/>
                    </w:rPr>
                  </w:pPr>
                  <w:r>
                    <w:rPr>
                      <w:rFonts w:ascii="Times New Roman" w:hAnsi="Times New Roman"/>
                      <w:szCs w:val="24"/>
                    </w:rPr>
                    <w:t>0</w:t>
                  </w:r>
                  <w:r w:rsidR="004255C9">
                    <w:rPr>
                      <w:rFonts w:ascii="Times New Roman" w:hAnsi="Times New Roman"/>
                      <w:szCs w:val="24"/>
                    </w:rPr>
                    <w:t xml:space="preserve"> </w:t>
                  </w:r>
                </w:p>
              </w:tc>
              <w:tc>
                <w:tcPr>
                  <w:tcW w:w="851" w:type="dxa"/>
                  <w:vAlign w:val="center"/>
                </w:tcPr>
                <w:p w14:paraId="49AD0B54" w14:textId="79D5213A" w:rsidR="004255C9" w:rsidRPr="008D4862" w:rsidRDefault="008D4862" w:rsidP="008D4862">
                  <w:pPr>
                    <w:jc w:val="center"/>
                    <w:rPr>
                      <w:rFonts w:ascii="Times New Roman" w:hAnsi="Times New Roman"/>
                      <w:szCs w:val="24"/>
                    </w:rPr>
                  </w:pPr>
                  <w:r w:rsidRPr="008D4862">
                    <w:rPr>
                      <w:rFonts w:ascii="Times New Roman" w:hAnsi="Times New Roman"/>
                      <w:szCs w:val="24"/>
                    </w:rPr>
                    <w:t>6</w:t>
                  </w:r>
                </w:p>
              </w:tc>
            </w:tr>
            <w:tr w:rsidR="0023086F" w14:paraId="52DA19BD" w14:textId="77777777" w:rsidTr="0023086F">
              <w:trPr>
                <w:jc w:val="center"/>
              </w:trPr>
              <w:tc>
                <w:tcPr>
                  <w:tcW w:w="4459" w:type="dxa"/>
                </w:tcPr>
                <w:p w14:paraId="58C5B66C" w14:textId="77777777" w:rsidR="0023086F" w:rsidRPr="006D5FA7" w:rsidRDefault="0023086F" w:rsidP="0023086F">
                  <w:pPr>
                    <w:jc w:val="both"/>
                    <w:rPr>
                      <w:rFonts w:ascii="Times New Roman" w:hAnsi="Times New Roman"/>
                      <w:b/>
                      <w:szCs w:val="24"/>
                    </w:rPr>
                  </w:pPr>
                  <w:r w:rsidRPr="006D5FA7">
                    <w:rPr>
                      <w:rFonts w:ascii="Times New Roman" w:hAnsi="Times New Roman"/>
                      <w:b/>
                      <w:szCs w:val="24"/>
                    </w:rPr>
                    <w:t>OGÓŁEM</w:t>
                  </w:r>
                </w:p>
              </w:tc>
              <w:tc>
                <w:tcPr>
                  <w:tcW w:w="816" w:type="dxa"/>
                  <w:vAlign w:val="center"/>
                </w:tcPr>
                <w:p w14:paraId="33F42175" w14:textId="19D16F35" w:rsidR="0023086F" w:rsidRPr="006D5FA7" w:rsidRDefault="003C1C08" w:rsidP="007E1CB3">
                  <w:pPr>
                    <w:jc w:val="center"/>
                    <w:rPr>
                      <w:rFonts w:ascii="Times New Roman" w:hAnsi="Times New Roman"/>
                      <w:b/>
                      <w:szCs w:val="24"/>
                    </w:rPr>
                  </w:pPr>
                  <w:r>
                    <w:rPr>
                      <w:rFonts w:ascii="Times New Roman" w:hAnsi="Times New Roman"/>
                      <w:b/>
                      <w:szCs w:val="24"/>
                    </w:rPr>
                    <w:t>64</w:t>
                  </w:r>
                </w:p>
              </w:tc>
              <w:tc>
                <w:tcPr>
                  <w:tcW w:w="851" w:type="dxa"/>
                  <w:vAlign w:val="center"/>
                </w:tcPr>
                <w:p w14:paraId="37B45647" w14:textId="36F377A6" w:rsidR="0023086F" w:rsidRPr="006D5FA7" w:rsidRDefault="003C1C08" w:rsidP="007E1CB3">
                  <w:pPr>
                    <w:jc w:val="center"/>
                    <w:rPr>
                      <w:rFonts w:ascii="Times New Roman" w:hAnsi="Times New Roman"/>
                      <w:b/>
                      <w:szCs w:val="24"/>
                    </w:rPr>
                  </w:pPr>
                  <w:r>
                    <w:rPr>
                      <w:rFonts w:ascii="Times New Roman" w:hAnsi="Times New Roman"/>
                      <w:b/>
                      <w:szCs w:val="24"/>
                    </w:rPr>
                    <w:t>34</w:t>
                  </w:r>
                </w:p>
              </w:tc>
              <w:tc>
                <w:tcPr>
                  <w:tcW w:w="850" w:type="dxa"/>
                  <w:vAlign w:val="center"/>
                </w:tcPr>
                <w:p w14:paraId="1C5EB44B" w14:textId="3F6BF258" w:rsidR="0023086F" w:rsidRPr="006D5FA7" w:rsidRDefault="003C1C08" w:rsidP="007E1CB3">
                  <w:pPr>
                    <w:jc w:val="center"/>
                    <w:rPr>
                      <w:rFonts w:ascii="Times New Roman" w:hAnsi="Times New Roman"/>
                      <w:b/>
                      <w:szCs w:val="24"/>
                    </w:rPr>
                  </w:pPr>
                  <w:r>
                    <w:rPr>
                      <w:rFonts w:ascii="Times New Roman" w:hAnsi="Times New Roman"/>
                      <w:b/>
                      <w:szCs w:val="24"/>
                    </w:rPr>
                    <w:t>21</w:t>
                  </w:r>
                </w:p>
              </w:tc>
              <w:tc>
                <w:tcPr>
                  <w:tcW w:w="851" w:type="dxa"/>
                  <w:vAlign w:val="center"/>
                </w:tcPr>
                <w:p w14:paraId="78375432" w14:textId="230A4757" w:rsidR="0023086F" w:rsidRPr="006D5FA7" w:rsidRDefault="008D4862" w:rsidP="00F64EAA">
                  <w:pPr>
                    <w:jc w:val="center"/>
                    <w:rPr>
                      <w:rFonts w:ascii="Times New Roman" w:hAnsi="Times New Roman"/>
                      <w:b/>
                      <w:szCs w:val="24"/>
                    </w:rPr>
                  </w:pPr>
                  <w:r>
                    <w:rPr>
                      <w:rFonts w:ascii="Times New Roman" w:hAnsi="Times New Roman"/>
                      <w:b/>
                      <w:szCs w:val="24"/>
                    </w:rPr>
                    <w:t>9</w:t>
                  </w:r>
                </w:p>
              </w:tc>
              <w:tc>
                <w:tcPr>
                  <w:tcW w:w="850" w:type="dxa"/>
                  <w:vAlign w:val="center"/>
                </w:tcPr>
                <w:p w14:paraId="7DA5EFC8" w14:textId="77777777" w:rsidR="0023086F" w:rsidRPr="006D5FA7" w:rsidRDefault="0023086F" w:rsidP="0023086F">
                  <w:pPr>
                    <w:jc w:val="center"/>
                    <w:rPr>
                      <w:rFonts w:ascii="Times New Roman" w:hAnsi="Times New Roman"/>
                      <w:b/>
                      <w:szCs w:val="24"/>
                    </w:rPr>
                  </w:pPr>
                  <w:r w:rsidRPr="006D5FA7">
                    <w:rPr>
                      <w:rFonts w:ascii="Times New Roman" w:hAnsi="Times New Roman"/>
                      <w:b/>
                      <w:szCs w:val="24"/>
                    </w:rPr>
                    <w:t>13</w:t>
                  </w:r>
                </w:p>
              </w:tc>
              <w:tc>
                <w:tcPr>
                  <w:tcW w:w="851" w:type="dxa"/>
                  <w:vAlign w:val="center"/>
                </w:tcPr>
                <w:p w14:paraId="61ECC1F7" w14:textId="4BD59B09" w:rsidR="0023086F" w:rsidRPr="006D5FA7" w:rsidRDefault="008D4862" w:rsidP="008D4862">
                  <w:pPr>
                    <w:jc w:val="center"/>
                    <w:rPr>
                      <w:rFonts w:ascii="Times New Roman" w:hAnsi="Times New Roman"/>
                      <w:b/>
                      <w:szCs w:val="24"/>
                    </w:rPr>
                  </w:pPr>
                  <w:r>
                    <w:rPr>
                      <w:rFonts w:ascii="Times New Roman" w:hAnsi="Times New Roman"/>
                      <w:b/>
                      <w:szCs w:val="24"/>
                    </w:rPr>
                    <w:t>20</w:t>
                  </w:r>
                </w:p>
              </w:tc>
            </w:tr>
          </w:tbl>
          <w:p w14:paraId="6A88FF8C" w14:textId="77777777" w:rsidR="00C54DF1" w:rsidRDefault="00C54DF1" w:rsidP="0023086F">
            <w:pPr>
              <w:jc w:val="both"/>
              <w:rPr>
                <w:rFonts w:ascii="Times New Roman" w:hAnsi="Times New Roman"/>
                <w:szCs w:val="24"/>
              </w:rPr>
            </w:pPr>
          </w:p>
          <w:p w14:paraId="67F2819A" w14:textId="5BEEF8D5" w:rsidR="00A9531D" w:rsidRPr="002B22C2" w:rsidRDefault="00A9531D" w:rsidP="00A9531D">
            <w:pPr>
              <w:ind w:firstLine="771"/>
              <w:jc w:val="both"/>
              <w:rPr>
                <w:rFonts w:ascii="Times New Roman" w:hAnsi="Times New Roman"/>
                <w:szCs w:val="24"/>
              </w:rPr>
            </w:pPr>
            <w:r w:rsidRPr="002B22C2">
              <w:rPr>
                <w:rFonts w:ascii="Times New Roman" w:hAnsi="Times New Roman"/>
                <w:szCs w:val="24"/>
              </w:rPr>
              <w:t xml:space="preserve">Wykrywanie zmów przetargowych opiera się głównie na sygnałach z rynku pochodzących od przedsiębiorców </w:t>
            </w:r>
            <w:r w:rsidR="00BE3F10">
              <w:rPr>
                <w:rFonts w:ascii="Times New Roman" w:hAnsi="Times New Roman"/>
                <w:szCs w:val="24"/>
              </w:rPr>
              <w:br/>
            </w:r>
            <w:r w:rsidRPr="002B22C2">
              <w:rPr>
                <w:rFonts w:ascii="Times New Roman" w:hAnsi="Times New Roman"/>
                <w:szCs w:val="24"/>
              </w:rPr>
              <w:t>i osób zaangażowanych w przygotowanie, przeprowadzanie przetargów lub osób biorących w nich udział.</w:t>
            </w:r>
            <w:r>
              <w:rPr>
                <w:rFonts w:ascii="Times New Roman" w:hAnsi="Times New Roman"/>
                <w:szCs w:val="24"/>
              </w:rPr>
              <w:t xml:space="preserve"> </w:t>
            </w:r>
            <w:r w:rsidRPr="002B22C2">
              <w:rPr>
                <w:rFonts w:ascii="Times New Roman" w:hAnsi="Times New Roman"/>
                <w:szCs w:val="24"/>
              </w:rPr>
              <w:t xml:space="preserve">Dodatkowo </w:t>
            </w:r>
            <w:r w:rsidR="00BE3F10">
              <w:rPr>
                <w:rFonts w:ascii="Times New Roman" w:hAnsi="Times New Roman"/>
                <w:szCs w:val="24"/>
              </w:rPr>
              <w:br/>
            </w:r>
            <w:r w:rsidRPr="002B22C2">
              <w:rPr>
                <w:rFonts w:ascii="Times New Roman" w:hAnsi="Times New Roman"/>
                <w:szCs w:val="24"/>
              </w:rPr>
              <w:t xml:space="preserve">w obecnie obowiązujących przepisach prawa konkurencji funkcjonują rozwiązania prawne, które uniemożliwiają karanie osób zarządzających za zmowę przetargową. Rozwiązanie to jest uzasadnione faktem, iż sprawcy zmowy przetargowej mogą być pociągnięci do odpowiedzialności karnej, o której mowa w art. 305 </w:t>
            </w:r>
            <w:r>
              <w:rPr>
                <w:rFonts w:ascii="Times New Roman" w:hAnsi="Times New Roman"/>
                <w:szCs w:val="24"/>
              </w:rPr>
              <w:t xml:space="preserve">ustawy z dnia 6 czerwca 1997 r. - </w:t>
            </w:r>
            <w:r w:rsidRPr="001B5A9C">
              <w:rPr>
                <w:rFonts w:ascii="Times New Roman" w:hAnsi="Times New Roman"/>
                <w:i/>
                <w:szCs w:val="24"/>
              </w:rPr>
              <w:t>Kodeks karny</w:t>
            </w:r>
            <w:r>
              <w:rPr>
                <w:rFonts w:ascii="Times New Roman" w:hAnsi="Times New Roman"/>
                <w:szCs w:val="24"/>
              </w:rPr>
              <w:t xml:space="preserve"> (</w:t>
            </w:r>
            <w:r w:rsidRPr="005A373C">
              <w:rPr>
                <w:rFonts w:ascii="Times New Roman" w:hAnsi="Times New Roman"/>
                <w:szCs w:val="24"/>
              </w:rPr>
              <w:t xml:space="preserve">Dz. U. z 2020 r. poz. 1444, </w:t>
            </w:r>
            <w:r>
              <w:rPr>
                <w:rFonts w:ascii="Times New Roman" w:hAnsi="Times New Roman"/>
                <w:szCs w:val="24"/>
              </w:rPr>
              <w:t xml:space="preserve">z </w:t>
            </w:r>
            <w:proofErr w:type="spellStart"/>
            <w:r>
              <w:rPr>
                <w:rFonts w:ascii="Times New Roman" w:hAnsi="Times New Roman"/>
                <w:szCs w:val="24"/>
              </w:rPr>
              <w:t>późn</w:t>
            </w:r>
            <w:proofErr w:type="spellEnd"/>
            <w:r>
              <w:rPr>
                <w:rFonts w:ascii="Times New Roman" w:hAnsi="Times New Roman"/>
                <w:szCs w:val="24"/>
              </w:rPr>
              <w:t>. zm., dalej: „</w:t>
            </w:r>
            <w:r w:rsidR="004E766D">
              <w:rPr>
                <w:rFonts w:ascii="Times New Roman" w:hAnsi="Times New Roman"/>
                <w:szCs w:val="24"/>
              </w:rPr>
              <w:t>KK</w:t>
            </w:r>
            <w:r>
              <w:rPr>
                <w:rFonts w:ascii="Times New Roman" w:hAnsi="Times New Roman"/>
                <w:szCs w:val="24"/>
              </w:rPr>
              <w:t>”)</w:t>
            </w:r>
            <w:r w:rsidRPr="002B22C2">
              <w:rPr>
                <w:rFonts w:ascii="Times New Roman" w:hAnsi="Times New Roman"/>
                <w:szCs w:val="24"/>
              </w:rPr>
              <w:t xml:space="preserve">. </w:t>
            </w:r>
          </w:p>
          <w:p w14:paraId="5D62E156" w14:textId="6C4273CD" w:rsidR="00A9531D" w:rsidRPr="002B22C2" w:rsidRDefault="00A9531D" w:rsidP="00A9531D">
            <w:pPr>
              <w:ind w:firstLine="771"/>
              <w:jc w:val="both"/>
              <w:rPr>
                <w:rFonts w:ascii="Times New Roman" w:hAnsi="Times New Roman"/>
                <w:szCs w:val="24"/>
              </w:rPr>
            </w:pPr>
            <w:r w:rsidRPr="002B22C2">
              <w:rPr>
                <w:rFonts w:ascii="Times New Roman" w:hAnsi="Times New Roman"/>
                <w:szCs w:val="24"/>
              </w:rPr>
              <w:t>W celu wykrycia zmowy przetargowej może być wykorzystany przez organ antymonopolowy program łagodzenia kar. Jest to jedno z najważniejszych mechanizmów wykrywania praktyk przez organy ochrony konkurencji stosowany zarówno w Polsce, jak i na świecie. Podmiot składający wniosek o odstąpienie od wymierzenia kary pieniężnej lub jej obniżenie</w:t>
            </w:r>
            <w:r>
              <w:rPr>
                <w:rFonts w:ascii="Times New Roman" w:hAnsi="Times New Roman"/>
                <w:szCs w:val="24"/>
              </w:rPr>
              <w:t>,</w:t>
            </w:r>
            <w:r w:rsidRPr="002B22C2">
              <w:rPr>
                <w:rFonts w:ascii="Times New Roman" w:hAnsi="Times New Roman"/>
                <w:szCs w:val="24"/>
              </w:rPr>
              <w:t xml:space="preserve"> ujawniając podejmowanie </w:t>
            </w:r>
            <w:proofErr w:type="spellStart"/>
            <w:r w:rsidRPr="002B22C2">
              <w:rPr>
                <w:rFonts w:ascii="Times New Roman" w:hAnsi="Times New Roman"/>
                <w:szCs w:val="24"/>
              </w:rPr>
              <w:t>antykonkurencyjnej</w:t>
            </w:r>
            <w:proofErr w:type="spellEnd"/>
            <w:r w:rsidRPr="002B22C2">
              <w:rPr>
                <w:rFonts w:ascii="Times New Roman" w:hAnsi="Times New Roman"/>
                <w:szCs w:val="24"/>
              </w:rPr>
              <w:t xml:space="preserve"> praktyki</w:t>
            </w:r>
            <w:r>
              <w:rPr>
                <w:rFonts w:ascii="Times New Roman" w:hAnsi="Times New Roman"/>
                <w:szCs w:val="24"/>
              </w:rPr>
              <w:t>,</w:t>
            </w:r>
            <w:r w:rsidRPr="002B22C2">
              <w:rPr>
                <w:rFonts w:ascii="Times New Roman" w:hAnsi="Times New Roman"/>
                <w:szCs w:val="24"/>
              </w:rPr>
              <w:t xml:space="preserve"> może być przyrównany do </w:t>
            </w:r>
            <w:r w:rsidR="00376438">
              <w:rPr>
                <w:rFonts w:ascii="Times New Roman" w:hAnsi="Times New Roman"/>
                <w:szCs w:val="24"/>
              </w:rPr>
              <w:t xml:space="preserve">instytucji </w:t>
            </w:r>
            <w:r w:rsidRPr="002B22C2">
              <w:rPr>
                <w:rFonts w:ascii="Times New Roman" w:hAnsi="Times New Roman"/>
                <w:szCs w:val="24"/>
              </w:rPr>
              <w:t>świadka koronnego</w:t>
            </w:r>
            <w:r>
              <w:rPr>
                <w:rFonts w:ascii="Times New Roman" w:hAnsi="Times New Roman"/>
                <w:szCs w:val="24"/>
              </w:rPr>
              <w:t>,</w:t>
            </w:r>
            <w:r w:rsidRPr="002B22C2">
              <w:rPr>
                <w:rFonts w:ascii="Times New Roman" w:hAnsi="Times New Roman"/>
                <w:szCs w:val="24"/>
              </w:rPr>
              <w:t xml:space="preserve"> znanego prawu karnemu. </w:t>
            </w:r>
          </w:p>
          <w:p w14:paraId="166DDE76" w14:textId="2E70872F" w:rsidR="00A9531D" w:rsidRPr="00D64A73" w:rsidRDefault="00A9531D" w:rsidP="00A9531D">
            <w:pPr>
              <w:pStyle w:val="mcntmsonormal1"/>
              <w:spacing w:line="276" w:lineRule="auto"/>
              <w:ind w:firstLine="771"/>
              <w:jc w:val="both"/>
              <w:rPr>
                <w:bCs/>
                <w:sz w:val="22"/>
              </w:rPr>
            </w:pPr>
            <w:r w:rsidRPr="008312A3">
              <w:rPr>
                <w:sz w:val="22"/>
              </w:rPr>
              <w:t xml:space="preserve">Skuteczność instytucji </w:t>
            </w:r>
            <w:proofErr w:type="spellStart"/>
            <w:r w:rsidRPr="008312A3">
              <w:rPr>
                <w:i/>
                <w:sz w:val="22"/>
              </w:rPr>
              <w:t>leniency</w:t>
            </w:r>
            <w:proofErr w:type="spellEnd"/>
            <w:r w:rsidRPr="008312A3">
              <w:rPr>
                <w:sz w:val="22"/>
              </w:rPr>
              <w:t xml:space="preserve"> jest jednakże uzależniona od istnienia szeregu zachęt dla przedsiębiorców, również spoza systemu prawa konkurencji. W przypadku praktyk zmów przetargowych, z uwagi na zagrożenie odpowiedzialnością karną, przewidziane w art. 305</w:t>
            </w:r>
            <w:r w:rsidR="005820A3">
              <w:rPr>
                <w:i/>
                <w:sz w:val="22"/>
              </w:rPr>
              <w:t xml:space="preserve"> </w:t>
            </w:r>
            <w:r w:rsidR="005820A3">
              <w:rPr>
                <w:sz w:val="22"/>
              </w:rPr>
              <w:t>KK</w:t>
            </w:r>
            <w:r w:rsidRPr="008312A3">
              <w:rPr>
                <w:sz w:val="22"/>
              </w:rPr>
              <w:t>, już obecnie obserwowana jest niska skuteczność programu łagodzenia kar, co przekłada się negatywnie na wyżej wskazaną wykrywalność i karalność praktyk ograniczających konkurencję</w:t>
            </w:r>
            <w:r w:rsidRPr="002B22C2">
              <w:t>.</w:t>
            </w:r>
          </w:p>
          <w:p w14:paraId="57EC6A09" w14:textId="24E35F4E" w:rsidR="00D14953" w:rsidRPr="00D64A73" w:rsidRDefault="00D14953" w:rsidP="000E6A14">
            <w:pPr>
              <w:pStyle w:val="mcntmsonormal1"/>
              <w:numPr>
                <w:ilvl w:val="0"/>
                <w:numId w:val="2"/>
              </w:numPr>
              <w:spacing w:before="120" w:after="120" w:line="276" w:lineRule="auto"/>
              <w:ind w:left="714" w:hanging="357"/>
              <w:rPr>
                <w:b/>
              </w:rPr>
            </w:pPr>
            <w:r w:rsidRPr="009527C7">
              <w:rPr>
                <w:b/>
                <w:sz w:val="22"/>
                <w:szCs w:val="22"/>
                <w:lang w:eastAsia="en-US"/>
              </w:rPr>
              <w:t>Wzajemna pomoc</w:t>
            </w:r>
          </w:p>
          <w:p w14:paraId="7B967EBF" w14:textId="62C1C11F" w:rsidR="00BB2F2F" w:rsidRPr="00BB2F2F" w:rsidRDefault="00BB2F2F" w:rsidP="00C00F1B">
            <w:pPr>
              <w:ind w:firstLine="771"/>
              <w:jc w:val="both"/>
              <w:rPr>
                <w:rFonts w:ascii="Times New Roman" w:hAnsi="Times New Roman"/>
                <w:szCs w:val="24"/>
              </w:rPr>
            </w:pPr>
            <w:r w:rsidRPr="00BB2F2F">
              <w:rPr>
                <w:rFonts w:ascii="Times New Roman" w:hAnsi="Times New Roman"/>
                <w:szCs w:val="24"/>
              </w:rPr>
              <w:t>Dyrektywa przewiduje harmonizację przepisów krajowych w zakresie współpracy krajowych organów ochrony konkurencji państw członkowskich UE w egzekwowaniu zakazów przewidzianych w art. 101 i 102 TFUE.  Wzajemna pomoc pomiędzy organami zgodnie z regulacjami zawartymi w dyrektywie ma obejmować 3 następujące obszary stosowania art. 101 i 102 TFUE:</w:t>
            </w:r>
          </w:p>
          <w:p w14:paraId="57896A4F" w14:textId="7FB31832" w:rsidR="00BB2F2F" w:rsidRPr="008F6437" w:rsidRDefault="004379D2" w:rsidP="000E6A14">
            <w:pPr>
              <w:pStyle w:val="Akapitzlist"/>
              <w:numPr>
                <w:ilvl w:val="0"/>
                <w:numId w:val="13"/>
              </w:numPr>
              <w:jc w:val="both"/>
              <w:rPr>
                <w:rFonts w:ascii="Times New Roman" w:hAnsi="Times New Roman"/>
                <w:szCs w:val="24"/>
              </w:rPr>
            </w:pPr>
            <w:r w:rsidRPr="004379D2">
              <w:rPr>
                <w:rFonts w:ascii="Times New Roman" w:hAnsi="Times New Roman"/>
                <w:b/>
                <w:i/>
                <w:szCs w:val="24"/>
              </w:rPr>
              <w:t>W</w:t>
            </w:r>
            <w:r w:rsidR="00BB2F2F" w:rsidRPr="004379D2">
              <w:rPr>
                <w:rFonts w:ascii="Times New Roman" w:hAnsi="Times New Roman"/>
                <w:b/>
                <w:i/>
                <w:szCs w:val="24"/>
              </w:rPr>
              <w:t>spółpraca w zakresie czynności dochodzeniowych</w:t>
            </w:r>
            <w:r w:rsidR="00BB2F2F" w:rsidRPr="008F6437">
              <w:rPr>
                <w:rFonts w:ascii="Times New Roman" w:hAnsi="Times New Roman"/>
                <w:szCs w:val="24"/>
              </w:rPr>
              <w:t xml:space="preserve"> i innych działań organu antymonopolowego mających na celu:</w:t>
            </w:r>
          </w:p>
          <w:p w14:paraId="4DC03B87" w14:textId="54AC3177" w:rsidR="00BB2F2F" w:rsidRPr="00355DBA" w:rsidRDefault="00BB2F2F" w:rsidP="000E6A14">
            <w:pPr>
              <w:pStyle w:val="Akapitzlist"/>
              <w:numPr>
                <w:ilvl w:val="0"/>
                <w:numId w:val="12"/>
              </w:numPr>
              <w:jc w:val="both"/>
              <w:rPr>
                <w:rFonts w:ascii="Times New Roman" w:hAnsi="Times New Roman"/>
                <w:szCs w:val="24"/>
              </w:rPr>
            </w:pPr>
            <w:r w:rsidRPr="00355DBA">
              <w:rPr>
                <w:rFonts w:ascii="Times New Roman" w:hAnsi="Times New Roman"/>
                <w:szCs w:val="24"/>
              </w:rPr>
              <w:t>pozyskanie dowodów pozwalających na stwierdzenie naruszenia art. 101 lub 102 T</w:t>
            </w:r>
            <w:r w:rsidR="00355DBA" w:rsidRPr="00355DBA">
              <w:rPr>
                <w:rFonts w:ascii="Times New Roman" w:hAnsi="Times New Roman"/>
                <w:szCs w:val="24"/>
              </w:rPr>
              <w:t>FUE</w:t>
            </w:r>
            <w:r w:rsidRPr="00355DBA">
              <w:rPr>
                <w:rFonts w:ascii="Times New Roman" w:hAnsi="Times New Roman"/>
                <w:szCs w:val="24"/>
              </w:rPr>
              <w:t>,</w:t>
            </w:r>
          </w:p>
          <w:p w14:paraId="2670CC8E" w14:textId="3E1A9DE6" w:rsidR="00355DBA" w:rsidRDefault="00BB2F2F" w:rsidP="000E6A14">
            <w:pPr>
              <w:pStyle w:val="Akapitzlist"/>
              <w:numPr>
                <w:ilvl w:val="0"/>
                <w:numId w:val="12"/>
              </w:numPr>
              <w:jc w:val="both"/>
              <w:rPr>
                <w:rFonts w:ascii="Times New Roman" w:hAnsi="Times New Roman"/>
                <w:szCs w:val="24"/>
              </w:rPr>
            </w:pPr>
            <w:r w:rsidRPr="00355DBA">
              <w:rPr>
                <w:rFonts w:ascii="Times New Roman" w:hAnsi="Times New Roman"/>
                <w:szCs w:val="24"/>
              </w:rPr>
              <w:t>ustalenie</w:t>
            </w:r>
            <w:r w:rsidR="00355DBA" w:rsidRPr="00355DBA">
              <w:rPr>
                <w:rFonts w:ascii="Times New Roman" w:hAnsi="Times New Roman"/>
                <w:szCs w:val="24"/>
              </w:rPr>
              <w:t>,</w:t>
            </w:r>
            <w:r w:rsidRPr="00355DBA">
              <w:rPr>
                <w:rFonts w:ascii="Times New Roman" w:hAnsi="Times New Roman"/>
                <w:szCs w:val="24"/>
              </w:rPr>
              <w:t xml:space="preserve"> czy przedsiębiorca realizuje wynikające z przepisów obowiązki</w:t>
            </w:r>
            <w:r w:rsidR="00C00F1B">
              <w:rPr>
                <w:rFonts w:ascii="Times New Roman" w:hAnsi="Times New Roman"/>
                <w:szCs w:val="24"/>
              </w:rPr>
              <w:t>,</w:t>
            </w:r>
            <w:r w:rsidRPr="00355DBA">
              <w:rPr>
                <w:rFonts w:ascii="Times New Roman" w:hAnsi="Times New Roman"/>
                <w:szCs w:val="24"/>
              </w:rPr>
              <w:t xml:space="preserve"> nakładane na niego przez organ w toku czynności dochodzeniowych i innych działań podejmowanych przez organ</w:t>
            </w:r>
            <w:r w:rsidR="00C00F1B">
              <w:rPr>
                <w:rFonts w:ascii="Times New Roman" w:hAnsi="Times New Roman"/>
                <w:szCs w:val="24"/>
              </w:rPr>
              <w:t>,</w:t>
            </w:r>
            <w:r w:rsidRPr="00355DBA">
              <w:rPr>
                <w:rFonts w:ascii="Times New Roman" w:hAnsi="Times New Roman"/>
                <w:szCs w:val="24"/>
              </w:rPr>
              <w:t xml:space="preserve"> w celu ustalenia stanu faktycznego lub obowiązki</w:t>
            </w:r>
            <w:r w:rsidR="00C00F1B">
              <w:rPr>
                <w:rFonts w:ascii="Times New Roman" w:hAnsi="Times New Roman"/>
                <w:szCs w:val="24"/>
              </w:rPr>
              <w:t>,</w:t>
            </w:r>
            <w:r w:rsidRPr="00355DBA">
              <w:rPr>
                <w:rFonts w:ascii="Times New Roman" w:hAnsi="Times New Roman"/>
                <w:szCs w:val="24"/>
              </w:rPr>
              <w:t xml:space="preserve"> nakładane w związku ze stwierdzeniem lub uprawdopodobnieniem naruszenia art. 101 lub 102 TFUE w decyzji stwierdzającej naruszenie, w decyzji o środkach tymczasowych lub w decyzji zobowiązującej</w:t>
            </w:r>
            <w:r w:rsidR="00355DBA">
              <w:rPr>
                <w:rFonts w:ascii="Times New Roman" w:hAnsi="Times New Roman"/>
                <w:szCs w:val="24"/>
              </w:rPr>
              <w:t>,</w:t>
            </w:r>
          </w:p>
          <w:p w14:paraId="5F03C01A" w14:textId="4BD3F5A3" w:rsidR="00BB2F2F" w:rsidRPr="00C00F1B" w:rsidRDefault="00BB2F2F" w:rsidP="00C00F1B">
            <w:pPr>
              <w:jc w:val="both"/>
              <w:rPr>
                <w:rFonts w:ascii="Times New Roman" w:hAnsi="Times New Roman"/>
                <w:szCs w:val="24"/>
              </w:rPr>
            </w:pPr>
            <w:r w:rsidRPr="00C00F1B">
              <w:rPr>
                <w:rFonts w:ascii="Times New Roman" w:hAnsi="Times New Roman"/>
                <w:szCs w:val="24"/>
              </w:rPr>
              <w:t>w sytuacji gdy czynności te muszą być wykonane na terytorium innego państwa członkowskiego UE niż państwo, którego organ ochrony konkurencji jest właściwy do zajmowania się sprawą</w:t>
            </w:r>
            <w:r w:rsidR="00DC3F6D">
              <w:rPr>
                <w:rFonts w:ascii="Times New Roman" w:hAnsi="Times New Roman"/>
                <w:szCs w:val="24"/>
              </w:rPr>
              <w:t>.</w:t>
            </w:r>
          </w:p>
          <w:p w14:paraId="2DEDA0A1" w14:textId="02E69D4C" w:rsidR="00BB2F2F" w:rsidRPr="008F6437" w:rsidRDefault="004379D2" w:rsidP="000E6A14">
            <w:pPr>
              <w:pStyle w:val="Akapitzlist"/>
              <w:numPr>
                <w:ilvl w:val="0"/>
                <w:numId w:val="13"/>
              </w:numPr>
              <w:jc w:val="both"/>
              <w:rPr>
                <w:rFonts w:ascii="Times New Roman" w:hAnsi="Times New Roman"/>
                <w:szCs w:val="24"/>
              </w:rPr>
            </w:pPr>
            <w:r w:rsidRPr="00DC3F6D">
              <w:rPr>
                <w:rFonts w:ascii="Times New Roman" w:hAnsi="Times New Roman"/>
                <w:b/>
                <w:i/>
                <w:szCs w:val="24"/>
              </w:rPr>
              <w:t>W</w:t>
            </w:r>
            <w:r w:rsidR="00BB2F2F" w:rsidRPr="00DC3F6D">
              <w:rPr>
                <w:rFonts w:ascii="Times New Roman" w:hAnsi="Times New Roman"/>
                <w:b/>
                <w:i/>
                <w:szCs w:val="24"/>
              </w:rPr>
              <w:t>spółpraca dotycząca notyfikacji</w:t>
            </w:r>
            <w:r w:rsidR="00BB2F2F" w:rsidRPr="008F6437">
              <w:rPr>
                <w:rFonts w:ascii="Times New Roman" w:hAnsi="Times New Roman"/>
                <w:szCs w:val="24"/>
              </w:rPr>
              <w:t>, czyli powiadamiania przez organ innego państwa członkowskiego UE stron postępowań w sprawie naruszenia art. 101 lub art. 102 TFUE lub innych podmiotów uczestniczących w tych postępowaniach o aktach administracyjnych lub innych dokumentach istotnych z punktu widzenia stosowania ww. przepisów</w:t>
            </w:r>
            <w:r w:rsidR="00DC3F6D">
              <w:rPr>
                <w:rFonts w:ascii="Times New Roman" w:hAnsi="Times New Roman"/>
                <w:szCs w:val="24"/>
              </w:rPr>
              <w:t>.</w:t>
            </w:r>
            <w:r w:rsidR="00BB2F2F" w:rsidRPr="008F6437">
              <w:rPr>
                <w:rFonts w:ascii="Times New Roman" w:hAnsi="Times New Roman"/>
                <w:szCs w:val="24"/>
              </w:rPr>
              <w:t xml:space="preserve"> </w:t>
            </w:r>
          </w:p>
          <w:p w14:paraId="41CBEDDB" w14:textId="533612D0" w:rsidR="00D64A73" w:rsidRPr="008F6437" w:rsidRDefault="00DC3F6D" w:rsidP="000E6A14">
            <w:pPr>
              <w:pStyle w:val="Akapitzlist"/>
              <w:numPr>
                <w:ilvl w:val="0"/>
                <w:numId w:val="13"/>
              </w:numPr>
              <w:jc w:val="both"/>
              <w:rPr>
                <w:rFonts w:ascii="Times New Roman" w:hAnsi="Times New Roman"/>
                <w:szCs w:val="24"/>
              </w:rPr>
            </w:pPr>
            <w:r w:rsidRPr="00DC3F6D">
              <w:rPr>
                <w:rFonts w:ascii="Times New Roman" w:hAnsi="Times New Roman"/>
                <w:b/>
                <w:i/>
                <w:szCs w:val="24"/>
              </w:rPr>
              <w:t>W</w:t>
            </w:r>
            <w:r w:rsidR="00BB2F2F" w:rsidRPr="00DC3F6D">
              <w:rPr>
                <w:rFonts w:ascii="Times New Roman" w:hAnsi="Times New Roman"/>
                <w:b/>
                <w:i/>
                <w:szCs w:val="24"/>
              </w:rPr>
              <w:t xml:space="preserve">spółpraca w zakresie egzekucji decyzji o nałożeniu kar pieniężnych </w:t>
            </w:r>
            <w:r w:rsidR="00BB2F2F" w:rsidRPr="008F6437">
              <w:rPr>
                <w:rFonts w:ascii="Times New Roman" w:hAnsi="Times New Roman"/>
                <w:szCs w:val="24"/>
              </w:rPr>
              <w:t>w związku ze stosowaniem art. 101 lub 102 TFUE</w:t>
            </w:r>
            <w:r w:rsidR="000D4253" w:rsidRPr="008F6437">
              <w:rPr>
                <w:rFonts w:ascii="Times New Roman" w:hAnsi="Times New Roman"/>
                <w:szCs w:val="24"/>
              </w:rPr>
              <w:t>.</w:t>
            </w:r>
          </w:p>
          <w:p w14:paraId="23ACC572" w14:textId="03DCA79C" w:rsidR="00D14953" w:rsidRPr="00851E77" w:rsidRDefault="00D64A73" w:rsidP="000E6A14">
            <w:pPr>
              <w:pStyle w:val="mcntmsonormal1"/>
              <w:numPr>
                <w:ilvl w:val="0"/>
                <w:numId w:val="2"/>
              </w:numPr>
              <w:spacing w:before="120" w:after="120" w:line="276" w:lineRule="auto"/>
              <w:ind w:left="714" w:hanging="357"/>
              <w:rPr>
                <w:b/>
              </w:rPr>
            </w:pPr>
            <w:r w:rsidRPr="00D64A73">
              <w:rPr>
                <w:b/>
                <w:sz w:val="22"/>
                <w:szCs w:val="22"/>
                <w:lang w:eastAsia="en-US"/>
              </w:rPr>
              <w:lastRenderedPageBreak/>
              <w:t xml:space="preserve">Zmiany, wynikające z wyroku Trybunału Konstytucyjnego z dnia 16 stycznia 2019 r. </w:t>
            </w:r>
            <w:r w:rsidR="0079756F">
              <w:rPr>
                <w:b/>
                <w:sz w:val="22"/>
                <w:szCs w:val="22"/>
                <w:lang w:eastAsia="en-US"/>
              </w:rPr>
              <w:t>(</w:t>
            </w:r>
            <w:r w:rsidRPr="00D64A73">
              <w:rPr>
                <w:b/>
                <w:sz w:val="22"/>
                <w:szCs w:val="22"/>
                <w:lang w:eastAsia="en-US"/>
              </w:rPr>
              <w:t>sygn. P 19/17</w:t>
            </w:r>
            <w:r w:rsidR="0079756F">
              <w:rPr>
                <w:b/>
                <w:sz w:val="22"/>
                <w:szCs w:val="22"/>
                <w:lang w:eastAsia="en-US"/>
              </w:rPr>
              <w:t>)</w:t>
            </w:r>
          </w:p>
          <w:p w14:paraId="67806205" w14:textId="41BBC4E9" w:rsidR="002B1520" w:rsidRDefault="00D033E3" w:rsidP="00D033E3">
            <w:pPr>
              <w:ind w:firstLine="771"/>
              <w:jc w:val="both"/>
              <w:rPr>
                <w:rFonts w:ascii="Times New Roman" w:hAnsi="Times New Roman"/>
                <w:szCs w:val="24"/>
              </w:rPr>
            </w:pPr>
            <w:r w:rsidRPr="00D033E3">
              <w:rPr>
                <w:rFonts w:ascii="Times New Roman" w:hAnsi="Times New Roman"/>
                <w:szCs w:val="24"/>
              </w:rPr>
              <w:t>Poza zakresem nowelizacji ustawy</w:t>
            </w:r>
            <w:r w:rsidR="002B1520">
              <w:rPr>
                <w:rFonts w:ascii="Times New Roman" w:hAnsi="Times New Roman"/>
                <w:szCs w:val="24"/>
              </w:rPr>
              <w:t>,</w:t>
            </w:r>
            <w:r w:rsidRPr="00D033E3">
              <w:rPr>
                <w:rFonts w:ascii="Times New Roman" w:hAnsi="Times New Roman"/>
                <w:szCs w:val="24"/>
              </w:rPr>
              <w:t xml:space="preserve"> związanym z koniecznością wdrożenia </w:t>
            </w:r>
            <w:r w:rsidR="002B1520">
              <w:rPr>
                <w:rFonts w:ascii="Times New Roman" w:hAnsi="Times New Roman"/>
                <w:szCs w:val="24"/>
              </w:rPr>
              <w:t>D</w:t>
            </w:r>
            <w:r w:rsidRPr="00D033E3">
              <w:rPr>
                <w:rFonts w:ascii="Times New Roman" w:hAnsi="Times New Roman"/>
                <w:szCs w:val="24"/>
              </w:rPr>
              <w:t>yrektywy, są zmiany</w:t>
            </w:r>
            <w:r w:rsidR="002B1520">
              <w:rPr>
                <w:rFonts w:ascii="Times New Roman" w:hAnsi="Times New Roman"/>
                <w:szCs w:val="24"/>
              </w:rPr>
              <w:t>,</w:t>
            </w:r>
            <w:r w:rsidRPr="00D033E3">
              <w:rPr>
                <w:rFonts w:ascii="Times New Roman" w:hAnsi="Times New Roman"/>
                <w:szCs w:val="24"/>
              </w:rPr>
              <w:t xml:space="preserve"> wynikające </w:t>
            </w:r>
            <w:r w:rsidR="009422D0">
              <w:rPr>
                <w:rFonts w:ascii="Times New Roman" w:hAnsi="Times New Roman"/>
                <w:szCs w:val="24"/>
              </w:rPr>
              <w:br/>
            </w:r>
            <w:r w:rsidRPr="00D033E3">
              <w:rPr>
                <w:rFonts w:ascii="Times New Roman" w:hAnsi="Times New Roman"/>
                <w:szCs w:val="24"/>
              </w:rPr>
              <w:t xml:space="preserve">z wyroku Trybunału Konstytucyjnego z dnia 16 stycznia 2019 r. w sprawie o sygn. P 19/17.  </w:t>
            </w:r>
          </w:p>
          <w:p w14:paraId="78D0355A" w14:textId="1DFEC74C" w:rsidR="00D033E3" w:rsidRPr="00D033E3" w:rsidRDefault="00D033E3" w:rsidP="00D033E3">
            <w:pPr>
              <w:ind w:firstLine="771"/>
              <w:jc w:val="both"/>
              <w:rPr>
                <w:rFonts w:ascii="Times New Roman" w:hAnsi="Times New Roman"/>
                <w:szCs w:val="24"/>
              </w:rPr>
            </w:pPr>
            <w:r w:rsidRPr="00D033E3">
              <w:rPr>
                <w:rFonts w:ascii="Times New Roman" w:hAnsi="Times New Roman"/>
                <w:szCs w:val="24"/>
              </w:rPr>
              <w:t xml:space="preserve">Zgodnie </w:t>
            </w:r>
            <w:r w:rsidR="00684A42">
              <w:rPr>
                <w:rFonts w:ascii="Times New Roman" w:hAnsi="Times New Roman"/>
                <w:szCs w:val="24"/>
              </w:rPr>
              <w:t xml:space="preserve">z przepisami </w:t>
            </w:r>
            <w:proofErr w:type="spellStart"/>
            <w:r w:rsidR="00684A42">
              <w:rPr>
                <w:rFonts w:ascii="Times New Roman" w:hAnsi="Times New Roman"/>
                <w:szCs w:val="24"/>
              </w:rPr>
              <w:t>u.o.k.k</w:t>
            </w:r>
            <w:proofErr w:type="spellEnd"/>
            <w:r w:rsidR="00684A42">
              <w:rPr>
                <w:rFonts w:ascii="Times New Roman" w:hAnsi="Times New Roman"/>
                <w:szCs w:val="24"/>
              </w:rPr>
              <w:t xml:space="preserve">., </w:t>
            </w:r>
            <w:r w:rsidRPr="00D033E3">
              <w:rPr>
                <w:rFonts w:ascii="Times New Roman" w:hAnsi="Times New Roman"/>
                <w:szCs w:val="24"/>
              </w:rPr>
              <w:t xml:space="preserve">w sprawach praktyk ograniczających konkurencję, w toku postępowania wyjaśniającego i postępowania antymonopolowego, Prezes Urzędu może przeprowadzić u przedsiębiorcy przeszukanie pomieszczeń i rzeczy. </w:t>
            </w:r>
            <w:r w:rsidR="00684A42">
              <w:rPr>
                <w:rFonts w:ascii="Times New Roman" w:hAnsi="Times New Roman"/>
                <w:szCs w:val="24"/>
              </w:rPr>
              <w:t>C</w:t>
            </w:r>
            <w:r w:rsidRPr="00D033E3">
              <w:rPr>
                <w:rFonts w:ascii="Times New Roman" w:hAnsi="Times New Roman"/>
                <w:szCs w:val="24"/>
              </w:rPr>
              <w:t xml:space="preserve">elem przeszukania jest znalezienie i uzyskanie informacji z akt, ksiąg, pism, wszelkiego rodzaju dokumentów lub informatycznych nośników danych, urządzeń oraz systemów informatycznych oraz innych przedmiotów mogących stanowić dowód w sprawie, zaś przesłanką umożliwiającą przeprowadzenie przeszukania jest zaistnienie uzasadnionych podstaw do przypuszczenia, że wymienione informacje lub przedmioty znajdują się w pomieszczeniach/rzeczach danego przedsiębiorcy. Uprawnienie Prezesa Urzędu do wystąpienia o zgodę na przeszukanie </w:t>
            </w:r>
            <w:r w:rsidR="00965AFB">
              <w:rPr>
                <w:rFonts w:ascii="Times New Roman" w:hAnsi="Times New Roman"/>
                <w:szCs w:val="24"/>
              </w:rPr>
              <w:t xml:space="preserve">w </w:t>
            </w:r>
            <w:r w:rsidRPr="00D033E3">
              <w:rPr>
                <w:rFonts w:ascii="Times New Roman" w:hAnsi="Times New Roman"/>
                <w:szCs w:val="24"/>
              </w:rPr>
              <w:t xml:space="preserve">toku postępowania wyjaśniającego jest dodatkowo ograniczone wyłącznie do sytuacji, gdy zachodzi uzasadnione podejrzenie poważnego naruszenia przepisów ustawy, w </w:t>
            </w:r>
            <w:r w:rsidR="009E7FF8" w:rsidRPr="00D033E3">
              <w:rPr>
                <w:rFonts w:ascii="Times New Roman" w:hAnsi="Times New Roman"/>
                <w:szCs w:val="24"/>
              </w:rPr>
              <w:t>szczególności,</w:t>
            </w:r>
            <w:r w:rsidRPr="00D033E3">
              <w:rPr>
                <w:rFonts w:ascii="Times New Roman" w:hAnsi="Times New Roman"/>
                <w:szCs w:val="24"/>
              </w:rPr>
              <w:t xml:space="preserve"> gdy mogłoby dojść do zatarcia dowodów. </w:t>
            </w:r>
          </w:p>
          <w:p w14:paraId="669BC5EA" w14:textId="0423C1E8" w:rsidR="00D033E3" w:rsidRDefault="00D033E3" w:rsidP="00684A42">
            <w:pPr>
              <w:ind w:firstLine="771"/>
              <w:jc w:val="both"/>
              <w:rPr>
                <w:rFonts w:ascii="Times New Roman" w:hAnsi="Times New Roman"/>
                <w:szCs w:val="24"/>
              </w:rPr>
            </w:pPr>
            <w:r w:rsidRPr="00D033E3">
              <w:rPr>
                <w:rFonts w:ascii="Times New Roman" w:hAnsi="Times New Roman"/>
                <w:szCs w:val="24"/>
              </w:rPr>
              <w:t>Przeprowadzenie przeszukania w każdym przypadku wymaga zgody sądu ochrony konkurencji i konsumentów, która jest udzielana na wniosek Prezesa Urzędu. Sąd ochrony konkurencji i konsumentów dokonuje weryfikacji wystąpienia przesłanek przeprowadzenia przeszukania i wydaje postanowienie w sprawie wniosku Prezesa Urzędu w ciągu 48 godzin</w:t>
            </w:r>
            <w:r w:rsidR="005E1BA1">
              <w:rPr>
                <w:rFonts w:ascii="Times New Roman" w:hAnsi="Times New Roman"/>
                <w:szCs w:val="24"/>
              </w:rPr>
              <w:t>.</w:t>
            </w:r>
            <w:r w:rsidR="00D663CA">
              <w:rPr>
                <w:rFonts w:ascii="Times New Roman" w:hAnsi="Times New Roman"/>
                <w:szCs w:val="24"/>
              </w:rPr>
              <w:t xml:space="preserve"> N</w:t>
            </w:r>
            <w:r w:rsidRPr="00D033E3">
              <w:rPr>
                <w:rFonts w:ascii="Times New Roman" w:hAnsi="Times New Roman"/>
                <w:szCs w:val="24"/>
              </w:rPr>
              <w:t>a postanowienie sądu ochrony konkurencji i konsumentów w przedmiocie wniosku Prezesa Urzędu o wyrażenie zgody na przeprowadzenie przeszukania (postanowienie o udzieleniu zgody na przeszukanie/zgody częściowej lub odmowy udzielenia zgody) nie przysługuje zażalenie (zarówno przeszukiwanemu, jak i występującemu o zgodę Prezesowi Urzędu). Postanowienie sądu ochrony konkurencji i konsumentów nie zawiera uzasadnieni</w:t>
            </w:r>
            <w:r w:rsidR="00D663CA">
              <w:rPr>
                <w:rFonts w:ascii="Times New Roman" w:hAnsi="Times New Roman"/>
                <w:szCs w:val="24"/>
              </w:rPr>
              <w:t>a, a w</w:t>
            </w:r>
            <w:r w:rsidRPr="00D033E3">
              <w:rPr>
                <w:rFonts w:ascii="Times New Roman" w:hAnsi="Times New Roman"/>
                <w:szCs w:val="24"/>
              </w:rPr>
              <w:t xml:space="preserve"> praktyce jego odpis doręczany jest przedsiębiorcy, u którego jest przeprowadzane przeszukanie, przy rozpoczęciu przeszukania wraz upoważnieniem do przeprowadzenia przeszukania. Kopia wniosku Prezesa Urzędu o wydanie zgody na przeprowadzenie przeszukania nie stanowi części akt postępowania, w toku którego wystąpiono o zgodę na dane przeszukanie.  </w:t>
            </w:r>
          </w:p>
          <w:p w14:paraId="6AD2867B" w14:textId="78F1E590" w:rsidR="0059240F" w:rsidRDefault="0059240F" w:rsidP="00684A42">
            <w:pPr>
              <w:ind w:firstLine="771"/>
              <w:jc w:val="both"/>
              <w:rPr>
                <w:rFonts w:ascii="Times New Roman" w:hAnsi="Times New Roman"/>
                <w:szCs w:val="24"/>
              </w:rPr>
            </w:pPr>
            <w:r>
              <w:rPr>
                <w:rFonts w:ascii="Times New Roman" w:hAnsi="Times New Roman"/>
                <w:szCs w:val="24"/>
              </w:rPr>
              <w:t>W tabeli przedstawione zostały statystki, dotyczące przeszukań, dokonywanych przez Prezesa UOKiK w latach 2014-2020:</w:t>
            </w:r>
          </w:p>
          <w:p w14:paraId="7300CD88" w14:textId="77777777" w:rsidR="00196712" w:rsidRDefault="00196712" w:rsidP="00684A42">
            <w:pPr>
              <w:ind w:firstLine="771"/>
              <w:jc w:val="both"/>
              <w:rPr>
                <w:rFonts w:ascii="Times New Roman" w:hAnsi="Times New Roman"/>
                <w:szCs w:val="24"/>
              </w:rPr>
            </w:pPr>
          </w:p>
          <w:tbl>
            <w:tblPr>
              <w:tblStyle w:val="Tabela-Siatka"/>
              <w:tblW w:w="9846" w:type="dxa"/>
              <w:jc w:val="center"/>
              <w:tblLayout w:type="fixed"/>
              <w:tblLook w:val="04A0" w:firstRow="1" w:lastRow="0" w:firstColumn="1" w:lastColumn="0" w:noHBand="0" w:noVBand="1"/>
            </w:tblPr>
            <w:tblGrid>
              <w:gridCol w:w="1766"/>
              <w:gridCol w:w="1276"/>
              <w:gridCol w:w="1134"/>
              <w:gridCol w:w="1134"/>
              <w:gridCol w:w="1134"/>
              <w:gridCol w:w="1134"/>
              <w:gridCol w:w="1134"/>
              <w:gridCol w:w="1134"/>
            </w:tblGrid>
            <w:tr w:rsidR="005B41E4" w14:paraId="3A37022F" w14:textId="77777777" w:rsidTr="00DE6450">
              <w:trPr>
                <w:jc w:val="center"/>
              </w:trPr>
              <w:tc>
                <w:tcPr>
                  <w:tcW w:w="1766" w:type="dxa"/>
                </w:tcPr>
                <w:p w14:paraId="49324810" w14:textId="11284F66" w:rsidR="005B41E4" w:rsidRPr="004D0FC1" w:rsidRDefault="005B41E4" w:rsidP="0059240F">
                  <w:pPr>
                    <w:jc w:val="both"/>
                    <w:rPr>
                      <w:rFonts w:ascii="Times New Roman" w:hAnsi="Times New Roman"/>
                      <w:b/>
                      <w:szCs w:val="24"/>
                    </w:rPr>
                  </w:pPr>
                  <w:r w:rsidRPr="004D0FC1">
                    <w:rPr>
                      <w:rFonts w:ascii="Times New Roman" w:hAnsi="Times New Roman"/>
                      <w:b/>
                      <w:szCs w:val="24"/>
                    </w:rPr>
                    <w:t>P</w:t>
                  </w:r>
                  <w:r w:rsidR="000E0833" w:rsidRPr="004D0FC1">
                    <w:rPr>
                      <w:rFonts w:ascii="Times New Roman" w:hAnsi="Times New Roman"/>
                      <w:b/>
                      <w:szCs w:val="24"/>
                    </w:rPr>
                    <w:t>rzeszukanie</w:t>
                  </w:r>
                </w:p>
              </w:tc>
              <w:tc>
                <w:tcPr>
                  <w:tcW w:w="1276" w:type="dxa"/>
                  <w:vAlign w:val="center"/>
                </w:tcPr>
                <w:p w14:paraId="29036E66" w14:textId="111FD5EA" w:rsidR="005B41E4" w:rsidRPr="004D0FC1" w:rsidRDefault="005B41E4" w:rsidP="00DE6450">
                  <w:pPr>
                    <w:jc w:val="center"/>
                    <w:rPr>
                      <w:rFonts w:ascii="Times New Roman" w:hAnsi="Times New Roman"/>
                      <w:b/>
                      <w:szCs w:val="24"/>
                    </w:rPr>
                  </w:pPr>
                  <w:r w:rsidRPr="004D0FC1">
                    <w:rPr>
                      <w:rFonts w:ascii="Times New Roman" w:hAnsi="Times New Roman"/>
                      <w:b/>
                      <w:szCs w:val="24"/>
                    </w:rPr>
                    <w:t>2014</w:t>
                  </w:r>
                </w:p>
              </w:tc>
              <w:tc>
                <w:tcPr>
                  <w:tcW w:w="1134" w:type="dxa"/>
                  <w:vAlign w:val="center"/>
                </w:tcPr>
                <w:p w14:paraId="03AEF7B4" w14:textId="585A3D95" w:rsidR="005B41E4" w:rsidRPr="004D0FC1" w:rsidRDefault="005B41E4" w:rsidP="00DE6450">
                  <w:pPr>
                    <w:jc w:val="center"/>
                    <w:rPr>
                      <w:rFonts w:ascii="Times New Roman" w:hAnsi="Times New Roman"/>
                      <w:b/>
                      <w:szCs w:val="24"/>
                    </w:rPr>
                  </w:pPr>
                  <w:r w:rsidRPr="004D0FC1">
                    <w:rPr>
                      <w:rFonts w:ascii="Times New Roman" w:hAnsi="Times New Roman"/>
                      <w:b/>
                      <w:szCs w:val="24"/>
                    </w:rPr>
                    <w:t>2015</w:t>
                  </w:r>
                </w:p>
              </w:tc>
              <w:tc>
                <w:tcPr>
                  <w:tcW w:w="1134" w:type="dxa"/>
                  <w:vAlign w:val="center"/>
                </w:tcPr>
                <w:p w14:paraId="6A617427" w14:textId="44917C32" w:rsidR="005B41E4" w:rsidRPr="004D0FC1" w:rsidRDefault="005B41E4" w:rsidP="00DE6450">
                  <w:pPr>
                    <w:jc w:val="center"/>
                    <w:rPr>
                      <w:rFonts w:ascii="Times New Roman" w:hAnsi="Times New Roman"/>
                      <w:b/>
                      <w:szCs w:val="24"/>
                    </w:rPr>
                  </w:pPr>
                  <w:r w:rsidRPr="004D0FC1">
                    <w:rPr>
                      <w:rFonts w:ascii="Times New Roman" w:hAnsi="Times New Roman"/>
                      <w:b/>
                      <w:szCs w:val="24"/>
                    </w:rPr>
                    <w:t>2016</w:t>
                  </w:r>
                </w:p>
              </w:tc>
              <w:tc>
                <w:tcPr>
                  <w:tcW w:w="1134" w:type="dxa"/>
                  <w:vAlign w:val="center"/>
                </w:tcPr>
                <w:p w14:paraId="37B1EC1D" w14:textId="2F50AD14" w:rsidR="005B41E4" w:rsidRPr="004D0FC1" w:rsidRDefault="005B41E4" w:rsidP="00DE6450">
                  <w:pPr>
                    <w:jc w:val="center"/>
                    <w:rPr>
                      <w:rFonts w:ascii="Times New Roman" w:hAnsi="Times New Roman"/>
                      <w:b/>
                      <w:szCs w:val="24"/>
                    </w:rPr>
                  </w:pPr>
                  <w:r w:rsidRPr="004D0FC1">
                    <w:rPr>
                      <w:rFonts w:ascii="Times New Roman" w:hAnsi="Times New Roman"/>
                      <w:b/>
                      <w:szCs w:val="24"/>
                    </w:rPr>
                    <w:t>2017</w:t>
                  </w:r>
                </w:p>
              </w:tc>
              <w:tc>
                <w:tcPr>
                  <w:tcW w:w="1134" w:type="dxa"/>
                  <w:vAlign w:val="center"/>
                </w:tcPr>
                <w:p w14:paraId="3FBBD63F" w14:textId="4033907D" w:rsidR="005B41E4" w:rsidRPr="004D0FC1" w:rsidRDefault="005B41E4" w:rsidP="00DE6450">
                  <w:pPr>
                    <w:jc w:val="center"/>
                    <w:rPr>
                      <w:rFonts w:ascii="Times New Roman" w:hAnsi="Times New Roman"/>
                      <w:b/>
                      <w:szCs w:val="24"/>
                    </w:rPr>
                  </w:pPr>
                  <w:r w:rsidRPr="004D0FC1">
                    <w:rPr>
                      <w:rFonts w:ascii="Times New Roman" w:hAnsi="Times New Roman"/>
                      <w:b/>
                      <w:szCs w:val="24"/>
                    </w:rPr>
                    <w:t>2018</w:t>
                  </w:r>
                </w:p>
              </w:tc>
              <w:tc>
                <w:tcPr>
                  <w:tcW w:w="1134" w:type="dxa"/>
                  <w:vAlign w:val="center"/>
                </w:tcPr>
                <w:p w14:paraId="24171431" w14:textId="18778356" w:rsidR="005B41E4" w:rsidRPr="004D0FC1" w:rsidRDefault="005B41E4" w:rsidP="00DE6450">
                  <w:pPr>
                    <w:jc w:val="center"/>
                    <w:rPr>
                      <w:rFonts w:ascii="Times New Roman" w:hAnsi="Times New Roman"/>
                      <w:b/>
                      <w:szCs w:val="24"/>
                    </w:rPr>
                  </w:pPr>
                  <w:r w:rsidRPr="004D0FC1">
                    <w:rPr>
                      <w:rFonts w:ascii="Times New Roman" w:hAnsi="Times New Roman"/>
                      <w:b/>
                      <w:szCs w:val="24"/>
                    </w:rPr>
                    <w:t>2019</w:t>
                  </w:r>
                </w:p>
              </w:tc>
              <w:tc>
                <w:tcPr>
                  <w:tcW w:w="1134" w:type="dxa"/>
                  <w:vAlign w:val="center"/>
                </w:tcPr>
                <w:p w14:paraId="246E6575" w14:textId="7F1DC4CD" w:rsidR="005B41E4" w:rsidRPr="004D0FC1" w:rsidRDefault="005B41E4" w:rsidP="00DE6450">
                  <w:pPr>
                    <w:jc w:val="center"/>
                    <w:rPr>
                      <w:rFonts w:ascii="Times New Roman" w:hAnsi="Times New Roman"/>
                      <w:b/>
                      <w:szCs w:val="24"/>
                    </w:rPr>
                  </w:pPr>
                  <w:r w:rsidRPr="004D0FC1">
                    <w:rPr>
                      <w:rFonts w:ascii="Times New Roman" w:hAnsi="Times New Roman"/>
                      <w:b/>
                      <w:szCs w:val="24"/>
                    </w:rPr>
                    <w:t>2020</w:t>
                  </w:r>
                </w:p>
              </w:tc>
            </w:tr>
            <w:tr w:rsidR="005B41E4" w14:paraId="29A91DC7" w14:textId="77777777" w:rsidTr="00DE6450">
              <w:trPr>
                <w:jc w:val="center"/>
              </w:trPr>
              <w:tc>
                <w:tcPr>
                  <w:tcW w:w="1766" w:type="dxa"/>
                </w:tcPr>
                <w:p w14:paraId="6B5BA641" w14:textId="2F48CFCA" w:rsidR="005B41E4" w:rsidRDefault="000E0833" w:rsidP="0059240F">
                  <w:pPr>
                    <w:jc w:val="both"/>
                    <w:rPr>
                      <w:rFonts w:ascii="Times New Roman" w:hAnsi="Times New Roman"/>
                      <w:szCs w:val="24"/>
                    </w:rPr>
                  </w:pPr>
                  <w:r>
                    <w:rPr>
                      <w:rFonts w:ascii="Times New Roman" w:hAnsi="Times New Roman"/>
                      <w:szCs w:val="24"/>
                    </w:rPr>
                    <w:t>dot. porozumień</w:t>
                  </w:r>
                </w:p>
              </w:tc>
              <w:tc>
                <w:tcPr>
                  <w:tcW w:w="1276" w:type="dxa"/>
                  <w:vAlign w:val="center"/>
                </w:tcPr>
                <w:p w14:paraId="3605FC02" w14:textId="6F3AC29A" w:rsidR="005B41E4" w:rsidRDefault="00AD7FB4" w:rsidP="00DE6450">
                  <w:pPr>
                    <w:jc w:val="center"/>
                    <w:rPr>
                      <w:rFonts w:ascii="Times New Roman" w:hAnsi="Times New Roman"/>
                      <w:szCs w:val="24"/>
                    </w:rPr>
                  </w:pPr>
                  <w:r>
                    <w:rPr>
                      <w:rFonts w:ascii="Times New Roman" w:hAnsi="Times New Roman"/>
                      <w:szCs w:val="24"/>
                    </w:rPr>
                    <w:t>3</w:t>
                  </w:r>
                </w:p>
              </w:tc>
              <w:tc>
                <w:tcPr>
                  <w:tcW w:w="1134" w:type="dxa"/>
                  <w:vAlign w:val="center"/>
                </w:tcPr>
                <w:p w14:paraId="1EA19DE3" w14:textId="168638DD" w:rsidR="005B41E4" w:rsidRDefault="00AD7FB4" w:rsidP="00DE6450">
                  <w:pPr>
                    <w:jc w:val="center"/>
                    <w:rPr>
                      <w:rFonts w:ascii="Times New Roman" w:hAnsi="Times New Roman"/>
                      <w:szCs w:val="24"/>
                    </w:rPr>
                  </w:pPr>
                  <w:r>
                    <w:rPr>
                      <w:rFonts w:ascii="Times New Roman" w:hAnsi="Times New Roman"/>
                      <w:szCs w:val="24"/>
                    </w:rPr>
                    <w:t>3</w:t>
                  </w:r>
                </w:p>
              </w:tc>
              <w:tc>
                <w:tcPr>
                  <w:tcW w:w="1134" w:type="dxa"/>
                  <w:vAlign w:val="center"/>
                </w:tcPr>
                <w:p w14:paraId="3932DA0B" w14:textId="18FC1D15" w:rsidR="005B41E4" w:rsidRDefault="00AD7FB4" w:rsidP="00DE6450">
                  <w:pPr>
                    <w:jc w:val="center"/>
                    <w:rPr>
                      <w:rFonts w:ascii="Times New Roman" w:hAnsi="Times New Roman"/>
                      <w:szCs w:val="24"/>
                    </w:rPr>
                  </w:pPr>
                  <w:r>
                    <w:rPr>
                      <w:rFonts w:ascii="Times New Roman" w:hAnsi="Times New Roman"/>
                      <w:szCs w:val="24"/>
                    </w:rPr>
                    <w:t>6</w:t>
                  </w:r>
                </w:p>
              </w:tc>
              <w:tc>
                <w:tcPr>
                  <w:tcW w:w="1134" w:type="dxa"/>
                  <w:vAlign w:val="center"/>
                </w:tcPr>
                <w:p w14:paraId="6EE3A3E5" w14:textId="7A1AA97D" w:rsidR="005B41E4" w:rsidRDefault="00AD7FB4" w:rsidP="00DE6450">
                  <w:pPr>
                    <w:jc w:val="center"/>
                    <w:rPr>
                      <w:rFonts w:ascii="Times New Roman" w:hAnsi="Times New Roman"/>
                      <w:szCs w:val="24"/>
                    </w:rPr>
                  </w:pPr>
                  <w:r>
                    <w:rPr>
                      <w:rFonts w:ascii="Times New Roman" w:hAnsi="Times New Roman"/>
                      <w:szCs w:val="24"/>
                    </w:rPr>
                    <w:t>8</w:t>
                  </w:r>
                </w:p>
              </w:tc>
              <w:tc>
                <w:tcPr>
                  <w:tcW w:w="1134" w:type="dxa"/>
                  <w:vAlign w:val="center"/>
                </w:tcPr>
                <w:p w14:paraId="2E138878" w14:textId="389E45A3" w:rsidR="005B41E4" w:rsidRDefault="00AD7FB4" w:rsidP="00DE6450">
                  <w:pPr>
                    <w:jc w:val="center"/>
                    <w:rPr>
                      <w:rFonts w:ascii="Times New Roman" w:hAnsi="Times New Roman"/>
                      <w:szCs w:val="24"/>
                    </w:rPr>
                  </w:pPr>
                  <w:r>
                    <w:rPr>
                      <w:rFonts w:ascii="Times New Roman" w:hAnsi="Times New Roman"/>
                      <w:szCs w:val="24"/>
                    </w:rPr>
                    <w:t>9</w:t>
                  </w:r>
                </w:p>
              </w:tc>
              <w:tc>
                <w:tcPr>
                  <w:tcW w:w="1134" w:type="dxa"/>
                  <w:vAlign w:val="center"/>
                </w:tcPr>
                <w:p w14:paraId="3E673C3C" w14:textId="6A10667F" w:rsidR="005B41E4" w:rsidRDefault="00AD7FB4" w:rsidP="00DE6450">
                  <w:pPr>
                    <w:jc w:val="center"/>
                    <w:rPr>
                      <w:rFonts w:ascii="Times New Roman" w:hAnsi="Times New Roman"/>
                      <w:szCs w:val="24"/>
                    </w:rPr>
                  </w:pPr>
                  <w:r>
                    <w:rPr>
                      <w:rFonts w:ascii="Times New Roman" w:hAnsi="Times New Roman"/>
                      <w:szCs w:val="24"/>
                    </w:rPr>
                    <w:t>7</w:t>
                  </w:r>
                </w:p>
              </w:tc>
              <w:tc>
                <w:tcPr>
                  <w:tcW w:w="1134" w:type="dxa"/>
                  <w:vAlign w:val="center"/>
                </w:tcPr>
                <w:p w14:paraId="197E9F11" w14:textId="4B00E579" w:rsidR="005B41E4" w:rsidRDefault="00AD7FB4" w:rsidP="00DE6450">
                  <w:pPr>
                    <w:jc w:val="center"/>
                    <w:rPr>
                      <w:rFonts w:ascii="Times New Roman" w:hAnsi="Times New Roman"/>
                      <w:szCs w:val="24"/>
                    </w:rPr>
                  </w:pPr>
                  <w:r>
                    <w:rPr>
                      <w:rFonts w:ascii="Times New Roman" w:hAnsi="Times New Roman"/>
                      <w:szCs w:val="24"/>
                    </w:rPr>
                    <w:t>1</w:t>
                  </w:r>
                </w:p>
              </w:tc>
            </w:tr>
            <w:tr w:rsidR="005B41E4" w14:paraId="6E407221" w14:textId="77777777" w:rsidTr="00DE6450">
              <w:trPr>
                <w:jc w:val="center"/>
              </w:trPr>
              <w:tc>
                <w:tcPr>
                  <w:tcW w:w="1766" w:type="dxa"/>
                </w:tcPr>
                <w:p w14:paraId="57E82386" w14:textId="26FA0780" w:rsidR="005B41E4" w:rsidRDefault="000E0833" w:rsidP="0059240F">
                  <w:pPr>
                    <w:jc w:val="both"/>
                    <w:rPr>
                      <w:rFonts w:ascii="Times New Roman" w:hAnsi="Times New Roman"/>
                      <w:szCs w:val="24"/>
                    </w:rPr>
                  </w:pPr>
                  <w:r>
                    <w:rPr>
                      <w:rFonts w:ascii="Times New Roman" w:hAnsi="Times New Roman"/>
                      <w:szCs w:val="24"/>
                    </w:rPr>
                    <w:t>dot. nadużywania pozycji dominującej</w:t>
                  </w:r>
                </w:p>
              </w:tc>
              <w:tc>
                <w:tcPr>
                  <w:tcW w:w="1276" w:type="dxa"/>
                  <w:vAlign w:val="center"/>
                </w:tcPr>
                <w:p w14:paraId="7FA7A969" w14:textId="3C487532" w:rsidR="005B41E4" w:rsidRDefault="00AD7FB4" w:rsidP="00DE6450">
                  <w:pPr>
                    <w:jc w:val="center"/>
                    <w:rPr>
                      <w:rFonts w:ascii="Times New Roman" w:hAnsi="Times New Roman"/>
                      <w:szCs w:val="24"/>
                    </w:rPr>
                  </w:pPr>
                  <w:r>
                    <w:rPr>
                      <w:rFonts w:ascii="Times New Roman" w:hAnsi="Times New Roman"/>
                      <w:szCs w:val="24"/>
                    </w:rPr>
                    <w:t>0</w:t>
                  </w:r>
                </w:p>
              </w:tc>
              <w:tc>
                <w:tcPr>
                  <w:tcW w:w="1134" w:type="dxa"/>
                  <w:vAlign w:val="center"/>
                </w:tcPr>
                <w:p w14:paraId="5E1B2A43" w14:textId="3640329A" w:rsidR="005B41E4" w:rsidRDefault="00AD7FB4" w:rsidP="00DE6450">
                  <w:pPr>
                    <w:jc w:val="center"/>
                    <w:rPr>
                      <w:rFonts w:ascii="Times New Roman" w:hAnsi="Times New Roman"/>
                      <w:szCs w:val="24"/>
                    </w:rPr>
                  </w:pPr>
                  <w:r>
                    <w:rPr>
                      <w:rFonts w:ascii="Times New Roman" w:hAnsi="Times New Roman"/>
                      <w:szCs w:val="24"/>
                    </w:rPr>
                    <w:t>0</w:t>
                  </w:r>
                </w:p>
              </w:tc>
              <w:tc>
                <w:tcPr>
                  <w:tcW w:w="1134" w:type="dxa"/>
                  <w:vAlign w:val="center"/>
                </w:tcPr>
                <w:p w14:paraId="533135C3" w14:textId="1AF45C56" w:rsidR="005B41E4" w:rsidRDefault="00AD7FB4" w:rsidP="00DE6450">
                  <w:pPr>
                    <w:jc w:val="center"/>
                    <w:rPr>
                      <w:rFonts w:ascii="Times New Roman" w:hAnsi="Times New Roman"/>
                      <w:szCs w:val="24"/>
                    </w:rPr>
                  </w:pPr>
                  <w:r>
                    <w:rPr>
                      <w:rFonts w:ascii="Times New Roman" w:hAnsi="Times New Roman"/>
                      <w:szCs w:val="24"/>
                    </w:rPr>
                    <w:t>0</w:t>
                  </w:r>
                </w:p>
              </w:tc>
              <w:tc>
                <w:tcPr>
                  <w:tcW w:w="1134" w:type="dxa"/>
                  <w:vAlign w:val="center"/>
                </w:tcPr>
                <w:p w14:paraId="21E8697C" w14:textId="0C415C27" w:rsidR="005B41E4" w:rsidRDefault="00AD7FB4" w:rsidP="00DE6450">
                  <w:pPr>
                    <w:jc w:val="center"/>
                    <w:rPr>
                      <w:rFonts w:ascii="Times New Roman" w:hAnsi="Times New Roman"/>
                      <w:szCs w:val="24"/>
                    </w:rPr>
                  </w:pPr>
                  <w:r>
                    <w:rPr>
                      <w:rFonts w:ascii="Times New Roman" w:hAnsi="Times New Roman"/>
                      <w:szCs w:val="24"/>
                    </w:rPr>
                    <w:t>1</w:t>
                  </w:r>
                </w:p>
              </w:tc>
              <w:tc>
                <w:tcPr>
                  <w:tcW w:w="1134" w:type="dxa"/>
                  <w:vAlign w:val="center"/>
                </w:tcPr>
                <w:p w14:paraId="6C23863F" w14:textId="2AE2488C" w:rsidR="005B41E4" w:rsidRDefault="00AD7FB4" w:rsidP="00DE6450">
                  <w:pPr>
                    <w:jc w:val="center"/>
                    <w:rPr>
                      <w:rFonts w:ascii="Times New Roman" w:hAnsi="Times New Roman"/>
                      <w:szCs w:val="24"/>
                    </w:rPr>
                  </w:pPr>
                  <w:r>
                    <w:rPr>
                      <w:rFonts w:ascii="Times New Roman" w:hAnsi="Times New Roman"/>
                      <w:szCs w:val="24"/>
                    </w:rPr>
                    <w:t>0</w:t>
                  </w:r>
                </w:p>
              </w:tc>
              <w:tc>
                <w:tcPr>
                  <w:tcW w:w="1134" w:type="dxa"/>
                  <w:vAlign w:val="center"/>
                </w:tcPr>
                <w:p w14:paraId="29E214AD" w14:textId="123909E7" w:rsidR="005B41E4" w:rsidRDefault="00AD7FB4" w:rsidP="00DE6450">
                  <w:pPr>
                    <w:jc w:val="center"/>
                    <w:rPr>
                      <w:rFonts w:ascii="Times New Roman" w:hAnsi="Times New Roman"/>
                      <w:szCs w:val="24"/>
                    </w:rPr>
                  </w:pPr>
                  <w:r>
                    <w:rPr>
                      <w:rFonts w:ascii="Times New Roman" w:hAnsi="Times New Roman"/>
                      <w:szCs w:val="24"/>
                    </w:rPr>
                    <w:t>1</w:t>
                  </w:r>
                </w:p>
              </w:tc>
              <w:tc>
                <w:tcPr>
                  <w:tcW w:w="1134" w:type="dxa"/>
                  <w:vAlign w:val="center"/>
                </w:tcPr>
                <w:p w14:paraId="613FF900" w14:textId="754B4D19" w:rsidR="005B41E4" w:rsidRDefault="00AD7FB4" w:rsidP="00DE6450">
                  <w:pPr>
                    <w:jc w:val="center"/>
                    <w:rPr>
                      <w:rFonts w:ascii="Times New Roman" w:hAnsi="Times New Roman"/>
                      <w:szCs w:val="24"/>
                    </w:rPr>
                  </w:pPr>
                  <w:r>
                    <w:rPr>
                      <w:rFonts w:ascii="Times New Roman" w:hAnsi="Times New Roman"/>
                      <w:szCs w:val="24"/>
                    </w:rPr>
                    <w:t>1</w:t>
                  </w:r>
                </w:p>
              </w:tc>
            </w:tr>
            <w:tr w:rsidR="00E51DDC" w14:paraId="6BACA1B7" w14:textId="77777777" w:rsidTr="00DE6450">
              <w:trPr>
                <w:jc w:val="center"/>
              </w:trPr>
              <w:tc>
                <w:tcPr>
                  <w:tcW w:w="1766" w:type="dxa"/>
                </w:tcPr>
                <w:p w14:paraId="16AFB000" w14:textId="0D72267A" w:rsidR="00E51DDC" w:rsidRPr="00AD7FB4" w:rsidRDefault="00AD7FB4" w:rsidP="0059240F">
                  <w:pPr>
                    <w:jc w:val="both"/>
                    <w:rPr>
                      <w:rFonts w:ascii="Times New Roman" w:hAnsi="Times New Roman"/>
                      <w:b/>
                      <w:szCs w:val="24"/>
                    </w:rPr>
                  </w:pPr>
                  <w:r w:rsidRPr="00AD7FB4">
                    <w:rPr>
                      <w:rFonts w:ascii="Times New Roman" w:hAnsi="Times New Roman"/>
                      <w:b/>
                      <w:szCs w:val="24"/>
                    </w:rPr>
                    <w:t>OGÓŁEM</w:t>
                  </w:r>
                </w:p>
              </w:tc>
              <w:tc>
                <w:tcPr>
                  <w:tcW w:w="1276" w:type="dxa"/>
                  <w:vAlign w:val="center"/>
                </w:tcPr>
                <w:p w14:paraId="6CFFACFE" w14:textId="42C4E4B1" w:rsidR="00E51DDC" w:rsidRDefault="00AD7FB4" w:rsidP="00DE6450">
                  <w:pPr>
                    <w:jc w:val="center"/>
                    <w:rPr>
                      <w:rFonts w:ascii="Times New Roman" w:hAnsi="Times New Roman"/>
                      <w:szCs w:val="24"/>
                    </w:rPr>
                  </w:pPr>
                  <w:r>
                    <w:rPr>
                      <w:rFonts w:ascii="Times New Roman" w:hAnsi="Times New Roman"/>
                      <w:szCs w:val="24"/>
                    </w:rPr>
                    <w:t>3</w:t>
                  </w:r>
                </w:p>
              </w:tc>
              <w:tc>
                <w:tcPr>
                  <w:tcW w:w="1134" w:type="dxa"/>
                  <w:vAlign w:val="center"/>
                </w:tcPr>
                <w:p w14:paraId="279C6C12" w14:textId="57E22040" w:rsidR="00E51DDC" w:rsidRDefault="00AD7FB4" w:rsidP="00DE6450">
                  <w:pPr>
                    <w:jc w:val="center"/>
                    <w:rPr>
                      <w:rFonts w:ascii="Times New Roman" w:hAnsi="Times New Roman"/>
                      <w:szCs w:val="24"/>
                    </w:rPr>
                  </w:pPr>
                  <w:r>
                    <w:rPr>
                      <w:rFonts w:ascii="Times New Roman" w:hAnsi="Times New Roman"/>
                      <w:szCs w:val="24"/>
                    </w:rPr>
                    <w:t>3</w:t>
                  </w:r>
                </w:p>
              </w:tc>
              <w:tc>
                <w:tcPr>
                  <w:tcW w:w="1134" w:type="dxa"/>
                  <w:vAlign w:val="center"/>
                </w:tcPr>
                <w:p w14:paraId="36EABE0A" w14:textId="2B872171" w:rsidR="00E51DDC" w:rsidRDefault="00AD7FB4" w:rsidP="00DE6450">
                  <w:pPr>
                    <w:jc w:val="center"/>
                    <w:rPr>
                      <w:rFonts w:ascii="Times New Roman" w:hAnsi="Times New Roman"/>
                      <w:szCs w:val="24"/>
                    </w:rPr>
                  </w:pPr>
                  <w:r>
                    <w:rPr>
                      <w:rFonts w:ascii="Times New Roman" w:hAnsi="Times New Roman"/>
                      <w:szCs w:val="24"/>
                    </w:rPr>
                    <w:t>6</w:t>
                  </w:r>
                </w:p>
              </w:tc>
              <w:tc>
                <w:tcPr>
                  <w:tcW w:w="1134" w:type="dxa"/>
                  <w:vAlign w:val="center"/>
                </w:tcPr>
                <w:p w14:paraId="668954C1" w14:textId="42790AC0" w:rsidR="00E51DDC" w:rsidRDefault="00AD7FB4" w:rsidP="00DE6450">
                  <w:pPr>
                    <w:jc w:val="center"/>
                    <w:rPr>
                      <w:rFonts w:ascii="Times New Roman" w:hAnsi="Times New Roman"/>
                      <w:szCs w:val="24"/>
                    </w:rPr>
                  </w:pPr>
                  <w:r>
                    <w:rPr>
                      <w:rFonts w:ascii="Times New Roman" w:hAnsi="Times New Roman"/>
                      <w:szCs w:val="24"/>
                    </w:rPr>
                    <w:t>9</w:t>
                  </w:r>
                </w:p>
              </w:tc>
              <w:tc>
                <w:tcPr>
                  <w:tcW w:w="1134" w:type="dxa"/>
                  <w:vAlign w:val="center"/>
                </w:tcPr>
                <w:p w14:paraId="3D85691F" w14:textId="4605DD87" w:rsidR="00E51DDC" w:rsidRDefault="00AD7FB4" w:rsidP="00DE6450">
                  <w:pPr>
                    <w:jc w:val="center"/>
                    <w:rPr>
                      <w:rFonts w:ascii="Times New Roman" w:hAnsi="Times New Roman"/>
                      <w:szCs w:val="24"/>
                    </w:rPr>
                  </w:pPr>
                  <w:r>
                    <w:rPr>
                      <w:rFonts w:ascii="Times New Roman" w:hAnsi="Times New Roman"/>
                      <w:szCs w:val="24"/>
                    </w:rPr>
                    <w:t>9</w:t>
                  </w:r>
                </w:p>
              </w:tc>
              <w:tc>
                <w:tcPr>
                  <w:tcW w:w="1134" w:type="dxa"/>
                  <w:vAlign w:val="center"/>
                </w:tcPr>
                <w:p w14:paraId="421EB183" w14:textId="24F7A1A4" w:rsidR="00E51DDC" w:rsidRDefault="00AD7FB4" w:rsidP="00DE6450">
                  <w:pPr>
                    <w:jc w:val="center"/>
                    <w:rPr>
                      <w:rFonts w:ascii="Times New Roman" w:hAnsi="Times New Roman"/>
                      <w:szCs w:val="24"/>
                    </w:rPr>
                  </w:pPr>
                  <w:r>
                    <w:rPr>
                      <w:rFonts w:ascii="Times New Roman" w:hAnsi="Times New Roman"/>
                      <w:szCs w:val="24"/>
                    </w:rPr>
                    <w:t>8</w:t>
                  </w:r>
                </w:p>
              </w:tc>
              <w:tc>
                <w:tcPr>
                  <w:tcW w:w="1134" w:type="dxa"/>
                  <w:vAlign w:val="center"/>
                </w:tcPr>
                <w:p w14:paraId="2E8CD3F8" w14:textId="0FD016A6" w:rsidR="00E51DDC" w:rsidRDefault="00AD7FB4" w:rsidP="00DE6450">
                  <w:pPr>
                    <w:jc w:val="center"/>
                    <w:rPr>
                      <w:rFonts w:ascii="Times New Roman" w:hAnsi="Times New Roman"/>
                      <w:szCs w:val="24"/>
                    </w:rPr>
                  </w:pPr>
                  <w:r>
                    <w:rPr>
                      <w:rFonts w:ascii="Times New Roman" w:hAnsi="Times New Roman"/>
                      <w:szCs w:val="24"/>
                    </w:rPr>
                    <w:t>2</w:t>
                  </w:r>
                </w:p>
              </w:tc>
            </w:tr>
          </w:tbl>
          <w:p w14:paraId="60814967" w14:textId="783EE243" w:rsidR="0059240F" w:rsidRDefault="0059240F" w:rsidP="0059240F">
            <w:pPr>
              <w:jc w:val="both"/>
              <w:rPr>
                <w:rFonts w:ascii="Times New Roman" w:hAnsi="Times New Roman"/>
                <w:szCs w:val="24"/>
              </w:rPr>
            </w:pPr>
          </w:p>
          <w:p w14:paraId="1F7B2153" w14:textId="26DDFF46" w:rsidR="00AF31C4" w:rsidRPr="00D033E3" w:rsidRDefault="00AF31C4" w:rsidP="004D0FC1">
            <w:pPr>
              <w:ind w:firstLine="779"/>
              <w:jc w:val="both"/>
              <w:rPr>
                <w:rFonts w:ascii="Times New Roman" w:hAnsi="Times New Roman"/>
                <w:szCs w:val="24"/>
              </w:rPr>
            </w:pPr>
            <w:r>
              <w:rPr>
                <w:rFonts w:ascii="Times New Roman" w:hAnsi="Times New Roman"/>
                <w:szCs w:val="24"/>
              </w:rPr>
              <w:t>W odniesieniu do ostatnich lat, w</w:t>
            </w:r>
            <w:r w:rsidRPr="00AF31C4">
              <w:rPr>
                <w:rFonts w:ascii="Times New Roman" w:hAnsi="Times New Roman"/>
                <w:szCs w:val="24"/>
              </w:rPr>
              <w:t xml:space="preserve"> 2019</w:t>
            </w:r>
            <w:r>
              <w:rPr>
                <w:rFonts w:ascii="Times New Roman" w:hAnsi="Times New Roman"/>
                <w:szCs w:val="24"/>
              </w:rPr>
              <w:t xml:space="preserve"> UOKiK przeprowadził</w:t>
            </w:r>
            <w:r w:rsidRPr="00AF31C4">
              <w:rPr>
                <w:rFonts w:ascii="Times New Roman" w:hAnsi="Times New Roman"/>
                <w:szCs w:val="24"/>
              </w:rPr>
              <w:t xml:space="preserve"> 8 przeszukań, z </w:t>
            </w:r>
            <w:r w:rsidR="00821458">
              <w:rPr>
                <w:rFonts w:ascii="Times New Roman" w:hAnsi="Times New Roman"/>
                <w:szCs w:val="24"/>
              </w:rPr>
              <w:t>czego</w:t>
            </w:r>
            <w:r w:rsidRPr="00AF31C4">
              <w:rPr>
                <w:rFonts w:ascii="Times New Roman" w:hAnsi="Times New Roman"/>
                <w:szCs w:val="24"/>
              </w:rPr>
              <w:t xml:space="preserve"> jedno </w:t>
            </w:r>
            <w:r w:rsidR="00821458">
              <w:rPr>
                <w:rFonts w:ascii="Times New Roman" w:hAnsi="Times New Roman"/>
                <w:szCs w:val="24"/>
              </w:rPr>
              <w:t xml:space="preserve">z nich </w:t>
            </w:r>
            <w:r w:rsidRPr="00AF31C4">
              <w:rPr>
                <w:rFonts w:ascii="Times New Roman" w:hAnsi="Times New Roman"/>
                <w:szCs w:val="24"/>
              </w:rPr>
              <w:t>dotyczyło nadużywania pozycji dominującej</w:t>
            </w:r>
            <w:r w:rsidR="00821458">
              <w:rPr>
                <w:rFonts w:ascii="Times New Roman" w:hAnsi="Times New Roman"/>
                <w:szCs w:val="24"/>
              </w:rPr>
              <w:t xml:space="preserve">, </w:t>
            </w:r>
            <w:r w:rsidRPr="00AF31C4">
              <w:rPr>
                <w:rFonts w:ascii="Times New Roman" w:hAnsi="Times New Roman"/>
                <w:szCs w:val="24"/>
              </w:rPr>
              <w:t>dwa porozumień wertykalnych,</w:t>
            </w:r>
            <w:r w:rsidR="00821458">
              <w:rPr>
                <w:rFonts w:ascii="Times New Roman" w:hAnsi="Times New Roman"/>
                <w:szCs w:val="24"/>
              </w:rPr>
              <w:t xml:space="preserve"> </w:t>
            </w:r>
            <w:r w:rsidRPr="00AF31C4">
              <w:rPr>
                <w:rFonts w:ascii="Times New Roman" w:hAnsi="Times New Roman"/>
                <w:szCs w:val="24"/>
              </w:rPr>
              <w:t xml:space="preserve">jedno - </w:t>
            </w:r>
            <w:r w:rsidRPr="00C37129">
              <w:rPr>
                <w:rFonts w:ascii="Times New Roman" w:hAnsi="Times New Roman"/>
                <w:i/>
                <w:szCs w:val="24"/>
              </w:rPr>
              <w:t xml:space="preserve">hub and </w:t>
            </w:r>
            <w:proofErr w:type="spellStart"/>
            <w:r w:rsidRPr="00C37129">
              <w:rPr>
                <w:rFonts w:ascii="Times New Roman" w:hAnsi="Times New Roman"/>
                <w:i/>
                <w:szCs w:val="24"/>
              </w:rPr>
              <w:t>spoke</w:t>
            </w:r>
            <w:proofErr w:type="spellEnd"/>
            <w:r w:rsidR="00821458">
              <w:rPr>
                <w:rFonts w:ascii="Times New Roman" w:hAnsi="Times New Roman"/>
                <w:szCs w:val="24"/>
              </w:rPr>
              <w:t xml:space="preserve">, </w:t>
            </w:r>
            <w:r w:rsidRPr="00AF31C4">
              <w:rPr>
                <w:rFonts w:ascii="Times New Roman" w:hAnsi="Times New Roman"/>
                <w:szCs w:val="24"/>
              </w:rPr>
              <w:t>jedno</w:t>
            </w:r>
            <w:r w:rsidR="00821458">
              <w:rPr>
                <w:rFonts w:ascii="Times New Roman" w:hAnsi="Times New Roman"/>
                <w:szCs w:val="24"/>
              </w:rPr>
              <w:t xml:space="preserve"> </w:t>
            </w:r>
            <w:r w:rsidRPr="00AF31C4">
              <w:rPr>
                <w:rFonts w:ascii="Times New Roman" w:hAnsi="Times New Roman"/>
                <w:szCs w:val="24"/>
              </w:rPr>
              <w:t>porozumieni</w:t>
            </w:r>
            <w:r w:rsidR="00821458">
              <w:rPr>
                <w:rFonts w:ascii="Times New Roman" w:hAnsi="Times New Roman"/>
                <w:szCs w:val="24"/>
              </w:rPr>
              <w:t>a</w:t>
            </w:r>
            <w:r w:rsidRPr="00AF31C4">
              <w:rPr>
                <w:rFonts w:ascii="Times New Roman" w:hAnsi="Times New Roman"/>
                <w:szCs w:val="24"/>
              </w:rPr>
              <w:t xml:space="preserve"> wertykalno-horyzontalne</w:t>
            </w:r>
            <w:r w:rsidR="00821458">
              <w:rPr>
                <w:rFonts w:ascii="Times New Roman" w:hAnsi="Times New Roman"/>
                <w:szCs w:val="24"/>
              </w:rPr>
              <w:t xml:space="preserve">go oraz </w:t>
            </w:r>
            <w:r w:rsidRPr="00AF31C4">
              <w:rPr>
                <w:rFonts w:ascii="Times New Roman" w:hAnsi="Times New Roman"/>
                <w:szCs w:val="24"/>
              </w:rPr>
              <w:t>trzy - porozumie</w:t>
            </w:r>
            <w:r w:rsidR="00821458">
              <w:rPr>
                <w:rFonts w:ascii="Times New Roman" w:hAnsi="Times New Roman"/>
                <w:szCs w:val="24"/>
              </w:rPr>
              <w:t>ń</w:t>
            </w:r>
            <w:r w:rsidRPr="00AF31C4">
              <w:rPr>
                <w:rFonts w:ascii="Times New Roman" w:hAnsi="Times New Roman"/>
                <w:szCs w:val="24"/>
              </w:rPr>
              <w:t xml:space="preserve"> horyzontaln</w:t>
            </w:r>
            <w:r w:rsidR="00821458">
              <w:rPr>
                <w:rFonts w:ascii="Times New Roman" w:hAnsi="Times New Roman"/>
                <w:szCs w:val="24"/>
              </w:rPr>
              <w:t>ych</w:t>
            </w:r>
            <w:r w:rsidRPr="00AF31C4">
              <w:rPr>
                <w:rFonts w:ascii="Times New Roman" w:hAnsi="Times New Roman"/>
                <w:szCs w:val="24"/>
              </w:rPr>
              <w:t>.</w:t>
            </w:r>
            <w:r w:rsidR="00B47ACF">
              <w:rPr>
                <w:rFonts w:ascii="Times New Roman" w:hAnsi="Times New Roman"/>
                <w:szCs w:val="24"/>
              </w:rPr>
              <w:t xml:space="preserve"> Do chwili obecnej w 2020 r. UOKiK przeprowadził </w:t>
            </w:r>
            <w:r w:rsidR="004D0FC1">
              <w:rPr>
                <w:rFonts w:ascii="Times New Roman" w:hAnsi="Times New Roman"/>
                <w:szCs w:val="24"/>
              </w:rPr>
              <w:br/>
            </w:r>
            <w:r w:rsidRPr="00AF31C4">
              <w:rPr>
                <w:rFonts w:ascii="Times New Roman" w:hAnsi="Times New Roman"/>
                <w:szCs w:val="24"/>
              </w:rPr>
              <w:t>2 przeszukania</w:t>
            </w:r>
            <w:r w:rsidR="00B47ACF">
              <w:rPr>
                <w:rFonts w:ascii="Times New Roman" w:hAnsi="Times New Roman"/>
                <w:szCs w:val="24"/>
              </w:rPr>
              <w:t xml:space="preserve">, jedno dotyczące </w:t>
            </w:r>
            <w:r w:rsidRPr="00AF31C4">
              <w:rPr>
                <w:rFonts w:ascii="Times New Roman" w:hAnsi="Times New Roman"/>
                <w:szCs w:val="24"/>
              </w:rPr>
              <w:t>nadużywani</w:t>
            </w:r>
            <w:r w:rsidR="00B47ACF">
              <w:rPr>
                <w:rFonts w:ascii="Times New Roman" w:hAnsi="Times New Roman"/>
                <w:szCs w:val="24"/>
              </w:rPr>
              <w:t>a</w:t>
            </w:r>
            <w:r w:rsidRPr="00AF31C4">
              <w:rPr>
                <w:rFonts w:ascii="Times New Roman" w:hAnsi="Times New Roman"/>
                <w:szCs w:val="24"/>
              </w:rPr>
              <w:t xml:space="preserve"> pozycji, </w:t>
            </w:r>
            <w:r w:rsidR="00B47ACF">
              <w:rPr>
                <w:rFonts w:ascii="Times New Roman" w:hAnsi="Times New Roman"/>
                <w:szCs w:val="24"/>
              </w:rPr>
              <w:t xml:space="preserve">zaś </w:t>
            </w:r>
            <w:r w:rsidRPr="00AF31C4">
              <w:rPr>
                <w:rFonts w:ascii="Times New Roman" w:hAnsi="Times New Roman"/>
                <w:szCs w:val="24"/>
              </w:rPr>
              <w:t>drugie dotyczące porozumienia horyzontalnego.</w:t>
            </w:r>
          </w:p>
          <w:p w14:paraId="681067A3" w14:textId="56122ECC" w:rsidR="00D35E09" w:rsidRDefault="00D033E3" w:rsidP="00312E45">
            <w:pPr>
              <w:ind w:firstLine="771"/>
              <w:jc w:val="both"/>
              <w:rPr>
                <w:rFonts w:ascii="Times New Roman" w:hAnsi="Times New Roman"/>
                <w:szCs w:val="24"/>
              </w:rPr>
            </w:pPr>
            <w:r w:rsidRPr="00D033E3">
              <w:rPr>
                <w:rFonts w:ascii="Times New Roman" w:hAnsi="Times New Roman"/>
                <w:szCs w:val="24"/>
              </w:rPr>
              <w:t>Trybunał Konstytucyjny w wyroku z dnia 16 stycznia 2019 r. sygn. P19/17,</w:t>
            </w:r>
            <w:r w:rsidR="00530E04">
              <w:rPr>
                <w:rFonts w:ascii="Times New Roman" w:hAnsi="Times New Roman"/>
                <w:szCs w:val="24"/>
              </w:rPr>
              <w:t xml:space="preserve"> stwierdził niezgodność braku </w:t>
            </w:r>
            <w:r w:rsidR="00530E04" w:rsidRPr="00D033E3">
              <w:rPr>
                <w:rFonts w:ascii="Times New Roman" w:hAnsi="Times New Roman"/>
                <w:szCs w:val="24"/>
              </w:rPr>
              <w:t>kontroli sądowej postanowienia sądu ochrony konkurencji i konsumentów w przedmiocie wniosku Prezesa Urzędu o wyrażenie zgody na przeprowadzenie przeszukania</w:t>
            </w:r>
            <w:r w:rsidR="00F97375">
              <w:rPr>
                <w:rFonts w:ascii="Times New Roman" w:hAnsi="Times New Roman"/>
                <w:szCs w:val="24"/>
              </w:rPr>
              <w:t xml:space="preserve"> </w:t>
            </w:r>
            <w:r w:rsidR="00F97375" w:rsidRPr="00D033E3">
              <w:rPr>
                <w:rFonts w:ascii="Times New Roman" w:hAnsi="Times New Roman"/>
                <w:szCs w:val="24"/>
              </w:rPr>
              <w:t>z art. 78 w związku z art. 45 ust. 1 Konstytucji Rzeczypospolitej Polskiej</w:t>
            </w:r>
            <w:r w:rsidR="00F97375">
              <w:rPr>
                <w:rFonts w:ascii="Times New Roman" w:hAnsi="Times New Roman"/>
                <w:szCs w:val="24"/>
              </w:rPr>
              <w:t xml:space="preserve">. </w:t>
            </w:r>
          </w:p>
          <w:p w14:paraId="4316B1CF" w14:textId="6B856F94" w:rsidR="00851E77" w:rsidRPr="00312E45" w:rsidRDefault="00D033E3" w:rsidP="00312E45">
            <w:pPr>
              <w:ind w:firstLine="771"/>
              <w:jc w:val="both"/>
              <w:rPr>
                <w:rFonts w:ascii="Times New Roman" w:hAnsi="Times New Roman"/>
                <w:szCs w:val="24"/>
              </w:rPr>
            </w:pPr>
            <w:r w:rsidRPr="00D033E3">
              <w:rPr>
                <w:rFonts w:ascii="Times New Roman" w:hAnsi="Times New Roman"/>
                <w:szCs w:val="24"/>
              </w:rPr>
              <w:t xml:space="preserve">Wobec powyższego, konieczna jest nowelizacja </w:t>
            </w:r>
            <w:proofErr w:type="spellStart"/>
            <w:r w:rsidR="00E8611A">
              <w:rPr>
                <w:rFonts w:ascii="Times New Roman" w:hAnsi="Times New Roman"/>
                <w:szCs w:val="24"/>
              </w:rPr>
              <w:t>u.o.k.k</w:t>
            </w:r>
            <w:proofErr w:type="spellEnd"/>
            <w:r w:rsidR="00E8611A">
              <w:rPr>
                <w:rFonts w:ascii="Times New Roman" w:hAnsi="Times New Roman"/>
                <w:szCs w:val="24"/>
              </w:rPr>
              <w:t xml:space="preserve">. </w:t>
            </w:r>
            <w:r w:rsidRPr="00D033E3">
              <w:rPr>
                <w:rFonts w:ascii="Times New Roman" w:hAnsi="Times New Roman"/>
                <w:szCs w:val="24"/>
              </w:rPr>
              <w:t>w celu zapewnienia kontroli sądowej postanowienia sądu ochrony konkurencji i konsumentów w przedmiocie wniosku Prezesa Urzędu o wyrażenie zgody na przeprowadzenie przeszukania oraz uregulowania pozostałych kwestii proceduralnych</w:t>
            </w:r>
            <w:r w:rsidR="00E8611A">
              <w:rPr>
                <w:rFonts w:ascii="Times New Roman" w:hAnsi="Times New Roman"/>
                <w:szCs w:val="24"/>
              </w:rPr>
              <w:t>,</w:t>
            </w:r>
            <w:r w:rsidRPr="00D033E3">
              <w:rPr>
                <w:rFonts w:ascii="Times New Roman" w:hAnsi="Times New Roman"/>
                <w:szCs w:val="24"/>
              </w:rPr>
              <w:t xml:space="preserve"> związanych z uprawnieniem do wniesienia zażalenia na przedmiotowe orzeczenie sądu (m.in. kwestii sposobu i terminu doręczenia przedsiębiorcy postanowienia sądu wyrażającego zgodę na przeszukanie, wyraźnego wskazania w przepisach, że wniesienie zażalenia na ww. postanowienie nie wstrzymuje przeszukania).  </w:t>
            </w:r>
          </w:p>
          <w:p w14:paraId="518B6C0A" w14:textId="08DD369F" w:rsidR="000F27F5" w:rsidRPr="00903F90" w:rsidRDefault="00DD0194" w:rsidP="009310FA">
            <w:pPr>
              <w:pStyle w:val="mcntmsonormal1"/>
              <w:numPr>
                <w:ilvl w:val="0"/>
                <w:numId w:val="2"/>
              </w:numPr>
              <w:spacing w:before="120" w:after="120" w:line="276" w:lineRule="auto"/>
              <w:ind w:left="714" w:hanging="357"/>
              <w:jc w:val="both"/>
              <w:rPr>
                <w:b/>
                <w:sz w:val="22"/>
              </w:rPr>
            </w:pPr>
            <w:r w:rsidRPr="00DD0194">
              <w:rPr>
                <w:b/>
                <w:sz w:val="22"/>
                <w:szCs w:val="22"/>
                <w:lang w:eastAsia="en-US"/>
              </w:rPr>
              <w:t xml:space="preserve">Zmiany w innych ustawach (KPC, KK, ustawa </w:t>
            </w:r>
            <w:r w:rsidRPr="009310FA">
              <w:rPr>
                <w:b/>
                <w:i/>
                <w:sz w:val="22"/>
                <w:szCs w:val="22"/>
                <w:lang w:eastAsia="en-US"/>
              </w:rPr>
              <w:t>o postępowaniu egzekucyjnym w administracji</w:t>
            </w:r>
            <w:r w:rsidRPr="00DD0194">
              <w:rPr>
                <w:b/>
                <w:sz w:val="22"/>
                <w:szCs w:val="22"/>
                <w:lang w:eastAsia="en-US"/>
              </w:rPr>
              <w:t xml:space="preserve">, ustawa </w:t>
            </w:r>
            <w:r>
              <w:rPr>
                <w:b/>
                <w:sz w:val="22"/>
                <w:szCs w:val="22"/>
                <w:lang w:eastAsia="en-US"/>
              </w:rPr>
              <w:br/>
            </w:r>
            <w:r w:rsidRPr="009310FA">
              <w:rPr>
                <w:b/>
                <w:i/>
                <w:sz w:val="22"/>
                <w:szCs w:val="22"/>
                <w:lang w:eastAsia="en-US"/>
              </w:rPr>
              <w:t xml:space="preserve">o przeciwdziałaniu nieuczciwemu wykorzystywaniu przewagi kontraktowej w obrocie produktami rolnymi </w:t>
            </w:r>
            <w:r>
              <w:rPr>
                <w:b/>
                <w:i/>
                <w:sz w:val="22"/>
                <w:szCs w:val="22"/>
                <w:lang w:eastAsia="en-US"/>
              </w:rPr>
              <w:br/>
            </w:r>
            <w:r w:rsidRPr="009310FA">
              <w:rPr>
                <w:b/>
                <w:i/>
                <w:sz w:val="22"/>
                <w:szCs w:val="22"/>
                <w:lang w:eastAsia="en-US"/>
              </w:rPr>
              <w:t>i spożywczymi</w:t>
            </w:r>
            <w:r w:rsidRPr="00DD0194">
              <w:rPr>
                <w:b/>
                <w:sz w:val="22"/>
                <w:szCs w:val="22"/>
                <w:lang w:eastAsia="en-US"/>
              </w:rPr>
              <w:t>), wynikające z konieczności wdrożenia Dyrektywy</w:t>
            </w:r>
          </w:p>
          <w:p w14:paraId="5B1AF159" w14:textId="0824C29E" w:rsidR="002B22C2" w:rsidRPr="002B22C2" w:rsidRDefault="00DD11A7" w:rsidP="006739C7">
            <w:pPr>
              <w:ind w:firstLine="771"/>
              <w:jc w:val="both"/>
              <w:rPr>
                <w:rFonts w:ascii="Times New Roman" w:hAnsi="Times New Roman"/>
                <w:sz w:val="24"/>
                <w:szCs w:val="24"/>
              </w:rPr>
            </w:pPr>
            <w:r w:rsidRPr="00A9531D">
              <w:rPr>
                <w:rFonts w:ascii="Times New Roman" w:hAnsi="Times New Roman"/>
                <w:szCs w:val="24"/>
              </w:rPr>
              <w:t>W celu zapewnienia prawidłowego funkcjonowania</w:t>
            </w:r>
            <w:r w:rsidR="00A9531D" w:rsidRPr="00A9531D">
              <w:rPr>
                <w:rFonts w:ascii="Times New Roman" w:hAnsi="Times New Roman"/>
                <w:szCs w:val="24"/>
              </w:rPr>
              <w:t xml:space="preserve"> oraz </w:t>
            </w:r>
            <w:r w:rsidRPr="00A9531D">
              <w:rPr>
                <w:rFonts w:ascii="Times New Roman" w:hAnsi="Times New Roman"/>
                <w:szCs w:val="24"/>
              </w:rPr>
              <w:t>skuteczności projektowanych przepisów</w:t>
            </w:r>
            <w:r w:rsidR="00A9531D" w:rsidRPr="00A9531D">
              <w:rPr>
                <w:rFonts w:ascii="Times New Roman" w:hAnsi="Times New Roman"/>
                <w:szCs w:val="24"/>
              </w:rPr>
              <w:t>, niezbędne jest dokonanie szeregu zmian o charakterze dostosowawczym także w innych aktach prawnych.</w:t>
            </w:r>
            <w:r w:rsidRPr="00A9531D">
              <w:rPr>
                <w:rFonts w:ascii="Times New Roman" w:hAnsi="Times New Roman"/>
                <w:szCs w:val="24"/>
              </w:rPr>
              <w:t xml:space="preserve"> </w:t>
            </w:r>
          </w:p>
        </w:tc>
      </w:tr>
      <w:tr w:rsidR="006A701A" w:rsidRPr="00424472" w14:paraId="0E9BED70" w14:textId="77777777" w:rsidTr="00461AD7">
        <w:trPr>
          <w:trHeight w:val="142"/>
          <w:jc w:val="center"/>
        </w:trPr>
        <w:tc>
          <w:tcPr>
            <w:tcW w:w="10774" w:type="dxa"/>
            <w:gridSpan w:val="28"/>
            <w:shd w:val="clear" w:color="auto" w:fill="99CCFF"/>
            <w:vAlign w:val="center"/>
          </w:tcPr>
          <w:p w14:paraId="1562E946" w14:textId="77777777" w:rsidR="006A701A" w:rsidRPr="00424472" w:rsidRDefault="0013216E" w:rsidP="00424472">
            <w:pPr>
              <w:numPr>
                <w:ilvl w:val="0"/>
                <w:numId w:val="1"/>
              </w:numPr>
              <w:spacing w:before="60" w:after="60"/>
              <w:ind w:left="318" w:hanging="284"/>
              <w:jc w:val="both"/>
              <w:rPr>
                <w:rFonts w:ascii="Times New Roman" w:hAnsi="Times New Roman"/>
                <w:b/>
                <w:color w:val="000000"/>
              </w:rPr>
            </w:pPr>
            <w:r w:rsidRPr="00424472">
              <w:rPr>
                <w:rFonts w:ascii="Times New Roman" w:hAnsi="Times New Roman"/>
                <w:b/>
                <w:color w:val="000000"/>
                <w:spacing w:val="-2"/>
              </w:rPr>
              <w:lastRenderedPageBreak/>
              <w:t>Rekomendowane rozwiązanie, w tym planowane narzędzia interwencji, i oczekiwany efekt</w:t>
            </w:r>
          </w:p>
        </w:tc>
      </w:tr>
      <w:tr w:rsidR="00626B6F" w:rsidRPr="00424472" w14:paraId="268F4593" w14:textId="77777777" w:rsidTr="00461AD7">
        <w:trPr>
          <w:trHeight w:val="142"/>
          <w:jc w:val="center"/>
        </w:trPr>
        <w:tc>
          <w:tcPr>
            <w:tcW w:w="10774" w:type="dxa"/>
            <w:gridSpan w:val="28"/>
            <w:shd w:val="clear" w:color="auto" w:fill="auto"/>
            <w:vAlign w:val="center"/>
          </w:tcPr>
          <w:p w14:paraId="03D669CC" w14:textId="68507C01" w:rsidR="00DC6ADE" w:rsidRDefault="003875E8" w:rsidP="00D14953">
            <w:pPr>
              <w:spacing w:before="120" w:after="120"/>
              <w:jc w:val="both"/>
              <w:rPr>
                <w:rFonts w:ascii="Times New Roman" w:hAnsi="Times New Roman"/>
                <w:lang w:eastAsia="pl-PL"/>
              </w:rPr>
            </w:pPr>
            <w:r w:rsidRPr="003875E8">
              <w:rPr>
                <w:rFonts w:ascii="Times New Roman" w:hAnsi="Times New Roman"/>
                <w:lang w:eastAsia="pl-PL"/>
              </w:rPr>
              <w:t xml:space="preserve">Celem projektowanych zmian jest </w:t>
            </w:r>
            <w:r w:rsidR="009E7FF8">
              <w:rPr>
                <w:rFonts w:ascii="Times New Roman" w:hAnsi="Times New Roman"/>
                <w:lang w:eastAsia="pl-PL"/>
              </w:rPr>
              <w:t>implementacja</w:t>
            </w:r>
            <w:r w:rsidR="009E7FF8" w:rsidRPr="003875E8">
              <w:rPr>
                <w:rFonts w:ascii="Times New Roman" w:hAnsi="Times New Roman"/>
                <w:lang w:eastAsia="pl-PL"/>
              </w:rPr>
              <w:t xml:space="preserve"> </w:t>
            </w:r>
            <w:r w:rsidRPr="003875E8">
              <w:rPr>
                <w:rFonts w:ascii="Times New Roman" w:hAnsi="Times New Roman"/>
                <w:lang w:eastAsia="pl-PL"/>
              </w:rPr>
              <w:t xml:space="preserve">Dyrektywy </w:t>
            </w:r>
            <w:r w:rsidR="00DC6D5D">
              <w:rPr>
                <w:rFonts w:ascii="Times New Roman" w:hAnsi="Times New Roman"/>
                <w:lang w:eastAsia="pl-PL"/>
              </w:rPr>
              <w:t>P</w:t>
            </w:r>
            <w:r w:rsidR="00DC6D5D" w:rsidRPr="003875E8">
              <w:rPr>
                <w:rFonts w:ascii="Times New Roman" w:hAnsi="Times New Roman"/>
                <w:lang w:eastAsia="pl-PL"/>
              </w:rPr>
              <w:t xml:space="preserve">arlamentu </w:t>
            </w:r>
            <w:r w:rsidR="00DC6D5D">
              <w:rPr>
                <w:rFonts w:ascii="Times New Roman" w:hAnsi="Times New Roman"/>
                <w:lang w:eastAsia="pl-PL"/>
              </w:rPr>
              <w:t>E</w:t>
            </w:r>
            <w:r w:rsidR="00DC6D5D" w:rsidRPr="003875E8">
              <w:rPr>
                <w:rFonts w:ascii="Times New Roman" w:hAnsi="Times New Roman"/>
                <w:lang w:eastAsia="pl-PL"/>
              </w:rPr>
              <w:t xml:space="preserve">uropejskiego i </w:t>
            </w:r>
            <w:r w:rsidR="00DC6D5D">
              <w:rPr>
                <w:rFonts w:ascii="Times New Roman" w:hAnsi="Times New Roman"/>
                <w:lang w:eastAsia="pl-PL"/>
              </w:rPr>
              <w:t>R</w:t>
            </w:r>
            <w:r w:rsidR="00DC6D5D" w:rsidRPr="003875E8">
              <w:rPr>
                <w:rFonts w:ascii="Times New Roman" w:hAnsi="Times New Roman"/>
                <w:lang w:eastAsia="pl-PL"/>
              </w:rPr>
              <w:t xml:space="preserve">ady </w:t>
            </w:r>
            <w:r w:rsidRPr="003875E8">
              <w:rPr>
                <w:rFonts w:ascii="Times New Roman" w:hAnsi="Times New Roman"/>
                <w:lang w:eastAsia="pl-PL"/>
              </w:rPr>
              <w:t xml:space="preserve">(UE) 2019/1 z dnia 11 grudnia 2018 r. </w:t>
            </w:r>
            <w:r w:rsidR="00DC6ADE" w:rsidRPr="00EF1A4C">
              <w:rPr>
                <w:rFonts w:ascii="Times New Roman" w:hAnsi="Times New Roman"/>
                <w:i/>
                <w:lang w:eastAsia="pl-PL"/>
              </w:rPr>
              <w:t xml:space="preserve">mającej na celu nadanie organom ochrony konkurencji państw członkowskich uprawnień w celu skuteczniejszego egzekwowania prawa i zapewnienia należytego funkcjonowania rynku </w:t>
            </w:r>
            <w:r w:rsidR="00A704D2">
              <w:rPr>
                <w:rFonts w:ascii="Times New Roman" w:hAnsi="Times New Roman"/>
                <w:i/>
                <w:lang w:eastAsia="pl-PL"/>
              </w:rPr>
              <w:t>w</w:t>
            </w:r>
            <w:r w:rsidR="00DC6ADE" w:rsidRPr="00EF1A4C">
              <w:rPr>
                <w:rFonts w:ascii="Times New Roman" w:hAnsi="Times New Roman"/>
                <w:i/>
                <w:lang w:eastAsia="pl-PL"/>
              </w:rPr>
              <w:t>ewnętrznego</w:t>
            </w:r>
            <w:r w:rsidR="00A704D2">
              <w:rPr>
                <w:rFonts w:ascii="Times New Roman" w:hAnsi="Times New Roman"/>
                <w:lang w:eastAsia="pl-PL"/>
              </w:rPr>
              <w:t>.</w:t>
            </w:r>
          </w:p>
          <w:p w14:paraId="3D91A9B3" w14:textId="25D7C42E" w:rsidR="00D14953" w:rsidRPr="00421C14" w:rsidRDefault="00D14953" w:rsidP="000E6A14">
            <w:pPr>
              <w:pStyle w:val="mcntmsonormal1"/>
              <w:numPr>
                <w:ilvl w:val="0"/>
                <w:numId w:val="3"/>
              </w:numPr>
              <w:spacing w:before="120" w:after="120" w:line="276" w:lineRule="auto"/>
              <w:rPr>
                <w:b/>
              </w:rPr>
            </w:pPr>
            <w:r w:rsidRPr="00EF35DD">
              <w:rPr>
                <w:b/>
                <w:sz w:val="22"/>
                <w:szCs w:val="22"/>
                <w:lang w:eastAsia="en-US"/>
              </w:rPr>
              <w:t>Pojęcie przedsiębiorstwa</w:t>
            </w:r>
          </w:p>
          <w:p w14:paraId="182808CE" w14:textId="3F3F8423" w:rsidR="00421C14" w:rsidRDefault="00421C14" w:rsidP="00AC14CB">
            <w:pPr>
              <w:ind w:firstLine="731"/>
              <w:jc w:val="both"/>
              <w:rPr>
                <w:rFonts w:ascii="Times New Roman" w:hAnsi="Times New Roman"/>
                <w:szCs w:val="24"/>
              </w:rPr>
            </w:pPr>
            <w:r w:rsidRPr="00421C14">
              <w:rPr>
                <w:rFonts w:ascii="Times New Roman" w:hAnsi="Times New Roman"/>
                <w:szCs w:val="24"/>
              </w:rPr>
              <w:t xml:space="preserve">Proponuje się dodanie do </w:t>
            </w:r>
            <w:proofErr w:type="spellStart"/>
            <w:r w:rsidRPr="00421C14">
              <w:rPr>
                <w:rFonts w:ascii="Times New Roman" w:hAnsi="Times New Roman"/>
                <w:szCs w:val="24"/>
              </w:rPr>
              <w:t>u</w:t>
            </w:r>
            <w:r>
              <w:rPr>
                <w:rFonts w:ascii="Times New Roman" w:hAnsi="Times New Roman"/>
                <w:szCs w:val="24"/>
              </w:rPr>
              <w:t>.o.k.k</w:t>
            </w:r>
            <w:proofErr w:type="spellEnd"/>
            <w:r>
              <w:rPr>
                <w:rFonts w:ascii="Times New Roman" w:hAnsi="Times New Roman"/>
                <w:szCs w:val="24"/>
              </w:rPr>
              <w:t xml:space="preserve">. </w:t>
            </w:r>
            <w:r w:rsidRPr="00421C14">
              <w:rPr>
                <w:rFonts w:ascii="Times New Roman" w:hAnsi="Times New Roman"/>
                <w:szCs w:val="24"/>
              </w:rPr>
              <w:t>przepisów dotyczących odpowiednio zawierania niedozwolonych porozumień i</w:t>
            </w:r>
            <w:r w:rsidR="00AC14CB">
              <w:rPr>
                <w:rFonts w:ascii="Times New Roman" w:hAnsi="Times New Roman"/>
                <w:szCs w:val="24"/>
              </w:rPr>
              <w:t xml:space="preserve"> nadużycia pozycji dominującej, które </w:t>
            </w:r>
            <w:r w:rsidRPr="00421C14">
              <w:rPr>
                <w:rFonts w:ascii="Times New Roman" w:hAnsi="Times New Roman"/>
                <w:szCs w:val="24"/>
              </w:rPr>
              <w:t xml:space="preserve">przewidują, że w przypadku naruszenia przez przedsiębiorcę </w:t>
            </w:r>
            <w:r w:rsidR="00AC14CB" w:rsidRPr="00421C14">
              <w:rPr>
                <w:rFonts w:ascii="Times New Roman" w:hAnsi="Times New Roman"/>
                <w:szCs w:val="24"/>
              </w:rPr>
              <w:t xml:space="preserve">określonych </w:t>
            </w:r>
            <w:r w:rsidRPr="00421C14">
              <w:rPr>
                <w:rFonts w:ascii="Times New Roman" w:hAnsi="Times New Roman"/>
                <w:szCs w:val="24"/>
              </w:rPr>
              <w:t>zakazów, naruszenia dopuszcza się również przedsiębiorca lub przedsiębiorcy wywierający decydujący wpływ na tego przedsiębiorcę. Taka konstrukcja pozwoli na podjęcie działań prze Prezesa UOKiK zarówno w sytuacji, gdy</w:t>
            </w:r>
            <w:r w:rsidR="009E7FF8">
              <w:rPr>
                <w:rFonts w:ascii="Times New Roman" w:hAnsi="Times New Roman"/>
                <w:szCs w:val="24"/>
              </w:rPr>
              <w:t xml:space="preserve"> decydującym wpływem na przedsiębiorcą naruszającym prawo konkurencji dysponuje zarówno jeden jak i wiele podmiotów.</w:t>
            </w:r>
            <w:r w:rsidR="00385872">
              <w:rPr>
                <w:rFonts w:ascii="Times New Roman" w:hAnsi="Times New Roman"/>
                <w:szCs w:val="24"/>
              </w:rPr>
              <w:t xml:space="preserve"> </w:t>
            </w:r>
            <w:r w:rsidRPr="00421C14">
              <w:rPr>
                <w:rFonts w:ascii="Times New Roman" w:hAnsi="Times New Roman"/>
                <w:szCs w:val="24"/>
              </w:rPr>
              <w:t xml:space="preserve">Powyższą regulację należy rozumieć również w ten sposób, że przedsiębiorcą wywierającym decydujący wpływ jest, w przypadku spółki „córki”, nie tylko spółka „matka” lecz również spółka „babka” i kolejne spółki wywierające na nie decydujący wpływ. </w:t>
            </w:r>
          </w:p>
          <w:p w14:paraId="7F91B975" w14:textId="4717AD9E" w:rsidR="0050748F" w:rsidRDefault="00AC14CB" w:rsidP="0050748F">
            <w:pPr>
              <w:ind w:firstLine="731"/>
              <w:jc w:val="both"/>
              <w:rPr>
                <w:rFonts w:ascii="Times New Roman" w:hAnsi="Times New Roman"/>
                <w:szCs w:val="24"/>
              </w:rPr>
            </w:pPr>
            <w:r w:rsidRPr="00AC14CB">
              <w:rPr>
                <w:rFonts w:ascii="Times New Roman" w:hAnsi="Times New Roman"/>
                <w:szCs w:val="24"/>
              </w:rPr>
              <w:t>W przypadku stwierdzenia naruszenia przez przedsiębiorcę wywierającego decydujący wpływ</w:t>
            </w:r>
            <w:r w:rsidR="0086271E">
              <w:rPr>
                <w:rFonts w:ascii="Times New Roman" w:hAnsi="Times New Roman"/>
                <w:szCs w:val="24"/>
              </w:rPr>
              <w:t>,</w:t>
            </w:r>
            <w:r w:rsidRPr="00AC14CB">
              <w:rPr>
                <w:rFonts w:ascii="Times New Roman" w:hAnsi="Times New Roman"/>
                <w:szCs w:val="24"/>
              </w:rPr>
              <w:t xml:space="preserve"> Prezes UOKiK będzie mógł nałożyć łączną karę na tego przedsiębiorcę oraz na przedsiębiorcę na którego ten wpływ jest wywierany. Odpowiedzialność za karę łączną nałożoną na tych przedsiębiorców będzie solidarna i znajdą do niej zastosowanie przepisy </w:t>
            </w:r>
            <w:r w:rsidR="00BB2D9A">
              <w:rPr>
                <w:rFonts w:ascii="Times New Roman" w:hAnsi="Times New Roman"/>
                <w:szCs w:val="24"/>
              </w:rPr>
              <w:t xml:space="preserve">ustawy z dnia 23 kwietnia 1964 r. - </w:t>
            </w:r>
            <w:r w:rsidR="00BB2D9A" w:rsidRPr="00D02CEB">
              <w:rPr>
                <w:rFonts w:ascii="Times New Roman" w:hAnsi="Times New Roman"/>
                <w:i/>
                <w:szCs w:val="24"/>
              </w:rPr>
              <w:t>Kodeks cywilny</w:t>
            </w:r>
            <w:r w:rsidR="00D02CEB">
              <w:rPr>
                <w:rFonts w:ascii="Times New Roman" w:hAnsi="Times New Roman"/>
                <w:szCs w:val="24"/>
              </w:rPr>
              <w:t xml:space="preserve"> (</w:t>
            </w:r>
            <w:r w:rsidR="00D02CEB" w:rsidRPr="00D02CEB">
              <w:rPr>
                <w:rFonts w:ascii="Times New Roman" w:hAnsi="Times New Roman"/>
                <w:szCs w:val="24"/>
              </w:rPr>
              <w:t>Dz. U. z 2019 r. poz. 1145</w:t>
            </w:r>
            <w:r w:rsidR="00D02CEB">
              <w:rPr>
                <w:rFonts w:ascii="Times New Roman" w:hAnsi="Times New Roman"/>
                <w:szCs w:val="24"/>
              </w:rPr>
              <w:t xml:space="preserve">, z </w:t>
            </w:r>
            <w:proofErr w:type="spellStart"/>
            <w:r w:rsidR="00D02CEB">
              <w:rPr>
                <w:rFonts w:ascii="Times New Roman" w:hAnsi="Times New Roman"/>
                <w:szCs w:val="24"/>
              </w:rPr>
              <w:t>późn</w:t>
            </w:r>
            <w:proofErr w:type="spellEnd"/>
            <w:r w:rsidR="00D02CEB">
              <w:rPr>
                <w:rFonts w:ascii="Times New Roman" w:hAnsi="Times New Roman"/>
                <w:szCs w:val="24"/>
              </w:rPr>
              <w:t>. zm.</w:t>
            </w:r>
            <w:r w:rsidR="00DD1BF6">
              <w:rPr>
                <w:rFonts w:ascii="Times New Roman" w:hAnsi="Times New Roman"/>
                <w:szCs w:val="24"/>
              </w:rPr>
              <w:t>, dalej: „</w:t>
            </w:r>
            <w:r w:rsidR="001B2BF8">
              <w:rPr>
                <w:rFonts w:ascii="Times New Roman" w:hAnsi="Times New Roman"/>
                <w:szCs w:val="24"/>
              </w:rPr>
              <w:t>KC</w:t>
            </w:r>
            <w:r w:rsidR="00DD1BF6">
              <w:rPr>
                <w:rFonts w:ascii="Times New Roman" w:hAnsi="Times New Roman"/>
                <w:szCs w:val="24"/>
              </w:rPr>
              <w:t>”</w:t>
            </w:r>
            <w:r w:rsidR="00D02CEB">
              <w:rPr>
                <w:rFonts w:ascii="Times New Roman" w:hAnsi="Times New Roman"/>
                <w:szCs w:val="24"/>
              </w:rPr>
              <w:t>)</w:t>
            </w:r>
            <w:r w:rsidR="00BB2D9A">
              <w:rPr>
                <w:rFonts w:ascii="Times New Roman" w:hAnsi="Times New Roman"/>
                <w:szCs w:val="24"/>
              </w:rPr>
              <w:t>,</w:t>
            </w:r>
            <w:r w:rsidRPr="00AC14CB">
              <w:rPr>
                <w:rFonts w:ascii="Times New Roman" w:hAnsi="Times New Roman"/>
                <w:szCs w:val="24"/>
              </w:rPr>
              <w:t xml:space="preserve"> d</w:t>
            </w:r>
            <w:r w:rsidR="0086271E">
              <w:rPr>
                <w:rFonts w:ascii="Times New Roman" w:hAnsi="Times New Roman"/>
                <w:szCs w:val="24"/>
              </w:rPr>
              <w:t>otyczące zobowiązań solidarnych. Ponadto</w:t>
            </w:r>
            <w:r w:rsidRPr="00AC14CB">
              <w:rPr>
                <w:rFonts w:ascii="Times New Roman" w:hAnsi="Times New Roman"/>
                <w:szCs w:val="24"/>
              </w:rPr>
              <w:t xml:space="preserve"> na potrzeby obliczania kary łącznej, będą przewidziane szcze</w:t>
            </w:r>
            <w:r w:rsidR="0086271E">
              <w:rPr>
                <w:rFonts w:ascii="Times New Roman" w:hAnsi="Times New Roman"/>
                <w:szCs w:val="24"/>
              </w:rPr>
              <w:t>gólne zasady obliczania obrotu, z uwzględnieniem</w:t>
            </w:r>
            <w:r w:rsidRPr="00AC14CB">
              <w:rPr>
                <w:rFonts w:ascii="Times New Roman" w:hAnsi="Times New Roman"/>
                <w:szCs w:val="24"/>
              </w:rPr>
              <w:t xml:space="preserve"> </w:t>
            </w:r>
            <w:r w:rsidR="0086271E">
              <w:rPr>
                <w:rFonts w:ascii="Times New Roman" w:hAnsi="Times New Roman"/>
                <w:szCs w:val="24"/>
              </w:rPr>
              <w:t>również obrotu osiągniętego</w:t>
            </w:r>
            <w:r w:rsidRPr="00AC14CB">
              <w:rPr>
                <w:rFonts w:ascii="Times New Roman" w:hAnsi="Times New Roman"/>
                <w:szCs w:val="24"/>
              </w:rPr>
              <w:t xml:space="preserve"> przez przedsiębiorcę lub przedsiębiorców</w:t>
            </w:r>
            <w:r w:rsidR="006A6A13">
              <w:rPr>
                <w:rFonts w:ascii="Times New Roman" w:hAnsi="Times New Roman"/>
                <w:szCs w:val="24"/>
              </w:rPr>
              <w:t>,</w:t>
            </w:r>
            <w:r w:rsidRPr="00AC14CB">
              <w:rPr>
                <w:rFonts w:ascii="Times New Roman" w:hAnsi="Times New Roman"/>
                <w:szCs w:val="24"/>
              </w:rPr>
              <w:t xml:space="preserve"> wywierających decydujący wpływ oraz przedsiębiorców, na który ten decydujący wpływ jest przez nich wywierany.</w:t>
            </w:r>
          </w:p>
          <w:p w14:paraId="1128C406" w14:textId="3C048CAC" w:rsidR="0050748F" w:rsidRPr="000A6FBE" w:rsidRDefault="0050748F" w:rsidP="0050748F">
            <w:pPr>
              <w:ind w:firstLine="731"/>
              <w:jc w:val="both"/>
              <w:rPr>
                <w:rFonts w:ascii="Times New Roman" w:hAnsi="Times New Roman"/>
                <w:szCs w:val="24"/>
              </w:rPr>
            </w:pPr>
            <w:r w:rsidRPr="0050748F">
              <w:rPr>
                <w:rFonts w:ascii="Times New Roman" w:hAnsi="Times New Roman"/>
                <w:szCs w:val="24"/>
              </w:rPr>
              <w:t>Ponadto</w:t>
            </w:r>
            <w:r w:rsidR="002E5C1E">
              <w:rPr>
                <w:rFonts w:ascii="Times New Roman" w:hAnsi="Times New Roman"/>
                <w:szCs w:val="24"/>
              </w:rPr>
              <w:t xml:space="preserve"> </w:t>
            </w:r>
            <w:r w:rsidRPr="0050748F">
              <w:rPr>
                <w:rFonts w:ascii="Times New Roman" w:hAnsi="Times New Roman"/>
                <w:szCs w:val="24"/>
              </w:rPr>
              <w:t>projekt przewiduje w nowym art. 4</w:t>
            </w:r>
            <w:r w:rsidR="00C23710">
              <w:rPr>
                <w:rFonts w:ascii="Times New Roman" w:hAnsi="Times New Roman"/>
                <w:szCs w:val="24"/>
              </w:rPr>
              <w:t>a</w:t>
            </w:r>
            <w:r w:rsidRPr="0050748F">
              <w:rPr>
                <w:rFonts w:ascii="Times New Roman" w:hAnsi="Times New Roman"/>
                <w:szCs w:val="24"/>
              </w:rPr>
              <w:t>, że na potrzeby stosowania przepisów ustawy, przyjmuje się, że przedsiębiorcą jest również osoba fizyczna, która zaprzestała prowadzenia działalności gospodarczej. Takie rozwiązanie pozwoli uniknąć częstych sytuacji, w których osoba fizyczna prowadząca działalność gospodarczą, chcąc uniknąć odpowiedzialności przed Prezesem UOKiK, decydowała się na zaprzestanie działalności gospodarczej.</w:t>
            </w:r>
          </w:p>
          <w:p w14:paraId="211DE559" w14:textId="77777777" w:rsidR="000E3EA1" w:rsidRPr="00A14AD6" w:rsidRDefault="00D14953" w:rsidP="000E6A14">
            <w:pPr>
              <w:pStyle w:val="mcntmsonormal1"/>
              <w:numPr>
                <w:ilvl w:val="0"/>
                <w:numId w:val="3"/>
              </w:numPr>
              <w:spacing w:before="120" w:after="120" w:line="276" w:lineRule="auto"/>
              <w:rPr>
                <w:b/>
              </w:rPr>
            </w:pPr>
            <w:r w:rsidRPr="00EF35DD">
              <w:rPr>
                <w:b/>
                <w:sz w:val="22"/>
                <w:szCs w:val="22"/>
                <w:lang w:eastAsia="en-US"/>
              </w:rPr>
              <w:t>Kary</w:t>
            </w:r>
          </w:p>
          <w:p w14:paraId="12F45782" w14:textId="77777777" w:rsidR="000E3EA1" w:rsidRDefault="000E3EA1" w:rsidP="000E3EA1">
            <w:pPr>
              <w:spacing w:after="120"/>
              <w:ind w:firstLine="776"/>
              <w:jc w:val="both"/>
              <w:rPr>
                <w:rFonts w:ascii="Times New Roman" w:hAnsi="Times New Roman"/>
                <w:b/>
                <w:i/>
                <w:szCs w:val="24"/>
              </w:rPr>
            </w:pPr>
            <w:r w:rsidRPr="00234141">
              <w:rPr>
                <w:rFonts w:ascii="Times New Roman" w:hAnsi="Times New Roman"/>
                <w:b/>
                <w:i/>
                <w:szCs w:val="24"/>
              </w:rPr>
              <w:t>a) Kary nakładane na związki przedsiębiorców</w:t>
            </w:r>
          </w:p>
          <w:p w14:paraId="42CDD757" w14:textId="04D4E424" w:rsidR="00CF71F0" w:rsidRDefault="000B7BF3" w:rsidP="00CF71F0">
            <w:pPr>
              <w:ind w:firstLine="777"/>
              <w:jc w:val="both"/>
              <w:rPr>
                <w:rFonts w:ascii="Times New Roman" w:hAnsi="Times New Roman"/>
                <w:szCs w:val="24"/>
              </w:rPr>
            </w:pPr>
            <w:r>
              <w:rPr>
                <w:rFonts w:ascii="Times New Roman" w:hAnsi="Times New Roman"/>
                <w:szCs w:val="24"/>
              </w:rPr>
              <w:t>Proponowane rozwiązania</w:t>
            </w:r>
            <w:r w:rsidR="00A14AD6" w:rsidRPr="000B7BF3">
              <w:rPr>
                <w:rFonts w:ascii="Times New Roman" w:hAnsi="Times New Roman"/>
                <w:szCs w:val="24"/>
              </w:rPr>
              <w:t xml:space="preserve"> stanowi</w:t>
            </w:r>
            <w:r>
              <w:rPr>
                <w:rFonts w:ascii="Times New Roman" w:hAnsi="Times New Roman"/>
                <w:szCs w:val="24"/>
              </w:rPr>
              <w:t>ą</w:t>
            </w:r>
            <w:r w:rsidR="00A14AD6" w:rsidRPr="000B7BF3">
              <w:rPr>
                <w:rFonts w:ascii="Times New Roman" w:hAnsi="Times New Roman"/>
                <w:szCs w:val="24"/>
              </w:rPr>
              <w:t xml:space="preserve"> podstawę do nakładania kar pieniężnych na związki przedsiębiorców </w:t>
            </w:r>
            <w:r w:rsidR="004E5AB9">
              <w:rPr>
                <w:rFonts w:ascii="Times New Roman" w:hAnsi="Times New Roman"/>
                <w:szCs w:val="24"/>
              </w:rPr>
              <w:br/>
            </w:r>
            <w:r w:rsidR="00A14AD6" w:rsidRPr="000B7BF3">
              <w:rPr>
                <w:rFonts w:ascii="Times New Roman" w:hAnsi="Times New Roman"/>
                <w:szCs w:val="24"/>
              </w:rPr>
              <w:t>w przypadku</w:t>
            </w:r>
            <w:r w:rsidR="000F6C54">
              <w:rPr>
                <w:rFonts w:ascii="Times New Roman" w:hAnsi="Times New Roman"/>
                <w:szCs w:val="24"/>
              </w:rPr>
              <w:t>,</w:t>
            </w:r>
            <w:r w:rsidR="00A14AD6" w:rsidRPr="000B7BF3">
              <w:rPr>
                <w:rFonts w:ascii="Times New Roman" w:hAnsi="Times New Roman"/>
                <w:szCs w:val="24"/>
              </w:rPr>
              <w:t xml:space="preserve"> gdy </w:t>
            </w:r>
            <w:r w:rsidR="000F6C54">
              <w:rPr>
                <w:rFonts w:ascii="Times New Roman" w:hAnsi="Times New Roman"/>
                <w:szCs w:val="24"/>
              </w:rPr>
              <w:t xml:space="preserve">dane </w:t>
            </w:r>
            <w:r w:rsidR="00A14AD6" w:rsidRPr="000B7BF3">
              <w:rPr>
                <w:rFonts w:ascii="Times New Roman" w:hAnsi="Times New Roman"/>
                <w:szCs w:val="24"/>
              </w:rPr>
              <w:t>naruszenie jest związane z działalnością jego członków. Zgodnie</w:t>
            </w:r>
            <w:r w:rsidR="000F6C54">
              <w:rPr>
                <w:rFonts w:ascii="Times New Roman" w:hAnsi="Times New Roman"/>
                <w:szCs w:val="24"/>
              </w:rPr>
              <w:t xml:space="preserve"> z projektem</w:t>
            </w:r>
            <w:r w:rsidR="00A14AD6" w:rsidRPr="000B7BF3">
              <w:rPr>
                <w:rFonts w:ascii="Times New Roman" w:hAnsi="Times New Roman"/>
                <w:szCs w:val="24"/>
              </w:rPr>
              <w:t>, kara nakładana na związek przedsiębiorców nie będzie mogła przekroczyć 10% sumy całkowitej obrotu każdego z członków tego związku</w:t>
            </w:r>
            <w:r w:rsidR="00CF71F0">
              <w:rPr>
                <w:rFonts w:ascii="Times New Roman" w:hAnsi="Times New Roman"/>
                <w:szCs w:val="24"/>
              </w:rPr>
              <w:t>,</w:t>
            </w:r>
            <w:r w:rsidR="00A14AD6" w:rsidRPr="000B7BF3">
              <w:rPr>
                <w:rFonts w:ascii="Times New Roman" w:hAnsi="Times New Roman"/>
                <w:szCs w:val="24"/>
              </w:rPr>
              <w:t xml:space="preserve"> prowadzącego działalność na rynku, którego dotyczyło to naruszenie, w roku obrotowym poprzedzającym rok nałożenia kary. </w:t>
            </w:r>
          </w:p>
          <w:p w14:paraId="6DCAF886" w14:textId="32D795B1" w:rsidR="00A14AD6" w:rsidRDefault="00863C31" w:rsidP="005902E0">
            <w:pPr>
              <w:spacing w:after="120"/>
              <w:ind w:firstLine="777"/>
              <w:jc w:val="both"/>
              <w:rPr>
                <w:rFonts w:ascii="Times New Roman" w:hAnsi="Times New Roman"/>
                <w:szCs w:val="24"/>
              </w:rPr>
            </w:pPr>
            <w:r>
              <w:rPr>
                <w:rFonts w:ascii="Times New Roman" w:hAnsi="Times New Roman"/>
                <w:szCs w:val="24"/>
              </w:rPr>
              <w:t>W projekcie przewidzian</w:t>
            </w:r>
            <w:r w:rsidR="000F4EF6">
              <w:rPr>
                <w:rFonts w:ascii="Times New Roman" w:hAnsi="Times New Roman"/>
                <w:szCs w:val="24"/>
              </w:rPr>
              <w:t xml:space="preserve">o </w:t>
            </w:r>
            <w:r>
              <w:rPr>
                <w:rFonts w:ascii="Times New Roman" w:hAnsi="Times New Roman"/>
                <w:szCs w:val="24"/>
              </w:rPr>
              <w:t xml:space="preserve">także </w:t>
            </w:r>
            <w:r w:rsidR="00A14AD6" w:rsidRPr="000B7BF3">
              <w:rPr>
                <w:rFonts w:ascii="Times New Roman" w:hAnsi="Times New Roman"/>
                <w:szCs w:val="24"/>
              </w:rPr>
              <w:t>regulację</w:t>
            </w:r>
            <w:r>
              <w:rPr>
                <w:rFonts w:ascii="Times New Roman" w:hAnsi="Times New Roman"/>
                <w:szCs w:val="24"/>
              </w:rPr>
              <w:t>,</w:t>
            </w:r>
            <w:r w:rsidR="00A14AD6" w:rsidRPr="000B7BF3">
              <w:rPr>
                <w:rFonts w:ascii="Times New Roman" w:hAnsi="Times New Roman"/>
                <w:szCs w:val="24"/>
              </w:rPr>
              <w:t xml:space="preserve"> zgodnie z którą w sytuacji niewypłacalności związku przedsiębiorców, wzywa</w:t>
            </w:r>
            <w:r>
              <w:rPr>
                <w:rFonts w:ascii="Times New Roman" w:hAnsi="Times New Roman"/>
                <w:szCs w:val="24"/>
              </w:rPr>
              <w:t xml:space="preserve"> on</w:t>
            </w:r>
            <w:r w:rsidR="00A14AD6" w:rsidRPr="000B7BF3">
              <w:rPr>
                <w:rFonts w:ascii="Times New Roman" w:hAnsi="Times New Roman"/>
                <w:szCs w:val="24"/>
              </w:rPr>
              <w:t xml:space="preserve"> swoich członków do wniesienia wkł</w:t>
            </w:r>
            <w:r>
              <w:rPr>
                <w:rFonts w:ascii="Times New Roman" w:hAnsi="Times New Roman"/>
                <w:szCs w:val="24"/>
              </w:rPr>
              <w:t>adów w celu pokrycia kwoty kary, zaś w</w:t>
            </w:r>
            <w:r w:rsidR="00A14AD6" w:rsidRPr="000B7BF3">
              <w:rPr>
                <w:rFonts w:ascii="Times New Roman" w:hAnsi="Times New Roman"/>
                <w:szCs w:val="24"/>
              </w:rPr>
              <w:t xml:space="preserve"> przypadku gdy wkłady</w:t>
            </w:r>
            <w:r w:rsidR="00224257">
              <w:rPr>
                <w:rFonts w:ascii="Times New Roman" w:hAnsi="Times New Roman"/>
                <w:szCs w:val="24"/>
              </w:rPr>
              <w:t xml:space="preserve"> te </w:t>
            </w:r>
            <w:r w:rsidR="00A14AD6" w:rsidRPr="000B7BF3">
              <w:rPr>
                <w:rFonts w:ascii="Times New Roman" w:hAnsi="Times New Roman"/>
                <w:szCs w:val="24"/>
              </w:rPr>
              <w:t xml:space="preserve">nie zostały wniesione w terminie wyznaczonym przez Prezesa </w:t>
            </w:r>
            <w:r w:rsidR="00224257">
              <w:rPr>
                <w:rFonts w:ascii="Times New Roman" w:hAnsi="Times New Roman"/>
                <w:szCs w:val="24"/>
              </w:rPr>
              <w:t>UOKiK</w:t>
            </w:r>
            <w:r w:rsidR="00A14AD6" w:rsidRPr="000B7BF3">
              <w:rPr>
                <w:rFonts w:ascii="Times New Roman" w:hAnsi="Times New Roman"/>
                <w:szCs w:val="24"/>
              </w:rPr>
              <w:t xml:space="preserve"> w kwocie pokrywającej w całości wysokość kary, może</w:t>
            </w:r>
            <w:r w:rsidR="00224257">
              <w:rPr>
                <w:rFonts w:ascii="Times New Roman" w:hAnsi="Times New Roman"/>
                <w:szCs w:val="24"/>
              </w:rPr>
              <w:t xml:space="preserve"> on</w:t>
            </w:r>
            <w:r w:rsidR="00A14AD6" w:rsidRPr="000B7BF3">
              <w:rPr>
                <w:rFonts w:ascii="Times New Roman" w:hAnsi="Times New Roman"/>
                <w:szCs w:val="24"/>
              </w:rPr>
              <w:t xml:space="preserve"> żądać uiszczenia kary od każdego z przedsiębiorców, którego przedstawiciele wchodzili w skład organów decyzyjnych tego związku. Do żądania Prezesa UOKiK art. 366 </w:t>
            </w:r>
            <w:r w:rsidR="00C60D21">
              <w:rPr>
                <w:rFonts w:ascii="Times New Roman" w:hAnsi="Times New Roman"/>
                <w:szCs w:val="24"/>
              </w:rPr>
              <w:t xml:space="preserve">KC </w:t>
            </w:r>
            <w:r w:rsidR="00A14AD6" w:rsidRPr="000B7BF3">
              <w:rPr>
                <w:rFonts w:ascii="Times New Roman" w:hAnsi="Times New Roman"/>
                <w:szCs w:val="24"/>
              </w:rPr>
              <w:t>stosuje się odpowiednio (zobowiązania solidarne). Dodatkowo</w:t>
            </w:r>
            <w:r w:rsidR="00224257">
              <w:rPr>
                <w:rFonts w:ascii="Times New Roman" w:hAnsi="Times New Roman"/>
                <w:szCs w:val="24"/>
              </w:rPr>
              <w:t xml:space="preserve">, </w:t>
            </w:r>
            <w:r w:rsidR="00A14AD6" w:rsidRPr="000B7BF3">
              <w:rPr>
                <w:rFonts w:ascii="Times New Roman" w:hAnsi="Times New Roman"/>
                <w:szCs w:val="24"/>
              </w:rPr>
              <w:t>Prezes Urzędu nie będzie mógł żądać uiszczenia kary</w:t>
            </w:r>
            <w:r w:rsidR="00224257">
              <w:rPr>
                <w:rFonts w:ascii="Times New Roman" w:hAnsi="Times New Roman"/>
                <w:szCs w:val="24"/>
              </w:rPr>
              <w:t xml:space="preserve"> </w:t>
            </w:r>
            <w:r w:rsidR="00A14AD6" w:rsidRPr="000B7BF3">
              <w:rPr>
                <w:rFonts w:ascii="Times New Roman" w:hAnsi="Times New Roman"/>
                <w:szCs w:val="24"/>
              </w:rPr>
              <w:t>od przedsiębiorców, którzy wykażą, że nie wdrożyli decyzji związku przedsiębiorców powodującej naruszenie albo nie wiedzieli o istnieniu takiej decyzji albo aktywnie zdystansowali się od niej przed wszczęciem postępowania.</w:t>
            </w:r>
          </w:p>
          <w:p w14:paraId="426DA26E" w14:textId="77777777" w:rsidR="0040786C" w:rsidRDefault="005902E0" w:rsidP="005902E0">
            <w:pPr>
              <w:spacing w:after="120"/>
              <w:ind w:firstLine="777"/>
              <w:jc w:val="both"/>
              <w:rPr>
                <w:rFonts w:ascii="Times New Roman" w:hAnsi="Times New Roman"/>
                <w:b/>
                <w:bCs/>
                <w:i/>
                <w:szCs w:val="24"/>
              </w:rPr>
            </w:pPr>
            <w:r w:rsidRPr="005902E0">
              <w:rPr>
                <w:rFonts w:ascii="Times New Roman" w:hAnsi="Times New Roman"/>
                <w:b/>
                <w:i/>
                <w:szCs w:val="24"/>
              </w:rPr>
              <w:t xml:space="preserve">b) </w:t>
            </w:r>
            <w:r w:rsidRPr="005902E0">
              <w:rPr>
                <w:rFonts w:ascii="Times New Roman" w:hAnsi="Times New Roman"/>
                <w:b/>
                <w:bCs/>
                <w:i/>
                <w:szCs w:val="24"/>
              </w:rPr>
              <w:t>Kara pieniężna obliczana proporcjonalnie do światowego całkowitego obrotu przedsiębiorstw</w:t>
            </w:r>
          </w:p>
          <w:p w14:paraId="582C2CA9" w14:textId="55839A7A" w:rsidR="0040786C" w:rsidRDefault="0040786C" w:rsidP="004A180B">
            <w:pPr>
              <w:ind w:firstLine="777"/>
              <w:jc w:val="both"/>
              <w:rPr>
                <w:rFonts w:ascii="Times New Roman" w:hAnsi="Times New Roman"/>
                <w:szCs w:val="24"/>
              </w:rPr>
            </w:pPr>
            <w:r w:rsidRPr="0040786C">
              <w:rPr>
                <w:rFonts w:ascii="Times New Roman" w:hAnsi="Times New Roman"/>
                <w:bCs/>
                <w:szCs w:val="24"/>
              </w:rPr>
              <w:t>W celu</w:t>
            </w:r>
            <w:r>
              <w:rPr>
                <w:rFonts w:ascii="Times New Roman" w:hAnsi="Times New Roman"/>
                <w:szCs w:val="24"/>
              </w:rPr>
              <w:t xml:space="preserve"> transpozycji przepisów Dyrektywy, pr</w:t>
            </w:r>
            <w:r w:rsidR="001B11BC">
              <w:rPr>
                <w:rFonts w:ascii="Times New Roman" w:hAnsi="Times New Roman"/>
                <w:szCs w:val="24"/>
              </w:rPr>
              <w:t xml:space="preserve">ojektowane regulacje przewidują zmianę </w:t>
            </w:r>
            <w:r w:rsidRPr="00B3031E">
              <w:rPr>
                <w:rFonts w:ascii="Times New Roman" w:hAnsi="Times New Roman"/>
                <w:szCs w:val="24"/>
              </w:rPr>
              <w:t xml:space="preserve">sposobu ustalania kary poprzez </w:t>
            </w:r>
            <w:r w:rsidR="00DC3871">
              <w:rPr>
                <w:rFonts w:ascii="Times New Roman" w:hAnsi="Times New Roman"/>
                <w:szCs w:val="24"/>
              </w:rPr>
              <w:t>zastąpienie</w:t>
            </w:r>
            <w:r w:rsidRPr="00B3031E">
              <w:rPr>
                <w:rFonts w:ascii="Times New Roman" w:hAnsi="Times New Roman"/>
                <w:szCs w:val="24"/>
              </w:rPr>
              <w:t xml:space="preserve"> jej maksymalnego pułapu określonego kwotowo puła</w:t>
            </w:r>
            <w:r w:rsidR="007C123B">
              <w:rPr>
                <w:rFonts w:ascii="Times New Roman" w:hAnsi="Times New Roman"/>
                <w:szCs w:val="24"/>
              </w:rPr>
              <w:t>pem</w:t>
            </w:r>
            <w:r w:rsidRPr="00B3031E">
              <w:rPr>
                <w:rFonts w:ascii="Times New Roman" w:hAnsi="Times New Roman"/>
                <w:szCs w:val="24"/>
              </w:rPr>
              <w:t xml:space="preserve"> określony</w:t>
            </w:r>
            <w:r w:rsidR="007C123B">
              <w:rPr>
                <w:rFonts w:ascii="Times New Roman" w:hAnsi="Times New Roman"/>
                <w:szCs w:val="24"/>
              </w:rPr>
              <w:t>m</w:t>
            </w:r>
            <w:r w:rsidRPr="00B3031E">
              <w:rPr>
                <w:rFonts w:ascii="Times New Roman" w:hAnsi="Times New Roman"/>
                <w:szCs w:val="24"/>
              </w:rPr>
              <w:t xml:space="preserve"> jako procent obrotu (kara pieniężna nie większa niż 1% obrotu osiągniętego w roku obrotowym poprzedzającym rok nałożenia kary).</w:t>
            </w:r>
          </w:p>
          <w:p w14:paraId="4DDB5E6A" w14:textId="6F9DD97C" w:rsidR="001B11BC" w:rsidRPr="007C123B" w:rsidRDefault="001B11BC" w:rsidP="005E1A01">
            <w:pPr>
              <w:spacing w:after="120"/>
              <w:ind w:firstLine="777"/>
              <w:jc w:val="both"/>
              <w:rPr>
                <w:rFonts w:ascii="Times New Roman" w:hAnsi="Times New Roman"/>
              </w:rPr>
            </w:pPr>
            <w:r w:rsidRPr="007C123B">
              <w:rPr>
                <w:rFonts w:ascii="Times New Roman" w:hAnsi="Times New Roman"/>
              </w:rPr>
              <w:t xml:space="preserve">Ponadto proponuje </w:t>
            </w:r>
            <w:r w:rsidR="004A180B" w:rsidRPr="007C123B">
              <w:rPr>
                <w:rFonts w:ascii="Times New Roman" w:hAnsi="Times New Roman"/>
              </w:rPr>
              <w:t>się wprowadzenie możliwości nałożenia</w:t>
            </w:r>
            <w:r w:rsidRPr="007C123B">
              <w:rPr>
                <w:rFonts w:ascii="Times New Roman" w:hAnsi="Times New Roman"/>
              </w:rPr>
              <w:t xml:space="preserve"> na przedsiębiorcę kary pieniężnej w przypadku, gdy przedsiębiorca ten choćby nieumyślnie nie wykonuje decyzji</w:t>
            </w:r>
            <w:r w:rsidR="004A180B" w:rsidRPr="007C123B">
              <w:rPr>
                <w:rFonts w:ascii="Times New Roman" w:hAnsi="Times New Roman"/>
              </w:rPr>
              <w:t xml:space="preserve"> Prezesa UOKiK.</w:t>
            </w:r>
          </w:p>
          <w:p w14:paraId="6CCC0BFC" w14:textId="5A54057B" w:rsidR="005E1A01" w:rsidRDefault="005E1A01" w:rsidP="005E1A01">
            <w:pPr>
              <w:spacing w:after="120"/>
              <w:ind w:firstLine="777"/>
              <w:jc w:val="both"/>
              <w:rPr>
                <w:rFonts w:ascii="Times New Roman" w:hAnsi="Times New Roman"/>
                <w:b/>
                <w:bCs/>
                <w:i/>
                <w:szCs w:val="24"/>
              </w:rPr>
            </w:pPr>
            <w:r w:rsidRPr="005E1A01">
              <w:rPr>
                <w:rFonts w:ascii="Times New Roman" w:hAnsi="Times New Roman"/>
                <w:b/>
                <w:i/>
                <w:szCs w:val="24"/>
              </w:rPr>
              <w:t xml:space="preserve">c) </w:t>
            </w:r>
            <w:r w:rsidRPr="005E1A01">
              <w:rPr>
                <w:rFonts w:ascii="Times New Roman" w:hAnsi="Times New Roman"/>
                <w:b/>
                <w:bCs/>
                <w:i/>
                <w:szCs w:val="24"/>
              </w:rPr>
              <w:t>Okresowe kary pieniężne</w:t>
            </w:r>
          </w:p>
          <w:p w14:paraId="79AD1709" w14:textId="2E59E358" w:rsidR="00122079" w:rsidRPr="00122079" w:rsidRDefault="00D3725D" w:rsidP="00122079">
            <w:pPr>
              <w:ind w:firstLine="777"/>
              <w:jc w:val="both"/>
              <w:rPr>
                <w:rFonts w:ascii="Times New Roman" w:hAnsi="Times New Roman"/>
                <w:bCs/>
                <w:szCs w:val="24"/>
              </w:rPr>
            </w:pPr>
            <w:r>
              <w:rPr>
                <w:rFonts w:ascii="Times New Roman" w:hAnsi="Times New Roman"/>
                <w:bCs/>
                <w:szCs w:val="24"/>
              </w:rPr>
              <w:lastRenderedPageBreak/>
              <w:t>Zgodnie z propozycjami zawartymi w projekcie,</w:t>
            </w:r>
            <w:r w:rsidR="00122079" w:rsidRPr="00122079">
              <w:rPr>
                <w:rFonts w:ascii="Times New Roman" w:hAnsi="Times New Roman"/>
                <w:bCs/>
                <w:szCs w:val="24"/>
              </w:rPr>
              <w:t xml:space="preserve"> Prezes UOKiK, w celu przymuszenia przedsiębiorców do wykonania nałożonych na nich obowiązków, może nałożyć na tych przedsiębiorców, w drodze decyzji, okresową karę pieniężną w wysokości nieprzekraczającej 5% dziennego średniego obrotu przedsiębiorcy osiągniętego w roku obrotowym poprzedzającym rok nałożenia kary za każdy dzień opóźnienia:</w:t>
            </w:r>
          </w:p>
          <w:p w14:paraId="0059B9B9" w14:textId="71183CC1" w:rsidR="00122079" w:rsidRPr="00D3725D" w:rsidRDefault="00D3725D" w:rsidP="00D3725D">
            <w:pPr>
              <w:ind w:left="22"/>
              <w:jc w:val="both"/>
              <w:rPr>
                <w:rFonts w:ascii="Times New Roman" w:hAnsi="Times New Roman"/>
                <w:bCs/>
                <w:szCs w:val="24"/>
              </w:rPr>
            </w:pPr>
            <w:r>
              <w:rPr>
                <w:rFonts w:ascii="Times New Roman" w:hAnsi="Times New Roman"/>
                <w:bCs/>
                <w:szCs w:val="24"/>
              </w:rPr>
              <w:t xml:space="preserve">- </w:t>
            </w:r>
            <w:r w:rsidR="00122079" w:rsidRPr="00D3725D">
              <w:rPr>
                <w:rFonts w:ascii="Times New Roman" w:hAnsi="Times New Roman"/>
                <w:bCs/>
                <w:szCs w:val="24"/>
              </w:rPr>
              <w:t xml:space="preserve">w wykonaniu </w:t>
            </w:r>
            <w:r w:rsidRPr="00D3725D">
              <w:rPr>
                <w:rFonts w:ascii="Times New Roman" w:hAnsi="Times New Roman"/>
                <w:bCs/>
                <w:szCs w:val="24"/>
              </w:rPr>
              <w:t xml:space="preserve">określonych </w:t>
            </w:r>
            <w:r w:rsidR="00122079" w:rsidRPr="00D3725D">
              <w:rPr>
                <w:rFonts w:ascii="Times New Roman" w:hAnsi="Times New Roman"/>
                <w:bCs/>
                <w:szCs w:val="24"/>
              </w:rPr>
              <w:t>decyzji</w:t>
            </w:r>
            <w:r w:rsidRPr="00D3725D">
              <w:rPr>
                <w:rFonts w:ascii="Times New Roman" w:hAnsi="Times New Roman"/>
                <w:bCs/>
                <w:szCs w:val="24"/>
              </w:rPr>
              <w:t xml:space="preserve"> Prezesa UOKiK</w:t>
            </w:r>
            <w:r w:rsidR="00122079" w:rsidRPr="00D3725D">
              <w:rPr>
                <w:rFonts w:ascii="Times New Roman" w:hAnsi="Times New Roman"/>
                <w:bCs/>
                <w:szCs w:val="24"/>
              </w:rPr>
              <w:t>,</w:t>
            </w:r>
            <w:r w:rsidRPr="00D3725D">
              <w:rPr>
                <w:rFonts w:ascii="Times New Roman" w:hAnsi="Times New Roman"/>
                <w:bCs/>
                <w:szCs w:val="24"/>
              </w:rPr>
              <w:t xml:space="preserve"> stosownych</w:t>
            </w:r>
            <w:r w:rsidR="00122079" w:rsidRPr="00D3725D">
              <w:rPr>
                <w:rFonts w:ascii="Times New Roman" w:hAnsi="Times New Roman"/>
                <w:bCs/>
                <w:szCs w:val="24"/>
              </w:rPr>
              <w:t xml:space="preserve"> postanowień lub wyroków sądowych w sprawach </w:t>
            </w:r>
            <w:r w:rsidR="00AB4CB0">
              <w:rPr>
                <w:rFonts w:ascii="Times New Roman" w:hAnsi="Times New Roman"/>
                <w:bCs/>
                <w:szCs w:val="24"/>
              </w:rPr>
              <w:br/>
            </w:r>
            <w:r w:rsidR="00122079" w:rsidRPr="00D3725D">
              <w:rPr>
                <w:rFonts w:ascii="Times New Roman" w:hAnsi="Times New Roman"/>
                <w:bCs/>
                <w:szCs w:val="24"/>
              </w:rPr>
              <w:t>z zakresu praktyk ograniczających konkurencję, praktyk naruszających zbiorowe interesy konsumentów, niedozwolonych postanowień wzorców umów oraz koncentracji</w:t>
            </w:r>
            <w:r w:rsidR="00E23B9C">
              <w:rPr>
                <w:rFonts w:ascii="Times New Roman" w:hAnsi="Times New Roman"/>
                <w:bCs/>
                <w:szCs w:val="24"/>
              </w:rPr>
              <w:t>,</w:t>
            </w:r>
          </w:p>
          <w:p w14:paraId="0D368EA8" w14:textId="0672E4DA" w:rsidR="00122079" w:rsidRPr="00122079" w:rsidRDefault="00D3725D" w:rsidP="00D3725D">
            <w:pPr>
              <w:ind w:left="22"/>
              <w:jc w:val="both"/>
              <w:rPr>
                <w:rFonts w:ascii="Times New Roman" w:hAnsi="Times New Roman"/>
                <w:bCs/>
                <w:szCs w:val="24"/>
              </w:rPr>
            </w:pPr>
            <w:r w:rsidRPr="00E23B9C">
              <w:rPr>
                <w:rFonts w:ascii="Times New Roman" w:hAnsi="Times New Roman"/>
                <w:bCs/>
                <w:szCs w:val="24"/>
              </w:rPr>
              <w:t xml:space="preserve">- </w:t>
            </w:r>
            <w:r w:rsidR="00122079" w:rsidRPr="00E23B9C">
              <w:rPr>
                <w:rFonts w:ascii="Times New Roman" w:hAnsi="Times New Roman"/>
                <w:bCs/>
                <w:szCs w:val="24"/>
              </w:rPr>
              <w:t>w w</w:t>
            </w:r>
            <w:r w:rsidRPr="00E23B9C">
              <w:rPr>
                <w:rFonts w:ascii="Times New Roman" w:hAnsi="Times New Roman"/>
                <w:bCs/>
                <w:szCs w:val="24"/>
              </w:rPr>
              <w:t>ykonaniu żądania Prezesa Urzędu</w:t>
            </w:r>
            <w:r w:rsidR="00E23B9C">
              <w:rPr>
                <w:rFonts w:ascii="Times New Roman" w:hAnsi="Times New Roman"/>
                <w:bCs/>
                <w:szCs w:val="24"/>
              </w:rPr>
              <w:t>,</w:t>
            </w:r>
          </w:p>
          <w:p w14:paraId="010B691A" w14:textId="3677B2A3" w:rsidR="00122079" w:rsidRPr="00122079" w:rsidRDefault="00AB4CB0" w:rsidP="00D3725D">
            <w:pPr>
              <w:ind w:left="22"/>
              <w:jc w:val="both"/>
              <w:rPr>
                <w:rFonts w:ascii="Times New Roman" w:hAnsi="Times New Roman"/>
                <w:bCs/>
                <w:szCs w:val="24"/>
              </w:rPr>
            </w:pPr>
            <w:r>
              <w:rPr>
                <w:rFonts w:ascii="Times New Roman" w:hAnsi="Times New Roman"/>
                <w:bCs/>
                <w:szCs w:val="24"/>
              </w:rPr>
              <w:t xml:space="preserve">- </w:t>
            </w:r>
            <w:r w:rsidR="00122079" w:rsidRPr="00122079">
              <w:rPr>
                <w:rFonts w:ascii="Times New Roman" w:hAnsi="Times New Roman"/>
                <w:bCs/>
                <w:szCs w:val="24"/>
              </w:rPr>
              <w:t>w przypadku niestawienia się strony na rozprawie lub przesłuchaniu</w:t>
            </w:r>
            <w:r w:rsidR="00E23B9C">
              <w:rPr>
                <w:rFonts w:ascii="Times New Roman" w:hAnsi="Times New Roman"/>
                <w:bCs/>
                <w:szCs w:val="24"/>
              </w:rPr>
              <w:t>,</w:t>
            </w:r>
          </w:p>
          <w:p w14:paraId="2DCBB06D" w14:textId="2347D449" w:rsidR="00122079" w:rsidRPr="00122079" w:rsidRDefault="00AB4CB0" w:rsidP="00D3725D">
            <w:pPr>
              <w:ind w:left="22"/>
              <w:jc w:val="both"/>
              <w:rPr>
                <w:rFonts w:ascii="Times New Roman" w:hAnsi="Times New Roman"/>
                <w:bCs/>
                <w:szCs w:val="24"/>
              </w:rPr>
            </w:pPr>
            <w:r>
              <w:rPr>
                <w:rFonts w:ascii="Times New Roman" w:hAnsi="Times New Roman"/>
                <w:bCs/>
                <w:szCs w:val="24"/>
              </w:rPr>
              <w:t xml:space="preserve">- </w:t>
            </w:r>
            <w:r w:rsidR="00122079" w:rsidRPr="00122079">
              <w:rPr>
                <w:rFonts w:ascii="Times New Roman" w:hAnsi="Times New Roman"/>
                <w:bCs/>
                <w:szCs w:val="24"/>
              </w:rPr>
              <w:t>w przypadku uniemożliwiania lub utrudniania rozpoczęcia lub przeprowadzenia kontroli</w:t>
            </w:r>
            <w:r w:rsidR="00E23B9C">
              <w:rPr>
                <w:rFonts w:ascii="Times New Roman" w:hAnsi="Times New Roman"/>
                <w:bCs/>
                <w:szCs w:val="24"/>
              </w:rPr>
              <w:t>,</w:t>
            </w:r>
          </w:p>
          <w:p w14:paraId="7A3C13B3" w14:textId="4183AFAB" w:rsidR="00122079" w:rsidRPr="00122079" w:rsidRDefault="00AB4CB0" w:rsidP="00D3725D">
            <w:pPr>
              <w:ind w:left="22"/>
              <w:jc w:val="both"/>
              <w:rPr>
                <w:rFonts w:ascii="Times New Roman" w:hAnsi="Times New Roman"/>
                <w:bCs/>
                <w:szCs w:val="24"/>
              </w:rPr>
            </w:pPr>
            <w:r>
              <w:rPr>
                <w:rFonts w:ascii="Times New Roman" w:hAnsi="Times New Roman"/>
                <w:bCs/>
                <w:szCs w:val="24"/>
              </w:rPr>
              <w:t xml:space="preserve">- </w:t>
            </w:r>
            <w:r w:rsidR="00122079" w:rsidRPr="00122079">
              <w:rPr>
                <w:rFonts w:ascii="Times New Roman" w:hAnsi="Times New Roman"/>
                <w:bCs/>
                <w:szCs w:val="24"/>
              </w:rPr>
              <w:t>w przypadku uniemożliwiania lub utrudniania rozpoczęcia lub przeprowa</w:t>
            </w:r>
            <w:r>
              <w:rPr>
                <w:rFonts w:ascii="Times New Roman" w:hAnsi="Times New Roman"/>
                <w:bCs/>
                <w:szCs w:val="24"/>
              </w:rPr>
              <w:t>dzenia przeszukania.</w:t>
            </w:r>
          </w:p>
          <w:p w14:paraId="0AE01D10" w14:textId="77777777" w:rsidR="00590B7D" w:rsidRDefault="00AB4CB0" w:rsidP="00A0050A">
            <w:pPr>
              <w:ind w:left="22"/>
              <w:jc w:val="both"/>
              <w:rPr>
                <w:rFonts w:ascii="Times New Roman" w:hAnsi="Times New Roman"/>
                <w:bCs/>
                <w:szCs w:val="24"/>
              </w:rPr>
            </w:pPr>
            <w:r>
              <w:rPr>
                <w:rFonts w:ascii="Times New Roman" w:hAnsi="Times New Roman"/>
                <w:bCs/>
                <w:szCs w:val="24"/>
              </w:rPr>
              <w:t xml:space="preserve">Proponowanie rozwiązania zakładają, że </w:t>
            </w:r>
            <w:r w:rsidR="00122079" w:rsidRPr="00D3725D">
              <w:rPr>
                <w:rFonts w:ascii="Times New Roman" w:hAnsi="Times New Roman"/>
                <w:bCs/>
                <w:szCs w:val="24"/>
              </w:rPr>
              <w:t>okresowe kary pieniężne będą nakładane, licząc od daty wskazanej w dec</w:t>
            </w:r>
            <w:r w:rsidR="00590B7D">
              <w:rPr>
                <w:rFonts w:ascii="Times New Roman" w:hAnsi="Times New Roman"/>
                <w:bCs/>
                <w:szCs w:val="24"/>
              </w:rPr>
              <w:t>yzji.</w:t>
            </w:r>
          </w:p>
          <w:p w14:paraId="2E83E4D3" w14:textId="5B460CFD" w:rsidR="001050F0" w:rsidRPr="002A55B5" w:rsidRDefault="001050F0" w:rsidP="002A55B5">
            <w:pPr>
              <w:spacing w:before="120" w:after="120"/>
              <w:ind w:left="743"/>
              <w:jc w:val="both"/>
              <w:rPr>
                <w:rFonts w:ascii="Times New Roman" w:hAnsi="Times New Roman"/>
                <w:bCs/>
                <w:i/>
                <w:szCs w:val="24"/>
              </w:rPr>
            </w:pPr>
            <w:r w:rsidRPr="00590B7D">
              <w:rPr>
                <w:rFonts w:ascii="Times New Roman" w:hAnsi="Times New Roman"/>
                <w:b/>
                <w:bCs/>
                <w:i/>
                <w:szCs w:val="24"/>
              </w:rPr>
              <w:t xml:space="preserve">d) </w:t>
            </w:r>
            <w:r w:rsidR="00590B7D" w:rsidRPr="00590B7D">
              <w:rPr>
                <w:rFonts w:ascii="Times New Roman" w:hAnsi="Times New Roman"/>
                <w:b/>
                <w:bCs/>
                <w:i/>
                <w:szCs w:val="24"/>
              </w:rPr>
              <w:t>K</w:t>
            </w:r>
            <w:r w:rsidRPr="00590B7D">
              <w:rPr>
                <w:rFonts w:ascii="Times New Roman" w:hAnsi="Times New Roman"/>
                <w:b/>
                <w:bCs/>
                <w:i/>
                <w:szCs w:val="24"/>
              </w:rPr>
              <w:t xml:space="preserve">ary na podstawie art. 108 </w:t>
            </w:r>
            <w:proofErr w:type="spellStart"/>
            <w:r w:rsidRPr="00590B7D">
              <w:rPr>
                <w:rFonts w:ascii="Times New Roman" w:hAnsi="Times New Roman"/>
                <w:b/>
                <w:bCs/>
                <w:i/>
                <w:szCs w:val="24"/>
              </w:rPr>
              <w:t>u.o.k.k</w:t>
            </w:r>
            <w:proofErr w:type="spellEnd"/>
            <w:r w:rsidRPr="00590B7D">
              <w:rPr>
                <w:rFonts w:ascii="Times New Roman" w:hAnsi="Times New Roman"/>
                <w:b/>
                <w:bCs/>
                <w:i/>
                <w:szCs w:val="24"/>
              </w:rPr>
              <w:t>.</w:t>
            </w:r>
          </w:p>
          <w:p w14:paraId="2056291D" w14:textId="77777777" w:rsidR="00590B7D" w:rsidRDefault="001050F0" w:rsidP="00651292">
            <w:pPr>
              <w:ind w:firstLine="777"/>
              <w:jc w:val="both"/>
              <w:rPr>
                <w:rFonts w:ascii="Times New Roman" w:hAnsi="Times New Roman"/>
                <w:szCs w:val="24"/>
              </w:rPr>
            </w:pPr>
            <w:r>
              <w:rPr>
                <w:rFonts w:ascii="Times New Roman" w:hAnsi="Times New Roman"/>
                <w:szCs w:val="24"/>
              </w:rPr>
              <w:t xml:space="preserve">Projekt przewiduje następujące zmiany w zakresie art. 108 </w:t>
            </w:r>
            <w:proofErr w:type="spellStart"/>
            <w:r>
              <w:rPr>
                <w:rFonts w:ascii="Times New Roman" w:hAnsi="Times New Roman"/>
                <w:szCs w:val="24"/>
              </w:rPr>
              <w:t>u.o.k.k</w:t>
            </w:r>
            <w:proofErr w:type="spellEnd"/>
            <w:r>
              <w:rPr>
                <w:rFonts w:ascii="Times New Roman" w:hAnsi="Times New Roman"/>
                <w:szCs w:val="24"/>
              </w:rPr>
              <w:t>.:</w:t>
            </w:r>
          </w:p>
          <w:p w14:paraId="72B21365" w14:textId="3A606D84" w:rsidR="001050F0" w:rsidRPr="005B26DF" w:rsidRDefault="001050F0" w:rsidP="00590B7D">
            <w:pPr>
              <w:jc w:val="both"/>
              <w:rPr>
                <w:rFonts w:ascii="Times New Roman" w:hAnsi="Times New Roman"/>
                <w:szCs w:val="24"/>
              </w:rPr>
            </w:pPr>
            <w:r>
              <w:rPr>
                <w:rFonts w:ascii="Times New Roman" w:hAnsi="Times New Roman"/>
                <w:szCs w:val="24"/>
              </w:rPr>
              <w:t xml:space="preserve">- </w:t>
            </w:r>
            <w:r w:rsidRPr="005B26DF">
              <w:rPr>
                <w:rFonts w:ascii="Times New Roman" w:hAnsi="Times New Roman"/>
                <w:szCs w:val="24"/>
              </w:rPr>
              <w:t>wprowadzenie kar</w:t>
            </w:r>
            <w:r>
              <w:rPr>
                <w:rFonts w:ascii="Times New Roman" w:hAnsi="Times New Roman"/>
                <w:szCs w:val="24"/>
              </w:rPr>
              <w:t>y</w:t>
            </w:r>
            <w:r w:rsidRPr="005B26DF">
              <w:rPr>
                <w:rFonts w:ascii="Times New Roman" w:hAnsi="Times New Roman"/>
                <w:szCs w:val="24"/>
              </w:rPr>
              <w:t xml:space="preserve"> za nieuprawnione wykorzystanie oświadczeń w ramach programu łagodzenia kar, oświadczeń przedsiębiorcy lub osoby zarządzającej występującej z wnioskiem o odstąpienie lub obniżenie kary pieniężnej, propozycji ugodowych lub oświadczenia strony, o którym mowa w art. 89a ust. 8 informacji i dowodów uzyskanych przez Prezesa Urzędu w związku z zastosowaniem art. 89a w innym celu niż określony w art. 70 ust. 2</w:t>
            </w:r>
            <w:r>
              <w:rPr>
                <w:rFonts w:ascii="Times New Roman" w:hAnsi="Times New Roman"/>
                <w:szCs w:val="24"/>
              </w:rPr>
              <w:t>,</w:t>
            </w:r>
          </w:p>
          <w:p w14:paraId="349EEC26" w14:textId="77777777" w:rsidR="001050F0" w:rsidRPr="005B26DF" w:rsidRDefault="001050F0" w:rsidP="002A55B5">
            <w:pPr>
              <w:jc w:val="both"/>
              <w:rPr>
                <w:rFonts w:ascii="Times New Roman" w:hAnsi="Times New Roman"/>
                <w:szCs w:val="24"/>
              </w:rPr>
            </w:pPr>
            <w:r w:rsidRPr="005B26DF">
              <w:rPr>
                <w:rFonts w:ascii="Times New Roman" w:hAnsi="Times New Roman"/>
                <w:szCs w:val="24"/>
              </w:rPr>
              <w:t>- wprowadzenie kary na osobę upoważnioną do stawienia się w imieniu przedsiębiorcy na rozprawie lub przesłuchaniu za nieuzasadnioną odmowę zeznań lub nieuzasadnione niestawiennictwo na wezwanie Prezesa Urzędu (projektowany art.108 ust. 3 pkt 3),</w:t>
            </w:r>
          </w:p>
          <w:p w14:paraId="22386391" w14:textId="34613348" w:rsidR="001050F0" w:rsidRPr="00C71E57" w:rsidRDefault="001050F0" w:rsidP="00C71E57">
            <w:pPr>
              <w:jc w:val="both"/>
              <w:rPr>
                <w:rFonts w:ascii="Times New Roman" w:hAnsi="Times New Roman"/>
                <w:szCs w:val="24"/>
              </w:rPr>
            </w:pPr>
            <w:r w:rsidRPr="005B26DF">
              <w:rPr>
                <w:rFonts w:ascii="Times New Roman" w:hAnsi="Times New Roman"/>
                <w:szCs w:val="24"/>
              </w:rPr>
              <w:t>- wprowadzenie kary na osobę fizyczną, która nie udzieliła  informacji żądanych przez Prezesa Urzędu na podstawie art. 50 Ustawy bądź udzieliła nieprawdziwych lub wprowadzających w błąd informacji (projektowany art. 108 ust. 3a).</w:t>
            </w:r>
          </w:p>
          <w:p w14:paraId="1D5963AE" w14:textId="5E6EDE50" w:rsidR="000171DD" w:rsidRPr="00EF35DD" w:rsidRDefault="000171DD" w:rsidP="000E6A14">
            <w:pPr>
              <w:pStyle w:val="mcntmsonormal1"/>
              <w:numPr>
                <w:ilvl w:val="0"/>
                <w:numId w:val="3"/>
              </w:numPr>
              <w:spacing w:before="120" w:after="120" w:line="276" w:lineRule="auto"/>
              <w:rPr>
                <w:b/>
              </w:rPr>
            </w:pPr>
            <w:r w:rsidRPr="00EF35DD">
              <w:rPr>
                <w:b/>
                <w:sz w:val="22"/>
                <w:szCs w:val="22"/>
                <w:lang w:eastAsia="en-US"/>
              </w:rPr>
              <w:t>Środki zaradcze o charakterze strukturalnym</w:t>
            </w:r>
          </w:p>
          <w:p w14:paraId="42BE5B85" w14:textId="44330AE3" w:rsidR="004B2A96" w:rsidRDefault="00D748BB" w:rsidP="00755B87">
            <w:pPr>
              <w:ind w:firstLine="731"/>
              <w:jc w:val="both"/>
              <w:rPr>
                <w:rFonts w:ascii="Times New Roman" w:hAnsi="Times New Roman"/>
              </w:rPr>
            </w:pPr>
            <w:r w:rsidRPr="00D748BB">
              <w:rPr>
                <w:rFonts w:ascii="Times New Roman" w:hAnsi="Times New Roman"/>
              </w:rPr>
              <w:t xml:space="preserve">W celu wdrożenia Dyrektywy </w:t>
            </w:r>
            <w:r w:rsidR="00D14BEE">
              <w:rPr>
                <w:rFonts w:ascii="Times New Roman" w:hAnsi="Times New Roman"/>
              </w:rPr>
              <w:t>p</w:t>
            </w:r>
            <w:r w:rsidR="00A30227">
              <w:rPr>
                <w:rFonts w:ascii="Times New Roman" w:hAnsi="Times New Roman"/>
              </w:rPr>
              <w:t xml:space="preserve">rojekt przewiduje </w:t>
            </w:r>
            <w:r w:rsidR="000A02BF" w:rsidRPr="000A02BF">
              <w:rPr>
                <w:rFonts w:ascii="Times New Roman" w:hAnsi="Times New Roman"/>
              </w:rPr>
              <w:t xml:space="preserve">wprowadzenie w </w:t>
            </w:r>
            <w:proofErr w:type="spellStart"/>
            <w:r w:rsidR="00A30227">
              <w:rPr>
                <w:rFonts w:ascii="Times New Roman" w:hAnsi="Times New Roman"/>
              </w:rPr>
              <w:t>u.o.k.k</w:t>
            </w:r>
            <w:proofErr w:type="spellEnd"/>
            <w:r w:rsidR="00A30227">
              <w:rPr>
                <w:rFonts w:ascii="Times New Roman" w:hAnsi="Times New Roman"/>
              </w:rPr>
              <w:t>.</w:t>
            </w:r>
            <w:r w:rsidR="000A02BF" w:rsidRPr="000A02BF">
              <w:rPr>
                <w:rFonts w:ascii="Times New Roman" w:hAnsi="Times New Roman"/>
              </w:rPr>
              <w:t xml:space="preserve"> </w:t>
            </w:r>
            <w:r w:rsidR="00755B87">
              <w:rPr>
                <w:rFonts w:ascii="Times New Roman" w:hAnsi="Times New Roman"/>
              </w:rPr>
              <w:t>możliwości nakładania przez</w:t>
            </w:r>
            <w:r w:rsidR="000A02BF" w:rsidRPr="000A02BF">
              <w:rPr>
                <w:rFonts w:ascii="Times New Roman" w:hAnsi="Times New Roman"/>
              </w:rPr>
              <w:t xml:space="preserve"> </w:t>
            </w:r>
            <w:r w:rsidR="00755B87" w:rsidRPr="000A02BF">
              <w:rPr>
                <w:rFonts w:ascii="Times New Roman" w:hAnsi="Times New Roman"/>
              </w:rPr>
              <w:t>Prezes</w:t>
            </w:r>
            <w:r w:rsidR="00755B87">
              <w:rPr>
                <w:rFonts w:ascii="Times New Roman" w:hAnsi="Times New Roman"/>
              </w:rPr>
              <w:t>a</w:t>
            </w:r>
            <w:r w:rsidR="00755B87" w:rsidRPr="000A02BF">
              <w:rPr>
                <w:rFonts w:ascii="Times New Roman" w:hAnsi="Times New Roman"/>
              </w:rPr>
              <w:t xml:space="preserve"> </w:t>
            </w:r>
            <w:r w:rsidR="000A02BF" w:rsidRPr="000A02BF">
              <w:rPr>
                <w:rFonts w:ascii="Times New Roman" w:hAnsi="Times New Roman"/>
              </w:rPr>
              <w:t xml:space="preserve">UOKiK na przedsiębiorców w decyzji, o której mowa w art. 10 ust. 1 </w:t>
            </w:r>
            <w:proofErr w:type="spellStart"/>
            <w:r w:rsidR="00D14BEE">
              <w:rPr>
                <w:rFonts w:ascii="Times New Roman" w:hAnsi="Times New Roman"/>
              </w:rPr>
              <w:t>u.o.k.k</w:t>
            </w:r>
            <w:proofErr w:type="spellEnd"/>
            <w:r w:rsidR="000A02BF" w:rsidRPr="000A02BF">
              <w:rPr>
                <w:rFonts w:ascii="Times New Roman" w:hAnsi="Times New Roman"/>
              </w:rPr>
              <w:t xml:space="preserve"> </w:t>
            </w:r>
            <w:r w:rsidR="00755B87">
              <w:rPr>
                <w:rFonts w:ascii="Times New Roman" w:hAnsi="Times New Roman"/>
              </w:rPr>
              <w:t xml:space="preserve">środków </w:t>
            </w:r>
            <w:r w:rsidR="00755B87" w:rsidRPr="00755B87">
              <w:rPr>
                <w:rFonts w:ascii="Times New Roman" w:hAnsi="Times New Roman"/>
              </w:rPr>
              <w:t>ingerujących w strukturę przedsiębiorcy lub przedsiębiorców</w:t>
            </w:r>
            <w:r w:rsidR="00755B87">
              <w:rPr>
                <w:rFonts w:ascii="Times New Roman" w:hAnsi="Times New Roman"/>
              </w:rPr>
              <w:t xml:space="preserve"> (tzw. środki strukturalne)</w:t>
            </w:r>
            <w:r w:rsidR="000A02BF" w:rsidRPr="000A02BF">
              <w:rPr>
                <w:rFonts w:ascii="Times New Roman" w:hAnsi="Times New Roman"/>
              </w:rPr>
              <w:t xml:space="preserve">. </w:t>
            </w:r>
            <w:r w:rsidR="00755B87" w:rsidRPr="00755B87">
              <w:rPr>
                <w:rFonts w:ascii="Times New Roman" w:hAnsi="Times New Roman"/>
              </w:rPr>
              <w:t xml:space="preserve">Na podstawie tego przepisu Prezes UOKiK będzie mógł </w:t>
            </w:r>
            <w:r w:rsidR="003E52CE">
              <w:rPr>
                <w:rFonts w:ascii="Times New Roman" w:hAnsi="Times New Roman"/>
              </w:rPr>
              <w:br/>
            </w:r>
            <w:r w:rsidR="00755B87" w:rsidRPr="00755B87">
              <w:rPr>
                <w:rFonts w:ascii="Times New Roman" w:hAnsi="Times New Roman"/>
              </w:rPr>
              <w:t xml:space="preserve">w przypadku, gdy będą tego wymagały okoliczności sprawy zastosować dowolny środek mający na celu ingerencję </w:t>
            </w:r>
            <w:r w:rsidR="003E52CE">
              <w:rPr>
                <w:rFonts w:ascii="Times New Roman" w:hAnsi="Times New Roman"/>
              </w:rPr>
              <w:br/>
            </w:r>
            <w:r w:rsidR="00755B87" w:rsidRPr="00755B87">
              <w:rPr>
                <w:rFonts w:ascii="Times New Roman" w:hAnsi="Times New Roman"/>
              </w:rPr>
              <w:t>w strukturę przedsiębiorcy. Takie rozwiązanie zapewni możliwość dowolności wyboru środków strukturalnych, a tym samym zapewni wdrożenie Dyrektywy w tym zakresie.</w:t>
            </w:r>
          </w:p>
          <w:p w14:paraId="1BC9CC38" w14:textId="77777777" w:rsidR="000A02BF" w:rsidRPr="000A02BF" w:rsidRDefault="000A02BF" w:rsidP="000A02BF">
            <w:pPr>
              <w:ind w:firstLine="731"/>
              <w:jc w:val="both"/>
              <w:rPr>
                <w:rFonts w:ascii="Times New Roman" w:hAnsi="Times New Roman"/>
              </w:rPr>
            </w:pPr>
            <w:r w:rsidRPr="000A02BF">
              <w:rPr>
                <w:rFonts w:ascii="Times New Roman" w:hAnsi="Times New Roman"/>
              </w:rPr>
              <w:t>Z uwagi na większą inwazyjność tego rozwiązania w wewnętrzną strukturę i strategię prz</w:t>
            </w:r>
            <w:r w:rsidR="00A717FB">
              <w:rPr>
                <w:rFonts w:ascii="Times New Roman" w:hAnsi="Times New Roman"/>
              </w:rPr>
              <w:t>edsiębiorcy, Prezes UOKiK będzie mógł</w:t>
            </w:r>
            <w:r w:rsidRPr="000A02BF">
              <w:rPr>
                <w:rFonts w:ascii="Times New Roman" w:hAnsi="Times New Roman"/>
              </w:rPr>
              <w:t xml:space="preserve"> skorzystać z tego narzędzia jedynie w wyjątkowych okolicznościach</w:t>
            </w:r>
            <w:r w:rsidR="00A717FB">
              <w:rPr>
                <w:rFonts w:ascii="Times New Roman" w:hAnsi="Times New Roman"/>
              </w:rPr>
              <w:t>, tj. w sytuacji,</w:t>
            </w:r>
            <w:r w:rsidRPr="000A02BF">
              <w:rPr>
                <w:rFonts w:ascii="Times New Roman" w:hAnsi="Times New Roman"/>
              </w:rPr>
              <w:t xml:space="preserve"> gdy inne środki mogłyby okazać się nieskuteczne lub też gdy byłyby równie skuteczne</w:t>
            </w:r>
            <w:r w:rsidR="00A717FB">
              <w:rPr>
                <w:rFonts w:ascii="Times New Roman" w:hAnsi="Times New Roman"/>
              </w:rPr>
              <w:t>,</w:t>
            </w:r>
            <w:r w:rsidRPr="000A02BF">
              <w:rPr>
                <w:rFonts w:ascii="Times New Roman" w:hAnsi="Times New Roman"/>
              </w:rPr>
              <w:t xml:space="preserve"> lecz bardziej uciążliwe dla przedsiębiorcy. Podobnie jak w przypadku pozostałych środków, także i ten środek powinien być proporcjonalny do stwierdzonego naruszenia i konieczny do usunięcia jego skutków. </w:t>
            </w:r>
          </w:p>
          <w:p w14:paraId="65A7F1C7" w14:textId="2A17765F" w:rsidR="00D748BB" w:rsidRPr="00F24EE4" w:rsidRDefault="000A02BF" w:rsidP="00F24EE4">
            <w:pPr>
              <w:ind w:firstLine="731"/>
              <w:jc w:val="both"/>
              <w:rPr>
                <w:rFonts w:ascii="Times New Roman" w:hAnsi="Times New Roman"/>
              </w:rPr>
            </w:pPr>
            <w:r w:rsidRPr="000A02BF">
              <w:rPr>
                <w:rFonts w:ascii="Times New Roman" w:hAnsi="Times New Roman"/>
              </w:rPr>
              <w:t>Jednocześnie, w przypadku nałożenia środka zaradczego, zastosowanie znajdzie procedura konsultacyjna określona w art. 10 ust. 7</w:t>
            </w:r>
            <w:r w:rsidR="00C4763A">
              <w:rPr>
                <w:rFonts w:ascii="Times New Roman" w:hAnsi="Times New Roman"/>
              </w:rPr>
              <w:t xml:space="preserve"> </w:t>
            </w:r>
            <w:proofErr w:type="spellStart"/>
            <w:r w:rsidR="00C4763A">
              <w:rPr>
                <w:rFonts w:ascii="Times New Roman" w:hAnsi="Times New Roman"/>
              </w:rPr>
              <w:t>u.o.k.k</w:t>
            </w:r>
            <w:proofErr w:type="spellEnd"/>
            <w:r w:rsidRPr="000A02BF">
              <w:rPr>
                <w:rFonts w:ascii="Times New Roman" w:hAnsi="Times New Roman"/>
              </w:rPr>
              <w:t>, w trakcie której przedsiębiorca będzie mógł się odnieść do zaproponowanego przez Prezesa UOKiK środka i przedstawić swoje stanowisko oraz argumenty przemawiające za podjęciem prze</w:t>
            </w:r>
            <w:r w:rsidR="00F24EE4">
              <w:rPr>
                <w:rFonts w:ascii="Times New Roman" w:hAnsi="Times New Roman"/>
              </w:rPr>
              <w:t>z Prezesa UOKiK innych środków.</w:t>
            </w:r>
          </w:p>
          <w:p w14:paraId="76F33A7A" w14:textId="5BE3DED8" w:rsidR="00D14953" w:rsidRPr="00F24EE4" w:rsidRDefault="00D14953" w:rsidP="000E6A14">
            <w:pPr>
              <w:pStyle w:val="mcntmsonormal1"/>
              <w:numPr>
                <w:ilvl w:val="0"/>
                <w:numId w:val="3"/>
              </w:numPr>
              <w:spacing w:before="120" w:after="120" w:line="276" w:lineRule="auto"/>
              <w:rPr>
                <w:b/>
              </w:rPr>
            </w:pPr>
            <w:r w:rsidRPr="00EF35DD">
              <w:rPr>
                <w:b/>
                <w:sz w:val="22"/>
                <w:szCs w:val="22"/>
                <w:lang w:eastAsia="en-US"/>
              </w:rPr>
              <w:t xml:space="preserve">Kadencyjność Prezesa UOKiK, </w:t>
            </w:r>
            <w:r w:rsidR="005B560A">
              <w:rPr>
                <w:b/>
                <w:sz w:val="22"/>
                <w:szCs w:val="22"/>
                <w:lang w:eastAsia="en-US"/>
              </w:rPr>
              <w:t>zapewnienie bezstronności i przeciwdziałanie konfliktowi interesów</w:t>
            </w:r>
            <w:r w:rsidRPr="00EF35DD">
              <w:rPr>
                <w:b/>
                <w:sz w:val="22"/>
                <w:szCs w:val="22"/>
                <w:lang w:eastAsia="en-US"/>
              </w:rPr>
              <w:t xml:space="preserve">    </w:t>
            </w:r>
          </w:p>
          <w:p w14:paraId="44F468E5" w14:textId="77777777" w:rsidR="009B7536" w:rsidRDefault="00F24EE4" w:rsidP="009B7536">
            <w:pPr>
              <w:ind w:firstLine="731"/>
              <w:jc w:val="both"/>
              <w:rPr>
                <w:rFonts w:ascii="Times New Roman" w:hAnsi="Times New Roman"/>
                <w:szCs w:val="24"/>
              </w:rPr>
            </w:pPr>
            <w:r w:rsidRPr="009B7536">
              <w:rPr>
                <w:rFonts w:ascii="Times New Roman" w:hAnsi="Times New Roman"/>
                <w:szCs w:val="24"/>
              </w:rPr>
              <w:t xml:space="preserve">Projekt zakłada wprowadzenie pięcioletniej kadencji Prezesa UOKiK. Rozwiązanie to, wraz z określeniem zamkniętego katalogu przesłanek, na podstawie których Prezes UOKiK będzie mógł być odwołany przez Prezesa Rady Ministrów, ma na celu zapewnienie większej niezależności Prezesa UOKiK oraz pozwoli na planowanie polityki ochrony konkurencji i konsumentów w dłuższej perspektywie czasu. </w:t>
            </w:r>
          </w:p>
          <w:p w14:paraId="7583F6A4" w14:textId="6F68F9D9" w:rsidR="00F24EE4" w:rsidRPr="009B7536" w:rsidRDefault="00F24EE4" w:rsidP="009B7536">
            <w:pPr>
              <w:ind w:firstLine="731"/>
              <w:jc w:val="both"/>
              <w:rPr>
                <w:rFonts w:ascii="Times New Roman" w:hAnsi="Times New Roman"/>
                <w:szCs w:val="24"/>
              </w:rPr>
            </w:pPr>
            <w:r w:rsidRPr="009B7536">
              <w:rPr>
                <w:rFonts w:ascii="Times New Roman" w:hAnsi="Times New Roman"/>
                <w:szCs w:val="24"/>
              </w:rPr>
              <w:t>Katalog przesłanek ma charakter zamknięty i nie zawiera przesłanek o charakterze ocennym i niedookreślonym. Zgodnie z projektem odwołanie Prezesa UOKiK przed końcem kadencji będzie możliwe jedynie w przypadku:</w:t>
            </w:r>
          </w:p>
          <w:p w14:paraId="6299F42D" w14:textId="1FC8EC4A" w:rsidR="00F24EE4" w:rsidRPr="009B7536" w:rsidRDefault="009B7536" w:rsidP="009B7536">
            <w:pPr>
              <w:ind w:left="22"/>
              <w:jc w:val="both"/>
              <w:rPr>
                <w:rFonts w:ascii="Times New Roman" w:hAnsi="Times New Roman"/>
                <w:szCs w:val="24"/>
              </w:rPr>
            </w:pPr>
            <w:r>
              <w:rPr>
                <w:rFonts w:ascii="Times New Roman" w:hAnsi="Times New Roman"/>
                <w:szCs w:val="24"/>
              </w:rPr>
              <w:t xml:space="preserve">- </w:t>
            </w:r>
            <w:r w:rsidR="00F24EE4" w:rsidRPr="009B7536">
              <w:rPr>
                <w:rFonts w:ascii="Times New Roman" w:hAnsi="Times New Roman"/>
                <w:szCs w:val="24"/>
              </w:rPr>
              <w:t>skazania prawomocnym wyrokiem za umyślne przestępstwo lub umyślne przestępstwo skarbowe</w:t>
            </w:r>
            <w:r w:rsidR="004429B0">
              <w:rPr>
                <w:rFonts w:ascii="Times New Roman" w:hAnsi="Times New Roman"/>
                <w:szCs w:val="24"/>
              </w:rPr>
              <w:t>,</w:t>
            </w:r>
          </w:p>
          <w:p w14:paraId="47395344" w14:textId="7A1D9916" w:rsidR="00F24EE4" w:rsidRPr="009B7536" w:rsidRDefault="009B7536" w:rsidP="009B7536">
            <w:pPr>
              <w:ind w:left="22"/>
              <w:jc w:val="both"/>
              <w:rPr>
                <w:rFonts w:ascii="Times New Roman" w:hAnsi="Times New Roman"/>
                <w:szCs w:val="24"/>
              </w:rPr>
            </w:pPr>
            <w:r>
              <w:rPr>
                <w:rFonts w:ascii="Times New Roman" w:hAnsi="Times New Roman"/>
                <w:szCs w:val="24"/>
              </w:rPr>
              <w:t xml:space="preserve">- </w:t>
            </w:r>
            <w:r w:rsidR="00F24EE4" w:rsidRPr="009B7536">
              <w:rPr>
                <w:rFonts w:ascii="Times New Roman" w:hAnsi="Times New Roman"/>
                <w:szCs w:val="24"/>
              </w:rPr>
              <w:t>pozbawienia praw publicznych</w:t>
            </w:r>
            <w:r w:rsidR="004429B0">
              <w:rPr>
                <w:rFonts w:ascii="Times New Roman" w:hAnsi="Times New Roman"/>
                <w:szCs w:val="24"/>
              </w:rPr>
              <w:t>,</w:t>
            </w:r>
          </w:p>
          <w:p w14:paraId="7D3C2746" w14:textId="5C86E8C3" w:rsidR="00F24EE4" w:rsidRPr="009B7536" w:rsidRDefault="009B7536" w:rsidP="009B7536">
            <w:pPr>
              <w:ind w:left="22"/>
              <w:jc w:val="both"/>
              <w:rPr>
                <w:rFonts w:ascii="Times New Roman" w:hAnsi="Times New Roman"/>
                <w:szCs w:val="24"/>
              </w:rPr>
            </w:pPr>
            <w:r>
              <w:rPr>
                <w:rFonts w:ascii="Times New Roman" w:hAnsi="Times New Roman"/>
                <w:szCs w:val="24"/>
              </w:rPr>
              <w:t xml:space="preserve">- </w:t>
            </w:r>
            <w:r w:rsidR="00F24EE4" w:rsidRPr="009B7536">
              <w:rPr>
                <w:rFonts w:ascii="Times New Roman" w:hAnsi="Times New Roman"/>
                <w:szCs w:val="24"/>
              </w:rPr>
              <w:t>złożenia rezygnacji</w:t>
            </w:r>
            <w:r w:rsidR="004429B0">
              <w:rPr>
                <w:rFonts w:ascii="Times New Roman" w:hAnsi="Times New Roman"/>
                <w:szCs w:val="24"/>
              </w:rPr>
              <w:t>,</w:t>
            </w:r>
          </w:p>
          <w:p w14:paraId="07BBA4E4" w14:textId="3E9C5FC6" w:rsidR="00F24EE4" w:rsidRPr="009B7536" w:rsidRDefault="009B7536" w:rsidP="009B7536">
            <w:pPr>
              <w:ind w:left="22"/>
              <w:jc w:val="both"/>
              <w:rPr>
                <w:rFonts w:ascii="Times New Roman" w:hAnsi="Times New Roman"/>
                <w:szCs w:val="24"/>
              </w:rPr>
            </w:pPr>
            <w:r>
              <w:rPr>
                <w:rFonts w:ascii="Times New Roman" w:hAnsi="Times New Roman"/>
                <w:szCs w:val="24"/>
              </w:rPr>
              <w:t xml:space="preserve">- </w:t>
            </w:r>
            <w:r w:rsidR="00F24EE4" w:rsidRPr="009B7536">
              <w:rPr>
                <w:rFonts w:ascii="Times New Roman" w:hAnsi="Times New Roman"/>
                <w:szCs w:val="24"/>
              </w:rPr>
              <w:t>utraty obywatelstwa polskiego</w:t>
            </w:r>
            <w:r w:rsidR="004429B0">
              <w:rPr>
                <w:rFonts w:ascii="Times New Roman" w:hAnsi="Times New Roman"/>
                <w:szCs w:val="24"/>
              </w:rPr>
              <w:t>,</w:t>
            </w:r>
          </w:p>
          <w:p w14:paraId="44B16711" w14:textId="5AA2E600" w:rsidR="00F24EE4" w:rsidRPr="009B7536" w:rsidRDefault="009B7536" w:rsidP="009B7536">
            <w:pPr>
              <w:ind w:left="22"/>
              <w:jc w:val="both"/>
              <w:rPr>
                <w:rFonts w:ascii="Times New Roman" w:hAnsi="Times New Roman"/>
                <w:szCs w:val="24"/>
              </w:rPr>
            </w:pPr>
            <w:r>
              <w:rPr>
                <w:rFonts w:ascii="Times New Roman" w:hAnsi="Times New Roman"/>
                <w:szCs w:val="24"/>
              </w:rPr>
              <w:lastRenderedPageBreak/>
              <w:t xml:space="preserve">- </w:t>
            </w:r>
            <w:r w:rsidR="00F24EE4" w:rsidRPr="009B7536">
              <w:rPr>
                <w:rFonts w:ascii="Times New Roman" w:hAnsi="Times New Roman"/>
                <w:szCs w:val="24"/>
              </w:rPr>
              <w:t>choroby stwierdzonej orzeczeniem lekarskim lub innej przeszkody, trwale uniemożliwiającej wykonywanie zadań;</w:t>
            </w:r>
          </w:p>
          <w:p w14:paraId="64CBBF68" w14:textId="10130E18" w:rsidR="00F24EE4" w:rsidRPr="009B7536" w:rsidRDefault="009B7536" w:rsidP="009B7536">
            <w:pPr>
              <w:ind w:left="22"/>
              <w:jc w:val="both"/>
              <w:rPr>
                <w:rFonts w:ascii="Times New Roman" w:hAnsi="Times New Roman"/>
                <w:szCs w:val="24"/>
              </w:rPr>
            </w:pPr>
            <w:r>
              <w:rPr>
                <w:rFonts w:ascii="Times New Roman" w:hAnsi="Times New Roman"/>
                <w:szCs w:val="24"/>
              </w:rPr>
              <w:t xml:space="preserve">- </w:t>
            </w:r>
            <w:r w:rsidR="00F24EE4" w:rsidRPr="009B7536">
              <w:rPr>
                <w:rFonts w:ascii="Times New Roman" w:hAnsi="Times New Roman"/>
                <w:szCs w:val="24"/>
              </w:rPr>
              <w:t xml:space="preserve">naruszenia zakazów, o których mowa w art. 4 ustawy z dnia 21 sierpnia 1997 r. </w:t>
            </w:r>
            <w:r w:rsidR="00F24EE4" w:rsidRPr="009B7536">
              <w:rPr>
                <w:rFonts w:ascii="Times New Roman" w:hAnsi="Times New Roman"/>
                <w:i/>
                <w:szCs w:val="24"/>
              </w:rPr>
              <w:t>o ograniczeniu prowadzenia działalności gospodarczej przez osoby pełniące funkcje publiczne</w:t>
            </w:r>
            <w:r w:rsidR="00F24EE4" w:rsidRPr="009B7536">
              <w:rPr>
                <w:rFonts w:ascii="Times New Roman" w:hAnsi="Times New Roman"/>
                <w:szCs w:val="24"/>
              </w:rPr>
              <w:t xml:space="preserve"> (Dz. U. z 2019 r. poz. 2399)</w:t>
            </w:r>
            <w:r w:rsidR="004429B0">
              <w:rPr>
                <w:rFonts w:ascii="Times New Roman" w:hAnsi="Times New Roman"/>
                <w:szCs w:val="24"/>
              </w:rPr>
              <w:t>,</w:t>
            </w:r>
          </w:p>
          <w:p w14:paraId="777AD683" w14:textId="4610560E" w:rsidR="00F24EE4" w:rsidRDefault="009B7536" w:rsidP="009B7536">
            <w:pPr>
              <w:ind w:left="22"/>
              <w:jc w:val="both"/>
              <w:rPr>
                <w:rFonts w:ascii="Times New Roman" w:hAnsi="Times New Roman"/>
                <w:szCs w:val="24"/>
              </w:rPr>
            </w:pPr>
            <w:r>
              <w:rPr>
                <w:rFonts w:ascii="Times New Roman" w:hAnsi="Times New Roman"/>
                <w:szCs w:val="24"/>
              </w:rPr>
              <w:t xml:space="preserve">- </w:t>
            </w:r>
            <w:r w:rsidR="00F24EE4" w:rsidRPr="009B7536">
              <w:rPr>
                <w:rFonts w:ascii="Times New Roman" w:hAnsi="Times New Roman"/>
                <w:szCs w:val="24"/>
              </w:rPr>
              <w:t>naruszenia zakazu</w:t>
            </w:r>
            <w:r w:rsidR="00D73FE3">
              <w:rPr>
                <w:rFonts w:ascii="Times New Roman" w:hAnsi="Times New Roman"/>
                <w:szCs w:val="24"/>
              </w:rPr>
              <w:t xml:space="preserve"> zajmowania</w:t>
            </w:r>
            <w:r w:rsidR="00D73FE3" w:rsidRPr="00D73FE3">
              <w:rPr>
                <w:rFonts w:ascii="Times New Roman" w:hAnsi="Times New Roman"/>
                <w:szCs w:val="24"/>
              </w:rPr>
              <w:t xml:space="preserve"> innego stanowiska, z wyjątkiem stanowiska dydaktycznego, badawczo-dydaktycznego lub badawczego w szkole wyższej, Polskiej Akademii Nauk, instytucie badawczym lub innej jednostce naukowej lub stanowiska wykładowcy w Krajowej Szkole Administracji Publicznej im. Prezydenta Rzeczypospolitej P</w:t>
            </w:r>
            <w:r w:rsidR="00D73FE3">
              <w:rPr>
                <w:rFonts w:ascii="Times New Roman" w:hAnsi="Times New Roman"/>
                <w:szCs w:val="24"/>
              </w:rPr>
              <w:t>olskiej Lecha Kaczyńskiego oraz wykonywania</w:t>
            </w:r>
            <w:r w:rsidR="00D73FE3" w:rsidRPr="00D73FE3">
              <w:rPr>
                <w:rFonts w:ascii="Times New Roman" w:hAnsi="Times New Roman"/>
                <w:szCs w:val="24"/>
              </w:rPr>
              <w:t xml:space="preserve"> innych zajęć zarobkowych sprzecznych z obowiązkami Prezesa </w:t>
            </w:r>
            <w:r w:rsidR="009D6337">
              <w:rPr>
                <w:rFonts w:ascii="Times New Roman" w:hAnsi="Times New Roman"/>
                <w:szCs w:val="24"/>
              </w:rPr>
              <w:t>UOKiK (unikanie konfliktu interesów)</w:t>
            </w:r>
            <w:r w:rsidR="004429B0">
              <w:rPr>
                <w:rFonts w:ascii="Times New Roman" w:hAnsi="Times New Roman"/>
                <w:szCs w:val="24"/>
              </w:rPr>
              <w:t>,</w:t>
            </w:r>
          </w:p>
          <w:p w14:paraId="7AAA1818" w14:textId="24BDD114" w:rsidR="004429B0" w:rsidRDefault="004429B0" w:rsidP="009B7536">
            <w:pPr>
              <w:ind w:left="22"/>
              <w:jc w:val="both"/>
              <w:rPr>
                <w:rFonts w:ascii="Times New Roman" w:hAnsi="Times New Roman"/>
                <w:szCs w:val="24"/>
              </w:rPr>
            </w:pPr>
            <w:r>
              <w:rPr>
                <w:rFonts w:ascii="Times New Roman" w:hAnsi="Times New Roman"/>
                <w:szCs w:val="24"/>
              </w:rPr>
              <w:t xml:space="preserve">- </w:t>
            </w:r>
            <w:r w:rsidRPr="004429B0">
              <w:rPr>
                <w:rFonts w:ascii="Times New Roman" w:hAnsi="Times New Roman"/>
                <w:szCs w:val="24"/>
              </w:rPr>
              <w:t>złożenia niezgodnego z prawdą oświadczenia lustracyjnego, stwierdzonego prawomocnym orzeczeniem sądu.</w:t>
            </w:r>
          </w:p>
          <w:p w14:paraId="748822A7" w14:textId="2002CAD9" w:rsidR="00D73FE3" w:rsidRPr="00D73FE3" w:rsidRDefault="00D73FE3" w:rsidP="00D73FE3">
            <w:pPr>
              <w:ind w:left="22" w:firstLine="709"/>
              <w:jc w:val="both"/>
              <w:rPr>
                <w:rFonts w:ascii="Times New Roman" w:hAnsi="Times New Roman"/>
                <w:szCs w:val="24"/>
              </w:rPr>
            </w:pPr>
            <w:r w:rsidRPr="00D73FE3">
              <w:rPr>
                <w:rFonts w:ascii="Times New Roman" w:hAnsi="Times New Roman"/>
                <w:szCs w:val="24"/>
              </w:rPr>
              <w:t>Ponadto w projekcie wskazano, że kadencja Prezesa UOKiK wygasa w razie jego śmierci lub odwołania,</w:t>
            </w:r>
            <w:r w:rsidR="001162A3">
              <w:rPr>
                <w:rFonts w:ascii="Times New Roman" w:hAnsi="Times New Roman"/>
                <w:szCs w:val="24"/>
              </w:rPr>
              <w:t xml:space="preserve"> </w:t>
            </w:r>
            <w:r w:rsidR="001162A3">
              <w:rPr>
                <w:rFonts w:ascii="Times New Roman" w:hAnsi="Times New Roman"/>
                <w:szCs w:val="24"/>
              </w:rPr>
              <w:br/>
              <w:t>a</w:t>
            </w:r>
            <w:r w:rsidRPr="00D73FE3">
              <w:rPr>
                <w:rFonts w:ascii="Times New Roman" w:hAnsi="Times New Roman"/>
                <w:szCs w:val="24"/>
              </w:rPr>
              <w:t xml:space="preserve"> w razie wygaśnięcia kadencji Prezesa Urzędu, do czasu powołania nowego Prezesa, jego obowiązki pełni wiceprezes Urzędu wskazany przez Prezesa Rady Ministrów.</w:t>
            </w:r>
          </w:p>
          <w:p w14:paraId="5F9DB0C5" w14:textId="77777777" w:rsidR="00205D79" w:rsidRDefault="001162A3" w:rsidP="00205D79">
            <w:pPr>
              <w:ind w:left="22" w:firstLine="709"/>
              <w:jc w:val="both"/>
              <w:rPr>
                <w:rFonts w:ascii="Times New Roman" w:hAnsi="Times New Roman"/>
                <w:szCs w:val="24"/>
              </w:rPr>
            </w:pPr>
            <w:r w:rsidRPr="001162A3">
              <w:rPr>
                <w:rFonts w:ascii="Times New Roman" w:hAnsi="Times New Roman"/>
                <w:szCs w:val="24"/>
              </w:rPr>
              <w:t>Proponowane rozwiązanie przewiduje</w:t>
            </w:r>
            <w:r w:rsidR="008D1732">
              <w:rPr>
                <w:rFonts w:ascii="Times New Roman" w:hAnsi="Times New Roman"/>
                <w:szCs w:val="24"/>
              </w:rPr>
              <w:t xml:space="preserve"> też</w:t>
            </w:r>
            <w:r w:rsidRPr="001162A3">
              <w:rPr>
                <w:rFonts w:ascii="Times New Roman" w:hAnsi="Times New Roman"/>
                <w:szCs w:val="24"/>
              </w:rPr>
              <w:t xml:space="preserve">, że Prezes UOKiK, tak jak w obecnym stanie prawnym, będzie powoływany przez Prezesa Rady Ministrów. </w:t>
            </w:r>
            <w:r w:rsidR="008D1732">
              <w:rPr>
                <w:rFonts w:ascii="Times New Roman" w:hAnsi="Times New Roman"/>
                <w:szCs w:val="24"/>
              </w:rPr>
              <w:t>W</w:t>
            </w:r>
            <w:r w:rsidRPr="001162A3">
              <w:rPr>
                <w:rFonts w:ascii="Times New Roman" w:hAnsi="Times New Roman"/>
                <w:szCs w:val="24"/>
              </w:rPr>
              <w:t>prowadzono</w:t>
            </w:r>
            <w:r w:rsidR="008D1732">
              <w:rPr>
                <w:rFonts w:ascii="Times New Roman" w:hAnsi="Times New Roman"/>
                <w:szCs w:val="24"/>
              </w:rPr>
              <w:t xml:space="preserve"> również</w:t>
            </w:r>
            <w:r w:rsidRPr="001162A3">
              <w:rPr>
                <w:rFonts w:ascii="Times New Roman" w:hAnsi="Times New Roman"/>
                <w:szCs w:val="24"/>
              </w:rPr>
              <w:t xml:space="preserve"> ograniczenie, zgodnie z którym Prezes UOKiK może zostać ponownie powołany tylko raz</w:t>
            </w:r>
            <w:r w:rsidR="00205D79">
              <w:rPr>
                <w:rFonts w:ascii="Times New Roman" w:hAnsi="Times New Roman"/>
                <w:szCs w:val="24"/>
              </w:rPr>
              <w:t>.</w:t>
            </w:r>
          </w:p>
          <w:p w14:paraId="740EF210" w14:textId="76C57D81" w:rsidR="006F09D5" w:rsidRDefault="00205D79" w:rsidP="006F09D5">
            <w:pPr>
              <w:ind w:left="22" w:firstLine="709"/>
              <w:jc w:val="both"/>
              <w:rPr>
                <w:rFonts w:ascii="Times New Roman" w:hAnsi="Times New Roman"/>
                <w:szCs w:val="24"/>
              </w:rPr>
            </w:pPr>
            <w:r>
              <w:rPr>
                <w:rFonts w:ascii="Times New Roman" w:hAnsi="Times New Roman"/>
                <w:szCs w:val="24"/>
              </w:rPr>
              <w:t>W odniesieni</w:t>
            </w:r>
            <w:r w:rsidR="001717CF">
              <w:rPr>
                <w:rFonts w:ascii="Times New Roman" w:hAnsi="Times New Roman"/>
                <w:szCs w:val="24"/>
              </w:rPr>
              <w:t>u do Wiceprezesów, projekt zakłada, że</w:t>
            </w:r>
            <w:r w:rsidRPr="00205D79">
              <w:rPr>
                <w:rFonts w:ascii="Times New Roman" w:hAnsi="Times New Roman"/>
                <w:szCs w:val="24"/>
              </w:rPr>
              <w:t xml:space="preserve"> będą</w:t>
            </w:r>
            <w:r w:rsidR="001717CF">
              <w:rPr>
                <w:rFonts w:ascii="Times New Roman" w:hAnsi="Times New Roman"/>
                <w:szCs w:val="24"/>
              </w:rPr>
              <w:t xml:space="preserve"> oni</w:t>
            </w:r>
            <w:r w:rsidRPr="00205D79">
              <w:rPr>
                <w:rFonts w:ascii="Times New Roman" w:hAnsi="Times New Roman"/>
                <w:szCs w:val="24"/>
              </w:rPr>
              <w:t xml:space="preserve"> </w:t>
            </w:r>
            <w:r w:rsidR="000F4EF6">
              <w:rPr>
                <w:rFonts w:ascii="Times New Roman" w:hAnsi="Times New Roman"/>
                <w:szCs w:val="24"/>
              </w:rPr>
              <w:t xml:space="preserve">wyłaniani w otwartym i konkurencyjnym naborze i </w:t>
            </w:r>
            <w:r w:rsidRPr="00205D79">
              <w:rPr>
                <w:rFonts w:ascii="Times New Roman" w:hAnsi="Times New Roman"/>
                <w:szCs w:val="24"/>
              </w:rPr>
              <w:t>powoływani</w:t>
            </w:r>
            <w:r w:rsidR="000F4EF6">
              <w:rPr>
                <w:rFonts w:ascii="Times New Roman" w:hAnsi="Times New Roman"/>
                <w:szCs w:val="24"/>
              </w:rPr>
              <w:t xml:space="preserve"> będą</w:t>
            </w:r>
            <w:r w:rsidRPr="00205D79">
              <w:rPr>
                <w:rFonts w:ascii="Times New Roman" w:hAnsi="Times New Roman"/>
                <w:szCs w:val="24"/>
              </w:rPr>
              <w:t xml:space="preserve"> przez Prezesa Rady Ministrów na wniosek Prezesa UOKiK.</w:t>
            </w:r>
            <w:r w:rsidR="001717CF">
              <w:rPr>
                <w:rFonts w:ascii="Times New Roman" w:hAnsi="Times New Roman"/>
                <w:szCs w:val="24"/>
              </w:rPr>
              <w:t xml:space="preserve"> </w:t>
            </w:r>
            <w:r w:rsidRPr="00205D79">
              <w:rPr>
                <w:rFonts w:ascii="Times New Roman" w:hAnsi="Times New Roman"/>
                <w:szCs w:val="24"/>
              </w:rPr>
              <w:t>W pozostałym zakresie tryb powoływania i odwoływania wicepreze</w:t>
            </w:r>
            <w:r w:rsidR="001717CF">
              <w:rPr>
                <w:rFonts w:ascii="Times New Roman" w:hAnsi="Times New Roman"/>
                <w:szCs w:val="24"/>
              </w:rPr>
              <w:t>sów UOKiK nie ulegnie zmianie</w:t>
            </w:r>
            <w:r w:rsidRPr="00205D79">
              <w:rPr>
                <w:rFonts w:ascii="Times New Roman" w:hAnsi="Times New Roman"/>
                <w:szCs w:val="24"/>
              </w:rPr>
              <w:t xml:space="preserve">. </w:t>
            </w:r>
            <w:r w:rsidR="006F09D5">
              <w:rPr>
                <w:rFonts w:ascii="Times New Roman" w:hAnsi="Times New Roman"/>
                <w:szCs w:val="24"/>
              </w:rPr>
              <w:t>Kandydaci na wiceprezesów</w:t>
            </w:r>
            <w:r w:rsidRPr="00205D79">
              <w:rPr>
                <w:rFonts w:ascii="Times New Roman" w:hAnsi="Times New Roman"/>
                <w:szCs w:val="24"/>
              </w:rPr>
              <w:t xml:space="preserve"> będą musieli</w:t>
            </w:r>
            <w:r w:rsidR="006F09D5">
              <w:rPr>
                <w:rFonts w:ascii="Times New Roman" w:hAnsi="Times New Roman"/>
                <w:szCs w:val="24"/>
              </w:rPr>
              <w:t xml:space="preserve"> także</w:t>
            </w:r>
            <w:r w:rsidRPr="00205D79">
              <w:rPr>
                <w:rFonts w:ascii="Times New Roman" w:hAnsi="Times New Roman"/>
                <w:szCs w:val="24"/>
              </w:rPr>
              <w:t xml:space="preserve"> spełnić te sam</w:t>
            </w:r>
            <w:r w:rsidR="006F09D5">
              <w:rPr>
                <w:rFonts w:ascii="Times New Roman" w:hAnsi="Times New Roman"/>
                <w:szCs w:val="24"/>
              </w:rPr>
              <w:t>e wymogi co kandydat na Prezesa.</w:t>
            </w:r>
          </w:p>
          <w:p w14:paraId="2BED69DD" w14:textId="73EF86F5" w:rsidR="00392F19" w:rsidRDefault="0052016E" w:rsidP="004E5609">
            <w:pPr>
              <w:ind w:left="22" w:firstLine="709"/>
              <w:jc w:val="both"/>
              <w:rPr>
                <w:rFonts w:ascii="Times New Roman" w:hAnsi="Times New Roman"/>
                <w:szCs w:val="24"/>
              </w:rPr>
            </w:pPr>
            <w:r>
              <w:rPr>
                <w:rFonts w:ascii="Times New Roman" w:hAnsi="Times New Roman"/>
                <w:szCs w:val="24"/>
              </w:rPr>
              <w:t>W</w:t>
            </w:r>
            <w:r w:rsidRPr="0052016E">
              <w:rPr>
                <w:rFonts w:ascii="Times New Roman" w:hAnsi="Times New Roman"/>
                <w:szCs w:val="24"/>
              </w:rPr>
              <w:t xml:space="preserve"> projekcie ustawy zaproponowano</w:t>
            </w:r>
            <w:r>
              <w:rPr>
                <w:rFonts w:ascii="Times New Roman" w:hAnsi="Times New Roman"/>
                <w:szCs w:val="24"/>
              </w:rPr>
              <w:t xml:space="preserve"> także przepisy</w:t>
            </w:r>
            <w:r w:rsidRPr="0052016E">
              <w:rPr>
                <w:rFonts w:ascii="Times New Roman" w:hAnsi="Times New Roman"/>
                <w:szCs w:val="24"/>
              </w:rPr>
              <w:t>, zgodnie z którym</w:t>
            </w:r>
            <w:r>
              <w:rPr>
                <w:rFonts w:ascii="Times New Roman" w:hAnsi="Times New Roman"/>
                <w:szCs w:val="24"/>
              </w:rPr>
              <w:t>i</w:t>
            </w:r>
            <w:r w:rsidRPr="0052016E">
              <w:rPr>
                <w:rFonts w:ascii="Times New Roman" w:hAnsi="Times New Roman"/>
                <w:szCs w:val="24"/>
              </w:rPr>
              <w:t> Prezes Urzędu, wiceprezesi Urzędu oraz pracownicy Urzędu wykonują swoje obowiązki i uprawnienia niezależnie od wpływów politycznych i innych wpływów zewnętrznych</w:t>
            </w:r>
            <w:r w:rsidR="00056AA2">
              <w:rPr>
                <w:rFonts w:ascii="Times New Roman" w:hAnsi="Times New Roman"/>
                <w:szCs w:val="24"/>
              </w:rPr>
              <w:t>,</w:t>
            </w:r>
            <w:r w:rsidRPr="0052016E">
              <w:rPr>
                <w:rFonts w:ascii="Times New Roman" w:hAnsi="Times New Roman"/>
                <w:szCs w:val="24"/>
              </w:rPr>
              <w:t xml:space="preserve"> nie mogą zwracać się o instrukcje do rządu ani innego podmiotu publicznego lub prywatnego, ani przyjmować od nich żadnych instrukcji</w:t>
            </w:r>
            <w:r w:rsidR="00AE4891">
              <w:rPr>
                <w:rFonts w:ascii="Times New Roman" w:hAnsi="Times New Roman"/>
                <w:szCs w:val="24"/>
              </w:rPr>
              <w:t xml:space="preserve"> podczas wykonywania obowiązków i uprawnień</w:t>
            </w:r>
            <w:r w:rsidR="00392F19">
              <w:rPr>
                <w:rFonts w:ascii="Times New Roman" w:hAnsi="Times New Roman"/>
                <w:szCs w:val="24"/>
              </w:rPr>
              <w:t xml:space="preserve"> oraz </w:t>
            </w:r>
            <w:r w:rsidR="00392F19" w:rsidRPr="00392F19">
              <w:rPr>
                <w:rFonts w:ascii="Times New Roman" w:hAnsi="Times New Roman"/>
                <w:szCs w:val="24"/>
              </w:rPr>
              <w:t>mają obowiązek powstrzymywać się od wszelkich działań, które mogłyby skutkować konfliktem interesów</w:t>
            </w:r>
            <w:r w:rsidR="00392F19">
              <w:rPr>
                <w:rFonts w:ascii="Times New Roman" w:hAnsi="Times New Roman"/>
                <w:szCs w:val="24"/>
              </w:rPr>
              <w:t>.</w:t>
            </w:r>
            <w:r w:rsidRPr="0052016E">
              <w:rPr>
                <w:rFonts w:ascii="Times New Roman" w:hAnsi="Times New Roman"/>
                <w:szCs w:val="24"/>
              </w:rPr>
              <w:t xml:space="preserve"> </w:t>
            </w:r>
          </w:p>
          <w:p w14:paraId="61041AC6" w14:textId="471968E1" w:rsidR="00F24EE4" w:rsidRPr="004E5609" w:rsidRDefault="0052016E" w:rsidP="004E5609">
            <w:pPr>
              <w:ind w:left="22" w:firstLine="709"/>
              <w:jc w:val="both"/>
              <w:rPr>
                <w:rFonts w:ascii="Times New Roman" w:hAnsi="Times New Roman"/>
                <w:szCs w:val="24"/>
              </w:rPr>
            </w:pPr>
            <w:r w:rsidRPr="0052016E">
              <w:rPr>
                <w:rFonts w:ascii="Times New Roman" w:hAnsi="Times New Roman"/>
                <w:szCs w:val="24"/>
              </w:rPr>
              <w:t>W celu zapewnienia braku konfliktu interesów po ustaniu zatrudnienia lub pełnienia funkcji, nałożono na Prezesa, wiceprezesów oraz pracowników Urzędu</w:t>
            </w:r>
            <w:r w:rsidR="004A4003">
              <w:rPr>
                <w:rFonts w:ascii="Times New Roman" w:hAnsi="Times New Roman"/>
                <w:szCs w:val="24"/>
              </w:rPr>
              <w:t>,</w:t>
            </w:r>
            <w:r w:rsidRPr="0052016E">
              <w:rPr>
                <w:rFonts w:ascii="Times New Roman" w:hAnsi="Times New Roman"/>
                <w:szCs w:val="24"/>
              </w:rPr>
              <w:t xml:space="preserve"> uczestniczących w wydaniu decyzji</w:t>
            </w:r>
            <w:r w:rsidR="004A4003">
              <w:rPr>
                <w:rFonts w:ascii="Times New Roman" w:hAnsi="Times New Roman"/>
                <w:szCs w:val="24"/>
              </w:rPr>
              <w:t>,</w:t>
            </w:r>
            <w:r w:rsidRPr="0052016E">
              <w:rPr>
                <w:rFonts w:ascii="Times New Roman" w:hAnsi="Times New Roman"/>
                <w:szCs w:val="24"/>
              </w:rPr>
              <w:t xml:space="preserve"> obowiązek nieangażowania się </w:t>
            </w:r>
            <w:r w:rsidR="004A4003">
              <w:rPr>
                <w:rFonts w:ascii="Times New Roman" w:hAnsi="Times New Roman"/>
                <w:szCs w:val="24"/>
              </w:rPr>
              <w:br/>
            </w:r>
            <w:r w:rsidRPr="0052016E">
              <w:rPr>
                <w:rFonts w:ascii="Times New Roman" w:hAnsi="Times New Roman"/>
                <w:szCs w:val="24"/>
              </w:rPr>
              <w:t xml:space="preserve">w tę samą sprawę w ramach nowego zajęcia, w okresie </w:t>
            </w:r>
            <w:r w:rsidR="000F4EF6">
              <w:rPr>
                <w:rFonts w:ascii="Times New Roman" w:hAnsi="Times New Roman"/>
                <w:szCs w:val="24"/>
              </w:rPr>
              <w:t xml:space="preserve">3 </w:t>
            </w:r>
            <w:r w:rsidR="003769B8">
              <w:rPr>
                <w:rFonts w:ascii="Times New Roman" w:hAnsi="Times New Roman"/>
                <w:szCs w:val="24"/>
              </w:rPr>
              <w:t>l</w:t>
            </w:r>
            <w:r w:rsidRPr="0052016E">
              <w:rPr>
                <w:rFonts w:ascii="Times New Roman" w:hAnsi="Times New Roman"/>
                <w:szCs w:val="24"/>
              </w:rPr>
              <w:t>at od zakończenia pracy w Urzędzie lub pełnienia  swojej funkcji.</w:t>
            </w:r>
          </w:p>
          <w:p w14:paraId="6C175CB1" w14:textId="34D94D97" w:rsidR="00D14953" w:rsidRPr="004E5609" w:rsidRDefault="00C63FFE" w:rsidP="000E6A14">
            <w:pPr>
              <w:pStyle w:val="mcntmsonormal1"/>
              <w:numPr>
                <w:ilvl w:val="0"/>
                <w:numId w:val="3"/>
              </w:numPr>
              <w:spacing w:before="120" w:after="120" w:line="276" w:lineRule="auto"/>
              <w:rPr>
                <w:b/>
              </w:rPr>
            </w:pPr>
            <w:r>
              <w:rPr>
                <w:b/>
                <w:sz w:val="22"/>
                <w:szCs w:val="22"/>
                <w:lang w:eastAsia="en-US"/>
              </w:rPr>
              <w:t>U</w:t>
            </w:r>
            <w:r w:rsidR="00D14953" w:rsidRPr="00EF35DD">
              <w:rPr>
                <w:b/>
                <w:sz w:val="22"/>
                <w:szCs w:val="22"/>
                <w:lang w:eastAsia="en-US"/>
              </w:rPr>
              <w:t>zasadnienie zarzutów</w:t>
            </w:r>
          </w:p>
          <w:p w14:paraId="2487555D" w14:textId="61B17B0C" w:rsidR="004A6A75" w:rsidRDefault="004A6A75" w:rsidP="004A6A75">
            <w:pPr>
              <w:ind w:firstLine="741"/>
              <w:jc w:val="both"/>
              <w:rPr>
                <w:rFonts w:ascii="Times New Roman" w:hAnsi="Times New Roman"/>
                <w:szCs w:val="24"/>
              </w:rPr>
            </w:pPr>
            <w:r w:rsidRPr="004A6A75">
              <w:rPr>
                <w:rFonts w:ascii="Times New Roman" w:hAnsi="Times New Roman"/>
                <w:szCs w:val="24"/>
              </w:rPr>
              <w:t>Projek</w:t>
            </w:r>
            <w:r>
              <w:rPr>
                <w:rFonts w:ascii="Times New Roman" w:hAnsi="Times New Roman"/>
                <w:szCs w:val="24"/>
              </w:rPr>
              <w:t>t zakłada, że</w:t>
            </w:r>
            <w:r w:rsidRPr="004A6A75">
              <w:rPr>
                <w:rFonts w:ascii="Times New Roman" w:hAnsi="Times New Roman"/>
                <w:szCs w:val="24"/>
              </w:rPr>
              <w:t xml:space="preserve"> uzasadnienie zarzutów b</w:t>
            </w:r>
            <w:r>
              <w:rPr>
                <w:rFonts w:ascii="Times New Roman" w:hAnsi="Times New Roman"/>
                <w:szCs w:val="24"/>
              </w:rPr>
              <w:t>ędzie</w:t>
            </w:r>
            <w:r w:rsidRPr="004A6A75">
              <w:rPr>
                <w:rFonts w:ascii="Times New Roman" w:hAnsi="Times New Roman"/>
                <w:szCs w:val="24"/>
              </w:rPr>
              <w:t xml:space="preserve"> wydawane na etapie wszczęcia postępowania. Zgodnie z propozycją, postanowienie o wszczęciu postępowania wymaga uzasadnienia</w:t>
            </w:r>
            <w:r>
              <w:rPr>
                <w:rFonts w:ascii="Times New Roman" w:hAnsi="Times New Roman"/>
                <w:szCs w:val="24"/>
              </w:rPr>
              <w:t xml:space="preserve">, </w:t>
            </w:r>
            <w:r w:rsidRPr="004A6A75">
              <w:rPr>
                <w:rFonts w:ascii="Times New Roman" w:hAnsi="Times New Roman"/>
                <w:szCs w:val="24"/>
              </w:rPr>
              <w:t>zawiera</w:t>
            </w:r>
            <w:r>
              <w:rPr>
                <w:rFonts w:ascii="Times New Roman" w:hAnsi="Times New Roman"/>
                <w:szCs w:val="24"/>
              </w:rPr>
              <w:t>jącego</w:t>
            </w:r>
            <w:r w:rsidR="00615759">
              <w:rPr>
                <w:rFonts w:ascii="Times New Roman" w:hAnsi="Times New Roman"/>
                <w:szCs w:val="24"/>
              </w:rPr>
              <w:t xml:space="preserve"> </w:t>
            </w:r>
            <w:r w:rsidRPr="004A6A75">
              <w:rPr>
                <w:rFonts w:ascii="Times New Roman" w:hAnsi="Times New Roman"/>
                <w:szCs w:val="24"/>
              </w:rPr>
              <w:t>wyjaśnienie zarzutów stawianych przedsiębiorcy oraz informację o zasadach wymiaru kary pieniężnej w przypadku stwierdzenia, że przedsiębiorca dopuścił się naruszenia przepisów ustawy. Obowiązek przedstawienia uzasadnienia zarzutów dotyczyć będzie</w:t>
            </w:r>
            <w:r>
              <w:rPr>
                <w:rFonts w:ascii="Times New Roman" w:hAnsi="Times New Roman"/>
                <w:szCs w:val="24"/>
              </w:rPr>
              <w:t xml:space="preserve"> postępowań:</w:t>
            </w:r>
          </w:p>
          <w:p w14:paraId="73A75A93" w14:textId="2FCB9D20" w:rsidR="004A6A75" w:rsidRDefault="004A6A75" w:rsidP="004A6A75">
            <w:pPr>
              <w:jc w:val="both"/>
              <w:rPr>
                <w:rFonts w:ascii="Times New Roman" w:hAnsi="Times New Roman"/>
                <w:szCs w:val="24"/>
              </w:rPr>
            </w:pPr>
            <w:r>
              <w:rPr>
                <w:rFonts w:ascii="Times New Roman" w:hAnsi="Times New Roman"/>
                <w:szCs w:val="24"/>
              </w:rPr>
              <w:t xml:space="preserve">- </w:t>
            </w:r>
            <w:r w:rsidRPr="004A6A75">
              <w:rPr>
                <w:rFonts w:ascii="Times New Roman" w:hAnsi="Times New Roman"/>
                <w:szCs w:val="24"/>
              </w:rPr>
              <w:t xml:space="preserve">antymonopolowych w sprawach praktyk ograniczających konkurencję, </w:t>
            </w:r>
          </w:p>
          <w:p w14:paraId="75A48171" w14:textId="31579A29" w:rsidR="004A6A75" w:rsidRDefault="004A6A75" w:rsidP="004A6A75">
            <w:pPr>
              <w:jc w:val="both"/>
              <w:rPr>
                <w:rFonts w:ascii="Times New Roman" w:hAnsi="Times New Roman"/>
                <w:szCs w:val="24"/>
              </w:rPr>
            </w:pPr>
            <w:r>
              <w:rPr>
                <w:rFonts w:ascii="Times New Roman" w:hAnsi="Times New Roman"/>
                <w:szCs w:val="24"/>
              </w:rPr>
              <w:t xml:space="preserve">- </w:t>
            </w:r>
            <w:r w:rsidRPr="004A6A75">
              <w:rPr>
                <w:rFonts w:ascii="Times New Roman" w:hAnsi="Times New Roman"/>
                <w:szCs w:val="24"/>
              </w:rPr>
              <w:t xml:space="preserve">w sprawach praktyk naruszających zbiorowe interesy konsumentów, </w:t>
            </w:r>
          </w:p>
          <w:p w14:paraId="24156BD3" w14:textId="7CB78B1A" w:rsidR="004E5609" w:rsidRPr="005F2D81" w:rsidRDefault="004A6A75" w:rsidP="005F2D81">
            <w:pPr>
              <w:jc w:val="both"/>
              <w:rPr>
                <w:rFonts w:ascii="Times New Roman" w:hAnsi="Times New Roman"/>
                <w:szCs w:val="24"/>
              </w:rPr>
            </w:pPr>
            <w:r>
              <w:rPr>
                <w:rFonts w:ascii="Times New Roman" w:hAnsi="Times New Roman"/>
                <w:szCs w:val="24"/>
              </w:rPr>
              <w:t xml:space="preserve">- </w:t>
            </w:r>
            <w:r w:rsidRPr="004A6A75">
              <w:rPr>
                <w:rFonts w:ascii="Times New Roman" w:hAnsi="Times New Roman"/>
                <w:szCs w:val="24"/>
              </w:rPr>
              <w:t>w sprawach o uznanie postanowień wzorca umowy za niedozwolone oraz w sprawach nakładania kar pieniężnych.</w:t>
            </w:r>
          </w:p>
          <w:p w14:paraId="3A822DBE" w14:textId="77777777" w:rsidR="002F7F05" w:rsidRDefault="00D14953" w:rsidP="000E6A14">
            <w:pPr>
              <w:pStyle w:val="mcntmsonormal1"/>
              <w:numPr>
                <w:ilvl w:val="0"/>
                <w:numId w:val="3"/>
              </w:numPr>
              <w:spacing w:before="120" w:after="120" w:line="276" w:lineRule="auto"/>
              <w:rPr>
                <w:b/>
              </w:rPr>
            </w:pPr>
            <w:r w:rsidRPr="00EF35DD">
              <w:rPr>
                <w:b/>
                <w:sz w:val="22"/>
                <w:szCs w:val="22"/>
                <w:lang w:eastAsia="en-US"/>
              </w:rPr>
              <w:t>Żądanie informacji</w:t>
            </w:r>
            <w:r w:rsidRPr="00EF35DD">
              <w:rPr>
                <w:b/>
              </w:rPr>
              <w:t xml:space="preserve"> oraz </w:t>
            </w:r>
            <w:r w:rsidRPr="00EF35DD">
              <w:rPr>
                <w:b/>
                <w:sz w:val="22"/>
                <w:szCs w:val="22"/>
                <w:lang w:eastAsia="en-US"/>
              </w:rPr>
              <w:t>wolność od samooskarżania</w:t>
            </w:r>
          </w:p>
          <w:p w14:paraId="06D19070" w14:textId="00E3062F" w:rsidR="008D7A59" w:rsidRPr="002F7F05" w:rsidRDefault="008D7A59" w:rsidP="000E6A14">
            <w:pPr>
              <w:pStyle w:val="mcntmsonormal1"/>
              <w:numPr>
                <w:ilvl w:val="0"/>
                <w:numId w:val="8"/>
              </w:numPr>
              <w:spacing w:before="120" w:after="120" w:line="276" w:lineRule="auto"/>
              <w:rPr>
                <w:b/>
              </w:rPr>
            </w:pPr>
            <w:r w:rsidRPr="002F7F05">
              <w:rPr>
                <w:b/>
                <w:i/>
                <w:sz w:val="22"/>
              </w:rPr>
              <w:t>Żądanie informacji</w:t>
            </w:r>
          </w:p>
          <w:p w14:paraId="6A74816B" w14:textId="33258D0B" w:rsidR="007A6FBE" w:rsidRPr="007A6FBE" w:rsidRDefault="007A6FBE" w:rsidP="007A6FBE">
            <w:pPr>
              <w:ind w:firstLine="743"/>
              <w:jc w:val="both"/>
              <w:rPr>
                <w:rFonts w:ascii="Times New Roman" w:hAnsi="Times New Roman"/>
                <w:szCs w:val="24"/>
              </w:rPr>
            </w:pPr>
            <w:r>
              <w:rPr>
                <w:rFonts w:ascii="Times New Roman" w:hAnsi="Times New Roman"/>
                <w:szCs w:val="24"/>
              </w:rPr>
              <w:t>Modyfikacja p</w:t>
            </w:r>
            <w:r w:rsidRPr="007A6FBE">
              <w:rPr>
                <w:rFonts w:ascii="Times New Roman" w:hAnsi="Times New Roman"/>
                <w:szCs w:val="24"/>
              </w:rPr>
              <w:t>rzepis</w:t>
            </w:r>
            <w:r>
              <w:rPr>
                <w:rFonts w:ascii="Times New Roman" w:hAnsi="Times New Roman"/>
                <w:szCs w:val="24"/>
              </w:rPr>
              <w:t xml:space="preserve">ów </w:t>
            </w:r>
            <w:proofErr w:type="spellStart"/>
            <w:r w:rsidRPr="007A6FBE">
              <w:rPr>
                <w:rFonts w:ascii="Times New Roman" w:hAnsi="Times New Roman"/>
                <w:szCs w:val="24"/>
              </w:rPr>
              <w:t>u</w:t>
            </w:r>
            <w:r>
              <w:rPr>
                <w:rFonts w:ascii="Times New Roman" w:hAnsi="Times New Roman"/>
                <w:szCs w:val="24"/>
              </w:rPr>
              <w:t>.o.k.k</w:t>
            </w:r>
            <w:proofErr w:type="spellEnd"/>
            <w:r>
              <w:rPr>
                <w:rFonts w:ascii="Times New Roman" w:hAnsi="Times New Roman"/>
                <w:szCs w:val="24"/>
              </w:rPr>
              <w:t xml:space="preserve">, </w:t>
            </w:r>
            <w:r w:rsidRPr="007A6FBE">
              <w:rPr>
                <w:rFonts w:ascii="Times New Roman" w:hAnsi="Times New Roman"/>
                <w:szCs w:val="24"/>
              </w:rPr>
              <w:t>nie wyznacza zakresu przedmiotowego uprawnienia Prezes</w:t>
            </w:r>
            <w:r>
              <w:rPr>
                <w:rFonts w:ascii="Times New Roman" w:hAnsi="Times New Roman"/>
                <w:szCs w:val="24"/>
              </w:rPr>
              <w:t xml:space="preserve">a UOKiK </w:t>
            </w:r>
            <w:r>
              <w:rPr>
                <w:rFonts w:ascii="Times New Roman" w:hAnsi="Times New Roman"/>
                <w:szCs w:val="24"/>
              </w:rPr>
              <w:br/>
              <w:t xml:space="preserve">w kwestii żądania informacji – na ich podstawie organ </w:t>
            </w:r>
            <w:r w:rsidRPr="007A6FBE">
              <w:rPr>
                <w:rFonts w:ascii="Times New Roman" w:hAnsi="Times New Roman"/>
                <w:szCs w:val="24"/>
              </w:rPr>
              <w:t>może</w:t>
            </w:r>
            <w:r>
              <w:rPr>
                <w:rFonts w:ascii="Times New Roman" w:hAnsi="Times New Roman"/>
                <w:szCs w:val="24"/>
              </w:rPr>
              <w:t xml:space="preserve"> </w:t>
            </w:r>
            <w:r w:rsidRPr="007A6FBE">
              <w:rPr>
                <w:rFonts w:ascii="Times New Roman" w:hAnsi="Times New Roman"/>
                <w:szCs w:val="24"/>
              </w:rPr>
              <w:t>żądać od przedsiębiorców przekazania mu wszelkich koniecznych informacji i dokumentów. Przy tym ocena</w:t>
            </w:r>
            <w:r>
              <w:rPr>
                <w:rFonts w:ascii="Times New Roman" w:hAnsi="Times New Roman"/>
                <w:szCs w:val="24"/>
              </w:rPr>
              <w:t>,</w:t>
            </w:r>
            <w:r w:rsidRPr="007A6FBE">
              <w:rPr>
                <w:rFonts w:ascii="Times New Roman" w:hAnsi="Times New Roman"/>
                <w:szCs w:val="24"/>
              </w:rPr>
              <w:t xml:space="preserve"> czy określona informacja jest konieczna, należy wyłącznie do Prezesa Urzędu, zaś przedsiębiorca nie może odmówić udzielenia żądanej przez organ informacji twierdząc, że jego zdaniem informacja ta nie jest związana z przedmiotem prowadzonego postępowania. Ponadto z zasady proporcjonalności wynika, że informacje żądane przez Prezesa Urzędu </w:t>
            </w:r>
            <w:r>
              <w:rPr>
                <w:rFonts w:ascii="Times New Roman" w:hAnsi="Times New Roman"/>
                <w:szCs w:val="24"/>
              </w:rPr>
              <w:t xml:space="preserve">na podstawie </w:t>
            </w:r>
            <w:proofErr w:type="spellStart"/>
            <w:r>
              <w:rPr>
                <w:rFonts w:ascii="Times New Roman" w:hAnsi="Times New Roman"/>
                <w:szCs w:val="24"/>
              </w:rPr>
              <w:t>u.o.k.k</w:t>
            </w:r>
            <w:proofErr w:type="spellEnd"/>
            <w:r>
              <w:rPr>
                <w:rFonts w:ascii="Times New Roman" w:hAnsi="Times New Roman"/>
                <w:szCs w:val="24"/>
              </w:rPr>
              <w:t xml:space="preserve">. </w:t>
            </w:r>
            <w:r w:rsidRPr="007A6FBE">
              <w:rPr>
                <w:rFonts w:ascii="Times New Roman" w:hAnsi="Times New Roman"/>
                <w:szCs w:val="24"/>
              </w:rPr>
              <w:t>powinny być faktycznie konieczne do prowadzonego postępowania oraz istotne dla końcowego wyniku postępowania, a więc niezbędne do rozstrzygnięcia sprawy.</w:t>
            </w:r>
          </w:p>
          <w:p w14:paraId="145B4D8E" w14:textId="50B0CB74" w:rsidR="005F2D81" w:rsidRDefault="00790CDC" w:rsidP="000E6A14">
            <w:pPr>
              <w:pStyle w:val="mcntmsonormal1"/>
              <w:numPr>
                <w:ilvl w:val="0"/>
                <w:numId w:val="8"/>
              </w:numPr>
              <w:spacing w:before="120" w:after="120" w:line="276" w:lineRule="auto"/>
              <w:rPr>
                <w:b/>
                <w:i/>
                <w:sz w:val="22"/>
              </w:rPr>
            </w:pPr>
            <w:r w:rsidRPr="00790CDC">
              <w:rPr>
                <w:b/>
                <w:i/>
                <w:sz w:val="22"/>
              </w:rPr>
              <w:t>Wolność od samooskarżania</w:t>
            </w:r>
          </w:p>
          <w:p w14:paraId="45D5356B" w14:textId="60BEE5EE" w:rsidR="00790CDC" w:rsidRPr="00790CDC" w:rsidRDefault="00967A24" w:rsidP="00790CDC">
            <w:pPr>
              <w:ind w:firstLine="741"/>
              <w:jc w:val="both"/>
              <w:rPr>
                <w:rFonts w:ascii="Times New Roman" w:hAnsi="Times New Roman"/>
                <w:szCs w:val="24"/>
              </w:rPr>
            </w:pPr>
            <w:r>
              <w:rPr>
                <w:rFonts w:ascii="Times New Roman" w:hAnsi="Times New Roman"/>
                <w:szCs w:val="24"/>
              </w:rPr>
              <w:t>Znowelizowane p</w:t>
            </w:r>
            <w:r w:rsidR="00790CDC" w:rsidRPr="00790CDC">
              <w:rPr>
                <w:rFonts w:ascii="Times New Roman" w:hAnsi="Times New Roman"/>
                <w:szCs w:val="24"/>
              </w:rPr>
              <w:t>rzepis</w:t>
            </w:r>
            <w:r>
              <w:rPr>
                <w:rFonts w:ascii="Times New Roman" w:hAnsi="Times New Roman"/>
                <w:szCs w:val="24"/>
              </w:rPr>
              <w:t>y</w:t>
            </w:r>
            <w:r w:rsidR="00790CDC" w:rsidRPr="00790CDC">
              <w:rPr>
                <w:rFonts w:ascii="Times New Roman" w:hAnsi="Times New Roman"/>
                <w:szCs w:val="24"/>
              </w:rPr>
              <w:t xml:space="preserve"> </w:t>
            </w:r>
            <w:proofErr w:type="spellStart"/>
            <w:r>
              <w:rPr>
                <w:rFonts w:ascii="Times New Roman" w:hAnsi="Times New Roman"/>
                <w:szCs w:val="24"/>
              </w:rPr>
              <w:t>u.o.k</w:t>
            </w:r>
            <w:r w:rsidR="000F4EF6">
              <w:rPr>
                <w:rFonts w:ascii="Times New Roman" w:hAnsi="Times New Roman"/>
                <w:szCs w:val="24"/>
              </w:rPr>
              <w:t>.</w:t>
            </w:r>
            <w:r>
              <w:rPr>
                <w:rFonts w:ascii="Times New Roman" w:hAnsi="Times New Roman"/>
                <w:szCs w:val="24"/>
              </w:rPr>
              <w:t>k</w:t>
            </w:r>
            <w:proofErr w:type="spellEnd"/>
            <w:r>
              <w:rPr>
                <w:rFonts w:ascii="Times New Roman" w:hAnsi="Times New Roman"/>
                <w:szCs w:val="24"/>
              </w:rPr>
              <w:t xml:space="preserve">. </w:t>
            </w:r>
            <w:r w:rsidR="00790CDC" w:rsidRPr="00790CDC">
              <w:rPr>
                <w:rFonts w:ascii="Times New Roman" w:hAnsi="Times New Roman"/>
                <w:szCs w:val="24"/>
              </w:rPr>
              <w:t>wprowadza</w:t>
            </w:r>
            <w:r>
              <w:rPr>
                <w:rFonts w:ascii="Times New Roman" w:hAnsi="Times New Roman"/>
                <w:szCs w:val="24"/>
              </w:rPr>
              <w:t>ją</w:t>
            </w:r>
            <w:r w:rsidR="00790CDC" w:rsidRPr="00790CDC">
              <w:rPr>
                <w:rFonts w:ascii="Times New Roman" w:hAnsi="Times New Roman"/>
                <w:szCs w:val="24"/>
              </w:rPr>
              <w:t xml:space="preserve"> możliwość pozyskiwania przez Prezesa UOKiK informacji od osób fizycznych. Z uwagi na rozciągnięcie możliwości żądania informacji od tej kategorii osób, należy zapewnić im </w:t>
            </w:r>
            <w:r w:rsidR="00790CDC" w:rsidRPr="00790CDC">
              <w:rPr>
                <w:rFonts w:ascii="Times New Roman" w:hAnsi="Times New Roman"/>
                <w:szCs w:val="24"/>
              </w:rPr>
              <w:lastRenderedPageBreak/>
              <w:t>prawo do odmowy przekazania informacji i dokumentów w przypadku gdy naraziłoby to je lub ich małżonka, wstępnych, zstępnych, rodzeństwo oraz powinowatych w tej samej linii lub stopniu, jak również osoby pozostające w stosunku przysposobienia, opieki lub kurateli, a także osobę pozostającą we wspólnym pożyciu, na odpowiedzialność karną</w:t>
            </w:r>
            <w:r>
              <w:rPr>
                <w:rFonts w:ascii="Times New Roman" w:hAnsi="Times New Roman"/>
                <w:szCs w:val="24"/>
              </w:rPr>
              <w:t xml:space="preserve">. </w:t>
            </w:r>
            <w:r w:rsidR="00790CDC" w:rsidRPr="00790CDC">
              <w:rPr>
                <w:rFonts w:ascii="Times New Roman" w:hAnsi="Times New Roman"/>
                <w:szCs w:val="24"/>
              </w:rPr>
              <w:t xml:space="preserve">Prawo odmowy udzielenia informacji będzie mogło również trwać po ustaniu małżeństwa lub rozwiązaniu stosunku przysposobienia, opieki lub kurateli. </w:t>
            </w:r>
          </w:p>
          <w:p w14:paraId="1F6F2656" w14:textId="1C161DE2" w:rsidR="00790CDC" w:rsidRPr="00790CDC" w:rsidRDefault="000F14BC" w:rsidP="000F14BC">
            <w:pPr>
              <w:ind w:firstLine="741"/>
              <w:jc w:val="both"/>
              <w:rPr>
                <w:rFonts w:ascii="Times New Roman" w:hAnsi="Times New Roman"/>
                <w:szCs w:val="24"/>
              </w:rPr>
            </w:pPr>
            <w:r>
              <w:rPr>
                <w:rFonts w:ascii="Times New Roman" w:hAnsi="Times New Roman"/>
                <w:szCs w:val="24"/>
              </w:rPr>
              <w:t xml:space="preserve">Dodatkowo, w </w:t>
            </w:r>
            <w:r w:rsidR="00790CDC" w:rsidRPr="00790CDC">
              <w:rPr>
                <w:rFonts w:ascii="Times New Roman" w:hAnsi="Times New Roman"/>
                <w:szCs w:val="24"/>
              </w:rPr>
              <w:t>przypadku, gdy osoba fizyczna jest również osobą zarządzającą</w:t>
            </w:r>
            <w:r>
              <w:rPr>
                <w:rFonts w:ascii="Times New Roman" w:hAnsi="Times New Roman"/>
                <w:szCs w:val="24"/>
              </w:rPr>
              <w:t xml:space="preserve">, </w:t>
            </w:r>
            <w:r w:rsidR="00790CDC" w:rsidRPr="00790CDC">
              <w:rPr>
                <w:rFonts w:ascii="Times New Roman" w:hAnsi="Times New Roman"/>
                <w:szCs w:val="24"/>
              </w:rPr>
              <w:t xml:space="preserve">należy zapewnić, że </w:t>
            </w:r>
            <w:r w:rsidRPr="00790CDC">
              <w:rPr>
                <w:rFonts w:ascii="Times New Roman" w:hAnsi="Times New Roman"/>
                <w:szCs w:val="24"/>
              </w:rPr>
              <w:t>przekazane przez</w:t>
            </w:r>
            <w:r>
              <w:rPr>
                <w:rFonts w:ascii="Times New Roman" w:hAnsi="Times New Roman"/>
                <w:szCs w:val="24"/>
              </w:rPr>
              <w:t xml:space="preserve"> nią</w:t>
            </w:r>
            <w:r w:rsidRPr="00790CDC">
              <w:rPr>
                <w:rFonts w:ascii="Times New Roman" w:hAnsi="Times New Roman"/>
                <w:szCs w:val="24"/>
              </w:rPr>
              <w:t xml:space="preserve"> </w:t>
            </w:r>
            <w:r>
              <w:rPr>
                <w:rFonts w:ascii="Times New Roman" w:hAnsi="Times New Roman"/>
                <w:szCs w:val="24"/>
              </w:rPr>
              <w:t>i</w:t>
            </w:r>
            <w:r w:rsidR="00790CDC" w:rsidRPr="00790CDC">
              <w:rPr>
                <w:rFonts w:ascii="Times New Roman" w:hAnsi="Times New Roman"/>
                <w:szCs w:val="24"/>
              </w:rPr>
              <w:t>nformacje i dokumenty nie mogą być wykorzystane na potrzeby nałożenia kary pieniężne</w:t>
            </w:r>
            <w:r w:rsidR="00F1606E">
              <w:rPr>
                <w:rFonts w:ascii="Times New Roman" w:hAnsi="Times New Roman"/>
                <w:szCs w:val="24"/>
              </w:rPr>
              <w:t>j</w:t>
            </w:r>
            <w:r w:rsidR="00790CDC" w:rsidRPr="00790CDC">
              <w:rPr>
                <w:rFonts w:ascii="Times New Roman" w:hAnsi="Times New Roman"/>
                <w:szCs w:val="24"/>
              </w:rPr>
              <w:t xml:space="preserve"> na niekorzyść tej osoby lub jej małżonka, wstępnych, zstępnych, rodzeństwo oraz powinowatych w tej samej linii lub stopniu, jak również osób pozostających w stosunku przysposobienia, opieki lub kurateli, a także osobę pozostającą we wspólnym pożyciu</w:t>
            </w:r>
            <w:r w:rsidR="00F1606E">
              <w:rPr>
                <w:rFonts w:ascii="Times New Roman" w:hAnsi="Times New Roman"/>
                <w:szCs w:val="24"/>
              </w:rPr>
              <w:t xml:space="preserve">. </w:t>
            </w:r>
            <w:r w:rsidR="00790CDC" w:rsidRPr="00790CDC">
              <w:rPr>
                <w:rFonts w:ascii="Times New Roman" w:hAnsi="Times New Roman"/>
                <w:szCs w:val="24"/>
              </w:rPr>
              <w:t>Zakaz ten trwać będzie również po ustaniu małżeństwa lub rozwiązaniu stosunku przysposobienia, opieki lub kurateli.</w:t>
            </w:r>
          </w:p>
          <w:p w14:paraId="061E6A44" w14:textId="1B904925" w:rsidR="00790CDC" w:rsidRPr="00790CDC" w:rsidRDefault="00790CDC" w:rsidP="00F1606E">
            <w:pPr>
              <w:ind w:firstLine="741"/>
              <w:jc w:val="both"/>
              <w:rPr>
                <w:rFonts w:ascii="Times New Roman" w:hAnsi="Times New Roman"/>
                <w:szCs w:val="24"/>
              </w:rPr>
            </w:pPr>
            <w:r w:rsidRPr="00790CDC">
              <w:rPr>
                <w:rFonts w:ascii="Times New Roman" w:hAnsi="Times New Roman"/>
                <w:szCs w:val="24"/>
              </w:rPr>
              <w:t xml:space="preserve">Regulacje zapewniające wolność od samooskarżenia zostały również zaproponowane </w:t>
            </w:r>
            <w:r w:rsidR="00F1606E">
              <w:rPr>
                <w:rFonts w:ascii="Times New Roman" w:hAnsi="Times New Roman"/>
                <w:szCs w:val="24"/>
              </w:rPr>
              <w:t>w odniesieniu do</w:t>
            </w:r>
            <w:r w:rsidRPr="00790CDC">
              <w:rPr>
                <w:rFonts w:ascii="Times New Roman" w:hAnsi="Times New Roman"/>
                <w:szCs w:val="24"/>
              </w:rPr>
              <w:t xml:space="preserve"> instytucji przesłuchania strony. Zgodnie z propozycją</w:t>
            </w:r>
            <w:r w:rsidR="00F1606E">
              <w:rPr>
                <w:rFonts w:ascii="Times New Roman" w:hAnsi="Times New Roman"/>
                <w:szCs w:val="24"/>
              </w:rPr>
              <w:t>,</w:t>
            </w:r>
            <w:r w:rsidRPr="00790CDC">
              <w:rPr>
                <w:rFonts w:ascii="Times New Roman" w:hAnsi="Times New Roman"/>
                <w:szCs w:val="24"/>
              </w:rPr>
              <w:t xml:space="preserve"> strona może uchylić się od odpowiedzi na pytanie</w:t>
            </w:r>
            <w:r w:rsidR="00957BFF">
              <w:rPr>
                <w:rFonts w:ascii="Times New Roman" w:hAnsi="Times New Roman"/>
                <w:szCs w:val="24"/>
              </w:rPr>
              <w:t>,</w:t>
            </w:r>
            <w:r w:rsidRPr="00790CDC">
              <w:rPr>
                <w:rFonts w:ascii="Times New Roman" w:hAnsi="Times New Roman"/>
                <w:szCs w:val="24"/>
              </w:rPr>
              <w:t xml:space="preserve"> zadane w toku przesłuchania tylko wtedy, gdy naraziłoby to ją lub jej małżonka, wstępnych, zstępnych, rodzeństwo oraz powinowatych w tej samej linii lub stopniu, jak również osoby pozostające w stosunku przysposobienia, opieki lub kurateli, a także osobę pozostającą we wspólnym pożyciu, na odpowiedzialność karną</w:t>
            </w:r>
            <w:r w:rsidR="00957BFF">
              <w:rPr>
                <w:rFonts w:ascii="Times New Roman" w:hAnsi="Times New Roman"/>
                <w:szCs w:val="24"/>
              </w:rPr>
              <w:t xml:space="preserve">. </w:t>
            </w:r>
            <w:r w:rsidRPr="00790CDC">
              <w:rPr>
                <w:rFonts w:ascii="Times New Roman" w:hAnsi="Times New Roman"/>
                <w:szCs w:val="24"/>
              </w:rPr>
              <w:t xml:space="preserve">Prawo odmowy udzielenia informacji trwa po ustaniu małżeństwa lub rozwiązaniu stosunku przysposobienia, opieki lub kurateli. </w:t>
            </w:r>
          </w:p>
          <w:p w14:paraId="57DF6EF2" w14:textId="74578841" w:rsidR="00790CDC" w:rsidRPr="00790CDC" w:rsidRDefault="00957BFF" w:rsidP="00957BFF">
            <w:pPr>
              <w:ind w:firstLine="741"/>
              <w:jc w:val="both"/>
              <w:rPr>
                <w:rFonts w:ascii="Times New Roman" w:hAnsi="Times New Roman"/>
                <w:szCs w:val="24"/>
              </w:rPr>
            </w:pPr>
            <w:r>
              <w:rPr>
                <w:rFonts w:ascii="Times New Roman" w:hAnsi="Times New Roman"/>
                <w:szCs w:val="24"/>
              </w:rPr>
              <w:t>Oprócz powyższego</w:t>
            </w:r>
            <w:r w:rsidR="004B2378">
              <w:rPr>
                <w:rFonts w:ascii="Times New Roman" w:hAnsi="Times New Roman"/>
                <w:szCs w:val="24"/>
              </w:rPr>
              <w:t>,</w:t>
            </w:r>
            <w:r w:rsidR="00790CDC" w:rsidRPr="00790CDC">
              <w:rPr>
                <w:rFonts w:ascii="Times New Roman" w:hAnsi="Times New Roman"/>
                <w:szCs w:val="24"/>
              </w:rPr>
              <w:t xml:space="preserve"> odpowiedzi na pytania udzielone przez osoby fizyczne w toku przesłuchania w charakterze strony, nie mogą być wykorzystane na niekorzyść tej osoby na potrzeby nałożenia kary pieniężnej</w:t>
            </w:r>
            <w:r>
              <w:rPr>
                <w:rFonts w:ascii="Times New Roman" w:hAnsi="Times New Roman"/>
                <w:szCs w:val="24"/>
              </w:rPr>
              <w:t xml:space="preserve"> </w:t>
            </w:r>
            <w:r w:rsidR="00790CDC" w:rsidRPr="00790CDC">
              <w:rPr>
                <w:rFonts w:ascii="Times New Roman" w:hAnsi="Times New Roman"/>
                <w:szCs w:val="24"/>
              </w:rPr>
              <w:t>na tę osobę lub jej małżonka, wstępnych, zstępnych, rodzeństwo oraz powinowatych w tej samej linii lub stopniu, jak również osoby pozostające w stosunku przysposobienia, opieki lub kurateli, a także osobę pozostającą we wspólnym pożyciu</w:t>
            </w:r>
            <w:r w:rsidR="004B2378">
              <w:rPr>
                <w:rFonts w:ascii="Times New Roman" w:hAnsi="Times New Roman"/>
                <w:szCs w:val="24"/>
              </w:rPr>
              <w:t xml:space="preserve">. </w:t>
            </w:r>
            <w:r w:rsidR="00790CDC" w:rsidRPr="00790CDC">
              <w:rPr>
                <w:rFonts w:ascii="Times New Roman" w:hAnsi="Times New Roman"/>
                <w:szCs w:val="24"/>
              </w:rPr>
              <w:t xml:space="preserve">Zakaz ten trwa po ustaniu małżeństwa lub rozwiązaniu stosunku przysposobienia, opieki lub kurateli. </w:t>
            </w:r>
          </w:p>
          <w:p w14:paraId="2979EF11" w14:textId="26ED49A3" w:rsidR="00790CDC" w:rsidRPr="004B2378" w:rsidRDefault="00790CDC" w:rsidP="004B2378">
            <w:pPr>
              <w:ind w:firstLine="741"/>
              <w:jc w:val="both"/>
              <w:rPr>
                <w:rFonts w:ascii="Times New Roman" w:hAnsi="Times New Roman"/>
                <w:szCs w:val="24"/>
              </w:rPr>
            </w:pPr>
            <w:r w:rsidRPr="00790CDC">
              <w:rPr>
                <w:rFonts w:ascii="Times New Roman" w:hAnsi="Times New Roman"/>
                <w:szCs w:val="24"/>
              </w:rPr>
              <w:t>Osoby zarządzające będą chronione również w toku kontroli</w:t>
            </w:r>
            <w:r w:rsidR="004B2378">
              <w:rPr>
                <w:rFonts w:ascii="Times New Roman" w:hAnsi="Times New Roman"/>
                <w:szCs w:val="24"/>
              </w:rPr>
              <w:t xml:space="preserve"> oraz w przypadku przeszukania.  </w:t>
            </w:r>
          </w:p>
          <w:p w14:paraId="17F38CFE" w14:textId="2DC7A497" w:rsidR="00D14953" w:rsidRDefault="00D14953" w:rsidP="000E6A14">
            <w:pPr>
              <w:pStyle w:val="mcntmsonormal1"/>
              <w:numPr>
                <w:ilvl w:val="0"/>
                <w:numId w:val="3"/>
              </w:numPr>
              <w:spacing w:before="120" w:after="120" w:line="276" w:lineRule="auto"/>
              <w:rPr>
                <w:b/>
                <w:sz w:val="22"/>
                <w:szCs w:val="22"/>
                <w:lang w:eastAsia="en-US"/>
              </w:rPr>
            </w:pPr>
            <w:r w:rsidRPr="00EF35DD">
              <w:rPr>
                <w:b/>
                <w:sz w:val="22"/>
                <w:szCs w:val="22"/>
                <w:lang w:eastAsia="en-US"/>
              </w:rPr>
              <w:t xml:space="preserve">Ochrona informacji uzyskanych w postępowaniu przed Prezesem UOKiK </w:t>
            </w:r>
          </w:p>
          <w:p w14:paraId="4B718314" w14:textId="26CA3191" w:rsidR="00716980" w:rsidRDefault="002A3976" w:rsidP="00716980">
            <w:pPr>
              <w:pStyle w:val="mcntmsonormal1"/>
              <w:spacing w:line="276" w:lineRule="auto"/>
              <w:ind w:firstLine="743"/>
              <w:jc w:val="both"/>
              <w:rPr>
                <w:sz w:val="22"/>
                <w:szCs w:val="22"/>
                <w:lang w:eastAsia="en-US"/>
              </w:rPr>
            </w:pPr>
            <w:r w:rsidRPr="002A3976">
              <w:rPr>
                <w:sz w:val="22"/>
                <w:szCs w:val="22"/>
                <w:lang w:eastAsia="en-US"/>
              </w:rPr>
              <w:t>W celu zapewnienia właściwej ochrony określonej kategorii dokumentów w postępowaniu przed Prezesem Urzędu, zgodnie z Dyrektyw</w:t>
            </w:r>
            <w:r w:rsidR="004F3EF2">
              <w:rPr>
                <w:sz w:val="22"/>
                <w:szCs w:val="22"/>
                <w:lang w:eastAsia="en-US"/>
              </w:rPr>
              <w:t>ą</w:t>
            </w:r>
            <w:r w:rsidRPr="002A3976">
              <w:rPr>
                <w:sz w:val="22"/>
                <w:szCs w:val="22"/>
                <w:lang w:eastAsia="en-US"/>
              </w:rPr>
              <w:t xml:space="preserve"> zaproponowano zmiany w </w:t>
            </w:r>
            <w:proofErr w:type="spellStart"/>
            <w:r w:rsidR="004F3EF2">
              <w:rPr>
                <w:sz w:val="22"/>
                <w:szCs w:val="22"/>
                <w:lang w:eastAsia="en-US"/>
              </w:rPr>
              <w:t>u.o.k.k</w:t>
            </w:r>
            <w:proofErr w:type="spellEnd"/>
            <w:r w:rsidRPr="002A3976">
              <w:rPr>
                <w:sz w:val="22"/>
                <w:szCs w:val="22"/>
                <w:lang w:eastAsia="en-US"/>
              </w:rPr>
              <w:t xml:space="preserve">. Jeżeli chodzi o ochronę w zakresie udostępniania oświadczeń w ramach programu łagodzenia kar, oświadczeń przedsiębiorcy lub osoby zarządzającej występującej </w:t>
            </w:r>
            <w:r w:rsidR="005B3E68">
              <w:rPr>
                <w:sz w:val="22"/>
                <w:szCs w:val="22"/>
                <w:lang w:eastAsia="en-US"/>
              </w:rPr>
              <w:br/>
            </w:r>
            <w:r w:rsidRPr="002A3976">
              <w:rPr>
                <w:sz w:val="22"/>
                <w:szCs w:val="22"/>
                <w:lang w:eastAsia="en-US"/>
              </w:rPr>
              <w:t xml:space="preserve">z wnioskiem o odstąpienie lub obniżenie kary pieniężnej, propozycji ugodowych  lub oświadczeń strony, przewidziano, </w:t>
            </w:r>
            <w:r w:rsidR="004F3EF2">
              <w:rPr>
                <w:sz w:val="22"/>
                <w:szCs w:val="22"/>
                <w:lang w:eastAsia="en-US"/>
              </w:rPr>
              <w:t>że</w:t>
            </w:r>
            <w:r w:rsidRPr="002A3976">
              <w:rPr>
                <w:sz w:val="22"/>
                <w:szCs w:val="22"/>
                <w:lang w:eastAsia="en-US"/>
              </w:rPr>
              <w:t xml:space="preserve"> mogą być one udostępnione wyłącznie stronie do celów wykonywania przez nią </w:t>
            </w:r>
            <w:r>
              <w:rPr>
                <w:sz w:val="22"/>
                <w:szCs w:val="22"/>
                <w:lang w:eastAsia="en-US"/>
              </w:rPr>
              <w:t>prawa do obrony</w:t>
            </w:r>
            <w:r w:rsidRPr="002A3976">
              <w:rPr>
                <w:sz w:val="22"/>
                <w:szCs w:val="22"/>
                <w:lang w:eastAsia="en-US"/>
              </w:rPr>
              <w:t xml:space="preserve">. Z kolei wykorzystanie przez stronę informacji z ww. dokumentów </w:t>
            </w:r>
            <w:r w:rsidR="00277AE2">
              <w:rPr>
                <w:sz w:val="22"/>
                <w:szCs w:val="22"/>
                <w:lang w:eastAsia="en-US"/>
              </w:rPr>
              <w:t xml:space="preserve">oraz dowodów uzyskanych w związku z ich złożeniem </w:t>
            </w:r>
            <w:r w:rsidRPr="002A3976">
              <w:rPr>
                <w:sz w:val="22"/>
                <w:szCs w:val="22"/>
                <w:lang w:eastAsia="en-US"/>
              </w:rPr>
              <w:t xml:space="preserve">ma być możliwe jedynie wówczas, gdy jest to konieczne do wykonywania prawa strony do obrony w postępowaniu przed sądem </w:t>
            </w:r>
            <w:r w:rsidR="005B3E68">
              <w:rPr>
                <w:sz w:val="22"/>
                <w:szCs w:val="22"/>
                <w:lang w:eastAsia="en-US"/>
              </w:rPr>
              <w:br/>
            </w:r>
            <w:r w:rsidRPr="002A3976">
              <w:rPr>
                <w:sz w:val="22"/>
                <w:szCs w:val="22"/>
                <w:lang w:eastAsia="en-US"/>
              </w:rPr>
              <w:t xml:space="preserve">w ramach sądowej kontroli decyzji Prezesa Urzędu wydanej </w:t>
            </w:r>
            <w:r>
              <w:rPr>
                <w:sz w:val="22"/>
                <w:szCs w:val="22"/>
                <w:lang w:eastAsia="en-US"/>
              </w:rPr>
              <w:t>w danej sprawie</w:t>
            </w:r>
            <w:r w:rsidRPr="002A3976">
              <w:rPr>
                <w:sz w:val="22"/>
                <w:szCs w:val="22"/>
                <w:lang w:eastAsia="en-US"/>
              </w:rPr>
              <w:t xml:space="preserve">. </w:t>
            </w:r>
          </w:p>
          <w:p w14:paraId="2E4FF1DB" w14:textId="481A4DD1" w:rsidR="00ED22D9" w:rsidRDefault="002A3976" w:rsidP="00716980">
            <w:pPr>
              <w:pStyle w:val="mcntmsonormal1"/>
              <w:spacing w:line="276" w:lineRule="auto"/>
              <w:ind w:firstLine="743"/>
              <w:jc w:val="both"/>
              <w:rPr>
                <w:sz w:val="22"/>
                <w:szCs w:val="22"/>
                <w:lang w:eastAsia="en-US"/>
              </w:rPr>
            </w:pPr>
            <w:r w:rsidRPr="002A3976">
              <w:rPr>
                <w:sz w:val="22"/>
                <w:szCs w:val="22"/>
                <w:lang w:eastAsia="en-US"/>
              </w:rPr>
              <w:t>Jeżeli chodzi o informacje przygotowane specjalnie na potrzeby postępowania prowadzonego przez Prezesa Urzędu, informacje przygotowane przez Prezesa Urzędu i przesłane stronom w trakcie prowadzonego przez ten organ postępowania lub wycofane propozycje ugodowe, mając na względzie</w:t>
            </w:r>
            <w:r w:rsidR="009A175C">
              <w:rPr>
                <w:sz w:val="22"/>
                <w:szCs w:val="22"/>
                <w:lang w:eastAsia="en-US"/>
              </w:rPr>
              <w:t xml:space="preserve"> przepisy Dyrektywy</w:t>
            </w:r>
            <w:r w:rsidRPr="002A3976">
              <w:rPr>
                <w:sz w:val="22"/>
                <w:szCs w:val="22"/>
                <w:lang w:eastAsia="en-US"/>
              </w:rPr>
              <w:t xml:space="preserve"> zaproponowano</w:t>
            </w:r>
            <w:r w:rsidR="009A175C">
              <w:rPr>
                <w:sz w:val="22"/>
                <w:szCs w:val="22"/>
                <w:lang w:eastAsia="en-US"/>
              </w:rPr>
              <w:t>,</w:t>
            </w:r>
            <w:r w:rsidRPr="002A3976">
              <w:rPr>
                <w:sz w:val="22"/>
                <w:szCs w:val="22"/>
                <w:lang w:eastAsia="en-US"/>
              </w:rPr>
              <w:t xml:space="preserve"> aby nie mogły one być wykorzystywane przez stronę w postępowaniu przed sądami do czasu zakończenia </w:t>
            </w:r>
            <w:r>
              <w:rPr>
                <w:sz w:val="22"/>
                <w:szCs w:val="22"/>
                <w:lang w:eastAsia="en-US"/>
              </w:rPr>
              <w:t>przez Prezesa Urzędu. Proponuje się także, aby</w:t>
            </w:r>
            <w:r w:rsidRPr="002A3976">
              <w:rPr>
                <w:sz w:val="22"/>
                <w:szCs w:val="22"/>
                <w:lang w:eastAsia="en-US"/>
              </w:rPr>
              <w:t xml:space="preserve"> przekazanie oświadczeń w ramach programu łagodzenia kar</w:t>
            </w:r>
            <w:r w:rsidR="000F4EF6">
              <w:rPr>
                <w:sz w:val="22"/>
                <w:szCs w:val="22"/>
                <w:lang w:eastAsia="en-US"/>
              </w:rPr>
              <w:t xml:space="preserve"> w</w:t>
            </w:r>
            <w:r w:rsidRPr="002A3976">
              <w:rPr>
                <w:sz w:val="22"/>
                <w:szCs w:val="22"/>
                <w:lang w:eastAsia="en-US"/>
              </w:rPr>
              <w:t xml:space="preserve"> tym, oświadczeń przedsiębiorcy lub osoby zarządzającej występującej z wnioskiem o odstąpienie lub obniżenie kary pieniężnej organowi ochrony konkurencji państwa członkowskiego Unii Europejskiej na podstawie rozporządzenia nr 1/2003/WE </w:t>
            </w:r>
            <w:r>
              <w:rPr>
                <w:sz w:val="22"/>
                <w:szCs w:val="22"/>
                <w:lang w:eastAsia="en-US"/>
              </w:rPr>
              <w:t>było</w:t>
            </w:r>
            <w:r w:rsidRPr="002A3976">
              <w:rPr>
                <w:sz w:val="22"/>
                <w:szCs w:val="22"/>
                <w:lang w:eastAsia="en-US"/>
              </w:rPr>
              <w:t xml:space="preserve"> możliwe wyłącznie w dwóch przypadkach: za zgodą wnioskodawcy lub gdy organ ochrony konkurencji państwa członkowskiego Unii Europejskiej otrzymujący oświadczenie w ramach programu łagodzenia kar otrzymał także wniosek o odstąpienie od wymierzenia kary pieniężnej lub jej obniżenie w związku z tym samym naruszeniem i od tego samego wnioskodawcy, co </w:t>
            </w:r>
            <w:r w:rsidR="00DA6046">
              <w:rPr>
                <w:sz w:val="22"/>
                <w:szCs w:val="22"/>
                <w:lang w:eastAsia="en-US"/>
              </w:rPr>
              <w:t>organ ochrony konkurencji</w:t>
            </w:r>
            <w:r w:rsidRPr="002A3976">
              <w:rPr>
                <w:sz w:val="22"/>
                <w:szCs w:val="22"/>
                <w:lang w:eastAsia="en-US"/>
              </w:rPr>
              <w:t xml:space="preserve"> przekazujący oświadczenie w ramach programu łagodzenia kar, pod warunkiem że w chwili przekazywania oświadczenia w ramach programu łagodzenia kar wnioskodawca nie ma możliwości wycofania informacji przekazanej krajowemu organowi ochrony konkurencji otrzymującemu oświadczenie w ramach programu łagodzenia kar. </w:t>
            </w:r>
          </w:p>
          <w:p w14:paraId="391F34A9" w14:textId="71371D89" w:rsidR="00716980" w:rsidRDefault="002A3976" w:rsidP="00716980">
            <w:pPr>
              <w:pStyle w:val="mcntmsonormal1"/>
              <w:spacing w:line="276" w:lineRule="auto"/>
              <w:ind w:firstLine="743"/>
              <w:jc w:val="both"/>
              <w:rPr>
                <w:sz w:val="22"/>
                <w:szCs w:val="22"/>
                <w:lang w:eastAsia="en-US"/>
              </w:rPr>
            </w:pPr>
            <w:r w:rsidRPr="002A3976">
              <w:rPr>
                <w:sz w:val="22"/>
                <w:szCs w:val="22"/>
                <w:lang w:eastAsia="en-US"/>
              </w:rPr>
              <w:t>Ponadto</w:t>
            </w:r>
            <w:r w:rsidR="002F00AD">
              <w:rPr>
                <w:sz w:val="22"/>
                <w:szCs w:val="22"/>
                <w:lang w:eastAsia="en-US"/>
              </w:rPr>
              <w:t xml:space="preserve"> </w:t>
            </w:r>
            <w:r w:rsidRPr="002A3976">
              <w:rPr>
                <w:sz w:val="22"/>
                <w:szCs w:val="22"/>
                <w:lang w:eastAsia="en-US"/>
              </w:rPr>
              <w:t>dokonano wynikowej zmiany przepisu sankcyjnego</w:t>
            </w:r>
            <w:r w:rsidR="002F00AD">
              <w:rPr>
                <w:sz w:val="22"/>
                <w:szCs w:val="22"/>
                <w:lang w:eastAsia="en-US"/>
              </w:rPr>
              <w:t>,</w:t>
            </w:r>
            <w:r w:rsidRPr="002A3976">
              <w:rPr>
                <w:sz w:val="22"/>
                <w:szCs w:val="22"/>
                <w:lang w:eastAsia="en-US"/>
              </w:rPr>
              <w:t xml:space="preserve"> zgodnie z którym Prezes Urzędu będzie uprawniony do nałożenia</w:t>
            </w:r>
            <w:r w:rsidR="003030D0">
              <w:rPr>
                <w:sz w:val="22"/>
                <w:szCs w:val="22"/>
                <w:lang w:eastAsia="en-US"/>
              </w:rPr>
              <w:t>,</w:t>
            </w:r>
            <w:r w:rsidRPr="002A3976">
              <w:rPr>
                <w:sz w:val="22"/>
                <w:szCs w:val="22"/>
                <w:lang w:eastAsia="en-US"/>
              </w:rPr>
              <w:t xml:space="preserve"> </w:t>
            </w:r>
            <w:r w:rsidR="003030D0" w:rsidRPr="002A3976">
              <w:rPr>
                <w:sz w:val="22"/>
                <w:szCs w:val="22"/>
                <w:lang w:eastAsia="en-US"/>
              </w:rPr>
              <w:t>w drodze decyzji</w:t>
            </w:r>
            <w:r w:rsidR="003030D0">
              <w:rPr>
                <w:sz w:val="22"/>
                <w:szCs w:val="22"/>
                <w:lang w:eastAsia="en-US"/>
              </w:rPr>
              <w:t>,</w:t>
            </w:r>
            <w:r w:rsidR="003030D0" w:rsidRPr="002A3976">
              <w:rPr>
                <w:sz w:val="22"/>
                <w:szCs w:val="22"/>
                <w:lang w:eastAsia="en-US"/>
              </w:rPr>
              <w:t xml:space="preserve"> </w:t>
            </w:r>
            <w:r w:rsidRPr="002A3976">
              <w:rPr>
                <w:sz w:val="22"/>
                <w:szCs w:val="22"/>
                <w:lang w:eastAsia="en-US"/>
              </w:rPr>
              <w:t xml:space="preserve">kary pieniężnej w wysokości do 20  000 zł na każdego kto wykorzysta informacje z oświadczeń w ramach programu łagodzenia kar, oświadczeń przedsiębiorcy lub osoby zarządzającej występującej </w:t>
            </w:r>
            <w:r w:rsidR="00296191">
              <w:rPr>
                <w:sz w:val="22"/>
                <w:szCs w:val="22"/>
                <w:lang w:eastAsia="en-US"/>
              </w:rPr>
              <w:br/>
            </w:r>
            <w:r w:rsidRPr="002A3976">
              <w:rPr>
                <w:sz w:val="22"/>
                <w:szCs w:val="22"/>
                <w:lang w:eastAsia="en-US"/>
              </w:rPr>
              <w:t>z wnioskiem o odstąpienie lub obniżenie kary pieniężnej, propozycji ugodowych lub oświadczenia strony</w:t>
            </w:r>
            <w:r w:rsidR="003030D0">
              <w:rPr>
                <w:sz w:val="22"/>
                <w:szCs w:val="22"/>
                <w:lang w:eastAsia="en-US"/>
              </w:rPr>
              <w:t xml:space="preserve">, </w:t>
            </w:r>
            <w:r w:rsidRPr="002A3976">
              <w:rPr>
                <w:sz w:val="22"/>
                <w:szCs w:val="22"/>
                <w:lang w:eastAsia="en-US"/>
              </w:rPr>
              <w:t xml:space="preserve">informacji </w:t>
            </w:r>
            <w:r w:rsidR="00296191">
              <w:rPr>
                <w:sz w:val="22"/>
                <w:szCs w:val="22"/>
                <w:lang w:eastAsia="en-US"/>
              </w:rPr>
              <w:br/>
            </w:r>
            <w:r w:rsidRPr="002A3976">
              <w:rPr>
                <w:sz w:val="22"/>
                <w:szCs w:val="22"/>
                <w:lang w:eastAsia="en-US"/>
              </w:rPr>
              <w:t xml:space="preserve">i dowodów uzyskanych przez Prezesa Urzędu w związku z </w:t>
            </w:r>
            <w:r w:rsidR="00253862" w:rsidRPr="00253862">
              <w:rPr>
                <w:sz w:val="22"/>
                <w:szCs w:val="22"/>
                <w:lang w:eastAsia="en-US"/>
              </w:rPr>
              <w:t>propozycją przystąpienia do procedury dobrowolnego poddania się karze pienięż</w:t>
            </w:r>
            <w:r w:rsidR="00296191">
              <w:rPr>
                <w:sz w:val="22"/>
                <w:szCs w:val="22"/>
                <w:lang w:eastAsia="en-US"/>
              </w:rPr>
              <w:t>nej</w:t>
            </w:r>
            <w:r w:rsidR="00253862">
              <w:rPr>
                <w:sz w:val="22"/>
                <w:szCs w:val="22"/>
                <w:lang w:eastAsia="en-US"/>
              </w:rPr>
              <w:t xml:space="preserve"> </w:t>
            </w:r>
            <w:r w:rsidRPr="002A3976">
              <w:rPr>
                <w:sz w:val="22"/>
                <w:szCs w:val="22"/>
                <w:lang w:eastAsia="en-US"/>
              </w:rPr>
              <w:t xml:space="preserve">w innym celu niż </w:t>
            </w:r>
            <w:r w:rsidR="00DA6046">
              <w:rPr>
                <w:sz w:val="22"/>
                <w:szCs w:val="22"/>
                <w:lang w:eastAsia="en-US"/>
              </w:rPr>
              <w:t>wskazany w ustawie.</w:t>
            </w:r>
          </w:p>
          <w:p w14:paraId="2FD0F412" w14:textId="77777777" w:rsidR="006153C7" w:rsidRDefault="006153C7" w:rsidP="006153C7">
            <w:pPr>
              <w:pStyle w:val="mcntmsonormal1"/>
              <w:spacing w:line="276" w:lineRule="auto"/>
              <w:ind w:firstLine="743"/>
              <w:jc w:val="both"/>
              <w:rPr>
                <w:sz w:val="22"/>
              </w:rPr>
            </w:pPr>
            <w:r w:rsidRPr="00015732">
              <w:rPr>
                <w:sz w:val="22"/>
              </w:rPr>
              <w:lastRenderedPageBreak/>
              <w:t xml:space="preserve">Kierując się treścią Dyrektywy oraz orzecznictwem TSUE m.in. w sprawie T-198/03 zaproponowano uregulowanie w </w:t>
            </w:r>
            <w:proofErr w:type="spellStart"/>
            <w:r w:rsidRPr="00015732">
              <w:rPr>
                <w:sz w:val="22"/>
              </w:rPr>
              <w:t>u.o.k.k</w:t>
            </w:r>
            <w:proofErr w:type="spellEnd"/>
            <w:r w:rsidRPr="00015732">
              <w:rPr>
                <w:sz w:val="22"/>
              </w:rPr>
              <w:t>. tajemnicy służbowej</w:t>
            </w:r>
            <w:r>
              <w:rPr>
                <w:sz w:val="22"/>
              </w:rPr>
              <w:t>,</w:t>
            </w:r>
            <w:r w:rsidRPr="00015732">
              <w:rPr>
                <w:sz w:val="22"/>
              </w:rPr>
              <w:t xml:space="preserve"> obowiązującej pracowników Urzędu. </w:t>
            </w:r>
            <w:r w:rsidRPr="00967B5F">
              <w:rPr>
                <w:sz w:val="22"/>
              </w:rPr>
              <w:t>W zwią</w:t>
            </w:r>
            <w:r>
              <w:rPr>
                <w:sz w:val="22"/>
              </w:rPr>
              <w:t>zku z powyższym zaproponowano dodanie regulacji zgodnie, z którą</w:t>
            </w:r>
            <w:r w:rsidRPr="00967B5F">
              <w:rPr>
                <w:sz w:val="22"/>
              </w:rPr>
              <w:t xml:space="preserve"> pracownicy Urzędu mają być obowiązani do ochrony informacji pozyskanych w związku z wykonywaniem czynności służbowych, obejmujących</w:t>
            </w:r>
            <w:r>
              <w:rPr>
                <w:sz w:val="22"/>
              </w:rPr>
              <w:t>:</w:t>
            </w:r>
          </w:p>
          <w:p w14:paraId="7E302283" w14:textId="6A7515EA" w:rsidR="006153C7" w:rsidRDefault="006153C7" w:rsidP="006153C7">
            <w:pPr>
              <w:pStyle w:val="mcntmsonormal1"/>
              <w:spacing w:line="276" w:lineRule="auto"/>
              <w:jc w:val="both"/>
              <w:rPr>
                <w:sz w:val="22"/>
              </w:rPr>
            </w:pPr>
            <w:r>
              <w:rPr>
                <w:sz w:val="22"/>
              </w:rPr>
              <w:t xml:space="preserve">- </w:t>
            </w:r>
            <w:r w:rsidRPr="00967B5F">
              <w:rPr>
                <w:sz w:val="22"/>
              </w:rPr>
              <w:t>informacje znane ograniczonej liczbie osób, których ujawnienie może wywołać negatywne skutki dla osoby, która je dostarczyła lub osobie trzeciej, w sytuacji gdy interes, który może być naruszony w skutek ujawnienia tych informacji zasługuje na ochronę</w:t>
            </w:r>
            <w:r>
              <w:rPr>
                <w:sz w:val="22"/>
              </w:rPr>
              <w:t xml:space="preserve">, </w:t>
            </w:r>
            <w:r w:rsidRPr="00967B5F">
              <w:rPr>
                <w:sz w:val="22"/>
              </w:rPr>
              <w:t>oraz</w:t>
            </w:r>
          </w:p>
          <w:p w14:paraId="17A902D7" w14:textId="77777777" w:rsidR="006153C7" w:rsidRPr="00045BA9" w:rsidRDefault="006153C7" w:rsidP="006153C7">
            <w:pPr>
              <w:pStyle w:val="mcntmsonormal1"/>
              <w:spacing w:line="276" w:lineRule="auto"/>
              <w:jc w:val="both"/>
              <w:rPr>
                <w:sz w:val="22"/>
              </w:rPr>
            </w:pPr>
            <w:r>
              <w:rPr>
                <w:sz w:val="22"/>
              </w:rPr>
              <w:t xml:space="preserve">- </w:t>
            </w:r>
            <w:r w:rsidRPr="00967B5F">
              <w:rPr>
                <w:sz w:val="22"/>
              </w:rPr>
              <w:t xml:space="preserve">dokumenty sporządzone na użytek wewnętrzny Prezesa Urzędu, Komisji Europejskiej lub organu ochrony konkurencji państwa członkowskiego Unii Europejskiej oraz korespondencji między nim. </w:t>
            </w:r>
          </w:p>
          <w:p w14:paraId="49DEA056" w14:textId="50E72FBC" w:rsidR="006153C7" w:rsidRPr="00B65A56" w:rsidRDefault="006153C7" w:rsidP="003E3D6B">
            <w:pPr>
              <w:pStyle w:val="mcntmsonormal1"/>
              <w:spacing w:line="276" w:lineRule="auto"/>
              <w:ind w:left="-19" w:firstLine="788"/>
              <w:jc w:val="both"/>
              <w:rPr>
                <w:sz w:val="22"/>
              </w:rPr>
            </w:pPr>
            <w:r w:rsidRPr="00B65A56">
              <w:rPr>
                <w:sz w:val="22"/>
              </w:rPr>
              <w:t>Ponadto</w:t>
            </w:r>
            <w:r>
              <w:rPr>
                <w:sz w:val="22"/>
              </w:rPr>
              <w:t xml:space="preserve"> </w:t>
            </w:r>
            <w:r w:rsidRPr="00B65A56">
              <w:rPr>
                <w:sz w:val="22"/>
              </w:rPr>
              <w:t>zaproponowano dodanie przepisu, w świetle którego nie podlegają udostępnieniu w trybie przepisów ustawy z dnia 6 września 2001 r. o dostępie do informacji publicznej informacje pozyskane w związku z wykonywaniem czynności służbowych, których udostępnienie może naruszyć dobro postępowania</w:t>
            </w:r>
            <w:r>
              <w:rPr>
                <w:sz w:val="22"/>
              </w:rPr>
              <w:t>.</w:t>
            </w:r>
            <w:r w:rsidRPr="00B65A56">
              <w:rPr>
                <w:sz w:val="22"/>
              </w:rPr>
              <w:t xml:space="preserve"> </w:t>
            </w:r>
            <w:r>
              <w:rPr>
                <w:sz w:val="22"/>
              </w:rPr>
              <w:t>W</w:t>
            </w:r>
            <w:r w:rsidRPr="00B65A56">
              <w:rPr>
                <w:sz w:val="22"/>
              </w:rPr>
              <w:t xml:space="preserve"> szczególności takimi informacjami szczególnie chronionymi są oświadczenia, informacje i dowody uzyskane w związku z procedurą </w:t>
            </w:r>
            <w:proofErr w:type="spellStart"/>
            <w:r w:rsidRPr="00B65A56">
              <w:rPr>
                <w:i/>
                <w:sz w:val="22"/>
              </w:rPr>
              <w:t>leniency</w:t>
            </w:r>
            <w:proofErr w:type="spellEnd"/>
            <w:r w:rsidRPr="00B65A56">
              <w:rPr>
                <w:sz w:val="22"/>
              </w:rPr>
              <w:t xml:space="preserve"> oraz dobrowolnym poddaniem się karze. Dokonano też zmian, polegających na przeniesieniu regulacji związanej </w:t>
            </w:r>
            <w:r>
              <w:rPr>
                <w:sz w:val="22"/>
              </w:rPr>
              <w:br/>
            </w:r>
            <w:r w:rsidRPr="00B65A56">
              <w:rPr>
                <w:sz w:val="22"/>
              </w:rPr>
              <w:t xml:space="preserve">z wymianą informacji przez Prezesa Urzędu z Przewodniczącym KNF. Przepisy te kompleksowo regulują wymianę informacji Prezesa UOKiK z innymi regulatorami oraz wyjątki od możliwości udostępniania danych, podyktowane koniecznością ochrony m.in. oświadczeń składanych w ramach procedury </w:t>
            </w:r>
            <w:proofErr w:type="spellStart"/>
            <w:r w:rsidRPr="00B65A56">
              <w:rPr>
                <w:i/>
                <w:sz w:val="22"/>
              </w:rPr>
              <w:t>leniency</w:t>
            </w:r>
            <w:proofErr w:type="spellEnd"/>
            <w:r w:rsidRPr="00B65A56">
              <w:rPr>
                <w:sz w:val="22"/>
              </w:rPr>
              <w:t xml:space="preserve">. </w:t>
            </w:r>
          </w:p>
          <w:p w14:paraId="28825345" w14:textId="42916CC2" w:rsidR="00904903" w:rsidRDefault="00D14953" w:rsidP="000F3D65">
            <w:pPr>
              <w:pStyle w:val="mcntmsonormal1"/>
              <w:numPr>
                <w:ilvl w:val="0"/>
                <w:numId w:val="3"/>
              </w:numPr>
              <w:spacing w:before="120" w:after="120" w:line="276" w:lineRule="auto"/>
              <w:ind w:left="714" w:hanging="357"/>
              <w:rPr>
                <w:b/>
              </w:rPr>
            </w:pPr>
            <w:r w:rsidRPr="00EF35DD">
              <w:rPr>
                <w:b/>
                <w:sz w:val="22"/>
                <w:szCs w:val="22"/>
                <w:lang w:eastAsia="en-US"/>
              </w:rPr>
              <w:t>Kontrol</w:t>
            </w:r>
            <w:r w:rsidR="00621B9C">
              <w:rPr>
                <w:b/>
                <w:sz w:val="22"/>
                <w:szCs w:val="22"/>
                <w:lang w:eastAsia="en-US"/>
              </w:rPr>
              <w:t xml:space="preserve">a, </w:t>
            </w:r>
            <w:r w:rsidRPr="00EF35DD">
              <w:rPr>
                <w:b/>
                <w:sz w:val="22"/>
                <w:szCs w:val="22"/>
                <w:lang w:eastAsia="en-US"/>
              </w:rPr>
              <w:t>przeszukani</w:t>
            </w:r>
            <w:r w:rsidR="00621B9C">
              <w:rPr>
                <w:b/>
                <w:sz w:val="22"/>
                <w:szCs w:val="22"/>
                <w:lang w:eastAsia="en-US"/>
              </w:rPr>
              <w:t>e</w:t>
            </w:r>
            <w:r w:rsidRPr="00EF35DD">
              <w:rPr>
                <w:b/>
                <w:sz w:val="22"/>
                <w:szCs w:val="22"/>
                <w:lang w:eastAsia="en-US"/>
              </w:rPr>
              <w:t>, pomoc Policji</w:t>
            </w:r>
            <w:r w:rsidRPr="00EF35DD">
              <w:rPr>
                <w:b/>
              </w:rPr>
              <w:t xml:space="preserve">, </w:t>
            </w:r>
            <w:r w:rsidRPr="00EF35DD">
              <w:rPr>
                <w:b/>
                <w:sz w:val="22"/>
                <w:szCs w:val="22"/>
                <w:lang w:eastAsia="en-US"/>
              </w:rPr>
              <w:t>LPP (</w:t>
            </w:r>
            <w:proofErr w:type="spellStart"/>
            <w:r w:rsidRPr="00EF35DD">
              <w:rPr>
                <w:b/>
                <w:i/>
                <w:sz w:val="22"/>
                <w:szCs w:val="22"/>
                <w:lang w:eastAsia="en-US"/>
              </w:rPr>
              <w:t>legal</w:t>
            </w:r>
            <w:proofErr w:type="spellEnd"/>
            <w:r w:rsidRPr="00EF35DD">
              <w:rPr>
                <w:b/>
                <w:i/>
                <w:sz w:val="22"/>
                <w:szCs w:val="22"/>
                <w:lang w:eastAsia="en-US"/>
              </w:rPr>
              <w:t xml:space="preserve"> </w:t>
            </w:r>
            <w:proofErr w:type="spellStart"/>
            <w:r w:rsidRPr="00EF35DD">
              <w:rPr>
                <w:b/>
                <w:i/>
                <w:sz w:val="22"/>
                <w:szCs w:val="22"/>
                <w:lang w:eastAsia="en-US"/>
              </w:rPr>
              <w:t>professional</w:t>
            </w:r>
            <w:proofErr w:type="spellEnd"/>
            <w:r w:rsidRPr="00EF35DD">
              <w:rPr>
                <w:b/>
                <w:i/>
                <w:sz w:val="22"/>
                <w:szCs w:val="22"/>
                <w:lang w:eastAsia="en-US"/>
              </w:rPr>
              <w:t xml:space="preserve"> </w:t>
            </w:r>
            <w:proofErr w:type="spellStart"/>
            <w:r w:rsidRPr="00EF35DD">
              <w:rPr>
                <w:b/>
                <w:i/>
                <w:sz w:val="22"/>
                <w:szCs w:val="22"/>
                <w:lang w:eastAsia="en-US"/>
              </w:rPr>
              <w:t>privilege</w:t>
            </w:r>
            <w:proofErr w:type="spellEnd"/>
            <w:r w:rsidRPr="00EF35DD">
              <w:rPr>
                <w:b/>
                <w:sz w:val="22"/>
                <w:szCs w:val="22"/>
                <w:lang w:eastAsia="en-US"/>
              </w:rPr>
              <w:t>)</w:t>
            </w:r>
          </w:p>
          <w:p w14:paraId="43282C12" w14:textId="24588C7F" w:rsidR="00904903" w:rsidRPr="00C61A6E" w:rsidRDefault="00904903" w:rsidP="000E6A14">
            <w:pPr>
              <w:pStyle w:val="mcntmsonormal1"/>
              <w:numPr>
                <w:ilvl w:val="0"/>
                <w:numId w:val="7"/>
              </w:numPr>
              <w:spacing w:before="120" w:after="120" w:line="276" w:lineRule="auto"/>
              <w:rPr>
                <w:b/>
              </w:rPr>
            </w:pPr>
            <w:r w:rsidRPr="00C61A6E">
              <w:rPr>
                <w:b/>
                <w:i/>
                <w:sz w:val="22"/>
              </w:rPr>
              <w:t>Kontrol</w:t>
            </w:r>
            <w:r w:rsidR="00621B9C">
              <w:rPr>
                <w:b/>
                <w:i/>
                <w:sz w:val="22"/>
              </w:rPr>
              <w:t xml:space="preserve">a, </w:t>
            </w:r>
            <w:r w:rsidRPr="00C61A6E">
              <w:rPr>
                <w:b/>
                <w:i/>
                <w:sz w:val="22"/>
              </w:rPr>
              <w:t>przeszukani</w:t>
            </w:r>
            <w:r w:rsidR="00621B9C">
              <w:rPr>
                <w:b/>
                <w:i/>
                <w:sz w:val="22"/>
              </w:rPr>
              <w:t>e</w:t>
            </w:r>
          </w:p>
          <w:p w14:paraId="45904E24" w14:textId="7535859F" w:rsidR="002C49E1" w:rsidRDefault="00305F2F" w:rsidP="002C49E1">
            <w:pPr>
              <w:pStyle w:val="mcntmsonormal1"/>
              <w:spacing w:line="276" w:lineRule="auto"/>
              <w:ind w:firstLine="743"/>
              <w:jc w:val="both"/>
              <w:rPr>
                <w:sz w:val="22"/>
              </w:rPr>
            </w:pPr>
            <w:r w:rsidRPr="00305F2F">
              <w:rPr>
                <w:sz w:val="22"/>
              </w:rPr>
              <w:t xml:space="preserve">W celu usprawnienia przeszukań w lokalu mieszkalnym, innym pomieszczeniu, nieruchomości lub środku transportu, zaproponowano aby przeszukanie to było dokonywane wspólnie przez funkcjonariuszy Policji i pracowników Urzędu (obecnie przeszukania takiego dokonują funkcjonariusze Policji, zaś pracownicy Urzędu biorą w nim udział). Pozostawiono natomiast obecnie obowiązującą procedurę, iż to Prezes Urzędu występuje do sądu z wnioskiem o zgodę na przeprowadzenie przeszukania. W </w:t>
            </w:r>
            <w:r w:rsidR="002341DF">
              <w:rPr>
                <w:sz w:val="22"/>
              </w:rPr>
              <w:t xml:space="preserve">projekcie </w:t>
            </w:r>
            <w:r w:rsidRPr="00305F2F">
              <w:rPr>
                <w:sz w:val="22"/>
              </w:rPr>
              <w:t xml:space="preserve">zaproponowano, aby czynności </w:t>
            </w:r>
            <w:r w:rsidR="00E74B05">
              <w:rPr>
                <w:sz w:val="22"/>
              </w:rPr>
              <w:t xml:space="preserve">te </w:t>
            </w:r>
            <w:r w:rsidRPr="00305F2F">
              <w:rPr>
                <w:sz w:val="22"/>
              </w:rPr>
              <w:t xml:space="preserve">wykonywali w toku przeszukania wspólnie funkcjonariusze Policji </w:t>
            </w:r>
            <w:r w:rsidR="00841855">
              <w:rPr>
                <w:sz w:val="22"/>
              </w:rPr>
              <w:t>we współpracy z</w:t>
            </w:r>
            <w:r w:rsidRPr="00305F2F">
              <w:rPr>
                <w:sz w:val="22"/>
              </w:rPr>
              <w:t xml:space="preserve"> pracownikami Urzędu, zaś kontynuowanie przeszukania w siedzibie Urzędu, wykonywali pracownicy Urzędu. Rozwiązanie to ma na celu usprawnienie przeprowadzania przeszukania, bowiem pracownicy Urzędu, są osobami znającymi szczegółowo daną sprawę oraz specyfikę postępowań prowadzonych przed Prezesem Urzędu i w konsekwencji ich większy udział w prowadzeniu przeszukania, powinien zapewnić jego efektywniejszy przebieg. W obecnym stanie prawnym w zakresie nieuregulowanym</w:t>
            </w:r>
            <w:r w:rsidR="00AD3381">
              <w:rPr>
                <w:sz w:val="22"/>
              </w:rPr>
              <w:t>,</w:t>
            </w:r>
            <w:r w:rsidRPr="00305F2F">
              <w:rPr>
                <w:sz w:val="22"/>
              </w:rPr>
              <w:t xml:space="preserve"> do przeszukania mają zastosowanie przepisy</w:t>
            </w:r>
            <w:r w:rsidR="00C60D21">
              <w:rPr>
                <w:sz w:val="22"/>
              </w:rPr>
              <w:t xml:space="preserve"> KPK</w:t>
            </w:r>
            <w:r w:rsidRPr="00305F2F">
              <w:rPr>
                <w:sz w:val="22"/>
              </w:rPr>
              <w:t xml:space="preserve">, jednakże odesłanie to budzi wiele wątpliwości interpretacyjnych. Wobec tego zaproponowano, aby </w:t>
            </w:r>
            <w:r w:rsidR="003E52CE">
              <w:rPr>
                <w:sz w:val="22"/>
              </w:rPr>
              <w:br/>
            </w:r>
            <w:r w:rsidRPr="00305F2F">
              <w:rPr>
                <w:sz w:val="22"/>
              </w:rPr>
              <w:t>w zakresie nieuregulowanym w ustawie</w:t>
            </w:r>
            <w:r w:rsidR="00993702">
              <w:rPr>
                <w:sz w:val="22"/>
              </w:rPr>
              <w:t>,</w:t>
            </w:r>
            <w:r w:rsidRPr="00305F2F">
              <w:rPr>
                <w:sz w:val="22"/>
              </w:rPr>
              <w:t xml:space="preserve"> do przeszukania zastosowanie znalazły odpowiednio przepisy dotyczące przeszukania u przedsiębiorcy zawarte w </w:t>
            </w:r>
            <w:proofErr w:type="spellStart"/>
            <w:r w:rsidR="00993702">
              <w:rPr>
                <w:sz w:val="22"/>
              </w:rPr>
              <w:t>u.o.k.k</w:t>
            </w:r>
            <w:proofErr w:type="spellEnd"/>
            <w:r w:rsidRPr="00305F2F">
              <w:rPr>
                <w:sz w:val="22"/>
              </w:rPr>
              <w:t>.</w:t>
            </w:r>
          </w:p>
          <w:p w14:paraId="219C376A" w14:textId="70CA617C" w:rsidR="00305F2F" w:rsidRDefault="00305F2F" w:rsidP="002C49E1">
            <w:pPr>
              <w:pStyle w:val="mcntmsonormal1"/>
              <w:spacing w:line="276" w:lineRule="auto"/>
              <w:ind w:firstLine="743"/>
              <w:jc w:val="both"/>
              <w:rPr>
                <w:sz w:val="22"/>
              </w:rPr>
            </w:pPr>
            <w:r w:rsidRPr="00305F2F">
              <w:rPr>
                <w:sz w:val="22"/>
              </w:rPr>
              <w:t xml:space="preserve">Ponadto w procedurze kontroli u przedsiębiorcy oraz przeszukania (do której część przepisów o kontroli ma zastosowanie poprzez odesłanie) wprowadzono szereg </w:t>
            </w:r>
            <w:r>
              <w:rPr>
                <w:sz w:val="22"/>
              </w:rPr>
              <w:t>z</w:t>
            </w:r>
            <w:r w:rsidRPr="00305F2F">
              <w:rPr>
                <w:sz w:val="22"/>
              </w:rPr>
              <w:t xml:space="preserve">mian szczegółowych. W celu dostosowania </w:t>
            </w:r>
            <w:proofErr w:type="spellStart"/>
            <w:r w:rsidR="00194D08">
              <w:rPr>
                <w:sz w:val="22"/>
              </w:rPr>
              <w:t>u.o.k.k</w:t>
            </w:r>
            <w:proofErr w:type="spellEnd"/>
            <w:r w:rsidR="00194D08">
              <w:rPr>
                <w:sz w:val="22"/>
              </w:rPr>
              <w:t>. do</w:t>
            </w:r>
            <w:r w:rsidRPr="00305F2F">
              <w:rPr>
                <w:sz w:val="22"/>
              </w:rPr>
              <w:t xml:space="preserve"> </w:t>
            </w:r>
            <w:r w:rsidR="00194D08">
              <w:rPr>
                <w:sz w:val="22"/>
              </w:rPr>
              <w:t>D</w:t>
            </w:r>
            <w:r w:rsidRPr="00305F2F">
              <w:rPr>
                <w:sz w:val="22"/>
              </w:rPr>
              <w:t xml:space="preserve">yrektywy zaproponowano </w:t>
            </w:r>
            <w:r w:rsidR="00841855">
              <w:rPr>
                <w:sz w:val="22"/>
              </w:rPr>
              <w:t xml:space="preserve">m.in. </w:t>
            </w:r>
            <w:r w:rsidRPr="00305F2F">
              <w:rPr>
                <w:sz w:val="22"/>
              </w:rPr>
              <w:t>wpisanie wpros</w:t>
            </w:r>
            <w:r w:rsidR="00194D08">
              <w:rPr>
                <w:sz w:val="22"/>
              </w:rPr>
              <w:t>t</w:t>
            </w:r>
            <w:r w:rsidRPr="00305F2F">
              <w:rPr>
                <w:sz w:val="22"/>
              </w:rPr>
              <w:t xml:space="preserve">, że kontrolujący może w toku kontroli przesłuchać w charakterze świadka pracownika oraz osobę wykonującą czynności </w:t>
            </w:r>
            <w:r w:rsidR="00841855" w:rsidRPr="00841855">
              <w:rPr>
                <w:sz w:val="22"/>
              </w:rPr>
              <w:t xml:space="preserve">w imieniu </w:t>
            </w:r>
            <w:r w:rsidR="00841855">
              <w:rPr>
                <w:sz w:val="22"/>
              </w:rPr>
              <w:t xml:space="preserve">lub </w:t>
            </w:r>
            <w:r w:rsidRPr="00305F2F">
              <w:rPr>
                <w:sz w:val="22"/>
              </w:rPr>
              <w:t xml:space="preserve">na rzecz kontrolowanego na podstawie innych niż umowa o pracę umów. </w:t>
            </w:r>
            <w:r w:rsidR="002A5B25">
              <w:rPr>
                <w:sz w:val="22"/>
              </w:rPr>
              <w:t>Dodatkowo, zgodnie z D</w:t>
            </w:r>
            <w:r w:rsidRPr="00305F2F">
              <w:rPr>
                <w:sz w:val="22"/>
              </w:rPr>
              <w:t>yrektyw</w:t>
            </w:r>
            <w:r w:rsidR="002A5B25">
              <w:rPr>
                <w:sz w:val="22"/>
              </w:rPr>
              <w:t>ą</w:t>
            </w:r>
            <w:r w:rsidRPr="00305F2F">
              <w:rPr>
                <w:sz w:val="22"/>
              </w:rPr>
              <w:t xml:space="preserve"> zaproponowano rozwiązanie, zgodnie z którym kontrola lub poszczególne czynności kontrolne mogą być kontynuowane w Centrali lub Delegaturze Urzędu, jeżeli może to usprawnić prowadzenie kontroli</w:t>
            </w:r>
            <w:r w:rsidR="00E674B4">
              <w:rPr>
                <w:sz w:val="22"/>
              </w:rPr>
              <w:t xml:space="preserve">. </w:t>
            </w:r>
            <w:r w:rsidRPr="00305F2F">
              <w:rPr>
                <w:sz w:val="22"/>
              </w:rPr>
              <w:t xml:space="preserve">Organ będzie zobowiązany do </w:t>
            </w:r>
            <w:r w:rsidR="00841855">
              <w:rPr>
                <w:sz w:val="22"/>
              </w:rPr>
              <w:t>za</w:t>
            </w:r>
            <w:r w:rsidRPr="00305F2F">
              <w:rPr>
                <w:sz w:val="22"/>
              </w:rPr>
              <w:t xml:space="preserve">wiadomienia kontrolowanego o terminie kontroli lub czynności kontrolnych powiadomić, przy czym jego niestawiennictwo nie tamuje przeprowadzenia kontroli lub czynności kontrolnych. </w:t>
            </w:r>
            <w:r w:rsidR="00C8169C">
              <w:rPr>
                <w:sz w:val="22"/>
              </w:rPr>
              <w:t>W</w:t>
            </w:r>
            <w:r w:rsidRPr="00305F2F">
              <w:rPr>
                <w:sz w:val="22"/>
              </w:rPr>
              <w:t>skazano</w:t>
            </w:r>
            <w:r w:rsidR="00C8169C">
              <w:rPr>
                <w:sz w:val="22"/>
              </w:rPr>
              <w:t xml:space="preserve"> także</w:t>
            </w:r>
            <w:r w:rsidRPr="00305F2F">
              <w:rPr>
                <w:sz w:val="22"/>
              </w:rPr>
              <w:t xml:space="preserve">, że w przypadku konieczności np. przeglądania kopii dokumentów lub nośników kontrolowanego </w:t>
            </w:r>
            <w:r w:rsidR="003E52CE">
              <w:rPr>
                <w:sz w:val="22"/>
              </w:rPr>
              <w:br/>
            </w:r>
            <w:r w:rsidRPr="00305F2F">
              <w:rPr>
                <w:sz w:val="22"/>
              </w:rPr>
              <w:t xml:space="preserve">w siedzibie organu nie będzie miał zastosowanie </w:t>
            </w:r>
            <w:r w:rsidR="00950BB0">
              <w:rPr>
                <w:sz w:val="22"/>
              </w:rPr>
              <w:t xml:space="preserve">przepis </w:t>
            </w:r>
            <w:proofErr w:type="spellStart"/>
            <w:r w:rsidR="00950BB0">
              <w:rPr>
                <w:sz w:val="22"/>
              </w:rPr>
              <w:t>u.o.k.k</w:t>
            </w:r>
            <w:proofErr w:type="spellEnd"/>
            <w:r w:rsidR="00950BB0">
              <w:rPr>
                <w:sz w:val="22"/>
              </w:rPr>
              <w:t xml:space="preserve">. o postanowieniu Prezesa Urzędu o zajęciu rzeczy </w:t>
            </w:r>
            <w:r w:rsidR="00464271">
              <w:rPr>
                <w:sz w:val="22"/>
              </w:rPr>
              <w:br/>
            </w:r>
            <w:r w:rsidR="00950BB0">
              <w:rPr>
                <w:sz w:val="22"/>
              </w:rPr>
              <w:t>w toku kontroli</w:t>
            </w:r>
            <w:r w:rsidRPr="00305F2F">
              <w:rPr>
                <w:sz w:val="22"/>
              </w:rPr>
              <w:t>. Zgodnie</w:t>
            </w:r>
            <w:r w:rsidR="00841855">
              <w:rPr>
                <w:sz w:val="22"/>
              </w:rPr>
              <w:t xml:space="preserve"> </w:t>
            </w:r>
            <w:r w:rsidRPr="00305F2F">
              <w:rPr>
                <w:sz w:val="22"/>
              </w:rPr>
              <w:t>z</w:t>
            </w:r>
            <w:r w:rsidR="00EC4D86">
              <w:rPr>
                <w:sz w:val="22"/>
              </w:rPr>
              <w:t xml:space="preserve"> </w:t>
            </w:r>
            <w:r w:rsidR="00950BB0">
              <w:rPr>
                <w:sz w:val="22"/>
              </w:rPr>
              <w:t>D</w:t>
            </w:r>
            <w:r w:rsidRPr="00305F2F">
              <w:rPr>
                <w:sz w:val="22"/>
              </w:rPr>
              <w:t>yrektyw</w:t>
            </w:r>
            <w:r w:rsidR="00950BB0">
              <w:rPr>
                <w:sz w:val="22"/>
              </w:rPr>
              <w:t>ą</w:t>
            </w:r>
            <w:r w:rsidR="00EC4D86">
              <w:rPr>
                <w:sz w:val="22"/>
              </w:rPr>
              <w:t xml:space="preserve">, w </w:t>
            </w:r>
            <w:proofErr w:type="spellStart"/>
            <w:r w:rsidR="00EC4D86">
              <w:rPr>
                <w:sz w:val="22"/>
              </w:rPr>
              <w:t>u.o.k.k</w:t>
            </w:r>
            <w:proofErr w:type="spellEnd"/>
            <w:r w:rsidR="00EC4D86">
              <w:rPr>
                <w:sz w:val="22"/>
              </w:rPr>
              <w:t>. znalazło się</w:t>
            </w:r>
            <w:r w:rsidRPr="00305F2F">
              <w:rPr>
                <w:sz w:val="22"/>
              </w:rPr>
              <w:t xml:space="preserve"> wskazanie, że przebieg kontroli lub poszczególne czynności w jej toku, po uprzednim poinformowaniu kontrolowanego, mogą być utrwalane przy pomocy urządzeń rejestrujących obraz lub dźwięk, zaś informatyczne nośniki danych, na których zarejestrowano przebieg kontroli lub poszczególne czynności w jej toku, stanowią załącznik do protokołu kontroli. W obecnym przepisie takie uprawnienie przysługiwało kontrolującym jedynie w uzasadnionych przypadkach.</w:t>
            </w:r>
          </w:p>
          <w:p w14:paraId="29366F12" w14:textId="0579BC6F" w:rsidR="00E62EE6" w:rsidRPr="00305F2F" w:rsidRDefault="00E62EE6" w:rsidP="000F3D65">
            <w:pPr>
              <w:pStyle w:val="mcntmsonormal1"/>
              <w:spacing w:line="276" w:lineRule="auto"/>
              <w:ind w:firstLine="743"/>
              <w:jc w:val="both"/>
              <w:rPr>
                <w:sz w:val="22"/>
              </w:rPr>
            </w:pPr>
            <w:r w:rsidRPr="00E62EE6">
              <w:rPr>
                <w:sz w:val="22"/>
                <w:szCs w:val="22"/>
              </w:rPr>
              <w:t xml:space="preserve">Zaproponowano też rozwiązanie o charakterze gwarancyjnym, mające na celu </w:t>
            </w:r>
            <w:r w:rsidRPr="009310FA">
              <w:rPr>
                <w:sz w:val="22"/>
                <w:szCs w:val="22"/>
              </w:rPr>
              <w:t>w celu zapewnienie niemożności wykorzystania odpowiedzi osoby przesłuchiwanej i jej bliskich</w:t>
            </w:r>
            <w:r>
              <w:rPr>
                <w:sz w:val="22"/>
                <w:szCs w:val="22"/>
              </w:rPr>
              <w:t>,</w:t>
            </w:r>
            <w:r w:rsidRPr="009310FA">
              <w:rPr>
                <w:sz w:val="22"/>
                <w:szCs w:val="22"/>
              </w:rPr>
              <w:t xml:space="preserve"> udzielonych w toku kontroli na potrzeby nałożenia kary pieniężnej</w:t>
            </w:r>
            <w:r w:rsidR="00B35BD1">
              <w:rPr>
                <w:sz w:val="22"/>
                <w:szCs w:val="22"/>
              </w:rPr>
              <w:t xml:space="preserve"> na osobę zarządzającą, która</w:t>
            </w:r>
            <w:r w:rsidR="00B35BD1" w:rsidRPr="00B35BD1">
              <w:rPr>
                <w:sz w:val="22"/>
                <w:szCs w:val="22"/>
              </w:rPr>
              <w:t xml:space="preserve"> umyślnie dopuściła do naruszenia przez przedsiębiorcę zakazów określonych </w:t>
            </w:r>
            <w:r w:rsidR="00B35BD1">
              <w:rPr>
                <w:sz w:val="22"/>
                <w:szCs w:val="22"/>
              </w:rPr>
              <w:br/>
            </w:r>
            <w:r w:rsidR="00B35BD1" w:rsidRPr="00B35BD1">
              <w:rPr>
                <w:sz w:val="22"/>
                <w:szCs w:val="22"/>
              </w:rPr>
              <w:t>w art. 6 ust. 1 pkt 1–6</w:t>
            </w:r>
            <w:r w:rsidR="00B35BD1">
              <w:rPr>
                <w:sz w:val="22"/>
                <w:szCs w:val="22"/>
              </w:rPr>
              <w:t xml:space="preserve"> </w:t>
            </w:r>
            <w:proofErr w:type="spellStart"/>
            <w:r w:rsidR="00B35BD1">
              <w:rPr>
                <w:sz w:val="22"/>
                <w:szCs w:val="22"/>
              </w:rPr>
              <w:t>u.o.k.k</w:t>
            </w:r>
            <w:proofErr w:type="spellEnd"/>
            <w:r w:rsidR="00B35BD1">
              <w:rPr>
                <w:sz w:val="22"/>
                <w:szCs w:val="22"/>
              </w:rPr>
              <w:t>.</w:t>
            </w:r>
            <w:r w:rsidR="00B35BD1" w:rsidRPr="00B35BD1">
              <w:rPr>
                <w:sz w:val="22"/>
                <w:szCs w:val="22"/>
              </w:rPr>
              <w:t xml:space="preserve"> lub w art. 101 ust. 1 lit. a–e TFUE.</w:t>
            </w:r>
          </w:p>
          <w:p w14:paraId="7556457E" w14:textId="4A058502" w:rsidR="00904903" w:rsidRPr="00C61A6E" w:rsidRDefault="00904903" w:rsidP="000F3D65">
            <w:pPr>
              <w:pStyle w:val="mcntmsonormal1"/>
              <w:numPr>
                <w:ilvl w:val="0"/>
                <w:numId w:val="7"/>
              </w:numPr>
              <w:spacing w:before="120" w:after="120" w:line="276" w:lineRule="auto"/>
              <w:ind w:left="1077" w:hanging="357"/>
              <w:rPr>
                <w:b/>
                <w:sz w:val="22"/>
              </w:rPr>
            </w:pPr>
            <w:r w:rsidRPr="00C61A6E">
              <w:rPr>
                <w:b/>
                <w:i/>
                <w:sz w:val="22"/>
              </w:rPr>
              <w:lastRenderedPageBreak/>
              <w:t>Pomoc</w:t>
            </w:r>
            <w:bookmarkStart w:id="2" w:name="_GoBack"/>
            <w:r w:rsidRPr="00C61A6E">
              <w:rPr>
                <w:b/>
                <w:i/>
                <w:sz w:val="22"/>
              </w:rPr>
              <w:t xml:space="preserve"> Policji</w:t>
            </w:r>
            <w:bookmarkEnd w:id="2"/>
          </w:p>
          <w:p w14:paraId="2551C8C6" w14:textId="409D404C" w:rsidR="0007710D" w:rsidRDefault="00C61A6E" w:rsidP="000F3D65">
            <w:pPr>
              <w:pStyle w:val="mcntmsonormal1"/>
              <w:spacing w:line="276" w:lineRule="auto"/>
              <w:ind w:left="34" w:firstLine="709"/>
              <w:jc w:val="both"/>
              <w:rPr>
                <w:sz w:val="22"/>
              </w:rPr>
            </w:pPr>
            <w:r w:rsidRPr="00C61A6E">
              <w:rPr>
                <w:sz w:val="22"/>
              </w:rPr>
              <w:t xml:space="preserve">Rozwiązania w zakresie pomocy policji wzorowano na przepisach rozporządzenia MSWiA z dnia 15 marca 2019 r. </w:t>
            </w:r>
            <w:r w:rsidRPr="003F5B80">
              <w:rPr>
                <w:i/>
                <w:sz w:val="22"/>
              </w:rPr>
              <w:t xml:space="preserve">w sprawie asystowania komornikowi przez Policję, Straż Graniczną lub Służbę Ochrony Państwa przy wykonywaniu czynności egzekucyjnych </w:t>
            </w:r>
            <w:r w:rsidRPr="00C61A6E">
              <w:rPr>
                <w:sz w:val="22"/>
              </w:rPr>
              <w:t>(Dz. U. poz</w:t>
            </w:r>
            <w:r w:rsidR="00605832">
              <w:rPr>
                <w:sz w:val="22"/>
              </w:rPr>
              <w:t>.</w:t>
            </w:r>
            <w:r w:rsidRPr="00C61A6E">
              <w:rPr>
                <w:sz w:val="22"/>
              </w:rPr>
              <w:t xml:space="preserve"> 538) oraz art. 13k ustawy z dnia 9 marca 2013 r </w:t>
            </w:r>
            <w:r w:rsidRPr="0007710D">
              <w:rPr>
                <w:i/>
                <w:sz w:val="22"/>
              </w:rPr>
              <w:t>o przeciwdziałaniu nadmiernym opóźnieniom w transakcjach handlowych</w:t>
            </w:r>
            <w:r w:rsidRPr="00C61A6E">
              <w:rPr>
                <w:sz w:val="22"/>
              </w:rPr>
              <w:t xml:space="preserve"> (Dz. U. z 2020 r. poz. 935 i 1086). W konsekwencji, zaproponowano wprowadzenie odrębnych regulacji w zakresie pomocy Policji lub innego organu kontroli państwowej w toku kontroli</w:t>
            </w:r>
            <w:r w:rsidR="0007710D">
              <w:rPr>
                <w:sz w:val="22"/>
              </w:rPr>
              <w:br/>
            </w:r>
            <w:r w:rsidRPr="00C61A6E">
              <w:rPr>
                <w:sz w:val="22"/>
              </w:rPr>
              <w:t>i toku przeszukania.</w:t>
            </w:r>
          </w:p>
          <w:p w14:paraId="79A69F00" w14:textId="56A2DE97" w:rsidR="00973B59" w:rsidRDefault="00C61A6E" w:rsidP="0007710D">
            <w:pPr>
              <w:pStyle w:val="mcntmsonormal1"/>
              <w:spacing w:line="276" w:lineRule="auto"/>
              <w:ind w:left="32" w:firstLine="709"/>
              <w:jc w:val="both"/>
              <w:rPr>
                <w:sz w:val="22"/>
              </w:rPr>
            </w:pPr>
            <w:r w:rsidRPr="00C61A6E">
              <w:rPr>
                <w:sz w:val="22"/>
              </w:rPr>
              <w:t>W toku kontroli</w:t>
            </w:r>
            <w:r w:rsidR="0092515D">
              <w:rPr>
                <w:sz w:val="22"/>
              </w:rPr>
              <w:t>,</w:t>
            </w:r>
            <w:r w:rsidRPr="00C61A6E">
              <w:rPr>
                <w:sz w:val="22"/>
              </w:rPr>
              <w:t xml:space="preserve"> zgodnie z nowoprojektowan</w:t>
            </w:r>
            <w:r w:rsidR="0092515D">
              <w:rPr>
                <w:sz w:val="22"/>
              </w:rPr>
              <w:t>ymi przepisami</w:t>
            </w:r>
            <w:r w:rsidR="00A413FF">
              <w:rPr>
                <w:sz w:val="22"/>
              </w:rPr>
              <w:t>,</w:t>
            </w:r>
            <w:r w:rsidRPr="00C61A6E">
              <w:rPr>
                <w:sz w:val="22"/>
              </w:rPr>
              <w:t xml:space="preserve"> Prezes Urzędu będzie mógł zwrócić się do Policji lub innego organu kontroli państwowej o udzielenie </w:t>
            </w:r>
            <w:r w:rsidR="00A413FF">
              <w:rPr>
                <w:sz w:val="22"/>
              </w:rPr>
              <w:t xml:space="preserve">pomocy, a wymienione podmioty </w:t>
            </w:r>
            <w:r w:rsidRPr="00C61A6E">
              <w:rPr>
                <w:sz w:val="22"/>
              </w:rPr>
              <w:t>mają obowiązek zapewnić pomoc w kontroli na wniosek Prezesa</w:t>
            </w:r>
            <w:r w:rsidR="00267B09">
              <w:rPr>
                <w:sz w:val="22"/>
              </w:rPr>
              <w:t xml:space="preserve"> UOKiK</w:t>
            </w:r>
            <w:r w:rsidRPr="00C61A6E">
              <w:rPr>
                <w:sz w:val="22"/>
              </w:rPr>
              <w:t>. Ponadto</w:t>
            </w:r>
            <w:r w:rsidR="00267B09">
              <w:rPr>
                <w:sz w:val="22"/>
              </w:rPr>
              <w:t xml:space="preserve"> </w:t>
            </w:r>
            <w:r w:rsidRPr="00C61A6E">
              <w:rPr>
                <w:sz w:val="22"/>
              </w:rPr>
              <w:t xml:space="preserve">uregulowano zakres pomocy Policji poprzez wskazanie, że polega ona na pomocy w pozyskiwaniu lub zabezpieczaniu materiału dowodowego oraz zapewnieniu porządku w miejscu przeprowadzania kontroli, osobistego bezpieczeństwa osób obecnych w miejscu przeprowadzania kontroli, a także ustalenie tożsamości osób. </w:t>
            </w:r>
            <w:r w:rsidR="00267B09">
              <w:rPr>
                <w:sz w:val="22"/>
              </w:rPr>
              <w:t xml:space="preserve">W projekcie </w:t>
            </w:r>
            <w:r w:rsidRPr="00C61A6E">
              <w:rPr>
                <w:sz w:val="22"/>
              </w:rPr>
              <w:t>uregulowano</w:t>
            </w:r>
            <w:r w:rsidR="00267B09">
              <w:rPr>
                <w:sz w:val="22"/>
              </w:rPr>
              <w:t xml:space="preserve"> też</w:t>
            </w:r>
            <w:r w:rsidRPr="00C61A6E">
              <w:rPr>
                <w:sz w:val="22"/>
              </w:rPr>
              <w:t xml:space="preserve"> szczegółową procedurę występowania przez Prezesa Urzędu z wnioskiem o pomoc do ww. podmiotów oraz kwestię rozliczania kosztów jej udzielenia.  </w:t>
            </w:r>
          </w:p>
          <w:p w14:paraId="31E7BAC3" w14:textId="41422EC8" w:rsidR="00C61A6E" w:rsidRPr="00C61A6E" w:rsidRDefault="00973B59" w:rsidP="00070057">
            <w:pPr>
              <w:pStyle w:val="mcntmsonormal1"/>
              <w:spacing w:line="276" w:lineRule="auto"/>
              <w:ind w:left="34" w:firstLine="709"/>
              <w:jc w:val="both"/>
              <w:rPr>
                <w:sz w:val="22"/>
              </w:rPr>
            </w:pPr>
            <w:r>
              <w:rPr>
                <w:sz w:val="22"/>
              </w:rPr>
              <w:t xml:space="preserve">W kwestii pomocy przy przeszukaniu, </w:t>
            </w:r>
            <w:r w:rsidR="002B153A">
              <w:rPr>
                <w:sz w:val="22"/>
              </w:rPr>
              <w:t>c</w:t>
            </w:r>
            <w:r w:rsidR="00C61A6E" w:rsidRPr="00C61A6E">
              <w:rPr>
                <w:sz w:val="22"/>
              </w:rPr>
              <w:t>o do zasady tożsama jak w kontroli ma być procedura występowania przez Prezesa Urzędu z wnioskiem o pomoc. Natomiast rozszerzony w porównaniu z kontrolą jest zakres pomocy</w:t>
            </w:r>
            <w:r w:rsidR="002B153A">
              <w:rPr>
                <w:sz w:val="22"/>
              </w:rPr>
              <w:t>,</w:t>
            </w:r>
            <w:r w:rsidR="00C61A6E" w:rsidRPr="00C61A6E">
              <w:rPr>
                <w:sz w:val="22"/>
              </w:rPr>
              <w:t xml:space="preserve"> udzielanej przez Policję w toku przeszukania, która w przeciwieństwie do kontroli nie zakłada współdziałania przeszukiwanego. </w:t>
            </w:r>
            <w:r w:rsidR="002B153A">
              <w:rPr>
                <w:sz w:val="22"/>
              </w:rPr>
              <w:t>Z</w:t>
            </w:r>
            <w:r w:rsidR="00C61A6E" w:rsidRPr="00C61A6E">
              <w:rPr>
                <w:sz w:val="22"/>
              </w:rPr>
              <w:t>aproponowano, aby pomoc udzielana przez funkcjonariuszy Policji polegała na umożliwieniu rozpoczęcia lub przeprowadzenia przeszukania,</w:t>
            </w:r>
            <w:r w:rsidR="00841855">
              <w:rPr>
                <w:sz w:val="22"/>
              </w:rPr>
              <w:t xml:space="preserve"> </w:t>
            </w:r>
            <w:r w:rsidR="00C61A6E" w:rsidRPr="00C61A6E">
              <w:rPr>
                <w:sz w:val="22"/>
              </w:rPr>
              <w:t>zapewnieni</w:t>
            </w:r>
            <w:r w:rsidR="00841855">
              <w:rPr>
                <w:sz w:val="22"/>
              </w:rPr>
              <w:t>u</w:t>
            </w:r>
            <w:r w:rsidR="00C61A6E" w:rsidRPr="00C61A6E">
              <w:rPr>
                <w:sz w:val="22"/>
              </w:rPr>
              <w:t xml:space="preserve"> porządku w miejscu jego przeprowadzania, osobistego bezpieczeństwa osób obecnych w miejscu jego przeprowadzania, a także ustaleni</w:t>
            </w:r>
            <w:r w:rsidR="00841855">
              <w:rPr>
                <w:sz w:val="22"/>
              </w:rPr>
              <w:t>u</w:t>
            </w:r>
            <w:r w:rsidR="00C61A6E" w:rsidRPr="00C61A6E">
              <w:rPr>
                <w:sz w:val="22"/>
              </w:rPr>
              <w:t xml:space="preserve"> tożsamości osób oraz na pomocy </w:t>
            </w:r>
            <w:r w:rsidR="00F4360D">
              <w:rPr>
                <w:sz w:val="22"/>
              </w:rPr>
              <w:br/>
            </w:r>
            <w:r w:rsidR="00C61A6E" w:rsidRPr="00C61A6E">
              <w:rPr>
                <w:sz w:val="22"/>
              </w:rPr>
              <w:t>w pozyskiwaniu lub zabezpieczaniu materiału dowodowego.</w:t>
            </w:r>
            <w:r w:rsidR="002B153A">
              <w:rPr>
                <w:sz w:val="22"/>
              </w:rPr>
              <w:t xml:space="preserve"> W </w:t>
            </w:r>
            <w:r w:rsidR="00C61A6E" w:rsidRPr="00C61A6E">
              <w:rPr>
                <w:sz w:val="22"/>
              </w:rPr>
              <w:t>przypadku napotkania oporu</w:t>
            </w:r>
            <w:r w:rsidR="00592904">
              <w:rPr>
                <w:sz w:val="22"/>
              </w:rPr>
              <w:t>,</w:t>
            </w:r>
            <w:r w:rsidR="00C61A6E" w:rsidRPr="00C61A6E">
              <w:rPr>
                <w:sz w:val="22"/>
              </w:rPr>
              <w:t xml:space="preserve"> który utrudnia lub uniemożliwia rozpoczęcie lub przeprowadzenie przeszukania ze strony przeszukiwanego lub innych osób uczestniczących w czynnościach przeszukania, funkcjonariusz Policji będzie uprawniony</w:t>
            </w:r>
            <w:r w:rsidR="00592904">
              <w:rPr>
                <w:sz w:val="22"/>
              </w:rPr>
              <w:t xml:space="preserve"> do</w:t>
            </w:r>
            <w:r w:rsidR="00C61A6E" w:rsidRPr="00C61A6E">
              <w:rPr>
                <w:sz w:val="22"/>
              </w:rPr>
              <w:t xml:space="preserve"> ustn</w:t>
            </w:r>
            <w:r w:rsidR="00592904">
              <w:rPr>
                <w:sz w:val="22"/>
              </w:rPr>
              <w:t>ego</w:t>
            </w:r>
            <w:r w:rsidR="00C61A6E" w:rsidRPr="00C61A6E">
              <w:rPr>
                <w:sz w:val="22"/>
              </w:rPr>
              <w:t xml:space="preserve"> wezwa</w:t>
            </w:r>
            <w:r w:rsidR="00592904">
              <w:rPr>
                <w:sz w:val="22"/>
              </w:rPr>
              <w:t>nia</w:t>
            </w:r>
            <w:r w:rsidR="00C61A6E" w:rsidRPr="00C61A6E">
              <w:rPr>
                <w:sz w:val="22"/>
              </w:rPr>
              <w:t xml:space="preserve"> t</w:t>
            </w:r>
            <w:r w:rsidR="00592904">
              <w:rPr>
                <w:sz w:val="22"/>
              </w:rPr>
              <w:t>ych</w:t>
            </w:r>
            <w:r w:rsidR="00C61A6E" w:rsidRPr="00C61A6E">
              <w:rPr>
                <w:sz w:val="22"/>
              </w:rPr>
              <w:t xml:space="preserve"> os</w:t>
            </w:r>
            <w:r w:rsidR="00592904">
              <w:rPr>
                <w:sz w:val="22"/>
              </w:rPr>
              <w:t>ób</w:t>
            </w:r>
            <w:r w:rsidR="00C61A6E" w:rsidRPr="00C61A6E">
              <w:rPr>
                <w:sz w:val="22"/>
              </w:rPr>
              <w:t xml:space="preserve"> do zachowania</w:t>
            </w:r>
            <w:r w:rsidR="00592904">
              <w:rPr>
                <w:sz w:val="22"/>
              </w:rPr>
              <w:t>,</w:t>
            </w:r>
            <w:r w:rsidR="00C61A6E" w:rsidRPr="00C61A6E">
              <w:rPr>
                <w:sz w:val="22"/>
              </w:rPr>
              <w:t xml:space="preserve"> umożliwiającego rozpoczęcie lub przeprowadzenie przeszukania przez przeszukujących, zaś w przypadku niezastosowania się do wezwania, funkcjonariusz Policji będzie mógł podjąć wobec danej osoby czynności</w:t>
            </w:r>
            <w:r w:rsidR="00426DCF">
              <w:rPr>
                <w:sz w:val="22"/>
              </w:rPr>
              <w:t>,</w:t>
            </w:r>
            <w:r w:rsidR="00C61A6E" w:rsidRPr="00C61A6E">
              <w:rPr>
                <w:sz w:val="22"/>
              </w:rPr>
              <w:t xml:space="preserve"> zmierzające do umożliwienia rozpoczęcia lub przeprowadzenia przeszukania przez przeszukujących.  </w:t>
            </w:r>
          </w:p>
          <w:p w14:paraId="3285AAB8" w14:textId="3888B685" w:rsidR="00FE5046" w:rsidRDefault="00E94DB2" w:rsidP="000F3D65">
            <w:pPr>
              <w:pStyle w:val="mcntmsonormal1"/>
              <w:numPr>
                <w:ilvl w:val="0"/>
                <w:numId w:val="7"/>
              </w:numPr>
              <w:spacing w:before="120" w:after="120" w:line="276" w:lineRule="auto"/>
              <w:ind w:left="1077" w:hanging="357"/>
              <w:jc w:val="both"/>
              <w:rPr>
                <w:sz w:val="22"/>
              </w:rPr>
            </w:pPr>
            <w:r>
              <w:rPr>
                <w:b/>
                <w:sz w:val="22"/>
                <w:szCs w:val="22"/>
                <w:lang w:eastAsia="en-US"/>
              </w:rPr>
              <w:t>LPP</w:t>
            </w:r>
            <w:r w:rsidR="00B6685A">
              <w:rPr>
                <w:b/>
                <w:sz w:val="22"/>
                <w:szCs w:val="22"/>
                <w:lang w:eastAsia="en-US"/>
              </w:rPr>
              <w:t xml:space="preserve"> </w:t>
            </w:r>
            <w:r w:rsidRPr="00EF35DD">
              <w:rPr>
                <w:b/>
                <w:sz w:val="22"/>
                <w:szCs w:val="22"/>
                <w:lang w:eastAsia="en-US"/>
              </w:rPr>
              <w:t>(</w:t>
            </w:r>
            <w:proofErr w:type="spellStart"/>
            <w:r w:rsidRPr="00EF35DD">
              <w:rPr>
                <w:b/>
                <w:i/>
                <w:sz w:val="22"/>
                <w:szCs w:val="22"/>
                <w:lang w:eastAsia="en-US"/>
              </w:rPr>
              <w:t>legal</w:t>
            </w:r>
            <w:proofErr w:type="spellEnd"/>
            <w:r w:rsidRPr="00EF35DD">
              <w:rPr>
                <w:b/>
                <w:i/>
                <w:sz w:val="22"/>
                <w:szCs w:val="22"/>
                <w:lang w:eastAsia="en-US"/>
              </w:rPr>
              <w:t xml:space="preserve"> </w:t>
            </w:r>
            <w:proofErr w:type="spellStart"/>
            <w:r w:rsidRPr="00EF35DD">
              <w:rPr>
                <w:b/>
                <w:i/>
                <w:sz w:val="22"/>
                <w:szCs w:val="22"/>
                <w:lang w:eastAsia="en-US"/>
              </w:rPr>
              <w:t>professional</w:t>
            </w:r>
            <w:proofErr w:type="spellEnd"/>
            <w:r w:rsidRPr="00EF35DD">
              <w:rPr>
                <w:b/>
                <w:i/>
                <w:sz w:val="22"/>
                <w:szCs w:val="22"/>
                <w:lang w:eastAsia="en-US"/>
              </w:rPr>
              <w:t xml:space="preserve"> </w:t>
            </w:r>
            <w:proofErr w:type="spellStart"/>
            <w:r w:rsidRPr="00EF35DD">
              <w:rPr>
                <w:b/>
                <w:i/>
                <w:sz w:val="22"/>
                <w:szCs w:val="22"/>
                <w:lang w:eastAsia="en-US"/>
              </w:rPr>
              <w:t>privilege</w:t>
            </w:r>
            <w:proofErr w:type="spellEnd"/>
            <w:r w:rsidRPr="00EF35DD">
              <w:rPr>
                <w:b/>
                <w:sz w:val="22"/>
                <w:szCs w:val="22"/>
                <w:lang w:eastAsia="en-US"/>
              </w:rPr>
              <w:t>)</w:t>
            </w:r>
          </w:p>
          <w:p w14:paraId="2A9D5E70" w14:textId="50F4FDFB" w:rsidR="00243065" w:rsidRDefault="00DD33BC" w:rsidP="00243065">
            <w:pPr>
              <w:pStyle w:val="mcntmsonormal1"/>
              <w:spacing w:line="276" w:lineRule="auto"/>
              <w:ind w:left="29" w:firstLine="712"/>
              <w:jc w:val="both"/>
              <w:rPr>
                <w:b/>
                <w:bCs/>
                <w:sz w:val="22"/>
                <w:szCs w:val="22"/>
              </w:rPr>
            </w:pPr>
            <w:r w:rsidRPr="00536FAA">
              <w:rPr>
                <w:sz w:val="22"/>
                <w:szCs w:val="22"/>
              </w:rPr>
              <w:t>Wobec pojawiąjących się w doktrynie i w praktyce wątpliwości interpretacyjnych</w:t>
            </w:r>
            <w:r w:rsidR="00F83CBE">
              <w:rPr>
                <w:sz w:val="22"/>
                <w:szCs w:val="22"/>
              </w:rPr>
              <w:t>,</w:t>
            </w:r>
            <w:r w:rsidRPr="00536FAA">
              <w:rPr>
                <w:sz w:val="22"/>
                <w:szCs w:val="22"/>
              </w:rPr>
              <w:t xml:space="preserve"> dotyczących uregulowania instytucji tzw. </w:t>
            </w:r>
            <w:r w:rsidR="002A458C">
              <w:rPr>
                <w:sz w:val="22"/>
                <w:szCs w:val="22"/>
              </w:rPr>
              <w:t xml:space="preserve">LPP </w:t>
            </w:r>
            <w:r w:rsidRPr="00536FAA">
              <w:rPr>
                <w:sz w:val="22"/>
                <w:szCs w:val="22"/>
              </w:rPr>
              <w:t>(</w:t>
            </w:r>
            <w:proofErr w:type="spellStart"/>
            <w:r w:rsidR="002A458C" w:rsidRPr="002A458C">
              <w:rPr>
                <w:i/>
                <w:sz w:val="22"/>
                <w:szCs w:val="22"/>
              </w:rPr>
              <w:t>legal</w:t>
            </w:r>
            <w:proofErr w:type="spellEnd"/>
            <w:r w:rsidR="002A458C" w:rsidRPr="002A458C">
              <w:rPr>
                <w:i/>
                <w:sz w:val="22"/>
                <w:szCs w:val="22"/>
              </w:rPr>
              <w:t xml:space="preserve"> </w:t>
            </w:r>
            <w:proofErr w:type="spellStart"/>
            <w:r w:rsidR="002A458C" w:rsidRPr="002A458C">
              <w:rPr>
                <w:i/>
                <w:sz w:val="22"/>
                <w:szCs w:val="22"/>
              </w:rPr>
              <w:t>professional</w:t>
            </w:r>
            <w:proofErr w:type="spellEnd"/>
            <w:r w:rsidR="002A458C" w:rsidRPr="002A458C">
              <w:rPr>
                <w:i/>
                <w:sz w:val="22"/>
                <w:szCs w:val="22"/>
              </w:rPr>
              <w:t xml:space="preserve"> </w:t>
            </w:r>
            <w:proofErr w:type="spellStart"/>
            <w:r w:rsidR="002A458C" w:rsidRPr="002A458C">
              <w:rPr>
                <w:i/>
                <w:sz w:val="22"/>
                <w:szCs w:val="22"/>
              </w:rPr>
              <w:t>privilege</w:t>
            </w:r>
            <w:proofErr w:type="spellEnd"/>
            <w:r w:rsidRPr="00536FAA">
              <w:rPr>
                <w:sz w:val="22"/>
                <w:szCs w:val="22"/>
              </w:rPr>
              <w:t xml:space="preserve">) w </w:t>
            </w:r>
            <w:proofErr w:type="spellStart"/>
            <w:r w:rsidR="002A458C">
              <w:rPr>
                <w:sz w:val="22"/>
                <w:szCs w:val="22"/>
              </w:rPr>
              <w:t>u.o.k.k</w:t>
            </w:r>
            <w:proofErr w:type="spellEnd"/>
            <w:r w:rsidR="002A458C">
              <w:rPr>
                <w:sz w:val="22"/>
                <w:szCs w:val="22"/>
              </w:rPr>
              <w:t xml:space="preserve">. </w:t>
            </w:r>
            <w:r w:rsidRPr="00536FAA">
              <w:rPr>
                <w:sz w:val="22"/>
                <w:szCs w:val="22"/>
              </w:rPr>
              <w:t>poprzez odesłanie w tym zakresie do przepisów</w:t>
            </w:r>
            <w:r w:rsidR="00C60D21">
              <w:rPr>
                <w:i/>
                <w:sz w:val="22"/>
                <w:szCs w:val="22"/>
              </w:rPr>
              <w:t xml:space="preserve"> </w:t>
            </w:r>
            <w:r w:rsidR="00C60D21">
              <w:rPr>
                <w:sz w:val="22"/>
                <w:szCs w:val="22"/>
              </w:rPr>
              <w:t>KPK</w:t>
            </w:r>
            <w:r w:rsidR="00F83CBE">
              <w:rPr>
                <w:sz w:val="22"/>
                <w:szCs w:val="22"/>
              </w:rPr>
              <w:t>,</w:t>
            </w:r>
            <w:r w:rsidRPr="00536FAA">
              <w:rPr>
                <w:sz w:val="22"/>
                <w:szCs w:val="22"/>
              </w:rPr>
              <w:t xml:space="preserve"> zaproponowano uchylenie t</w:t>
            </w:r>
            <w:r w:rsidR="00F83CBE">
              <w:rPr>
                <w:sz w:val="22"/>
                <w:szCs w:val="22"/>
              </w:rPr>
              <w:t>ych</w:t>
            </w:r>
            <w:r w:rsidRPr="00536FAA">
              <w:rPr>
                <w:sz w:val="22"/>
                <w:szCs w:val="22"/>
              </w:rPr>
              <w:t xml:space="preserve"> przepis</w:t>
            </w:r>
            <w:r w:rsidR="00F83CBE">
              <w:rPr>
                <w:sz w:val="22"/>
                <w:szCs w:val="22"/>
              </w:rPr>
              <w:t>ów</w:t>
            </w:r>
            <w:r w:rsidRPr="00536FAA">
              <w:rPr>
                <w:sz w:val="22"/>
                <w:szCs w:val="22"/>
              </w:rPr>
              <w:t xml:space="preserve"> </w:t>
            </w:r>
            <w:r w:rsidR="00F83CBE" w:rsidRPr="00536FAA">
              <w:rPr>
                <w:sz w:val="22"/>
                <w:szCs w:val="22"/>
              </w:rPr>
              <w:t>i kompleksow</w:t>
            </w:r>
            <w:r w:rsidR="00F83CBE">
              <w:rPr>
                <w:sz w:val="22"/>
                <w:szCs w:val="22"/>
              </w:rPr>
              <w:t>e</w:t>
            </w:r>
            <w:r w:rsidR="00F83CBE" w:rsidRPr="00536FAA">
              <w:rPr>
                <w:sz w:val="22"/>
                <w:szCs w:val="22"/>
              </w:rPr>
              <w:t xml:space="preserve"> </w:t>
            </w:r>
            <w:r w:rsidRPr="00536FAA">
              <w:rPr>
                <w:sz w:val="22"/>
                <w:szCs w:val="22"/>
              </w:rPr>
              <w:t>uregulowanie instytucji LPP. Wobec tego zaproponowano dodanie</w:t>
            </w:r>
            <w:r w:rsidR="00593FF7">
              <w:rPr>
                <w:sz w:val="22"/>
                <w:szCs w:val="22"/>
              </w:rPr>
              <w:t xml:space="preserve"> w </w:t>
            </w:r>
            <w:proofErr w:type="spellStart"/>
            <w:r w:rsidR="00593FF7">
              <w:rPr>
                <w:sz w:val="22"/>
                <w:szCs w:val="22"/>
              </w:rPr>
              <w:t>u.o.k.k</w:t>
            </w:r>
            <w:proofErr w:type="spellEnd"/>
            <w:r w:rsidR="00593FF7">
              <w:rPr>
                <w:sz w:val="22"/>
                <w:szCs w:val="22"/>
              </w:rPr>
              <w:t xml:space="preserve"> przepisu</w:t>
            </w:r>
            <w:r w:rsidRPr="00536FAA">
              <w:rPr>
                <w:sz w:val="22"/>
                <w:szCs w:val="22"/>
              </w:rPr>
              <w:t>, zgodnie z którym jeżeli w toku przeszukania przeszukiwany lub osoba przez niego upoważniona oświadczy, że znalezione w toku przeszukania pisma lub dokumenty, zawierają pisemną komunikację między przeszukiwanym a niezależnym od przeszukiwanego adwokatem, radcą prawnym lub prawnikiem z Unii Europejskiej w rozumieniu</w:t>
            </w:r>
            <w:r w:rsidR="00593FF7">
              <w:rPr>
                <w:sz w:val="22"/>
                <w:szCs w:val="22"/>
              </w:rPr>
              <w:t xml:space="preserve"> </w:t>
            </w:r>
            <w:r w:rsidRPr="00536FAA">
              <w:rPr>
                <w:sz w:val="22"/>
                <w:szCs w:val="22"/>
              </w:rPr>
              <w:t xml:space="preserve">ustawy </w:t>
            </w:r>
            <w:r w:rsidR="00593FF7" w:rsidRPr="008F215F">
              <w:rPr>
                <w:bCs/>
                <w:sz w:val="22"/>
                <w:szCs w:val="22"/>
              </w:rPr>
              <w:t>z dnia 5 lipca 2002 r.</w:t>
            </w:r>
            <w:r w:rsidR="00593FF7">
              <w:rPr>
                <w:b/>
                <w:bCs/>
                <w:sz w:val="22"/>
                <w:szCs w:val="22"/>
              </w:rPr>
              <w:t xml:space="preserve"> </w:t>
            </w:r>
            <w:r w:rsidRPr="00593FF7">
              <w:rPr>
                <w:i/>
                <w:sz w:val="22"/>
                <w:szCs w:val="22"/>
              </w:rPr>
              <w:t>o świadczeniu przez prawników zagranicznych pomocy prawnej w Rzeczypospolitej Polskiej</w:t>
            </w:r>
            <w:r w:rsidR="008F215F">
              <w:rPr>
                <w:i/>
                <w:sz w:val="22"/>
                <w:szCs w:val="22"/>
              </w:rPr>
              <w:t xml:space="preserve"> </w:t>
            </w:r>
            <w:r w:rsidR="008F215F">
              <w:rPr>
                <w:sz w:val="22"/>
                <w:szCs w:val="22"/>
              </w:rPr>
              <w:t>(</w:t>
            </w:r>
            <w:r w:rsidR="008F215F" w:rsidRPr="008F215F">
              <w:rPr>
                <w:sz w:val="22"/>
                <w:szCs w:val="22"/>
              </w:rPr>
              <w:t>Dz. U. z 2020 r. poz. 823</w:t>
            </w:r>
            <w:r w:rsidR="008F215F">
              <w:rPr>
                <w:sz w:val="22"/>
                <w:szCs w:val="22"/>
              </w:rPr>
              <w:t>)</w:t>
            </w:r>
            <w:r w:rsidR="00605832">
              <w:rPr>
                <w:sz w:val="22"/>
                <w:szCs w:val="22"/>
              </w:rPr>
              <w:t xml:space="preserve"> lub osobą o której mowa w art. 2a tej ustawy</w:t>
            </w:r>
            <w:r w:rsidRPr="00536FAA">
              <w:rPr>
                <w:sz w:val="22"/>
                <w:szCs w:val="22"/>
              </w:rPr>
              <w:t xml:space="preserve">,  powstałą  w celu realizacji prawa przeszukiwanego do uzyskania ochrony prawnej w związku z przedmiotem postępowania prowadzonego przez Prezesa Urzędu w ramach którego przeprowadzane jest przeszukanie, przeszukujący pozostawia te pisma lub dokumenty na miejscu przeszukania. Zapewniono także przeszukującym uprawnienie do zapoznania się jedynie pobieżnie z pismem lub dokumentem, w sposób pozwalający na ustalenie autora, adresata, tytułu oraz przedmiotu pisma lub dokumentu oraz daty jego sporządzenia oraz do zażądania od przeszukiwanego lub osoby przez niego upoważnionej dodatkowych ustnych wyjaśnień w przedmiocie złożonego oświadczenia oraz przygotowania wersji pisma lub dokumentu, niezawierającej informacji objętych ochroną, jeżeli jest możliwe. </w:t>
            </w:r>
          </w:p>
          <w:p w14:paraId="1521A9E9" w14:textId="6FCEF118" w:rsidR="00DD33BC" w:rsidRPr="00243065" w:rsidRDefault="00DD33BC" w:rsidP="00243065">
            <w:pPr>
              <w:pStyle w:val="mcntmsonormal1"/>
              <w:spacing w:line="276" w:lineRule="auto"/>
              <w:ind w:left="29" w:firstLine="712"/>
              <w:jc w:val="both"/>
              <w:rPr>
                <w:b/>
                <w:bCs/>
                <w:sz w:val="22"/>
                <w:szCs w:val="22"/>
              </w:rPr>
            </w:pPr>
            <w:r w:rsidRPr="00536FAA">
              <w:rPr>
                <w:sz w:val="22"/>
                <w:szCs w:val="22"/>
              </w:rPr>
              <w:t>W sytuacji</w:t>
            </w:r>
            <w:r w:rsidR="00243065">
              <w:rPr>
                <w:sz w:val="22"/>
                <w:szCs w:val="22"/>
              </w:rPr>
              <w:t>,</w:t>
            </w:r>
            <w:r w:rsidRPr="00536FAA">
              <w:rPr>
                <w:sz w:val="22"/>
                <w:szCs w:val="22"/>
              </w:rPr>
              <w:t xml:space="preserve"> gdy oświadczenie przeszukiwanego lub osoby przez niego upoważnionej będzie budzić wątpliwości, przeszukujący niezwłocznie po zakończeniu przeszukania będzie zobowiązany do przekazania pisma lub dokumentu, </w:t>
            </w:r>
            <w:r w:rsidR="00B6685A">
              <w:rPr>
                <w:sz w:val="22"/>
                <w:szCs w:val="22"/>
              </w:rPr>
              <w:t xml:space="preserve"> </w:t>
            </w:r>
            <w:r w:rsidRPr="00536FAA">
              <w:rPr>
                <w:sz w:val="22"/>
                <w:szCs w:val="22"/>
              </w:rPr>
              <w:t xml:space="preserve">którego wątpliwość dotyczy sądowi ochrony konkurencji i konsumentów, w sposób zapewniający ich należyte zabezpieczenie przed ujawnieniem ich treści. Rozstrzygać wątpliwości w tym przedmiocie </w:t>
            </w:r>
            <w:r w:rsidR="003770A3">
              <w:rPr>
                <w:sz w:val="22"/>
                <w:szCs w:val="22"/>
              </w:rPr>
              <w:t xml:space="preserve">będzie </w:t>
            </w:r>
            <w:r w:rsidRPr="00536FAA">
              <w:rPr>
                <w:sz w:val="22"/>
                <w:szCs w:val="22"/>
              </w:rPr>
              <w:t xml:space="preserve">sąd ochrony konkurencji </w:t>
            </w:r>
            <w:r w:rsidR="0013783A">
              <w:rPr>
                <w:sz w:val="22"/>
                <w:szCs w:val="22"/>
              </w:rPr>
              <w:br/>
            </w:r>
            <w:r w:rsidRPr="00536FAA">
              <w:rPr>
                <w:sz w:val="22"/>
                <w:szCs w:val="22"/>
              </w:rPr>
              <w:t xml:space="preserve">i konsumentów, przy czym to na przeszukiwanym spoczywać ma ciężar dowodu, że pismo lub dokument zawiera pisemną komunikację zawierającą dane objęte LPP. Zaproponowano dalszą procedurę sądową w tym zakresie, zgodnie </w:t>
            </w:r>
            <w:r w:rsidR="0013783A">
              <w:rPr>
                <w:sz w:val="22"/>
                <w:szCs w:val="22"/>
              </w:rPr>
              <w:br/>
            </w:r>
            <w:r w:rsidRPr="00536FAA">
              <w:rPr>
                <w:sz w:val="22"/>
                <w:szCs w:val="22"/>
              </w:rPr>
              <w:t xml:space="preserve">z którą sąd ochrony konkurencji i konsumentów po zapoznaniu się z przekazanymi mu we ww. trybie pismami lub dokumentami, wydaje w terminie miesiąca od ich przekazania postanowienie albo o ich zwrocie przeszukiwanemu </w:t>
            </w:r>
            <w:r w:rsidR="0013783A">
              <w:rPr>
                <w:sz w:val="22"/>
                <w:szCs w:val="22"/>
              </w:rPr>
              <w:br/>
            </w:r>
            <w:r w:rsidRPr="00536FAA">
              <w:rPr>
                <w:sz w:val="22"/>
                <w:szCs w:val="22"/>
              </w:rPr>
              <w:t xml:space="preserve">w całości lub w części, jeżeli zawierają one pisemną komunikację objętą LPP, lub w przeciwnym wypadku wydaje </w:t>
            </w:r>
            <w:r w:rsidRPr="00536FAA">
              <w:rPr>
                <w:sz w:val="22"/>
                <w:szCs w:val="22"/>
              </w:rPr>
              <w:lastRenderedPageBreak/>
              <w:t>postanowienie o ich zwrocie w całości lub w części dla potrzeb postępowania Prezesowi Urzędu. Postanowienie sądu będzie zaskarżalne w drodze zażalenia, zaś w celu ochrony danych wrażliwych na czas rozpatrywania zażalenia, przewidziano regulację zgodnie z którą postanowienie sądu podlega wykonaniu dopiero z chwilą uprawomocnienia.</w:t>
            </w:r>
          </w:p>
          <w:p w14:paraId="170FEFB1" w14:textId="0640A34B" w:rsidR="00D14953" w:rsidRPr="005755C3" w:rsidRDefault="00D14953" w:rsidP="000E6A14">
            <w:pPr>
              <w:pStyle w:val="mcntmsonormal1"/>
              <w:numPr>
                <w:ilvl w:val="0"/>
                <w:numId w:val="3"/>
              </w:numPr>
              <w:spacing w:before="120" w:after="120" w:line="276" w:lineRule="auto"/>
              <w:rPr>
                <w:b/>
              </w:rPr>
            </w:pPr>
            <w:r w:rsidRPr="00EF35DD">
              <w:rPr>
                <w:b/>
                <w:sz w:val="22"/>
                <w:szCs w:val="22"/>
                <w:lang w:eastAsia="en-US"/>
              </w:rPr>
              <w:t>Terminy przedawnień</w:t>
            </w:r>
          </w:p>
          <w:p w14:paraId="7CB2188F" w14:textId="77777777" w:rsidR="001C6AB1" w:rsidRDefault="005755C3" w:rsidP="00B6685A">
            <w:pPr>
              <w:ind w:firstLine="743"/>
              <w:jc w:val="both"/>
              <w:rPr>
                <w:rFonts w:ascii="Times New Roman" w:hAnsi="Times New Roman"/>
              </w:rPr>
            </w:pPr>
            <w:r w:rsidRPr="005755C3">
              <w:rPr>
                <w:rFonts w:ascii="Times New Roman" w:hAnsi="Times New Roman"/>
              </w:rPr>
              <w:t>W</w:t>
            </w:r>
            <w:r w:rsidR="002125CD">
              <w:rPr>
                <w:rFonts w:ascii="Times New Roman" w:hAnsi="Times New Roman"/>
              </w:rPr>
              <w:t xml:space="preserve"> celu transpozycji Dyrektywy</w:t>
            </w:r>
            <w:r w:rsidRPr="005755C3">
              <w:rPr>
                <w:rFonts w:ascii="Times New Roman" w:hAnsi="Times New Roman"/>
              </w:rPr>
              <w:t xml:space="preserve"> konieczne </w:t>
            </w:r>
            <w:r w:rsidR="00311A3C">
              <w:rPr>
                <w:rFonts w:ascii="Times New Roman" w:hAnsi="Times New Roman"/>
              </w:rPr>
              <w:t>jest</w:t>
            </w:r>
            <w:r w:rsidRPr="005755C3">
              <w:rPr>
                <w:rFonts w:ascii="Times New Roman" w:hAnsi="Times New Roman"/>
              </w:rPr>
              <w:t xml:space="preserve"> wprowadzenie zmiany</w:t>
            </w:r>
            <w:r w:rsidR="00311A3C">
              <w:rPr>
                <w:rFonts w:ascii="Times New Roman" w:hAnsi="Times New Roman"/>
              </w:rPr>
              <w:t>,</w:t>
            </w:r>
            <w:r w:rsidRPr="005755C3">
              <w:rPr>
                <w:rFonts w:ascii="Times New Roman" w:hAnsi="Times New Roman"/>
              </w:rPr>
              <w:t xml:space="preserve"> określającej przerwanie biegu terminów wskazanych w tych przepisach, w przypadku</w:t>
            </w:r>
            <w:r w:rsidR="001C6AB1">
              <w:rPr>
                <w:rFonts w:ascii="Times New Roman" w:hAnsi="Times New Roman"/>
              </w:rPr>
              <w:t>:</w:t>
            </w:r>
          </w:p>
          <w:p w14:paraId="5C5ECFF8" w14:textId="733AB368" w:rsidR="001C6AB1" w:rsidRDefault="001C6AB1" w:rsidP="005755C3">
            <w:pPr>
              <w:jc w:val="both"/>
              <w:rPr>
                <w:rFonts w:ascii="Times New Roman" w:hAnsi="Times New Roman"/>
              </w:rPr>
            </w:pPr>
            <w:r>
              <w:rPr>
                <w:rFonts w:ascii="Times New Roman" w:hAnsi="Times New Roman"/>
              </w:rPr>
              <w:t xml:space="preserve">- </w:t>
            </w:r>
            <w:r w:rsidRPr="001C6AB1">
              <w:rPr>
                <w:rFonts w:ascii="Times New Roman" w:hAnsi="Times New Roman"/>
              </w:rPr>
              <w:t>przejęcia sprawy przez Komisję Europejską na podstawie przepisów prawa wspólnotowego</w:t>
            </w:r>
            <w:r>
              <w:rPr>
                <w:rFonts w:ascii="Times New Roman" w:hAnsi="Times New Roman"/>
              </w:rPr>
              <w:t>,</w:t>
            </w:r>
          </w:p>
          <w:p w14:paraId="53D7F686" w14:textId="7FDE8E0C" w:rsidR="00FC7618" w:rsidRDefault="001C6AB1" w:rsidP="005755C3">
            <w:pPr>
              <w:jc w:val="both"/>
              <w:rPr>
                <w:rFonts w:ascii="Times New Roman" w:hAnsi="Times New Roman"/>
              </w:rPr>
            </w:pPr>
            <w:r>
              <w:rPr>
                <w:rFonts w:ascii="Times New Roman" w:hAnsi="Times New Roman"/>
              </w:rPr>
              <w:t xml:space="preserve">- </w:t>
            </w:r>
            <w:r w:rsidR="00875DD3">
              <w:rPr>
                <w:rFonts w:ascii="Times New Roman" w:hAnsi="Times New Roman"/>
              </w:rPr>
              <w:t xml:space="preserve">obligatoryjnego </w:t>
            </w:r>
            <w:r>
              <w:rPr>
                <w:rFonts w:ascii="Times New Roman" w:hAnsi="Times New Roman"/>
              </w:rPr>
              <w:t>niewszczęcia</w:t>
            </w:r>
            <w:r w:rsidR="00875DD3">
              <w:rPr>
                <w:rFonts w:ascii="Times New Roman" w:hAnsi="Times New Roman"/>
              </w:rPr>
              <w:t xml:space="preserve"> </w:t>
            </w:r>
            <w:r>
              <w:rPr>
                <w:rFonts w:ascii="Times New Roman" w:hAnsi="Times New Roman"/>
              </w:rPr>
              <w:t xml:space="preserve">postępowania </w:t>
            </w:r>
            <w:r w:rsidR="00FC7618">
              <w:rPr>
                <w:rFonts w:ascii="Times New Roman" w:hAnsi="Times New Roman"/>
              </w:rPr>
              <w:t xml:space="preserve">antymonopolowego </w:t>
            </w:r>
            <w:r>
              <w:rPr>
                <w:rFonts w:ascii="Times New Roman" w:hAnsi="Times New Roman"/>
              </w:rPr>
              <w:t>przez Prezesa U</w:t>
            </w:r>
            <w:r w:rsidR="00FC7618">
              <w:rPr>
                <w:rFonts w:ascii="Times New Roman" w:hAnsi="Times New Roman"/>
              </w:rPr>
              <w:t xml:space="preserve">OKiK, </w:t>
            </w:r>
            <w:r w:rsidR="00FC7618" w:rsidRPr="00FC7618">
              <w:rPr>
                <w:rFonts w:ascii="Times New Roman" w:hAnsi="Times New Roman"/>
              </w:rPr>
              <w:t>zgodnie z art. 11 ust. 6 rozporządzenia nr 1/2003/WE</w:t>
            </w:r>
            <w:r w:rsidR="00FC7618">
              <w:rPr>
                <w:rFonts w:ascii="Times New Roman" w:hAnsi="Times New Roman"/>
              </w:rPr>
              <w:t>, w przypadku, gdy:</w:t>
            </w:r>
          </w:p>
          <w:p w14:paraId="7A50F79C" w14:textId="634D045E" w:rsidR="00FC7618" w:rsidRPr="00316EA8" w:rsidRDefault="00FC7618" w:rsidP="000E6A14">
            <w:pPr>
              <w:pStyle w:val="Akapitzlist"/>
              <w:numPr>
                <w:ilvl w:val="0"/>
                <w:numId w:val="10"/>
              </w:numPr>
              <w:ind w:left="741"/>
              <w:jc w:val="both"/>
              <w:rPr>
                <w:rFonts w:ascii="Times New Roman" w:hAnsi="Times New Roman"/>
              </w:rPr>
            </w:pPr>
            <w:r w:rsidRPr="00316EA8">
              <w:rPr>
                <w:rFonts w:ascii="Times New Roman" w:hAnsi="Times New Roman"/>
              </w:rPr>
              <w:t>Komisja Europejska prowadzi postępowanie w tej samej sprawie</w:t>
            </w:r>
            <w:r w:rsidR="00316EA8">
              <w:rPr>
                <w:rFonts w:ascii="Times New Roman" w:hAnsi="Times New Roman"/>
              </w:rPr>
              <w:t>,</w:t>
            </w:r>
            <w:r w:rsidRPr="00316EA8">
              <w:rPr>
                <w:rFonts w:ascii="Times New Roman" w:hAnsi="Times New Roman"/>
              </w:rPr>
              <w:t xml:space="preserve"> </w:t>
            </w:r>
          </w:p>
          <w:p w14:paraId="0ED83A88" w14:textId="0FF8405B" w:rsidR="00FC7618" w:rsidRDefault="00FC7618" w:rsidP="000E6A14">
            <w:pPr>
              <w:pStyle w:val="Akapitzlist"/>
              <w:numPr>
                <w:ilvl w:val="0"/>
                <w:numId w:val="10"/>
              </w:numPr>
              <w:ind w:left="741"/>
              <w:jc w:val="both"/>
              <w:rPr>
                <w:rFonts w:ascii="Times New Roman" w:hAnsi="Times New Roman"/>
              </w:rPr>
            </w:pPr>
            <w:r w:rsidRPr="00316EA8">
              <w:rPr>
                <w:rFonts w:ascii="Times New Roman" w:hAnsi="Times New Roman"/>
              </w:rPr>
              <w:t>sprawa została rozstrzygnięta przez Komisję Europejską</w:t>
            </w:r>
            <w:r w:rsidR="00875DD3">
              <w:rPr>
                <w:rFonts w:ascii="Times New Roman" w:hAnsi="Times New Roman"/>
              </w:rPr>
              <w:t>,</w:t>
            </w:r>
          </w:p>
          <w:p w14:paraId="41C99902" w14:textId="423482A6" w:rsidR="00875DD3" w:rsidRDefault="00875DD3" w:rsidP="00875DD3">
            <w:pPr>
              <w:jc w:val="both"/>
              <w:rPr>
                <w:rFonts w:ascii="Times New Roman" w:hAnsi="Times New Roman"/>
              </w:rPr>
            </w:pPr>
            <w:r>
              <w:rPr>
                <w:rFonts w:ascii="Times New Roman" w:hAnsi="Times New Roman"/>
              </w:rPr>
              <w:t>- fakultatywnego niewszczęcia postępowania antymonopolowego przez Prezesa UOKiK, w przypadku gdy</w:t>
            </w:r>
            <w:r w:rsidR="001A5F41">
              <w:rPr>
                <w:rFonts w:ascii="Times New Roman" w:hAnsi="Times New Roman"/>
              </w:rPr>
              <w:t>:</w:t>
            </w:r>
          </w:p>
          <w:p w14:paraId="2611B466" w14:textId="77777777" w:rsidR="001A5F41" w:rsidRPr="001A5F41" w:rsidRDefault="001A5F41" w:rsidP="000E6A14">
            <w:pPr>
              <w:pStyle w:val="Akapitzlist"/>
              <w:numPr>
                <w:ilvl w:val="0"/>
                <w:numId w:val="11"/>
              </w:numPr>
              <w:jc w:val="both"/>
              <w:rPr>
                <w:rFonts w:ascii="Times New Roman" w:hAnsi="Times New Roman"/>
              </w:rPr>
            </w:pPr>
            <w:r w:rsidRPr="001A5F41">
              <w:rPr>
                <w:rFonts w:ascii="Times New Roman" w:hAnsi="Times New Roman"/>
              </w:rPr>
              <w:t>właściwy organ ochrony konkurencji innego państwa członkowskiego Unii Europejskiej prowadzi postępowanie w tej samej sprawie,</w:t>
            </w:r>
          </w:p>
          <w:p w14:paraId="7384E861" w14:textId="6C6C0BC3" w:rsidR="001A5F41" w:rsidRPr="001A5F41" w:rsidRDefault="001A5F41" w:rsidP="000E6A14">
            <w:pPr>
              <w:pStyle w:val="Akapitzlist"/>
              <w:numPr>
                <w:ilvl w:val="0"/>
                <w:numId w:val="11"/>
              </w:numPr>
              <w:jc w:val="both"/>
              <w:rPr>
                <w:rFonts w:ascii="Times New Roman" w:hAnsi="Times New Roman"/>
              </w:rPr>
            </w:pPr>
            <w:r w:rsidRPr="001A5F41">
              <w:rPr>
                <w:rFonts w:ascii="Times New Roman" w:hAnsi="Times New Roman"/>
              </w:rPr>
              <w:t>sprawa została rozstrzygnięta przez właściwy organ ochrony konkurencji innego państwa członkowskiego Unii Europejskiej</w:t>
            </w:r>
            <w:r>
              <w:rPr>
                <w:rFonts w:ascii="Times New Roman" w:hAnsi="Times New Roman"/>
              </w:rPr>
              <w:t>.</w:t>
            </w:r>
          </w:p>
          <w:p w14:paraId="3CE56926" w14:textId="2BA07266" w:rsidR="005755C3" w:rsidRPr="005755C3" w:rsidRDefault="005755C3" w:rsidP="00371FDF">
            <w:pPr>
              <w:ind w:firstLine="743"/>
              <w:jc w:val="both"/>
              <w:rPr>
                <w:rFonts w:ascii="Times New Roman" w:hAnsi="Times New Roman"/>
              </w:rPr>
            </w:pPr>
            <w:r w:rsidRPr="005755C3">
              <w:rPr>
                <w:rFonts w:ascii="Times New Roman" w:hAnsi="Times New Roman"/>
              </w:rPr>
              <w:t>Zmiana ta wpłynie na sposób obliczania terminów</w:t>
            </w:r>
            <w:r w:rsidR="00FA7D90">
              <w:rPr>
                <w:rFonts w:ascii="Times New Roman" w:hAnsi="Times New Roman"/>
              </w:rPr>
              <w:t>,</w:t>
            </w:r>
            <w:r w:rsidRPr="005755C3">
              <w:rPr>
                <w:rFonts w:ascii="Times New Roman" w:hAnsi="Times New Roman"/>
              </w:rPr>
              <w:t xml:space="preserve"> po upływie których nie jest możliwe wszczęcie postępowania </w:t>
            </w:r>
            <w:r w:rsidR="00883D8B">
              <w:rPr>
                <w:rFonts w:ascii="Times New Roman" w:hAnsi="Times New Roman"/>
              </w:rPr>
              <w:br/>
            </w:r>
            <w:r w:rsidRPr="005755C3">
              <w:rPr>
                <w:rFonts w:ascii="Times New Roman" w:hAnsi="Times New Roman"/>
              </w:rPr>
              <w:t>w sprawie naruszenia art. 101 lub art. 102 TFUE. W przypadku gdy Prezes Urzędu wstrzymuje się od prowadzenia postępowania (nie wszczyna postępowania lub umarza postępowanie)</w:t>
            </w:r>
            <w:r w:rsidR="00FA7D90">
              <w:rPr>
                <w:rFonts w:ascii="Times New Roman" w:hAnsi="Times New Roman"/>
              </w:rPr>
              <w:t>,</w:t>
            </w:r>
            <w:r w:rsidRPr="005755C3">
              <w:rPr>
                <w:rFonts w:ascii="Times New Roman" w:hAnsi="Times New Roman"/>
              </w:rPr>
              <w:t xml:space="preserve"> w związku z prowadzeniem postępowania przez inny organ (KE lub krajowy organ ochrony konkurencji państwa członkowskiego UE), okresu, w którym sprawą zajmował się inny organ, nie wlicza się do określonego </w:t>
            </w:r>
            <w:r w:rsidR="00FA7D90">
              <w:rPr>
                <w:rFonts w:ascii="Times New Roman" w:hAnsi="Times New Roman"/>
              </w:rPr>
              <w:t xml:space="preserve">w </w:t>
            </w:r>
            <w:proofErr w:type="spellStart"/>
            <w:r w:rsidR="00FA7D90">
              <w:rPr>
                <w:rFonts w:ascii="Times New Roman" w:hAnsi="Times New Roman"/>
              </w:rPr>
              <w:t>u.o.k.k</w:t>
            </w:r>
            <w:proofErr w:type="spellEnd"/>
            <w:r w:rsidR="00FA7D90">
              <w:rPr>
                <w:rFonts w:ascii="Times New Roman" w:hAnsi="Times New Roman"/>
              </w:rPr>
              <w:t>.</w:t>
            </w:r>
            <w:r w:rsidRPr="005755C3">
              <w:rPr>
                <w:rFonts w:ascii="Times New Roman" w:hAnsi="Times New Roman"/>
              </w:rPr>
              <w:t xml:space="preserve"> terminu, w którym Prezes UOKiK może wszcząć postępowanie, które może zakończyć się wydaniem decyzji o nałożeniu kary pieniężnej.</w:t>
            </w:r>
          </w:p>
          <w:p w14:paraId="47FFB07E" w14:textId="37EE242A" w:rsidR="005755C3" w:rsidRPr="005755C3" w:rsidRDefault="005755C3" w:rsidP="00693241">
            <w:pPr>
              <w:ind w:firstLine="741"/>
              <w:jc w:val="both"/>
              <w:rPr>
                <w:rFonts w:ascii="Times New Roman" w:hAnsi="Times New Roman"/>
              </w:rPr>
            </w:pPr>
            <w:r w:rsidRPr="005755C3">
              <w:rPr>
                <w:rFonts w:ascii="Times New Roman" w:hAnsi="Times New Roman"/>
              </w:rPr>
              <w:t>Dodatkowo</w:t>
            </w:r>
            <w:r w:rsidR="00883D8B">
              <w:rPr>
                <w:rFonts w:ascii="Times New Roman" w:hAnsi="Times New Roman"/>
              </w:rPr>
              <w:t>,</w:t>
            </w:r>
            <w:r w:rsidRPr="005755C3">
              <w:rPr>
                <w:rFonts w:ascii="Times New Roman" w:hAnsi="Times New Roman"/>
              </w:rPr>
              <w:t xml:space="preserve"> wprowadzona zostanie zmiana w </w:t>
            </w:r>
            <w:proofErr w:type="spellStart"/>
            <w:r w:rsidR="00FA7D90">
              <w:rPr>
                <w:rFonts w:ascii="Times New Roman" w:hAnsi="Times New Roman"/>
              </w:rPr>
              <w:t>u.o.k.k</w:t>
            </w:r>
            <w:proofErr w:type="spellEnd"/>
            <w:r w:rsidR="00FA7D90">
              <w:rPr>
                <w:rFonts w:ascii="Times New Roman" w:hAnsi="Times New Roman"/>
              </w:rPr>
              <w:t>.,</w:t>
            </w:r>
            <w:r w:rsidR="00693241">
              <w:rPr>
                <w:rFonts w:ascii="Times New Roman" w:hAnsi="Times New Roman"/>
              </w:rPr>
              <w:t xml:space="preserve"> </w:t>
            </w:r>
            <w:r w:rsidRPr="005755C3">
              <w:rPr>
                <w:rFonts w:ascii="Times New Roman" w:hAnsi="Times New Roman"/>
              </w:rPr>
              <w:t>wzorowana na przepisach regulujących postępowanie KE w sprawach dotyczących naruszeń art. 101 i 102 TFUE, zgodnie z którą bieg terminu przedawnienia (w przypadku polskich przepisów – terminu na wszczęcie postępowania) jest przerwany wraz z podjęciem przez Prezesa UOKiK pierwszych dochodzeniowych czynności w danej sprawie, poprzedzających wszczęcie postępowania. Proponowany przepis służy wyeliminowaniu sytuacji, w których upływa termin przedawnienia</w:t>
            </w:r>
            <w:r w:rsidR="00217EDB">
              <w:rPr>
                <w:rFonts w:ascii="Times New Roman" w:hAnsi="Times New Roman"/>
              </w:rPr>
              <w:t xml:space="preserve">, </w:t>
            </w:r>
            <w:r w:rsidRPr="005755C3">
              <w:rPr>
                <w:rFonts w:ascii="Times New Roman" w:hAnsi="Times New Roman"/>
              </w:rPr>
              <w:t>pomimo podjęcia wcześniej działań przez organ antymonopolowy (takich jak kontrola, przeszukanie czy wezwanie przedsiębiorcy do przedstawienia informacji)</w:t>
            </w:r>
            <w:r w:rsidR="00217EDB">
              <w:rPr>
                <w:rFonts w:ascii="Times New Roman" w:hAnsi="Times New Roman"/>
              </w:rPr>
              <w:t>,</w:t>
            </w:r>
            <w:r w:rsidRPr="005755C3">
              <w:rPr>
                <w:rFonts w:ascii="Times New Roman" w:hAnsi="Times New Roman"/>
              </w:rPr>
              <w:t xml:space="preserve"> </w:t>
            </w:r>
            <w:r w:rsidR="00217EDB">
              <w:rPr>
                <w:rFonts w:ascii="Times New Roman" w:hAnsi="Times New Roman"/>
              </w:rPr>
              <w:t>ukierunkowanych</w:t>
            </w:r>
            <w:r w:rsidRPr="005755C3">
              <w:rPr>
                <w:rFonts w:ascii="Times New Roman" w:hAnsi="Times New Roman"/>
              </w:rPr>
              <w:t xml:space="preserve"> na wykrycie i stwierdzenie naruszenia zakazu praktyk ograniczających konkurencję w danej sprawie, w przypadku gdy wystąpiły przejściowe przeszkody, niezależne od Prezesa UOKiK, które sprawiają, że nie jest możliwe wszczęcie i przeprowadzenie postępowania oraz wydanie decyzji. Ponadto przepis taki będzie kompatybilny z regulacjami UE. </w:t>
            </w:r>
          </w:p>
          <w:p w14:paraId="596B0F9F" w14:textId="21DF1092" w:rsidR="00D14953" w:rsidRPr="00024476" w:rsidRDefault="00D14953" w:rsidP="000E6A14">
            <w:pPr>
              <w:pStyle w:val="mcntmsonormal1"/>
              <w:numPr>
                <w:ilvl w:val="0"/>
                <w:numId w:val="3"/>
              </w:numPr>
              <w:spacing w:before="120" w:after="120" w:line="276" w:lineRule="auto"/>
              <w:rPr>
                <w:b/>
              </w:rPr>
            </w:pPr>
            <w:r w:rsidRPr="00EF35DD">
              <w:rPr>
                <w:b/>
                <w:sz w:val="22"/>
                <w:szCs w:val="22"/>
                <w:lang w:eastAsia="en-US"/>
              </w:rPr>
              <w:t>Program łagodzenia kar (</w:t>
            </w:r>
            <w:proofErr w:type="spellStart"/>
            <w:r w:rsidRPr="00EF35DD">
              <w:rPr>
                <w:b/>
                <w:i/>
                <w:sz w:val="22"/>
                <w:szCs w:val="22"/>
                <w:lang w:eastAsia="en-US"/>
              </w:rPr>
              <w:t>leniency</w:t>
            </w:r>
            <w:proofErr w:type="spellEnd"/>
            <w:r w:rsidRPr="00EF35DD">
              <w:rPr>
                <w:b/>
                <w:sz w:val="22"/>
                <w:szCs w:val="22"/>
                <w:lang w:eastAsia="en-US"/>
              </w:rPr>
              <w:t xml:space="preserve">) </w:t>
            </w:r>
          </w:p>
          <w:p w14:paraId="0CC497CC" w14:textId="5C8E1BC6" w:rsidR="00F81153" w:rsidRPr="00F81153" w:rsidRDefault="00B806FC" w:rsidP="00E225DF">
            <w:pPr>
              <w:ind w:firstLine="743"/>
              <w:jc w:val="both"/>
              <w:rPr>
                <w:rFonts w:ascii="Times New Roman" w:hAnsi="Times New Roman"/>
                <w:szCs w:val="24"/>
              </w:rPr>
            </w:pPr>
            <w:r>
              <w:rPr>
                <w:rFonts w:ascii="Times New Roman" w:hAnsi="Times New Roman"/>
                <w:szCs w:val="24"/>
              </w:rPr>
              <w:t>Projektowane zmiany przewidują:</w:t>
            </w:r>
          </w:p>
          <w:p w14:paraId="6D0033D7" w14:textId="3AC5A6AB" w:rsidR="00F81153" w:rsidRPr="00F81153" w:rsidRDefault="00F81153" w:rsidP="0075630A">
            <w:pPr>
              <w:jc w:val="both"/>
              <w:rPr>
                <w:rFonts w:ascii="Times New Roman" w:hAnsi="Times New Roman"/>
                <w:szCs w:val="24"/>
              </w:rPr>
            </w:pPr>
            <w:r w:rsidRPr="00F81153">
              <w:rPr>
                <w:rFonts w:ascii="Times New Roman" w:hAnsi="Times New Roman"/>
                <w:szCs w:val="24"/>
              </w:rPr>
              <w:t xml:space="preserve">- doprecyzowanie i ujednolicenie progów dowodowych dla odstąpienia i obniżenia kar w zgodzie </w:t>
            </w:r>
            <w:r w:rsidR="00706206">
              <w:rPr>
                <w:rFonts w:ascii="Times New Roman" w:hAnsi="Times New Roman"/>
                <w:szCs w:val="24"/>
              </w:rPr>
              <w:t xml:space="preserve">z </w:t>
            </w:r>
            <w:r w:rsidR="00B806FC">
              <w:rPr>
                <w:rFonts w:ascii="Times New Roman" w:hAnsi="Times New Roman"/>
                <w:szCs w:val="24"/>
              </w:rPr>
              <w:t>D</w:t>
            </w:r>
            <w:r w:rsidRPr="00F81153">
              <w:rPr>
                <w:rFonts w:ascii="Times New Roman" w:hAnsi="Times New Roman"/>
                <w:szCs w:val="24"/>
              </w:rPr>
              <w:t>yrektyw</w:t>
            </w:r>
            <w:r w:rsidR="00706206">
              <w:rPr>
                <w:rFonts w:ascii="Times New Roman" w:hAnsi="Times New Roman"/>
                <w:szCs w:val="24"/>
              </w:rPr>
              <w:t>ą</w:t>
            </w:r>
            <w:r w:rsidR="00B806FC">
              <w:rPr>
                <w:rFonts w:ascii="Times New Roman" w:hAnsi="Times New Roman"/>
                <w:szCs w:val="24"/>
              </w:rPr>
              <w:t>,</w:t>
            </w:r>
          </w:p>
          <w:p w14:paraId="3BD1AAEE" w14:textId="33110DA2" w:rsidR="00F81153" w:rsidRPr="00F81153" w:rsidRDefault="00F81153" w:rsidP="0075630A">
            <w:pPr>
              <w:jc w:val="both"/>
              <w:rPr>
                <w:rFonts w:ascii="Times New Roman" w:hAnsi="Times New Roman"/>
                <w:szCs w:val="24"/>
              </w:rPr>
            </w:pPr>
            <w:r w:rsidRPr="00F81153">
              <w:rPr>
                <w:rFonts w:ascii="Times New Roman" w:hAnsi="Times New Roman"/>
                <w:szCs w:val="24"/>
              </w:rPr>
              <w:t>- wprowadzenie wymogu dotyczącego ujawniania informacji o swoim uczestnictwie w tajnym kartelu</w:t>
            </w:r>
            <w:r w:rsidR="00B806FC">
              <w:rPr>
                <w:rFonts w:ascii="Times New Roman" w:hAnsi="Times New Roman"/>
                <w:szCs w:val="24"/>
              </w:rPr>
              <w:t>,</w:t>
            </w:r>
          </w:p>
          <w:p w14:paraId="75972E9F" w14:textId="46E5E71A" w:rsidR="00F81153" w:rsidRPr="00F81153" w:rsidRDefault="00F81153" w:rsidP="0075630A">
            <w:pPr>
              <w:jc w:val="both"/>
              <w:rPr>
                <w:rFonts w:ascii="Times New Roman" w:hAnsi="Times New Roman"/>
                <w:szCs w:val="24"/>
              </w:rPr>
            </w:pPr>
            <w:r w:rsidRPr="00F81153">
              <w:rPr>
                <w:rFonts w:ascii="Times New Roman" w:hAnsi="Times New Roman"/>
                <w:szCs w:val="24"/>
              </w:rPr>
              <w:t xml:space="preserve">- zmiana językowa w obecnym art. 113b pkt 3 </w:t>
            </w:r>
            <w:proofErr w:type="spellStart"/>
            <w:r w:rsidR="00B806FC">
              <w:rPr>
                <w:rFonts w:ascii="Times New Roman" w:hAnsi="Times New Roman"/>
                <w:szCs w:val="24"/>
              </w:rPr>
              <w:t>u.o.k.k</w:t>
            </w:r>
            <w:proofErr w:type="spellEnd"/>
            <w:r w:rsidR="00B806FC">
              <w:rPr>
                <w:rFonts w:ascii="Times New Roman" w:hAnsi="Times New Roman"/>
                <w:szCs w:val="24"/>
              </w:rPr>
              <w:t>.</w:t>
            </w:r>
            <w:r w:rsidRPr="00F81153">
              <w:rPr>
                <w:rFonts w:ascii="Times New Roman" w:hAnsi="Times New Roman"/>
                <w:szCs w:val="24"/>
              </w:rPr>
              <w:t xml:space="preserve"> – zamiast „nakłaniał” – „przymuszał”. Zmiana ma na celu zapewnienie spójności z </w:t>
            </w:r>
            <w:r w:rsidR="00B806FC">
              <w:rPr>
                <w:rFonts w:ascii="Times New Roman" w:hAnsi="Times New Roman"/>
                <w:szCs w:val="24"/>
              </w:rPr>
              <w:t>D</w:t>
            </w:r>
            <w:r w:rsidRPr="00F81153">
              <w:rPr>
                <w:rFonts w:ascii="Times New Roman" w:hAnsi="Times New Roman"/>
                <w:szCs w:val="24"/>
              </w:rPr>
              <w:t>yrektyw</w:t>
            </w:r>
            <w:r w:rsidR="00B806FC">
              <w:rPr>
                <w:rFonts w:ascii="Times New Roman" w:hAnsi="Times New Roman"/>
                <w:szCs w:val="24"/>
              </w:rPr>
              <w:t>ą</w:t>
            </w:r>
            <w:r w:rsidRPr="00F81153">
              <w:rPr>
                <w:rFonts w:ascii="Times New Roman" w:hAnsi="Times New Roman"/>
                <w:szCs w:val="24"/>
              </w:rPr>
              <w:t xml:space="preserve"> oraz zwiększenie pewności prawnej wnioskodawców</w:t>
            </w:r>
            <w:r w:rsidR="00407190">
              <w:rPr>
                <w:rFonts w:ascii="Times New Roman" w:hAnsi="Times New Roman"/>
                <w:szCs w:val="24"/>
              </w:rPr>
              <w:t>,</w:t>
            </w:r>
          </w:p>
          <w:p w14:paraId="43E47283" w14:textId="44547A8D" w:rsidR="00F81153" w:rsidRPr="00F81153" w:rsidRDefault="00F81153" w:rsidP="0075630A">
            <w:pPr>
              <w:jc w:val="both"/>
              <w:rPr>
                <w:rFonts w:ascii="Times New Roman" w:hAnsi="Times New Roman"/>
                <w:szCs w:val="24"/>
              </w:rPr>
            </w:pPr>
            <w:r w:rsidRPr="00F81153">
              <w:rPr>
                <w:rFonts w:ascii="Times New Roman" w:hAnsi="Times New Roman"/>
                <w:szCs w:val="24"/>
              </w:rPr>
              <w:t>- wprowadzenie przepisu</w:t>
            </w:r>
            <w:r w:rsidR="002D7467">
              <w:rPr>
                <w:rFonts w:ascii="Times New Roman" w:hAnsi="Times New Roman"/>
                <w:szCs w:val="24"/>
              </w:rPr>
              <w:t>,</w:t>
            </w:r>
            <w:r w:rsidRPr="00F81153">
              <w:rPr>
                <w:rFonts w:ascii="Times New Roman" w:hAnsi="Times New Roman"/>
                <w:szCs w:val="24"/>
              </w:rPr>
              <w:t xml:space="preserve"> zgodnie z którym, w przypadku gdy wnioskodawca przedstawi istotne dowody na zaistnienie dodatkowych faktów, które powodują podwyższenie kar dla innych przedsiębiorców, organ nie uwzględnia tych dodatkowych faktów podczas ustalania kary dla wnioskodawcy, który przedstawił te istotne dowody</w:t>
            </w:r>
            <w:r w:rsidR="002D7467">
              <w:rPr>
                <w:rFonts w:ascii="Times New Roman" w:hAnsi="Times New Roman"/>
                <w:szCs w:val="24"/>
              </w:rPr>
              <w:t>,</w:t>
            </w:r>
          </w:p>
          <w:p w14:paraId="2E09E308" w14:textId="1EBE1C39" w:rsidR="00F81153" w:rsidRPr="00F81153" w:rsidRDefault="00F81153" w:rsidP="0075630A">
            <w:pPr>
              <w:jc w:val="both"/>
              <w:rPr>
                <w:rFonts w:ascii="Times New Roman" w:hAnsi="Times New Roman"/>
                <w:szCs w:val="24"/>
              </w:rPr>
            </w:pPr>
            <w:r w:rsidRPr="00F81153">
              <w:rPr>
                <w:rFonts w:ascii="Times New Roman" w:hAnsi="Times New Roman"/>
                <w:szCs w:val="24"/>
              </w:rPr>
              <w:t xml:space="preserve">- wprowadzenie przepisu, który da wnioskodawcy możliwość żądania od organu informacji na piśmie co do decyzji </w:t>
            </w:r>
            <w:r w:rsidR="00693F9D">
              <w:rPr>
                <w:rFonts w:ascii="Times New Roman" w:hAnsi="Times New Roman"/>
                <w:szCs w:val="24"/>
              </w:rPr>
              <w:br/>
            </w:r>
            <w:r w:rsidRPr="00F81153">
              <w:rPr>
                <w:rFonts w:ascii="Times New Roman" w:hAnsi="Times New Roman"/>
                <w:szCs w:val="24"/>
              </w:rPr>
              <w:t>w sprawie jego wniosku</w:t>
            </w:r>
            <w:r w:rsidR="002D7467">
              <w:rPr>
                <w:rFonts w:ascii="Times New Roman" w:hAnsi="Times New Roman"/>
                <w:szCs w:val="24"/>
              </w:rPr>
              <w:t>,</w:t>
            </w:r>
          </w:p>
          <w:p w14:paraId="4C5782C5" w14:textId="7EFB25DE" w:rsidR="00F81153" w:rsidRPr="00F81153" w:rsidRDefault="00F81153" w:rsidP="0075630A">
            <w:pPr>
              <w:jc w:val="both"/>
              <w:rPr>
                <w:rFonts w:ascii="Times New Roman" w:hAnsi="Times New Roman"/>
                <w:szCs w:val="24"/>
              </w:rPr>
            </w:pPr>
            <w:r w:rsidRPr="00F81153">
              <w:rPr>
                <w:rFonts w:ascii="Times New Roman" w:hAnsi="Times New Roman"/>
                <w:szCs w:val="24"/>
              </w:rPr>
              <w:t xml:space="preserve">- w zakresie zaprzestania uczestnictwa w kartelu niezbędne jest wdrożenie </w:t>
            </w:r>
            <w:r w:rsidR="002D7467">
              <w:rPr>
                <w:rFonts w:ascii="Times New Roman" w:hAnsi="Times New Roman"/>
                <w:szCs w:val="24"/>
              </w:rPr>
              <w:t xml:space="preserve">przepisu Dyrektywy, </w:t>
            </w:r>
            <w:r w:rsidRPr="00F81153">
              <w:rPr>
                <w:rFonts w:ascii="Times New Roman" w:hAnsi="Times New Roman"/>
                <w:szCs w:val="24"/>
              </w:rPr>
              <w:t xml:space="preserve">który daje możliwość kontynuowania przez przedsiębiorcę udziału w porozumieniu, za zgodą organu ochrony konkurencji, jeżeli jest to </w:t>
            </w:r>
            <w:r w:rsidR="002D7467">
              <w:rPr>
                <w:rFonts w:ascii="Times New Roman" w:hAnsi="Times New Roman"/>
                <w:szCs w:val="24"/>
              </w:rPr>
              <w:br/>
            </w:r>
            <w:r w:rsidRPr="00F81153">
              <w:rPr>
                <w:rFonts w:ascii="Times New Roman" w:hAnsi="Times New Roman"/>
                <w:szCs w:val="24"/>
              </w:rPr>
              <w:t>w racjonalnym zakresie konieczne do zachowania skuteczności postępowania prowadzonego przez ten organ</w:t>
            </w:r>
            <w:r w:rsidR="00693F9D">
              <w:rPr>
                <w:rFonts w:ascii="Times New Roman" w:hAnsi="Times New Roman"/>
                <w:szCs w:val="24"/>
              </w:rPr>
              <w:t>,</w:t>
            </w:r>
          </w:p>
          <w:p w14:paraId="5440A9BD" w14:textId="2EC70CB3" w:rsidR="00F81153" w:rsidRPr="00F81153" w:rsidRDefault="00F81153" w:rsidP="0075630A">
            <w:pPr>
              <w:jc w:val="both"/>
              <w:rPr>
                <w:rFonts w:ascii="Times New Roman" w:hAnsi="Times New Roman"/>
                <w:szCs w:val="24"/>
              </w:rPr>
            </w:pPr>
            <w:r w:rsidRPr="00F81153">
              <w:rPr>
                <w:rFonts w:ascii="Times New Roman" w:hAnsi="Times New Roman"/>
                <w:szCs w:val="24"/>
              </w:rPr>
              <w:t>- doprecyzowanie obowiązków współpracy wnioskodawcy w zgodzie z postanowieniami Dyrektywy</w:t>
            </w:r>
            <w:r w:rsidR="00693F9D">
              <w:rPr>
                <w:rFonts w:ascii="Times New Roman" w:hAnsi="Times New Roman"/>
                <w:szCs w:val="24"/>
              </w:rPr>
              <w:t>,</w:t>
            </w:r>
            <w:r w:rsidRPr="00F81153">
              <w:rPr>
                <w:rFonts w:ascii="Times New Roman" w:hAnsi="Times New Roman"/>
                <w:szCs w:val="24"/>
              </w:rPr>
              <w:t xml:space="preserve"> w tym wprowadzenie do ustawy regulacji</w:t>
            </w:r>
            <w:r w:rsidR="00693F9D">
              <w:rPr>
                <w:rFonts w:ascii="Times New Roman" w:hAnsi="Times New Roman"/>
                <w:szCs w:val="24"/>
              </w:rPr>
              <w:t>,</w:t>
            </w:r>
            <w:r w:rsidRPr="00F81153">
              <w:rPr>
                <w:rFonts w:ascii="Times New Roman" w:hAnsi="Times New Roman"/>
                <w:szCs w:val="24"/>
              </w:rPr>
              <w:t xml:space="preserve"> wprost mówiącej o obowiązku wnioskodawcy do współpracy przed złożeniem wniosku, polegającej na zakazie niszczenia, fałszowania lub ukrywania dowodów na etapie rozważania przez przedsiębiorcę złożenie wniosku do organu</w:t>
            </w:r>
            <w:r w:rsidR="00693F9D">
              <w:rPr>
                <w:rFonts w:ascii="Times New Roman" w:hAnsi="Times New Roman"/>
                <w:szCs w:val="24"/>
              </w:rPr>
              <w:t>,</w:t>
            </w:r>
          </w:p>
          <w:p w14:paraId="4FBCA042" w14:textId="4D65DB67" w:rsidR="00F81153" w:rsidRPr="00F81153" w:rsidRDefault="00F81153" w:rsidP="0075630A">
            <w:pPr>
              <w:jc w:val="both"/>
              <w:rPr>
                <w:rFonts w:ascii="Times New Roman" w:hAnsi="Times New Roman"/>
                <w:szCs w:val="24"/>
              </w:rPr>
            </w:pPr>
            <w:r w:rsidRPr="00F81153">
              <w:rPr>
                <w:rFonts w:ascii="Times New Roman" w:hAnsi="Times New Roman"/>
                <w:szCs w:val="24"/>
              </w:rPr>
              <w:lastRenderedPageBreak/>
              <w:t xml:space="preserve">- wnioski skrócone – zmiana polegająca na tym, że marker przyznawany jest przez organ fakultatywnie </w:t>
            </w:r>
            <w:r w:rsidR="00693F9D">
              <w:rPr>
                <w:rFonts w:ascii="Times New Roman" w:hAnsi="Times New Roman"/>
                <w:szCs w:val="24"/>
              </w:rPr>
              <w:t xml:space="preserve">oraz dopisaniu, </w:t>
            </w:r>
            <w:r w:rsidRPr="00F81153">
              <w:rPr>
                <w:rFonts w:ascii="Times New Roman" w:hAnsi="Times New Roman"/>
                <w:szCs w:val="24"/>
              </w:rPr>
              <w:t xml:space="preserve">że wnioskodawca we wniosku skróconym oprócz informacji obecnie niezbędnych wskazuje również informacje na temat dotychczasowych lub ewentualnych przyszłych wniosków o złagodzenie kary złożonych do innych krajowych organów ochrony konkurencji lub organów ochrony konkurencji państw trzecich w związku z domniemanym tajnym kartelem; </w:t>
            </w:r>
          </w:p>
          <w:p w14:paraId="125CF3B3" w14:textId="430CE848" w:rsidR="00F81153" w:rsidRPr="00F81153" w:rsidRDefault="00F81153" w:rsidP="0075630A">
            <w:pPr>
              <w:jc w:val="both"/>
              <w:rPr>
                <w:rFonts w:ascii="Times New Roman" w:hAnsi="Times New Roman"/>
                <w:szCs w:val="24"/>
              </w:rPr>
            </w:pPr>
            <w:r w:rsidRPr="00F81153">
              <w:rPr>
                <w:rFonts w:ascii="Times New Roman" w:hAnsi="Times New Roman"/>
                <w:szCs w:val="24"/>
              </w:rPr>
              <w:t>- wprowadzenie przepisu</w:t>
            </w:r>
            <w:r w:rsidR="00856371">
              <w:rPr>
                <w:rFonts w:ascii="Times New Roman" w:hAnsi="Times New Roman"/>
                <w:szCs w:val="24"/>
              </w:rPr>
              <w:t xml:space="preserve">, </w:t>
            </w:r>
            <w:r w:rsidRPr="00F81153">
              <w:rPr>
                <w:rFonts w:ascii="Times New Roman" w:hAnsi="Times New Roman"/>
                <w:szCs w:val="24"/>
              </w:rPr>
              <w:t xml:space="preserve">stanowiącego o tym, że wnioskodawcy mają możliwość przedkładania oświadczeń w ramach programu łagodzenia kar dotyczących pełnych wniosków, wniosków w formie uproszczonej oraz skróconej w języku urzędowym lub w jednym z języków urzędowych państwa członkowskiego krajowego organu ochrony konkurencji, jak również w innym języku urzędowym UE, ustalonym dwustronnie między krajowym organem ochrony konkurencji </w:t>
            </w:r>
            <w:r w:rsidR="00856371">
              <w:rPr>
                <w:rFonts w:ascii="Times New Roman" w:hAnsi="Times New Roman"/>
                <w:szCs w:val="24"/>
              </w:rPr>
              <w:br/>
            </w:r>
            <w:r w:rsidRPr="00F81153">
              <w:rPr>
                <w:rFonts w:ascii="Times New Roman" w:hAnsi="Times New Roman"/>
                <w:szCs w:val="24"/>
              </w:rPr>
              <w:t>a wnioskodawcą</w:t>
            </w:r>
            <w:r w:rsidR="001050F0">
              <w:rPr>
                <w:rFonts w:ascii="Times New Roman" w:hAnsi="Times New Roman"/>
                <w:szCs w:val="24"/>
              </w:rPr>
              <w:t xml:space="preserve"> </w:t>
            </w:r>
            <w:r w:rsidR="001050F0" w:rsidRPr="001050F0">
              <w:rPr>
                <w:rFonts w:ascii="Times New Roman" w:hAnsi="Times New Roman"/>
                <w:szCs w:val="24"/>
              </w:rPr>
              <w:t xml:space="preserve">(zmiana ta zostanie wprowadzona w nowym rozporządzeniu Rady Ministrów w sprawie szczegółowego sposobu i trybu postępowania z wnioskiem złożonym w ramach programu </w:t>
            </w:r>
            <w:proofErr w:type="spellStart"/>
            <w:r w:rsidR="001050F0" w:rsidRPr="0013409D">
              <w:rPr>
                <w:rFonts w:ascii="Times New Roman" w:hAnsi="Times New Roman"/>
                <w:i/>
                <w:szCs w:val="24"/>
              </w:rPr>
              <w:t>leniency</w:t>
            </w:r>
            <w:proofErr w:type="spellEnd"/>
            <w:r w:rsidR="001050F0" w:rsidRPr="001050F0">
              <w:rPr>
                <w:rFonts w:ascii="Times New Roman" w:hAnsi="Times New Roman"/>
                <w:szCs w:val="24"/>
              </w:rPr>
              <w:t>, które wydane zostanie na podstawie art. 113k Ustawy)</w:t>
            </w:r>
            <w:r w:rsidRPr="00F81153">
              <w:rPr>
                <w:rFonts w:ascii="Times New Roman" w:hAnsi="Times New Roman"/>
                <w:szCs w:val="24"/>
              </w:rPr>
              <w:t>;</w:t>
            </w:r>
          </w:p>
          <w:p w14:paraId="12FDC6D6" w14:textId="5FB75BAF" w:rsidR="00F81153" w:rsidRPr="00F81153" w:rsidRDefault="00F81153" w:rsidP="0075630A">
            <w:pPr>
              <w:jc w:val="both"/>
              <w:rPr>
                <w:rFonts w:ascii="Times New Roman" w:hAnsi="Times New Roman"/>
                <w:szCs w:val="24"/>
              </w:rPr>
            </w:pPr>
            <w:r w:rsidRPr="00F81153">
              <w:rPr>
                <w:rFonts w:ascii="Times New Roman" w:hAnsi="Times New Roman"/>
                <w:szCs w:val="24"/>
              </w:rPr>
              <w:t xml:space="preserve">- w zakresie wniosków uproszczonych niezbędna jest zmiana </w:t>
            </w:r>
            <w:proofErr w:type="spellStart"/>
            <w:r w:rsidR="00856371">
              <w:rPr>
                <w:rFonts w:ascii="Times New Roman" w:hAnsi="Times New Roman"/>
                <w:szCs w:val="24"/>
              </w:rPr>
              <w:t>u.o.k.k</w:t>
            </w:r>
            <w:proofErr w:type="spellEnd"/>
            <w:r w:rsidR="00856371">
              <w:rPr>
                <w:rFonts w:ascii="Times New Roman" w:hAnsi="Times New Roman"/>
                <w:szCs w:val="24"/>
              </w:rPr>
              <w:t>.</w:t>
            </w:r>
            <w:r w:rsidRPr="00F81153">
              <w:rPr>
                <w:rFonts w:ascii="Times New Roman" w:hAnsi="Times New Roman"/>
                <w:szCs w:val="24"/>
              </w:rPr>
              <w:t xml:space="preserve"> w zakresie informacji</w:t>
            </w:r>
            <w:r w:rsidR="00856371">
              <w:rPr>
                <w:rFonts w:ascii="Times New Roman" w:hAnsi="Times New Roman"/>
                <w:szCs w:val="24"/>
              </w:rPr>
              <w:t>,</w:t>
            </w:r>
            <w:r w:rsidRPr="00F81153">
              <w:rPr>
                <w:rFonts w:ascii="Times New Roman" w:hAnsi="Times New Roman"/>
                <w:szCs w:val="24"/>
              </w:rPr>
              <w:t xml:space="preserve"> jakie muszą być zawarte we wniosku tak aby przepis odzwierciedlał wymogi zawarte w Dyrektyw</w:t>
            </w:r>
            <w:r w:rsidR="00856371">
              <w:rPr>
                <w:rFonts w:ascii="Times New Roman" w:hAnsi="Times New Roman"/>
                <w:szCs w:val="24"/>
              </w:rPr>
              <w:t>ie</w:t>
            </w:r>
            <w:r w:rsidRPr="00F81153">
              <w:rPr>
                <w:rFonts w:ascii="Times New Roman" w:hAnsi="Times New Roman"/>
                <w:szCs w:val="24"/>
              </w:rPr>
              <w:t xml:space="preserve">; </w:t>
            </w:r>
          </w:p>
          <w:p w14:paraId="058B70BB" w14:textId="75E7217D" w:rsidR="00024476" w:rsidRDefault="00F81153" w:rsidP="0075630A">
            <w:pPr>
              <w:jc w:val="both"/>
              <w:rPr>
                <w:rFonts w:ascii="Times New Roman" w:hAnsi="Times New Roman"/>
                <w:szCs w:val="24"/>
              </w:rPr>
            </w:pPr>
            <w:r w:rsidRPr="00F81153">
              <w:rPr>
                <w:rFonts w:ascii="Times New Roman" w:hAnsi="Times New Roman"/>
                <w:szCs w:val="24"/>
              </w:rPr>
              <w:t>- w zakresie komunikacji między organem ochrony konkurencji i Komisją Europejską przy rozpatrywaniu wniosków uproszczonych niezbędne jest wprowadzenie regulacji</w:t>
            </w:r>
            <w:r w:rsidR="00856371">
              <w:rPr>
                <w:rFonts w:ascii="Times New Roman" w:hAnsi="Times New Roman"/>
                <w:szCs w:val="24"/>
              </w:rPr>
              <w:t>,</w:t>
            </w:r>
            <w:r w:rsidRPr="00F81153">
              <w:rPr>
                <w:rFonts w:ascii="Times New Roman" w:hAnsi="Times New Roman"/>
                <w:szCs w:val="24"/>
              </w:rPr>
              <w:t xml:space="preserve"> mówiącej o tym, że tylko w wyjątkowych okolicznościach, gdy jest to nieodzowne do celów rozgraniczenia zakresu sprawy lub przydzielenia sprawy, krajowy organ ochrony konkurencji może zwrócić się do wnioskodawcy o przedłożenie pełnego wniosku, zanim Komisja poinformuje odnośne krajowe organy ochrony konkurencji, że nie zamierza kontynuować rozpatrywania sprawy w całości ani częściowo</w:t>
            </w:r>
            <w:r w:rsidR="00856371">
              <w:rPr>
                <w:rFonts w:ascii="Times New Roman" w:hAnsi="Times New Roman"/>
                <w:szCs w:val="24"/>
              </w:rPr>
              <w:t>.</w:t>
            </w:r>
            <w:r w:rsidR="00632A9A">
              <w:rPr>
                <w:rFonts w:ascii="Times New Roman" w:hAnsi="Times New Roman"/>
                <w:szCs w:val="24"/>
              </w:rPr>
              <w:t xml:space="preserve"> </w:t>
            </w:r>
          </w:p>
          <w:p w14:paraId="7C4F5E4D" w14:textId="5994541B" w:rsidR="000F7DBC" w:rsidRDefault="000F7DBC" w:rsidP="000F7DBC">
            <w:pPr>
              <w:pStyle w:val="mcntmsonormal1"/>
              <w:spacing w:line="276" w:lineRule="auto"/>
              <w:ind w:firstLine="743"/>
              <w:jc w:val="both"/>
              <w:rPr>
                <w:sz w:val="22"/>
                <w:szCs w:val="22"/>
              </w:rPr>
            </w:pPr>
            <w:r>
              <w:rPr>
                <w:sz w:val="22"/>
                <w:szCs w:val="22"/>
              </w:rPr>
              <w:t>Ponadto w</w:t>
            </w:r>
            <w:r w:rsidRPr="003D551E">
              <w:rPr>
                <w:sz w:val="22"/>
                <w:szCs w:val="22"/>
              </w:rPr>
              <w:t xml:space="preserve"> celu stworzenia zachęt dla przedsiębiorców do składania wniosków do organu antymonopolowego zasadne jest wyłączenie karalności przy stosowaniu art. 305 </w:t>
            </w:r>
            <w:r w:rsidR="00AB4202">
              <w:rPr>
                <w:sz w:val="22"/>
                <w:szCs w:val="22"/>
              </w:rPr>
              <w:t>KK</w:t>
            </w:r>
            <w:r w:rsidRPr="003D551E">
              <w:rPr>
                <w:sz w:val="22"/>
                <w:szCs w:val="22"/>
              </w:rPr>
              <w:t xml:space="preserve"> dla skutecznych wnioskodawców </w:t>
            </w:r>
            <w:proofErr w:type="spellStart"/>
            <w:r w:rsidRPr="004869E1">
              <w:rPr>
                <w:i/>
                <w:sz w:val="22"/>
                <w:szCs w:val="22"/>
              </w:rPr>
              <w:t>leniency</w:t>
            </w:r>
            <w:proofErr w:type="spellEnd"/>
            <w:r w:rsidRPr="003D551E">
              <w:rPr>
                <w:sz w:val="22"/>
                <w:szCs w:val="22"/>
              </w:rPr>
              <w:t xml:space="preserve"> (tzn. spełniających przesłanki odstąpienia od nałożenia kary pieniężnej albo przesłanki do obniżenia kary). Odpowiednie unormowania mogą zostać wprowadzone na wzór instytucji funkcjonującej powszechnie pod nazwą „małego świadka koronnego”</w:t>
            </w:r>
            <w:r>
              <w:rPr>
                <w:sz w:val="22"/>
                <w:szCs w:val="22"/>
              </w:rPr>
              <w:t>,</w:t>
            </w:r>
            <w:r w:rsidRPr="003D551E">
              <w:rPr>
                <w:sz w:val="22"/>
                <w:szCs w:val="22"/>
              </w:rPr>
              <w:t xml:space="preserve"> przewidującej zastosowanie nadzwyczajnego złagodzenia kary bądź jej warunkowe zawieszenie w stosunku do sprawcy współdziałającego z innymi osobami w popełnieniu przestępstwa, jeżeli ujawni on wobec organu powołanego do ścigania przestępstw informacje dotyczące osób uczestniczących w popełnieniu przestępstwa oraz istotne okoliczności jego popełnienia (</w:t>
            </w:r>
            <w:r>
              <w:rPr>
                <w:sz w:val="22"/>
                <w:szCs w:val="22"/>
              </w:rPr>
              <w:t xml:space="preserve">por. </w:t>
            </w:r>
            <w:r w:rsidRPr="003D551E">
              <w:rPr>
                <w:sz w:val="22"/>
                <w:szCs w:val="22"/>
              </w:rPr>
              <w:t>art. 60 § 3</w:t>
            </w:r>
            <w:r w:rsidR="00AB4202">
              <w:rPr>
                <w:i/>
                <w:sz w:val="22"/>
                <w:szCs w:val="22"/>
              </w:rPr>
              <w:t xml:space="preserve"> </w:t>
            </w:r>
            <w:r w:rsidR="00AB4202">
              <w:rPr>
                <w:sz w:val="22"/>
                <w:szCs w:val="22"/>
              </w:rPr>
              <w:t>KK</w:t>
            </w:r>
            <w:r w:rsidRPr="003D551E">
              <w:rPr>
                <w:sz w:val="22"/>
                <w:szCs w:val="22"/>
              </w:rPr>
              <w:t xml:space="preserve">). </w:t>
            </w:r>
            <w:r w:rsidR="00246360" w:rsidRPr="00246360">
              <w:rPr>
                <w:sz w:val="22"/>
                <w:szCs w:val="22"/>
              </w:rPr>
              <w:t xml:space="preserve">Takie rozwiązanie będzie stanowić implementację art. 23 Dyrektywy, w szczególności  ust. 2 przewidującego, że państwa członkowskie zapewniają, aby obecni i byli dyrektorzy, obecna i była kadra zarządzająca oraz obecni i byli inni pracownicy wnioskodawców ubiegających się w organach ochrony konkurencji o zwolnienie z kar byli w pełni chronieni przed sankcjami nakładanymi w postępowaniu karnym, w związku z udziałem tych osób </w:t>
            </w:r>
            <w:r w:rsidR="00027777">
              <w:rPr>
                <w:sz w:val="22"/>
                <w:szCs w:val="22"/>
              </w:rPr>
              <w:br/>
            </w:r>
            <w:r w:rsidR="00246360" w:rsidRPr="00246360">
              <w:rPr>
                <w:sz w:val="22"/>
                <w:szCs w:val="22"/>
              </w:rPr>
              <w:t>w tajnym kartelu, którego dotyczy wniosek o zwolnienie z kar za naruszenie przepisów krajowych, których cele są zasadniczo identyczne z celami art. 101 TFUE</w:t>
            </w:r>
            <w:r w:rsidR="00246360">
              <w:rPr>
                <w:sz w:val="22"/>
                <w:szCs w:val="22"/>
              </w:rPr>
              <w:t>,</w:t>
            </w:r>
            <w:r w:rsidRPr="003D551E">
              <w:rPr>
                <w:sz w:val="22"/>
                <w:szCs w:val="22"/>
              </w:rPr>
              <w:t xml:space="preserve"> jeżeli spełniają oni określone warunki i aktywnie współpracują z właściwym organem ścigania. Dyrektywa stanowi również, że aby zapewnić zgodność z obowiązującymi podstawowymi zasadami własnych systemów prawnych</w:t>
            </w:r>
            <w:r>
              <w:rPr>
                <w:sz w:val="22"/>
                <w:szCs w:val="22"/>
              </w:rPr>
              <w:t>,</w:t>
            </w:r>
            <w:r w:rsidRPr="003D551E">
              <w:rPr>
                <w:sz w:val="22"/>
                <w:szCs w:val="22"/>
              </w:rPr>
              <w:t xml:space="preserve"> państwa członkowskie mogą przewidzieć, że właściwe organy dysponują swobodą nienakładania sankcji lub jedynie złagodzenia sankcji, które mają zostać nałożone w postępowaniu karnym, w zakresie, </w:t>
            </w:r>
            <w:r w:rsidR="00027777">
              <w:rPr>
                <w:sz w:val="22"/>
                <w:szCs w:val="22"/>
              </w:rPr>
              <w:br/>
            </w:r>
            <w:r w:rsidRPr="003D551E">
              <w:rPr>
                <w:sz w:val="22"/>
                <w:szCs w:val="22"/>
              </w:rPr>
              <w:t>w jakim rola poszczególnych osób</w:t>
            </w:r>
            <w:r>
              <w:rPr>
                <w:sz w:val="22"/>
                <w:szCs w:val="22"/>
              </w:rPr>
              <w:t xml:space="preserve"> </w:t>
            </w:r>
            <w:r w:rsidRPr="003D551E">
              <w:rPr>
                <w:sz w:val="22"/>
                <w:szCs w:val="22"/>
              </w:rPr>
              <w:t>(obecni i byli dyrektorzy, obecna i była kadra zarządzająca oraz obecni i byli inni pracownicy wnioskodawców ubiegających się w organach ochrony konkurencji o zwolnienie z kar), w wykrywaniu tajnego kartelu i odnośnym postępowaniu jest większa niż korzyść ze ścigania tych osób lub wymierzenia im kary.</w:t>
            </w:r>
          </w:p>
          <w:p w14:paraId="0BE1AF81" w14:textId="77777777" w:rsidR="000F7DBC" w:rsidRPr="003D551E" w:rsidRDefault="000F7DBC" w:rsidP="000F7DBC">
            <w:pPr>
              <w:pStyle w:val="mcntmsonormal1"/>
              <w:spacing w:line="276" w:lineRule="auto"/>
              <w:ind w:firstLine="743"/>
              <w:jc w:val="both"/>
              <w:rPr>
                <w:sz w:val="22"/>
                <w:szCs w:val="22"/>
              </w:rPr>
            </w:pPr>
            <w:r w:rsidRPr="003D551E">
              <w:rPr>
                <w:sz w:val="22"/>
                <w:szCs w:val="22"/>
              </w:rPr>
              <w:t>Dyrektywa wskazuje na następujące warunki, jakie muszą być spełnione, aby osoba fizyczna została objęta ochroną przed sankcjami:</w:t>
            </w:r>
          </w:p>
          <w:p w14:paraId="6C16A155" w14:textId="77777777" w:rsidR="000F7DBC" w:rsidRPr="009A050C" w:rsidRDefault="000F7DBC" w:rsidP="000F7DBC">
            <w:pPr>
              <w:pStyle w:val="Akapitzlist"/>
              <w:numPr>
                <w:ilvl w:val="0"/>
                <w:numId w:val="20"/>
              </w:numPr>
              <w:jc w:val="both"/>
              <w:rPr>
                <w:rFonts w:ascii="Times New Roman" w:hAnsi="Times New Roman"/>
              </w:rPr>
            </w:pPr>
            <w:r w:rsidRPr="009A050C">
              <w:rPr>
                <w:rFonts w:ascii="Times New Roman" w:hAnsi="Times New Roman"/>
              </w:rPr>
              <w:t>wniosek o zwolnienie z kar musi spełniać wymogi co do treści, przewidziane w Dyrektywie (ujawnienie przez wnioskodawcę informacji o swoim udziale w tajnym kartelu, przedstawienie jako pierwszy z wnioskodawców dowodów, które nie były w posiadaniu organu antymonopolowemu, a które umożliwiają organowi przeprowadzenie kontroli lub przeszukania w związku z tajnym kartelem lub są wystarczające do stwierdzenia naruszenia objętego programem łagodzenia kar),</w:t>
            </w:r>
          </w:p>
          <w:p w14:paraId="3B381FEF" w14:textId="77777777" w:rsidR="000F7DBC" w:rsidRPr="009A050C" w:rsidRDefault="000F7DBC" w:rsidP="000F7DBC">
            <w:pPr>
              <w:pStyle w:val="Akapitzlist"/>
              <w:numPr>
                <w:ilvl w:val="0"/>
                <w:numId w:val="20"/>
              </w:numPr>
              <w:jc w:val="both"/>
              <w:rPr>
                <w:rFonts w:ascii="Times New Roman" w:hAnsi="Times New Roman"/>
              </w:rPr>
            </w:pPr>
            <w:r w:rsidRPr="009A050C">
              <w:rPr>
                <w:rFonts w:ascii="Times New Roman" w:hAnsi="Times New Roman"/>
              </w:rPr>
              <w:t>podmioty objęte ochroną muszą aktywnie współpracować z organem ochrony konkurencji prowadzącym sprawę (w przypadku ochrony przed sankcjami administracyjnymi lub nakładanymi w postępowaniu sądowym innym niż karne) albo z organami ścigania (w przypadku ochrony przed sankcjami karnymi),</w:t>
            </w:r>
          </w:p>
          <w:p w14:paraId="732DD695" w14:textId="39DA1D91" w:rsidR="000F7DBC" w:rsidRPr="009A050C" w:rsidRDefault="000F7DBC" w:rsidP="000F7DBC">
            <w:pPr>
              <w:pStyle w:val="Akapitzlist"/>
              <w:numPr>
                <w:ilvl w:val="0"/>
                <w:numId w:val="20"/>
              </w:numPr>
              <w:jc w:val="both"/>
              <w:rPr>
                <w:rFonts w:ascii="Times New Roman" w:hAnsi="Times New Roman"/>
              </w:rPr>
            </w:pPr>
            <w:r w:rsidRPr="009A050C">
              <w:rPr>
                <w:rFonts w:ascii="Times New Roman" w:hAnsi="Times New Roman"/>
              </w:rPr>
              <w:t xml:space="preserve">wniosek o zwolnienie z kar musi zostać złożony przed poinformowaniem osób fizycznych o postępowaniu prowadzącym do nałożenia kar. </w:t>
            </w:r>
          </w:p>
          <w:p w14:paraId="408E0C43" w14:textId="77777777" w:rsidR="000F7DBC" w:rsidRDefault="000F7DBC" w:rsidP="000F7DBC">
            <w:pPr>
              <w:jc w:val="both"/>
              <w:rPr>
                <w:rFonts w:ascii="Times New Roman" w:hAnsi="Times New Roman"/>
              </w:rPr>
            </w:pPr>
            <w:r w:rsidRPr="003D551E">
              <w:rPr>
                <w:rFonts w:ascii="Times New Roman" w:hAnsi="Times New Roman"/>
              </w:rPr>
              <w:t xml:space="preserve">Na gruncie polskich przepisów, </w:t>
            </w:r>
            <w:proofErr w:type="spellStart"/>
            <w:r>
              <w:rPr>
                <w:rFonts w:ascii="Times New Roman" w:hAnsi="Times New Roman"/>
              </w:rPr>
              <w:t>u.o.k.k</w:t>
            </w:r>
            <w:proofErr w:type="spellEnd"/>
            <w:r>
              <w:rPr>
                <w:rFonts w:ascii="Times New Roman" w:hAnsi="Times New Roman"/>
              </w:rPr>
              <w:t xml:space="preserve">. </w:t>
            </w:r>
            <w:r w:rsidRPr="003D551E">
              <w:rPr>
                <w:rFonts w:ascii="Times New Roman" w:hAnsi="Times New Roman"/>
              </w:rPr>
              <w:t xml:space="preserve">wprowadza zasadę, że wniosek </w:t>
            </w:r>
            <w:proofErr w:type="spellStart"/>
            <w:r w:rsidRPr="00986B2F">
              <w:rPr>
                <w:rFonts w:ascii="Times New Roman" w:hAnsi="Times New Roman"/>
                <w:i/>
              </w:rPr>
              <w:t>leniency</w:t>
            </w:r>
            <w:proofErr w:type="spellEnd"/>
            <w:r>
              <w:rPr>
                <w:rFonts w:ascii="Times New Roman" w:hAnsi="Times New Roman"/>
              </w:rPr>
              <w:t xml:space="preserve">, </w:t>
            </w:r>
            <w:r w:rsidRPr="003D551E">
              <w:rPr>
                <w:rFonts w:ascii="Times New Roman" w:hAnsi="Times New Roman"/>
              </w:rPr>
              <w:t xml:space="preserve">złożony przez przedsiębiorcę, obejmuje także osoby zarządzające tego przedsiębiorcy. Oznacza to, że osoby takie są objęte ochroną przed karami nakładanymi </w:t>
            </w:r>
            <w:r w:rsidRPr="003D551E">
              <w:rPr>
                <w:rFonts w:ascii="Times New Roman" w:hAnsi="Times New Roman"/>
              </w:rPr>
              <w:lastRenderedPageBreak/>
              <w:t>w postępowaniu przed Prezesem UOKiK, w związku ze stwierdzonym w decyzji umyślnym dopuszczeniem przez nie do naruszenia przez przedsiębiorcę określonych zakazów.</w:t>
            </w:r>
          </w:p>
          <w:p w14:paraId="2479432E" w14:textId="7FAD0C21" w:rsidR="000F7DBC" w:rsidRPr="003D551E" w:rsidRDefault="000F7DBC" w:rsidP="000F7DBC">
            <w:pPr>
              <w:ind w:firstLine="741"/>
              <w:jc w:val="both"/>
              <w:rPr>
                <w:rFonts w:ascii="Times New Roman" w:hAnsi="Times New Roman"/>
              </w:rPr>
            </w:pPr>
            <w:r>
              <w:rPr>
                <w:rFonts w:ascii="Times New Roman" w:hAnsi="Times New Roman"/>
              </w:rPr>
              <w:t>D</w:t>
            </w:r>
            <w:r w:rsidRPr="003D551E">
              <w:rPr>
                <w:rFonts w:ascii="Times New Roman" w:hAnsi="Times New Roman"/>
              </w:rPr>
              <w:t>yrektyw</w:t>
            </w:r>
            <w:r>
              <w:rPr>
                <w:rFonts w:ascii="Times New Roman" w:hAnsi="Times New Roman"/>
              </w:rPr>
              <w:t>a</w:t>
            </w:r>
            <w:r w:rsidRPr="003D551E">
              <w:rPr>
                <w:rFonts w:ascii="Times New Roman" w:hAnsi="Times New Roman"/>
              </w:rPr>
              <w:t xml:space="preserve"> wymaga natomiast wdrożenia w kontekście objęcia ochroną przed sankcjami o charakterze administracyjnym nakładanymi na podstawie </w:t>
            </w:r>
            <w:proofErr w:type="spellStart"/>
            <w:r>
              <w:rPr>
                <w:rFonts w:ascii="Times New Roman" w:hAnsi="Times New Roman"/>
              </w:rPr>
              <w:t>u.o.k.k</w:t>
            </w:r>
            <w:proofErr w:type="spellEnd"/>
            <w:r>
              <w:rPr>
                <w:rFonts w:ascii="Times New Roman" w:hAnsi="Times New Roman"/>
              </w:rPr>
              <w:t xml:space="preserve">. </w:t>
            </w:r>
            <w:r w:rsidRPr="003D551E">
              <w:rPr>
                <w:rFonts w:ascii="Times New Roman" w:hAnsi="Times New Roman"/>
              </w:rPr>
              <w:t xml:space="preserve">na osoby zarządzające za dopuszczenie przez nie zakazów, o których mowa w </w:t>
            </w:r>
            <w:proofErr w:type="spellStart"/>
            <w:r>
              <w:rPr>
                <w:rFonts w:ascii="Times New Roman" w:hAnsi="Times New Roman"/>
              </w:rPr>
              <w:t>u.o.k.k</w:t>
            </w:r>
            <w:proofErr w:type="spellEnd"/>
            <w:r>
              <w:rPr>
                <w:rFonts w:ascii="Times New Roman" w:hAnsi="Times New Roman"/>
              </w:rPr>
              <w:t>.</w:t>
            </w:r>
            <w:r w:rsidRPr="003D551E">
              <w:rPr>
                <w:rFonts w:ascii="Times New Roman" w:hAnsi="Times New Roman"/>
              </w:rPr>
              <w:t xml:space="preserve"> lub art. 101 TFUE, w przypadku gdy tajny kartel ma charakter transgraniczny, a uczestnik kartelu złożył wniosek w sprawie zwolnienia z kar w innym państwie członkowskim UE. W sytuacji, kiedy naruszenie ww. zakazów dotyczy rynku geograficznego wykraczającego poza terytorium RP  (i, co się z tym wiąże, również inny organ antymonopolowy państwa członkowskiego UE jest właściwy do zajęcia się sprawą), konieczne z punktu widzenia prawidłowej implementacji </w:t>
            </w:r>
            <w:r>
              <w:rPr>
                <w:rFonts w:ascii="Times New Roman" w:hAnsi="Times New Roman"/>
              </w:rPr>
              <w:t>D</w:t>
            </w:r>
            <w:r w:rsidRPr="003D551E">
              <w:rPr>
                <w:rFonts w:ascii="Times New Roman" w:hAnsi="Times New Roman"/>
              </w:rPr>
              <w:t xml:space="preserve">yrektywy jest przyjęcie regulacji chroniącej osoby fizyczne przed ww. sankcjami nakładanymi przez Prezesa UOKiK, jeżeli przedsiębiorca na rzecz którego działała dana osoba fizyczna, złoży wniosek o zwolnienie z kary do innego właściwego organu antymonopolowego państwa członkowskiego UE. W tym celu niezbędne jest dodanie </w:t>
            </w:r>
            <w:r>
              <w:rPr>
                <w:rFonts w:ascii="Times New Roman" w:hAnsi="Times New Roman"/>
              </w:rPr>
              <w:br/>
              <w:t xml:space="preserve">w </w:t>
            </w:r>
            <w:proofErr w:type="spellStart"/>
            <w:r>
              <w:rPr>
                <w:rFonts w:ascii="Times New Roman" w:hAnsi="Times New Roman"/>
              </w:rPr>
              <w:t>u.o.k.k</w:t>
            </w:r>
            <w:proofErr w:type="spellEnd"/>
            <w:r>
              <w:rPr>
                <w:rFonts w:ascii="Times New Roman" w:hAnsi="Times New Roman"/>
              </w:rPr>
              <w:t xml:space="preserve">. przepisu </w:t>
            </w:r>
            <w:r w:rsidRPr="003D551E">
              <w:rPr>
                <w:rFonts w:ascii="Times New Roman" w:hAnsi="Times New Roman"/>
              </w:rPr>
              <w:t>przewidującego wyłączenie karalności osób fizycznych (które, przy braku takiego przepisu, mogłyby zostać pociągnięte do odpowiedzialności na podstawie polskich przepisów jako osoby zarządzające) we wskazanej wyżej sytuacji.</w:t>
            </w:r>
          </w:p>
          <w:p w14:paraId="5B12F135" w14:textId="751B4027" w:rsidR="000F7DBC" w:rsidRPr="003D551E" w:rsidRDefault="000F7DBC" w:rsidP="000F7DBC">
            <w:pPr>
              <w:ind w:firstLine="741"/>
              <w:jc w:val="both"/>
              <w:rPr>
                <w:rFonts w:ascii="Times New Roman" w:hAnsi="Times New Roman"/>
              </w:rPr>
            </w:pPr>
            <w:r w:rsidRPr="003D551E">
              <w:rPr>
                <w:rFonts w:ascii="Times New Roman" w:hAnsi="Times New Roman"/>
              </w:rPr>
              <w:t xml:space="preserve">W odniesieniu do ochrony przed sankcjami karnymi, transpozycja </w:t>
            </w:r>
            <w:r>
              <w:rPr>
                <w:rFonts w:ascii="Times New Roman" w:hAnsi="Times New Roman"/>
              </w:rPr>
              <w:t>Dyrektywy</w:t>
            </w:r>
            <w:r w:rsidRPr="003D551E">
              <w:rPr>
                <w:rFonts w:ascii="Times New Roman" w:hAnsi="Times New Roman"/>
              </w:rPr>
              <w:t xml:space="preserve"> powinna w polskich przepisach objąć ochronę przed odpowiedzialnością karną w związku z popełnieniem przestępstwa</w:t>
            </w:r>
            <w:r>
              <w:rPr>
                <w:rFonts w:ascii="Times New Roman" w:hAnsi="Times New Roman"/>
              </w:rPr>
              <w:t>,</w:t>
            </w:r>
            <w:r w:rsidRPr="003D551E">
              <w:rPr>
                <w:rFonts w:ascii="Times New Roman" w:hAnsi="Times New Roman"/>
              </w:rPr>
              <w:t xml:space="preserve"> wskazanego w art. 305</w:t>
            </w:r>
            <w:r w:rsidR="00AB4202">
              <w:rPr>
                <w:rFonts w:ascii="Times New Roman" w:hAnsi="Times New Roman"/>
                <w:i/>
              </w:rPr>
              <w:t xml:space="preserve"> </w:t>
            </w:r>
            <w:r w:rsidR="00AB4202">
              <w:rPr>
                <w:rFonts w:ascii="Times New Roman" w:hAnsi="Times New Roman"/>
              </w:rPr>
              <w:t>KK</w:t>
            </w:r>
            <w:r w:rsidRPr="003D551E">
              <w:rPr>
                <w:rFonts w:ascii="Times New Roman" w:hAnsi="Times New Roman"/>
              </w:rPr>
              <w:t xml:space="preserve">, </w:t>
            </w:r>
            <w:r w:rsidR="00AB4202">
              <w:rPr>
                <w:rFonts w:ascii="Times New Roman" w:hAnsi="Times New Roman"/>
              </w:rPr>
              <w:br/>
            </w:r>
            <w:r w:rsidRPr="003D551E">
              <w:rPr>
                <w:rFonts w:ascii="Times New Roman" w:hAnsi="Times New Roman"/>
              </w:rPr>
              <w:t xml:space="preserve">w zakresie w jakim znamiona tego przestępstwa pokrywają się z niedozwoloną praktyką ograniczającą konkurencję wskazaną w </w:t>
            </w:r>
            <w:proofErr w:type="spellStart"/>
            <w:r>
              <w:rPr>
                <w:rFonts w:ascii="Times New Roman" w:hAnsi="Times New Roman"/>
              </w:rPr>
              <w:t>u.o.k.k</w:t>
            </w:r>
            <w:proofErr w:type="spellEnd"/>
            <w:r>
              <w:rPr>
                <w:rFonts w:ascii="Times New Roman" w:hAnsi="Times New Roman"/>
              </w:rPr>
              <w:t>.</w:t>
            </w:r>
            <w:r w:rsidRPr="003D551E">
              <w:rPr>
                <w:rFonts w:ascii="Times New Roman" w:hAnsi="Times New Roman"/>
              </w:rPr>
              <w:t xml:space="preserve"> lub stanowią naruszenie art. 101 TFUE (zmowa przetargowa). Dlatego konieczna jest nowelizacja </w:t>
            </w:r>
            <w:r w:rsidR="002F43AA">
              <w:rPr>
                <w:rFonts w:ascii="Times New Roman" w:hAnsi="Times New Roman"/>
              </w:rPr>
              <w:t xml:space="preserve">KK </w:t>
            </w:r>
            <w:r w:rsidRPr="003D551E">
              <w:rPr>
                <w:rFonts w:ascii="Times New Roman" w:hAnsi="Times New Roman"/>
              </w:rPr>
              <w:t>poprzez dodanie przepisu wyłączającego karalność osoby fizycznej, która była sprawcą przestępstwa, o którym mowa w art. 305</w:t>
            </w:r>
            <w:r w:rsidR="002F43AA">
              <w:rPr>
                <w:rFonts w:ascii="Times New Roman" w:hAnsi="Times New Roman"/>
                <w:i/>
              </w:rPr>
              <w:t xml:space="preserve"> </w:t>
            </w:r>
            <w:r w:rsidR="002F43AA">
              <w:rPr>
                <w:rFonts w:ascii="Times New Roman" w:hAnsi="Times New Roman"/>
              </w:rPr>
              <w:t>KK</w:t>
            </w:r>
            <w:r w:rsidRPr="003D551E">
              <w:rPr>
                <w:rFonts w:ascii="Times New Roman" w:hAnsi="Times New Roman"/>
              </w:rPr>
              <w:t xml:space="preserve">, w przypadku gdy przedsiębiorca na rzecz którego ta osoba fizyczna działała, złożył wniosek </w:t>
            </w:r>
            <w:proofErr w:type="spellStart"/>
            <w:r w:rsidRPr="00AB5F97">
              <w:rPr>
                <w:rFonts w:ascii="Times New Roman" w:hAnsi="Times New Roman"/>
                <w:i/>
              </w:rPr>
              <w:t>leniency</w:t>
            </w:r>
            <w:proofErr w:type="spellEnd"/>
            <w:r w:rsidRPr="003D551E">
              <w:rPr>
                <w:rFonts w:ascii="Times New Roman" w:hAnsi="Times New Roman"/>
              </w:rPr>
              <w:t xml:space="preserve"> do Prezesa UOKiK. W przepisie tym będą zawarte warunki wyłączenia karalności wskazane </w:t>
            </w:r>
            <w:r>
              <w:rPr>
                <w:rFonts w:ascii="Times New Roman" w:hAnsi="Times New Roman"/>
              </w:rPr>
              <w:t xml:space="preserve">w Dyrektywie </w:t>
            </w:r>
            <w:r w:rsidRPr="003D551E">
              <w:rPr>
                <w:rFonts w:ascii="Times New Roman" w:hAnsi="Times New Roman"/>
              </w:rPr>
              <w:t>(przedstawienie przez przedsiębiorcę organowi antymonopolowemu odpowiednich informacji dotyczących niedozwolonego porozumienia, aktywna współpraca sprawcy z organami ścigania, przekazanie ww. informacji przed przedstawieniem osobie fizycznej zarzutów w postępowaniu karnym).</w:t>
            </w:r>
          </w:p>
          <w:p w14:paraId="00BC729F" w14:textId="2CB740A1" w:rsidR="000F7DBC" w:rsidRPr="003D551E" w:rsidRDefault="000F7DBC" w:rsidP="000F7DBC">
            <w:pPr>
              <w:jc w:val="both"/>
              <w:rPr>
                <w:rFonts w:ascii="Times New Roman" w:hAnsi="Times New Roman"/>
              </w:rPr>
            </w:pPr>
            <w:r w:rsidRPr="003D551E">
              <w:rPr>
                <w:rFonts w:ascii="Times New Roman" w:hAnsi="Times New Roman"/>
              </w:rPr>
              <w:t>Projektowan</w:t>
            </w:r>
            <w:r>
              <w:rPr>
                <w:rFonts w:ascii="Times New Roman" w:hAnsi="Times New Roman"/>
              </w:rPr>
              <w:t xml:space="preserve">a zmiana </w:t>
            </w:r>
            <w:r w:rsidR="002F43AA">
              <w:rPr>
                <w:rFonts w:ascii="Times New Roman" w:hAnsi="Times New Roman"/>
              </w:rPr>
              <w:t xml:space="preserve">KK </w:t>
            </w:r>
            <w:r w:rsidRPr="003D551E">
              <w:rPr>
                <w:rFonts w:ascii="Times New Roman" w:hAnsi="Times New Roman"/>
              </w:rPr>
              <w:t>przewiduje wyłączenie karalności osób fizycznych</w:t>
            </w:r>
            <w:r>
              <w:rPr>
                <w:rFonts w:ascii="Times New Roman" w:hAnsi="Times New Roman"/>
              </w:rPr>
              <w:t>,</w:t>
            </w:r>
            <w:r w:rsidRPr="003D551E">
              <w:rPr>
                <w:rFonts w:ascii="Times New Roman" w:hAnsi="Times New Roman"/>
              </w:rPr>
              <w:t xml:space="preserve"> w związku z zaistnieniem analogicznych przesłanek, w stosunku do tych, które zostały wskazane w</w:t>
            </w:r>
            <w:r>
              <w:rPr>
                <w:rFonts w:ascii="Times New Roman" w:hAnsi="Times New Roman"/>
              </w:rPr>
              <w:t xml:space="preserve"> </w:t>
            </w:r>
            <w:proofErr w:type="spellStart"/>
            <w:r>
              <w:rPr>
                <w:rFonts w:ascii="Times New Roman" w:hAnsi="Times New Roman"/>
              </w:rPr>
              <w:t>u.o.k.k</w:t>
            </w:r>
            <w:proofErr w:type="spellEnd"/>
            <w:r w:rsidRPr="003D551E">
              <w:rPr>
                <w:rFonts w:ascii="Times New Roman" w:hAnsi="Times New Roman"/>
              </w:rPr>
              <w:t>. W przypadku niedozwolonej praktyki ograniczającej konkurencję</w:t>
            </w:r>
            <w:r>
              <w:rPr>
                <w:rFonts w:ascii="Times New Roman" w:hAnsi="Times New Roman"/>
              </w:rPr>
              <w:t>,</w:t>
            </w:r>
            <w:r w:rsidRPr="003D551E">
              <w:rPr>
                <w:rFonts w:ascii="Times New Roman" w:hAnsi="Times New Roman"/>
              </w:rPr>
              <w:t xml:space="preserve"> wykraczającej poza terytorium RP – co przekłada się na możliwość podejmowania działań w danej sprawie również przez inny organ ochrony konkurencji państwa członkowskiego UE – wniosek o zwolnienie z kar</w:t>
            </w:r>
            <w:r>
              <w:rPr>
                <w:rFonts w:ascii="Times New Roman" w:hAnsi="Times New Roman"/>
              </w:rPr>
              <w:t>,</w:t>
            </w:r>
            <w:r w:rsidRPr="003D551E">
              <w:rPr>
                <w:rFonts w:ascii="Times New Roman" w:hAnsi="Times New Roman"/>
              </w:rPr>
              <w:t xml:space="preserve"> złożony do innego właściwego organu będzie stanowić przesłankę wyłączenia karalności osób fizycznych podlegających odpowiedzialności na podstawie art. 305</w:t>
            </w:r>
            <w:r w:rsidR="002F43AA">
              <w:rPr>
                <w:rFonts w:ascii="Times New Roman" w:hAnsi="Times New Roman"/>
                <w:i/>
              </w:rPr>
              <w:t xml:space="preserve"> </w:t>
            </w:r>
            <w:r w:rsidR="002F43AA">
              <w:rPr>
                <w:rFonts w:ascii="Times New Roman" w:hAnsi="Times New Roman"/>
              </w:rPr>
              <w:t>KK</w:t>
            </w:r>
            <w:r w:rsidRPr="003D551E">
              <w:rPr>
                <w:rFonts w:ascii="Times New Roman" w:hAnsi="Times New Roman"/>
              </w:rPr>
              <w:t xml:space="preserve">. Przesłanki wyłączenia karalności zostały ukształtowane analogicznie do przesłanek wyłączenia karalności w przypadku złożenia wniosku </w:t>
            </w:r>
            <w:proofErr w:type="spellStart"/>
            <w:r w:rsidRPr="00C17E4F">
              <w:rPr>
                <w:rFonts w:ascii="Times New Roman" w:hAnsi="Times New Roman"/>
                <w:i/>
              </w:rPr>
              <w:t>leniency</w:t>
            </w:r>
            <w:proofErr w:type="spellEnd"/>
            <w:r w:rsidRPr="003D551E">
              <w:rPr>
                <w:rFonts w:ascii="Times New Roman" w:hAnsi="Times New Roman"/>
              </w:rPr>
              <w:t xml:space="preserve"> do Prezesa UOKiK.</w:t>
            </w:r>
          </w:p>
          <w:p w14:paraId="5885F49C" w14:textId="77777777" w:rsidR="000F7DBC" w:rsidRPr="003D551E" w:rsidRDefault="000F7DBC" w:rsidP="000F7DBC">
            <w:pPr>
              <w:ind w:firstLine="741"/>
              <w:jc w:val="both"/>
              <w:rPr>
                <w:rFonts w:ascii="Times New Roman" w:hAnsi="Times New Roman"/>
              </w:rPr>
            </w:pPr>
            <w:r>
              <w:rPr>
                <w:rFonts w:ascii="Times New Roman" w:hAnsi="Times New Roman"/>
              </w:rPr>
              <w:t>P</w:t>
            </w:r>
            <w:r w:rsidRPr="003D551E">
              <w:rPr>
                <w:rFonts w:ascii="Times New Roman" w:hAnsi="Times New Roman"/>
              </w:rPr>
              <w:t>rojekt przewiduje możliwość występowania przez Prezesa UOKiK z własnej inicjatywy lub na wniosek prokuratora do organu państwa członkowskiego UE, który otrzymał wniosek o zwolnienie z kary, o przekazanie informacji w celu weryfikacji czy spełnione są przesłanki wyłączenia karalności osób zarządzających.</w:t>
            </w:r>
          </w:p>
          <w:p w14:paraId="3EFC9E3D" w14:textId="6AD63081" w:rsidR="000F7DBC" w:rsidRPr="00F81153" w:rsidRDefault="000F7DBC" w:rsidP="000F7DBC">
            <w:pPr>
              <w:jc w:val="both"/>
              <w:rPr>
                <w:rFonts w:ascii="Times New Roman" w:hAnsi="Times New Roman"/>
                <w:szCs w:val="24"/>
              </w:rPr>
            </w:pPr>
            <w:r>
              <w:rPr>
                <w:rFonts w:ascii="Times New Roman" w:hAnsi="Times New Roman"/>
              </w:rPr>
              <w:t>W celu</w:t>
            </w:r>
            <w:r w:rsidRPr="003D551E">
              <w:rPr>
                <w:rFonts w:ascii="Times New Roman" w:hAnsi="Times New Roman"/>
              </w:rPr>
              <w:t xml:space="preserve"> ułatwi</w:t>
            </w:r>
            <w:r>
              <w:rPr>
                <w:rFonts w:ascii="Times New Roman" w:hAnsi="Times New Roman"/>
              </w:rPr>
              <w:t>enia</w:t>
            </w:r>
            <w:r w:rsidRPr="003D551E">
              <w:rPr>
                <w:rFonts w:ascii="Times New Roman" w:hAnsi="Times New Roman"/>
              </w:rPr>
              <w:t xml:space="preserve"> skuteczne</w:t>
            </w:r>
            <w:r>
              <w:rPr>
                <w:rFonts w:ascii="Times New Roman" w:hAnsi="Times New Roman"/>
              </w:rPr>
              <w:t>go</w:t>
            </w:r>
            <w:r w:rsidRPr="003D551E">
              <w:rPr>
                <w:rFonts w:ascii="Times New Roman" w:hAnsi="Times New Roman"/>
              </w:rPr>
              <w:t xml:space="preserve"> stosowani</w:t>
            </w:r>
            <w:r>
              <w:rPr>
                <w:rFonts w:ascii="Times New Roman" w:hAnsi="Times New Roman"/>
              </w:rPr>
              <w:t>a</w:t>
            </w:r>
            <w:r w:rsidRPr="003D551E">
              <w:rPr>
                <w:rFonts w:ascii="Times New Roman" w:hAnsi="Times New Roman"/>
              </w:rPr>
              <w:t xml:space="preserve"> przepisów wdrażających </w:t>
            </w:r>
            <w:r>
              <w:rPr>
                <w:rFonts w:ascii="Times New Roman" w:hAnsi="Times New Roman"/>
              </w:rPr>
              <w:t>D</w:t>
            </w:r>
            <w:r w:rsidRPr="003D551E">
              <w:rPr>
                <w:rFonts w:ascii="Times New Roman" w:hAnsi="Times New Roman"/>
              </w:rPr>
              <w:t>yrektyw</w:t>
            </w:r>
            <w:r>
              <w:rPr>
                <w:rFonts w:ascii="Times New Roman" w:hAnsi="Times New Roman"/>
              </w:rPr>
              <w:t>ę</w:t>
            </w:r>
            <w:r w:rsidRPr="003D551E">
              <w:rPr>
                <w:rFonts w:ascii="Times New Roman" w:hAnsi="Times New Roman"/>
              </w:rPr>
              <w:t xml:space="preserve"> niezbędne jest także wprowadzenie do </w:t>
            </w:r>
            <w:proofErr w:type="spellStart"/>
            <w:r>
              <w:rPr>
                <w:rFonts w:ascii="Times New Roman" w:hAnsi="Times New Roman"/>
              </w:rPr>
              <w:t>u.o.k.k</w:t>
            </w:r>
            <w:proofErr w:type="spellEnd"/>
            <w:r>
              <w:rPr>
                <w:rFonts w:ascii="Times New Roman" w:hAnsi="Times New Roman"/>
              </w:rPr>
              <w:t xml:space="preserve">. </w:t>
            </w:r>
            <w:r w:rsidRPr="003D551E">
              <w:rPr>
                <w:rFonts w:ascii="Times New Roman" w:hAnsi="Times New Roman"/>
              </w:rPr>
              <w:t>regulacji</w:t>
            </w:r>
            <w:r>
              <w:rPr>
                <w:rFonts w:ascii="Times New Roman" w:hAnsi="Times New Roman"/>
              </w:rPr>
              <w:t>,</w:t>
            </w:r>
            <w:r w:rsidRPr="003D551E">
              <w:rPr>
                <w:rFonts w:ascii="Times New Roman" w:hAnsi="Times New Roman"/>
              </w:rPr>
              <w:t xml:space="preserve"> dotyczących informowania przez Prezesa UOKiK prokuratora lub sądu o otrzymaniu wniosku dotyczącego porozumienia, o którym mowa w </w:t>
            </w:r>
            <w:proofErr w:type="spellStart"/>
            <w:r>
              <w:rPr>
                <w:rFonts w:ascii="Times New Roman" w:hAnsi="Times New Roman"/>
              </w:rPr>
              <w:t>u.o.k.k</w:t>
            </w:r>
            <w:proofErr w:type="spellEnd"/>
            <w:r>
              <w:rPr>
                <w:rFonts w:ascii="Times New Roman" w:hAnsi="Times New Roman"/>
              </w:rPr>
              <w:t xml:space="preserve">. </w:t>
            </w:r>
            <w:r w:rsidRPr="003D551E">
              <w:rPr>
                <w:rFonts w:ascii="Times New Roman" w:hAnsi="Times New Roman"/>
              </w:rPr>
              <w:t>lub naruszającego zakaz, o którym mowa w art. 101 TFUE, wypełniającego znamiona popełnionego przez sprawcę przestępstwa, o którym mowa w art. 305</w:t>
            </w:r>
            <w:r w:rsidR="002F43AA">
              <w:rPr>
                <w:rFonts w:ascii="Times New Roman" w:hAnsi="Times New Roman"/>
              </w:rPr>
              <w:t xml:space="preserve"> KK</w:t>
            </w:r>
            <w:r>
              <w:rPr>
                <w:rFonts w:ascii="Times New Roman" w:hAnsi="Times New Roman"/>
                <w:i/>
              </w:rPr>
              <w:t>.</w:t>
            </w:r>
            <w:r w:rsidRPr="003D551E">
              <w:rPr>
                <w:rFonts w:ascii="Times New Roman" w:hAnsi="Times New Roman"/>
              </w:rPr>
              <w:t xml:space="preserve"> Dzięki takim przepisom prokurator lub sąd będą mogły na możliwie wczesnym etapie postępowania zainicjować procedurę wyłączenia karalności osób fizycznych, przewidzianego we wprowadzanych w projektowanej nowelizacji przepisach</w:t>
            </w:r>
            <w:r w:rsidR="002F43AA">
              <w:rPr>
                <w:rFonts w:ascii="Times New Roman" w:hAnsi="Times New Roman"/>
                <w:i/>
              </w:rPr>
              <w:t xml:space="preserve"> </w:t>
            </w:r>
            <w:r w:rsidR="002F43AA">
              <w:rPr>
                <w:rFonts w:ascii="Times New Roman" w:hAnsi="Times New Roman"/>
              </w:rPr>
              <w:t>KK</w:t>
            </w:r>
            <w:r w:rsidRPr="003D551E">
              <w:rPr>
                <w:rFonts w:ascii="Times New Roman" w:hAnsi="Times New Roman"/>
              </w:rPr>
              <w:t xml:space="preserve">. W projekcie </w:t>
            </w:r>
            <w:r>
              <w:rPr>
                <w:rFonts w:ascii="Times New Roman" w:hAnsi="Times New Roman"/>
              </w:rPr>
              <w:t>znalazły się</w:t>
            </w:r>
            <w:r w:rsidRPr="003D551E">
              <w:rPr>
                <w:rFonts w:ascii="Times New Roman" w:hAnsi="Times New Roman"/>
              </w:rPr>
              <w:t xml:space="preserve"> także przepisy obligujące Prezesa UOKiK, w przypadku gdy Prezes jest organem rozpatrującym wniosek </w:t>
            </w:r>
            <w:proofErr w:type="spellStart"/>
            <w:r w:rsidRPr="009328C3">
              <w:rPr>
                <w:rFonts w:ascii="Times New Roman" w:hAnsi="Times New Roman"/>
                <w:i/>
              </w:rPr>
              <w:t>leniency</w:t>
            </w:r>
            <w:proofErr w:type="spellEnd"/>
            <w:r w:rsidRPr="003D551E">
              <w:rPr>
                <w:rFonts w:ascii="Times New Roman" w:hAnsi="Times New Roman"/>
              </w:rPr>
              <w:t>, do przekazywania sądowi i prokuratorowi (z urzędu lub na wniosek tych organów) informacji</w:t>
            </w:r>
            <w:r>
              <w:rPr>
                <w:rFonts w:ascii="Times New Roman" w:hAnsi="Times New Roman"/>
              </w:rPr>
              <w:t>,</w:t>
            </w:r>
            <w:r w:rsidRPr="003D551E">
              <w:rPr>
                <w:rFonts w:ascii="Times New Roman" w:hAnsi="Times New Roman"/>
              </w:rPr>
              <w:t xml:space="preserve"> niezbędnych do ustalenia istnienia podstaw umorzenia postępowania karnego lub braku przesłanek do jego wszczęcia w związku z zaistnieniem przesłanek, o których mowa w</w:t>
            </w:r>
            <w:r w:rsidR="008645A0">
              <w:rPr>
                <w:rFonts w:ascii="Times New Roman" w:hAnsi="Times New Roman"/>
                <w:i/>
              </w:rPr>
              <w:t xml:space="preserve"> </w:t>
            </w:r>
            <w:r w:rsidR="008645A0">
              <w:rPr>
                <w:rFonts w:ascii="Times New Roman" w:hAnsi="Times New Roman"/>
              </w:rPr>
              <w:t>KK</w:t>
            </w:r>
            <w:r w:rsidRPr="003D551E">
              <w:rPr>
                <w:rFonts w:ascii="Times New Roman" w:hAnsi="Times New Roman"/>
              </w:rPr>
              <w:t>.</w:t>
            </w:r>
          </w:p>
          <w:p w14:paraId="7B433B0C" w14:textId="43DE197D" w:rsidR="00D14953" w:rsidRPr="00061CF9" w:rsidRDefault="00D14953" w:rsidP="000E6A14">
            <w:pPr>
              <w:pStyle w:val="mcntmsonormal1"/>
              <w:numPr>
                <w:ilvl w:val="0"/>
                <w:numId w:val="3"/>
              </w:numPr>
              <w:spacing w:before="120" w:after="120" w:line="276" w:lineRule="auto"/>
              <w:rPr>
                <w:b/>
              </w:rPr>
            </w:pPr>
            <w:r w:rsidRPr="00EF35DD">
              <w:rPr>
                <w:b/>
                <w:sz w:val="22"/>
                <w:szCs w:val="22"/>
                <w:lang w:eastAsia="en-US"/>
              </w:rPr>
              <w:t>Wzajemna pomoc</w:t>
            </w:r>
          </w:p>
          <w:p w14:paraId="3A84A9CD" w14:textId="5AB08701" w:rsidR="00061CF9" w:rsidRPr="006F6F98" w:rsidRDefault="006F6F98" w:rsidP="000E6A14">
            <w:pPr>
              <w:pStyle w:val="mcntmsonormal1"/>
              <w:numPr>
                <w:ilvl w:val="0"/>
                <w:numId w:val="14"/>
              </w:numPr>
              <w:spacing w:before="120" w:after="120" w:line="276" w:lineRule="auto"/>
              <w:rPr>
                <w:b/>
                <w:i/>
                <w:sz w:val="22"/>
              </w:rPr>
            </w:pPr>
            <w:r w:rsidRPr="006F6F98">
              <w:rPr>
                <w:b/>
                <w:i/>
                <w:sz w:val="22"/>
              </w:rPr>
              <w:t>W</w:t>
            </w:r>
            <w:r w:rsidR="00061CF9" w:rsidRPr="006F6F98">
              <w:rPr>
                <w:b/>
                <w:i/>
                <w:sz w:val="22"/>
              </w:rPr>
              <w:t>spółpraca w zakresie czynności dochodzeniowych</w:t>
            </w:r>
          </w:p>
          <w:p w14:paraId="5E60AA45" w14:textId="0D373709" w:rsidR="00853C98" w:rsidRPr="00853C98" w:rsidRDefault="00853C98" w:rsidP="00B15224">
            <w:pPr>
              <w:ind w:firstLine="741"/>
              <w:jc w:val="both"/>
              <w:rPr>
                <w:rFonts w:ascii="Times New Roman" w:hAnsi="Times New Roman"/>
                <w:szCs w:val="24"/>
              </w:rPr>
            </w:pPr>
            <w:r w:rsidRPr="00853C98">
              <w:rPr>
                <w:rFonts w:ascii="Times New Roman" w:hAnsi="Times New Roman"/>
                <w:szCs w:val="24"/>
              </w:rPr>
              <w:t xml:space="preserve">Implementacja </w:t>
            </w:r>
            <w:r w:rsidR="00445281">
              <w:rPr>
                <w:rFonts w:ascii="Times New Roman" w:hAnsi="Times New Roman"/>
                <w:szCs w:val="24"/>
              </w:rPr>
              <w:t xml:space="preserve">Dyrektywy </w:t>
            </w:r>
            <w:r w:rsidRPr="00853C98">
              <w:rPr>
                <w:rFonts w:ascii="Times New Roman" w:hAnsi="Times New Roman"/>
                <w:szCs w:val="24"/>
              </w:rPr>
              <w:t>jest konieczna w zakresie</w:t>
            </w:r>
            <w:r w:rsidR="00445281">
              <w:rPr>
                <w:rFonts w:ascii="Times New Roman" w:hAnsi="Times New Roman"/>
                <w:szCs w:val="24"/>
              </w:rPr>
              <w:t>,</w:t>
            </w:r>
            <w:r w:rsidRPr="00853C98">
              <w:rPr>
                <w:rFonts w:ascii="Times New Roman" w:hAnsi="Times New Roman"/>
                <w:szCs w:val="24"/>
              </w:rPr>
              <w:t xml:space="preserve"> w jakim pracownik państwa członkowskiego UE może uczestniczyć w przesłuchaniach. W </w:t>
            </w:r>
            <w:proofErr w:type="spellStart"/>
            <w:r w:rsidR="00445281">
              <w:rPr>
                <w:rFonts w:ascii="Times New Roman" w:hAnsi="Times New Roman"/>
                <w:szCs w:val="24"/>
              </w:rPr>
              <w:t>u.o.k.k</w:t>
            </w:r>
            <w:proofErr w:type="spellEnd"/>
            <w:r w:rsidR="00445281">
              <w:rPr>
                <w:rFonts w:ascii="Times New Roman" w:hAnsi="Times New Roman"/>
                <w:szCs w:val="24"/>
              </w:rPr>
              <w:t>.</w:t>
            </w:r>
            <w:r w:rsidRPr="00853C98">
              <w:rPr>
                <w:rFonts w:ascii="Times New Roman" w:hAnsi="Times New Roman"/>
                <w:szCs w:val="24"/>
              </w:rPr>
              <w:t xml:space="preserve"> dodane zostaną przepisy umożliwiające Prezesowi UOKiK, jeżeli stosowny wniosek złoży organ ochrony konkurencji innego państwa członkowskiego Unii Europejskiej</w:t>
            </w:r>
            <w:r w:rsidR="00445281">
              <w:rPr>
                <w:rFonts w:ascii="Times New Roman" w:hAnsi="Times New Roman"/>
                <w:szCs w:val="24"/>
              </w:rPr>
              <w:t>,</w:t>
            </w:r>
            <w:r w:rsidRPr="00853C98">
              <w:rPr>
                <w:rFonts w:ascii="Times New Roman" w:hAnsi="Times New Roman"/>
                <w:szCs w:val="24"/>
              </w:rPr>
              <w:t xml:space="preserve"> w przypadku, o którym mowa w</w:t>
            </w:r>
            <w:r w:rsidR="00445281">
              <w:rPr>
                <w:rFonts w:ascii="Times New Roman" w:hAnsi="Times New Roman"/>
                <w:szCs w:val="24"/>
              </w:rPr>
              <w:t xml:space="preserve"> </w:t>
            </w:r>
            <w:r w:rsidRPr="00853C98">
              <w:rPr>
                <w:rFonts w:ascii="Times New Roman" w:hAnsi="Times New Roman"/>
                <w:szCs w:val="24"/>
              </w:rPr>
              <w:t>rozporządzenia nr 1/2003:</w:t>
            </w:r>
          </w:p>
          <w:p w14:paraId="3D70F527" w14:textId="4B186C5C" w:rsidR="00853C98" w:rsidRPr="00853C98" w:rsidRDefault="00853C98" w:rsidP="00853C98">
            <w:pPr>
              <w:jc w:val="both"/>
              <w:rPr>
                <w:rFonts w:ascii="Times New Roman" w:hAnsi="Times New Roman"/>
                <w:szCs w:val="24"/>
              </w:rPr>
            </w:pPr>
            <w:r w:rsidRPr="00853C98">
              <w:rPr>
                <w:rFonts w:ascii="Times New Roman" w:hAnsi="Times New Roman"/>
                <w:szCs w:val="24"/>
              </w:rPr>
              <w:t>- wezwanie świadka i odebranie od niego zeznań</w:t>
            </w:r>
            <w:r w:rsidR="00862C24">
              <w:rPr>
                <w:rFonts w:ascii="Times New Roman" w:hAnsi="Times New Roman"/>
                <w:szCs w:val="24"/>
              </w:rPr>
              <w:t>,</w:t>
            </w:r>
          </w:p>
          <w:p w14:paraId="3179BC13" w14:textId="5BD663FF" w:rsidR="00853C98" w:rsidRPr="00853C98" w:rsidRDefault="00853C98" w:rsidP="00853C98">
            <w:pPr>
              <w:jc w:val="both"/>
              <w:rPr>
                <w:rFonts w:ascii="Times New Roman" w:hAnsi="Times New Roman"/>
                <w:szCs w:val="24"/>
              </w:rPr>
            </w:pPr>
            <w:r w:rsidRPr="00853C98">
              <w:rPr>
                <w:rFonts w:ascii="Times New Roman" w:hAnsi="Times New Roman"/>
                <w:szCs w:val="24"/>
              </w:rPr>
              <w:lastRenderedPageBreak/>
              <w:t>- przeprowadzenie rozprawy,</w:t>
            </w:r>
          </w:p>
          <w:p w14:paraId="2630F5C0" w14:textId="279B0F9D" w:rsidR="00853C98" w:rsidRPr="00853C98" w:rsidRDefault="00853C98" w:rsidP="00853C98">
            <w:pPr>
              <w:jc w:val="both"/>
              <w:rPr>
                <w:rFonts w:ascii="Times New Roman" w:hAnsi="Times New Roman"/>
                <w:szCs w:val="24"/>
              </w:rPr>
            </w:pPr>
            <w:r w:rsidRPr="00853C98">
              <w:rPr>
                <w:rFonts w:ascii="Times New Roman" w:hAnsi="Times New Roman"/>
                <w:szCs w:val="24"/>
              </w:rPr>
              <w:t>- wystąpienie o przesłuchanie świadków do właściwego miejscowo sądu rejonowego, jeżeli przemawia za tym charakter dowodu albo wzgląd na poważne niedogodności lub znaczną wysokość kosztów przeprowadzenia dowodu</w:t>
            </w:r>
            <w:r w:rsidR="00862C24">
              <w:rPr>
                <w:rFonts w:ascii="Times New Roman" w:hAnsi="Times New Roman"/>
                <w:szCs w:val="24"/>
              </w:rPr>
              <w:t>.</w:t>
            </w:r>
          </w:p>
          <w:p w14:paraId="3F50A037" w14:textId="72020A3B" w:rsidR="00853C98" w:rsidRPr="00853C98" w:rsidRDefault="00853C98" w:rsidP="00862C24">
            <w:pPr>
              <w:ind w:firstLine="741"/>
              <w:jc w:val="both"/>
              <w:rPr>
                <w:rFonts w:ascii="Times New Roman" w:hAnsi="Times New Roman"/>
                <w:szCs w:val="24"/>
              </w:rPr>
            </w:pPr>
            <w:r w:rsidRPr="00853C98">
              <w:rPr>
                <w:rFonts w:ascii="Times New Roman" w:hAnsi="Times New Roman"/>
                <w:szCs w:val="24"/>
              </w:rPr>
              <w:t>Podejmując ww. środki Prezes UOKiK będzie mógł upoważnić do udziału w przesłuchaniu lub rozprawie pracownika organu ochrony państwa członkowskiego Unii Europejskiej</w:t>
            </w:r>
            <w:r w:rsidR="00862C24">
              <w:rPr>
                <w:rFonts w:ascii="Times New Roman" w:hAnsi="Times New Roman"/>
                <w:szCs w:val="24"/>
              </w:rPr>
              <w:t>,</w:t>
            </w:r>
            <w:r w:rsidRPr="00853C98">
              <w:rPr>
                <w:rFonts w:ascii="Times New Roman" w:hAnsi="Times New Roman"/>
                <w:szCs w:val="24"/>
              </w:rPr>
              <w:t xml:space="preserve"> występującego z wnioskiem o przeprowadzenie przesłuchania. </w:t>
            </w:r>
          </w:p>
          <w:p w14:paraId="2EFB0CFB" w14:textId="5608AF98" w:rsidR="00853C98" w:rsidRPr="00853C98" w:rsidRDefault="00853C98" w:rsidP="00900346">
            <w:pPr>
              <w:ind w:firstLine="741"/>
              <w:jc w:val="both"/>
              <w:rPr>
                <w:rFonts w:ascii="Times New Roman" w:hAnsi="Times New Roman"/>
                <w:szCs w:val="24"/>
              </w:rPr>
            </w:pPr>
            <w:r w:rsidRPr="00853C98">
              <w:rPr>
                <w:rFonts w:ascii="Times New Roman" w:hAnsi="Times New Roman"/>
                <w:szCs w:val="24"/>
              </w:rPr>
              <w:t>Wprowadzane regulacje rozszerzą zakres współpracy również o możliwość weryfikacji</w:t>
            </w:r>
            <w:r w:rsidR="00A22262">
              <w:rPr>
                <w:rFonts w:ascii="Times New Roman" w:hAnsi="Times New Roman"/>
                <w:szCs w:val="24"/>
              </w:rPr>
              <w:t>,</w:t>
            </w:r>
            <w:r w:rsidRPr="00853C98">
              <w:rPr>
                <w:rFonts w:ascii="Times New Roman" w:hAnsi="Times New Roman"/>
                <w:szCs w:val="24"/>
              </w:rPr>
              <w:t xml:space="preserve"> przy współudziale innego właściwego organu antymonopolowego państwa członkowskiego UE</w:t>
            </w:r>
            <w:r w:rsidR="00A22262">
              <w:rPr>
                <w:rFonts w:ascii="Times New Roman" w:hAnsi="Times New Roman"/>
                <w:szCs w:val="24"/>
              </w:rPr>
              <w:t>,</w:t>
            </w:r>
            <w:r w:rsidRPr="00853C98">
              <w:rPr>
                <w:rFonts w:ascii="Times New Roman" w:hAnsi="Times New Roman"/>
                <w:szCs w:val="24"/>
              </w:rPr>
              <w:t xml:space="preserve"> czy przedsiębiorca dostosował się do czynności dochodzeniowych oraz obowiązku przekazywania niezbędnych informacji na żądanie organu, jak również czy wykonuje on decyzje nakładane przez organ w związku ze stwierdzeniem naruszenia (m.in. decyzje stwierdzające naruszenie i nakazujące jego zaniechania, decyzje o środkach zaradczych, decyzje tymczasowe i zobowiązaniowe). Zgodnie z projektowanym</w:t>
            </w:r>
            <w:r w:rsidR="00A22262">
              <w:rPr>
                <w:rFonts w:ascii="Times New Roman" w:hAnsi="Times New Roman"/>
                <w:szCs w:val="24"/>
              </w:rPr>
              <w:t xml:space="preserve">i zapisami </w:t>
            </w:r>
            <w:proofErr w:type="spellStart"/>
            <w:r w:rsidR="00A22262">
              <w:rPr>
                <w:rFonts w:ascii="Times New Roman" w:hAnsi="Times New Roman"/>
                <w:szCs w:val="24"/>
              </w:rPr>
              <w:t>u.o.k.k</w:t>
            </w:r>
            <w:proofErr w:type="spellEnd"/>
            <w:r w:rsidR="00A22262">
              <w:rPr>
                <w:rFonts w:ascii="Times New Roman" w:hAnsi="Times New Roman"/>
                <w:szCs w:val="24"/>
              </w:rPr>
              <w:t>.</w:t>
            </w:r>
            <w:r w:rsidRPr="00853C98">
              <w:rPr>
                <w:rFonts w:ascii="Times New Roman" w:hAnsi="Times New Roman"/>
                <w:szCs w:val="24"/>
              </w:rPr>
              <w:t>, Prezes UOKiK</w:t>
            </w:r>
            <w:r w:rsidR="00A22262">
              <w:rPr>
                <w:rFonts w:ascii="Times New Roman" w:hAnsi="Times New Roman"/>
                <w:szCs w:val="24"/>
              </w:rPr>
              <w:t>,</w:t>
            </w:r>
            <w:r w:rsidRPr="00853C98">
              <w:rPr>
                <w:rFonts w:ascii="Times New Roman" w:hAnsi="Times New Roman"/>
                <w:szCs w:val="24"/>
              </w:rPr>
              <w:t xml:space="preserve"> bez wszczynania odrębnego postępowania, na wniosek organu ochrony konkurencji konsumentów państwa członkowskiego UE, działając w imieniu i na potrzeby tego organu, będzie mógł podejmować niezbędne działania</w:t>
            </w:r>
            <w:r w:rsidR="00A22262">
              <w:rPr>
                <w:rFonts w:ascii="Times New Roman" w:hAnsi="Times New Roman"/>
                <w:szCs w:val="24"/>
              </w:rPr>
              <w:t>,</w:t>
            </w:r>
            <w:r w:rsidRPr="00853C98">
              <w:rPr>
                <w:rFonts w:ascii="Times New Roman" w:hAnsi="Times New Roman"/>
                <w:szCs w:val="24"/>
              </w:rPr>
              <w:t xml:space="preserve"> w celu ustalenia</w:t>
            </w:r>
            <w:r w:rsidR="00325EED">
              <w:rPr>
                <w:rFonts w:ascii="Times New Roman" w:hAnsi="Times New Roman"/>
                <w:szCs w:val="24"/>
              </w:rPr>
              <w:t>,</w:t>
            </w:r>
            <w:r w:rsidRPr="00853C98">
              <w:rPr>
                <w:rFonts w:ascii="Times New Roman" w:hAnsi="Times New Roman"/>
                <w:szCs w:val="24"/>
              </w:rPr>
              <w:t xml:space="preserve"> czy przedsiębiorcy lub związki przedsiębiorców dostosowali się do czynności dochodzeniowych lub decyzji podejmowanych przez ten organ na podstawie przepisów krajowych wdrażających </w:t>
            </w:r>
            <w:r w:rsidR="00325EED">
              <w:rPr>
                <w:rFonts w:ascii="Times New Roman" w:hAnsi="Times New Roman"/>
                <w:szCs w:val="24"/>
              </w:rPr>
              <w:t xml:space="preserve">Dyrektywę. </w:t>
            </w:r>
            <w:r w:rsidRPr="00853C98">
              <w:rPr>
                <w:rFonts w:ascii="Times New Roman" w:hAnsi="Times New Roman"/>
                <w:szCs w:val="24"/>
              </w:rPr>
              <w:t>Działania te obejmą:</w:t>
            </w:r>
          </w:p>
          <w:p w14:paraId="153BA8D8" w14:textId="564F7DD9" w:rsidR="00FA6839" w:rsidRPr="00FA6839" w:rsidRDefault="00853C98" w:rsidP="000E6A14">
            <w:pPr>
              <w:pStyle w:val="Akapitzlist"/>
              <w:numPr>
                <w:ilvl w:val="0"/>
                <w:numId w:val="15"/>
              </w:numPr>
              <w:jc w:val="both"/>
              <w:rPr>
                <w:rFonts w:ascii="Times New Roman" w:hAnsi="Times New Roman"/>
                <w:szCs w:val="24"/>
              </w:rPr>
            </w:pPr>
            <w:r w:rsidRPr="00FA6839">
              <w:rPr>
                <w:rFonts w:ascii="Times New Roman" w:hAnsi="Times New Roman"/>
                <w:szCs w:val="24"/>
              </w:rPr>
              <w:t>przeprowadzenie kontroli</w:t>
            </w:r>
            <w:r w:rsidR="00FD0605" w:rsidRPr="00FA6839">
              <w:rPr>
                <w:rFonts w:ascii="Times New Roman" w:hAnsi="Times New Roman"/>
                <w:szCs w:val="24"/>
              </w:rPr>
              <w:t xml:space="preserve"> w toku postępowania,</w:t>
            </w:r>
          </w:p>
          <w:p w14:paraId="26FFF622" w14:textId="6FB7A717" w:rsidR="00853C98" w:rsidRPr="00FA6839" w:rsidRDefault="00853C98" w:rsidP="000E6A14">
            <w:pPr>
              <w:pStyle w:val="Akapitzlist"/>
              <w:numPr>
                <w:ilvl w:val="0"/>
                <w:numId w:val="15"/>
              </w:numPr>
              <w:jc w:val="both"/>
              <w:rPr>
                <w:rFonts w:ascii="Times New Roman" w:hAnsi="Times New Roman"/>
                <w:szCs w:val="24"/>
              </w:rPr>
            </w:pPr>
            <w:r w:rsidRPr="00FA6839">
              <w:rPr>
                <w:rFonts w:ascii="Times New Roman" w:hAnsi="Times New Roman"/>
                <w:szCs w:val="24"/>
              </w:rPr>
              <w:t>przeprowadzenie przeszukani</w:t>
            </w:r>
            <w:r w:rsidR="00E45396" w:rsidRPr="00FA6839">
              <w:rPr>
                <w:rFonts w:ascii="Times New Roman" w:hAnsi="Times New Roman"/>
                <w:szCs w:val="24"/>
              </w:rPr>
              <w:t>a w toku postępowania,</w:t>
            </w:r>
          </w:p>
          <w:p w14:paraId="4492366A" w14:textId="144DF5FC" w:rsidR="00853C98" w:rsidRPr="00FA6839" w:rsidRDefault="00853C98" w:rsidP="000E6A14">
            <w:pPr>
              <w:pStyle w:val="Akapitzlist"/>
              <w:numPr>
                <w:ilvl w:val="0"/>
                <w:numId w:val="15"/>
              </w:numPr>
              <w:jc w:val="both"/>
              <w:rPr>
                <w:rFonts w:ascii="Times New Roman" w:hAnsi="Times New Roman"/>
                <w:szCs w:val="24"/>
              </w:rPr>
            </w:pPr>
            <w:r w:rsidRPr="00FA6839">
              <w:rPr>
                <w:rFonts w:ascii="Times New Roman" w:hAnsi="Times New Roman"/>
                <w:szCs w:val="24"/>
              </w:rPr>
              <w:t xml:space="preserve">żądanie od przedsiębiorców przekazywania wszelkich </w:t>
            </w:r>
            <w:r w:rsidR="0053016D">
              <w:rPr>
                <w:rFonts w:ascii="Times New Roman" w:hAnsi="Times New Roman"/>
                <w:szCs w:val="24"/>
              </w:rPr>
              <w:t>koniecznych informacji i</w:t>
            </w:r>
            <w:r w:rsidRPr="00FA6839">
              <w:rPr>
                <w:rFonts w:ascii="Times New Roman" w:hAnsi="Times New Roman"/>
                <w:szCs w:val="24"/>
              </w:rPr>
              <w:t xml:space="preserve"> dokumentów,</w:t>
            </w:r>
          </w:p>
          <w:p w14:paraId="383E65F6" w14:textId="2D5BF7B6" w:rsidR="00853C98" w:rsidRPr="00FA6839" w:rsidRDefault="00853C98" w:rsidP="000E6A14">
            <w:pPr>
              <w:pStyle w:val="Akapitzlist"/>
              <w:numPr>
                <w:ilvl w:val="0"/>
                <w:numId w:val="15"/>
              </w:numPr>
              <w:jc w:val="both"/>
              <w:rPr>
                <w:rFonts w:ascii="Times New Roman" w:hAnsi="Times New Roman"/>
                <w:szCs w:val="24"/>
              </w:rPr>
            </w:pPr>
            <w:r w:rsidRPr="00FA6839">
              <w:rPr>
                <w:rFonts w:ascii="Times New Roman" w:hAnsi="Times New Roman"/>
                <w:szCs w:val="24"/>
              </w:rPr>
              <w:t>wezwanie świadka</w:t>
            </w:r>
            <w:r w:rsidR="008109FE">
              <w:rPr>
                <w:rFonts w:ascii="Times New Roman" w:hAnsi="Times New Roman"/>
                <w:szCs w:val="24"/>
              </w:rPr>
              <w:t>,</w:t>
            </w:r>
          </w:p>
          <w:p w14:paraId="4CDA65F5" w14:textId="37C6A7FF" w:rsidR="00853C98" w:rsidRPr="00FA6839" w:rsidRDefault="00853C98" w:rsidP="000E6A14">
            <w:pPr>
              <w:pStyle w:val="Akapitzlist"/>
              <w:numPr>
                <w:ilvl w:val="0"/>
                <w:numId w:val="15"/>
              </w:numPr>
              <w:jc w:val="both"/>
              <w:rPr>
                <w:rFonts w:ascii="Times New Roman" w:hAnsi="Times New Roman"/>
                <w:szCs w:val="24"/>
              </w:rPr>
            </w:pPr>
            <w:r w:rsidRPr="00FA6839">
              <w:rPr>
                <w:rFonts w:ascii="Times New Roman" w:hAnsi="Times New Roman"/>
                <w:szCs w:val="24"/>
              </w:rPr>
              <w:t>przeprowadzenie rozprawy</w:t>
            </w:r>
            <w:r w:rsidR="008109FE">
              <w:rPr>
                <w:rFonts w:ascii="Times New Roman" w:hAnsi="Times New Roman"/>
                <w:szCs w:val="24"/>
              </w:rPr>
              <w:t>,</w:t>
            </w:r>
          </w:p>
          <w:p w14:paraId="71864ECE" w14:textId="20E2FCB7" w:rsidR="00853C98" w:rsidRPr="00FA6839" w:rsidRDefault="00853C98" w:rsidP="000E6A14">
            <w:pPr>
              <w:pStyle w:val="Akapitzlist"/>
              <w:numPr>
                <w:ilvl w:val="0"/>
                <w:numId w:val="15"/>
              </w:numPr>
              <w:jc w:val="both"/>
              <w:rPr>
                <w:rFonts w:ascii="Times New Roman" w:hAnsi="Times New Roman"/>
                <w:szCs w:val="24"/>
              </w:rPr>
            </w:pPr>
            <w:r w:rsidRPr="00FA6839">
              <w:rPr>
                <w:rFonts w:ascii="Times New Roman" w:hAnsi="Times New Roman"/>
                <w:szCs w:val="24"/>
              </w:rPr>
              <w:t>wystąpienie do sądu o przesłuchanie świadków.</w:t>
            </w:r>
          </w:p>
          <w:p w14:paraId="459CB0B6" w14:textId="311D1DD5" w:rsidR="008109FE" w:rsidRPr="00853C98" w:rsidRDefault="00853C98" w:rsidP="008109FE">
            <w:pPr>
              <w:spacing w:before="120" w:after="120"/>
              <w:jc w:val="both"/>
              <w:rPr>
                <w:rFonts w:ascii="Times New Roman" w:hAnsi="Times New Roman"/>
                <w:szCs w:val="24"/>
              </w:rPr>
            </w:pPr>
            <w:r w:rsidRPr="00853C98">
              <w:rPr>
                <w:rFonts w:ascii="Times New Roman" w:hAnsi="Times New Roman"/>
                <w:szCs w:val="24"/>
              </w:rPr>
              <w:t xml:space="preserve">Projekt </w:t>
            </w:r>
            <w:r w:rsidR="008109FE">
              <w:rPr>
                <w:rFonts w:ascii="Times New Roman" w:hAnsi="Times New Roman"/>
                <w:szCs w:val="24"/>
              </w:rPr>
              <w:t>przewiduje także</w:t>
            </w:r>
            <w:r w:rsidRPr="00853C98">
              <w:rPr>
                <w:rFonts w:ascii="Times New Roman" w:hAnsi="Times New Roman"/>
                <w:szCs w:val="24"/>
              </w:rPr>
              <w:t xml:space="preserve">, że informacje uzyskane w wyniku działań, podjętych na wniosek innego organu, Prezes Urzędu przekazuje niezwłocznie temu organowi. </w:t>
            </w:r>
          </w:p>
          <w:p w14:paraId="749846A0" w14:textId="1D3B0544" w:rsidR="00853C98" w:rsidRPr="008109FE" w:rsidRDefault="006F6F98" w:rsidP="000E6A14">
            <w:pPr>
              <w:pStyle w:val="Akapitzlist"/>
              <w:numPr>
                <w:ilvl w:val="0"/>
                <w:numId w:val="14"/>
              </w:numPr>
              <w:spacing w:before="120" w:after="120"/>
              <w:jc w:val="both"/>
              <w:rPr>
                <w:rFonts w:ascii="Times New Roman" w:hAnsi="Times New Roman"/>
                <w:b/>
                <w:i/>
                <w:szCs w:val="24"/>
              </w:rPr>
            </w:pPr>
            <w:r>
              <w:rPr>
                <w:rFonts w:ascii="Times New Roman" w:hAnsi="Times New Roman"/>
                <w:b/>
                <w:i/>
                <w:szCs w:val="24"/>
              </w:rPr>
              <w:t>W</w:t>
            </w:r>
            <w:r w:rsidR="00853C98" w:rsidRPr="008109FE">
              <w:rPr>
                <w:rFonts w:ascii="Times New Roman" w:hAnsi="Times New Roman"/>
                <w:b/>
                <w:i/>
                <w:szCs w:val="24"/>
              </w:rPr>
              <w:t>spółpraca dotycząca notyfikacji</w:t>
            </w:r>
          </w:p>
          <w:p w14:paraId="26D5039A" w14:textId="41BF08E6" w:rsidR="005B071D" w:rsidRDefault="00853C98" w:rsidP="005B071D">
            <w:pPr>
              <w:ind w:firstLine="741"/>
              <w:jc w:val="both"/>
              <w:rPr>
                <w:rFonts w:ascii="Times New Roman" w:hAnsi="Times New Roman"/>
                <w:szCs w:val="24"/>
              </w:rPr>
            </w:pPr>
            <w:r w:rsidRPr="00853C98">
              <w:rPr>
                <w:rFonts w:ascii="Times New Roman" w:hAnsi="Times New Roman"/>
                <w:szCs w:val="24"/>
              </w:rPr>
              <w:t>Konieczne jest wprowadzenie nowego działu do</w:t>
            </w:r>
            <w:r w:rsidR="00DF6ED3">
              <w:rPr>
                <w:rFonts w:ascii="Times New Roman" w:hAnsi="Times New Roman"/>
                <w:szCs w:val="24"/>
              </w:rPr>
              <w:t xml:space="preserve"> </w:t>
            </w:r>
            <w:proofErr w:type="spellStart"/>
            <w:r w:rsidR="00DF6ED3">
              <w:rPr>
                <w:rFonts w:ascii="Times New Roman" w:hAnsi="Times New Roman"/>
                <w:szCs w:val="24"/>
              </w:rPr>
              <w:t>u,o,k,k</w:t>
            </w:r>
            <w:proofErr w:type="spellEnd"/>
            <w:r w:rsidR="00D02810">
              <w:rPr>
                <w:rFonts w:ascii="Times New Roman" w:hAnsi="Times New Roman"/>
                <w:szCs w:val="24"/>
              </w:rPr>
              <w:t xml:space="preserve">., </w:t>
            </w:r>
            <w:r w:rsidRPr="00853C98">
              <w:rPr>
                <w:rFonts w:ascii="Times New Roman" w:hAnsi="Times New Roman"/>
                <w:szCs w:val="24"/>
              </w:rPr>
              <w:t>w którym zawarte będą przepisy</w:t>
            </w:r>
            <w:r w:rsidR="00D02810">
              <w:rPr>
                <w:rFonts w:ascii="Times New Roman" w:hAnsi="Times New Roman"/>
                <w:szCs w:val="24"/>
              </w:rPr>
              <w:t>,</w:t>
            </w:r>
            <w:r w:rsidRPr="00853C98">
              <w:rPr>
                <w:rFonts w:ascii="Times New Roman" w:hAnsi="Times New Roman"/>
                <w:szCs w:val="24"/>
              </w:rPr>
              <w:t xml:space="preserve"> stanowiące transpozycję regulacji dyrektywy 2019/1</w:t>
            </w:r>
            <w:r w:rsidR="00D02810">
              <w:rPr>
                <w:rFonts w:ascii="Times New Roman" w:hAnsi="Times New Roman"/>
                <w:szCs w:val="24"/>
              </w:rPr>
              <w:t xml:space="preserve">, </w:t>
            </w:r>
            <w:r w:rsidRPr="00853C98">
              <w:rPr>
                <w:rFonts w:ascii="Times New Roman" w:hAnsi="Times New Roman"/>
                <w:szCs w:val="24"/>
              </w:rPr>
              <w:t xml:space="preserve">dotyczące wzajemnej pomocy w zakresie notyfikacji.  </w:t>
            </w:r>
          </w:p>
          <w:p w14:paraId="10DA57C5" w14:textId="10D06C3C" w:rsidR="00853C98" w:rsidRPr="00853C98" w:rsidRDefault="00853C98" w:rsidP="005B071D">
            <w:pPr>
              <w:ind w:firstLine="741"/>
              <w:jc w:val="both"/>
              <w:rPr>
                <w:rFonts w:ascii="Times New Roman" w:hAnsi="Times New Roman"/>
                <w:szCs w:val="24"/>
              </w:rPr>
            </w:pPr>
            <w:r w:rsidRPr="00853C98">
              <w:rPr>
                <w:rFonts w:ascii="Times New Roman" w:hAnsi="Times New Roman"/>
                <w:szCs w:val="24"/>
              </w:rPr>
              <w:t>Zgodnie z projektowanymi rozwiązaniami Prezes Urzędu na wniosek i w imieniu innego organu ochrony konkurencji państwa członkowskiego Unii Europejskiej będzie powiadamiać podmiot wskazany w tym wniosku o:</w:t>
            </w:r>
          </w:p>
          <w:p w14:paraId="2365ECEC" w14:textId="423673DF" w:rsidR="00853C98" w:rsidRPr="005B071D" w:rsidRDefault="00853C98" w:rsidP="000E6A14">
            <w:pPr>
              <w:pStyle w:val="Akapitzlist"/>
              <w:numPr>
                <w:ilvl w:val="0"/>
                <w:numId w:val="16"/>
              </w:numPr>
              <w:jc w:val="both"/>
              <w:rPr>
                <w:rFonts w:ascii="Times New Roman" w:hAnsi="Times New Roman"/>
                <w:szCs w:val="24"/>
              </w:rPr>
            </w:pPr>
            <w:r w:rsidRPr="005B071D">
              <w:rPr>
                <w:rFonts w:ascii="Times New Roman" w:hAnsi="Times New Roman"/>
                <w:szCs w:val="24"/>
              </w:rPr>
              <w:t>wstępnych zastrzeżeniach dotyczących domniemanego naruszenia art. 101 lub 102 TFUE lub decyzjach wydanych w zastosowaniu tych przepisó</w:t>
            </w:r>
            <w:r w:rsidR="005B071D" w:rsidRPr="005B071D">
              <w:rPr>
                <w:rFonts w:ascii="Times New Roman" w:hAnsi="Times New Roman"/>
                <w:szCs w:val="24"/>
              </w:rPr>
              <w:t>w,</w:t>
            </w:r>
          </w:p>
          <w:p w14:paraId="183ED0BC" w14:textId="773BB4EC" w:rsidR="00853C98" w:rsidRPr="005B071D" w:rsidRDefault="00853C98" w:rsidP="000E6A14">
            <w:pPr>
              <w:pStyle w:val="Akapitzlist"/>
              <w:numPr>
                <w:ilvl w:val="0"/>
                <w:numId w:val="16"/>
              </w:numPr>
              <w:jc w:val="both"/>
              <w:rPr>
                <w:rFonts w:ascii="Times New Roman" w:hAnsi="Times New Roman"/>
                <w:szCs w:val="24"/>
              </w:rPr>
            </w:pPr>
            <w:r w:rsidRPr="005B071D">
              <w:rPr>
                <w:rFonts w:ascii="Times New Roman" w:hAnsi="Times New Roman"/>
                <w:szCs w:val="24"/>
              </w:rPr>
              <w:t>aktach proceduralnych przyjętych w kontekście postępowania w sprawie stosowania prawa dotyczącego stosowania art. 101 lub 102 TFUE, które podlegają notyfikacji zgodnie z przepisami państwa członkowskiego UE, którego organ ochrony konkurencji składa do Prezesa Urzędu odnośny wniosek,</w:t>
            </w:r>
          </w:p>
          <w:p w14:paraId="3CDA7C36" w14:textId="45228BAE" w:rsidR="00853C98" w:rsidRPr="005B071D" w:rsidRDefault="00853C98" w:rsidP="000E6A14">
            <w:pPr>
              <w:pStyle w:val="Akapitzlist"/>
              <w:numPr>
                <w:ilvl w:val="0"/>
                <w:numId w:val="16"/>
              </w:numPr>
              <w:jc w:val="both"/>
              <w:rPr>
                <w:rFonts w:ascii="Times New Roman" w:hAnsi="Times New Roman"/>
                <w:szCs w:val="24"/>
              </w:rPr>
            </w:pPr>
            <w:r w:rsidRPr="005B071D">
              <w:rPr>
                <w:rFonts w:ascii="Times New Roman" w:hAnsi="Times New Roman"/>
                <w:szCs w:val="24"/>
              </w:rPr>
              <w:t>innych istotnych dokumentach dotyczących stosowania art. 101 lub 102 TFUE, w tym o dokumentach dotyczących egzekwowania decyzji o nałożeniu kar lub okresowych kar pieniężnych.</w:t>
            </w:r>
          </w:p>
          <w:p w14:paraId="24DBFB23" w14:textId="1453DD13" w:rsidR="00853C98" w:rsidRPr="00853C98" w:rsidRDefault="00853C98" w:rsidP="00853C98">
            <w:pPr>
              <w:jc w:val="both"/>
              <w:rPr>
                <w:rFonts w:ascii="Times New Roman" w:hAnsi="Times New Roman"/>
                <w:szCs w:val="24"/>
              </w:rPr>
            </w:pPr>
            <w:r w:rsidRPr="00853C98">
              <w:rPr>
                <w:rFonts w:ascii="Times New Roman" w:hAnsi="Times New Roman"/>
                <w:szCs w:val="24"/>
              </w:rPr>
              <w:t xml:space="preserve">W dziale </w:t>
            </w:r>
            <w:r w:rsidR="003A2035">
              <w:rPr>
                <w:rFonts w:ascii="Times New Roman" w:hAnsi="Times New Roman"/>
                <w:szCs w:val="24"/>
              </w:rPr>
              <w:t xml:space="preserve">tym </w:t>
            </w:r>
            <w:r w:rsidRPr="00853C98">
              <w:rPr>
                <w:rFonts w:ascii="Times New Roman" w:hAnsi="Times New Roman"/>
                <w:szCs w:val="24"/>
              </w:rPr>
              <w:t xml:space="preserve">zostaną także zawarte przepisy o wykonywaniu przez Prezesa UOKiK ww. wniosku bez zbędnej zwłoki </w:t>
            </w:r>
            <w:r w:rsidR="003A2035">
              <w:rPr>
                <w:rFonts w:ascii="Times New Roman" w:hAnsi="Times New Roman"/>
                <w:szCs w:val="24"/>
              </w:rPr>
              <w:br/>
            </w:r>
            <w:r w:rsidRPr="00853C98">
              <w:rPr>
                <w:rFonts w:ascii="Times New Roman" w:hAnsi="Times New Roman"/>
                <w:szCs w:val="24"/>
              </w:rPr>
              <w:t xml:space="preserve">w oparciu o tzw. jednolity instrument, </w:t>
            </w:r>
            <w:r w:rsidR="003A2035">
              <w:rPr>
                <w:rFonts w:ascii="Times New Roman" w:hAnsi="Times New Roman"/>
                <w:szCs w:val="24"/>
              </w:rPr>
              <w:t xml:space="preserve">wskazany w </w:t>
            </w:r>
            <w:r w:rsidRPr="00853C98">
              <w:rPr>
                <w:rFonts w:ascii="Times New Roman" w:hAnsi="Times New Roman"/>
                <w:szCs w:val="24"/>
              </w:rPr>
              <w:t>Dyrektyw</w:t>
            </w:r>
            <w:r w:rsidR="003A2035">
              <w:rPr>
                <w:rFonts w:ascii="Times New Roman" w:hAnsi="Times New Roman"/>
                <w:szCs w:val="24"/>
              </w:rPr>
              <w:t>ie</w:t>
            </w:r>
            <w:r w:rsidRPr="00853C98">
              <w:rPr>
                <w:rFonts w:ascii="Times New Roman" w:hAnsi="Times New Roman"/>
                <w:szCs w:val="24"/>
              </w:rPr>
              <w:t xml:space="preserve">. Warunkiem realizacji wniosku jest sporządzenie go </w:t>
            </w:r>
            <w:r w:rsidR="00133DE6">
              <w:rPr>
                <w:rFonts w:ascii="Times New Roman" w:hAnsi="Times New Roman"/>
                <w:szCs w:val="24"/>
              </w:rPr>
              <w:br/>
            </w:r>
            <w:r w:rsidRPr="00853C98">
              <w:rPr>
                <w:rFonts w:ascii="Times New Roman" w:hAnsi="Times New Roman"/>
                <w:szCs w:val="24"/>
              </w:rPr>
              <w:t>i przesłanie w języku polskim lub innym, uprzednio uzgodnionym przez Prezesa UOKiK i organ wnioskujący. Prezes UOKiK w przypadku niejasności będzie mógł zwracać się do organu wnioskującego o przedstawienie dodatkowych informacji niezbędnych do realizacji wniosku. Odmowa wykonania wniosku będzie możliwa wyłącznie w przypadku gdy wniosek nie spełnia wymogów ustawowych (wynikających z brzmienia Dyrektywy), które mają charakter obligatoryjny lub gdy jego wykonanie jest jawnie sprzeczne z porządkiem prawnym Rzeczypospolitej Polskiej.</w:t>
            </w:r>
          </w:p>
          <w:p w14:paraId="263E2730" w14:textId="0FE65E4F" w:rsidR="00853C98" w:rsidRPr="00853C98" w:rsidRDefault="00853C98" w:rsidP="003A2035">
            <w:pPr>
              <w:ind w:firstLine="741"/>
              <w:jc w:val="both"/>
              <w:rPr>
                <w:rFonts w:ascii="Times New Roman" w:hAnsi="Times New Roman"/>
                <w:szCs w:val="24"/>
              </w:rPr>
            </w:pPr>
            <w:r w:rsidRPr="00853C98">
              <w:rPr>
                <w:rFonts w:ascii="Times New Roman" w:hAnsi="Times New Roman"/>
                <w:szCs w:val="24"/>
              </w:rPr>
              <w:t>Projekt ustawy będzie zakładać możliwość wystąpienia do organu składającego wniosek o pokrycie kosztów działań związanych z realizacją wniosku, w tym kosztów tłumaczeń, pracy i kosztów administracyjnych.</w:t>
            </w:r>
          </w:p>
          <w:p w14:paraId="39721C21" w14:textId="4CA7DF88" w:rsidR="00853C98" w:rsidRPr="00853C98" w:rsidRDefault="00853C98" w:rsidP="00827C2B">
            <w:pPr>
              <w:jc w:val="both"/>
              <w:rPr>
                <w:rFonts w:ascii="Times New Roman" w:hAnsi="Times New Roman"/>
                <w:szCs w:val="24"/>
              </w:rPr>
            </w:pPr>
            <w:r w:rsidRPr="00853C98">
              <w:rPr>
                <w:rFonts w:ascii="Times New Roman" w:hAnsi="Times New Roman"/>
                <w:szCs w:val="24"/>
              </w:rPr>
              <w:t xml:space="preserve">Przewiduje się także, że w projektowanym </w:t>
            </w:r>
            <w:r w:rsidR="003A2035">
              <w:rPr>
                <w:rFonts w:ascii="Times New Roman" w:hAnsi="Times New Roman"/>
                <w:szCs w:val="24"/>
              </w:rPr>
              <w:t xml:space="preserve">nowym </w:t>
            </w:r>
            <w:r w:rsidRPr="00853C98">
              <w:rPr>
                <w:rFonts w:ascii="Times New Roman" w:hAnsi="Times New Roman"/>
                <w:szCs w:val="24"/>
              </w:rPr>
              <w:t>dziale</w:t>
            </w:r>
            <w:r w:rsidR="003A2035">
              <w:rPr>
                <w:rFonts w:ascii="Times New Roman" w:hAnsi="Times New Roman"/>
                <w:szCs w:val="24"/>
              </w:rPr>
              <w:t xml:space="preserve"> </w:t>
            </w:r>
            <w:proofErr w:type="spellStart"/>
            <w:r w:rsidR="003A2035">
              <w:rPr>
                <w:rFonts w:ascii="Times New Roman" w:hAnsi="Times New Roman"/>
                <w:szCs w:val="24"/>
              </w:rPr>
              <w:t>u.o.k.k</w:t>
            </w:r>
            <w:proofErr w:type="spellEnd"/>
            <w:r w:rsidR="003A2035">
              <w:rPr>
                <w:rFonts w:ascii="Times New Roman" w:hAnsi="Times New Roman"/>
                <w:szCs w:val="24"/>
              </w:rPr>
              <w:t xml:space="preserve">. </w:t>
            </w:r>
            <w:r w:rsidRPr="00853C98">
              <w:rPr>
                <w:rFonts w:ascii="Times New Roman" w:hAnsi="Times New Roman"/>
                <w:szCs w:val="24"/>
              </w:rPr>
              <w:t>znajdzie</w:t>
            </w:r>
            <w:r w:rsidR="009D615E">
              <w:rPr>
                <w:rFonts w:ascii="Times New Roman" w:hAnsi="Times New Roman"/>
                <w:szCs w:val="24"/>
              </w:rPr>
              <w:t xml:space="preserve"> się</w:t>
            </w:r>
            <w:r w:rsidRPr="00853C98">
              <w:rPr>
                <w:rFonts w:ascii="Times New Roman" w:hAnsi="Times New Roman"/>
                <w:szCs w:val="24"/>
              </w:rPr>
              <w:t xml:space="preserve"> ustawowa podstawa do występowania przez Prezesa UOKiK z wnioskiem o udzielenie pomocy przez inny organ ochrony konkurencji państwa członkowskiego UE, w tym w zakresie powiadamiania w imieniu Prezesa UOKiK podmiotów</w:t>
            </w:r>
            <w:r w:rsidR="009D615E">
              <w:rPr>
                <w:rFonts w:ascii="Times New Roman" w:hAnsi="Times New Roman"/>
                <w:szCs w:val="24"/>
              </w:rPr>
              <w:t>,</w:t>
            </w:r>
            <w:r w:rsidRPr="00853C98">
              <w:rPr>
                <w:rFonts w:ascii="Times New Roman" w:hAnsi="Times New Roman"/>
                <w:szCs w:val="24"/>
              </w:rPr>
              <w:t xml:space="preserve"> w stosunku do których Prezes Urzędu podjął czynności w ramach sprawowania kontroli nad przestrzeganiem przez przedsiębiorców art. 101 lub art. 102 TFUE, o decyzjach, postanowieniach oraz innych dokumentach dotyczących stosowania art. 101 lub art. 102 TFUE, w tym </w:t>
            </w:r>
            <w:r w:rsidRPr="00853C98">
              <w:rPr>
                <w:rFonts w:ascii="Times New Roman" w:hAnsi="Times New Roman"/>
                <w:szCs w:val="24"/>
              </w:rPr>
              <w:lastRenderedPageBreak/>
              <w:t>dokumentach dotyczących egzekwowania decyzji o nałożeniu kar pieniężnych lub okresowych kar pieniężnych, których adresatami są te podmioty.</w:t>
            </w:r>
          </w:p>
          <w:p w14:paraId="71E961D2" w14:textId="622012DC" w:rsidR="00827C2B" w:rsidRPr="00853C98" w:rsidRDefault="00853C98" w:rsidP="00827C2B">
            <w:pPr>
              <w:spacing w:after="120"/>
              <w:jc w:val="both"/>
              <w:rPr>
                <w:rFonts w:ascii="Times New Roman" w:hAnsi="Times New Roman"/>
                <w:szCs w:val="24"/>
              </w:rPr>
            </w:pPr>
            <w:r w:rsidRPr="00853C98">
              <w:rPr>
                <w:rFonts w:ascii="Times New Roman" w:hAnsi="Times New Roman"/>
                <w:szCs w:val="24"/>
              </w:rPr>
              <w:t xml:space="preserve">Wniosek Prezesa UOKiK o udzielenie pomocy będzie realizowany za pośrednictwem jednolitego instrumentu, w projektowanych przepisach </w:t>
            </w:r>
            <w:r w:rsidR="00827C2B">
              <w:rPr>
                <w:rFonts w:ascii="Times New Roman" w:hAnsi="Times New Roman"/>
                <w:szCs w:val="24"/>
              </w:rPr>
              <w:t xml:space="preserve">nowego </w:t>
            </w:r>
            <w:r w:rsidRPr="00853C98">
              <w:rPr>
                <w:rFonts w:ascii="Times New Roman" w:hAnsi="Times New Roman"/>
                <w:szCs w:val="24"/>
              </w:rPr>
              <w:t>działu</w:t>
            </w:r>
            <w:r w:rsidR="00827C2B">
              <w:rPr>
                <w:rFonts w:ascii="Times New Roman" w:hAnsi="Times New Roman"/>
                <w:szCs w:val="24"/>
              </w:rPr>
              <w:t xml:space="preserve"> </w:t>
            </w:r>
            <w:proofErr w:type="spellStart"/>
            <w:r w:rsidR="00827C2B">
              <w:rPr>
                <w:rFonts w:ascii="Times New Roman" w:hAnsi="Times New Roman"/>
                <w:szCs w:val="24"/>
              </w:rPr>
              <w:t>u.o.k.k</w:t>
            </w:r>
            <w:proofErr w:type="spellEnd"/>
            <w:r w:rsidR="00827C2B">
              <w:rPr>
                <w:rFonts w:ascii="Times New Roman" w:hAnsi="Times New Roman"/>
                <w:szCs w:val="24"/>
              </w:rPr>
              <w:t>.</w:t>
            </w:r>
            <w:r w:rsidRPr="00853C98">
              <w:rPr>
                <w:rFonts w:ascii="Times New Roman" w:hAnsi="Times New Roman"/>
                <w:szCs w:val="24"/>
              </w:rPr>
              <w:t xml:space="preserve"> znajdą się także regulacje dotyczące obowiązku sporządzania tłumaczeń dokumentów na język obcy na potrzeby rozpatrzenia wniosku przez organ, do występuje Prezes UOKiK oraz o kosztach jakie ponosi Prezes w związku z realizacją takiego wniosku.</w:t>
            </w:r>
          </w:p>
          <w:p w14:paraId="4E8E39C7" w14:textId="19869469" w:rsidR="00853C98" w:rsidRPr="00827C2B" w:rsidRDefault="006F6F98" w:rsidP="000E6A14">
            <w:pPr>
              <w:pStyle w:val="Akapitzlist"/>
              <w:numPr>
                <w:ilvl w:val="0"/>
                <w:numId w:val="14"/>
              </w:numPr>
              <w:spacing w:before="120" w:after="120"/>
              <w:jc w:val="both"/>
              <w:rPr>
                <w:rFonts w:ascii="Times New Roman" w:hAnsi="Times New Roman"/>
                <w:b/>
                <w:i/>
                <w:szCs w:val="24"/>
              </w:rPr>
            </w:pPr>
            <w:r>
              <w:rPr>
                <w:rFonts w:ascii="Times New Roman" w:hAnsi="Times New Roman"/>
                <w:b/>
                <w:i/>
                <w:szCs w:val="24"/>
              </w:rPr>
              <w:t>W</w:t>
            </w:r>
            <w:r w:rsidR="00853C98" w:rsidRPr="00827C2B">
              <w:rPr>
                <w:rFonts w:ascii="Times New Roman" w:hAnsi="Times New Roman"/>
                <w:b/>
                <w:i/>
                <w:szCs w:val="24"/>
              </w:rPr>
              <w:t>spółpraca w zakresie egzekucji decyzji o nałożeniu kar pieniężnych</w:t>
            </w:r>
          </w:p>
          <w:p w14:paraId="414B6C39" w14:textId="1B4D28B6" w:rsidR="00853C98" w:rsidRPr="00853C98" w:rsidRDefault="00853C98" w:rsidP="0059392E">
            <w:pPr>
              <w:ind w:firstLine="743"/>
              <w:jc w:val="both"/>
              <w:rPr>
                <w:rFonts w:ascii="Times New Roman" w:hAnsi="Times New Roman"/>
                <w:szCs w:val="24"/>
              </w:rPr>
            </w:pPr>
            <w:r w:rsidRPr="00853C98">
              <w:rPr>
                <w:rFonts w:ascii="Times New Roman" w:hAnsi="Times New Roman"/>
                <w:szCs w:val="24"/>
              </w:rPr>
              <w:t xml:space="preserve">W projektowanym </w:t>
            </w:r>
            <w:r w:rsidR="0008605F">
              <w:rPr>
                <w:rFonts w:ascii="Times New Roman" w:hAnsi="Times New Roman"/>
                <w:szCs w:val="24"/>
              </w:rPr>
              <w:t xml:space="preserve">nowym </w:t>
            </w:r>
            <w:r w:rsidRPr="00853C98">
              <w:rPr>
                <w:rFonts w:ascii="Times New Roman" w:hAnsi="Times New Roman"/>
                <w:szCs w:val="24"/>
              </w:rPr>
              <w:t xml:space="preserve">dziale </w:t>
            </w:r>
            <w:proofErr w:type="spellStart"/>
            <w:r w:rsidRPr="00853C98">
              <w:rPr>
                <w:rFonts w:ascii="Times New Roman" w:hAnsi="Times New Roman"/>
                <w:szCs w:val="24"/>
              </w:rPr>
              <w:t>u</w:t>
            </w:r>
            <w:r w:rsidR="0008605F">
              <w:rPr>
                <w:rFonts w:ascii="Times New Roman" w:hAnsi="Times New Roman"/>
                <w:szCs w:val="24"/>
              </w:rPr>
              <w:t>.o.k.k</w:t>
            </w:r>
            <w:proofErr w:type="spellEnd"/>
            <w:r w:rsidR="0008605F">
              <w:rPr>
                <w:rFonts w:ascii="Times New Roman" w:hAnsi="Times New Roman"/>
                <w:szCs w:val="24"/>
              </w:rPr>
              <w:t xml:space="preserve">. </w:t>
            </w:r>
            <w:r w:rsidRPr="00853C98">
              <w:rPr>
                <w:rFonts w:ascii="Times New Roman" w:hAnsi="Times New Roman"/>
                <w:szCs w:val="24"/>
              </w:rPr>
              <w:t>zostaną t</w:t>
            </w:r>
            <w:r w:rsidR="00236024">
              <w:rPr>
                <w:rFonts w:ascii="Times New Roman" w:hAnsi="Times New Roman"/>
                <w:szCs w:val="24"/>
              </w:rPr>
              <w:t>eż</w:t>
            </w:r>
            <w:r w:rsidRPr="00853C98">
              <w:rPr>
                <w:rFonts w:ascii="Times New Roman" w:hAnsi="Times New Roman"/>
                <w:szCs w:val="24"/>
              </w:rPr>
              <w:t xml:space="preserve"> zawarte przepisy</w:t>
            </w:r>
            <w:r w:rsidR="00236024">
              <w:rPr>
                <w:rFonts w:ascii="Times New Roman" w:hAnsi="Times New Roman"/>
                <w:szCs w:val="24"/>
              </w:rPr>
              <w:t>,</w:t>
            </w:r>
            <w:r w:rsidRPr="00853C98">
              <w:rPr>
                <w:rFonts w:ascii="Times New Roman" w:hAnsi="Times New Roman"/>
                <w:szCs w:val="24"/>
              </w:rPr>
              <w:t xml:space="preserve"> dotyczące wzajemnej w egzekucji kar nałożonych w związku z prowadzeniem postępowań w sprawie naruszenia art. 101 i 102 TFUE. Regulacja ta będzie </w:t>
            </w:r>
            <w:r w:rsidR="0059392E">
              <w:rPr>
                <w:rFonts w:ascii="Times New Roman" w:hAnsi="Times New Roman"/>
                <w:szCs w:val="24"/>
              </w:rPr>
              <w:br/>
            </w:r>
            <w:r w:rsidRPr="00853C98">
              <w:rPr>
                <w:rFonts w:ascii="Times New Roman" w:hAnsi="Times New Roman"/>
                <w:szCs w:val="24"/>
              </w:rPr>
              <w:t xml:space="preserve">w istotnej części powielała rozwiązania przyjęte w ustawie z dnia 10 czerwca 2016 r. </w:t>
            </w:r>
            <w:r w:rsidRPr="00236024">
              <w:rPr>
                <w:rFonts w:ascii="Times New Roman" w:hAnsi="Times New Roman"/>
                <w:i/>
                <w:szCs w:val="24"/>
              </w:rPr>
              <w:t xml:space="preserve">o delegowaniu pracowników </w:t>
            </w:r>
            <w:r w:rsidR="0059392E">
              <w:rPr>
                <w:rFonts w:ascii="Times New Roman" w:hAnsi="Times New Roman"/>
                <w:i/>
                <w:szCs w:val="24"/>
              </w:rPr>
              <w:br/>
            </w:r>
            <w:r w:rsidRPr="00236024">
              <w:rPr>
                <w:rFonts w:ascii="Times New Roman" w:hAnsi="Times New Roman"/>
                <w:i/>
                <w:szCs w:val="24"/>
              </w:rPr>
              <w:t>w ramach świadczenia usług</w:t>
            </w:r>
            <w:r w:rsidRPr="00853C98">
              <w:rPr>
                <w:rFonts w:ascii="Times New Roman" w:hAnsi="Times New Roman"/>
                <w:szCs w:val="24"/>
              </w:rPr>
              <w:t xml:space="preserve"> (Dz. U. z 2018 r. </w:t>
            </w:r>
            <w:proofErr w:type="spellStart"/>
            <w:r w:rsidRPr="00853C98">
              <w:rPr>
                <w:rFonts w:ascii="Times New Roman" w:hAnsi="Times New Roman"/>
                <w:szCs w:val="24"/>
              </w:rPr>
              <w:t>poz</w:t>
            </w:r>
            <w:proofErr w:type="spellEnd"/>
            <w:r w:rsidRPr="00853C98">
              <w:rPr>
                <w:rFonts w:ascii="Times New Roman" w:hAnsi="Times New Roman"/>
                <w:szCs w:val="24"/>
              </w:rPr>
              <w:t xml:space="preserve"> 2206), wdrażającej dyrektywę 2014/67 </w:t>
            </w:r>
            <w:r w:rsidRPr="00236024">
              <w:rPr>
                <w:rFonts w:ascii="Times New Roman" w:hAnsi="Times New Roman"/>
                <w:i/>
                <w:szCs w:val="24"/>
              </w:rPr>
              <w:t>w sprawie egzekwowania dyrektywy 96/71 WE dotyczącej  delegowania pracowników w ramach świadczenia usług</w:t>
            </w:r>
            <w:r w:rsidRPr="00853C98">
              <w:rPr>
                <w:rFonts w:ascii="Times New Roman" w:hAnsi="Times New Roman"/>
                <w:szCs w:val="24"/>
              </w:rPr>
              <w:t xml:space="preserve">, w tym przepisy rozdziału VI w zakresie transgranicznego egzekwowania administracyjnych kar pieniężnych lub grzywien administracyjnych. Ustawa </w:t>
            </w:r>
            <w:r w:rsidRPr="00236024">
              <w:rPr>
                <w:rFonts w:ascii="Times New Roman" w:hAnsi="Times New Roman"/>
                <w:i/>
                <w:szCs w:val="24"/>
              </w:rPr>
              <w:t xml:space="preserve">o delegowaniu pracowników w ramach świadczenia usług </w:t>
            </w:r>
            <w:r w:rsidRPr="00853C98">
              <w:rPr>
                <w:rFonts w:ascii="Times New Roman" w:hAnsi="Times New Roman"/>
                <w:szCs w:val="24"/>
              </w:rPr>
              <w:t>w art. 17-23 szczegółowo reguluje procedurę realizacji wniosków organów innych państw członkowskich o powiadomienie właściwych podmiotów o decyzji o nałożeniu kary pieniężnej i wniosków o egzekucję takich kar.</w:t>
            </w:r>
          </w:p>
          <w:p w14:paraId="6846773A" w14:textId="48A9875A" w:rsidR="00061CF9" w:rsidRDefault="00853C98" w:rsidP="0059392E">
            <w:pPr>
              <w:pStyle w:val="mcntmsonormal1"/>
              <w:spacing w:line="276" w:lineRule="auto"/>
              <w:ind w:firstLine="741"/>
              <w:jc w:val="both"/>
              <w:rPr>
                <w:sz w:val="22"/>
              </w:rPr>
            </w:pPr>
            <w:r w:rsidRPr="00853C98">
              <w:rPr>
                <w:sz w:val="22"/>
              </w:rPr>
              <w:t>Regulacje proceduralne zawarte projek</w:t>
            </w:r>
            <w:r w:rsidR="0037754C">
              <w:rPr>
                <w:sz w:val="22"/>
              </w:rPr>
              <w:t xml:space="preserve">cie w tym zakresie </w:t>
            </w:r>
            <w:r w:rsidRPr="00853C98">
              <w:rPr>
                <w:sz w:val="22"/>
              </w:rPr>
              <w:t xml:space="preserve">opierałyby się na następujących założeniach (wynikających zasadniczo wprost z brzmienia </w:t>
            </w:r>
            <w:r w:rsidR="0037754C">
              <w:rPr>
                <w:sz w:val="22"/>
              </w:rPr>
              <w:t>Dyrektywy:</w:t>
            </w:r>
          </w:p>
          <w:p w14:paraId="70ADBF4E" w14:textId="0945CE34" w:rsidR="004E5A51" w:rsidRDefault="003806B9" w:rsidP="003D48AB">
            <w:pPr>
              <w:jc w:val="both"/>
              <w:rPr>
                <w:rFonts w:ascii="Times New Roman" w:hAnsi="Times New Roman"/>
                <w:b/>
                <w:bCs/>
                <w:szCs w:val="24"/>
              </w:rPr>
            </w:pPr>
            <w:r>
              <w:rPr>
                <w:rFonts w:ascii="Times New Roman" w:hAnsi="Times New Roman"/>
                <w:b/>
                <w:bCs/>
                <w:noProof/>
                <w:szCs w:val="24"/>
                <w:lang w:eastAsia="pl-PL"/>
              </w:rPr>
              <w:drawing>
                <wp:anchor distT="0" distB="0" distL="114300" distR="114300" simplePos="0" relativeHeight="251667456" behindDoc="0" locked="0" layoutInCell="1" allowOverlap="1" wp14:anchorId="2A7784F4" wp14:editId="73AA13FC">
                  <wp:simplePos x="0" y="0"/>
                  <wp:positionH relativeFrom="column">
                    <wp:posOffset>601980</wp:posOffset>
                  </wp:positionH>
                  <wp:positionV relativeFrom="paragraph">
                    <wp:posOffset>2540</wp:posOffset>
                  </wp:positionV>
                  <wp:extent cx="5480050" cy="3790950"/>
                  <wp:effectExtent l="0" t="0" r="635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iagram (1).jpg"/>
                          <pic:cNvPicPr/>
                        </pic:nvPicPr>
                        <pic:blipFill>
                          <a:blip r:embed="rId9">
                            <a:extLst>
                              <a:ext uri="{28A0092B-C50C-407E-A947-70E740481C1C}">
                                <a14:useLocalDpi xmlns:a14="http://schemas.microsoft.com/office/drawing/2010/main" val="0"/>
                              </a:ext>
                            </a:extLst>
                          </a:blip>
                          <a:stretch>
                            <a:fillRect/>
                          </a:stretch>
                        </pic:blipFill>
                        <pic:spPr>
                          <a:xfrm>
                            <a:off x="0" y="0"/>
                            <a:ext cx="5480050" cy="3790950"/>
                          </a:xfrm>
                          <a:prstGeom prst="rect">
                            <a:avLst/>
                          </a:prstGeom>
                        </pic:spPr>
                      </pic:pic>
                    </a:graphicData>
                  </a:graphic>
                  <wp14:sizeRelH relativeFrom="margin">
                    <wp14:pctWidth>0</wp14:pctWidth>
                  </wp14:sizeRelH>
                  <wp14:sizeRelV relativeFrom="margin">
                    <wp14:pctHeight>0</wp14:pctHeight>
                  </wp14:sizeRelV>
                </wp:anchor>
              </w:drawing>
            </w:r>
          </w:p>
          <w:p w14:paraId="11F42104" w14:textId="0D8A1F13" w:rsidR="002876B8" w:rsidRDefault="002876B8" w:rsidP="003D48AB">
            <w:pPr>
              <w:jc w:val="both"/>
              <w:rPr>
                <w:rFonts w:ascii="Times New Roman" w:hAnsi="Times New Roman"/>
                <w:szCs w:val="24"/>
              </w:rPr>
            </w:pPr>
          </w:p>
          <w:p w14:paraId="5DBC7118" w14:textId="57607911" w:rsidR="002876B8" w:rsidRDefault="002876B8" w:rsidP="003D48AB">
            <w:pPr>
              <w:jc w:val="both"/>
              <w:rPr>
                <w:rFonts w:ascii="Times New Roman" w:hAnsi="Times New Roman"/>
                <w:szCs w:val="24"/>
              </w:rPr>
            </w:pPr>
          </w:p>
          <w:p w14:paraId="6C407664" w14:textId="62FF1237" w:rsidR="002876B8" w:rsidRDefault="002876B8" w:rsidP="003D48AB">
            <w:pPr>
              <w:jc w:val="both"/>
              <w:rPr>
                <w:rFonts w:ascii="Times New Roman" w:hAnsi="Times New Roman"/>
                <w:szCs w:val="24"/>
              </w:rPr>
            </w:pPr>
          </w:p>
          <w:p w14:paraId="371E96D1" w14:textId="47229A52" w:rsidR="002876B8" w:rsidRDefault="002876B8" w:rsidP="003D48AB">
            <w:pPr>
              <w:jc w:val="both"/>
              <w:rPr>
                <w:rFonts w:ascii="Times New Roman" w:hAnsi="Times New Roman"/>
                <w:szCs w:val="24"/>
              </w:rPr>
            </w:pPr>
          </w:p>
          <w:p w14:paraId="4B03E9EC" w14:textId="1E3D509B" w:rsidR="002876B8" w:rsidRDefault="002876B8" w:rsidP="003D48AB">
            <w:pPr>
              <w:jc w:val="both"/>
              <w:rPr>
                <w:rFonts w:ascii="Times New Roman" w:hAnsi="Times New Roman"/>
                <w:szCs w:val="24"/>
              </w:rPr>
            </w:pPr>
          </w:p>
          <w:p w14:paraId="439FE84F" w14:textId="4A6F0DEB" w:rsidR="002876B8" w:rsidRDefault="002876B8" w:rsidP="003D48AB">
            <w:pPr>
              <w:jc w:val="both"/>
              <w:rPr>
                <w:rFonts w:ascii="Times New Roman" w:hAnsi="Times New Roman"/>
                <w:szCs w:val="24"/>
              </w:rPr>
            </w:pPr>
          </w:p>
          <w:p w14:paraId="5A316D45" w14:textId="3163EEE5" w:rsidR="002876B8" w:rsidRDefault="002876B8" w:rsidP="003D48AB">
            <w:pPr>
              <w:jc w:val="both"/>
              <w:rPr>
                <w:rFonts w:ascii="Times New Roman" w:hAnsi="Times New Roman"/>
                <w:szCs w:val="24"/>
              </w:rPr>
            </w:pPr>
          </w:p>
          <w:p w14:paraId="09BAE4A4" w14:textId="54592258" w:rsidR="002876B8" w:rsidRDefault="002876B8" w:rsidP="003D48AB">
            <w:pPr>
              <w:jc w:val="both"/>
              <w:rPr>
                <w:rFonts w:ascii="Times New Roman" w:hAnsi="Times New Roman"/>
                <w:szCs w:val="24"/>
              </w:rPr>
            </w:pPr>
          </w:p>
          <w:p w14:paraId="3977024B" w14:textId="48A38B8F" w:rsidR="002876B8" w:rsidRDefault="002876B8" w:rsidP="003D48AB">
            <w:pPr>
              <w:jc w:val="both"/>
              <w:rPr>
                <w:rFonts w:ascii="Times New Roman" w:hAnsi="Times New Roman"/>
                <w:szCs w:val="24"/>
              </w:rPr>
            </w:pPr>
          </w:p>
          <w:p w14:paraId="7F98057D" w14:textId="20E83467" w:rsidR="002876B8" w:rsidRDefault="002876B8" w:rsidP="003D48AB">
            <w:pPr>
              <w:jc w:val="both"/>
              <w:rPr>
                <w:rFonts w:ascii="Times New Roman" w:hAnsi="Times New Roman"/>
                <w:szCs w:val="24"/>
              </w:rPr>
            </w:pPr>
          </w:p>
          <w:p w14:paraId="4EB40937" w14:textId="4C993A66" w:rsidR="002876B8" w:rsidRDefault="002876B8" w:rsidP="003D48AB">
            <w:pPr>
              <w:jc w:val="both"/>
              <w:rPr>
                <w:rFonts w:ascii="Times New Roman" w:hAnsi="Times New Roman"/>
                <w:szCs w:val="24"/>
              </w:rPr>
            </w:pPr>
          </w:p>
          <w:p w14:paraId="01118C86" w14:textId="1B623A10" w:rsidR="002876B8" w:rsidRDefault="002876B8" w:rsidP="003D48AB">
            <w:pPr>
              <w:jc w:val="both"/>
              <w:rPr>
                <w:rFonts w:ascii="Times New Roman" w:hAnsi="Times New Roman"/>
                <w:szCs w:val="24"/>
              </w:rPr>
            </w:pPr>
          </w:p>
          <w:p w14:paraId="13A8DA61" w14:textId="3966E0BB" w:rsidR="002876B8" w:rsidRDefault="002876B8" w:rsidP="003D48AB">
            <w:pPr>
              <w:jc w:val="both"/>
              <w:rPr>
                <w:rFonts w:ascii="Times New Roman" w:hAnsi="Times New Roman"/>
                <w:szCs w:val="24"/>
              </w:rPr>
            </w:pPr>
          </w:p>
          <w:p w14:paraId="3E30BBF1" w14:textId="283C38DC" w:rsidR="002876B8" w:rsidRDefault="002876B8" w:rsidP="003D48AB">
            <w:pPr>
              <w:jc w:val="both"/>
              <w:rPr>
                <w:rFonts w:ascii="Times New Roman" w:hAnsi="Times New Roman"/>
                <w:szCs w:val="24"/>
              </w:rPr>
            </w:pPr>
          </w:p>
          <w:p w14:paraId="11F5D21E" w14:textId="32ADDB9F" w:rsidR="002876B8" w:rsidRDefault="002876B8" w:rsidP="003D48AB">
            <w:pPr>
              <w:jc w:val="both"/>
              <w:rPr>
                <w:rFonts w:ascii="Times New Roman" w:hAnsi="Times New Roman"/>
                <w:szCs w:val="24"/>
              </w:rPr>
            </w:pPr>
          </w:p>
          <w:p w14:paraId="43E328C0" w14:textId="1AA72491" w:rsidR="002876B8" w:rsidRDefault="002876B8" w:rsidP="003D48AB">
            <w:pPr>
              <w:jc w:val="both"/>
              <w:rPr>
                <w:rFonts w:ascii="Times New Roman" w:hAnsi="Times New Roman"/>
                <w:szCs w:val="24"/>
              </w:rPr>
            </w:pPr>
          </w:p>
          <w:p w14:paraId="02064ECA" w14:textId="60EFBB5A" w:rsidR="002876B8" w:rsidRDefault="002876B8" w:rsidP="003D48AB">
            <w:pPr>
              <w:jc w:val="both"/>
              <w:rPr>
                <w:rFonts w:ascii="Times New Roman" w:hAnsi="Times New Roman"/>
                <w:szCs w:val="24"/>
              </w:rPr>
            </w:pPr>
          </w:p>
          <w:p w14:paraId="49A7B0AB" w14:textId="115FDFFC" w:rsidR="002876B8" w:rsidRDefault="002876B8" w:rsidP="003D48AB">
            <w:pPr>
              <w:jc w:val="both"/>
              <w:rPr>
                <w:rFonts w:ascii="Times New Roman" w:hAnsi="Times New Roman"/>
                <w:szCs w:val="24"/>
              </w:rPr>
            </w:pPr>
          </w:p>
          <w:p w14:paraId="1E64C36E" w14:textId="4D5C25AB" w:rsidR="002876B8" w:rsidRDefault="002876B8" w:rsidP="003D48AB">
            <w:pPr>
              <w:jc w:val="both"/>
              <w:rPr>
                <w:rFonts w:ascii="Times New Roman" w:hAnsi="Times New Roman"/>
                <w:szCs w:val="24"/>
              </w:rPr>
            </w:pPr>
          </w:p>
          <w:p w14:paraId="0C353547" w14:textId="7410465A" w:rsidR="002876B8" w:rsidRDefault="002876B8" w:rsidP="003D48AB">
            <w:pPr>
              <w:jc w:val="both"/>
              <w:rPr>
                <w:rFonts w:ascii="Times New Roman" w:hAnsi="Times New Roman"/>
                <w:szCs w:val="24"/>
              </w:rPr>
            </w:pPr>
          </w:p>
          <w:p w14:paraId="55969BE1" w14:textId="2F67EA86" w:rsidR="002876B8" w:rsidRDefault="003806B9" w:rsidP="003D48AB">
            <w:pPr>
              <w:jc w:val="both"/>
              <w:rPr>
                <w:rFonts w:ascii="Times New Roman" w:hAnsi="Times New Roman"/>
                <w:szCs w:val="24"/>
              </w:rPr>
            </w:pPr>
            <w:r>
              <w:rPr>
                <w:rFonts w:ascii="Times New Roman" w:hAnsi="Times New Roman"/>
                <w:b/>
                <w:bCs/>
                <w:noProof/>
                <w:szCs w:val="24"/>
                <w:lang w:eastAsia="pl-PL"/>
              </w:rPr>
              <w:lastRenderedPageBreak/>
              <w:drawing>
                <wp:anchor distT="0" distB="0" distL="114300" distR="114300" simplePos="0" relativeHeight="251668480" behindDoc="0" locked="0" layoutInCell="1" allowOverlap="1" wp14:anchorId="0B899887" wp14:editId="2D8F682C">
                  <wp:simplePos x="0" y="0"/>
                  <wp:positionH relativeFrom="column">
                    <wp:posOffset>1256030</wp:posOffset>
                  </wp:positionH>
                  <wp:positionV relativeFrom="paragraph">
                    <wp:posOffset>103505</wp:posOffset>
                  </wp:positionV>
                  <wp:extent cx="4171950" cy="549021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Diagram (2).jpg"/>
                          <pic:cNvPicPr/>
                        </pic:nvPicPr>
                        <pic:blipFill>
                          <a:blip r:embed="rId10">
                            <a:extLst>
                              <a:ext uri="{28A0092B-C50C-407E-A947-70E740481C1C}">
                                <a14:useLocalDpi xmlns:a14="http://schemas.microsoft.com/office/drawing/2010/main" val="0"/>
                              </a:ext>
                            </a:extLst>
                          </a:blip>
                          <a:stretch>
                            <a:fillRect/>
                          </a:stretch>
                        </pic:blipFill>
                        <pic:spPr>
                          <a:xfrm>
                            <a:off x="0" y="0"/>
                            <a:ext cx="4171950" cy="5490210"/>
                          </a:xfrm>
                          <a:prstGeom prst="rect">
                            <a:avLst/>
                          </a:prstGeom>
                        </pic:spPr>
                      </pic:pic>
                    </a:graphicData>
                  </a:graphic>
                  <wp14:sizeRelH relativeFrom="margin">
                    <wp14:pctWidth>0</wp14:pctWidth>
                  </wp14:sizeRelH>
                  <wp14:sizeRelV relativeFrom="margin">
                    <wp14:pctHeight>0</wp14:pctHeight>
                  </wp14:sizeRelV>
                </wp:anchor>
              </w:drawing>
            </w:r>
          </w:p>
          <w:p w14:paraId="6F6A469B" w14:textId="75D08DBC" w:rsidR="002876B8" w:rsidRDefault="002876B8" w:rsidP="003D48AB">
            <w:pPr>
              <w:jc w:val="both"/>
              <w:rPr>
                <w:rFonts w:ascii="Times New Roman" w:hAnsi="Times New Roman"/>
                <w:szCs w:val="24"/>
              </w:rPr>
            </w:pPr>
          </w:p>
          <w:p w14:paraId="7E5B657E" w14:textId="77777777" w:rsidR="002876B8" w:rsidRDefault="002876B8" w:rsidP="003D48AB">
            <w:pPr>
              <w:jc w:val="both"/>
              <w:rPr>
                <w:rFonts w:ascii="Times New Roman" w:hAnsi="Times New Roman"/>
                <w:szCs w:val="24"/>
              </w:rPr>
            </w:pPr>
          </w:p>
          <w:p w14:paraId="3C9725F3" w14:textId="4DA21176" w:rsidR="002876B8" w:rsidRDefault="002876B8" w:rsidP="003D48AB">
            <w:pPr>
              <w:jc w:val="both"/>
              <w:rPr>
                <w:rFonts w:ascii="Times New Roman" w:hAnsi="Times New Roman"/>
                <w:szCs w:val="24"/>
              </w:rPr>
            </w:pPr>
          </w:p>
          <w:p w14:paraId="0D90CE28" w14:textId="77777777" w:rsidR="002876B8" w:rsidRDefault="002876B8" w:rsidP="003D48AB">
            <w:pPr>
              <w:jc w:val="both"/>
              <w:rPr>
                <w:rFonts w:ascii="Times New Roman" w:hAnsi="Times New Roman"/>
                <w:szCs w:val="24"/>
              </w:rPr>
            </w:pPr>
          </w:p>
          <w:p w14:paraId="767BF85F" w14:textId="77777777" w:rsidR="002876B8" w:rsidRDefault="002876B8" w:rsidP="003D48AB">
            <w:pPr>
              <w:jc w:val="both"/>
              <w:rPr>
                <w:rFonts w:ascii="Times New Roman" w:hAnsi="Times New Roman"/>
                <w:szCs w:val="24"/>
              </w:rPr>
            </w:pPr>
          </w:p>
          <w:p w14:paraId="13ECE79C" w14:textId="77777777" w:rsidR="002876B8" w:rsidRDefault="002876B8" w:rsidP="003D48AB">
            <w:pPr>
              <w:jc w:val="both"/>
              <w:rPr>
                <w:rFonts w:ascii="Times New Roman" w:hAnsi="Times New Roman"/>
                <w:szCs w:val="24"/>
              </w:rPr>
            </w:pPr>
          </w:p>
          <w:p w14:paraId="354AD6A5" w14:textId="77777777" w:rsidR="002876B8" w:rsidRDefault="002876B8" w:rsidP="003D48AB">
            <w:pPr>
              <w:jc w:val="both"/>
              <w:rPr>
                <w:rFonts w:ascii="Times New Roman" w:hAnsi="Times New Roman"/>
                <w:szCs w:val="24"/>
              </w:rPr>
            </w:pPr>
          </w:p>
          <w:p w14:paraId="4A07D500" w14:textId="77777777" w:rsidR="002876B8" w:rsidRDefault="002876B8" w:rsidP="003D48AB">
            <w:pPr>
              <w:jc w:val="both"/>
              <w:rPr>
                <w:rFonts w:ascii="Times New Roman" w:hAnsi="Times New Roman"/>
                <w:szCs w:val="24"/>
              </w:rPr>
            </w:pPr>
          </w:p>
          <w:p w14:paraId="29B76451" w14:textId="77777777" w:rsidR="002876B8" w:rsidRDefault="002876B8" w:rsidP="003D48AB">
            <w:pPr>
              <w:jc w:val="both"/>
              <w:rPr>
                <w:rFonts w:ascii="Times New Roman" w:hAnsi="Times New Roman"/>
                <w:szCs w:val="24"/>
              </w:rPr>
            </w:pPr>
          </w:p>
          <w:p w14:paraId="653DAC6A" w14:textId="77777777" w:rsidR="002876B8" w:rsidRDefault="002876B8" w:rsidP="003D48AB">
            <w:pPr>
              <w:jc w:val="both"/>
              <w:rPr>
                <w:rFonts w:ascii="Times New Roman" w:hAnsi="Times New Roman"/>
                <w:szCs w:val="24"/>
              </w:rPr>
            </w:pPr>
          </w:p>
          <w:p w14:paraId="15D9D1F7" w14:textId="77777777" w:rsidR="002876B8" w:rsidRDefault="002876B8" w:rsidP="003D48AB">
            <w:pPr>
              <w:jc w:val="both"/>
              <w:rPr>
                <w:rFonts w:ascii="Times New Roman" w:hAnsi="Times New Roman"/>
                <w:szCs w:val="24"/>
              </w:rPr>
            </w:pPr>
          </w:p>
          <w:p w14:paraId="47EA6586" w14:textId="77777777" w:rsidR="002876B8" w:rsidRDefault="002876B8" w:rsidP="003D48AB">
            <w:pPr>
              <w:jc w:val="both"/>
              <w:rPr>
                <w:rFonts w:ascii="Times New Roman" w:hAnsi="Times New Roman"/>
                <w:szCs w:val="24"/>
              </w:rPr>
            </w:pPr>
          </w:p>
          <w:p w14:paraId="37C08618" w14:textId="77777777" w:rsidR="002876B8" w:rsidRDefault="002876B8" w:rsidP="003D48AB">
            <w:pPr>
              <w:jc w:val="both"/>
              <w:rPr>
                <w:rFonts w:ascii="Times New Roman" w:hAnsi="Times New Roman"/>
                <w:szCs w:val="24"/>
              </w:rPr>
            </w:pPr>
          </w:p>
          <w:p w14:paraId="3A7A58F6" w14:textId="77777777" w:rsidR="003806B9" w:rsidRDefault="003806B9" w:rsidP="00425FA4">
            <w:pPr>
              <w:ind w:firstLine="741"/>
              <w:jc w:val="both"/>
              <w:rPr>
                <w:rFonts w:ascii="Times New Roman" w:hAnsi="Times New Roman"/>
                <w:szCs w:val="24"/>
              </w:rPr>
            </w:pPr>
          </w:p>
          <w:p w14:paraId="4105050F" w14:textId="77777777" w:rsidR="003806B9" w:rsidRDefault="003806B9" w:rsidP="00425FA4">
            <w:pPr>
              <w:ind w:firstLine="741"/>
              <w:jc w:val="both"/>
              <w:rPr>
                <w:rFonts w:ascii="Times New Roman" w:hAnsi="Times New Roman"/>
                <w:szCs w:val="24"/>
              </w:rPr>
            </w:pPr>
          </w:p>
          <w:p w14:paraId="275F7EEB" w14:textId="77777777" w:rsidR="003806B9" w:rsidRDefault="003806B9" w:rsidP="00425FA4">
            <w:pPr>
              <w:ind w:firstLine="741"/>
              <w:jc w:val="both"/>
              <w:rPr>
                <w:rFonts w:ascii="Times New Roman" w:hAnsi="Times New Roman"/>
                <w:szCs w:val="24"/>
              </w:rPr>
            </w:pPr>
          </w:p>
          <w:p w14:paraId="05203D32" w14:textId="77777777" w:rsidR="003806B9" w:rsidRDefault="003806B9" w:rsidP="00425FA4">
            <w:pPr>
              <w:ind w:firstLine="741"/>
              <w:jc w:val="both"/>
              <w:rPr>
                <w:rFonts w:ascii="Times New Roman" w:hAnsi="Times New Roman"/>
                <w:szCs w:val="24"/>
              </w:rPr>
            </w:pPr>
          </w:p>
          <w:p w14:paraId="488FC670" w14:textId="77777777" w:rsidR="003806B9" w:rsidRDefault="003806B9" w:rsidP="00425FA4">
            <w:pPr>
              <w:ind w:firstLine="741"/>
              <w:jc w:val="both"/>
              <w:rPr>
                <w:rFonts w:ascii="Times New Roman" w:hAnsi="Times New Roman"/>
                <w:szCs w:val="24"/>
              </w:rPr>
            </w:pPr>
          </w:p>
          <w:p w14:paraId="3323DB2A" w14:textId="77777777" w:rsidR="003806B9" w:rsidRDefault="003806B9" w:rsidP="00425FA4">
            <w:pPr>
              <w:ind w:firstLine="741"/>
              <w:jc w:val="both"/>
              <w:rPr>
                <w:rFonts w:ascii="Times New Roman" w:hAnsi="Times New Roman"/>
                <w:szCs w:val="24"/>
              </w:rPr>
            </w:pPr>
          </w:p>
          <w:p w14:paraId="4B9E48AB" w14:textId="77777777" w:rsidR="003806B9" w:rsidRDefault="003806B9" w:rsidP="00425FA4">
            <w:pPr>
              <w:ind w:firstLine="741"/>
              <w:jc w:val="both"/>
              <w:rPr>
                <w:rFonts w:ascii="Times New Roman" w:hAnsi="Times New Roman"/>
                <w:szCs w:val="24"/>
              </w:rPr>
            </w:pPr>
          </w:p>
          <w:p w14:paraId="239E1454" w14:textId="77777777" w:rsidR="003806B9" w:rsidRDefault="003806B9" w:rsidP="00425FA4">
            <w:pPr>
              <w:ind w:firstLine="741"/>
              <w:jc w:val="both"/>
              <w:rPr>
                <w:rFonts w:ascii="Times New Roman" w:hAnsi="Times New Roman"/>
                <w:szCs w:val="24"/>
              </w:rPr>
            </w:pPr>
          </w:p>
          <w:p w14:paraId="4F5315D4" w14:textId="77777777" w:rsidR="003806B9" w:rsidRDefault="003806B9" w:rsidP="00425FA4">
            <w:pPr>
              <w:ind w:firstLine="741"/>
              <w:jc w:val="both"/>
              <w:rPr>
                <w:rFonts w:ascii="Times New Roman" w:hAnsi="Times New Roman"/>
                <w:szCs w:val="24"/>
              </w:rPr>
            </w:pPr>
          </w:p>
          <w:p w14:paraId="647C72C2" w14:textId="77777777" w:rsidR="003806B9" w:rsidRDefault="003806B9" w:rsidP="00425FA4">
            <w:pPr>
              <w:ind w:firstLine="741"/>
              <w:jc w:val="both"/>
              <w:rPr>
                <w:rFonts w:ascii="Times New Roman" w:hAnsi="Times New Roman"/>
                <w:szCs w:val="24"/>
              </w:rPr>
            </w:pPr>
          </w:p>
          <w:p w14:paraId="0685EFBD" w14:textId="77777777" w:rsidR="003806B9" w:rsidRDefault="003806B9" w:rsidP="00425FA4">
            <w:pPr>
              <w:ind w:firstLine="741"/>
              <w:jc w:val="both"/>
              <w:rPr>
                <w:rFonts w:ascii="Times New Roman" w:hAnsi="Times New Roman"/>
                <w:szCs w:val="24"/>
              </w:rPr>
            </w:pPr>
          </w:p>
          <w:p w14:paraId="62985874" w14:textId="77777777" w:rsidR="003806B9" w:rsidRDefault="003806B9" w:rsidP="00425FA4">
            <w:pPr>
              <w:ind w:firstLine="741"/>
              <w:jc w:val="both"/>
              <w:rPr>
                <w:rFonts w:ascii="Times New Roman" w:hAnsi="Times New Roman"/>
                <w:szCs w:val="24"/>
              </w:rPr>
            </w:pPr>
          </w:p>
          <w:p w14:paraId="01FE3895" w14:textId="77777777" w:rsidR="001953A5" w:rsidRDefault="001953A5" w:rsidP="00425FA4">
            <w:pPr>
              <w:ind w:firstLine="741"/>
              <w:jc w:val="both"/>
              <w:rPr>
                <w:rFonts w:ascii="Times New Roman" w:hAnsi="Times New Roman"/>
                <w:szCs w:val="24"/>
              </w:rPr>
            </w:pPr>
          </w:p>
          <w:p w14:paraId="33F5F6AC" w14:textId="77777777" w:rsidR="001953A5" w:rsidRDefault="001953A5" w:rsidP="00425FA4">
            <w:pPr>
              <w:ind w:firstLine="741"/>
              <w:jc w:val="both"/>
              <w:rPr>
                <w:rFonts w:ascii="Times New Roman" w:hAnsi="Times New Roman"/>
                <w:szCs w:val="24"/>
              </w:rPr>
            </w:pPr>
          </w:p>
          <w:p w14:paraId="1D1F900C" w14:textId="77777777" w:rsidR="001953A5" w:rsidRDefault="001953A5" w:rsidP="00425FA4">
            <w:pPr>
              <w:ind w:firstLine="741"/>
              <w:jc w:val="both"/>
              <w:rPr>
                <w:rFonts w:ascii="Times New Roman" w:hAnsi="Times New Roman"/>
                <w:szCs w:val="24"/>
              </w:rPr>
            </w:pPr>
          </w:p>
          <w:p w14:paraId="33AD7C08" w14:textId="77777777" w:rsidR="001953A5" w:rsidRDefault="001953A5" w:rsidP="00425FA4">
            <w:pPr>
              <w:ind w:firstLine="741"/>
              <w:jc w:val="both"/>
              <w:rPr>
                <w:rFonts w:ascii="Times New Roman" w:hAnsi="Times New Roman"/>
                <w:szCs w:val="24"/>
              </w:rPr>
            </w:pPr>
          </w:p>
          <w:p w14:paraId="313B6425" w14:textId="77777777" w:rsidR="001953A5" w:rsidRDefault="001953A5" w:rsidP="00425FA4">
            <w:pPr>
              <w:ind w:firstLine="741"/>
              <w:jc w:val="both"/>
              <w:rPr>
                <w:rFonts w:ascii="Times New Roman" w:hAnsi="Times New Roman"/>
                <w:szCs w:val="24"/>
              </w:rPr>
            </w:pPr>
          </w:p>
          <w:p w14:paraId="3F7A7768" w14:textId="77777777" w:rsidR="00346EE0" w:rsidRPr="003D48AB" w:rsidRDefault="00346EE0" w:rsidP="00346EE0">
            <w:pPr>
              <w:ind w:firstLine="741"/>
              <w:jc w:val="both"/>
              <w:rPr>
                <w:rFonts w:ascii="Times New Roman" w:hAnsi="Times New Roman"/>
                <w:szCs w:val="24"/>
              </w:rPr>
            </w:pPr>
            <w:r w:rsidRPr="003D48AB">
              <w:rPr>
                <w:rFonts w:ascii="Times New Roman" w:hAnsi="Times New Roman"/>
                <w:szCs w:val="24"/>
              </w:rPr>
              <w:t xml:space="preserve">Niezbędne </w:t>
            </w:r>
            <w:r>
              <w:rPr>
                <w:rFonts w:ascii="Times New Roman" w:hAnsi="Times New Roman"/>
                <w:szCs w:val="24"/>
              </w:rPr>
              <w:t>jest</w:t>
            </w:r>
            <w:r w:rsidRPr="003D48AB">
              <w:rPr>
                <w:rFonts w:ascii="Times New Roman" w:hAnsi="Times New Roman"/>
                <w:szCs w:val="24"/>
              </w:rPr>
              <w:t xml:space="preserve"> także wprowadzenie zmian w ustawie</w:t>
            </w:r>
            <w:r>
              <w:rPr>
                <w:rFonts w:ascii="Times New Roman" w:hAnsi="Times New Roman"/>
                <w:szCs w:val="24"/>
              </w:rPr>
              <w:t xml:space="preserve"> z dnia 17 czerwca 1966 r.</w:t>
            </w:r>
            <w:r w:rsidRPr="003D48AB">
              <w:rPr>
                <w:rFonts w:ascii="Times New Roman" w:hAnsi="Times New Roman"/>
                <w:szCs w:val="24"/>
              </w:rPr>
              <w:t xml:space="preserve"> </w:t>
            </w:r>
            <w:r w:rsidRPr="00E23D13">
              <w:rPr>
                <w:rFonts w:ascii="Times New Roman" w:hAnsi="Times New Roman"/>
                <w:i/>
                <w:szCs w:val="24"/>
              </w:rPr>
              <w:t>o postępowaniu egzekucyjnym w administracji</w:t>
            </w:r>
            <w:r>
              <w:rPr>
                <w:rFonts w:ascii="Times New Roman" w:hAnsi="Times New Roman"/>
                <w:szCs w:val="24"/>
              </w:rPr>
              <w:t xml:space="preserve"> (</w:t>
            </w:r>
            <w:r w:rsidRPr="00E23D13">
              <w:rPr>
                <w:rFonts w:ascii="Times New Roman" w:hAnsi="Times New Roman"/>
                <w:szCs w:val="24"/>
              </w:rPr>
              <w:t>Dz. U. z 2020 r. poz. 1427,</w:t>
            </w:r>
            <w:r>
              <w:rPr>
                <w:rFonts w:ascii="Times New Roman" w:hAnsi="Times New Roman"/>
                <w:szCs w:val="24"/>
              </w:rPr>
              <w:t xml:space="preserve"> z </w:t>
            </w:r>
            <w:proofErr w:type="spellStart"/>
            <w:r>
              <w:rPr>
                <w:rFonts w:ascii="Times New Roman" w:hAnsi="Times New Roman"/>
                <w:szCs w:val="24"/>
              </w:rPr>
              <w:t>późn</w:t>
            </w:r>
            <w:proofErr w:type="spellEnd"/>
            <w:r>
              <w:rPr>
                <w:rFonts w:ascii="Times New Roman" w:hAnsi="Times New Roman"/>
                <w:szCs w:val="24"/>
              </w:rPr>
              <w:t>. zm.)</w:t>
            </w:r>
            <w:r w:rsidRPr="003D48AB">
              <w:rPr>
                <w:rFonts w:ascii="Times New Roman" w:hAnsi="Times New Roman"/>
                <w:szCs w:val="24"/>
              </w:rPr>
              <w:t>, które będą stanowić podstawę do realizacji przez organy egzekucyjne wskazane w tej ustawie wniosków organów zagranicznych o egzekucję kar pieniężnych lub okresowych kar pieniężnych, po uprzednim pozytywnym zweryfikowaniu tych wniosków przez Prezesa UOKiK.</w:t>
            </w:r>
          </w:p>
          <w:p w14:paraId="5843B4BC" w14:textId="77777777" w:rsidR="00346EE0" w:rsidRDefault="00346EE0" w:rsidP="00346EE0">
            <w:pPr>
              <w:ind w:firstLine="741"/>
              <w:jc w:val="both"/>
              <w:rPr>
                <w:rFonts w:ascii="Times New Roman" w:hAnsi="Times New Roman"/>
                <w:szCs w:val="24"/>
              </w:rPr>
            </w:pPr>
            <w:r w:rsidRPr="003D48AB">
              <w:rPr>
                <w:rFonts w:ascii="Times New Roman" w:hAnsi="Times New Roman"/>
                <w:szCs w:val="24"/>
              </w:rPr>
              <w:t>Dodatkow</w:t>
            </w:r>
            <w:r>
              <w:rPr>
                <w:rFonts w:ascii="Times New Roman" w:hAnsi="Times New Roman"/>
                <w:szCs w:val="24"/>
              </w:rPr>
              <w:t>o,</w:t>
            </w:r>
            <w:r w:rsidRPr="003D48AB">
              <w:rPr>
                <w:rFonts w:ascii="Times New Roman" w:hAnsi="Times New Roman"/>
                <w:szCs w:val="24"/>
              </w:rPr>
              <w:t xml:space="preserve"> w związku z wprowadzeniem nowej procedury w zakresie realizacji wniosków o pomoc, konieczne </w:t>
            </w:r>
            <w:r>
              <w:rPr>
                <w:rFonts w:ascii="Times New Roman" w:hAnsi="Times New Roman"/>
                <w:szCs w:val="24"/>
              </w:rPr>
              <w:t xml:space="preserve">jest </w:t>
            </w:r>
            <w:r w:rsidRPr="003D48AB">
              <w:rPr>
                <w:rFonts w:ascii="Times New Roman" w:hAnsi="Times New Roman"/>
                <w:szCs w:val="24"/>
              </w:rPr>
              <w:t>zawarcie zarówno w</w:t>
            </w:r>
            <w:r>
              <w:rPr>
                <w:rFonts w:ascii="Times New Roman" w:hAnsi="Times New Roman"/>
                <w:szCs w:val="24"/>
              </w:rPr>
              <w:t xml:space="preserve"> </w:t>
            </w:r>
            <w:proofErr w:type="spellStart"/>
            <w:r>
              <w:rPr>
                <w:rFonts w:ascii="Times New Roman" w:hAnsi="Times New Roman"/>
                <w:szCs w:val="24"/>
              </w:rPr>
              <w:t>u.o.k.k</w:t>
            </w:r>
            <w:proofErr w:type="spellEnd"/>
            <w:r>
              <w:rPr>
                <w:rFonts w:ascii="Times New Roman" w:hAnsi="Times New Roman"/>
                <w:szCs w:val="24"/>
              </w:rPr>
              <w:t>.</w:t>
            </w:r>
            <w:r w:rsidRPr="003D48AB">
              <w:rPr>
                <w:rFonts w:ascii="Times New Roman" w:hAnsi="Times New Roman"/>
                <w:szCs w:val="24"/>
              </w:rPr>
              <w:t xml:space="preserve">, jak i w </w:t>
            </w:r>
            <w:r>
              <w:rPr>
                <w:rFonts w:ascii="Times New Roman" w:hAnsi="Times New Roman"/>
                <w:szCs w:val="24"/>
              </w:rPr>
              <w:t xml:space="preserve">KPC </w:t>
            </w:r>
            <w:r w:rsidRPr="003D48AB">
              <w:rPr>
                <w:rFonts w:ascii="Times New Roman" w:hAnsi="Times New Roman"/>
                <w:szCs w:val="24"/>
              </w:rPr>
              <w:t>regulacji</w:t>
            </w:r>
            <w:r>
              <w:rPr>
                <w:rFonts w:ascii="Times New Roman" w:hAnsi="Times New Roman"/>
                <w:szCs w:val="24"/>
              </w:rPr>
              <w:t xml:space="preserve">, </w:t>
            </w:r>
            <w:r w:rsidRPr="003D48AB">
              <w:rPr>
                <w:rFonts w:ascii="Times New Roman" w:hAnsi="Times New Roman"/>
                <w:szCs w:val="24"/>
              </w:rPr>
              <w:t xml:space="preserve">dających podstawę </w:t>
            </w:r>
            <w:proofErr w:type="spellStart"/>
            <w:r w:rsidRPr="003D48AB">
              <w:rPr>
                <w:rFonts w:ascii="Times New Roman" w:hAnsi="Times New Roman"/>
                <w:szCs w:val="24"/>
              </w:rPr>
              <w:t>SOKiK</w:t>
            </w:r>
            <w:proofErr w:type="spellEnd"/>
            <w:r w:rsidRPr="003D48AB">
              <w:rPr>
                <w:rFonts w:ascii="Times New Roman" w:hAnsi="Times New Roman"/>
                <w:szCs w:val="24"/>
              </w:rPr>
              <w:t xml:space="preserve"> do rozstrzygania zażaleń w przedmiocie:</w:t>
            </w:r>
          </w:p>
          <w:p w14:paraId="38798170" w14:textId="77777777" w:rsidR="00346EE0" w:rsidRPr="004B383A" w:rsidRDefault="00346EE0" w:rsidP="00346EE0">
            <w:pPr>
              <w:pStyle w:val="Akapitzlist"/>
              <w:numPr>
                <w:ilvl w:val="0"/>
                <w:numId w:val="17"/>
              </w:numPr>
              <w:ind w:left="644"/>
              <w:jc w:val="both"/>
              <w:rPr>
                <w:rFonts w:ascii="Times New Roman" w:hAnsi="Times New Roman"/>
                <w:szCs w:val="24"/>
              </w:rPr>
            </w:pPr>
            <w:r w:rsidRPr="004B383A">
              <w:rPr>
                <w:rFonts w:ascii="Times New Roman" w:hAnsi="Times New Roman"/>
                <w:szCs w:val="24"/>
              </w:rPr>
              <w:t xml:space="preserve">ważności powiadomień dokonanych przez Prezesa UOKiK na wniosek innego organu na podstawie przepisów nowoprojektowanego działu </w:t>
            </w:r>
            <w:proofErr w:type="spellStart"/>
            <w:r w:rsidRPr="004B383A">
              <w:rPr>
                <w:rFonts w:ascii="Times New Roman" w:hAnsi="Times New Roman"/>
                <w:szCs w:val="24"/>
              </w:rPr>
              <w:t>u.o.k.k</w:t>
            </w:r>
            <w:proofErr w:type="spellEnd"/>
            <w:r w:rsidRPr="004B383A">
              <w:rPr>
                <w:rFonts w:ascii="Times New Roman" w:hAnsi="Times New Roman"/>
                <w:szCs w:val="24"/>
              </w:rPr>
              <w:t>,</w:t>
            </w:r>
          </w:p>
          <w:p w14:paraId="28678A2B" w14:textId="77777777" w:rsidR="00346EE0" w:rsidRPr="004B383A" w:rsidRDefault="00346EE0" w:rsidP="00346EE0">
            <w:pPr>
              <w:pStyle w:val="Akapitzlist"/>
              <w:numPr>
                <w:ilvl w:val="0"/>
                <w:numId w:val="17"/>
              </w:numPr>
              <w:ind w:left="644"/>
              <w:jc w:val="both"/>
              <w:rPr>
                <w:rFonts w:ascii="Times New Roman" w:hAnsi="Times New Roman"/>
                <w:szCs w:val="24"/>
              </w:rPr>
            </w:pPr>
            <w:r w:rsidRPr="004B383A">
              <w:rPr>
                <w:rFonts w:ascii="Times New Roman" w:hAnsi="Times New Roman"/>
                <w:szCs w:val="24"/>
              </w:rPr>
              <w:t>zgodności z prawem decyzji, postanowień i innych aktów administracyjnych wydawanych przez Prezesa UOKiK, w przypadku gdy z wnioskiem o pomoc dotyczącego ww. dokumentów zwraca się Prezes UOKiK,</w:t>
            </w:r>
          </w:p>
          <w:p w14:paraId="272C5D5A" w14:textId="77777777" w:rsidR="00346EE0" w:rsidRDefault="00346EE0" w:rsidP="00346EE0">
            <w:pPr>
              <w:pStyle w:val="Akapitzlist"/>
              <w:numPr>
                <w:ilvl w:val="0"/>
                <w:numId w:val="17"/>
              </w:numPr>
              <w:ind w:left="644"/>
              <w:jc w:val="both"/>
              <w:rPr>
                <w:rFonts w:ascii="Times New Roman" w:hAnsi="Times New Roman"/>
                <w:szCs w:val="24"/>
              </w:rPr>
            </w:pPr>
            <w:r w:rsidRPr="004B383A">
              <w:rPr>
                <w:rFonts w:ascii="Times New Roman" w:hAnsi="Times New Roman"/>
                <w:szCs w:val="24"/>
              </w:rPr>
              <w:t>zgodności z prawem jednolitego instrumentu, jeżeli organem składającym wniosek o pomoc jest Prezes UOKiK</w:t>
            </w:r>
            <w:r>
              <w:rPr>
                <w:rFonts w:ascii="Times New Roman" w:hAnsi="Times New Roman"/>
                <w:szCs w:val="24"/>
              </w:rPr>
              <w:t>.</w:t>
            </w:r>
          </w:p>
          <w:p w14:paraId="6C061557" w14:textId="77777777" w:rsidR="00346EE0" w:rsidRPr="009310FA" w:rsidRDefault="00346EE0" w:rsidP="00346EE0">
            <w:pPr>
              <w:jc w:val="both"/>
              <w:rPr>
                <w:rFonts w:ascii="Times New Roman" w:hAnsi="Times New Roman"/>
              </w:rPr>
            </w:pPr>
            <w:r w:rsidRPr="00346EE0">
              <w:rPr>
                <w:rFonts w:ascii="Times New Roman" w:hAnsi="Times New Roman"/>
                <w:szCs w:val="24"/>
              </w:rPr>
              <w:t xml:space="preserve">Z kolei spory związane z </w:t>
            </w:r>
            <w:r w:rsidRPr="009310FA">
              <w:rPr>
                <w:rFonts w:ascii="Times New Roman" w:hAnsi="Times New Roman"/>
              </w:rPr>
              <w:t>czynnościami podejmowanymi w postępowaniu egzekucyjnym, w związku z realizacją wniosku  organu ochrony konkurencji innego państwa członkowskiego UE o pomoc w wyegzekwowaniu kar pieniężnych lub okresowych kar pieniężnych będą rozstrzygane w oparciu o obowiązujące przepisy ustawy o postępowaniu egzekucyjnym w administracji oraz zgodnie z regulacjami Prawa o postępowania przed sądami administracyjnymi.</w:t>
            </w:r>
          </w:p>
          <w:p w14:paraId="1BE9AD08" w14:textId="1A6EE6CA" w:rsidR="00D64A73" w:rsidRPr="00F977A2" w:rsidRDefault="00D64A73" w:rsidP="000E6A14">
            <w:pPr>
              <w:pStyle w:val="mcntmsonormal1"/>
              <w:numPr>
                <w:ilvl w:val="0"/>
                <w:numId w:val="3"/>
              </w:numPr>
              <w:spacing w:before="120" w:after="120" w:line="276" w:lineRule="auto"/>
              <w:rPr>
                <w:b/>
              </w:rPr>
            </w:pPr>
            <w:r w:rsidRPr="00D64A73">
              <w:rPr>
                <w:b/>
                <w:sz w:val="22"/>
                <w:szCs w:val="22"/>
                <w:lang w:eastAsia="en-US"/>
              </w:rPr>
              <w:t>Zmiany, wynikające z wyroku Trybunału Konstytucyjnego z dnia 16 stycznia 2019 r.</w:t>
            </w:r>
            <w:r>
              <w:rPr>
                <w:b/>
                <w:sz w:val="22"/>
                <w:szCs w:val="22"/>
                <w:lang w:eastAsia="en-US"/>
              </w:rPr>
              <w:t xml:space="preserve"> (</w:t>
            </w:r>
            <w:r w:rsidRPr="00D64A73">
              <w:rPr>
                <w:b/>
                <w:sz w:val="22"/>
                <w:szCs w:val="22"/>
                <w:lang w:eastAsia="en-US"/>
              </w:rPr>
              <w:t xml:space="preserve"> sygn. P 19/17</w:t>
            </w:r>
            <w:r>
              <w:rPr>
                <w:b/>
                <w:sz w:val="22"/>
                <w:szCs w:val="22"/>
                <w:lang w:eastAsia="en-US"/>
              </w:rPr>
              <w:t>)</w:t>
            </w:r>
          </w:p>
          <w:p w14:paraId="337DE066" w14:textId="77777777" w:rsidR="00E15C71" w:rsidRDefault="001953A5" w:rsidP="001953A5">
            <w:pPr>
              <w:ind w:firstLine="741"/>
              <w:jc w:val="both"/>
              <w:rPr>
                <w:rFonts w:ascii="Times New Roman" w:hAnsi="Times New Roman"/>
                <w:szCs w:val="24"/>
              </w:rPr>
            </w:pPr>
            <w:r w:rsidRPr="001953A5">
              <w:rPr>
                <w:rFonts w:ascii="Times New Roman" w:hAnsi="Times New Roman"/>
                <w:szCs w:val="24"/>
              </w:rPr>
              <w:t xml:space="preserve">W celu dostosowania </w:t>
            </w:r>
            <w:proofErr w:type="spellStart"/>
            <w:r w:rsidRPr="001953A5">
              <w:rPr>
                <w:rFonts w:ascii="Times New Roman" w:hAnsi="Times New Roman"/>
                <w:szCs w:val="24"/>
              </w:rPr>
              <w:t>u</w:t>
            </w:r>
            <w:r w:rsidR="00E01AD0">
              <w:rPr>
                <w:rFonts w:ascii="Times New Roman" w:hAnsi="Times New Roman"/>
                <w:szCs w:val="24"/>
              </w:rPr>
              <w:t>.o.k.k</w:t>
            </w:r>
            <w:proofErr w:type="spellEnd"/>
            <w:r w:rsidR="00E01AD0">
              <w:rPr>
                <w:rFonts w:ascii="Times New Roman" w:hAnsi="Times New Roman"/>
                <w:szCs w:val="24"/>
              </w:rPr>
              <w:t xml:space="preserve">. do ww. </w:t>
            </w:r>
            <w:r w:rsidRPr="001953A5">
              <w:rPr>
                <w:rFonts w:ascii="Times New Roman" w:hAnsi="Times New Roman"/>
                <w:szCs w:val="24"/>
              </w:rPr>
              <w:t>wyroku Trybunału Konstytucyjnego</w:t>
            </w:r>
            <w:r w:rsidR="00E01AD0">
              <w:rPr>
                <w:rFonts w:ascii="Times New Roman" w:hAnsi="Times New Roman"/>
                <w:szCs w:val="24"/>
              </w:rPr>
              <w:t xml:space="preserve"> </w:t>
            </w:r>
            <w:r w:rsidRPr="001953A5">
              <w:rPr>
                <w:rFonts w:ascii="Times New Roman" w:hAnsi="Times New Roman"/>
                <w:szCs w:val="24"/>
              </w:rPr>
              <w:t>zaproponowano nową procedurę zaskarżania oraz doręczania postanowienia sądu w przedmiocie wniosku organu o zgodę na przeprowadzenie przeszukania</w:t>
            </w:r>
            <w:r w:rsidR="00E01AD0">
              <w:rPr>
                <w:rFonts w:ascii="Times New Roman" w:hAnsi="Times New Roman"/>
                <w:szCs w:val="24"/>
              </w:rPr>
              <w:t>:</w:t>
            </w:r>
          </w:p>
          <w:p w14:paraId="6C1DBD57" w14:textId="4A0B6DBE" w:rsidR="00E01AD0" w:rsidRPr="00E15C71" w:rsidRDefault="00E01AD0" w:rsidP="000E6A14">
            <w:pPr>
              <w:pStyle w:val="Akapitzlist"/>
              <w:numPr>
                <w:ilvl w:val="0"/>
                <w:numId w:val="18"/>
              </w:numPr>
              <w:jc w:val="both"/>
              <w:rPr>
                <w:rFonts w:ascii="Times New Roman" w:hAnsi="Times New Roman"/>
                <w:szCs w:val="24"/>
              </w:rPr>
            </w:pPr>
            <w:r w:rsidRPr="00E15C71">
              <w:rPr>
                <w:rFonts w:ascii="Times New Roman" w:hAnsi="Times New Roman"/>
                <w:szCs w:val="24"/>
              </w:rPr>
              <w:t>w</w:t>
            </w:r>
            <w:r w:rsidR="001953A5" w:rsidRPr="00E15C71">
              <w:rPr>
                <w:rFonts w:ascii="Times New Roman" w:hAnsi="Times New Roman"/>
                <w:szCs w:val="24"/>
              </w:rPr>
              <w:t>ydłużono z 48 do 72 godzin termin dla sądu ochrony konkurencji i konsumentów do rozpatrzenia wniosku Prezesa Urzędu</w:t>
            </w:r>
            <w:r w:rsidRPr="00E15C71">
              <w:rPr>
                <w:rFonts w:ascii="Times New Roman" w:hAnsi="Times New Roman"/>
                <w:szCs w:val="24"/>
              </w:rPr>
              <w:t>,</w:t>
            </w:r>
          </w:p>
          <w:p w14:paraId="5EA89AFF" w14:textId="313A34DB" w:rsidR="00CA4613" w:rsidRPr="00E15C71" w:rsidRDefault="00E01AD0" w:rsidP="000E6A14">
            <w:pPr>
              <w:pStyle w:val="Akapitzlist"/>
              <w:numPr>
                <w:ilvl w:val="0"/>
                <w:numId w:val="18"/>
              </w:numPr>
              <w:jc w:val="both"/>
              <w:rPr>
                <w:rFonts w:ascii="Times New Roman" w:hAnsi="Times New Roman"/>
                <w:szCs w:val="24"/>
              </w:rPr>
            </w:pPr>
            <w:r w:rsidRPr="00E15C71">
              <w:rPr>
                <w:rFonts w:ascii="Times New Roman" w:hAnsi="Times New Roman"/>
                <w:szCs w:val="24"/>
              </w:rPr>
              <w:lastRenderedPageBreak/>
              <w:t>z</w:t>
            </w:r>
            <w:r w:rsidR="001953A5" w:rsidRPr="00E15C71">
              <w:rPr>
                <w:rFonts w:ascii="Times New Roman" w:hAnsi="Times New Roman"/>
                <w:szCs w:val="24"/>
              </w:rPr>
              <w:t>aproponowano regulację zgodnie z którą przeszukiwanemu przysługuje zażalenie na postanowienie sądu o wyrażeniu zgody na przeprowadzenie przeszukania</w:t>
            </w:r>
            <w:r w:rsidR="00CA4613" w:rsidRPr="00E15C71">
              <w:rPr>
                <w:rFonts w:ascii="Times New Roman" w:hAnsi="Times New Roman"/>
                <w:szCs w:val="24"/>
              </w:rPr>
              <w:t xml:space="preserve"> - s</w:t>
            </w:r>
            <w:r w:rsidR="001953A5" w:rsidRPr="00E15C71">
              <w:rPr>
                <w:rFonts w:ascii="Times New Roman" w:hAnsi="Times New Roman"/>
                <w:szCs w:val="24"/>
              </w:rPr>
              <w:t xml:space="preserve">ąd będzie uprawniony do uwzględnienia wniosku Prezesa </w:t>
            </w:r>
            <w:r w:rsidR="00E15C71">
              <w:rPr>
                <w:rFonts w:ascii="Times New Roman" w:hAnsi="Times New Roman"/>
                <w:szCs w:val="24"/>
              </w:rPr>
              <w:br/>
            </w:r>
            <w:r w:rsidR="001953A5" w:rsidRPr="00E15C71">
              <w:rPr>
                <w:rFonts w:ascii="Times New Roman" w:hAnsi="Times New Roman"/>
                <w:szCs w:val="24"/>
              </w:rPr>
              <w:t>w całości lub jego oddalenia w całości. W przypadku odmowy udzielenia zgody na przeprowadzenie przeszukania, sąd będzie zobowiązany uzasadnić postanowienie o odmowie udzielenia zgody na przeprowadzenie przeszukania z urzędu, w terminie 5 dni od jego wydania</w:t>
            </w:r>
            <w:r w:rsidR="00CA4613" w:rsidRPr="00E15C71">
              <w:rPr>
                <w:rFonts w:ascii="Times New Roman" w:hAnsi="Times New Roman"/>
                <w:szCs w:val="24"/>
              </w:rPr>
              <w:t>,</w:t>
            </w:r>
          </w:p>
          <w:p w14:paraId="280C0944" w14:textId="70CDC1BE" w:rsidR="00CD4AB9" w:rsidRPr="00E15C71" w:rsidRDefault="00CA4613" w:rsidP="000E6A14">
            <w:pPr>
              <w:pStyle w:val="Akapitzlist"/>
              <w:numPr>
                <w:ilvl w:val="0"/>
                <w:numId w:val="18"/>
              </w:numPr>
              <w:jc w:val="both"/>
              <w:rPr>
                <w:rFonts w:ascii="Times New Roman" w:hAnsi="Times New Roman"/>
                <w:szCs w:val="24"/>
              </w:rPr>
            </w:pPr>
            <w:r w:rsidRPr="00E15C71">
              <w:rPr>
                <w:rFonts w:ascii="Times New Roman" w:hAnsi="Times New Roman"/>
                <w:szCs w:val="24"/>
              </w:rPr>
              <w:t>z</w:t>
            </w:r>
            <w:r w:rsidR="001953A5" w:rsidRPr="00E15C71">
              <w:rPr>
                <w:rFonts w:ascii="Times New Roman" w:hAnsi="Times New Roman"/>
                <w:szCs w:val="24"/>
              </w:rPr>
              <w:t>aproponowano regulację, zgodnie z którą</w:t>
            </w:r>
            <w:r w:rsidRPr="00E15C71">
              <w:rPr>
                <w:rFonts w:ascii="Times New Roman" w:hAnsi="Times New Roman"/>
                <w:szCs w:val="24"/>
              </w:rPr>
              <w:t xml:space="preserve">, </w:t>
            </w:r>
            <w:r w:rsidR="001953A5" w:rsidRPr="00E15C71">
              <w:rPr>
                <w:rFonts w:ascii="Times New Roman" w:hAnsi="Times New Roman"/>
                <w:szCs w:val="24"/>
              </w:rPr>
              <w:t xml:space="preserve">w przypadku gdy odmowa udzielenia zgody na przeszukanie wynika z braku wystarczającego uzasadnienia wniosku w części, sąd będzie zobowiązany wskazać w uzasadnieniu, </w:t>
            </w:r>
            <w:r w:rsidR="000F7A69">
              <w:rPr>
                <w:rFonts w:ascii="Times New Roman" w:hAnsi="Times New Roman"/>
                <w:szCs w:val="24"/>
              </w:rPr>
              <w:br/>
            </w:r>
            <w:r w:rsidR="001953A5" w:rsidRPr="00E15C71">
              <w:rPr>
                <w:rFonts w:ascii="Times New Roman" w:hAnsi="Times New Roman"/>
                <w:szCs w:val="24"/>
              </w:rPr>
              <w:t>w jakiej części wniosek o udzielenie zgody na przeszukanie nie wyjaśniał dostatecznie podstaw do prowadzenia przeszukania. W takiej sytuacji</w:t>
            </w:r>
            <w:r w:rsidRPr="00E15C71">
              <w:rPr>
                <w:rFonts w:ascii="Times New Roman" w:hAnsi="Times New Roman"/>
                <w:szCs w:val="24"/>
              </w:rPr>
              <w:t xml:space="preserve"> </w:t>
            </w:r>
            <w:r w:rsidR="001953A5" w:rsidRPr="00E15C71">
              <w:rPr>
                <w:rFonts w:ascii="Times New Roman" w:hAnsi="Times New Roman"/>
                <w:szCs w:val="24"/>
              </w:rPr>
              <w:t>Prezes</w:t>
            </w:r>
            <w:r w:rsidRPr="00E15C71">
              <w:rPr>
                <w:rFonts w:ascii="Times New Roman" w:hAnsi="Times New Roman"/>
                <w:szCs w:val="24"/>
              </w:rPr>
              <w:t xml:space="preserve"> </w:t>
            </w:r>
            <w:r w:rsidR="001953A5" w:rsidRPr="00E15C71">
              <w:rPr>
                <w:rFonts w:ascii="Times New Roman" w:hAnsi="Times New Roman"/>
                <w:szCs w:val="24"/>
              </w:rPr>
              <w:t xml:space="preserve">Urzędu będzie uprawniony do przedstawienia nowego wniosku o wyrażenie zgody na przeszukanie, uwzględniającego treść postanowienia o odmowie udzielenia zgody na przeprowadzenie przeszukania lub wskazujący na dalsze okoliczności faktyczne lub prawne uzasadniające przeprowadzenie przeszukania. </w:t>
            </w:r>
          </w:p>
          <w:p w14:paraId="1FAC8E35" w14:textId="77777777" w:rsidR="000F7A69" w:rsidRDefault="00CD4AB9" w:rsidP="000F7A69">
            <w:pPr>
              <w:ind w:firstLine="741"/>
              <w:jc w:val="both"/>
              <w:rPr>
                <w:rFonts w:ascii="Times New Roman" w:hAnsi="Times New Roman"/>
                <w:szCs w:val="24"/>
              </w:rPr>
            </w:pPr>
            <w:r>
              <w:rPr>
                <w:rFonts w:ascii="Times New Roman" w:hAnsi="Times New Roman"/>
                <w:szCs w:val="24"/>
              </w:rPr>
              <w:t xml:space="preserve">W </w:t>
            </w:r>
            <w:r w:rsidR="001953A5" w:rsidRPr="001953A5">
              <w:rPr>
                <w:rFonts w:ascii="Times New Roman" w:hAnsi="Times New Roman"/>
                <w:szCs w:val="24"/>
              </w:rPr>
              <w:t>projek</w:t>
            </w:r>
            <w:r>
              <w:rPr>
                <w:rFonts w:ascii="Times New Roman" w:hAnsi="Times New Roman"/>
                <w:szCs w:val="24"/>
              </w:rPr>
              <w:t xml:space="preserve">cie </w:t>
            </w:r>
            <w:r w:rsidR="001953A5" w:rsidRPr="001953A5">
              <w:rPr>
                <w:rFonts w:ascii="Times New Roman" w:hAnsi="Times New Roman"/>
                <w:szCs w:val="24"/>
              </w:rPr>
              <w:t>uregulowano</w:t>
            </w:r>
            <w:r>
              <w:rPr>
                <w:rFonts w:ascii="Times New Roman" w:hAnsi="Times New Roman"/>
                <w:szCs w:val="24"/>
              </w:rPr>
              <w:t xml:space="preserve"> też</w:t>
            </w:r>
            <w:r w:rsidR="001953A5" w:rsidRPr="001953A5">
              <w:rPr>
                <w:rFonts w:ascii="Times New Roman" w:hAnsi="Times New Roman"/>
                <w:szCs w:val="24"/>
              </w:rPr>
              <w:t xml:space="preserve"> pozostałe kwestie związane z m.in. doręczaniem postanowienia sądu. Proponuje się, aby</w:t>
            </w:r>
            <w:r w:rsidR="000F7A69">
              <w:rPr>
                <w:rFonts w:ascii="Times New Roman" w:hAnsi="Times New Roman"/>
                <w:szCs w:val="24"/>
              </w:rPr>
              <w:t xml:space="preserve">: </w:t>
            </w:r>
          </w:p>
          <w:p w14:paraId="7ED75DEB" w14:textId="77777777" w:rsidR="000F7A69" w:rsidRPr="001D45CC" w:rsidRDefault="001953A5" w:rsidP="000E6A14">
            <w:pPr>
              <w:pStyle w:val="Akapitzlist"/>
              <w:numPr>
                <w:ilvl w:val="0"/>
                <w:numId w:val="19"/>
              </w:numPr>
              <w:jc w:val="both"/>
              <w:rPr>
                <w:rFonts w:ascii="Times New Roman" w:hAnsi="Times New Roman"/>
                <w:szCs w:val="24"/>
              </w:rPr>
            </w:pPr>
            <w:r w:rsidRPr="001D45CC">
              <w:rPr>
                <w:rFonts w:ascii="Times New Roman" w:hAnsi="Times New Roman"/>
                <w:szCs w:val="24"/>
              </w:rPr>
              <w:t>sąd zawiadamiał Prezesa Urzędu niezwłocznie o wydaniu postanowienia</w:t>
            </w:r>
            <w:r w:rsidR="0089473D" w:rsidRPr="001D45CC">
              <w:rPr>
                <w:rFonts w:ascii="Times New Roman" w:hAnsi="Times New Roman"/>
                <w:szCs w:val="24"/>
              </w:rPr>
              <w:t>, z</w:t>
            </w:r>
            <w:r w:rsidRPr="001D45CC">
              <w:rPr>
                <w:rFonts w:ascii="Times New Roman" w:hAnsi="Times New Roman"/>
                <w:szCs w:val="24"/>
              </w:rPr>
              <w:t>aś odpis tego postanowienia był wydawany przez sąd upoważnionemu pracownikowi Urzędu osobiście</w:t>
            </w:r>
            <w:r w:rsidR="000F7A69" w:rsidRPr="001D45CC">
              <w:rPr>
                <w:rFonts w:ascii="Times New Roman" w:hAnsi="Times New Roman"/>
                <w:szCs w:val="24"/>
              </w:rPr>
              <w:t>,</w:t>
            </w:r>
          </w:p>
          <w:p w14:paraId="3DA8D3E4" w14:textId="77777777" w:rsidR="000F7A69" w:rsidRPr="001D45CC" w:rsidRDefault="001953A5" w:rsidP="000E6A14">
            <w:pPr>
              <w:pStyle w:val="Akapitzlist"/>
              <w:numPr>
                <w:ilvl w:val="0"/>
                <w:numId w:val="19"/>
              </w:numPr>
              <w:jc w:val="both"/>
              <w:rPr>
                <w:rFonts w:ascii="Times New Roman" w:hAnsi="Times New Roman"/>
                <w:szCs w:val="24"/>
              </w:rPr>
            </w:pPr>
            <w:r w:rsidRPr="001D45CC">
              <w:rPr>
                <w:rFonts w:ascii="Times New Roman" w:hAnsi="Times New Roman"/>
                <w:szCs w:val="24"/>
              </w:rPr>
              <w:t>sąd b</w:t>
            </w:r>
            <w:r w:rsidR="000F7A69" w:rsidRPr="001D45CC">
              <w:rPr>
                <w:rFonts w:ascii="Times New Roman" w:hAnsi="Times New Roman"/>
                <w:szCs w:val="24"/>
              </w:rPr>
              <w:t>ył</w:t>
            </w:r>
            <w:r w:rsidRPr="001D45CC">
              <w:rPr>
                <w:rFonts w:ascii="Times New Roman" w:hAnsi="Times New Roman"/>
                <w:szCs w:val="24"/>
              </w:rPr>
              <w:t xml:space="preserve"> zobowiązany doręczyć</w:t>
            </w:r>
            <w:r w:rsidR="000F7A69" w:rsidRPr="001D45CC">
              <w:rPr>
                <w:rFonts w:ascii="Times New Roman" w:hAnsi="Times New Roman"/>
                <w:szCs w:val="24"/>
              </w:rPr>
              <w:t xml:space="preserve"> przeszukiwanemu </w:t>
            </w:r>
            <w:r w:rsidRPr="001D45CC">
              <w:rPr>
                <w:rFonts w:ascii="Times New Roman" w:hAnsi="Times New Roman"/>
                <w:szCs w:val="24"/>
              </w:rPr>
              <w:t>postanowienie dopiero po uzyskaniu od Prezesa Urzędu zawiadomienia o rozpoczęciu przeszukania</w:t>
            </w:r>
            <w:r w:rsidR="000F7A69" w:rsidRPr="001D45CC">
              <w:rPr>
                <w:rFonts w:ascii="Times New Roman" w:hAnsi="Times New Roman"/>
                <w:szCs w:val="24"/>
              </w:rPr>
              <w:t>,</w:t>
            </w:r>
          </w:p>
          <w:p w14:paraId="347B3857" w14:textId="77777777" w:rsidR="004642C9" w:rsidRPr="001D45CC" w:rsidRDefault="001953A5" w:rsidP="000E6A14">
            <w:pPr>
              <w:pStyle w:val="Akapitzlist"/>
              <w:numPr>
                <w:ilvl w:val="0"/>
                <w:numId w:val="19"/>
              </w:numPr>
              <w:jc w:val="both"/>
              <w:rPr>
                <w:rFonts w:ascii="Times New Roman" w:hAnsi="Times New Roman"/>
                <w:szCs w:val="24"/>
              </w:rPr>
            </w:pPr>
            <w:r w:rsidRPr="001D45CC">
              <w:rPr>
                <w:rFonts w:ascii="Times New Roman" w:hAnsi="Times New Roman"/>
                <w:szCs w:val="24"/>
              </w:rPr>
              <w:t>postanowienie sądu o udzieleniu zgody na przeprowadzenie przeszukania zawiera</w:t>
            </w:r>
            <w:r w:rsidR="007D6BA8" w:rsidRPr="001D45CC">
              <w:rPr>
                <w:rFonts w:ascii="Times New Roman" w:hAnsi="Times New Roman"/>
                <w:szCs w:val="24"/>
              </w:rPr>
              <w:t xml:space="preserve">ło </w:t>
            </w:r>
            <w:r w:rsidRPr="001D45CC">
              <w:rPr>
                <w:rFonts w:ascii="Times New Roman" w:hAnsi="Times New Roman"/>
                <w:szCs w:val="24"/>
              </w:rPr>
              <w:t>pouczenie o sposobie i terminie wniesienia środka zaskarżenia, zaś wniosek o uzasadnienie przeszukiwany będzie mógł wnieść w terminie 7 dni od dnia doręczenia mu postanowienia</w:t>
            </w:r>
            <w:r w:rsidR="004642C9" w:rsidRPr="001D45CC">
              <w:rPr>
                <w:rFonts w:ascii="Times New Roman" w:hAnsi="Times New Roman"/>
                <w:szCs w:val="24"/>
              </w:rPr>
              <w:t xml:space="preserve">, </w:t>
            </w:r>
          </w:p>
          <w:p w14:paraId="305883B8" w14:textId="5733C935" w:rsidR="001D45CC" w:rsidRPr="001D45CC" w:rsidRDefault="001953A5" w:rsidP="000E6A14">
            <w:pPr>
              <w:pStyle w:val="Akapitzlist"/>
              <w:numPr>
                <w:ilvl w:val="0"/>
                <w:numId w:val="19"/>
              </w:numPr>
              <w:jc w:val="both"/>
              <w:rPr>
                <w:rFonts w:ascii="Times New Roman" w:hAnsi="Times New Roman"/>
                <w:szCs w:val="24"/>
              </w:rPr>
            </w:pPr>
            <w:r w:rsidRPr="001D45CC">
              <w:rPr>
                <w:rFonts w:ascii="Times New Roman" w:hAnsi="Times New Roman"/>
                <w:szCs w:val="24"/>
              </w:rPr>
              <w:t>wniesienie zażalenia nie wstrzym</w:t>
            </w:r>
            <w:r w:rsidR="001D45CC" w:rsidRPr="001D45CC">
              <w:rPr>
                <w:rFonts w:ascii="Times New Roman" w:hAnsi="Times New Roman"/>
                <w:szCs w:val="24"/>
              </w:rPr>
              <w:t>ywało</w:t>
            </w:r>
            <w:r w:rsidRPr="001D45CC">
              <w:rPr>
                <w:rFonts w:ascii="Times New Roman" w:hAnsi="Times New Roman"/>
                <w:szCs w:val="24"/>
              </w:rPr>
              <w:t xml:space="preserve"> przeszukania</w:t>
            </w:r>
            <w:r w:rsidR="001D45CC" w:rsidRPr="001D45CC">
              <w:rPr>
                <w:rFonts w:ascii="Times New Roman" w:hAnsi="Times New Roman"/>
                <w:szCs w:val="24"/>
              </w:rPr>
              <w:t xml:space="preserve">, </w:t>
            </w:r>
          </w:p>
          <w:p w14:paraId="61F29AA0" w14:textId="3322D493" w:rsidR="001D45CC" w:rsidRPr="001D45CC" w:rsidRDefault="001953A5" w:rsidP="000E6A14">
            <w:pPr>
              <w:pStyle w:val="Akapitzlist"/>
              <w:numPr>
                <w:ilvl w:val="0"/>
                <w:numId w:val="19"/>
              </w:numPr>
              <w:jc w:val="both"/>
              <w:rPr>
                <w:rFonts w:ascii="Times New Roman" w:hAnsi="Times New Roman"/>
                <w:szCs w:val="24"/>
              </w:rPr>
            </w:pPr>
            <w:r w:rsidRPr="001D45CC">
              <w:rPr>
                <w:rFonts w:ascii="Times New Roman" w:hAnsi="Times New Roman"/>
                <w:szCs w:val="24"/>
              </w:rPr>
              <w:t>w przypadku uwzględnienia zażalenia w całości lub w części dowody uzyskane w wyniku przeszukania w całości lub w uwzględnionej w wyniku zażalenia zaskarżonej części, nie mogą być wykorzystane w prowadzonym postępowaniu, w innych postępowaniach prowadzonych przez Prezesa Urzędu oraz w postępowaniach prowadzonych na podstawie odrębnych przepisów</w:t>
            </w:r>
            <w:r w:rsidR="001D45CC" w:rsidRPr="001D45CC">
              <w:rPr>
                <w:rFonts w:ascii="Times New Roman" w:hAnsi="Times New Roman"/>
                <w:szCs w:val="24"/>
              </w:rPr>
              <w:t>.</w:t>
            </w:r>
          </w:p>
          <w:p w14:paraId="2B988C7B" w14:textId="72C6109E" w:rsidR="00F977A2" w:rsidRPr="001953A5" w:rsidRDefault="001953A5" w:rsidP="000F7A69">
            <w:pPr>
              <w:jc w:val="both"/>
              <w:rPr>
                <w:rFonts w:ascii="Times New Roman" w:hAnsi="Times New Roman"/>
                <w:szCs w:val="24"/>
              </w:rPr>
            </w:pPr>
            <w:r w:rsidRPr="001953A5">
              <w:rPr>
                <w:rFonts w:ascii="Times New Roman" w:hAnsi="Times New Roman"/>
                <w:szCs w:val="24"/>
              </w:rPr>
              <w:t xml:space="preserve">Następnie przewidziano przepisy o charakterze proceduralnym, mające charakter </w:t>
            </w:r>
            <w:r w:rsidRPr="003D21FA">
              <w:rPr>
                <w:rFonts w:ascii="Times New Roman" w:hAnsi="Times New Roman"/>
                <w:i/>
                <w:szCs w:val="24"/>
              </w:rPr>
              <w:t xml:space="preserve">lex </w:t>
            </w:r>
            <w:proofErr w:type="spellStart"/>
            <w:r w:rsidRPr="003D21FA">
              <w:rPr>
                <w:rFonts w:ascii="Times New Roman" w:hAnsi="Times New Roman"/>
                <w:i/>
                <w:szCs w:val="24"/>
              </w:rPr>
              <w:t>specialis</w:t>
            </w:r>
            <w:proofErr w:type="spellEnd"/>
            <w:r w:rsidRPr="001953A5">
              <w:rPr>
                <w:rFonts w:ascii="Times New Roman" w:hAnsi="Times New Roman"/>
                <w:szCs w:val="24"/>
              </w:rPr>
              <w:t xml:space="preserve"> w stosunku do procedury</w:t>
            </w:r>
            <w:r w:rsidR="003D21FA">
              <w:rPr>
                <w:rFonts w:ascii="Times New Roman" w:hAnsi="Times New Roman"/>
                <w:szCs w:val="24"/>
              </w:rPr>
              <w:t>,</w:t>
            </w:r>
            <w:r w:rsidRPr="001953A5">
              <w:rPr>
                <w:rFonts w:ascii="Times New Roman" w:hAnsi="Times New Roman"/>
                <w:szCs w:val="24"/>
              </w:rPr>
              <w:t xml:space="preserve"> przewidzianej w </w:t>
            </w:r>
            <w:r w:rsidR="00DD1BF6">
              <w:rPr>
                <w:rFonts w:ascii="Times New Roman" w:hAnsi="Times New Roman"/>
                <w:szCs w:val="24"/>
              </w:rPr>
              <w:t>KPC</w:t>
            </w:r>
            <w:r w:rsidRPr="001953A5">
              <w:rPr>
                <w:rFonts w:ascii="Times New Roman" w:hAnsi="Times New Roman"/>
                <w:szCs w:val="24"/>
              </w:rPr>
              <w:t xml:space="preserve">, w świetle których sąd pierwszej instancji ma przedstawić akta sprawy sądowi drugiej instancji </w:t>
            </w:r>
            <w:r w:rsidR="00DD1BF6">
              <w:rPr>
                <w:rFonts w:ascii="Times New Roman" w:hAnsi="Times New Roman"/>
                <w:szCs w:val="24"/>
              </w:rPr>
              <w:br/>
            </w:r>
            <w:r w:rsidRPr="001953A5">
              <w:rPr>
                <w:rFonts w:ascii="Times New Roman" w:hAnsi="Times New Roman"/>
                <w:szCs w:val="24"/>
              </w:rPr>
              <w:t>w terminie 7 dni od dnia doręczenia zażalenia, zaś Prezes Urzędu może wnieść odpowiedź na zażalenie w terminie 7 dni od dnia doręczenia odpisu zażalenia. W celu podkreślenia konieczności sprawnego procedowania wskazano także, iż sąd drugiej instancji powinien rozpoznać zażalenie niezwłocznie oraz uzasadnić rozstrzygnięcie z urzędu</w:t>
            </w:r>
            <w:r w:rsidR="003D21FA">
              <w:rPr>
                <w:rFonts w:ascii="Times New Roman" w:hAnsi="Times New Roman"/>
                <w:szCs w:val="24"/>
              </w:rPr>
              <w:t>, zaś w</w:t>
            </w:r>
            <w:r w:rsidRPr="001953A5">
              <w:rPr>
                <w:rFonts w:ascii="Times New Roman" w:hAnsi="Times New Roman"/>
                <w:szCs w:val="24"/>
              </w:rPr>
              <w:t xml:space="preserve"> celu uniknięcia ewentualnych wątpliwości interpretacyjnych</w:t>
            </w:r>
            <w:r w:rsidR="003D21FA">
              <w:rPr>
                <w:rFonts w:ascii="Times New Roman" w:hAnsi="Times New Roman"/>
                <w:szCs w:val="24"/>
              </w:rPr>
              <w:t xml:space="preserve">, </w:t>
            </w:r>
            <w:r w:rsidRPr="001953A5">
              <w:rPr>
                <w:rFonts w:ascii="Times New Roman" w:hAnsi="Times New Roman"/>
                <w:szCs w:val="24"/>
              </w:rPr>
              <w:t>zaproponowano przesądzenie wprost, iż od postanowienia sądu drugiej instancji skarga kasacyjna nie przysługuje.</w:t>
            </w:r>
          </w:p>
          <w:p w14:paraId="46CB9B87" w14:textId="06D2823A" w:rsidR="006F5CDD" w:rsidRPr="003D551E" w:rsidRDefault="006F5CDD" w:rsidP="009310FA">
            <w:pPr>
              <w:pStyle w:val="mcntmsonormal1"/>
              <w:numPr>
                <w:ilvl w:val="0"/>
                <w:numId w:val="3"/>
              </w:numPr>
              <w:spacing w:before="120" w:after="120" w:line="276" w:lineRule="auto"/>
              <w:jc w:val="both"/>
            </w:pPr>
            <w:r>
              <w:rPr>
                <w:b/>
                <w:sz w:val="22"/>
                <w:szCs w:val="22"/>
                <w:lang w:eastAsia="en-US"/>
              </w:rPr>
              <w:t>Z</w:t>
            </w:r>
            <w:r w:rsidRPr="00903F90">
              <w:rPr>
                <w:b/>
                <w:sz w:val="22"/>
              </w:rPr>
              <w:t>miany w innych ustawach (</w:t>
            </w:r>
            <w:r>
              <w:rPr>
                <w:b/>
                <w:sz w:val="22"/>
              </w:rPr>
              <w:t>KPC</w:t>
            </w:r>
            <w:r w:rsidRPr="00903F90">
              <w:rPr>
                <w:b/>
                <w:i/>
                <w:sz w:val="22"/>
              </w:rPr>
              <w:t xml:space="preserve">, </w:t>
            </w:r>
            <w:r>
              <w:rPr>
                <w:b/>
                <w:sz w:val="22"/>
              </w:rPr>
              <w:t>KK</w:t>
            </w:r>
            <w:r w:rsidRPr="00903F90">
              <w:rPr>
                <w:b/>
                <w:sz w:val="22"/>
              </w:rPr>
              <w:t xml:space="preserve">, ustawa o </w:t>
            </w:r>
            <w:r w:rsidRPr="00903F90">
              <w:rPr>
                <w:b/>
                <w:i/>
                <w:sz w:val="22"/>
              </w:rPr>
              <w:t>postępowaniu egzekucyjnym w administracji</w:t>
            </w:r>
            <w:r>
              <w:rPr>
                <w:b/>
                <w:i/>
                <w:sz w:val="22"/>
              </w:rPr>
              <w:t xml:space="preserve">, ustawa </w:t>
            </w:r>
            <w:r w:rsidR="006C395E">
              <w:rPr>
                <w:b/>
                <w:i/>
                <w:sz w:val="22"/>
              </w:rPr>
              <w:br/>
            </w:r>
            <w:r>
              <w:rPr>
                <w:b/>
                <w:i/>
                <w:sz w:val="22"/>
              </w:rPr>
              <w:t xml:space="preserve">o przeciwdziałaniu nieuczciwemu wykorzystywaniu przewagi kontraktowej w obrocie produktami rolnymi </w:t>
            </w:r>
            <w:r w:rsidR="006C395E">
              <w:rPr>
                <w:b/>
                <w:i/>
                <w:sz w:val="22"/>
              </w:rPr>
              <w:br/>
            </w:r>
            <w:r>
              <w:rPr>
                <w:b/>
                <w:i/>
                <w:sz w:val="22"/>
              </w:rPr>
              <w:t>i spożywczymi</w:t>
            </w:r>
            <w:r w:rsidRPr="00903F90">
              <w:rPr>
                <w:b/>
                <w:sz w:val="22"/>
              </w:rPr>
              <w:t>)</w:t>
            </w:r>
            <w:r w:rsidR="00BA7189">
              <w:rPr>
                <w:b/>
                <w:sz w:val="22"/>
              </w:rPr>
              <w:t>,</w:t>
            </w:r>
            <w:r w:rsidRPr="00903F90">
              <w:rPr>
                <w:b/>
                <w:sz w:val="22"/>
              </w:rPr>
              <w:t xml:space="preserve"> wynikające z konieczności wdrożenia Dyrektywy</w:t>
            </w:r>
          </w:p>
          <w:p w14:paraId="7D86F6B9" w14:textId="77777777" w:rsidR="00197878" w:rsidRDefault="009F58C3" w:rsidP="00197878">
            <w:pPr>
              <w:pStyle w:val="Akapitzlist"/>
              <w:ind w:left="0" w:firstLine="743"/>
              <w:jc w:val="both"/>
              <w:rPr>
                <w:rFonts w:ascii="Times New Roman" w:hAnsi="Times New Roman"/>
                <w:bCs/>
                <w:szCs w:val="24"/>
              </w:rPr>
            </w:pPr>
            <w:r w:rsidRPr="009F58C3">
              <w:rPr>
                <w:rFonts w:ascii="Times New Roman" w:hAnsi="Times New Roman"/>
                <w:bCs/>
                <w:szCs w:val="24"/>
              </w:rPr>
              <w:t>W projekcie przewidziane zostały także zmiany w przepisach innych niż</w:t>
            </w:r>
            <w:r w:rsidR="00B4240C">
              <w:rPr>
                <w:rFonts w:ascii="Times New Roman" w:hAnsi="Times New Roman"/>
                <w:bCs/>
                <w:szCs w:val="24"/>
              </w:rPr>
              <w:t xml:space="preserve"> </w:t>
            </w:r>
            <w:proofErr w:type="spellStart"/>
            <w:r w:rsidR="00B4240C">
              <w:rPr>
                <w:rFonts w:ascii="Times New Roman" w:hAnsi="Times New Roman"/>
                <w:bCs/>
                <w:szCs w:val="24"/>
              </w:rPr>
              <w:t>u.o.k.k</w:t>
            </w:r>
            <w:proofErr w:type="spellEnd"/>
            <w:r w:rsidR="00B4240C">
              <w:rPr>
                <w:rFonts w:ascii="Times New Roman" w:hAnsi="Times New Roman"/>
                <w:bCs/>
                <w:szCs w:val="24"/>
              </w:rPr>
              <w:t>.</w:t>
            </w:r>
            <w:r w:rsidRPr="009F58C3">
              <w:rPr>
                <w:rFonts w:ascii="Times New Roman" w:hAnsi="Times New Roman"/>
                <w:bCs/>
                <w:szCs w:val="24"/>
              </w:rPr>
              <w:t>, które</w:t>
            </w:r>
            <w:r w:rsidR="00B4240C">
              <w:rPr>
                <w:rFonts w:ascii="Times New Roman" w:hAnsi="Times New Roman"/>
                <w:bCs/>
                <w:szCs w:val="24"/>
              </w:rPr>
              <w:t>,</w:t>
            </w:r>
            <w:r w:rsidRPr="009F58C3">
              <w:rPr>
                <w:rFonts w:ascii="Times New Roman" w:hAnsi="Times New Roman"/>
                <w:bCs/>
                <w:szCs w:val="24"/>
              </w:rPr>
              <w:t xml:space="preserve"> co do zasady wynikają ze zmian przewidywanych w projekcie ustawy oraz są konieczne do prawidłowego wdrożenia Dyrektywy. Zmiany te obejmują następujące ustawy:</w:t>
            </w:r>
          </w:p>
          <w:p w14:paraId="5FE8CBB5" w14:textId="0DE27F5E" w:rsidR="00197878" w:rsidRDefault="00C51348" w:rsidP="00197878">
            <w:pPr>
              <w:pStyle w:val="Akapitzlist"/>
              <w:numPr>
                <w:ilvl w:val="0"/>
                <w:numId w:val="21"/>
              </w:numPr>
              <w:jc w:val="both"/>
              <w:rPr>
                <w:rFonts w:ascii="Times New Roman" w:hAnsi="Times New Roman"/>
                <w:bCs/>
                <w:szCs w:val="24"/>
              </w:rPr>
            </w:pPr>
            <w:r>
              <w:rPr>
                <w:rFonts w:ascii="Times New Roman" w:hAnsi="Times New Roman"/>
                <w:bCs/>
                <w:szCs w:val="24"/>
              </w:rPr>
              <w:t xml:space="preserve">KPC </w:t>
            </w:r>
            <w:r w:rsidR="009F58C3" w:rsidRPr="009F58C3">
              <w:rPr>
                <w:rFonts w:ascii="Times New Roman" w:hAnsi="Times New Roman"/>
                <w:bCs/>
                <w:szCs w:val="24"/>
              </w:rPr>
              <w:t xml:space="preserve">– zmiany służące wdrożeniu </w:t>
            </w:r>
            <w:r w:rsidR="00197878">
              <w:rPr>
                <w:rFonts w:ascii="Times New Roman" w:hAnsi="Times New Roman"/>
                <w:bCs/>
                <w:szCs w:val="24"/>
              </w:rPr>
              <w:t xml:space="preserve">art. 28 </w:t>
            </w:r>
            <w:r w:rsidR="009F58C3" w:rsidRPr="009F58C3">
              <w:rPr>
                <w:rFonts w:ascii="Times New Roman" w:hAnsi="Times New Roman"/>
                <w:bCs/>
                <w:szCs w:val="24"/>
              </w:rPr>
              <w:t xml:space="preserve">Dyrektywy, </w:t>
            </w:r>
            <w:r w:rsidR="009F58C3" w:rsidRPr="009F58C3">
              <w:rPr>
                <w:rFonts w:ascii="Times New Roman" w:hAnsi="Times New Roman"/>
                <w:szCs w:val="24"/>
              </w:rPr>
              <w:t xml:space="preserve">dające podstawę </w:t>
            </w:r>
            <w:proofErr w:type="spellStart"/>
            <w:r w:rsidR="009F58C3" w:rsidRPr="009F58C3">
              <w:rPr>
                <w:rFonts w:ascii="Times New Roman" w:hAnsi="Times New Roman"/>
                <w:szCs w:val="24"/>
              </w:rPr>
              <w:t>SOKiK</w:t>
            </w:r>
            <w:proofErr w:type="spellEnd"/>
            <w:r w:rsidR="009F58C3" w:rsidRPr="009F58C3">
              <w:rPr>
                <w:rFonts w:ascii="Times New Roman" w:hAnsi="Times New Roman"/>
                <w:szCs w:val="24"/>
              </w:rPr>
              <w:t xml:space="preserve"> do rozstrzygania zażaleń w zakresie stosowania przepisów o wzajemnej pomocy (zakres zmian został przedstawiony w pkt 12) oraz wynikające z projektowanych zmian w art. 70 ustawy (zmiany w art. 479</w:t>
            </w:r>
            <w:r w:rsidR="009F58C3" w:rsidRPr="009F58C3">
              <w:rPr>
                <w:rFonts w:ascii="Times New Roman" w:hAnsi="Times New Roman"/>
                <w:szCs w:val="24"/>
                <w:vertAlign w:val="superscript"/>
              </w:rPr>
              <w:t>33</w:t>
            </w:r>
            <w:r w:rsidR="009F58C3" w:rsidRPr="009F58C3" w:rsidDel="00E90F30">
              <w:rPr>
                <w:rFonts w:ascii="Times New Roman" w:hAnsi="Times New Roman"/>
                <w:b/>
                <w:bCs/>
                <w:szCs w:val="24"/>
              </w:rPr>
              <w:t xml:space="preserve"> </w:t>
            </w:r>
            <w:r w:rsidR="00197878">
              <w:rPr>
                <w:rFonts w:ascii="Times New Roman" w:hAnsi="Times New Roman"/>
                <w:bCs/>
                <w:szCs w:val="24"/>
              </w:rPr>
              <w:t>KPC</w:t>
            </w:r>
            <w:r w:rsidR="009F58C3" w:rsidRPr="009F58C3">
              <w:rPr>
                <w:rFonts w:ascii="Times New Roman" w:hAnsi="Times New Roman"/>
                <w:bCs/>
                <w:szCs w:val="24"/>
              </w:rPr>
              <w:t>),</w:t>
            </w:r>
          </w:p>
          <w:p w14:paraId="1A6625F6" w14:textId="3A13F37D" w:rsidR="009F58C3" w:rsidRPr="009F58C3" w:rsidRDefault="00D1627A" w:rsidP="00197878">
            <w:pPr>
              <w:pStyle w:val="Akapitzlist"/>
              <w:numPr>
                <w:ilvl w:val="0"/>
                <w:numId w:val="21"/>
              </w:numPr>
              <w:jc w:val="both"/>
              <w:rPr>
                <w:rFonts w:ascii="Times New Roman" w:hAnsi="Times New Roman"/>
                <w:bCs/>
                <w:szCs w:val="24"/>
              </w:rPr>
            </w:pPr>
            <w:r>
              <w:rPr>
                <w:rFonts w:ascii="Times New Roman" w:hAnsi="Times New Roman"/>
                <w:bCs/>
                <w:szCs w:val="24"/>
              </w:rPr>
              <w:t>KK</w:t>
            </w:r>
            <w:r w:rsidR="009F58C3" w:rsidRPr="009F58C3">
              <w:rPr>
                <w:rFonts w:ascii="Times New Roman" w:hAnsi="Times New Roman"/>
                <w:bCs/>
                <w:szCs w:val="24"/>
              </w:rPr>
              <w:t xml:space="preserve"> </w:t>
            </w:r>
            <w:r>
              <w:rPr>
                <w:rFonts w:ascii="Times New Roman" w:hAnsi="Times New Roman"/>
                <w:bCs/>
                <w:szCs w:val="24"/>
              </w:rPr>
              <w:t xml:space="preserve">- </w:t>
            </w:r>
            <w:r w:rsidR="009F58C3" w:rsidRPr="009F58C3">
              <w:rPr>
                <w:rFonts w:ascii="Times New Roman" w:hAnsi="Times New Roman"/>
                <w:bCs/>
                <w:szCs w:val="24"/>
              </w:rPr>
              <w:t xml:space="preserve">wdrożenie art. 23 Dyrektywy </w:t>
            </w:r>
            <w:r>
              <w:rPr>
                <w:rFonts w:ascii="Times New Roman" w:hAnsi="Times New Roman"/>
                <w:bCs/>
                <w:szCs w:val="24"/>
              </w:rPr>
              <w:t>(</w:t>
            </w:r>
            <w:r w:rsidR="009F58C3" w:rsidRPr="009F58C3">
              <w:rPr>
                <w:rFonts w:ascii="Times New Roman" w:hAnsi="Times New Roman"/>
                <w:bCs/>
                <w:szCs w:val="24"/>
              </w:rPr>
              <w:t>zmiany opisane w pkt 1</w:t>
            </w:r>
            <w:r w:rsidR="00E24F71">
              <w:rPr>
                <w:rFonts w:ascii="Times New Roman" w:hAnsi="Times New Roman"/>
                <w:bCs/>
                <w:szCs w:val="24"/>
              </w:rPr>
              <w:t>0</w:t>
            </w:r>
            <w:r>
              <w:rPr>
                <w:rFonts w:ascii="Times New Roman" w:hAnsi="Times New Roman"/>
                <w:bCs/>
                <w:szCs w:val="24"/>
              </w:rPr>
              <w:t>)</w:t>
            </w:r>
            <w:r w:rsidR="009F58C3" w:rsidRPr="009F58C3">
              <w:rPr>
                <w:rFonts w:ascii="Times New Roman" w:hAnsi="Times New Roman"/>
                <w:bCs/>
                <w:szCs w:val="24"/>
              </w:rPr>
              <w:t>,</w:t>
            </w:r>
          </w:p>
          <w:p w14:paraId="4AFF020F" w14:textId="77777777" w:rsidR="006F5CDD" w:rsidRPr="009310FA" w:rsidRDefault="00D1627A" w:rsidP="008D5790">
            <w:pPr>
              <w:pStyle w:val="Akapitzlist"/>
              <w:numPr>
                <w:ilvl w:val="0"/>
                <w:numId w:val="21"/>
              </w:numPr>
              <w:spacing w:after="120"/>
              <w:ind w:left="714" w:hanging="357"/>
              <w:jc w:val="both"/>
              <w:rPr>
                <w:rFonts w:ascii="Times New Roman" w:hAnsi="Times New Roman"/>
                <w:sz w:val="24"/>
                <w:szCs w:val="24"/>
              </w:rPr>
            </w:pPr>
            <w:r>
              <w:rPr>
                <w:rFonts w:ascii="Times New Roman" w:hAnsi="Times New Roman"/>
                <w:bCs/>
                <w:szCs w:val="24"/>
              </w:rPr>
              <w:t>ustawa z dnia 17 czerwca 1966 r.</w:t>
            </w:r>
            <w:r w:rsidR="009F58C3" w:rsidRPr="00BF05F4">
              <w:rPr>
                <w:rFonts w:ascii="Times New Roman" w:hAnsi="Times New Roman"/>
                <w:bCs/>
                <w:i/>
                <w:szCs w:val="24"/>
              </w:rPr>
              <w:t xml:space="preserve"> o postępowaniu egzekucyjnym w administracji</w:t>
            </w:r>
            <w:r w:rsidR="009F58C3" w:rsidRPr="00197878">
              <w:rPr>
                <w:rFonts w:ascii="Times New Roman" w:hAnsi="Times New Roman"/>
                <w:bCs/>
                <w:szCs w:val="24"/>
              </w:rPr>
              <w:t xml:space="preserve"> </w:t>
            </w:r>
            <w:r>
              <w:rPr>
                <w:rFonts w:ascii="Times New Roman" w:hAnsi="Times New Roman"/>
                <w:bCs/>
                <w:szCs w:val="24"/>
              </w:rPr>
              <w:t>(</w:t>
            </w:r>
            <w:r w:rsidRPr="00D1627A">
              <w:rPr>
                <w:rFonts w:ascii="Times New Roman" w:hAnsi="Times New Roman"/>
                <w:bCs/>
                <w:szCs w:val="24"/>
              </w:rPr>
              <w:t>Dz. U. z 2020 r. poz. 1427</w:t>
            </w:r>
            <w:r>
              <w:rPr>
                <w:rFonts w:ascii="Times New Roman" w:hAnsi="Times New Roman"/>
                <w:bCs/>
                <w:szCs w:val="24"/>
              </w:rPr>
              <w:t xml:space="preserve">, </w:t>
            </w:r>
            <w:r w:rsidR="00E24F71">
              <w:rPr>
                <w:rFonts w:ascii="Times New Roman" w:hAnsi="Times New Roman"/>
                <w:bCs/>
                <w:szCs w:val="24"/>
              </w:rPr>
              <w:br/>
            </w:r>
            <w:r>
              <w:rPr>
                <w:rFonts w:ascii="Times New Roman" w:hAnsi="Times New Roman"/>
                <w:bCs/>
                <w:szCs w:val="24"/>
              </w:rPr>
              <w:t xml:space="preserve">z </w:t>
            </w:r>
            <w:proofErr w:type="spellStart"/>
            <w:r>
              <w:rPr>
                <w:rFonts w:ascii="Times New Roman" w:hAnsi="Times New Roman"/>
                <w:bCs/>
                <w:szCs w:val="24"/>
              </w:rPr>
              <w:t>późn</w:t>
            </w:r>
            <w:proofErr w:type="spellEnd"/>
            <w:r>
              <w:rPr>
                <w:rFonts w:ascii="Times New Roman" w:hAnsi="Times New Roman"/>
                <w:bCs/>
                <w:szCs w:val="24"/>
              </w:rPr>
              <w:t>. zm.</w:t>
            </w:r>
            <w:r w:rsidR="00E24F71">
              <w:rPr>
                <w:rFonts w:ascii="Times New Roman" w:hAnsi="Times New Roman"/>
                <w:bCs/>
                <w:szCs w:val="24"/>
              </w:rPr>
              <w:t xml:space="preserve">) </w:t>
            </w:r>
            <w:r w:rsidR="009F58C3" w:rsidRPr="00197878">
              <w:rPr>
                <w:rFonts w:ascii="Times New Roman" w:hAnsi="Times New Roman"/>
                <w:bCs/>
                <w:szCs w:val="24"/>
              </w:rPr>
              <w:t>– zmiany umożliwiające organom egzekucyjnym realizowanie wniosków o pomoc w zakresie egzekucji kar pieniężnych przesyłanych przez Prezesa UOKiK</w:t>
            </w:r>
            <w:r w:rsidR="006F5CDD">
              <w:rPr>
                <w:rFonts w:ascii="Times New Roman" w:hAnsi="Times New Roman"/>
                <w:bCs/>
                <w:szCs w:val="24"/>
              </w:rPr>
              <w:t>,</w:t>
            </w:r>
          </w:p>
          <w:p w14:paraId="5320A60E" w14:textId="20808D46" w:rsidR="00DD1BF6" w:rsidRPr="00197878" w:rsidRDefault="006F5CDD" w:rsidP="008D5790">
            <w:pPr>
              <w:pStyle w:val="Akapitzlist"/>
              <w:numPr>
                <w:ilvl w:val="0"/>
                <w:numId w:val="21"/>
              </w:numPr>
              <w:spacing w:after="120"/>
              <w:ind w:left="714" w:hanging="357"/>
              <w:jc w:val="both"/>
              <w:rPr>
                <w:rFonts w:ascii="Times New Roman" w:hAnsi="Times New Roman"/>
                <w:sz w:val="24"/>
                <w:szCs w:val="24"/>
              </w:rPr>
            </w:pPr>
            <w:r w:rsidRPr="002C4D4E">
              <w:rPr>
                <w:rFonts w:ascii="Times New Roman" w:hAnsi="Times New Roman"/>
                <w:bCs/>
                <w:szCs w:val="24"/>
              </w:rPr>
              <w:t xml:space="preserve">ustawa </w:t>
            </w:r>
            <w:r>
              <w:rPr>
                <w:rFonts w:ascii="Times New Roman" w:hAnsi="Times New Roman"/>
                <w:bCs/>
                <w:szCs w:val="24"/>
              </w:rPr>
              <w:t xml:space="preserve">z dnia 15 grudnia 2016 r. </w:t>
            </w:r>
            <w:r w:rsidRPr="009310FA">
              <w:rPr>
                <w:rFonts w:ascii="Times New Roman" w:hAnsi="Times New Roman"/>
                <w:bCs/>
                <w:i/>
                <w:szCs w:val="24"/>
              </w:rPr>
              <w:t xml:space="preserve">o przeciwdziałaniu nieuczciwemu wykorzystywaniu przewagi kontraktowej </w:t>
            </w:r>
            <w:r w:rsidR="006C395E" w:rsidRPr="009310FA">
              <w:rPr>
                <w:rFonts w:ascii="Times New Roman" w:hAnsi="Times New Roman"/>
                <w:bCs/>
                <w:i/>
                <w:szCs w:val="24"/>
              </w:rPr>
              <w:br/>
            </w:r>
            <w:r w:rsidRPr="009310FA">
              <w:rPr>
                <w:rFonts w:ascii="Times New Roman" w:hAnsi="Times New Roman"/>
                <w:bCs/>
                <w:i/>
                <w:szCs w:val="24"/>
              </w:rPr>
              <w:t>w obrocie produktami rolnymi i spożywczymi</w:t>
            </w:r>
            <w:r>
              <w:rPr>
                <w:rFonts w:ascii="Times New Roman" w:hAnsi="Times New Roman"/>
                <w:b/>
                <w:bCs/>
                <w:szCs w:val="24"/>
              </w:rPr>
              <w:t xml:space="preserve"> </w:t>
            </w:r>
            <w:r w:rsidR="006C395E" w:rsidRPr="009310FA">
              <w:rPr>
                <w:rFonts w:ascii="Times New Roman" w:hAnsi="Times New Roman"/>
                <w:bCs/>
                <w:szCs w:val="24"/>
              </w:rPr>
              <w:t>(Dz. U. z 2020 r. poz. 1213)</w:t>
            </w:r>
            <w:r w:rsidR="006C395E">
              <w:rPr>
                <w:rFonts w:ascii="Times New Roman" w:hAnsi="Times New Roman"/>
                <w:b/>
                <w:bCs/>
                <w:szCs w:val="24"/>
              </w:rPr>
              <w:t xml:space="preserve"> </w:t>
            </w:r>
            <w:r>
              <w:rPr>
                <w:rFonts w:ascii="Times New Roman" w:hAnsi="Times New Roman"/>
                <w:b/>
                <w:bCs/>
                <w:szCs w:val="24"/>
              </w:rPr>
              <w:t xml:space="preserve">– </w:t>
            </w:r>
            <w:r>
              <w:rPr>
                <w:rFonts w:ascii="Times New Roman" w:hAnsi="Times New Roman"/>
                <w:bCs/>
                <w:szCs w:val="24"/>
              </w:rPr>
              <w:t>zmiana redakcyjna</w:t>
            </w:r>
            <w:r w:rsidR="00BA7189">
              <w:rPr>
                <w:rFonts w:ascii="Times New Roman" w:hAnsi="Times New Roman"/>
                <w:bCs/>
                <w:szCs w:val="24"/>
              </w:rPr>
              <w:t>,</w:t>
            </w:r>
            <w:r>
              <w:rPr>
                <w:rFonts w:ascii="Times New Roman" w:hAnsi="Times New Roman"/>
                <w:bCs/>
                <w:szCs w:val="24"/>
              </w:rPr>
              <w:t xml:space="preserve"> w związku </w:t>
            </w:r>
            <w:r w:rsidR="00BA7189">
              <w:rPr>
                <w:rFonts w:ascii="Times New Roman" w:hAnsi="Times New Roman"/>
                <w:bCs/>
                <w:szCs w:val="24"/>
              </w:rPr>
              <w:br/>
            </w:r>
            <w:r>
              <w:rPr>
                <w:rFonts w:ascii="Times New Roman" w:hAnsi="Times New Roman"/>
                <w:bCs/>
                <w:szCs w:val="24"/>
              </w:rPr>
              <w:t xml:space="preserve">z wprowadzeniem do </w:t>
            </w:r>
            <w:proofErr w:type="spellStart"/>
            <w:r>
              <w:rPr>
                <w:rFonts w:ascii="Times New Roman" w:hAnsi="Times New Roman"/>
                <w:bCs/>
                <w:szCs w:val="24"/>
              </w:rPr>
              <w:t>u.o.k.k</w:t>
            </w:r>
            <w:proofErr w:type="spellEnd"/>
            <w:r>
              <w:rPr>
                <w:rFonts w:ascii="Times New Roman" w:hAnsi="Times New Roman"/>
                <w:bCs/>
                <w:szCs w:val="24"/>
              </w:rPr>
              <w:t>. art. 53a i 60a.</w:t>
            </w:r>
          </w:p>
        </w:tc>
      </w:tr>
      <w:tr w:rsidR="006A701A" w:rsidRPr="00424472" w14:paraId="261E252E" w14:textId="77777777" w:rsidTr="00461AD7">
        <w:trPr>
          <w:trHeight w:val="307"/>
          <w:jc w:val="center"/>
        </w:trPr>
        <w:tc>
          <w:tcPr>
            <w:tcW w:w="10774" w:type="dxa"/>
            <w:gridSpan w:val="28"/>
            <w:shd w:val="clear" w:color="auto" w:fill="99CCFF"/>
            <w:vAlign w:val="center"/>
          </w:tcPr>
          <w:p w14:paraId="616CCDC0" w14:textId="77777777" w:rsidR="006A701A" w:rsidRPr="00424472" w:rsidRDefault="009E3C4B" w:rsidP="00424472">
            <w:pPr>
              <w:numPr>
                <w:ilvl w:val="0"/>
                <w:numId w:val="1"/>
              </w:numPr>
              <w:spacing w:before="60" w:after="60"/>
              <w:ind w:left="318" w:hanging="284"/>
              <w:jc w:val="both"/>
              <w:rPr>
                <w:rFonts w:ascii="Times New Roman" w:hAnsi="Times New Roman"/>
                <w:b/>
                <w:color w:val="000000"/>
              </w:rPr>
            </w:pPr>
            <w:r w:rsidRPr="00424472">
              <w:rPr>
                <w:rFonts w:ascii="Times New Roman" w:hAnsi="Times New Roman"/>
                <w:b/>
                <w:spacing w:val="-2"/>
              </w:rPr>
              <w:lastRenderedPageBreak/>
              <w:t>Jak problem został rozwiązany w innych krajach, w szczególności krajach członkowskich OECD/UE</w:t>
            </w:r>
            <w:r w:rsidR="006A701A" w:rsidRPr="00424472">
              <w:rPr>
                <w:rFonts w:ascii="Times New Roman" w:hAnsi="Times New Roman"/>
                <w:b/>
                <w:color w:val="000000"/>
              </w:rPr>
              <w:t>?</w:t>
            </w:r>
            <w:r w:rsidR="006A701A" w:rsidRPr="00424472">
              <w:rPr>
                <w:rFonts w:ascii="Times New Roman" w:hAnsi="Times New Roman"/>
                <w:i/>
                <w:color w:val="000000"/>
              </w:rPr>
              <w:t xml:space="preserve"> </w:t>
            </w:r>
          </w:p>
        </w:tc>
      </w:tr>
      <w:tr w:rsidR="006A701A" w:rsidRPr="00A90F9A" w14:paraId="07691D3F" w14:textId="77777777" w:rsidTr="00461AD7">
        <w:trPr>
          <w:trHeight w:val="468"/>
          <w:jc w:val="center"/>
        </w:trPr>
        <w:tc>
          <w:tcPr>
            <w:tcW w:w="10774" w:type="dxa"/>
            <w:gridSpan w:val="28"/>
            <w:shd w:val="clear" w:color="auto" w:fill="auto"/>
            <w:vAlign w:val="center"/>
          </w:tcPr>
          <w:p w14:paraId="195A12EF" w14:textId="77777777" w:rsidR="006B059A" w:rsidRDefault="001432CE" w:rsidP="00F264F0">
            <w:pPr>
              <w:spacing w:before="120"/>
              <w:ind w:firstLine="743"/>
              <w:jc w:val="both"/>
              <w:rPr>
                <w:rFonts w:ascii="Times New Roman" w:hAnsi="Times New Roman"/>
                <w:color w:val="000000"/>
                <w:spacing w:val="-2"/>
              </w:rPr>
            </w:pPr>
            <w:r>
              <w:rPr>
                <w:rFonts w:ascii="Times New Roman" w:hAnsi="Times New Roman"/>
                <w:color w:val="000000"/>
                <w:spacing w:val="-2"/>
              </w:rPr>
              <w:lastRenderedPageBreak/>
              <w:t>Termin wdrożenia</w:t>
            </w:r>
            <w:r w:rsidR="006B059A">
              <w:rPr>
                <w:rFonts w:ascii="Times New Roman" w:hAnsi="Times New Roman"/>
                <w:color w:val="000000"/>
                <w:spacing w:val="-2"/>
              </w:rPr>
              <w:t xml:space="preserve"> krajowych</w:t>
            </w:r>
            <w:r w:rsidRPr="001432CE">
              <w:rPr>
                <w:rFonts w:ascii="Times New Roman" w:hAnsi="Times New Roman"/>
                <w:color w:val="000000"/>
                <w:spacing w:val="-2"/>
              </w:rPr>
              <w:t xml:space="preserve"> przepis</w:t>
            </w:r>
            <w:r>
              <w:rPr>
                <w:rFonts w:ascii="Times New Roman" w:hAnsi="Times New Roman"/>
                <w:color w:val="000000"/>
                <w:spacing w:val="-2"/>
              </w:rPr>
              <w:t xml:space="preserve">ów </w:t>
            </w:r>
            <w:r w:rsidRPr="001432CE">
              <w:rPr>
                <w:rFonts w:ascii="Times New Roman" w:hAnsi="Times New Roman"/>
                <w:color w:val="000000"/>
                <w:spacing w:val="-2"/>
              </w:rPr>
              <w:t>ustawow</w:t>
            </w:r>
            <w:r>
              <w:rPr>
                <w:rFonts w:ascii="Times New Roman" w:hAnsi="Times New Roman"/>
                <w:color w:val="000000"/>
                <w:spacing w:val="-2"/>
              </w:rPr>
              <w:t>ych</w:t>
            </w:r>
            <w:r w:rsidRPr="001432CE">
              <w:rPr>
                <w:rFonts w:ascii="Times New Roman" w:hAnsi="Times New Roman"/>
                <w:color w:val="000000"/>
                <w:spacing w:val="-2"/>
              </w:rPr>
              <w:t>, wykonawcz</w:t>
            </w:r>
            <w:r>
              <w:rPr>
                <w:rFonts w:ascii="Times New Roman" w:hAnsi="Times New Roman"/>
                <w:color w:val="000000"/>
                <w:spacing w:val="-2"/>
              </w:rPr>
              <w:t>ych</w:t>
            </w:r>
            <w:r w:rsidRPr="001432CE">
              <w:rPr>
                <w:rFonts w:ascii="Times New Roman" w:hAnsi="Times New Roman"/>
                <w:color w:val="000000"/>
                <w:spacing w:val="-2"/>
              </w:rPr>
              <w:t xml:space="preserve"> i administracyjn</w:t>
            </w:r>
            <w:r>
              <w:rPr>
                <w:rFonts w:ascii="Times New Roman" w:hAnsi="Times New Roman"/>
                <w:color w:val="000000"/>
                <w:spacing w:val="-2"/>
              </w:rPr>
              <w:t>ych,</w:t>
            </w:r>
            <w:r w:rsidRPr="001432CE">
              <w:rPr>
                <w:rFonts w:ascii="Times New Roman" w:hAnsi="Times New Roman"/>
                <w:color w:val="000000"/>
                <w:spacing w:val="-2"/>
              </w:rPr>
              <w:t xml:space="preserve"> niezbędn</w:t>
            </w:r>
            <w:r>
              <w:rPr>
                <w:rFonts w:ascii="Times New Roman" w:hAnsi="Times New Roman"/>
                <w:color w:val="000000"/>
                <w:spacing w:val="-2"/>
              </w:rPr>
              <w:t>ych</w:t>
            </w:r>
            <w:r w:rsidRPr="001432CE">
              <w:rPr>
                <w:rFonts w:ascii="Times New Roman" w:hAnsi="Times New Roman"/>
                <w:color w:val="000000"/>
                <w:spacing w:val="-2"/>
              </w:rPr>
              <w:t xml:space="preserve"> do wykonania niniejszej </w:t>
            </w:r>
            <w:r w:rsidR="006B059A">
              <w:rPr>
                <w:rFonts w:ascii="Times New Roman" w:hAnsi="Times New Roman"/>
                <w:color w:val="000000"/>
                <w:spacing w:val="-2"/>
              </w:rPr>
              <w:t>D</w:t>
            </w:r>
            <w:r w:rsidRPr="001432CE">
              <w:rPr>
                <w:rFonts w:ascii="Times New Roman" w:hAnsi="Times New Roman"/>
                <w:color w:val="000000"/>
                <w:spacing w:val="-2"/>
              </w:rPr>
              <w:t xml:space="preserve">yrektywy </w:t>
            </w:r>
            <w:r w:rsidR="00C06F4F">
              <w:rPr>
                <w:rFonts w:ascii="Times New Roman" w:hAnsi="Times New Roman"/>
                <w:color w:val="000000"/>
                <w:spacing w:val="-2"/>
              </w:rPr>
              <w:t>upływa</w:t>
            </w:r>
            <w:r w:rsidRPr="001432CE">
              <w:rPr>
                <w:rFonts w:ascii="Times New Roman" w:hAnsi="Times New Roman"/>
                <w:color w:val="000000"/>
                <w:spacing w:val="-2"/>
              </w:rPr>
              <w:t xml:space="preserve"> 4 lutego 2021 r.</w:t>
            </w:r>
            <w:r w:rsidR="006B059A">
              <w:rPr>
                <w:rFonts w:ascii="Times New Roman" w:hAnsi="Times New Roman"/>
                <w:color w:val="000000"/>
                <w:spacing w:val="-2"/>
              </w:rPr>
              <w:t xml:space="preserve"> </w:t>
            </w:r>
          </w:p>
          <w:p w14:paraId="4D18499B" w14:textId="77777777" w:rsidR="006D2579" w:rsidRDefault="006B059A" w:rsidP="00F264F0">
            <w:pPr>
              <w:ind w:firstLine="743"/>
              <w:jc w:val="both"/>
              <w:rPr>
                <w:rFonts w:ascii="Times New Roman" w:hAnsi="Times New Roman"/>
                <w:color w:val="000000"/>
                <w:spacing w:val="-2"/>
              </w:rPr>
            </w:pPr>
            <w:r>
              <w:rPr>
                <w:rFonts w:ascii="Times New Roman" w:hAnsi="Times New Roman"/>
                <w:color w:val="000000"/>
                <w:spacing w:val="-2"/>
              </w:rPr>
              <w:t>W</w:t>
            </w:r>
            <w:r w:rsidR="00C06F4F">
              <w:rPr>
                <w:rFonts w:ascii="Times New Roman" w:hAnsi="Times New Roman"/>
                <w:color w:val="000000"/>
                <w:spacing w:val="-2"/>
              </w:rPr>
              <w:t xml:space="preserve"> państwach członkowskich aktualnie trwają prace nad rozwiązaniami implementującymi </w:t>
            </w:r>
            <w:r>
              <w:rPr>
                <w:rFonts w:ascii="Times New Roman" w:hAnsi="Times New Roman"/>
                <w:color w:val="000000"/>
                <w:spacing w:val="-2"/>
              </w:rPr>
              <w:t>D</w:t>
            </w:r>
            <w:r w:rsidR="00C06F4F">
              <w:rPr>
                <w:rFonts w:ascii="Times New Roman" w:hAnsi="Times New Roman"/>
                <w:color w:val="000000"/>
                <w:spacing w:val="-2"/>
              </w:rPr>
              <w:t>yrektywę</w:t>
            </w:r>
            <w:r w:rsidR="00D11611">
              <w:rPr>
                <w:rFonts w:ascii="Times New Roman" w:hAnsi="Times New Roman"/>
                <w:color w:val="000000"/>
                <w:spacing w:val="-2"/>
              </w:rPr>
              <w:t xml:space="preserve">, nie ma zatem możliwości przeprowadzenia </w:t>
            </w:r>
            <w:r w:rsidR="00DB0489">
              <w:rPr>
                <w:rFonts w:ascii="Times New Roman" w:hAnsi="Times New Roman"/>
                <w:color w:val="000000"/>
                <w:spacing w:val="-2"/>
              </w:rPr>
              <w:t xml:space="preserve">pełnej </w:t>
            </w:r>
            <w:r w:rsidR="00D11611">
              <w:rPr>
                <w:rFonts w:ascii="Times New Roman" w:hAnsi="Times New Roman"/>
                <w:color w:val="000000"/>
                <w:spacing w:val="-2"/>
              </w:rPr>
              <w:t xml:space="preserve">analizy porównawczej rozwiązań przedstawionych w projekcie z </w:t>
            </w:r>
            <w:r>
              <w:rPr>
                <w:rFonts w:ascii="Times New Roman" w:hAnsi="Times New Roman"/>
                <w:color w:val="000000"/>
                <w:spacing w:val="-2"/>
              </w:rPr>
              <w:t>ustawodawstwem innych krajów.</w:t>
            </w:r>
          </w:p>
          <w:p w14:paraId="6AE22B1C" w14:textId="4FCE1570" w:rsidR="004012FD" w:rsidRDefault="004012FD" w:rsidP="00C13822">
            <w:pPr>
              <w:spacing w:after="120"/>
              <w:ind w:firstLine="743"/>
              <w:jc w:val="both"/>
              <w:rPr>
                <w:rFonts w:ascii="Times New Roman" w:hAnsi="Times New Roman"/>
                <w:color w:val="000000"/>
                <w:spacing w:val="-2"/>
              </w:rPr>
            </w:pPr>
            <w:r>
              <w:rPr>
                <w:rFonts w:ascii="Times New Roman" w:hAnsi="Times New Roman"/>
                <w:color w:val="000000"/>
                <w:spacing w:val="-2"/>
              </w:rPr>
              <w:t xml:space="preserve">W odniesieniu do wprowadzenia kadencyjności Prezesa UOKiK, poniżej zestawione zostały dotychczas obowiązujące </w:t>
            </w:r>
            <w:r w:rsidR="00AE23CB">
              <w:rPr>
                <w:rFonts w:ascii="Times New Roman" w:hAnsi="Times New Roman"/>
                <w:color w:val="000000"/>
                <w:spacing w:val="-2"/>
              </w:rPr>
              <w:t>rozwiązania w tym zakresie w wybranych państwach</w:t>
            </w:r>
            <w:r w:rsidR="00BA57EF">
              <w:rPr>
                <w:rFonts w:ascii="Times New Roman" w:hAnsi="Times New Roman"/>
                <w:color w:val="000000"/>
                <w:spacing w:val="-2"/>
              </w:rPr>
              <w:t xml:space="preserve"> europejskich</w:t>
            </w:r>
            <w:r w:rsidR="00AE23CB">
              <w:rPr>
                <w:rFonts w:ascii="Times New Roman" w:hAnsi="Times New Roman"/>
                <w:color w:val="000000"/>
                <w:spacing w:val="-2"/>
              </w:rPr>
              <w:t>:</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2400"/>
              <w:gridCol w:w="2280"/>
              <w:gridCol w:w="3414"/>
            </w:tblGrid>
            <w:tr w:rsidR="00E45462" w:rsidRPr="004552D7" w14:paraId="57DE1619" w14:textId="77777777" w:rsidTr="00BA57EF">
              <w:trPr>
                <w:trHeight w:val="560"/>
                <w:jc w:val="center"/>
              </w:trPr>
              <w:tc>
                <w:tcPr>
                  <w:tcW w:w="2220" w:type="dxa"/>
                  <w:shd w:val="clear" w:color="auto" w:fill="BFBFBF" w:themeFill="background1" w:themeFillShade="BF"/>
                  <w:vAlign w:val="center"/>
                </w:tcPr>
                <w:p w14:paraId="6571A80B" w14:textId="77777777" w:rsidR="00E45462" w:rsidRPr="003C1C5C" w:rsidRDefault="00E45462" w:rsidP="00734976">
                  <w:pPr>
                    <w:jc w:val="center"/>
                    <w:rPr>
                      <w:rFonts w:ascii="Times New Roman" w:hAnsi="Times New Roman"/>
                      <w:b/>
                    </w:rPr>
                  </w:pPr>
                  <w:r w:rsidRPr="003C1C5C">
                    <w:rPr>
                      <w:rFonts w:ascii="Times New Roman" w:hAnsi="Times New Roman"/>
                      <w:b/>
                    </w:rPr>
                    <w:t>Państwo</w:t>
                  </w:r>
                </w:p>
              </w:tc>
              <w:tc>
                <w:tcPr>
                  <w:tcW w:w="2400" w:type="dxa"/>
                  <w:shd w:val="clear" w:color="auto" w:fill="BFBFBF" w:themeFill="background1" w:themeFillShade="BF"/>
                  <w:vAlign w:val="center"/>
                </w:tcPr>
                <w:p w14:paraId="54488908" w14:textId="77777777" w:rsidR="00E45462" w:rsidRPr="003C1C5C" w:rsidRDefault="00E45462" w:rsidP="00734976">
                  <w:pPr>
                    <w:jc w:val="center"/>
                    <w:rPr>
                      <w:rFonts w:ascii="Times New Roman" w:hAnsi="Times New Roman"/>
                      <w:b/>
                    </w:rPr>
                  </w:pPr>
                  <w:r w:rsidRPr="003C1C5C">
                    <w:rPr>
                      <w:rFonts w:ascii="Times New Roman" w:hAnsi="Times New Roman"/>
                      <w:b/>
                    </w:rPr>
                    <w:t>Czy jest kadencja prezesa urzędu?</w:t>
                  </w:r>
                </w:p>
              </w:tc>
              <w:tc>
                <w:tcPr>
                  <w:tcW w:w="2280" w:type="dxa"/>
                  <w:shd w:val="clear" w:color="auto" w:fill="BFBFBF" w:themeFill="background1" w:themeFillShade="BF"/>
                  <w:vAlign w:val="center"/>
                </w:tcPr>
                <w:p w14:paraId="7DBDEC57" w14:textId="77777777" w:rsidR="00E45462" w:rsidRPr="003C1C5C" w:rsidRDefault="00E45462" w:rsidP="00734976">
                  <w:pPr>
                    <w:jc w:val="center"/>
                    <w:rPr>
                      <w:rFonts w:ascii="Times New Roman" w:hAnsi="Times New Roman"/>
                      <w:b/>
                    </w:rPr>
                  </w:pPr>
                  <w:r w:rsidRPr="003C1C5C">
                    <w:rPr>
                      <w:rFonts w:ascii="Times New Roman" w:hAnsi="Times New Roman"/>
                      <w:b/>
                    </w:rPr>
                    <w:t>Ile lat trwa?</w:t>
                  </w:r>
                </w:p>
              </w:tc>
              <w:tc>
                <w:tcPr>
                  <w:tcW w:w="3414" w:type="dxa"/>
                  <w:shd w:val="clear" w:color="auto" w:fill="BFBFBF" w:themeFill="background1" w:themeFillShade="BF"/>
                  <w:vAlign w:val="center"/>
                </w:tcPr>
                <w:p w14:paraId="7A20D025" w14:textId="77777777" w:rsidR="00E45462" w:rsidRPr="003C1C5C" w:rsidRDefault="00E45462" w:rsidP="00734976">
                  <w:pPr>
                    <w:jc w:val="center"/>
                    <w:rPr>
                      <w:rFonts w:ascii="Times New Roman" w:hAnsi="Times New Roman"/>
                      <w:b/>
                    </w:rPr>
                  </w:pPr>
                  <w:r w:rsidRPr="003C1C5C">
                    <w:rPr>
                      <w:rFonts w:ascii="Times New Roman" w:hAnsi="Times New Roman"/>
                      <w:b/>
                    </w:rPr>
                    <w:t>Czy kadencja jest odnawialna?</w:t>
                  </w:r>
                </w:p>
              </w:tc>
            </w:tr>
            <w:tr w:rsidR="00E45462" w:rsidRPr="00535588" w14:paraId="1A80390E" w14:textId="77777777" w:rsidTr="00734976">
              <w:trPr>
                <w:trHeight w:val="630"/>
                <w:jc w:val="center"/>
              </w:trPr>
              <w:tc>
                <w:tcPr>
                  <w:tcW w:w="2220" w:type="dxa"/>
                  <w:vAlign w:val="center"/>
                </w:tcPr>
                <w:p w14:paraId="7E02A441" w14:textId="77777777" w:rsidR="00E45462" w:rsidRPr="00E45462" w:rsidRDefault="00E45462" w:rsidP="00734976">
                  <w:pPr>
                    <w:jc w:val="center"/>
                    <w:rPr>
                      <w:rFonts w:ascii="Times New Roman" w:hAnsi="Times New Roman"/>
                    </w:rPr>
                  </w:pPr>
                  <w:r w:rsidRPr="00E45462">
                    <w:rPr>
                      <w:rFonts w:ascii="Times New Roman" w:hAnsi="Times New Roman"/>
                    </w:rPr>
                    <w:t>Austria</w:t>
                  </w:r>
                </w:p>
              </w:tc>
              <w:tc>
                <w:tcPr>
                  <w:tcW w:w="2400" w:type="dxa"/>
                  <w:shd w:val="clear" w:color="auto" w:fill="auto"/>
                  <w:vAlign w:val="center"/>
                </w:tcPr>
                <w:p w14:paraId="46645663" w14:textId="5D11FFCC"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1252E8B6" w14:textId="168F2727"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11B6524E"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535588" w14:paraId="66F6529B" w14:textId="77777777" w:rsidTr="00734976">
              <w:trPr>
                <w:trHeight w:val="630"/>
                <w:jc w:val="center"/>
              </w:trPr>
              <w:tc>
                <w:tcPr>
                  <w:tcW w:w="2220" w:type="dxa"/>
                  <w:vAlign w:val="center"/>
                </w:tcPr>
                <w:p w14:paraId="441982D6" w14:textId="77777777" w:rsidR="00E45462" w:rsidRPr="00E45462" w:rsidRDefault="00E45462" w:rsidP="00734976">
                  <w:pPr>
                    <w:jc w:val="center"/>
                    <w:rPr>
                      <w:rFonts w:ascii="Times New Roman" w:hAnsi="Times New Roman"/>
                    </w:rPr>
                  </w:pPr>
                  <w:r w:rsidRPr="00E45462">
                    <w:rPr>
                      <w:rFonts w:ascii="Times New Roman" w:hAnsi="Times New Roman"/>
                    </w:rPr>
                    <w:t>Belgia</w:t>
                  </w:r>
                </w:p>
              </w:tc>
              <w:tc>
                <w:tcPr>
                  <w:tcW w:w="2400" w:type="dxa"/>
                  <w:shd w:val="clear" w:color="auto" w:fill="auto"/>
                  <w:vAlign w:val="center"/>
                </w:tcPr>
                <w:p w14:paraId="21BD20CA" w14:textId="0CDDC82E"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F9F9F13" w14:textId="33554B5A" w:rsidR="00E45462" w:rsidRPr="00E45462" w:rsidRDefault="00E45462" w:rsidP="00734976">
                  <w:pPr>
                    <w:jc w:val="center"/>
                    <w:rPr>
                      <w:rFonts w:ascii="Times New Roman" w:hAnsi="Times New Roman"/>
                    </w:rPr>
                  </w:pPr>
                  <w:r w:rsidRPr="00E45462">
                    <w:rPr>
                      <w:rFonts w:ascii="Times New Roman" w:hAnsi="Times New Roman"/>
                    </w:rPr>
                    <w:t>6</w:t>
                  </w:r>
                </w:p>
              </w:tc>
              <w:tc>
                <w:tcPr>
                  <w:tcW w:w="3414" w:type="dxa"/>
                  <w:shd w:val="clear" w:color="auto" w:fill="auto"/>
                  <w:vAlign w:val="center"/>
                </w:tcPr>
                <w:p w14:paraId="59A696DC"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535588" w14:paraId="0AAEEEFB" w14:textId="77777777" w:rsidTr="00734976">
              <w:trPr>
                <w:trHeight w:val="630"/>
                <w:jc w:val="center"/>
              </w:trPr>
              <w:tc>
                <w:tcPr>
                  <w:tcW w:w="2220" w:type="dxa"/>
                  <w:vAlign w:val="center"/>
                </w:tcPr>
                <w:p w14:paraId="12CBF89A" w14:textId="77777777" w:rsidR="00E45462" w:rsidRPr="00E45462" w:rsidRDefault="00E45462" w:rsidP="00734976">
                  <w:pPr>
                    <w:jc w:val="center"/>
                    <w:rPr>
                      <w:rFonts w:ascii="Times New Roman" w:hAnsi="Times New Roman"/>
                    </w:rPr>
                  </w:pPr>
                  <w:r w:rsidRPr="00E45462">
                    <w:rPr>
                      <w:rFonts w:ascii="Times New Roman" w:hAnsi="Times New Roman"/>
                    </w:rPr>
                    <w:t>Bułgaria</w:t>
                  </w:r>
                </w:p>
              </w:tc>
              <w:tc>
                <w:tcPr>
                  <w:tcW w:w="2400" w:type="dxa"/>
                  <w:shd w:val="clear" w:color="auto" w:fill="auto"/>
                  <w:vAlign w:val="center"/>
                </w:tcPr>
                <w:p w14:paraId="360CDBD3" w14:textId="6A388FD6"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265A0A1E" w14:textId="16F30446"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6742D9EB" w14:textId="77777777" w:rsidR="00E45462" w:rsidRPr="00E45462" w:rsidRDefault="00E45462" w:rsidP="00734976">
                  <w:pPr>
                    <w:jc w:val="center"/>
                    <w:rPr>
                      <w:rFonts w:ascii="Times New Roman" w:hAnsi="Times New Roman"/>
                    </w:rPr>
                  </w:pPr>
                  <w:r w:rsidRPr="00E45462">
                    <w:rPr>
                      <w:rFonts w:ascii="Times New Roman" w:hAnsi="Times New Roman"/>
                    </w:rPr>
                    <w:t>NIE bezpośrednio po zakończonej kadencji</w:t>
                  </w:r>
                </w:p>
              </w:tc>
            </w:tr>
            <w:tr w:rsidR="00E45462" w:rsidRPr="00535588" w14:paraId="545424FB" w14:textId="77777777" w:rsidTr="00734976">
              <w:trPr>
                <w:trHeight w:val="630"/>
                <w:jc w:val="center"/>
              </w:trPr>
              <w:tc>
                <w:tcPr>
                  <w:tcW w:w="2220" w:type="dxa"/>
                  <w:vAlign w:val="center"/>
                </w:tcPr>
                <w:p w14:paraId="7412C828" w14:textId="77777777" w:rsidR="00E45462" w:rsidRPr="00E45462" w:rsidRDefault="00E45462" w:rsidP="00734976">
                  <w:pPr>
                    <w:jc w:val="center"/>
                    <w:rPr>
                      <w:rFonts w:ascii="Times New Roman" w:hAnsi="Times New Roman"/>
                    </w:rPr>
                  </w:pPr>
                  <w:r w:rsidRPr="00E45462">
                    <w:rPr>
                      <w:rFonts w:ascii="Times New Roman" w:hAnsi="Times New Roman"/>
                    </w:rPr>
                    <w:t>Chorwacja</w:t>
                  </w:r>
                </w:p>
              </w:tc>
              <w:tc>
                <w:tcPr>
                  <w:tcW w:w="2400" w:type="dxa"/>
                  <w:shd w:val="clear" w:color="auto" w:fill="auto"/>
                  <w:vAlign w:val="center"/>
                </w:tcPr>
                <w:p w14:paraId="0F95907C" w14:textId="03F7AAC1"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77D49286" w14:textId="4F5E5FDD"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310628B3"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535588" w14:paraId="1E58865D" w14:textId="77777777" w:rsidTr="00734976">
              <w:trPr>
                <w:trHeight w:val="630"/>
                <w:jc w:val="center"/>
              </w:trPr>
              <w:tc>
                <w:tcPr>
                  <w:tcW w:w="2220" w:type="dxa"/>
                  <w:vAlign w:val="center"/>
                </w:tcPr>
                <w:p w14:paraId="3B1B95BD" w14:textId="77777777" w:rsidR="00E45462" w:rsidRPr="00E45462" w:rsidRDefault="00E45462" w:rsidP="00734976">
                  <w:pPr>
                    <w:jc w:val="center"/>
                    <w:rPr>
                      <w:rFonts w:ascii="Times New Roman" w:hAnsi="Times New Roman"/>
                    </w:rPr>
                  </w:pPr>
                  <w:r w:rsidRPr="00E45462">
                    <w:rPr>
                      <w:rFonts w:ascii="Times New Roman" w:hAnsi="Times New Roman"/>
                    </w:rPr>
                    <w:t>Cypr</w:t>
                  </w:r>
                </w:p>
              </w:tc>
              <w:tc>
                <w:tcPr>
                  <w:tcW w:w="2400" w:type="dxa"/>
                  <w:shd w:val="clear" w:color="auto" w:fill="auto"/>
                  <w:vAlign w:val="center"/>
                </w:tcPr>
                <w:p w14:paraId="2C4C445C" w14:textId="72909280"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04E748F4" w14:textId="2F5123F3"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37E66FB7"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rsidRPr="00535588" w14:paraId="00A5FE98" w14:textId="77777777" w:rsidTr="00734976">
              <w:trPr>
                <w:trHeight w:val="660"/>
                <w:jc w:val="center"/>
              </w:trPr>
              <w:tc>
                <w:tcPr>
                  <w:tcW w:w="2220" w:type="dxa"/>
                  <w:vAlign w:val="center"/>
                </w:tcPr>
                <w:p w14:paraId="4527712E" w14:textId="77777777" w:rsidR="00E45462" w:rsidRPr="00E45462" w:rsidRDefault="00E45462" w:rsidP="00734976">
                  <w:pPr>
                    <w:jc w:val="center"/>
                    <w:rPr>
                      <w:rFonts w:ascii="Times New Roman" w:hAnsi="Times New Roman"/>
                    </w:rPr>
                  </w:pPr>
                  <w:r w:rsidRPr="00E45462">
                    <w:rPr>
                      <w:rFonts w:ascii="Times New Roman" w:hAnsi="Times New Roman"/>
                    </w:rPr>
                    <w:t>Czechy</w:t>
                  </w:r>
                </w:p>
              </w:tc>
              <w:tc>
                <w:tcPr>
                  <w:tcW w:w="2400" w:type="dxa"/>
                  <w:shd w:val="clear" w:color="auto" w:fill="auto"/>
                  <w:vAlign w:val="center"/>
                </w:tcPr>
                <w:p w14:paraId="152DD1EC" w14:textId="56DCE709"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19DB06E8" w14:textId="7398223A" w:rsidR="00E45462" w:rsidRPr="00E45462" w:rsidRDefault="00E45462" w:rsidP="00734976">
                  <w:pPr>
                    <w:jc w:val="center"/>
                    <w:rPr>
                      <w:rFonts w:ascii="Times New Roman" w:hAnsi="Times New Roman"/>
                    </w:rPr>
                  </w:pPr>
                  <w:r w:rsidRPr="00E45462">
                    <w:rPr>
                      <w:rFonts w:ascii="Times New Roman" w:hAnsi="Times New Roman"/>
                    </w:rPr>
                    <w:t>6</w:t>
                  </w:r>
                </w:p>
              </w:tc>
              <w:tc>
                <w:tcPr>
                  <w:tcW w:w="3414" w:type="dxa"/>
                  <w:shd w:val="clear" w:color="auto" w:fill="auto"/>
                  <w:vAlign w:val="center"/>
                </w:tcPr>
                <w:p w14:paraId="02A4A04B"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rsidRPr="00535588" w14:paraId="4F476311" w14:textId="77777777" w:rsidTr="00734976">
              <w:trPr>
                <w:trHeight w:val="585"/>
                <w:jc w:val="center"/>
              </w:trPr>
              <w:tc>
                <w:tcPr>
                  <w:tcW w:w="2220" w:type="dxa"/>
                  <w:vAlign w:val="center"/>
                </w:tcPr>
                <w:p w14:paraId="7B24BA2D" w14:textId="77777777" w:rsidR="00E45462" w:rsidRPr="00E45462" w:rsidRDefault="00E45462" w:rsidP="00734976">
                  <w:pPr>
                    <w:jc w:val="center"/>
                    <w:rPr>
                      <w:rFonts w:ascii="Times New Roman" w:hAnsi="Times New Roman"/>
                    </w:rPr>
                  </w:pPr>
                  <w:r w:rsidRPr="00E45462">
                    <w:rPr>
                      <w:rFonts w:ascii="Times New Roman" w:hAnsi="Times New Roman"/>
                    </w:rPr>
                    <w:t>Dania</w:t>
                  </w:r>
                </w:p>
              </w:tc>
              <w:tc>
                <w:tcPr>
                  <w:tcW w:w="2400" w:type="dxa"/>
                  <w:shd w:val="clear" w:color="auto" w:fill="auto"/>
                  <w:vAlign w:val="center"/>
                </w:tcPr>
                <w:p w14:paraId="4B074096" w14:textId="2E6602BB"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7045850B" w14:textId="1A839CEC"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360DECEF"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345231" w14:paraId="11F38908" w14:textId="77777777" w:rsidTr="00734976">
              <w:trPr>
                <w:trHeight w:val="585"/>
                <w:jc w:val="center"/>
              </w:trPr>
              <w:tc>
                <w:tcPr>
                  <w:tcW w:w="2220" w:type="dxa"/>
                  <w:vAlign w:val="center"/>
                </w:tcPr>
                <w:p w14:paraId="00B05FA4" w14:textId="77777777" w:rsidR="00E45462" w:rsidRPr="00BA57EF" w:rsidRDefault="00E45462" w:rsidP="00734976">
                  <w:pPr>
                    <w:jc w:val="center"/>
                    <w:rPr>
                      <w:rFonts w:ascii="Times New Roman" w:hAnsi="Times New Roman"/>
                    </w:rPr>
                  </w:pPr>
                  <w:r w:rsidRPr="00BA57EF">
                    <w:rPr>
                      <w:rFonts w:ascii="Times New Roman" w:hAnsi="Times New Roman"/>
                    </w:rPr>
                    <w:t>Estonia</w:t>
                  </w:r>
                </w:p>
              </w:tc>
              <w:tc>
                <w:tcPr>
                  <w:tcW w:w="2400" w:type="dxa"/>
                  <w:shd w:val="clear" w:color="auto" w:fill="auto"/>
                  <w:vAlign w:val="center"/>
                </w:tcPr>
                <w:p w14:paraId="0951CF9A" w14:textId="4627CD2B"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22960331" w14:textId="7FF6D6BD"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70052F46" w14:textId="77777777" w:rsidR="00E45462" w:rsidRPr="00E45462" w:rsidRDefault="00E45462" w:rsidP="00734976">
                  <w:pPr>
                    <w:jc w:val="center"/>
                    <w:rPr>
                      <w:rFonts w:ascii="Times New Roman" w:hAnsi="Times New Roman"/>
                      <w:i/>
                    </w:rPr>
                  </w:pPr>
                  <w:r w:rsidRPr="00E45462">
                    <w:rPr>
                      <w:rFonts w:ascii="Times New Roman" w:hAnsi="Times New Roman"/>
                      <w:i/>
                    </w:rPr>
                    <w:t>brak danych</w:t>
                  </w:r>
                </w:p>
              </w:tc>
            </w:tr>
            <w:tr w:rsidR="00E45462" w:rsidRPr="00345231" w14:paraId="18F0B7AA" w14:textId="77777777" w:rsidTr="00734976">
              <w:trPr>
                <w:trHeight w:val="585"/>
                <w:jc w:val="center"/>
              </w:trPr>
              <w:tc>
                <w:tcPr>
                  <w:tcW w:w="2220" w:type="dxa"/>
                  <w:vAlign w:val="center"/>
                </w:tcPr>
                <w:p w14:paraId="46DCA5B0" w14:textId="77777777" w:rsidR="00E45462" w:rsidRPr="00BA57EF" w:rsidRDefault="00E45462" w:rsidP="00734976">
                  <w:pPr>
                    <w:jc w:val="center"/>
                    <w:rPr>
                      <w:rFonts w:ascii="Times New Roman" w:hAnsi="Times New Roman"/>
                    </w:rPr>
                  </w:pPr>
                  <w:r w:rsidRPr="00BA57EF">
                    <w:rPr>
                      <w:rFonts w:ascii="Times New Roman" w:hAnsi="Times New Roman"/>
                    </w:rPr>
                    <w:t>Finlandia</w:t>
                  </w:r>
                </w:p>
              </w:tc>
              <w:tc>
                <w:tcPr>
                  <w:tcW w:w="2400" w:type="dxa"/>
                  <w:shd w:val="clear" w:color="auto" w:fill="auto"/>
                  <w:vAlign w:val="center"/>
                </w:tcPr>
                <w:p w14:paraId="19CD2A1B" w14:textId="3B9914FC"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ED50720" w14:textId="7AC6D8FE" w:rsidR="00E45462" w:rsidRPr="00E45462" w:rsidRDefault="00E45462" w:rsidP="00734976">
                  <w:pPr>
                    <w:jc w:val="center"/>
                    <w:rPr>
                      <w:rFonts w:ascii="Times New Roman" w:hAnsi="Times New Roman"/>
                    </w:rPr>
                  </w:pPr>
                  <w:r w:rsidRPr="00E45462">
                    <w:rPr>
                      <w:rFonts w:ascii="Times New Roman" w:hAnsi="Times New Roman"/>
                    </w:rPr>
                    <w:t>7</w:t>
                  </w:r>
                </w:p>
              </w:tc>
              <w:tc>
                <w:tcPr>
                  <w:tcW w:w="3414" w:type="dxa"/>
                  <w:shd w:val="clear" w:color="auto" w:fill="auto"/>
                  <w:vAlign w:val="center"/>
                </w:tcPr>
                <w:p w14:paraId="7D7F551A" w14:textId="77777777" w:rsidR="00E45462" w:rsidRPr="00E45462" w:rsidRDefault="00E45462" w:rsidP="00734976">
                  <w:pPr>
                    <w:jc w:val="center"/>
                    <w:rPr>
                      <w:rFonts w:ascii="Times New Roman" w:hAnsi="Times New Roman"/>
                      <w:i/>
                    </w:rPr>
                  </w:pPr>
                  <w:r w:rsidRPr="00E45462">
                    <w:rPr>
                      <w:rFonts w:ascii="Times New Roman" w:hAnsi="Times New Roman"/>
                      <w:i/>
                    </w:rPr>
                    <w:t>brak danych</w:t>
                  </w:r>
                </w:p>
              </w:tc>
            </w:tr>
            <w:tr w:rsidR="00E45462" w:rsidRPr="00535588" w14:paraId="67B936A2" w14:textId="77777777" w:rsidTr="00734976">
              <w:trPr>
                <w:trHeight w:val="585"/>
                <w:jc w:val="center"/>
              </w:trPr>
              <w:tc>
                <w:tcPr>
                  <w:tcW w:w="2220" w:type="dxa"/>
                  <w:vAlign w:val="center"/>
                </w:tcPr>
                <w:p w14:paraId="65C2B9EA" w14:textId="77777777" w:rsidR="00E45462" w:rsidRPr="00E45462" w:rsidRDefault="00E45462" w:rsidP="00734976">
                  <w:pPr>
                    <w:jc w:val="center"/>
                    <w:rPr>
                      <w:rFonts w:ascii="Times New Roman" w:hAnsi="Times New Roman"/>
                    </w:rPr>
                  </w:pPr>
                  <w:r w:rsidRPr="00E45462">
                    <w:rPr>
                      <w:rFonts w:ascii="Times New Roman" w:hAnsi="Times New Roman"/>
                    </w:rPr>
                    <w:t>Francja</w:t>
                  </w:r>
                </w:p>
              </w:tc>
              <w:tc>
                <w:tcPr>
                  <w:tcW w:w="2400" w:type="dxa"/>
                  <w:shd w:val="clear" w:color="auto" w:fill="auto"/>
                  <w:vAlign w:val="center"/>
                </w:tcPr>
                <w:p w14:paraId="7A6338F2" w14:textId="397F731F"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4B8C8E2E" w14:textId="697046FF"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6A3754B3"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rsidRPr="006F1206" w14:paraId="3F5A3A32" w14:textId="77777777" w:rsidTr="00734976">
              <w:trPr>
                <w:trHeight w:val="660"/>
                <w:jc w:val="center"/>
              </w:trPr>
              <w:tc>
                <w:tcPr>
                  <w:tcW w:w="2220" w:type="dxa"/>
                  <w:vAlign w:val="center"/>
                </w:tcPr>
                <w:p w14:paraId="4771DC5D" w14:textId="77777777" w:rsidR="00E45462" w:rsidRPr="00E45462" w:rsidRDefault="00E45462" w:rsidP="00734976">
                  <w:pPr>
                    <w:jc w:val="center"/>
                    <w:rPr>
                      <w:rFonts w:ascii="Times New Roman" w:hAnsi="Times New Roman"/>
                    </w:rPr>
                  </w:pPr>
                  <w:r w:rsidRPr="00E45462">
                    <w:rPr>
                      <w:rFonts w:ascii="Times New Roman" w:hAnsi="Times New Roman"/>
                    </w:rPr>
                    <w:t>Grecja</w:t>
                  </w:r>
                </w:p>
              </w:tc>
              <w:tc>
                <w:tcPr>
                  <w:tcW w:w="2400" w:type="dxa"/>
                  <w:shd w:val="clear" w:color="auto" w:fill="auto"/>
                  <w:vAlign w:val="center"/>
                </w:tcPr>
                <w:p w14:paraId="761FAAC2" w14:textId="1360A391"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37E6BF8D" w14:textId="7D6FBFF9"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2A4F4D6E"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rsidRPr="00AA1192" w14:paraId="2C519585" w14:textId="77777777" w:rsidTr="00734976">
              <w:trPr>
                <w:trHeight w:val="615"/>
                <w:jc w:val="center"/>
              </w:trPr>
              <w:tc>
                <w:tcPr>
                  <w:tcW w:w="2220" w:type="dxa"/>
                  <w:vAlign w:val="center"/>
                </w:tcPr>
                <w:p w14:paraId="037763B7" w14:textId="77777777" w:rsidR="00E45462" w:rsidRPr="00E45462" w:rsidRDefault="00E45462" w:rsidP="00734976">
                  <w:pPr>
                    <w:jc w:val="center"/>
                    <w:rPr>
                      <w:rFonts w:ascii="Times New Roman" w:hAnsi="Times New Roman"/>
                    </w:rPr>
                  </w:pPr>
                  <w:r w:rsidRPr="00E45462">
                    <w:rPr>
                      <w:rFonts w:ascii="Times New Roman" w:hAnsi="Times New Roman"/>
                    </w:rPr>
                    <w:t>Hiszpania</w:t>
                  </w:r>
                </w:p>
              </w:tc>
              <w:tc>
                <w:tcPr>
                  <w:tcW w:w="2400" w:type="dxa"/>
                  <w:shd w:val="clear" w:color="auto" w:fill="auto"/>
                  <w:vAlign w:val="center"/>
                </w:tcPr>
                <w:p w14:paraId="163904E7" w14:textId="4324AC8B"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247DC5D8" w14:textId="70FC185A" w:rsidR="00E45462" w:rsidRPr="00E45462" w:rsidRDefault="00E45462" w:rsidP="00734976">
                  <w:pPr>
                    <w:jc w:val="center"/>
                    <w:rPr>
                      <w:rFonts w:ascii="Times New Roman" w:hAnsi="Times New Roman"/>
                    </w:rPr>
                  </w:pPr>
                  <w:r w:rsidRPr="00E45462">
                    <w:rPr>
                      <w:rFonts w:ascii="Times New Roman" w:hAnsi="Times New Roman"/>
                    </w:rPr>
                    <w:t>6</w:t>
                  </w:r>
                </w:p>
              </w:tc>
              <w:tc>
                <w:tcPr>
                  <w:tcW w:w="3414" w:type="dxa"/>
                  <w:shd w:val="clear" w:color="auto" w:fill="auto"/>
                  <w:vAlign w:val="center"/>
                </w:tcPr>
                <w:p w14:paraId="081BC497" w14:textId="77777777" w:rsidR="00E45462" w:rsidRPr="00E45462" w:rsidRDefault="00E45462" w:rsidP="00734976">
                  <w:pPr>
                    <w:jc w:val="center"/>
                    <w:rPr>
                      <w:rFonts w:ascii="Times New Roman" w:hAnsi="Times New Roman"/>
                    </w:rPr>
                  </w:pPr>
                  <w:r w:rsidRPr="00E45462">
                    <w:rPr>
                      <w:rFonts w:ascii="Times New Roman" w:hAnsi="Times New Roman"/>
                    </w:rPr>
                    <w:t>NIE</w:t>
                  </w:r>
                </w:p>
              </w:tc>
            </w:tr>
            <w:tr w:rsidR="00E45462" w14:paraId="4A09973B" w14:textId="77777777" w:rsidTr="00734976">
              <w:trPr>
                <w:trHeight w:val="615"/>
                <w:jc w:val="center"/>
              </w:trPr>
              <w:tc>
                <w:tcPr>
                  <w:tcW w:w="2220" w:type="dxa"/>
                  <w:vAlign w:val="center"/>
                </w:tcPr>
                <w:p w14:paraId="50E1DFCA" w14:textId="77777777" w:rsidR="00E45462" w:rsidRPr="00E45462" w:rsidRDefault="00E45462" w:rsidP="00734976">
                  <w:pPr>
                    <w:jc w:val="center"/>
                    <w:rPr>
                      <w:rFonts w:ascii="Times New Roman" w:hAnsi="Times New Roman"/>
                    </w:rPr>
                  </w:pPr>
                  <w:r w:rsidRPr="00E45462">
                    <w:rPr>
                      <w:rFonts w:ascii="Times New Roman" w:hAnsi="Times New Roman"/>
                    </w:rPr>
                    <w:t>Holandia</w:t>
                  </w:r>
                </w:p>
              </w:tc>
              <w:tc>
                <w:tcPr>
                  <w:tcW w:w="2400" w:type="dxa"/>
                  <w:shd w:val="clear" w:color="auto" w:fill="auto"/>
                  <w:vAlign w:val="center"/>
                </w:tcPr>
                <w:p w14:paraId="0453255F" w14:textId="123F15F5"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04CD70F3" w14:textId="193A02CA" w:rsidR="00E45462" w:rsidRPr="00E45462" w:rsidRDefault="00E45462" w:rsidP="00734976">
                  <w:pPr>
                    <w:jc w:val="center"/>
                    <w:rPr>
                      <w:rFonts w:ascii="Times New Roman" w:hAnsi="Times New Roman"/>
                    </w:rPr>
                  </w:pPr>
                  <w:r w:rsidRPr="00E45462">
                    <w:rPr>
                      <w:rFonts w:ascii="Times New Roman" w:hAnsi="Times New Roman"/>
                    </w:rPr>
                    <w:t>7</w:t>
                  </w:r>
                </w:p>
              </w:tc>
              <w:tc>
                <w:tcPr>
                  <w:tcW w:w="3414" w:type="dxa"/>
                  <w:shd w:val="clear" w:color="auto" w:fill="auto"/>
                  <w:vAlign w:val="center"/>
                </w:tcPr>
                <w:p w14:paraId="5872E009"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14:paraId="174215C9" w14:textId="77777777" w:rsidTr="00734976">
              <w:trPr>
                <w:trHeight w:val="615"/>
                <w:jc w:val="center"/>
              </w:trPr>
              <w:tc>
                <w:tcPr>
                  <w:tcW w:w="2220" w:type="dxa"/>
                  <w:vAlign w:val="center"/>
                </w:tcPr>
                <w:p w14:paraId="6CFB83BA" w14:textId="77777777" w:rsidR="00E45462" w:rsidRPr="00E45462" w:rsidRDefault="00E45462" w:rsidP="00734976">
                  <w:pPr>
                    <w:jc w:val="center"/>
                    <w:rPr>
                      <w:rFonts w:ascii="Times New Roman" w:hAnsi="Times New Roman"/>
                    </w:rPr>
                  </w:pPr>
                  <w:r w:rsidRPr="00E45462">
                    <w:rPr>
                      <w:rFonts w:ascii="Times New Roman" w:hAnsi="Times New Roman"/>
                    </w:rPr>
                    <w:t>Irlandia</w:t>
                  </w:r>
                </w:p>
              </w:tc>
              <w:tc>
                <w:tcPr>
                  <w:tcW w:w="2400" w:type="dxa"/>
                  <w:shd w:val="clear" w:color="auto" w:fill="auto"/>
                  <w:vAlign w:val="center"/>
                </w:tcPr>
                <w:p w14:paraId="07F979D9" w14:textId="6189CE5B"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08C4364E" w14:textId="7EBE6421"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6A63F1DA"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rsidRPr="00535588" w14:paraId="19DC54A9" w14:textId="77777777" w:rsidTr="00734976">
              <w:trPr>
                <w:trHeight w:val="615"/>
                <w:jc w:val="center"/>
              </w:trPr>
              <w:tc>
                <w:tcPr>
                  <w:tcW w:w="2220" w:type="dxa"/>
                  <w:vAlign w:val="center"/>
                </w:tcPr>
                <w:p w14:paraId="5D4A6E79" w14:textId="77777777" w:rsidR="00E45462" w:rsidRPr="00E45462" w:rsidRDefault="00E45462" w:rsidP="00734976">
                  <w:pPr>
                    <w:jc w:val="center"/>
                    <w:rPr>
                      <w:rFonts w:ascii="Times New Roman" w:hAnsi="Times New Roman"/>
                    </w:rPr>
                  </w:pPr>
                  <w:r w:rsidRPr="00E45462">
                    <w:rPr>
                      <w:rFonts w:ascii="Times New Roman" w:hAnsi="Times New Roman"/>
                    </w:rPr>
                    <w:t>Litwa</w:t>
                  </w:r>
                </w:p>
              </w:tc>
              <w:tc>
                <w:tcPr>
                  <w:tcW w:w="2400" w:type="dxa"/>
                  <w:shd w:val="clear" w:color="auto" w:fill="auto"/>
                  <w:vAlign w:val="center"/>
                </w:tcPr>
                <w:p w14:paraId="0B7D097A" w14:textId="6914357B"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56E147EA" w14:textId="47549450" w:rsidR="00E45462" w:rsidRPr="00E45462" w:rsidRDefault="00E45462" w:rsidP="00734976">
                  <w:pPr>
                    <w:jc w:val="center"/>
                    <w:rPr>
                      <w:rFonts w:ascii="Times New Roman" w:hAnsi="Times New Roman"/>
                    </w:rPr>
                  </w:pPr>
                  <w:r w:rsidRPr="00E45462">
                    <w:rPr>
                      <w:rFonts w:ascii="Times New Roman" w:hAnsi="Times New Roman"/>
                    </w:rPr>
                    <w:t>6</w:t>
                  </w:r>
                </w:p>
              </w:tc>
              <w:tc>
                <w:tcPr>
                  <w:tcW w:w="3414" w:type="dxa"/>
                  <w:shd w:val="clear" w:color="auto" w:fill="auto"/>
                  <w:vAlign w:val="center"/>
                </w:tcPr>
                <w:p w14:paraId="1B90B77F"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535588" w14:paraId="6A3A9DD5" w14:textId="77777777" w:rsidTr="00734976">
              <w:trPr>
                <w:trHeight w:val="615"/>
                <w:jc w:val="center"/>
              </w:trPr>
              <w:tc>
                <w:tcPr>
                  <w:tcW w:w="2220" w:type="dxa"/>
                  <w:vAlign w:val="center"/>
                </w:tcPr>
                <w:p w14:paraId="34A8A2D9" w14:textId="77777777" w:rsidR="00E45462" w:rsidRPr="00E45462" w:rsidRDefault="00E45462" w:rsidP="00734976">
                  <w:pPr>
                    <w:jc w:val="center"/>
                    <w:rPr>
                      <w:rFonts w:ascii="Times New Roman" w:hAnsi="Times New Roman"/>
                    </w:rPr>
                  </w:pPr>
                  <w:r w:rsidRPr="00E45462">
                    <w:rPr>
                      <w:rFonts w:ascii="Times New Roman" w:hAnsi="Times New Roman"/>
                    </w:rPr>
                    <w:t>Luksemburg</w:t>
                  </w:r>
                </w:p>
              </w:tc>
              <w:tc>
                <w:tcPr>
                  <w:tcW w:w="2400" w:type="dxa"/>
                  <w:shd w:val="clear" w:color="auto" w:fill="auto"/>
                  <w:vAlign w:val="center"/>
                </w:tcPr>
                <w:p w14:paraId="447C354D" w14:textId="12CA98BB"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C1595F9" w14:textId="01520558" w:rsidR="00E45462" w:rsidRPr="00E45462" w:rsidRDefault="00E45462" w:rsidP="00734976">
                  <w:pPr>
                    <w:jc w:val="center"/>
                    <w:rPr>
                      <w:rFonts w:ascii="Times New Roman" w:hAnsi="Times New Roman"/>
                    </w:rPr>
                  </w:pPr>
                  <w:r w:rsidRPr="00E45462">
                    <w:rPr>
                      <w:rFonts w:ascii="Times New Roman" w:hAnsi="Times New Roman"/>
                    </w:rPr>
                    <w:t>7</w:t>
                  </w:r>
                </w:p>
              </w:tc>
              <w:tc>
                <w:tcPr>
                  <w:tcW w:w="3414" w:type="dxa"/>
                  <w:shd w:val="clear" w:color="auto" w:fill="auto"/>
                  <w:vAlign w:val="center"/>
                </w:tcPr>
                <w:p w14:paraId="13276AD8"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14:paraId="0F7323B2" w14:textId="77777777" w:rsidTr="00734976">
              <w:trPr>
                <w:trHeight w:val="585"/>
                <w:jc w:val="center"/>
              </w:trPr>
              <w:tc>
                <w:tcPr>
                  <w:tcW w:w="2220" w:type="dxa"/>
                  <w:vAlign w:val="center"/>
                </w:tcPr>
                <w:p w14:paraId="65C5EB83" w14:textId="77777777" w:rsidR="00E45462" w:rsidRPr="00E45462" w:rsidRDefault="00E45462" w:rsidP="00734976">
                  <w:pPr>
                    <w:jc w:val="center"/>
                    <w:rPr>
                      <w:rFonts w:ascii="Times New Roman" w:hAnsi="Times New Roman"/>
                    </w:rPr>
                  </w:pPr>
                  <w:r w:rsidRPr="00E45462">
                    <w:rPr>
                      <w:rFonts w:ascii="Times New Roman" w:hAnsi="Times New Roman"/>
                    </w:rPr>
                    <w:t>Łotwa</w:t>
                  </w:r>
                </w:p>
              </w:tc>
              <w:tc>
                <w:tcPr>
                  <w:tcW w:w="2400" w:type="dxa"/>
                  <w:shd w:val="clear" w:color="auto" w:fill="auto"/>
                  <w:vAlign w:val="center"/>
                </w:tcPr>
                <w:p w14:paraId="74E8F972" w14:textId="42A3B86A"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28B68A18" w14:textId="1DE6A43C"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7DDC81F9"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535588" w14:paraId="228442A5" w14:textId="77777777" w:rsidTr="00734976">
              <w:trPr>
                <w:trHeight w:val="585"/>
                <w:jc w:val="center"/>
              </w:trPr>
              <w:tc>
                <w:tcPr>
                  <w:tcW w:w="2220" w:type="dxa"/>
                  <w:vAlign w:val="center"/>
                </w:tcPr>
                <w:p w14:paraId="4F2D2F6A" w14:textId="77777777" w:rsidR="00E45462" w:rsidRPr="00E45462" w:rsidRDefault="00E45462" w:rsidP="00734976">
                  <w:pPr>
                    <w:jc w:val="center"/>
                    <w:rPr>
                      <w:rFonts w:ascii="Times New Roman" w:hAnsi="Times New Roman"/>
                    </w:rPr>
                  </w:pPr>
                  <w:r w:rsidRPr="00E45462">
                    <w:rPr>
                      <w:rFonts w:ascii="Times New Roman" w:hAnsi="Times New Roman"/>
                    </w:rPr>
                    <w:t>Malta</w:t>
                  </w:r>
                </w:p>
              </w:tc>
              <w:tc>
                <w:tcPr>
                  <w:tcW w:w="2400" w:type="dxa"/>
                  <w:shd w:val="clear" w:color="auto" w:fill="auto"/>
                  <w:vAlign w:val="center"/>
                </w:tcPr>
                <w:p w14:paraId="1380E7DA" w14:textId="34375C0D"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534B50B7" w14:textId="4AD338C9" w:rsidR="00E45462" w:rsidRPr="00E45462" w:rsidRDefault="00E45462" w:rsidP="00734976">
                  <w:pPr>
                    <w:jc w:val="center"/>
                    <w:rPr>
                      <w:rFonts w:ascii="Times New Roman" w:hAnsi="Times New Roman"/>
                    </w:rPr>
                  </w:pPr>
                  <w:r w:rsidRPr="00E45462">
                    <w:rPr>
                      <w:rFonts w:ascii="Times New Roman" w:hAnsi="Times New Roman"/>
                    </w:rPr>
                    <w:t>3</w:t>
                  </w:r>
                </w:p>
              </w:tc>
              <w:tc>
                <w:tcPr>
                  <w:tcW w:w="3414" w:type="dxa"/>
                  <w:shd w:val="clear" w:color="auto" w:fill="auto"/>
                  <w:vAlign w:val="center"/>
                </w:tcPr>
                <w:p w14:paraId="0B645101"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535588" w14:paraId="5C9ACB49" w14:textId="77777777" w:rsidTr="00734976">
              <w:trPr>
                <w:trHeight w:val="585"/>
                <w:jc w:val="center"/>
              </w:trPr>
              <w:tc>
                <w:tcPr>
                  <w:tcW w:w="2220" w:type="dxa"/>
                  <w:vAlign w:val="center"/>
                </w:tcPr>
                <w:p w14:paraId="46FD7F05" w14:textId="77777777" w:rsidR="00E45462" w:rsidRPr="00E45462" w:rsidRDefault="00E45462" w:rsidP="00734976">
                  <w:pPr>
                    <w:jc w:val="center"/>
                    <w:rPr>
                      <w:rFonts w:ascii="Times New Roman" w:hAnsi="Times New Roman"/>
                    </w:rPr>
                  </w:pPr>
                  <w:r w:rsidRPr="00E45462">
                    <w:rPr>
                      <w:rFonts w:ascii="Times New Roman" w:hAnsi="Times New Roman"/>
                    </w:rPr>
                    <w:t>Niemcy</w:t>
                  </w:r>
                </w:p>
              </w:tc>
              <w:tc>
                <w:tcPr>
                  <w:tcW w:w="2400" w:type="dxa"/>
                  <w:shd w:val="clear" w:color="auto" w:fill="auto"/>
                  <w:vAlign w:val="center"/>
                </w:tcPr>
                <w:p w14:paraId="05FEBCCF" w14:textId="24365D99" w:rsidR="00E45462" w:rsidRPr="00E45462" w:rsidRDefault="00E45462" w:rsidP="00734976">
                  <w:pPr>
                    <w:jc w:val="center"/>
                    <w:rPr>
                      <w:rFonts w:ascii="Times New Roman" w:hAnsi="Times New Roman"/>
                    </w:rPr>
                  </w:pPr>
                  <w:r w:rsidRPr="00E45462">
                    <w:rPr>
                      <w:rFonts w:ascii="Times New Roman" w:hAnsi="Times New Roman"/>
                    </w:rPr>
                    <w:t>NIE</w:t>
                  </w:r>
                </w:p>
              </w:tc>
              <w:tc>
                <w:tcPr>
                  <w:tcW w:w="2280" w:type="dxa"/>
                  <w:shd w:val="clear" w:color="auto" w:fill="auto"/>
                  <w:vAlign w:val="center"/>
                </w:tcPr>
                <w:p w14:paraId="189E0A72" w14:textId="0327BCF8" w:rsidR="00E45462" w:rsidRPr="00E45462" w:rsidRDefault="003C1C5C" w:rsidP="00734976">
                  <w:pPr>
                    <w:jc w:val="center"/>
                    <w:rPr>
                      <w:rFonts w:ascii="Times New Roman" w:hAnsi="Times New Roman"/>
                    </w:rPr>
                  </w:pPr>
                  <w:r>
                    <w:rPr>
                      <w:rFonts w:ascii="Times New Roman" w:hAnsi="Times New Roman"/>
                    </w:rPr>
                    <w:t>-</w:t>
                  </w:r>
                </w:p>
              </w:tc>
              <w:tc>
                <w:tcPr>
                  <w:tcW w:w="3414" w:type="dxa"/>
                  <w:shd w:val="clear" w:color="auto" w:fill="auto"/>
                  <w:vAlign w:val="center"/>
                </w:tcPr>
                <w:p w14:paraId="02038891" w14:textId="26892B12" w:rsidR="00E45462" w:rsidRPr="00E45462" w:rsidRDefault="003C1C5C" w:rsidP="00734976">
                  <w:pPr>
                    <w:jc w:val="center"/>
                    <w:rPr>
                      <w:rFonts w:ascii="Times New Roman" w:hAnsi="Times New Roman"/>
                    </w:rPr>
                  </w:pPr>
                  <w:r>
                    <w:rPr>
                      <w:rFonts w:ascii="Times New Roman" w:hAnsi="Times New Roman"/>
                    </w:rPr>
                    <w:t>-</w:t>
                  </w:r>
                </w:p>
              </w:tc>
            </w:tr>
            <w:tr w:rsidR="00E45462" w:rsidRPr="00535588" w14:paraId="530FD02F" w14:textId="77777777" w:rsidTr="00734976">
              <w:trPr>
                <w:trHeight w:val="585"/>
                <w:jc w:val="center"/>
              </w:trPr>
              <w:tc>
                <w:tcPr>
                  <w:tcW w:w="2220" w:type="dxa"/>
                  <w:vAlign w:val="center"/>
                </w:tcPr>
                <w:p w14:paraId="73E2E5B8" w14:textId="77777777" w:rsidR="00E45462" w:rsidRPr="00E45462" w:rsidRDefault="00E45462" w:rsidP="00734976">
                  <w:pPr>
                    <w:jc w:val="center"/>
                    <w:rPr>
                      <w:rFonts w:ascii="Times New Roman" w:hAnsi="Times New Roman"/>
                    </w:rPr>
                  </w:pPr>
                  <w:r w:rsidRPr="00E45462">
                    <w:rPr>
                      <w:rFonts w:ascii="Times New Roman" w:hAnsi="Times New Roman"/>
                    </w:rPr>
                    <w:t>Portugalia</w:t>
                  </w:r>
                </w:p>
              </w:tc>
              <w:tc>
                <w:tcPr>
                  <w:tcW w:w="2400" w:type="dxa"/>
                  <w:shd w:val="clear" w:color="auto" w:fill="auto"/>
                  <w:vAlign w:val="center"/>
                </w:tcPr>
                <w:p w14:paraId="6293B270" w14:textId="54B1839B"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5731506C" w14:textId="3912C706" w:rsidR="00E45462" w:rsidRPr="00E45462" w:rsidRDefault="00E45462" w:rsidP="00734976">
                  <w:pPr>
                    <w:jc w:val="center"/>
                    <w:rPr>
                      <w:rFonts w:ascii="Times New Roman" w:hAnsi="Times New Roman"/>
                    </w:rPr>
                  </w:pPr>
                  <w:r w:rsidRPr="00E45462">
                    <w:rPr>
                      <w:rFonts w:ascii="Times New Roman" w:hAnsi="Times New Roman"/>
                    </w:rPr>
                    <w:t>6</w:t>
                  </w:r>
                </w:p>
              </w:tc>
              <w:tc>
                <w:tcPr>
                  <w:tcW w:w="3414" w:type="dxa"/>
                  <w:shd w:val="clear" w:color="auto" w:fill="auto"/>
                  <w:vAlign w:val="center"/>
                </w:tcPr>
                <w:p w14:paraId="19E721FE" w14:textId="77777777" w:rsidR="00E45462" w:rsidRPr="00E45462" w:rsidRDefault="00E45462" w:rsidP="00734976">
                  <w:pPr>
                    <w:jc w:val="center"/>
                    <w:rPr>
                      <w:rFonts w:ascii="Times New Roman" w:hAnsi="Times New Roman"/>
                    </w:rPr>
                  </w:pPr>
                  <w:r w:rsidRPr="00E45462">
                    <w:rPr>
                      <w:rFonts w:ascii="Times New Roman" w:hAnsi="Times New Roman"/>
                    </w:rPr>
                    <w:t>NIE</w:t>
                  </w:r>
                </w:p>
              </w:tc>
            </w:tr>
            <w:tr w:rsidR="00E45462" w:rsidRPr="00535588" w14:paraId="594DFD39" w14:textId="77777777" w:rsidTr="00734976">
              <w:trPr>
                <w:trHeight w:val="525"/>
                <w:jc w:val="center"/>
              </w:trPr>
              <w:tc>
                <w:tcPr>
                  <w:tcW w:w="2220" w:type="dxa"/>
                  <w:vAlign w:val="center"/>
                </w:tcPr>
                <w:p w14:paraId="20B27CC8" w14:textId="77777777" w:rsidR="00E45462" w:rsidRPr="00E45462" w:rsidRDefault="00E45462" w:rsidP="00734976">
                  <w:pPr>
                    <w:jc w:val="center"/>
                    <w:rPr>
                      <w:rFonts w:ascii="Times New Roman" w:hAnsi="Times New Roman"/>
                    </w:rPr>
                  </w:pPr>
                  <w:r w:rsidRPr="00E45462">
                    <w:rPr>
                      <w:rFonts w:ascii="Times New Roman" w:hAnsi="Times New Roman"/>
                    </w:rPr>
                    <w:lastRenderedPageBreak/>
                    <w:t>Rosja</w:t>
                  </w:r>
                </w:p>
              </w:tc>
              <w:tc>
                <w:tcPr>
                  <w:tcW w:w="2400" w:type="dxa"/>
                  <w:shd w:val="clear" w:color="auto" w:fill="auto"/>
                  <w:vAlign w:val="center"/>
                </w:tcPr>
                <w:p w14:paraId="7A69D919" w14:textId="2069F25F" w:rsidR="00E45462" w:rsidRPr="00E45462" w:rsidRDefault="00E45462" w:rsidP="00734976">
                  <w:pPr>
                    <w:jc w:val="center"/>
                    <w:rPr>
                      <w:rFonts w:ascii="Times New Roman" w:hAnsi="Times New Roman"/>
                    </w:rPr>
                  </w:pPr>
                  <w:r w:rsidRPr="00E45462">
                    <w:rPr>
                      <w:rFonts w:ascii="Times New Roman" w:hAnsi="Times New Roman"/>
                    </w:rPr>
                    <w:t>NIE</w:t>
                  </w:r>
                </w:p>
              </w:tc>
              <w:tc>
                <w:tcPr>
                  <w:tcW w:w="2280" w:type="dxa"/>
                  <w:shd w:val="clear" w:color="auto" w:fill="auto"/>
                  <w:vAlign w:val="center"/>
                </w:tcPr>
                <w:p w14:paraId="49BA891F" w14:textId="77461520" w:rsidR="00E45462" w:rsidRPr="00E45462" w:rsidRDefault="003C1C5C" w:rsidP="00734976">
                  <w:pPr>
                    <w:jc w:val="center"/>
                    <w:rPr>
                      <w:rFonts w:ascii="Times New Roman" w:hAnsi="Times New Roman"/>
                    </w:rPr>
                  </w:pPr>
                  <w:r>
                    <w:rPr>
                      <w:rFonts w:ascii="Times New Roman" w:hAnsi="Times New Roman"/>
                    </w:rPr>
                    <w:t>-</w:t>
                  </w:r>
                </w:p>
              </w:tc>
              <w:tc>
                <w:tcPr>
                  <w:tcW w:w="3414" w:type="dxa"/>
                  <w:shd w:val="clear" w:color="auto" w:fill="auto"/>
                  <w:vAlign w:val="center"/>
                </w:tcPr>
                <w:p w14:paraId="142B399D" w14:textId="56A55752" w:rsidR="00E45462" w:rsidRPr="00E45462" w:rsidRDefault="003C1C5C" w:rsidP="00734976">
                  <w:pPr>
                    <w:jc w:val="center"/>
                    <w:rPr>
                      <w:rFonts w:ascii="Times New Roman" w:hAnsi="Times New Roman"/>
                    </w:rPr>
                  </w:pPr>
                  <w:r>
                    <w:rPr>
                      <w:rFonts w:ascii="Times New Roman" w:hAnsi="Times New Roman"/>
                    </w:rPr>
                    <w:t>-</w:t>
                  </w:r>
                </w:p>
              </w:tc>
            </w:tr>
            <w:tr w:rsidR="00E45462" w:rsidRPr="00535588" w14:paraId="158AB92A" w14:textId="77777777" w:rsidTr="00734976">
              <w:trPr>
                <w:trHeight w:val="525"/>
                <w:jc w:val="center"/>
              </w:trPr>
              <w:tc>
                <w:tcPr>
                  <w:tcW w:w="2220" w:type="dxa"/>
                  <w:vAlign w:val="center"/>
                </w:tcPr>
                <w:p w14:paraId="1FF84E99" w14:textId="77777777" w:rsidR="00E45462" w:rsidRPr="00E45462" w:rsidRDefault="00E45462" w:rsidP="00734976">
                  <w:pPr>
                    <w:jc w:val="center"/>
                    <w:rPr>
                      <w:rFonts w:ascii="Times New Roman" w:hAnsi="Times New Roman"/>
                    </w:rPr>
                  </w:pPr>
                  <w:r w:rsidRPr="00E45462">
                    <w:rPr>
                      <w:rFonts w:ascii="Times New Roman" w:hAnsi="Times New Roman"/>
                    </w:rPr>
                    <w:t>Rumunia</w:t>
                  </w:r>
                </w:p>
              </w:tc>
              <w:tc>
                <w:tcPr>
                  <w:tcW w:w="2400" w:type="dxa"/>
                  <w:shd w:val="clear" w:color="auto" w:fill="auto"/>
                  <w:vAlign w:val="center"/>
                </w:tcPr>
                <w:p w14:paraId="13EC03B9" w14:textId="1B83DB0A"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0579643" w14:textId="2C76CEC6"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1B2C822D"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rsidRPr="00535588" w14:paraId="587080B1" w14:textId="77777777" w:rsidTr="00734976">
              <w:trPr>
                <w:trHeight w:val="510"/>
                <w:jc w:val="center"/>
              </w:trPr>
              <w:tc>
                <w:tcPr>
                  <w:tcW w:w="2220" w:type="dxa"/>
                  <w:vAlign w:val="center"/>
                </w:tcPr>
                <w:p w14:paraId="05EE384F" w14:textId="77777777" w:rsidR="00E45462" w:rsidRPr="00E45462" w:rsidRDefault="00E45462" w:rsidP="00734976">
                  <w:pPr>
                    <w:jc w:val="center"/>
                    <w:rPr>
                      <w:rFonts w:ascii="Times New Roman" w:hAnsi="Times New Roman"/>
                    </w:rPr>
                  </w:pPr>
                  <w:r w:rsidRPr="00E45462">
                    <w:rPr>
                      <w:rFonts w:ascii="Times New Roman" w:hAnsi="Times New Roman"/>
                    </w:rPr>
                    <w:t>Słowacja</w:t>
                  </w:r>
                </w:p>
              </w:tc>
              <w:tc>
                <w:tcPr>
                  <w:tcW w:w="2400" w:type="dxa"/>
                  <w:shd w:val="clear" w:color="auto" w:fill="auto"/>
                  <w:vAlign w:val="center"/>
                </w:tcPr>
                <w:p w14:paraId="1EF2DD15" w14:textId="64E747FC"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61832D0" w14:textId="17C18862"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49623AA4"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535588" w14:paraId="4C25C441" w14:textId="77777777" w:rsidTr="00734976">
              <w:trPr>
                <w:trHeight w:val="510"/>
                <w:jc w:val="center"/>
              </w:trPr>
              <w:tc>
                <w:tcPr>
                  <w:tcW w:w="2220" w:type="dxa"/>
                  <w:vAlign w:val="center"/>
                </w:tcPr>
                <w:p w14:paraId="6F05DB58" w14:textId="77777777" w:rsidR="00E45462" w:rsidRPr="00E45462" w:rsidRDefault="00E45462" w:rsidP="00734976">
                  <w:pPr>
                    <w:jc w:val="center"/>
                    <w:rPr>
                      <w:rFonts w:ascii="Times New Roman" w:hAnsi="Times New Roman"/>
                    </w:rPr>
                  </w:pPr>
                  <w:r w:rsidRPr="00E45462">
                    <w:rPr>
                      <w:rFonts w:ascii="Times New Roman" w:hAnsi="Times New Roman"/>
                    </w:rPr>
                    <w:t>Słowenia</w:t>
                  </w:r>
                </w:p>
              </w:tc>
              <w:tc>
                <w:tcPr>
                  <w:tcW w:w="2400" w:type="dxa"/>
                  <w:shd w:val="clear" w:color="auto" w:fill="auto"/>
                  <w:vAlign w:val="center"/>
                </w:tcPr>
                <w:p w14:paraId="4EBC9F07" w14:textId="7699D869"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352DA44A" w14:textId="071038EC" w:rsidR="00E45462" w:rsidRPr="00E45462" w:rsidRDefault="00E45462" w:rsidP="00734976">
                  <w:pPr>
                    <w:jc w:val="center"/>
                    <w:rPr>
                      <w:rFonts w:ascii="Times New Roman" w:hAnsi="Times New Roman"/>
                    </w:rPr>
                  </w:pPr>
                  <w:r w:rsidRPr="00E45462">
                    <w:rPr>
                      <w:rFonts w:ascii="Times New Roman" w:hAnsi="Times New Roman"/>
                    </w:rPr>
                    <w:t>5</w:t>
                  </w:r>
                </w:p>
              </w:tc>
              <w:tc>
                <w:tcPr>
                  <w:tcW w:w="3414" w:type="dxa"/>
                  <w:shd w:val="clear" w:color="auto" w:fill="auto"/>
                  <w:vAlign w:val="center"/>
                </w:tcPr>
                <w:p w14:paraId="33046F12" w14:textId="77777777" w:rsidR="00E45462" w:rsidRPr="00E45462" w:rsidRDefault="00E45462" w:rsidP="00734976">
                  <w:pPr>
                    <w:jc w:val="center"/>
                    <w:rPr>
                      <w:rFonts w:ascii="Times New Roman" w:hAnsi="Times New Roman"/>
                    </w:rPr>
                  </w:pPr>
                  <w:r w:rsidRPr="00E45462">
                    <w:rPr>
                      <w:rFonts w:ascii="Times New Roman" w:hAnsi="Times New Roman"/>
                    </w:rPr>
                    <w:t>TAK, jeden raz</w:t>
                  </w:r>
                </w:p>
              </w:tc>
            </w:tr>
            <w:tr w:rsidR="00E45462" w:rsidRPr="00535588" w14:paraId="40CA61AD" w14:textId="77777777" w:rsidTr="00734976">
              <w:trPr>
                <w:trHeight w:val="510"/>
                <w:jc w:val="center"/>
              </w:trPr>
              <w:tc>
                <w:tcPr>
                  <w:tcW w:w="2220" w:type="dxa"/>
                  <w:vAlign w:val="center"/>
                </w:tcPr>
                <w:p w14:paraId="5FE6CCB9" w14:textId="77777777" w:rsidR="00E45462" w:rsidRPr="00E45462" w:rsidRDefault="00E45462" w:rsidP="00734976">
                  <w:pPr>
                    <w:jc w:val="center"/>
                    <w:rPr>
                      <w:rFonts w:ascii="Times New Roman" w:hAnsi="Times New Roman"/>
                    </w:rPr>
                  </w:pPr>
                  <w:r w:rsidRPr="00E45462">
                    <w:rPr>
                      <w:rFonts w:ascii="Times New Roman" w:hAnsi="Times New Roman"/>
                    </w:rPr>
                    <w:t>Szwajcaria</w:t>
                  </w:r>
                </w:p>
              </w:tc>
              <w:tc>
                <w:tcPr>
                  <w:tcW w:w="2400" w:type="dxa"/>
                  <w:shd w:val="clear" w:color="auto" w:fill="auto"/>
                  <w:vAlign w:val="center"/>
                </w:tcPr>
                <w:p w14:paraId="3448D09D" w14:textId="1464641E"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877F717" w14:textId="6A619715" w:rsidR="00E45462" w:rsidRPr="00E45462" w:rsidRDefault="00E45462" w:rsidP="00734976">
                  <w:pPr>
                    <w:jc w:val="center"/>
                    <w:rPr>
                      <w:rFonts w:ascii="Times New Roman" w:hAnsi="Times New Roman"/>
                    </w:rPr>
                  </w:pPr>
                  <w:r w:rsidRPr="00E45462">
                    <w:rPr>
                      <w:rFonts w:ascii="Times New Roman" w:hAnsi="Times New Roman"/>
                    </w:rPr>
                    <w:t>4</w:t>
                  </w:r>
                </w:p>
              </w:tc>
              <w:tc>
                <w:tcPr>
                  <w:tcW w:w="3414" w:type="dxa"/>
                  <w:shd w:val="clear" w:color="auto" w:fill="auto"/>
                  <w:vAlign w:val="center"/>
                </w:tcPr>
                <w:p w14:paraId="5D4F2850" w14:textId="77777777" w:rsidR="00E45462" w:rsidRPr="00E45462" w:rsidRDefault="00E45462" w:rsidP="00734976">
                  <w:pPr>
                    <w:jc w:val="center"/>
                    <w:rPr>
                      <w:rFonts w:ascii="Times New Roman" w:hAnsi="Times New Roman"/>
                    </w:rPr>
                  </w:pPr>
                  <w:r w:rsidRPr="00E45462">
                    <w:rPr>
                      <w:rFonts w:ascii="Times New Roman" w:hAnsi="Times New Roman"/>
                    </w:rPr>
                    <w:t>TAK, dwa razy</w:t>
                  </w:r>
                </w:p>
              </w:tc>
            </w:tr>
            <w:tr w:rsidR="00E45462" w:rsidRPr="00535588" w14:paraId="15312067" w14:textId="77777777" w:rsidTr="00734976">
              <w:trPr>
                <w:trHeight w:val="510"/>
                <w:jc w:val="center"/>
              </w:trPr>
              <w:tc>
                <w:tcPr>
                  <w:tcW w:w="2220" w:type="dxa"/>
                  <w:vAlign w:val="center"/>
                </w:tcPr>
                <w:p w14:paraId="2F11F0CE" w14:textId="77777777" w:rsidR="00E45462" w:rsidRPr="00E45462" w:rsidRDefault="00E45462" w:rsidP="00734976">
                  <w:pPr>
                    <w:jc w:val="center"/>
                    <w:rPr>
                      <w:rFonts w:ascii="Times New Roman" w:hAnsi="Times New Roman"/>
                    </w:rPr>
                  </w:pPr>
                  <w:r w:rsidRPr="00E45462">
                    <w:rPr>
                      <w:rFonts w:ascii="Times New Roman" w:hAnsi="Times New Roman"/>
                    </w:rPr>
                    <w:t>Szwecja</w:t>
                  </w:r>
                </w:p>
              </w:tc>
              <w:tc>
                <w:tcPr>
                  <w:tcW w:w="2400" w:type="dxa"/>
                  <w:shd w:val="clear" w:color="auto" w:fill="auto"/>
                  <w:vAlign w:val="center"/>
                </w:tcPr>
                <w:p w14:paraId="5E4FE933" w14:textId="3CEDE5B5"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3AB2259D" w14:textId="0D922BDF" w:rsidR="00E45462" w:rsidRPr="00E45462" w:rsidRDefault="00E45462" w:rsidP="00734976">
                  <w:pPr>
                    <w:jc w:val="center"/>
                    <w:rPr>
                      <w:rFonts w:ascii="Times New Roman" w:hAnsi="Times New Roman"/>
                    </w:rPr>
                  </w:pPr>
                  <w:r w:rsidRPr="00E45462">
                    <w:rPr>
                      <w:rFonts w:ascii="Times New Roman" w:hAnsi="Times New Roman"/>
                    </w:rPr>
                    <w:t>6</w:t>
                  </w:r>
                </w:p>
              </w:tc>
              <w:tc>
                <w:tcPr>
                  <w:tcW w:w="3414" w:type="dxa"/>
                  <w:shd w:val="clear" w:color="auto" w:fill="auto"/>
                  <w:vAlign w:val="center"/>
                </w:tcPr>
                <w:p w14:paraId="5F59DAF0" w14:textId="77777777" w:rsidR="00E45462" w:rsidRPr="00E45462" w:rsidRDefault="00E45462" w:rsidP="00734976">
                  <w:pPr>
                    <w:jc w:val="center"/>
                    <w:rPr>
                      <w:rFonts w:ascii="Times New Roman" w:hAnsi="Times New Roman"/>
                    </w:rPr>
                  </w:pPr>
                  <w:r w:rsidRPr="00E45462">
                    <w:rPr>
                      <w:rFonts w:ascii="Times New Roman" w:hAnsi="Times New Roman"/>
                    </w:rPr>
                    <w:t>TAK, na kolejne 3 lata</w:t>
                  </w:r>
                </w:p>
              </w:tc>
            </w:tr>
            <w:tr w:rsidR="00E45462" w14:paraId="2C4D59D0" w14:textId="77777777" w:rsidTr="00734976">
              <w:trPr>
                <w:trHeight w:val="570"/>
                <w:jc w:val="center"/>
              </w:trPr>
              <w:tc>
                <w:tcPr>
                  <w:tcW w:w="2220" w:type="dxa"/>
                  <w:vAlign w:val="center"/>
                </w:tcPr>
                <w:p w14:paraId="18B4C286" w14:textId="77777777" w:rsidR="00E45462" w:rsidRPr="00E45462" w:rsidRDefault="00E45462" w:rsidP="00734976">
                  <w:pPr>
                    <w:jc w:val="center"/>
                    <w:rPr>
                      <w:rFonts w:ascii="Times New Roman" w:hAnsi="Times New Roman"/>
                    </w:rPr>
                  </w:pPr>
                  <w:r w:rsidRPr="00E45462">
                    <w:rPr>
                      <w:rFonts w:ascii="Times New Roman" w:hAnsi="Times New Roman"/>
                    </w:rPr>
                    <w:t>Węgry</w:t>
                  </w:r>
                </w:p>
              </w:tc>
              <w:tc>
                <w:tcPr>
                  <w:tcW w:w="2400" w:type="dxa"/>
                  <w:shd w:val="clear" w:color="auto" w:fill="auto"/>
                  <w:vAlign w:val="center"/>
                </w:tcPr>
                <w:p w14:paraId="69973D82" w14:textId="3BA9B8B1"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A1F9238" w14:textId="791F3E5B" w:rsidR="00E45462" w:rsidRPr="00E45462" w:rsidRDefault="00E45462" w:rsidP="00734976">
                  <w:pPr>
                    <w:jc w:val="center"/>
                    <w:rPr>
                      <w:rFonts w:ascii="Times New Roman" w:hAnsi="Times New Roman"/>
                    </w:rPr>
                  </w:pPr>
                  <w:r w:rsidRPr="00E45462">
                    <w:rPr>
                      <w:rFonts w:ascii="Times New Roman" w:hAnsi="Times New Roman"/>
                    </w:rPr>
                    <w:t>6</w:t>
                  </w:r>
                </w:p>
              </w:tc>
              <w:tc>
                <w:tcPr>
                  <w:tcW w:w="3414" w:type="dxa"/>
                  <w:shd w:val="clear" w:color="auto" w:fill="auto"/>
                  <w:vAlign w:val="center"/>
                </w:tcPr>
                <w:p w14:paraId="5839610F"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14:paraId="6765781D" w14:textId="77777777" w:rsidTr="00734976">
              <w:trPr>
                <w:trHeight w:val="570"/>
                <w:jc w:val="center"/>
              </w:trPr>
              <w:tc>
                <w:tcPr>
                  <w:tcW w:w="2220" w:type="dxa"/>
                  <w:vAlign w:val="center"/>
                </w:tcPr>
                <w:p w14:paraId="2E7B407A" w14:textId="77777777" w:rsidR="00E45462" w:rsidRPr="00E45462" w:rsidRDefault="00E45462" w:rsidP="00734976">
                  <w:pPr>
                    <w:jc w:val="center"/>
                    <w:rPr>
                      <w:rFonts w:ascii="Times New Roman" w:hAnsi="Times New Roman"/>
                    </w:rPr>
                  </w:pPr>
                  <w:r w:rsidRPr="00E45462">
                    <w:rPr>
                      <w:rFonts w:ascii="Times New Roman" w:hAnsi="Times New Roman"/>
                    </w:rPr>
                    <w:t>Wielka Brytania</w:t>
                  </w:r>
                </w:p>
              </w:tc>
              <w:tc>
                <w:tcPr>
                  <w:tcW w:w="2400" w:type="dxa"/>
                  <w:shd w:val="clear" w:color="auto" w:fill="auto"/>
                  <w:vAlign w:val="center"/>
                </w:tcPr>
                <w:p w14:paraId="49655FD6" w14:textId="3EA82404"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511A7493" w14:textId="537A8A23" w:rsidR="00E45462" w:rsidRPr="00E45462" w:rsidRDefault="00E45462" w:rsidP="00734976">
                  <w:pPr>
                    <w:jc w:val="center"/>
                    <w:rPr>
                      <w:rFonts w:ascii="Times New Roman" w:hAnsi="Times New Roman"/>
                    </w:rPr>
                  </w:pPr>
                  <w:r w:rsidRPr="00E45462">
                    <w:rPr>
                      <w:rFonts w:ascii="Times New Roman" w:hAnsi="Times New Roman"/>
                    </w:rPr>
                    <w:t>3</w:t>
                  </w:r>
                </w:p>
              </w:tc>
              <w:tc>
                <w:tcPr>
                  <w:tcW w:w="3414" w:type="dxa"/>
                  <w:shd w:val="clear" w:color="auto" w:fill="auto"/>
                  <w:vAlign w:val="center"/>
                </w:tcPr>
                <w:p w14:paraId="7EF71173" w14:textId="77777777" w:rsidR="00E45462" w:rsidRPr="00E45462" w:rsidRDefault="00E45462" w:rsidP="00734976">
                  <w:pPr>
                    <w:jc w:val="center"/>
                    <w:rPr>
                      <w:rFonts w:ascii="Times New Roman" w:hAnsi="Times New Roman"/>
                    </w:rPr>
                  </w:pPr>
                  <w:r w:rsidRPr="00E45462">
                    <w:rPr>
                      <w:rFonts w:ascii="Times New Roman" w:hAnsi="Times New Roman"/>
                    </w:rPr>
                    <w:t>TAK</w:t>
                  </w:r>
                </w:p>
              </w:tc>
            </w:tr>
            <w:tr w:rsidR="00E45462" w:rsidRPr="00373AF3" w14:paraId="4C421BD8" w14:textId="77777777" w:rsidTr="00734976">
              <w:trPr>
                <w:trHeight w:val="570"/>
                <w:jc w:val="center"/>
              </w:trPr>
              <w:tc>
                <w:tcPr>
                  <w:tcW w:w="2220" w:type="dxa"/>
                  <w:vAlign w:val="center"/>
                </w:tcPr>
                <w:p w14:paraId="3ABDDCCF" w14:textId="77777777" w:rsidR="00E45462" w:rsidRPr="00BA57EF" w:rsidRDefault="00E45462" w:rsidP="00734976">
                  <w:pPr>
                    <w:jc w:val="center"/>
                    <w:rPr>
                      <w:rFonts w:ascii="Times New Roman" w:hAnsi="Times New Roman"/>
                    </w:rPr>
                  </w:pPr>
                  <w:r w:rsidRPr="00BA57EF">
                    <w:rPr>
                      <w:rFonts w:ascii="Times New Roman" w:hAnsi="Times New Roman"/>
                    </w:rPr>
                    <w:t>Włochy</w:t>
                  </w:r>
                </w:p>
              </w:tc>
              <w:tc>
                <w:tcPr>
                  <w:tcW w:w="2400" w:type="dxa"/>
                  <w:shd w:val="clear" w:color="auto" w:fill="auto"/>
                  <w:vAlign w:val="center"/>
                </w:tcPr>
                <w:p w14:paraId="20CCB6BC" w14:textId="1F125502" w:rsidR="00E45462" w:rsidRPr="00E45462" w:rsidRDefault="00E45462" w:rsidP="00734976">
                  <w:pPr>
                    <w:jc w:val="center"/>
                    <w:rPr>
                      <w:rFonts w:ascii="Times New Roman" w:hAnsi="Times New Roman"/>
                    </w:rPr>
                  </w:pPr>
                  <w:r w:rsidRPr="00E45462">
                    <w:rPr>
                      <w:rFonts w:ascii="Times New Roman" w:hAnsi="Times New Roman"/>
                    </w:rPr>
                    <w:t>TAK</w:t>
                  </w:r>
                </w:p>
              </w:tc>
              <w:tc>
                <w:tcPr>
                  <w:tcW w:w="2280" w:type="dxa"/>
                  <w:shd w:val="clear" w:color="auto" w:fill="auto"/>
                  <w:vAlign w:val="center"/>
                </w:tcPr>
                <w:p w14:paraId="688B135A" w14:textId="1D53DD9C" w:rsidR="00E45462" w:rsidRPr="00E45462" w:rsidRDefault="00E45462" w:rsidP="00734976">
                  <w:pPr>
                    <w:jc w:val="center"/>
                    <w:rPr>
                      <w:rFonts w:ascii="Times New Roman" w:hAnsi="Times New Roman"/>
                    </w:rPr>
                  </w:pPr>
                  <w:r w:rsidRPr="00E45462">
                    <w:rPr>
                      <w:rFonts w:ascii="Times New Roman" w:hAnsi="Times New Roman"/>
                    </w:rPr>
                    <w:t>7</w:t>
                  </w:r>
                </w:p>
              </w:tc>
              <w:tc>
                <w:tcPr>
                  <w:tcW w:w="3414" w:type="dxa"/>
                  <w:shd w:val="clear" w:color="auto" w:fill="auto"/>
                  <w:vAlign w:val="center"/>
                </w:tcPr>
                <w:p w14:paraId="3A72415B" w14:textId="35695FC5" w:rsidR="00E45462" w:rsidRPr="00E45462" w:rsidRDefault="00E45462" w:rsidP="00734976">
                  <w:pPr>
                    <w:jc w:val="center"/>
                    <w:rPr>
                      <w:rFonts w:ascii="Times New Roman" w:hAnsi="Times New Roman"/>
                      <w:i/>
                    </w:rPr>
                  </w:pPr>
                  <w:r w:rsidRPr="00E45462">
                    <w:rPr>
                      <w:rFonts w:ascii="Times New Roman" w:hAnsi="Times New Roman"/>
                      <w:i/>
                    </w:rPr>
                    <w:t>brak danych</w:t>
                  </w:r>
                </w:p>
              </w:tc>
            </w:tr>
          </w:tbl>
          <w:p w14:paraId="3C1B8925" w14:textId="54CB53DA" w:rsidR="00CA050D" w:rsidRPr="00A90F9A" w:rsidRDefault="00CA050D" w:rsidP="006D2579">
            <w:pPr>
              <w:spacing w:before="120" w:after="120"/>
              <w:jc w:val="both"/>
              <w:rPr>
                <w:rFonts w:ascii="Times New Roman" w:hAnsi="Times New Roman"/>
                <w:color w:val="000000"/>
                <w:spacing w:val="-2"/>
              </w:rPr>
            </w:pPr>
            <w:r>
              <w:rPr>
                <w:rFonts w:ascii="Times New Roman" w:hAnsi="Times New Roman"/>
                <w:color w:val="000000"/>
                <w:spacing w:val="-2"/>
              </w:rPr>
              <w:t>W przeważającej większości wskazanych państw obowiązuje kadencyjność organu antymonopolowego – wyłom w tym zakresie stanowią jedynie Niemcy i Rosja. Dodatkowo</w:t>
            </w:r>
            <w:r w:rsidR="00113E76">
              <w:rPr>
                <w:rFonts w:ascii="Times New Roman" w:hAnsi="Times New Roman"/>
                <w:color w:val="000000"/>
                <w:spacing w:val="-2"/>
              </w:rPr>
              <w:t>, w większości państw kadencja organu trwa 5 lat i jest odnawialna.</w:t>
            </w:r>
          </w:p>
        </w:tc>
      </w:tr>
      <w:tr w:rsidR="006A701A" w:rsidRPr="00424472" w14:paraId="4B79EE6E" w14:textId="77777777" w:rsidTr="00461AD7">
        <w:trPr>
          <w:trHeight w:val="359"/>
          <w:jc w:val="center"/>
        </w:trPr>
        <w:tc>
          <w:tcPr>
            <w:tcW w:w="10774" w:type="dxa"/>
            <w:gridSpan w:val="28"/>
            <w:shd w:val="clear" w:color="auto" w:fill="99CCFF"/>
            <w:vAlign w:val="center"/>
          </w:tcPr>
          <w:p w14:paraId="6693B454" w14:textId="77777777" w:rsidR="006A701A" w:rsidRPr="00424472" w:rsidRDefault="006A701A" w:rsidP="00424472">
            <w:pPr>
              <w:numPr>
                <w:ilvl w:val="0"/>
                <w:numId w:val="1"/>
              </w:numPr>
              <w:spacing w:before="60" w:after="60"/>
              <w:ind w:left="318" w:hanging="284"/>
              <w:jc w:val="both"/>
              <w:rPr>
                <w:rFonts w:ascii="Times New Roman" w:hAnsi="Times New Roman"/>
                <w:b/>
                <w:color w:val="000000"/>
              </w:rPr>
            </w:pPr>
            <w:r w:rsidRPr="00424472">
              <w:rPr>
                <w:rFonts w:ascii="Times New Roman" w:hAnsi="Times New Roman"/>
                <w:b/>
                <w:color w:val="000000"/>
              </w:rPr>
              <w:lastRenderedPageBreak/>
              <w:t>Podmioty, na które oddziałuje projekt</w:t>
            </w:r>
          </w:p>
        </w:tc>
      </w:tr>
      <w:tr w:rsidR="00260F33" w:rsidRPr="00424472" w14:paraId="10F554B2" w14:textId="77777777" w:rsidTr="00461AD7">
        <w:trPr>
          <w:trHeight w:val="142"/>
          <w:jc w:val="center"/>
        </w:trPr>
        <w:tc>
          <w:tcPr>
            <w:tcW w:w="2298" w:type="dxa"/>
            <w:gridSpan w:val="3"/>
            <w:shd w:val="clear" w:color="auto" w:fill="auto"/>
          </w:tcPr>
          <w:p w14:paraId="1FBCCBBA" w14:textId="77777777" w:rsidR="00260F33" w:rsidRPr="00424472" w:rsidRDefault="00260F33" w:rsidP="00424472">
            <w:pPr>
              <w:spacing w:before="40"/>
              <w:jc w:val="center"/>
              <w:rPr>
                <w:rFonts w:ascii="Times New Roman" w:hAnsi="Times New Roman"/>
                <w:color w:val="000000"/>
                <w:spacing w:val="-2"/>
              </w:rPr>
            </w:pPr>
            <w:r w:rsidRPr="00424472">
              <w:rPr>
                <w:rFonts w:ascii="Times New Roman" w:hAnsi="Times New Roman"/>
                <w:color w:val="000000"/>
                <w:spacing w:val="-2"/>
              </w:rPr>
              <w:t>Grupa</w:t>
            </w:r>
          </w:p>
        </w:tc>
        <w:tc>
          <w:tcPr>
            <w:tcW w:w="3260" w:type="dxa"/>
            <w:gridSpan w:val="10"/>
            <w:shd w:val="clear" w:color="auto" w:fill="auto"/>
          </w:tcPr>
          <w:p w14:paraId="28E06947" w14:textId="77777777" w:rsidR="00260F33" w:rsidRPr="00424472" w:rsidRDefault="00563199" w:rsidP="00424472">
            <w:pPr>
              <w:spacing w:before="40"/>
              <w:jc w:val="center"/>
              <w:rPr>
                <w:rFonts w:ascii="Times New Roman" w:hAnsi="Times New Roman"/>
                <w:color w:val="000000"/>
                <w:spacing w:val="-2"/>
              </w:rPr>
            </w:pPr>
            <w:r w:rsidRPr="00424472">
              <w:rPr>
                <w:rFonts w:ascii="Times New Roman" w:hAnsi="Times New Roman"/>
                <w:color w:val="000000"/>
                <w:spacing w:val="-2"/>
              </w:rPr>
              <w:t>Wielkość</w:t>
            </w:r>
          </w:p>
        </w:tc>
        <w:tc>
          <w:tcPr>
            <w:tcW w:w="1843" w:type="dxa"/>
            <w:gridSpan w:val="7"/>
            <w:shd w:val="clear" w:color="auto" w:fill="auto"/>
          </w:tcPr>
          <w:p w14:paraId="44337FF1" w14:textId="77777777" w:rsidR="00260F33" w:rsidRPr="00424472" w:rsidRDefault="00260F33" w:rsidP="00424472">
            <w:pPr>
              <w:spacing w:before="40"/>
              <w:jc w:val="center"/>
              <w:rPr>
                <w:rFonts w:ascii="Times New Roman" w:hAnsi="Times New Roman"/>
                <w:color w:val="000000"/>
                <w:spacing w:val="-2"/>
              </w:rPr>
            </w:pPr>
            <w:r w:rsidRPr="00424472">
              <w:rPr>
                <w:rFonts w:ascii="Times New Roman" w:hAnsi="Times New Roman"/>
                <w:color w:val="000000"/>
                <w:spacing w:val="-2"/>
              </w:rPr>
              <w:t>Źródło danych</w:t>
            </w:r>
            <w:r w:rsidRPr="00424472" w:rsidDel="00260F33">
              <w:rPr>
                <w:rFonts w:ascii="Times New Roman" w:hAnsi="Times New Roman"/>
                <w:color w:val="000000"/>
                <w:spacing w:val="-2"/>
              </w:rPr>
              <w:t xml:space="preserve"> </w:t>
            </w:r>
          </w:p>
        </w:tc>
        <w:tc>
          <w:tcPr>
            <w:tcW w:w="3373" w:type="dxa"/>
            <w:gridSpan w:val="8"/>
            <w:shd w:val="clear" w:color="auto" w:fill="auto"/>
          </w:tcPr>
          <w:p w14:paraId="06C00E68" w14:textId="77777777" w:rsidR="00260F33" w:rsidRPr="00424472" w:rsidRDefault="00260F33" w:rsidP="00424472">
            <w:pPr>
              <w:spacing w:before="40"/>
              <w:jc w:val="center"/>
              <w:rPr>
                <w:rFonts w:ascii="Times New Roman" w:hAnsi="Times New Roman"/>
                <w:color w:val="000000"/>
                <w:spacing w:val="-2"/>
              </w:rPr>
            </w:pPr>
            <w:r w:rsidRPr="00424472">
              <w:rPr>
                <w:rFonts w:ascii="Times New Roman" w:hAnsi="Times New Roman"/>
                <w:color w:val="000000"/>
                <w:spacing w:val="-2"/>
              </w:rPr>
              <w:t>Oddziaływanie</w:t>
            </w:r>
          </w:p>
        </w:tc>
      </w:tr>
      <w:tr w:rsidR="00055560" w:rsidRPr="00424472" w14:paraId="6305A32B" w14:textId="77777777" w:rsidTr="00461AD7">
        <w:trPr>
          <w:trHeight w:val="707"/>
          <w:jc w:val="center"/>
        </w:trPr>
        <w:tc>
          <w:tcPr>
            <w:tcW w:w="2298" w:type="dxa"/>
            <w:gridSpan w:val="3"/>
            <w:shd w:val="clear" w:color="auto" w:fill="auto"/>
            <w:vAlign w:val="center"/>
          </w:tcPr>
          <w:p w14:paraId="2EBEEAE2" w14:textId="77777777" w:rsidR="00055560" w:rsidRPr="00B00A05" w:rsidRDefault="006A0CDB" w:rsidP="00424472">
            <w:pPr>
              <w:rPr>
                <w:rFonts w:ascii="Times New Roman" w:hAnsi="Times New Roman"/>
                <w:spacing w:val="-2"/>
                <w:sz w:val="20"/>
                <w:szCs w:val="20"/>
              </w:rPr>
            </w:pPr>
            <w:r>
              <w:rPr>
                <w:rFonts w:ascii="Times New Roman" w:hAnsi="Times New Roman"/>
                <w:spacing w:val="-2"/>
                <w:sz w:val="20"/>
                <w:szCs w:val="20"/>
              </w:rPr>
              <w:t>Prezes Rady Ministrów</w:t>
            </w:r>
          </w:p>
        </w:tc>
        <w:tc>
          <w:tcPr>
            <w:tcW w:w="3260" w:type="dxa"/>
            <w:gridSpan w:val="10"/>
            <w:shd w:val="clear" w:color="auto" w:fill="auto"/>
            <w:vAlign w:val="center"/>
          </w:tcPr>
          <w:p w14:paraId="6D45BF1C" w14:textId="77777777" w:rsidR="00055560" w:rsidRPr="003F1EC2" w:rsidRDefault="00286B8B" w:rsidP="00424472">
            <w:pPr>
              <w:jc w:val="center"/>
              <w:rPr>
                <w:rFonts w:ascii="Times New Roman" w:hAnsi="Times New Roman"/>
                <w:bCs/>
                <w:spacing w:val="-2"/>
                <w:sz w:val="20"/>
                <w:szCs w:val="20"/>
              </w:rPr>
            </w:pPr>
            <w:r w:rsidRPr="003F1EC2">
              <w:rPr>
                <w:rFonts w:ascii="Times New Roman" w:hAnsi="Times New Roman"/>
                <w:bCs/>
                <w:spacing w:val="-2"/>
                <w:sz w:val="20"/>
                <w:szCs w:val="20"/>
              </w:rPr>
              <w:t>1</w:t>
            </w:r>
          </w:p>
        </w:tc>
        <w:tc>
          <w:tcPr>
            <w:tcW w:w="1843" w:type="dxa"/>
            <w:gridSpan w:val="7"/>
            <w:shd w:val="clear" w:color="auto" w:fill="auto"/>
            <w:vAlign w:val="center"/>
          </w:tcPr>
          <w:p w14:paraId="27C17B4D" w14:textId="77777777" w:rsidR="00055560" w:rsidRPr="003F1EC2" w:rsidRDefault="003F1EC2" w:rsidP="00424472">
            <w:pPr>
              <w:jc w:val="center"/>
              <w:rPr>
                <w:rFonts w:ascii="Times New Roman" w:hAnsi="Times New Roman"/>
                <w:iCs/>
                <w:spacing w:val="-2"/>
                <w:sz w:val="20"/>
                <w:szCs w:val="20"/>
              </w:rPr>
            </w:pPr>
            <w:r>
              <w:rPr>
                <w:rFonts w:ascii="Times New Roman" w:hAnsi="Times New Roman"/>
                <w:iCs/>
                <w:spacing w:val="-2"/>
                <w:sz w:val="20"/>
                <w:szCs w:val="20"/>
              </w:rPr>
              <w:t>-</w:t>
            </w:r>
          </w:p>
        </w:tc>
        <w:tc>
          <w:tcPr>
            <w:tcW w:w="3373" w:type="dxa"/>
            <w:gridSpan w:val="8"/>
            <w:tcBorders>
              <w:left w:val="single" w:sz="4" w:space="0" w:color="auto"/>
              <w:right w:val="single" w:sz="4" w:space="0" w:color="auto"/>
            </w:tcBorders>
            <w:shd w:val="clear" w:color="auto" w:fill="auto"/>
            <w:vAlign w:val="center"/>
          </w:tcPr>
          <w:p w14:paraId="44A402A1" w14:textId="03B63B24" w:rsidR="00A80064" w:rsidRPr="003F1EC2" w:rsidRDefault="003507B2" w:rsidP="00855DC2">
            <w:pPr>
              <w:spacing w:before="120" w:after="120"/>
              <w:jc w:val="both"/>
              <w:rPr>
                <w:rFonts w:ascii="Times New Roman" w:hAnsi="Times New Roman"/>
                <w:sz w:val="20"/>
                <w:szCs w:val="20"/>
              </w:rPr>
            </w:pPr>
            <w:r>
              <w:rPr>
                <w:rFonts w:ascii="Times New Roman" w:hAnsi="Times New Roman"/>
                <w:sz w:val="20"/>
                <w:szCs w:val="20"/>
              </w:rPr>
              <w:t xml:space="preserve">- powoływanie i odwoływanie Prezesa </w:t>
            </w:r>
            <w:r>
              <w:rPr>
                <w:rFonts w:ascii="Times New Roman" w:hAnsi="Times New Roman"/>
                <w:sz w:val="20"/>
                <w:szCs w:val="20"/>
              </w:rPr>
              <w:br/>
              <w:t>i wiceprezesów UOKiK</w:t>
            </w:r>
          </w:p>
        </w:tc>
      </w:tr>
      <w:tr w:rsidR="008C33D9" w:rsidRPr="00424472" w14:paraId="5BAFBD32" w14:textId="77777777" w:rsidTr="00461AD7">
        <w:trPr>
          <w:trHeight w:val="707"/>
          <w:jc w:val="center"/>
        </w:trPr>
        <w:tc>
          <w:tcPr>
            <w:tcW w:w="2298" w:type="dxa"/>
            <w:gridSpan w:val="3"/>
            <w:shd w:val="clear" w:color="auto" w:fill="auto"/>
            <w:vAlign w:val="center"/>
          </w:tcPr>
          <w:p w14:paraId="6A5189CD" w14:textId="77777777" w:rsidR="008C33D9" w:rsidRDefault="008C33D9" w:rsidP="00424472">
            <w:pPr>
              <w:rPr>
                <w:rFonts w:ascii="Times New Roman" w:hAnsi="Times New Roman"/>
                <w:spacing w:val="-2"/>
                <w:sz w:val="20"/>
                <w:szCs w:val="20"/>
              </w:rPr>
            </w:pPr>
            <w:r>
              <w:rPr>
                <w:rFonts w:ascii="Times New Roman" w:hAnsi="Times New Roman"/>
                <w:spacing w:val="-2"/>
                <w:sz w:val="20"/>
                <w:szCs w:val="20"/>
              </w:rPr>
              <w:t>Rada Ministrów</w:t>
            </w:r>
          </w:p>
        </w:tc>
        <w:tc>
          <w:tcPr>
            <w:tcW w:w="3260" w:type="dxa"/>
            <w:gridSpan w:val="10"/>
            <w:shd w:val="clear" w:color="auto" w:fill="auto"/>
            <w:vAlign w:val="center"/>
          </w:tcPr>
          <w:p w14:paraId="55206DDD" w14:textId="77777777" w:rsidR="008C33D9" w:rsidRDefault="008C33D9" w:rsidP="00424472">
            <w:pPr>
              <w:jc w:val="center"/>
              <w:rPr>
                <w:rFonts w:ascii="Times New Roman" w:hAnsi="Times New Roman"/>
                <w:bCs/>
                <w:spacing w:val="-2"/>
                <w:sz w:val="20"/>
                <w:szCs w:val="20"/>
              </w:rPr>
            </w:pPr>
            <w:r>
              <w:rPr>
                <w:rFonts w:ascii="Times New Roman" w:hAnsi="Times New Roman"/>
                <w:bCs/>
                <w:spacing w:val="-2"/>
                <w:sz w:val="20"/>
                <w:szCs w:val="20"/>
              </w:rPr>
              <w:t>1</w:t>
            </w:r>
          </w:p>
        </w:tc>
        <w:tc>
          <w:tcPr>
            <w:tcW w:w="1843" w:type="dxa"/>
            <w:gridSpan w:val="7"/>
            <w:shd w:val="clear" w:color="auto" w:fill="auto"/>
            <w:vAlign w:val="center"/>
          </w:tcPr>
          <w:p w14:paraId="5823A2CE" w14:textId="77777777" w:rsidR="008C33D9" w:rsidRDefault="008C33D9" w:rsidP="00424472">
            <w:pPr>
              <w:jc w:val="center"/>
              <w:rPr>
                <w:rFonts w:ascii="Times New Roman" w:hAnsi="Times New Roman"/>
                <w:iCs/>
                <w:spacing w:val="-2"/>
                <w:sz w:val="20"/>
                <w:szCs w:val="20"/>
              </w:rPr>
            </w:pPr>
            <w:r>
              <w:rPr>
                <w:rFonts w:ascii="Times New Roman" w:hAnsi="Times New Roman"/>
                <w:iCs/>
                <w:spacing w:val="-2"/>
                <w:sz w:val="20"/>
                <w:szCs w:val="20"/>
              </w:rPr>
              <w:t>-</w:t>
            </w:r>
          </w:p>
        </w:tc>
        <w:tc>
          <w:tcPr>
            <w:tcW w:w="3373" w:type="dxa"/>
            <w:gridSpan w:val="8"/>
            <w:tcBorders>
              <w:left w:val="single" w:sz="4" w:space="0" w:color="auto"/>
              <w:right w:val="single" w:sz="4" w:space="0" w:color="auto"/>
            </w:tcBorders>
            <w:shd w:val="clear" w:color="auto" w:fill="auto"/>
            <w:vAlign w:val="center"/>
          </w:tcPr>
          <w:p w14:paraId="6A29ABC6" w14:textId="3CA4D7CE" w:rsidR="008C33D9" w:rsidRPr="003F1EC2" w:rsidRDefault="006E2D2B" w:rsidP="0015014C">
            <w:pPr>
              <w:spacing w:before="120" w:after="120"/>
              <w:jc w:val="both"/>
              <w:rPr>
                <w:rFonts w:ascii="Times New Roman" w:hAnsi="Times New Roman"/>
                <w:sz w:val="20"/>
                <w:szCs w:val="20"/>
              </w:rPr>
            </w:pPr>
            <w:r>
              <w:rPr>
                <w:rFonts w:ascii="Times New Roman" w:hAnsi="Times New Roman"/>
                <w:sz w:val="20"/>
                <w:szCs w:val="20"/>
              </w:rPr>
              <w:t xml:space="preserve">- obowiązek wydania rozporządzenia </w:t>
            </w:r>
            <w:r w:rsidR="00A14F50">
              <w:rPr>
                <w:rFonts w:ascii="Times New Roman" w:hAnsi="Times New Roman"/>
                <w:sz w:val="20"/>
                <w:szCs w:val="20"/>
              </w:rPr>
              <w:t xml:space="preserve">określającego </w:t>
            </w:r>
            <w:r w:rsidR="00A14F50" w:rsidRPr="00A14F50">
              <w:rPr>
                <w:rFonts w:ascii="Times New Roman" w:hAnsi="Times New Roman"/>
                <w:sz w:val="20"/>
                <w:szCs w:val="20"/>
              </w:rPr>
              <w:t xml:space="preserve">szczegółowy sposób </w:t>
            </w:r>
            <w:r w:rsidR="00A14F50">
              <w:rPr>
                <w:rFonts w:ascii="Times New Roman" w:hAnsi="Times New Roman"/>
                <w:sz w:val="20"/>
                <w:szCs w:val="20"/>
              </w:rPr>
              <w:br/>
            </w:r>
            <w:r w:rsidR="00A14F50" w:rsidRPr="00A14F50">
              <w:rPr>
                <w:rFonts w:ascii="Times New Roman" w:hAnsi="Times New Roman"/>
                <w:sz w:val="20"/>
                <w:szCs w:val="20"/>
              </w:rPr>
              <w:t>i tryb postępowania z wnioskiem</w:t>
            </w:r>
            <w:r w:rsidR="00A14F50">
              <w:rPr>
                <w:rFonts w:ascii="Times New Roman" w:hAnsi="Times New Roman"/>
                <w:sz w:val="20"/>
                <w:szCs w:val="20"/>
              </w:rPr>
              <w:t xml:space="preserve"> </w:t>
            </w:r>
            <w:proofErr w:type="spellStart"/>
            <w:r w:rsidR="00A14F50" w:rsidRPr="00A14F50">
              <w:rPr>
                <w:rFonts w:ascii="Times New Roman" w:hAnsi="Times New Roman"/>
                <w:i/>
                <w:sz w:val="20"/>
                <w:szCs w:val="20"/>
              </w:rPr>
              <w:t>leniency</w:t>
            </w:r>
            <w:proofErr w:type="spellEnd"/>
          </w:p>
        </w:tc>
      </w:tr>
      <w:tr w:rsidR="00055560" w:rsidRPr="00424472" w14:paraId="5F5DC8C6" w14:textId="77777777" w:rsidTr="00461AD7">
        <w:trPr>
          <w:trHeight w:val="707"/>
          <w:jc w:val="center"/>
        </w:trPr>
        <w:tc>
          <w:tcPr>
            <w:tcW w:w="2298" w:type="dxa"/>
            <w:gridSpan w:val="3"/>
            <w:shd w:val="clear" w:color="auto" w:fill="auto"/>
            <w:vAlign w:val="center"/>
          </w:tcPr>
          <w:p w14:paraId="7FFA0113" w14:textId="77777777" w:rsidR="00055560" w:rsidRPr="00B00A05" w:rsidRDefault="006A0CDB" w:rsidP="00424472">
            <w:pPr>
              <w:rPr>
                <w:rFonts w:ascii="Times New Roman" w:hAnsi="Times New Roman"/>
                <w:spacing w:val="-2"/>
                <w:sz w:val="20"/>
                <w:szCs w:val="20"/>
              </w:rPr>
            </w:pPr>
            <w:r>
              <w:rPr>
                <w:rFonts w:ascii="Times New Roman" w:hAnsi="Times New Roman"/>
                <w:spacing w:val="-2"/>
                <w:sz w:val="20"/>
                <w:szCs w:val="20"/>
              </w:rPr>
              <w:t>Prezes Urzędu Ochrony Konkurencji  i Konsumentów</w:t>
            </w:r>
          </w:p>
        </w:tc>
        <w:tc>
          <w:tcPr>
            <w:tcW w:w="3260" w:type="dxa"/>
            <w:gridSpan w:val="10"/>
            <w:shd w:val="clear" w:color="auto" w:fill="auto"/>
            <w:vAlign w:val="center"/>
          </w:tcPr>
          <w:p w14:paraId="350834E8" w14:textId="77777777" w:rsidR="00055560" w:rsidRPr="003F1EC2" w:rsidRDefault="006A0CDB" w:rsidP="00424472">
            <w:pPr>
              <w:jc w:val="center"/>
              <w:rPr>
                <w:rFonts w:ascii="Times New Roman" w:hAnsi="Times New Roman"/>
                <w:bCs/>
                <w:spacing w:val="-2"/>
                <w:sz w:val="20"/>
                <w:szCs w:val="20"/>
              </w:rPr>
            </w:pPr>
            <w:r>
              <w:rPr>
                <w:rFonts w:ascii="Times New Roman" w:hAnsi="Times New Roman"/>
                <w:bCs/>
                <w:spacing w:val="-2"/>
                <w:sz w:val="20"/>
                <w:szCs w:val="20"/>
              </w:rPr>
              <w:t>1</w:t>
            </w:r>
          </w:p>
        </w:tc>
        <w:tc>
          <w:tcPr>
            <w:tcW w:w="1843" w:type="dxa"/>
            <w:gridSpan w:val="7"/>
            <w:shd w:val="clear" w:color="auto" w:fill="auto"/>
            <w:vAlign w:val="center"/>
          </w:tcPr>
          <w:p w14:paraId="16E27DA1" w14:textId="77777777" w:rsidR="00055560" w:rsidRPr="003F1EC2" w:rsidRDefault="003F1EC2" w:rsidP="00424472">
            <w:pPr>
              <w:jc w:val="center"/>
              <w:rPr>
                <w:rFonts w:ascii="Times New Roman" w:hAnsi="Times New Roman"/>
                <w:iCs/>
                <w:spacing w:val="-2"/>
                <w:sz w:val="20"/>
                <w:szCs w:val="20"/>
              </w:rPr>
            </w:pPr>
            <w:r>
              <w:rPr>
                <w:rFonts w:ascii="Times New Roman" w:hAnsi="Times New Roman"/>
                <w:iCs/>
                <w:spacing w:val="-2"/>
                <w:sz w:val="20"/>
                <w:szCs w:val="20"/>
              </w:rPr>
              <w:t>-</w:t>
            </w:r>
          </w:p>
        </w:tc>
        <w:tc>
          <w:tcPr>
            <w:tcW w:w="3373" w:type="dxa"/>
            <w:gridSpan w:val="8"/>
            <w:tcBorders>
              <w:left w:val="single" w:sz="4" w:space="0" w:color="auto"/>
              <w:right w:val="single" w:sz="4" w:space="0" w:color="auto"/>
            </w:tcBorders>
            <w:shd w:val="clear" w:color="auto" w:fill="auto"/>
            <w:vAlign w:val="center"/>
          </w:tcPr>
          <w:p w14:paraId="6479CA5A" w14:textId="1C268EC9" w:rsidR="00122E8B" w:rsidRDefault="00DF1BAA" w:rsidP="0015014C">
            <w:pPr>
              <w:spacing w:before="120" w:after="120"/>
              <w:jc w:val="both"/>
              <w:rPr>
                <w:rFonts w:ascii="Times New Roman" w:hAnsi="Times New Roman"/>
                <w:sz w:val="20"/>
                <w:szCs w:val="20"/>
              </w:rPr>
            </w:pPr>
            <w:r>
              <w:rPr>
                <w:rFonts w:ascii="Times New Roman" w:hAnsi="Times New Roman"/>
                <w:sz w:val="20"/>
                <w:szCs w:val="20"/>
              </w:rPr>
              <w:t xml:space="preserve">- </w:t>
            </w:r>
            <w:r w:rsidR="00E4480C" w:rsidRPr="00E4480C">
              <w:rPr>
                <w:rFonts w:ascii="Times New Roman" w:hAnsi="Times New Roman"/>
                <w:sz w:val="20"/>
                <w:szCs w:val="20"/>
              </w:rPr>
              <w:t xml:space="preserve">wprowadzenie pięcioletniej kadencji </w:t>
            </w:r>
            <w:r w:rsidR="00E4480C">
              <w:rPr>
                <w:rFonts w:ascii="Times New Roman" w:hAnsi="Times New Roman"/>
                <w:sz w:val="20"/>
                <w:szCs w:val="20"/>
              </w:rPr>
              <w:t xml:space="preserve">oraz </w:t>
            </w:r>
            <w:r w:rsidR="00E4480C" w:rsidRPr="00E4480C">
              <w:rPr>
                <w:rFonts w:ascii="Times New Roman" w:hAnsi="Times New Roman"/>
                <w:sz w:val="20"/>
                <w:szCs w:val="20"/>
              </w:rPr>
              <w:t>zamkniętego katalogu przesłanek, na podstawie których Prezes UOKiK będzie mógł być odwołany przez Prezesa Rady Ministró</w:t>
            </w:r>
            <w:r w:rsidR="00E4480C">
              <w:rPr>
                <w:rFonts w:ascii="Times New Roman" w:hAnsi="Times New Roman"/>
                <w:sz w:val="20"/>
                <w:szCs w:val="20"/>
              </w:rPr>
              <w:t>w</w:t>
            </w:r>
          </w:p>
          <w:p w14:paraId="3070EBA8" w14:textId="15B5812F" w:rsidR="00DC3871" w:rsidRDefault="00DC3871" w:rsidP="0015014C">
            <w:pPr>
              <w:spacing w:before="120" w:after="120"/>
              <w:jc w:val="both"/>
              <w:rPr>
                <w:rFonts w:ascii="Times New Roman" w:hAnsi="Times New Roman"/>
                <w:sz w:val="20"/>
                <w:szCs w:val="20"/>
              </w:rPr>
            </w:pPr>
            <w:r>
              <w:rPr>
                <w:rFonts w:ascii="Times New Roman" w:hAnsi="Times New Roman"/>
                <w:sz w:val="20"/>
                <w:szCs w:val="20"/>
              </w:rPr>
              <w:t>- możliwość</w:t>
            </w:r>
            <w:r w:rsidRPr="00E45F6B">
              <w:rPr>
                <w:rFonts w:ascii="Times New Roman" w:hAnsi="Times New Roman"/>
                <w:sz w:val="20"/>
                <w:szCs w:val="20"/>
              </w:rPr>
              <w:t xml:space="preserve"> nakładania za naruszenia kar pieniężnych na związki przedsiębiorców </w:t>
            </w:r>
            <w:r w:rsidR="00B00C9E">
              <w:rPr>
                <w:rFonts w:ascii="Times New Roman" w:hAnsi="Times New Roman"/>
                <w:sz w:val="20"/>
                <w:szCs w:val="20"/>
              </w:rPr>
              <w:t xml:space="preserve">w </w:t>
            </w:r>
            <w:r w:rsidRPr="00E45F6B">
              <w:rPr>
                <w:rFonts w:ascii="Times New Roman" w:hAnsi="Times New Roman"/>
                <w:sz w:val="20"/>
                <w:szCs w:val="20"/>
              </w:rPr>
              <w:t>przypadku, gdy dane naruszenie jest związane z działalnością jego członków</w:t>
            </w:r>
          </w:p>
          <w:p w14:paraId="3CC74928" w14:textId="0D2479E7" w:rsidR="00CF1BBA" w:rsidRDefault="00CF1BBA" w:rsidP="0015014C">
            <w:pPr>
              <w:spacing w:before="120" w:after="120"/>
              <w:jc w:val="both"/>
              <w:rPr>
                <w:rFonts w:ascii="Times New Roman" w:hAnsi="Times New Roman"/>
                <w:sz w:val="20"/>
                <w:szCs w:val="20"/>
              </w:rPr>
            </w:pPr>
            <w:r>
              <w:rPr>
                <w:rFonts w:ascii="Times New Roman" w:hAnsi="Times New Roman"/>
                <w:sz w:val="20"/>
                <w:szCs w:val="20"/>
              </w:rPr>
              <w:t>- możliwość</w:t>
            </w:r>
            <w:r w:rsidRPr="00E45F6B">
              <w:rPr>
                <w:rFonts w:ascii="Times New Roman" w:hAnsi="Times New Roman"/>
                <w:sz w:val="20"/>
                <w:szCs w:val="20"/>
              </w:rPr>
              <w:t xml:space="preserve"> nakładania za naruszenia kar pieniężnych na związki przedsiębiorców za w przypadku, gdy dane naruszenie jest związane z działalnością jego członków</w:t>
            </w:r>
          </w:p>
          <w:p w14:paraId="5E0D7046" w14:textId="77777777" w:rsidR="0043058A" w:rsidRDefault="0043058A" w:rsidP="0015014C">
            <w:pPr>
              <w:spacing w:before="120" w:after="120"/>
              <w:jc w:val="both"/>
              <w:rPr>
                <w:rFonts w:ascii="Times New Roman" w:hAnsi="Times New Roman"/>
                <w:sz w:val="20"/>
                <w:szCs w:val="20"/>
              </w:rPr>
            </w:pPr>
            <w:r>
              <w:rPr>
                <w:rFonts w:ascii="Times New Roman" w:hAnsi="Times New Roman"/>
                <w:sz w:val="20"/>
                <w:szCs w:val="20"/>
              </w:rPr>
              <w:t xml:space="preserve">- </w:t>
            </w:r>
            <w:r w:rsidRPr="007C123B">
              <w:rPr>
                <w:rFonts w:ascii="Times New Roman" w:hAnsi="Times New Roman"/>
                <w:sz w:val="20"/>
                <w:szCs w:val="20"/>
              </w:rPr>
              <w:t>zmian</w:t>
            </w:r>
            <w:r>
              <w:rPr>
                <w:rFonts w:ascii="Times New Roman" w:hAnsi="Times New Roman"/>
                <w:sz w:val="20"/>
                <w:szCs w:val="20"/>
              </w:rPr>
              <w:t>a</w:t>
            </w:r>
            <w:r w:rsidRPr="007C123B">
              <w:rPr>
                <w:rFonts w:ascii="Times New Roman" w:hAnsi="Times New Roman"/>
                <w:sz w:val="20"/>
                <w:szCs w:val="20"/>
              </w:rPr>
              <w:t xml:space="preserve"> sposobu ustalania kary poprzez zastąpienie jej maksymalnego pułapu określonego kwotowo pułapem określonym jako procent obrotu</w:t>
            </w:r>
          </w:p>
          <w:p w14:paraId="38E8174A" w14:textId="77777777" w:rsidR="0043058A" w:rsidRDefault="0043058A" w:rsidP="0015014C">
            <w:pPr>
              <w:spacing w:before="120" w:after="120"/>
              <w:jc w:val="both"/>
              <w:rPr>
                <w:rFonts w:ascii="Times New Roman" w:hAnsi="Times New Roman"/>
                <w:bCs/>
                <w:sz w:val="20"/>
                <w:szCs w:val="20"/>
              </w:rPr>
            </w:pPr>
            <w:r>
              <w:rPr>
                <w:rFonts w:ascii="Times New Roman" w:hAnsi="Times New Roman"/>
                <w:sz w:val="20"/>
                <w:szCs w:val="20"/>
              </w:rPr>
              <w:t>- możliwo</w:t>
            </w:r>
            <w:r w:rsidR="00D22784">
              <w:rPr>
                <w:rFonts w:ascii="Times New Roman" w:hAnsi="Times New Roman"/>
                <w:sz w:val="20"/>
                <w:szCs w:val="20"/>
              </w:rPr>
              <w:t>ść</w:t>
            </w:r>
            <w:r w:rsidR="00CF1BBA" w:rsidRPr="0043058A">
              <w:rPr>
                <w:rFonts w:ascii="Times New Roman" w:hAnsi="Times New Roman"/>
                <w:bCs/>
                <w:sz w:val="20"/>
                <w:szCs w:val="20"/>
              </w:rPr>
              <w:t xml:space="preserve"> nałoż</w:t>
            </w:r>
            <w:r w:rsidR="00CF1BBA">
              <w:rPr>
                <w:rFonts w:ascii="Times New Roman" w:hAnsi="Times New Roman"/>
                <w:bCs/>
                <w:sz w:val="20"/>
                <w:szCs w:val="20"/>
              </w:rPr>
              <w:t>enia</w:t>
            </w:r>
            <w:r w:rsidR="00336F59">
              <w:rPr>
                <w:rFonts w:ascii="Times New Roman" w:hAnsi="Times New Roman"/>
                <w:bCs/>
                <w:sz w:val="20"/>
                <w:szCs w:val="20"/>
              </w:rPr>
              <w:t xml:space="preserve">, </w:t>
            </w:r>
            <w:r w:rsidRPr="0043058A">
              <w:rPr>
                <w:rFonts w:ascii="Times New Roman" w:hAnsi="Times New Roman"/>
                <w:bCs/>
                <w:sz w:val="20"/>
                <w:szCs w:val="20"/>
              </w:rPr>
              <w:t xml:space="preserve">w celu przymuszenia przedsiębiorców do wykonania nałożonych na nich obowiązków, na </w:t>
            </w:r>
            <w:r w:rsidRPr="0043058A">
              <w:rPr>
                <w:rFonts w:ascii="Times New Roman" w:hAnsi="Times New Roman"/>
                <w:bCs/>
                <w:sz w:val="20"/>
                <w:szCs w:val="20"/>
              </w:rPr>
              <w:lastRenderedPageBreak/>
              <w:t>tych przedsiębiorców, w drodze decyzji, okresow</w:t>
            </w:r>
            <w:r w:rsidR="00CF1BBA">
              <w:rPr>
                <w:rFonts w:ascii="Times New Roman" w:hAnsi="Times New Roman"/>
                <w:bCs/>
                <w:sz w:val="20"/>
                <w:szCs w:val="20"/>
              </w:rPr>
              <w:t>ej</w:t>
            </w:r>
            <w:r w:rsidRPr="0043058A">
              <w:rPr>
                <w:rFonts w:ascii="Times New Roman" w:hAnsi="Times New Roman"/>
                <w:bCs/>
                <w:sz w:val="20"/>
                <w:szCs w:val="20"/>
              </w:rPr>
              <w:t xml:space="preserve"> kar</w:t>
            </w:r>
            <w:r w:rsidR="00CF1BBA">
              <w:rPr>
                <w:rFonts w:ascii="Times New Roman" w:hAnsi="Times New Roman"/>
                <w:bCs/>
                <w:sz w:val="20"/>
                <w:szCs w:val="20"/>
              </w:rPr>
              <w:t>y</w:t>
            </w:r>
            <w:r w:rsidRPr="0043058A">
              <w:rPr>
                <w:rFonts w:ascii="Times New Roman" w:hAnsi="Times New Roman"/>
                <w:bCs/>
                <w:sz w:val="20"/>
                <w:szCs w:val="20"/>
              </w:rPr>
              <w:t xml:space="preserve"> pieniężn</w:t>
            </w:r>
            <w:r w:rsidR="00CF1BBA">
              <w:rPr>
                <w:rFonts w:ascii="Times New Roman" w:hAnsi="Times New Roman"/>
                <w:bCs/>
                <w:sz w:val="20"/>
                <w:szCs w:val="20"/>
              </w:rPr>
              <w:t>ej</w:t>
            </w:r>
          </w:p>
          <w:p w14:paraId="54839813" w14:textId="77777777" w:rsidR="00EE0B88" w:rsidRDefault="00EE0B88" w:rsidP="0015014C">
            <w:pPr>
              <w:spacing w:before="120" w:after="120"/>
              <w:jc w:val="both"/>
              <w:rPr>
                <w:rFonts w:ascii="Times New Roman" w:hAnsi="Times New Roman"/>
                <w:sz w:val="20"/>
                <w:szCs w:val="20"/>
              </w:rPr>
            </w:pPr>
            <w:r>
              <w:rPr>
                <w:rFonts w:ascii="Times New Roman" w:hAnsi="Times New Roman"/>
                <w:sz w:val="20"/>
                <w:szCs w:val="20"/>
              </w:rPr>
              <w:t xml:space="preserve">- </w:t>
            </w:r>
            <w:r w:rsidRPr="00EE0B88">
              <w:rPr>
                <w:rFonts w:ascii="Times New Roman" w:hAnsi="Times New Roman"/>
                <w:sz w:val="20"/>
                <w:szCs w:val="20"/>
              </w:rPr>
              <w:t xml:space="preserve">wprowadzenie w </w:t>
            </w:r>
            <w:proofErr w:type="spellStart"/>
            <w:r w:rsidRPr="00EE0B88">
              <w:rPr>
                <w:rFonts w:ascii="Times New Roman" w:hAnsi="Times New Roman"/>
                <w:sz w:val="20"/>
                <w:szCs w:val="20"/>
              </w:rPr>
              <w:t>u.o.k.k</w:t>
            </w:r>
            <w:proofErr w:type="spellEnd"/>
            <w:r w:rsidRPr="00EE0B88">
              <w:rPr>
                <w:rFonts w:ascii="Times New Roman" w:hAnsi="Times New Roman"/>
                <w:sz w:val="20"/>
                <w:szCs w:val="20"/>
              </w:rPr>
              <w:t>. otwartego katalogu środków zaradczych o charakterze strukturalnym</w:t>
            </w:r>
          </w:p>
          <w:p w14:paraId="003AA186" w14:textId="13F84552" w:rsidR="00567B28" w:rsidRDefault="00567B28" w:rsidP="0015014C">
            <w:pPr>
              <w:spacing w:before="120" w:after="120"/>
              <w:jc w:val="both"/>
              <w:rPr>
                <w:rFonts w:ascii="Times New Roman" w:hAnsi="Times New Roman"/>
                <w:sz w:val="20"/>
                <w:szCs w:val="20"/>
              </w:rPr>
            </w:pPr>
            <w:r>
              <w:rPr>
                <w:rFonts w:ascii="Times New Roman" w:hAnsi="Times New Roman"/>
                <w:sz w:val="20"/>
                <w:szCs w:val="20"/>
              </w:rPr>
              <w:t xml:space="preserve">- </w:t>
            </w:r>
            <w:r w:rsidRPr="00567B28">
              <w:rPr>
                <w:rFonts w:ascii="Times New Roman" w:hAnsi="Times New Roman"/>
                <w:sz w:val="20"/>
                <w:szCs w:val="20"/>
              </w:rPr>
              <w:t>wydawan</w:t>
            </w:r>
            <w:r>
              <w:rPr>
                <w:rFonts w:ascii="Times New Roman" w:hAnsi="Times New Roman"/>
                <w:sz w:val="20"/>
                <w:szCs w:val="20"/>
              </w:rPr>
              <w:t>ie</w:t>
            </w:r>
            <w:r w:rsidRPr="00567B28">
              <w:rPr>
                <w:rFonts w:ascii="Times New Roman" w:hAnsi="Times New Roman"/>
                <w:sz w:val="20"/>
                <w:szCs w:val="20"/>
              </w:rPr>
              <w:t xml:space="preserve"> uzasadnieni</w:t>
            </w:r>
            <w:r w:rsidR="004B2B1F">
              <w:rPr>
                <w:rFonts w:ascii="Times New Roman" w:hAnsi="Times New Roman"/>
                <w:sz w:val="20"/>
                <w:szCs w:val="20"/>
              </w:rPr>
              <w:t>a</w:t>
            </w:r>
            <w:r w:rsidRPr="00567B28">
              <w:rPr>
                <w:rFonts w:ascii="Times New Roman" w:hAnsi="Times New Roman"/>
                <w:sz w:val="20"/>
                <w:szCs w:val="20"/>
              </w:rPr>
              <w:t xml:space="preserve"> zarzutów</w:t>
            </w:r>
            <w:r>
              <w:rPr>
                <w:rFonts w:ascii="Times New Roman" w:hAnsi="Times New Roman"/>
                <w:sz w:val="20"/>
                <w:szCs w:val="20"/>
              </w:rPr>
              <w:t xml:space="preserve"> </w:t>
            </w:r>
            <w:r w:rsidRPr="00567B28">
              <w:rPr>
                <w:rFonts w:ascii="Times New Roman" w:hAnsi="Times New Roman"/>
                <w:sz w:val="20"/>
                <w:szCs w:val="20"/>
              </w:rPr>
              <w:t>na etapie wszczęcia postępowania</w:t>
            </w:r>
          </w:p>
          <w:p w14:paraId="3A35C877" w14:textId="77777777" w:rsidR="00BA0183" w:rsidRDefault="00BA0183" w:rsidP="0015014C">
            <w:pPr>
              <w:spacing w:before="120" w:after="120"/>
              <w:jc w:val="both"/>
              <w:rPr>
                <w:rFonts w:ascii="Times New Roman" w:hAnsi="Times New Roman"/>
                <w:sz w:val="20"/>
                <w:szCs w:val="20"/>
              </w:rPr>
            </w:pPr>
            <w:r>
              <w:rPr>
                <w:rFonts w:ascii="Times New Roman" w:hAnsi="Times New Roman"/>
                <w:sz w:val="20"/>
                <w:szCs w:val="20"/>
              </w:rPr>
              <w:t xml:space="preserve">- </w:t>
            </w:r>
            <w:r w:rsidRPr="00BA0183">
              <w:rPr>
                <w:rFonts w:ascii="Times New Roman" w:hAnsi="Times New Roman"/>
                <w:sz w:val="20"/>
                <w:szCs w:val="20"/>
              </w:rPr>
              <w:t>możliwość pozyskiwania</w:t>
            </w:r>
            <w:r>
              <w:rPr>
                <w:rFonts w:ascii="Times New Roman" w:hAnsi="Times New Roman"/>
                <w:sz w:val="20"/>
                <w:szCs w:val="20"/>
              </w:rPr>
              <w:t xml:space="preserve"> </w:t>
            </w:r>
            <w:r w:rsidRPr="00BA0183">
              <w:rPr>
                <w:rFonts w:ascii="Times New Roman" w:hAnsi="Times New Roman"/>
                <w:sz w:val="20"/>
                <w:szCs w:val="20"/>
              </w:rPr>
              <w:t>informacji od osób fizycznych</w:t>
            </w:r>
          </w:p>
          <w:p w14:paraId="1A890D3D" w14:textId="77777777" w:rsidR="007B7F97" w:rsidRDefault="007B7F97" w:rsidP="0015014C">
            <w:pPr>
              <w:spacing w:before="120" w:after="120"/>
              <w:jc w:val="both"/>
              <w:rPr>
                <w:rFonts w:ascii="Times New Roman" w:hAnsi="Times New Roman"/>
                <w:sz w:val="20"/>
                <w:szCs w:val="20"/>
              </w:rPr>
            </w:pPr>
            <w:r>
              <w:rPr>
                <w:rFonts w:ascii="Times New Roman" w:hAnsi="Times New Roman"/>
                <w:sz w:val="20"/>
                <w:szCs w:val="20"/>
              </w:rPr>
              <w:t xml:space="preserve">- doprecyzowanie zasad zwracania się </w:t>
            </w:r>
            <w:r>
              <w:rPr>
                <w:rFonts w:ascii="Times New Roman" w:hAnsi="Times New Roman"/>
                <w:sz w:val="20"/>
                <w:szCs w:val="20"/>
              </w:rPr>
              <w:br/>
              <w:t>o pomoc policji w toku kontroli i przeszukania</w:t>
            </w:r>
          </w:p>
          <w:p w14:paraId="2C4226F9" w14:textId="77777777" w:rsidR="00722751" w:rsidRDefault="002D5C1D" w:rsidP="00722751">
            <w:pPr>
              <w:spacing w:before="120" w:after="120"/>
              <w:jc w:val="both"/>
              <w:rPr>
                <w:rFonts w:ascii="Times New Roman" w:hAnsi="Times New Roman"/>
                <w:sz w:val="20"/>
                <w:szCs w:val="20"/>
              </w:rPr>
            </w:pPr>
            <w:r>
              <w:rPr>
                <w:rFonts w:ascii="Times New Roman" w:hAnsi="Times New Roman"/>
                <w:sz w:val="20"/>
                <w:szCs w:val="20"/>
              </w:rPr>
              <w:t>- zmiany dotyczące współpracy państw członkowskich w zakresie</w:t>
            </w:r>
            <w:r w:rsidR="002B1522" w:rsidRPr="002B1522">
              <w:rPr>
                <w:rFonts w:ascii="Times New Roman" w:hAnsi="Times New Roman"/>
                <w:sz w:val="20"/>
                <w:szCs w:val="20"/>
              </w:rPr>
              <w:t xml:space="preserve"> czynności dochodzeniowych</w:t>
            </w:r>
            <w:r w:rsidR="002B1522">
              <w:rPr>
                <w:rFonts w:ascii="Times New Roman" w:hAnsi="Times New Roman"/>
                <w:sz w:val="20"/>
                <w:szCs w:val="20"/>
              </w:rPr>
              <w:t xml:space="preserve">, </w:t>
            </w:r>
            <w:r w:rsidR="002B1522" w:rsidRPr="002B1522">
              <w:rPr>
                <w:rFonts w:ascii="Times New Roman" w:hAnsi="Times New Roman"/>
                <w:sz w:val="20"/>
                <w:szCs w:val="20"/>
              </w:rPr>
              <w:t>notyfikacji</w:t>
            </w:r>
            <w:r w:rsidR="002B1522">
              <w:rPr>
                <w:rFonts w:ascii="Times New Roman" w:hAnsi="Times New Roman"/>
                <w:sz w:val="20"/>
                <w:szCs w:val="20"/>
              </w:rPr>
              <w:t xml:space="preserve"> oraz</w:t>
            </w:r>
            <w:r w:rsidR="002B1522" w:rsidRPr="002B1522">
              <w:rPr>
                <w:rFonts w:ascii="Times New Roman" w:hAnsi="Times New Roman"/>
                <w:sz w:val="20"/>
                <w:szCs w:val="20"/>
              </w:rPr>
              <w:t xml:space="preserve"> egzekucji decyzji o nałożeniu kar pieniężnych</w:t>
            </w:r>
          </w:p>
          <w:p w14:paraId="09FA38B2" w14:textId="6D9E11A8" w:rsidR="00CB21A6" w:rsidRPr="003F1EC2" w:rsidRDefault="00722751" w:rsidP="00722751">
            <w:pPr>
              <w:spacing w:before="120" w:after="120"/>
              <w:jc w:val="both"/>
              <w:rPr>
                <w:rFonts w:ascii="Times New Roman" w:hAnsi="Times New Roman"/>
                <w:sz w:val="20"/>
                <w:szCs w:val="20"/>
              </w:rPr>
            </w:pPr>
            <w:r>
              <w:rPr>
                <w:rFonts w:ascii="Times New Roman" w:hAnsi="Times New Roman"/>
                <w:sz w:val="20"/>
                <w:szCs w:val="20"/>
              </w:rPr>
              <w:t>-</w:t>
            </w:r>
            <w:r w:rsidR="00CB21A6" w:rsidRPr="00CB21A6">
              <w:rPr>
                <w:rFonts w:ascii="Times New Roman" w:hAnsi="Times New Roman"/>
                <w:sz w:val="20"/>
                <w:szCs w:val="20"/>
              </w:rPr>
              <w:t xml:space="preserve"> now</w:t>
            </w:r>
            <w:r>
              <w:rPr>
                <w:rFonts w:ascii="Times New Roman" w:hAnsi="Times New Roman"/>
                <w:sz w:val="20"/>
                <w:szCs w:val="20"/>
              </w:rPr>
              <w:t>a</w:t>
            </w:r>
            <w:r w:rsidR="00CB21A6" w:rsidRPr="00CB21A6">
              <w:rPr>
                <w:rFonts w:ascii="Times New Roman" w:hAnsi="Times New Roman"/>
                <w:sz w:val="20"/>
                <w:szCs w:val="20"/>
              </w:rPr>
              <w:t xml:space="preserve"> procedur</w:t>
            </w:r>
            <w:r>
              <w:rPr>
                <w:rFonts w:ascii="Times New Roman" w:hAnsi="Times New Roman"/>
                <w:sz w:val="20"/>
                <w:szCs w:val="20"/>
              </w:rPr>
              <w:t>a</w:t>
            </w:r>
            <w:r w:rsidR="00CB21A6" w:rsidRPr="00CB21A6">
              <w:rPr>
                <w:rFonts w:ascii="Times New Roman" w:hAnsi="Times New Roman"/>
                <w:sz w:val="20"/>
                <w:szCs w:val="20"/>
              </w:rPr>
              <w:t xml:space="preserve"> zaskarżania oraz doręczania postanowienia sądu w przedmiocie wniosku organu o zgodę na przeprowadzenie przeszukania</w:t>
            </w:r>
          </w:p>
        </w:tc>
      </w:tr>
      <w:tr w:rsidR="0011353F" w:rsidRPr="00424472" w14:paraId="7F6D15AC" w14:textId="77777777" w:rsidTr="003F1EC2">
        <w:trPr>
          <w:trHeight w:val="707"/>
          <w:jc w:val="center"/>
        </w:trPr>
        <w:tc>
          <w:tcPr>
            <w:tcW w:w="2298" w:type="dxa"/>
            <w:gridSpan w:val="3"/>
            <w:shd w:val="clear" w:color="auto" w:fill="auto"/>
            <w:vAlign w:val="center"/>
          </w:tcPr>
          <w:p w14:paraId="7F0048DC" w14:textId="78F1929B" w:rsidR="0011353F" w:rsidRDefault="0011353F" w:rsidP="003F1EC2">
            <w:pPr>
              <w:rPr>
                <w:rFonts w:ascii="Times New Roman" w:hAnsi="Times New Roman"/>
                <w:spacing w:val="-2"/>
                <w:sz w:val="20"/>
                <w:szCs w:val="20"/>
              </w:rPr>
            </w:pPr>
            <w:r>
              <w:rPr>
                <w:rFonts w:ascii="Times New Roman" w:hAnsi="Times New Roman"/>
                <w:spacing w:val="-2"/>
                <w:sz w:val="20"/>
                <w:szCs w:val="20"/>
              </w:rPr>
              <w:lastRenderedPageBreak/>
              <w:t xml:space="preserve">Pracownicy Urzędu Ochrony Konkurencji </w:t>
            </w:r>
            <w:r>
              <w:rPr>
                <w:rFonts w:ascii="Times New Roman" w:hAnsi="Times New Roman"/>
                <w:spacing w:val="-2"/>
                <w:sz w:val="20"/>
                <w:szCs w:val="20"/>
              </w:rPr>
              <w:br/>
              <w:t>i Konsumentów</w:t>
            </w:r>
          </w:p>
        </w:tc>
        <w:tc>
          <w:tcPr>
            <w:tcW w:w="3260" w:type="dxa"/>
            <w:gridSpan w:val="10"/>
            <w:shd w:val="clear" w:color="auto" w:fill="auto"/>
            <w:vAlign w:val="center"/>
          </w:tcPr>
          <w:p w14:paraId="48F825D2" w14:textId="38063710" w:rsidR="00E02BDD" w:rsidRPr="00CC4211" w:rsidRDefault="00E02BDD" w:rsidP="00E02BDD">
            <w:pPr>
              <w:jc w:val="center"/>
              <w:rPr>
                <w:rFonts w:ascii="Times New Roman" w:hAnsi="Times New Roman"/>
                <w:bCs/>
                <w:spacing w:val="-2"/>
                <w:sz w:val="20"/>
                <w:szCs w:val="20"/>
              </w:rPr>
            </w:pPr>
            <w:r>
              <w:rPr>
                <w:rFonts w:ascii="Times New Roman" w:hAnsi="Times New Roman"/>
                <w:bCs/>
                <w:spacing w:val="-2"/>
                <w:sz w:val="20"/>
                <w:szCs w:val="20"/>
              </w:rPr>
              <w:t xml:space="preserve">455 osób </w:t>
            </w:r>
            <w:r>
              <w:rPr>
                <w:rFonts w:ascii="Times New Roman" w:hAnsi="Times New Roman"/>
                <w:bCs/>
                <w:spacing w:val="-2"/>
                <w:sz w:val="20"/>
                <w:szCs w:val="20"/>
              </w:rPr>
              <w:br/>
              <w:t>(2019 r.)</w:t>
            </w:r>
          </w:p>
        </w:tc>
        <w:tc>
          <w:tcPr>
            <w:tcW w:w="1843" w:type="dxa"/>
            <w:gridSpan w:val="7"/>
            <w:shd w:val="clear" w:color="auto" w:fill="auto"/>
            <w:vAlign w:val="center"/>
          </w:tcPr>
          <w:p w14:paraId="72CFB38A" w14:textId="4ED47556" w:rsidR="0011353F" w:rsidRDefault="00E02BDD" w:rsidP="00E02BDD">
            <w:pPr>
              <w:spacing w:before="120" w:after="120"/>
              <w:jc w:val="center"/>
              <w:rPr>
                <w:rFonts w:ascii="Times New Roman" w:hAnsi="Times New Roman"/>
                <w:spacing w:val="-2"/>
                <w:sz w:val="20"/>
                <w:szCs w:val="20"/>
              </w:rPr>
            </w:pPr>
            <w:r>
              <w:rPr>
                <w:rFonts w:ascii="Times New Roman" w:hAnsi="Times New Roman"/>
                <w:spacing w:val="-2"/>
                <w:sz w:val="20"/>
                <w:szCs w:val="20"/>
              </w:rPr>
              <w:t xml:space="preserve">NIK - </w:t>
            </w:r>
            <w:r w:rsidRPr="00E02BDD">
              <w:rPr>
                <w:rFonts w:ascii="Times New Roman" w:hAnsi="Times New Roman"/>
                <w:spacing w:val="-2"/>
                <w:sz w:val="20"/>
                <w:szCs w:val="20"/>
              </w:rPr>
              <w:t xml:space="preserve">Wykonanie budżetu państwa </w:t>
            </w:r>
            <w:r>
              <w:rPr>
                <w:rFonts w:ascii="Times New Roman" w:hAnsi="Times New Roman"/>
                <w:spacing w:val="-2"/>
                <w:sz w:val="20"/>
                <w:szCs w:val="20"/>
              </w:rPr>
              <w:br/>
            </w:r>
            <w:r w:rsidRPr="00E02BDD">
              <w:rPr>
                <w:rFonts w:ascii="Times New Roman" w:hAnsi="Times New Roman"/>
                <w:spacing w:val="-2"/>
                <w:sz w:val="20"/>
                <w:szCs w:val="20"/>
              </w:rPr>
              <w:t>w 2019 r. w części 53 – Urząd Ochrony Konkurencji i Konsumentów</w:t>
            </w:r>
          </w:p>
        </w:tc>
        <w:tc>
          <w:tcPr>
            <w:tcW w:w="3373" w:type="dxa"/>
            <w:gridSpan w:val="8"/>
            <w:tcBorders>
              <w:left w:val="single" w:sz="4" w:space="0" w:color="auto"/>
              <w:bottom w:val="single" w:sz="4" w:space="0" w:color="auto"/>
              <w:right w:val="single" w:sz="4" w:space="0" w:color="auto"/>
            </w:tcBorders>
            <w:shd w:val="clear" w:color="auto" w:fill="auto"/>
          </w:tcPr>
          <w:p w14:paraId="2527B590" w14:textId="7DD14BA4" w:rsidR="0011353F" w:rsidRPr="003F1EC2" w:rsidRDefault="00D927CF" w:rsidP="00424472">
            <w:pPr>
              <w:spacing w:before="120" w:after="120"/>
              <w:jc w:val="both"/>
              <w:rPr>
                <w:rFonts w:ascii="Times New Roman" w:hAnsi="Times New Roman"/>
                <w:sz w:val="20"/>
                <w:szCs w:val="20"/>
              </w:rPr>
            </w:pPr>
            <w:r>
              <w:rPr>
                <w:rFonts w:ascii="Times New Roman" w:hAnsi="Times New Roman"/>
                <w:sz w:val="20"/>
                <w:szCs w:val="20"/>
              </w:rPr>
              <w:t xml:space="preserve">- </w:t>
            </w:r>
            <w:r w:rsidR="00DA0586">
              <w:rPr>
                <w:rFonts w:ascii="Times New Roman" w:hAnsi="Times New Roman"/>
                <w:sz w:val="20"/>
                <w:szCs w:val="20"/>
              </w:rPr>
              <w:t xml:space="preserve">dokonywanie </w:t>
            </w:r>
            <w:r w:rsidRPr="00D927CF">
              <w:rPr>
                <w:rFonts w:ascii="Times New Roman" w:hAnsi="Times New Roman"/>
                <w:sz w:val="20"/>
                <w:szCs w:val="20"/>
              </w:rPr>
              <w:t>przeszukań w lokalu mieszkalnym, innym pomieszczeniu, nieruchomości lub środku transportu, wspólnie przez funkcjonariuszy Policji i pracowników Urzędu</w:t>
            </w:r>
          </w:p>
        </w:tc>
      </w:tr>
      <w:tr w:rsidR="00D84364" w:rsidRPr="00424472" w14:paraId="0F7FE391" w14:textId="77777777" w:rsidTr="003F1EC2">
        <w:trPr>
          <w:trHeight w:val="707"/>
          <w:jc w:val="center"/>
        </w:trPr>
        <w:tc>
          <w:tcPr>
            <w:tcW w:w="2298" w:type="dxa"/>
            <w:gridSpan w:val="3"/>
            <w:shd w:val="clear" w:color="auto" w:fill="auto"/>
            <w:vAlign w:val="center"/>
          </w:tcPr>
          <w:p w14:paraId="2BEC320B" w14:textId="77777777" w:rsidR="00D84364" w:rsidRPr="00B00A05" w:rsidRDefault="006A0CDB" w:rsidP="003F1EC2">
            <w:pPr>
              <w:rPr>
                <w:rFonts w:ascii="Times New Roman" w:hAnsi="Times New Roman"/>
                <w:spacing w:val="-2"/>
                <w:sz w:val="20"/>
                <w:szCs w:val="20"/>
              </w:rPr>
            </w:pPr>
            <w:r>
              <w:rPr>
                <w:rFonts w:ascii="Times New Roman" w:hAnsi="Times New Roman"/>
                <w:spacing w:val="-2"/>
                <w:sz w:val="20"/>
                <w:szCs w:val="20"/>
              </w:rPr>
              <w:t>Przedsiębiorcy</w:t>
            </w:r>
          </w:p>
        </w:tc>
        <w:tc>
          <w:tcPr>
            <w:tcW w:w="3260" w:type="dxa"/>
            <w:gridSpan w:val="10"/>
            <w:shd w:val="clear" w:color="auto" w:fill="auto"/>
            <w:vAlign w:val="center"/>
          </w:tcPr>
          <w:p w14:paraId="7A1DD716" w14:textId="0AF7F63B" w:rsidR="00D84364" w:rsidRDefault="00B02BCC" w:rsidP="00CC4211">
            <w:pPr>
              <w:jc w:val="center"/>
              <w:rPr>
                <w:rFonts w:ascii="Times New Roman" w:hAnsi="Times New Roman"/>
                <w:bCs/>
                <w:spacing w:val="-2"/>
                <w:sz w:val="20"/>
                <w:szCs w:val="20"/>
              </w:rPr>
            </w:pPr>
            <w:r w:rsidRPr="00B02BCC">
              <w:rPr>
                <w:rFonts w:ascii="Times New Roman" w:hAnsi="Times New Roman"/>
                <w:bCs/>
                <w:spacing w:val="-2"/>
                <w:sz w:val="20"/>
                <w:szCs w:val="20"/>
              </w:rPr>
              <w:t>2</w:t>
            </w:r>
            <w:r w:rsidR="00BA2A68">
              <w:rPr>
                <w:rFonts w:ascii="Times New Roman" w:hAnsi="Times New Roman"/>
                <w:bCs/>
                <w:spacing w:val="-2"/>
                <w:sz w:val="20"/>
                <w:szCs w:val="20"/>
              </w:rPr>
              <w:t> </w:t>
            </w:r>
            <w:r w:rsidRPr="00B02BCC">
              <w:rPr>
                <w:rFonts w:ascii="Times New Roman" w:hAnsi="Times New Roman"/>
                <w:bCs/>
                <w:spacing w:val="-2"/>
                <w:sz w:val="20"/>
                <w:szCs w:val="20"/>
              </w:rPr>
              <w:t>21</w:t>
            </w:r>
            <w:r w:rsidR="00BA2A68">
              <w:rPr>
                <w:rFonts w:ascii="Times New Roman" w:hAnsi="Times New Roman"/>
                <w:bCs/>
                <w:spacing w:val="-2"/>
                <w:sz w:val="20"/>
                <w:szCs w:val="20"/>
              </w:rPr>
              <w:t xml:space="preserve">1, 6 tys. </w:t>
            </w:r>
            <w:r w:rsidR="00BA2A68" w:rsidRPr="00BA2A68">
              <w:rPr>
                <w:rFonts w:ascii="Times New Roman" w:hAnsi="Times New Roman"/>
                <w:bCs/>
                <w:spacing w:val="-2"/>
                <w:sz w:val="20"/>
                <w:szCs w:val="20"/>
              </w:rPr>
              <w:t>przedsiębiorstw niefinansowych</w:t>
            </w:r>
          </w:p>
          <w:p w14:paraId="1F4888DE" w14:textId="4A472DCD" w:rsidR="00BA2A68" w:rsidRPr="00CC4211" w:rsidRDefault="00BA2A68" w:rsidP="00CC4211">
            <w:pPr>
              <w:jc w:val="center"/>
              <w:rPr>
                <w:rFonts w:ascii="Times New Roman" w:hAnsi="Times New Roman"/>
                <w:bCs/>
                <w:spacing w:val="-2"/>
                <w:sz w:val="20"/>
                <w:szCs w:val="20"/>
              </w:rPr>
            </w:pPr>
            <w:r>
              <w:rPr>
                <w:rFonts w:ascii="Times New Roman" w:hAnsi="Times New Roman"/>
                <w:bCs/>
                <w:spacing w:val="-2"/>
                <w:sz w:val="20"/>
                <w:szCs w:val="20"/>
              </w:rPr>
              <w:t>(w 2019 r.)</w:t>
            </w:r>
          </w:p>
        </w:tc>
        <w:tc>
          <w:tcPr>
            <w:tcW w:w="1843" w:type="dxa"/>
            <w:gridSpan w:val="7"/>
            <w:shd w:val="clear" w:color="auto" w:fill="auto"/>
            <w:vAlign w:val="center"/>
          </w:tcPr>
          <w:p w14:paraId="3CB78151" w14:textId="1DD888DB" w:rsidR="00D84364" w:rsidRDefault="00BA2A68" w:rsidP="00424472">
            <w:pPr>
              <w:jc w:val="center"/>
              <w:rPr>
                <w:rFonts w:ascii="Times New Roman" w:hAnsi="Times New Roman"/>
                <w:spacing w:val="-2"/>
                <w:sz w:val="20"/>
                <w:szCs w:val="20"/>
              </w:rPr>
            </w:pPr>
            <w:r>
              <w:rPr>
                <w:rFonts w:ascii="Times New Roman" w:hAnsi="Times New Roman"/>
                <w:spacing w:val="-2"/>
                <w:sz w:val="20"/>
                <w:szCs w:val="20"/>
              </w:rPr>
              <w:t>GUS</w:t>
            </w:r>
          </w:p>
        </w:tc>
        <w:tc>
          <w:tcPr>
            <w:tcW w:w="3373" w:type="dxa"/>
            <w:gridSpan w:val="8"/>
            <w:tcBorders>
              <w:left w:val="single" w:sz="4" w:space="0" w:color="auto"/>
              <w:bottom w:val="single" w:sz="4" w:space="0" w:color="auto"/>
              <w:right w:val="single" w:sz="4" w:space="0" w:color="auto"/>
            </w:tcBorders>
            <w:shd w:val="clear" w:color="auto" w:fill="auto"/>
          </w:tcPr>
          <w:p w14:paraId="148A3D98" w14:textId="77777777" w:rsidR="00D84364" w:rsidRDefault="00C075E5" w:rsidP="00424472">
            <w:pPr>
              <w:spacing w:before="120" w:after="120"/>
              <w:jc w:val="both"/>
              <w:rPr>
                <w:rFonts w:ascii="Times New Roman" w:hAnsi="Times New Roman"/>
                <w:sz w:val="20"/>
                <w:szCs w:val="20"/>
              </w:rPr>
            </w:pPr>
            <w:r>
              <w:rPr>
                <w:rFonts w:ascii="Times New Roman" w:hAnsi="Times New Roman"/>
                <w:sz w:val="20"/>
                <w:szCs w:val="20"/>
              </w:rPr>
              <w:t xml:space="preserve">- </w:t>
            </w:r>
            <w:r w:rsidRPr="00C075E5">
              <w:rPr>
                <w:rFonts w:ascii="Times New Roman" w:hAnsi="Times New Roman"/>
                <w:sz w:val="20"/>
                <w:szCs w:val="20"/>
              </w:rPr>
              <w:t>wprowadzeni</w:t>
            </w:r>
            <w:r>
              <w:rPr>
                <w:rFonts w:ascii="Times New Roman" w:hAnsi="Times New Roman"/>
                <w:sz w:val="20"/>
                <w:szCs w:val="20"/>
              </w:rPr>
              <w:t>e</w:t>
            </w:r>
            <w:r w:rsidRPr="00C075E5">
              <w:rPr>
                <w:rFonts w:ascii="Times New Roman" w:hAnsi="Times New Roman"/>
                <w:sz w:val="20"/>
                <w:szCs w:val="20"/>
              </w:rPr>
              <w:t xml:space="preserve"> możliwości pociągnięcia do odpowiedzialności również przedsiębiorcy dominującego w przypadku, gdy naruszenia ustawy poprzez zawarcie niedozwolonego porozumienia lub nadużycie pozycji dominującej dopuścił się przedsiębiorca zależny</w:t>
            </w:r>
          </w:p>
          <w:p w14:paraId="10398CDD" w14:textId="6EC173DE" w:rsidR="00E45F6B" w:rsidRDefault="00E45F6B" w:rsidP="00424472">
            <w:pPr>
              <w:spacing w:before="120" w:after="120"/>
              <w:jc w:val="both"/>
              <w:rPr>
                <w:rFonts w:ascii="Times New Roman" w:hAnsi="Times New Roman"/>
                <w:sz w:val="20"/>
                <w:szCs w:val="20"/>
              </w:rPr>
            </w:pPr>
            <w:r>
              <w:rPr>
                <w:rFonts w:ascii="Times New Roman" w:hAnsi="Times New Roman"/>
                <w:sz w:val="20"/>
                <w:szCs w:val="20"/>
              </w:rPr>
              <w:t>- możliwość</w:t>
            </w:r>
            <w:r w:rsidRPr="00E45F6B">
              <w:rPr>
                <w:rFonts w:ascii="Times New Roman" w:hAnsi="Times New Roman"/>
                <w:sz w:val="20"/>
                <w:szCs w:val="20"/>
              </w:rPr>
              <w:t xml:space="preserve"> </w:t>
            </w:r>
            <w:r w:rsidR="000B2A90">
              <w:rPr>
                <w:rFonts w:ascii="Times New Roman" w:hAnsi="Times New Roman"/>
                <w:sz w:val="20"/>
                <w:szCs w:val="20"/>
              </w:rPr>
              <w:t>ukarania</w:t>
            </w:r>
            <w:r w:rsidRPr="00E45F6B">
              <w:rPr>
                <w:rFonts w:ascii="Times New Roman" w:hAnsi="Times New Roman"/>
                <w:sz w:val="20"/>
                <w:szCs w:val="20"/>
              </w:rPr>
              <w:t xml:space="preserve"> za naruszenia kar</w:t>
            </w:r>
            <w:r w:rsidR="000B2A90">
              <w:rPr>
                <w:rFonts w:ascii="Times New Roman" w:hAnsi="Times New Roman"/>
                <w:sz w:val="20"/>
                <w:szCs w:val="20"/>
              </w:rPr>
              <w:t>ą</w:t>
            </w:r>
            <w:r w:rsidRPr="00E45F6B">
              <w:rPr>
                <w:rFonts w:ascii="Times New Roman" w:hAnsi="Times New Roman"/>
                <w:sz w:val="20"/>
                <w:szCs w:val="20"/>
              </w:rPr>
              <w:t xml:space="preserve"> pieniężn</w:t>
            </w:r>
            <w:r w:rsidR="000B2A90">
              <w:rPr>
                <w:rFonts w:ascii="Times New Roman" w:hAnsi="Times New Roman"/>
                <w:sz w:val="20"/>
                <w:szCs w:val="20"/>
              </w:rPr>
              <w:t>ą</w:t>
            </w:r>
            <w:r w:rsidRPr="00E45F6B">
              <w:rPr>
                <w:rFonts w:ascii="Times New Roman" w:hAnsi="Times New Roman"/>
                <w:sz w:val="20"/>
                <w:szCs w:val="20"/>
              </w:rPr>
              <w:t xml:space="preserve"> związk</w:t>
            </w:r>
            <w:r w:rsidR="000B2A90">
              <w:rPr>
                <w:rFonts w:ascii="Times New Roman" w:hAnsi="Times New Roman"/>
                <w:sz w:val="20"/>
                <w:szCs w:val="20"/>
              </w:rPr>
              <w:t xml:space="preserve">ów </w:t>
            </w:r>
            <w:r w:rsidRPr="00E45F6B">
              <w:rPr>
                <w:rFonts w:ascii="Times New Roman" w:hAnsi="Times New Roman"/>
                <w:sz w:val="20"/>
                <w:szCs w:val="20"/>
              </w:rPr>
              <w:t>przedsiębiorców w przypadku, gdy dane naruszenie jest związane z działalnością jego członków</w:t>
            </w:r>
          </w:p>
          <w:p w14:paraId="542AAB8F" w14:textId="77777777" w:rsidR="007C123B" w:rsidRDefault="007C123B" w:rsidP="00424472">
            <w:pPr>
              <w:spacing w:before="120" w:after="120"/>
              <w:jc w:val="both"/>
              <w:rPr>
                <w:rFonts w:ascii="Times New Roman" w:hAnsi="Times New Roman"/>
                <w:sz w:val="20"/>
                <w:szCs w:val="20"/>
              </w:rPr>
            </w:pPr>
            <w:r>
              <w:rPr>
                <w:rFonts w:ascii="Times New Roman" w:hAnsi="Times New Roman"/>
                <w:sz w:val="20"/>
                <w:szCs w:val="20"/>
              </w:rPr>
              <w:t xml:space="preserve">- </w:t>
            </w:r>
            <w:r w:rsidRPr="007C123B">
              <w:rPr>
                <w:rFonts w:ascii="Times New Roman" w:hAnsi="Times New Roman"/>
                <w:sz w:val="20"/>
                <w:szCs w:val="20"/>
              </w:rPr>
              <w:t>zmian</w:t>
            </w:r>
            <w:r>
              <w:rPr>
                <w:rFonts w:ascii="Times New Roman" w:hAnsi="Times New Roman"/>
                <w:sz w:val="20"/>
                <w:szCs w:val="20"/>
              </w:rPr>
              <w:t>a</w:t>
            </w:r>
            <w:r w:rsidRPr="007C123B">
              <w:rPr>
                <w:rFonts w:ascii="Times New Roman" w:hAnsi="Times New Roman"/>
                <w:sz w:val="20"/>
                <w:szCs w:val="20"/>
              </w:rPr>
              <w:t xml:space="preserve"> sposobu ustalania kary poprzez zastąpienie jej maksymalnego pułapu określonego kwotowo pułapem określonym jako procent obrotu</w:t>
            </w:r>
          </w:p>
          <w:p w14:paraId="7F768F1D" w14:textId="77777777" w:rsidR="00FA55C1" w:rsidRDefault="00FA55C1" w:rsidP="00424472">
            <w:pPr>
              <w:spacing w:before="120" w:after="120"/>
              <w:jc w:val="both"/>
              <w:rPr>
                <w:rFonts w:ascii="Times New Roman" w:hAnsi="Times New Roman"/>
                <w:bCs/>
                <w:sz w:val="20"/>
                <w:szCs w:val="20"/>
              </w:rPr>
            </w:pPr>
            <w:r>
              <w:rPr>
                <w:rFonts w:ascii="Times New Roman" w:hAnsi="Times New Roman"/>
                <w:sz w:val="20"/>
                <w:szCs w:val="20"/>
              </w:rPr>
              <w:t>- możliwość</w:t>
            </w:r>
            <w:r w:rsidRPr="0043058A">
              <w:rPr>
                <w:rFonts w:ascii="Times New Roman" w:hAnsi="Times New Roman"/>
                <w:bCs/>
                <w:sz w:val="20"/>
                <w:szCs w:val="20"/>
              </w:rPr>
              <w:t xml:space="preserve"> nałoż</w:t>
            </w:r>
            <w:r>
              <w:rPr>
                <w:rFonts w:ascii="Times New Roman" w:hAnsi="Times New Roman"/>
                <w:bCs/>
                <w:sz w:val="20"/>
                <w:szCs w:val="20"/>
              </w:rPr>
              <w:t>enia przez Prezesa UOKiK</w:t>
            </w:r>
            <w:r w:rsidRPr="0043058A">
              <w:rPr>
                <w:rFonts w:ascii="Times New Roman" w:hAnsi="Times New Roman"/>
                <w:bCs/>
                <w:sz w:val="20"/>
                <w:szCs w:val="20"/>
              </w:rPr>
              <w:t xml:space="preserve"> okresow</w:t>
            </w:r>
            <w:r>
              <w:rPr>
                <w:rFonts w:ascii="Times New Roman" w:hAnsi="Times New Roman"/>
                <w:bCs/>
                <w:sz w:val="20"/>
                <w:szCs w:val="20"/>
              </w:rPr>
              <w:t>ej</w:t>
            </w:r>
            <w:r w:rsidRPr="0043058A">
              <w:rPr>
                <w:rFonts w:ascii="Times New Roman" w:hAnsi="Times New Roman"/>
                <w:bCs/>
                <w:sz w:val="20"/>
                <w:szCs w:val="20"/>
              </w:rPr>
              <w:t xml:space="preserve"> kar</w:t>
            </w:r>
            <w:r>
              <w:rPr>
                <w:rFonts w:ascii="Times New Roman" w:hAnsi="Times New Roman"/>
                <w:bCs/>
                <w:sz w:val="20"/>
                <w:szCs w:val="20"/>
              </w:rPr>
              <w:t>y</w:t>
            </w:r>
            <w:r w:rsidRPr="0043058A">
              <w:rPr>
                <w:rFonts w:ascii="Times New Roman" w:hAnsi="Times New Roman"/>
                <w:bCs/>
                <w:sz w:val="20"/>
                <w:szCs w:val="20"/>
              </w:rPr>
              <w:t xml:space="preserve"> pieniężn</w:t>
            </w:r>
            <w:r>
              <w:rPr>
                <w:rFonts w:ascii="Times New Roman" w:hAnsi="Times New Roman"/>
                <w:bCs/>
                <w:sz w:val="20"/>
                <w:szCs w:val="20"/>
              </w:rPr>
              <w:t>ej</w:t>
            </w:r>
            <w:r>
              <w:rPr>
                <w:rFonts w:ascii="Times New Roman" w:hAnsi="Times New Roman"/>
                <w:sz w:val="20"/>
                <w:szCs w:val="20"/>
              </w:rPr>
              <w:t xml:space="preserve">, </w:t>
            </w:r>
            <w:r>
              <w:rPr>
                <w:rFonts w:ascii="Times New Roman" w:hAnsi="Times New Roman"/>
                <w:sz w:val="20"/>
                <w:szCs w:val="20"/>
              </w:rPr>
              <w:br/>
            </w:r>
            <w:r w:rsidRPr="0043058A">
              <w:rPr>
                <w:rFonts w:ascii="Times New Roman" w:hAnsi="Times New Roman"/>
                <w:bCs/>
                <w:sz w:val="20"/>
                <w:szCs w:val="20"/>
              </w:rPr>
              <w:t>w celu przymuszenia do wykonania nałożonych obowiązków</w:t>
            </w:r>
          </w:p>
          <w:p w14:paraId="2A1C4CA7" w14:textId="77777777" w:rsidR="00EE0B88" w:rsidRDefault="00EE0B88" w:rsidP="00424472">
            <w:pPr>
              <w:spacing w:before="120" w:after="120"/>
              <w:jc w:val="both"/>
              <w:rPr>
                <w:rFonts w:ascii="Times New Roman" w:hAnsi="Times New Roman"/>
                <w:sz w:val="20"/>
                <w:szCs w:val="20"/>
              </w:rPr>
            </w:pPr>
            <w:r>
              <w:rPr>
                <w:rFonts w:ascii="Times New Roman" w:hAnsi="Times New Roman"/>
                <w:sz w:val="20"/>
                <w:szCs w:val="20"/>
              </w:rPr>
              <w:t xml:space="preserve">- </w:t>
            </w:r>
            <w:r w:rsidRPr="00EE0B88">
              <w:rPr>
                <w:rFonts w:ascii="Times New Roman" w:hAnsi="Times New Roman"/>
                <w:sz w:val="20"/>
                <w:szCs w:val="20"/>
              </w:rPr>
              <w:t xml:space="preserve">wprowadzenie w </w:t>
            </w:r>
            <w:proofErr w:type="spellStart"/>
            <w:r w:rsidRPr="00EE0B88">
              <w:rPr>
                <w:rFonts w:ascii="Times New Roman" w:hAnsi="Times New Roman"/>
                <w:sz w:val="20"/>
                <w:szCs w:val="20"/>
              </w:rPr>
              <w:t>u.o.k.k</w:t>
            </w:r>
            <w:proofErr w:type="spellEnd"/>
            <w:r w:rsidRPr="00EE0B88">
              <w:rPr>
                <w:rFonts w:ascii="Times New Roman" w:hAnsi="Times New Roman"/>
                <w:sz w:val="20"/>
                <w:szCs w:val="20"/>
              </w:rPr>
              <w:t>. otwartego katalogu środków zaradczych o charakterze strukturalnym</w:t>
            </w:r>
          </w:p>
          <w:p w14:paraId="7EAE8F42" w14:textId="045D7D9C" w:rsidR="00567B28" w:rsidRDefault="00567B28" w:rsidP="00424472">
            <w:pPr>
              <w:spacing w:before="120" w:after="120"/>
              <w:jc w:val="both"/>
              <w:rPr>
                <w:rFonts w:ascii="Times New Roman" w:hAnsi="Times New Roman"/>
                <w:sz w:val="20"/>
                <w:szCs w:val="20"/>
              </w:rPr>
            </w:pPr>
            <w:r>
              <w:rPr>
                <w:rFonts w:ascii="Times New Roman" w:hAnsi="Times New Roman"/>
                <w:sz w:val="20"/>
                <w:szCs w:val="20"/>
              </w:rPr>
              <w:lastRenderedPageBreak/>
              <w:t xml:space="preserve">- </w:t>
            </w:r>
            <w:r w:rsidRPr="00567B28">
              <w:rPr>
                <w:rFonts w:ascii="Times New Roman" w:hAnsi="Times New Roman"/>
                <w:sz w:val="20"/>
                <w:szCs w:val="20"/>
              </w:rPr>
              <w:t>wydawan</w:t>
            </w:r>
            <w:r>
              <w:rPr>
                <w:rFonts w:ascii="Times New Roman" w:hAnsi="Times New Roman"/>
                <w:sz w:val="20"/>
                <w:szCs w:val="20"/>
              </w:rPr>
              <w:t>ie</w:t>
            </w:r>
            <w:r w:rsidRPr="00567B28">
              <w:rPr>
                <w:rFonts w:ascii="Times New Roman" w:hAnsi="Times New Roman"/>
                <w:sz w:val="20"/>
                <w:szCs w:val="20"/>
              </w:rPr>
              <w:t xml:space="preserve"> uzasadnieni</w:t>
            </w:r>
            <w:r w:rsidR="004B2B1F">
              <w:rPr>
                <w:rFonts w:ascii="Times New Roman" w:hAnsi="Times New Roman"/>
                <w:sz w:val="20"/>
                <w:szCs w:val="20"/>
              </w:rPr>
              <w:t>a</w:t>
            </w:r>
            <w:r w:rsidRPr="00567B28">
              <w:rPr>
                <w:rFonts w:ascii="Times New Roman" w:hAnsi="Times New Roman"/>
                <w:sz w:val="20"/>
                <w:szCs w:val="20"/>
              </w:rPr>
              <w:t xml:space="preserve"> zarzutów</w:t>
            </w:r>
            <w:r>
              <w:rPr>
                <w:rFonts w:ascii="Times New Roman" w:hAnsi="Times New Roman"/>
                <w:sz w:val="20"/>
                <w:szCs w:val="20"/>
              </w:rPr>
              <w:t xml:space="preserve"> </w:t>
            </w:r>
            <w:r w:rsidRPr="00567B28">
              <w:rPr>
                <w:rFonts w:ascii="Times New Roman" w:hAnsi="Times New Roman"/>
                <w:sz w:val="20"/>
                <w:szCs w:val="20"/>
              </w:rPr>
              <w:t>na etapie wszczęcia postępowania</w:t>
            </w:r>
          </w:p>
          <w:p w14:paraId="15D4B436" w14:textId="77777777" w:rsidR="00574F91" w:rsidRDefault="00574F91" w:rsidP="00424472">
            <w:pPr>
              <w:spacing w:before="120" w:after="120"/>
              <w:jc w:val="both"/>
              <w:rPr>
                <w:rFonts w:ascii="Times New Roman" w:hAnsi="Times New Roman"/>
                <w:sz w:val="20"/>
                <w:szCs w:val="20"/>
              </w:rPr>
            </w:pPr>
            <w:r>
              <w:rPr>
                <w:rFonts w:ascii="Times New Roman" w:hAnsi="Times New Roman"/>
                <w:sz w:val="20"/>
                <w:szCs w:val="20"/>
              </w:rPr>
              <w:t>- doprecyzowanie zasad o</w:t>
            </w:r>
            <w:r w:rsidRPr="00574F91">
              <w:rPr>
                <w:rFonts w:ascii="Times New Roman" w:hAnsi="Times New Roman"/>
                <w:sz w:val="20"/>
                <w:szCs w:val="20"/>
              </w:rPr>
              <w:t>chron</w:t>
            </w:r>
            <w:r>
              <w:rPr>
                <w:rFonts w:ascii="Times New Roman" w:hAnsi="Times New Roman"/>
                <w:sz w:val="20"/>
                <w:szCs w:val="20"/>
              </w:rPr>
              <w:t>y</w:t>
            </w:r>
            <w:r w:rsidRPr="00574F91">
              <w:rPr>
                <w:rFonts w:ascii="Times New Roman" w:hAnsi="Times New Roman"/>
                <w:sz w:val="20"/>
                <w:szCs w:val="20"/>
              </w:rPr>
              <w:t xml:space="preserve"> informacji uzyskanych w postępowaniu przed Prezesem UOKiK</w:t>
            </w:r>
          </w:p>
          <w:p w14:paraId="608DB46A" w14:textId="77777777" w:rsidR="00212D29" w:rsidRDefault="00212D29" w:rsidP="00424472">
            <w:pPr>
              <w:spacing w:before="120" w:after="120"/>
              <w:jc w:val="both"/>
              <w:rPr>
                <w:rFonts w:ascii="Times New Roman" w:hAnsi="Times New Roman"/>
                <w:sz w:val="20"/>
                <w:szCs w:val="20"/>
              </w:rPr>
            </w:pPr>
            <w:r>
              <w:rPr>
                <w:rFonts w:ascii="Times New Roman" w:hAnsi="Times New Roman"/>
                <w:sz w:val="20"/>
                <w:szCs w:val="20"/>
              </w:rPr>
              <w:t xml:space="preserve">- </w:t>
            </w:r>
            <w:r w:rsidR="002E72BB" w:rsidRPr="00212D29">
              <w:rPr>
                <w:rFonts w:ascii="Times New Roman" w:hAnsi="Times New Roman"/>
                <w:sz w:val="20"/>
                <w:szCs w:val="20"/>
              </w:rPr>
              <w:t>pozostaw</w:t>
            </w:r>
            <w:r w:rsidR="002E72BB">
              <w:rPr>
                <w:rFonts w:ascii="Times New Roman" w:hAnsi="Times New Roman"/>
                <w:sz w:val="20"/>
                <w:szCs w:val="20"/>
              </w:rPr>
              <w:t>ienie</w:t>
            </w:r>
            <w:r w:rsidR="002E72BB" w:rsidRPr="00212D29">
              <w:rPr>
                <w:rFonts w:ascii="Times New Roman" w:hAnsi="Times New Roman"/>
                <w:sz w:val="20"/>
                <w:szCs w:val="20"/>
              </w:rPr>
              <w:t xml:space="preserve"> pism lub dokument</w:t>
            </w:r>
            <w:r w:rsidR="002E72BB">
              <w:rPr>
                <w:rFonts w:ascii="Times New Roman" w:hAnsi="Times New Roman"/>
                <w:sz w:val="20"/>
                <w:szCs w:val="20"/>
              </w:rPr>
              <w:t>ów,</w:t>
            </w:r>
            <w:r w:rsidR="002E72BB" w:rsidRPr="00212D29">
              <w:rPr>
                <w:rFonts w:ascii="Times New Roman" w:hAnsi="Times New Roman"/>
                <w:sz w:val="20"/>
                <w:szCs w:val="20"/>
              </w:rPr>
              <w:t xml:space="preserve"> znalezion</w:t>
            </w:r>
            <w:r w:rsidR="002E72BB">
              <w:rPr>
                <w:rFonts w:ascii="Times New Roman" w:hAnsi="Times New Roman"/>
                <w:sz w:val="20"/>
                <w:szCs w:val="20"/>
              </w:rPr>
              <w:t>ych</w:t>
            </w:r>
            <w:r w:rsidR="002E72BB" w:rsidRPr="00212D29">
              <w:rPr>
                <w:rFonts w:ascii="Times New Roman" w:hAnsi="Times New Roman"/>
                <w:sz w:val="20"/>
                <w:szCs w:val="20"/>
              </w:rPr>
              <w:t xml:space="preserve"> w toku przeszukania</w:t>
            </w:r>
            <w:r w:rsidR="002E72BB">
              <w:rPr>
                <w:rFonts w:ascii="Times New Roman" w:hAnsi="Times New Roman"/>
                <w:sz w:val="20"/>
                <w:szCs w:val="20"/>
              </w:rPr>
              <w:t>,</w:t>
            </w:r>
            <w:r w:rsidR="002E72BB" w:rsidRPr="00212D29">
              <w:rPr>
                <w:rFonts w:ascii="Times New Roman" w:hAnsi="Times New Roman"/>
                <w:sz w:val="20"/>
                <w:szCs w:val="20"/>
              </w:rPr>
              <w:t xml:space="preserve"> na miejscu przeszukania</w:t>
            </w:r>
            <w:r w:rsidRPr="00212D29">
              <w:rPr>
                <w:rFonts w:ascii="Times New Roman" w:hAnsi="Times New Roman"/>
                <w:sz w:val="20"/>
                <w:szCs w:val="20"/>
              </w:rPr>
              <w:t>,</w:t>
            </w:r>
            <w:r w:rsidR="002E72BB">
              <w:rPr>
                <w:rFonts w:ascii="Times New Roman" w:hAnsi="Times New Roman"/>
                <w:sz w:val="20"/>
                <w:szCs w:val="20"/>
              </w:rPr>
              <w:t xml:space="preserve"> w sytuacji gdy </w:t>
            </w:r>
            <w:r w:rsidRPr="00212D29">
              <w:rPr>
                <w:rFonts w:ascii="Times New Roman" w:hAnsi="Times New Roman"/>
                <w:sz w:val="20"/>
                <w:szCs w:val="20"/>
              </w:rPr>
              <w:t>zawierają pisemną komunikację między przeszukiwanym a niezależnym od przeszukiwanego adwokatem, radcą prawnym lub prawnikiem z Unii Europejskiej</w:t>
            </w:r>
            <w:r w:rsidR="00FE2BC1">
              <w:rPr>
                <w:rFonts w:ascii="Times New Roman" w:hAnsi="Times New Roman"/>
                <w:sz w:val="20"/>
                <w:szCs w:val="20"/>
              </w:rPr>
              <w:t>,</w:t>
            </w:r>
            <w:r w:rsidRPr="00212D29">
              <w:rPr>
                <w:rFonts w:ascii="Times New Roman" w:hAnsi="Times New Roman"/>
                <w:sz w:val="20"/>
                <w:szCs w:val="20"/>
              </w:rPr>
              <w:t xml:space="preserve">  powstałą  w celu realizacji prawa do uzyskania ochrony prawnej </w:t>
            </w:r>
            <w:r w:rsidR="00FE2BC1">
              <w:rPr>
                <w:rFonts w:ascii="Times New Roman" w:hAnsi="Times New Roman"/>
                <w:sz w:val="20"/>
                <w:szCs w:val="20"/>
              </w:rPr>
              <w:br/>
            </w:r>
            <w:r w:rsidRPr="00212D29">
              <w:rPr>
                <w:rFonts w:ascii="Times New Roman" w:hAnsi="Times New Roman"/>
                <w:sz w:val="20"/>
                <w:szCs w:val="20"/>
              </w:rPr>
              <w:t>w związku z przedmiotem postępowania prowadzonego przez Prezesa Urzędu w ramach którego przeprowadzane jest przeszukanie</w:t>
            </w:r>
          </w:p>
          <w:p w14:paraId="15EDDBED" w14:textId="77777777" w:rsidR="005070DF" w:rsidRDefault="005070DF" w:rsidP="00424472">
            <w:pPr>
              <w:spacing w:before="120" w:after="120"/>
              <w:jc w:val="both"/>
              <w:rPr>
                <w:rFonts w:ascii="Times New Roman" w:hAnsi="Times New Roman"/>
                <w:sz w:val="20"/>
                <w:szCs w:val="20"/>
              </w:rPr>
            </w:pPr>
            <w:r>
              <w:rPr>
                <w:rFonts w:ascii="Times New Roman" w:hAnsi="Times New Roman"/>
                <w:sz w:val="20"/>
                <w:szCs w:val="20"/>
              </w:rPr>
              <w:t xml:space="preserve">- zmiana terminów przedawnienia </w:t>
            </w:r>
            <w:r w:rsidRPr="005070DF">
              <w:rPr>
                <w:rFonts w:ascii="Times New Roman" w:hAnsi="Times New Roman"/>
                <w:sz w:val="20"/>
                <w:szCs w:val="20"/>
              </w:rPr>
              <w:t>narusze</w:t>
            </w:r>
            <w:r>
              <w:rPr>
                <w:rFonts w:ascii="Times New Roman" w:hAnsi="Times New Roman"/>
                <w:sz w:val="20"/>
                <w:szCs w:val="20"/>
              </w:rPr>
              <w:t>ń</w:t>
            </w:r>
            <w:r w:rsidRPr="005070DF">
              <w:rPr>
                <w:rFonts w:ascii="Times New Roman" w:hAnsi="Times New Roman"/>
                <w:sz w:val="20"/>
                <w:szCs w:val="20"/>
              </w:rPr>
              <w:t xml:space="preserve"> art. 101 lub art. 102 TFUE</w:t>
            </w:r>
          </w:p>
          <w:p w14:paraId="580EE0BB" w14:textId="77777777" w:rsidR="00706206" w:rsidRDefault="00706206" w:rsidP="00424472">
            <w:pPr>
              <w:spacing w:before="120" w:after="120"/>
              <w:jc w:val="both"/>
              <w:rPr>
                <w:rFonts w:ascii="Times New Roman" w:hAnsi="Times New Roman"/>
                <w:sz w:val="20"/>
                <w:szCs w:val="20"/>
              </w:rPr>
            </w:pPr>
            <w:r>
              <w:rPr>
                <w:rFonts w:ascii="Times New Roman" w:hAnsi="Times New Roman"/>
                <w:sz w:val="20"/>
                <w:szCs w:val="20"/>
              </w:rPr>
              <w:t>- zmiany doprecyzowujące w zakresie programu łagodzenia kar</w:t>
            </w:r>
          </w:p>
          <w:p w14:paraId="66E8E401" w14:textId="1504FB60" w:rsidR="00722751" w:rsidRPr="003F1EC2" w:rsidRDefault="00722751" w:rsidP="00424472">
            <w:pPr>
              <w:spacing w:before="120" w:after="120"/>
              <w:jc w:val="both"/>
              <w:rPr>
                <w:rFonts w:ascii="Times New Roman" w:hAnsi="Times New Roman"/>
                <w:sz w:val="20"/>
                <w:szCs w:val="20"/>
              </w:rPr>
            </w:pPr>
            <w:r>
              <w:rPr>
                <w:rFonts w:ascii="Times New Roman" w:hAnsi="Times New Roman"/>
                <w:sz w:val="20"/>
                <w:szCs w:val="20"/>
              </w:rPr>
              <w:t xml:space="preserve">- </w:t>
            </w:r>
            <w:r w:rsidRPr="00CB21A6">
              <w:rPr>
                <w:rFonts w:ascii="Times New Roman" w:hAnsi="Times New Roman"/>
                <w:sz w:val="20"/>
                <w:szCs w:val="20"/>
              </w:rPr>
              <w:t>now</w:t>
            </w:r>
            <w:r>
              <w:rPr>
                <w:rFonts w:ascii="Times New Roman" w:hAnsi="Times New Roman"/>
                <w:sz w:val="20"/>
                <w:szCs w:val="20"/>
              </w:rPr>
              <w:t>a</w:t>
            </w:r>
            <w:r w:rsidRPr="00CB21A6">
              <w:rPr>
                <w:rFonts w:ascii="Times New Roman" w:hAnsi="Times New Roman"/>
                <w:sz w:val="20"/>
                <w:szCs w:val="20"/>
              </w:rPr>
              <w:t xml:space="preserve"> procedur</w:t>
            </w:r>
            <w:r>
              <w:rPr>
                <w:rFonts w:ascii="Times New Roman" w:hAnsi="Times New Roman"/>
                <w:sz w:val="20"/>
                <w:szCs w:val="20"/>
              </w:rPr>
              <w:t>a</w:t>
            </w:r>
            <w:r w:rsidRPr="00CB21A6">
              <w:rPr>
                <w:rFonts w:ascii="Times New Roman" w:hAnsi="Times New Roman"/>
                <w:sz w:val="20"/>
                <w:szCs w:val="20"/>
              </w:rPr>
              <w:t xml:space="preserve"> zaskarżania oraz doręczania postanowienia sądu w przedmiocie wniosku organu o zgodę na przeprowadzenie przeszukania</w:t>
            </w:r>
          </w:p>
        </w:tc>
      </w:tr>
      <w:tr w:rsidR="005802C2" w:rsidRPr="00424472" w14:paraId="7FC52CF6" w14:textId="77777777" w:rsidTr="00461AD7">
        <w:trPr>
          <w:trHeight w:val="707"/>
          <w:jc w:val="center"/>
        </w:trPr>
        <w:tc>
          <w:tcPr>
            <w:tcW w:w="2298" w:type="dxa"/>
            <w:gridSpan w:val="3"/>
            <w:shd w:val="clear" w:color="auto" w:fill="auto"/>
            <w:vAlign w:val="center"/>
          </w:tcPr>
          <w:p w14:paraId="3849E60D" w14:textId="77777777" w:rsidR="005802C2" w:rsidRPr="00B00A05" w:rsidRDefault="0026423A" w:rsidP="00424472">
            <w:pPr>
              <w:rPr>
                <w:rFonts w:ascii="Times New Roman" w:hAnsi="Times New Roman"/>
                <w:spacing w:val="-2"/>
                <w:sz w:val="20"/>
                <w:szCs w:val="20"/>
              </w:rPr>
            </w:pPr>
            <w:r>
              <w:rPr>
                <w:rFonts w:ascii="Times New Roman" w:hAnsi="Times New Roman"/>
                <w:spacing w:val="-2"/>
                <w:sz w:val="20"/>
                <w:szCs w:val="20"/>
              </w:rPr>
              <w:lastRenderedPageBreak/>
              <w:t>Osoby fizyczne</w:t>
            </w:r>
          </w:p>
        </w:tc>
        <w:tc>
          <w:tcPr>
            <w:tcW w:w="3260" w:type="dxa"/>
            <w:gridSpan w:val="10"/>
            <w:shd w:val="clear" w:color="auto" w:fill="auto"/>
            <w:vAlign w:val="center"/>
          </w:tcPr>
          <w:p w14:paraId="060B594B" w14:textId="4FB3C249" w:rsidR="00E12809" w:rsidRPr="003F1EC2" w:rsidRDefault="00CA0E39" w:rsidP="00424472">
            <w:pPr>
              <w:jc w:val="center"/>
              <w:rPr>
                <w:rFonts w:ascii="Times New Roman" w:hAnsi="Times New Roman"/>
                <w:spacing w:val="-2"/>
                <w:sz w:val="20"/>
                <w:szCs w:val="20"/>
              </w:rPr>
            </w:pPr>
            <w:r>
              <w:rPr>
                <w:rFonts w:ascii="Times New Roman" w:hAnsi="Times New Roman"/>
                <w:spacing w:val="-2"/>
                <w:sz w:val="20"/>
                <w:szCs w:val="20"/>
              </w:rPr>
              <w:t>-</w:t>
            </w:r>
          </w:p>
        </w:tc>
        <w:tc>
          <w:tcPr>
            <w:tcW w:w="1843" w:type="dxa"/>
            <w:gridSpan w:val="7"/>
            <w:shd w:val="clear" w:color="auto" w:fill="auto"/>
            <w:vAlign w:val="center"/>
          </w:tcPr>
          <w:p w14:paraId="7C6D3A2E" w14:textId="3E3138D2" w:rsidR="005802C2" w:rsidRPr="003F1EC2" w:rsidRDefault="00CA0E39" w:rsidP="00424472">
            <w:pPr>
              <w:jc w:val="center"/>
              <w:rPr>
                <w:rFonts w:ascii="Times New Roman" w:hAnsi="Times New Roman"/>
                <w:spacing w:val="-2"/>
                <w:sz w:val="20"/>
                <w:szCs w:val="20"/>
              </w:rPr>
            </w:pPr>
            <w:r>
              <w:rPr>
                <w:rFonts w:ascii="Times New Roman" w:hAnsi="Times New Roman"/>
                <w:spacing w:val="-2"/>
                <w:sz w:val="20"/>
                <w:szCs w:val="20"/>
              </w:rPr>
              <w:t>-</w:t>
            </w:r>
          </w:p>
        </w:tc>
        <w:tc>
          <w:tcPr>
            <w:tcW w:w="3373" w:type="dxa"/>
            <w:gridSpan w:val="8"/>
            <w:tcBorders>
              <w:left w:val="single" w:sz="4" w:space="0" w:color="auto"/>
              <w:bottom w:val="single" w:sz="4" w:space="0" w:color="auto"/>
              <w:right w:val="single" w:sz="4" w:space="0" w:color="auto"/>
            </w:tcBorders>
            <w:shd w:val="clear" w:color="auto" w:fill="auto"/>
          </w:tcPr>
          <w:p w14:paraId="214ACC85" w14:textId="77777777" w:rsidR="00677476" w:rsidRDefault="00BA0183" w:rsidP="000A4227">
            <w:pPr>
              <w:spacing w:before="120" w:after="120" w:line="240" w:lineRule="auto"/>
              <w:jc w:val="both"/>
              <w:rPr>
                <w:rFonts w:ascii="Times New Roman" w:hAnsi="Times New Roman"/>
                <w:sz w:val="20"/>
                <w:szCs w:val="20"/>
              </w:rPr>
            </w:pPr>
            <w:r>
              <w:rPr>
                <w:rFonts w:ascii="Times New Roman" w:hAnsi="Times New Roman"/>
                <w:sz w:val="20"/>
                <w:szCs w:val="20"/>
              </w:rPr>
              <w:t>-</w:t>
            </w:r>
            <w:r w:rsidRPr="00BA0183">
              <w:rPr>
                <w:rFonts w:ascii="Times New Roman" w:hAnsi="Times New Roman"/>
                <w:sz w:val="20"/>
                <w:szCs w:val="20"/>
              </w:rPr>
              <w:t xml:space="preserve"> możliwość </w:t>
            </w:r>
            <w:r w:rsidR="00300675">
              <w:rPr>
                <w:rFonts w:ascii="Times New Roman" w:hAnsi="Times New Roman"/>
                <w:sz w:val="20"/>
                <w:szCs w:val="20"/>
              </w:rPr>
              <w:t>żądania</w:t>
            </w:r>
            <w:r w:rsidRPr="00BA0183">
              <w:rPr>
                <w:rFonts w:ascii="Times New Roman" w:hAnsi="Times New Roman"/>
                <w:sz w:val="20"/>
                <w:szCs w:val="20"/>
              </w:rPr>
              <w:t xml:space="preserve"> informacji </w:t>
            </w:r>
            <w:r w:rsidR="00300675">
              <w:rPr>
                <w:rFonts w:ascii="Times New Roman" w:hAnsi="Times New Roman"/>
                <w:sz w:val="20"/>
                <w:szCs w:val="20"/>
              </w:rPr>
              <w:t xml:space="preserve">przez Prezesa UOKiK oraz </w:t>
            </w:r>
            <w:r w:rsidR="005070DF">
              <w:rPr>
                <w:rFonts w:ascii="Times New Roman" w:hAnsi="Times New Roman"/>
                <w:sz w:val="20"/>
                <w:szCs w:val="20"/>
              </w:rPr>
              <w:t>zapewnienie</w:t>
            </w:r>
            <w:r w:rsidR="005070DF" w:rsidRPr="00BA0183">
              <w:rPr>
                <w:rFonts w:ascii="Times New Roman" w:hAnsi="Times New Roman"/>
                <w:sz w:val="20"/>
                <w:szCs w:val="20"/>
              </w:rPr>
              <w:t xml:space="preserve"> pra</w:t>
            </w:r>
            <w:r w:rsidR="005070DF">
              <w:rPr>
                <w:rFonts w:ascii="Times New Roman" w:hAnsi="Times New Roman"/>
                <w:sz w:val="20"/>
                <w:szCs w:val="20"/>
              </w:rPr>
              <w:t>wa</w:t>
            </w:r>
            <w:r w:rsidRPr="00BA0183">
              <w:rPr>
                <w:rFonts w:ascii="Times New Roman" w:hAnsi="Times New Roman"/>
                <w:sz w:val="20"/>
                <w:szCs w:val="20"/>
              </w:rPr>
              <w:t xml:space="preserve"> do odmowy przekazania informacji i dokumentów</w:t>
            </w:r>
          </w:p>
          <w:p w14:paraId="61CD11C0" w14:textId="735C9F47" w:rsidR="00BB1233" w:rsidRDefault="00800C9D" w:rsidP="00BB1233">
            <w:pPr>
              <w:spacing w:after="120"/>
              <w:jc w:val="both"/>
              <w:rPr>
                <w:rFonts w:ascii="Times New Roman" w:hAnsi="Times New Roman"/>
                <w:sz w:val="20"/>
              </w:rPr>
            </w:pPr>
            <w:r w:rsidRPr="00B96B98">
              <w:rPr>
                <w:rFonts w:ascii="Times New Roman" w:hAnsi="Times New Roman"/>
                <w:sz w:val="20"/>
              </w:rPr>
              <w:t xml:space="preserve">- wyłączenie karalności przy stosowaniu art. 305 </w:t>
            </w:r>
            <w:r w:rsidR="00782DAA">
              <w:rPr>
                <w:rFonts w:ascii="Times New Roman" w:hAnsi="Times New Roman"/>
                <w:sz w:val="20"/>
              </w:rPr>
              <w:t xml:space="preserve"> KK </w:t>
            </w:r>
            <w:r w:rsidRPr="00B96B98">
              <w:rPr>
                <w:rFonts w:ascii="Times New Roman" w:hAnsi="Times New Roman"/>
                <w:sz w:val="20"/>
              </w:rPr>
              <w:t xml:space="preserve">dla skutecznych wnioskodawców </w:t>
            </w:r>
            <w:proofErr w:type="spellStart"/>
            <w:r w:rsidRPr="00B96B98">
              <w:rPr>
                <w:rFonts w:ascii="Times New Roman" w:hAnsi="Times New Roman"/>
                <w:i/>
                <w:sz w:val="20"/>
              </w:rPr>
              <w:t>lenienc</w:t>
            </w:r>
            <w:r w:rsidR="00B96B98" w:rsidRPr="00B96B98">
              <w:rPr>
                <w:rFonts w:ascii="Times New Roman" w:hAnsi="Times New Roman"/>
                <w:i/>
                <w:sz w:val="20"/>
              </w:rPr>
              <w:t>y</w:t>
            </w:r>
            <w:proofErr w:type="spellEnd"/>
          </w:p>
          <w:p w14:paraId="055DEFCD" w14:textId="11A86A32" w:rsidR="00800C9D" w:rsidRPr="000F1325" w:rsidRDefault="00B96B98" w:rsidP="00BB1233">
            <w:pPr>
              <w:spacing w:after="120"/>
              <w:jc w:val="both"/>
              <w:rPr>
                <w:rFonts w:ascii="Times New Roman" w:hAnsi="Times New Roman"/>
                <w:sz w:val="20"/>
              </w:rPr>
            </w:pPr>
            <w:r w:rsidRPr="00B96B98">
              <w:rPr>
                <w:rFonts w:ascii="Times New Roman" w:hAnsi="Times New Roman"/>
                <w:sz w:val="20"/>
              </w:rPr>
              <w:t xml:space="preserve">- </w:t>
            </w:r>
            <w:r w:rsidR="00800C9D" w:rsidRPr="00B96B98">
              <w:rPr>
                <w:rFonts w:ascii="Times New Roman" w:hAnsi="Times New Roman"/>
                <w:sz w:val="20"/>
              </w:rPr>
              <w:t>wyłącz</w:t>
            </w:r>
            <w:r w:rsidRPr="00B96B98">
              <w:rPr>
                <w:rFonts w:ascii="Times New Roman" w:hAnsi="Times New Roman"/>
                <w:sz w:val="20"/>
              </w:rPr>
              <w:t>enie</w:t>
            </w:r>
            <w:r w:rsidR="00800C9D" w:rsidRPr="00B96B98">
              <w:rPr>
                <w:rFonts w:ascii="Times New Roman" w:hAnsi="Times New Roman"/>
                <w:sz w:val="20"/>
              </w:rPr>
              <w:t xml:space="preserve"> karalnoś</w:t>
            </w:r>
            <w:r w:rsidRPr="00B96B98">
              <w:rPr>
                <w:rFonts w:ascii="Times New Roman" w:hAnsi="Times New Roman"/>
                <w:sz w:val="20"/>
              </w:rPr>
              <w:t>ci</w:t>
            </w:r>
            <w:r w:rsidR="00800C9D" w:rsidRPr="00B96B98">
              <w:rPr>
                <w:rFonts w:ascii="Times New Roman" w:hAnsi="Times New Roman"/>
                <w:sz w:val="20"/>
              </w:rPr>
              <w:t xml:space="preserve"> osoby fizycznej, która była sprawcą przestępstwa</w:t>
            </w:r>
            <w:r w:rsidRPr="00B96B98">
              <w:rPr>
                <w:rFonts w:ascii="Times New Roman" w:hAnsi="Times New Roman"/>
                <w:sz w:val="20"/>
              </w:rPr>
              <w:t xml:space="preserve"> </w:t>
            </w:r>
            <w:r w:rsidR="00782DAA">
              <w:rPr>
                <w:rFonts w:ascii="Times New Roman" w:hAnsi="Times New Roman"/>
                <w:sz w:val="20"/>
              </w:rPr>
              <w:br/>
            </w:r>
            <w:r w:rsidRPr="00B96B98">
              <w:rPr>
                <w:rFonts w:ascii="Times New Roman" w:hAnsi="Times New Roman"/>
                <w:sz w:val="20"/>
              </w:rPr>
              <w:t>z</w:t>
            </w:r>
            <w:r w:rsidR="00800C9D" w:rsidRPr="00B96B98">
              <w:rPr>
                <w:rFonts w:ascii="Times New Roman" w:hAnsi="Times New Roman"/>
                <w:sz w:val="20"/>
              </w:rPr>
              <w:t xml:space="preserve"> art. 305 </w:t>
            </w:r>
            <w:r w:rsidR="00782DAA">
              <w:rPr>
                <w:rFonts w:ascii="Times New Roman" w:hAnsi="Times New Roman"/>
                <w:sz w:val="20"/>
              </w:rPr>
              <w:t>KK</w:t>
            </w:r>
            <w:r w:rsidR="0044699C">
              <w:rPr>
                <w:rFonts w:ascii="Times New Roman" w:hAnsi="Times New Roman"/>
                <w:sz w:val="20"/>
              </w:rPr>
              <w:t xml:space="preserve"> </w:t>
            </w:r>
            <w:r w:rsidR="00800C9D" w:rsidRPr="00B96B98">
              <w:rPr>
                <w:rFonts w:ascii="Times New Roman" w:hAnsi="Times New Roman"/>
                <w:sz w:val="20"/>
              </w:rPr>
              <w:t>w przypadku</w:t>
            </w:r>
            <w:r w:rsidR="0044699C">
              <w:rPr>
                <w:rFonts w:ascii="Times New Roman" w:hAnsi="Times New Roman"/>
                <w:sz w:val="20"/>
              </w:rPr>
              <w:t>,</w:t>
            </w:r>
            <w:r w:rsidR="00800C9D" w:rsidRPr="00B96B98">
              <w:rPr>
                <w:rFonts w:ascii="Times New Roman" w:hAnsi="Times New Roman"/>
                <w:sz w:val="20"/>
              </w:rPr>
              <w:t xml:space="preserve"> gdy przedsiębiorca</w:t>
            </w:r>
            <w:r w:rsidR="0044699C">
              <w:rPr>
                <w:rFonts w:ascii="Times New Roman" w:hAnsi="Times New Roman"/>
                <w:sz w:val="20"/>
              </w:rPr>
              <w:t>,</w:t>
            </w:r>
            <w:r w:rsidR="00800C9D" w:rsidRPr="00B96B98">
              <w:rPr>
                <w:rFonts w:ascii="Times New Roman" w:hAnsi="Times New Roman"/>
                <w:sz w:val="20"/>
              </w:rPr>
              <w:t xml:space="preserve"> na rzecz którego ta osoba fizyczna działała, złożył wniosek </w:t>
            </w:r>
            <w:proofErr w:type="spellStart"/>
            <w:r w:rsidR="00800C9D" w:rsidRPr="00B96B98">
              <w:rPr>
                <w:rFonts w:ascii="Times New Roman" w:hAnsi="Times New Roman"/>
                <w:i/>
                <w:sz w:val="20"/>
              </w:rPr>
              <w:t>leniency</w:t>
            </w:r>
            <w:proofErr w:type="spellEnd"/>
            <w:r w:rsidR="00800C9D" w:rsidRPr="00B96B98">
              <w:rPr>
                <w:rFonts w:ascii="Times New Roman" w:hAnsi="Times New Roman"/>
                <w:sz w:val="20"/>
              </w:rPr>
              <w:t xml:space="preserve"> do Prezesa UOKiK</w:t>
            </w:r>
          </w:p>
        </w:tc>
      </w:tr>
      <w:tr w:rsidR="00003EC0" w:rsidRPr="00424472" w14:paraId="241596D5" w14:textId="77777777" w:rsidTr="0047223E">
        <w:trPr>
          <w:trHeight w:val="707"/>
          <w:jc w:val="center"/>
        </w:trPr>
        <w:tc>
          <w:tcPr>
            <w:tcW w:w="2298" w:type="dxa"/>
            <w:gridSpan w:val="3"/>
            <w:shd w:val="clear" w:color="auto" w:fill="auto"/>
            <w:vAlign w:val="center"/>
          </w:tcPr>
          <w:p w14:paraId="4A5AE0FD" w14:textId="77777777" w:rsidR="00003EC0" w:rsidRDefault="00003EC0" w:rsidP="00424472">
            <w:pPr>
              <w:rPr>
                <w:rFonts w:ascii="Times New Roman" w:hAnsi="Times New Roman"/>
                <w:spacing w:val="-2"/>
                <w:sz w:val="20"/>
                <w:szCs w:val="20"/>
              </w:rPr>
            </w:pPr>
            <w:r>
              <w:rPr>
                <w:rFonts w:ascii="Times New Roman" w:hAnsi="Times New Roman"/>
                <w:spacing w:val="-2"/>
                <w:sz w:val="20"/>
                <w:szCs w:val="20"/>
              </w:rPr>
              <w:t>Prezes Urzędu Komunikacji Elektronicznej</w:t>
            </w:r>
          </w:p>
        </w:tc>
        <w:tc>
          <w:tcPr>
            <w:tcW w:w="3260" w:type="dxa"/>
            <w:gridSpan w:val="10"/>
            <w:shd w:val="clear" w:color="auto" w:fill="auto"/>
            <w:vAlign w:val="center"/>
          </w:tcPr>
          <w:p w14:paraId="1B761B0F" w14:textId="52A2B30B" w:rsidR="00003EC0" w:rsidRPr="003F1EC2" w:rsidRDefault="00003EC0" w:rsidP="00424472">
            <w:pPr>
              <w:jc w:val="center"/>
              <w:rPr>
                <w:rFonts w:ascii="Times New Roman" w:hAnsi="Times New Roman"/>
                <w:spacing w:val="-2"/>
                <w:sz w:val="20"/>
                <w:szCs w:val="20"/>
              </w:rPr>
            </w:pPr>
            <w:r>
              <w:rPr>
                <w:rFonts w:ascii="Times New Roman" w:hAnsi="Times New Roman"/>
                <w:spacing w:val="-2"/>
                <w:sz w:val="20"/>
                <w:szCs w:val="20"/>
              </w:rPr>
              <w:t>1</w:t>
            </w:r>
          </w:p>
        </w:tc>
        <w:tc>
          <w:tcPr>
            <w:tcW w:w="1843" w:type="dxa"/>
            <w:gridSpan w:val="7"/>
            <w:shd w:val="clear" w:color="auto" w:fill="auto"/>
            <w:vAlign w:val="center"/>
          </w:tcPr>
          <w:p w14:paraId="1CF8DD6D" w14:textId="0ACBBA2D" w:rsidR="00003EC0" w:rsidRPr="003F1EC2" w:rsidRDefault="00A67EA8" w:rsidP="00424472">
            <w:pPr>
              <w:jc w:val="center"/>
              <w:rPr>
                <w:rFonts w:ascii="Times New Roman" w:hAnsi="Times New Roman"/>
                <w:spacing w:val="-2"/>
                <w:sz w:val="20"/>
                <w:szCs w:val="20"/>
              </w:rPr>
            </w:pPr>
            <w:r>
              <w:rPr>
                <w:rFonts w:ascii="Times New Roman" w:hAnsi="Times New Roman"/>
                <w:spacing w:val="-2"/>
                <w:sz w:val="20"/>
                <w:szCs w:val="20"/>
              </w:rPr>
              <w:t>-</w:t>
            </w:r>
          </w:p>
        </w:tc>
        <w:tc>
          <w:tcPr>
            <w:tcW w:w="3373" w:type="dxa"/>
            <w:gridSpan w:val="8"/>
            <w:vMerge w:val="restart"/>
            <w:tcBorders>
              <w:left w:val="single" w:sz="4" w:space="0" w:color="auto"/>
              <w:right w:val="single" w:sz="4" w:space="0" w:color="auto"/>
            </w:tcBorders>
            <w:shd w:val="clear" w:color="auto" w:fill="auto"/>
            <w:vAlign w:val="center"/>
          </w:tcPr>
          <w:p w14:paraId="1253634F" w14:textId="051ED486" w:rsidR="00003EC0" w:rsidRPr="00317F7A" w:rsidRDefault="00003EC0" w:rsidP="00CE3B03">
            <w:pPr>
              <w:spacing w:before="120" w:after="120"/>
              <w:jc w:val="both"/>
              <w:rPr>
                <w:rFonts w:ascii="Times New Roman" w:hAnsi="Times New Roman"/>
                <w:sz w:val="20"/>
                <w:szCs w:val="20"/>
              </w:rPr>
            </w:pPr>
            <w:r w:rsidRPr="00317F7A">
              <w:rPr>
                <w:rFonts w:ascii="Times New Roman" w:hAnsi="Times New Roman"/>
                <w:sz w:val="20"/>
                <w:szCs w:val="20"/>
              </w:rPr>
              <w:t>- udostępnianie przez Prezesa UOKiK wynik</w:t>
            </w:r>
            <w:r w:rsidR="00317F7A" w:rsidRPr="00317F7A">
              <w:rPr>
                <w:rFonts w:ascii="Times New Roman" w:hAnsi="Times New Roman"/>
                <w:sz w:val="20"/>
                <w:szCs w:val="20"/>
              </w:rPr>
              <w:t xml:space="preserve">ów </w:t>
            </w:r>
            <w:r w:rsidRPr="00317F7A">
              <w:rPr>
                <w:rFonts w:ascii="Times New Roman" w:hAnsi="Times New Roman"/>
                <w:sz w:val="20"/>
                <w:szCs w:val="20"/>
              </w:rPr>
              <w:t>badań i analiz rynkowych, niezbędn</w:t>
            </w:r>
            <w:r w:rsidR="00317F7A" w:rsidRPr="00317F7A">
              <w:rPr>
                <w:rFonts w:ascii="Times New Roman" w:hAnsi="Times New Roman"/>
                <w:sz w:val="20"/>
                <w:szCs w:val="20"/>
              </w:rPr>
              <w:t>ych</w:t>
            </w:r>
            <w:r w:rsidRPr="00317F7A">
              <w:rPr>
                <w:rFonts w:ascii="Times New Roman" w:hAnsi="Times New Roman"/>
                <w:sz w:val="20"/>
                <w:szCs w:val="20"/>
              </w:rPr>
              <w:t xml:space="preserve"> w postępowaniach </w:t>
            </w:r>
            <w:r w:rsidR="00317F7A" w:rsidRPr="00317F7A">
              <w:rPr>
                <w:rFonts w:ascii="Times New Roman" w:hAnsi="Times New Roman"/>
                <w:sz w:val="20"/>
                <w:szCs w:val="20"/>
              </w:rPr>
              <w:t>prowadzonych</w:t>
            </w:r>
            <w:r w:rsidR="00317F7A">
              <w:rPr>
                <w:rFonts w:ascii="Times New Roman" w:hAnsi="Times New Roman"/>
                <w:sz w:val="20"/>
                <w:szCs w:val="20"/>
              </w:rPr>
              <w:t xml:space="preserve"> przez Prezesa U</w:t>
            </w:r>
            <w:r w:rsidR="00A67EA8">
              <w:rPr>
                <w:rFonts w:ascii="Times New Roman" w:hAnsi="Times New Roman"/>
                <w:sz w:val="20"/>
                <w:szCs w:val="20"/>
              </w:rPr>
              <w:t xml:space="preserve">KE, URE </w:t>
            </w:r>
            <w:r w:rsidR="00A67EA8">
              <w:rPr>
                <w:rFonts w:ascii="Times New Roman" w:hAnsi="Times New Roman"/>
                <w:sz w:val="20"/>
                <w:szCs w:val="20"/>
              </w:rPr>
              <w:br/>
              <w:t>i KNF</w:t>
            </w:r>
          </w:p>
        </w:tc>
      </w:tr>
      <w:tr w:rsidR="00003EC0" w:rsidRPr="00424472" w14:paraId="61B5F368" w14:textId="77777777" w:rsidTr="0047223E">
        <w:trPr>
          <w:trHeight w:val="707"/>
          <w:jc w:val="center"/>
        </w:trPr>
        <w:tc>
          <w:tcPr>
            <w:tcW w:w="2298" w:type="dxa"/>
            <w:gridSpan w:val="3"/>
            <w:shd w:val="clear" w:color="auto" w:fill="auto"/>
            <w:vAlign w:val="center"/>
          </w:tcPr>
          <w:p w14:paraId="6B4827A4" w14:textId="77777777" w:rsidR="00003EC0" w:rsidRPr="00B00A05" w:rsidRDefault="00003EC0" w:rsidP="00424472">
            <w:pPr>
              <w:rPr>
                <w:rFonts w:ascii="Times New Roman" w:hAnsi="Times New Roman"/>
                <w:spacing w:val="-2"/>
                <w:sz w:val="20"/>
                <w:szCs w:val="20"/>
              </w:rPr>
            </w:pPr>
            <w:r>
              <w:rPr>
                <w:rFonts w:ascii="Times New Roman" w:hAnsi="Times New Roman"/>
                <w:spacing w:val="-2"/>
                <w:sz w:val="20"/>
                <w:szCs w:val="20"/>
              </w:rPr>
              <w:t xml:space="preserve">Prezes Urzędu Regulacji Energetyki </w:t>
            </w:r>
          </w:p>
        </w:tc>
        <w:tc>
          <w:tcPr>
            <w:tcW w:w="3260" w:type="dxa"/>
            <w:gridSpan w:val="10"/>
            <w:shd w:val="clear" w:color="auto" w:fill="auto"/>
            <w:vAlign w:val="center"/>
          </w:tcPr>
          <w:p w14:paraId="4A25BC9B" w14:textId="46BB9393" w:rsidR="00003EC0" w:rsidRPr="003F1EC2" w:rsidRDefault="00003EC0" w:rsidP="00424472">
            <w:pPr>
              <w:jc w:val="center"/>
              <w:rPr>
                <w:rFonts w:ascii="Times New Roman" w:hAnsi="Times New Roman"/>
                <w:spacing w:val="-2"/>
                <w:sz w:val="20"/>
                <w:szCs w:val="20"/>
              </w:rPr>
            </w:pPr>
            <w:r>
              <w:rPr>
                <w:rFonts w:ascii="Times New Roman" w:hAnsi="Times New Roman"/>
                <w:spacing w:val="-2"/>
                <w:sz w:val="20"/>
                <w:szCs w:val="20"/>
              </w:rPr>
              <w:t>1</w:t>
            </w:r>
          </w:p>
        </w:tc>
        <w:tc>
          <w:tcPr>
            <w:tcW w:w="1843" w:type="dxa"/>
            <w:gridSpan w:val="7"/>
            <w:shd w:val="clear" w:color="auto" w:fill="auto"/>
            <w:vAlign w:val="center"/>
          </w:tcPr>
          <w:p w14:paraId="24C1743B" w14:textId="44B20B3E" w:rsidR="00003EC0" w:rsidRPr="003F1EC2" w:rsidRDefault="00A67EA8" w:rsidP="00424472">
            <w:pPr>
              <w:jc w:val="center"/>
              <w:rPr>
                <w:rFonts w:ascii="Times New Roman" w:hAnsi="Times New Roman"/>
                <w:spacing w:val="-2"/>
                <w:sz w:val="20"/>
                <w:szCs w:val="20"/>
              </w:rPr>
            </w:pPr>
            <w:r>
              <w:rPr>
                <w:rFonts w:ascii="Times New Roman" w:hAnsi="Times New Roman"/>
                <w:spacing w:val="-2"/>
                <w:sz w:val="20"/>
                <w:szCs w:val="20"/>
              </w:rPr>
              <w:t>-</w:t>
            </w:r>
          </w:p>
        </w:tc>
        <w:tc>
          <w:tcPr>
            <w:tcW w:w="3373" w:type="dxa"/>
            <w:gridSpan w:val="8"/>
            <w:vMerge/>
            <w:tcBorders>
              <w:left w:val="single" w:sz="4" w:space="0" w:color="auto"/>
              <w:right w:val="single" w:sz="4" w:space="0" w:color="auto"/>
            </w:tcBorders>
            <w:shd w:val="clear" w:color="auto" w:fill="auto"/>
            <w:vAlign w:val="center"/>
          </w:tcPr>
          <w:p w14:paraId="2C94C0D2" w14:textId="77777777" w:rsidR="00003EC0" w:rsidRPr="003F1EC2" w:rsidRDefault="00003EC0" w:rsidP="00CE3B03">
            <w:pPr>
              <w:spacing w:before="120" w:after="120"/>
              <w:jc w:val="both"/>
              <w:rPr>
                <w:rFonts w:ascii="Times New Roman" w:hAnsi="Times New Roman"/>
                <w:sz w:val="20"/>
                <w:szCs w:val="20"/>
              </w:rPr>
            </w:pPr>
          </w:p>
        </w:tc>
      </w:tr>
      <w:tr w:rsidR="00003EC0" w:rsidRPr="00424472" w14:paraId="47E1D1EA" w14:textId="77777777" w:rsidTr="00461AD7">
        <w:trPr>
          <w:trHeight w:val="707"/>
          <w:jc w:val="center"/>
        </w:trPr>
        <w:tc>
          <w:tcPr>
            <w:tcW w:w="2298" w:type="dxa"/>
            <w:gridSpan w:val="3"/>
            <w:shd w:val="clear" w:color="auto" w:fill="auto"/>
            <w:vAlign w:val="center"/>
          </w:tcPr>
          <w:p w14:paraId="1C47C2B0" w14:textId="77777777" w:rsidR="00003EC0" w:rsidRPr="00B00A05" w:rsidRDefault="00003EC0" w:rsidP="00424472">
            <w:pPr>
              <w:rPr>
                <w:rFonts w:ascii="Times New Roman" w:hAnsi="Times New Roman"/>
                <w:spacing w:val="-2"/>
                <w:sz w:val="20"/>
                <w:szCs w:val="20"/>
              </w:rPr>
            </w:pPr>
            <w:r>
              <w:rPr>
                <w:rFonts w:ascii="Times New Roman" w:hAnsi="Times New Roman"/>
                <w:spacing w:val="-2"/>
                <w:sz w:val="20"/>
                <w:szCs w:val="20"/>
              </w:rPr>
              <w:t>Przewodniczący Komisji Nadzoru Finansowego</w:t>
            </w:r>
          </w:p>
        </w:tc>
        <w:tc>
          <w:tcPr>
            <w:tcW w:w="3260" w:type="dxa"/>
            <w:gridSpan w:val="10"/>
            <w:shd w:val="clear" w:color="auto" w:fill="auto"/>
            <w:vAlign w:val="center"/>
          </w:tcPr>
          <w:p w14:paraId="08048E9E" w14:textId="25193B6E" w:rsidR="00003EC0" w:rsidRPr="003F1EC2" w:rsidRDefault="00003EC0" w:rsidP="00424472">
            <w:pPr>
              <w:jc w:val="center"/>
              <w:rPr>
                <w:rFonts w:ascii="Times New Roman" w:hAnsi="Times New Roman"/>
                <w:spacing w:val="-2"/>
                <w:sz w:val="20"/>
                <w:szCs w:val="20"/>
              </w:rPr>
            </w:pPr>
            <w:r>
              <w:rPr>
                <w:rFonts w:ascii="Times New Roman" w:hAnsi="Times New Roman"/>
                <w:spacing w:val="-2"/>
                <w:sz w:val="20"/>
                <w:szCs w:val="20"/>
              </w:rPr>
              <w:t>1</w:t>
            </w:r>
          </w:p>
        </w:tc>
        <w:tc>
          <w:tcPr>
            <w:tcW w:w="1843" w:type="dxa"/>
            <w:gridSpan w:val="7"/>
            <w:shd w:val="clear" w:color="auto" w:fill="auto"/>
            <w:vAlign w:val="center"/>
          </w:tcPr>
          <w:p w14:paraId="31DFEB1D" w14:textId="7D661A84" w:rsidR="00003EC0" w:rsidRPr="003F1EC2" w:rsidRDefault="00A67EA8" w:rsidP="00424472">
            <w:pPr>
              <w:jc w:val="center"/>
              <w:rPr>
                <w:rFonts w:ascii="Times New Roman" w:hAnsi="Times New Roman"/>
                <w:spacing w:val="-2"/>
                <w:sz w:val="20"/>
                <w:szCs w:val="20"/>
              </w:rPr>
            </w:pPr>
            <w:r>
              <w:rPr>
                <w:rFonts w:ascii="Times New Roman" w:hAnsi="Times New Roman"/>
                <w:spacing w:val="-2"/>
                <w:sz w:val="20"/>
                <w:szCs w:val="20"/>
              </w:rPr>
              <w:t>-</w:t>
            </w:r>
          </w:p>
        </w:tc>
        <w:tc>
          <w:tcPr>
            <w:tcW w:w="3373" w:type="dxa"/>
            <w:gridSpan w:val="8"/>
            <w:vMerge/>
            <w:tcBorders>
              <w:left w:val="single" w:sz="4" w:space="0" w:color="auto"/>
              <w:bottom w:val="single" w:sz="4" w:space="0" w:color="auto"/>
              <w:right w:val="single" w:sz="4" w:space="0" w:color="auto"/>
            </w:tcBorders>
            <w:shd w:val="clear" w:color="auto" w:fill="auto"/>
            <w:vAlign w:val="center"/>
          </w:tcPr>
          <w:p w14:paraId="764B7559" w14:textId="77777777" w:rsidR="00003EC0" w:rsidRPr="003F1EC2" w:rsidRDefault="00003EC0" w:rsidP="005B0217">
            <w:pPr>
              <w:spacing w:before="120" w:after="120"/>
              <w:jc w:val="both"/>
              <w:rPr>
                <w:rFonts w:ascii="Times New Roman" w:hAnsi="Times New Roman"/>
                <w:sz w:val="20"/>
                <w:szCs w:val="20"/>
              </w:rPr>
            </w:pPr>
          </w:p>
        </w:tc>
      </w:tr>
      <w:tr w:rsidR="007242A4" w:rsidRPr="00424472" w14:paraId="55E180DA" w14:textId="77777777" w:rsidTr="00461AD7">
        <w:trPr>
          <w:trHeight w:val="707"/>
          <w:jc w:val="center"/>
        </w:trPr>
        <w:tc>
          <w:tcPr>
            <w:tcW w:w="2298" w:type="dxa"/>
            <w:gridSpan w:val="3"/>
            <w:shd w:val="clear" w:color="auto" w:fill="auto"/>
            <w:vAlign w:val="center"/>
          </w:tcPr>
          <w:p w14:paraId="3D3EDE24" w14:textId="77777777" w:rsidR="007242A4" w:rsidRPr="00B00A05" w:rsidRDefault="004F0D97" w:rsidP="00424472">
            <w:pPr>
              <w:rPr>
                <w:rFonts w:ascii="Times New Roman" w:hAnsi="Times New Roman"/>
                <w:spacing w:val="-2"/>
                <w:sz w:val="20"/>
                <w:szCs w:val="20"/>
              </w:rPr>
            </w:pPr>
            <w:r>
              <w:rPr>
                <w:rFonts w:ascii="Times New Roman" w:hAnsi="Times New Roman"/>
                <w:spacing w:val="-2"/>
                <w:sz w:val="20"/>
                <w:szCs w:val="20"/>
              </w:rPr>
              <w:t>Policja</w:t>
            </w:r>
          </w:p>
        </w:tc>
        <w:tc>
          <w:tcPr>
            <w:tcW w:w="3260" w:type="dxa"/>
            <w:gridSpan w:val="10"/>
            <w:shd w:val="clear" w:color="auto" w:fill="auto"/>
            <w:vAlign w:val="center"/>
          </w:tcPr>
          <w:p w14:paraId="2FDCE6A4" w14:textId="12102ACC" w:rsidR="007242A4" w:rsidRPr="003F1EC2" w:rsidRDefault="00A67EA8" w:rsidP="00424472">
            <w:pPr>
              <w:jc w:val="center"/>
              <w:rPr>
                <w:rFonts w:ascii="Times New Roman" w:hAnsi="Times New Roman"/>
                <w:spacing w:val="-2"/>
                <w:sz w:val="20"/>
                <w:szCs w:val="20"/>
              </w:rPr>
            </w:pPr>
            <w:r>
              <w:rPr>
                <w:rFonts w:ascii="Times New Roman" w:hAnsi="Times New Roman"/>
                <w:spacing w:val="-2"/>
                <w:sz w:val="20"/>
                <w:szCs w:val="20"/>
              </w:rPr>
              <w:t>-</w:t>
            </w:r>
          </w:p>
        </w:tc>
        <w:tc>
          <w:tcPr>
            <w:tcW w:w="1843" w:type="dxa"/>
            <w:gridSpan w:val="7"/>
            <w:shd w:val="clear" w:color="auto" w:fill="auto"/>
            <w:vAlign w:val="center"/>
          </w:tcPr>
          <w:p w14:paraId="4888FA11" w14:textId="511447B7" w:rsidR="007242A4" w:rsidRDefault="00A67EA8" w:rsidP="00424472">
            <w:pPr>
              <w:jc w:val="center"/>
              <w:rPr>
                <w:rFonts w:ascii="Times New Roman" w:hAnsi="Times New Roman"/>
                <w:spacing w:val="-2"/>
                <w:sz w:val="20"/>
                <w:szCs w:val="20"/>
              </w:rPr>
            </w:pPr>
            <w:r>
              <w:rPr>
                <w:rFonts w:ascii="Times New Roman" w:hAnsi="Times New Roman"/>
                <w:spacing w:val="-2"/>
                <w:sz w:val="20"/>
                <w:szCs w:val="20"/>
              </w:rPr>
              <w:t>-</w:t>
            </w:r>
          </w:p>
        </w:tc>
        <w:tc>
          <w:tcPr>
            <w:tcW w:w="3373" w:type="dxa"/>
            <w:gridSpan w:val="8"/>
            <w:tcBorders>
              <w:left w:val="single" w:sz="4" w:space="0" w:color="auto"/>
              <w:bottom w:val="single" w:sz="4" w:space="0" w:color="auto"/>
              <w:right w:val="single" w:sz="4" w:space="0" w:color="auto"/>
            </w:tcBorders>
            <w:shd w:val="clear" w:color="auto" w:fill="auto"/>
            <w:vAlign w:val="center"/>
          </w:tcPr>
          <w:p w14:paraId="47DF187C" w14:textId="77777777" w:rsidR="007242A4" w:rsidRDefault="00DA0586" w:rsidP="005B0217">
            <w:pPr>
              <w:spacing w:before="120" w:after="120"/>
              <w:jc w:val="both"/>
              <w:rPr>
                <w:rFonts w:ascii="Times New Roman" w:hAnsi="Times New Roman"/>
                <w:sz w:val="20"/>
                <w:szCs w:val="20"/>
              </w:rPr>
            </w:pPr>
            <w:r>
              <w:rPr>
                <w:rFonts w:ascii="Times New Roman" w:hAnsi="Times New Roman"/>
                <w:sz w:val="20"/>
                <w:szCs w:val="20"/>
              </w:rPr>
              <w:t xml:space="preserve">- dokonywanie </w:t>
            </w:r>
            <w:r w:rsidRPr="00D927CF">
              <w:rPr>
                <w:rFonts w:ascii="Times New Roman" w:hAnsi="Times New Roman"/>
                <w:sz w:val="20"/>
                <w:szCs w:val="20"/>
              </w:rPr>
              <w:t>przeszukań w lokalu mieszkalnym, innym pomieszczeniu, nieruchomości lub środku transportu, wspólnie przez funkcjonariuszy Policji i pracowników Urzędu</w:t>
            </w:r>
          </w:p>
          <w:p w14:paraId="49EE4BDF" w14:textId="617119BB" w:rsidR="00DA0586" w:rsidRDefault="00DA0586" w:rsidP="005B0217">
            <w:pPr>
              <w:spacing w:before="120" w:after="120"/>
              <w:jc w:val="both"/>
              <w:rPr>
                <w:rFonts w:ascii="Times New Roman" w:hAnsi="Times New Roman"/>
                <w:sz w:val="20"/>
                <w:szCs w:val="20"/>
              </w:rPr>
            </w:pPr>
            <w:r>
              <w:rPr>
                <w:rFonts w:ascii="Times New Roman" w:hAnsi="Times New Roman"/>
                <w:sz w:val="20"/>
                <w:szCs w:val="20"/>
              </w:rPr>
              <w:lastRenderedPageBreak/>
              <w:t>- doprecyzowanie zasad zwracania się Prezesa UOKiK o pomoc policji</w:t>
            </w:r>
            <w:r w:rsidR="007B7F97">
              <w:rPr>
                <w:rFonts w:ascii="Times New Roman" w:hAnsi="Times New Roman"/>
                <w:sz w:val="20"/>
                <w:szCs w:val="20"/>
              </w:rPr>
              <w:t xml:space="preserve"> w toku kontroli i przeszukania</w:t>
            </w:r>
          </w:p>
        </w:tc>
      </w:tr>
      <w:tr w:rsidR="004F0D97" w:rsidRPr="00424472" w14:paraId="2428A992" w14:textId="77777777" w:rsidTr="00461AD7">
        <w:trPr>
          <w:trHeight w:val="707"/>
          <w:jc w:val="center"/>
        </w:trPr>
        <w:tc>
          <w:tcPr>
            <w:tcW w:w="2298" w:type="dxa"/>
            <w:gridSpan w:val="3"/>
            <w:shd w:val="clear" w:color="auto" w:fill="auto"/>
            <w:vAlign w:val="center"/>
          </w:tcPr>
          <w:p w14:paraId="4719190A" w14:textId="77777777" w:rsidR="0020594F" w:rsidRDefault="0020594F" w:rsidP="00424472">
            <w:pPr>
              <w:rPr>
                <w:rFonts w:ascii="Times New Roman" w:hAnsi="Times New Roman"/>
                <w:spacing w:val="-2"/>
                <w:sz w:val="20"/>
                <w:szCs w:val="20"/>
              </w:rPr>
            </w:pPr>
            <w:r>
              <w:rPr>
                <w:rFonts w:ascii="Times New Roman" w:hAnsi="Times New Roman"/>
                <w:spacing w:val="-2"/>
                <w:sz w:val="20"/>
                <w:szCs w:val="20"/>
              </w:rPr>
              <w:lastRenderedPageBreak/>
              <w:t>Organy kontroli państwowej</w:t>
            </w:r>
          </w:p>
        </w:tc>
        <w:tc>
          <w:tcPr>
            <w:tcW w:w="3260" w:type="dxa"/>
            <w:gridSpan w:val="10"/>
            <w:shd w:val="clear" w:color="auto" w:fill="auto"/>
            <w:vAlign w:val="center"/>
          </w:tcPr>
          <w:p w14:paraId="28E2796A" w14:textId="2AA58C8A" w:rsidR="004F0D97" w:rsidRPr="003F1EC2" w:rsidRDefault="000579AF" w:rsidP="00424472">
            <w:pPr>
              <w:jc w:val="center"/>
              <w:rPr>
                <w:rFonts w:ascii="Times New Roman" w:hAnsi="Times New Roman"/>
                <w:spacing w:val="-2"/>
                <w:sz w:val="20"/>
                <w:szCs w:val="20"/>
              </w:rPr>
            </w:pPr>
            <w:r>
              <w:rPr>
                <w:rFonts w:ascii="Times New Roman" w:hAnsi="Times New Roman"/>
                <w:spacing w:val="-2"/>
                <w:sz w:val="20"/>
                <w:szCs w:val="20"/>
              </w:rPr>
              <w:t>-</w:t>
            </w:r>
          </w:p>
        </w:tc>
        <w:tc>
          <w:tcPr>
            <w:tcW w:w="1843" w:type="dxa"/>
            <w:gridSpan w:val="7"/>
            <w:shd w:val="clear" w:color="auto" w:fill="auto"/>
            <w:vAlign w:val="center"/>
          </w:tcPr>
          <w:p w14:paraId="135896C0" w14:textId="38EC3EA9" w:rsidR="004F0D97" w:rsidRDefault="008817A0" w:rsidP="00424472">
            <w:pPr>
              <w:jc w:val="center"/>
              <w:rPr>
                <w:rFonts w:ascii="Times New Roman" w:hAnsi="Times New Roman"/>
                <w:spacing w:val="-2"/>
                <w:sz w:val="20"/>
                <w:szCs w:val="20"/>
              </w:rPr>
            </w:pPr>
            <w:r>
              <w:rPr>
                <w:rFonts w:ascii="Times New Roman" w:hAnsi="Times New Roman"/>
                <w:spacing w:val="-2"/>
                <w:sz w:val="20"/>
                <w:szCs w:val="20"/>
              </w:rPr>
              <w:t>-</w:t>
            </w:r>
          </w:p>
        </w:tc>
        <w:tc>
          <w:tcPr>
            <w:tcW w:w="3373" w:type="dxa"/>
            <w:gridSpan w:val="8"/>
            <w:tcBorders>
              <w:left w:val="single" w:sz="4" w:space="0" w:color="auto"/>
              <w:bottom w:val="single" w:sz="4" w:space="0" w:color="auto"/>
              <w:right w:val="single" w:sz="4" w:space="0" w:color="auto"/>
            </w:tcBorders>
            <w:shd w:val="clear" w:color="auto" w:fill="auto"/>
            <w:vAlign w:val="center"/>
          </w:tcPr>
          <w:p w14:paraId="489C02EA" w14:textId="45070233" w:rsidR="004F0D97" w:rsidRDefault="008817A0" w:rsidP="008817A0">
            <w:pPr>
              <w:spacing w:before="120" w:after="120"/>
              <w:rPr>
                <w:rFonts w:ascii="Times New Roman" w:hAnsi="Times New Roman"/>
                <w:sz w:val="20"/>
                <w:szCs w:val="20"/>
              </w:rPr>
            </w:pPr>
            <w:r>
              <w:rPr>
                <w:rFonts w:ascii="Times New Roman" w:hAnsi="Times New Roman"/>
                <w:sz w:val="20"/>
                <w:szCs w:val="20"/>
              </w:rPr>
              <w:t xml:space="preserve">- możliwość zwrócenia się przez Prezesa UOKiK </w:t>
            </w:r>
            <w:r w:rsidRPr="008817A0">
              <w:rPr>
                <w:rFonts w:ascii="Times New Roman" w:hAnsi="Times New Roman"/>
                <w:sz w:val="20"/>
                <w:szCs w:val="20"/>
              </w:rPr>
              <w:t xml:space="preserve">o udzielenie pomocy </w:t>
            </w:r>
            <w:r>
              <w:rPr>
                <w:rFonts w:ascii="Times New Roman" w:hAnsi="Times New Roman"/>
                <w:sz w:val="20"/>
                <w:szCs w:val="20"/>
              </w:rPr>
              <w:br/>
            </w:r>
            <w:r w:rsidRPr="008817A0">
              <w:rPr>
                <w:rFonts w:ascii="Times New Roman" w:hAnsi="Times New Roman"/>
                <w:sz w:val="20"/>
                <w:szCs w:val="20"/>
              </w:rPr>
              <w:t>w kontroli</w:t>
            </w:r>
          </w:p>
        </w:tc>
      </w:tr>
      <w:tr w:rsidR="008530BD" w:rsidRPr="00424472" w14:paraId="57D0279E" w14:textId="77777777" w:rsidTr="00461AD7">
        <w:trPr>
          <w:trHeight w:val="707"/>
          <w:jc w:val="center"/>
        </w:trPr>
        <w:tc>
          <w:tcPr>
            <w:tcW w:w="2298" w:type="dxa"/>
            <w:gridSpan w:val="3"/>
            <w:shd w:val="clear" w:color="auto" w:fill="auto"/>
            <w:vAlign w:val="center"/>
          </w:tcPr>
          <w:p w14:paraId="7413B105" w14:textId="24F017C8" w:rsidR="008530BD" w:rsidRDefault="008530BD" w:rsidP="00424472">
            <w:pPr>
              <w:rPr>
                <w:rFonts w:ascii="Times New Roman" w:hAnsi="Times New Roman"/>
                <w:spacing w:val="-2"/>
                <w:sz w:val="20"/>
                <w:szCs w:val="20"/>
              </w:rPr>
            </w:pPr>
            <w:r>
              <w:rPr>
                <w:rFonts w:ascii="Times New Roman" w:hAnsi="Times New Roman"/>
                <w:spacing w:val="-2"/>
                <w:sz w:val="20"/>
                <w:szCs w:val="20"/>
              </w:rPr>
              <w:t>A</w:t>
            </w:r>
            <w:r w:rsidRPr="008530BD">
              <w:rPr>
                <w:rFonts w:ascii="Times New Roman" w:hAnsi="Times New Roman"/>
                <w:spacing w:val="-2"/>
                <w:sz w:val="20"/>
                <w:szCs w:val="20"/>
              </w:rPr>
              <w:t>dwoka</w:t>
            </w:r>
            <w:r>
              <w:rPr>
                <w:rFonts w:ascii="Times New Roman" w:hAnsi="Times New Roman"/>
                <w:spacing w:val="-2"/>
                <w:sz w:val="20"/>
                <w:szCs w:val="20"/>
              </w:rPr>
              <w:t>ci</w:t>
            </w:r>
            <w:r w:rsidRPr="008530BD">
              <w:rPr>
                <w:rFonts w:ascii="Times New Roman" w:hAnsi="Times New Roman"/>
                <w:spacing w:val="-2"/>
                <w:sz w:val="20"/>
                <w:szCs w:val="20"/>
              </w:rPr>
              <w:t>, radc</w:t>
            </w:r>
            <w:r w:rsidR="00655A20">
              <w:rPr>
                <w:rFonts w:ascii="Times New Roman" w:hAnsi="Times New Roman"/>
                <w:spacing w:val="-2"/>
                <w:sz w:val="20"/>
                <w:szCs w:val="20"/>
              </w:rPr>
              <w:t>owie</w:t>
            </w:r>
            <w:r w:rsidRPr="008530BD">
              <w:rPr>
                <w:rFonts w:ascii="Times New Roman" w:hAnsi="Times New Roman"/>
                <w:spacing w:val="-2"/>
                <w:sz w:val="20"/>
                <w:szCs w:val="20"/>
              </w:rPr>
              <w:t xml:space="preserve"> prawn</w:t>
            </w:r>
            <w:r w:rsidR="00655A20">
              <w:rPr>
                <w:rFonts w:ascii="Times New Roman" w:hAnsi="Times New Roman"/>
                <w:spacing w:val="-2"/>
                <w:sz w:val="20"/>
                <w:szCs w:val="20"/>
              </w:rPr>
              <w:t>i,</w:t>
            </w:r>
            <w:r w:rsidRPr="008530BD">
              <w:rPr>
                <w:rFonts w:ascii="Times New Roman" w:hAnsi="Times New Roman"/>
                <w:spacing w:val="-2"/>
                <w:sz w:val="20"/>
                <w:szCs w:val="20"/>
              </w:rPr>
              <w:t xml:space="preserve"> prawni</w:t>
            </w:r>
            <w:r w:rsidR="00655A20">
              <w:rPr>
                <w:rFonts w:ascii="Times New Roman" w:hAnsi="Times New Roman"/>
                <w:spacing w:val="-2"/>
                <w:sz w:val="20"/>
                <w:szCs w:val="20"/>
              </w:rPr>
              <w:t>cy</w:t>
            </w:r>
            <w:r w:rsidRPr="008530BD">
              <w:rPr>
                <w:rFonts w:ascii="Times New Roman" w:hAnsi="Times New Roman"/>
                <w:spacing w:val="-2"/>
                <w:sz w:val="20"/>
                <w:szCs w:val="20"/>
              </w:rPr>
              <w:t xml:space="preserve"> </w:t>
            </w:r>
            <w:r w:rsidRPr="008530BD">
              <w:rPr>
                <w:rFonts w:ascii="Times New Roman" w:hAnsi="Times New Roman"/>
                <w:spacing w:val="-2"/>
                <w:sz w:val="20"/>
                <w:szCs w:val="20"/>
              </w:rPr>
              <w:br/>
              <w:t xml:space="preserve">z Unii Europejskiej w rozumieniu ustawy </w:t>
            </w:r>
            <w:r w:rsidRPr="008530BD">
              <w:rPr>
                <w:rFonts w:ascii="Times New Roman" w:hAnsi="Times New Roman"/>
                <w:i/>
                <w:spacing w:val="-2"/>
                <w:sz w:val="20"/>
                <w:szCs w:val="20"/>
              </w:rPr>
              <w:t>o świadczeniu przez prawników zagranicznych pomocy prawnej w Rzeczypospolitej Polskiej</w:t>
            </w:r>
          </w:p>
        </w:tc>
        <w:tc>
          <w:tcPr>
            <w:tcW w:w="3260" w:type="dxa"/>
            <w:gridSpan w:val="10"/>
            <w:shd w:val="clear" w:color="auto" w:fill="auto"/>
            <w:vAlign w:val="center"/>
          </w:tcPr>
          <w:p w14:paraId="327AF2CC" w14:textId="77777777" w:rsidR="008530BD" w:rsidRDefault="008530BD" w:rsidP="00424472">
            <w:pPr>
              <w:jc w:val="center"/>
              <w:rPr>
                <w:rFonts w:ascii="Times New Roman" w:hAnsi="Times New Roman"/>
                <w:spacing w:val="-2"/>
                <w:sz w:val="20"/>
                <w:szCs w:val="20"/>
              </w:rPr>
            </w:pPr>
          </w:p>
        </w:tc>
        <w:tc>
          <w:tcPr>
            <w:tcW w:w="1843" w:type="dxa"/>
            <w:gridSpan w:val="7"/>
            <w:shd w:val="clear" w:color="auto" w:fill="auto"/>
            <w:vAlign w:val="center"/>
          </w:tcPr>
          <w:p w14:paraId="31C137D4" w14:textId="77777777" w:rsidR="008530BD" w:rsidRDefault="008530BD" w:rsidP="00424472">
            <w:pPr>
              <w:jc w:val="center"/>
              <w:rPr>
                <w:rFonts w:ascii="Times New Roman" w:hAnsi="Times New Roman"/>
                <w:spacing w:val="-2"/>
                <w:sz w:val="20"/>
                <w:szCs w:val="20"/>
              </w:rPr>
            </w:pPr>
          </w:p>
        </w:tc>
        <w:tc>
          <w:tcPr>
            <w:tcW w:w="3373" w:type="dxa"/>
            <w:gridSpan w:val="8"/>
            <w:tcBorders>
              <w:left w:val="single" w:sz="4" w:space="0" w:color="auto"/>
              <w:bottom w:val="single" w:sz="4" w:space="0" w:color="auto"/>
              <w:right w:val="single" w:sz="4" w:space="0" w:color="auto"/>
            </w:tcBorders>
            <w:shd w:val="clear" w:color="auto" w:fill="auto"/>
            <w:vAlign w:val="center"/>
          </w:tcPr>
          <w:p w14:paraId="5C8790F0" w14:textId="1C221437" w:rsidR="008530BD" w:rsidRDefault="00861D1E" w:rsidP="005B0217">
            <w:pPr>
              <w:spacing w:before="120" w:after="120"/>
              <w:jc w:val="both"/>
              <w:rPr>
                <w:rFonts w:ascii="Times New Roman" w:hAnsi="Times New Roman"/>
                <w:sz w:val="20"/>
                <w:szCs w:val="20"/>
              </w:rPr>
            </w:pPr>
            <w:r>
              <w:rPr>
                <w:rFonts w:ascii="Times New Roman" w:hAnsi="Times New Roman"/>
                <w:sz w:val="20"/>
                <w:szCs w:val="20"/>
              </w:rPr>
              <w:t xml:space="preserve">- </w:t>
            </w:r>
            <w:r w:rsidRPr="00212D29">
              <w:rPr>
                <w:rFonts w:ascii="Times New Roman" w:hAnsi="Times New Roman"/>
                <w:sz w:val="20"/>
                <w:szCs w:val="20"/>
              </w:rPr>
              <w:t>pozostaw</w:t>
            </w:r>
            <w:r>
              <w:rPr>
                <w:rFonts w:ascii="Times New Roman" w:hAnsi="Times New Roman"/>
                <w:sz w:val="20"/>
                <w:szCs w:val="20"/>
              </w:rPr>
              <w:t>ienie</w:t>
            </w:r>
            <w:r w:rsidRPr="00212D29">
              <w:rPr>
                <w:rFonts w:ascii="Times New Roman" w:hAnsi="Times New Roman"/>
                <w:sz w:val="20"/>
                <w:szCs w:val="20"/>
              </w:rPr>
              <w:t xml:space="preserve"> pism lub dokument</w:t>
            </w:r>
            <w:r>
              <w:rPr>
                <w:rFonts w:ascii="Times New Roman" w:hAnsi="Times New Roman"/>
                <w:sz w:val="20"/>
                <w:szCs w:val="20"/>
              </w:rPr>
              <w:t>ów,</w:t>
            </w:r>
            <w:r w:rsidRPr="00212D29">
              <w:rPr>
                <w:rFonts w:ascii="Times New Roman" w:hAnsi="Times New Roman"/>
                <w:sz w:val="20"/>
                <w:szCs w:val="20"/>
              </w:rPr>
              <w:t xml:space="preserve"> znalezion</w:t>
            </w:r>
            <w:r>
              <w:rPr>
                <w:rFonts w:ascii="Times New Roman" w:hAnsi="Times New Roman"/>
                <w:sz w:val="20"/>
                <w:szCs w:val="20"/>
              </w:rPr>
              <w:t>ych</w:t>
            </w:r>
            <w:r w:rsidRPr="00212D29">
              <w:rPr>
                <w:rFonts w:ascii="Times New Roman" w:hAnsi="Times New Roman"/>
                <w:sz w:val="20"/>
                <w:szCs w:val="20"/>
              </w:rPr>
              <w:t xml:space="preserve"> w toku przeszukania</w:t>
            </w:r>
            <w:r>
              <w:rPr>
                <w:rFonts w:ascii="Times New Roman" w:hAnsi="Times New Roman"/>
                <w:sz w:val="20"/>
                <w:szCs w:val="20"/>
              </w:rPr>
              <w:t>,</w:t>
            </w:r>
            <w:r w:rsidRPr="00212D29">
              <w:rPr>
                <w:rFonts w:ascii="Times New Roman" w:hAnsi="Times New Roman"/>
                <w:sz w:val="20"/>
                <w:szCs w:val="20"/>
              </w:rPr>
              <w:t xml:space="preserve"> na miejscu przeszukania,</w:t>
            </w:r>
            <w:r>
              <w:rPr>
                <w:rFonts w:ascii="Times New Roman" w:hAnsi="Times New Roman"/>
                <w:sz w:val="20"/>
                <w:szCs w:val="20"/>
              </w:rPr>
              <w:t xml:space="preserve"> w sytuacji gdy </w:t>
            </w:r>
            <w:r w:rsidRPr="00212D29">
              <w:rPr>
                <w:rFonts w:ascii="Times New Roman" w:hAnsi="Times New Roman"/>
                <w:sz w:val="20"/>
                <w:szCs w:val="20"/>
              </w:rPr>
              <w:t>zawierają pisemną komunikację między przeszukiwanym a niezależnym od przeszukiwanego adwokatem, radcą prawnym lub prawnikiem z Unii Europejskiej</w:t>
            </w:r>
            <w:r>
              <w:rPr>
                <w:rFonts w:ascii="Times New Roman" w:hAnsi="Times New Roman"/>
                <w:sz w:val="20"/>
                <w:szCs w:val="20"/>
              </w:rPr>
              <w:t>,</w:t>
            </w:r>
            <w:r w:rsidRPr="00212D29">
              <w:rPr>
                <w:rFonts w:ascii="Times New Roman" w:hAnsi="Times New Roman"/>
                <w:sz w:val="20"/>
                <w:szCs w:val="20"/>
              </w:rPr>
              <w:t xml:space="preserve">  powstałą  w celu realizacji prawa przeszukiwanego do uzyskania ochrony prawnej w związku z przedmiotem postępowania prowadzonego przez Prezesa Urzędu w ramach którego przeprowadzane jest przeszukanie</w:t>
            </w:r>
          </w:p>
        </w:tc>
      </w:tr>
      <w:tr w:rsidR="004F0D97" w:rsidRPr="00424472" w14:paraId="25B46502" w14:textId="77777777" w:rsidTr="00461AD7">
        <w:trPr>
          <w:trHeight w:val="707"/>
          <w:jc w:val="center"/>
        </w:trPr>
        <w:tc>
          <w:tcPr>
            <w:tcW w:w="2298" w:type="dxa"/>
            <w:gridSpan w:val="3"/>
            <w:shd w:val="clear" w:color="auto" w:fill="auto"/>
            <w:vAlign w:val="center"/>
          </w:tcPr>
          <w:p w14:paraId="46FE025B" w14:textId="77777777" w:rsidR="004F0D97" w:rsidRDefault="006311EC" w:rsidP="00424472">
            <w:pPr>
              <w:rPr>
                <w:rFonts w:ascii="Times New Roman" w:hAnsi="Times New Roman"/>
                <w:spacing w:val="-2"/>
                <w:sz w:val="20"/>
                <w:szCs w:val="20"/>
              </w:rPr>
            </w:pPr>
            <w:r>
              <w:rPr>
                <w:rFonts w:ascii="Times New Roman" w:hAnsi="Times New Roman"/>
                <w:spacing w:val="-2"/>
                <w:sz w:val="20"/>
                <w:szCs w:val="20"/>
              </w:rPr>
              <w:t>Sąd Ochrony Konkurencji i Konsumentów</w:t>
            </w:r>
          </w:p>
        </w:tc>
        <w:tc>
          <w:tcPr>
            <w:tcW w:w="3260" w:type="dxa"/>
            <w:gridSpan w:val="10"/>
            <w:shd w:val="clear" w:color="auto" w:fill="auto"/>
            <w:vAlign w:val="center"/>
          </w:tcPr>
          <w:p w14:paraId="19AD3F5E" w14:textId="5409BA4F" w:rsidR="004F0D97" w:rsidRPr="003F1EC2" w:rsidRDefault="005F2454" w:rsidP="00424472">
            <w:pPr>
              <w:jc w:val="center"/>
              <w:rPr>
                <w:rFonts w:ascii="Times New Roman" w:hAnsi="Times New Roman"/>
                <w:spacing w:val="-2"/>
                <w:sz w:val="20"/>
                <w:szCs w:val="20"/>
              </w:rPr>
            </w:pPr>
            <w:r>
              <w:rPr>
                <w:rFonts w:ascii="Times New Roman" w:hAnsi="Times New Roman"/>
                <w:spacing w:val="-2"/>
                <w:sz w:val="20"/>
                <w:szCs w:val="20"/>
              </w:rPr>
              <w:t>1</w:t>
            </w:r>
          </w:p>
        </w:tc>
        <w:tc>
          <w:tcPr>
            <w:tcW w:w="1843" w:type="dxa"/>
            <w:gridSpan w:val="7"/>
            <w:shd w:val="clear" w:color="auto" w:fill="auto"/>
            <w:vAlign w:val="center"/>
          </w:tcPr>
          <w:p w14:paraId="2664B89D" w14:textId="412DD11F" w:rsidR="004F0D97" w:rsidRDefault="00165D47" w:rsidP="00424472">
            <w:pPr>
              <w:jc w:val="center"/>
              <w:rPr>
                <w:rFonts w:ascii="Times New Roman" w:hAnsi="Times New Roman"/>
                <w:spacing w:val="-2"/>
                <w:sz w:val="20"/>
                <w:szCs w:val="20"/>
              </w:rPr>
            </w:pPr>
            <w:r>
              <w:rPr>
                <w:rFonts w:ascii="Times New Roman" w:hAnsi="Times New Roman"/>
                <w:spacing w:val="-2"/>
                <w:sz w:val="20"/>
                <w:szCs w:val="20"/>
              </w:rPr>
              <w:t>-</w:t>
            </w:r>
          </w:p>
        </w:tc>
        <w:tc>
          <w:tcPr>
            <w:tcW w:w="3373" w:type="dxa"/>
            <w:gridSpan w:val="8"/>
            <w:tcBorders>
              <w:left w:val="single" w:sz="4" w:space="0" w:color="auto"/>
              <w:bottom w:val="single" w:sz="4" w:space="0" w:color="auto"/>
              <w:right w:val="single" w:sz="4" w:space="0" w:color="auto"/>
            </w:tcBorders>
            <w:shd w:val="clear" w:color="auto" w:fill="auto"/>
            <w:vAlign w:val="center"/>
          </w:tcPr>
          <w:p w14:paraId="010B331C" w14:textId="448ADB91" w:rsidR="004F0D97" w:rsidRDefault="00722751" w:rsidP="005B0217">
            <w:pPr>
              <w:spacing w:before="120" w:after="120"/>
              <w:jc w:val="both"/>
              <w:rPr>
                <w:rFonts w:ascii="Times New Roman" w:hAnsi="Times New Roman"/>
                <w:sz w:val="20"/>
                <w:szCs w:val="20"/>
              </w:rPr>
            </w:pPr>
            <w:r>
              <w:rPr>
                <w:rFonts w:ascii="Times New Roman" w:hAnsi="Times New Roman"/>
                <w:sz w:val="20"/>
                <w:szCs w:val="20"/>
              </w:rPr>
              <w:t>-</w:t>
            </w:r>
            <w:r w:rsidRPr="00CB21A6">
              <w:rPr>
                <w:rFonts w:ascii="Times New Roman" w:hAnsi="Times New Roman"/>
                <w:sz w:val="20"/>
                <w:szCs w:val="20"/>
              </w:rPr>
              <w:t xml:space="preserve"> now</w:t>
            </w:r>
            <w:r>
              <w:rPr>
                <w:rFonts w:ascii="Times New Roman" w:hAnsi="Times New Roman"/>
                <w:sz w:val="20"/>
                <w:szCs w:val="20"/>
              </w:rPr>
              <w:t>a</w:t>
            </w:r>
            <w:r w:rsidRPr="00CB21A6">
              <w:rPr>
                <w:rFonts w:ascii="Times New Roman" w:hAnsi="Times New Roman"/>
                <w:sz w:val="20"/>
                <w:szCs w:val="20"/>
              </w:rPr>
              <w:t xml:space="preserve"> procedur</w:t>
            </w:r>
            <w:r>
              <w:rPr>
                <w:rFonts w:ascii="Times New Roman" w:hAnsi="Times New Roman"/>
                <w:sz w:val="20"/>
                <w:szCs w:val="20"/>
              </w:rPr>
              <w:t>a</w:t>
            </w:r>
            <w:r w:rsidRPr="00CB21A6">
              <w:rPr>
                <w:rFonts w:ascii="Times New Roman" w:hAnsi="Times New Roman"/>
                <w:sz w:val="20"/>
                <w:szCs w:val="20"/>
              </w:rPr>
              <w:t xml:space="preserve"> zaskarżania oraz doręczania postanowienia sądu w przedmiocie wniosku organu o zgodę na przeprowadzenie przeszukania</w:t>
            </w:r>
          </w:p>
        </w:tc>
      </w:tr>
      <w:tr w:rsidR="004F0D97" w:rsidRPr="00424472" w14:paraId="2585F85B" w14:textId="77777777" w:rsidTr="00461AD7">
        <w:trPr>
          <w:trHeight w:val="707"/>
          <w:jc w:val="center"/>
        </w:trPr>
        <w:tc>
          <w:tcPr>
            <w:tcW w:w="2298" w:type="dxa"/>
            <w:gridSpan w:val="3"/>
            <w:shd w:val="clear" w:color="auto" w:fill="auto"/>
            <w:vAlign w:val="center"/>
          </w:tcPr>
          <w:p w14:paraId="1493BB2C" w14:textId="77777777" w:rsidR="004F0D97" w:rsidRDefault="00167ED4" w:rsidP="00424472">
            <w:pPr>
              <w:rPr>
                <w:rFonts w:ascii="Times New Roman" w:hAnsi="Times New Roman"/>
                <w:spacing w:val="-2"/>
                <w:sz w:val="20"/>
                <w:szCs w:val="20"/>
              </w:rPr>
            </w:pPr>
            <w:r>
              <w:rPr>
                <w:rFonts w:ascii="Times New Roman" w:hAnsi="Times New Roman"/>
                <w:spacing w:val="-2"/>
                <w:sz w:val="20"/>
                <w:szCs w:val="20"/>
              </w:rPr>
              <w:t>Obywatele</w:t>
            </w:r>
          </w:p>
        </w:tc>
        <w:tc>
          <w:tcPr>
            <w:tcW w:w="3260" w:type="dxa"/>
            <w:gridSpan w:val="10"/>
            <w:shd w:val="clear" w:color="auto" w:fill="auto"/>
            <w:vAlign w:val="center"/>
          </w:tcPr>
          <w:p w14:paraId="3B4A3283" w14:textId="77777777" w:rsidR="004F0D97" w:rsidRDefault="00165D47" w:rsidP="00424472">
            <w:pPr>
              <w:jc w:val="center"/>
              <w:rPr>
                <w:rFonts w:ascii="Times New Roman" w:hAnsi="Times New Roman"/>
                <w:spacing w:val="-2"/>
                <w:sz w:val="20"/>
                <w:szCs w:val="20"/>
              </w:rPr>
            </w:pPr>
            <w:r>
              <w:rPr>
                <w:rFonts w:ascii="Times New Roman" w:hAnsi="Times New Roman"/>
                <w:spacing w:val="-2"/>
                <w:sz w:val="20"/>
                <w:szCs w:val="20"/>
              </w:rPr>
              <w:t>38</w:t>
            </w:r>
            <w:r w:rsidR="00354DE6">
              <w:rPr>
                <w:rFonts w:ascii="Times New Roman" w:hAnsi="Times New Roman"/>
                <w:spacing w:val="-2"/>
                <w:sz w:val="20"/>
                <w:szCs w:val="20"/>
              </w:rPr>
              <w:t> 352 tys.</w:t>
            </w:r>
          </w:p>
          <w:p w14:paraId="028043DE" w14:textId="50B742AE" w:rsidR="00354DE6" w:rsidRPr="003F1EC2" w:rsidRDefault="00354DE6" w:rsidP="00424472">
            <w:pPr>
              <w:jc w:val="center"/>
              <w:rPr>
                <w:rFonts w:ascii="Times New Roman" w:hAnsi="Times New Roman"/>
                <w:spacing w:val="-2"/>
                <w:sz w:val="20"/>
                <w:szCs w:val="20"/>
              </w:rPr>
            </w:pPr>
            <w:r>
              <w:rPr>
                <w:rFonts w:ascii="Times New Roman" w:hAnsi="Times New Roman"/>
                <w:spacing w:val="-2"/>
                <w:sz w:val="20"/>
                <w:szCs w:val="20"/>
              </w:rPr>
              <w:t>(stan na sierpień 2020 r.)</w:t>
            </w:r>
          </w:p>
        </w:tc>
        <w:tc>
          <w:tcPr>
            <w:tcW w:w="1843" w:type="dxa"/>
            <w:gridSpan w:val="7"/>
            <w:shd w:val="clear" w:color="auto" w:fill="auto"/>
            <w:vAlign w:val="center"/>
          </w:tcPr>
          <w:p w14:paraId="0DB85250" w14:textId="5116755B" w:rsidR="004F0D97" w:rsidRDefault="00165D47" w:rsidP="00424472">
            <w:pPr>
              <w:jc w:val="center"/>
              <w:rPr>
                <w:rFonts w:ascii="Times New Roman" w:hAnsi="Times New Roman"/>
                <w:spacing w:val="-2"/>
                <w:sz w:val="20"/>
                <w:szCs w:val="20"/>
              </w:rPr>
            </w:pPr>
            <w:r>
              <w:rPr>
                <w:rFonts w:ascii="Times New Roman" w:hAnsi="Times New Roman"/>
                <w:spacing w:val="-2"/>
                <w:sz w:val="20"/>
                <w:szCs w:val="20"/>
              </w:rPr>
              <w:t>GUS</w:t>
            </w:r>
          </w:p>
        </w:tc>
        <w:tc>
          <w:tcPr>
            <w:tcW w:w="3373" w:type="dxa"/>
            <w:gridSpan w:val="8"/>
            <w:tcBorders>
              <w:left w:val="single" w:sz="4" w:space="0" w:color="auto"/>
              <w:bottom w:val="single" w:sz="4" w:space="0" w:color="auto"/>
              <w:right w:val="single" w:sz="4" w:space="0" w:color="auto"/>
            </w:tcBorders>
            <w:shd w:val="clear" w:color="auto" w:fill="auto"/>
            <w:vAlign w:val="center"/>
          </w:tcPr>
          <w:p w14:paraId="733A7ACD" w14:textId="7DDDCDD1" w:rsidR="004F0D97" w:rsidRDefault="008817A0" w:rsidP="005B0217">
            <w:pPr>
              <w:spacing w:before="120" w:after="120"/>
              <w:jc w:val="both"/>
              <w:rPr>
                <w:rFonts w:ascii="Times New Roman" w:hAnsi="Times New Roman"/>
                <w:sz w:val="20"/>
                <w:szCs w:val="20"/>
              </w:rPr>
            </w:pPr>
            <w:r>
              <w:rPr>
                <w:rFonts w:ascii="Times New Roman" w:hAnsi="Times New Roman"/>
                <w:sz w:val="20"/>
                <w:szCs w:val="20"/>
              </w:rPr>
              <w:t>-</w:t>
            </w:r>
            <w:r w:rsidR="00165D47">
              <w:rPr>
                <w:rFonts w:ascii="Times New Roman" w:hAnsi="Times New Roman"/>
                <w:sz w:val="20"/>
                <w:szCs w:val="20"/>
              </w:rPr>
              <w:t xml:space="preserve"> wzmocnienie ochrony konkurencji </w:t>
            </w:r>
            <w:r w:rsidR="00165D47">
              <w:rPr>
                <w:rFonts w:ascii="Times New Roman" w:hAnsi="Times New Roman"/>
                <w:sz w:val="20"/>
                <w:szCs w:val="20"/>
              </w:rPr>
              <w:br/>
              <w:t>i konsumentów, zapewnienie stabilności obrotu gospodarczego</w:t>
            </w:r>
          </w:p>
        </w:tc>
      </w:tr>
      <w:tr w:rsidR="00897A9F" w:rsidRPr="00424472" w14:paraId="47CBD53F" w14:textId="77777777" w:rsidTr="00461AD7">
        <w:trPr>
          <w:trHeight w:val="302"/>
          <w:jc w:val="center"/>
        </w:trPr>
        <w:tc>
          <w:tcPr>
            <w:tcW w:w="10774" w:type="dxa"/>
            <w:gridSpan w:val="28"/>
            <w:shd w:val="clear" w:color="auto" w:fill="99CCFF"/>
            <w:vAlign w:val="center"/>
          </w:tcPr>
          <w:p w14:paraId="1F959041" w14:textId="77777777" w:rsidR="00897A9F" w:rsidRPr="00424472" w:rsidRDefault="00897A9F" w:rsidP="00424472">
            <w:pPr>
              <w:numPr>
                <w:ilvl w:val="0"/>
                <w:numId w:val="1"/>
              </w:numPr>
              <w:spacing w:before="60" w:after="60"/>
              <w:ind w:left="318" w:hanging="284"/>
              <w:jc w:val="both"/>
              <w:rPr>
                <w:rFonts w:ascii="Times New Roman" w:hAnsi="Times New Roman"/>
                <w:b/>
                <w:color w:val="000000"/>
              </w:rPr>
            </w:pPr>
            <w:r w:rsidRPr="00424472">
              <w:rPr>
                <w:rFonts w:ascii="Times New Roman" w:hAnsi="Times New Roman"/>
                <w:b/>
                <w:color w:val="000000"/>
              </w:rPr>
              <w:t>Informacje na temat zakresu, czasu trwania i podsumowanie wyników konsultacji</w:t>
            </w:r>
          </w:p>
        </w:tc>
      </w:tr>
      <w:tr w:rsidR="00897A9F" w:rsidRPr="00424472" w14:paraId="05836786" w14:textId="77777777" w:rsidTr="00461AD7">
        <w:trPr>
          <w:trHeight w:val="342"/>
          <w:jc w:val="center"/>
        </w:trPr>
        <w:tc>
          <w:tcPr>
            <w:tcW w:w="10774" w:type="dxa"/>
            <w:gridSpan w:val="28"/>
            <w:shd w:val="clear" w:color="auto" w:fill="FFFFFF"/>
          </w:tcPr>
          <w:p w14:paraId="592F7BEA" w14:textId="4070AD79" w:rsidR="00427AB8" w:rsidRDefault="002C12F0" w:rsidP="006D6475">
            <w:pPr>
              <w:jc w:val="both"/>
              <w:rPr>
                <w:rFonts w:ascii="Times New Roman" w:hAnsi="Times New Roman"/>
                <w:shd w:val="clear" w:color="auto" w:fill="FFFFFF"/>
              </w:rPr>
            </w:pPr>
            <w:r>
              <w:rPr>
                <w:rFonts w:ascii="Times New Roman" w:hAnsi="Times New Roman"/>
                <w:shd w:val="clear" w:color="auto" w:fill="FFFFFF"/>
              </w:rPr>
              <w:t>S</w:t>
            </w:r>
            <w:r w:rsidRPr="00C00185">
              <w:rPr>
                <w:rFonts w:ascii="Times New Roman" w:hAnsi="Times New Roman"/>
                <w:shd w:val="clear" w:color="auto" w:fill="FFFFFF"/>
              </w:rPr>
              <w:t xml:space="preserve">tosownie do wymogów art. 5 ustaw z dnia 7 lipca 2005 r. </w:t>
            </w:r>
            <w:r w:rsidRPr="009310FA">
              <w:rPr>
                <w:rFonts w:ascii="Times New Roman" w:hAnsi="Times New Roman"/>
                <w:i/>
                <w:shd w:val="clear" w:color="auto" w:fill="FFFFFF"/>
              </w:rPr>
              <w:t>o działalności lobbingowej w procesie stanowienia prawa</w:t>
            </w:r>
            <w:r w:rsidRPr="00C00185">
              <w:rPr>
                <w:rFonts w:ascii="Times New Roman" w:hAnsi="Times New Roman"/>
                <w:shd w:val="clear" w:color="auto" w:fill="FFFFFF"/>
              </w:rPr>
              <w:t xml:space="preserve"> (Dz. U. 2017 r. poz. 248)</w:t>
            </w:r>
            <w:r>
              <w:rPr>
                <w:rFonts w:ascii="Times New Roman" w:hAnsi="Times New Roman"/>
                <w:shd w:val="clear" w:color="auto" w:fill="FFFFFF"/>
              </w:rPr>
              <w:t>, p</w:t>
            </w:r>
            <w:r w:rsidR="00C00185" w:rsidRPr="00C00185">
              <w:rPr>
                <w:rFonts w:ascii="Times New Roman" w:hAnsi="Times New Roman"/>
                <w:shd w:val="clear" w:color="auto" w:fill="FFFFFF"/>
              </w:rPr>
              <w:t>rojekt ustawy zosta</w:t>
            </w:r>
            <w:r w:rsidR="009547BF">
              <w:rPr>
                <w:rFonts w:ascii="Times New Roman" w:hAnsi="Times New Roman"/>
                <w:shd w:val="clear" w:color="auto" w:fill="FFFFFF"/>
              </w:rPr>
              <w:t>ł</w:t>
            </w:r>
            <w:r w:rsidR="00C00185" w:rsidRPr="00C00185">
              <w:rPr>
                <w:rFonts w:ascii="Times New Roman" w:hAnsi="Times New Roman"/>
                <w:shd w:val="clear" w:color="auto" w:fill="FFFFFF"/>
              </w:rPr>
              <w:t xml:space="preserve"> udostępniony w Biuletynie </w:t>
            </w:r>
            <w:r>
              <w:rPr>
                <w:rFonts w:ascii="Times New Roman" w:hAnsi="Times New Roman"/>
                <w:shd w:val="clear" w:color="auto" w:fill="FFFFFF"/>
              </w:rPr>
              <w:t>I</w:t>
            </w:r>
            <w:r w:rsidR="00C00185" w:rsidRPr="00C00185">
              <w:rPr>
                <w:rFonts w:ascii="Times New Roman" w:hAnsi="Times New Roman"/>
                <w:shd w:val="clear" w:color="auto" w:fill="FFFFFF"/>
              </w:rPr>
              <w:t xml:space="preserve">nformacji Publicznej na stronie podmiotowej Rządowego Centrum Legislacji, w serwisie Rządowy Proces Legislacyjny. </w:t>
            </w:r>
          </w:p>
          <w:p w14:paraId="725680C4" w14:textId="77777777" w:rsidR="00427AB8" w:rsidRDefault="00427AB8" w:rsidP="006D6475">
            <w:pPr>
              <w:jc w:val="both"/>
              <w:rPr>
                <w:rFonts w:ascii="Times New Roman" w:hAnsi="Times New Roman"/>
                <w:shd w:val="clear" w:color="auto" w:fill="FFFFFF"/>
              </w:rPr>
            </w:pPr>
          </w:p>
          <w:p w14:paraId="37186173" w14:textId="77777777" w:rsidR="00251039" w:rsidRDefault="00C00185" w:rsidP="006D6475">
            <w:pPr>
              <w:jc w:val="both"/>
              <w:rPr>
                <w:rFonts w:ascii="Times New Roman" w:hAnsi="Times New Roman"/>
                <w:shd w:val="clear" w:color="auto" w:fill="FFFFFF"/>
              </w:rPr>
            </w:pPr>
            <w:r w:rsidRPr="00C00185">
              <w:rPr>
                <w:rFonts w:ascii="Times New Roman" w:hAnsi="Times New Roman"/>
                <w:shd w:val="clear" w:color="auto" w:fill="FFFFFF"/>
              </w:rPr>
              <w:t>Projekt rozporządzenia został przekazany do konsultacj</w:t>
            </w:r>
            <w:r w:rsidR="00251039">
              <w:rPr>
                <w:rFonts w:ascii="Times New Roman" w:hAnsi="Times New Roman"/>
                <w:shd w:val="clear" w:color="auto" w:fill="FFFFFF"/>
              </w:rPr>
              <w:t>i:</w:t>
            </w:r>
          </w:p>
          <w:p w14:paraId="37B2C006" w14:textId="04FEAD33"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Federacj</w:t>
            </w:r>
            <w:r w:rsidR="0077556F">
              <w:rPr>
                <w:rFonts w:ascii="Times New Roman" w:hAnsi="Times New Roman"/>
                <w:shd w:val="clear" w:color="auto" w:fill="FFFFFF"/>
              </w:rPr>
              <w:t>i</w:t>
            </w:r>
            <w:r w:rsidRPr="00247DC3">
              <w:rPr>
                <w:rFonts w:ascii="Times New Roman" w:hAnsi="Times New Roman"/>
                <w:shd w:val="clear" w:color="auto" w:fill="FFFFFF"/>
              </w:rPr>
              <w:t xml:space="preserve"> Konsumentów</w:t>
            </w:r>
            <w:r>
              <w:rPr>
                <w:rFonts w:ascii="Times New Roman" w:hAnsi="Times New Roman"/>
                <w:shd w:val="clear" w:color="auto" w:fill="FFFFFF"/>
              </w:rPr>
              <w:t>,</w:t>
            </w:r>
          </w:p>
          <w:p w14:paraId="5F7D7E12" w14:textId="3947375F"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Federacj</w:t>
            </w:r>
            <w:r w:rsidR="0077556F">
              <w:rPr>
                <w:rFonts w:ascii="Times New Roman" w:hAnsi="Times New Roman"/>
                <w:shd w:val="clear" w:color="auto" w:fill="FFFFFF"/>
              </w:rPr>
              <w:t>i</w:t>
            </w:r>
            <w:r w:rsidRPr="00247DC3">
              <w:rPr>
                <w:rFonts w:ascii="Times New Roman" w:hAnsi="Times New Roman"/>
                <w:shd w:val="clear" w:color="auto" w:fill="FFFFFF"/>
              </w:rPr>
              <w:t xml:space="preserve"> Przedsiębiorców Polskich</w:t>
            </w:r>
            <w:r>
              <w:rPr>
                <w:rFonts w:ascii="Times New Roman" w:hAnsi="Times New Roman"/>
                <w:shd w:val="clear" w:color="auto" w:fill="FFFFFF"/>
              </w:rPr>
              <w:t>,</w:t>
            </w:r>
          </w:p>
          <w:p w14:paraId="6C5A54D9" w14:textId="7C241A0A"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Fundacj</w:t>
            </w:r>
            <w:r w:rsidR="0077556F">
              <w:rPr>
                <w:rFonts w:ascii="Times New Roman" w:hAnsi="Times New Roman"/>
                <w:shd w:val="clear" w:color="auto" w:fill="FFFFFF"/>
              </w:rPr>
              <w:t>i</w:t>
            </w:r>
            <w:r w:rsidRPr="00247DC3">
              <w:rPr>
                <w:rFonts w:ascii="Times New Roman" w:hAnsi="Times New Roman"/>
                <w:shd w:val="clear" w:color="auto" w:fill="FFFFFF"/>
              </w:rPr>
              <w:t xml:space="preserve"> Małych i Średnich Przedsiębiorstw</w:t>
            </w:r>
            <w:r>
              <w:rPr>
                <w:rFonts w:ascii="Times New Roman" w:hAnsi="Times New Roman"/>
                <w:shd w:val="clear" w:color="auto" w:fill="FFFFFF"/>
              </w:rPr>
              <w:t>,</w:t>
            </w:r>
          </w:p>
          <w:p w14:paraId="607600A4" w14:textId="1007EC5E"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Fundacj</w:t>
            </w:r>
            <w:r w:rsidR="0077556F">
              <w:rPr>
                <w:rFonts w:ascii="Times New Roman" w:hAnsi="Times New Roman"/>
                <w:shd w:val="clear" w:color="auto" w:fill="FFFFFF"/>
              </w:rPr>
              <w:t>i</w:t>
            </w:r>
            <w:r w:rsidRPr="00247DC3">
              <w:rPr>
                <w:rFonts w:ascii="Times New Roman" w:hAnsi="Times New Roman"/>
                <w:shd w:val="clear" w:color="auto" w:fill="FFFFFF"/>
              </w:rPr>
              <w:t xml:space="preserve"> Panoptykon</w:t>
            </w:r>
            <w:r>
              <w:rPr>
                <w:rFonts w:ascii="Times New Roman" w:hAnsi="Times New Roman"/>
                <w:shd w:val="clear" w:color="auto" w:fill="FFFFFF"/>
              </w:rPr>
              <w:t>,</w:t>
            </w:r>
          </w:p>
          <w:p w14:paraId="2A037E81" w14:textId="7437F99E"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Polsk</w:t>
            </w:r>
            <w:r w:rsidR="0077556F">
              <w:rPr>
                <w:rFonts w:ascii="Times New Roman" w:hAnsi="Times New Roman"/>
                <w:shd w:val="clear" w:color="auto" w:fill="FFFFFF"/>
              </w:rPr>
              <w:t>iej</w:t>
            </w:r>
            <w:r w:rsidRPr="00247DC3">
              <w:rPr>
                <w:rFonts w:ascii="Times New Roman" w:hAnsi="Times New Roman"/>
                <w:shd w:val="clear" w:color="auto" w:fill="FFFFFF"/>
              </w:rPr>
              <w:t xml:space="preserve"> Izb</w:t>
            </w:r>
            <w:r w:rsidR="0077556F">
              <w:rPr>
                <w:rFonts w:ascii="Times New Roman" w:hAnsi="Times New Roman"/>
                <w:shd w:val="clear" w:color="auto" w:fill="FFFFFF"/>
              </w:rPr>
              <w:t>ie</w:t>
            </w:r>
            <w:r w:rsidRPr="00247DC3">
              <w:rPr>
                <w:rFonts w:ascii="Times New Roman" w:hAnsi="Times New Roman"/>
                <w:shd w:val="clear" w:color="auto" w:fill="FFFFFF"/>
              </w:rPr>
              <w:t xml:space="preserve"> Handlu</w:t>
            </w:r>
            <w:r>
              <w:rPr>
                <w:rFonts w:ascii="Times New Roman" w:hAnsi="Times New Roman"/>
                <w:shd w:val="clear" w:color="auto" w:fill="FFFFFF"/>
              </w:rPr>
              <w:t>,</w:t>
            </w:r>
          </w:p>
          <w:p w14:paraId="6318D60E" w14:textId="227019C3"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Polskie</w:t>
            </w:r>
            <w:r w:rsidR="0077556F">
              <w:rPr>
                <w:rFonts w:ascii="Times New Roman" w:hAnsi="Times New Roman"/>
                <w:shd w:val="clear" w:color="auto" w:fill="FFFFFF"/>
              </w:rPr>
              <w:t>mu</w:t>
            </w:r>
            <w:r w:rsidRPr="00247DC3">
              <w:rPr>
                <w:rFonts w:ascii="Times New Roman" w:hAnsi="Times New Roman"/>
                <w:shd w:val="clear" w:color="auto" w:fill="FFFFFF"/>
              </w:rPr>
              <w:t xml:space="preserve"> Stowarzyszeni</w:t>
            </w:r>
            <w:r w:rsidR="0077556F">
              <w:rPr>
                <w:rFonts w:ascii="Times New Roman" w:hAnsi="Times New Roman"/>
                <w:shd w:val="clear" w:color="auto" w:fill="FFFFFF"/>
              </w:rPr>
              <w:t>u</w:t>
            </w:r>
            <w:r w:rsidRPr="00247DC3">
              <w:rPr>
                <w:rFonts w:ascii="Times New Roman" w:hAnsi="Times New Roman"/>
                <w:shd w:val="clear" w:color="auto" w:fill="FFFFFF"/>
              </w:rPr>
              <w:t xml:space="preserve"> Prawników Przedsiębiorstw</w:t>
            </w:r>
            <w:r>
              <w:rPr>
                <w:rFonts w:ascii="Times New Roman" w:hAnsi="Times New Roman"/>
                <w:shd w:val="clear" w:color="auto" w:fill="FFFFFF"/>
              </w:rPr>
              <w:t>,</w:t>
            </w:r>
          </w:p>
          <w:p w14:paraId="4AD8C3F5" w14:textId="07B6F139"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Polski</w:t>
            </w:r>
            <w:r w:rsidR="0077556F">
              <w:rPr>
                <w:rFonts w:ascii="Times New Roman" w:hAnsi="Times New Roman"/>
                <w:shd w:val="clear" w:color="auto" w:fill="FFFFFF"/>
              </w:rPr>
              <w:t>emu</w:t>
            </w:r>
            <w:r w:rsidRPr="00247DC3">
              <w:rPr>
                <w:rFonts w:ascii="Times New Roman" w:hAnsi="Times New Roman"/>
                <w:shd w:val="clear" w:color="auto" w:fill="FFFFFF"/>
              </w:rPr>
              <w:t xml:space="preserve"> Klub</w:t>
            </w:r>
            <w:r w:rsidR="0077556F">
              <w:rPr>
                <w:rFonts w:ascii="Times New Roman" w:hAnsi="Times New Roman"/>
                <w:shd w:val="clear" w:color="auto" w:fill="FFFFFF"/>
              </w:rPr>
              <w:t>owi</w:t>
            </w:r>
            <w:r w:rsidRPr="00247DC3">
              <w:rPr>
                <w:rFonts w:ascii="Times New Roman" w:hAnsi="Times New Roman"/>
                <w:shd w:val="clear" w:color="auto" w:fill="FFFFFF"/>
              </w:rPr>
              <w:t xml:space="preserve"> Biznesu</w:t>
            </w:r>
            <w:r>
              <w:rPr>
                <w:rFonts w:ascii="Times New Roman" w:hAnsi="Times New Roman"/>
                <w:shd w:val="clear" w:color="auto" w:fill="FFFFFF"/>
              </w:rPr>
              <w:t>,</w:t>
            </w:r>
          </w:p>
          <w:p w14:paraId="78E264EB" w14:textId="41990EF4"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Stowarzyszeni</w:t>
            </w:r>
            <w:r w:rsidR="0077556F">
              <w:rPr>
                <w:rFonts w:ascii="Times New Roman" w:hAnsi="Times New Roman"/>
                <w:shd w:val="clear" w:color="auto" w:fill="FFFFFF"/>
              </w:rPr>
              <w:t>u</w:t>
            </w:r>
            <w:r w:rsidRPr="00247DC3">
              <w:rPr>
                <w:rFonts w:ascii="Times New Roman" w:hAnsi="Times New Roman"/>
                <w:shd w:val="clear" w:color="auto" w:fill="FFFFFF"/>
              </w:rPr>
              <w:t xml:space="preserve"> Konsumentów Polskich</w:t>
            </w:r>
            <w:r>
              <w:rPr>
                <w:rFonts w:ascii="Times New Roman" w:hAnsi="Times New Roman"/>
                <w:shd w:val="clear" w:color="auto" w:fill="FFFFFF"/>
              </w:rPr>
              <w:t>,</w:t>
            </w:r>
          </w:p>
          <w:p w14:paraId="20468030" w14:textId="27DF7A90"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Stowarzyszeni</w:t>
            </w:r>
            <w:r w:rsidR="0077556F">
              <w:rPr>
                <w:rFonts w:ascii="Times New Roman" w:hAnsi="Times New Roman"/>
                <w:shd w:val="clear" w:color="auto" w:fill="FFFFFF"/>
              </w:rPr>
              <w:t>u</w:t>
            </w:r>
            <w:r w:rsidRPr="00247DC3">
              <w:rPr>
                <w:rFonts w:ascii="Times New Roman" w:hAnsi="Times New Roman"/>
                <w:shd w:val="clear" w:color="auto" w:fill="FFFFFF"/>
              </w:rPr>
              <w:t xml:space="preserve"> Na Rzecz Obrony Praw Konsumenta i Obywatela „Pro </w:t>
            </w:r>
            <w:proofErr w:type="spellStart"/>
            <w:r w:rsidRPr="00247DC3">
              <w:rPr>
                <w:rFonts w:ascii="Times New Roman" w:hAnsi="Times New Roman"/>
                <w:shd w:val="clear" w:color="auto" w:fill="FFFFFF"/>
              </w:rPr>
              <w:t>Futuris</w:t>
            </w:r>
            <w:proofErr w:type="spellEnd"/>
            <w:r w:rsidRPr="00247DC3">
              <w:rPr>
                <w:rFonts w:ascii="Times New Roman" w:hAnsi="Times New Roman"/>
                <w:shd w:val="clear" w:color="auto" w:fill="FFFFFF"/>
              </w:rPr>
              <w:t>”</w:t>
            </w:r>
            <w:r>
              <w:rPr>
                <w:rFonts w:ascii="Times New Roman" w:hAnsi="Times New Roman"/>
                <w:shd w:val="clear" w:color="auto" w:fill="FFFFFF"/>
              </w:rPr>
              <w:t>,</w:t>
            </w:r>
          </w:p>
          <w:p w14:paraId="4BB06BCE" w14:textId="436DAA93"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Stowarzyszeni</w:t>
            </w:r>
            <w:r w:rsidR="0077556F">
              <w:rPr>
                <w:rFonts w:ascii="Times New Roman" w:hAnsi="Times New Roman"/>
                <w:shd w:val="clear" w:color="auto" w:fill="FFFFFF"/>
              </w:rPr>
              <w:t>u</w:t>
            </w:r>
            <w:r w:rsidRPr="00247DC3">
              <w:rPr>
                <w:rFonts w:ascii="Times New Roman" w:hAnsi="Times New Roman"/>
                <w:shd w:val="clear" w:color="auto" w:fill="FFFFFF"/>
              </w:rPr>
              <w:t xml:space="preserve"> Rzeczników Konsumentów</w:t>
            </w:r>
            <w:r>
              <w:rPr>
                <w:rFonts w:ascii="Times New Roman" w:hAnsi="Times New Roman"/>
                <w:shd w:val="clear" w:color="auto" w:fill="FFFFFF"/>
              </w:rPr>
              <w:t>,</w:t>
            </w:r>
          </w:p>
          <w:p w14:paraId="4A24AAC8" w14:textId="61358F15"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Związ</w:t>
            </w:r>
            <w:r w:rsidR="0077556F">
              <w:rPr>
                <w:rFonts w:ascii="Times New Roman" w:hAnsi="Times New Roman"/>
                <w:shd w:val="clear" w:color="auto" w:fill="FFFFFF"/>
              </w:rPr>
              <w:t>kowi</w:t>
            </w:r>
            <w:r w:rsidRPr="00247DC3">
              <w:rPr>
                <w:rFonts w:ascii="Times New Roman" w:hAnsi="Times New Roman"/>
                <w:shd w:val="clear" w:color="auto" w:fill="FFFFFF"/>
              </w:rPr>
              <w:t xml:space="preserve"> Przedsiębiorców i Pracodawców</w:t>
            </w:r>
            <w:r>
              <w:rPr>
                <w:rFonts w:ascii="Times New Roman" w:hAnsi="Times New Roman"/>
                <w:shd w:val="clear" w:color="auto" w:fill="FFFFFF"/>
              </w:rPr>
              <w:t>,</w:t>
            </w:r>
          </w:p>
          <w:p w14:paraId="7BB8988A" w14:textId="63BB39F7"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Polsk</w:t>
            </w:r>
            <w:r w:rsidR="0077556F">
              <w:rPr>
                <w:rFonts w:ascii="Times New Roman" w:hAnsi="Times New Roman"/>
                <w:shd w:val="clear" w:color="auto" w:fill="FFFFFF"/>
              </w:rPr>
              <w:t>iej</w:t>
            </w:r>
            <w:r w:rsidRPr="00247DC3">
              <w:rPr>
                <w:rFonts w:ascii="Times New Roman" w:hAnsi="Times New Roman"/>
                <w:shd w:val="clear" w:color="auto" w:fill="FFFFFF"/>
              </w:rPr>
              <w:t xml:space="preserve"> Agencj</w:t>
            </w:r>
            <w:r w:rsidR="0077556F">
              <w:rPr>
                <w:rFonts w:ascii="Times New Roman" w:hAnsi="Times New Roman"/>
                <w:shd w:val="clear" w:color="auto" w:fill="FFFFFF"/>
              </w:rPr>
              <w:t>i</w:t>
            </w:r>
            <w:r w:rsidRPr="00247DC3">
              <w:rPr>
                <w:rFonts w:ascii="Times New Roman" w:hAnsi="Times New Roman"/>
                <w:shd w:val="clear" w:color="auto" w:fill="FFFFFF"/>
              </w:rPr>
              <w:t xml:space="preserve"> Rozwoju Przedsiębiorczości</w:t>
            </w:r>
            <w:r>
              <w:rPr>
                <w:rFonts w:ascii="Times New Roman" w:hAnsi="Times New Roman"/>
                <w:shd w:val="clear" w:color="auto" w:fill="FFFFFF"/>
              </w:rPr>
              <w:t>,</w:t>
            </w:r>
          </w:p>
          <w:p w14:paraId="73C0D6D2" w14:textId="084B8A77"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Business Center Club</w:t>
            </w:r>
            <w:r>
              <w:rPr>
                <w:rFonts w:ascii="Times New Roman" w:hAnsi="Times New Roman"/>
                <w:shd w:val="clear" w:color="auto" w:fill="FFFFFF"/>
              </w:rPr>
              <w:t>,</w:t>
            </w:r>
          </w:p>
          <w:p w14:paraId="47FE3DAF" w14:textId="718A380D"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Polsk</w:t>
            </w:r>
            <w:r w:rsidR="0077556F">
              <w:rPr>
                <w:rFonts w:ascii="Times New Roman" w:hAnsi="Times New Roman"/>
                <w:shd w:val="clear" w:color="auto" w:fill="FFFFFF"/>
              </w:rPr>
              <w:t>iej</w:t>
            </w:r>
            <w:r w:rsidRPr="00247DC3">
              <w:rPr>
                <w:rFonts w:ascii="Times New Roman" w:hAnsi="Times New Roman"/>
                <w:shd w:val="clear" w:color="auto" w:fill="FFFFFF"/>
              </w:rPr>
              <w:t xml:space="preserve"> Konfederacj</w:t>
            </w:r>
            <w:r w:rsidR="0077556F">
              <w:rPr>
                <w:rFonts w:ascii="Times New Roman" w:hAnsi="Times New Roman"/>
                <w:shd w:val="clear" w:color="auto" w:fill="FFFFFF"/>
              </w:rPr>
              <w:t xml:space="preserve">i </w:t>
            </w:r>
            <w:r w:rsidRPr="00247DC3">
              <w:rPr>
                <w:rFonts w:ascii="Times New Roman" w:hAnsi="Times New Roman"/>
                <w:shd w:val="clear" w:color="auto" w:fill="FFFFFF"/>
              </w:rPr>
              <w:t>Pracodawców Prywatnych „Lewiatan”</w:t>
            </w:r>
            <w:r>
              <w:rPr>
                <w:rFonts w:ascii="Times New Roman" w:hAnsi="Times New Roman"/>
                <w:shd w:val="clear" w:color="auto" w:fill="FFFFFF"/>
              </w:rPr>
              <w:t>,</w:t>
            </w:r>
          </w:p>
          <w:p w14:paraId="7F91451A" w14:textId="0E40DF0D"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Krajow</w:t>
            </w:r>
            <w:r w:rsidR="0077556F">
              <w:rPr>
                <w:rFonts w:ascii="Times New Roman" w:hAnsi="Times New Roman"/>
                <w:shd w:val="clear" w:color="auto" w:fill="FFFFFF"/>
              </w:rPr>
              <w:t>ej</w:t>
            </w:r>
            <w:r w:rsidRPr="00247DC3">
              <w:rPr>
                <w:rFonts w:ascii="Times New Roman" w:hAnsi="Times New Roman"/>
                <w:shd w:val="clear" w:color="auto" w:fill="FFFFFF"/>
              </w:rPr>
              <w:t xml:space="preserve"> Izb</w:t>
            </w:r>
            <w:r w:rsidR="0077556F">
              <w:rPr>
                <w:rFonts w:ascii="Times New Roman" w:hAnsi="Times New Roman"/>
                <w:shd w:val="clear" w:color="auto" w:fill="FFFFFF"/>
              </w:rPr>
              <w:t>ie</w:t>
            </w:r>
            <w:r w:rsidRPr="00247DC3">
              <w:rPr>
                <w:rFonts w:ascii="Times New Roman" w:hAnsi="Times New Roman"/>
                <w:shd w:val="clear" w:color="auto" w:fill="FFFFFF"/>
              </w:rPr>
              <w:t xml:space="preserve"> Gospodarcz</w:t>
            </w:r>
            <w:r w:rsidR="0077556F">
              <w:rPr>
                <w:rFonts w:ascii="Times New Roman" w:hAnsi="Times New Roman"/>
                <w:shd w:val="clear" w:color="auto" w:fill="FFFFFF"/>
              </w:rPr>
              <w:t>ej</w:t>
            </w:r>
            <w:r>
              <w:rPr>
                <w:rFonts w:ascii="Times New Roman" w:hAnsi="Times New Roman"/>
                <w:shd w:val="clear" w:color="auto" w:fill="FFFFFF"/>
              </w:rPr>
              <w:t>,</w:t>
            </w:r>
          </w:p>
          <w:p w14:paraId="0314F12F" w14:textId="69B9B0B0"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Pracodawc</w:t>
            </w:r>
            <w:r w:rsidR="0077556F">
              <w:rPr>
                <w:rFonts w:ascii="Times New Roman" w:hAnsi="Times New Roman"/>
                <w:shd w:val="clear" w:color="auto" w:fill="FFFFFF"/>
              </w:rPr>
              <w:t>om</w:t>
            </w:r>
            <w:r w:rsidRPr="00247DC3">
              <w:rPr>
                <w:rFonts w:ascii="Times New Roman" w:hAnsi="Times New Roman"/>
                <w:shd w:val="clear" w:color="auto" w:fill="FFFFFF"/>
              </w:rPr>
              <w:t xml:space="preserve"> Rzeczypospolitej Polskiej</w:t>
            </w:r>
            <w:r>
              <w:rPr>
                <w:rFonts w:ascii="Times New Roman" w:hAnsi="Times New Roman"/>
                <w:shd w:val="clear" w:color="auto" w:fill="FFFFFF"/>
              </w:rPr>
              <w:t>,</w:t>
            </w:r>
          </w:p>
          <w:p w14:paraId="55753991" w14:textId="13BC4E45"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Związ</w:t>
            </w:r>
            <w:r w:rsidR="0077556F">
              <w:rPr>
                <w:rFonts w:ascii="Times New Roman" w:hAnsi="Times New Roman"/>
                <w:shd w:val="clear" w:color="auto" w:fill="FFFFFF"/>
              </w:rPr>
              <w:t>kowi</w:t>
            </w:r>
            <w:r w:rsidRPr="00247DC3">
              <w:rPr>
                <w:rFonts w:ascii="Times New Roman" w:hAnsi="Times New Roman"/>
                <w:shd w:val="clear" w:color="auto" w:fill="FFFFFF"/>
              </w:rPr>
              <w:t xml:space="preserve"> Przedsiębiorców i Pracodawców</w:t>
            </w:r>
            <w:r>
              <w:rPr>
                <w:rFonts w:ascii="Times New Roman" w:hAnsi="Times New Roman"/>
                <w:shd w:val="clear" w:color="auto" w:fill="FFFFFF"/>
              </w:rPr>
              <w:t>,</w:t>
            </w:r>
          </w:p>
          <w:p w14:paraId="0D2E50F0" w14:textId="3A1369FC"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Związ</w:t>
            </w:r>
            <w:r w:rsidR="0077556F">
              <w:rPr>
                <w:rFonts w:ascii="Times New Roman" w:hAnsi="Times New Roman"/>
                <w:shd w:val="clear" w:color="auto" w:fill="FFFFFF"/>
              </w:rPr>
              <w:t>kowi</w:t>
            </w:r>
            <w:r w:rsidRPr="00247DC3">
              <w:rPr>
                <w:rFonts w:ascii="Times New Roman" w:hAnsi="Times New Roman"/>
                <w:shd w:val="clear" w:color="auto" w:fill="FFFFFF"/>
              </w:rPr>
              <w:t xml:space="preserve"> Rzemiosła Polskiego (ZRP)</w:t>
            </w:r>
            <w:r>
              <w:rPr>
                <w:rFonts w:ascii="Times New Roman" w:hAnsi="Times New Roman"/>
                <w:shd w:val="clear" w:color="auto" w:fill="FFFFFF"/>
              </w:rPr>
              <w:t>,</w:t>
            </w:r>
          </w:p>
          <w:p w14:paraId="44E3C8D3" w14:textId="78080DAB"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Niezależn</w:t>
            </w:r>
            <w:r w:rsidR="0077556F">
              <w:rPr>
                <w:rFonts w:ascii="Times New Roman" w:hAnsi="Times New Roman"/>
                <w:shd w:val="clear" w:color="auto" w:fill="FFFFFF"/>
              </w:rPr>
              <w:t>emu</w:t>
            </w:r>
            <w:r w:rsidRPr="00247DC3">
              <w:rPr>
                <w:rFonts w:ascii="Times New Roman" w:hAnsi="Times New Roman"/>
                <w:shd w:val="clear" w:color="auto" w:fill="FFFFFF"/>
              </w:rPr>
              <w:t xml:space="preserve"> Samorządn</w:t>
            </w:r>
            <w:r w:rsidR="0077556F">
              <w:rPr>
                <w:rFonts w:ascii="Times New Roman" w:hAnsi="Times New Roman"/>
                <w:shd w:val="clear" w:color="auto" w:fill="FFFFFF"/>
              </w:rPr>
              <w:t>emu</w:t>
            </w:r>
            <w:r w:rsidRPr="00247DC3">
              <w:rPr>
                <w:rFonts w:ascii="Times New Roman" w:hAnsi="Times New Roman"/>
                <w:shd w:val="clear" w:color="auto" w:fill="FFFFFF"/>
              </w:rPr>
              <w:t xml:space="preserve"> Związ</w:t>
            </w:r>
            <w:r w:rsidR="0077556F">
              <w:rPr>
                <w:rFonts w:ascii="Times New Roman" w:hAnsi="Times New Roman"/>
                <w:shd w:val="clear" w:color="auto" w:fill="FFFFFF"/>
              </w:rPr>
              <w:t>kowi</w:t>
            </w:r>
            <w:r w:rsidRPr="00247DC3">
              <w:rPr>
                <w:rFonts w:ascii="Times New Roman" w:hAnsi="Times New Roman"/>
                <w:shd w:val="clear" w:color="auto" w:fill="FFFFFF"/>
              </w:rPr>
              <w:t xml:space="preserve"> Zawodow</w:t>
            </w:r>
            <w:r w:rsidR="0077556F">
              <w:rPr>
                <w:rFonts w:ascii="Times New Roman" w:hAnsi="Times New Roman"/>
                <w:shd w:val="clear" w:color="auto" w:fill="FFFFFF"/>
              </w:rPr>
              <w:t>emu</w:t>
            </w:r>
            <w:r w:rsidRPr="00247DC3">
              <w:rPr>
                <w:rFonts w:ascii="Times New Roman" w:hAnsi="Times New Roman"/>
                <w:shd w:val="clear" w:color="auto" w:fill="FFFFFF"/>
              </w:rPr>
              <w:t xml:space="preserve"> “Solidarność” (NSZZ “Solidarność”)</w:t>
            </w:r>
            <w:r>
              <w:rPr>
                <w:rFonts w:ascii="Times New Roman" w:hAnsi="Times New Roman"/>
                <w:shd w:val="clear" w:color="auto" w:fill="FFFFFF"/>
              </w:rPr>
              <w:t>,</w:t>
            </w:r>
          </w:p>
          <w:p w14:paraId="719C24FC" w14:textId="680157E6"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lastRenderedPageBreak/>
              <w:t>Ogólnopolskie</w:t>
            </w:r>
            <w:r w:rsidR="0077556F">
              <w:rPr>
                <w:rFonts w:ascii="Times New Roman" w:hAnsi="Times New Roman"/>
                <w:shd w:val="clear" w:color="auto" w:fill="FFFFFF"/>
              </w:rPr>
              <w:t>mu</w:t>
            </w:r>
            <w:r w:rsidRPr="00247DC3">
              <w:rPr>
                <w:rFonts w:ascii="Times New Roman" w:hAnsi="Times New Roman"/>
                <w:shd w:val="clear" w:color="auto" w:fill="FFFFFF"/>
              </w:rPr>
              <w:t xml:space="preserve"> Porozumieni</w:t>
            </w:r>
            <w:r w:rsidR="0077556F">
              <w:rPr>
                <w:rFonts w:ascii="Times New Roman" w:hAnsi="Times New Roman"/>
                <w:shd w:val="clear" w:color="auto" w:fill="FFFFFF"/>
              </w:rPr>
              <w:t>u</w:t>
            </w:r>
            <w:r w:rsidRPr="00247DC3">
              <w:rPr>
                <w:rFonts w:ascii="Times New Roman" w:hAnsi="Times New Roman"/>
                <w:shd w:val="clear" w:color="auto" w:fill="FFFFFF"/>
              </w:rPr>
              <w:t xml:space="preserve"> Związków Zawodowych (OPZZ)</w:t>
            </w:r>
            <w:r>
              <w:rPr>
                <w:rFonts w:ascii="Times New Roman" w:hAnsi="Times New Roman"/>
                <w:shd w:val="clear" w:color="auto" w:fill="FFFFFF"/>
              </w:rPr>
              <w:t>,</w:t>
            </w:r>
          </w:p>
          <w:p w14:paraId="0E43CBB0" w14:textId="037BA97E"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 xml:space="preserve">Centrum im. Adama </w:t>
            </w:r>
            <w:proofErr w:type="spellStart"/>
            <w:r w:rsidRPr="00247DC3">
              <w:rPr>
                <w:rFonts w:ascii="Times New Roman" w:hAnsi="Times New Roman"/>
                <w:shd w:val="clear" w:color="auto" w:fill="FFFFFF"/>
              </w:rPr>
              <w:t>Smitha</w:t>
            </w:r>
            <w:proofErr w:type="spellEnd"/>
            <w:r>
              <w:rPr>
                <w:rFonts w:ascii="Times New Roman" w:hAnsi="Times New Roman"/>
                <w:shd w:val="clear" w:color="auto" w:fill="FFFFFF"/>
              </w:rPr>
              <w:t>,</w:t>
            </w:r>
          </w:p>
          <w:p w14:paraId="59E9E764" w14:textId="53ED5D96"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Europejskie</w:t>
            </w:r>
            <w:r w:rsidR="0077556F">
              <w:rPr>
                <w:rFonts w:ascii="Times New Roman" w:hAnsi="Times New Roman"/>
                <w:shd w:val="clear" w:color="auto" w:fill="FFFFFF"/>
              </w:rPr>
              <w:t>mu</w:t>
            </w:r>
            <w:r w:rsidRPr="00247DC3">
              <w:rPr>
                <w:rFonts w:ascii="Times New Roman" w:hAnsi="Times New Roman"/>
                <w:shd w:val="clear" w:color="auto" w:fill="FFFFFF"/>
              </w:rPr>
              <w:t xml:space="preserve"> Centrum Przedsiębiorczości</w:t>
            </w:r>
            <w:r>
              <w:rPr>
                <w:rFonts w:ascii="Times New Roman" w:hAnsi="Times New Roman"/>
                <w:shd w:val="clear" w:color="auto" w:fill="FFFFFF"/>
              </w:rPr>
              <w:t>,</w:t>
            </w:r>
          </w:p>
          <w:p w14:paraId="7D5ED9F7" w14:textId="43E9422A"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Forum Odpowiedzialnego Biznesu</w:t>
            </w:r>
            <w:r>
              <w:rPr>
                <w:rFonts w:ascii="Times New Roman" w:hAnsi="Times New Roman"/>
                <w:shd w:val="clear" w:color="auto" w:fill="FFFFFF"/>
              </w:rPr>
              <w:t>,</w:t>
            </w:r>
          </w:p>
          <w:p w14:paraId="3ADCD57D" w14:textId="1695F949"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Fundacj</w:t>
            </w:r>
            <w:r w:rsidR="0077556F">
              <w:rPr>
                <w:rFonts w:ascii="Times New Roman" w:hAnsi="Times New Roman"/>
                <w:shd w:val="clear" w:color="auto" w:fill="FFFFFF"/>
              </w:rPr>
              <w:t>i</w:t>
            </w:r>
            <w:r w:rsidRPr="00247DC3">
              <w:rPr>
                <w:rFonts w:ascii="Times New Roman" w:hAnsi="Times New Roman"/>
                <w:shd w:val="clear" w:color="auto" w:fill="FFFFFF"/>
              </w:rPr>
              <w:t xml:space="preserve"> na Rzecz Bezpiecznego Obrotu Prawnego</w:t>
            </w:r>
            <w:r>
              <w:rPr>
                <w:rFonts w:ascii="Times New Roman" w:hAnsi="Times New Roman"/>
                <w:shd w:val="clear" w:color="auto" w:fill="FFFFFF"/>
              </w:rPr>
              <w:t>,</w:t>
            </w:r>
          </w:p>
          <w:p w14:paraId="44F6E085" w14:textId="12891A1F"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Izb</w:t>
            </w:r>
            <w:r w:rsidR="00B31FC0">
              <w:rPr>
                <w:rFonts w:ascii="Times New Roman" w:hAnsi="Times New Roman"/>
                <w:shd w:val="clear" w:color="auto" w:fill="FFFFFF"/>
              </w:rPr>
              <w:t>ie</w:t>
            </w:r>
            <w:r w:rsidRPr="00247DC3">
              <w:rPr>
                <w:rFonts w:ascii="Times New Roman" w:hAnsi="Times New Roman"/>
                <w:shd w:val="clear" w:color="auto" w:fill="FFFFFF"/>
              </w:rPr>
              <w:t xml:space="preserve"> Gospodarki Elektronicznej</w:t>
            </w:r>
            <w:r>
              <w:rPr>
                <w:rFonts w:ascii="Times New Roman" w:hAnsi="Times New Roman"/>
                <w:shd w:val="clear" w:color="auto" w:fill="FFFFFF"/>
              </w:rPr>
              <w:t>,</w:t>
            </w:r>
          </w:p>
          <w:p w14:paraId="4E102C6D" w14:textId="324EA473"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Krajow</w:t>
            </w:r>
            <w:r w:rsidR="00B31FC0">
              <w:rPr>
                <w:rFonts w:ascii="Times New Roman" w:hAnsi="Times New Roman"/>
                <w:shd w:val="clear" w:color="auto" w:fill="FFFFFF"/>
              </w:rPr>
              <w:t>ej</w:t>
            </w:r>
            <w:r w:rsidRPr="00247DC3">
              <w:rPr>
                <w:rFonts w:ascii="Times New Roman" w:hAnsi="Times New Roman"/>
                <w:shd w:val="clear" w:color="auto" w:fill="FFFFFF"/>
              </w:rPr>
              <w:t xml:space="preserve"> Izb</w:t>
            </w:r>
            <w:r w:rsidR="00B31FC0">
              <w:rPr>
                <w:rFonts w:ascii="Times New Roman" w:hAnsi="Times New Roman"/>
                <w:shd w:val="clear" w:color="auto" w:fill="FFFFFF"/>
              </w:rPr>
              <w:t>ie</w:t>
            </w:r>
            <w:r w:rsidRPr="00247DC3">
              <w:rPr>
                <w:rFonts w:ascii="Times New Roman" w:hAnsi="Times New Roman"/>
                <w:shd w:val="clear" w:color="auto" w:fill="FFFFFF"/>
              </w:rPr>
              <w:t xml:space="preserve"> Gospodarczej Elektroniki i Telekomunikacji</w:t>
            </w:r>
            <w:r>
              <w:rPr>
                <w:rFonts w:ascii="Times New Roman" w:hAnsi="Times New Roman"/>
                <w:shd w:val="clear" w:color="auto" w:fill="FFFFFF"/>
              </w:rPr>
              <w:t>,</w:t>
            </w:r>
          </w:p>
          <w:p w14:paraId="5D8530D4" w14:textId="561CEE6A"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Krajow</w:t>
            </w:r>
            <w:r w:rsidR="00B31FC0">
              <w:rPr>
                <w:rFonts w:ascii="Times New Roman" w:hAnsi="Times New Roman"/>
                <w:shd w:val="clear" w:color="auto" w:fill="FFFFFF"/>
              </w:rPr>
              <w:t xml:space="preserve">ej </w:t>
            </w:r>
            <w:r w:rsidRPr="00247DC3">
              <w:rPr>
                <w:rFonts w:ascii="Times New Roman" w:hAnsi="Times New Roman"/>
                <w:shd w:val="clear" w:color="auto" w:fill="FFFFFF"/>
              </w:rPr>
              <w:t>Izb</w:t>
            </w:r>
            <w:r w:rsidR="00B31FC0">
              <w:rPr>
                <w:rFonts w:ascii="Times New Roman" w:hAnsi="Times New Roman"/>
                <w:shd w:val="clear" w:color="auto" w:fill="FFFFFF"/>
              </w:rPr>
              <w:t>ie</w:t>
            </w:r>
            <w:r w:rsidRPr="00247DC3">
              <w:rPr>
                <w:rFonts w:ascii="Times New Roman" w:hAnsi="Times New Roman"/>
                <w:shd w:val="clear" w:color="auto" w:fill="FFFFFF"/>
              </w:rPr>
              <w:t xml:space="preserve"> Radców Prawnych</w:t>
            </w:r>
            <w:r>
              <w:rPr>
                <w:rFonts w:ascii="Times New Roman" w:hAnsi="Times New Roman"/>
                <w:shd w:val="clear" w:color="auto" w:fill="FFFFFF"/>
              </w:rPr>
              <w:t>,</w:t>
            </w:r>
          </w:p>
          <w:p w14:paraId="59AF300C" w14:textId="4637EB77"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Krajow</w:t>
            </w:r>
            <w:r w:rsidR="00B31FC0">
              <w:rPr>
                <w:rFonts w:ascii="Times New Roman" w:hAnsi="Times New Roman"/>
                <w:shd w:val="clear" w:color="auto" w:fill="FFFFFF"/>
              </w:rPr>
              <w:t>ej</w:t>
            </w:r>
            <w:r w:rsidRPr="00247DC3">
              <w:rPr>
                <w:rFonts w:ascii="Times New Roman" w:hAnsi="Times New Roman"/>
                <w:shd w:val="clear" w:color="auto" w:fill="FFFFFF"/>
              </w:rPr>
              <w:t xml:space="preserve"> Rad</w:t>
            </w:r>
            <w:r w:rsidR="00B31FC0">
              <w:rPr>
                <w:rFonts w:ascii="Times New Roman" w:hAnsi="Times New Roman"/>
                <w:shd w:val="clear" w:color="auto" w:fill="FFFFFF"/>
              </w:rPr>
              <w:t>zie</w:t>
            </w:r>
            <w:r w:rsidRPr="00247DC3">
              <w:rPr>
                <w:rFonts w:ascii="Times New Roman" w:hAnsi="Times New Roman"/>
                <w:shd w:val="clear" w:color="auto" w:fill="FFFFFF"/>
              </w:rPr>
              <w:t xml:space="preserve"> Spółdzielcza</w:t>
            </w:r>
            <w:r>
              <w:rPr>
                <w:rFonts w:ascii="Times New Roman" w:hAnsi="Times New Roman"/>
                <w:shd w:val="clear" w:color="auto" w:fill="FFFFFF"/>
              </w:rPr>
              <w:t>,</w:t>
            </w:r>
          </w:p>
          <w:p w14:paraId="30D31FF1" w14:textId="42731BC3"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Krajow</w:t>
            </w:r>
            <w:r w:rsidR="00B31FC0">
              <w:rPr>
                <w:rFonts w:ascii="Times New Roman" w:hAnsi="Times New Roman"/>
                <w:shd w:val="clear" w:color="auto" w:fill="FFFFFF"/>
              </w:rPr>
              <w:t>ej</w:t>
            </w:r>
            <w:r w:rsidRPr="00247DC3">
              <w:rPr>
                <w:rFonts w:ascii="Times New Roman" w:hAnsi="Times New Roman"/>
                <w:shd w:val="clear" w:color="auto" w:fill="FFFFFF"/>
              </w:rPr>
              <w:t xml:space="preserve"> Rad</w:t>
            </w:r>
            <w:r w:rsidR="00B31FC0">
              <w:rPr>
                <w:rFonts w:ascii="Times New Roman" w:hAnsi="Times New Roman"/>
                <w:shd w:val="clear" w:color="auto" w:fill="FFFFFF"/>
              </w:rPr>
              <w:t>zie</w:t>
            </w:r>
            <w:r w:rsidRPr="00247DC3">
              <w:rPr>
                <w:rFonts w:ascii="Times New Roman" w:hAnsi="Times New Roman"/>
                <w:shd w:val="clear" w:color="auto" w:fill="FFFFFF"/>
              </w:rPr>
              <w:t xml:space="preserve"> Notarialna</w:t>
            </w:r>
            <w:r>
              <w:rPr>
                <w:rFonts w:ascii="Times New Roman" w:hAnsi="Times New Roman"/>
                <w:shd w:val="clear" w:color="auto" w:fill="FFFFFF"/>
              </w:rPr>
              <w:t>,</w:t>
            </w:r>
          </w:p>
          <w:p w14:paraId="2E7D2363" w14:textId="0602CF86"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Naczeln</w:t>
            </w:r>
            <w:r w:rsidR="00B31FC0">
              <w:rPr>
                <w:rFonts w:ascii="Times New Roman" w:hAnsi="Times New Roman"/>
                <w:shd w:val="clear" w:color="auto" w:fill="FFFFFF"/>
              </w:rPr>
              <w:t>ej</w:t>
            </w:r>
            <w:r w:rsidRPr="00247DC3">
              <w:rPr>
                <w:rFonts w:ascii="Times New Roman" w:hAnsi="Times New Roman"/>
                <w:shd w:val="clear" w:color="auto" w:fill="FFFFFF"/>
              </w:rPr>
              <w:t xml:space="preserve"> Rad</w:t>
            </w:r>
            <w:r w:rsidR="00B31FC0">
              <w:rPr>
                <w:rFonts w:ascii="Times New Roman" w:hAnsi="Times New Roman"/>
                <w:shd w:val="clear" w:color="auto" w:fill="FFFFFF"/>
              </w:rPr>
              <w:t>zie</w:t>
            </w:r>
            <w:r w:rsidRPr="00247DC3">
              <w:rPr>
                <w:rFonts w:ascii="Times New Roman" w:hAnsi="Times New Roman"/>
                <w:shd w:val="clear" w:color="auto" w:fill="FFFFFF"/>
              </w:rPr>
              <w:t xml:space="preserve"> Adwokacka</w:t>
            </w:r>
            <w:r>
              <w:rPr>
                <w:rFonts w:ascii="Times New Roman" w:hAnsi="Times New Roman"/>
                <w:shd w:val="clear" w:color="auto" w:fill="FFFFFF"/>
              </w:rPr>
              <w:t>,</w:t>
            </w:r>
          </w:p>
          <w:p w14:paraId="11C367B5" w14:textId="0E2C10CB"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Naczeln</w:t>
            </w:r>
            <w:r w:rsidR="00B31FC0">
              <w:rPr>
                <w:rFonts w:ascii="Times New Roman" w:hAnsi="Times New Roman"/>
                <w:shd w:val="clear" w:color="auto" w:fill="FFFFFF"/>
              </w:rPr>
              <w:t>ej</w:t>
            </w:r>
            <w:r w:rsidRPr="00247DC3">
              <w:rPr>
                <w:rFonts w:ascii="Times New Roman" w:hAnsi="Times New Roman"/>
                <w:shd w:val="clear" w:color="auto" w:fill="FFFFFF"/>
              </w:rPr>
              <w:t xml:space="preserve"> Rad</w:t>
            </w:r>
            <w:r w:rsidR="00B31FC0">
              <w:rPr>
                <w:rFonts w:ascii="Times New Roman" w:hAnsi="Times New Roman"/>
                <w:shd w:val="clear" w:color="auto" w:fill="FFFFFF"/>
              </w:rPr>
              <w:t>zie</w:t>
            </w:r>
            <w:r w:rsidRPr="00247DC3">
              <w:rPr>
                <w:rFonts w:ascii="Times New Roman" w:hAnsi="Times New Roman"/>
                <w:shd w:val="clear" w:color="auto" w:fill="FFFFFF"/>
              </w:rPr>
              <w:t xml:space="preserve"> Zrzeszeń Handlu i Usług</w:t>
            </w:r>
            <w:r>
              <w:rPr>
                <w:rFonts w:ascii="Times New Roman" w:hAnsi="Times New Roman"/>
                <w:shd w:val="clear" w:color="auto" w:fill="FFFFFF"/>
              </w:rPr>
              <w:t>,</w:t>
            </w:r>
          </w:p>
          <w:p w14:paraId="106E3CF6" w14:textId="7C31C7CD"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Polsk</w:t>
            </w:r>
            <w:r w:rsidR="00B31FC0">
              <w:rPr>
                <w:rFonts w:ascii="Times New Roman" w:hAnsi="Times New Roman"/>
                <w:shd w:val="clear" w:color="auto" w:fill="FFFFFF"/>
              </w:rPr>
              <w:t>iej</w:t>
            </w:r>
            <w:r w:rsidRPr="00247DC3">
              <w:rPr>
                <w:rFonts w:ascii="Times New Roman" w:hAnsi="Times New Roman"/>
                <w:shd w:val="clear" w:color="auto" w:fill="FFFFFF"/>
              </w:rPr>
              <w:t xml:space="preserve"> Organizacj</w:t>
            </w:r>
            <w:r w:rsidR="00B31FC0">
              <w:rPr>
                <w:rFonts w:ascii="Times New Roman" w:hAnsi="Times New Roman"/>
                <w:shd w:val="clear" w:color="auto" w:fill="FFFFFF"/>
              </w:rPr>
              <w:t>i</w:t>
            </w:r>
            <w:r w:rsidRPr="00247DC3">
              <w:rPr>
                <w:rFonts w:ascii="Times New Roman" w:hAnsi="Times New Roman"/>
                <w:shd w:val="clear" w:color="auto" w:fill="FFFFFF"/>
              </w:rPr>
              <w:t xml:space="preserve"> Handlu i Dystrybucji</w:t>
            </w:r>
            <w:r>
              <w:rPr>
                <w:rFonts w:ascii="Times New Roman" w:hAnsi="Times New Roman"/>
                <w:shd w:val="clear" w:color="auto" w:fill="FFFFFF"/>
              </w:rPr>
              <w:t>,</w:t>
            </w:r>
          </w:p>
          <w:p w14:paraId="7025514D" w14:textId="1CCB082C"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Polskie</w:t>
            </w:r>
            <w:r w:rsidR="00B31FC0">
              <w:rPr>
                <w:rFonts w:ascii="Times New Roman" w:hAnsi="Times New Roman"/>
                <w:shd w:val="clear" w:color="auto" w:fill="FFFFFF"/>
              </w:rPr>
              <w:t>mu</w:t>
            </w:r>
            <w:r w:rsidRPr="00247DC3">
              <w:rPr>
                <w:rFonts w:ascii="Times New Roman" w:hAnsi="Times New Roman"/>
                <w:shd w:val="clear" w:color="auto" w:fill="FFFFFF"/>
              </w:rPr>
              <w:t xml:space="preserve"> Stowarzyszeni</w:t>
            </w:r>
            <w:r w:rsidR="00B31FC0">
              <w:rPr>
                <w:rFonts w:ascii="Times New Roman" w:hAnsi="Times New Roman"/>
                <w:shd w:val="clear" w:color="auto" w:fill="FFFFFF"/>
              </w:rPr>
              <w:t>u</w:t>
            </w:r>
            <w:r w:rsidRPr="00247DC3">
              <w:rPr>
                <w:rFonts w:ascii="Times New Roman" w:hAnsi="Times New Roman"/>
                <w:shd w:val="clear" w:color="auto" w:fill="FFFFFF"/>
              </w:rPr>
              <w:t xml:space="preserve"> Sprzedaży Bezpośredniej</w:t>
            </w:r>
            <w:r>
              <w:rPr>
                <w:rFonts w:ascii="Times New Roman" w:hAnsi="Times New Roman"/>
                <w:shd w:val="clear" w:color="auto" w:fill="FFFFFF"/>
              </w:rPr>
              <w:t>,</w:t>
            </w:r>
          </w:p>
          <w:p w14:paraId="62ACF00E" w14:textId="34054DD6"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Uni</w:t>
            </w:r>
            <w:r w:rsidR="00B31FC0">
              <w:rPr>
                <w:rFonts w:ascii="Times New Roman" w:hAnsi="Times New Roman"/>
                <w:shd w:val="clear" w:color="auto" w:fill="FFFFFF"/>
              </w:rPr>
              <w:t>i</w:t>
            </w:r>
            <w:r w:rsidRPr="00247DC3">
              <w:rPr>
                <w:rFonts w:ascii="Times New Roman" w:hAnsi="Times New Roman"/>
                <w:shd w:val="clear" w:color="auto" w:fill="FFFFFF"/>
              </w:rPr>
              <w:t xml:space="preserve"> Metropolii Polskich</w:t>
            </w:r>
            <w:r>
              <w:rPr>
                <w:rFonts w:ascii="Times New Roman" w:hAnsi="Times New Roman"/>
                <w:shd w:val="clear" w:color="auto" w:fill="FFFFFF"/>
              </w:rPr>
              <w:t>,</w:t>
            </w:r>
          </w:p>
          <w:p w14:paraId="1F82374F" w14:textId="4A87DA04"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Uni</w:t>
            </w:r>
            <w:r w:rsidR="00B31FC0">
              <w:rPr>
                <w:rFonts w:ascii="Times New Roman" w:hAnsi="Times New Roman"/>
                <w:shd w:val="clear" w:color="auto" w:fill="FFFFFF"/>
              </w:rPr>
              <w:t>i</w:t>
            </w:r>
            <w:r w:rsidRPr="00247DC3">
              <w:rPr>
                <w:rFonts w:ascii="Times New Roman" w:hAnsi="Times New Roman"/>
                <w:shd w:val="clear" w:color="auto" w:fill="FFFFFF"/>
              </w:rPr>
              <w:t xml:space="preserve"> Miasteczek Polskich</w:t>
            </w:r>
            <w:r>
              <w:rPr>
                <w:rFonts w:ascii="Times New Roman" w:hAnsi="Times New Roman"/>
                <w:shd w:val="clear" w:color="auto" w:fill="FFFFFF"/>
              </w:rPr>
              <w:t>,</w:t>
            </w:r>
          </w:p>
          <w:p w14:paraId="61908C97" w14:textId="58C3AC09"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Związ</w:t>
            </w:r>
            <w:r w:rsidR="00B41A99">
              <w:rPr>
                <w:rFonts w:ascii="Times New Roman" w:hAnsi="Times New Roman"/>
                <w:shd w:val="clear" w:color="auto" w:fill="FFFFFF"/>
              </w:rPr>
              <w:t>kowi</w:t>
            </w:r>
            <w:r w:rsidRPr="00247DC3">
              <w:rPr>
                <w:rFonts w:ascii="Times New Roman" w:hAnsi="Times New Roman"/>
                <w:shd w:val="clear" w:color="auto" w:fill="FFFFFF"/>
              </w:rPr>
              <w:t xml:space="preserve"> Banków Polskich</w:t>
            </w:r>
            <w:r>
              <w:rPr>
                <w:rFonts w:ascii="Times New Roman" w:hAnsi="Times New Roman"/>
                <w:shd w:val="clear" w:color="auto" w:fill="FFFFFF"/>
              </w:rPr>
              <w:t>,</w:t>
            </w:r>
          </w:p>
          <w:p w14:paraId="016E7438" w14:textId="65ABB447"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Stowarzyszeni</w:t>
            </w:r>
            <w:r w:rsidR="00B41A99">
              <w:rPr>
                <w:rFonts w:ascii="Times New Roman" w:hAnsi="Times New Roman"/>
                <w:shd w:val="clear" w:color="auto" w:fill="FFFFFF"/>
              </w:rPr>
              <w:t>u</w:t>
            </w:r>
            <w:r w:rsidRPr="00247DC3">
              <w:rPr>
                <w:rFonts w:ascii="Times New Roman" w:hAnsi="Times New Roman"/>
                <w:shd w:val="clear" w:color="auto" w:fill="FFFFFF"/>
              </w:rPr>
              <w:t xml:space="preserve"> Prawa Konkurencji</w:t>
            </w:r>
            <w:r>
              <w:rPr>
                <w:rFonts w:ascii="Times New Roman" w:hAnsi="Times New Roman"/>
                <w:shd w:val="clear" w:color="auto" w:fill="FFFFFF"/>
              </w:rPr>
              <w:t>,</w:t>
            </w:r>
          </w:p>
          <w:p w14:paraId="056D4963" w14:textId="6BBCF0F1" w:rsidR="00247DC3" w:rsidRPr="00247DC3" w:rsidRDefault="00247DC3" w:rsidP="00247DC3">
            <w:pPr>
              <w:numPr>
                <w:ilvl w:val="0"/>
                <w:numId w:val="22"/>
              </w:numPr>
              <w:jc w:val="both"/>
              <w:rPr>
                <w:rFonts w:ascii="Times New Roman" w:hAnsi="Times New Roman"/>
                <w:shd w:val="clear" w:color="auto" w:fill="FFFFFF"/>
              </w:rPr>
            </w:pPr>
            <w:r w:rsidRPr="00247DC3">
              <w:rPr>
                <w:rFonts w:ascii="Times New Roman" w:hAnsi="Times New Roman"/>
                <w:shd w:val="clear" w:color="auto" w:fill="FFFFFF"/>
              </w:rPr>
              <w:t>Instytut</w:t>
            </w:r>
            <w:r w:rsidR="00B41A99">
              <w:rPr>
                <w:rFonts w:ascii="Times New Roman" w:hAnsi="Times New Roman"/>
                <w:shd w:val="clear" w:color="auto" w:fill="FFFFFF"/>
              </w:rPr>
              <w:t>owi</w:t>
            </w:r>
            <w:r w:rsidRPr="00247DC3">
              <w:rPr>
                <w:rFonts w:ascii="Times New Roman" w:hAnsi="Times New Roman"/>
                <w:shd w:val="clear" w:color="auto" w:fill="FFFFFF"/>
              </w:rPr>
              <w:t xml:space="preserve"> Nauk Prawnych Polskiej Akademii Nauk - Zakład</w:t>
            </w:r>
            <w:r w:rsidR="00B41A99">
              <w:rPr>
                <w:rFonts w:ascii="Times New Roman" w:hAnsi="Times New Roman"/>
                <w:shd w:val="clear" w:color="auto" w:fill="FFFFFF"/>
              </w:rPr>
              <w:t>owi</w:t>
            </w:r>
            <w:r w:rsidRPr="00247DC3">
              <w:rPr>
                <w:rFonts w:ascii="Times New Roman" w:hAnsi="Times New Roman"/>
                <w:shd w:val="clear" w:color="auto" w:fill="FFFFFF"/>
              </w:rPr>
              <w:t xml:space="preserve"> Prawa Konkurencji</w:t>
            </w:r>
            <w:r>
              <w:rPr>
                <w:rFonts w:ascii="Times New Roman" w:hAnsi="Times New Roman"/>
                <w:shd w:val="clear" w:color="auto" w:fill="FFFFFF"/>
              </w:rPr>
              <w:t>.</w:t>
            </w:r>
          </w:p>
          <w:p w14:paraId="79D89ADE" w14:textId="05BA27CB" w:rsidR="006E4308" w:rsidRDefault="006E4308" w:rsidP="00711333">
            <w:pPr>
              <w:jc w:val="both"/>
              <w:rPr>
                <w:rFonts w:ascii="Times New Roman" w:hAnsi="Times New Roman"/>
                <w:shd w:val="clear" w:color="auto" w:fill="FFFFFF"/>
              </w:rPr>
            </w:pPr>
          </w:p>
          <w:p w14:paraId="0DF35037" w14:textId="0B5B44D7" w:rsidR="00A7773B" w:rsidRDefault="006E4308" w:rsidP="00F76AA1">
            <w:pPr>
              <w:jc w:val="both"/>
              <w:rPr>
                <w:rFonts w:ascii="Times New Roman" w:hAnsi="Times New Roman"/>
                <w:shd w:val="clear" w:color="auto" w:fill="FFFFFF"/>
              </w:rPr>
            </w:pPr>
            <w:r>
              <w:rPr>
                <w:rFonts w:ascii="Times New Roman" w:hAnsi="Times New Roman"/>
                <w:shd w:val="clear" w:color="auto" w:fill="FFFFFF"/>
              </w:rPr>
              <w:t>Projekt zosta</w:t>
            </w:r>
            <w:r w:rsidR="00A7773B">
              <w:rPr>
                <w:rFonts w:ascii="Times New Roman" w:hAnsi="Times New Roman"/>
                <w:shd w:val="clear" w:color="auto" w:fill="FFFFFF"/>
              </w:rPr>
              <w:t>ł</w:t>
            </w:r>
            <w:r>
              <w:rPr>
                <w:rFonts w:ascii="Times New Roman" w:hAnsi="Times New Roman"/>
                <w:shd w:val="clear" w:color="auto" w:fill="FFFFFF"/>
              </w:rPr>
              <w:t xml:space="preserve"> także przekazany do zaopiniowania przez Radę Legislacyjną, </w:t>
            </w:r>
            <w:r w:rsidR="00F76AA1" w:rsidRPr="00F76AA1">
              <w:rPr>
                <w:rFonts w:ascii="Times New Roman" w:hAnsi="Times New Roman"/>
                <w:shd w:val="clear" w:color="auto" w:fill="FFFFFF"/>
              </w:rPr>
              <w:t>Sąd Najwyżs</w:t>
            </w:r>
            <w:r w:rsidR="00F76AA1">
              <w:rPr>
                <w:rFonts w:ascii="Times New Roman" w:hAnsi="Times New Roman"/>
                <w:shd w:val="clear" w:color="auto" w:fill="FFFFFF"/>
              </w:rPr>
              <w:t xml:space="preserve">zy, </w:t>
            </w:r>
            <w:r w:rsidR="00F76AA1" w:rsidRPr="00F76AA1">
              <w:rPr>
                <w:rFonts w:ascii="Times New Roman" w:hAnsi="Times New Roman"/>
                <w:shd w:val="clear" w:color="auto" w:fill="FFFFFF"/>
              </w:rPr>
              <w:t>Naczeln</w:t>
            </w:r>
            <w:r w:rsidR="00F76AA1">
              <w:rPr>
                <w:rFonts w:ascii="Times New Roman" w:hAnsi="Times New Roman"/>
                <w:shd w:val="clear" w:color="auto" w:fill="FFFFFF"/>
              </w:rPr>
              <w:t>y</w:t>
            </w:r>
            <w:r w:rsidR="00F76AA1" w:rsidRPr="00F76AA1">
              <w:rPr>
                <w:rFonts w:ascii="Times New Roman" w:hAnsi="Times New Roman"/>
                <w:shd w:val="clear" w:color="auto" w:fill="FFFFFF"/>
              </w:rPr>
              <w:t xml:space="preserve"> Sąd Administracyj</w:t>
            </w:r>
            <w:r w:rsidR="00F76AA1">
              <w:rPr>
                <w:rFonts w:ascii="Times New Roman" w:hAnsi="Times New Roman"/>
                <w:shd w:val="clear" w:color="auto" w:fill="FFFFFF"/>
              </w:rPr>
              <w:t xml:space="preserve">ny, </w:t>
            </w:r>
            <w:r w:rsidR="005E0EBA">
              <w:rPr>
                <w:rFonts w:ascii="Times New Roman" w:hAnsi="Times New Roman"/>
                <w:shd w:val="clear" w:color="auto" w:fill="FFFFFF"/>
              </w:rPr>
              <w:t xml:space="preserve">Sąd Ochrony Konkurencji i Konsumentów, </w:t>
            </w:r>
            <w:r w:rsidR="00F76AA1" w:rsidRPr="00F76AA1">
              <w:rPr>
                <w:rFonts w:ascii="Times New Roman" w:hAnsi="Times New Roman"/>
                <w:shd w:val="clear" w:color="auto" w:fill="FFFFFF"/>
              </w:rPr>
              <w:t>Prokuratori</w:t>
            </w:r>
            <w:r w:rsidR="00F76AA1">
              <w:rPr>
                <w:rFonts w:ascii="Times New Roman" w:hAnsi="Times New Roman"/>
                <w:shd w:val="clear" w:color="auto" w:fill="FFFFFF"/>
              </w:rPr>
              <w:t>ę</w:t>
            </w:r>
            <w:r w:rsidR="00F76AA1" w:rsidRPr="00F76AA1">
              <w:rPr>
                <w:rFonts w:ascii="Times New Roman" w:hAnsi="Times New Roman"/>
                <w:shd w:val="clear" w:color="auto" w:fill="FFFFFF"/>
              </w:rPr>
              <w:t xml:space="preserve"> Generaln</w:t>
            </w:r>
            <w:r w:rsidR="00F76AA1">
              <w:rPr>
                <w:rFonts w:ascii="Times New Roman" w:hAnsi="Times New Roman"/>
                <w:shd w:val="clear" w:color="auto" w:fill="FFFFFF"/>
              </w:rPr>
              <w:t xml:space="preserve">ą, </w:t>
            </w:r>
            <w:r w:rsidR="00F76AA1" w:rsidRPr="00F76AA1">
              <w:rPr>
                <w:rFonts w:ascii="Times New Roman" w:hAnsi="Times New Roman"/>
                <w:shd w:val="clear" w:color="auto" w:fill="FFFFFF"/>
              </w:rPr>
              <w:t>Rzecznik</w:t>
            </w:r>
            <w:r w:rsidR="00F76AA1">
              <w:rPr>
                <w:rFonts w:ascii="Times New Roman" w:hAnsi="Times New Roman"/>
                <w:shd w:val="clear" w:color="auto" w:fill="FFFFFF"/>
              </w:rPr>
              <w:t>a</w:t>
            </w:r>
            <w:r w:rsidR="00F76AA1" w:rsidRPr="00F76AA1">
              <w:rPr>
                <w:rFonts w:ascii="Times New Roman" w:hAnsi="Times New Roman"/>
                <w:shd w:val="clear" w:color="auto" w:fill="FFFFFF"/>
              </w:rPr>
              <w:t xml:space="preserve"> Finansow</w:t>
            </w:r>
            <w:r w:rsidR="00F76AA1">
              <w:rPr>
                <w:rFonts w:ascii="Times New Roman" w:hAnsi="Times New Roman"/>
                <w:shd w:val="clear" w:color="auto" w:fill="FFFFFF"/>
              </w:rPr>
              <w:t xml:space="preserve">ego, </w:t>
            </w:r>
            <w:r w:rsidR="00F76AA1" w:rsidRPr="00F76AA1">
              <w:rPr>
                <w:rFonts w:ascii="Times New Roman" w:hAnsi="Times New Roman"/>
                <w:shd w:val="clear" w:color="auto" w:fill="FFFFFF"/>
              </w:rPr>
              <w:t>Rzecznik</w:t>
            </w:r>
            <w:r w:rsidR="00F76AA1">
              <w:rPr>
                <w:rFonts w:ascii="Times New Roman" w:hAnsi="Times New Roman"/>
                <w:shd w:val="clear" w:color="auto" w:fill="FFFFFF"/>
              </w:rPr>
              <w:t>a</w:t>
            </w:r>
            <w:r w:rsidR="00F76AA1" w:rsidRPr="00F76AA1">
              <w:rPr>
                <w:rFonts w:ascii="Times New Roman" w:hAnsi="Times New Roman"/>
                <w:shd w:val="clear" w:color="auto" w:fill="FFFFFF"/>
              </w:rPr>
              <w:t xml:space="preserve"> Małych i Średnich Przedsiębiorców</w:t>
            </w:r>
            <w:r w:rsidR="00F76AA1">
              <w:rPr>
                <w:rFonts w:ascii="Times New Roman" w:hAnsi="Times New Roman"/>
                <w:shd w:val="clear" w:color="auto" w:fill="FFFFFF"/>
              </w:rPr>
              <w:t xml:space="preserve">, </w:t>
            </w:r>
            <w:r w:rsidR="00F76AA1" w:rsidRPr="00F76AA1">
              <w:rPr>
                <w:rFonts w:ascii="Times New Roman" w:hAnsi="Times New Roman"/>
                <w:shd w:val="clear" w:color="auto" w:fill="FFFFFF"/>
              </w:rPr>
              <w:t>Komisj</w:t>
            </w:r>
            <w:r w:rsidR="00F76AA1">
              <w:rPr>
                <w:rFonts w:ascii="Times New Roman" w:hAnsi="Times New Roman"/>
                <w:shd w:val="clear" w:color="auto" w:fill="FFFFFF"/>
              </w:rPr>
              <w:t>ę</w:t>
            </w:r>
            <w:r w:rsidR="00F76AA1" w:rsidRPr="00F76AA1">
              <w:rPr>
                <w:rFonts w:ascii="Times New Roman" w:hAnsi="Times New Roman"/>
                <w:shd w:val="clear" w:color="auto" w:fill="FFFFFF"/>
              </w:rPr>
              <w:t xml:space="preserve"> Nadzoru Finansowego</w:t>
            </w:r>
            <w:r w:rsidR="00F76AA1">
              <w:rPr>
                <w:rFonts w:ascii="Times New Roman" w:hAnsi="Times New Roman"/>
                <w:shd w:val="clear" w:color="auto" w:fill="FFFFFF"/>
              </w:rPr>
              <w:t xml:space="preserve">, </w:t>
            </w:r>
            <w:r w:rsidR="00F76AA1" w:rsidRPr="00F76AA1">
              <w:rPr>
                <w:rFonts w:ascii="Times New Roman" w:hAnsi="Times New Roman"/>
                <w:shd w:val="clear" w:color="auto" w:fill="FFFFFF"/>
              </w:rPr>
              <w:t>Urz</w:t>
            </w:r>
            <w:r w:rsidR="00F76AA1">
              <w:rPr>
                <w:rFonts w:ascii="Times New Roman" w:hAnsi="Times New Roman"/>
                <w:shd w:val="clear" w:color="auto" w:fill="FFFFFF"/>
              </w:rPr>
              <w:t>ą</w:t>
            </w:r>
            <w:r w:rsidR="00F76AA1" w:rsidRPr="00F76AA1">
              <w:rPr>
                <w:rFonts w:ascii="Times New Roman" w:hAnsi="Times New Roman"/>
                <w:shd w:val="clear" w:color="auto" w:fill="FFFFFF"/>
              </w:rPr>
              <w:t>d Ochrony Danych Osobowych</w:t>
            </w:r>
            <w:r w:rsidR="00F76AA1">
              <w:rPr>
                <w:rFonts w:ascii="Times New Roman" w:hAnsi="Times New Roman"/>
                <w:shd w:val="clear" w:color="auto" w:fill="FFFFFF"/>
              </w:rPr>
              <w:t xml:space="preserve">, </w:t>
            </w:r>
            <w:r w:rsidR="00F76AA1" w:rsidRPr="00F76AA1">
              <w:rPr>
                <w:rFonts w:ascii="Times New Roman" w:hAnsi="Times New Roman"/>
                <w:shd w:val="clear" w:color="auto" w:fill="FFFFFF"/>
              </w:rPr>
              <w:t>Urz</w:t>
            </w:r>
            <w:r w:rsidR="00F76AA1">
              <w:rPr>
                <w:rFonts w:ascii="Times New Roman" w:hAnsi="Times New Roman"/>
                <w:shd w:val="clear" w:color="auto" w:fill="FFFFFF"/>
              </w:rPr>
              <w:t>ą</w:t>
            </w:r>
            <w:r w:rsidR="00F76AA1" w:rsidRPr="00F76AA1">
              <w:rPr>
                <w:rFonts w:ascii="Times New Roman" w:hAnsi="Times New Roman"/>
                <w:shd w:val="clear" w:color="auto" w:fill="FFFFFF"/>
              </w:rPr>
              <w:t>d Regulacji Energetyki</w:t>
            </w:r>
            <w:r w:rsidR="00F76AA1">
              <w:rPr>
                <w:rFonts w:ascii="Times New Roman" w:hAnsi="Times New Roman"/>
                <w:shd w:val="clear" w:color="auto" w:fill="FFFFFF"/>
              </w:rPr>
              <w:t xml:space="preserve">, </w:t>
            </w:r>
            <w:r w:rsidR="00F76AA1" w:rsidRPr="00F76AA1">
              <w:rPr>
                <w:rFonts w:ascii="Times New Roman" w:hAnsi="Times New Roman"/>
                <w:shd w:val="clear" w:color="auto" w:fill="FFFFFF"/>
              </w:rPr>
              <w:t>Urz</w:t>
            </w:r>
            <w:r w:rsidR="0079179A">
              <w:rPr>
                <w:rFonts w:ascii="Times New Roman" w:hAnsi="Times New Roman"/>
                <w:shd w:val="clear" w:color="auto" w:fill="FFFFFF"/>
              </w:rPr>
              <w:t>ą</w:t>
            </w:r>
            <w:r w:rsidR="00F76AA1" w:rsidRPr="00F76AA1">
              <w:rPr>
                <w:rFonts w:ascii="Times New Roman" w:hAnsi="Times New Roman"/>
                <w:shd w:val="clear" w:color="auto" w:fill="FFFFFF"/>
              </w:rPr>
              <w:t>d Komunikacji Elektronicznej</w:t>
            </w:r>
            <w:r w:rsidR="0079179A">
              <w:rPr>
                <w:rFonts w:ascii="Times New Roman" w:hAnsi="Times New Roman"/>
                <w:shd w:val="clear" w:color="auto" w:fill="FFFFFF"/>
              </w:rPr>
              <w:t xml:space="preserve"> oraz </w:t>
            </w:r>
            <w:r w:rsidR="00F76AA1" w:rsidRPr="00F76AA1">
              <w:rPr>
                <w:rFonts w:ascii="Times New Roman" w:hAnsi="Times New Roman"/>
                <w:shd w:val="clear" w:color="auto" w:fill="FFFFFF"/>
              </w:rPr>
              <w:t>Komen</w:t>
            </w:r>
            <w:r w:rsidR="0079179A">
              <w:rPr>
                <w:rFonts w:ascii="Times New Roman" w:hAnsi="Times New Roman"/>
                <w:shd w:val="clear" w:color="auto" w:fill="FFFFFF"/>
              </w:rPr>
              <w:t>dę</w:t>
            </w:r>
            <w:r w:rsidR="00F76AA1" w:rsidRPr="00F76AA1">
              <w:rPr>
                <w:rFonts w:ascii="Times New Roman" w:hAnsi="Times New Roman"/>
                <w:shd w:val="clear" w:color="auto" w:fill="FFFFFF"/>
              </w:rPr>
              <w:t xml:space="preserve"> Główn</w:t>
            </w:r>
            <w:r w:rsidR="0079179A">
              <w:rPr>
                <w:rFonts w:ascii="Times New Roman" w:hAnsi="Times New Roman"/>
                <w:shd w:val="clear" w:color="auto" w:fill="FFFFFF"/>
              </w:rPr>
              <w:t>ą</w:t>
            </w:r>
            <w:r w:rsidR="00F76AA1" w:rsidRPr="00F76AA1">
              <w:rPr>
                <w:rFonts w:ascii="Times New Roman" w:hAnsi="Times New Roman"/>
                <w:shd w:val="clear" w:color="auto" w:fill="FFFFFF"/>
              </w:rPr>
              <w:t xml:space="preserve"> Policji</w:t>
            </w:r>
            <w:r w:rsidR="0079179A">
              <w:rPr>
                <w:rFonts w:ascii="Times New Roman" w:hAnsi="Times New Roman"/>
                <w:shd w:val="clear" w:color="auto" w:fill="FFFFFF"/>
              </w:rPr>
              <w:t>.</w:t>
            </w:r>
          </w:p>
          <w:p w14:paraId="731C4A95" w14:textId="1F6626E6" w:rsidR="006E4308" w:rsidRDefault="006E4308" w:rsidP="00711333">
            <w:pPr>
              <w:jc w:val="both"/>
              <w:rPr>
                <w:rFonts w:ascii="Times New Roman" w:hAnsi="Times New Roman"/>
                <w:shd w:val="clear" w:color="auto" w:fill="FFFFFF"/>
              </w:rPr>
            </w:pPr>
          </w:p>
          <w:p w14:paraId="2CEF0745" w14:textId="3F7066F4" w:rsidR="006E4308" w:rsidRPr="00251039" w:rsidRDefault="00711333" w:rsidP="009310FA">
            <w:pPr>
              <w:jc w:val="both"/>
              <w:rPr>
                <w:rFonts w:ascii="Times New Roman" w:hAnsi="Times New Roman"/>
                <w:shd w:val="clear" w:color="auto" w:fill="FFFFFF"/>
              </w:rPr>
            </w:pPr>
            <w:r>
              <w:rPr>
                <w:rFonts w:ascii="Times New Roman" w:hAnsi="Times New Roman"/>
                <w:shd w:val="clear" w:color="auto" w:fill="FFFFFF"/>
              </w:rPr>
              <w:t>W ramach konsultacji i opiniowania został wyznaczony 21-dniowy termin na zgłaszanie uwag.</w:t>
            </w:r>
          </w:p>
          <w:p w14:paraId="0DC8DF60" w14:textId="77777777" w:rsidR="00251039" w:rsidRDefault="00251039" w:rsidP="006D6475">
            <w:pPr>
              <w:jc w:val="both"/>
              <w:rPr>
                <w:rFonts w:ascii="Times New Roman" w:hAnsi="Times New Roman"/>
                <w:shd w:val="clear" w:color="auto" w:fill="FFFFFF"/>
              </w:rPr>
            </w:pPr>
          </w:p>
          <w:p w14:paraId="71C09E3C" w14:textId="5C734477" w:rsidR="00427AB8" w:rsidRPr="006D6475" w:rsidRDefault="00427AB8" w:rsidP="006D6475">
            <w:pPr>
              <w:jc w:val="both"/>
              <w:rPr>
                <w:rFonts w:ascii="Times New Roman" w:hAnsi="Times New Roman"/>
                <w:shd w:val="clear" w:color="auto" w:fill="FFFFFF"/>
              </w:rPr>
            </w:pPr>
            <w:r w:rsidRPr="009310FA">
              <w:rPr>
                <w:rFonts w:ascii="Times New Roman" w:hAnsi="Times New Roman"/>
                <w:i/>
                <w:shd w:val="clear" w:color="auto" w:fill="FFFFFF"/>
              </w:rPr>
              <w:t xml:space="preserve">Wyniki konsultacji </w:t>
            </w:r>
            <w:r w:rsidR="006E4308">
              <w:rPr>
                <w:rFonts w:ascii="Times New Roman" w:hAnsi="Times New Roman"/>
                <w:i/>
                <w:shd w:val="clear" w:color="auto" w:fill="FFFFFF"/>
              </w:rPr>
              <w:t xml:space="preserve">i opiniowania </w:t>
            </w:r>
            <w:r w:rsidRPr="009310FA">
              <w:rPr>
                <w:rFonts w:ascii="Times New Roman" w:hAnsi="Times New Roman"/>
                <w:i/>
                <w:shd w:val="clear" w:color="auto" w:fill="FFFFFF"/>
              </w:rPr>
              <w:t>zostaną omówione po ich przeprowadzeniu</w:t>
            </w:r>
            <w:r w:rsidRPr="00427AB8">
              <w:rPr>
                <w:rFonts w:ascii="Times New Roman" w:hAnsi="Times New Roman"/>
                <w:shd w:val="clear" w:color="auto" w:fill="FFFFFF"/>
              </w:rPr>
              <w:t>.</w:t>
            </w:r>
          </w:p>
        </w:tc>
      </w:tr>
      <w:tr w:rsidR="00897A9F" w:rsidRPr="00424472" w14:paraId="05C5417B" w14:textId="77777777" w:rsidTr="00461AD7">
        <w:trPr>
          <w:trHeight w:val="363"/>
          <w:jc w:val="center"/>
        </w:trPr>
        <w:tc>
          <w:tcPr>
            <w:tcW w:w="10774" w:type="dxa"/>
            <w:gridSpan w:val="28"/>
            <w:shd w:val="clear" w:color="auto" w:fill="99CCFF"/>
            <w:vAlign w:val="center"/>
          </w:tcPr>
          <w:p w14:paraId="1D273FBF" w14:textId="77777777" w:rsidR="00897A9F" w:rsidRPr="00424472" w:rsidRDefault="00897A9F" w:rsidP="00424472">
            <w:pPr>
              <w:numPr>
                <w:ilvl w:val="0"/>
                <w:numId w:val="1"/>
              </w:numPr>
              <w:spacing w:before="60" w:after="60"/>
              <w:ind w:left="318" w:hanging="284"/>
              <w:jc w:val="both"/>
              <w:rPr>
                <w:rFonts w:ascii="Times New Roman" w:hAnsi="Times New Roman"/>
                <w:b/>
                <w:color w:val="000000"/>
              </w:rPr>
            </w:pPr>
            <w:r w:rsidRPr="00424472">
              <w:rPr>
                <w:rFonts w:ascii="Times New Roman" w:hAnsi="Times New Roman"/>
                <w:b/>
                <w:color w:val="000000"/>
              </w:rPr>
              <w:lastRenderedPageBreak/>
              <w:t xml:space="preserve"> Wpływ na sektor finansów publicznych</w:t>
            </w:r>
          </w:p>
        </w:tc>
      </w:tr>
      <w:tr w:rsidR="00897A9F" w:rsidRPr="00424472" w14:paraId="45778058" w14:textId="77777777" w:rsidTr="00461AD7">
        <w:trPr>
          <w:trHeight w:val="142"/>
          <w:jc w:val="center"/>
        </w:trPr>
        <w:tc>
          <w:tcPr>
            <w:tcW w:w="3123" w:type="dxa"/>
            <w:gridSpan w:val="4"/>
            <w:vMerge w:val="restart"/>
            <w:shd w:val="clear" w:color="auto" w:fill="FFFFFF"/>
            <w:vAlign w:val="center"/>
          </w:tcPr>
          <w:p w14:paraId="7B6DBCE8" w14:textId="0BDF5424" w:rsidR="00897A9F" w:rsidRPr="00424472" w:rsidRDefault="00897A9F" w:rsidP="00424472">
            <w:pPr>
              <w:spacing w:before="40" w:after="40"/>
              <w:rPr>
                <w:rFonts w:ascii="Times New Roman" w:hAnsi="Times New Roman"/>
                <w:i/>
                <w:color w:val="000000"/>
              </w:rPr>
            </w:pPr>
            <w:r w:rsidRPr="00424472">
              <w:rPr>
                <w:rFonts w:ascii="Times New Roman" w:hAnsi="Times New Roman"/>
                <w:color w:val="000000"/>
              </w:rPr>
              <w:t>(ceny stałe z 20</w:t>
            </w:r>
            <w:r w:rsidR="0095634E" w:rsidRPr="00424472">
              <w:rPr>
                <w:rFonts w:ascii="Times New Roman" w:hAnsi="Times New Roman"/>
                <w:color w:val="000000"/>
              </w:rPr>
              <w:t>2</w:t>
            </w:r>
            <w:r w:rsidR="005314DD">
              <w:rPr>
                <w:rFonts w:ascii="Times New Roman" w:hAnsi="Times New Roman"/>
                <w:color w:val="000000"/>
              </w:rPr>
              <w:t>1</w:t>
            </w:r>
            <w:r w:rsidRPr="00424472">
              <w:rPr>
                <w:rFonts w:ascii="Times New Roman" w:hAnsi="Times New Roman"/>
                <w:color w:val="000000"/>
              </w:rPr>
              <w:t xml:space="preserve"> r.)</w:t>
            </w:r>
          </w:p>
        </w:tc>
        <w:tc>
          <w:tcPr>
            <w:tcW w:w="7651" w:type="dxa"/>
            <w:gridSpan w:val="24"/>
            <w:shd w:val="clear" w:color="auto" w:fill="FFFFFF"/>
          </w:tcPr>
          <w:p w14:paraId="3BF51D72" w14:textId="77777777" w:rsidR="00897A9F" w:rsidRPr="00424472" w:rsidRDefault="00897A9F" w:rsidP="00424472">
            <w:pPr>
              <w:spacing w:before="40" w:after="40"/>
              <w:jc w:val="center"/>
              <w:rPr>
                <w:rFonts w:ascii="Times New Roman" w:hAnsi="Times New Roman"/>
                <w:i/>
                <w:color w:val="000000"/>
                <w:spacing w:val="-2"/>
              </w:rPr>
            </w:pPr>
            <w:r w:rsidRPr="00424472">
              <w:rPr>
                <w:rFonts w:ascii="Times New Roman" w:hAnsi="Times New Roman"/>
                <w:color w:val="000000"/>
              </w:rPr>
              <w:t>Skutki w okresie 10 lat od wejścia w życie zmian [mln zł]</w:t>
            </w:r>
          </w:p>
        </w:tc>
      </w:tr>
      <w:tr w:rsidR="0040727F" w:rsidRPr="00424472" w14:paraId="5F2B1934" w14:textId="77777777" w:rsidTr="00857FDC">
        <w:trPr>
          <w:trHeight w:val="142"/>
          <w:jc w:val="center"/>
        </w:trPr>
        <w:tc>
          <w:tcPr>
            <w:tcW w:w="3123" w:type="dxa"/>
            <w:gridSpan w:val="4"/>
            <w:vMerge/>
            <w:shd w:val="clear" w:color="auto" w:fill="FFFFFF"/>
          </w:tcPr>
          <w:p w14:paraId="14839952" w14:textId="77777777" w:rsidR="0040727F" w:rsidRPr="00424472" w:rsidRDefault="0040727F" w:rsidP="00424472">
            <w:pPr>
              <w:spacing w:before="40" w:after="40"/>
              <w:rPr>
                <w:rFonts w:ascii="Times New Roman" w:hAnsi="Times New Roman"/>
                <w:i/>
                <w:color w:val="000000"/>
              </w:rPr>
            </w:pPr>
          </w:p>
        </w:tc>
        <w:tc>
          <w:tcPr>
            <w:tcW w:w="569" w:type="dxa"/>
            <w:gridSpan w:val="2"/>
            <w:shd w:val="clear" w:color="auto" w:fill="D9D9D9" w:themeFill="background1" w:themeFillShade="D9"/>
            <w:vAlign w:val="center"/>
          </w:tcPr>
          <w:p w14:paraId="179DA11A"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0</w:t>
            </w:r>
          </w:p>
        </w:tc>
        <w:tc>
          <w:tcPr>
            <w:tcW w:w="570" w:type="dxa"/>
            <w:gridSpan w:val="2"/>
            <w:shd w:val="clear" w:color="auto" w:fill="D9D9D9" w:themeFill="background1" w:themeFillShade="D9"/>
            <w:vAlign w:val="center"/>
          </w:tcPr>
          <w:p w14:paraId="153A32C5"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1</w:t>
            </w:r>
          </w:p>
        </w:tc>
        <w:tc>
          <w:tcPr>
            <w:tcW w:w="570" w:type="dxa"/>
            <w:gridSpan w:val="2"/>
            <w:shd w:val="clear" w:color="auto" w:fill="D9D9D9" w:themeFill="background1" w:themeFillShade="D9"/>
            <w:vAlign w:val="center"/>
          </w:tcPr>
          <w:p w14:paraId="74BA7E9D"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2</w:t>
            </w:r>
          </w:p>
        </w:tc>
        <w:tc>
          <w:tcPr>
            <w:tcW w:w="569" w:type="dxa"/>
            <w:gridSpan w:val="2"/>
            <w:shd w:val="clear" w:color="auto" w:fill="D9D9D9" w:themeFill="background1" w:themeFillShade="D9"/>
            <w:vAlign w:val="center"/>
          </w:tcPr>
          <w:p w14:paraId="31983F14"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3</w:t>
            </w:r>
          </w:p>
        </w:tc>
        <w:tc>
          <w:tcPr>
            <w:tcW w:w="570" w:type="dxa"/>
            <w:gridSpan w:val="3"/>
            <w:shd w:val="clear" w:color="auto" w:fill="D9D9D9" w:themeFill="background1" w:themeFillShade="D9"/>
            <w:vAlign w:val="center"/>
          </w:tcPr>
          <w:p w14:paraId="38B8A76D"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4</w:t>
            </w:r>
          </w:p>
        </w:tc>
        <w:tc>
          <w:tcPr>
            <w:tcW w:w="579" w:type="dxa"/>
            <w:gridSpan w:val="2"/>
            <w:shd w:val="clear" w:color="auto" w:fill="D9D9D9" w:themeFill="background1" w:themeFillShade="D9"/>
            <w:vAlign w:val="center"/>
          </w:tcPr>
          <w:p w14:paraId="1EFBCD2D"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5</w:t>
            </w:r>
          </w:p>
        </w:tc>
        <w:tc>
          <w:tcPr>
            <w:tcW w:w="675" w:type="dxa"/>
            <w:gridSpan w:val="2"/>
            <w:shd w:val="clear" w:color="auto" w:fill="D9D9D9" w:themeFill="background1" w:themeFillShade="D9"/>
            <w:vAlign w:val="center"/>
          </w:tcPr>
          <w:p w14:paraId="3CFB0340"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6</w:t>
            </w:r>
          </w:p>
        </w:tc>
        <w:tc>
          <w:tcPr>
            <w:tcW w:w="567" w:type="dxa"/>
            <w:gridSpan w:val="3"/>
            <w:shd w:val="clear" w:color="auto" w:fill="D9D9D9" w:themeFill="background1" w:themeFillShade="D9"/>
            <w:vAlign w:val="center"/>
          </w:tcPr>
          <w:p w14:paraId="04B8882B"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7</w:t>
            </w:r>
          </w:p>
        </w:tc>
        <w:tc>
          <w:tcPr>
            <w:tcW w:w="567" w:type="dxa"/>
            <w:shd w:val="clear" w:color="auto" w:fill="D9D9D9" w:themeFill="background1" w:themeFillShade="D9"/>
            <w:vAlign w:val="center"/>
          </w:tcPr>
          <w:p w14:paraId="364C8BE6"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8</w:t>
            </w:r>
          </w:p>
        </w:tc>
        <w:tc>
          <w:tcPr>
            <w:tcW w:w="567" w:type="dxa"/>
            <w:gridSpan w:val="2"/>
            <w:shd w:val="clear" w:color="auto" w:fill="D9D9D9" w:themeFill="background1" w:themeFillShade="D9"/>
            <w:vAlign w:val="center"/>
          </w:tcPr>
          <w:p w14:paraId="319FCBD3"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9</w:t>
            </w:r>
          </w:p>
        </w:tc>
        <w:tc>
          <w:tcPr>
            <w:tcW w:w="567" w:type="dxa"/>
            <w:shd w:val="clear" w:color="auto" w:fill="D9D9D9" w:themeFill="background1" w:themeFillShade="D9"/>
            <w:vAlign w:val="center"/>
          </w:tcPr>
          <w:p w14:paraId="5A5B2C40" w14:textId="77777777" w:rsidR="0040727F" w:rsidRPr="00424472" w:rsidRDefault="0040727F" w:rsidP="00424472">
            <w:pPr>
              <w:jc w:val="center"/>
              <w:rPr>
                <w:rFonts w:ascii="Times New Roman" w:hAnsi="Times New Roman"/>
                <w:color w:val="000000"/>
              </w:rPr>
            </w:pPr>
            <w:r w:rsidRPr="00424472">
              <w:rPr>
                <w:rFonts w:ascii="Times New Roman" w:hAnsi="Times New Roman"/>
                <w:color w:val="000000"/>
              </w:rPr>
              <w:t>10</w:t>
            </w:r>
          </w:p>
        </w:tc>
        <w:tc>
          <w:tcPr>
            <w:tcW w:w="1281" w:type="dxa"/>
            <w:gridSpan w:val="2"/>
            <w:vMerge w:val="restart"/>
            <w:shd w:val="clear" w:color="auto" w:fill="D9D9D9" w:themeFill="background1" w:themeFillShade="D9"/>
            <w:vAlign w:val="center"/>
          </w:tcPr>
          <w:p w14:paraId="76BD81D7" w14:textId="77777777" w:rsidR="0040727F" w:rsidRPr="00424472" w:rsidRDefault="0040727F" w:rsidP="00424472">
            <w:pPr>
              <w:spacing w:before="40" w:after="40"/>
              <w:jc w:val="center"/>
              <w:rPr>
                <w:rFonts w:ascii="Times New Roman" w:hAnsi="Times New Roman"/>
                <w:i/>
                <w:color w:val="000000"/>
                <w:spacing w:val="-2"/>
              </w:rPr>
            </w:pPr>
            <w:r w:rsidRPr="00424472">
              <w:rPr>
                <w:rFonts w:ascii="Times New Roman" w:hAnsi="Times New Roman"/>
                <w:i/>
                <w:color w:val="000000"/>
                <w:spacing w:val="-2"/>
              </w:rPr>
              <w:t xml:space="preserve">Łącznie </w:t>
            </w:r>
            <w:r w:rsidRPr="00424472">
              <w:rPr>
                <w:rFonts w:ascii="Times New Roman" w:hAnsi="Times New Roman"/>
                <w:i/>
                <w:color w:val="000000"/>
                <w:spacing w:val="-2"/>
              </w:rPr>
              <w:br/>
              <w:t>(0-10)</w:t>
            </w:r>
          </w:p>
        </w:tc>
      </w:tr>
      <w:tr w:rsidR="0040727F" w:rsidRPr="00424472" w14:paraId="278FD900" w14:textId="77777777" w:rsidTr="00857FDC">
        <w:trPr>
          <w:trHeight w:val="321"/>
          <w:jc w:val="center"/>
        </w:trPr>
        <w:tc>
          <w:tcPr>
            <w:tcW w:w="3123" w:type="dxa"/>
            <w:gridSpan w:val="4"/>
            <w:shd w:val="clear" w:color="auto" w:fill="FFFFFF"/>
            <w:vAlign w:val="center"/>
          </w:tcPr>
          <w:p w14:paraId="1372C2B9" w14:textId="77777777" w:rsidR="0040727F" w:rsidRPr="00424472" w:rsidRDefault="0040727F" w:rsidP="00424472">
            <w:pPr>
              <w:rPr>
                <w:rFonts w:ascii="Times New Roman" w:hAnsi="Times New Roman"/>
                <w:b/>
                <w:color w:val="000000"/>
              </w:rPr>
            </w:pPr>
            <w:r>
              <w:rPr>
                <w:rFonts w:ascii="Times New Roman" w:hAnsi="Times New Roman"/>
                <w:b/>
                <w:color w:val="000000"/>
              </w:rPr>
              <w:t>ROK</w:t>
            </w:r>
          </w:p>
        </w:tc>
        <w:tc>
          <w:tcPr>
            <w:tcW w:w="569" w:type="dxa"/>
            <w:gridSpan w:val="2"/>
            <w:shd w:val="clear" w:color="auto" w:fill="FFFFFF"/>
            <w:vAlign w:val="center"/>
          </w:tcPr>
          <w:p w14:paraId="34A4FD16" w14:textId="11AB9E48"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1</w:t>
            </w:r>
          </w:p>
        </w:tc>
        <w:tc>
          <w:tcPr>
            <w:tcW w:w="570" w:type="dxa"/>
            <w:gridSpan w:val="2"/>
            <w:shd w:val="clear" w:color="auto" w:fill="FFFFFF"/>
            <w:vAlign w:val="center"/>
          </w:tcPr>
          <w:p w14:paraId="388E1294" w14:textId="7FE3E248"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2</w:t>
            </w:r>
          </w:p>
        </w:tc>
        <w:tc>
          <w:tcPr>
            <w:tcW w:w="570" w:type="dxa"/>
            <w:gridSpan w:val="2"/>
            <w:shd w:val="clear" w:color="auto" w:fill="FFFFFF"/>
            <w:vAlign w:val="center"/>
          </w:tcPr>
          <w:p w14:paraId="3D6B8C96" w14:textId="646CD1D9"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3</w:t>
            </w:r>
          </w:p>
        </w:tc>
        <w:tc>
          <w:tcPr>
            <w:tcW w:w="569" w:type="dxa"/>
            <w:gridSpan w:val="2"/>
            <w:shd w:val="clear" w:color="auto" w:fill="FFFFFF"/>
            <w:vAlign w:val="center"/>
          </w:tcPr>
          <w:p w14:paraId="61FD21A5" w14:textId="3DBB6F0A"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4</w:t>
            </w:r>
          </w:p>
        </w:tc>
        <w:tc>
          <w:tcPr>
            <w:tcW w:w="570" w:type="dxa"/>
            <w:gridSpan w:val="3"/>
            <w:shd w:val="clear" w:color="auto" w:fill="FFFFFF"/>
            <w:vAlign w:val="center"/>
          </w:tcPr>
          <w:p w14:paraId="470097E6" w14:textId="5A9F9A1D"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5</w:t>
            </w:r>
          </w:p>
        </w:tc>
        <w:tc>
          <w:tcPr>
            <w:tcW w:w="579" w:type="dxa"/>
            <w:gridSpan w:val="2"/>
            <w:shd w:val="clear" w:color="auto" w:fill="FFFFFF"/>
            <w:vAlign w:val="center"/>
          </w:tcPr>
          <w:p w14:paraId="7CD02E0A" w14:textId="37E82F51"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6</w:t>
            </w:r>
          </w:p>
        </w:tc>
        <w:tc>
          <w:tcPr>
            <w:tcW w:w="675" w:type="dxa"/>
            <w:gridSpan w:val="2"/>
            <w:shd w:val="clear" w:color="auto" w:fill="FFFFFF"/>
            <w:vAlign w:val="center"/>
          </w:tcPr>
          <w:p w14:paraId="59832D84" w14:textId="616BF5AA"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7</w:t>
            </w:r>
          </w:p>
        </w:tc>
        <w:tc>
          <w:tcPr>
            <w:tcW w:w="567" w:type="dxa"/>
            <w:gridSpan w:val="3"/>
            <w:shd w:val="clear" w:color="auto" w:fill="FFFFFF"/>
            <w:vAlign w:val="center"/>
          </w:tcPr>
          <w:p w14:paraId="187612C6" w14:textId="05BC604A"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8</w:t>
            </w:r>
          </w:p>
        </w:tc>
        <w:tc>
          <w:tcPr>
            <w:tcW w:w="567" w:type="dxa"/>
            <w:shd w:val="clear" w:color="auto" w:fill="FFFFFF"/>
            <w:vAlign w:val="center"/>
          </w:tcPr>
          <w:p w14:paraId="04BAE60A" w14:textId="26C6AF15"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202</w:t>
            </w:r>
            <w:r w:rsidR="005314DD">
              <w:rPr>
                <w:rFonts w:ascii="Times New Roman" w:hAnsi="Times New Roman"/>
                <w:b/>
                <w:color w:val="000000"/>
                <w:sz w:val="16"/>
                <w:szCs w:val="16"/>
              </w:rPr>
              <w:t>9</w:t>
            </w:r>
          </w:p>
        </w:tc>
        <w:tc>
          <w:tcPr>
            <w:tcW w:w="567" w:type="dxa"/>
            <w:gridSpan w:val="2"/>
            <w:shd w:val="clear" w:color="auto" w:fill="FFFFFF"/>
            <w:vAlign w:val="center"/>
          </w:tcPr>
          <w:p w14:paraId="1117B247" w14:textId="2F3774F3"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w:t>
            </w:r>
            <w:r w:rsidR="005314DD">
              <w:rPr>
                <w:rFonts w:ascii="Times New Roman" w:hAnsi="Times New Roman"/>
                <w:b/>
                <w:color w:val="000000"/>
                <w:sz w:val="16"/>
                <w:szCs w:val="16"/>
              </w:rPr>
              <w:t>30</w:t>
            </w:r>
          </w:p>
        </w:tc>
        <w:tc>
          <w:tcPr>
            <w:tcW w:w="567" w:type="dxa"/>
            <w:shd w:val="clear" w:color="auto" w:fill="FFFFFF"/>
            <w:vAlign w:val="center"/>
          </w:tcPr>
          <w:p w14:paraId="551EFA73" w14:textId="7D8E4A37" w:rsidR="0040727F" w:rsidRPr="00461AD7" w:rsidRDefault="0040727F" w:rsidP="00424472">
            <w:pPr>
              <w:rPr>
                <w:rFonts w:ascii="Times New Roman" w:hAnsi="Times New Roman"/>
                <w:b/>
                <w:color w:val="000000"/>
                <w:sz w:val="16"/>
                <w:szCs w:val="16"/>
              </w:rPr>
            </w:pPr>
            <w:r w:rsidRPr="00461AD7">
              <w:rPr>
                <w:rFonts w:ascii="Times New Roman" w:hAnsi="Times New Roman"/>
                <w:b/>
                <w:color w:val="000000"/>
                <w:sz w:val="16"/>
                <w:szCs w:val="16"/>
              </w:rPr>
              <w:t>203</w:t>
            </w:r>
            <w:r w:rsidR="005314DD">
              <w:rPr>
                <w:rFonts w:ascii="Times New Roman" w:hAnsi="Times New Roman"/>
                <w:b/>
                <w:color w:val="000000"/>
                <w:sz w:val="16"/>
                <w:szCs w:val="16"/>
              </w:rPr>
              <w:t>1</w:t>
            </w:r>
          </w:p>
        </w:tc>
        <w:tc>
          <w:tcPr>
            <w:tcW w:w="1281" w:type="dxa"/>
            <w:gridSpan w:val="2"/>
            <w:vMerge/>
            <w:shd w:val="clear" w:color="auto" w:fill="FFFFFF"/>
          </w:tcPr>
          <w:p w14:paraId="207AF182" w14:textId="77777777" w:rsidR="0040727F" w:rsidRPr="0040727F" w:rsidRDefault="0040727F" w:rsidP="00424472">
            <w:pPr>
              <w:rPr>
                <w:rFonts w:ascii="Times New Roman" w:hAnsi="Times New Roman"/>
                <w:color w:val="000000"/>
                <w:spacing w:val="-2"/>
                <w:sz w:val="16"/>
                <w:szCs w:val="16"/>
              </w:rPr>
            </w:pPr>
          </w:p>
        </w:tc>
      </w:tr>
      <w:tr w:rsidR="00661E5F" w:rsidRPr="00424472" w14:paraId="6464C856" w14:textId="77777777" w:rsidTr="00D76474">
        <w:trPr>
          <w:trHeight w:val="321"/>
          <w:jc w:val="center"/>
        </w:trPr>
        <w:tc>
          <w:tcPr>
            <w:tcW w:w="3123" w:type="dxa"/>
            <w:gridSpan w:val="4"/>
            <w:shd w:val="clear" w:color="auto" w:fill="FFFFFF"/>
            <w:vAlign w:val="center"/>
          </w:tcPr>
          <w:p w14:paraId="5484A77F" w14:textId="77777777" w:rsidR="00661E5F" w:rsidRPr="00424472" w:rsidRDefault="00661E5F" w:rsidP="00661E5F">
            <w:pPr>
              <w:rPr>
                <w:rFonts w:ascii="Times New Roman" w:hAnsi="Times New Roman"/>
                <w:color w:val="000000"/>
              </w:rPr>
            </w:pPr>
            <w:r w:rsidRPr="00424472">
              <w:rPr>
                <w:rFonts w:ascii="Times New Roman" w:hAnsi="Times New Roman"/>
                <w:b/>
                <w:color w:val="000000"/>
              </w:rPr>
              <w:t>Dochody ogółem</w:t>
            </w:r>
          </w:p>
        </w:tc>
        <w:tc>
          <w:tcPr>
            <w:tcW w:w="569" w:type="dxa"/>
            <w:gridSpan w:val="2"/>
            <w:shd w:val="clear" w:color="auto" w:fill="FFFFFF"/>
            <w:vAlign w:val="center"/>
          </w:tcPr>
          <w:p w14:paraId="001A8C75" w14:textId="16BD3E31" w:rsidR="00661E5F" w:rsidRPr="00661E5F" w:rsidRDefault="00661E5F" w:rsidP="00661E5F">
            <w:pPr>
              <w:spacing w:line="240" w:lineRule="auto"/>
              <w:jc w:val="right"/>
              <w:rPr>
                <w:rFonts w:ascii="Times New Roman" w:hAnsi="Times New Roman"/>
                <w:b/>
                <w:bCs/>
                <w:color w:val="000000"/>
                <w:sz w:val="13"/>
                <w:szCs w:val="13"/>
                <w:lang w:eastAsia="pl-PL"/>
              </w:rPr>
            </w:pPr>
          </w:p>
        </w:tc>
        <w:tc>
          <w:tcPr>
            <w:tcW w:w="570" w:type="dxa"/>
            <w:gridSpan w:val="2"/>
            <w:shd w:val="clear" w:color="auto" w:fill="FFFFFF"/>
            <w:vAlign w:val="center"/>
          </w:tcPr>
          <w:p w14:paraId="158B0566" w14:textId="0DFAD43A" w:rsidR="00661E5F" w:rsidRPr="00661E5F" w:rsidRDefault="00661E5F" w:rsidP="00661E5F">
            <w:pPr>
              <w:jc w:val="right"/>
              <w:rPr>
                <w:rFonts w:ascii="Times New Roman" w:hAnsi="Times New Roman"/>
                <w:b/>
                <w:bCs/>
                <w:color w:val="000000"/>
                <w:sz w:val="13"/>
                <w:szCs w:val="13"/>
              </w:rPr>
            </w:pPr>
          </w:p>
        </w:tc>
        <w:tc>
          <w:tcPr>
            <w:tcW w:w="570" w:type="dxa"/>
            <w:gridSpan w:val="2"/>
            <w:shd w:val="clear" w:color="auto" w:fill="FFFFFF"/>
            <w:vAlign w:val="center"/>
          </w:tcPr>
          <w:p w14:paraId="115AE9EF" w14:textId="7A5E47F1" w:rsidR="00661E5F" w:rsidRPr="00661E5F" w:rsidRDefault="00661E5F" w:rsidP="00661E5F">
            <w:pPr>
              <w:jc w:val="right"/>
              <w:rPr>
                <w:rFonts w:ascii="Times New Roman" w:hAnsi="Times New Roman"/>
                <w:b/>
                <w:bCs/>
                <w:color w:val="000000"/>
                <w:sz w:val="13"/>
                <w:szCs w:val="13"/>
              </w:rPr>
            </w:pPr>
          </w:p>
        </w:tc>
        <w:tc>
          <w:tcPr>
            <w:tcW w:w="569" w:type="dxa"/>
            <w:gridSpan w:val="2"/>
            <w:shd w:val="clear" w:color="auto" w:fill="FFFFFF"/>
            <w:vAlign w:val="center"/>
          </w:tcPr>
          <w:p w14:paraId="67CD296E" w14:textId="61AE64CF" w:rsidR="00661E5F" w:rsidRPr="00661E5F" w:rsidRDefault="00661E5F" w:rsidP="00661E5F">
            <w:pPr>
              <w:jc w:val="right"/>
              <w:rPr>
                <w:rFonts w:ascii="Times New Roman" w:hAnsi="Times New Roman"/>
                <w:b/>
                <w:bCs/>
                <w:color w:val="000000"/>
                <w:sz w:val="13"/>
                <w:szCs w:val="13"/>
              </w:rPr>
            </w:pPr>
          </w:p>
        </w:tc>
        <w:tc>
          <w:tcPr>
            <w:tcW w:w="570" w:type="dxa"/>
            <w:gridSpan w:val="3"/>
            <w:shd w:val="clear" w:color="auto" w:fill="FFFFFF"/>
            <w:vAlign w:val="center"/>
          </w:tcPr>
          <w:p w14:paraId="44BB486B" w14:textId="651B418B" w:rsidR="00661E5F" w:rsidRPr="00661E5F" w:rsidRDefault="00661E5F" w:rsidP="00661E5F">
            <w:pPr>
              <w:jc w:val="right"/>
              <w:rPr>
                <w:rFonts w:ascii="Times New Roman" w:hAnsi="Times New Roman"/>
                <w:b/>
                <w:bCs/>
                <w:color w:val="000000"/>
                <w:sz w:val="13"/>
                <w:szCs w:val="13"/>
              </w:rPr>
            </w:pPr>
          </w:p>
        </w:tc>
        <w:tc>
          <w:tcPr>
            <w:tcW w:w="579" w:type="dxa"/>
            <w:gridSpan w:val="2"/>
            <w:shd w:val="clear" w:color="auto" w:fill="FFFFFF"/>
            <w:vAlign w:val="center"/>
          </w:tcPr>
          <w:p w14:paraId="5FD60CA8" w14:textId="7D133668" w:rsidR="00661E5F" w:rsidRPr="00661E5F" w:rsidRDefault="00661E5F" w:rsidP="00661E5F">
            <w:pPr>
              <w:jc w:val="right"/>
              <w:rPr>
                <w:rFonts w:ascii="Times New Roman" w:hAnsi="Times New Roman"/>
                <w:b/>
                <w:bCs/>
                <w:color w:val="000000"/>
                <w:sz w:val="13"/>
                <w:szCs w:val="13"/>
              </w:rPr>
            </w:pPr>
          </w:p>
        </w:tc>
        <w:tc>
          <w:tcPr>
            <w:tcW w:w="675" w:type="dxa"/>
            <w:gridSpan w:val="2"/>
            <w:shd w:val="clear" w:color="auto" w:fill="FFFFFF"/>
            <w:vAlign w:val="center"/>
          </w:tcPr>
          <w:p w14:paraId="31B0766E" w14:textId="55D59072" w:rsidR="00661E5F" w:rsidRPr="00661E5F" w:rsidRDefault="00661E5F" w:rsidP="00661E5F">
            <w:pPr>
              <w:jc w:val="right"/>
              <w:rPr>
                <w:rFonts w:ascii="Times New Roman" w:hAnsi="Times New Roman"/>
                <w:b/>
                <w:bCs/>
                <w:color w:val="000000"/>
                <w:sz w:val="13"/>
                <w:szCs w:val="13"/>
              </w:rPr>
            </w:pPr>
          </w:p>
        </w:tc>
        <w:tc>
          <w:tcPr>
            <w:tcW w:w="567" w:type="dxa"/>
            <w:gridSpan w:val="3"/>
            <w:shd w:val="clear" w:color="auto" w:fill="FFFFFF"/>
            <w:vAlign w:val="center"/>
          </w:tcPr>
          <w:p w14:paraId="59BC14EE" w14:textId="0A7C18F1" w:rsidR="00661E5F" w:rsidRPr="00661E5F" w:rsidRDefault="00661E5F" w:rsidP="00661E5F">
            <w:pPr>
              <w:jc w:val="right"/>
              <w:rPr>
                <w:rFonts w:ascii="Times New Roman" w:hAnsi="Times New Roman"/>
                <w:b/>
                <w:bCs/>
                <w:color w:val="000000"/>
                <w:sz w:val="13"/>
                <w:szCs w:val="13"/>
              </w:rPr>
            </w:pPr>
          </w:p>
        </w:tc>
        <w:tc>
          <w:tcPr>
            <w:tcW w:w="567" w:type="dxa"/>
            <w:shd w:val="clear" w:color="auto" w:fill="FFFFFF"/>
            <w:vAlign w:val="center"/>
          </w:tcPr>
          <w:p w14:paraId="1F7BC66E" w14:textId="50FCBA18" w:rsidR="00661E5F" w:rsidRPr="00661E5F" w:rsidRDefault="00661E5F" w:rsidP="00661E5F">
            <w:pPr>
              <w:jc w:val="right"/>
              <w:rPr>
                <w:rFonts w:ascii="Times New Roman" w:hAnsi="Times New Roman"/>
                <w:b/>
                <w:bCs/>
                <w:color w:val="000000"/>
                <w:sz w:val="13"/>
                <w:szCs w:val="13"/>
              </w:rPr>
            </w:pPr>
          </w:p>
        </w:tc>
        <w:tc>
          <w:tcPr>
            <w:tcW w:w="567" w:type="dxa"/>
            <w:gridSpan w:val="2"/>
            <w:shd w:val="clear" w:color="auto" w:fill="FFFFFF"/>
            <w:vAlign w:val="center"/>
          </w:tcPr>
          <w:p w14:paraId="6A7826E0" w14:textId="6E626D01" w:rsidR="00661E5F" w:rsidRPr="00661E5F" w:rsidRDefault="00661E5F" w:rsidP="00661E5F">
            <w:pPr>
              <w:jc w:val="right"/>
              <w:rPr>
                <w:rFonts w:ascii="Times New Roman" w:hAnsi="Times New Roman"/>
                <w:b/>
                <w:bCs/>
                <w:color w:val="000000"/>
                <w:sz w:val="13"/>
                <w:szCs w:val="13"/>
              </w:rPr>
            </w:pPr>
          </w:p>
        </w:tc>
        <w:tc>
          <w:tcPr>
            <w:tcW w:w="567" w:type="dxa"/>
            <w:shd w:val="clear" w:color="auto" w:fill="FFFFFF"/>
            <w:vAlign w:val="center"/>
          </w:tcPr>
          <w:p w14:paraId="1E785311" w14:textId="5CA2D8C2" w:rsidR="00661E5F" w:rsidRPr="00661E5F" w:rsidRDefault="00661E5F" w:rsidP="00661E5F">
            <w:pPr>
              <w:jc w:val="right"/>
              <w:rPr>
                <w:rFonts w:ascii="Times New Roman" w:hAnsi="Times New Roman"/>
                <w:b/>
                <w:bCs/>
                <w:color w:val="000000"/>
                <w:sz w:val="13"/>
                <w:szCs w:val="13"/>
              </w:rPr>
            </w:pPr>
          </w:p>
        </w:tc>
        <w:tc>
          <w:tcPr>
            <w:tcW w:w="1281" w:type="dxa"/>
            <w:gridSpan w:val="2"/>
            <w:shd w:val="clear" w:color="auto" w:fill="FFFFFF"/>
            <w:vAlign w:val="center"/>
          </w:tcPr>
          <w:p w14:paraId="0917780A" w14:textId="670597F1" w:rsidR="00661E5F" w:rsidRPr="00661E5F" w:rsidRDefault="00661E5F" w:rsidP="00661E5F">
            <w:pPr>
              <w:jc w:val="right"/>
              <w:rPr>
                <w:rFonts w:ascii="Times New Roman" w:hAnsi="Times New Roman"/>
                <w:b/>
                <w:bCs/>
                <w:color w:val="000000"/>
                <w:sz w:val="13"/>
                <w:szCs w:val="13"/>
              </w:rPr>
            </w:pPr>
          </w:p>
        </w:tc>
      </w:tr>
      <w:tr w:rsidR="00661E5F" w:rsidRPr="00424472" w14:paraId="59D3BDF5" w14:textId="77777777" w:rsidTr="00857FDC">
        <w:trPr>
          <w:trHeight w:val="321"/>
          <w:jc w:val="center"/>
        </w:trPr>
        <w:tc>
          <w:tcPr>
            <w:tcW w:w="3123" w:type="dxa"/>
            <w:gridSpan w:val="4"/>
            <w:shd w:val="clear" w:color="auto" w:fill="FFFFFF"/>
            <w:vAlign w:val="center"/>
          </w:tcPr>
          <w:p w14:paraId="096667A2"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budżet państwa</w:t>
            </w:r>
          </w:p>
        </w:tc>
        <w:tc>
          <w:tcPr>
            <w:tcW w:w="569" w:type="dxa"/>
            <w:gridSpan w:val="2"/>
            <w:shd w:val="clear" w:color="auto" w:fill="FFFFFF"/>
            <w:vAlign w:val="center"/>
          </w:tcPr>
          <w:p w14:paraId="38A263E8" w14:textId="682093A2"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48DF7BA5" w14:textId="02433A4F"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409743E8" w14:textId="66165838"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0614E264" w14:textId="0F4F08EE"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6A3DD843" w14:textId="67284795"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619E7C8C" w14:textId="4CBC196D"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181CEA84" w14:textId="192F7584"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285D93C2" w14:textId="4EF146A1"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28FA5018" w14:textId="7997C86F"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25DF81A9" w14:textId="6B9621B3"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0A7DFB2D" w14:textId="7350533C"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1E19AB77" w14:textId="6AAC694B" w:rsidR="00661E5F" w:rsidRPr="00661E5F" w:rsidRDefault="00661E5F" w:rsidP="00661E5F">
            <w:pPr>
              <w:jc w:val="right"/>
              <w:rPr>
                <w:rFonts w:ascii="Times New Roman" w:hAnsi="Times New Roman"/>
                <w:color w:val="000000"/>
                <w:sz w:val="13"/>
                <w:szCs w:val="13"/>
              </w:rPr>
            </w:pPr>
          </w:p>
        </w:tc>
      </w:tr>
      <w:tr w:rsidR="00661E5F" w:rsidRPr="00424472" w14:paraId="68D10BBE" w14:textId="77777777" w:rsidTr="00857FDC">
        <w:trPr>
          <w:trHeight w:val="344"/>
          <w:jc w:val="center"/>
        </w:trPr>
        <w:tc>
          <w:tcPr>
            <w:tcW w:w="3123" w:type="dxa"/>
            <w:gridSpan w:val="4"/>
            <w:shd w:val="clear" w:color="auto" w:fill="FFFFFF"/>
            <w:vAlign w:val="center"/>
          </w:tcPr>
          <w:p w14:paraId="3D2BA0C5"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JST</w:t>
            </w:r>
          </w:p>
        </w:tc>
        <w:tc>
          <w:tcPr>
            <w:tcW w:w="569" w:type="dxa"/>
            <w:gridSpan w:val="2"/>
            <w:shd w:val="clear" w:color="auto" w:fill="FFFFFF"/>
            <w:vAlign w:val="center"/>
          </w:tcPr>
          <w:p w14:paraId="4DC37225" w14:textId="14878CF9"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5DFEC158" w14:textId="5CE9E874"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114C26E3" w14:textId="11AE0B08"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317C84BE" w14:textId="157DAEF8"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10FD424C" w14:textId="741CF205"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5EE505D8" w14:textId="29426B59"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131E1E11" w14:textId="6732F734"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0574298D" w14:textId="00D0D974"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546AC29D" w14:textId="60BAFEE1"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1EB8EA50" w14:textId="396131A9"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3701BA68" w14:textId="75F454AC"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5858FC39" w14:textId="44CC8AC4" w:rsidR="00661E5F" w:rsidRPr="00661E5F" w:rsidRDefault="00661E5F" w:rsidP="00661E5F">
            <w:pPr>
              <w:jc w:val="right"/>
              <w:rPr>
                <w:rFonts w:ascii="Times New Roman" w:hAnsi="Times New Roman"/>
                <w:color w:val="000000"/>
                <w:sz w:val="13"/>
                <w:szCs w:val="13"/>
              </w:rPr>
            </w:pPr>
          </w:p>
        </w:tc>
      </w:tr>
      <w:tr w:rsidR="00661E5F" w:rsidRPr="00424472" w14:paraId="26C19FE5" w14:textId="77777777" w:rsidTr="00857FDC">
        <w:trPr>
          <w:trHeight w:val="344"/>
          <w:jc w:val="center"/>
        </w:trPr>
        <w:tc>
          <w:tcPr>
            <w:tcW w:w="3123" w:type="dxa"/>
            <w:gridSpan w:val="4"/>
            <w:shd w:val="clear" w:color="auto" w:fill="FFFFFF"/>
            <w:vAlign w:val="center"/>
          </w:tcPr>
          <w:p w14:paraId="36BC6D96"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pozostałe jednostki (oddzielnie)</w:t>
            </w:r>
          </w:p>
        </w:tc>
        <w:tc>
          <w:tcPr>
            <w:tcW w:w="569" w:type="dxa"/>
            <w:gridSpan w:val="2"/>
            <w:shd w:val="clear" w:color="auto" w:fill="FFFFFF"/>
            <w:vAlign w:val="center"/>
          </w:tcPr>
          <w:p w14:paraId="75C4ED1A" w14:textId="5F24B7C1"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1EC907F1" w14:textId="5BFEF5B3"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21426804" w14:textId="14996687"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0B9D3587" w14:textId="04B7A74A"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291B27E1" w14:textId="616F4504"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11D5A02F" w14:textId="3AA184C5"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4B6EDC74" w14:textId="0F6BEE4C"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770C1C83" w14:textId="4346D526"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26AECDA5" w14:textId="0955FFE6"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1B13F6C1" w14:textId="33957FD6"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67EE0C59" w14:textId="10F21ED5"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325CA20D" w14:textId="2F37F656" w:rsidR="00661E5F" w:rsidRPr="00661E5F" w:rsidRDefault="00661E5F" w:rsidP="00661E5F">
            <w:pPr>
              <w:jc w:val="right"/>
              <w:rPr>
                <w:rFonts w:ascii="Times New Roman" w:hAnsi="Times New Roman"/>
                <w:color w:val="000000"/>
                <w:sz w:val="13"/>
                <w:szCs w:val="13"/>
              </w:rPr>
            </w:pPr>
          </w:p>
        </w:tc>
      </w:tr>
      <w:tr w:rsidR="00661E5F" w:rsidRPr="00424472" w14:paraId="16A7A997" w14:textId="77777777" w:rsidTr="00857FDC">
        <w:trPr>
          <w:trHeight w:val="330"/>
          <w:jc w:val="center"/>
        </w:trPr>
        <w:tc>
          <w:tcPr>
            <w:tcW w:w="3123" w:type="dxa"/>
            <w:gridSpan w:val="4"/>
            <w:shd w:val="clear" w:color="auto" w:fill="FFFFFF"/>
            <w:vAlign w:val="center"/>
          </w:tcPr>
          <w:p w14:paraId="6D1FDF7E" w14:textId="77777777" w:rsidR="00661E5F" w:rsidRPr="00424472" w:rsidRDefault="00661E5F" w:rsidP="00661E5F">
            <w:pPr>
              <w:rPr>
                <w:rFonts w:ascii="Times New Roman" w:hAnsi="Times New Roman"/>
                <w:color w:val="000000"/>
              </w:rPr>
            </w:pPr>
            <w:r w:rsidRPr="00424472">
              <w:rPr>
                <w:rFonts w:ascii="Times New Roman" w:hAnsi="Times New Roman"/>
                <w:b/>
                <w:color w:val="000000"/>
              </w:rPr>
              <w:t>Wydatki ogółem</w:t>
            </w:r>
          </w:p>
        </w:tc>
        <w:tc>
          <w:tcPr>
            <w:tcW w:w="569" w:type="dxa"/>
            <w:gridSpan w:val="2"/>
            <w:shd w:val="clear" w:color="auto" w:fill="FFFFFF"/>
            <w:vAlign w:val="center"/>
          </w:tcPr>
          <w:p w14:paraId="7ACDD3AA" w14:textId="04E20880" w:rsidR="00661E5F" w:rsidRPr="00661E5F" w:rsidRDefault="00661E5F" w:rsidP="00661E5F">
            <w:pPr>
              <w:jc w:val="right"/>
              <w:rPr>
                <w:rFonts w:ascii="Times New Roman" w:hAnsi="Times New Roman"/>
                <w:b/>
                <w:bCs/>
                <w:color w:val="000000"/>
                <w:sz w:val="13"/>
                <w:szCs w:val="13"/>
              </w:rPr>
            </w:pPr>
          </w:p>
        </w:tc>
        <w:tc>
          <w:tcPr>
            <w:tcW w:w="570" w:type="dxa"/>
            <w:gridSpan w:val="2"/>
            <w:shd w:val="clear" w:color="auto" w:fill="FFFFFF"/>
            <w:vAlign w:val="center"/>
          </w:tcPr>
          <w:p w14:paraId="453E1A5E" w14:textId="7FD76246" w:rsidR="00661E5F" w:rsidRPr="00661E5F" w:rsidRDefault="00661E5F" w:rsidP="00661E5F">
            <w:pPr>
              <w:jc w:val="right"/>
              <w:rPr>
                <w:rFonts w:ascii="Times New Roman" w:hAnsi="Times New Roman"/>
                <w:b/>
                <w:bCs/>
                <w:color w:val="000000"/>
                <w:sz w:val="13"/>
                <w:szCs w:val="13"/>
              </w:rPr>
            </w:pPr>
          </w:p>
        </w:tc>
        <w:tc>
          <w:tcPr>
            <w:tcW w:w="570" w:type="dxa"/>
            <w:gridSpan w:val="2"/>
            <w:shd w:val="clear" w:color="auto" w:fill="FFFFFF"/>
            <w:vAlign w:val="center"/>
          </w:tcPr>
          <w:p w14:paraId="7A865A7E" w14:textId="41D0BC5F" w:rsidR="00661E5F" w:rsidRPr="00661E5F" w:rsidRDefault="00661E5F" w:rsidP="00661E5F">
            <w:pPr>
              <w:jc w:val="right"/>
              <w:rPr>
                <w:rFonts w:ascii="Times New Roman" w:hAnsi="Times New Roman"/>
                <w:b/>
                <w:bCs/>
                <w:color w:val="000000"/>
                <w:sz w:val="13"/>
                <w:szCs w:val="13"/>
              </w:rPr>
            </w:pPr>
          </w:p>
        </w:tc>
        <w:tc>
          <w:tcPr>
            <w:tcW w:w="569" w:type="dxa"/>
            <w:gridSpan w:val="2"/>
            <w:shd w:val="clear" w:color="auto" w:fill="FFFFFF"/>
            <w:vAlign w:val="center"/>
          </w:tcPr>
          <w:p w14:paraId="0F4A8585" w14:textId="3B40D8FA" w:rsidR="00661E5F" w:rsidRPr="00661E5F" w:rsidRDefault="00661E5F" w:rsidP="00661E5F">
            <w:pPr>
              <w:jc w:val="right"/>
              <w:rPr>
                <w:rFonts w:ascii="Times New Roman" w:hAnsi="Times New Roman"/>
                <w:b/>
                <w:bCs/>
                <w:color w:val="000000"/>
                <w:sz w:val="13"/>
                <w:szCs w:val="13"/>
              </w:rPr>
            </w:pPr>
          </w:p>
        </w:tc>
        <w:tc>
          <w:tcPr>
            <w:tcW w:w="570" w:type="dxa"/>
            <w:gridSpan w:val="3"/>
            <w:shd w:val="clear" w:color="auto" w:fill="FFFFFF"/>
            <w:vAlign w:val="center"/>
          </w:tcPr>
          <w:p w14:paraId="38F0E89A" w14:textId="7770BE48" w:rsidR="00661E5F" w:rsidRPr="00661E5F" w:rsidRDefault="00661E5F" w:rsidP="00661E5F">
            <w:pPr>
              <w:jc w:val="right"/>
              <w:rPr>
                <w:rFonts w:ascii="Times New Roman" w:hAnsi="Times New Roman"/>
                <w:b/>
                <w:bCs/>
                <w:color w:val="000000"/>
                <w:sz w:val="13"/>
                <w:szCs w:val="13"/>
              </w:rPr>
            </w:pPr>
          </w:p>
        </w:tc>
        <w:tc>
          <w:tcPr>
            <w:tcW w:w="579" w:type="dxa"/>
            <w:gridSpan w:val="2"/>
            <w:shd w:val="clear" w:color="auto" w:fill="FFFFFF"/>
            <w:vAlign w:val="center"/>
          </w:tcPr>
          <w:p w14:paraId="0D183902" w14:textId="2AB4DC36" w:rsidR="00661E5F" w:rsidRPr="00661E5F" w:rsidRDefault="00661E5F" w:rsidP="00661E5F">
            <w:pPr>
              <w:jc w:val="right"/>
              <w:rPr>
                <w:rFonts w:ascii="Times New Roman" w:hAnsi="Times New Roman"/>
                <w:b/>
                <w:bCs/>
                <w:color w:val="000000"/>
                <w:sz w:val="13"/>
                <w:szCs w:val="13"/>
              </w:rPr>
            </w:pPr>
          </w:p>
        </w:tc>
        <w:tc>
          <w:tcPr>
            <w:tcW w:w="675" w:type="dxa"/>
            <w:gridSpan w:val="2"/>
            <w:shd w:val="clear" w:color="auto" w:fill="FFFFFF"/>
            <w:vAlign w:val="center"/>
          </w:tcPr>
          <w:p w14:paraId="754FCC21" w14:textId="76B57776" w:rsidR="00661E5F" w:rsidRPr="00661E5F" w:rsidRDefault="00661E5F" w:rsidP="00661E5F">
            <w:pPr>
              <w:jc w:val="right"/>
              <w:rPr>
                <w:rFonts w:ascii="Times New Roman" w:hAnsi="Times New Roman"/>
                <w:b/>
                <w:bCs/>
                <w:color w:val="000000"/>
                <w:sz w:val="13"/>
                <w:szCs w:val="13"/>
              </w:rPr>
            </w:pPr>
          </w:p>
        </w:tc>
        <w:tc>
          <w:tcPr>
            <w:tcW w:w="567" w:type="dxa"/>
            <w:gridSpan w:val="3"/>
            <w:shd w:val="clear" w:color="auto" w:fill="FFFFFF"/>
            <w:vAlign w:val="center"/>
          </w:tcPr>
          <w:p w14:paraId="1156F5FE" w14:textId="419E732E" w:rsidR="00661E5F" w:rsidRPr="00661E5F" w:rsidRDefault="00661E5F" w:rsidP="00661E5F">
            <w:pPr>
              <w:jc w:val="right"/>
              <w:rPr>
                <w:rFonts w:ascii="Times New Roman" w:hAnsi="Times New Roman"/>
                <w:b/>
                <w:bCs/>
                <w:color w:val="000000"/>
                <w:sz w:val="13"/>
                <w:szCs w:val="13"/>
              </w:rPr>
            </w:pPr>
          </w:p>
        </w:tc>
        <w:tc>
          <w:tcPr>
            <w:tcW w:w="567" w:type="dxa"/>
            <w:shd w:val="clear" w:color="auto" w:fill="FFFFFF"/>
            <w:vAlign w:val="center"/>
          </w:tcPr>
          <w:p w14:paraId="5027C93F" w14:textId="74E99FA5" w:rsidR="00661E5F" w:rsidRPr="00661E5F" w:rsidRDefault="00661E5F" w:rsidP="00661E5F">
            <w:pPr>
              <w:jc w:val="right"/>
              <w:rPr>
                <w:rFonts w:ascii="Times New Roman" w:hAnsi="Times New Roman"/>
                <w:b/>
                <w:bCs/>
                <w:color w:val="000000"/>
                <w:sz w:val="13"/>
                <w:szCs w:val="13"/>
              </w:rPr>
            </w:pPr>
          </w:p>
        </w:tc>
        <w:tc>
          <w:tcPr>
            <w:tcW w:w="567" w:type="dxa"/>
            <w:gridSpan w:val="2"/>
            <w:shd w:val="clear" w:color="auto" w:fill="FFFFFF"/>
            <w:vAlign w:val="center"/>
          </w:tcPr>
          <w:p w14:paraId="216043AA" w14:textId="430D6BB4" w:rsidR="00661E5F" w:rsidRPr="00661E5F" w:rsidRDefault="00661E5F" w:rsidP="00661E5F">
            <w:pPr>
              <w:jc w:val="right"/>
              <w:rPr>
                <w:rFonts w:ascii="Times New Roman" w:hAnsi="Times New Roman"/>
                <w:b/>
                <w:bCs/>
                <w:color w:val="000000"/>
                <w:sz w:val="13"/>
                <w:szCs w:val="13"/>
              </w:rPr>
            </w:pPr>
          </w:p>
        </w:tc>
        <w:tc>
          <w:tcPr>
            <w:tcW w:w="567" w:type="dxa"/>
            <w:shd w:val="clear" w:color="auto" w:fill="FFFFFF"/>
            <w:vAlign w:val="center"/>
          </w:tcPr>
          <w:p w14:paraId="05109911" w14:textId="08EE8FC0" w:rsidR="00661E5F" w:rsidRPr="00661E5F" w:rsidRDefault="00661E5F" w:rsidP="00661E5F">
            <w:pPr>
              <w:jc w:val="right"/>
              <w:rPr>
                <w:rFonts w:ascii="Times New Roman" w:hAnsi="Times New Roman"/>
                <w:b/>
                <w:bCs/>
                <w:color w:val="000000"/>
                <w:sz w:val="13"/>
                <w:szCs w:val="13"/>
              </w:rPr>
            </w:pPr>
          </w:p>
        </w:tc>
        <w:tc>
          <w:tcPr>
            <w:tcW w:w="1281" w:type="dxa"/>
            <w:gridSpan w:val="2"/>
            <w:shd w:val="clear" w:color="auto" w:fill="FFFFFF"/>
            <w:vAlign w:val="center"/>
          </w:tcPr>
          <w:p w14:paraId="68CCDF84" w14:textId="1EAA5E40" w:rsidR="00661E5F" w:rsidRPr="00661E5F" w:rsidRDefault="00661E5F" w:rsidP="00661E5F">
            <w:pPr>
              <w:jc w:val="right"/>
              <w:rPr>
                <w:rFonts w:ascii="Times New Roman" w:hAnsi="Times New Roman"/>
                <w:b/>
                <w:bCs/>
                <w:color w:val="000000"/>
                <w:sz w:val="13"/>
                <w:szCs w:val="13"/>
              </w:rPr>
            </w:pPr>
          </w:p>
        </w:tc>
      </w:tr>
      <w:tr w:rsidR="00661E5F" w:rsidRPr="00424472" w14:paraId="5341A94B" w14:textId="77777777" w:rsidTr="00857FDC">
        <w:trPr>
          <w:trHeight w:val="330"/>
          <w:jc w:val="center"/>
        </w:trPr>
        <w:tc>
          <w:tcPr>
            <w:tcW w:w="3123" w:type="dxa"/>
            <w:gridSpan w:val="4"/>
            <w:shd w:val="clear" w:color="auto" w:fill="FFFFFF"/>
            <w:vAlign w:val="center"/>
          </w:tcPr>
          <w:p w14:paraId="3921C924"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budżet państwa</w:t>
            </w:r>
          </w:p>
        </w:tc>
        <w:tc>
          <w:tcPr>
            <w:tcW w:w="569" w:type="dxa"/>
            <w:gridSpan w:val="2"/>
            <w:shd w:val="clear" w:color="auto" w:fill="FFFFFF"/>
            <w:vAlign w:val="center"/>
          </w:tcPr>
          <w:p w14:paraId="602E4843" w14:textId="00D16DF0"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6A97188A" w14:textId="2B9B5325"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41955D0B" w14:textId="1621D955"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1A1F52F4" w14:textId="78314B47"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3EBE19F5" w14:textId="31D94B7A"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1DF69224" w14:textId="660A3D29"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17512328" w14:textId="62515A83"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1EBE723A" w14:textId="0412DA67"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0B30D37F" w14:textId="520E279F"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6B2E59FE" w14:textId="77A362B1"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6C3F6194" w14:textId="5F1D0706"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568F51CA" w14:textId="6E6CCDB8" w:rsidR="00661E5F" w:rsidRPr="00661E5F" w:rsidRDefault="00661E5F" w:rsidP="00661E5F">
            <w:pPr>
              <w:jc w:val="right"/>
              <w:rPr>
                <w:rFonts w:ascii="Times New Roman" w:hAnsi="Times New Roman"/>
                <w:b/>
                <w:bCs/>
                <w:color w:val="000000"/>
                <w:sz w:val="13"/>
                <w:szCs w:val="13"/>
              </w:rPr>
            </w:pPr>
          </w:p>
        </w:tc>
      </w:tr>
      <w:tr w:rsidR="00661E5F" w:rsidRPr="00424472" w14:paraId="001BD1F1" w14:textId="77777777" w:rsidTr="00857FDC">
        <w:trPr>
          <w:trHeight w:val="351"/>
          <w:jc w:val="center"/>
        </w:trPr>
        <w:tc>
          <w:tcPr>
            <w:tcW w:w="3123" w:type="dxa"/>
            <w:gridSpan w:val="4"/>
            <w:shd w:val="clear" w:color="auto" w:fill="FFFFFF"/>
            <w:vAlign w:val="center"/>
          </w:tcPr>
          <w:p w14:paraId="7BD7B365"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JST</w:t>
            </w:r>
          </w:p>
        </w:tc>
        <w:tc>
          <w:tcPr>
            <w:tcW w:w="569" w:type="dxa"/>
            <w:gridSpan w:val="2"/>
            <w:shd w:val="clear" w:color="auto" w:fill="FFFFFF"/>
            <w:vAlign w:val="center"/>
          </w:tcPr>
          <w:p w14:paraId="1D0A34D6" w14:textId="47713643"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2B99B50F" w14:textId="73A2CBCC"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42C3C695" w14:textId="074EC330"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6BA61C91" w14:textId="71208301"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5EA2C9BB" w14:textId="3FCB30EB"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2621E9DF" w14:textId="7E5FE46D"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7E15C8CE" w14:textId="07C07BF4"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24C57AE7" w14:textId="6FE38DB6"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4708B155" w14:textId="0D1EC120"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3387D34F" w14:textId="577A626D"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7CC257D6" w14:textId="4B3F53B0"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46B09A4A" w14:textId="7D734C34" w:rsidR="00661E5F" w:rsidRPr="00661E5F" w:rsidRDefault="00661E5F" w:rsidP="00661E5F">
            <w:pPr>
              <w:jc w:val="right"/>
              <w:rPr>
                <w:rFonts w:ascii="Times New Roman" w:hAnsi="Times New Roman"/>
                <w:color w:val="000000"/>
                <w:sz w:val="13"/>
                <w:szCs w:val="13"/>
              </w:rPr>
            </w:pPr>
          </w:p>
        </w:tc>
      </w:tr>
      <w:tr w:rsidR="00661E5F" w:rsidRPr="00424472" w14:paraId="2D4B680A" w14:textId="77777777" w:rsidTr="00857FDC">
        <w:trPr>
          <w:trHeight w:val="351"/>
          <w:jc w:val="center"/>
        </w:trPr>
        <w:tc>
          <w:tcPr>
            <w:tcW w:w="3123" w:type="dxa"/>
            <w:gridSpan w:val="4"/>
            <w:shd w:val="clear" w:color="auto" w:fill="FFFFFF"/>
            <w:vAlign w:val="center"/>
          </w:tcPr>
          <w:p w14:paraId="4651C1D9"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pozostałe jednostki (oddzielnie)</w:t>
            </w:r>
          </w:p>
        </w:tc>
        <w:tc>
          <w:tcPr>
            <w:tcW w:w="569" w:type="dxa"/>
            <w:gridSpan w:val="2"/>
            <w:shd w:val="clear" w:color="auto" w:fill="FFFFFF"/>
            <w:vAlign w:val="center"/>
          </w:tcPr>
          <w:p w14:paraId="49867D9F" w14:textId="2486C189"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478E122E" w14:textId="6A644A64"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305C4B40" w14:textId="321BAA62"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5FBF963D" w14:textId="42F0FCB6"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53F380A5" w14:textId="28D9B492"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3F9B15A7" w14:textId="43623009"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3B9A8E18" w14:textId="370E871D"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334A142C" w14:textId="42685195"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3BF4B393" w14:textId="0B57CD36"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3599F534" w14:textId="3DCA0CBF"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6E60ADD2" w14:textId="503FE1E6"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0DF93AA4" w14:textId="5D3B8A92" w:rsidR="00661E5F" w:rsidRPr="00661E5F" w:rsidRDefault="00661E5F" w:rsidP="00661E5F">
            <w:pPr>
              <w:jc w:val="right"/>
              <w:rPr>
                <w:rFonts w:ascii="Times New Roman" w:hAnsi="Times New Roman"/>
                <w:color w:val="000000"/>
                <w:sz w:val="13"/>
                <w:szCs w:val="13"/>
              </w:rPr>
            </w:pPr>
          </w:p>
        </w:tc>
      </w:tr>
      <w:tr w:rsidR="00661E5F" w:rsidRPr="00424472" w14:paraId="77079194" w14:textId="77777777" w:rsidTr="00857FDC">
        <w:trPr>
          <w:trHeight w:val="360"/>
          <w:jc w:val="center"/>
        </w:trPr>
        <w:tc>
          <w:tcPr>
            <w:tcW w:w="3123" w:type="dxa"/>
            <w:gridSpan w:val="4"/>
            <w:shd w:val="clear" w:color="auto" w:fill="FFFFFF"/>
            <w:vAlign w:val="center"/>
          </w:tcPr>
          <w:p w14:paraId="40E325E5" w14:textId="77777777" w:rsidR="00661E5F" w:rsidRPr="00424472" w:rsidRDefault="00661E5F" w:rsidP="00661E5F">
            <w:pPr>
              <w:rPr>
                <w:rFonts w:ascii="Times New Roman" w:hAnsi="Times New Roman"/>
                <w:color w:val="000000"/>
              </w:rPr>
            </w:pPr>
            <w:r w:rsidRPr="00424472">
              <w:rPr>
                <w:rFonts w:ascii="Times New Roman" w:hAnsi="Times New Roman"/>
                <w:b/>
                <w:color w:val="000000"/>
              </w:rPr>
              <w:t>Saldo ogółem</w:t>
            </w:r>
          </w:p>
        </w:tc>
        <w:tc>
          <w:tcPr>
            <w:tcW w:w="569" w:type="dxa"/>
            <w:gridSpan w:val="2"/>
            <w:shd w:val="clear" w:color="auto" w:fill="FFFFFF"/>
            <w:vAlign w:val="center"/>
          </w:tcPr>
          <w:p w14:paraId="653188FF" w14:textId="0C805D7C" w:rsidR="00661E5F" w:rsidRPr="00661E5F" w:rsidRDefault="00661E5F" w:rsidP="00661E5F">
            <w:pPr>
              <w:jc w:val="right"/>
              <w:rPr>
                <w:rFonts w:ascii="Times New Roman" w:hAnsi="Times New Roman"/>
                <w:b/>
                <w:bCs/>
                <w:color w:val="000000"/>
                <w:sz w:val="13"/>
                <w:szCs w:val="13"/>
              </w:rPr>
            </w:pPr>
          </w:p>
        </w:tc>
        <w:tc>
          <w:tcPr>
            <w:tcW w:w="570" w:type="dxa"/>
            <w:gridSpan w:val="2"/>
            <w:shd w:val="clear" w:color="auto" w:fill="FFFFFF"/>
            <w:vAlign w:val="center"/>
          </w:tcPr>
          <w:p w14:paraId="3861916D" w14:textId="6331E739" w:rsidR="00661E5F" w:rsidRPr="00661E5F" w:rsidRDefault="00661E5F" w:rsidP="00661E5F">
            <w:pPr>
              <w:jc w:val="right"/>
              <w:rPr>
                <w:rFonts w:ascii="Times New Roman" w:hAnsi="Times New Roman"/>
                <w:b/>
                <w:bCs/>
                <w:color w:val="000000"/>
                <w:sz w:val="13"/>
                <w:szCs w:val="13"/>
              </w:rPr>
            </w:pPr>
          </w:p>
        </w:tc>
        <w:tc>
          <w:tcPr>
            <w:tcW w:w="570" w:type="dxa"/>
            <w:gridSpan w:val="2"/>
            <w:shd w:val="clear" w:color="auto" w:fill="FFFFFF"/>
            <w:vAlign w:val="center"/>
          </w:tcPr>
          <w:p w14:paraId="1214E6EE" w14:textId="73501B3D" w:rsidR="00661E5F" w:rsidRPr="00661E5F" w:rsidRDefault="00661E5F" w:rsidP="00661E5F">
            <w:pPr>
              <w:jc w:val="right"/>
              <w:rPr>
                <w:rFonts w:ascii="Times New Roman" w:hAnsi="Times New Roman"/>
                <w:b/>
                <w:bCs/>
                <w:color w:val="000000"/>
                <w:sz w:val="13"/>
                <w:szCs w:val="13"/>
              </w:rPr>
            </w:pPr>
          </w:p>
        </w:tc>
        <w:tc>
          <w:tcPr>
            <w:tcW w:w="569" w:type="dxa"/>
            <w:gridSpan w:val="2"/>
            <w:shd w:val="clear" w:color="auto" w:fill="FFFFFF"/>
            <w:vAlign w:val="center"/>
          </w:tcPr>
          <w:p w14:paraId="46EBF441" w14:textId="20ABA11A" w:rsidR="00661E5F" w:rsidRPr="00661E5F" w:rsidRDefault="00661E5F" w:rsidP="00661E5F">
            <w:pPr>
              <w:jc w:val="right"/>
              <w:rPr>
                <w:rFonts w:ascii="Times New Roman" w:hAnsi="Times New Roman"/>
                <w:b/>
                <w:bCs/>
                <w:color w:val="000000"/>
                <w:sz w:val="13"/>
                <w:szCs w:val="13"/>
              </w:rPr>
            </w:pPr>
          </w:p>
        </w:tc>
        <w:tc>
          <w:tcPr>
            <w:tcW w:w="570" w:type="dxa"/>
            <w:gridSpan w:val="3"/>
            <w:shd w:val="clear" w:color="auto" w:fill="FFFFFF"/>
            <w:vAlign w:val="center"/>
          </w:tcPr>
          <w:p w14:paraId="65063981" w14:textId="33781432" w:rsidR="00661E5F" w:rsidRPr="00661E5F" w:rsidRDefault="00661E5F" w:rsidP="00661E5F">
            <w:pPr>
              <w:jc w:val="right"/>
              <w:rPr>
                <w:rFonts w:ascii="Times New Roman" w:hAnsi="Times New Roman"/>
                <w:b/>
                <w:bCs/>
                <w:color w:val="000000"/>
                <w:sz w:val="13"/>
                <w:szCs w:val="13"/>
              </w:rPr>
            </w:pPr>
          </w:p>
        </w:tc>
        <w:tc>
          <w:tcPr>
            <w:tcW w:w="579" w:type="dxa"/>
            <w:gridSpan w:val="2"/>
            <w:shd w:val="clear" w:color="auto" w:fill="FFFFFF"/>
            <w:vAlign w:val="center"/>
          </w:tcPr>
          <w:p w14:paraId="3AD8E62D" w14:textId="0AF9FD53" w:rsidR="00661E5F" w:rsidRPr="00661E5F" w:rsidRDefault="00661E5F" w:rsidP="00661E5F">
            <w:pPr>
              <w:jc w:val="right"/>
              <w:rPr>
                <w:rFonts w:ascii="Times New Roman" w:hAnsi="Times New Roman"/>
                <w:b/>
                <w:bCs/>
                <w:color w:val="000000"/>
                <w:sz w:val="13"/>
                <w:szCs w:val="13"/>
              </w:rPr>
            </w:pPr>
          </w:p>
        </w:tc>
        <w:tc>
          <w:tcPr>
            <w:tcW w:w="675" w:type="dxa"/>
            <w:gridSpan w:val="2"/>
            <w:shd w:val="clear" w:color="auto" w:fill="FFFFFF"/>
            <w:vAlign w:val="center"/>
          </w:tcPr>
          <w:p w14:paraId="2E031DCC" w14:textId="3E16C7C1" w:rsidR="00661E5F" w:rsidRPr="00661E5F" w:rsidRDefault="00661E5F" w:rsidP="00661E5F">
            <w:pPr>
              <w:jc w:val="right"/>
              <w:rPr>
                <w:rFonts w:ascii="Times New Roman" w:hAnsi="Times New Roman"/>
                <w:b/>
                <w:bCs/>
                <w:color w:val="000000"/>
                <w:sz w:val="13"/>
                <w:szCs w:val="13"/>
              </w:rPr>
            </w:pPr>
          </w:p>
        </w:tc>
        <w:tc>
          <w:tcPr>
            <w:tcW w:w="567" w:type="dxa"/>
            <w:gridSpan w:val="3"/>
            <w:shd w:val="clear" w:color="auto" w:fill="FFFFFF"/>
            <w:vAlign w:val="center"/>
          </w:tcPr>
          <w:p w14:paraId="489ADF98" w14:textId="0F7CB41F" w:rsidR="00661E5F" w:rsidRPr="00661E5F" w:rsidRDefault="00661E5F" w:rsidP="00661E5F">
            <w:pPr>
              <w:jc w:val="right"/>
              <w:rPr>
                <w:rFonts w:ascii="Times New Roman" w:hAnsi="Times New Roman"/>
                <w:b/>
                <w:bCs/>
                <w:color w:val="000000"/>
                <w:sz w:val="13"/>
                <w:szCs w:val="13"/>
              </w:rPr>
            </w:pPr>
          </w:p>
        </w:tc>
        <w:tc>
          <w:tcPr>
            <w:tcW w:w="567" w:type="dxa"/>
            <w:shd w:val="clear" w:color="auto" w:fill="FFFFFF"/>
            <w:vAlign w:val="center"/>
          </w:tcPr>
          <w:p w14:paraId="7880A4CE" w14:textId="05D31FEE" w:rsidR="00661E5F" w:rsidRPr="00661E5F" w:rsidRDefault="00661E5F" w:rsidP="00661E5F">
            <w:pPr>
              <w:jc w:val="right"/>
              <w:rPr>
                <w:rFonts w:ascii="Times New Roman" w:hAnsi="Times New Roman"/>
                <w:b/>
                <w:bCs/>
                <w:color w:val="000000"/>
                <w:sz w:val="13"/>
                <w:szCs w:val="13"/>
              </w:rPr>
            </w:pPr>
          </w:p>
        </w:tc>
        <w:tc>
          <w:tcPr>
            <w:tcW w:w="567" w:type="dxa"/>
            <w:gridSpan w:val="2"/>
            <w:shd w:val="clear" w:color="auto" w:fill="FFFFFF"/>
            <w:vAlign w:val="center"/>
          </w:tcPr>
          <w:p w14:paraId="7A3F63D3" w14:textId="386495C9" w:rsidR="00661E5F" w:rsidRPr="00661E5F" w:rsidRDefault="00661E5F" w:rsidP="00661E5F">
            <w:pPr>
              <w:jc w:val="right"/>
              <w:rPr>
                <w:rFonts w:ascii="Times New Roman" w:hAnsi="Times New Roman"/>
                <w:b/>
                <w:bCs/>
                <w:color w:val="000000"/>
                <w:sz w:val="13"/>
                <w:szCs w:val="13"/>
              </w:rPr>
            </w:pPr>
          </w:p>
        </w:tc>
        <w:tc>
          <w:tcPr>
            <w:tcW w:w="567" w:type="dxa"/>
            <w:shd w:val="clear" w:color="auto" w:fill="FFFFFF"/>
            <w:vAlign w:val="center"/>
          </w:tcPr>
          <w:p w14:paraId="6CE5928E" w14:textId="110999F9" w:rsidR="00661E5F" w:rsidRPr="00661E5F" w:rsidRDefault="00661E5F" w:rsidP="00661E5F">
            <w:pPr>
              <w:jc w:val="right"/>
              <w:rPr>
                <w:rFonts w:ascii="Times New Roman" w:hAnsi="Times New Roman"/>
                <w:b/>
                <w:bCs/>
                <w:color w:val="000000"/>
                <w:sz w:val="13"/>
                <w:szCs w:val="13"/>
              </w:rPr>
            </w:pPr>
          </w:p>
        </w:tc>
        <w:tc>
          <w:tcPr>
            <w:tcW w:w="1281" w:type="dxa"/>
            <w:gridSpan w:val="2"/>
            <w:shd w:val="clear" w:color="auto" w:fill="FFFFFF"/>
            <w:vAlign w:val="center"/>
          </w:tcPr>
          <w:p w14:paraId="3E3449FF" w14:textId="60BB6B20" w:rsidR="00661E5F" w:rsidRPr="00661E5F" w:rsidRDefault="00661E5F" w:rsidP="00661E5F">
            <w:pPr>
              <w:jc w:val="right"/>
              <w:rPr>
                <w:rFonts w:ascii="Times New Roman" w:hAnsi="Times New Roman"/>
                <w:b/>
                <w:bCs/>
                <w:color w:val="000000"/>
                <w:sz w:val="13"/>
                <w:szCs w:val="13"/>
              </w:rPr>
            </w:pPr>
          </w:p>
        </w:tc>
      </w:tr>
      <w:tr w:rsidR="00661E5F" w:rsidRPr="00424472" w14:paraId="19410997" w14:textId="77777777" w:rsidTr="00857FDC">
        <w:trPr>
          <w:trHeight w:val="360"/>
          <w:jc w:val="center"/>
        </w:trPr>
        <w:tc>
          <w:tcPr>
            <w:tcW w:w="3123" w:type="dxa"/>
            <w:gridSpan w:val="4"/>
            <w:shd w:val="clear" w:color="auto" w:fill="FFFFFF"/>
            <w:vAlign w:val="center"/>
          </w:tcPr>
          <w:p w14:paraId="7868C1B7"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budżet państwa</w:t>
            </w:r>
          </w:p>
        </w:tc>
        <w:tc>
          <w:tcPr>
            <w:tcW w:w="569" w:type="dxa"/>
            <w:gridSpan w:val="2"/>
            <w:shd w:val="clear" w:color="auto" w:fill="FFFFFF"/>
            <w:vAlign w:val="center"/>
          </w:tcPr>
          <w:p w14:paraId="65DC797F" w14:textId="0A61EE6B"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562DEC41" w14:textId="65E12C00"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3ACD61C4" w14:textId="6FC14E2E"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742C621C" w14:textId="45BC9C34"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65BCB811" w14:textId="5D05E204"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13EE5399" w14:textId="34668B97"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3909CBE1" w14:textId="75CC29A5"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47DF5286" w14:textId="62050636"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5D6DCC13" w14:textId="1D730EA1"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583AD63C" w14:textId="58AA6F0C"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643993C3" w14:textId="15EA4D76"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0FE68320" w14:textId="338F277A" w:rsidR="00661E5F" w:rsidRPr="00661E5F" w:rsidRDefault="00661E5F" w:rsidP="00661E5F">
            <w:pPr>
              <w:jc w:val="right"/>
              <w:rPr>
                <w:rFonts w:ascii="Times New Roman" w:hAnsi="Times New Roman"/>
                <w:color w:val="000000"/>
                <w:sz w:val="13"/>
                <w:szCs w:val="13"/>
              </w:rPr>
            </w:pPr>
          </w:p>
        </w:tc>
      </w:tr>
      <w:tr w:rsidR="00661E5F" w:rsidRPr="00424472" w14:paraId="5FE567B9" w14:textId="77777777" w:rsidTr="00857FDC">
        <w:trPr>
          <w:trHeight w:val="357"/>
          <w:jc w:val="center"/>
        </w:trPr>
        <w:tc>
          <w:tcPr>
            <w:tcW w:w="3123" w:type="dxa"/>
            <w:gridSpan w:val="4"/>
            <w:shd w:val="clear" w:color="auto" w:fill="FFFFFF"/>
            <w:vAlign w:val="center"/>
          </w:tcPr>
          <w:p w14:paraId="38F466CC"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JST</w:t>
            </w:r>
          </w:p>
        </w:tc>
        <w:tc>
          <w:tcPr>
            <w:tcW w:w="569" w:type="dxa"/>
            <w:gridSpan w:val="2"/>
            <w:shd w:val="clear" w:color="auto" w:fill="FFFFFF"/>
            <w:vAlign w:val="center"/>
          </w:tcPr>
          <w:p w14:paraId="131874A2" w14:textId="2FB49BBF"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2C3F1A22" w14:textId="68C6DA61"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0BDA556F" w14:textId="5F33FEE7"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520C36F3" w14:textId="38F662AB"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39A4E7E3" w14:textId="19C51654"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0660C09E" w14:textId="6B899FD1"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48CA1602" w14:textId="4C68CCE7"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0BBB35CD" w14:textId="05208A5D"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280BC29B" w14:textId="43B15541"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66357292" w14:textId="0722234F"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2B794912" w14:textId="4025D9D2"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66F4FEF2" w14:textId="6A04405B" w:rsidR="00661E5F" w:rsidRPr="00661E5F" w:rsidRDefault="00661E5F" w:rsidP="00661E5F">
            <w:pPr>
              <w:jc w:val="right"/>
              <w:rPr>
                <w:rFonts w:ascii="Times New Roman" w:hAnsi="Times New Roman"/>
                <w:color w:val="000000"/>
                <w:sz w:val="13"/>
                <w:szCs w:val="13"/>
              </w:rPr>
            </w:pPr>
          </w:p>
        </w:tc>
      </w:tr>
      <w:tr w:rsidR="00661E5F" w:rsidRPr="00424472" w14:paraId="177D0537" w14:textId="77777777" w:rsidTr="00857FDC">
        <w:trPr>
          <w:trHeight w:val="357"/>
          <w:jc w:val="center"/>
        </w:trPr>
        <w:tc>
          <w:tcPr>
            <w:tcW w:w="3123" w:type="dxa"/>
            <w:gridSpan w:val="4"/>
            <w:shd w:val="clear" w:color="auto" w:fill="FFFFFF"/>
            <w:vAlign w:val="center"/>
          </w:tcPr>
          <w:p w14:paraId="7EC90DED" w14:textId="77777777" w:rsidR="00661E5F" w:rsidRPr="00424472" w:rsidRDefault="00661E5F" w:rsidP="00661E5F">
            <w:pPr>
              <w:rPr>
                <w:rFonts w:ascii="Times New Roman" w:hAnsi="Times New Roman"/>
                <w:color w:val="000000"/>
              </w:rPr>
            </w:pPr>
            <w:r w:rsidRPr="00424472">
              <w:rPr>
                <w:rFonts w:ascii="Times New Roman" w:hAnsi="Times New Roman"/>
                <w:color w:val="000000"/>
              </w:rPr>
              <w:t>pozostałe jednostki (oddzielnie)</w:t>
            </w:r>
          </w:p>
        </w:tc>
        <w:tc>
          <w:tcPr>
            <w:tcW w:w="569" w:type="dxa"/>
            <w:gridSpan w:val="2"/>
            <w:shd w:val="clear" w:color="auto" w:fill="FFFFFF"/>
            <w:vAlign w:val="center"/>
          </w:tcPr>
          <w:p w14:paraId="0228489E" w14:textId="0941D21F"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5E769144" w14:textId="6B43207A" w:rsidR="00661E5F" w:rsidRPr="00661E5F" w:rsidRDefault="00661E5F" w:rsidP="00661E5F">
            <w:pPr>
              <w:jc w:val="right"/>
              <w:rPr>
                <w:rFonts w:ascii="Times New Roman" w:hAnsi="Times New Roman"/>
                <w:color w:val="000000"/>
                <w:sz w:val="13"/>
                <w:szCs w:val="13"/>
              </w:rPr>
            </w:pPr>
          </w:p>
        </w:tc>
        <w:tc>
          <w:tcPr>
            <w:tcW w:w="570" w:type="dxa"/>
            <w:gridSpan w:val="2"/>
            <w:shd w:val="clear" w:color="auto" w:fill="FFFFFF"/>
            <w:vAlign w:val="center"/>
          </w:tcPr>
          <w:p w14:paraId="05AFBC92" w14:textId="47F05D96" w:rsidR="00661E5F" w:rsidRPr="00661E5F" w:rsidRDefault="00661E5F" w:rsidP="00661E5F">
            <w:pPr>
              <w:jc w:val="right"/>
              <w:rPr>
                <w:rFonts w:ascii="Times New Roman" w:hAnsi="Times New Roman"/>
                <w:color w:val="000000"/>
                <w:sz w:val="13"/>
                <w:szCs w:val="13"/>
              </w:rPr>
            </w:pPr>
          </w:p>
        </w:tc>
        <w:tc>
          <w:tcPr>
            <w:tcW w:w="569" w:type="dxa"/>
            <w:gridSpan w:val="2"/>
            <w:shd w:val="clear" w:color="auto" w:fill="FFFFFF"/>
            <w:vAlign w:val="center"/>
          </w:tcPr>
          <w:p w14:paraId="41E1CF82" w14:textId="541515C1" w:rsidR="00661E5F" w:rsidRPr="00661E5F" w:rsidRDefault="00661E5F" w:rsidP="00661E5F">
            <w:pPr>
              <w:jc w:val="right"/>
              <w:rPr>
                <w:rFonts w:ascii="Times New Roman" w:hAnsi="Times New Roman"/>
                <w:color w:val="000000"/>
                <w:sz w:val="13"/>
                <w:szCs w:val="13"/>
              </w:rPr>
            </w:pPr>
          </w:p>
        </w:tc>
        <w:tc>
          <w:tcPr>
            <w:tcW w:w="570" w:type="dxa"/>
            <w:gridSpan w:val="3"/>
            <w:shd w:val="clear" w:color="auto" w:fill="FFFFFF"/>
            <w:vAlign w:val="center"/>
          </w:tcPr>
          <w:p w14:paraId="0EE276FC" w14:textId="04A54A03" w:rsidR="00661E5F" w:rsidRPr="00661E5F" w:rsidRDefault="00661E5F" w:rsidP="00661E5F">
            <w:pPr>
              <w:jc w:val="right"/>
              <w:rPr>
                <w:rFonts w:ascii="Times New Roman" w:hAnsi="Times New Roman"/>
                <w:color w:val="000000"/>
                <w:sz w:val="13"/>
                <w:szCs w:val="13"/>
              </w:rPr>
            </w:pPr>
          </w:p>
        </w:tc>
        <w:tc>
          <w:tcPr>
            <w:tcW w:w="579" w:type="dxa"/>
            <w:gridSpan w:val="2"/>
            <w:shd w:val="clear" w:color="auto" w:fill="FFFFFF"/>
            <w:vAlign w:val="center"/>
          </w:tcPr>
          <w:p w14:paraId="20FB6356" w14:textId="5434B234" w:rsidR="00661E5F" w:rsidRPr="00661E5F" w:rsidRDefault="00661E5F" w:rsidP="00661E5F">
            <w:pPr>
              <w:jc w:val="right"/>
              <w:rPr>
                <w:rFonts w:ascii="Times New Roman" w:hAnsi="Times New Roman"/>
                <w:color w:val="000000"/>
                <w:sz w:val="13"/>
                <w:szCs w:val="13"/>
              </w:rPr>
            </w:pPr>
          </w:p>
        </w:tc>
        <w:tc>
          <w:tcPr>
            <w:tcW w:w="675" w:type="dxa"/>
            <w:gridSpan w:val="2"/>
            <w:shd w:val="clear" w:color="auto" w:fill="FFFFFF"/>
            <w:vAlign w:val="center"/>
          </w:tcPr>
          <w:p w14:paraId="671EA026" w14:textId="3B30A4F2" w:rsidR="00661E5F" w:rsidRPr="00661E5F" w:rsidRDefault="00661E5F" w:rsidP="00661E5F">
            <w:pPr>
              <w:jc w:val="right"/>
              <w:rPr>
                <w:rFonts w:ascii="Times New Roman" w:hAnsi="Times New Roman"/>
                <w:color w:val="000000"/>
                <w:sz w:val="13"/>
                <w:szCs w:val="13"/>
              </w:rPr>
            </w:pPr>
          </w:p>
        </w:tc>
        <w:tc>
          <w:tcPr>
            <w:tcW w:w="567" w:type="dxa"/>
            <w:gridSpan w:val="3"/>
            <w:shd w:val="clear" w:color="auto" w:fill="FFFFFF"/>
            <w:vAlign w:val="center"/>
          </w:tcPr>
          <w:p w14:paraId="1CF2BDB4" w14:textId="3829EB32"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27646B73" w14:textId="1527EFDF" w:rsidR="00661E5F" w:rsidRPr="00661E5F" w:rsidRDefault="00661E5F" w:rsidP="00661E5F">
            <w:pPr>
              <w:jc w:val="right"/>
              <w:rPr>
                <w:rFonts w:ascii="Times New Roman" w:hAnsi="Times New Roman"/>
                <w:color w:val="000000"/>
                <w:sz w:val="13"/>
                <w:szCs w:val="13"/>
              </w:rPr>
            </w:pPr>
          </w:p>
        </w:tc>
        <w:tc>
          <w:tcPr>
            <w:tcW w:w="567" w:type="dxa"/>
            <w:gridSpan w:val="2"/>
            <w:shd w:val="clear" w:color="auto" w:fill="FFFFFF"/>
            <w:vAlign w:val="center"/>
          </w:tcPr>
          <w:p w14:paraId="527AD213" w14:textId="4E2FA709" w:rsidR="00661E5F" w:rsidRPr="00661E5F" w:rsidRDefault="00661E5F" w:rsidP="00661E5F">
            <w:pPr>
              <w:jc w:val="right"/>
              <w:rPr>
                <w:rFonts w:ascii="Times New Roman" w:hAnsi="Times New Roman"/>
                <w:color w:val="000000"/>
                <w:sz w:val="13"/>
                <w:szCs w:val="13"/>
              </w:rPr>
            </w:pPr>
          </w:p>
        </w:tc>
        <w:tc>
          <w:tcPr>
            <w:tcW w:w="567" w:type="dxa"/>
            <w:shd w:val="clear" w:color="auto" w:fill="FFFFFF"/>
            <w:vAlign w:val="center"/>
          </w:tcPr>
          <w:p w14:paraId="4CD9FEB0" w14:textId="11142DD9" w:rsidR="00661E5F" w:rsidRPr="00661E5F" w:rsidRDefault="00661E5F" w:rsidP="00661E5F">
            <w:pPr>
              <w:jc w:val="right"/>
              <w:rPr>
                <w:rFonts w:ascii="Times New Roman" w:hAnsi="Times New Roman"/>
                <w:color w:val="000000"/>
                <w:sz w:val="13"/>
                <w:szCs w:val="13"/>
              </w:rPr>
            </w:pPr>
          </w:p>
        </w:tc>
        <w:tc>
          <w:tcPr>
            <w:tcW w:w="1281" w:type="dxa"/>
            <w:gridSpan w:val="2"/>
            <w:shd w:val="clear" w:color="auto" w:fill="FFFFFF"/>
            <w:vAlign w:val="center"/>
          </w:tcPr>
          <w:p w14:paraId="620C9355" w14:textId="3EC7C66E" w:rsidR="00661E5F" w:rsidRPr="00661E5F" w:rsidRDefault="00661E5F" w:rsidP="00661E5F">
            <w:pPr>
              <w:jc w:val="right"/>
              <w:rPr>
                <w:rFonts w:ascii="Times New Roman" w:hAnsi="Times New Roman"/>
                <w:color w:val="000000"/>
                <w:sz w:val="13"/>
                <w:szCs w:val="13"/>
              </w:rPr>
            </w:pPr>
          </w:p>
        </w:tc>
      </w:tr>
      <w:tr w:rsidR="00897A9F" w:rsidRPr="00424472" w14:paraId="6210D9B8" w14:textId="77777777" w:rsidTr="00461AD7">
        <w:trPr>
          <w:trHeight w:val="124"/>
          <w:jc w:val="center"/>
        </w:trPr>
        <w:tc>
          <w:tcPr>
            <w:tcW w:w="2233" w:type="dxa"/>
            <w:gridSpan w:val="2"/>
            <w:shd w:val="clear" w:color="auto" w:fill="FFFFFF"/>
            <w:vAlign w:val="center"/>
          </w:tcPr>
          <w:p w14:paraId="323DC096" w14:textId="77777777" w:rsidR="00897A9F" w:rsidRPr="00424472" w:rsidRDefault="00897A9F" w:rsidP="00424472">
            <w:pPr>
              <w:rPr>
                <w:rFonts w:ascii="Times New Roman" w:hAnsi="Times New Roman"/>
                <w:color w:val="000000"/>
              </w:rPr>
            </w:pPr>
            <w:r w:rsidRPr="00424472">
              <w:rPr>
                <w:rFonts w:ascii="Times New Roman" w:hAnsi="Times New Roman"/>
                <w:color w:val="000000"/>
              </w:rPr>
              <w:t xml:space="preserve">Źródła finansowania </w:t>
            </w:r>
          </w:p>
        </w:tc>
        <w:tc>
          <w:tcPr>
            <w:tcW w:w="8541" w:type="dxa"/>
            <w:gridSpan w:val="26"/>
            <w:shd w:val="clear" w:color="auto" w:fill="auto"/>
            <w:vAlign w:val="center"/>
          </w:tcPr>
          <w:p w14:paraId="764577C6" w14:textId="0F62A00C" w:rsidR="00505BF0" w:rsidRPr="00424472" w:rsidRDefault="004C5C72" w:rsidP="00BD3530">
            <w:pPr>
              <w:spacing w:before="120" w:after="120"/>
              <w:jc w:val="both"/>
              <w:rPr>
                <w:rFonts w:ascii="Times New Roman" w:hAnsi="Times New Roman"/>
              </w:rPr>
            </w:pPr>
            <w:r>
              <w:rPr>
                <w:rFonts w:ascii="Times New Roman" w:hAnsi="Times New Roman"/>
              </w:rPr>
              <w:t>Wejście w życie projektu nie spowoduje zmniejszenia dochodów, ani zwiększenia wydatków budżetu państwa.</w:t>
            </w:r>
          </w:p>
        </w:tc>
      </w:tr>
      <w:tr w:rsidR="00897A9F" w:rsidRPr="00424472" w14:paraId="5437ACE1" w14:textId="77777777" w:rsidTr="00042A8F">
        <w:tblPrEx>
          <w:tblCellMar>
            <w:left w:w="70" w:type="dxa"/>
            <w:right w:w="70" w:type="dxa"/>
          </w:tblCellMar>
        </w:tblPrEx>
        <w:trPr>
          <w:trHeight w:val="416"/>
          <w:jc w:val="center"/>
        </w:trPr>
        <w:tc>
          <w:tcPr>
            <w:tcW w:w="2233" w:type="dxa"/>
            <w:gridSpan w:val="2"/>
            <w:shd w:val="clear" w:color="auto" w:fill="FFFFFF"/>
          </w:tcPr>
          <w:p w14:paraId="3B7D4C2C" w14:textId="77777777" w:rsidR="00897A9F" w:rsidRPr="00424472" w:rsidRDefault="00897A9F" w:rsidP="00424472">
            <w:pPr>
              <w:rPr>
                <w:rFonts w:ascii="Times New Roman" w:hAnsi="Times New Roman"/>
                <w:color w:val="000000"/>
              </w:rPr>
            </w:pPr>
            <w:r w:rsidRPr="00424472">
              <w:rPr>
                <w:rFonts w:ascii="Times New Roman" w:hAnsi="Times New Roman"/>
                <w:color w:val="000000"/>
              </w:rPr>
              <w:lastRenderedPageBreak/>
              <w:t>Dodatkowe informacje, w tym wskazanie źródeł danych i przyjętych do obliczeń założeń</w:t>
            </w:r>
          </w:p>
        </w:tc>
        <w:tc>
          <w:tcPr>
            <w:tcW w:w="8541" w:type="dxa"/>
            <w:gridSpan w:val="26"/>
            <w:shd w:val="clear" w:color="auto" w:fill="FFFFFF"/>
          </w:tcPr>
          <w:p w14:paraId="0B008E97" w14:textId="399315E3" w:rsidR="009C52C4" w:rsidRDefault="009C52C4" w:rsidP="009310FA">
            <w:pPr>
              <w:jc w:val="both"/>
              <w:rPr>
                <w:rFonts w:ascii="Times New Roman" w:hAnsi="Times New Roman"/>
              </w:rPr>
            </w:pPr>
            <w:r>
              <w:rPr>
                <w:rFonts w:ascii="Times New Roman" w:hAnsi="Times New Roman"/>
              </w:rPr>
              <w:t xml:space="preserve">Projekt przewiduje </w:t>
            </w:r>
            <w:r w:rsidR="00735700">
              <w:rPr>
                <w:rFonts w:ascii="Times New Roman" w:hAnsi="Times New Roman"/>
              </w:rPr>
              <w:t xml:space="preserve">wprowadzenie </w:t>
            </w:r>
            <w:r w:rsidR="00735700" w:rsidRPr="00735700">
              <w:rPr>
                <w:rFonts w:ascii="Times New Roman" w:hAnsi="Times New Roman"/>
              </w:rPr>
              <w:t>now</w:t>
            </w:r>
            <w:r w:rsidR="00735700">
              <w:rPr>
                <w:rFonts w:ascii="Times New Roman" w:hAnsi="Times New Roman"/>
              </w:rPr>
              <w:t>ej</w:t>
            </w:r>
            <w:r w:rsidR="00735700" w:rsidRPr="00735700">
              <w:rPr>
                <w:rFonts w:ascii="Times New Roman" w:hAnsi="Times New Roman"/>
              </w:rPr>
              <w:t xml:space="preserve"> procedur</w:t>
            </w:r>
            <w:r w:rsidR="00735700">
              <w:rPr>
                <w:rFonts w:ascii="Times New Roman" w:hAnsi="Times New Roman"/>
              </w:rPr>
              <w:t>y</w:t>
            </w:r>
            <w:r w:rsidR="00735700" w:rsidRPr="00735700">
              <w:rPr>
                <w:rFonts w:ascii="Times New Roman" w:hAnsi="Times New Roman"/>
              </w:rPr>
              <w:t xml:space="preserve"> zaskarżania oraz doręczania postanowienia sądu w przedmiocie wniosku organu o zgodę na przeprowadzenie przeszukania</w:t>
            </w:r>
            <w:r w:rsidR="00626F7D">
              <w:rPr>
                <w:rFonts w:ascii="Times New Roman" w:hAnsi="Times New Roman"/>
              </w:rPr>
              <w:t>.</w:t>
            </w:r>
          </w:p>
          <w:p w14:paraId="5ABB854C" w14:textId="66F59AA9" w:rsidR="00422C9B" w:rsidRDefault="00422C9B" w:rsidP="009310FA">
            <w:pPr>
              <w:jc w:val="both"/>
              <w:rPr>
                <w:rFonts w:ascii="Times New Roman" w:hAnsi="Times New Roman"/>
              </w:rPr>
            </w:pPr>
          </w:p>
          <w:p w14:paraId="10A6629D" w14:textId="77777777" w:rsidR="00422C9B" w:rsidRDefault="00422C9B" w:rsidP="009310FA">
            <w:pPr>
              <w:jc w:val="both"/>
              <w:rPr>
                <w:rFonts w:ascii="Times New Roman" w:hAnsi="Times New Roman"/>
              </w:rPr>
            </w:pPr>
            <w:r>
              <w:rPr>
                <w:rFonts w:ascii="Times New Roman" w:hAnsi="Times New Roman"/>
              </w:rPr>
              <w:t>W</w:t>
            </w:r>
            <w:r w:rsidRPr="00422C9B">
              <w:rPr>
                <w:rFonts w:ascii="Times New Roman" w:hAnsi="Times New Roman"/>
              </w:rPr>
              <w:t>ydłużono z 48 do 72 godzin termin dla sądu ochrony konkurencji i konsumentów do rozpatrzenia wniosku Prezesa Urzędu</w:t>
            </w:r>
            <w:r>
              <w:rPr>
                <w:rFonts w:ascii="Times New Roman" w:hAnsi="Times New Roman"/>
              </w:rPr>
              <w:t>, z</w:t>
            </w:r>
            <w:r w:rsidRPr="00422C9B">
              <w:rPr>
                <w:rFonts w:ascii="Times New Roman" w:hAnsi="Times New Roman"/>
              </w:rPr>
              <w:t>aproponowano</w:t>
            </w:r>
            <w:r>
              <w:rPr>
                <w:rFonts w:ascii="Times New Roman" w:hAnsi="Times New Roman"/>
              </w:rPr>
              <w:t xml:space="preserve"> też</w:t>
            </w:r>
            <w:r w:rsidRPr="00422C9B">
              <w:rPr>
                <w:rFonts w:ascii="Times New Roman" w:hAnsi="Times New Roman"/>
              </w:rPr>
              <w:t xml:space="preserve"> regulację</w:t>
            </w:r>
            <w:r>
              <w:rPr>
                <w:rFonts w:ascii="Times New Roman" w:hAnsi="Times New Roman"/>
              </w:rPr>
              <w:t>,</w:t>
            </w:r>
            <w:r w:rsidRPr="00422C9B">
              <w:rPr>
                <w:rFonts w:ascii="Times New Roman" w:hAnsi="Times New Roman"/>
              </w:rPr>
              <w:t xml:space="preserve"> zgodnie z którą przeszukiwanemu przysługuje zażalenie na postanowienie sądu o wyrażeniu zgody na przeprowadzenie przeszukania</w:t>
            </w:r>
            <w:r>
              <w:rPr>
                <w:rFonts w:ascii="Times New Roman" w:hAnsi="Times New Roman"/>
              </w:rPr>
              <w:t>, z uwagi na fakt, że s</w:t>
            </w:r>
            <w:r w:rsidRPr="00422C9B">
              <w:rPr>
                <w:rFonts w:ascii="Times New Roman" w:hAnsi="Times New Roman"/>
              </w:rPr>
              <w:t>ąd będzie uprawniony do uwzględnienia wniosku Prezesa w całości lub jego oddalenia w całości</w:t>
            </w:r>
            <w:r>
              <w:rPr>
                <w:rFonts w:ascii="Times New Roman" w:hAnsi="Times New Roman"/>
              </w:rPr>
              <w:t xml:space="preserve">. </w:t>
            </w:r>
          </w:p>
          <w:p w14:paraId="5E4CFDFC" w14:textId="77777777" w:rsidR="00422C9B" w:rsidRDefault="00422C9B" w:rsidP="009310FA">
            <w:pPr>
              <w:jc w:val="both"/>
              <w:rPr>
                <w:rFonts w:ascii="Times New Roman" w:hAnsi="Times New Roman"/>
              </w:rPr>
            </w:pPr>
          </w:p>
          <w:p w14:paraId="773B2E5E" w14:textId="4AB89C6A" w:rsidR="00422C9B" w:rsidRDefault="00422C9B" w:rsidP="009310FA">
            <w:pPr>
              <w:jc w:val="both"/>
              <w:rPr>
                <w:rFonts w:ascii="Times New Roman" w:hAnsi="Times New Roman"/>
              </w:rPr>
            </w:pPr>
            <w:r w:rsidRPr="00422C9B">
              <w:rPr>
                <w:rFonts w:ascii="Times New Roman" w:hAnsi="Times New Roman"/>
              </w:rPr>
              <w:t xml:space="preserve">W przypadku odmowy udzielenia zgody na przeprowadzenie przeszukania, sąd będzie zobowiązany uzasadnić postanowienie o odmowie udzielenia zgody na przeprowadzenie przeszukania </w:t>
            </w:r>
            <w:r>
              <w:rPr>
                <w:rFonts w:ascii="Times New Roman" w:hAnsi="Times New Roman"/>
              </w:rPr>
              <w:br/>
            </w:r>
            <w:r w:rsidRPr="00422C9B">
              <w:rPr>
                <w:rFonts w:ascii="Times New Roman" w:hAnsi="Times New Roman"/>
              </w:rPr>
              <w:t>z urzędu, w terminie 5 dni od jego wydania. Ponadto zaproponowano regulację, zgodnie z którą w przypadku gdy odmowa udzielenia zgody na przeszukanie wynika z braku wystarczającego uzasadnienia wniosku w części, sąd będzie zobowiązany wskazać w uzasadnieniu, w jakiej części wniosek o udzielenie zgody na przeszukanie nie wyjaśniał dostatecznie podstaw do prowadzenia przeszukania. W takiej sytuacji Prezes Urzędu będzie uprawniony do przedstawienia nowego wniosku o wyrażenie zgody na przeszukanie, uwzględniającego treść postanowienia o odmowie udzielenia zgody na przeprowadzenie przeszukania lub wskazujący na dalsze okoliczności faktyczne lub prawne uzasadniające przeprowadzenie przeszukania.</w:t>
            </w:r>
          </w:p>
          <w:p w14:paraId="37530A5B" w14:textId="07C114F0" w:rsidR="00422C9B" w:rsidRDefault="00422C9B" w:rsidP="009310FA">
            <w:pPr>
              <w:jc w:val="both"/>
              <w:rPr>
                <w:rFonts w:ascii="Times New Roman" w:hAnsi="Times New Roman"/>
              </w:rPr>
            </w:pPr>
          </w:p>
          <w:p w14:paraId="706E1EE6" w14:textId="77777777" w:rsidR="00422C9B" w:rsidRDefault="00422C9B" w:rsidP="009310FA">
            <w:pPr>
              <w:jc w:val="both"/>
              <w:rPr>
                <w:rFonts w:ascii="Times New Roman" w:hAnsi="Times New Roman"/>
              </w:rPr>
            </w:pPr>
            <w:r w:rsidRPr="00422C9B">
              <w:rPr>
                <w:rFonts w:ascii="Times New Roman" w:hAnsi="Times New Roman"/>
              </w:rPr>
              <w:t xml:space="preserve">W </w:t>
            </w:r>
            <w:r>
              <w:rPr>
                <w:rFonts w:ascii="Times New Roman" w:hAnsi="Times New Roman"/>
              </w:rPr>
              <w:t xml:space="preserve">projekcie </w:t>
            </w:r>
            <w:r w:rsidRPr="00422C9B">
              <w:rPr>
                <w:rFonts w:ascii="Times New Roman" w:hAnsi="Times New Roman"/>
              </w:rPr>
              <w:t>uregulowano</w:t>
            </w:r>
            <w:r>
              <w:rPr>
                <w:rFonts w:ascii="Times New Roman" w:hAnsi="Times New Roman"/>
              </w:rPr>
              <w:t xml:space="preserve"> też</w:t>
            </w:r>
            <w:r w:rsidRPr="00422C9B">
              <w:rPr>
                <w:rFonts w:ascii="Times New Roman" w:hAnsi="Times New Roman"/>
              </w:rPr>
              <w:t xml:space="preserve"> pozostałe kwestie</w:t>
            </w:r>
            <w:r>
              <w:rPr>
                <w:rFonts w:ascii="Times New Roman" w:hAnsi="Times New Roman"/>
              </w:rPr>
              <w:t>,</w:t>
            </w:r>
            <w:r w:rsidRPr="00422C9B">
              <w:rPr>
                <w:rFonts w:ascii="Times New Roman" w:hAnsi="Times New Roman"/>
              </w:rPr>
              <w:t xml:space="preserve"> związane m.in.</w:t>
            </w:r>
            <w:r>
              <w:rPr>
                <w:rFonts w:ascii="Times New Roman" w:hAnsi="Times New Roman"/>
              </w:rPr>
              <w:t xml:space="preserve"> z</w:t>
            </w:r>
            <w:r w:rsidRPr="00422C9B">
              <w:rPr>
                <w:rFonts w:ascii="Times New Roman" w:hAnsi="Times New Roman"/>
              </w:rPr>
              <w:t xml:space="preserve"> doręczaniem postanowienia sądu. Proponuje się, aby sąd zawiadamiał Prezesa Urzędu niezwłocznie o wydaniu postanowienia, zaś odpis tego postanowienia był wydawany przez sąd upoważnionemu pracownikowi Urzędu osobiście. Z kolei w jeśli chodzi o przeszukiwanego, sąd będzie zobowiązany doręczyć mu postanowienie dopiero po uzyskaniu od Prezesa Urzędu zawiadomienia o rozpoczęciu. </w:t>
            </w:r>
          </w:p>
          <w:p w14:paraId="78EA8D09" w14:textId="77777777" w:rsidR="00422C9B" w:rsidRDefault="00422C9B" w:rsidP="009310FA">
            <w:pPr>
              <w:jc w:val="both"/>
              <w:rPr>
                <w:rFonts w:ascii="Times New Roman" w:hAnsi="Times New Roman"/>
              </w:rPr>
            </w:pPr>
          </w:p>
          <w:p w14:paraId="0AE99E42" w14:textId="77777777" w:rsidR="00422C9B" w:rsidRDefault="00422C9B" w:rsidP="009310FA">
            <w:pPr>
              <w:jc w:val="both"/>
              <w:rPr>
                <w:rFonts w:ascii="Times New Roman" w:hAnsi="Times New Roman"/>
              </w:rPr>
            </w:pPr>
            <w:r w:rsidRPr="00422C9B">
              <w:rPr>
                <w:rFonts w:ascii="Times New Roman" w:hAnsi="Times New Roman"/>
              </w:rPr>
              <w:t xml:space="preserve">Zaproponowano także regulację zgodnie z którą, postanowienie sądu o udzieleniu zgody na przeprowadzenie przeszukania zawierać ma pouczenie o sposobie i terminie wniesienia środka zaskarżenia, zaś wniosek o uzasadnienie przeszukiwany będzie mógł wnieść w terminie 7 dni od dnia doręczenia mu postanowienia. </w:t>
            </w:r>
          </w:p>
          <w:p w14:paraId="6625C197" w14:textId="77777777" w:rsidR="00422C9B" w:rsidRDefault="00422C9B" w:rsidP="009310FA">
            <w:pPr>
              <w:jc w:val="both"/>
              <w:rPr>
                <w:rFonts w:ascii="Times New Roman" w:hAnsi="Times New Roman"/>
              </w:rPr>
            </w:pPr>
          </w:p>
          <w:p w14:paraId="2E51FCC0" w14:textId="77777777" w:rsidR="00422C9B" w:rsidRDefault="00422C9B" w:rsidP="009310FA">
            <w:pPr>
              <w:jc w:val="both"/>
              <w:rPr>
                <w:rFonts w:ascii="Times New Roman" w:hAnsi="Times New Roman"/>
              </w:rPr>
            </w:pPr>
            <w:r>
              <w:rPr>
                <w:rFonts w:ascii="Times New Roman" w:hAnsi="Times New Roman"/>
              </w:rPr>
              <w:t>W projekcie p</w:t>
            </w:r>
            <w:r w:rsidRPr="00422C9B">
              <w:rPr>
                <w:rFonts w:ascii="Times New Roman" w:hAnsi="Times New Roman"/>
              </w:rPr>
              <w:t>rzewidziano</w:t>
            </w:r>
            <w:r>
              <w:rPr>
                <w:rFonts w:ascii="Times New Roman" w:hAnsi="Times New Roman"/>
              </w:rPr>
              <w:t xml:space="preserve"> także</w:t>
            </w:r>
            <w:r w:rsidRPr="00422C9B">
              <w:rPr>
                <w:rFonts w:ascii="Times New Roman" w:hAnsi="Times New Roman"/>
              </w:rPr>
              <w:t xml:space="preserve"> przepisy o charakterze proceduralnym, mające charakter </w:t>
            </w:r>
            <w:r w:rsidRPr="00422C9B">
              <w:rPr>
                <w:rFonts w:ascii="Times New Roman" w:hAnsi="Times New Roman"/>
                <w:i/>
              </w:rPr>
              <w:t xml:space="preserve">lex </w:t>
            </w:r>
            <w:proofErr w:type="spellStart"/>
            <w:r w:rsidRPr="00422C9B">
              <w:rPr>
                <w:rFonts w:ascii="Times New Roman" w:hAnsi="Times New Roman"/>
                <w:i/>
              </w:rPr>
              <w:t>specialis</w:t>
            </w:r>
            <w:proofErr w:type="spellEnd"/>
            <w:r w:rsidRPr="00422C9B">
              <w:rPr>
                <w:rFonts w:ascii="Times New Roman" w:hAnsi="Times New Roman"/>
              </w:rPr>
              <w:t xml:space="preserve"> w stosunku do procedury przewidzianej w</w:t>
            </w:r>
            <w:r>
              <w:rPr>
                <w:rFonts w:ascii="Times New Roman" w:hAnsi="Times New Roman"/>
              </w:rPr>
              <w:t xml:space="preserve"> KPC</w:t>
            </w:r>
            <w:r w:rsidRPr="00422C9B">
              <w:rPr>
                <w:rFonts w:ascii="Times New Roman" w:hAnsi="Times New Roman"/>
              </w:rPr>
              <w:t xml:space="preserve">, w świetle których sąd pierwszej instancji ma przedstawić akta sprawy sądowi drugiej instancji w terminie 7 dni od dnia doręczenia zażalenia, zaś Prezes Urzędu może wnieść odpowiedź na zażalenie w terminie 7 dni od dnia doręczenia odpisu zażalenia. </w:t>
            </w:r>
          </w:p>
          <w:p w14:paraId="743361DD" w14:textId="36B788CA" w:rsidR="009C52C4" w:rsidRDefault="009C52C4" w:rsidP="009310FA">
            <w:pPr>
              <w:jc w:val="both"/>
              <w:rPr>
                <w:rFonts w:ascii="Times New Roman" w:hAnsi="Times New Roman"/>
              </w:rPr>
            </w:pPr>
          </w:p>
          <w:p w14:paraId="723E477B" w14:textId="02BB3700" w:rsidR="009C52C4" w:rsidRDefault="009C52C4" w:rsidP="009310FA">
            <w:pPr>
              <w:jc w:val="both"/>
              <w:rPr>
                <w:rFonts w:ascii="Times New Roman" w:hAnsi="Times New Roman"/>
              </w:rPr>
            </w:pPr>
            <w:r>
              <w:rPr>
                <w:rFonts w:ascii="Times New Roman" w:hAnsi="Times New Roman"/>
              </w:rPr>
              <w:t>Biorąc pod uwagę powyższ</w:t>
            </w:r>
            <w:r w:rsidR="00422C9B">
              <w:rPr>
                <w:rFonts w:ascii="Times New Roman" w:hAnsi="Times New Roman"/>
              </w:rPr>
              <w:t>e</w:t>
            </w:r>
            <w:r>
              <w:rPr>
                <w:rFonts w:ascii="Times New Roman" w:hAnsi="Times New Roman"/>
              </w:rPr>
              <w:t>, dokonanie precyzyjnych szacunków w zakresie skutków finansowych wejścia w życie</w:t>
            </w:r>
            <w:r w:rsidR="00422C9B">
              <w:rPr>
                <w:rFonts w:ascii="Times New Roman" w:hAnsi="Times New Roman"/>
              </w:rPr>
              <w:t xml:space="preserve"> projektu w zakresie jego wpływu na sądownictwo powszechne</w:t>
            </w:r>
            <w:r>
              <w:rPr>
                <w:rFonts w:ascii="Times New Roman" w:hAnsi="Times New Roman"/>
              </w:rPr>
              <w:t xml:space="preserve"> wymaga pozyskania szeregu informacji.</w:t>
            </w:r>
          </w:p>
          <w:p w14:paraId="5A491E9C" w14:textId="77777777" w:rsidR="009C52C4" w:rsidRDefault="009C52C4" w:rsidP="009310FA">
            <w:pPr>
              <w:jc w:val="both"/>
              <w:rPr>
                <w:rFonts w:ascii="Times New Roman" w:hAnsi="Times New Roman"/>
              </w:rPr>
            </w:pPr>
          </w:p>
          <w:p w14:paraId="5CF719A5" w14:textId="72256820" w:rsidR="009C52C4" w:rsidRDefault="009C52C4" w:rsidP="008F53C7">
            <w:pPr>
              <w:jc w:val="both"/>
              <w:rPr>
                <w:rFonts w:ascii="Times New Roman" w:hAnsi="Times New Roman"/>
              </w:rPr>
            </w:pPr>
            <w:r>
              <w:rPr>
                <w:rFonts w:ascii="Times New Roman" w:hAnsi="Times New Roman"/>
              </w:rPr>
              <w:t xml:space="preserve">W </w:t>
            </w:r>
            <w:r w:rsidR="00422C9B">
              <w:rPr>
                <w:rFonts w:ascii="Times New Roman" w:hAnsi="Times New Roman"/>
              </w:rPr>
              <w:t>Urzędzie Ochrony Konkurencji i Konsumentów</w:t>
            </w:r>
            <w:r>
              <w:rPr>
                <w:rFonts w:ascii="Times New Roman" w:hAnsi="Times New Roman"/>
              </w:rPr>
              <w:t xml:space="preserve"> trwają prace analityczne, mające na celu określenie kosztów przyjęcia proponowanych rozwiązań. OSR zostanie uzupełniony niezwłocznie po otrzymaniu stosownych danych</w:t>
            </w:r>
            <w:r w:rsidR="00422C9B">
              <w:rPr>
                <w:rFonts w:ascii="Times New Roman" w:hAnsi="Times New Roman"/>
              </w:rPr>
              <w:t>.</w:t>
            </w:r>
          </w:p>
          <w:p w14:paraId="2139EE61" w14:textId="77777777" w:rsidR="009C52C4" w:rsidRDefault="009C52C4">
            <w:pPr>
              <w:jc w:val="both"/>
              <w:rPr>
                <w:rFonts w:ascii="Times New Roman" w:hAnsi="Times New Roman"/>
              </w:rPr>
            </w:pPr>
          </w:p>
          <w:p w14:paraId="17CAAFE0" w14:textId="20189328" w:rsidR="00170512" w:rsidRDefault="00422C9B">
            <w:pPr>
              <w:jc w:val="both"/>
              <w:rPr>
                <w:rFonts w:ascii="Times New Roman" w:hAnsi="Times New Roman"/>
              </w:rPr>
            </w:pPr>
            <w:r>
              <w:rPr>
                <w:rFonts w:ascii="Times New Roman" w:hAnsi="Times New Roman"/>
              </w:rPr>
              <w:t>Ponadto p</w:t>
            </w:r>
            <w:r w:rsidR="00035F9E">
              <w:rPr>
                <w:rFonts w:ascii="Times New Roman" w:hAnsi="Times New Roman"/>
              </w:rPr>
              <w:t>rzyjęcie proponowanych rozwiązań</w:t>
            </w:r>
            <w:r w:rsidR="0022689A">
              <w:rPr>
                <w:rFonts w:ascii="Times New Roman" w:hAnsi="Times New Roman"/>
              </w:rPr>
              <w:t xml:space="preserve"> w sposó</w:t>
            </w:r>
            <w:r w:rsidR="00AA297A">
              <w:rPr>
                <w:rFonts w:ascii="Times New Roman" w:hAnsi="Times New Roman"/>
              </w:rPr>
              <w:t>b</w:t>
            </w:r>
            <w:r w:rsidR="0022689A">
              <w:rPr>
                <w:rFonts w:ascii="Times New Roman" w:hAnsi="Times New Roman"/>
              </w:rPr>
              <w:t xml:space="preserve"> pozytywny wpłynie na e</w:t>
            </w:r>
            <w:r w:rsidR="00760BFE">
              <w:rPr>
                <w:rFonts w:ascii="Times New Roman" w:hAnsi="Times New Roman"/>
              </w:rPr>
              <w:t>fektywność</w:t>
            </w:r>
            <w:r w:rsidR="00035F9E">
              <w:rPr>
                <w:rFonts w:ascii="Times New Roman" w:hAnsi="Times New Roman"/>
              </w:rPr>
              <w:t xml:space="preserve"> </w:t>
            </w:r>
            <w:r w:rsidR="00760BFE">
              <w:rPr>
                <w:rFonts w:ascii="Times New Roman" w:hAnsi="Times New Roman"/>
              </w:rPr>
              <w:t>e</w:t>
            </w:r>
            <w:r w:rsidR="00035F9E">
              <w:rPr>
                <w:rFonts w:ascii="Times New Roman" w:hAnsi="Times New Roman"/>
              </w:rPr>
              <w:t>gzekucj</w:t>
            </w:r>
            <w:r w:rsidR="00760BFE">
              <w:rPr>
                <w:rFonts w:ascii="Times New Roman" w:hAnsi="Times New Roman"/>
              </w:rPr>
              <w:t>i</w:t>
            </w:r>
            <w:r w:rsidR="00035F9E">
              <w:rPr>
                <w:rFonts w:ascii="Times New Roman" w:hAnsi="Times New Roman"/>
              </w:rPr>
              <w:t xml:space="preserve"> kar </w:t>
            </w:r>
            <w:r w:rsidR="00760BFE">
              <w:rPr>
                <w:rFonts w:ascii="Times New Roman" w:hAnsi="Times New Roman"/>
              </w:rPr>
              <w:t>nakładanych przez Prezesa UOKiK</w:t>
            </w:r>
            <w:r w:rsidR="002D04F0">
              <w:rPr>
                <w:rFonts w:ascii="Times New Roman" w:hAnsi="Times New Roman"/>
              </w:rPr>
              <w:t>,</w:t>
            </w:r>
            <w:r w:rsidR="003D3C62">
              <w:rPr>
                <w:rFonts w:ascii="Times New Roman" w:hAnsi="Times New Roman"/>
              </w:rPr>
              <w:t xml:space="preserve"> poprzez możliwość</w:t>
            </w:r>
            <w:r w:rsidR="00170512">
              <w:rPr>
                <w:rFonts w:ascii="Times New Roman" w:hAnsi="Times New Roman"/>
              </w:rPr>
              <w:t xml:space="preserve"> ich </w:t>
            </w:r>
            <w:r w:rsidR="00AB3758">
              <w:rPr>
                <w:rFonts w:ascii="Times New Roman" w:hAnsi="Times New Roman"/>
              </w:rPr>
              <w:t xml:space="preserve">ściągania </w:t>
            </w:r>
            <w:r w:rsidR="00035F9E">
              <w:rPr>
                <w:rFonts w:ascii="Times New Roman" w:hAnsi="Times New Roman"/>
              </w:rPr>
              <w:t xml:space="preserve">także w ramach </w:t>
            </w:r>
            <w:r w:rsidR="002D04F0">
              <w:rPr>
                <w:rFonts w:ascii="Times New Roman" w:hAnsi="Times New Roman"/>
              </w:rPr>
              <w:t xml:space="preserve">wzajemnej </w:t>
            </w:r>
            <w:r w:rsidR="00035F9E">
              <w:rPr>
                <w:rFonts w:ascii="Times New Roman" w:hAnsi="Times New Roman"/>
              </w:rPr>
              <w:t>pomoc</w:t>
            </w:r>
            <w:r w:rsidR="002D04F0">
              <w:rPr>
                <w:rFonts w:ascii="Times New Roman" w:hAnsi="Times New Roman"/>
              </w:rPr>
              <w:t>y</w:t>
            </w:r>
            <w:r w:rsidR="00035F9E">
              <w:rPr>
                <w:rFonts w:ascii="Times New Roman" w:hAnsi="Times New Roman"/>
              </w:rPr>
              <w:t xml:space="preserve"> prawnej państw członkowskich UE</w:t>
            </w:r>
            <w:r w:rsidR="000B0A19">
              <w:rPr>
                <w:rFonts w:ascii="Times New Roman" w:hAnsi="Times New Roman"/>
              </w:rPr>
              <w:t xml:space="preserve">. </w:t>
            </w:r>
          </w:p>
          <w:p w14:paraId="57C413BF" w14:textId="77777777" w:rsidR="000A3928" w:rsidRDefault="000A3928">
            <w:pPr>
              <w:jc w:val="both"/>
              <w:rPr>
                <w:rFonts w:ascii="Times New Roman" w:hAnsi="Times New Roman"/>
              </w:rPr>
            </w:pPr>
          </w:p>
          <w:p w14:paraId="3BEED394" w14:textId="30BFC0B3" w:rsidR="006D44B2" w:rsidRPr="005E31BA" w:rsidRDefault="002D04F0">
            <w:pPr>
              <w:jc w:val="both"/>
              <w:rPr>
                <w:rFonts w:ascii="Times New Roman" w:hAnsi="Times New Roman"/>
              </w:rPr>
            </w:pPr>
            <w:r>
              <w:rPr>
                <w:rFonts w:ascii="Times New Roman" w:hAnsi="Times New Roman"/>
              </w:rPr>
              <w:t>Powyższe</w:t>
            </w:r>
            <w:r w:rsidR="00422C9B">
              <w:rPr>
                <w:rFonts w:ascii="Times New Roman" w:hAnsi="Times New Roman"/>
              </w:rPr>
              <w:t>,</w:t>
            </w:r>
            <w:r>
              <w:rPr>
                <w:rFonts w:ascii="Times New Roman" w:hAnsi="Times New Roman"/>
              </w:rPr>
              <w:t xml:space="preserve"> </w:t>
            </w:r>
            <w:r w:rsidR="00422C9B">
              <w:rPr>
                <w:rFonts w:ascii="Times New Roman" w:hAnsi="Times New Roman"/>
              </w:rPr>
              <w:t>, w zależności od liczby nakładanych kar, może</w:t>
            </w:r>
            <w:r w:rsidR="00635A70">
              <w:rPr>
                <w:rFonts w:ascii="Times New Roman" w:hAnsi="Times New Roman"/>
              </w:rPr>
              <w:t xml:space="preserve"> </w:t>
            </w:r>
            <w:r>
              <w:rPr>
                <w:rFonts w:ascii="Times New Roman" w:hAnsi="Times New Roman"/>
              </w:rPr>
              <w:t>przy</w:t>
            </w:r>
            <w:r w:rsidR="00635A70">
              <w:rPr>
                <w:rFonts w:ascii="Times New Roman" w:hAnsi="Times New Roman"/>
              </w:rPr>
              <w:t>czyni</w:t>
            </w:r>
            <w:r w:rsidR="00422C9B">
              <w:rPr>
                <w:rFonts w:ascii="Times New Roman" w:hAnsi="Times New Roman"/>
              </w:rPr>
              <w:t>ć</w:t>
            </w:r>
            <w:r w:rsidR="00635A70">
              <w:rPr>
                <w:rFonts w:ascii="Times New Roman" w:hAnsi="Times New Roman"/>
              </w:rPr>
              <w:t xml:space="preserve"> się </w:t>
            </w:r>
            <w:r w:rsidR="000B0A19">
              <w:rPr>
                <w:rFonts w:ascii="Times New Roman" w:hAnsi="Times New Roman"/>
              </w:rPr>
              <w:t xml:space="preserve">do </w:t>
            </w:r>
            <w:r w:rsidR="00422C9B">
              <w:rPr>
                <w:rFonts w:ascii="Times New Roman" w:hAnsi="Times New Roman"/>
              </w:rPr>
              <w:t xml:space="preserve">potencjalnego </w:t>
            </w:r>
            <w:r w:rsidR="00655DED">
              <w:rPr>
                <w:rFonts w:ascii="Times New Roman" w:hAnsi="Times New Roman"/>
              </w:rPr>
              <w:t>zwiększeni</w:t>
            </w:r>
            <w:r w:rsidR="00635A70">
              <w:rPr>
                <w:rFonts w:ascii="Times New Roman" w:hAnsi="Times New Roman"/>
              </w:rPr>
              <w:t>a</w:t>
            </w:r>
            <w:r w:rsidR="00655DED">
              <w:rPr>
                <w:rFonts w:ascii="Times New Roman" w:hAnsi="Times New Roman"/>
              </w:rPr>
              <w:t xml:space="preserve"> wpływów </w:t>
            </w:r>
            <w:r w:rsidR="00CD5706">
              <w:rPr>
                <w:rFonts w:ascii="Times New Roman" w:hAnsi="Times New Roman"/>
              </w:rPr>
              <w:t xml:space="preserve">do budżetu państwa </w:t>
            </w:r>
            <w:r w:rsidR="00655DED">
              <w:rPr>
                <w:rFonts w:ascii="Times New Roman" w:hAnsi="Times New Roman"/>
              </w:rPr>
              <w:t>z tytułu ty</w:t>
            </w:r>
            <w:r w:rsidR="00CD5706">
              <w:rPr>
                <w:rFonts w:ascii="Times New Roman" w:hAnsi="Times New Roman"/>
              </w:rPr>
              <w:t>chże</w:t>
            </w:r>
            <w:r w:rsidR="00655DED">
              <w:rPr>
                <w:rFonts w:ascii="Times New Roman" w:hAnsi="Times New Roman"/>
              </w:rPr>
              <w:t xml:space="preserve"> kar</w:t>
            </w:r>
            <w:r w:rsidR="00422C9B">
              <w:rPr>
                <w:rFonts w:ascii="Times New Roman" w:hAnsi="Times New Roman"/>
              </w:rPr>
              <w:t xml:space="preserve">, jednak dokonanie szacunków </w:t>
            </w:r>
            <w:r w:rsidR="003A7176">
              <w:rPr>
                <w:rFonts w:ascii="Times New Roman" w:hAnsi="Times New Roman"/>
              </w:rPr>
              <w:br/>
            </w:r>
            <w:r w:rsidR="00422C9B">
              <w:rPr>
                <w:rFonts w:ascii="Times New Roman" w:hAnsi="Times New Roman"/>
              </w:rPr>
              <w:t>w tym zakresie nie jest możliwe</w:t>
            </w:r>
            <w:r w:rsidR="003A7176">
              <w:rPr>
                <w:rFonts w:ascii="Times New Roman" w:hAnsi="Times New Roman"/>
              </w:rPr>
              <w:t>.</w:t>
            </w:r>
          </w:p>
        </w:tc>
      </w:tr>
      <w:tr w:rsidR="00897A9F" w:rsidRPr="00424472" w14:paraId="75C69016" w14:textId="77777777" w:rsidTr="00461AD7">
        <w:trPr>
          <w:trHeight w:val="345"/>
          <w:jc w:val="center"/>
        </w:trPr>
        <w:tc>
          <w:tcPr>
            <w:tcW w:w="10774" w:type="dxa"/>
            <w:gridSpan w:val="28"/>
            <w:shd w:val="clear" w:color="auto" w:fill="99CCFF"/>
          </w:tcPr>
          <w:p w14:paraId="76F024F4" w14:textId="77777777" w:rsidR="00897A9F" w:rsidRPr="00424472" w:rsidRDefault="00897A9F" w:rsidP="00925F81">
            <w:pPr>
              <w:numPr>
                <w:ilvl w:val="0"/>
                <w:numId w:val="1"/>
              </w:numPr>
              <w:spacing w:before="120" w:after="120"/>
              <w:jc w:val="both"/>
              <w:rPr>
                <w:rFonts w:ascii="Times New Roman" w:hAnsi="Times New Roman"/>
                <w:b/>
                <w:color w:val="000000"/>
                <w:spacing w:val="-2"/>
              </w:rPr>
            </w:pPr>
            <w:r w:rsidRPr="00424472">
              <w:rPr>
                <w:rFonts w:ascii="Times New Roman" w:hAnsi="Times New Roman"/>
                <w:b/>
                <w:color w:val="000000"/>
                <w:spacing w:val="-2"/>
              </w:rPr>
              <w:lastRenderedPageBreak/>
              <w:t xml:space="preserve">Wpływ na </w:t>
            </w:r>
            <w:r w:rsidRPr="00424472">
              <w:rPr>
                <w:rFonts w:ascii="Times New Roman" w:hAnsi="Times New Roman"/>
                <w:b/>
                <w:color w:val="000000"/>
              </w:rPr>
              <w:t xml:space="preserve">konkurencyjność gospodarki i przedsiębiorczość, w tym funkcjonowanie przedsiębiorców oraz na rodzinę, obywateli i gospodarstwa domowe </w:t>
            </w:r>
          </w:p>
        </w:tc>
      </w:tr>
      <w:tr w:rsidR="00897A9F" w:rsidRPr="00424472" w14:paraId="597C9E92" w14:textId="77777777" w:rsidTr="00461AD7">
        <w:trPr>
          <w:trHeight w:val="142"/>
          <w:jc w:val="center"/>
        </w:trPr>
        <w:tc>
          <w:tcPr>
            <w:tcW w:w="10774" w:type="dxa"/>
            <w:gridSpan w:val="28"/>
            <w:shd w:val="clear" w:color="auto" w:fill="FFFFFF"/>
          </w:tcPr>
          <w:p w14:paraId="5D92881D" w14:textId="77777777" w:rsidR="00897A9F" w:rsidRPr="00424472" w:rsidRDefault="00897A9F" w:rsidP="00424472">
            <w:pPr>
              <w:jc w:val="center"/>
              <w:rPr>
                <w:rFonts w:ascii="Times New Roman" w:hAnsi="Times New Roman"/>
                <w:color w:val="000000"/>
                <w:spacing w:val="-2"/>
              </w:rPr>
            </w:pPr>
            <w:r w:rsidRPr="00424472">
              <w:rPr>
                <w:rFonts w:ascii="Times New Roman" w:hAnsi="Times New Roman"/>
                <w:color w:val="000000"/>
                <w:spacing w:val="-2"/>
              </w:rPr>
              <w:t>Skutki</w:t>
            </w:r>
          </w:p>
        </w:tc>
      </w:tr>
      <w:tr w:rsidR="00897A9F" w:rsidRPr="00424472" w14:paraId="7DD3702C" w14:textId="77777777" w:rsidTr="00461AD7">
        <w:trPr>
          <w:trHeight w:val="142"/>
          <w:jc w:val="center"/>
        </w:trPr>
        <w:tc>
          <w:tcPr>
            <w:tcW w:w="3879" w:type="dxa"/>
            <w:gridSpan w:val="7"/>
            <w:shd w:val="clear" w:color="auto" w:fill="FFFFFF"/>
            <w:vAlign w:val="center"/>
          </w:tcPr>
          <w:p w14:paraId="1CDC1F4F" w14:textId="77777777" w:rsidR="00897A9F" w:rsidRPr="00424472" w:rsidRDefault="00897A9F" w:rsidP="00424472">
            <w:pPr>
              <w:rPr>
                <w:rFonts w:ascii="Times New Roman" w:hAnsi="Times New Roman"/>
                <w:color w:val="000000"/>
              </w:rPr>
            </w:pPr>
            <w:r w:rsidRPr="00424472">
              <w:rPr>
                <w:rFonts w:ascii="Times New Roman" w:hAnsi="Times New Roman"/>
                <w:color w:val="000000"/>
              </w:rPr>
              <w:t>Czas w latach od wejścia w życie zmian</w:t>
            </w:r>
          </w:p>
        </w:tc>
        <w:tc>
          <w:tcPr>
            <w:tcW w:w="937" w:type="dxa"/>
            <w:gridSpan w:val="2"/>
            <w:shd w:val="clear" w:color="auto" w:fill="FFFFFF"/>
            <w:vAlign w:val="center"/>
          </w:tcPr>
          <w:p w14:paraId="43A9CC20" w14:textId="77777777" w:rsidR="00897A9F" w:rsidRPr="00424472" w:rsidRDefault="00897A9F" w:rsidP="00424472">
            <w:pPr>
              <w:jc w:val="center"/>
              <w:rPr>
                <w:rFonts w:ascii="Times New Roman" w:hAnsi="Times New Roman"/>
                <w:color w:val="000000"/>
              </w:rPr>
            </w:pPr>
            <w:r w:rsidRPr="00424472">
              <w:rPr>
                <w:rFonts w:ascii="Times New Roman" w:hAnsi="Times New Roman"/>
                <w:color w:val="000000"/>
              </w:rPr>
              <w:t>0</w:t>
            </w:r>
          </w:p>
        </w:tc>
        <w:tc>
          <w:tcPr>
            <w:tcW w:w="938" w:type="dxa"/>
            <w:gridSpan w:val="5"/>
            <w:shd w:val="clear" w:color="auto" w:fill="FFFFFF"/>
            <w:vAlign w:val="center"/>
          </w:tcPr>
          <w:p w14:paraId="6408CAD4" w14:textId="77777777" w:rsidR="00897A9F" w:rsidRPr="00424472" w:rsidRDefault="00897A9F" w:rsidP="00424472">
            <w:pPr>
              <w:jc w:val="center"/>
              <w:rPr>
                <w:rFonts w:ascii="Times New Roman" w:hAnsi="Times New Roman"/>
                <w:color w:val="000000"/>
              </w:rPr>
            </w:pPr>
            <w:r w:rsidRPr="00424472">
              <w:rPr>
                <w:rFonts w:ascii="Times New Roman" w:hAnsi="Times New Roman"/>
                <w:color w:val="000000"/>
              </w:rPr>
              <w:t>1</w:t>
            </w:r>
          </w:p>
        </w:tc>
        <w:tc>
          <w:tcPr>
            <w:tcW w:w="796" w:type="dxa"/>
            <w:gridSpan w:val="3"/>
            <w:shd w:val="clear" w:color="auto" w:fill="FFFFFF"/>
            <w:vAlign w:val="center"/>
          </w:tcPr>
          <w:p w14:paraId="405A13BD" w14:textId="77777777" w:rsidR="00897A9F" w:rsidRPr="00424472" w:rsidRDefault="00897A9F" w:rsidP="00424472">
            <w:pPr>
              <w:jc w:val="center"/>
              <w:rPr>
                <w:rFonts w:ascii="Times New Roman" w:hAnsi="Times New Roman"/>
                <w:color w:val="000000"/>
              </w:rPr>
            </w:pPr>
            <w:r w:rsidRPr="00424472">
              <w:rPr>
                <w:rFonts w:ascii="Times New Roman" w:hAnsi="Times New Roman"/>
                <w:color w:val="000000"/>
              </w:rPr>
              <w:t>2</w:t>
            </w:r>
          </w:p>
        </w:tc>
        <w:tc>
          <w:tcPr>
            <w:tcW w:w="961" w:type="dxa"/>
            <w:gridSpan w:val="4"/>
            <w:shd w:val="clear" w:color="auto" w:fill="FFFFFF"/>
            <w:vAlign w:val="center"/>
          </w:tcPr>
          <w:p w14:paraId="5AB402A4" w14:textId="77777777" w:rsidR="00897A9F" w:rsidRPr="00424472" w:rsidRDefault="00431EA4" w:rsidP="00424472">
            <w:pPr>
              <w:jc w:val="center"/>
              <w:rPr>
                <w:rFonts w:ascii="Times New Roman" w:hAnsi="Times New Roman"/>
                <w:color w:val="000000"/>
              </w:rPr>
            </w:pPr>
            <w:r w:rsidRPr="00424472">
              <w:rPr>
                <w:rFonts w:ascii="Times New Roman" w:hAnsi="Times New Roman"/>
                <w:color w:val="000000"/>
              </w:rPr>
              <w:t>3</w:t>
            </w:r>
          </w:p>
        </w:tc>
        <w:tc>
          <w:tcPr>
            <w:tcW w:w="991" w:type="dxa"/>
            <w:gridSpan w:val="3"/>
            <w:shd w:val="clear" w:color="auto" w:fill="FFFFFF"/>
            <w:vAlign w:val="center"/>
          </w:tcPr>
          <w:p w14:paraId="46D62445" w14:textId="77777777" w:rsidR="00897A9F" w:rsidRPr="00424472" w:rsidRDefault="00897A9F" w:rsidP="00424472">
            <w:pPr>
              <w:jc w:val="center"/>
              <w:rPr>
                <w:rFonts w:ascii="Times New Roman" w:hAnsi="Times New Roman"/>
                <w:color w:val="000000"/>
              </w:rPr>
            </w:pPr>
            <w:r w:rsidRPr="00424472">
              <w:rPr>
                <w:rFonts w:ascii="Times New Roman" w:hAnsi="Times New Roman"/>
                <w:color w:val="000000"/>
              </w:rPr>
              <w:t>5</w:t>
            </w:r>
          </w:p>
        </w:tc>
        <w:tc>
          <w:tcPr>
            <w:tcW w:w="1032" w:type="dxa"/>
            <w:gridSpan w:val="3"/>
            <w:shd w:val="clear" w:color="auto" w:fill="FFFFFF"/>
            <w:vAlign w:val="center"/>
          </w:tcPr>
          <w:p w14:paraId="203A4AFA" w14:textId="77777777" w:rsidR="00897A9F" w:rsidRPr="00424472" w:rsidRDefault="00897A9F" w:rsidP="00424472">
            <w:pPr>
              <w:jc w:val="center"/>
              <w:rPr>
                <w:rFonts w:ascii="Times New Roman" w:hAnsi="Times New Roman"/>
                <w:color w:val="000000"/>
              </w:rPr>
            </w:pPr>
            <w:r w:rsidRPr="00424472">
              <w:rPr>
                <w:rFonts w:ascii="Times New Roman" w:hAnsi="Times New Roman"/>
                <w:color w:val="000000"/>
              </w:rPr>
              <w:t>10</w:t>
            </w:r>
          </w:p>
        </w:tc>
        <w:tc>
          <w:tcPr>
            <w:tcW w:w="1240" w:type="dxa"/>
            <w:shd w:val="clear" w:color="auto" w:fill="FFFFFF"/>
            <w:vAlign w:val="center"/>
          </w:tcPr>
          <w:p w14:paraId="775B1F7A" w14:textId="77777777" w:rsidR="00897A9F" w:rsidRPr="00424472" w:rsidRDefault="00897A9F" w:rsidP="00424472">
            <w:pPr>
              <w:jc w:val="center"/>
              <w:rPr>
                <w:rFonts w:ascii="Times New Roman" w:hAnsi="Times New Roman"/>
                <w:i/>
                <w:color w:val="000000"/>
                <w:spacing w:val="-2"/>
              </w:rPr>
            </w:pPr>
            <w:r w:rsidRPr="00424472">
              <w:rPr>
                <w:rFonts w:ascii="Times New Roman" w:hAnsi="Times New Roman"/>
                <w:i/>
                <w:color w:val="000000"/>
                <w:spacing w:val="-2"/>
              </w:rPr>
              <w:t>Łącznie</w:t>
            </w:r>
            <w:r w:rsidRPr="00424472" w:rsidDel="0073273A">
              <w:rPr>
                <w:rFonts w:ascii="Times New Roman" w:hAnsi="Times New Roman"/>
                <w:i/>
                <w:color w:val="000000"/>
                <w:spacing w:val="-2"/>
              </w:rPr>
              <w:t xml:space="preserve"> </w:t>
            </w:r>
            <w:r w:rsidR="001E5916" w:rsidRPr="00424472">
              <w:rPr>
                <w:rFonts w:ascii="Times New Roman" w:hAnsi="Times New Roman"/>
                <w:i/>
                <w:color w:val="000000"/>
                <w:spacing w:val="-2"/>
              </w:rPr>
              <w:br/>
            </w:r>
            <w:r w:rsidRPr="00424472">
              <w:rPr>
                <w:rFonts w:ascii="Times New Roman" w:hAnsi="Times New Roman"/>
                <w:i/>
                <w:color w:val="000000"/>
                <w:spacing w:val="-2"/>
              </w:rPr>
              <w:t>(0-10)</w:t>
            </w:r>
          </w:p>
        </w:tc>
      </w:tr>
      <w:tr w:rsidR="00DC5258" w:rsidRPr="00424472" w14:paraId="323F6C70" w14:textId="77777777" w:rsidTr="00461AD7">
        <w:trPr>
          <w:trHeight w:val="142"/>
          <w:jc w:val="center"/>
        </w:trPr>
        <w:tc>
          <w:tcPr>
            <w:tcW w:w="1588" w:type="dxa"/>
            <w:vMerge w:val="restart"/>
            <w:shd w:val="clear" w:color="auto" w:fill="FFFFFF"/>
          </w:tcPr>
          <w:p w14:paraId="338334B5" w14:textId="77777777" w:rsidR="00DC5258" w:rsidRPr="00424472" w:rsidRDefault="00DC5258" w:rsidP="00424472">
            <w:pPr>
              <w:spacing w:before="120" w:after="120"/>
              <w:rPr>
                <w:rFonts w:ascii="Times New Roman" w:hAnsi="Times New Roman"/>
                <w:color w:val="000000"/>
              </w:rPr>
            </w:pPr>
            <w:r w:rsidRPr="00424472">
              <w:rPr>
                <w:rFonts w:ascii="Times New Roman" w:hAnsi="Times New Roman"/>
                <w:color w:val="000000"/>
              </w:rPr>
              <w:t>W ujęciu pieniężnym</w:t>
            </w:r>
          </w:p>
          <w:p w14:paraId="4B89CCCF" w14:textId="77777777" w:rsidR="00DC5258" w:rsidRPr="00424472" w:rsidRDefault="00DC5258" w:rsidP="00424472">
            <w:pPr>
              <w:rPr>
                <w:rFonts w:ascii="Times New Roman" w:hAnsi="Times New Roman"/>
                <w:spacing w:val="-2"/>
              </w:rPr>
            </w:pPr>
            <w:r w:rsidRPr="00424472">
              <w:rPr>
                <w:rFonts w:ascii="Times New Roman" w:hAnsi="Times New Roman"/>
                <w:spacing w:val="-2"/>
              </w:rPr>
              <w:t xml:space="preserve">(w mln zł, </w:t>
            </w:r>
          </w:p>
          <w:p w14:paraId="0082FEDD" w14:textId="475058DC" w:rsidR="00DC5258" w:rsidRPr="00424472" w:rsidRDefault="00DC5258" w:rsidP="00424472">
            <w:pPr>
              <w:rPr>
                <w:rFonts w:ascii="Times New Roman" w:hAnsi="Times New Roman"/>
                <w:color w:val="000000"/>
              </w:rPr>
            </w:pPr>
            <w:r w:rsidRPr="00424472">
              <w:rPr>
                <w:rFonts w:ascii="Times New Roman" w:hAnsi="Times New Roman"/>
                <w:spacing w:val="-2"/>
              </w:rPr>
              <w:t xml:space="preserve">ceny stałe </w:t>
            </w:r>
            <w:r w:rsidR="000E04A1">
              <w:rPr>
                <w:rFonts w:ascii="Times New Roman" w:hAnsi="Times New Roman"/>
                <w:spacing w:val="-2"/>
              </w:rPr>
              <w:br/>
            </w:r>
            <w:r w:rsidRPr="00424472">
              <w:rPr>
                <w:rFonts w:ascii="Times New Roman" w:hAnsi="Times New Roman"/>
                <w:spacing w:val="-2"/>
              </w:rPr>
              <w:t>z 202</w:t>
            </w:r>
            <w:r w:rsidR="004B2B1F">
              <w:rPr>
                <w:rFonts w:ascii="Times New Roman" w:hAnsi="Times New Roman"/>
                <w:spacing w:val="-2"/>
              </w:rPr>
              <w:t>1</w:t>
            </w:r>
            <w:r w:rsidRPr="00424472">
              <w:rPr>
                <w:rFonts w:ascii="Times New Roman" w:hAnsi="Times New Roman"/>
                <w:spacing w:val="-2"/>
              </w:rPr>
              <w:t xml:space="preserve"> r.)</w:t>
            </w:r>
          </w:p>
        </w:tc>
        <w:tc>
          <w:tcPr>
            <w:tcW w:w="2291" w:type="dxa"/>
            <w:gridSpan w:val="6"/>
            <w:shd w:val="clear" w:color="auto" w:fill="FFFFFF"/>
          </w:tcPr>
          <w:p w14:paraId="3C7819B6" w14:textId="77777777" w:rsidR="00DC5258" w:rsidRPr="00424472" w:rsidRDefault="00DC5258" w:rsidP="00424472">
            <w:pPr>
              <w:spacing w:before="120" w:after="120"/>
              <w:rPr>
                <w:rFonts w:ascii="Times New Roman" w:hAnsi="Times New Roman"/>
                <w:color w:val="000000"/>
              </w:rPr>
            </w:pPr>
            <w:r w:rsidRPr="00424472">
              <w:rPr>
                <w:rFonts w:ascii="Times New Roman" w:hAnsi="Times New Roman"/>
                <w:color w:val="000000"/>
              </w:rPr>
              <w:t>duże przedsiębiorstwa</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F2226" w14:textId="2BE97BD5" w:rsidR="00DC5258" w:rsidRPr="00424472" w:rsidRDefault="00DC5258" w:rsidP="00424472">
            <w:pPr>
              <w:spacing w:before="120" w:after="120"/>
              <w:jc w:val="center"/>
              <w:rPr>
                <w:rFonts w:ascii="Times New Roman" w:hAnsi="Times New Roman"/>
                <w:color w:val="000000"/>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4DF89A" w14:textId="78C4AB38" w:rsidR="00DC5258" w:rsidRPr="00424472" w:rsidRDefault="00DC5258" w:rsidP="00424472">
            <w:pPr>
              <w:spacing w:before="120" w:after="120"/>
              <w:jc w:val="center"/>
              <w:rPr>
                <w:rFonts w:ascii="Times New Roman" w:hAnsi="Times New Roman"/>
                <w:color w:val="000000"/>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46FBE4" w14:textId="00CAA265" w:rsidR="00DC5258" w:rsidRPr="00424472" w:rsidRDefault="00DC5258" w:rsidP="00424472">
            <w:pPr>
              <w:spacing w:before="120" w:after="120"/>
              <w:jc w:val="center"/>
              <w:rPr>
                <w:rFonts w:ascii="Times New Roman" w:hAnsi="Times New Roman"/>
                <w:color w:val="00000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3A52C4" w14:textId="74912F25" w:rsidR="00DC5258" w:rsidRPr="00424472" w:rsidRDefault="00DC5258" w:rsidP="00424472">
            <w:pPr>
              <w:spacing w:before="120" w:after="120"/>
              <w:jc w:val="center"/>
              <w:rPr>
                <w:rFonts w:ascii="Times New Roman" w:hAnsi="Times New Roman"/>
                <w:color w:val="000000"/>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85E320" w14:textId="57C67C08" w:rsidR="00DC5258" w:rsidRPr="00424472" w:rsidRDefault="00DC5258" w:rsidP="00424472">
            <w:pPr>
              <w:spacing w:before="120" w:after="120"/>
              <w:jc w:val="center"/>
              <w:rPr>
                <w:rFonts w:ascii="Times New Roman" w:hAnsi="Times New Roman"/>
                <w:color w:val="000000"/>
              </w:rPr>
            </w:pPr>
          </w:p>
        </w:tc>
        <w:tc>
          <w:tcPr>
            <w:tcW w:w="1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705C2" w14:textId="599582C4" w:rsidR="00DC5258" w:rsidRPr="00424472" w:rsidRDefault="00DC5258" w:rsidP="00424472">
            <w:pPr>
              <w:spacing w:before="120" w:after="120"/>
              <w:jc w:val="center"/>
              <w:rPr>
                <w:rFonts w:ascii="Times New Roman" w:hAnsi="Times New Roman"/>
                <w:color w:val="000000"/>
              </w:rPr>
            </w:pP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6054DA16" w14:textId="166FC998" w:rsidR="00DC5258" w:rsidRPr="00424472" w:rsidRDefault="00DC5258" w:rsidP="00424472">
            <w:pPr>
              <w:spacing w:before="120" w:after="120"/>
              <w:jc w:val="center"/>
              <w:rPr>
                <w:rFonts w:ascii="Times New Roman" w:hAnsi="Times New Roman"/>
                <w:color w:val="000000"/>
                <w:spacing w:val="-2"/>
              </w:rPr>
            </w:pPr>
          </w:p>
        </w:tc>
      </w:tr>
      <w:tr w:rsidR="00DC5258" w:rsidRPr="00424472" w14:paraId="1E9E1CF7" w14:textId="77777777" w:rsidTr="00461AD7">
        <w:trPr>
          <w:trHeight w:val="142"/>
          <w:jc w:val="center"/>
        </w:trPr>
        <w:tc>
          <w:tcPr>
            <w:tcW w:w="1588" w:type="dxa"/>
            <w:vMerge/>
            <w:shd w:val="clear" w:color="auto" w:fill="FFFFFF"/>
          </w:tcPr>
          <w:p w14:paraId="462FD47C" w14:textId="77777777" w:rsidR="00DC5258" w:rsidRPr="00424472" w:rsidRDefault="00DC5258" w:rsidP="00424472">
            <w:pPr>
              <w:spacing w:before="120" w:after="120"/>
              <w:rPr>
                <w:rFonts w:ascii="Times New Roman" w:hAnsi="Times New Roman"/>
                <w:color w:val="000000"/>
              </w:rPr>
            </w:pPr>
          </w:p>
        </w:tc>
        <w:tc>
          <w:tcPr>
            <w:tcW w:w="2291" w:type="dxa"/>
            <w:gridSpan w:val="6"/>
            <w:shd w:val="clear" w:color="auto" w:fill="FFFFFF"/>
          </w:tcPr>
          <w:p w14:paraId="33F7840C" w14:textId="77777777" w:rsidR="00DC5258" w:rsidRPr="00424472" w:rsidRDefault="00DC5258" w:rsidP="00424472">
            <w:pPr>
              <w:spacing w:before="120" w:after="120"/>
              <w:rPr>
                <w:rFonts w:ascii="Times New Roman" w:hAnsi="Times New Roman"/>
                <w:color w:val="000000"/>
              </w:rPr>
            </w:pPr>
            <w:r w:rsidRPr="00424472">
              <w:rPr>
                <w:rFonts w:ascii="Times New Roman" w:hAnsi="Times New Roman"/>
                <w:color w:val="000000"/>
              </w:rPr>
              <w:t xml:space="preserve">sektor mikro-, małych </w:t>
            </w:r>
            <w:r w:rsidRPr="00424472">
              <w:rPr>
                <w:rFonts w:ascii="Times New Roman" w:hAnsi="Times New Roman"/>
                <w:color w:val="000000"/>
              </w:rPr>
              <w:br/>
              <w:t>i średnich przedsiębiorstw</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918286" w14:textId="0CDD309A" w:rsidR="00DC5258" w:rsidRPr="00424472" w:rsidRDefault="00DC5258" w:rsidP="00424472">
            <w:pPr>
              <w:spacing w:before="120" w:after="120"/>
              <w:jc w:val="center"/>
              <w:rPr>
                <w:rFonts w:ascii="Times New Roman" w:hAnsi="Times New Roman"/>
                <w:color w:val="000000"/>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491112" w14:textId="2069909A" w:rsidR="00DC5258" w:rsidRPr="00424472" w:rsidRDefault="00DC5258" w:rsidP="00424472">
            <w:pPr>
              <w:spacing w:before="120" w:after="120"/>
              <w:jc w:val="center"/>
              <w:rPr>
                <w:rFonts w:ascii="Times New Roman" w:hAnsi="Times New Roman"/>
                <w:color w:val="000000"/>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209077" w14:textId="51EA3113" w:rsidR="00DC5258" w:rsidRPr="00424472" w:rsidRDefault="00DC5258" w:rsidP="00424472">
            <w:pPr>
              <w:spacing w:before="120" w:after="120"/>
              <w:jc w:val="center"/>
              <w:rPr>
                <w:rFonts w:ascii="Times New Roman" w:hAnsi="Times New Roman"/>
                <w:color w:val="00000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531686" w14:textId="1697A038" w:rsidR="00DC5258" w:rsidRPr="00424472" w:rsidRDefault="00DC5258" w:rsidP="00424472">
            <w:pPr>
              <w:spacing w:before="120" w:after="120"/>
              <w:jc w:val="center"/>
              <w:rPr>
                <w:rFonts w:ascii="Times New Roman" w:hAnsi="Times New Roman"/>
                <w:color w:val="000000"/>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93DEBC" w14:textId="1F8D9B9D" w:rsidR="00DC5258" w:rsidRPr="00424472" w:rsidRDefault="00DC5258" w:rsidP="00424472">
            <w:pPr>
              <w:spacing w:before="120" w:after="120"/>
              <w:jc w:val="center"/>
              <w:rPr>
                <w:rFonts w:ascii="Times New Roman" w:hAnsi="Times New Roman"/>
                <w:color w:val="000000"/>
              </w:rPr>
            </w:pPr>
          </w:p>
        </w:tc>
        <w:tc>
          <w:tcPr>
            <w:tcW w:w="1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D493C8" w14:textId="3B254324" w:rsidR="00DC5258" w:rsidRPr="00424472" w:rsidRDefault="00DC5258" w:rsidP="00424472">
            <w:pPr>
              <w:spacing w:before="120" w:after="120"/>
              <w:jc w:val="center"/>
              <w:rPr>
                <w:rFonts w:ascii="Times New Roman" w:hAnsi="Times New Roman"/>
                <w:color w:val="000000"/>
              </w:rPr>
            </w:pP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6B36566A" w14:textId="37405C64" w:rsidR="00DC5258" w:rsidRPr="00424472" w:rsidRDefault="00DC5258" w:rsidP="00424472">
            <w:pPr>
              <w:spacing w:before="120" w:after="120"/>
              <w:jc w:val="center"/>
              <w:rPr>
                <w:rFonts w:ascii="Times New Roman" w:hAnsi="Times New Roman"/>
                <w:color w:val="000000"/>
                <w:spacing w:val="-2"/>
              </w:rPr>
            </w:pPr>
          </w:p>
        </w:tc>
      </w:tr>
      <w:tr w:rsidR="00156C16" w:rsidRPr="00424472" w14:paraId="0D1398F9" w14:textId="77777777" w:rsidTr="00461AD7">
        <w:trPr>
          <w:trHeight w:val="142"/>
          <w:jc w:val="center"/>
        </w:trPr>
        <w:tc>
          <w:tcPr>
            <w:tcW w:w="1588" w:type="dxa"/>
            <w:vMerge/>
            <w:shd w:val="clear" w:color="auto" w:fill="FFFFFF"/>
          </w:tcPr>
          <w:p w14:paraId="32C9FE55" w14:textId="77777777" w:rsidR="00156C16" w:rsidRPr="00424472" w:rsidRDefault="00156C16" w:rsidP="00156C16">
            <w:pPr>
              <w:spacing w:before="120" w:after="120"/>
              <w:rPr>
                <w:rFonts w:ascii="Times New Roman" w:hAnsi="Times New Roman"/>
                <w:color w:val="000000"/>
              </w:rPr>
            </w:pPr>
          </w:p>
        </w:tc>
        <w:tc>
          <w:tcPr>
            <w:tcW w:w="2291" w:type="dxa"/>
            <w:gridSpan w:val="6"/>
            <w:shd w:val="clear" w:color="auto" w:fill="FFFFFF"/>
          </w:tcPr>
          <w:p w14:paraId="0A2ECB1D" w14:textId="77777777" w:rsidR="00156C16" w:rsidRPr="00424472" w:rsidRDefault="00156C16" w:rsidP="00156C16">
            <w:pPr>
              <w:spacing w:before="120" w:after="120"/>
              <w:rPr>
                <w:rFonts w:ascii="Times New Roman" w:hAnsi="Times New Roman"/>
                <w:color w:val="000000"/>
              </w:rPr>
            </w:pPr>
            <w:r w:rsidRPr="00424472">
              <w:rPr>
                <w:rFonts w:ascii="Times New Roman" w:hAnsi="Times New Roman"/>
              </w:rPr>
              <w:t>rodzina, obywatele oraz gospodarstwa domowe, w szczególności osoby niepełnosprawne i starsze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32CEE8" w14:textId="2C527FBE" w:rsidR="00156C16" w:rsidRPr="00156C16" w:rsidRDefault="00156C16" w:rsidP="00156C16">
            <w:pPr>
              <w:spacing w:before="120" w:after="120"/>
              <w:jc w:val="center"/>
              <w:rPr>
                <w:rFonts w:ascii="Times New Roman" w:hAnsi="Times New Roman"/>
                <w:color w:val="000000"/>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387D09" w14:textId="56CA5CAF" w:rsidR="00156C16" w:rsidRPr="00156C16" w:rsidRDefault="00156C16" w:rsidP="00156C16">
            <w:pPr>
              <w:spacing w:before="120" w:after="120"/>
              <w:jc w:val="center"/>
              <w:rPr>
                <w:rFonts w:ascii="Times New Roman" w:hAnsi="Times New Roman"/>
                <w:color w:val="000000"/>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21AB8C" w14:textId="00DDC48F" w:rsidR="00156C16" w:rsidRPr="00156C16" w:rsidRDefault="00156C16" w:rsidP="00156C16">
            <w:pPr>
              <w:spacing w:before="120" w:after="120"/>
              <w:jc w:val="center"/>
              <w:rPr>
                <w:rFonts w:ascii="Times New Roman" w:hAnsi="Times New Roman"/>
                <w:color w:val="000000"/>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BED546" w14:textId="0BDB8DDB" w:rsidR="00156C16" w:rsidRPr="00156C16" w:rsidRDefault="00156C16" w:rsidP="00156C16">
            <w:pPr>
              <w:spacing w:before="120" w:after="120"/>
              <w:jc w:val="center"/>
              <w:rPr>
                <w:rFonts w:ascii="Times New Roman" w:hAnsi="Times New Roman"/>
                <w:color w:val="000000"/>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08E034" w14:textId="02F854D8" w:rsidR="00156C16" w:rsidRPr="00156C16" w:rsidRDefault="00156C16" w:rsidP="00156C16">
            <w:pPr>
              <w:spacing w:before="120" w:after="120"/>
              <w:jc w:val="center"/>
              <w:rPr>
                <w:rFonts w:ascii="Times New Roman" w:hAnsi="Times New Roman"/>
                <w:color w:val="000000"/>
              </w:rPr>
            </w:pPr>
          </w:p>
        </w:tc>
        <w:tc>
          <w:tcPr>
            <w:tcW w:w="1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8E1BCE" w14:textId="7BB5A7EE" w:rsidR="00156C16" w:rsidRPr="00156C16" w:rsidRDefault="00156C16" w:rsidP="00156C16">
            <w:pPr>
              <w:spacing w:before="120" w:after="120"/>
              <w:jc w:val="center"/>
              <w:rPr>
                <w:rFonts w:ascii="Times New Roman" w:hAnsi="Times New Roman"/>
                <w:color w:val="000000"/>
              </w:rPr>
            </w:pP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15CDA3DA" w14:textId="1C9E3075" w:rsidR="00156C16" w:rsidRPr="00424472" w:rsidRDefault="00156C16" w:rsidP="00156C16">
            <w:pPr>
              <w:spacing w:before="120" w:after="120"/>
              <w:jc w:val="center"/>
              <w:rPr>
                <w:rFonts w:ascii="Times New Roman" w:hAnsi="Times New Roman"/>
                <w:color w:val="000000"/>
                <w:spacing w:val="-2"/>
              </w:rPr>
            </w:pPr>
          </w:p>
        </w:tc>
      </w:tr>
      <w:tr w:rsidR="00B11BD7" w:rsidRPr="00424472" w14:paraId="7DAEB85A" w14:textId="77777777" w:rsidTr="000734EE">
        <w:trPr>
          <w:trHeight w:val="142"/>
          <w:jc w:val="center"/>
        </w:trPr>
        <w:tc>
          <w:tcPr>
            <w:tcW w:w="1588" w:type="dxa"/>
            <w:vMerge w:val="restart"/>
            <w:shd w:val="clear" w:color="auto" w:fill="FFFFFF"/>
          </w:tcPr>
          <w:p w14:paraId="43E03377" w14:textId="77777777" w:rsidR="00B11BD7" w:rsidRPr="00424472" w:rsidRDefault="00B11BD7" w:rsidP="00424472">
            <w:pPr>
              <w:spacing w:before="120" w:after="120"/>
              <w:rPr>
                <w:rFonts w:ascii="Times New Roman" w:hAnsi="Times New Roman"/>
                <w:color w:val="000000"/>
              </w:rPr>
            </w:pPr>
            <w:r w:rsidRPr="00424472">
              <w:rPr>
                <w:rFonts w:ascii="Times New Roman" w:hAnsi="Times New Roman"/>
                <w:color w:val="000000"/>
              </w:rPr>
              <w:t>W ujęciu niepieniężnym</w:t>
            </w:r>
          </w:p>
        </w:tc>
        <w:tc>
          <w:tcPr>
            <w:tcW w:w="2291" w:type="dxa"/>
            <w:gridSpan w:val="6"/>
            <w:shd w:val="clear" w:color="auto" w:fill="FFFFFF"/>
            <w:vAlign w:val="center"/>
          </w:tcPr>
          <w:p w14:paraId="0B23401D" w14:textId="77777777" w:rsidR="00B11BD7" w:rsidRPr="00424472" w:rsidRDefault="00B11BD7" w:rsidP="00424472">
            <w:pPr>
              <w:spacing w:before="120" w:after="120"/>
              <w:rPr>
                <w:rFonts w:ascii="Times New Roman" w:hAnsi="Times New Roman"/>
                <w:color w:val="000000"/>
              </w:rPr>
            </w:pPr>
            <w:r w:rsidRPr="00424472">
              <w:rPr>
                <w:rFonts w:ascii="Times New Roman" w:hAnsi="Times New Roman"/>
                <w:color w:val="000000"/>
              </w:rPr>
              <w:t>duże przedsiębiorstwa</w:t>
            </w:r>
          </w:p>
        </w:tc>
        <w:tc>
          <w:tcPr>
            <w:tcW w:w="6895" w:type="dxa"/>
            <w:gridSpan w:val="21"/>
            <w:vMerge w:val="restart"/>
            <w:tcBorders>
              <w:top w:val="single" w:sz="4" w:space="0" w:color="auto"/>
              <w:left w:val="single" w:sz="4" w:space="0" w:color="auto"/>
              <w:right w:val="single" w:sz="4" w:space="0" w:color="auto"/>
            </w:tcBorders>
            <w:shd w:val="clear" w:color="auto" w:fill="FFFFFF"/>
            <w:vAlign w:val="center"/>
          </w:tcPr>
          <w:p w14:paraId="397A4450" w14:textId="2F2CD69A" w:rsidR="00B11BD7" w:rsidRPr="00782DAA" w:rsidRDefault="00B11BD7" w:rsidP="00782DAA">
            <w:pPr>
              <w:jc w:val="both"/>
              <w:rPr>
                <w:rFonts w:ascii="Times New Roman" w:hAnsi="Times New Roman"/>
                <w:szCs w:val="20"/>
              </w:rPr>
            </w:pPr>
            <w:r w:rsidRPr="00782DAA">
              <w:rPr>
                <w:rFonts w:ascii="Times New Roman" w:hAnsi="Times New Roman"/>
                <w:szCs w:val="20"/>
              </w:rPr>
              <w:t>Projekt przewiduje szereg zmian, oddziałujących na działalność zarówno</w:t>
            </w:r>
            <w:r w:rsidR="00AB2FB3" w:rsidRPr="00782DAA">
              <w:rPr>
                <w:rFonts w:ascii="Times New Roman" w:hAnsi="Times New Roman"/>
                <w:szCs w:val="20"/>
              </w:rPr>
              <w:t xml:space="preserve"> dużych przedsiębiorstw, jak i sektor MŚP, m.in.:</w:t>
            </w:r>
          </w:p>
          <w:p w14:paraId="4B1AF70F" w14:textId="27BB7A1F" w:rsidR="00B11BD7" w:rsidRPr="00782DAA" w:rsidRDefault="00B11BD7" w:rsidP="00782DAA">
            <w:pPr>
              <w:jc w:val="both"/>
              <w:rPr>
                <w:rFonts w:ascii="Times New Roman" w:hAnsi="Times New Roman"/>
                <w:szCs w:val="20"/>
              </w:rPr>
            </w:pPr>
            <w:r w:rsidRPr="00782DAA">
              <w:rPr>
                <w:rFonts w:ascii="Times New Roman" w:hAnsi="Times New Roman"/>
                <w:szCs w:val="20"/>
              </w:rPr>
              <w:t>- wprowadzenie możliwości pociągnięcia do odpowiedzialności również przedsiębiorcy dominującego w przypadku, gdy naruszenia ustawy poprzez zawarcie niedozwolonego porozumienia lub nadużycie pozycji dominującej dopuścił się przedsiębiorca zależny</w:t>
            </w:r>
            <w:r w:rsidR="00AB2FB3" w:rsidRPr="00782DAA">
              <w:rPr>
                <w:rFonts w:ascii="Times New Roman" w:hAnsi="Times New Roman"/>
                <w:szCs w:val="20"/>
              </w:rPr>
              <w:t>,</w:t>
            </w:r>
          </w:p>
          <w:p w14:paraId="6484D9FB" w14:textId="68EF9EB1" w:rsidR="00B11BD7" w:rsidRPr="00782DAA" w:rsidRDefault="00B11BD7" w:rsidP="00782DAA">
            <w:pPr>
              <w:jc w:val="both"/>
              <w:rPr>
                <w:rFonts w:ascii="Times New Roman" w:hAnsi="Times New Roman"/>
                <w:szCs w:val="20"/>
              </w:rPr>
            </w:pPr>
            <w:r w:rsidRPr="00782DAA">
              <w:rPr>
                <w:rFonts w:ascii="Times New Roman" w:hAnsi="Times New Roman"/>
                <w:szCs w:val="20"/>
              </w:rPr>
              <w:t>- możliwość ukarania za naruszenia karą pieniężną związków przedsiębiorców</w:t>
            </w:r>
            <w:r w:rsidR="0069469A">
              <w:rPr>
                <w:rFonts w:ascii="Times New Roman" w:hAnsi="Times New Roman"/>
                <w:szCs w:val="20"/>
              </w:rPr>
              <w:t>,</w:t>
            </w:r>
            <w:r w:rsidR="00C74100" w:rsidRPr="00782DAA">
              <w:rPr>
                <w:rFonts w:ascii="Times New Roman" w:hAnsi="Times New Roman"/>
                <w:szCs w:val="20"/>
              </w:rPr>
              <w:br/>
            </w:r>
            <w:r w:rsidRPr="00782DAA">
              <w:rPr>
                <w:rFonts w:ascii="Times New Roman" w:hAnsi="Times New Roman"/>
                <w:szCs w:val="20"/>
              </w:rPr>
              <w:t>w przypadku, gdy dane naruszenie jest związane z działalnością jego członków</w:t>
            </w:r>
            <w:r w:rsidR="00C74100" w:rsidRPr="00782DAA">
              <w:rPr>
                <w:rFonts w:ascii="Times New Roman" w:hAnsi="Times New Roman"/>
                <w:szCs w:val="20"/>
              </w:rPr>
              <w:t>,</w:t>
            </w:r>
          </w:p>
          <w:p w14:paraId="57AB62BA" w14:textId="7640B8EA" w:rsidR="00B11BD7" w:rsidRPr="00782DAA" w:rsidRDefault="00B11BD7" w:rsidP="00782DAA">
            <w:pPr>
              <w:jc w:val="both"/>
              <w:rPr>
                <w:rFonts w:ascii="Times New Roman" w:hAnsi="Times New Roman"/>
                <w:szCs w:val="20"/>
              </w:rPr>
            </w:pPr>
            <w:r w:rsidRPr="00782DAA">
              <w:rPr>
                <w:rFonts w:ascii="Times New Roman" w:hAnsi="Times New Roman"/>
                <w:szCs w:val="20"/>
              </w:rPr>
              <w:t>- zmiana sposobu ustalania kary poprzez zastąpienie jej maksymalnego pułapu określonego kwotowo pułapem określonym jako procent obrotu</w:t>
            </w:r>
            <w:r w:rsidR="00C74100" w:rsidRPr="00782DAA">
              <w:rPr>
                <w:rFonts w:ascii="Times New Roman" w:hAnsi="Times New Roman"/>
                <w:szCs w:val="20"/>
              </w:rPr>
              <w:t>,</w:t>
            </w:r>
          </w:p>
          <w:p w14:paraId="64F74CAA" w14:textId="2C02EB62" w:rsidR="00B11BD7" w:rsidRPr="00782DAA" w:rsidRDefault="00B11BD7" w:rsidP="00782DAA">
            <w:pPr>
              <w:jc w:val="both"/>
              <w:rPr>
                <w:rFonts w:ascii="Times New Roman" w:hAnsi="Times New Roman"/>
                <w:bCs/>
                <w:szCs w:val="20"/>
              </w:rPr>
            </w:pPr>
            <w:r w:rsidRPr="00782DAA">
              <w:rPr>
                <w:rFonts w:ascii="Times New Roman" w:hAnsi="Times New Roman"/>
                <w:szCs w:val="20"/>
              </w:rPr>
              <w:t>- możliwość</w:t>
            </w:r>
            <w:r w:rsidRPr="00782DAA">
              <w:rPr>
                <w:rFonts w:ascii="Times New Roman" w:hAnsi="Times New Roman"/>
                <w:bCs/>
                <w:szCs w:val="20"/>
              </w:rPr>
              <w:t xml:space="preserve"> nałożenia przez Prezesa UOKiK okresowej kary pieniężnej</w:t>
            </w:r>
            <w:r w:rsidRPr="00782DAA">
              <w:rPr>
                <w:rFonts w:ascii="Times New Roman" w:hAnsi="Times New Roman"/>
                <w:szCs w:val="20"/>
              </w:rPr>
              <w:t xml:space="preserve">, </w:t>
            </w:r>
            <w:r w:rsidRPr="00782DAA">
              <w:rPr>
                <w:rFonts w:ascii="Times New Roman" w:hAnsi="Times New Roman"/>
                <w:szCs w:val="20"/>
              </w:rPr>
              <w:br/>
            </w:r>
            <w:r w:rsidRPr="00782DAA">
              <w:rPr>
                <w:rFonts w:ascii="Times New Roman" w:hAnsi="Times New Roman"/>
                <w:bCs/>
                <w:szCs w:val="20"/>
              </w:rPr>
              <w:t>w celu przymuszenia do wykonania nałożonych obowiązków</w:t>
            </w:r>
            <w:r w:rsidR="00C74100" w:rsidRPr="00782DAA">
              <w:rPr>
                <w:rFonts w:ascii="Times New Roman" w:hAnsi="Times New Roman"/>
                <w:bCs/>
                <w:szCs w:val="20"/>
              </w:rPr>
              <w:t>,</w:t>
            </w:r>
          </w:p>
          <w:p w14:paraId="7E450074" w14:textId="070CEA8B" w:rsidR="00B11BD7" w:rsidRPr="00782DAA" w:rsidRDefault="00B11BD7" w:rsidP="00782DAA">
            <w:pPr>
              <w:jc w:val="both"/>
              <w:rPr>
                <w:rFonts w:ascii="Times New Roman" w:hAnsi="Times New Roman"/>
                <w:szCs w:val="20"/>
              </w:rPr>
            </w:pPr>
            <w:r w:rsidRPr="00782DAA">
              <w:rPr>
                <w:rFonts w:ascii="Times New Roman" w:hAnsi="Times New Roman"/>
                <w:szCs w:val="20"/>
              </w:rPr>
              <w:t xml:space="preserve">- wprowadzenie w </w:t>
            </w:r>
            <w:proofErr w:type="spellStart"/>
            <w:r w:rsidRPr="00782DAA">
              <w:rPr>
                <w:rFonts w:ascii="Times New Roman" w:hAnsi="Times New Roman"/>
                <w:szCs w:val="20"/>
              </w:rPr>
              <w:t>u.o.k.k</w:t>
            </w:r>
            <w:proofErr w:type="spellEnd"/>
            <w:r w:rsidRPr="00782DAA">
              <w:rPr>
                <w:rFonts w:ascii="Times New Roman" w:hAnsi="Times New Roman"/>
                <w:szCs w:val="20"/>
              </w:rPr>
              <w:t>. otwartego katalogu środków zaradczych o charakterze strukturalnym</w:t>
            </w:r>
            <w:r w:rsidR="00C74100" w:rsidRPr="00782DAA">
              <w:rPr>
                <w:rFonts w:ascii="Times New Roman" w:hAnsi="Times New Roman"/>
                <w:szCs w:val="20"/>
              </w:rPr>
              <w:t>,</w:t>
            </w:r>
          </w:p>
          <w:p w14:paraId="382F5528" w14:textId="158E851B" w:rsidR="00B11BD7" w:rsidRPr="00782DAA" w:rsidRDefault="00B11BD7" w:rsidP="00782DAA">
            <w:pPr>
              <w:jc w:val="both"/>
              <w:rPr>
                <w:rFonts w:ascii="Times New Roman" w:hAnsi="Times New Roman"/>
                <w:szCs w:val="20"/>
              </w:rPr>
            </w:pPr>
            <w:r w:rsidRPr="00782DAA">
              <w:rPr>
                <w:rFonts w:ascii="Times New Roman" w:hAnsi="Times New Roman"/>
                <w:szCs w:val="20"/>
              </w:rPr>
              <w:t>- wydawanie szczegółowego uzasadnienie zarzutów na etapie wszczęcia postępowania</w:t>
            </w:r>
            <w:r w:rsidR="00C74100" w:rsidRPr="00782DAA">
              <w:rPr>
                <w:rFonts w:ascii="Times New Roman" w:hAnsi="Times New Roman"/>
                <w:szCs w:val="20"/>
              </w:rPr>
              <w:t>,</w:t>
            </w:r>
          </w:p>
          <w:p w14:paraId="0AE2B27B" w14:textId="17950F8A" w:rsidR="00B11BD7" w:rsidRPr="00782DAA" w:rsidRDefault="00B11BD7" w:rsidP="00782DAA">
            <w:pPr>
              <w:jc w:val="both"/>
              <w:rPr>
                <w:rFonts w:ascii="Times New Roman" w:hAnsi="Times New Roman"/>
                <w:szCs w:val="20"/>
              </w:rPr>
            </w:pPr>
            <w:r w:rsidRPr="00782DAA">
              <w:rPr>
                <w:rFonts w:ascii="Times New Roman" w:hAnsi="Times New Roman"/>
                <w:szCs w:val="20"/>
              </w:rPr>
              <w:t>- doprecyzowanie zasad ochrony informacji uzyskanych w postępowaniu przed Prezesem UOKiK</w:t>
            </w:r>
            <w:r w:rsidR="00C74100" w:rsidRPr="00782DAA">
              <w:rPr>
                <w:rFonts w:ascii="Times New Roman" w:hAnsi="Times New Roman"/>
                <w:szCs w:val="20"/>
              </w:rPr>
              <w:t>,</w:t>
            </w:r>
          </w:p>
          <w:p w14:paraId="35E5CF15" w14:textId="2B9B1849" w:rsidR="00B11BD7" w:rsidRPr="00782DAA" w:rsidRDefault="00B11BD7" w:rsidP="00782DAA">
            <w:pPr>
              <w:jc w:val="both"/>
              <w:rPr>
                <w:rFonts w:ascii="Times New Roman" w:hAnsi="Times New Roman"/>
                <w:szCs w:val="20"/>
              </w:rPr>
            </w:pPr>
            <w:r w:rsidRPr="00782DAA">
              <w:rPr>
                <w:rFonts w:ascii="Times New Roman" w:hAnsi="Times New Roman"/>
                <w:szCs w:val="20"/>
              </w:rPr>
              <w:t>- pozostawienie pism lub dokumentów, znalezionych w toku przeszukania, na miejscu przeszukania, w sytuacji gdy zawierają pisemną komunikację między przeszukiwanym a niezależnym od przeszukiwanego adwokatem, radcą prawnym lub prawnikiem z Unii Europejskiej,  powstałą  w celu realizacji prawa do uzyskania ochrony prawnej w związku z przedmiotem postępowania prowadzonego przez Prezesa Urzędu w ramach którego przeprowadzane jest przeszukanie</w:t>
            </w:r>
            <w:r w:rsidR="00C74100" w:rsidRPr="00782DAA">
              <w:rPr>
                <w:rFonts w:ascii="Times New Roman" w:hAnsi="Times New Roman"/>
                <w:szCs w:val="20"/>
              </w:rPr>
              <w:t>,</w:t>
            </w:r>
          </w:p>
          <w:p w14:paraId="4C462D86" w14:textId="77FF72FF" w:rsidR="00B11BD7" w:rsidRPr="00782DAA" w:rsidRDefault="00B11BD7" w:rsidP="00782DAA">
            <w:pPr>
              <w:jc w:val="both"/>
              <w:rPr>
                <w:rFonts w:ascii="Times New Roman" w:hAnsi="Times New Roman"/>
                <w:szCs w:val="20"/>
              </w:rPr>
            </w:pPr>
            <w:r w:rsidRPr="00782DAA">
              <w:rPr>
                <w:rFonts w:ascii="Times New Roman" w:hAnsi="Times New Roman"/>
                <w:szCs w:val="20"/>
              </w:rPr>
              <w:t>- zmiana terminów przedawnienia naruszeń art. 101 lub art. 102 TFUE</w:t>
            </w:r>
            <w:r w:rsidR="00C74100" w:rsidRPr="00782DAA">
              <w:rPr>
                <w:rFonts w:ascii="Times New Roman" w:hAnsi="Times New Roman"/>
                <w:szCs w:val="20"/>
              </w:rPr>
              <w:t>,</w:t>
            </w:r>
          </w:p>
          <w:p w14:paraId="3B4D3FCD" w14:textId="1DEB8F9C" w:rsidR="00B11BD7" w:rsidRPr="00782DAA" w:rsidRDefault="00B11BD7" w:rsidP="00782DAA">
            <w:pPr>
              <w:jc w:val="both"/>
              <w:rPr>
                <w:rFonts w:ascii="Times New Roman" w:hAnsi="Times New Roman"/>
                <w:szCs w:val="20"/>
              </w:rPr>
            </w:pPr>
            <w:r w:rsidRPr="00782DAA">
              <w:rPr>
                <w:rFonts w:ascii="Times New Roman" w:hAnsi="Times New Roman"/>
                <w:szCs w:val="20"/>
              </w:rPr>
              <w:t>- zmiany doprecyzowujące w zakresie programu łagodzenia kar</w:t>
            </w:r>
            <w:r w:rsidR="00C74100" w:rsidRPr="00782DAA">
              <w:rPr>
                <w:rFonts w:ascii="Times New Roman" w:hAnsi="Times New Roman"/>
                <w:szCs w:val="20"/>
              </w:rPr>
              <w:t>,</w:t>
            </w:r>
          </w:p>
          <w:p w14:paraId="6C426B4A" w14:textId="70F10798" w:rsidR="00B11BD7" w:rsidRPr="00782DAA" w:rsidRDefault="00B11BD7" w:rsidP="00782DAA">
            <w:pPr>
              <w:spacing w:line="240" w:lineRule="auto"/>
              <w:jc w:val="both"/>
              <w:rPr>
                <w:rFonts w:ascii="Times New Roman" w:hAnsi="Times New Roman"/>
                <w:szCs w:val="20"/>
              </w:rPr>
            </w:pPr>
            <w:r w:rsidRPr="00782DAA">
              <w:rPr>
                <w:rFonts w:ascii="Times New Roman" w:hAnsi="Times New Roman"/>
                <w:szCs w:val="20"/>
              </w:rPr>
              <w:t>- nowa procedura zaskarżania oraz doręczania postanowienia sądu w przedmiocie wniosku organu o zgodę na przeprowadzenie przeszukania</w:t>
            </w:r>
            <w:r w:rsidR="00C74100" w:rsidRPr="00782DAA">
              <w:rPr>
                <w:rFonts w:ascii="Times New Roman" w:hAnsi="Times New Roman"/>
                <w:szCs w:val="20"/>
              </w:rPr>
              <w:t>,</w:t>
            </w:r>
          </w:p>
          <w:p w14:paraId="621F209D" w14:textId="1893F090" w:rsidR="00B11BD7" w:rsidRPr="00782DAA" w:rsidRDefault="00C74100" w:rsidP="00782DAA">
            <w:pPr>
              <w:spacing w:line="240" w:lineRule="auto"/>
              <w:jc w:val="both"/>
              <w:rPr>
                <w:rFonts w:ascii="Times New Roman" w:hAnsi="Times New Roman"/>
                <w:szCs w:val="20"/>
              </w:rPr>
            </w:pPr>
            <w:r w:rsidRPr="00782DAA">
              <w:rPr>
                <w:rFonts w:ascii="Times New Roman" w:hAnsi="Times New Roman"/>
                <w:szCs w:val="20"/>
              </w:rPr>
              <w:t xml:space="preserve">- </w:t>
            </w:r>
            <w:r w:rsidR="00B11BD7" w:rsidRPr="00782DAA">
              <w:rPr>
                <w:rFonts w:ascii="Times New Roman" w:hAnsi="Times New Roman"/>
                <w:szCs w:val="20"/>
              </w:rPr>
              <w:t>możliwość żądania informacji przez Prezesa UOKiK oraz zapewnienie prawa do odmowy przekazania informacji i dokumentów</w:t>
            </w:r>
            <w:r w:rsidRPr="00782DAA">
              <w:rPr>
                <w:rFonts w:ascii="Times New Roman" w:hAnsi="Times New Roman"/>
                <w:szCs w:val="20"/>
              </w:rPr>
              <w:t>,</w:t>
            </w:r>
          </w:p>
          <w:p w14:paraId="5F330E49" w14:textId="1B0A812C" w:rsidR="00B11BD7" w:rsidRPr="00782DAA" w:rsidRDefault="00B11BD7" w:rsidP="00782DAA">
            <w:pPr>
              <w:jc w:val="both"/>
              <w:rPr>
                <w:rFonts w:ascii="Times New Roman" w:hAnsi="Times New Roman"/>
              </w:rPr>
            </w:pPr>
            <w:r w:rsidRPr="00782DAA">
              <w:rPr>
                <w:rFonts w:ascii="Times New Roman" w:hAnsi="Times New Roman"/>
              </w:rPr>
              <w:t xml:space="preserve">- wyłączenie karalności przy stosowaniu art. 305 </w:t>
            </w:r>
            <w:r w:rsidR="00782DAA" w:rsidRPr="00782DAA">
              <w:rPr>
                <w:rFonts w:ascii="Times New Roman" w:hAnsi="Times New Roman"/>
              </w:rPr>
              <w:t xml:space="preserve">KK </w:t>
            </w:r>
            <w:r w:rsidRPr="00782DAA">
              <w:rPr>
                <w:rFonts w:ascii="Times New Roman" w:hAnsi="Times New Roman"/>
              </w:rPr>
              <w:t xml:space="preserve">dla skutecznych wnioskodawców </w:t>
            </w:r>
            <w:proofErr w:type="spellStart"/>
            <w:r w:rsidRPr="00782DAA">
              <w:rPr>
                <w:rFonts w:ascii="Times New Roman" w:hAnsi="Times New Roman"/>
                <w:i/>
              </w:rPr>
              <w:t>leniency</w:t>
            </w:r>
            <w:proofErr w:type="spellEnd"/>
            <w:r w:rsidR="00C74100" w:rsidRPr="00782DAA">
              <w:rPr>
                <w:rFonts w:ascii="Times New Roman" w:hAnsi="Times New Roman"/>
                <w:i/>
              </w:rPr>
              <w:t>,</w:t>
            </w:r>
          </w:p>
          <w:p w14:paraId="625F50E1" w14:textId="2A661BD3" w:rsidR="00B11BD7" w:rsidRPr="00424472" w:rsidRDefault="00B11BD7" w:rsidP="00782DAA">
            <w:pPr>
              <w:jc w:val="both"/>
              <w:rPr>
                <w:rFonts w:ascii="Times New Roman" w:hAnsi="Times New Roman"/>
                <w:color w:val="000000"/>
                <w:spacing w:val="-2"/>
              </w:rPr>
            </w:pPr>
            <w:r w:rsidRPr="00782DAA">
              <w:rPr>
                <w:rFonts w:ascii="Times New Roman" w:hAnsi="Times New Roman"/>
              </w:rPr>
              <w:lastRenderedPageBreak/>
              <w:t xml:space="preserve">- wyłączenie karalności osoby fizycznej, która była sprawcą przestępstwa </w:t>
            </w:r>
            <w:r w:rsidR="00417506">
              <w:rPr>
                <w:rFonts w:ascii="Times New Roman" w:hAnsi="Times New Roman"/>
              </w:rPr>
              <w:br/>
            </w:r>
            <w:r w:rsidRPr="00782DAA">
              <w:rPr>
                <w:rFonts w:ascii="Times New Roman" w:hAnsi="Times New Roman"/>
              </w:rPr>
              <w:t>z art. 305</w:t>
            </w:r>
            <w:r w:rsidR="00782DAA" w:rsidRPr="00782DAA">
              <w:rPr>
                <w:rFonts w:ascii="Times New Roman" w:hAnsi="Times New Roman"/>
                <w:i/>
              </w:rPr>
              <w:t xml:space="preserve"> </w:t>
            </w:r>
            <w:r w:rsidR="00782DAA" w:rsidRPr="00782DAA">
              <w:rPr>
                <w:rFonts w:ascii="Times New Roman" w:hAnsi="Times New Roman"/>
              </w:rPr>
              <w:t>KK</w:t>
            </w:r>
            <w:r w:rsidRPr="00782DAA">
              <w:rPr>
                <w:rFonts w:ascii="Times New Roman" w:hAnsi="Times New Roman"/>
              </w:rPr>
              <w:t xml:space="preserve">, w przypadku gdy przedsiębiorca na rzecz którego ta osoba fizyczna działała, złożył wniosek </w:t>
            </w:r>
            <w:proofErr w:type="spellStart"/>
            <w:r w:rsidRPr="00782DAA">
              <w:rPr>
                <w:rFonts w:ascii="Times New Roman" w:hAnsi="Times New Roman"/>
                <w:i/>
              </w:rPr>
              <w:t>leniency</w:t>
            </w:r>
            <w:proofErr w:type="spellEnd"/>
            <w:r w:rsidRPr="00782DAA">
              <w:rPr>
                <w:rFonts w:ascii="Times New Roman" w:hAnsi="Times New Roman"/>
              </w:rPr>
              <w:t xml:space="preserve"> do Prezesa UOKiK</w:t>
            </w:r>
            <w:r w:rsidR="00C74100" w:rsidRPr="00782DAA">
              <w:rPr>
                <w:rFonts w:ascii="Times New Roman" w:hAnsi="Times New Roman"/>
              </w:rPr>
              <w:t>.</w:t>
            </w:r>
          </w:p>
        </w:tc>
      </w:tr>
      <w:tr w:rsidR="00B11BD7" w:rsidRPr="00424472" w14:paraId="16F5587C" w14:textId="77777777" w:rsidTr="000734EE">
        <w:trPr>
          <w:trHeight w:val="266"/>
          <w:jc w:val="center"/>
        </w:trPr>
        <w:tc>
          <w:tcPr>
            <w:tcW w:w="1588" w:type="dxa"/>
            <w:vMerge/>
            <w:shd w:val="clear" w:color="auto" w:fill="FFFFFF"/>
          </w:tcPr>
          <w:p w14:paraId="32E35520" w14:textId="77777777" w:rsidR="00B11BD7" w:rsidRPr="00424472" w:rsidRDefault="00B11BD7" w:rsidP="00424472">
            <w:pPr>
              <w:spacing w:before="120" w:after="120"/>
              <w:rPr>
                <w:rFonts w:ascii="Times New Roman" w:hAnsi="Times New Roman"/>
                <w:color w:val="000000"/>
              </w:rPr>
            </w:pPr>
          </w:p>
        </w:tc>
        <w:tc>
          <w:tcPr>
            <w:tcW w:w="2291" w:type="dxa"/>
            <w:gridSpan w:val="6"/>
            <w:shd w:val="clear" w:color="auto" w:fill="FFFFFF"/>
            <w:vAlign w:val="center"/>
          </w:tcPr>
          <w:p w14:paraId="56456CFD" w14:textId="77777777" w:rsidR="00B11BD7" w:rsidRPr="00424472" w:rsidRDefault="00B11BD7" w:rsidP="00424472">
            <w:pPr>
              <w:spacing w:before="120" w:after="120"/>
              <w:rPr>
                <w:rFonts w:ascii="Times New Roman" w:hAnsi="Times New Roman"/>
                <w:color w:val="000000"/>
              </w:rPr>
            </w:pPr>
            <w:r w:rsidRPr="00424472">
              <w:rPr>
                <w:rFonts w:ascii="Times New Roman" w:hAnsi="Times New Roman"/>
                <w:color w:val="000000"/>
              </w:rPr>
              <w:t xml:space="preserve">sektor mikro-, małych </w:t>
            </w:r>
            <w:r w:rsidRPr="00424472">
              <w:rPr>
                <w:rFonts w:ascii="Times New Roman" w:hAnsi="Times New Roman"/>
                <w:color w:val="000000"/>
              </w:rPr>
              <w:br/>
              <w:t>i średnich przedsiębiorstw</w:t>
            </w:r>
          </w:p>
        </w:tc>
        <w:tc>
          <w:tcPr>
            <w:tcW w:w="6895" w:type="dxa"/>
            <w:gridSpan w:val="21"/>
            <w:vMerge/>
            <w:tcBorders>
              <w:left w:val="single" w:sz="4" w:space="0" w:color="auto"/>
              <w:bottom w:val="single" w:sz="4" w:space="0" w:color="auto"/>
              <w:right w:val="single" w:sz="4" w:space="0" w:color="auto"/>
            </w:tcBorders>
            <w:shd w:val="clear" w:color="auto" w:fill="FFFFFF"/>
            <w:vAlign w:val="center"/>
          </w:tcPr>
          <w:p w14:paraId="407300E0" w14:textId="77777777" w:rsidR="00B11BD7" w:rsidRPr="00424472" w:rsidRDefault="00B11BD7" w:rsidP="00424472">
            <w:pPr>
              <w:spacing w:before="120" w:after="120"/>
              <w:jc w:val="both"/>
              <w:rPr>
                <w:rFonts w:ascii="Times New Roman" w:hAnsi="Times New Roman"/>
              </w:rPr>
            </w:pPr>
          </w:p>
        </w:tc>
      </w:tr>
      <w:tr w:rsidR="00DC5258" w:rsidRPr="00424472" w14:paraId="7BD7040D" w14:textId="77777777" w:rsidTr="00461AD7">
        <w:trPr>
          <w:trHeight w:val="596"/>
          <w:jc w:val="center"/>
        </w:trPr>
        <w:tc>
          <w:tcPr>
            <w:tcW w:w="1588" w:type="dxa"/>
            <w:vMerge/>
            <w:shd w:val="clear" w:color="auto" w:fill="FFFFFF"/>
          </w:tcPr>
          <w:p w14:paraId="5D504EFB" w14:textId="77777777" w:rsidR="00DC5258" w:rsidRPr="00424472" w:rsidRDefault="00DC5258" w:rsidP="00424472">
            <w:pPr>
              <w:spacing w:before="120" w:after="120"/>
              <w:rPr>
                <w:rFonts w:ascii="Times New Roman" w:hAnsi="Times New Roman"/>
                <w:color w:val="000000"/>
              </w:rPr>
            </w:pPr>
          </w:p>
        </w:tc>
        <w:tc>
          <w:tcPr>
            <w:tcW w:w="2291" w:type="dxa"/>
            <w:gridSpan w:val="6"/>
            <w:shd w:val="clear" w:color="auto" w:fill="FFFFFF"/>
            <w:vAlign w:val="center"/>
          </w:tcPr>
          <w:p w14:paraId="6CF2ED64" w14:textId="77777777" w:rsidR="00DC5258" w:rsidRPr="00424472" w:rsidRDefault="00DC5258" w:rsidP="00424472">
            <w:pPr>
              <w:tabs>
                <w:tab w:val="right" w:pos="1936"/>
              </w:tabs>
              <w:spacing w:before="120" w:after="120"/>
              <w:rPr>
                <w:rFonts w:ascii="Times New Roman" w:hAnsi="Times New Roman"/>
                <w:color w:val="000000"/>
              </w:rPr>
            </w:pPr>
            <w:r w:rsidRPr="00424472">
              <w:rPr>
                <w:rFonts w:ascii="Times New Roman" w:hAnsi="Times New Roman"/>
              </w:rPr>
              <w:t>rodzina, obywatele oraz gospodarstwa domowe</w:t>
            </w:r>
            <w:r w:rsidRPr="00424472">
              <w:rPr>
                <w:rFonts w:ascii="Times New Roman" w:hAnsi="Times New Roman"/>
                <w:color w:val="000000"/>
              </w:rPr>
              <w:t xml:space="preserve">, </w:t>
            </w:r>
            <w:r w:rsidRPr="00424472">
              <w:rPr>
                <w:rFonts w:ascii="Times New Roman" w:hAnsi="Times New Roman"/>
                <w:color w:val="000000"/>
              </w:rPr>
              <w:br/>
              <w:t xml:space="preserve">w szczególności osoby niepełnosprawne </w:t>
            </w:r>
            <w:r w:rsidRPr="00424472">
              <w:rPr>
                <w:rFonts w:ascii="Times New Roman" w:hAnsi="Times New Roman"/>
                <w:color w:val="000000"/>
              </w:rPr>
              <w:br/>
              <w:t>i starsze</w:t>
            </w:r>
          </w:p>
        </w:tc>
        <w:tc>
          <w:tcPr>
            <w:tcW w:w="6895"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14:paraId="4E21A580" w14:textId="4581BA79" w:rsidR="00DC5258" w:rsidRPr="007E7FC4" w:rsidRDefault="0047223E" w:rsidP="007E7FC4">
            <w:pPr>
              <w:jc w:val="both"/>
              <w:rPr>
                <w:rFonts w:ascii="Times New Roman" w:hAnsi="Times New Roman"/>
                <w:color w:val="000000"/>
              </w:rPr>
            </w:pPr>
            <w:r>
              <w:rPr>
                <w:rFonts w:ascii="Times New Roman" w:hAnsi="Times New Roman"/>
                <w:color w:val="000000"/>
              </w:rPr>
              <w:t xml:space="preserve">Wejście w życie projektu przyczyni się do zwiększenia poziomu ochrony konkurencji i konsumentów, a także wpłynie na poprawę pewności obrotu gospodarczego w Polsce. </w:t>
            </w:r>
          </w:p>
        </w:tc>
      </w:tr>
      <w:tr w:rsidR="00DC5258" w:rsidRPr="00424472" w14:paraId="59A6AE62" w14:textId="77777777" w:rsidTr="00461AD7">
        <w:trPr>
          <w:trHeight w:val="330"/>
          <w:jc w:val="center"/>
        </w:trPr>
        <w:tc>
          <w:tcPr>
            <w:tcW w:w="1588" w:type="dxa"/>
            <w:shd w:val="clear" w:color="auto" w:fill="FFFFFF"/>
          </w:tcPr>
          <w:p w14:paraId="02C35DCA" w14:textId="77777777" w:rsidR="00DC5258" w:rsidRPr="00424472" w:rsidRDefault="00DC5258" w:rsidP="00424472">
            <w:pPr>
              <w:spacing w:before="120" w:after="120"/>
              <w:rPr>
                <w:rFonts w:ascii="Times New Roman" w:hAnsi="Times New Roman"/>
                <w:color w:val="000000"/>
              </w:rPr>
            </w:pPr>
            <w:r w:rsidRPr="00424472">
              <w:rPr>
                <w:rFonts w:ascii="Times New Roman" w:hAnsi="Times New Roman"/>
                <w:color w:val="000000"/>
              </w:rPr>
              <w:t>Niemierzalne</w:t>
            </w:r>
          </w:p>
        </w:tc>
        <w:tc>
          <w:tcPr>
            <w:tcW w:w="2291" w:type="dxa"/>
            <w:gridSpan w:val="6"/>
            <w:shd w:val="clear" w:color="auto" w:fill="FFFFFF"/>
            <w:vAlign w:val="center"/>
          </w:tcPr>
          <w:p w14:paraId="1BF1B3A0" w14:textId="77777777" w:rsidR="00DC5258" w:rsidRPr="00424472" w:rsidRDefault="00DC5258" w:rsidP="00424472">
            <w:pPr>
              <w:spacing w:before="120" w:after="120"/>
              <w:rPr>
                <w:rFonts w:ascii="Times New Roman" w:hAnsi="Times New Roman"/>
                <w:color w:val="000000"/>
              </w:rPr>
            </w:pPr>
            <w:r w:rsidRPr="00424472">
              <w:rPr>
                <w:rFonts w:ascii="Times New Roman" w:hAnsi="Times New Roman"/>
              </w:rPr>
              <w:t xml:space="preserve"> </w:t>
            </w:r>
          </w:p>
        </w:tc>
        <w:tc>
          <w:tcPr>
            <w:tcW w:w="6895" w:type="dxa"/>
            <w:gridSpan w:val="21"/>
            <w:shd w:val="clear" w:color="auto" w:fill="FFFFFF"/>
            <w:vAlign w:val="center"/>
          </w:tcPr>
          <w:p w14:paraId="2284BF2C" w14:textId="77777777" w:rsidR="00DC5258" w:rsidRPr="00424472" w:rsidRDefault="00DC5258" w:rsidP="00424472">
            <w:pPr>
              <w:spacing w:before="120" w:after="120"/>
              <w:jc w:val="both"/>
              <w:rPr>
                <w:rFonts w:ascii="Times New Roman" w:hAnsi="Times New Roman"/>
                <w:color w:val="000000"/>
                <w:spacing w:val="-2"/>
              </w:rPr>
            </w:pPr>
          </w:p>
        </w:tc>
      </w:tr>
      <w:tr w:rsidR="00DC5258" w:rsidRPr="00424472" w14:paraId="1EB083B4" w14:textId="77777777" w:rsidTr="00461AD7">
        <w:trPr>
          <w:trHeight w:val="1463"/>
          <w:jc w:val="center"/>
        </w:trPr>
        <w:tc>
          <w:tcPr>
            <w:tcW w:w="2233" w:type="dxa"/>
            <w:gridSpan w:val="2"/>
            <w:shd w:val="clear" w:color="auto" w:fill="FFFFFF"/>
          </w:tcPr>
          <w:p w14:paraId="6A7CD6AB" w14:textId="77777777" w:rsidR="00DC5258" w:rsidRPr="00424472" w:rsidRDefault="00DC5258" w:rsidP="00424472">
            <w:pPr>
              <w:spacing w:before="120" w:after="120"/>
              <w:rPr>
                <w:rFonts w:ascii="Times New Roman" w:hAnsi="Times New Roman"/>
                <w:color w:val="000000"/>
              </w:rPr>
            </w:pPr>
            <w:r w:rsidRPr="00424472">
              <w:rPr>
                <w:rFonts w:ascii="Times New Roman" w:hAnsi="Times New Roman"/>
                <w:color w:val="000000"/>
              </w:rPr>
              <w:t xml:space="preserve">Dodatkowe informacje, w tym wskazanie źródeł danych i przyjętych do obliczeń założeń </w:t>
            </w:r>
          </w:p>
        </w:tc>
        <w:tc>
          <w:tcPr>
            <w:tcW w:w="8541" w:type="dxa"/>
            <w:gridSpan w:val="26"/>
            <w:shd w:val="clear" w:color="auto" w:fill="FFFFFF"/>
            <w:vAlign w:val="center"/>
          </w:tcPr>
          <w:p w14:paraId="52443BA1" w14:textId="77777777" w:rsidR="00DC5258" w:rsidRPr="00424472" w:rsidRDefault="00DC5258" w:rsidP="00424472">
            <w:pPr>
              <w:spacing w:before="120" w:after="120"/>
              <w:jc w:val="both"/>
              <w:rPr>
                <w:rFonts w:ascii="Times New Roman" w:hAnsi="Times New Roman"/>
                <w:color w:val="000000"/>
              </w:rPr>
            </w:pPr>
          </w:p>
        </w:tc>
      </w:tr>
      <w:tr w:rsidR="00DC5258" w:rsidRPr="00424472" w14:paraId="0697DD58" w14:textId="77777777" w:rsidTr="00461AD7">
        <w:trPr>
          <w:trHeight w:val="342"/>
          <w:jc w:val="center"/>
        </w:trPr>
        <w:tc>
          <w:tcPr>
            <w:tcW w:w="10774" w:type="dxa"/>
            <w:gridSpan w:val="28"/>
            <w:shd w:val="clear" w:color="auto" w:fill="99CCFF"/>
            <w:vAlign w:val="center"/>
          </w:tcPr>
          <w:p w14:paraId="74B95FA9" w14:textId="77777777" w:rsidR="00DC5258" w:rsidRPr="00424472" w:rsidRDefault="00DC5258" w:rsidP="00AC5F65">
            <w:pPr>
              <w:numPr>
                <w:ilvl w:val="0"/>
                <w:numId w:val="1"/>
              </w:numPr>
              <w:spacing w:before="60" w:after="60"/>
              <w:ind w:left="318" w:hanging="284"/>
              <w:jc w:val="both"/>
              <w:rPr>
                <w:rFonts w:ascii="Times New Roman" w:hAnsi="Times New Roman"/>
                <w:b/>
                <w:color w:val="000000"/>
              </w:rPr>
            </w:pPr>
            <w:r w:rsidRPr="00424472">
              <w:rPr>
                <w:rFonts w:ascii="Times New Roman" w:hAnsi="Times New Roman"/>
                <w:b/>
                <w:color w:val="000000"/>
              </w:rPr>
              <w:t xml:space="preserve"> Zmiana obciążeń regulacyjnych (w tym obowiązków informacyjnych) wynikających z projektu</w:t>
            </w:r>
          </w:p>
        </w:tc>
      </w:tr>
      <w:tr w:rsidR="00DC5258" w:rsidRPr="00424472" w14:paraId="7A661A08" w14:textId="77777777" w:rsidTr="00461AD7">
        <w:trPr>
          <w:trHeight w:val="151"/>
          <w:jc w:val="center"/>
        </w:trPr>
        <w:tc>
          <w:tcPr>
            <w:tcW w:w="10774" w:type="dxa"/>
            <w:gridSpan w:val="28"/>
            <w:shd w:val="clear" w:color="auto" w:fill="FFFFFF"/>
          </w:tcPr>
          <w:p w14:paraId="0B1331B1" w14:textId="706DD4D9" w:rsidR="00DC5258" w:rsidRPr="00424472" w:rsidRDefault="00BF268A" w:rsidP="00424472">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70A9" w:rsidRPr="00424472">
              <w:rPr>
                <w:rFonts w:ascii="Times New Roman" w:hAnsi="Times New Roman"/>
                <w:color w:val="000000"/>
              </w:rPr>
              <w:t xml:space="preserve"> </w:t>
            </w:r>
            <w:r w:rsidR="00DC70A9" w:rsidRPr="00424472">
              <w:rPr>
                <w:rFonts w:ascii="Times New Roman" w:hAnsi="Times New Roman"/>
                <w:color w:val="000000"/>
                <w:spacing w:val="-2"/>
              </w:rPr>
              <w:t>nie dotyczy</w:t>
            </w:r>
          </w:p>
        </w:tc>
      </w:tr>
      <w:tr w:rsidR="00DC5258" w:rsidRPr="00424472" w14:paraId="6F01DA64" w14:textId="77777777" w:rsidTr="00461AD7">
        <w:trPr>
          <w:trHeight w:val="946"/>
          <w:jc w:val="center"/>
        </w:trPr>
        <w:tc>
          <w:tcPr>
            <w:tcW w:w="5101" w:type="dxa"/>
            <w:gridSpan w:val="11"/>
            <w:shd w:val="clear" w:color="auto" w:fill="FFFFFF"/>
            <w:vAlign w:val="center"/>
          </w:tcPr>
          <w:p w14:paraId="3A0190BB" w14:textId="77777777" w:rsidR="00DC5258" w:rsidRPr="00424472" w:rsidRDefault="00DC5258" w:rsidP="00424472">
            <w:pPr>
              <w:rPr>
                <w:rFonts w:ascii="Times New Roman" w:hAnsi="Times New Roman"/>
                <w:color w:val="000000"/>
                <w:spacing w:val="-2"/>
              </w:rPr>
            </w:pPr>
            <w:r w:rsidRPr="00424472">
              <w:rPr>
                <w:rFonts w:ascii="Times New Roman" w:hAnsi="Times New Roman"/>
                <w:color w:val="000000"/>
                <w:spacing w:val="-2"/>
              </w:rPr>
              <w:t xml:space="preserve">Wprowadzane są obciążenia poza bezwzględnie wymaganymi przez UE </w:t>
            </w:r>
            <w:r w:rsidRPr="00424472">
              <w:rPr>
                <w:rFonts w:ascii="Times New Roman" w:hAnsi="Times New Roman"/>
                <w:color w:val="000000"/>
              </w:rPr>
              <w:t>(szczegóły w odwróconej tabeli zgodności).</w:t>
            </w:r>
          </w:p>
        </w:tc>
        <w:tc>
          <w:tcPr>
            <w:tcW w:w="5673" w:type="dxa"/>
            <w:gridSpan w:val="17"/>
            <w:shd w:val="clear" w:color="auto" w:fill="FFFFFF"/>
            <w:vAlign w:val="center"/>
          </w:tcPr>
          <w:p w14:paraId="691A1818" w14:textId="408B7C5F" w:rsidR="00DC5258" w:rsidRPr="00424472" w:rsidRDefault="00BF268A" w:rsidP="00424472">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5258" w:rsidRPr="00424472">
              <w:rPr>
                <w:rFonts w:ascii="Times New Roman" w:hAnsi="Times New Roman"/>
                <w:color w:val="000000"/>
              </w:rPr>
              <w:t xml:space="preserve"> tak</w:t>
            </w:r>
          </w:p>
          <w:p w14:paraId="291B3978" w14:textId="77777777" w:rsidR="00DC5258" w:rsidRPr="00424472" w:rsidRDefault="005F676D" w:rsidP="00424472">
            <w:pPr>
              <w:rPr>
                <w:rFonts w:ascii="Times New Roman" w:hAnsi="Times New Roman"/>
                <w:color w:val="000000"/>
              </w:rPr>
            </w:pPr>
            <w:r w:rsidRPr="00424472">
              <w:rPr>
                <w:rFonts w:ascii="Times New Roman" w:hAnsi="Times New Roman"/>
                <w:color w:val="000000"/>
              </w:rPr>
              <w:fldChar w:fldCharType="begin">
                <w:ffData>
                  <w:name w:val=""/>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nie</w:t>
            </w:r>
          </w:p>
          <w:p w14:paraId="147887E3" w14:textId="77777777" w:rsidR="00DC5258" w:rsidRPr="00424472" w:rsidRDefault="00982D83" w:rsidP="00424472">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5258" w:rsidRPr="00424472">
              <w:rPr>
                <w:rFonts w:ascii="Times New Roman" w:hAnsi="Times New Roman"/>
                <w:color w:val="000000"/>
              </w:rPr>
              <w:t>nie dotyczy</w:t>
            </w:r>
          </w:p>
        </w:tc>
      </w:tr>
      <w:tr w:rsidR="00DC5258" w:rsidRPr="00424472" w14:paraId="4EA14A14" w14:textId="77777777" w:rsidTr="00461AD7">
        <w:trPr>
          <w:trHeight w:val="1245"/>
          <w:jc w:val="center"/>
        </w:trPr>
        <w:tc>
          <w:tcPr>
            <w:tcW w:w="5101" w:type="dxa"/>
            <w:gridSpan w:val="11"/>
            <w:shd w:val="clear" w:color="auto" w:fill="FFFFFF"/>
            <w:vAlign w:val="center"/>
          </w:tcPr>
          <w:p w14:paraId="352420BF" w14:textId="77777777" w:rsidR="00DC5258" w:rsidRPr="00424472" w:rsidRDefault="005F676D" w:rsidP="00424472">
            <w:pPr>
              <w:rPr>
                <w:rFonts w:ascii="Times New Roman" w:hAnsi="Times New Roman"/>
                <w:color w:val="000000"/>
                <w:spacing w:val="-2"/>
              </w:rPr>
            </w:pPr>
            <w:r w:rsidRPr="00424472">
              <w:rPr>
                <w:rFonts w:ascii="Times New Roman" w:hAnsi="Times New Roman"/>
                <w:color w:val="000000"/>
              </w:rPr>
              <w:fldChar w:fldCharType="begin">
                <w:ffData>
                  <w:name w:val=""/>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 xml:space="preserve">zmniejszenie liczby dokumentów </w:t>
            </w:r>
          </w:p>
          <w:p w14:paraId="460900F3" w14:textId="77777777" w:rsidR="00DC5258" w:rsidRPr="00424472" w:rsidRDefault="00982D83" w:rsidP="00424472">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zmniejszenie liczby procedur</w:t>
            </w:r>
          </w:p>
          <w:p w14:paraId="627641A4" w14:textId="77777777" w:rsidR="00DC5258" w:rsidRPr="00424472" w:rsidRDefault="00982D83" w:rsidP="00424472">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skrócenie czasu na załatwienie sprawy</w:t>
            </w:r>
          </w:p>
          <w:p w14:paraId="6DC128D6" w14:textId="77777777" w:rsidR="00DC5258" w:rsidRPr="00424472" w:rsidRDefault="005F676D" w:rsidP="00424472">
            <w:pPr>
              <w:rPr>
                <w:rFonts w:ascii="Times New Roman" w:hAnsi="Times New Roman"/>
                <w:b/>
                <w:color w:val="000000"/>
                <w:spacing w:val="-2"/>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inne:</w:t>
            </w:r>
            <w:r w:rsidR="00DC5258" w:rsidRPr="00424472">
              <w:rPr>
                <w:rFonts w:ascii="Times New Roman" w:hAnsi="Times New Roman"/>
                <w:color w:val="000000"/>
              </w:rPr>
              <w:t xml:space="preserve"> </w:t>
            </w:r>
            <w:r w:rsidRPr="00424472">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C5258" w:rsidRPr="00424472">
              <w:rPr>
                <w:rFonts w:ascii="Times New Roman" w:hAnsi="Times New Roman"/>
                <w:color w:val="000000"/>
              </w:rPr>
              <w:instrText xml:space="preserve"> FORMTEXT </w:instrText>
            </w:r>
            <w:r w:rsidRPr="00424472">
              <w:rPr>
                <w:rFonts w:ascii="Times New Roman" w:hAnsi="Times New Roman"/>
                <w:color w:val="000000"/>
              </w:rPr>
            </w:r>
            <w:r w:rsidRPr="00424472">
              <w:rPr>
                <w:rFonts w:ascii="Times New Roman" w:hAnsi="Times New Roman"/>
                <w:color w:val="000000"/>
              </w:rPr>
              <w:fldChar w:fldCharType="separate"/>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Pr="00424472">
              <w:rPr>
                <w:rFonts w:ascii="Times New Roman" w:hAnsi="Times New Roman"/>
                <w:color w:val="000000"/>
              </w:rPr>
              <w:fldChar w:fldCharType="end"/>
            </w:r>
          </w:p>
        </w:tc>
        <w:tc>
          <w:tcPr>
            <w:tcW w:w="5673" w:type="dxa"/>
            <w:gridSpan w:val="17"/>
            <w:shd w:val="clear" w:color="auto" w:fill="FFFFFF"/>
            <w:vAlign w:val="center"/>
          </w:tcPr>
          <w:p w14:paraId="2648880A" w14:textId="422F25F3" w:rsidR="00DC5258" w:rsidRPr="00424472" w:rsidRDefault="00BF268A" w:rsidP="00424472">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zwiększenie liczby dokumentów</w:t>
            </w:r>
          </w:p>
          <w:p w14:paraId="4797A97F" w14:textId="25CFA229" w:rsidR="00DC5258" w:rsidRPr="00424472" w:rsidRDefault="00BF268A" w:rsidP="00424472">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zwiększenie liczby procedur</w:t>
            </w:r>
          </w:p>
          <w:p w14:paraId="204E3A04" w14:textId="77777777" w:rsidR="00DC5258" w:rsidRPr="00424472" w:rsidRDefault="005F676D" w:rsidP="00424472">
            <w:pPr>
              <w:rPr>
                <w:rFonts w:ascii="Times New Roman" w:hAnsi="Times New Roman"/>
                <w:color w:val="000000"/>
                <w:spacing w:val="-2"/>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wydłużenie czasu na załatwienie sprawy</w:t>
            </w:r>
          </w:p>
          <w:p w14:paraId="74146CDD" w14:textId="77777777" w:rsidR="00DC5258" w:rsidRPr="00424472" w:rsidRDefault="005F676D" w:rsidP="00424472">
            <w:pPr>
              <w:rPr>
                <w:rFonts w:ascii="Times New Roman" w:hAnsi="Times New Roman"/>
                <w:color w:val="000000"/>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inne:</w:t>
            </w:r>
            <w:r w:rsidR="00DC5258" w:rsidRPr="00424472">
              <w:rPr>
                <w:rFonts w:ascii="Times New Roman" w:hAnsi="Times New Roman"/>
                <w:color w:val="000000"/>
              </w:rPr>
              <w:t xml:space="preserve"> </w:t>
            </w:r>
            <w:r w:rsidRPr="00424472">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C5258" w:rsidRPr="00424472">
              <w:rPr>
                <w:rFonts w:ascii="Times New Roman" w:hAnsi="Times New Roman"/>
                <w:color w:val="000000"/>
              </w:rPr>
              <w:instrText xml:space="preserve"> FORMTEXT </w:instrText>
            </w:r>
            <w:r w:rsidRPr="00424472">
              <w:rPr>
                <w:rFonts w:ascii="Times New Roman" w:hAnsi="Times New Roman"/>
                <w:color w:val="000000"/>
              </w:rPr>
            </w:r>
            <w:r w:rsidRPr="00424472">
              <w:rPr>
                <w:rFonts w:ascii="Times New Roman" w:hAnsi="Times New Roman"/>
                <w:color w:val="000000"/>
              </w:rPr>
              <w:fldChar w:fldCharType="separate"/>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Pr="00424472">
              <w:rPr>
                <w:rFonts w:ascii="Times New Roman" w:hAnsi="Times New Roman"/>
                <w:color w:val="000000"/>
              </w:rPr>
              <w:fldChar w:fldCharType="end"/>
            </w:r>
          </w:p>
        </w:tc>
      </w:tr>
      <w:tr w:rsidR="00DC5258" w:rsidRPr="00424472" w14:paraId="75AB4A37" w14:textId="77777777" w:rsidTr="00461AD7">
        <w:trPr>
          <w:trHeight w:val="870"/>
          <w:jc w:val="center"/>
        </w:trPr>
        <w:tc>
          <w:tcPr>
            <w:tcW w:w="5101" w:type="dxa"/>
            <w:gridSpan w:val="11"/>
            <w:shd w:val="clear" w:color="auto" w:fill="FFFFFF"/>
            <w:vAlign w:val="center"/>
          </w:tcPr>
          <w:p w14:paraId="1CA3BB68" w14:textId="77777777" w:rsidR="00DC5258" w:rsidRPr="00424472" w:rsidRDefault="00DC5258" w:rsidP="00424472">
            <w:pPr>
              <w:jc w:val="both"/>
              <w:rPr>
                <w:rFonts w:ascii="Times New Roman" w:hAnsi="Times New Roman"/>
                <w:color w:val="000000"/>
              </w:rPr>
            </w:pPr>
            <w:r w:rsidRPr="00424472">
              <w:rPr>
                <w:rFonts w:ascii="Times New Roman" w:hAnsi="Times New Roman"/>
                <w:color w:val="000000"/>
                <w:spacing w:val="-2"/>
              </w:rPr>
              <w:t xml:space="preserve">Wprowadzane obciążenia są przystosowane do ich elektronizacji. </w:t>
            </w:r>
          </w:p>
        </w:tc>
        <w:tc>
          <w:tcPr>
            <w:tcW w:w="5673" w:type="dxa"/>
            <w:gridSpan w:val="17"/>
            <w:shd w:val="clear" w:color="auto" w:fill="FFFFFF"/>
            <w:vAlign w:val="center"/>
          </w:tcPr>
          <w:p w14:paraId="50594BF6" w14:textId="77777777" w:rsidR="00DC5258" w:rsidRPr="00424472" w:rsidRDefault="005F676D" w:rsidP="00424472">
            <w:pPr>
              <w:rPr>
                <w:rFonts w:ascii="Times New Roman" w:hAnsi="Times New Roman"/>
                <w:color w:val="000000"/>
              </w:rPr>
            </w:pPr>
            <w:r w:rsidRPr="00424472">
              <w:rPr>
                <w:rFonts w:ascii="Times New Roman" w:hAnsi="Times New Roman"/>
                <w:color w:val="000000"/>
              </w:rPr>
              <w:fldChar w:fldCharType="begin">
                <w:ffData>
                  <w:name w:val=""/>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tak</w:t>
            </w:r>
          </w:p>
          <w:p w14:paraId="0CC40BA4" w14:textId="77777777" w:rsidR="00DC5258" w:rsidRPr="00424472" w:rsidRDefault="005F676D" w:rsidP="00424472">
            <w:pPr>
              <w:rPr>
                <w:rFonts w:ascii="Times New Roman" w:hAnsi="Times New Roman"/>
                <w:color w:val="000000"/>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nie</w:t>
            </w:r>
          </w:p>
          <w:p w14:paraId="57FF3BF0" w14:textId="298CD24B" w:rsidR="00DC5258" w:rsidRPr="00424472" w:rsidRDefault="00BF268A" w:rsidP="00424472">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Pr>
                <w:rFonts w:ascii="Times New Roman" w:hAnsi="Times New Roman"/>
                <w:color w:val="000000"/>
              </w:rPr>
              <w:fldChar w:fldCharType="end"/>
            </w:r>
            <w:r w:rsidR="00DC5258" w:rsidRPr="00424472">
              <w:rPr>
                <w:rFonts w:ascii="Times New Roman" w:hAnsi="Times New Roman"/>
                <w:color w:val="000000"/>
              </w:rPr>
              <w:t xml:space="preserve"> nie dotyczy</w:t>
            </w:r>
          </w:p>
        </w:tc>
      </w:tr>
      <w:tr w:rsidR="00DC5258" w:rsidRPr="00424472" w14:paraId="25303EA7" w14:textId="77777777" w:rsidTr="00461AD7">
        <w:trPr>
          <w:trHeight w:val="274"/>
          <w:jc w:val="center"/>
        </w:trPr>
        <w:tc>
          <w:tcPr>
            <w:tcW w:w="10774" w:type="dxa"/>
            <w:gridSpan w:val="28"/>
            <w:shd w:val="clear" w:color="auto" w:fill="FFFFFF"/>
          </w:tcPr>
          <w:p w14:paraId="083AB9CA" w14:textId="069165D7" w:rsidR="00DC5258" w:rsidRDefault="00DC5258">
            <w:pPr>
              <w:spacing w:before="120"/>
              <w:jc w:val="both"/>
              <w:rPr>
                <w:rFonts w:ascii="Times New Roman" w:hAnsi="Times New Roman"/>
              </w:rPr>
            </w:pPr>
            <w:r w:rsidRPr="00424472">
              <w:rPr>
                <w:rFonts w:ascii="Times New Roman" w:hAnsi="Times New Roman"/>
                <w:color w:val="000000"/>
              </w:rPr>
              <w:t>Komentarz:</w:t>
            </w:r>
            <w:r w:rsidRPr="00424472">
              <w:rPr>
                <w:rFonts w:ascii="Times New Roman" w:hAnsi="Times New Roman"/>
              </w:rPr>
              <w:t xml:space="preserve"> </w:t>
            </w:r>
          </w:p>
          <w:p w14:paraId="2CF35E71" w14:textId="18A11B3C" w:rsidR="00F67BD3" w:rsidRDefault="00B14506" w:rsidP="009310FA">
            <w:pPr>
              <w:jc w:val="both"/>
              <w:rPr>
                <w:rFonts w:ascii="Times New Roman" w:hAnsi="Times New Roman"/>
              </w:rPr>
            </w:pPr>
            <w:r>
              <w:rPr>
                <w:rFonts w:ascii="Times New Roman" w:hAnsi="Times New Roman"/>
              </w:rPr>
              <w:t xml:space="preserve">W projekcie przewidziane zostało wprowadzenie szeregu nowych obowiązków </w:t>
            </w:r>
            <w:r w:rsidR="00DC5CC6">
              <w:rPr>
                <w:rFonts w:ascii="Times New Roman" w:hAnsi="Times New Roman"/>
              </w:rPr>
              <w:t xml:space="preserve">i uprawnień </w:t>
            </w:r>
            <w:r>
              <w:rPr>
                <w:rFonts w:ascii="Times New Roman" w:hAnsi="Times New Roman"/>
              </w:rPr>
              <w:t>dla Prezesa UOKiK</w:t>
            </w:r>
            <w:r w:rsidR="00F67BD3">
              <w:rPr>
                <w:rFonts w:ascii="Times New Roman" w:hAnsi="Times New Roman"/>
              </w:rPr>
              <w:t>, na które składają się:</w:t>
            </w:r>
          </w:p>
          <w:p w14:paraId="46128B86" w14:textId="569AED0A" w:rsidR="00F67BD3" w:rsidRPr="00F67BD3" w:rsidRDefault="00F67BD3" w:rsidP="009310FA">
            <w:pPr>
              <w:jc w:val="both"/>
              <w:rPr>
                <w:rFonts w:ascii="Times New Roman" w:hAnsi="Times New Roman"/>
              </w:rPr>
            </w:pPr>
            <w:r w:rsidRPr="00F67BD3">
              <w:rPr>
                <w:rFonts w:ascii="Times New Roman" w:hAnsi="Times New Roman"/>
              </w:rPr>
              <w:t>- możliwość nakładania za naruszenia kar pieniężnych na związki przedsiębiorców w przypadku, gdy dane naruszenie jest związane z działalnością jego członków</w:t>
            </w:r>
            <w:r>
              <w:rPr>
                <w:rFonts w:ascii="Times New Roman" w:hAnsi="Times New Roman"/>
              </w:rPr>
              <w:t>,</w:t>
            </w:r>
          </w:p>
          <w:p w14:paraId="507F6640" w14:textId="10847639" w:rsidR="00F67BD3" w:rsidRPr="00F67BD3" w:rsidRDefault="00F67BD3" w:rsidP="009310FA">
            <w:pPr>
              <w:jc w:val="both"/>
              <w:rPr>
                <w:rFonts w:ascii="Times New Roman" w:hAnsi="Times New Roman"/>
              </w:rPr>
            </w:pPr>
            <w:r w:rsidRPr="00F67BD3">
              <w:rPr>
                <w:rFonts w:ascii="Times New Roman" w:hAnsi="Times New Roman"/>
              </w:rPr>
              <w:t>- możliwość nakładania za naruszenia kar pieniężnych na związki przedsiębiorców za w przypadku, gdy dane naruszenie jest związane z działalnością jego członków</w:t>
            </w:r>
            <w:r>
              <w:rPr>
                <w:rFonts w:ascii="Times New Roman" w:hAnsi="Times New Roman"/>
              </w:rPr>
              <w:t>,</w:t>
            </w:r>
          </w:p>
          <w:p w14:paraId="42828588" w14:textId="44B8172A" w:rsidR="00F67BD3" w:rsidRPr="00F67BD3" w:rsidRDefault="00F67BD3" w:rsidP="009310FA">
            <w:pPr>
              <w:jc w:val="both"/>
              <w:rPr>
                <w:rFonts w:ascii="Times New Roman" w:hAnsi="Times New Roman"/>
              </w:rPr>
            </w:pPr>
            <w:r w:rsidRPr="00F67BD3">
              <w:rPr>
                <w:rFonts w:ascii="Times New Roman" w:hAnsi="Times New Roman"/>
              </w:rPr>
              <w:t>- zmiana sposobu ustalania kary poprzez zastąpienie jej maksymalnego pułapu określonego kwotowo pułapem określonym jako procent obrotu</w:t>
            </w:r>
            <w:r>
              <w:rPr>
                <w:rFonts w:ascii="Times New Roman" w:hAnsi="Times New Roman"/>
              </w:rPr>
              <w:t>,</w:t>
            </w:r>
          </w:p>
          <w:p w14:paraId="24499BE8" w14:textId="655D7169" w:rsidR="00F67BD3" w:rsidRPr="00F67BD3" w:rsidRDefault="00F67BD3" w:rsidP="009310FA">
            <w:pPr>
              <w:jc w:val="both"/>
              <w:rPr>
                <w:rFonts w:ascii="Times New Roman" w:hAnsi="Times New Roman"/>
                <w:bCs/>
              </w:rPr>
            </w:pPr>
            <w:r w:rsidRPr="00F67BD3">
              <w:rPr>
                <w:rFonts w:ascii="Times New Roman" w:hAnsi="Times New Roman"/>
              </w:rPr>
              <w:t>- możliwość</w:t>
            </w:r>
            <w:r w:rsidRPr="00F67BD3">
              <w:rPr>
                <w:rFonts w:ascii="Times New Roman" w:hAnsi="Times New Roman"/>
                <w:bCs/>
              </w:rPr>
              <w:t xml:space="preserve"> nałożenia, w celu przymuszenia przedsiębiorców do wykonania nałożonych na nich obowiązków, na tych przedsiębiorców, w drodze decyzji, okresowej kary pieniężnej</w:t>
            </w:r>
            <w:r>
              <w:rPr>
                <w:rFonts w:ascii="Times New Roman" w:hAnsi="Times New Roman"/>
                <w:bCs/>
              </w:rPr>
              <w:t>,</w:t>
            </w:r>
          </w:p>
          <w:p w14:paraId="36EEE388" w14:textId="4CD4AA1A" w:rsidR="00F67BD3" w:rsidRPr="00F67BD3" w:rsidRDefault="00F67BD3" w:rsidP="009310FA">
            <w:pPr>
              <w:jc w:val="both"/>
              <w:rPr>
                <w:rFonts w:ascii="Times New Roman" w:hAnsi="Times New Roman"/>
              </w:rPr>
            </w:pPr>
            <w:r w:rsidRPr="00F67BD3">
              <w:rPr>
                <w:rFonts w:ascii="Times New Roman" w:hAnsi="Times New Roman"/>
              </w:rPr>
              <w:t xml:space="preserve">- wprowadzenie w </w:t>
            </w:r>
            <w:proofErr w:type="spellStart"/>
            <w:r w:rsidRPr="00F67BD3">
              <w:rPr>
                <w:rFonts w:ascii="Times New Roman" w:hAnsi="Times New Roman"/>
              </w:rPr>
              <w:t>u.o.k.k</w:t>
            </w:r>
            <w:proofErr w:type="spellEnd"/>
            <w:r w:rsidRPr="00F67BD3">
              <w:rPr>
                <w:rFonts w:ascii="Times New Roman" w:hAnsi="Times New Roman"/>
              </w:rPr>
              <w:t>. otwartego katalogu środków zaradczych o charakterze strukturalnym</w:t>
            </w:r>
            <w:r>
              <w:rPr>
                <w:rFonts w:ascii="Times New Roman" w:hAnsi="Times New Roman"/>
              </w:rPr>
              <w:t>,</w:t>
            </w:r>
          </w:p>
          <w:p w14:paraId="059BA07E" w14:textId="158E82F0" w:rsidR="00F67BD3" w:rsidRPr="00F67BD3" w:rsidRDefault="00F67BD3" w:rsidP="009310FA">
            <w:pPr>
              <w:jc w:val="both"/>
              <w:rPr>
                <w:rFonts w:ascii="Times New Roman" w:hAnsi="Times New Roman"/>
              </w:rPr>
            </w:pPr>
            <w:r w:rsidRPr="00F67BD3">
              <w:rPr>
                <w:rFonts w:ascii="Times New Roman" w:hAnsi="Times New Roman"/>
              </w:rPr>
              <w:t>- wydawanie uzasadnienie zarzutów na etapie wszczęcia postępowania</w:t>
            </w:r>
            <w:r>
              <w:rPr>
                <w:rFonts w:ascii="Times New Roman" w:hAnsi="Times New Roman"/>
              </w:rPr>
              <w:t>,</w:t>
            </w:r>
          </w:p>
          <w:p w14:paraId="3E68AB36" w14:textId="77777777" w:rsidR="00F67BD3" w:rsidRPr="00F67BD3" w:rsidRDefault="00F67BD3" w:rsidP="009310FA">
            <w:pPr>
              <w:jc w:val="both"/>
              <w:rPr>
                <w:rFonts w:ascii="Times New Roman" w:hAnsi="Times New Roman"/>
              </w:rPr>
            </w:pPr>
            <w:r w:rsidRPr="00F67BD3">
              <w:rPr>
                <w:rFonts w:ascii="Times New Roman" w:hAnsi="Times New Roman"/>
              </w:rPr>
              <w:t>- możliwość pozyskiwania informacji od osób fizycznych</w:t>
            </w:r>
          </w:p>
          <w:p w14:paraId="507CFB40" w14:textId="54AF0DC9" w:rsidR="00F67BD3" w:rsidRPr="00F67BD3" w:rsidRDefault="00F67BD3" w:rsidP="009310FA">
            <w:pPr>
              <w:jc w:val="both"/>
              <w:rPr>
                <w:rFonts w:ascii="Times New Roman" w:hAnsi="Times New Roman"/>
              </w:rPr>
            </w:pPr>
            <w:r w:rsidRPr="00F67BD3">
              <w:rPr>
                <w:rFonts w:ascii="Times New Roman" w:hAnsi="Times New Roman"/>
              </w:rPr>
              <w:t>- doprecyzowanie zasad zwracania się o pomoc policji w toku kontroli i przeszukania</w:t>
            </w:r>
            <w:r>
              <w:rPr>
                <w:rFonts w:ascii="Times New Roman" w:hAnsi="Times New Roman"/>
              </w:rPr>
              <w:t>,</w:t>
            </w:r>
          </w:p>
          <w:p w14:paraId="65BFAEC6" w14:textId="5AB0AE7C" w:rsidR="00F67BD3" w:rsidRPr="00F67BD3" w:rsidRDefault="00F67BD3" w:rsidP="009310FA">
            <w:pPr>
              <w:jc w:val="both"/>
              <w:rPr>
                <w:rFonts w:ascii="Times New Roman" w:hAnsi="Times New Roman"/>
              </w:rPr>
            </w:pPr>
            <w:r w:rsidRPr="00F67BD3">
              <w:rPr>
                <w:rFonts w:ascii="Times New Roman" w:hAnsi="Times New Roman"/>
              </w:rPr>
              <w:t>- zmiany dotyczące współpracy państw członkowskich w zakresie czynności dochodzeniowych, notyfikacji oraz egzekucji decyzji o nałożeniu kar pieniężnych</w:t>
            </w:r>
            <w:r>
              <w:rPr>
                <w:rFonts w:ascii="Times New Roman" w:hAnsi="Times New Roman"/>
              </w:rPr>
              <w:t>,</w:t>
            </w:r>
          </w:p>
          <w:p w14:paraId="51DFDDFC" w14:textId="77777777" w:rsidR="00F67BD3" w:rsidRDefault="00F67BD3">
            <w:pPr>
              <w:jc w:val="both"/>
              <w:rPr>
                <w:rFonts w:ascii="Times New Roman" w:hAnsi="Times New Roman"/>
              </w:rPr>
            </w:pPr>
            <w:r w:rsidRPr="00F67BD3">
              <w:rPr>
                <w:rFonts w:ascii="Times New Roman" w:hAnsi="Times New Roman"/>
              </w:rPr>
              <w:t>- nowa procedura zaskarżania oraz doręczania postanowienia sądu w przedmiocie wniosku organu o zgodę na przeprowadzenie przeszukania</w:t>
            </w:r>
            <w:r w:rsidR="00DC5CC6">
              <w:rPr>
                <w:rFonts w:ascii="Times New Roman" w:hAnsi="Times New Roman"/>
              </w:rPr>
              <w:t>.</w:t>
            </w:r>
          </w:p>
          <w:p w14:paraId="72442F6D" w14:textId="77777777" w:rsidR="00DC5CC6" w:rsidRDefault="00DC5CC6">
            <w:pPr>
              <w:jc w:val="both"/>
              <w:rPr>
                <w:rFonts w:ascii="Times New Roman" w:hAnsi="Times New Roman"/>
              </w:rPr>
            </w:pPr>
          </w:p>
          <w:p w14:paraId="6FDBD2BF" w14:textId="2EDE6C78" w:rsidR="00DC5CC6" w:rsidRDefault="00DC5CC6">
            <w:pPr>
              <w:jc w:val="both"/>
              <w:rPr>
                <w:rFonts w:ascii="Times New Roman" w:hAnsi="Times New Roman"/>
              </w:rPr>
            </w:pPr>
            <w:r>
              <w:rPr>
                <w:rFonts w:ascii="Times New Roman" w:hAnsi="Times New Roman"/>
              </w:rPr>
              <w:lastRenderedPageBreak/>
              <w:t xml:space="preserve">Należy jednak zaznaczyć, że </w:t>
            </w:r>
            <w:r w:rsidR="00E25651">
              <w:rPr>
                <w:rFonts w:ascii="Times New Roman" w:hAnsi="Times New Roman"/>
              </w:rPr>
              <w:t xml:space="preserve">w większości </w:t>
            </w:r>
            <w:r>
              <w:rPr>
                <w:rFonts w:ascii="Times New Roman" w:hAnsi="Times New Roman"/>
              </w:rPr>
              <w:t xml:space="preserve">nie są to obowiązki i uprawnienia rodzajowo nowe w stosunku do </w:t>
            </w:r>
            <w:r w:rsidR="0070586A">
              <w:rPr>
                <w:rFonts w:ascii="Times New Roman" w:hAnsi="Times New Roman"/>
              </w:rPr>
              <w:t>zadań dotychczas ciążących na Prezesie</w:t>
            </w:r>
            <w:r w:rsidR="002C5FEE">
              <w:rPr>
                <w:rFonts w:ascii="Times New Roman" w:hAnsi="Times New Roman"/>
              </w:rPr>
              <w:t xml:space="preserve"> UOKiK</w:t>
            </w:r>
            <w:r w:rsidR="0070586A">
              <w:rPr>
                <w:rFonts w:ascii="Times New Roman" w:hAnsi="Times New Roman"/>
              </w:rPr>
              <w:t xml:space="preserve">. Duża część z nich ma jedynie charakter techniczny, </w:t>
            </w:r>
            <w:r w:rsidR="00BB216B">
              <w:rPr>
                <w:rFonts w:ascii="Times New Roman" w:hAnsi="Times New Roman"/>
              </w:rPr>
              <w:t xml:space="preserve">niektóre zaś wychodzą naprzeciw praktycznym problemom, od lat napotykanym w pracy Urzędu. </w:t>
            </w:r>
          </w:p>
          <w:p w14:paraId="71D47F28" w14:textId="77777777" w:rsidR="002C5FEE" w:rsidRDefault="002C5FEE">
            <w:pPr>
              <w:jc w:val="both"/>
              <w:rPr>
                <w:rFonts w:ascii="Times New Roman" w:hAnsi="Times New Roman"/>
              </w:rPr>
            </w:pPr>
          </w:p>
          <w:p w14:paraId="7D82690E" w14:textId="77777777" w:rsidR="003E6A10" w:rsidRDefault="002C5FEE">
            <w:pPr>
              <w:jc w:val="both"/>
              <w:rPr>
                <w:rFonts w:ascii="Times New Roman" w:hAnsi="Times New Roman"/>
              </w:rPr>
            </w:pPr>
            <w:r>
              <w:rPr>
                <w:rFonts w:ascii="Times New Roman" w:hAnsi="Times New Roman"/>
              </w:rPr>
              <w:t>Działań wdrożeniowych i dostosowujących będ</w:t>
            </w:r>
            <w:r w:rsidR="003E6A10">
              <w:rPr>
                <w:rFonts w:ascii="Times New Roman" w:hAnsi="Times New Roman"/>
              </w:rPr>
              <w:t xml:space="preserve">zie natomiast wymagało wprowadzenie zmian </w:t>
            </w:r>
            <w:r w:rsidR="003E6A10" w:rsidRPr="00F67BD3">
              <w:rPr>
                <w:rFonts w:ascii="Times New Roman" w:hAnsi="Times New Roman"/>
              </w:rPr>
              <w:t>dotycząc</w:t>
            </w:r>
            <w:r w:rsidR="003E6A10">
              <w:rPr>
                <w:rFonts w:ascii="Times New Roman" w:hAnsi="Times New Roman"/>
              </w:rPr>
              <w:t>ych</w:t>
            </w:r>
            <w:r w:rsidR="003E6A10" w:rsidRPr="00F67BD3">
              <w:rPr>
                <w:rFonts w:ascii="Times New Roman" w:hAnsi="Times New Roman"/>
              </w:rPr>
              <w:t xml:space="preserve"> współpracy państw członkowskich w zakresie czynności dochodzeniowych, notyfikacji oraz egzekucji decyzji o nałożeniu kar pieniężnych</w:t>
            </w:r>
            <w:r w:rsidR="003E6A10">
              <w:rPr>
                <w:rFonts w:ascii="Times New Roman" w:hAnsi="Times New Roman"/>
              </w:rPr>
              <w:t>.</w:t>
            </w:r>
          </w:p>
          <w:p w14:paraId="55B7FFB3" w14:textId="77777777" w:rsidR="00891B15" w:rsidRDefault="00891B15">
            <w:pPr>
              <w:jc w:val="both"/>
              <w:rPr>
                <w:rFonts w:ascii="Times New Roman" w:hAnsi="Times New Roman"/>
              </w:rPr>
            </w:pPr>
          </w:p>
          <w:p w14:paraId="202E27EF" w14:textId="7D583118" w:rsidR="00F064CF" w:rsidRDefault="00891B15" w:rsidP="009310FA">
            <w:pPr>
              <w:jc w:val="both"/>
            </w:pPr>
            <w:r>
              <w:rPr>
                <w:rFonts w:ascii="Times New Roman" w:hAnsi="Times New Roman"/>
              </w:rPr>
              <w:t xml:space="preserve">Ponadto w projekcie przewidziano wprowadzenie </w:t>
            </w:r>
            <w:r w:rsidRPr="00735700">
              <w:rPr>
                <w:rFonts w:ascii="Times New Roman" w:hAnsi="Times New Roman"/>
              </w:rPr>
              <w:t>now</w:t>
            </w:r>
            <w:r>
              <w:rPr>
                <w:rFonts w:ascii="Times New Roman" w:hAnsi="Times New Roman"/>
              </w:rPr>
              <w:t>ej</w:t>
            </w:r>
            <w:r w:rsidRPr="00735700">
              <w:rPr>
                <w:rFonts w:ascii="Times New Roman" w:hAnsi="Times New Roman"/>
              </w:rPr>
              <w:t xml:space="preserve"> procedur</w:t>
            </w:r>
            <w:r>
              <w:rPr>
                <w:rFonts w:ascii="Times New Roman" w:hAnsi="Times New Roman"/>
              </w:rPr>
              <w:t>y</w:t>
            </w:r>
            <w:r w:rsidRPr="00735700">
              <w:rPr>
                <w:rFonts w:ascii="Times New Roman" w:hAnsi="Times New Roman"/>
              </w:rPr>
              <w:t xml:space="preserve"> zaskarżania oraz doręczania postanowienia sądu </w:t>
            </w:r>
            <w:r>
              <w:rPr>
                <w:rFonts w:ascii="Times New Roman" w:hAnsi="Times New Roman"/>
              </w:rPr>
              <w:br/>
            </w:r>
            <w:r w:rsidRPr="00735700">
              <w:rPr>
                <w:rFonts w:ascii="Times New Roman" w:hAnsi="Times New Roman"/>
              </w:rPr>
              <w:t>w przedmiocie wniosku organu o zgodę na przeprowadzenie przeszukania</w:t>
            </w:r>
            <w:r>
              <w:rPr>
                <w:rFonts w:ascii="Times New Roman" w:hAnsi="Times New Roman"/>
              </w:rPr>
              <w:t xml:space="preserve">. </w:t>
            </w:r>
            <w:r w:rsidR="004C0E3F">
              <w:rPr>
                <w:rFonts w:ascii="Times New Roman" w:hAnsi="Times New Roman"/>
              </w:rPr>
              <w:t>W Urzędzie Ochrony Konkurencji i Konsumentów trwają prace analityczne</w:t>
            </w:r>
            <w:r w:rsidR="002A1920">
              <w:rPr>
                <w:rFonts w:ascii="Times New Roman" w:hAnsi="Times New Roman"/>
              </w:rPr>
              <w:t>, mające na celu o</w:t>
            </w:r>
            <w:r>
              <w:rPr>
                <w:rFonts w:ascii="Times New Roman" w:hAnsi="Times New Roman"/>
              </w:rPr>
              <w:t xml:space="preserve">kreślenie wpływu </w:t>
            </w:r>
            <w:r w:rsidR="00E85B81">
              <w:rPr>
                <w:rFonts w:ascii="Times New Roman" w:hAnsi="Times New Roman"/>
              </w:rPr>
              <w:t xml:space="preserve">nowych rozwiązań na sądownictwo powszechne. OSR zostanie uzupełniony w tym zakresie niezwłocznie do </w:t>
            </w:r>
            <w:r w:rsidR="00F064CF">
              <w:rPr>
                <w:rFonts w:ascii="Times New Roman" w:hAnsi="Times New Roman"/>
              </w:rPr>
              <w:t>dokonaniu stosownych ustaleń w tym zakresie.</w:t>
            </w:r>
          </w:p>
          <w:p w14:paraId="220CAF7B" w14:textId="77777777" w:rsidR="00F064CF" w:rsidRPr="009310FA" w:rsidRDefault="00F064CF" w:rsidP="009310FA">
            <w:pPr>
              <w:jc w:val="both"/>
              <w:rPr>
                <w:rFonts w:ascii="Times New Roman" w:hAnsi="Times New Roman"/>
              </w:rPr>
            </w:pPr>
          </w:p>
          <w:p w14:paraId="49CC4BCD" w14:textId="67B27388" w:rsidR="008E2A35" w:rsidRPr="00C35887" w:rsidRDefault="00F064CF" w:rsidP="008E2A35">
            <w:pPr>
              <w:jc w:val="both"/>
              <w:rPr>
                <w:rFonts w:ascii="Times New Roman" w:hAnsi="Times New Roman"/>
              </w:rPr>
            </w:pPr>
            <w:r w:rsidRPr="009310FA">
              <w:rPr>
                <w:rFonts w:ascii="Times New Roman" w:hAnsi="Times New Roman"/>
              </w:rPr>
              <w:t xml:space="preserve">Projekt będzie też oddziaływał na </w:t>
            </w:r>
            <w:r w:rsidR="004D4872" w:rsidRPr="009310FA">
              <w:rPr>
                <w:rFonts w:ascii="Times New Roman" w:hAnsi="Times New Roman"/>
              </w:rPr>
              <w:t>przedsiębiorców i osoby fizyczne.</w:t>
            </w:r>
            <w:r w:rsidR="004D4872" w:rsidRPr="00903BBA">
              <w:rPr>
                <w:rFonts w:ascii="Times New Roman" w:hAnsi="Times New Roman"/>
              </w:rPr>
              <w:t xml:space="preserve"> Proponowane zmiany</w:t>
            </w:r>
            <w:r w:rsidR="008E2A35">
              <w:rPr>
                <w:rFonts w:ascii="Times New Roman" w:hAnsi="Times New Roman"/>
              </w:rPr>
              <w:t xml:space="preserve"> w stosunku do przedsiębiorców</w:t>
            </w:r>
            <w:r w:rsidR="004D4872" w:rsidRPr="00903BBA">
              <w:rPr>
                <w:rFonts w:ascii="Times New Roman" w:hAnsi="Times New Roman"/>
              </w:rPr>
              <w:t xml:space="preserve"> zakładają m.in.</w:t>
            </w:r>
            <w:r w:rsidR="004D4872" w:rsidRPr="00024764">
              <w:rPr>
                <w:rFonts w:ascii="Times New Roman" w:hAnsi="Times New Roman"/>
              </w:rPr>
              <w:t xml:space="preserve"> </w:t>
            </w:r>
            <w:r w:rsidR="008D5252" w:rsidRPr="009310FA">
              <w:rPr>
                <w:rFonts w:ascii="Times New Roman" w:hAnsi="Times New Roman"/>
              </w:rPr>
              <w:t>wprowadzenie możliwości pociągnięcia do odpowiedzialności również przedsiębiorcy dominującego w przypadku, gdy naruszenia ustawy poprzez zawarcie niedozwolonego porozumienia lub nadużycie pozycji dominującej dopuścił się przedsiębiorca zależny</w:t>
            </w:r>
            <w:r w:rsidR="00903BBA">
              <w:rPr>
                <w:rFonts w:ascii="Times New Roman" w:hAnsi="Times New Roman"/>
              </w:rPr>
              <w:t xml:space="preserve">, </w:t>
            </w:r>
            <w:r w:rsidR="008D5252" w:rsidRPr="009310FA">
              <w:rPr>
                <w:rFonts w:ascii="Times New Roman" w:hAnsi="Times New Roman"/>
              </w:rPr>
              <w:t>możliwość ukarania za naruszenia karą pieniężną związków przedsiębiorców w przypadku, gdy dane naruszenie jest związane z działalnością jego członków</w:t>
            </w:r>
            <w:r w:rsidR="004B2B1F">
              <w:rPr>
                <w:rFonts w:ascii="Times New Roman" w:hAnsi="Times New Roman"/>
              </w:rPr>
              <w:t xml:space="preserve">, </w:t>
            </w:r>
            <w:r w:rsidR="008D5252" w:rsidRPr="009310FA">
              <w:rPr>
                <w:rFonts w:ascii="Times New Roman" w:hAnsi="Times New Roman"/>
              </w:rPr>
              <w:t>zmian</w:t>
            </w:r>
            <w:r w:rsidR="004B2B1F">
              <w:rPr>
                <w:rFonts w:ascii="Times New Roman" w:hAnsi="Times New Roman"/>
              </w:rPr>
              <w:t xml:space="preserve">ę </w:t>
            </w:r>
            <w:r w:rsidR="008D5252" w:rsidRPr="009310FA">
              <w:rPr>
                <w:rFonts w:ascii="Times New Roman" w:hAnsi="Times New Roman"/>
              </w:rPr>
              <w:t>sposobu ustalania kary poprzez zastąpienie jej maksymalnego pułapu określonego kwotowo pułapem określonym jako procent obrotu</w:t>
            </w:r>
            <w:r w:rsidR="004B2B1F">
              <w:rPr>
                <w:rFonts w:ascii="Times New Roman" w:hAnsi="Times New Roman"/>
              </w:rPr>
              <w:t xml:space="preserve"> </w:t>
            </w:r>
            <w:r w:rsidR="008D5252" w:rsidRPr="009310FA">
              <w:rPr>
                <w:rFonts w:ascii="Times New Roman" w:hAnsi="Times New Roman"/>
              </w:rPr>
              <w:t>możliwość nałożenia przez Prezesa UOKiK okresowej kary pieniężnej, w celu przymuszenia do wykonania nałożonych obowiązków</w:t>
            </w:r>
            <w:r w:rsidR="00EF732D">
              <w:rPr>
                <w:rFonts w:ascii="Times New Roman" w:hAnsi="Times New Roman"/>
              </w:rPr>
              <w:t>,</w:t>
            </w:r>
            <w:r w:rsidR="008D5252" w:rsidRPr="009310FA">
              <w:rPr>
                <w:rFonts w:ascii="Times New Roman" w:hAnsi="Times New Roman"/>
              </w:rPr>
              <w:t xml:space="preserve"> pozostawienie pism lub dokumentów, znalezionych w toku przeszukania, na miejscu przeszukania, w sytuacji gdy zawierają pisemną komunikację między przeszukiwanym a niezależnym od przeszukiwanego adwokatem, radcą prawnym lub prawnikiem z Unii Europejskiej,  powstałą  w celu realizacji prawa do uzyskania ochrony prawnej </w:t>
            </w:r>
            <w:r w:rsidR="008E2A35">
              <w:rPr>
                <w:rFonts w:ascii="Times New Roman" w:hAnsi="Times New Roman"/>
              </w:rPr>
              <w:br/>
            </w:r>
            <w:r w:rsidR="008D5252" w:rsidRPr="009310FA">
              <w:rPr>
                <w:rFonts w:ascii="Times New Roman" w:hAnsi="Times New Roman"/>
              </w:rPr>
              <w:t>w związku z przedmiotem postępowania prowadzonego przez Prezesa Urzędu w ramach którego przeprowadzane jest przeszukanie</w:t>
            </w:r>
            <w:r w:rsidR="008E2A35">
              <w:rPr>
                <w:rFonts w:ascii="Times New Roman" w:hAnsi="Times New Roman"/>
              </w:rPr>
              <w:t xml:space="preserve"> oraz </w:t>
            </w:r>
            <w:r w:rsidR="008E2A35" w:rsidRPr="00C35887">
              <w:rPr>
                <w:rFonts w:ascii="Times New Roman" w:hAnsi="Times New Roman"/>
              </w:rPr>
              <w:t>zmiany doprecyzowujące w zakresie programu łagodzenia kar</w:t>
            </w:r>
            <w:r w:rsidR="008E2A35">
              <w:rPr>
                <w:rFonts w:ascii="Times New Roman" w:hAnsi="Times New Roman"/>
              </w:rPr>
              <w:t>.</w:t>
            </w:r>
          </w:p>
          <w:p w14:paraId="2355A025" w14:textId="77777777" w:rsidR="008D5252" w:rsidRPr="009310FA" w:rsidRDefault="008D5252" w:rsidP="009310FA">
            <w:pPr>
              <w:jc w:val="both"/>
              <w:rPr>
                <w:rFonts w:ascii="Times New Roman" w:hAnsi="Times New Roman"/>
              </w:rPr>
            </w:pPr>
          </w:p>
          <w:p w14:paraId="474B0CA0" w14:textId="0786AB73" w:rsidR="00F064CF" w:rsidRPr="009310FA" w:rsidRDefault="00CA3A72" w:rsidP="009310FA">
            <w:pPr>
              <w:jc w:val="both"/>
            </w:pPr>
            <w:r>
              <w:rPr>
                <w:rFonts w:ascii="Times New Roman" w:hAnsi="Times New Roman"/>
              </w:rPr>
              <w:t>Dla osób fizycznych nowym rozwiązaniem jest wprowadzenie</w:t>
            </w:r>
            <w:r w:rsidR="008D5252" w:rsidRPr="009310FA">
              <w:rPr>
                <w:rFonts w:ascii="Times New Roman" w:hAnsi="Times New Roman"/>
              </w:rPr>
              <w:t xml:space="preserve"> możliwoś</w:t>
            </w:r>
            <w:r>
              <w:rPr>
                <w:rFonts w:ascii="Times New Roman" w:hAnsi="Times New Roman"/>
              </w:rPr>
              <w:t>ci</w:t>
            </w:r>
            <w:r w:rsidR="008D5252" w:rsidRPr="009310FA">
              <w:rPr>
                <w:rFonts w:ascii="Times New Roman" w:hAnsi="Times New Roman"/>
              </w:rPr>
              <w:t xml:space="preserve"> żądania informacji przez Prezesa UOKiK oraz zapewnienie prawa do odmowy przekazania informacji i dokumentów</w:t>
            </w:r>
            <w:r>
              <w:rPr>
                <w:rFonts w:ascii="Times New Roman" w:hAnsi="Times New Roman"/>
              </w:rPr>
              <w:t xml:space="preserve">, a także </w:t>
            </w:r>
            <w:r w:rsidR="008D5252" w:rsidRPr="009310FA">
              <w:rPr>
                <w:rFonts w:ascii="Times New Roman" w:hAnsi="Times New Roman"/>
              </w:rPr>
              <w:t xml:space="preserve">wyłączenie karalności przy stosowaniu art. 305  KK dla skutecznych wnioskodawców </w:t>
            </w:r>
            <w:proofErr w:type="spellStart"/>
            <w:r w:rsidR="008D5252" w:rsidRPr="009310FA">
              <w:rPr>
                <w:rFonts w:ascii="Times New Roman" w:hAnsi="Times New Roman"/>
                <w:i/>
              </w:rPr>
              <w:t>leniency</w:t>
            </w:r>
            <w:proofErr w:type="spellEnd"/>
            <w:r>
              <w:rPr>
                <w:rFonts w:ascii="Times New Roman" w:hAnsi="Times New Roman"/>
              </w:rPr>
              <w:t xml:space="preserve"> oraz </w:t>
            </w:r>
            <w:r w:rsidR="008D5252" w:rsidRPr="009310FA">
              <w:rPr>
                <w:rFonts w:ascii="Times New Roman" w:hAnsi="Times New Roman"/>
              </w:rPr>
              <w:t>wyłączenie karalności osoby fizycznej, która była sprawcą przestępstwa z art. 305 KK w przypadku</w:t>
            </w:r>
            <w:r w:rsidR="0044699C">
              <w:rPr>
                <w:rFonts w:ascii="Times New Roman" w:hAnsi="Times New Roman"/>
              </w:rPr>
              <w:t>,</w:t>
            </w:r>
            <w:r w:rsidR="008D5252" w:rsidRPr="009310FA">
              <w:rPr>
                <w:rFonts w:ascii="Times New Roman" w:hAnsi="Times New Roman"/>
              </w:rPr>
              <w:t xml:space="preserve"> gdy przedsiębiorca</w:t>
            </w:r>
            <w:r w:rsidR="00024764">
              <w:rPr>
                <w:rFonts w:ascii="Times New Roman" w:hAnsi="Times New Roman"/>
              </w:rPr>
              <w:t>,</w:t>
            </w:r>
            <w:r w:rsidR="008D5252" w:rsidRPr="009310FA">
              <w:rPr>
                <w:rFonts w:ascii="Times New Roman" w:hAnsi="Times New Roman"/>
              </w:rPr>
              <w:t xml:space="preserve"> na rzecz którego ta osoba fizyczna działała, złożył wniosek</w:t>
            </w:r>
            <w:r w:rsidR="008D5252" w:rsidRPr="009310FA">
              <w:rPr>
                <w:rFonts w:ascii="Times New Roman" w:hAnsi="Times New Roman"/>
                <w:i/>
              </w:rPr>
              <w:t xml:space="preserve"> </w:t>
            </w:r>
            <w:proofErr w:type="spellStart"/>
            <w:r w:rsidR="008D5252" w:rsidRPr="009310FA">
              <w:rPr>
                <w:rFonts w:ascii="Times New Roman" w:hAnsi="Times New Roman"/>
                <w:i/>
              </w:rPr>
              <w:t>leniency</w:t>
            </w:r>
            <w:proofErr w:type="spellEnd"/>
            <w:r w:rsidR="008D5252" w:rsidRPr="009310FA">
              <w:rPr>
                <w:rFonts w:ascii="Times New Roman" w:hAnsi="Times New Roman"/>
              </w:rPr>
              <w:t xml:space="preserve"> do Prezesa UOKiK</w:t>
            </w:r>
            <w:r w:rsidR="00024764">
              <w:t>.</w:t>
            </w:r>
          </w:p>
        </w:tc>
      </w:tr>
      <w:tr w:rsidR="00DC5258" w:rsidRPr="00424472" w14:paraId="2645A361" w14:textId="77777777" w:rsidTr="00461AD7">
        <w:trPr>
          <w:trHeight w:val="142"/>
          <w:jc w:val="center"/>
        </w:trPr>
        <w:tc>
          <w:tcPr>
            <w:tcW w:w="10774" w:type="dxa"/>
            <w:gridSpan w:val="28"/>
            <w:shd w:val="clear" w:color="auto" w:fill="99CCFF"/>
          </w:tcPr>
          <w:p w14:paraId="46E04F0E" w14:textId="77777777" w:rsidR="00DC5258" w:rsidRPr="00424472" w:rsidRDefault="00DC5258" w:rsidP="00AC5F65">
            <w:pPr>
              <w:numPr>
                <w:ilvl w:val="0"/>
                <w:numId w:val="1"/>
              </w:numPr>
              <w:spacing w:before="60" w:after="60"/>
              <w:jc w:val="both"/>
              <w:rPr>
                <w:rFonts w:ascii="Times New Roman" w:hAnsi="Times New Roman"/>
                <w:b/>
                <w:color w:val="000000"/>
              </w:rPr>
            </w:pPr>
            <w:r w:rsidRPr="00424472">
              <w:rPr>
                <w:rFonts w:ascii="Times New Roman" w:hAnsi="Times New Roman"/>
                <w:b/>
                <w:color w:val="000000"/>
              </w:rPr>
              <w:lastRenderedPageBreak/>
              <w:t xml:space="preserve">Wpływ na rynek pracy </w:t>
            </w:r>
          </w:p>
        </w:tc>
      </w:tr>
      <w:tr w:rsidR="00DC5258" w:rsidRPr="00424472" w14:paraId="157CBCAD" w14:textId="77777777" w:rsidTr="00461AD7">
        <w:trPr>
          <w:trHeight w:val="142"/>
          <w:jc w:val="center"/>
        </w:trPr>
        <w:tc>
          <w:tcPr>
            <w:tcW w:w="10774" w:type="dxa"/>
            <w:gridSpan w:val="28"/>
            <w:shd w:val="clear" w:color="auto" w:fill="auto"/>
          </w:tcPr>
          <w:p w14:paraId="58998B2A" w14:textId="53F17200" w:rsidR="00DC5258" w:rsidRPr="00424472" w:rsidRDefault="00CF2346" w:rsidP="005F3B82">
            <w:pPr>
              <w:spacing w:before="120" w:after="120"/>
              <w:jc w:val="both"/>
              <w:rPr>
                <w:rFonts w:ascii="Times New Roman" w:hAnsi="Times New Roman"/>
                <w:color w:val="000000"/>
              </w:rPr>
            </w:pPr>
            <w:r>
              <w:rPr>
                <w:rFonts w:ascii="Times New Roman" w:hAnsi="Times New Roman"/>
              </w:rPr>
              <w:t>Proponowane rozwiązania nie będą miały wpływu na rynek pracy.</w:t>
            </w:r>
          </w:p>
        </w:tc>
      </w:tr>
      <w:tr w:rsidR="00DC5258" w:rsidRPr="00424472" w14:paraId="6FB685A3" w14:textId="77777777" w:rsidTr="00461AD7">
        <w:trPr>
          <w:trHeight w:val="142"/>
          <w:jc w:val="center"/>
        </w:trPr>
        <w:tc>
          <w:tcPr>
            <w:tcW w:w="10774" w:type="dxa"/>
            <w:gridSpan w:val="28"/>
            <w:shd w:val="clear" w:color="auto" w:fill="99CCFF"/>
          </w:tcPr>
          <w:p w14:paraId="6D5EFA55" w14:textId="77777777" w:rsidR="00DC5258" w:rsidRPr="00424472" w:rsidRDefault="00DC5258" w:rsidP="00AC5F65">
            <w:pPr>
              <w:numPr>
                <w:ilvl w:val="0"/>
                <w:numId w:val="1"/>
              </w:numPr>
              <w:spacing w:before="60" w:after="60"/>
              <w:jc w:val="both"/>
              <w:rPr>
                <w:rFonts w:ascii="Times New Roman" w:hAnsi="Times New Roman"/>
                <w:b/>
                <w:color w:val="000000"/>
              </w:rPr>
            </w:pPr>
            <w:r w:rsidRPr="00424472">
              <w:rPr>
                <w:rFonts w:ascii="Times New Roman" w:hAnsi="Times New Roman"/>
                <w:b/>
                <w:color w:val="000000"/>
              </w:rPr>
              <w:t>Wpływ na pozostałe obszary</w:t>
            </w:r>
          </w:p>
        </w:tc>
      </w:tr>
      <w:tr w:rsidR="00DC5258" w:rsidRPr="00424472" w14:paraId="4A4CCB2F" w14:textId="77777777" w:rsidTr="00461AD7">
        <w:trPr>
          <w:trHeight w:val="764"/>
          <w:jc w:val="center"/>
        </w:trPr>
        <w:tc>
          <w:tcPr>
            <w:tcW w:w="3290" w:type="dxa"/>
            <w:gridSpan w:val="5"/>
            <w:shd w:val="clear" w:color="auto" w:fill="FFFFFF"/>
            <w:vAlign w:val="center"/>
          </w:tcPr>
          <w:p w14:paraId="4831BAAC" w14:textId="77777777" w:rsidR="00DC5258" w:rsidRPr="00424472" w:rsidRDefault="005F676D" w:rsidP="00424472">
            <w:pPr>
              <w:rPr>
                <w:rFonts w:ascii="Times New Roman" w:hAnsi="Times New Roman"/>
                <w:color w:val="000000"/>
                <w:spacing w:val="-2"/>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środowisko naturalne</w:t>
            </w:r>
          </w:p>
          <w:p w14:paraId="36D32716" w14:textId="77777777" w:rsidR="00DC5258" w:rsidRPr="00424472" w:rsidRDefault="005F676D" w:rsidP="00424472">
            <w:pPr>
              <w:rPr>
                <w:rFonts w:ascii="Times New Roman" w:hAnsi="Times New Roman"/>
                <w:color w:val="000000"/>
              </w:rPr>
            </w:pPr>
            <w:r w:rsidRPr="00424472">
              <w:rPr>
                <w:rFonts w:ascii="Times New Roman" w:hAnsi="Times New Roman"/>
                <w:color w:val="000000"/>
              </w:rPr>
              <w:fldChar w:fldCharType="begin">
                <w:ffData>
                  <w:name w:val=""/>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sytuacja i rozwój regionalny</w:t>
            </w:r>
          </w:p>
          <w:p w14:paraId="5D8F3F39" w14:textId="77777777" w:rsidR="00DC5258" w:rsidRPr="00424472" w:rsidRDefault="005F676D" w:rsidP="00424472">
            <w:pPr>
              <w:rPr>
                <w:rFonts w:ascii="Times New Roman" w:hAnsi="Times New Roman"/>
                <w:color w:val="000000"/>
                <w:spacing w:val="-2"/>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 xml:space="preserve">inne: </w:t>
            </w:r>
            <w:r w:rsidRPr="00424472">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C5258" w:rsidRPr="00424472">
              <w:rPr>
                <w:rFonts w:ascii="Times New Roman" w:hAnsi="Times New Roman"/>
                <w:color w:val="000000"/>
              </w:rPr>
              <w:instrText xml:space="preserve"> FORMTEXT </w:instrText>
            </w:r>
            <w:r w:rsidRPr="00424472">
              <w:rPr>
                <w:rFonts w:ascii="Times New Roman" w:hAnsi="Times New Roman"/>
                <w:color w:val="000000"/>
              </w:rPr>
            </w:r>
            <w:r w:rsidRPr="00424472">
              <w:rPr>
                <w:rFonts w:ascii="Times New Roman" w:hAnsi="Times New Roman"/>
                <w:color w:val="000000"/>
              </w:rPr>
              <w:fldChar w:fldCharType="separate"/>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00DC5258" w:rsidRPr="00424472">
              <w:rPr>
                <w:rFonts w:ascii="Times New Roman" w:hAnsi="Times New Roman"/>
                <w:noProof/>
                <w:color w:val="000000"/>
              </w:rPr>
              <w:t> </w:t>
            </w:r>
            <w:r w:rsidRPr="00424472">
              <w:rPr>
                <w:rFonts w:ascii="Times New Roman" w:hAnsi="Times New Roman"/>
                <w:color w:val="000000"/>
              </w:rPr>
              <w:fldChar w:fldCharType="end"/>
            </w:r>
          </w:p>
        </w:tc>
        <w:tc>
          <w:tcPr>
            <w:tcW w:w="3118" w:type="dxa"/>
            <w:gridSpan w:val="11"/>
            <w:shd w:val="clear" w:color="auto" w:fill="FFFFFF"/>
            <w:vAlign w:val="center"/>
          </w:tcPr>
          <w:p w14:paraId="5B794B71" w14:textId="77777777" w:rsidR="00DC5258" w:rsidRPr="00424472" w:rsidRDefault="005F676D" w:rsidP="00424472">
            <w:pPr>
              <w:rPr>
                <w:rFonts w:ascii="Times New Roman" w:hAnsi="Times New Roman"/>
                <w:color w:val="000000"/>
                <w:spacing w:val="-2"/>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demografia</w:t>
            </w:r>
          </w:p>
          <w:p w14:paraId="575010CE" w14:textId="77777777" w:rsidR="00DC5258" w:rsidRPr="00424472" w:rsidRDefault="005F676D" w:rsidP="00424472">
            <w:pPr>
              <w:rPr>
                <w:rFonts w:ascii="Times New Roman" w:hAnsi="Times New Roman"/>
                <w:color w:val="000000"/>
              </w:rPr>
            </w:pPr>
            <w:r w:rsidRPr="00424472">
              <w:rPr>
                <w:rFonts w:ascii="Times New Roman" w:hAnsi="Times New Roman"/>
                <w:color w:val="000000"/>
              </w:rPr>
              <w:fldChar w:fldCharType="begin">
                <w:ffData>
                  <w:name w:val=""/>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mienie państwowe</w:t>
            </w:r>
          </w:p>
        </w:tc>
        <w:tc>
          <w:tcPr>
            <w:tcW w:w="4366" w:type="dxa"/>
            <w:gridSpan w:val="12"/>
            <w:shd w:val="clear" w:color="auto" w:fill="FFFFFF"/>
            <w:vAlign w:val="center"/>
          </w:tcPr>
          <w:p w14:paraId="35A1981C" w14:textId="77777777" w:rsidR="00DC5258" w:rsidRPr="00424472" w:rsidRDefault="005F676D" w:rsidP="00424472">
            <w:pPr>
              <w:rPr>
                <w:rFonts w:ascii="Times New Roman" w:hAnsi="Times New Roman"/>
                <w:color w:val="000000"/>
                <w:spacing w:val="-2"/>
              </w:rPr>
            </w:pPr>
            <w:r w:rsidRPr="00424472">
              <w:rPr>
                <w:rFonts w:ascii="Times New Roman" w:hAnsi="Times New Roman"/>
                <w:color w:val="000000"/>
              </w:rPr>
              <w:fldChar w:fldCharType="begin">
                <w:ffData>
                  <w:name w:val=""/>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spacing w:val="-2"/>
              </w:rPr>
              <w:t>informatyzacja</w:t>
            </w:r>
          </w:p>
          <w:p w14:paraId="13554BE2" w14:textId="77777777" w:rsidR="00DC5258" w:rsidRPr="00424472" w:rsidRDefault="005F676D" w:rsidP="00424472">
            <w:pPr>
              <w:rPr>
                <w:rFonts w:ascii="Times New Roman" w:hAnsi="Times New Roman"/>
                <w:color w:val="000000"/>
              </w:rPr>
            </w:pPr>
            <w:r w:rsidRPr="00424472">
              <w:rPr>
                <w:rFonts w:ascii="Times New Roman" w:hAnsi="Times New Roman"/>
                <w:color w:val="000000"/>
              </w:rPr>
              <w:fldChar w:fldCharType="begin">
                <w:ffData>
                  <w:name w:val="Wybór1"/>
                  <w:enabled/>
                  <w:calcOnExit w:val="0"/>
                  <w:checkBox>
                    <w:sizeAuto/>
                    <w:default w:val="0"/>
                  </w:checkBox>
                </w:ffData>
              </w:fldChar>
            </w:r>
            <w:r w:rsidR="00DC5258" w:rsidRPr="00424472">
              <w:rPr>
                <w:rFonts w:ascii="Times New Roman" w:hAnsi="Times New Roman"/>
                <w:color w:val="000000"/>
              </w:rPr>
              <w:instrText xml:space="preserve"> FORMCHECKBOX </w:instrText>
            </w:r>
            <w:r w:rsidR="009310FA">
              <w:rPr>
                <w:rFonts w:ascii="Times New Roman" w:hAnsi="Times New Roman"/>
                <w:color w:val="000000"/>
              </w:rPr>
            </w:r>
            <w:r w:rsidR="009310FA">
              <w:rPr>
                <w:rFonts w:ascii="Times New Roman" w:hAnsi="Times New Roman"/>
                <w:color w:val="000000"/>
              </w:rPr>
              <w:fldChar w:fldCharType="separate"/>
            </w:r>
            <w:r w:rsidRPr="00424472">
              <w:rPr>
                <w:rFonts w:ascii="Times New Roman" w:hAnsi="Times New Roman"/>
                <w:color w:val="000000"/>
              </w:rPr>
              <w:fldChar w:fldCharType="end"/>
            </w:r>
            <w:r w:rsidR="00DC5258" w:rsidRPr="00424472">
              <w:rPr>
                <w:rFonts w:ascii="Times New Roman" w:hAnsi="Times New Roman"/>
                <w:color w:val="000000"/>
              </w:rPr>
              <w:t xml:space="preserve"> </w:t>
            </w:r>
            <w:r w:rsidR="00DC5258" w:rsidRPr="00424472">
              <w:rPr>
                <w:rFonts w:ascii="Times New Roman" w:hAnsi="Times New Roman"/>
                <w:color w:val="000000"/>
                <w:spacing w:val="-2"/>
              </w:rPr>
              <w:t>zdrowie</w:t>
            </w:r>
          </w:p>
        </w:tc>
      </w:tr>
      <w:tr w:rsidR="00DC5258" w:rsidRPr="00424472" w14:paraId="39265FF8" w14:textId="77777777" w:rsidTr="00461AD7">
        <w:trPr>
          <w:trHeight w:val="452"/>
          <w:jc w:val="center"/>
        </w:trPr>
        <w:tc>
          <w:tcPr>
            <w:tcW w:w="2233" w:type="dxa"/>
            <w:gridSpan w:val="2"/>
            <w:shd w:val="clear" w:color="auto" w:fill="FFFFFF"/>
            <w:vAlign w:val="center"/>
          </w:tcPr>
          <w:p w14:paraId="7F1B98BF" w14:textId="77777777" w:rsidR="00DC5258" w:rsidRPr="00424472" w:rsidRDefault="00DC5258" w:rsidP="00424472">
            <w:pPr>
              <w:rPr>
                <w:rFonts w:ascii="Times New Roman" w:hAnsi="Times New Roman"/>
                <w:color w:val="000000"/>
              </w:rPr>
            </w:pPr>
            <w:r w:rsidRPr="00424472">
              <w:rPr>
                <w:rFonts w:ascii="Times New Roman" w:hAnsi="Times New Roman"/>
                <w:color w:val="000000"/>
              </w:rPr>
              <w:t>Omówienie wpływu</w:t>
            </w:r>
          </w:p>
        </w:tc>
        <w:tc>
          <w:tcPr>
            <w:tcW w:w="8541" w:type="dxa"/>
            <w:gridSpan w:val="26"/>
            <w:shd w:val="clear" w:color="auto" w:fill="FFFFFF"/>
            <w:vAlign w:val="center"/>
          </w:tcPr>
          <w:p w14:paraId="60BFCCF3" w14:textId="77777777" w:rsidR="00DC5258" w:rsidRPr="00424472" w:rsidRDefault="00AC5F65" w:rsidP="00424472">
            <w:pPr>
              <w:jc w:val="both"/>
              <w:rPr>
                <w:rFonts w:ascii="Times New Roman" w:hAnsi="Times New Roman"/>
                <w:color w:val="000000"/>
                <w:spacing w:val="-2"/>
              </w:rPr>
            </w:pPr>
            <w:r>
              <w:rPr>
                <w:rFonts w:ascii="Times New Roman" w:hAnsi="Times New Roman"/>
                <w:color w:val="000000"/>
                <w:spacing w:val="-2"/>
              </w:rPr>
              <w:t>Brak wypływu.</w:t>
            </w:r>
          </w:p>
        </w:tc>
      </w:tr>
      <w:tr w:rsidR="00DC5258" w:rsidRPr="00424472" w14:paraId="79C156A5" w14:textId="77777777" w:rsidTr="00461AD7">
        <w:trPr>
          <w:trHeight w:val="142"/>
          <w:jc w:val="center"/>
        </w:trPr>
        <w:tc>
          <w:tcPr>
            <w:tcW w:w="10774" w:type="dxa"/>
            <w:gridSpan w:val="28"/>
            <w:shd w:val="clear" w:color="auto" w:fill="99CCFF"/>
          </w:tcPr>
          <w:p w14:paraId="103C70D5" w14:textId="77777777" w:rsidR="00DC5258" w:rsidRPr="00424472" w:rsidRDefault="00DC5258" w:rsidP="00AC5F65">
            <w:pPr>
              <w:numPr>
                <w:ilvl w:val="0"/>
                <w:numId w:val="1"/>
              </w:numPr>
              <w:spacing w:before="60" w:after="60"/>
              <w:ind w:left="318" w:hanging="284"/>
              <w:jc w:val="both"/>
              <w:rPr>
                <w:rFonts w:ascii="Times New Roman" w:hAnsi="Times New Roman"/>
                <w:b/>
              </w:rPr>
            </w:pPr>
            <w:r w:rsidRPr="00424472">
              <w:rPr>
                <w:rFonts w:ascii="Times New Roman" w:hAnsi="Times New Roman"/>
                <w:b/>
                <w:spacing w:val="-2"/>
              </w:rPr>
              <w:t>Planowane wykonanie przepisów aktu prawnego</w:t>
            </w:r>
          </w:p>
        </w:tc>
      </w:tr>
      <w:tr w:rsidR="00DC5258" w:rsidRPr="00424472" w14:paraId="2F38986D" w14:textId="77777777" w:rsidTr="00461AD7">
        <w:trPr>
          <w:trHeight w:val="142"/>
          <w:jc w:val="center"/>
        </w:trPr>
        <w:tc>
          <w:tcPr>
            <w:tcW w:w="10774" w:type="dxa"/>
            <w:gridSpan w:val="28"/>
            <w:shd w:val="clear" w:color="auto" w:fill="FFFFFF"/>
          </w:tcPr>
          <w:p w14:paraId="2CA41EA6" w14:textId="532625DC" w:rsidR="00BD537B" w:rsidRPr="001A3BE7" w:rsidRDefault="001A3BE7" w:rsidP="00676E51">
            <w:pPr>
              <w:pStyle w:val="PKTpunkt"/>
              <w:spacing w:before="120"/>
              <w:rPr>
                <w:bCs w:val="0"/>
                <w:sz w:val="22"/>
              </w:rPr>
            </w:pPr>
            <w:r w:rsidRPr="001A3BE7">
              <w:rPr>
                <w:bCs w:val="0"/>
                <w:sz w:val="22"/>
              </w:rPr>
              <w:t xml:space="preserve">Przewiduje się wejście projektu </w:t>
            </w:r>
            <w:r w:rsidR="00E34D4E">
              <w:rPr>
                <w:bCs w:val="0"/>
                <w:sz w:val="22"/>
              </w:rPr>
              <w:t>po upływie 14 dni od dnia ogłoszenia.</w:t>
            </w:r>
          </w:p>
        </w:tc>
      </w:tr>
      <w:tr w:rsidR="00DC5258" w:rsidRPr="00424472" w14:paraId="0DCC0031" w14:textId="77777777" w:rsidTr="00461AD7">
        <w:trPr>
          <w:trHeight w:val="142"/>
          <w:jc w:val="center"/>
        </w:trPr>
        <w:tc>
          <w:tcPr>
            <w:tcW w:w="10774" w:type="dxa"/>
            <w:gridSpan w:val="28"/>
            <w:shd w:val="clear" w:color="auto" w:fill="99CCFF"/>
          </w:tcPr>
          <w:p w14:paraId="293C6A6F" w14:textId="77777777" w:rsidR="00DC5258" w:rsidRPr="007B48FB" w:rsidRDefault="00DC5258" w:rsidP="00AC5F65">
            <w:pPr>
              <w:numPr>
                <w:ilvl w:val="0"/>
                <w:numId w:val="1"/>
              </w:numPr>
              <w:spacing w:before="60" w:after="60"/>
              <w:ind w:left="318" w:hanging="284"/>
              <w:jc w:val="both"/>
              <w:rPr>
                <w:rFonts w:ascii="Times New Roman" w:hAnsi="Times New Roman"/>
                <w:b/>
                <w:color w:val="000000"/>
              </w:rPr>
            </w:pPr>
            <w:r w:rsidRPr="007B48FB">
              <w:rPr>
                <w:rFonts w:ascii="Times New Roman" w:hAnsi="Times New Roman"/>
                <w:b/>
                <w:color w:val="000000"/>
              </w:rPr>
              <w:t xml:space="preserve"> </w:t>
            </w:r>
            <w:r w:rsidRPr="007B48FB">
              <w:rPr>
                <w:rFonts w:ascii="Times New Roman" w:hAnsi="Times New Roman"/>
                <w:b/>
                <w:spacing w:val="-2"/>
              </w:rPr>
              <w:t>W jaki sposób i kiedy nastąpi ewaluacja efektów projektu oraz jakie mierniki zostaną zastosowane?</w:t>
            </w:r>
          </w:p>
        </w:tc>
      </w:tr>
      <w:tr w:rsidR="00DC5258" w:rsidRPr="00424472" w14:paraId="74586BF2" w14:textId="77777777" w:rsidTr="00461AD7">
        <w:trPr>
          <w:trHeight w:val="142"/>
          <w:jc w:val="center"/>
        </w:trPr>
        <w:tc>
          <w:tcPr>
            <w:tcW w:w="10774" w:type="dxa"/>
            <w:gridSpan w:val="28"/>
            <w:shd w:val="clear" w:color="auto" w:fill="FFFFFF"/>
          </w:tcPr>
          <w:p w14:paraId="662FFF70" w14:textId="769487F1" w:rsidR="004C5C72" w:rsidRDefault="00931D6A" w:rsidP="004C5C72">
            <w:pPr>
              <w:jc w:val="both"/>
              <w:rPr>
                <w:rFonts w:ascii="Times New Roman" w:hAnsi="Times New Roman"/>
                <w:color w:val="000000"/>
                <w:spacing w:val="-2"/>
              </w:rPr>
            </w:pPr>
            <w:r w:rsidRPr="007B48FB">
              <w:rPr>
                <w:rFonts w:ascii="Times New Roman" w:hAnsi="Times New Roman"/>
                <w:color w:val="000000"/>
                <w:spacing w:val="-2"/>
              </w:rPr>
              <w:t>Efekty wejścia w życie proponowanych rozwiązań będzie można poddać ewaluacji w oparciu o następujące mierniki:</w:t>
            </w:r>
            <w:r w:rsidR="00A1798D" w:rsidRPr="007B48FB">
              <w:rPr>
                <w:rFonts w:ascii="Times New Roman" w:hAnsi="Times New Roman"/>
                <w:color w:val="000000"/>
                <w:spacing w:val="-2"/>
              </w:rPr>
              <w:br/>
            </w:r>
            <w:r w:rsidR="001C6CFA">
              <w:rPr>
                <w:rFonts w:ascii="Times New Roman" w:hAnsi="Times New Roman"/>
                <w:color w:val="000000"/>
                <w:spacing w:val="-2"/>
              </w:rPr>
              <w:t>- liczba przeszukań i kontroli,</w:t>
            </w:r>
          </w:p>
          <w:p w14:paraId="3B3026BB" w14:textId="09A089E6" w:rsidR="001C6CFA" w:rsidRDefault="001C6CFA" w:rsidP="004C5C72">
            <w:pPr>
              <w:jc w:val="both"/>
              <w:rPr>
                <w:rFonts w:ascii="Times New Roman" w:hAnsi="Times New Roman"/>
                <w:color w:val="000000"/>
                <w:spacing w:val="-2"/>
              </w:rPr>
            </w:pPr>
            <w:r>
              <w:rPr>
                <w:rFonts w:ascii="Times New Roman" w:hAnsi="Times New Roman"/>
                <w:color w:val="000000"/>
                <w:spacing w:val="-2"/>
              </w:rPr>
              <w:t xml:space="preserve">- liczba wniosków </w:t>
            </w:r>
            <w:proofErr w:type="spellStart"/>
            <w:r w:rsidRPr="00355352">
              <w:rPr>
                <w:rFonts w:ascii="Times New Roman" w:hAnsi="Times New Roman"/>
                <w:i/>
                <w:color w:val="000000"/>
                <w:spacing w:val="-2"/>
              </w:rPr>
              <w:t>leniency</w:t>
            </w:r>
            <w:proofErr w:type="spellEnd"/>
            <w:r w:rsidR="00355352">
              <w:rPr>
                <w:rFonts w:ascii="Times New Roman" w:hAnsi="Times New Roman"/>
                <w:color w:val="000000"/>
                <w:spacing w:val="-2"/>
              </w:rPr>
              <w:t>,</w:t>
            </w:r>
          </w:p>
          <w:p w14:paraId="755A1C6F" w14:textId="77777777" w:rsidR="0018241D" w:rsidRDefault="00355352" w:rsidP="0018241D">
            <w:r w:rsidRPr="0018241D">
              <w:rPr>
                <w:rFonts w:ascii="Times New Roman" w:hAnsi="Times New Roman"/>
                <w:color w:val="000000"/>
                <w:spacing w:val="-2"/>
              </w:rPr>
              <w:t xml:space="preserve">- </w:t>
            </w:r>
            <w:r w:rsidR="0018241D">
              <w:rPr>
                <w:rFonts w:ascii="Times New Roman" w:hAnsi="Times New Roman"/>
                <w:color w:val="000000"/>
                <w:spacing w:val="-2"/>
              </w:rPr>
              <w:t xml:space="preserve">liczba i wysokość </w:t>
            </w:r>
            <w:r w:rsidR="0018241D">
              <w:rPr>
                <w:rFonts w:ascii="Times New Roman" w:hAnsi="Times New Roman"/>
                <w:szCs w:val="24"/>
              </w:rPr>
              <w:t>k</w:t>
            </w:r>
            <w:r w:rsidR="0018241D" w:rsidRPr="0018241D">
              <w:rPr>
                <w:rFonts w:ascii="Times New Roman" w:hAnsi="Times New Roman"/>
                <w:szCs w:val="24"/>
              </w:rPr>
              <w:t>ar nakładan</w:t>
            </w:r>
            <w:r w:rsidR="0018241D">
              <w:rPr>
                <w:rFonts w:ascii="Times New Roman" w:hAnsi="Times New Roman"/>
                <w:szCs w:val="24"/>
              </w:rPr>
              <w:t>ych</w:t>
            </w:r>
            <w:r w:rsidR="0018241D" w:rsidRPr="0018241D">
              <w:rPr>
                <w:rFonts w:ascii="Times New Roman" w:hAnsi="Times New Roman"/>
                <w:szCs w:val="24"/>
              </w:rPr>
              <w:t xml:space="preserve"> na związki przedsiębiorców</w:t>
            </w:r>
            <w:r w:rsidR="0018241D">
              <w:rPr>
                <w:rFonts w:ascii="Times New Roman" w:hAnsi="Times New Roman"/>
                <w:szCs w:val="24"/>
              </w:rPr>
              <w:t>,</w:t>
            </w:r>
          </w:p>
          <w:p w14:paraId="476477E5" w14:textId="2A3636FE" w:rsidR="003A7E91" w:rsidRPr="0018241D" w:rsidRDefault="0018241D" w:rsidP="0018241D">
            <w:r>
              <w:rPr>
                <w:rFonts w:ascii="Times New Roman" w:hAnsi="Times New Roman"/>
                <w:bCs/>
                <w:szCs w:val="24"/>
              </w:rPr>
              <w:t>- liczba i wysokość o</w:t>
            </w:r>
            <w:r w:rsidRPr="0018241D">
              <w:rPr>
                <w:rFonts w:ascii="Times New Roman" w:hAnsi="Times New Roman"/>
                <w:bCs/>
                <w:szCs w:val="24"/>
              </w:rPr>
              <w:t>kresow</w:t>
            </w:r>
            <w:r>
              <w:rPr>
                <w:rFonts w:ascii="Times New Roman" w:hAnsi="Times New Roman"/>
                <w:bCs/>
                <w:szCs w:val="24"/>
              </w:rPr>
              <w:t>ych</w:t>
            </w:r>
            <w:r w:rsidRPr="0018241D">
              <w:rPr>
                <w:rFonts w:ascii="Times New Roman" w:hAnsi="Times New Roman"/>
                <w:bCs/>
                <w:szCs w:val="24"/>
              </w:rPr>
              <w:t xml:space="preserve"> kar pieniężn</w:t>
            </w:r>
            <w:r>
              <w:rPr>
                <w:rFonts w:ascii="Times New Roman" w:hAnsi="Times New Roman"/>
                <w:bCs/>
                <w:szCs w:val="24"/>
              </w:rPr>
              <w:t>ych.</w:t>
            </w:r>
          </w:p>
        </w:tc>
      </w:tr>
      <w:tr w:rsidR="00DC5258" w:rsidRPr="00424472" w14:paraId="42433E98" w14:textId="77777777" w:rsidTr="00461AD7">
        <w:trPr>
          <w:trHeight w:val="142"/>
          <w:jc w:val="center"/>
        </w:trPr>
        <w:tc>
          <w:tcPr>
            <w:tcW w:w="10774" w:type="dxa"/>
            <w:gridSpan w:val="28"/>
            <w:shd w:val="clear" w:color="auto" w:fill="99CCFF"/>
          </w:tcPr>
          <w:p w14:paraId="7F32285C" w14:textId="77777777" w:rsidR="00DC5258" w:rsidRPr="00424472" w:rsidRDefault="00DC5258" w:rsidP="00AC5F65">
            <w:pPr>
              <w:numPr>
                <w:ilvl w:val="0"/>
                <w:numId w:val="1"/>
              </w:numPr>
              <w:spacing w:before="60" w:after="60"/>
              <w:ind w:left="318" w:hanging="284"/>
              <w:jc w:val="both"/>
              <w:rPr>
                <w:rFonts w:ascii="Times New Roman" w:hAnsi="Times New Roman"/>
                <w:b/>
                <w:color w:val="000000"/>
                <w:spacing w:val="-2"/>
              </w:rPr>
            </w:pPr>
            <w:r w:rsidRPr="00424472">
              <w:rPr>
                <w:rFonts w:ascii="Times New Roman" w:hAnsi="Times New Roman"/>
                <w:b/>
                <w:color w:val="000000"/>
                <w:spacing w:val="-2"/>
              </w:rPr>
              <w:t xml:space="preserve">Załączniki </w:t>
            </w:r>
            <w:r w:rsidRPr="00424472">
              <w:rPr>
                <w:rFonts w:ascii="Times New Roman" w:hAnsi="Times New Roman"/>
                <w:b/>
                <w:spacing w:val="-2"/>
              </w:rPr>
              <w:t>(istotne dokumenty źródłowe, badania, analizy itp.</w:t>
            </w:r>
            <w:r w:rsidRPr="00424472">
              <w:rPr>
                <w:rFonts w:ascii="Times New Roman" w:hAnsi="Times New Roman"/>
                <w:b/>
                <w:color w:val="000000"/>
                <w:spacing w:val="-2"/>
              </w:rPr>
              <w:t xml:space="preserve">) </w:t>
            </w:r>
          </w:p>
        </w:tc>
      </w:tr>
      <w:tr w:rsidR="00DC5258" w:rsidRPr="00424472" w14:paraId="2C789325" w14:textId="77777777" w:rsidTr="00461AD7">
        <w:trPr>
          <w:trHeight w:val="142"/>
          <w:jc w:val="center"/>
        </w:trPr>
        <w:tc>
          <w:tcPr>
            <w:tcW w:w="10774" w:type="dxa"/>
            <w:gridSpan w:val="28"/>
            <w:shd w:val="clear" w:color="auto" w:fill="FFFFFF"/>
          </w:tcPr>
          <w:p w14:paraId="28C519B9" w14:textId="77777777" w:rsidR="00DC5258" w:rsidRPr="00424472" w:rsidRDefault="006F3525" w:rsidP="00424472">
            <w:pPr>
              <w:spacing w:before="120" w:after="120"/>
              <w:jc w:val="both"/>
              <w:rPr>
                <w:rFonts w:ascii="Times New Roman" w:hAnsi="Times New Roman"/>
                <w:color w:val="000000"/>
                <w:spacing w:val="-2"/>
              </w:rPr>
            </w:pPr>
            <w:r>
              <w:rPr>
                <w:rFonts w:ascii="Times New Roman" w:hAnsi="Times New Roman"/>
                <w:color w:val="000000"/>
                <w:spacing w:val="-2"/>
              </w:rPr>
              <w:lastRenderedPageBreak/>
              <w:t xml:space="preserve">Brak. </w:t>
            </w:r>
          </w:p>
        </w:tc>
      </w:tr>
    </w:tbl>
    <w:p w14:paraId="28B1AA1D" w14:textId="77777777" w:rsidR="006176ED" w:rsidRPr="00424472" w:rsidRDefault="006176ED" w:rsidP="00424472">
      <w:pPr>
        <w:spacing w:after="120"/>
        <w:jc w:val="both"/>
        <w:rPr>
          <w:rFonts w:ascii="Times New Roman" w:hAnsi="Times New Roman"/>
        </w:rPr>
      </w:pPr>
    </w:p>
    <w:sectPr w:rsidR="006176ED" w:rsidRPr="00424472" w:rsidSect="00725DE7">
      <w:footerReference w:type="default" r:id="rId11"/>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A6F7" w14:textId="77777777" w:rsidR="009310FA" w:rsidRDefault="009310FA" w:rsidP="00044739">
      <w:pPr>
        <w:spacing w:line="240" w:lineRule="auto"/>
      </w:pPr>
      <w:r>
        <w:separator/>
      </w:r>
    </w:p>
  </w:endnote>
  <w:endnote w:type="continuationSeparator" w:id="0">
    <w:p w14:paraId="1863F145" w14:textId="77777777" w:rsidR="009310FA" w:rsidRDefault="009310FA"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2136681694"/>
      <w:docPartObj>
        <w:docPartGallery w:val="Page Numbers (Bottom of Page)"/>
        <w:docPartUnique/>
      </w:docPartObj>
    </w:sdtPr>
    <w:sdtContent>
      <w:p w14:paraId="7862EA81" w14:textId="664AC82A" w:rsidR="009310FA" w:rsidRPr="009310FA" w:rsidRDefault="009310FA">
        <w:pPr>
          <w:pStyle w:val="Stopka"/>
          <w:jc w:val="right"/>
          <w:rPr>
            <w:rFonts w:ascii="Times New Roman" w:hAnsi="Times New Roman"/>
            <w:sz w:val="20"/>
          </w:rPr>
        </w:pPr>
        <w:r w:rsidRPr="009310FA">
          <w:rPr>
            <w:rFonts w:ascii="Times New Roman" w:hAnsi="Times New Roman"/>
            <w:sz w:val="20"/>
          </w:rPr>
          <w:fldChar w:fldCharType="begin"/>
        </w:r>
        <w:r w:rsidRPr="009310FA">
          <w:rPr>
            <w:rFonts w:ascii="Times New Roman" w:hAnsi="Times New Roman"/>
            <w:sz w:val="20"/>
          </w:rPr>
          <w:instrText>PAGE   \* MERGEFORMAT</w:instrText>
        </w:r>
        <w:r w:rsidRPr="009310FA">
          <w:rPr>
            <w:rFonts w:ascii="Times New Roman" w:hAnsi="Times New Roman"/>
            <w:sz w:val="20"/>
          </w:rPr>
          <w:fldChar w:fldCharType="separate"/>
        </w:r>
        <w:r w:rsidRPr="009310FA">
          <w:rPr>
            <w:rFonts w:ascii="Times New Roman" w:hAnsi="Times New Roman"/>
            <w:sz w:val="20"/>
          </w:rPr>
          <w:t>2</w:t>
        </w:r>
        <w:r w:rsidRPr="009310FA">
          <w:rPr>
            <w:rFonts w:ascii="Times New Roman" w:hAnsi="Times New Roman"/>
            <w:sz w:val="20"/>
          </w:rPr>
          <w:fldChar w:fldCharType="end"/>
        </w:r>
      </w:p>
    </w:sdtContent>
  </w:sdt>
  <w:p w14:paraId="11F6696D" w14:textId="77777777" w:rsidR="009310FA" w:rsidRDefault="009310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8729" w14:textId="77777777" w:rsidR="009310FA" w:rsidRDefault="009310FA" w:rsidP="00044739">
      <w:pPr>
        <w:spacing w:line="240" w:lineRule="auto"/>
      </w:pPr>
      <w:r>
        <w:separator/>
      </w:r>
    </w:p>
  </w:footnote>
  <w:footnote w:type="continuationSeparator" w:id="0">
    <w:p w14:paraId="0A325AC5" w14:textId="77777777" w:rsidR="009310FA" w:rsidRDefault="009310FA" w:rsidP="00044739">
      <w:pPr>
        <w:spacing w:line="240" w:lineRule="auto"/>
      </w:pPr>
      <w:r>
        <w:continuationSeparator/>
      </w:r>
    </w:p>
  </w:footnote>
  <w:footnote w:id="1">
    <w:p w14:paraId="43998F38" w14:textId="214E83BD" w:rsidR="009310FA" w:rsidRPr="00D81F2B" w:rsidRDefault="009310FA" w:rsidP="00E30496">
      <w:pPr>
        <w:pStyle w:val="Tekstprzypisudolnego"/>
        <w:rPr>
          <w:rFonts w:ascii="Times New Roman" w:hAnsi="Times New Roman"/>
        </w:rPr>
      </w:pPr>
      <w:r w:rsidRPr="00D81F2B">
        <w:rPr>
          <w:rStyle w:val="Odwoanieprzypisudolnego"/>
          <w:rFonts w:ascii="Times New Roman" w:hAnsi="Times New Roman"/>
        </w:rPr>
        <w:footnoteRef/>
      </w:r>
      <w:r w:rsidRPr="00D81F2B">
        <w:rPr>
          <w:rFonts w:ascii="Times New Roman" w:hAnsi="Times New Roman"/>
        </w:rPr>
        <w:t xml:space="preserve"> Ustawa z dnia 16 lipca 2004 r. - </w:t>
      </w:r>
      <w:r w:rsidRPr="00D81F2B">
        <w:rPr>
          <w:rFonts w:ascii="Times New Roman" w:hAnsi="Times New Roman"/>
          <w:i/>
        </w:rPr>
        <w:t>Prawo telekomunikacyjne</w:t>
      </w:r>
      <w:r w:rsidRPr="00D81F2B">
        <w:rPr>
          <w:rFonts w:ascii="Times New Roman" w:hAnsi="Times New Roman"/>
        </w:rPr>
        <w:t xml:space="preserve"> (Dz. U. z 2019 r. poz. 2460,</w:t>
      </w:r>
      <w:r>
        <w:rPr>
          <w:rFonts w:ascii="Times New Roman" w:hAnsi="Times New Roman"/>
        </w:rPr>
        <w:t xml:space="preserve"> z późn. zm.</w:t>
      </w:r>
      <w:r w:rsidRPr="00D81F2B">
        <w:rPr>
          <w:rFonts w:ascii="Times New Roman" w:hAnsi="Times New Roman"/>
        </w:rPr>
        <w:t>).</w:t>
      </w:r>
    </w:p>
  </w:footnote>
  <w:footnote w:id="2">
    <w:p w14:paraId="75182AA9" w14:textId="7C998F5B" w:rsidR="009310FA" w:rsidRPr="00D81F2B" w:rsidRDefault="009310FA" w:rsidP="00E30496">
      <w:pPr>
        <w:pStyle w:val="Tekstprzypisudolnego"/>
        <w:rPr>
          <w:rFonts w:ascii="Times New Roman" w:hAnsi="Times New Roman"/>
        </w:rPr>
      </w:pPr>
      <w:r w:rsidRPr="00D81F2B">
        <w:rPr>
          <w:rStyle w:val="Odwoanieprzypisudolnego"/>
          <w:rFonts w:ascii="Times New Roman" w:hAnsi="Times New Roman"/>
        </w:rPr>
        <w:footnoteRef/>
      </w:r>
      <w:r w:rsidRPr="00D81F2B">
        <w:rPr>
          <w:rFonts w:ascii="Times New Roman" w:hAnsi="Times New Roman"/>
        </w:rPr>
        <w:t xml:space="preserve"> Ustawa z dnia 10 kwietnia 1997 r. - </w:t>
      </w:r>
      <w:r w:rsidRPr="006B51B8">
        <w:rPr>
          <w:rFonts w:ascii="Times New Roman" w:hAnsi="Times New Roman"/>
          <w:i/>
        </w:rPr>
        <w:t>Prawo energetyczne</w:t>
      </w:r>
      <w:r w:rsidRPr="00D81F2B">
        <w:rPr>
          <w:rFonts w:ascii="Times New Roman" w:hAnsi="Times New Roman"/>
        </w:rPr>
        <w:t xml:space="preserve"> (Dz. U z 2020 r., poz. 833</w:t>
      </w:r>
      <w:r>
        <w:rPr>
          <w:rFonts w:ascii="Times New Roman" w:hAnsi="Times New Roman"/>
        </w:rPr>
        <w:t>, z późn. zm.)</w:t>
      </w:r>
      <w:r w:rsidRPr="00D81F2B">
        <w:rPr>
          <w:rFonts w:ascii="Times New Roman" w:hAnsi="Times New Roman"/>
        </w:rPr>
        <w:t>.</w:t>
      </w:r>
    </w:p>
  </w:footnote>
  <w:footnote w:id="3">
    <w:p w14:paraId="3B2994FF" w14:textId="5AD4870B" w:rsidR="009310FA" w:rsidRDefault="009310FA" w:rsidP="00E30496">
      <w:pPr>
        <w:pStyle w:val="Tekstprzypisudolnego"/>
      </w:pPr>
      <w:r w:rsidRPr="00D81F2B">
        <w:rPr>
          <w:rStyle w:val="Odwoanieprzypisudolnego"/>
          <w:rFonts w:ascii="Times New Roman" w:hAnsi="Times New Roman"/>
        </w:rPr>
        <w:footnoteRef/>
      </w:r>
      <w:r w:rsidRPr="00D81F2B">
        <w:rPr>
          <w:rFonts w:ascii="Times New Roman" w:hAnsi="Times New Roman"/>
        </w:rPr>
        <w:t xml:space="preserve"> Ustawa z dnia 3 lipca 2002 r. - </w:t>
      </w:r>
      <w:r w:rsidRPr="006B51B8">
        <w:rPr>
          <w:rFonts w:ascii="Times New Roman" w:hAnsi="Times New Roman"/>
          <w:i/>
        </w:rPr>
        <w:t>Prawo lotnicze</w:t>
      </w:r>
      <w:r w:rsidRPr="00D81F2B">
        <w:rPr>
          <w:rFonts w:ascii="Times New Roman" w:hAnsi="Times New Roman"/>
        </w:rPr>
        <w:t xml:space="preserve"> (Dz. U. z 2019 r. poz. 158</w:t>
      </w:r>
      <w:r>
        <w:rPr>
          <w:rFonts w:ascii="Times New Roman" w:hAnsi="Times New Roman"/>
        </w:rPr>
        <w:t>0, z późn. zm.</w:t>
      </w:r>
      <w:r w:rsidRPr="00D81F2B">
        <w:rPr>
          <w:rFonts w:ascii="Times New Roman" w:hAnsi="Times New Roman"/>
        </w:rPr>
        <w:t>).</w:t>
      </w:r>
    </w:p>
  </w:footnote>
  <w:footnote w:id="4">
    <w:p w14:paraId="4545E15D" w14:textId="090CA602" w:rsidR="009310FA" w:rsidRPr="00D81F2B" w:rsidRDefault="009310FA" w:rsidP="00E30496">
      <w:pPr>
        <w:jc w:val="both"/>
        <w:rPr>
          <w:rFonts w:ascii="Times New Roman" w:eastAsia="Times New Roman" w:hAnsi="Times New Roman"/>
          <w:color w:val="FFFFFF" w:themeColor="background1"/>
          <w:sz w:val="20"/>
          <w:szCs w:val="20"/>
          <w:lang w:eastAsia="pl-PL"/>
        </w:rPr>
      </w:pPr>
      <w:r w:rsidRPr="00D81F2B">
        <w:rPr>
          <w:rStyle w:val="Odwoanieprzypisudolnego"/>
          <w:rFonts w:ascii="Times New Roman" w:hAnsi="Times New Roman"/>
        </w:rPr>
        <w:footnoteRef/>
      </w:r>
      <w:r w:rsidRPr="00D81F2B">
        <w:rPr>
          <w:rFonts w:ascii="Times New Roman" w:hAnsi="Times New Roman"/>
        </w:rPr>
        <w:t xml:space="preserve"> </w:t>
      </w:r>
      <w:r w:rsidRPr="00D81F2B">
        <w:rPr>
          <w:rFonts w:ascii="Times New Roman" w:hAnsi="Times New Roman"/>
          <w:sz w:val="20"/>
          <w:szCs w:val="20"/>
        </w:rPr>
        <w:t xml:space="preserve">Ustawa z dnia 28 marca 2003 r. </w:t>
      </w:r>
      <w:r w:rsidRPr="006B51B8">
        <w:rPr>
          <w:rFonts w:ascii="Times New Roman" w:hAnsi="Times New Roman"/>
          <w:i/>
          <w:sz w:val="20"/>
          <w:szCs w:val="20"/>
        </w:rPr>
        <w:t>o transporcie kolejowym</w:t>
      </w:r>
      <w:r w:rsidRPr="00D81F2B">
        <w:rPr>
          <w:rFonts w:ascii="Times New Roman" w:hAnsi="Times New Roman"/>
          <w:sz w:val="20"/>
          <w:szCs w:val="20"/>
        </w:rPr>
        <w:t xml:space="preserve"> (</w:t>
      </w:r>
      <w:r w:rsidRPr="003D715F">
        <w:rPr>
          <w:rFonts w:ascii="Times New Roman" w:hAnsi="Times New Roman"/>
          <w:sz w:val="20"/>
          <w:szCs w:val="20"/>
        </w:rPr>
        <w:t>Dz. U. z 2020 r. poz. 1043,</w:t>
      </w:r>
      <w:r>
        <w:rPr>
          <w:rFonts w:ascii="Times New Roman" w:hAnsi="Times New Roman"/>
          <w:sz w:val="20"/>
          <w:szCs w:val="20"/>
        </w:rPr>
        <w:t>z późn. zm.</w:t>
      </w:r>
      <w:r w:rsidRPr="00D81F2B">
        <w:rPr>
          <w:rFonts w:ascii="Times New Roman" w:hAnsi="Times New Roman"/>
          <w:sz w:val="20"/>
          <w:szCs w:val="20"/>
        </w:rPr>
        <w:t>).</w:t>
      </w:r>
    </w:p>
    <w:p w14:paraId="24E387C0" w14:textId="77777777" w:rsidR="009310FA" w:rsidRDefault="009310FA" w:rsidP="00E3049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7C1"/>
    <w:multiLevelType w:val="hybridMultilevel"/>
    <w:tmpl w:val="DA044EAA"/>
    <w:lvl w:ilvl="0" w:tplc="ED94F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B2013"/>
    <w:multiLevelType w:val="hybridMultilevel"/>
    <w:tmpl w:val="71ECFD6A"/>
    <w:lvl w:ilvl="0" w:tplc="ED94F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4262E6"/>
    <w:multiLevelType w:val="hybridMultilevel"/>
    <w:tmpl w:val="D2825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C73C0"/>
    <w:multiLevelType w:val="hybridMultilevel"/>
    <w:tmpl w:val="B9C075C8"/>
    <w:lvl w:ilvl="0" w:tplc="ED94F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702638"/>
    <w:multiLevelType w:val="hybridMultilevel"/>
    <w:tmpl w:val="83445032"/>
    <w:lvl w:ilvl="0" w:tplc="0204A0B4">
      <w:start w:val="1"/>
      <w:numFmt w:val="lowerLetter"/>
      <w:lvlText w:val="%1)"/>
      <w:lvlJc w:val="left"/>
      <w:pPr>
        <w:ind w:left="1080" w:hanging="360"/>
      </w:pPr>
      <w:rPr>
        <w:rFonts w:hint="default"/>
        <w:i/>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C93F00"/>
    <w:multiLevelType w:val="hybridMultilevel"/>
    <w:tmpl w:val="71508BEA"/>
    <w:lvl w:ilvl="0" w:tplc="04150001">
      <w:start w:val="1"/>
      <w:numFmt w:val="bullet"/>
      <w:lvlText w:val=""/>
      <w:lvlJc w:val="left"/>
      <w:pPr>
        <w:ind w:left="1177" w:hanging="360"/>
      </w:pPr>
      <w:rPr>
        <w:rFonts w:ascii="Symbol" w:hAnsi="Symbol" w:hint="default"/>
      </w:rPr>
    </w:lvl>
    <w:lvl w:ilvl="1" w:tplc="04150003" w:tentative="1">
      <w:start w:val="1"/>
      <w:numFmt w:val="bullet"/>
      <w:lvlText w:val="o"/>
      <w:lvlJc w:val="left"/>
      <w:pPr>
        <w:ind w:left="1897" w:hanging="360"/>
      </w:pPr>
      <w:rPr>
        <w:rFonts w:ascii="Courier New" w:hAnsi="Courier New" w:cs="Courier New" w:hint="default"/>
      </w:rPr>
    </w:lvl>
    <w:lvl w:ilvl="2" w:tplc="04150005" w:tentative="1">
      <w:start w:val="1"/>
      <w:numFmt w:val="bullet"/>
      <w:lvlText w:val=""/>
      <w:lvlJc w:val="left"/>
      <w:pPr>
        <w:ind w:left="2617" w:hanging="360"/>
      </w:pPr>
      <w:rPr>
        <w:rFonts w:ascii="Wingdings" w:hAnsi="Wingdings" w:hint="default"/>
      </w:rPr>
    </w:lvl>
    <w:lvl w:ilvl="3" w:tplc="04150001" w:tentative="1">
      <w:start w:val="1"/>
      <w:numFmt w:val="bullet"/>
      <w:lvlText w:val=""/>
      <w:lvlJc w:val="left"/>
      <w:pPr>
        <w:ind w:left="3337" w:hanging="360"/>
      </w:pPr>
      <w:rPr>
        <w:rFonts w:ascii="Symbol" w:hAnsi="Symbol" w:hint="default"/>
      </w:rPr>
    </w:lvl>
    <w:lvl w:ilvl="4" w:tplc="04150003" w:tentative="1">
      <w:start w:val="1"/>
      <w:numFmt w:val="bullet"/>
      <w:lvlText w:val="o"/>
      <w:lvlJc w:val="left"/>
      <w:pPr>
        <w:ind w:left="4057" w:hanging="360"/>
      </w:pPr>
      <w:rPr>
        <w:rFonts w:ascii="Courier New" w:hAnsi="Courier New" w:cs="Courier New" w:hint="default"/>
      </w:rPr>
    </w:lvl>
    <w:lvl w:ilvl="5" w:tplc="04150005" w:tentative="1">
      <w:start w:val="1"/>
      <w:numFmt w:val="bullet"/>
      <w:lvlText w:val=""/>
      <w:lvlJc w:val="left"/>
      <w:pPr>
        <w:ind w:left="4777" w:hanging="360"/>
      </w:pPr>
      <w:rPr>
        <w:rFonts w:ascii="Wingdings" w:hAnsi="Wingdings" w:hint="default"/>
      </w:rPr>
    </w:lvl>
    <w:lvl w:ilvl="6" w:tplc="04150001" w:tentative="1">
      <w:start w:val="1"/>
      <w:numFmt w:val="bullet"/>
      <w:lvlText w:val=""/>
      <w:lvlJc w:val="left"/>
      <w:pPr>
        <w:ind w:left="5497" w:hanging="360"/>
      </w:pPr>
      <w:rPr>
        <w:rFonts w:ascii="Symbol" w:hAnsi="Symbol" w:hint="default"/>
      </w:rPr>
    </w:lvl>
    <w:lvl w:ilvl="7" w:tplc="04150003" w:tentative="1">
      <w:start w:val="1"/>
      <w:numFmt w:val="bullet"/>
      <w:lvlText w:val="o"/>
      <w:lvlJc w:val="left"/>
      <w:pPr>
        <w:ind w:left="6217" w:hanging="360"/>
      </w:pPr>
      <w:rPr>
        <w:rFonts w:ascii="Courier New" w:hAnsi="Courier New" w:cs="Courier New" w:hint="default"/>
      </w:rPr>
    </w:lvl>
    <w:lvl w:ilvl="8" w:tplc="04150005" w:tentative="1">
      <w:start w:val="1"/>
      <w:numFmt w:val="bullet"/>
      <w:lvlText w:val=""/>
      <w:lvlJc w:val="left"/>
      <w:pPr>
        <w:ind w:left="6937" w:hanging="360"/>
      </w:pPr>
      <w:rPr>
        <w:rFonts w:ascii="Wingdings" w:hAnsi="Wingdings" w:hint="default"/>
      </w:rPr>
    </w:lvl>
  </w:abstractNum>
  <w:abstractNum w:abstractNumId="6" w15:restartNumberingAfterBreak="0">
    <w:nsid w:val="260666F8"/>
    <w:multiLevelType w:val="hybridMultilevel"/>
    <w:tmpl w:val="FB6CEF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849AD"/>
    <w:multiLevelType w:val="hybridMultilevel"/>
    <w:tmpl w:val="873C6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786803"/>
    <w:multiLevelType w:val="hybridMultilevel"/>
    <w:tmpl w:val="EEE69E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4E3DDE"/>
    <w:multiLevelType w:val="hybridMultilevel"/>
    <w:tmpl w:val="6BE814F4"/>
    <w:lvl w:ilvl="0" w:tplc="DF266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1384CCA"/>
    <w:multiLevelType w:val="hybridMultilevel"/>
    <w:tmpl w:val="397E0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E22A0B"/>
    <w:multiLevelType w:val="hybridMultilevel"/>
    <w:tmpl w:val="459CF79E"/>
    <w:lvl w:ilvl="0" w:tplc="ED94F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CF2EF7"/>
    <w:multiLevelType w:val="hybridMultilevel"/>
    <w:tmpl w:val="9A1A6B62"/>
    <w:lvl w:ilvl="0" w:tplc="22EC3F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910B6"/>
    <w:multiLevelType w:val="hybridMultilevel"/>
    <w:tmpl w:val="A03CBEE4"/>
    <w:lvl w:ilvl="0" w:tplc="9F702F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F3643B"/>
    <w:multiLevelType w:val="hybridMultilevel"/>
    <w:tmpl w:val="0BC01268"/>
    <w:lvl w:ilvl="0" w:tplc="ED94F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412E34"/>
    <w:multiLevelType w:val="hybridMultilevel"/>
    <w:tmpl w:val="84729882"/>
    <w:lvl w:ilvl="0" w:tplc="ED94F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4B7592"/>
    <w:multiLevelType w:val="hybridMultilevel"/>
    <w:tmpl w:val="3498F50C"/>
    <w:lvl w:ilvl="0" w:tplc="C740990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62534EDD"/>
    <w:multiLevelType w:val="hybridMultilevel"/>
    <w:tmpl w:val="582C1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A61A9C"/>
    <w:multiLevelType w:val="hybridMultilevel"/>
    <w:tmpl w:val="02D6419A"/>
    <w:lvl w:ilvl="0" w:tplc="88709CDA">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 w15:restartNumberingAfterBreak="0">
    <w:nsid w:val="6BE20825"/>
    <w:multiLevelType w:val="hybridMultilevel"/>
    <w:tmpl w:val="78E0A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EC05C5"/>
    <w:multiLevelType w:val="hybridMultilevel"/>
    <w:tmpl w:val="0F188FBE"/>
    <w:lvl w:ilvl="0" w:tplc="ED94F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023109"/>
    <w:multiLevelType w:val="hybridMultilevel"/>
    <w:tmpl w:val="BB4AA334"/>
    <w:lvl w:ilvl="0" w:tplc="9F702F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E94E31"/>
    <w:multiLevelType w:val="hybridMultilevel"/>
    <w:tmpl w:val="7BAC1A86"/>
    <w:lvl w:ilvl="0" w:tplc="E0129066">
      <w:start w:val="1"/>
      <w:numFmt w:val="lowerLetter"/>
      <w:lvlText w:val="%1)"/>
      <w:lvlJc w:val="left"/>
      <w:pPr>
        <w:ind w:left="1080" w:hanging="360"/>
      </w:pPr>
      <w:rPr>
        <w:rFonts w:hint="default"/>
        <w:b/>
        <w:i/>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0"/>
  </w:num>
  <w:num w:numId="3">
    <w:abstractNumId w:val="14"/>
  </w:num>
  <w:num w:numId="4">
    <w:abstractNumId w:val="6"/>
  </w:num>
  <w:num w:numId="5">
    <w:abstractNumId w:val="17"/>
  </w:num>
  <w:num w:numId="6">
    <w:abstractNumId w:val="19"/>
  </w:num>
  <w:num w:numId="7">
    <w:abstractNumId w:val="23"/>
  </w:num>
  <w:num w:numId="8">
    <w:abstractNumId w:val="4"/>
  </w:num>
  <w:num w:numId="9">
    <w:abstractNumId w:val="9"/>
  </w:num>
  <w:num w:numId="10">
    <w:abstractNumId w:val="5"/>
  </w:num>
  <w:num w:numId="11">
    <w:abstractNumId w:val="2"/>
  </w:num>
  <w:num w:numId="12">
    <w:abstractNumId w:val="11"/>
  </w:num>
  <w:num w:numId="13">
    <w:abstractNumId w:val="13"/>
  </w:num>
  <w:num w:numId="14">
    <w:abstractNumId w:val="10"/>
  </w:num>
  <w:num w:numId="15">
    <w:abstractNumId w:val="15"/>
  </w:num>
  <w:num w:numId="16">
    <w:abstractNumId w:val="1"/>
  </w:num>
  <w:num w:numId="17">
    <w:abstractNumId w:val="3"/>
  </w:num>
  <w:num w:numId="18">
    <w:abstractNumId w:val="0"/>
  </w:num>
  <w:num w:numId="19">
    <w:abstractNumId w:val="16"/>
  </w:num>
  <w:num w:numId="20">
    <w:abstractNumId w:val="12"/>
  </w:num>
  <w:num w:numId="21">
    <w:abstractNumId w:val="21"/>
  </w:num>
  <w:num w:numId="22">
    <w:abstractNumId w:val="18"/>
  </w:num>
  <w:num w:numId="23">
    <w:abstractNumId w:val="22"/>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ocumentProtection w:edit="forms" w:formatting="1" w:enforcement="0"/>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19BE"/>
    <w:rsid w:val="000022D5"/>
    <w:rsid w:val="0000283F"/>
    <w:rsid w:val="000031CD"/>
    <w:rsid w:val="0000355C"/>
    <w:rsid w:val="00003848"/>
    <w:rsid w:val="00003A70"/>
    <w:rsid w:val="00003EC0"/>
    <w:rsid w:val="00004C6A"/>
    <w:rsid w:val="000052A7"/>
    <w:rsid w:val="00005D71"/>
    <w:rsid w:val="000073CE"/>
    <w:rsid w:val="0000782B"/>
    <w:rsid w:val="00010434"/>
    <w:rsid w:val="00012D11"/>
    <w:rsid w:val="000137F8"/>
    <w:rsid w:val="00013EB5"/>
    <w:rsid w:val="000144F1"/>
    <w:rsid w:val="000148A5"/>
    <w:rsid w:val="00014A55"/>
    <w:rsid w:val="00015732"/>
    <w:rsid w:val="000171DD"/>
    <w:rsid w:val="0001728A"/>
    <w:rsid w:val="000203F0"/>
    <w:rsid w:val="00023836"/>
    <w:rsid w:val="00024476"/>
    <w:rsid w:val="00024764"/>
    <w:rsid w:val="00025041"/>
    <w:rsid w:val="00025B5A"/>
    <w:rsid w:val="000276BF"/>
    <w:rsid w:val="00027777"/>
    <w:rsid w:val="000310A3"/>
    <w:rsid w:val="000316D9"/>
    <w:rsid w:val="0003193A"/>
    <w:rsid w:val="00032628"/>
    <w:rsid w:val="000329D3"/>
    <w:rsid w:val="00034682"/>
    <w:rsid w:val="000356A9"/>
    <w:rsid w:val="00035F9E"/>
    <w:rsid w:val="00036029"/>
    <w:rsid w:val="00036478"/>
    <w:rsid w:val="0003651C"/>
    <w:rsid w:val="00037481"/>
    <w:rsid w:val="00041F50"/>
    <w:rsid w:val="0004252A"/>
    <w:rsid w:val="000425CF"/>
    <w:rsid w:val="000429FF"/>
    <w:rsid w:val="00042A8F"/>
    <w:rsid w:val="00044138"/>
    <w:rsid w:val="00044739"/>
    <w:rsid w:val="000472ED"/>
    <w:rsid w:val="000500DE"/>
    <w:rsid w:val="00050414"/>
    <w:rsid w:val="00050E52"/>
    <w:rsid w:val="00051637"/>
    <w:rsid w:val="00052016"/>
    <w:rsid w:val="0005280A"/>
    <w:rsid w:val="00055560"/>
    <w:rsid w:val="000555EA"/>
    <w:rsid w:val="00055921"/>
    <w:rsid w:val="00055F9A"/>
    <w:rsid w:val="00056681"/>
    <w:rsid w:val="00056A6A"/>
    <w:rsid w:val="00056AA2"/>
    <w:rsid w:val="000576F2"/>
    <w:rsid w:val="000579AF"/>
    <w:rsid w:val="00061CF9"/>
    <w:rsid w:val="00062F22"/>
    <w:rsid w:val="0006307D"/>
    <w:rsid w:val="000643DC"/>
    <w:rsid w:val="000648A7"/>
    <w:rsid w:val="0006618B"/>
    <w:rsid w:val="00066A3E"/>
    <w:rsid w:val="000670C0"/>
    <w:rsid w:val="00067CEB"/>
    <w:rsid w:val="00070057"/>
    <w:rsid w:val="00071B99"/>
    <w:rsid w:val="000734EE"/>
    <w:rsid w:val="000738C6"/>
    <w:rsid w:val="00074BA6"/>
    <w:rsid w:val="000756E5"/>
    <w:rsid w:val="0007639C"/>
    <w:rsid w:val="0007704E"/>
    <w:rsid w:val="000770C0"/>
    <w:rsid w:val="0007710D"/>
    <w:rsid w:val="00077596"/>
    <w:rsid w:val="00080EC8"/>
    <w:rsid w:val="000816CE"/>
    <w:rsid w:val="00084028"/>
    <w:rsid w:val="00084258"/>
    <w:rsid w:val="00085FE2"/>
    <w:rsid w:val="0008605F"/>
    <w:rsid w:val="000868B3"/>
    <w:rsid w:val="00090346"/>
    <w:rsid w:val="00090C69"/>
    <w:rsid w:val="000914C1"/>
    <w:rsid w:val="00092CB4"/>
    <w:rsid w:val="000930BD"/>
    <w:rsid w:val="0009342A"/>
    <w:rsid w:val="000944AC"/>
    <w:rsid w:val="00094CB9"/>
    <w:rsid w:val="00095582"/>
    <w:rsid w:val="000956B2"/>
    <w:rsid w:val="000969E7"/>
    <w:rsid w:val="00096A92"/>
    <w:rsid w:val="00097A96"/>
    <w:rsid w:val="00097E0D"/>
    <w:rsid w:val="000A02BF"/>
    <w:rsid w:val="000A0F0B"/>
    <w:rsid w:val="000A16A6"/>
    <w:rsid w:val="000A23DE"/>
    <w:rsid w:val="000A3928"/>
    <w:rsid w:val="000A3E7C"/>
    <w:rsid w:val="000A4020"/>
    <w:rsid w:val="000A4227"/>
    <w:rsid w:val="000A50FC"/>
    <w:rsid w:val="000A5CF2"/>
    <w:rsid w:val="000A615D"/>
    <w:rsid w:val="000A6FBE"/>
    <w:rsid w:val="000A71C6"/>
    <w:rsid w:val="000A7D64"/>
    <w:rsid w:val="000B0A19"/>
    <w:rsid w:val="000B2A90"/>
    <w:rsid w:val="000B35DC"/>
    <w:rsid w:val="000B3C2E"/>
    <w:rsid w:val="000B54FB"/>
    <w:rsid w:val="000B55B9"/>
    <w:rsid w:val="000B71E3"/>
    <w:rsid w:val="000B797D"/>
    <w:rsid w:val="000B7BF3"/>
    <w:rsid w:val="000C19B5"/>
    <w:rsid w:val="000C1D3C"/>
    <w:rsid w:val="000C29B0"/>
    <w:rsid w:val="000C4004"/>
    <w:rsid w:val="000C4496"/>
    <w:rsid w:val="000C4F24"/>
    <w:rsid w:val="000C69E5"/>
    <w:rsid w:val="000C6E60"/>
    <w:rsid w:val="000C76FC"/>
    <w:rsid w:val="000D0570"/>
    <w:rsid w:val="000D146C"/>
    <w:rsid w:val="000D206B"/>
    <w:rsid w:val="000D38FC"/>
    <w:rsid w:val="000D4253"/>
    <w:rsid w:val="000D4D90"/>
    <w:rsid w:val="000D64E2"/>
    <w:rsid w:val="000D65CE"/>
    <w:rsid w:val="000E04A1"/>
    <w:rsid w:val="000E0833"/>
    <w:rsid w:val="000E1537"/>
    <w:rsid w:val="000E272D"/>
    <w:rsid w:val="000E2D10"/>
    <w:rsid w:val="000E2E0A"/>
    <w:rsid w:val="000E3D28"/>
    <w:rsid w:val="000E3EA1"/>
    <w:rsid w:val="000E4A75"/>
    <w:rsid w:val="000E5F99"/>
    <w:rsid w:val="000E6146"/>
    <w:rsid w:val="000E6A14"/>
    <w:rsid w:val="000E7521"/>
    <w:rsid w:val="000F0BCA"/>
    <w:rsid w:val="000F0F59"/>
    <w:rsid w:val="000F1325"/>
    <w:rsid w:val="000F14BC"/>
    <w:rsid w:val="000F27F5"/>
    <w:rsid w:val="000F3204"/>
    <w:rsid w:val="000F3D65"/>
    <w:rsid w:val="000F4EF6"/>
    <w:rsid w:val="000F5092"/>
    <w:rsid w:val="000F6C54"/>
    <w:rsid w:val="000F70C6"/>
    <w:rsid w:val="000F7A69"/>
    <w:rsid w:val="000F7DBC"/>
    <w:rsid w:val="00100210"/>
    <w:rsid w:val="00100A28"/>
    <w:rsid w:val="001032A8"/>
    <w:rsid w:val="001050F0"/>
    <w:rsid w:val="0010548B"/>
    <w:rsid w:val="00105BA5"/>
    <w:rsid w:val="00106E23"/>
    <w:rsid w:val="001072D1"/>
    <w:rsid w:val="00110C7C"/>
    <w:rsid w:val="00111DD2"/>
    <w:rsid w:val="0011234A"/>
    <w:rsid w:val="0011353F"/>
    <w:rsid w:val="00113E76"/>
    <w:rsid w:val="001159E0"/>
    <w:rsid w:val="001162A3"/>
    <w:rsid w:val="00117017"/>
    <w:rsid w:val="0011774B"/>
    <w:rsid w:val="00121C9D"/>
    <w:rsid w:val="00122079"/>
    <w:rsid w:val="00122E8B"/>
    <w:rsid w:val="00123886"/>
    <w:rsid w:val="00126EF8"/>
    <w:rsid w:val="00130D0C"/>
    <w:rsid w:val="00130E8E"/>
    <w:rsid w:val="0013216E"/>
    <w:rsid w:val="0013284D"/>
    <w:rsid w:val="00133DE6"/>
    <w:rsid w:val="0013409D"/>
    <w:rsid w:val="0013477E"/>
    <w:rsid w:val="00135EB7"/>
    <w:rsid w:val="0013783A"/>
    <w:rsid w:val="001401B5"/>
    <w:rsid w:val="001422B9"/>
    <w:rsid w:val="0014290A"/>
    <w:rsid w:val="001432CE"/>
    <w:rsid w:val="0014602D"/>
    <w:rsid w:val="0014665F"/>
    <w:rsid w:val="00147FD5"/>
    <w:rsid w:val="0015014C"/>
    <w:rsid w:val="00152603"/>
    <w:rsid w:val="00152694"/>
    <w:rsid w:val="00153464"/>
    <w:rsid w:val="001539D3"/>
    <w:rsid w:val="00153F34"/>
    <w:rsid w:val="001541B3"/>
    <w:rsid w:val="00155B15"/>
    <w:rsid w:val="00155F57"/>
    <w:rsid w:val="001560EC"/>
    <w:rsid w:val="00156C16"/>
    <w:rsid w:val="00161B54"/>
    <w:rsid w:val="00161D06"/>
    <w:rsid w:val="00162109"/>
    <w:rsid w:val="001625BE"/>
    <w:rsid w:val="00162724"/>
    <w:rsid w:val="001643A4"/>
    <w:rsid w:val="00164F7D"/>
    <w:rsid w:val="00165D47"/>
    <w:rsid w:val="00167ED4"/>
    <w:rsid w:val="00170512"/>
    <w:rsid w:val="001717CF"/>
    <w:rsid w:val="001727BB"/>
    <w:rsid w:val="001727DD"/>
    <w:rsid w:val="00172F8C"/>
    <w:rsid w:val="00173EA1"/>
    <w:rsid w:val="001750F8"/>
    <w:rsid w:val="00175D87"/>
    <w:rsid w:val="0018015A"/>
    <w:rsid w:val="00180D25"/>
    <w:rsid w:val="0018204D"/>
    <w:rsid w:val="0018241D"/>
    <w:rsid w:val="0018265B"/>
    <w:rsid w:val="0018318D"/>
    <w:rsid w:val="0018572C"/>
    <w:rsid w:val="00187E79"/>
    <w:rsid w:val="00187EEF"/>
    <w:rsid w:val="00187F0D"/>
    <w:rsid w:val="00191EF3"/>
    <w:rsid w:val="00192CC5"/>
    <w:rsid w:val="00194D08"/>
    <w:rsid w:val="001953A5"/>
    <w:rsid w:val="001956A7"/>
    <w:rsid w:val="0019609C"/>
    <w:rsid w:val="00196712"/>
    <w:rsid w:val="00197878"/>
    <w:rsid w:val="001A118A"/>
    <w:rsid w:val="001A27F4"/>
    <w:rsid w:val="001A2B68"/>
    <w:rsid w:val="001A2D95"/>
    <w:rsid w:val="001A35AB"/>
    <w:rsid w:val="001A3BE7"/>
    <w:rsid w:val="001A4F62"/>
    <w:rsid w:val="001A5537"/>
    <w:rsid w:val="001A5F41"/>
    <w:rsid w:val="001A6A71"/>
    <w:rsid w:val="001A7994"/>
    <w:rsid w:val="001A7FBC"/>
    <w:rsid w:val="001B0BF1"/>
    <w:rsid w:val="001B11BC"/>
    <w:rsid w:val="001B21C8"/>
    <w:rsid w:val="001B2BF8"/>
    <w:rsid w:val="001B3460"/>
    <w:rsid w:val="001B4CA1"/>
    <w:rsid w:val="001B5623"/>
    <w:rsid w:val="001B585A"/>
    <w:rsid w:val="001B5A9C"/>
    <w:rsid w:val="001B75D8"/>
    <w:rsid w:val="001B7753"/>
    <w:rsid w:val="001C023A"/>
    <w:rsid w:val="001C1060"/>
    <w:rsid w:val="001C1A13"/>
    <w:rsid w:val="001C3C63"/>
    <w:rsid w:val="001C6AB1"/>
    <w:rsid w:val="001C6CFA"/>
    <w:rsid w:val="001D1284"/>
    <w:rsid w:val="001D17BE"/>
    <w:rsid w:val="001D45CC"/>
    <w:rsid w:val="001D4732"/>
    <w:rsid w:val="001D6A3C"/>
    <w:rsid w:val="001D6D51"/>
    <w:rsid w:val="001D7746"/>
    <w:rsid w:val="001D7920"/>
    <w:rsid w:val="001E24C3"/>
    <w:rsid w:val="001E2D5B"/>
    <w:rsid w:val="001E3059"/>
    <w:rsid w:val="001E3440"/>
    <w:rsid w:val="001E5916"/>
    <w:rsid w:val="001E66C3"/>
    <w:rsid w:val="001F2414"/>
    <w:rsid w:val="001F2BE9"/>
    <w:rsid w:val="001F2CB9"/>
    <w:rsid w:val="001F2EEC"/>
    <w:rsid w:val="001F362C"/>
    <w:rsid w:val="001F4764"/>
    <w:rsid w:val="001F4946"/>
    <w:rsid w:val="001F57EF"/>
    <w:rsid w:val="001F6073"/>
    <w:rsid w:val="001F653A"/>
    <w:rsid w:val="001F6979"/>
    <w:rsid w:val="001F6C6E"/>
    <w:rsid w:val="002007A7"/>
    <w:rsid w:val="00201473"/>
    <w:rsid w:val="002016E1"/>
    <w:rsid w:val="00202BA8"/>
    <w:rsid w:val="00202BC6"/>
    <w:rsid w:val="0020393F"/>
    <w:rsid w:val="00204055"/>
    <w:rsid w:val="00205141"/>
    <w:rsid w:val="0020516B"/>
    <w:rsid w:val="0020585D"/>
    <w:rsid w:val="0020594F"/>
    <w:rsid w:val="00205D79"/>
    <w:rsid w:val="002111BE"/>
    <w:rsid w:val="00211300"/>
    <w:rsid w:val="00211CE8"/>
    <w:rsid w:val="002125CD"/>
    <w:rsid w:val="00212CC4"/>
    <w:rsid w:val="00212D29"/>
    <w:rsid w:val="00213559"/>
    <w:rsid w:val="00213EFD"/>
    <w:rsid w:val="0021570B"/>
    <w:rsid w:val="00215DD1"/>
    <w:rsid w:val="00216234"/>
    <w:rsid w:val="0021659E"/>
    <w:rsid w:val="002172F1"/>
    <w:rsid w:val="00217EDB"/>
    <w:rsid w:val="00221CC4"/>
    <w:rsid w:val="00222041"/>
    <w:rsid w:val="002230F2"/>
    <w:rsid w:val="00223C7B"/>
    <w:rsid w:val="00224257"/>
    <w:rsid w:val="00224369"/>
    <w:rsid w:val="00224965"/>
    <w:rsid w:val="00224AB1"/>
    <w:rsid w:val="00225A30"/>
    <w:rsid w:val="0022687A"/>
    <w:rsid w:val="0022689A"/>
    <w:rsid w:val="00230728"/>
    <w:rsid w:val="0023086F"/>
    <w:rsid w:val="002333F6"/>
    <w:rsid w:val="002337D3"/>
    <w:rsid w:val="00233937"/>
    <w:rsid w:val="00234040"/>
    <w:rsid w:val="00234141"/>
    <w:rsid w:val="002341DF"/>
    <w:rsid w:val="00234855"/>
    <w:rsid w:val="00235CD2"/>
    <w:rsid w:val="00236024"/>
    <w:rsid w:val="0023646D"/>
    <w:rsid w:val="00236B0E"/>
    <w:rsid w:val="00237601"/>
    <w:rsid w:val="00237C6A"/>
    <w:rsid w:val="00242766"/>
    <w:rsid w:val="00243065"/>
    <w:rsid w:val="00246025"/>
    <w:rsid w:val="00246360"/>
    <w:rsid w:val="00247706"/>
    <w:rsid w:val="00247DC3"/>
    <w:rsid w:val="00247F41"/>
    <w:rsid w:val="00250A1E"/>
    <w:rsid w:val="00250CC9"/>
    <w:rsid w:val="00251039"/>
    <w:rsid w:val="00251252"/>
    <w:rsid w:val="002515B1"/>
    <w:rsid w:val="00251C28"/>
    <w:rsid w:val="00252EEC"/>
    <w:rsid w:val="00253862"/>
    <w:rsid w:val="00254DED"/>
    <w:rsid w:val="00255313"/>
    <w:rsid w:val="00255619"/>
    <w:rsid w:val="00255733"/>
    <w:rsid w:val="00255DAD"/>
    <w:rsid w:val="00256108"/>
    <w:rsid w:val="00260DAC"/>
    <w:rsid w:val="00260F33"/>
    <w:rsid w:val="002613BD"/>
    <w:rsid w:val="002619C2"/>
    <w:rsid w:val="0026234A"/>
    <w:rsid w:val="002624F1"/>
    <w:rsid w:val="0026423A"/>
    <w:rsid w:val="002657D2"/>
    <w:rsid w:val="00265B9E"/>
    <w:rsid w:val="002677B6"/>
    <w:rsid w:val="00267887"/>
    <w:rsid w:val="00267B09"/>
    <w:rsid w:val="00270C81"/>
    <w:rsid w:val="00271558"/>
    <w:rsid w:val="00272F5D"/>
    <w:rsid w:val="00274862"/>
    <w:rsid w:val="00275162"/>
    <w:rsid w:val="0027574A"/>
    <w:rsid w:val="00276365"/>
    <w:rsid w:val="00276792"/>
    <w:rsid w:val="00276955"/>
    <w:rsid w:val="00276EF8"/>
    <w:rsid w:val="00277AE2"/>
    <w:rsid w:val="00281790"/>
    <w:rsid w:val="00281F78"/>
    <w:rsid w:val="00282251"/>
    <w:rsid w:val="00282D72"/>
    <w:rsid w:val="00283402"/>
    <w:rsid w:val="00284CDA"/>
    <w:rsid w:val="00286827"/>
    <w:rsid w:val="00286B8B"/>
    <w:rsid w:val="00286C7E"/>
    <w:rsid w:val="002870CF"/>
    <w:rsid w:val="002876B8"/>
    <w:rsid w:val="00287D85"/>
    <w:rsid w:val="00290FD6"/>
    <w:rsid w:val="00291C0C"/>
    <w:rsid w:val="00292F6D"/>
    <w:rsid w:val="00294259"/>
    <w:rsid w:val="00294AD7"/>
    <w:rsid w:val="002953E9"/>
    <w:rsid w:val="00295DCD"/>
    <w:rsid w:val="00296191"/>
    <w:rsid w:val="002A1920"/>
    <w:rsid w:val="002A28A5"/>
    <w:rsid w:val="002A2C81"/>
    <w:rsid w:val="002A3976"/>
    <w:rsid w:val="002A3DAF"/>
    <w:rsid w:val="002A458C"/>
    <w:rsid w:val="002A55B5"/>
    <w:rsid w:val="002A5B25"/>
    <w:rsid w:val="002B0A10"/>
    <w:rsid w:val="002B1520"/>
    <w:rsid w:val="002B1522"/>
    <w:rsid w:val="002B153A"/>
    <w:rsid w:val="002B22C2"/>
    <w:rsid w:val="002B3D1A"/>
    <w:rsid w:val="002B40F4"/>
    <w:rsid w:val="002C12F0"/>
    <w:rsid w:val="002C1E0B"/>
    <w:rsid w:val="002C251A"/>
    <w:rsid w:val="002C27D0"/>
    <w:rsid w:val="002C2C9B"/>
    <w:rsid w:val="002C3C36"/>
    <w:rsid w:val="002C49E1"/>
    <w:rsid w:val="002C4F5E"/>
    <w:rsid w:val="002C5FEE"/>
    <w:rsid w:val="002C6F08"/>
    <w:rsid w:val="002C73B0"/>
    <w:rsid w:val="002C7E24"/>
    <w:rsid w:val="002D04F0"/>
    <w:rsid w:val="002D0E8D"/>
    <w:rsid w:val="002D0FA3"/>
    <w:rsid w:val="002D17D6"/>
    <w:rsid w:val="002D18D7"/>
    <w:rsid w:val="002D21CE"/>
    <w:rsid w:val="002D33C2"/>
    <w:rsid w:val="002D3724"/>
    <w:rsid w:val="002D5C1D"/>
    <w:rsid w:val="002D6125"/>
    <w:rsid w:val="002D6BFA"/>
    <w:rsid w:val="002D6EB5"/>
    <w:rsid w:val="002D7467"/>
    <w:rsid w:val="002E0996"/>
    <w:rsid w:val="002E0DB4"/>
    <w:rsid w:val="002E203C"/>
    <w:rsid w:val="002E22ED"/>
    <w:rsid w:val="002E320C"/>
    <w:rsid w:val="002E3749"/>
    <w:rsid w:val="002E3DA3"/>
    <w:rsid w:val="002E450F"/>
    <w:rsid w:val="002E5C1E"/>
    <w:rsid w:val="002E6B38"/>
    <w:rsid w:val="002E6D63"/>
    <w:rsid w:val="002E6E2B"/>
    <w:rsid w:val="002E72BB"/>
    <w:rsid w:val="002E7955"/>
    <w:rsid w:val="002F00AD"/>
    <w:rsid w:val="002F1D40"/>
    <w:rsid w:val="002F23B8"/>
    <w:rsid w:val="002F31F0"/>
    <w:rsid w:val="002F43AA"/>
    <w:rsid w:val="002F4E47"/>
    <w:rsid w:val="002F500B"/>
    <w:rsid w:val="002F5060"/>
    <w:rsid w:val="002F543D"/>
    <w:rsid w:val="002F729E"/>
    <w:rsid w:val="002F72CA"/>
    <w:rsid w:val="002F7CF8"/>
    <w:rsid w:val="002F7F05"/>
    <w:rsid w:val="00300675"/>
    <w:rsid w:val="0030096A"/>
    <w:rsid w:val="00300991"/>
    <w:rsid w:val="00300AFE"/>
    <w:rsid w:val="00301959"/>
    <w:rsid w:val="0030264B"/>
    <w:rsid w:val="003030D0"/>
    <w:rsid w:val="0030520E"/>
    <w:rsid w:val="00305AD2"/>
    <w:rsid w:val="00305ADF"/>
    <w:rsid w:val="00305B8A"/>
    <w:rsid w:val="00305F2F"/>
    <w:rsid w:val="00310203"/>
    <w:rsid w:val="0031188C"/>
    <w:rsid w:val="00311A3C"/>
    <w:rsid w:val="00312548"/>
    <w:rsid w:val="00312E45"/>
    <w:rsid w:val="00315FBA"/>
    <w:rsid w:val="003168C5"/>
    <w:rsid w:val="00316EA8"/>
    <w:rsid w:val="00317E4C"/>
    <w:rsid w:val="00317E80"/>
    <w:rsid w:val="00317F7A"/>
    <w:rsid w:val="00320893"/>
    <w:rsid w:val="00323BD0"/>
    <w:rsid w:val="00324021"/>
    <w:rsid w:val="0032469E"/>
    <w:rsid w:val="003246ED"/>
    <w:rsid w:val="00324A46"/>
    <w:rsid w:val="00324B5A"/>
    <w:rsid w:val="00325EED"/>
    <w:rsid w:val="00326594"/>
    <w:rsid w:val="00326772"/>
    <w:rsid w:val="00327C71"/>
    <w:rsid w:val="00331BF9"/>
    <w:rsid w:val="00332295"/>
    <w:rsid w:val="003324FE"/>
    <w:rsid w:val="00332A57"/>
    <w:rsid w:val="00333A5B"/>
    <w:rsid w:val="00333CCF"/>
    <w:rsid w:val="0033495E"/>
    <w:rsid w:val="00334A79"/>
    <w:rsid w:val="00334C65"/>
    <w:rsid w:val="00334D8D"/>
    <w:rsid w:val="00335B11"/>
    <w:rsid w:val="00335FDD"/>
    <w:rsid w:val="00336A46"/>
    <w:rsid w:val="00336F59"/>
    <w:rsid w:val="00337345"/>
    <w:rsid w:val="00337DD2"/>
    <w:rsid w:val="00337DFF"/>
    <w:rsid w:val="003404D1"/>
    <w:rsid w:val="003416F1"/>
    <w:rsid w:val="0034239F"/>
    <w:rsid w:val="0034244B"/>
    <w:rsid w:val="003443FF"/>
    <w:rsid w:val="003447D4"/>
    <w:rsid w:val="00345DDB"/>
    <w:rsid w:val="00345FFF"/>
    <w:rsid w:val="00346EE0"/>
    <w:rsid w:val="00347437"/>
    <w:rsid w:val="003507B2"/>
    <w:rsid w:val="00352535"/>
    <w:rsid w:val="003525F3"/>
    <w:rsid w:val="00352ACE"/>
    <w:rsid w:val="00354DE6"/>
    <w:rsid w:val="00355352"/>
    <w:rsid w:val="00355808"/>
    <w:rsid w:val="00355DBA"/>
    <w:rsid w:val="00356976"/>
    <w:rsid w:val="00356AE6"/>
    <w:rsid w:val="003605E8"/>
    <w:rsid w:val="00360BE3"/>
    <w:rsid w:val="0036241E"/>
    <w:rsid w:val="00362C7E"/>
    <w:rsid w:val="00363309"/>
    <w:rsid w:val="00363601"/>
    <w:rsid w:val="00364670"/>
    <w:rsid w:val="003705B2"/>
    <w:rsid w:val="0037128F"/>
    <w:rsid w:val="00371FDF"/>
    <w:rsid w:val="00372FFC"/>
    <w:rsid w:val="0037372F"/>
    <w:rsid w:val="00374832"/>
    <w:rsid w:val="00375288"/>
    <w:rsid w:val="00375FD2"/>
    <w:rsid w:val="00376438"/>
    <w:rsid w:val="003769B8"/>
    <w:rsid w:val="00376AC9"/>
    <w:rsid w:val="003770A3"/>
    <w:rsid w:val="0037754C"/>
    <w:rsid w:val="003806B9"/>
    <w:rsid w:val="0038245C"/>
    <w:rsid w:val="00382C5C"/>
    <w:rsid w:val="00385872"/>
    <w:rsid w:val="003875E8"/>
    <w:rsid w:val="003905EA"/>
    <w:rsid w:val="00391D5B"/>
    <w:rsid w:val="00391DBC"/>
    <w:rsid w:val="0039247C"/>
    <w:rsid w:val="00392F19"/>
    <w:rsid w:val="00392FCB"/>
    <w:rsid w:val="00393032"/>
    <w:rsid w:val="0039356E"/>
    <w:rsid w:val="00394B69"/>
    <w:rsid w:val="00395D62"/>
    <w:rsid w:val="00397078"/>
    <w:rsid w:val="003A09B5"/>
    <w:rsid w:val="003A2035"/>
    <w:rsid w:val="003A2274"/>
    <w:rsid w:val="003A2D08"/>
    <w:rsid w:val="003A330F"/>
    <w:rsid w:val="003A3984"/>
    <w:rsid w:val="003A404D"/>
    <w:rsid w:val="003A6953"/>
    <w:rsid w:val="003A7176"/>
    <w:rsid w:val="003A7E91"/>
    <w:rsid w:val="003B0790"/>
    <w:rsid w:val="003B105A"/>
    <w:rsid w:val="003B16AE"/>
    <w:rsid w:val="003B1889"/>
    <w:rsid w:val="003B19B7"/>
    <w:rsid w:val="003B1BD0"/>
    <w:rsid w:val="003B375E"/>
    <w:rsid w:val="003B6083"/>
    <w:rsid w:val="003C1191"/>
    <w:rsid w:val="003C1AC0"/>
    <w:rsid w:val="003C1C08"/>
    <w:rsid w:val="003C1C5C"/>
    <w:rsid w:val="003C2379"/>
    <w:rsid w:val="003C24F5"/>
    <w:rsid w:val="003C27C8"/>
    <w:rsid w:val="003C3838"/>
    <w:rsid w:val="003C5847"/>
    <w:rsid w:val="003D023B"/>
    <w:rsid w:val="003D0681"/>
    <w:rsid w:val="003D0A7B"/>
    <w:rsid w:val="003D12AC"/>
    <w:rsid w:val="003D12F6"/>
    <w:rsid w:val="003D1426"/>
    <w:rsid w:val="003D1E1C"/>
    <w:rsid w:val="003D21FA"/>
    <w:rsid w:val="003D3C62"/>
    <w:rsid w:val="003D3C8F"/>
    <w:rsid w:val="003D48AB"/>
    <w:rsid w:val="003D4F61"/>
    <w:rsid w:val="003D551E"/>
    <w:rsid w:val="003D67E1"/>
    <w:rsid w:val="003D715F"/>
    <w:rsid w:val="003D7B46"/>
    <w:rsid w:val="003E0271"/>
    <w:rsid w:val="003E2357"/>
    <w:rsid w:val="003E2F4E"/>
    <w:rsid w:val="003E36EE"/>
    <w:rsid w:val="003E3D6B"/>
    <w:rsid w:val="003E44F4"/>
    <w:rsid w:val="003E52CE"/>
    <w:rsid w:val="003E5795"/>
    <w:rsid w:val="003E616B"/>
    <w:rsid w:val="003E6A10"/>
    <w:rsid w:val="003E6C46"/>
    <w:rsid w:val="003E720A"/>
    <w:rsid w:val="003E73EB"/>
    <w:rsid w:val="003F0B9F"/>
    <w:rsid w:val="003F1A80"/>
    <w:rsid w:val="003F1EC2"/>
    <w:rsid w:val="003F2579"/>
    <w:rsid w:val="003F319D"/>
    <w:rsid w:val="003F5634"/>
    <w:rsid w:val="003F5B80"/>
    <w:rsid w:val="003F613B"/>
    <w:rsid w:val="004005B3"/>
    <w:rsid w:val="00400AB7"/>
    <w:rsid w:val="00400E03"/>
    <w:rsid w:val="004012FD"/>
    <w:rsid w:val="00402FC8"/>
    <w:rsid w:val="004038F3"/>
    <w:rsid w:val="00403E6E"/>
    <w:rsid w:val="0040433B"/>
    <w:rsid w:val="004043AB"/>
    <w:rsid w:val="00404F33"/>
    <w:rsid w:val="004058F6"/>
    <w:rsid w:val="00405BFB"/>
    <w:rsid w:val="004065D5"/>
    <w:rsid w:val="00407190"/>
    <w:rsid w:val="0040727F"/>
    <w:rsid w:val="0040786C"/>
    <w:rsid w:val="004120AB"/>
    <w:rsid w:val="004129B4"/>
    <w:rsid w:val="00412D2D"/>
    <w:rsid w:val="00414936"/>
    <w:rsid w:val="00414E9A"/>
    <w:rsid w:val="00416473"/>
    <w:rsid w:val="00417506"/>
    <w:rsid w:val="00417EF0"/>
    <w:rsid w:val="00420035"/>
    <w:rsid w:val="00420635"/>
    <w:rsid w:val="00420907"/>
    <w:rsid w:val="00421769"/>
    <w:rsid w:val="00421872"/>
    <w:rsid w:val="00421C14"/>
    <w:rsid w:val="00422181"/>
    <w:rsid w:val="00422767"/>
    <w:rsid w:val="00422C9B"/>
    <w:rsid w:val="00423CB0"/>
    <w:rsid w:val="00424089"/>
    <w:rsid w:val="00424472"/>
    <w:rsid w:val="004244A8"/>
    <w:rsid w:val="004255C9"/>
    <w:rsid w:val="00425F72"/>
    <w:rsid w:val="00425FA4"/>
    <w:rsid w:val="00426DCF"/>
    <w:rsid w:val="00427736"/>
    <w:rsid w:val="004277AC"/>
    <w:rsid w:val="00427AB8"/>
    <w:rsid w:val="00427B0F"/>
    <w:rsid w:val="0043058A"/>
    <w:rsid w:val="00431CAB"/>
    <w:rsid w:val="00431D6B"/>
    <w:rsid w:val="00431EA4"/>
    <w:rsid w:val="004324A9"/>
    <w:rsid w:val="004335E8"/>
    <w:rsid w:val="00435D0E"/>
    <w:rsid w:val="00436654"/>
    <w:rsid w:val="00437548"/>
    <w:rsid w:val="004379D2"/>
    <w:rsid w:val="00437D54"/>
    <w:rsid w:val="00441787"/>
    <w:rsid w:val="00441C04"/>
    <w:rsid w:val="00441D00"/>
    <w:rsid w:val="00442076"/>
    <w:rsid w:val="004429B0"/>
    <w:rsid w:val="00444F2D"/>
    <w:rsid w:val="00445281"/>
    <w:rsid w:val="00445F1F"/>
    <w:rsid w:val="0044699C"/>
    <w:rsid w:val="00450F9E"/>
    <w:rsid w:val="00452034"/>
    <w:rsid w:val="00452182"/>
    <w:rsid w:val="00452DE4"/>
    <w:rsid w:val="004534E1"/>
    <w:rsid w:val="00455FA6"/>
    <w:rsid w:val="00457F5F"/>
    <w:rsid w:val="00457F86"/>
    <w:rsid w:val="004600A4"/>
    <w:rsid w:val="00460FFF"/>
    <w:rsid w:val="00461AD7"/>
    <w:rsid w:val="004630DF"/>
    <w:rsid w:val="00464271"/>
    <w:rsid w:val="004642C9"/>
    <w:rsid w:val="00465520"/>
    <w:rsid w:val="0046624D"/>
    <w:rsid w:val="00466C70"/>
    <w:rsid w:val="00467C0F"/>
    <w:rsid w:val="00467F3C"/>
    <w:rsid w:val="004702C9"/>
    <w:rsid w:val="00470357"/>
    <w:rsid w:val="0047223E"/>
    <w:rsid w:val="00472E45"/>
    <w:rsid w:val="00473FEA"/>
    <w:rsid w:val="0047579D"/>
    <w:rsid w:val="00475DC8"/>
    <w:rsid w:val="00476BAD"/>
    <w:rsid w:val="00476CC9"/>
    <w:rsid w:val="00477E77"/>
    <w:rsid w:val="00480766"/>
    <w:rsid w:val="004807D5"/>
    <w:rsid w:val="00480BB4"/>
    <w:rsid w:val="00482E24"/>
    <w:rsid w:val="00483262"/>
    <w:rsid w:val="00484107"/>
    <w:rsid w:val="00484A92"/>
    <w:rsid w:val="00485CC5"/>
    <w:rsid w:val="0048679F"/>
    <w:rsid w:val="004869E1"/>
    <w:rsid w:val="00487EEB"/>
    <w:rsid w:val="004908B5"/>
    <w:rsid w:val="004924D2"/>
    <w:rsid w:val="00492EDC"/>
    <w:rsid w:val="0049343F"/>
    <w:rsid w:val="004964FC"/>
    <w:rsid w:val="004A00CB"/>
    <w:rsid w:val="004A0101"/>
    <w:rsid w:val="004A145E"/>
    <w:rsid w:val="004A15D9"/>
    <w:rsid w:val="004A1670"/>
    <w:rsid w:val="004A180B"/>
    <w:rsid w:val="004A1F15"/>
    <w:rsid w:val="004A21C5"/>
    <w:rsid w:val="004A2A81"/>
    <w:rsid w:val="004A30F3"/>
    <w:rsid w:val="004A3466"/>
    <w:rsid w:val="004A3873"/>
    <w:rsid w:val="004A39EE"/>
    <w:rsid w:val="004A4003"/>
    <w:rsid w:val="004A53C3"/>
    <w:rsid w:val="004A6A75"/>
    <w:rsid w:val="004A7182"/>
    <w:rsid w:val="004A7BD7"/>
    <w:rsid w:val="004B034D"/>
    <w:rsid w:val="004B2378"/>
    <w:rsid w:val="004B241F"/>
    <w:rsid w:val="004B27AE"/>
    <w:rsid w:val="004B2837"/>
    <w:rsid w:val="004B2A96"/>
    <w:rsid w:val="004B2B1F"/>
    <w:rsid w:val="004B383A"/>
    <w:rsid w:val="004B3CB1"/>
    <w:rsid w:val="004C09E3"/>
    <w:rsid w:val="004C0E3F"/>
    <w:rsid w:val="004C15C2"/>
    <w:rsid w:val="004C2665"/>
    <w:rsid w:val="004C36D8"/>
    <w:rsid w:val="004C56BF"/>
    <w:rsid w:val="004C5C72"/>
    <w:rsid w:val="004C62EB"/>
    <w:rsid w:val="004C7411"/>
    <w:rsid w:val="004D0B6B"/>
    <w:rsid w:val="004D0FC1"/>
    <w:rsid w:val="004D1248"/>
    <w:rsid w:val="004D1E3C"/>
    <w:rsid w:val="004D2482"/>
    <w:rsid w:val="004D4169"/>
    <w:rsid w:val="004D4648"/>
    <w:rsid w:val="004D4872"/>
    <w:rsid w:val="004D5634"/>
    <w:rsid w:val="004D598F"/>
    <w:rsid w:val="004D643B"/>
    <w:rsid w:val="004D6E14"/>
    <w:rsid w:val="004D77DA"/>
    <w:rsid w:val="004E0448"/>
    <w:rsid w:val="004E1D72"/>
    <w:rsid w:val="004E4132"/>
    <w:rsid w:val="004E5609"/>
    <w:rsid w:val="004E5A51"/>
    <w:rsid w:val="004E5AB9"/>
    <w:rsid w:val="004E7047"/>
    <w:rsid w:val="004E70D7"/>
    <w:rsid w:val="004E766D"/>
    <w:rsid w:val="004F0C95"/>
    <w:rsid w:val="004F0D97"/>
    <w:rsid w:val="004F2CD5"/>
    <w:rsid w:val="004F3EF2"/>
    <w:rsid w:val="004F4B61"/>
    <w:rsid w:val="004F4E17"/>
    <w:rsid w:val="004F55B0"/>
    <w:rsid w:val="004F5677"/>
    <w:rsid w:val="004F6AFA"/>
    <w:rsid w:val="004F6E38"/>
    <w:rsid w:val="0050082F"/>
    <w:rsid w:val="00500B86"/>
    <w:rsid w:val="00500C56"/>
    <w:rsid w:val="00501713"/>
    <w:rsid w:val="0050248B"/>
    <w:rsid w:val="00504B62"/>
    <w:rsid w:val="00505BF0"/>
    <w:rsid w:val="00506063"/>
    <w:rsid w:val="00506568"/>
    <w:rsid w:val="005070DF"/>
    <w:rsid w:val="0050748F"/>
    <w:rsid w:val="005108B3"/>
    <w:rsid w:val="0051130F"/>
    <w:rsid w:val="005117D6"/>
    <w:rsid w:val="005122D1"/>
    <w:rsid w:val="00512B14"/>
    <w:rsid w:val="005139CB"/>
    <w:rsid w:val="00514357"/>
    <w:rsid w:val="0051551B"/>
    <w:rsid w:val="0051782C"/>
    <w:rsid w:val="0052016E"/>
    <w:rsid w:val="00520C57"/>
    <w:rsid w:val="0052109B"/>
    <w:rsid w:val="00521D7B"/>
    <w:rsid w:val="00522A37"/>
    <w:rsid w:val="00522D94"/>
    <w:rsid w:val="005233DE"/>
    <w:rsid w:val="00523D7A"/>
    <w:rsid w:val="005247B9"/>
    <w:rsid w:val="00524DF4"/>
    <w:rsid w:val="0052522F"/>
    <w:rsid w:val="00525646"/>
    <w:rsid w:val="00526F3B"/>
    <w:rsid w:val="00527045"/>
    <w:rsid w:val="0053016D"/>
    <w:rsid w:val="005307CC"/>
    <w:rsid w:val="00530B83"/>
    <w:rsid w:val="00530D2C"/>
    <w:rsid w:val="00530E04"/>
    <w:rsid w:val="005314DD"/>
    <w:rsid w:val="005319E8"/>
    <w:rsid w:val="00532C99"/>
    <w:rsid w:val="00533D89"/>
    <w:rsid w:val="005342F3"/>
    <w:rsid w:val="00534E08"/>
    <w:rsid w:val="00535074"/>
    <w:rsid w:val="00536564"/>
    <w:rsid w:val="00536E60"/>
    <w:rsid w:val="00536FAA"/>
    <w:rsid w:val="00541E16"/>
    <w:rsid w:val="00541E9B"/>
    <w:rsid w:val="00544597"/>
    <w:rsid w:val="00544FFE"/>
    <w:rsid w:val="00545ABA"/>
    <w:rsid w:val="00546F35"/>
    <w:rsid w:val="005473F5"/>
    <w:rsid w:val="005477E7"/>
    <w:rsid w:val="00550EC3"/>
    <w:rsid w:val="005510FF"/>
    <w:rsid w:val="00551949"/>
    <w:rsid w:val="0055262B"/>
    <w:rsid w:val="00552794"/>
    <w:rsid w:val="00552A1E"/>
    <w:rsid w:val="00552A7C"/>
    <w:rsid w:val="0055355D"/>
    <w:rsid w:val="00553EBB"/>
    <w:rsid w:val="00563199"/>
    <w:rsid w:val="0056402A"/>
    <w:rsid w:val="00564874"/>
    <w:rsid w:val="005657DC"/>
    <w:rsid w:val="0056619B"/>
    <w:rsid w:val="00566B47"/>
    <w:rsid w:val="00567963"/>
    <w:rsid w:val="00567B28"/>
    <w:rsid w:val="0057009A"/>
    <w:rsid w:val="00571260"/>
    <w:rsid w:val="0057189C"/>
    <w:rsid w:val="00572DAA"/>
    <w:rsid w:val="00573FB2"/>
    <w:rsid w:val="00573FC1"/>
    <w:rsid w:val="005741EE"/>
    <w:rsid w:val="005749A0"/>
    <w:rsid w:val="00574F91"/>
    <w:rsid w:val="005755C3"/>
    <w:rsid w:val="0057668E"/>
    <w:rsid w:val="005773CA"/>
    <w:rsid w:val="005802C2"/>
    <w:rsid w:val="00580311"/>
    <w:rsid w:val="00580EC4"/>
    <w:rsid w:val="00581086"/>
    <w:rsid w:val="00581A9F"/>
    <w:rsid w:val="005820A3"/>
    <w:rsid w:val="0058510F"/>
    <w:rsid w:val="00586B84"/>
    <w:rsid w:val="00587FBA"/>
    <w:rsid w:val="005900FE"/>
    <w:rsid w:val="005902E0"/>
    <w:rsid w:val="005903A1"/>
    <w:rsid w:val="00590B7D"/>
    <w:rsid w:val="0059240F"/>
    <w:rsid w:val="00592904"/>
    <w:rsid w:val="0059392E"/>
    <w:rsid w:val="00593FF7"/>
    <w:rsid w:val="00595BE8"/>
    <w:rsid w:val="00595E83"/>
    <w:rsid w:val="00596530"/>
    <w:rsid w:val="005967F3"/>
    <w:rsid w:val="005A01CD"/>
    <w:rsid w:val="005A06DF"/>
    <w:rsid w:val="005A3482"/>
    <w:rsid w:val="005A3488"/>
    <w:rsid w:val="005A373C"/>
    <w:rsid w:val="005A37E5"/>
    <w:rsid w:val="005A4893"/>
    <w:rsid w:val="005A5527"/>
    <w:rsid w:val="005A5AE6"/>
    <w:rsid w:val="005B0217"/>
    <w:rsid w:val="005B0219"/>
    <w:rsid w:val="005B071D"/>
    <w:rsid w:val="005B1206"/>
    <w:rsid w:val="005B26DF"/>
    <w:rsid w:val="005B3009"/>
    <w:rsid w:val="005B37E8"/>
    <w:rsid w:val="005B3E68"/>
    <w:rsid w:val="005B41E4"/>
    <w:rsid w:val="005B4B87"/>
    <w:rsid w:val="005B560A"/>
    <w:rsid w:val="005B6A81"/>
    <w:rsid w:val="005B6CF4"/>
    <w:rsid w:val="005C0056"/>
    <w:rsid w:val="005C0069"/>
    <w:rsid w:val="005D15ED"/>
    <w:rsid w:val="005D267F"/>
    <w:rsid w:val="005D4FF4"/>
    <w:rsid w:val="005D5240"/>
    <w:rsid w:val="005D61D6"/>
    <w:rsid w:val="005D755F"/>
    <w:rsid w:val="005E055D"/>
    <w:rsid w:val="005E0D13"/>
    <w:rsid w:val="005E0EBA"/>
    <w:rsid w:val="005E100A"/>
    <w:rsid w:val="005E16FE"/>
    <w:rsid w:val="005E1A01"/>
    <w:rsid w:val="005E1BA1"/>
    <w:rsid w:val="005E1CCE"/>
    <w:rsid w:val="005E31BA"/>
    <w:rsid w:val="005E3BD0"/>
    <w:rsid w:val="005E5047"/>
    <w:rsid w:val="005E5680"/>
    <w:rsid w:val="005E7205"/>
    <w:rsid w:val="005E7371"/>
    <w:rsid w:val="005F116C"/>
    <w:rsid w:val="005F154E"/>
    <w:rsid w:val="005F2050"/>
    <w:rsid w:val="005F2131"/>
    <w:rsid w:val="005F2454"/>
    <w:rsid w:val="005F2D81"/>
    <w:rsid w:val="005F3B82"/>
    <w:rsid w:val="005F3E18"/>
    <w:rsid w:val="005F552C"/>
    <w:rsid w:val="005F676D"/>
    <w:rsid w:val="005F780C"/>
    <w:rsid w:val="00600550"/>
    <w:rsid w:val="00600E07"/>
    <w:rsid w:val="00603134"/>
    <w:rsid w:val="00605832"/>
    <w:rsid w:val="00605EF6"/>
    <w:rsid w:val="00606455"/>
    <w:rsid w:val="00606F58"/>
    <w:rsid w:val="00610785"/>
    <w:rsid w:val="006116F8"/>
    <w:rsid w:val="006120B5"/>
    <w:rsid w:val="00612929"/>
    <w:rsid w:val="00614929"/>
    <w:rsid w:val="006153C7"/>
    <w:rsid w:val="00615759"/>
    <w:rsid w:val="00615DE7"/>
    <w:rsid w:val="00616511"/>
    <w:rsid w:val="006172C7"/>
    <w:rsid w:val="006176ED"/>
    <w:rsid w:val="00617EBC"/>
    <w:rsid w:val="00617F69"/>
    <w:rsid w:val="006202F3"/>
    <w:rsid w:val="006208D8"/>
    <w:rsid w:val="0062097A"/>
    <w:rsid w:val="00620AE0"/>
    <w:rsid w:val="00621B9C"/>
    <w:rsid w:val="00621C9C"/>
    <w:rsid w:val="00621DA6"/>
    <w:rsid w:val="00623710"/>
    <w:rsid w:val="00623B0D"/>
    <w:rsid w:val="00623CFE"/>
    <w:rsid w:val="00625D5F"/>
    <w:rsid w:val="00626269"/>
    <w:rsid w:val="00626B6F"/>
    <w:rsid w:val="00626F7D"/>
    <w:rsid w:val="00627221"/>
    <w:rsid w:val="00627EE8"/>
    <w:rsid w:val="00630E19"/>
    <w:rsid w:val="006311EC"/>
    <w:rsid w:val="006316FA"/>
    <w:rsid w:val="00632A9A"/>
    <w:rsid w:val="00635A70"/>
    <w:rsid w:val="006370D2"/>
    <w:rsid w:val="006379F7"/>
    <w:rsid w:val="0064038C"/>
    <w:rsid w:val="0064070B"/>
    <w:rsid w:val="0064074C"/>
    <w:rsid w:val="0064074F"/>
    <w:rsid w:val="00641F55"/>
    <w:rsid w:val="0064495F"/>
    <w:rsid w:val="00645E4A"/>
    <w:rsid w:val="0064683C"/>
    <w:rsid w:val="006479E5"/>
    <w:rsid w:val="00647C5C"/>
    <w:rsid w:val="00651292"/>
    <w:rsid w:val="00651563"/>
    <w:rsid w:val="00652923"/>
    <w:rsid w:val="00652D68"/>
    <w:rsid w:val="00653688"/>
    <w:rsid w:val="00653A7D"/>
    <w:rsid w:val="00654C18"/>
    <w:rsid w:val="00655A20"/>
    <w:rsid w:val="00655DED"/>
    <w:rsid w:val="0066091B"/>
    <w:rsid w:val="00661587"/>
    <w:rsid w:val="00661E5F"/>
    <w:rsid w:val="006631BB"/>
    <w:rsid w:val="006660E9"/>
    <w:rsid w:val="00666574"/>
    <w:rsid w:val="006669F2"/>
    <w:rsid w:val="00667249"/>
    <w:rsid w:val="00667389"/>
    <w:rsid w:val="00667558"/>
    <w:rsid w:val="0067011E"/>
    <w:rsid w:val="006707E3"/>
    <w:rsid w:val="00670C70"/>
    <w:rsid w:val="00671523"/>
    <w:rsid w:val="00671570"/>
    <w:rsid w:val="00671BD0"/>
    <w:rsid w:val="00671D24"/>
    <w:rsid w:val="00671FBB"/>
    <w:rsid w:val="006728D3"/>
    <w:rsid w:val="006739C7"/>
    <w:rsid w:val="00674B7C"/>
    <w:rsid w:val="006754EF"/>
    <w:rsid w:val="00675BB9"/>
    <w:rsid w:val="00676C8D"/>
    <w:rsid w:val="00676E51"/>
    <w:rsid w:val="00676F1F"/>
    <w:rsid w:val="00676F73"/>
    <w:rsid w:val="00677381"/>
    <w:rsid w:val="00677414"/>
    <w:rsid w:val="00677476"/>
    <w:rsid w:val="00677C90"/>
    <w:rsid w:val="00680A14"/>
    <w:rsid w:val="006812BD"/>
    <w:rsid w:val="00681ECE"/>
    <w:rsid w:val="006832CF"/>
    <w:rsid w:val="006836BE"/>
    <w:rsid w:val="00683BDA"/>
    <w:rsid w:val="00684A42"/>
    <w:rsid w:val="0068601E"/>
    <w:rsid w:val="00687384"/>
    <w:rsid w:val="00690092"/>
    <w:rsid w:val="00690DF1"/>
    <w:rsid w:val="00692492"/>
    <w:rsid w:val="00693241"/>
    <w:rsid w:val="00693F9D"/>
    <w:rsid w:val="0069469A"/>
    <w:rsid w:val="0069486B"/>
    <w:rsid w:val="00696CFA"/>
    <w:rsid w:val="006A0CDB"/>
    <w:rsid w:val="006A238B"/>
    <w:rsid w:val="006A2984"/>
    <w:rsid w:val="006A2A45"/>
    <w:rsid w:val="006A3510"/>
    <w:rsid w:val="006A4636"/>
    <w:rsid w:val="006A4904"/>
    <w:rsid w:val="006A4D11"/>
    <w:rsid w:val="006A548F"/>
    <w:rsid w:val="006A6A13"/>
    <w:rsid w:val="006A701A"/>
    <w:rsid w:val="006A7C24"/>
    <w:rsid w:val="006B059A"/>
    <w:rsid w:val="006B1079"/>
    <w:rsid w:val="006B1E25"/>
    <w:rsid w:val="006B1FAE"/>
    <w:rsid w:val="006B3825"/>
    <w:rsid w:val="006B3B15"/>
    <w:rsid w:val="006B3DCC"/>
    <w:rsid w:val="006B4C1F"/>
    <w:rsid w:val="006B4D81"/>
    <w:rsid w:val="006B4F01"/>
    <w:rsid w:val="006B51B8"/>
    <w:rsid w:val="006B5E8B"/>
    <w:rsid w:val="006B64DC"/>
    <w:rsid w:val="006B7A91"/>
    <w:rsid w:val="006C1746"/>
    <w:rsid w:val="006C395E"/>
    <w:rsid w:val="006C3B3B"/>
    <w:rsid w:val="006C4429"/>
    <w:rsid w:val="006C44F2"/>
    <w:rsid w:val="006C4563"/>
    <w:rsid w:val="006C4666"/>
    <w:rsid w:val="006C4A87"/>
    <w:rsid w:val="006C55E8"/>
    <w:rsid w:val="006C61C6"/>
    <w:rsid w:val="006C6AAA"/>
    <w:rsid w:val="006C7B0C"/>
    <w:rsid w:val="006D1226"/>
    <w:rsid w:val="006D12BB"/>
    <w:rsid w:val="006D140E"/>
    <w:rsid w:val="006D2579"/>
    <w:rsid w:val="006D44B2"/>
    <w:rsid w:val="006D4704"/>
    <w:rsid w:val="006D50B4"/>
    <w:rsid w:val="006D5200"/>
    <w:rsid w:val="006D5FA7"/>
    <w:rsid w:val="006D63BA"/>
    <w:rsid w:val="006D6475"/>
    <w:rsid w:val="006D669B"/>
    <w:rsid w:val="006D6A2D"/>
    <w:rsid w:val="006E1DB1"/>
    <w:rsid w:val="006E1E18"/>
    <w:rsid w:val="006E27EB"/>
    <w:rsid w:val="006E2D2B"/>
    <w:rsid w:val="006E31CE"/>
    <w:rsid w:val="006E34D3"/>
    <w:rsid w:val="006E4308"/>
    <w:rsid w:val="006E504E"/>
    <w:rsid w:val="006E7C2C"/>
    <w:rsid w:val="006F09D5"/>
    <w:rsid w:val="006F1435"/>
    <w:rsid w:val="006F2EC1"/>
    <w:rsid w:val="006F3525"/>
    <w:rsid w:val="006F5CDD"/>
    <w:rsid w:val="006F61F7"/>
    <w:rsid w:val="006F6F98"/>
    <w:rsid w:val="006F78C4"/>
    <w:rsid w:val="00700963"/>
    <w:rsid w:val="00701F42"/>
    <w:rsid w:val="007031A0"/>
    <w:rsid w:val="00704A42"/>
    <w:rsid w:val="00704D43"/>
    <w:rsid w:val="0070586A"/>
    <w:rsid w:val="00705A29"/>
    <w:rsid w:val="00705A50"/>
    <w:rsid w:val="00706206"/>
    <w:rsid w:val="00706F99"/>
    <w:rsid w:val="00707498"/>
    <w:rsid w:val="00707878"/>
    <w:rsid w:val="00711333"/>
    <w:rsid w:val="00711A65"/>
    <w:rsid w:val="007122BD"/>
    <w:rsid w:val="00714133"/>
    <w:rsid w:val="007142DA"/>
    <w:rsid w:val="007147CF"/>
    <w:rsid w:val="00714DA4"/>
    <w:rsid w:val="00714E7C"/>
    <w:rsid w:val="0071507B"/>
    <w:rsid w:val="007158B2"/>
    <w:rsid w:val="00716081"/>
    <w:rsid w:val="00716980"/>
    <w:rsid w:val="00720623"/>
    <w:rsid w:val="0072065B"/>
    <w:rsid w:val="007216A9"/>
    <w:rsid w:val="00721B78"/>
    <w:rsid w:val="00722751"/>
    <w:rsid w:val="00722B48"/>
    <w:rsid w:val="00724164"/>
    <w:rsid w:val="007242A4"/>
    <w:rsid w:val="00725DE7"/>
    <w:rsid w:val="0072636A"/>
    <w:rsid w:val="00726B44"/>
    <w:rsid w:val="00726F0D"/>
    <w:rsid w:val="00726F78"/>
    <w:rsid w:val="00727BF9"/>
    <w:rsid w:val="007318DD"/>
    <w:rsid w:val="00733167"/>
    <w:rsid w:val="00734976"/>
    <w:rsid w:val="00734D61"/>
    <w:rsid w:val="00735700"/>
    <w:rsid w:val="0073639D"/>
    <w:rsid w:val="00736A65"/>
    <w:rsid w:val="00740D2C"/>
    <w:rsid w:val="00742CEA"/>
    <w:rsid w:val="00744BF9"/>
    <w:rsid w:val="00745F8A"/>
    <w:rsid w:val="00746159"/>
    <w:rsid w:val="00747A5E"/>
    <w:rsid w:val="00747CB1"/>
    <w:rsid w:val="007510E7"/>
    <w:rsid w:val="00751B91"/>
    <w:rsid w:val="00751C3C"/>
    <w:rsid w:val="0075256D"/>
    <w:rsid w:val="00752619"/>
    <w:rsid w:val="00752623"/>
    <w:rsid w:val="007542F4"/>
    <w:rsid w:val="00754797"/>
    <w:rsid w:val="00754810"/>
    <w:rsid w:val="00755B87"/>
    <w:rsid w:val="00755D64"/>
    <w:rsid w:val="0075630A"/>
    <w:rsid w:val="007568FF"/>
    <w:rsid w:val="00756FE3"/>
    <w:rsid w:val="00760BFE"/>
    <w:rsid w:val="00760F1F"/>
    <w:rsid w:val="00762219"/>
    <w:rsid w:val="00762D69"/>
    <w:rsid w:val="0076423E"/>
    <w:rsid w:val="007646CB"/>
    <w:rsid w:val="0076658F"/>
    <w:rsid w:val="00766B7F"/>
    <w:rsid w:val="00767864"/>
    <w:rsid w:val="00767CA6"/>
    <w:rsid w:val="0077040A"/>
    <w:rsid w:val="0077148E"/>
    <w:rsid w:val="00772379"/>
    <w:rsid w:val="00772A01"/>
    <w:rsid w:val="00772D64"/>
    <w:rsid w:val="00772DB7"/>
    <w:rsid w:val="0077556F"/>
    <w:rsid w:val="00775749"/>
    <w:rsid w:val="00775CEA"/>
    <w:rsid w:val="007768DB"/>
    <w:rsid w:val="00776D74"/>
    <w:rsid w:val="00781788"/>
    <w:rsid w:val="00782DAA"/>
    <w:rsid w:val="00783662"/>
    <w:rsid w:val="0078419A"/>
    <w:rsid w:val="00786B41"/>
    <w:rsid w:val="0078708F"/>
    <w:rsid w:val="00790CDC"/>
    <w:rsid w:val="00791262"/>
    <w:rsid w:val="0079153C"/>
    <w:rsid w:val="0079179A"/>
    <w:rsid w:val="00791F62"/>
    <w:rsid w:val="00792609"/>
    <w:rsid w:val="00792887"/>
    <w:rsid w:val="007929EE"/>
    <w:rsid w:val="007941B2"/>
    <w:rsid w:val="007943E2"/>
    <w:rsid w:val="007944EC"/>
    <w:rsid w:val="00794F2C"/>
    <w:rsid w:val="0079756F"/>
    <w:rsid w:val="007A0329"/>
    <w:rsid w:val="007A251F"/>
    <w:rsid w:val="007A3AD2"/>
    <w:rsid w:val="007A3BC7"/>
    <w:rsid w:val="007A476E"/>
    <w:rsid w:val="007A5569"/>
    <w:rsid w:val="007A596E"/>
    <w:rsid w:val="007A5AC4"/>
    <w:rsid w:val="007A631A"/>
    <w:rsid w:val="007A6F5D"/>
    <w:rsid w:val="007A6FBE"/>
    <w:rsid w:val="007B02B4"/>
    <w:rsid w:val="007B0FDD"/>
    <w:rsid w:val="007B18D3"/>
    <w:rsid w:val="007B1B6C"/>
    <w:rsid w:val="007B4802"/>
    <w:rsid w:val="007B48FB"/>
    <w:rsid w:val="007B6668"/>
    <w:rsid w:val="007B6B33"/>
    <w:rsid w:val="007B6EAF"/>
    <w:rsid w:val="007B7F97"/>
    <w:rsid w:val="007C058D"/>
    <w:rsid w:val="007C123B"/>
    <w:rsid w:val="007C1B9B"/>
    <w:rsid w:val="007C2656"/>
    <w:rsid w:val="007C2701"/>
    <w:rsid w:val="007C2DE1"/>
    <w:rsid w:val="007C4511"/>
    <w:rsid w:val="007C7690"/>
    <w:rsid w:val="007D0564"/>
    <w:rsid w:val="007D2192"/>
    <w:rsid w:val="007D2FBD"/>
    <w:rsid w:val="007D31C6"/>
    <w:rsid w:val="007D4243"/>
    <w:rsid w:val="007D6BA8"/>
    <w:rsid w:val="007D6DA9"/>
    <w:rsid w:val="007D77FE"/>
    <w:rsid w:val="007D7DEA"/>
    <w:rsid w:val="007E1CB3"/>
    <w:rsid w:val="007E21AB"/>
    <w:rsid w:val="007E3289"/>
    <w:rsid w:val="007E5F43"/>
    <w:rsid w:val="007E7FC4"/>
    <w:rsid w:val="007F0021"/>
    <w:rsid w:val="007F0E09"/>
    <w:rsid w:val="007F2F52"/>
    <w:rsid w:val="007F38D9"/>
    <w:rsid w:val="007F4175"/>
    <w:rsid w:val="007F6A07"/>
    <w:rsid w:val="00800AB3"/>
    <w:rsid w:val="00800C9D"/>
    <w:rsid w:val="00800F31"/>
    <w:rsid w:val="00801F71"/>
    <w:rsid w:val="00805F28"/>
    <w:rsid w:val="00805F8E"/>
    <w:rsid w:val="00806E95"/>
    <w:rsid w:val="0080749F"/>
    <w:rsid w:val="00810356"/>
    <w:rsid w:val="008109FE"/>
    <w:rsid w:val="00811D46"/>
    <w:rsid w:val="008120EC"/>
    <w:rsid w:val="008125B0"/>
    <w:rsid w:val="008144CB"/>
    <w:rsid w:val="008146B7"/>
    <w:rsid w:val="00815313"/>
    <w:rsid w:val="008167A4"/>
    <w:rsid w:val="00817DAC"/>
    <w:rsid w:val="00820689"/>
    <w:rsid w:val="00821458"/>
    <w:rsid w:val="00821717"/>
    <w:rsid w:val="00823A50"/>
    <w:rsid w:val="00824210"/>
    <w:rsid w:val="00825AA2"/>
    <w:rsid w:val="00825C40"/>
    <w:rsid w:val="0082614E"/>
    <w:rsid w:val="008263C0"/>
    <w:rsid w:val="00826B8A"/>
    <w:rsid w:val="00826DE2"/>
    <w:rsid w:val="00827B21"/>
    <w:rsid w:val="00827C2B"/>
    <w:rsid w:val="00827D58"/>
    <w:rsid w:val="00830761"/>
    <w:rsid w:val="008312A3"/>
    <w:rsid w:val="008312AE"/>
    <w:rsid w:val="0083247A"/>
    <w:rsid w:val="008326F7"/>
    <w:rsid w:val="0083504D"/>
    <w:rsid w:val="00835277"/>
    <w:rsid w:val="00835402"/>
    <w:rsid w:val="00835DC8"/>
    <w:rsid w:val="00837FCA"/>
    <w:rsid w:val="008403F3"/>
    <w:rsid w:val="00841413"/>
    <w:rsid w:val="00841422"/>
    <w:rsid w:val="00841855"/>
    <w:rsid w:val="00841D3B"/>
    <w:rsid w:val="00841E78"/>
    <w:rsid w:val="008427E2"/>
    <w:rsid w:val="0084314C"/>
    <w:rsid w:val="00843171"/>
    <w:rsid w:val="0084435C"/>
    <w:rsid w:val="0084504D"/>
    <w:rsid w:val="008454CE"/>
    <w:rsid w:val="00846448"/>
    <w:rsid w:val="008466BC"/>
    <w:rsid w:val="00851E77"/>
    <w:rsid w:val="008525F9"/>
    <w:rsid w:val="00852FE0"/>
    <w:rsid w:val="008530BD"/>
    <w:rsid w:val="00853C98"/>
    <w:rsid w:val="008555E2"/>
    <w:rsid w:val="00855A49"/>
    <w:rsid w:val="00855DC2"/>
    <w:rsid w:val="008561F6"/>
    <w:rsid w:val="00856371"/>
    <w:rsid w:val="008568B5"/>
    <w:rsid w:val="008575C3"/>
    <w:rsid w:val="00857FDC"/>
    <w:rsid w:val="00861D1E"/>
    <w:rsid w:val="0086271E"/>
    <w:rsid w:val="00862A55"/>
    <w:rsid w:val="00862C24"/>
    <w:rsid w:val="00862D89"/>
    <w:rsid w:val="008630C9"/>
    <w:rsid w:val="00863C31"/>
    <w:rsid w:val="00863D28"/>
    <w:rsid w:val="008645A0"/>
    <w:rsid w:val="008646FF"/>
    <w:rsid w:val="008648C3"/>
    <w:rsid w:val="008652C1"/>
    <w:rsid w:val="00865A77"/>
    <w:rsid w:val="00866D73"/>
    <w:rsid w:val="008670E0"/>
    <w:rsid w:val="00867101"/>
    <w:rsid w:val="00871692"/>
    <w:rsid w:val="0087303F"/>
    <w:rsid w:val="00875DD3"/>
    <w:rsid w:val="0088045D"/>
    <w:rsid w:val="008808C1"/>
    <w:rsid w:val="00880F26"/>
    <w:rsid w:val="008817A0"/>
    <w:rsid w:val="008833D4"/>
    <w:rsid w:val="00883D8B"/>
    <w:rsid w:val="00886A79"/>
    <w:rsid w:val="00887227"/>
    <w:rsid w:val="00890429"/>
    <w:rsid w:val="008911EA"/>
    <w:rsid w:val="00891793"/>
    <w:rsid w:val="008918B5"/>
    <w:rsid w:val="00891B15"/>
    <w:rsid w:val="008926F4"/>
    <w:rsid w:val="00894574"/>
    <w:rsid w:val="0089473D"/>
    <w:rsid w:val="0089518A"/>
    <w:rsid w:val="008960B3"/>
    <w:rsid w:val="00896C2E"/>
    <w:rsid w:val="008971D4"/>
    <w:rsid w:val="00897A9F"/>
    <w:rsid w:val="008A113F"/>
    <w:rsid w:val="008A1F7E"/>
    <w:rsid w:val="008A27C7"/>
    <w:rsid w:val="008A2941"/>
    <w:rsid w:val="008A3AAD"/>
    <w:rsid w:val="008A5095"/>
    <w:rsid w:val="008A537D"/>
    <w:rsid w:val="008A5794"/>
    <w:rsid w:val="008A608F"/>
    <w:rsid w:val="008B1A9A"/>
    <w:rsid w:val="008B1AB2"/>
    <w:rsid w:val="008B2326"/>
    <w:rsid w:val="008B2520"/>
    <w:rsid w:val="008B2AA3"/>
    <w:rsid w:val="008B32D0"/>
    <w:rsid w:val="008B3DF2"/>
    <w:rsid w:val="008B49F0"/>
    <w:rsid w:val="008B4FE6"/>
    <w:rsid w:val="008B549A"/>
    <w:rsid w:val="008B6C37"/>
    <w:rsid w:val="008B6F1D"/>
    <w:rsid w:val="008B7273"/>
    <w:rsid w:val="008C1476"/>
    <w:rsid w:val="008C33D9"/>
    <w:rsid w:val="008C4B63"/>
    <w:rsid w:val="008C4D11"/>
    <w:rsid w:val="008C5231"/>
    <w:rsid w:val="008D1732"/>
    <w:rsid w:val="008D1D56"/>
    <w:rsid w:val="008D3A9C"/>
    <w:rsid w:val="008D4862"/>
    <w:rsid w:val="008D5252"/>
    <w:rsid w:val="008D5790"/>
    <w:rsid w:val="008D699E"/>
    <w:rsid w:val="008D6A4F"/>
    <w:rsid w:val="008D7A59"/>
    <w:rsid w:val="008E1594"/>
    <w:rsid w:val="008E18F7"/>
    <w:rsid w:val="008E1C89"/>
    <w:rsid w:val="008E1E10"/>
    <w:rsid w:val="008E291B"/>
    <w:rsid w:val="008E2A35"/>
    <w:rsid w:val="008E427B"/>
    <w:rsid w:val="008E4A62"/>
    <w:rsid w:val="008E4F2F"/>
    <w:rsid w:val="008E5C9A"/>
    <w:rsid w:val="008E6AB8"/>
    <w:rsid w:val="008E74B0"/>
    <w:rsid w:val="008F12B1"/>
    <w:rsid w:val="008F215F"/>
    <w:rsid w:val="008F2D16"/>
    <w:rsid w:val="008F33DC"/>
    <w:rsid w:val="008F5258"/>
    <w:rsid w:val="008F53C7"/>
    <w:rsid w:val="008F6437"/>
    <w:rsid w:val="008F65E0"/>
    <w:rsid w:val="008F6CC8"/>
    <w:rsid w:val="008F79AD"/>
    <w:rsid w:val="00900346"/>
    <w:rsid w:val="009008A8"/>
    <w:rsid w:val="009010DA"/>
    <w:rsid w:val="0090298A"/>
    <w:rsid w:val="00902F07"/>
    <w:rsid w:val="009036EF"/>
    <w:rsid w:val="00903BBA"/>
    <w:rsid w:val="00903F90"/>
    <w:rsid w:val="00904903"/>
    <w:rsid w:val="00904A28"/>
    <w:rsid w:val="00905CB9"/>
    <w:rsid w:val="009060C0"/>
    <w:rsid w:val="009063B0"/>
    <w:rsid w:val="00907106"/>
    <w:rsid w:val="0090734F"/>
    <w:rsid w:val="009107FD"/>
    <w:rsid w:val="00910950"/>
    <w:rsid w:val="00910AD8"/>
    <w:rsid w:val="0091137C"/>
    <w:rsid w:val="00911567"/>
    <w:rsid w:val="00911660"/>
    <w:rsid w:val="00917AAE"/>
    <w:rsid w:val="00917C93"/>
    <w:rsid w:val="00920483"/>
    <w:rsid w:val="009212A2"/>
    <w:rsid w:val="009213D2"/>
    <w:rsid w:val="009239DF"/>
    <w:rsid w:val="00924496"/>
    <w:rsid w:val="0092515D"/>
    <w:rsid w:val="009251A9"/>
    <w:rsid w:val="0092557A"/>
    <w:rsid w:val="0092562E"/>
    <w:rsid w:val="00925F81"/>
    <w:rsid w:val="00927A2D"/>
    <w:rsid w:val="00927E76"/>
    <w:rsid w:val="00930699"/>
    <w:rsid w:val="009310FA"/>
    <w:rsid w:val="0093156C"/>
    <w:rsid w:val="00931D6A"/>
    <w:rsid w:val="00931F69"/>
    <w:rsid w:val="009328C3"/>
    <w:rsid w:val="00934123"/>
    <w:rsid w:val="009341F0"/>
    <w:rsid w:val="00936734"/>
    <w:rsid w:val="0093715F"/>
    <w:rsid w:val="00937BC8"/>
    <w:rsid w:val="00940322"/>
    <w:rsid w:val="0094187F"/>
    <w:rsid w:val="00941BB8"/>
    <w:rsid w:val="00942087"/>
    <w:rsid w:val="009422D0"/>
    <w:rsid w:val="0094240D"/>
    <w:rsid w:val="00942BDD"/>
    <w:rsid w:val="00943038"/>
    <w:rsid w:val="009432E1"/>
    <w:rsid w:val="00947331"/>
    <w:rsid w:val="00950BB0"/>
    <w:rsid w:val="009527C7"/>
    <w:rsid w:val="00952DD0"/>
    <w:rsid w:val="00954643"/>
    <w:rsid w:val="009547BF"/>
    <w:rsid w:val="00955774"/>
    <w:rsid w:val="00955935"/>
    <w:rsid w:val="009560B5"/>
    <w:rsid w:val="0095634E"/>
    <w:rsid w:val="00956892"/>
    <w:rsid w:val="00956BA5"/>
    <w:rsid w:val="00957BFF"/>
    <w:rsid w:val="009600A7"/>
    <w:rsid w:val="0096026C"/>
    <w:rsid w:val="00962724"/>
    <w:rsid w:val="009639D8"/>
    <w:rsid w:val="009651BF"/>
    <w:rsid w:val="00965AFB"/>
    <w:rsid w:val="00967A24"/>
    <w:rsid w:val="00967B5F"/>
    <w:rsid w:val="009703D6"/>
    <w:rsid w:val="0097181B"/>
    <w:rsid w:val="00971855"/>
    <w:rsid w:val="00973B59"/>
    <w:rsid w:val="0097574A"/>
    <w:rsid w:val="00976B5E"/>
    <w:rsid w:val="00976DC5"/>
    <w:rsid w:val="00980911"/>
    <w:rsid w:val="009818C7"/>
    <w:rsid w:val="00982D83"/>
    <w:rsid w:val="00982DD4"/>
    <w:rsid w:val="00982E9D"/>
    <w:rsid w:val="009841E5"/>
    <w:rsid w:val="0098479F"/>
    <w:rsid w:val="00984A8A"/>
    <w:rsid w:val="0098537B"/>
    <w:rsid w:val="009857B6"/>
    <w:rsid w:val="00985A8D"/>
    <w:rsid w:val="00986610"/>
    <w:rsid w:val="00986B2F"/>
    <w:rsid w:val="009877DC"/>
    <w:rsid w:val="009905FA"/>
    <w:rsid w:val="009908C6"/>
    <w:rsid w:val="00990C3C"/>
    <w:rsid w:val="009912CD"/>
    <w:rsid w:val="00991F96"/>
    <w:rsid w:val="00993702"/>
    <w:rsid w:val="0099460C"/>
    <w:rsid w:val="00996382"/>
    <w:rsid w:val="00996F0A"/>
    <w:rsid w:val="00997A2E"/>
    <w:rsid w:val="009A02D9"/>
    <w:rsid w:val="009A050C"/>
    <w:rsid w:val="009A175C"/>
    <w:rsid w:val="009A1D86"/>
    <w:rsid w:val="009A410C"/>
    <w:rsid w:val="009A4CAE"/>
    <w:rsid w:val="009A54AA"/>
    <w:rsid w:val="009A67BB"/>
    <w:rsid w:val="009A6FEA"/>
    <w:rsid w:val="009A7434"/>
    <w:rsid w:val="009A7997"/>
    <w:rsid w:val="009B049C"/>
    <w:rsid w:val="009B11C8"/>
    <w:rsid w:val="009B2BCF"/>
    <w:rsid w:val="009B2FF8"/>
    <w:rsid w:val="009B3C27"/>
    <w:rsid w:val="009B452C"/>
    <w:rsid w:val="009B5615"/>
    <w:rsid w:val="009B5BA3"/>
    <w:rsid w:val="009B6548"/>
    <w:rsid w:val="009B6B12"/>
    <w:rsid w:val="009B7536"/>
    <w:rsid w:val="009C0C6B"/>
    <w:rsid w:val="009C0EF6"/>
    <w:rsid w:val="009C3609"/>
    <w:rsid w:val="009C3F6D"/>
    <w:rsid w:val="009C435D"/>
    <w:rsid w:val="009C52C4"/>
    <w:rsid w:val="009C79BB"/>
    <w:rsid w:val="009D0027"/>
    <w:rsid w:val="009D02E7"/>
    <w:rsid w:val="009D0655"/>
    <w:rsid w:val="009D1CB2"/>
    <w:rsid w:val="009D2ED3"/>
    <w:rsid w:val="009D33B8"/>
    <w:rsid w:val="009D5973"/>
    <w:rsid w:val="009D615E"/>
    <w:rsid w:val="009D6337"/>
    <w:rsid w:val="009E1E98"/>
    <w:rsid w:val="009E2438"/>
    <w:rsid w:val="009E2CC9"/>
    <w:rsid w:val="009E342C"/>
    <w:rsid w:val="009E3664"/>
    <w:rsid w:val="009E3ABE"/>
    <w:rsid w:val="009E3C4B"/>
    <w:rsid w:val="009E4471"/>
    <w:rsid w:val="009E70D9"/>
    <w:rsid w:val="009E776E"/>
    <w:rsid w:val="009E7FF8"/>
    <w:rsid w:val="009F0071"/>
    <w:rsid w:val="009F0637"/>
    <w:rsid w:val="009F5053"/>
    <w:rsid w:val="009F52E3"/>
    <w:rsid w:val="009F58C3"/>
    <w:rsid w:val="009F59F2"/>
    <w:rsid w:val="009F5DFA"/>
    <w:rsid w:val="009F62A6"/>
    <w:rsid w:val="009F674F"/>
    <w:rsid w:val="009F71E1"/>
    <w:rsid w:val="009F76A4"/>
    <w:rsid w:val="009F799E"/>
    <w:rsid w:val="00A00408"/>
    <w:rsid w:val="00A0050A"/>
    <w:rsid w:val="00A01075"/>
    <w:rsid w:val="00A02020"/>
    <w:rsid w:val="00A04891"/>
    <w:rsid w:val="00A056CB"/>
    <w:rsid w:val="00A079F9"/>
    <w:rsid w:val="00A07A29"/>
    <w:rsid w:val="00A10FF1"/>
    <w:rsid w:val="00A1148C"/>
    <w:rsid w:val="00A11F44"/>
    <w:rsid w:val="00A14AD6"/>
    <w:rsid w:val="00A14F50"/>
    <w:rsid w:val="00A1502B"/>
    <w:rsid w:val="00A1506B"/>
    <w:rsid w:val="00A1798D"/>
    <w:rsid w:val="00A17CB2"/>
    <w:rsid w:val="00A20D9C"/>
    <w:rsid w:val="00A20F3D"/>
    <w:rsid w:val="00A22262"/>
    <w:rsid w:val="00A229E1"/>
    <w:rsid w:val="00A22DAA"/>
    <w:rsid w:val="00A23191"/>
    <w:rsid w:val="00A2534F"/>
    <w:rsid w:val="00A2668F"/>
    <w:rsid w:val="00A26CCC"/>
    <w:rsid w:val="00A26F4F"/>
    <w:rsid w:val="00A272EB"/>
    <w:rsid w:val="00A30227"/>
    <w:rsid w:val="00A31226"/>
    <w:rsid w:val="00A319C0"/>
    <w:rsid w:val="00A322F0"/>
    <w:rsid w:val="00A3320F"/>
    <w:rsid w:val="00A33471"/>
    <w:rsid w:val="00A33560"/>
    <w:rsid w:val="00A345B3"/>
    <w:rsid w:val="00A34B9A"/>
    <w:rsid w:val="00A364E4"/>
    <w:rsid w:val="00A3683F"/>
    <w:rsid w:val="00A371A5"/>
    <w:rsid w:val="00A40533"/>
    <w:rsid w:val="00A412B3"/>
    <w:rsid w:val="00A413FF"/>
    <w:rsid w:val="00A44B91"/>
    <w:rsid w:val="00A450D5"/>
    <w:rsid w:val="00A46925"/>
    <w:rsid w:val="00A46A42"/>
    <w:rsid w:val="00A46D80"/>
    <w:rsid w:val="00A47BDF"/>
    <w:rsid w:val="00A51CD7"/>
    <w:rsid w:val="00A51EFE"/>
    <w:rsid w:val="00A52ADB"/>
    <w:rsid w:val="00A52E67"/>
    <w:rsid w:val="00A530CA"/>
    <w:rsid w:val="00A533E8"/>
    <w:rsid w:val="00A542D9"/>
    <w:rsid w:val="00A54E53"/>
    <w:rsid w:val="00A55E0A"/>
    <w:rsid w:val="00A56E64"/>
    <w:rsid w:val="00A6003A"/>
    <w:rsid w:val="00A602BF"/>
    <w:rsid w:val="00A60914"/>
    <w:rsid w:val="00A609EE"/>
    <w:rsid w:val="00A6188B"/>
    <w:rsid w:val="00A61BB4"/>
    <w:rsid w:val="00A624C3"/>
    <w:rsid w:val="00A62B53"/>
    <w:rsid w:val="00A64474"/>
    <w:rsid w:val="00A64F50"/>
    <w:rsid w:val="00A6641C"/>
    <w:rsid w:val="00A66895"/>
    <w:rsid w:val="00A673A8"/>
    <w:rsid w:val="00A67EA8"/>
    <w:rsid w:val="00A7015A"/>
    <w:rsid w:val="00A704D2"/>
    <w:rsid w:val="00A717FB"/>
    <w:rsid w:val="00A72AAF"/>
    <w:rsid w:val="00A74480"/>
    <w:rsid w:val="00A767D2"/>
    <w:rsid w:val="00A77616"/>
    <w:rsid w:val="00A7773B"/>
    <w:rsid w:val="00A80064"/>
    <w:rsid w:val="00A805DA"/>
    <w:rsid w:val="00A811B4"/>
    <w:rsid w:val="00A83449"/>
    <w:rsid w:val="00A838DD"/>
    <w:rsid w:val="00A83BEB"/>
    <w:rsid w:val="00A84861"/>
    <w:rsid w:val="00A84E94"/>
    <w:rsid w:val="00A8697E"/>
    <w:rsid w:val="00A873E4"/>
    <w:rsid w:val="00A87CDE"/>
    <w:rsid w:val="00A90CC5"/>
    <w:rsid w:val="00A90F9A"/>
    <w:rsid w:val="00A92A7E"/>
    <w:rsid w:val="00A92BAF"/>
    <w:rsid w:val="00A92D25"/>
    <w:rsid w:val="00A93E94"/>
    <w:rsid w:val="00A9468A"/>
    <w:rsid w:val="00A94737"/>
    <w:rsid w:val="00A94BA3"/>
    <w:rsid w:val="00A9531D"/>
    <w:rsid w:val="00A95465"/>
    <w:rsid w:val="00A96CBA"/>
    <w:rsid w:val="00AA297A"/>
    <w:rsid w:val="00AA2D69"/>
    <w:rsid w:val="00AA382A"/>
    <w:rsid w:val="00AA383D"/>
    <w:rsid w:val="00AA3FE7"/>
    <w:rsid w:val="00AA492D"/>
    <w:rsid w:val="00AA4CF1"/>
    <w:rsid w:val="00AA6EF6"/>
    <w:rsid w:val="00AA7DC1"/>
    <w:rsid w:val="00AB079F"/>
    <w:rsid w:val="00AB1ACD"/>
    <w:rsid w:val="00AB277F"/>
    <w:rsid w:val="00AB2FB3"/>
    <w:rsid w:val="00AB337A"/>
    <w:rsid w:val="00AB3758"/>
    <w:rsid w:val="00AB4099"/>
    <w:rsid w:val="00AB4202"/>
    <w:rsid w:val="00AB449A"/>
    <w:rsid w:val="00AB4896"/>
    <w:rsid w:val="00AB4CB0"/>
    <w:rsid w:val="00AB4E9A"/>
    <w:rsid w:val="00AB5F97"/>
    <w:rsid w:val="00AC14CB"/>
    <w:rsid w:val="00AC22C6"/>
    <w:rsid w:val="00AC2F4E"/>
    <w:rsid w:val="00AC47E9"/>
    <w:rsid w:val="00AC5F65"/>
    <w:rsid w:val="00AC6E77"/>
    <w:rsid w:val="00AD03A2"/>
    <w:rsid w:val="00AD093B"/>
    <w:rsid w:val="00AD13D3"/>
    <w:rsid w:val="00AD14F9"/>
    <w:rsid w:val="00AD195B"/>
    <w:rsid w:val="00AD206B"/>
    <w:rsid w:val="00AD3381"/>
    <w:rsid w:val="00AD35D6"/>
    <w:rsid w:val="00AD3879"/>
    <w:rsid w:val="00AD38B4"/>
    <w:rsid w:val="00AD470C"/>
    <w:rsid w:val="00AD55D4"/>
    <w:rsid w:val="00AD58C5"/>
    <w:rsid w:val="00AD5A19"/>
    <w:rsid w:val="00AD7FB4"/>
    <w:rsid w:val="00AE23CB"/>
    <w:rsid w:val="00AE2757"/>
    <w:rsid w:val="00AE27CB"/>
    <w:rsid w:val="00AE3375"/>
    <w:rsid w:val="00AE36C4"/>
    <w:rsid w:val="00AE472C"/>
    <w:rsid w:val="00AE4891"/>
    <w:rsid w:val="00AE4BEF"/>
    <w:rsid w:val="00AE5375"/>
    <w:rsid w:val="00AE5A64"/>
    <w:rsid w:val="00AE6CF8"/>
    <w:rsid w:val="00AE72B1"/>
    <w:rsid w:val="00AF0CA8"/>
    <w:rsid w:val="00AF0CC5"/>
    <w:rsid w:val="00AF31C4"/>
    <w:rsid w:val="00AF41E9"/>
    <w:rsid w:val="00AF42BF"/>
    <w:rsid w:val="00AF46D3"/>
    <w:rsid w:val="00AF473D"/>
    <w:rsid w:val="00AF4CAC"/>
    <w:rsid w:val="00B007D1"/>
    <w:rsid w:val="00B008A7"/>
    <w:rsid w:val="00B00A05"/>
    <w:rsid w:val="00B00C9E"/>
    <w:rsid w:val="00B02270"/>
    <w:rsid w:val="00B02BCC"/>
    <w:rsid w:val="00B02D4F"/>
    <w:rsid w:val="00B03259"/>
    <w:rsid w:val="00B03C89"/>
    <w:rsid w:val="00B03D8F"/>
    <w:rsid w:val="00B03E0D"/>
    <w:rsid w:val="00B048DC"/>
    <w:rsid w:val="00B04B47"/>
    <w:rsid w:val="00B054F8"/>
    <w:rsid w:val="00B05B14"/>
    <w:rsid w:val="00B10BA3"/>
    <w:rsid w:val="00B11BD7"/>
    <w:rsid w:val="00B13E89"/>
    <w:rsid w:val="00B14506"/>
    <w:rsid w:val="00B15224"/>
    <w:rsid w:val="00B15689"/>
    <w:rsid w:val="00B1720E"/>
    <w:rsid w:val="00B2219A"/>
    <w:rsid w:val="00B25CEB"/>
    <w:rsid w:val="00B3031E"/>
    <w:rsid w:val="00B31FC0"/>
    <w:rsid w:val="00B3296A"/>
    <w:rsid w:val="00B3299D"/>
    <w:rsid w:val="00B3354F"/>
    <w:rsid w:val="00B33C33"/>
    <w:rsid w:val="00B33D05"/>
    <w:rsid w:val="00B34619"/>
    <w:rsid w:val="00B3581B"/>
    <w:rsid w:val="00B35BD1"/>
    <w:rsid w:val="00B36B81"/>
    <w:rsid w:val="00B36FEE"/>
    <w:rsid w:val="00B37C80"/>
    <w:rsid w:val="00B4085C"/>
    <w:rsid w:val="00B40F03"/>
    <w:rsid w:val="00B4138A"/>
    <w:rsid w:val="00B41A99"/>
    <w:rsid w:val="00B41E35"/>
    <w:rsid w:val="00B4240C"/>
    <w:rsid w:val="00B42892"/>
    <w:rsid w:val="00B42EA8"/>
    <w:rsid w:val="00B44CB7"/>
    <w:rsid w:val="00B454FC"/>
    <w:rsid w:val="00B4619D"/>
    <w:rsid w:val="00B475D0"/>
    <w:rsid w:val="00B47ACF"/>
    <w:rsid w:val="00B5092B"/>
    <w:rsid w:val="00B50EAB"/>
    <w:rsid w:val="00B51221"/>
    <w:rsid w:val="00B5194E"/>
    <w:rsid w:val="00B51AF5"/>
    <w:rsid w:val="00B5258E"/>
    <w:rsid w:val="00B52889"/>
    <w:rsid w:val="00B52A62"/>
    <w:rsid w:val="00B531FC"/>
    <w:rsid w:val="00B53598"/>
    <w:rsid w:val="00B53AFE"/>
    <w:rsid w:val="00B5401D"/>
    <w:rsid w:val="00B55347"/>
    <w:rsid w:val="00B55B0C"/>
    <w:rsid w:val="00B56469"/>
    <w:rsid w:val="00B57245"/>
    <w:rsid w:val="00B57E5E"/>
    <w:rsid w:val="00B603AB"/>
    <w:rsid w:val="00B61F37"/>
    <w:rsid w:val="00B63117"/>
    <w:rsid w:val="00B63EC1"/>
    <w:rsid w:val="00B647B0"/>
    <w:rsid w:val="00B6491B"/>
    <w:rsid w:val="00B64D40"/>
    <w:rsid w:val="00B65D75"/>
    <w:rsid w:val="00B65D8C"/>
    <w:rsid w:val="00B6685A"/>
    <w:rsid w:val="00B70DB9"/>
    <w:rsid w:val="00B719C3"/>
    <w:rsid w:val="00B71E48"/>
    <w:rsid w:val="00B722A6"/>
    <w:rsid w:val="00B72C13"/>
    <w:rsid w:val="00B73EE4"/>
    <w:rsid w:val="00B752A3"/>
    <w:rsid w:val="00B77190"/>
    <w:rsid w:val="00B77272"/>
    <w:rsid w:val="00B7770F"/>
    <w:rsid w:val="00B77A89"/>
    <w:rsid w:val="00B77B27"/>
    <w:rsid w:val="00B8051F"/>
    <w:rsid w:val="00B806FC"/>
    <w:rsid w:val="00B8134E"/>
    <w:rsid w:val="00B81AC3"/>
    <w:rsid w:val="00B81B55"/>
    <w:rsid w:val="00B83906"/>
    <w:rsid w:val="00B84613"/>
    <w:rsid w:val="00B868E4"/>
    <w:rsid w:val="00B87AF0"/>
    <w:rsid w:val="00B9037B"/>
    <w:rsid w:val="00B909B9"/>
    <w:rsid w:val="00B910BD"/>
    <w:rsid w:val="00B926E1"/>
    <w:rsid w:val="00B92EA9"/>
    <w:rsid w:val="00B936A2"/>
    <w:rsid w:val="00B93834"/>
    <w:rsid w:val="00B93E64"/>
    <w:rsid w:val="00B9513D"/>
    <w:rsid w:val="00B96104"/>
    <w:rsid w:val="00B96469"/>
    <w:rsid w:val="00B96B98"/>
    <w:rsid w:val="00BA0183"/>
    <w:rsid w:val="00BA0608"/>
    <w:rsid w:val="00BA0DA2"/>
    <w:rsid w:val="00BA1EC5"/>
    <w:rsid w:val="00BA28D1"/>
    <w:rsid w:val="00BA2981"/>
    <w:rsid w:val="00BA2A68"/>
    <w:rsid w:val="00BA361A"/>
    <w:rsid w:val="00BA39D5"/>
    <w:rsid w:val="00BA42EE"/>
    <w:rsid w:val="00BA48F9"/>
    <w:rsid w:val="00BA57EF"/>
    <w:rsid w:val="00BA6CBE"/>
    <w:rsid w:val="00BA7189"/>
    <w:rsid w:val="00BB0DCA"/>
    <w:rsid w:val="00BB1233"/>
    <w:rsid w:val="00BB1F0D"/>
    <w:rsid w:val="00BB216B"/>
    <w:rsid w:val="00BB2666"/>
    <w:rsid w:val="00BB2D9A"/>
    <w:rsid w:val="00BB2F2F"/>
    <w:rsid w:val="00BB327A"/>
    <w:rsid w:val="00BB5A61"/>
    <w:rsid w:val="00BB677C"/>
    <w:rsid w:val="00BB6B80"/>
    <w:rsid w:val="00BB74B6"/>
    <w:rsid w:val="00BB7703"/>
    <w:rsid w:val="00BC1019"/>
    <w:rsid w:val="00BC10F1"/>
    <w:rsid w:val="00BC318D"/>
    <w:rsid w:val="00BC3773"/>
    <w:rsid w:val="00BC381A"/>
    <w:rsid w:val="00BC49B4"/>
    <w:rsid w:val="00BC6952"/>
    <w:rsid w:val="00BD00F8"/>
    <w:rsid w:val="00BD0962"/>
    <w:rsid w:val="00BD1E22"/>
    <w:rsid w:val="00BD1EED"/>
    <w:rsid w:val="00BD2659"/>
    <w:rsid w:val="00BD3530"/>
    <w:rsid w:val="00BD3D14"/>
    <w:rsid w:val="00BD537B"/>
    <w:rsid w:val="00BD708D"/>
    <w:rsid w:val="00BE14D6"/>
    <w:rsid w:val="00BE186A"/>
    <w:rsid w:val="00BE3124"/>
    <w:rsid w:val="00BE3405"/>
    <w:rsid w:val="00BE3F10"/>
    <w:rsid w:val="00BE45B7"/>
    <w:rsid w:val="00BE7015"/>
    <w:rsid w:val="00BE7221"/>
    <w:rsid w:val="00BF05F4"/>
    <w:rsid w:val="00BF08B7"/>
    <w:rsid w:val="00BF0DA2"/>
    <w:rsid w:val="00BF109C"/>
    <w:rsid w:val="00BF268A"/>
    <w:rsid w:val="00BF34FA"/>
    <w:rsid w:val="00BF44D8"/>
    <w:rsid w:val="00BF6BB6"/>
    <w:rsid w:val="00BF7271"/>
    <w:rsid w:val="00C00185"/>
    <w:rsid w:val="00C004B6"/>
    <w:rsid w:val="00C00F1B"/>
    <w:rsid w:val="00C047A7"/>
    <w:rsid w:val="00C052C0"/>
    <w:rsid w:val="00C05DE5"/>
    <w:rsid w:val="00C06F4F"/>
    <w:rsid w:val="00C075E5"/>
    <w:rsid w:val="00C1037A"/>
    <w:rsid w:val="00C10BF4"/>
    <w:rsid w:val="00C110C1"/>
    <w:rsid w:val="00C1225F"/>
    <w:rsid w:val="00C12C5B"/>
    <w:rsid w:val="00C137E6"/>
    <w:rsid w:val="00C13822"/>
    <w:rsid w:val="00C14416"/>
    <w:rsid w:val="00C1494A"/>
    <w:rsid w:val="00C1538C"/>
    <w:rsid w:val="00C15881"/>
    <w:rsid w:val="00C16E45"/>
    <w:rsid w:val="00C17454"/>
    <w:rsid w:val="00C17846"/>
    <w:rsid w:val="00C17E4F"/>
    <w:rsid w:val="00C20A19"/>
    <w:rsid w:val="00C22468"/>
    <w:rsid w:val="00C2275C"/>
    <w:rsid w:val="00C232FB"/>
    <w:rsid w:val="00C23710"/>
    <w:rsid w:val="00C2457B"/>
    <w:rsid w:val="00C33027"/>
    <w:rsid w:val="00C33935"/>
    <w:rsid w:val="00C3435D"/>
    <w:rsid w:val="00C35126"/>
    <w:rsid w:val="00C37129"/>
    <w:rsid w:val="00C371B1"/>
    <w:rsid w:val="00C37667"/>
    <w:rsid w:val="00C37971"/>
    <w:rsid w:val="00C41D00"/>
    <w:rsid w:val="00C435DB"/>
    <w:rsid w:val="00C44C56"/>
    <w:rsid w:val="00C44D73"/>
    <w:rsid w:val="00C469F4"/>
    <w:rsid w:val="00C46E25"/>
    <w:rsid w:val="00C4712B"/>
    <w:rsid w:val="00C4763A"/>
    <w:rsid w:val="00C477D6"/>
    <w:rsid w:val="00C50B42"/>
    <w:rsid w:val="00C51348"/>
    <w:rsid w:val="00C516FF"/>
    <w:rsid w:val="00C52BFA"/>
    <w:rsid w:val="00C52CD9"/>
    <w:rsid w:val="00C53B99"/>
    <w:rsid w:val="00C53D1D"/>
    <w:rsid w:val="00C53F26"/>
    <w:rsid w:val="00C540BC"/>
    <w:rsid w:val="00C540CC"/>
    <w:rsid w:val="00C54300"/>
    <w:rsid w:val="00C54CA6"/>
    <w:rsid w:val="00C54D8C"/>
    <w:rsid w:val="00C54DF1"/>
    <w:rsid w:val="00C56626"/>
    <w:rsid w:val="00C56662"/>
    <w:rsid w:val="00C5667A"/>
    <w:rsid w:val="00C56C34"/>
    <w:rsid w:val="00C60D21"/>
    <w:rsid w:val="00C611F4"/>
    <w:rsid w:val="00C61A6E"/>
    <w:rsid w:val="00C63037"/>
    <w:rsid w:val="00C63C70"/>
    <w:rsid w:val="00C63FFE"/>
    <w:rsid w:val="00C64ED0"/>
    <w:rsid w:val="00C64F7D"/>
    <w:rsid w:val="00C6692C"/>
    <w:rsid w:val="00C670D9"/>
    <w:rsid w:val="00C67309"/>
    <w:rsid w:val="00C70AEC"/>
    <w:rsid w:val="00C71E57"/>
    <w:rsid w:val="00C72732"/>
    <w:rsid w:val="00C74100"/>
    <w:rsid w:val="00C7614E"/>
    <w:rsid w:val="00C76AC7"/>
    <w:rsid w:val="00C77BF1"/>
    <w:rsid w:val="00C80D60"/>
    <w:rsid w:val="00C8169C"/>
    <w:rsid w:val="00C82FBD"/>
    <w:rsid w:val="00C84B46"/>
    <w:rsid w:val="00C850F9"/>
    <w:rsid w:val="00C85267"/>
    <w:rsid w:val="00C8721B"/>
    <w:rsid w:val="00C9172A"/>
    <w:rsid w:val="00C924C6"/>
    <w:rsid w:val="00C9372C"/>
    <w:rsid w:val="00C94588"/>
    <w:rsid w:val="00C9470E"/>
    <w:rsid w:val="00C94D89"/>
    <w:rsid w:val="00C94E3C"/>
    <w:rsid w:val="00C9534E"/>
    <w:rsid w:val="00C95CEB"/>
    <w:rsid w:val="00C9616E"/>
    <w:rsid w:val="00C96B81"/>
    <w:rsid w:val="00C97ACD"/>
    <w:rsid w:val="00C97B0C"/>
    <w:rsid w:val="00CA050D"/>
    <w:rsid w:val="00CA0E39"/>
    <w:rsid w:val="00CA1054"/>
    <w:rsid w:val="00CA1F5B"/>
    <w:rsid w:val="00CA28D6"/>
    <w:rsid w:val="00CA3A72"/>
    <w:rsid w:val="00CA3DEB"/>
    <w:rsid w:val="00CA4613"/>
    <w:rsid w:val="00CA4F1A"/>
    <w:rsid w:val="00CA63EB"/>
    <w:rsid w:val="00CA6608"/>
    <w:rsid w:val="00CA66FB"/>
    <w:rsid w:val="00CA69F1"/>
    <w:rsid w:val="00CA6CE4"/>
    <w:rsid w:val="00CA7E18"/>
    <w:rsid w:val="00CB1D5B"/>
    <w:rsid w:val="00CB21A6"/>
    <w:rsid w:val="00CB2DAA"/>
    <w:rsid w:val="00CB4284"/>
    <w:rsid w:val="00CB6441"/>
    <w:rsid w:val="00CB68EC"/>
    <w:rsid w:val="00CB6991"/>
    <w:rsid w:val="00CB6D5F"/>
    <w:rsid w:val="00CC06BD"/>
    <w:rsid w:val="00CC0966"/>
    <w:rsid w:val="00CC16B7"/>
    <w:rsid w:val="00CC3AF2"/>
    <w:rsid w:val="00CC4211"/>
    <w:rsid w:val="00CC5A22"/>
    <w:rsid w:val="00CC60B8"/>
    <w:rsid w:val="00CC6194"/>
    <w:rsid w:val="00CC6305"/>
    <w:rsid w:val="00CC78A5"/>
    <w:rsid w:val="00CD0379"/>
    <w:rsid w:val="00CD0516"/>
    <w:rsid w:val="00CD31CD"/>
    <w:rsid w:val="00CD43D6"/>
    <w:rsid w:val="00CD4AB9"/>
    <w:rsid w:val="00CD5706"/>
    <w:rsid w:val="00CD733F"/>
    <w:rsid w:val="00CD756B"/>
    <w:rsid w:val="00CE0631"/>
    <w:rsid w:val="00CE10BB"/>
    <w:rsid w:val="00CE3B03"/>
    <w:rsid w:val="00CE4362"/>
    <w:rsid w:val="00CE5927"/>
    <w:rsid w:val="00CE6777"/>
    <w:rsid w:val="00CE734F"/>
    <w:rsid w:val="00CE73A9"/>
    <w:rsid w:val="00CE758F"/>
    <w:rsid w:val="00CF0E54"/>
    <w:rsid w:val="00CF112E"/>
    <w:rsid w:val="00CF1BBA"/>
    <w:rsid w:val="00CF2346"/>
    <w:rsid w:val="00CF24C6"/>
    <w:rsid w:val="00CF550C"/>
    <w:rsid w:val="00CF5F4F"/>
    <w:rsid w:val="00CF6E5F"/>
    <w:rsid w:val="00CF71F0"/>
    <w:rsid w:val="00CF7898"/>
    <w:rsid w:val="00D0034C"/>
    <w:rsid w:val="00D00605"/>
    <w:rsid w:val="00D02810"/>
    <w:rsid w:val="00D02CEB"/>
    <w:rsid w:val="00D033E3"/>
    <w:rsid w:val="00D0415C"/>
    <w:rsid w:val="00D074C5"/>
    <w:rsid w:val="00D07F2D"/>
    <w:rsid w:val="00D104A5"/>
    <w:rsid w:val="00D11122"/>
    <w:rsid w:val="00D11611"/>
    <w:rsid w:val="00D127FE"/>
    <w:rsid w:val="00D14609"/>
    <w:rsid w:val="00D14953"/>
    <w:rsid w:val="00D14BEE"/>
    <w:rsid w:val="00D1627A"/>
    <w:rsid w:val="00D176EC"/>
    <w:rsid w:val="00D17CEE"/>
    <w:rsid w:val="00D2181E"/>
    <w:rsid w:val="00D218DC"/>
    <w:rsid w:val="00D22784"/>
    <w:rsid w:val="00D2420F"/>
    <w:rsid w:val="00D24D38"/>
    <w:rsid w:val="00D24E56"/>
    <w:rsid w:val="00D24E5B"/>
    <w:rsid w:val="00D25D42"/>
    <w:rsid w:val="00D26CE2"/>
    <w:rsid w:val="00D30322"/>
    <w:rsid w:val="00D30E41"/>
    <w:rsid w:val="00D31643"/>
    <w:rsid w:val="00D31AEB"/>
    <w:rsid w:val="00D32ECD"/>
    <w:rsid w:val="00D337EB"/>
    <w:rsid w:val="00D35000"/>
    <w:rsid w:val="00D3516D"/>
    <w:rsid w:val="00D35197"/>
    <w:rsid w:val="00D35836"/>
    <w:rsid w:val="00D35871"/>
    <w:rsid w:val="00D35925"/>
    <w:rsid w:val="00D35D7F"/>
    <w:rsid w:val="00D35E09"/>
    <w:rsid w:val="00D361E4"/>
    <w:rsid w:val="00D3725D"/>
    <w:rsid w:val="00D40607"/>
    <w:rsid w:val="00D4130C"/>
    <w:rsid w:val="00D4138D"/>
    <w:rsid w:val="00D421CE"/>
    <w:rsid w:val="00D42A8F"/>
    <w:rsid w:val="00D439F6"/>
    <w:rsid w:val="00D459C6"/>
    <w:rsid w:val="00D47B70"/>
    <w:rsid w:val="00D50729"/>
    <w:rsid w:val="00D50C19"/>
    <w:rsid w:val="00D51783"/>
    <w:rsid w:val="00D5379E"/>
    <w:rsid w:val="00D54DAD"/>
    <w:rsid w:val="00D5663B"/>
    <w:rsid w:val="00D62128"/>
    <w:rsid w:val="00D62643"/>
    <w:rsid w:val="00D628CC"/>
    <w:rsid w:val="00D6368D"/>
    <w:rsid w:val="00D64A73"/>
    <w:rsid w:val="00D64C0F"/>
    <w:rsid w:val="00D663CA"/>
    <w:rsid w:val="00D66781"/>
    <w:rsid w:val="00D67334"/>
    <w:rsid w:val="00D67EBD"/>
    <w:rsid w:val="00D70A80"/>
    <w:rsid w:val="00D71E60"/>
    <w:rsid w:val="00D72EFE"/>
    <w:rsid w:val="00D73FE3"/>
    <w:rsid w:val="00D748BB"/>
    <w:rsid w:val="00D752FF"/>
    <w:rsid w:val="00D76227"/>
    <w:rsid w:val="00D76474"/>
    <w:rsid w:val="00D77180"/>
    <w:rsid w:val="00D77DF1"/>
    <w:rsid w:val="00D80AC9"/>
    <w:rsid w:val="00D81F2B"/>
    <w:rsid w:val="00D84364"/>
    <w:rsid w:val="00D86AFF"/>
    <w:rsid w:val="00D90BD6"/>
    <w:rsid w:val="00D90E50"/>
    <w:rsid w:val="00D9119A"/>
    <w:rsid w:val="00D927CF"/>
    <w:rsid w:val="00D92B1B"/>
    <w:rsid w:val="00D95A44"/>
    <w:rsid w:val="00D95D16"/>
    <w:rsid w:val="00D97506"/>
    <w:rsid w:val="00D97C76"/>
    <w:rsid w:val="00DA0586"/>
    <w:rsid w:val="00DA0728"/>
    <w:rsid w:val="00DA2331"/>
    <w:rsid w:val="00DA2E70"/>
    <w:rsid w:val="00DA2E7A"/>
    <w:rsid w:val="00DA3D02"/>
    <w:rsid w:val="00DA4493"/>
    <w:rsid w:val="00DA51FF"/>
    <w:rsid w:val="00DA6046"/>
    <w:rsid w:val="00DA662B"/>
    <w:rsid w:val="00DB02B4"/>
    <w:rsid w:val="00DB0489"/>
    <w:rsid w:val="00DB14CB"/>
    <w:rsid w:val="00DB35CB"/>
    <w:rsid w:val="00DB538D"/>
    <w:rsid w:val="00DB5EB3"/>
    <w:rsid w:val="00DB67E7"/>
    <w:rsid w:val="00DB6BAC"/>
    <w:rsid w:val="00DB72C5"/>
    <w:rsid w:val="00DB7887"/>
    <w:rsid w:val="00DC21F1"/>
    <w:rsid w:val="00DC275C"/>
    <w:rsid w:val="00DC3846"/>
    <w:rsid w:val="00DC3871"/>
    <w:rsid w:val="00DC3F6D"/>
    <w:rsid w:val="00DC4B0D"/>
    <w:rsid w:val="00DC5258"/>
    <w:rsid w:val="00DC5A2E"/>
    <w:rsid w:val="00DC5CC6"/>
    <w:rsid w:val="00DC6ADE"/>
    <w:rsid w:val="00DC6D5D"/>
    <w:rsid w:val="00DC70A9"/>
    <w:rsid w:val="00DC7FE1"/>
    <w:rsid w:val="00DD00FB"/>
    <w:rsid w:val="00DD0194"/>
    <w:rsid w:val="00DD11A7"/>
    <w:rsid w:val="00DD1430"/>
    <w:rsid w:val="00DD1BF6"/>
    <w:rsid w:val="00DD2BF2"/>
    <w:rsid w:val="00DD33BC"/>
    <w:rsid w:val="00DD3F3F"/>
    <w:rsid w:val="00DD5572"/>
    <w:rsid w:val="00DE0A98"/>
    <w:rsid w:val="00DE55EF"/>
    <w:rsid w:val="00DE5776"/>
    <w:rsid w:val="00DE5D80"/>
    <w:rsid w:val="00DE6450"/>
    <w:rsid w:val="00DE6B44"/>
    <w:rsid w:val="00DF09DF"/>
    <w:rsid w:val="00DF112C"/>
    <w:rsid w:val="00DF1BAA"/>
    <w:rsid w:val="00DF24EC"/>
    <w:rsid w:val="00DF2BD8"/>
    <w:rsid w:val="00DF3154"/>
    <w:rsid w:val="00DF3DFB"/>
    <w:rsid w:val="00DF3ED4"/>
    <w:rsid w:val="00DF40A9"/>
    <w:rsid w:val="00DF58CD"/>
    <w:rsid w:val="00DF65DE"/>
    <w:rsid w:val="00DF6A90"/>
    <w:rsid w:val="00DF6ED3"/>
    <w:rsid w:val="00DF7E24"/>
    <w:rsid w:val="00E00915"/>
    <w:rsid w:val="00E00EE8"/>
    <w:rsid w:val="00E019A5"/>
    <w:rsid w:val="00E01AD0"/>
    <w:rsid w:val="00E02210"/>
    <w:rsid w:val="00E02BDD"/>
    <w:rsid w:val="00E02EC8"/>
    <w:rsid w:val="00E030C9"/>
    <w:rsid w:val="00E037F5"/>
    <w:rsid w:val="00E038CE"/>
    <w:rsid w:val="00E04ECB"/>
    <w:rsid w:val="00E05A09"/>
    <w:rsid w:val="00E06CA1"/>
    <w:rsid w:val="00E071C7"/>
    <w:rsid w:val="00E076EA"/>
    <w:rsid w:val="00E112BD"/>
    <w:rsid w:val="00E114DE"/>
    <w:rsid w:val="00E11D7B"/>
    <w:rsid w:val="00E12809"/>
    <w:rsid w:val="00E131B1"/>
    <w:rsid w:val="00E145A5"/>
    <w:rsid w:val="00E149B2"/>
    <w:rsid w:val="00E15C71"/>
    <w:rsid w:val="00E171DE"/>
    <w:rsid w:val="00E172B8"/>
    <w:rsid w:val="00E17434"/>
    <w:rsid w:val="00E17FB4"/>
    <w:rsid w:val="00E20B75"/>
    <w:rsid w:val="00E210DB"/>
    <w:rsid w:val="00E214F2"/>
    <w:rsid w:val="00E225DF"/>
    <w:rsid w:val="00E2363C"/>
    <w:rsid w:val="00E2371E"/>
    <w:rsid w:val="00E23B9C"/>
    <w:rsid w:val="00E23D13"/>
    <w:rsid w:val="00E24BD7"/>
    <w:rsid w:val="00E24F71"/>
    <w:rsid w:val="00E25651"/>
    <w:rsid w:val="00E25858"/>
    <w:rsid w:val="00E26523"/>
    <w:rsid w:val="00E2672A"/>
    <w:rsid w:val="00E267CE"/>
    <w:rsid w:val="00E26809"/>
    <w:rsid w:val="00E27D7D"/>
    <w:rsid w:val="00E30496"/>
    <w:rsid w:val="00E315D4"/>
    <w:rsid w:val="00E3412D"/>
    <w:rsid w:val="00E347B2"/>
    <w:rsid w:val="00E34D4E"/>
    <w:rsid w:val="00E35333"/>
    <w:rsid w:val="00E375CA"/>
    <w:rsid w:val="00E40187"/>
    <w:rsid w:val="00E40619"/>
    <w:rsid w:val="00E40C89"/>
    <w:rsid w:val="00E41C83"/>
    <w:rsid w:val="00E42557"/>
    <w:rsid w:val="00E43D34"/>
    <w:rsid w:val="00E4480C"/>
    <w:rsid w:val="00E44EE3"/>
    <w:rsid w:val="00E45396"/>
    <w:rsid w:val="00E45462"/>
    <w:rsid w:val="00E45668"/>
    <w:rsid w:val="00E45F6B"/>
    <w:rsid w:val="00E47272"/>
    <w:rsid w:val="00E47F32"/>
    <w:rsid w:val="00E51DDC"/>
    <w:rsid w:val="00E52AC1"/>
    <w:rsid w:val="00E56DE4"/>
    <w:rsid w:val="00E57322"/>
    <w:rsid w:val="00E607AD"/>
    <w:rsid w:val="00E61723"/>
    <w:rsid w:val="00E62624"/>
    <w:rsid w:val="00E628CB"/>
    <w:rsid w:val="00E62AD9"/>
    <w:rsid w:val="00E62EE6"/>
    <w:rsid w:val="00E63160"/>
    <w:rsid w:val="00E63241"/>
    <w:rsid w:val="00E638C8"/>
    <w:rsid w:val="00E674B4"/>
    <w:rsid w:val="00E677F7"/>
    <w:rsid w:val="00E7005E"/>
    <w:rsid w:val="00E70AB3"/>
    <w:rsid w:val="00E71360"/>
    <w:rsid w:val="00E73AFF"/>
    <w:rsid w:val="00E73F9F"/>
    <w:rsid w:val="00E74092"/>
    <w:rsid w:val="00E74B05"/>
    <w:rsid w:val="00E7509B"/>
    <w:rsid w:val="00E75311"/>
    <w:rsid w:val="00E75F55"/>
    <w:rsid w:val="00E766E0"/>
    <w:rsid w:val="00E80BF6"/>
    <w:rsid w:val="00E820F6"/>
    <w:rsid w:val="00E84657"/>
    <w:rsid w:val="00E85B81"/>
    <w:rsid w:val="00E8611A"/>
    <w:rsid w:val="00E8642F"/>
    <w:rsid w:val="00E86590"/>
    <w:rsid w:val="00E8732E"/>
    <w:rsid w:val="00E907FF"/>
    <w:rsid w:val="00E919BD"/>
    <w:rsid w:val="00E94DB2"/>
    <w:rsid w:val="00E95347"/>
    <w:rsid w:val="00E960AB"/>
    <w:rsid w:val="00E97734"/>
    <w:rsid w:val="00EA0843"/>
    <w:rsid w:val="00EA14DC"/>
    <w:rsid w:val="00EA1A95"/>
    <w:rsid w:val="00EA208D"/>
    <w:rsid w:val="00EA42D1"/>
    <w:rsid w:val="00EA42EF"/>
    <w:rsid w:val="00EA5438"/>
    <w:rsid w:val="00EA68D2"/>
    <w:rsid w:val="00EA710B"/>
    <w:rsid w:val="00EB0457"/>
    <w:rsid w:val="00EB083A"/>
    <w:rsid w:val="00EB159B"/>
    <w:rsid w:val="00EB1B39"/>
    <w:rsid w:val="00EB1CAC"/>
    <w:rsid w:val="00EB1F92"/>
    <w:rsid w:val="00EB235A"/>
    <w:rsid w:val="00EB2DD1"/>
    <w:rsid w:val="00EB4B24"/>
    <w:rsid w:val="00EB68ED"/>
    <w:rsid w:val="00EB6B37"/>
    <w:rsid w:val="00EB6D26"/>
    <w:rsid w:val="00EB792D"/>
    <w:rsid w:val="00EB7D63"/>
    <w:rsid w:val="00EC08B6"/>
    <w:rsid w:val="00EC23B4"/>
    <w:rsid w:val="00EC2578"/>
    <w:rsid w:val="00EC2693"/>
    <w:rsid w:val="00EC29FE"/>
    <w:rsid w:val="00EC302E"/>
    <w:rsid w:val="00EC3C70"/>
    <w:rsid w:val="00EC4D86"/>
    <w:rsid w:val="00EC700E"/>
    <w:rsid w:val="00ED09B1"/>
    <w:rsid w:val="00ED140D"/>
    <w:rsid w:val="00ED17DE"/>
    <w:rsid w:val="00ED1FE0"/>
    <w:rsid w:val="00ED22D9"/>
    <w:rsid w:val="00ED3A3D"/>
    <w:rsid w:val="00ED538A"/>
    <w:rsid w:val="00ED667D"/>
    <w:rsid w:val="00ED6FBC"/>
    <w:rsid w:val="00ED7020"/>
    <w:rsid w:val="00ED71E7"/>
    <w:rsid w:val="00ED73A3"/>
    <w:rsid w:val="00ED7B01"/>
    <w:rsid w:val="00EE0B88"/>
    <w:rsid w:val="00EE1105"/>
    <w:rsid w:val="00EE2CF6"/>
    <w:rsid w:val="00EE2F16"/>
    <w:rsid w:val="00EE33B0"/>
    <w:rsid w:val="00EE3861"/>
    <w:rsid w:val="00EE3AAE"/>
    <w:rsid w:val="00EE4CCF"/>
    <w:rsid w:val="00EE4F61"/>
    <w:rsid w:val="00EE721C"/>
    <w:rsid w:val="00EE7886"/>
    <w:rsid w:val="00EE79D8"/>
    <w:rsid w:val="00EF04D8"/>
    <w:rsid w:val="00EF1186"/>
    <w:rsid w:val="00EF1876"/>
    <w:rsid w:val="00EF1A4C"/>
    <w:rsid w:val="00EF2CB5"/>
    <w:rsid w:val="00EF2E73"/>
    <w:rsid w:val="00EF35DD"/>
    <w:rsid w:val="00EF416C"/>
    <w:rsid w:val="00EF53DC"/>
    <w:rsid w:val="00EF5483"/>
    <w:rsid w:val="00EF56A3"/>
    <w:rsid w:val="00EF7078"/>
    <w:rsid w:val="00EF732D"/>
    <w:rsid w:val="00EF7683"/>
    <w:rsid w:val="00EF7A2D"/>
    <w:rsid w:val="00F01FAA"/>
    <w:rsid w:val="00F025E8"/>
    <w:rsid w:val="00F04F8D"/>
    <w:rsid w:val="00F064CF"/>
    <w:rsid w:val="00F067CB"/>
    <w:rsid w:val="00F067F1"/>
    <w:rsid w:val="00F10AD0"/>
    <w:rsid w:val="00F116CC"/>
    <w:rsid w:val="00F1192A"/>
    <w:rsid w:val="00F12355"/>
    <w:rsid w:val="00F12BD1"/>
    <w:rsid w:val="00F12C74"/>
    <w:rsid w:val="00F15327"/>
    <w:rsid w:val="00F1606E"/>
    <w:rsid w:val="00F168CF"/>
    <w:rsid w:val="00F17D2E"/>
    <w:rsid w:val="00F17FC1"/>
    <w:rsid w:val="00F22D5F"/>
    <w:rsid w:val="00F2356C"/>
    <w:rsid w:val="00F24CBD"/>
    <w:rsid w:val="00F24EE4"/>
    <w:rsid w:val="00F2555C"/>
    <w:rsid w:val="00F262EC"/>
    <w:rsid w:val="00F264F0"/>
    <w:rsid w:val="00F27492"/>
    <w:rsid w:val="00F30F61"/>
    <w:rsid w:val="00F31D8B"/>
    <w:rsid w:val="00F31DF3"/>
    <w:rsid w:val="00F33AE5"/>
    <w:rsid w:val="00F33F7C"/>
    <w:rsid w:val="00F3419D"/>
    <w:rsid w:val="00F358B0"/>
    <w:rsid w:val="00F3597D"/>
    <w:rsid w:val="00F36BB1"/>
    <w:rsid w:val="00F36D79"/>
    <w:rsid w:val="00F37DA6"/>
    <w:rsid w:val="00F407DA"/>
    <w:rsid w:val="00F40A5D"/>
    <w:rsid w:val="00F4360D"/>
    <w:rsid w:val="00F4376D"/>
    <w:rsid w:val="00F45399"/>
    <w:rsid w:val="00F465EA"/>
    <w:rsid w:val="00F46ABC"/>
    <w:rsid w:val="00F46BD1"/>
    <w:rsid w:val="00F46D49"/>
    <w:rsid w:val="00F4752F"/>
    <w:rsid w:val="00F50B92"/>
    <w:rsid w:val="00F50C2E"/>
    <w:rsid w:val="00F50EB1"/>
    <w:rsid w:val="00F52A9C"/>
    <w:rsid w:val="00F5302C"/>
    <w:rsid w:val="00F5316D"/>
    <w:rsid w:val="00F54E21"/>
    <w:rsid w:val="00F54E7B"/>
    <w:rsid w:val="00F55A88"/>
    <w:rsid w:val="00F6104D"/>
    <w:rsid w:val="00F6270D"/>
    <w:rsid w:val="00F635CF"/>
    <w:rsid w:val="00F64E31"/>
    <w:rsid w:val="00F64EAA"/>
    <w:rsid w:val="00F66111"/>
    <w:rsid w:val="00F67BD3"/>
    <w:rsid w:val="00F732D7"/>
    <w:rsid w:val="00F74005"/>
    <w:rsid w:val="00F74B68"/>
    <w:rsid w:val="00F76749"/>
    <w:rsid w:val="00F76884"/>
    <w:rsid w:val="00F76AA1"/>
    <w:rsid w:val="00F81153"/>
    <w:rsid w:val="00F8196B"/>
    <w:rsid w:val="00F82178"/>
    <w:rsid w:val="00F825D2"/>
    <w:rsid w:val="00F83CBE"/>
    <w:rsid w:val="00F83D24"/>
    <w:rsid w:val="00F83DD9"/>
    <w:rsid w:val="00F83F40"/>
    <w:rsid w:val="00F8752D"/>
    <w:rsid w:val="00F87530"/>
    <w:rsid w:val="00F91EBE"/>
    <w:rsid w:val="00F93EF6"/>
    <w:rsid w:val="00F94391"/>
    <w:rsid w:val="00F97375"/>
    <w:rsid w:val="00F977A2"/>
    <w:rsid w:val="00FA0391"/>
    <w:rsid w:val="00FA117A"/>
    <w:rsid w:val="00FA2056"/>
    <w:rsid w:val="00FA25AD"/>
    <w:rsid w:val="00FA4098"/>
    <w:rsid w:val="00FA50B1"/>
    <w:rsid w:val="00FA5366"/>
    <w:rsid w:val="00FA55C1"/>
    <w:rsid w:val="00FA603B"/>
    <w:rsid w:val="00FA614E"/>
    <w:rsid w:val="00FA6839"/>
    <w:rsid w:val="00FA7785"/>
    <w:rsid w:val="00FA7D90"/>
    <w:rsid w:val="00FB0439"/>
    <w:rsid w:val="00FB0C3E"/>
    <w:rsid w:val="00FB103D"/>
    <w:rsid w:val="00FB28F5"/>
    <w:rsid w:val="00FB386A"/>
    <w:rsid w:val="00FB38BC"/>
    <w:rsid w:val="00FB43CA"/>
    <w:rsid w:val="00FB484F"/>
    <w:rsid w:val="00FB4CB0"/>
    <w:rsid w:val="00FC0786"/>
    <w:rsid w:val="00FC2104"/>
    <w:rsid w:val="00FC22BF"/>
    <w:rsid w:val="00FC2982"/>
    <w:rsid w:val="00FC418D"/>
    <w:rsid w:val="00FC49EF"/>
    <w:rsid w:val="00FC545E"/>
    <w:rsid w:val="00FC699C"/>
    <w:rsid w:val="00FC6D64"/>
    <w:rsid w:val="00FC6DA3"/>
    <w:rsid w:val="00FC7618"/>
    <w:rsid w:val="00FC7A9E"/>
    <w:rsid w:val="00FD0605"/>
    <w:rsid w:val="00FD0A2D"/>
    <w:rsid w:val="00FD3111"/>
    <w:rsid w:val="00FD3205"/>
    <w:rsid w:val="00FD4D0C"/>
    <w:rsid w:val="00FD59A8"/>
    <w:rsid w:val="00FD5A8B"/>
    <w:rsid w:val="00FD616F"/>
    <w:rsid w:val="00FE00BA"/>
    <w:rsid w:val="00FE115C"/>
    <w:rsid w:val="00FE1868"/>
    <w:rsid w:val="00FE25D2"/>
    <w:rsid w:val="00FE2BC1"/>
    <w:rsid w:val="00FE36E2"/>
    <w:rsid w:val="00FE5046"/>
    <w:rsid w:val="00FE7B2E"/>
    <w:rsid w:val="00FF00ED"/>
    <w:rsid w:val="00FF1192"/>
    <w:rsid w:val="00FF11AD"/>
    <w:rsid w:val="00FF1BFC"/>
    <w:rsid w:val="00FF2971"/>
    <w:rsid w:val="00FF34D4"/>
    <w:rsid w:val="00FF5A90"/>
    <w:rsid w:val="00FF5C30"/>
    <w:rsid w:val="00FF66CC"/>
    <w:rsid w:val="00FF7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B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D628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TYTUAKTUprzedmiotregulacjiustawylubrozporzdzenia">
    <w:name w:val="TYTUŁ_AKTU – przedmiot regulacji ustawy lub rozporządzenia"/>
    <w:next w:val="Normalny"/>
    <w:uiPriority w:val="6"/>
    <w:qFormat/>
    <w:rsid w:val="00E112BD"/>
    <w:pPr>
      <w:keepNext/>
      <w:suppressAutoHyphens/>
      <w:spacing w:before="120" w:after="360" w:line="360" w:lineRule="auto"/>
      <w:jc w:val="center"/>
    </w:pPr>
    <w:rPr>
      <w:rFonts w:ascii="Times" w:eastAsiaTheme="minorEastAsia" w:hAnsi="Times" w:cs="Arial"/>
      <w:b/>
      <w:bCs/>
      <w:sz w:val="24"/>
      <w:szCs w:val="24"/>
    </w:rPr>
  </w:style>
  <w:style w:type="character" w:customStyle="1" w:styleId="IDindeksdolny">
    <w:name w:val="_ID_ – indeks dolny"/>
    <w:basedOn w:val="Domylnaczcionkaakapitu"/>
    <w:uiPriority w:val="3"/>
    <w:qFormat/>
    <w:rsid w:val="00E112BD"/>
    <w:rPr>
      <w:b w:val="0"/>
      <w:i w:val="0"/>
      <w:vanish w:val="0"/>
      <w:spacing w:val="0"/>
      <w:vertAlign w:val="subscript"/>
    </w:rPr>
  </w:style>
  <w:style w:type="paragraph" w:customStyle="1" w:styleId="ARTartustawynprozporzdzenia">
    <w:name w:val="ART(§) – art. ustawy (§ np. rozporządzenia)"/>
    <w:uiPriority w:val="11"/>
    <w:qFormat/>
    <w:rsid w:val="00A84861"/>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Ppogrubienie">
    <w:name w:val="_P_ – pogrubienie"/>
    <w:basedOn w:val="Domylnaczcionkaakapitu"/>
    <w:uiPriority w:val="1"/>
    <w:qFormat/>
    <w:rsid w:val="00B63117"/>
    <w:rPr>
      <w:b/>
    </w:rPr>
  </w:style>
  <w:style w:type="paragraph" w:customStyle="1" w:styleId="PKTpunkt">
    <w:name w:val="PKT – punkt"/>
    <w:uiPriority w:val="13"/>
    <w:qFormat/>
    <w:rsid w:val="000500DE"/>
    <w:pPr>
      <w:spacing w:line="360" w:lineRule="auto"/>
      <w:ind w:left="510" w:hanging="510"/>
      <w:jc w:val="both"/>
    </w:pPr>
    <w:rPr>
      <w:rFonts w:ascii="Times" w:eastAsiaTheme="minorEastAsia" w:hAnsi="Times" w:cs="Arial"/>
      <w:bCs/>
      <w:sz w:val="24"/>
    </w:rPr>
  </w:style>
  <w:style w:type="character" w:customStyle="1" w:styleId="FontStyle26">
    <w:name w:val="Font Style26"/>
    <w:uiPriority w:val="99"/>
    <w:rsid w:val="008E1C89"/>
    <w:rPr>
      <w:rFonts w:ascii="Times New Roman" w:hAnsi="Times New Roman" w:cs="Times New Roman" w:hint="default"/>
      <w:sz w:val="20"/>
      <w:szCs w:val="20"/>
    </w:rPr>
  </w:style>
  <w:style w:type="character" w:customStyle="1" w:styleId="FontStyle23">
    <w:name w:val="Font Style23"/>
    <w:uiPriority w:val="99"/>
    <w:rsid w:val="00441C04"/>
    <w:rPr>
      <w:rFonts w:ascii="Times New Roman" w:hAnsi="Times New Roman" w:cs="Times New Roman" w:hint="default"/>
      <w:sz w:val="22"/>
      <w:szCs w:val="22"/>
    </w:rPr>
  </w:style>
  <w:style w:type="character" w:customStyle="1" w:styleId="Nierozpoznanawzmianka1">
    <w:name w:val="Nierozpoznana wzmianka1"/>
    <w:basedOn w:val="Domylnaczcionkaakapitu"/>
    <w:uiPriority w:val="99"/>
    <w:semiHidden/>
    <w:unhideWhenUsed/>
    <w:rsid w:val="002B0A10"/>
    <w:rPr>
      <w:color w:val="605E5C"/>
      <w:shd w:val="clear" w:color="auto" w:fill="E1DFDD"/>
    </w:rPr>
  </w:style>
  <w:style w:type="character" w:customStyle="1" w:styleId="Nagwek2Znak">
    <w:name w:val="Nagłówek 2 Znak"/>
    <w:basedOn w:val="Domylnaczcionkaakapitu"/>
    <w:link w:val="Nagwek2"/>
    <w:semiHidden/>
    <w:rsid w:val="00D628CC"/>
    <w:rPr>
      <w:rFonts w:asciiTheme="majorHAnsi" w:eastAsiaTheme="majorEastAsia" w:hAnsiTheme="majorHAnsi" w:cstheme="majorBidi"/>
      <w:color w:val="365F91" w:themeColor="accent1" w:themeShade="BF"/>
      <w:sz w:val="26"/>
      <w:szCs w:val="26"/>
      <w:lang w:eastAsia="en-US"/>
    </w:rPr>
  </w:style>
  <w:style w:type="paragraph" w:styleId="Poprawka">
    <w:name w:val="Revision"/>
    <w:hidden/>
    <w:uiPriority w:val="99"/>
    <w:semiHidden/>
    <w:rsid w:val="00505BF0"/>
    <w:rPr>
      <w:sz w:val="22"/>
      <w:szCs w:val="22"/>
      <w:lang w:eastAsia="en-US"/>
    </w:rPr>
  </w:style>
  <w:style w:type="paragraph" w:customStyle="1" w:styleId="mcntmsonormal">
    <w:name w:val="mcntmsonormal"/>
    <w:basedOn w:val="Normalny"/>
    <w:rsid w:val="00096A9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cntmsonormal1">
    <w:name w:val="mcntmsonormal1"/>
    <w:basedOn w:val="Normalny"/>
    <w:rsid w:val="00D14953"/>
    <w:pPr>
      <w:spacing w:line="240" w:lineRule="auto"/>
    </w:pPr>
    <w:rPr>
      <w:rFonts w:ascii="Times New Roman" w:eastAsiaTheme="minorHAnsi" w:hAnsi="Times New Roman"/>
      <w:sz w:val="24"/>
      <w:szCs w:val="24"/>
      <w:lang w:eastAsia="pl-PL"/>
    </w:rPr>
  </w:style>
  <w:style w:type="character" w:customStyle="1" w:styleId="Nierozpoznanawzmianka2">
    <w:name w:val="Nierozpoznana wzmianka2"/>
    <w:basedOn w:val="Domylnaczcionkaakapitu"/>
    <w:uiPriority w:val="99"/>
    <w:semiHidden/>
    <w:unhideWhenUsed/>
    <w:rsid w:val="002B22C2"/>
    <w:rPr>
      <w:color w:val="605E5C"/>
      <w:shd w:val="clear" w:color="auto" w:fill="E1DFDD"/>
    </w:rPr>
  </w:style>
  <w:style w:type="character" w:customStyle="1" w:styleId="highlight">
    <w:name w:val="highlight"/>
    <w:basedOn w:val="Domylnaczcionkaakapitu"/>
    <w:rsid w:val="00E3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50346737">
      <w:bodyDiv w:val="1"/>
      <w:marLeft w:val="0"/>
      <w:marRight w:val="0"/>
      <w:marTop w:val="0"/>
      <w:marBottom w:val="0"/>
      <w:divBdr>
        <w:top w:val="none" w:sz="0" w:space="0" w:color="auto"/>
        <w:left w:val="none" w:sz="0" w:space="0" w:color="auto"/>
        <w:bottom w:val="none" w:sz="0" w:space="0" w:color="auto"/>
        <w:right w:val="none" w:sz="0" w:space="0" w:color="auto"/>
      </w:divBdr>
    </w:div>
    <w:div w:id="55204910">
      <w:bodyDiv w:val="1"/>
      <w:marLeft w:val="0"/>
      <w:marRight w:val="0"/>
      <w:marTop w:val="0"/>
      <w:marBottom w:val="0"/>
      <w:divBdr>
        <w:top w:val="none" w:sz="0" w:space="0" w:color="auto"/>
        <w:left w:val="none" w:sz="0" w:space="0" w:color="auto"/>
        <w:bottom w:val="none" w:sz="0" w:space="0" w:color="auto"/>
        <w:right w:val="none" w:sz="0" w:space="0" w:color="auto"/>
      </w:divBdr>
    </w:div>
    <w:div w:id="100150792">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22839001">
      <w:bodyDiv w:val="1"/>
      <w:marLeft w:val="0"/>
      <w:marRight w:val="0"/>
      <w:marTop w:val="0"/>
      <w:marBottom w:val="0"/>
      <w:divBdr>
        <w:top w:val="none" w:sz="0" w:space="0" w:color="auto"/>
        <w:left w:val="none" w:sz="0" w:space="0" w:color="auto"/>
        <w:bottom w:val="none" w:sz="0" w:space="0" w:color="auto"/>
        <w:right w:val="none" w:sz="0" w:space="0" w:color="auto"/>
      </w:divBdr>
    </w:div>
    <w:div w:id="227498156">
      <w:bodyDiv w:val="1"/>
      <w:marLeft w:val="0"/>
      <w:marRight w:val="0"/>
      <w:marTop w:val="0"/>
      <w:marBottom w:val="0"/>
      <w:divBdr>
        <w:top w:val="none" w:sz="0" w:space="0" w:color="auto"/>
        <w:left w:val="none" w:sz="0" w:space="0" w:color="auto"/>
        <w:bottom w:val="none" w:sz="0" w:space="0" w:color="auto"/>
        <w:right w:val="none" w:sz="0" w:space="0" w:color="auto"/>
      </w:divBdr>
    </w:div>
    <w:div w:id="249778406">
      <w:bodyDiv w:val="1"/>
      <w:marLeft w:val="0"/>
      <w:marRight w:val="0"/>
      <w:marTop w:val="0"/>
      <w:marBottom w:val="0"/>
      <w:divBdr>
        <w:top w:val="none" w:sz="0" w:space="0" w:color="auto"/>
        <w:left w:val="none" w:sz="0" w:space="0" w:color="auto"/>
        <w:bottom w:val="none" w:sz="0" w:space="0" w:color="auto"/>
        <w:right w:val="none" w:sz="0" w:space="0" w:color="auto"/>
      </w:divBdr>
    </w:div>
    <w:div w:id="339357353">
      <w:bodyDiv w:val="1"/>
      <w:marLeft w:val="0"/>
      <w:marRight w:val="0"/>
      <w:marTop w:val="0"/>
      <w:marBottom w:val="0"/>
      <w:divBdr>
        <w:top w:val="none" w:sz="0" w:space="0" w:color="auto"/>
        <w:left w:val="none" w:sz="0" w:space="0" w:color="auto"/>
        <w:bottom w:val="none" w:sz="0" w:space="0" w:color="auto"/>
        <w:right w:val="none" w:sz="0" w:space="0" w:color="auto"/>
      </w:divBdr>
    </w:div>
    <w:div w:id="375200646">
      <w:bodyDiv w:val="1"/>
      <w:marLeft w:val="0"/>
      <w:marRight w:val="0"/>
      <w:marTop w:val="0"/>
      <w:marBottom w:val="0"/>
      <w:divBdr>
        <w:top w:val="none" w:sz="0" w:space="0" w:color="auto"/>
        <w:left w:val="none" w:sz="0" w:space="0" w:color="auto"/>
        <w:bottom w:val="none" w:sz="0" w:space="0" w:color="auto"/>
        <w:right w:val="none" w:sz="0" w:space="0" w:color="auto"/>
      </w:divBdr>
    </w:div>
    <w:div w:id="436098771">
      <w:bodyDiv w:val="1"/>
      <w:marLeft w:val="0"/>
      <w:marRight w:val="0"/>
      <w:marTop w:val="0"/>
      <w:marBottom w:val="0"/>
      <w:divBdr>
        <w:top w:val="none" w:sz="0" w:space="0" w:color="auto"/>
        <w:left w:val="none" w:sz="0" w:space="0" w:color="auto"/>
        <w:bottom w:val="none" w:sz="0" w:space="0" w:color="auto"/>
        <w:right w:val="none" w:sz="0" w:space="0" w:color="auto"/>
      </w:divBdr>
    </w:div>
    <w:div w:id="462310800">
      <w:bodyDiv w:val="1"/>
      <w:marLeft w:val="0"/>
      <w:marRight w:val="0"/>
      <w:marTop w:val="0"/>
      <w:marBottom w:val="0"/>
      <w:divBdr>
        <w:top w:val="none" w:sz="0" w:space="0" w:color="auto"/>
        <w:left w:val="none" w:sz="0" w:space="0" w:color="auto"/>
        <w:bottom w:val="none" w:sz="0" w:space="0" w:color="auto"/>
        <w:right w:val="none" w:sz="0" w:space="0" w:color="auto"/>
      </w:divBdr>
    </w:div>
    <w:div w:id="51642697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42153702">
      <w:bodyDiv w:val="1"/>
      <w:marLeft w:val="0"/>
      <w:marRight w:val="0"/>
      <w:marTop w:val="0"/>
      <w:marBottom w:val="0"/>
      <w:divBdr>
        <w:top w:val="none" w:sz="0" w:space="0" w:color="auto"/>
        <w:left w:val="none" w:sz="0" w:space="0" w:color="auto"/>
        <w:bottom w:val="none" w:sz="0" w:space="0" w:color="auto"/>
        <w:right w:val="none" w:sz="0" w:space="0" w:color="auto"/>
      </w:divBdr>
    </w:div>
    <w:div w:id="644549965">
      <w:bodyDiv w:val="1"/>
      <w:marLeft w:val="0"/>
      <w:marRight w:val="0"/>
      <w:marTop w:val="0"/>
      <w:marBottom w:val="0"/>
      <w:divBdr>
        <w:top w:val="none" w:sz="0" w:space="0" w:color="auto"/>
        <w:left w:val="none" w:sz="0" w:space="0" w:color="auto"/>
        <w:bottom w:val="none" w:sz="0" w:space="0" w:color="auto"/>
        <w:right w:val="none" w:sz="0" w:space="0" w:color="auto"/>
      </w:divBdr>
    </w:div>
    <w:div w:id="733158477">
      <w:bodyDiv w:val="1"/>
      <w:marLeft w:val="0"/>
      <w:marRight w:val="0"/>
      <w:marTop w:val="0"/>
      <w:marBottom w:val="0"/>
      <w:divBdr>
        <w:top w:val="none" w:sz="0" w:space="0" w:color="auto"/>
        <w:left w:val="none" w:sz="0" w:space="0" w:color="auto"/>
        <w:bottom w:val="none" w:sz="0" w:space="0" w:color="auto"/>
        <w:right w:val="none" w:sz="0" w:space="0" w:color="auto"/>
      </w:divBdr>
    </w:div>
    <w:div w:id="81102283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82521308">
      <w:bodyDiv w:val="1"/>
      <w:marLeft w:val="0"/>
      <w:marRight w:val="0"/>
      <w:marTop w:val="0"/>
      <w:marBottom w:val="0"/>
      <w:divBdr>
        <w:top w:val="none" w:sz="0" w:space="0" w:color="auto"/>
        <w:left w:val="none" w:sz="0" w:space="0" w:color="auto"/>
        <w:bottom w:val="none" w:sz="0" w:space="0" w:color="auto"/>
        <w:right w:val="none" w:sz="0" w:space="0" w:color="auto"/>
      </w:divBdr>
    </w:div>
    <w:div w:id="891042068">
      <w:bodyDiv w:val="1"/>
      <w:marLeft w:val="0"/>
      <w:marRight w:val="0"/>
      <w:marTop w:val="0"/>
      <w:marBottom w:val="0"/>
      <w:divBdr>
        <w:top w:val="none" w:sz="0" w:space="0" w:color="auto"/>
        <w:left w:val="none" w:sz="0" w:space="0" w:color="auto"/>
        <w:bottom w:val="none" w:sz="0" w:space="0" w:color="auto"/>
        <w:right w:val="none" w:sz="0" w:space="0" w:color="auto"/>
      </w:divBdr>
    </w:div>
    <w:div w:id="1004550239">
      <w:bodyDiv w:val="1"/>
      <w:marLeft w:val="0"/>
      <w:marRight w:val="0"/>
      <w:marTop w:val="0"/>
      <w:marBottom w:val="0"/>
      <w:divBdr>
        <w:top w:val="none" w:sz="0" w:space="0" w:color="auto"/>
        <w:left w:val="none" w:sz="0" w:space="0" w:color="auto"/>
        <w:bottom w:val="none" w:sz="0" w:space="0" w:color="auto"/>
        <w:right w:val="none" w:sz="0" w:space="0" w:color="auto"/>
      </w:divBdr>
    </w:div>
    <w:div w:id="1006902759">
      <w:bodyDiv w:val="1"/>
      <w:marLeft w:val="0"/>
      <w:marRight w:val="0"/>
      <w:marTop w:val="0"/>
      <w:marBottom w:val="0"/>
      <w:divBdr>
        <w:top w:val="none" w:sz="0" w:space="0" w:color="auto"/>
        <w:left w:val="none" w:sz="0" w:space="0" w:color="auto"/>
        <w:bottom w:val="none" w:sz="0" w:space="0" w:color="auto"/>
        <w:right w:val="none" w:sz="0" w:space="0" w:color="auto"/>
      </w:divBdr>
    </w:div>
    <w:div w:id="1021321581">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76826430">
      <w:bodyDiv w:val="1"/>
      <w:marLeft w:val="0"/>
      <w:marRight w:val="0"/>
      <w:marTop w:val="0"/>
      <w:marBottom w:val="0"/>
      <w:divBdr>
        <w:top w:val="none" w:sz="0" w:space="0" w:color="auto"/>
        <w:left w:val="none" w:sz="0" w:space="0" w:color="auto"/>
        <w:bottom w:val="none" w:sz="0" w:space="0" w:color="auto"/>
        <w:right w:val="none" w:sz="0" w:space="0" w:color="auto"/>
      </w:divBdr>
    </w:div>
    <w:div w:id="1162814419">
      <w:bodyDiv w:val="1"/>
      <w:marLeft w:val="0"/>
      <w:marRight w:val="0"/>
      <w:marTop w:val="0"/>
      <w:marBottom w:val="0"/>
      <w:divBdr>
        <w:top w:val="none" w:sz="0" w:space="0" w:color="auto"/>
        <w:left w:val="none" w:sz="0" w:space="0" w:color="auto"/>
        <w:bottom w:val="none" w:sz="0" w:space="0" w:color="auto"/>
        <w:right w:val="none" w:sz="0" w:space="0" w:color="auto"/>
      </w:divBdr>
    </w:div>
    <w:div w:id="1178084420">
      <w:bodyDiv w:val="1"/>
      <w:marLeft w:val="0"/>
      <w:marRight w:val="0"/>
      <w:marTop w:val="0"/>
      <w:marBottom w:val="0"/>
      <w:divBdr>
        <w:top w:val="none" w:sz="0" w:space="0" w:color="auto"/>
        <w:left w:val="none" w:sz="0" w:space="0" w:color="auto"/>
        <w:bottom w:val="none" w:sz="0" w:space="0" w:color="auto"/>
        <w:right w:val="none" w:sz="0" w:space="0" w:color="auto"/>
      </w:divBdr>
    </w:div>
    <w:div w:id="1221018011">
      <w:bodyDiv w:val="1"/>
      <w:marLeft w:val="0"/>
      <w:marRight w:val="0"/>
      <w:marTop w:val="0"/>
      <w:marBottom w:val="0"/>
      <w:divBdr>
        <w:top w:val="none" w:sz="0" w:space="0" w:color="auto"/>
        <w:left w:val="none" w:sz="0" w:space="0" w:color="auto"/>
        <w:bottom w:val="none" w:sz="0" w:space="0" w:color="auto"/>
        <w:right w:val="none" w:sz="0" w:space="0" w:color="auto"/>
      </w:divBdr>
    </w:div>
    <w:div w:id="1223249532">
      <w:bodyDiv w:val="1"/>
      <w:marLeft w:val="0"/>
      <w:marRight w:val="0"/>
      <w:marTop w:val="0"/>
      <w:marBottom w:val="0"/>
      <w:divBdr>
        <w:top w:val="none" w:sz="0" w:space="0" w:color="auto"/>
        <w:left w:val="none" w:sz="0" w:space="0" w:color="auto"/>
        <w:bottom w:val="none" w:sz="0" w:space="0" w:color="auto"/>
        <w:right w:val="none" w:sz="0" w:space="0" w:color="auto"/>
      </w:divBdr>
    </w:div>
    <w:div w:id="1223560758">
      <w:bodyDiv w:val="1"/>
      <w:marLeft w:val="0"/>
      <w:marRight w:val="0"/>
      <w:marTop w:val="0"/>
      <w:marBottom w:val="0"/>
      <w:divBdr>
        <w:top w:val="none" w:sz="0" w:space="0" w:color="auto"/>
        <w:left w:val="none" w:sz="0" w:space="0" w:color="auto"/>
        <w:bottom w:val="none" w:sz="0" w:space="0" w:color="auto"/>
        <w:right w:val="none" w:sz="0" w:space="0" w:color="auto"/>
      </w:divBdr>
    </w:div>
    <w:div w:id="1249341997">
      <w:bodyDiv w:val="1"/>
      <w:marLeft w:val="0"/>
      <w:marRight w:val="0"/>
      <w:marTop w:val="0"/>
      <w:marBottom w:val="0"/>
      <w:divBdr>
        <w:top w:val="none" w:sz="0" w:space="0" w:color="auto"/>
        <w:left w:val="none" w:sz="0" w:space="0" w:color="auto"/>
        <w:bottom w:val="none" w:sz="0" w:space="0" w:color="auto"/>
        <w:right w:val="none" w:sz="0" w:space="0" w:color="auto"/>
      </w:divBdr>
    </w:div>
    <w:div w:id="1346640221">
      <w:bodyDiv w:val="1"/>
      <w:marLeft w:val="0"/>
      <w:marRight w:val="0"/>
      <w:marTop w:val="0"/>
      <w:marBottom w:val="0"/>
      <w:divBdr>
        <w:top w:val="none" w:sz="0" w:space="0" w:color="auto"/>
        <w:left w:val="none" w:sz="0" w:space="0" w:color="auto"/>
        <w:bottom w:val="none" w:sz="0" w:space="0" w:color="auto"/>
        <w:right w:val="none" w:sz="0" w:space="0" w:color="auto"/>
      </w:divBdr>
    </w:div>
    <w:div w:id="1379889416">
      <w:bodyDiv w:val="1"/>
      <w:marLeft w:val="0"/>
      <w:marRight w:val="0"/>
      <w:marTop w:val="0"/>
      <w:marBottom w:val="0"/>
      <w:divBdr>
        <w:top w:val="none" w:sz="0" w:space="0" w:color="auto"/>
        <w:left w:val="none" w:sz="0" w:space="0" w:color="auto"/>
        <w:bottom w:val="none" w:sz="0" w:space="0" w:color="auto"/>
        <w:right w:val="none" w:sz="0" w:space="0" w:color="auto"/>
      </w:divBdr>
    </w:div>
    <w:div w:id="1398866277">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03006486">
      <w:bodyDiv w:val="1"/>
      <w:marLeft w:val="0"/>
      <w:marRight w:val="0"/>
      <w:marTop w:val="0"/>
      <w:marBottom w:val="0"/>
      <w:divBdr>
        <w:top w:val="none" w:sz="0" w:space="0" w:color="auto"/>
        <w:left w:val="none" w:sz="0" w:space="0" w:color="auto"/>
        <w:bottom w:val="none" w:sz="0" w:space="0" w:color="auto"/>
        <w:right w:val="none" w:sz="0" w:space="0" w:color="auto"/>
      </w:divBdr>
    </w:div>
    <w:div w:id="1542553395">
      <w:bodyDiv w:val="1"/>
      <w:marLeft w:val="0"/>
      <w:marRight w:val="0"/>
      <w:marTop w:val="0"/>
      <w:marBottom w:val="0"/>
      <w:divBdr>
        <w:top w:val="none" w:sz="0" w:space="0" w:color="auto"/>
        <w:left w:val="none" w:sz="0" w:space="0" w:color="auto"/>
        <w:bottom w:val="none" w:sz="0" w:space="0" w:color="auto"/>
        <w:right w:val="none" w:sz="0" w:space="0" w:color="auto"/>
      </w:divBdr>
    </w:div>
    <w:div w:id="1558584880">
      <w:bodyDiv w:val="1"/>
      <w:marLeft w:val="0"/>
      <w:marRight w:val="0"/>
      <w:marTop w:val="0"/>
      <w:marBottom w:val="0"/>
      <w:divBdr>
        <w:top w:val="none" w:sz="0" w:space="0" w:color="auto"/>
        <w:left w:val="none" w:sz="0" w:space="0" w:color="auto"/>
        <w:bottom w:val="none" w:sz="0" w:space="0" w:color="auto"/>
        <w:right w:val="none" w:sz="0" w:space="0" w:color="auto"/>
      </w:divBdr>
    </w:div>
    <w:div w:id="1662539040">
      <w:bodyDiv w:val="1"/>
      <w:marLeft w:val="0"/>
      <w:marRight w:val="0"/>
      <w:marTop w:val="0"/>
      <w:marBottom w:val="0"/>
      <w:divBdr>
        <w:top w:val="none" w:sz="0" w:space="0" w:color="auto"/>
        <w:left w:val="none" w:sz="0" w:space="0" w:color="auto"/>
        <w:bottom w:val="none" w:sz="0" w:space="0" w:color="auto"/>
        <w:right w:val="none" w:sz="0" w:space="0" w:color="auto"/>
      </w:divBdr>
    </w:div>
    <w:div w:id="1762868273">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302033">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60912489">
      <w:bodyDiv w:val="1"/>
      <w:marLeft w:val="0"/>
      <w:marRight w:val="0"/>
      <w:marTop w:val="0"/>
      <w:marBottom w:val="0"/>
      <w:divBdr>
        <w:top w:val="none" w:sz="0" w:space="0" w:color="auto"/>
        <w:left w:val="none" w:sz="0" w:space="0" w:color="auto"/>
        <w:bottom w:val="none" w:sz="0" w:space="0" w:color="auto"/>
        <w:right w:val="none" w:sz="0" w:space="0" w:color="auto"/>
      </w:divBdr>
      <w:divsChild>
        <w:div w:id="141047930">
          <w:marLeft w:val="0"/>
          <w:marRight w:val="0"/>
          <w:marTop w:val="0"/>
          <w:marBottom w:val="0"/>
          <w:divBdr>
            <w:top w:val="none" w:sz="0" w:space="0" w:color="auto"/>
            <w:left w:val="none" w:sz="0" w:space="0" w:color="auto"/>
            <w:bottom w:val="none" w:sz="0" w:space="0" w:color="auto"/>
            <w:right w:val="none" w:sz="0" w:space="0" w:color="auto"/>
          </w:divBdr>
          <w:divsChild>
            <w:div w:id="286089907">
              <w:marLeft w:val="0"/>
              <w:marRight w:val="0"/>
              <w:marTop w:val="0"/>
              <w:marBottom w:val="0"/>
              <w:divBdr>
                <w:top w:val="none" w:sz="0" w:space="0" w:color="auto"/>
                <w:left w:val="none" w:sz="0" w:space="0" w:color="auto"/>
                <w:bottom w:val="none" w:sz="0" w:space="0" w:color="auto"/>
                <w:right w:val="none" w:sz="0" w:space="0" w:color="auto"/>
              </w:divBdr>
            </w:div>
            <w:div w:id="705716561">
              <w:marLeft w:val="0"/>
              <w:marRight w:val="0"/>
              <w:marTop w:val="0"/>
              <w:marBottom w:val="0"/>
              <w:divBdr>
                <w:top w:val="none" w:sz="0" w:space="0" w:color="auto"/>
                <w:left w:val="none" w:sz="0" w:space="0" w:color="auto"/>
                <w:bottom w:val="none" w:sz="0" w:space="0" w:color="auto"/>
                <w:right w:val="none" w:sz="0" w:space="0" w:color="auto"/>
              </w:divBdr>
            </w:div>
            <w:div w:id="821774910">
              <w:marLeft w:val="0"/>
              <w:marRight w:val="0"/>
              <w:marTop w:val="0"/>
              <w:marBottom w:val="0"/>
              <w:divBdr>
                <w:top w:val="none" w:sz="0" w:space="0" w:color="auto"/>
                <w:left w:val="none" w:sz="0" w:space="0" w:color="auto"/>
                <w:bottom w:val="none" w:sz="0" w:space="0" w:color="auto"/>
                <w:right w:val="none" w:sz="0" w:space="0" w:color="auto"/>
              </w:divBdr>
            </w:div>
            <w:div w:id="1630628556">
              <w:marLeft w:val="0"/>
              <w:marRight w:val="0"/>
              <w:marTop w:val="0"/>
              <w:marBottom w:val="0"/>
              <w:divBdr>
                <w:top w:val="none" w:sz="0" w:space="0" w:color="auto"/>
                <w:left w:val="none" w:sz="0" w:space="0" w:color="auto"/>
                <w:bottom w:val="none" w:sz="0" w:space="0" w:color="auto"/>
                <w:right w:val="none" w:sz="0" w:space="0" w:color="auto"/>
              </w:divBdr>
            </w:div>
            <w:div w:id="1695957831">
              <w:marLeft w:val="0"/>
              <w:marRight w:val="0"/>
              <w:marTop w:val="0"/>
              <w:marBottom w:val="0"/>
              <w:divBdr>
                <w:top w:val="none" w:sz="0" w:space="0" w:color="auto"/>
                <w:left w:val="none" w:sz="0" w:space="0" w:color="auto"/>
                <w:bottom w:val="none" w:sz="0" w:space="0" w:color="auto"/>
                <w:right w:val="none" w:sz="0" w:space="0" w:color="auto"/>
              </w:divBdr>
            </w:div>
            <w:div w:id="21391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264">
      <w:bodyDiv w:val="1"/>
      <w:marLeft w:val="0"/>
      <w:marRight w:val="0"/>
      <w:marTop w:val="0"/>
      <w:marBottom w:val="0"/>
      <w:divBdr>
        <w:top w:val="none" w:sz="0" w:space="0" w:color="auto"/>
        <w:left w:val="none" w:sz="0" w:space="0" w:color="auto"/>
        <w:bottom w:val="none" w:sz="0" w:space="0" w:color="auto"/>
        <w:right w:val="none" w:sz="0" w:space="0" w:color="auto"/>
      </w:divBdr>
    </w:div>
    <w:div w:id="2052920941">
      <w:bodyDiv w:val="1"/>
      <w:marLeft w:val="0"/>
      <w:marRight w:val="0"/>
      <w:marTop w:val="0"/>
      <w:marBottom w:val="0"/>
      <w:divBdr>
        <w:top w:val="none" w:sz="0" w:space="0" w:color="auto"/>
        <w:left w:val="none" w:sz="0" w:space="0" w:color="auto"/>
        <w:bottom w:val="none" w:sz="0" w:space="0" w:color="auto"/>
        <w:right w:val="none" w:sz="0" w:space="0" w:color="auto"/>
      </w:divBdr>
    </w:div>
    <w:div w:id="20651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ankowski@uokik.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BB2D8-1CE0-48AE-8D15-86C175F7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16409</Words>
  <Characters>109518</Characters>
  <Application>Microsoft Office Word</Application>
  <DocSecurity>0</DocSecurity>
  <Lines>912</Lines>
  <Paragraphs>251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125676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2021-01-14T11:12:00Z</dcterms:created>
  <dcterms:modified xsi:type="dcterms:W3CDTF">2021-01-15T11:19:00Z</dcterms:modified>
</cp:coreProperties>
</file>