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10B0AB5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0EA7D1B2" w14:textId="7E8E812B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57245BAD" w14:textId="661B825B" w:rsidR="006A701A" w:rsidRDefault="00DB4FBE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Rozporządzenie Ministra Zdrowia</w:t>
            </w:r>
            <w:r w:rsidR="004B39A8">
              <w:rPr>
                <w:rFonts w:ascii="Times New Roman" w:hAnsi="Times New Roman"/>
                <w:color w:val="000000"/>
              </w:rPr>
              <w:t xml:space="preserve"> w sprawie zmiany rozporządzenia zmieniającego rozporządzenie 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w sprawie </w:t>
            </w:r>
            <w:r w:rsidR="00B826A8">
              <w:rPr>
                <w:rFonts w:ascii="Times New Roman" w:hAnsi="Times New Roman"/>
                <w:color w:val="000000"/>
              </w:rPr>
              <w:t>ogólnych warunków</w:t>
            </w:r>
            <w:r w:rsidR="004D6503" w:rsidRPr="004D6503">
              <w:rPr>
                <w:rFonts w:ascii="Times New Roman" w:hAnsi="Times New Roman"/>
                <w:color w:val="000000"/>
              </w:rPr>
              <w:t xml:space="preserve"> umów o udzielanie świadczeń opieki zdrowotnej</w:t>
            </w:r>
          </w:p>
          <w:p w14:paraId="2ECCEA67" w14:textId="77777777" w:rsidR="00631123" w:rsidRPr="008B4FE6" w:rsidRDefault="00631123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8DDD6AA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180F0ED" w14:textId="4E783ACF" w:rsidR="007415D0" w:rsidRDefault="00DB4FBE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5750843" w14:textId="77777777" w:rsidR="00631123" w:rsidRDefault="00631123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</w:p>
          <w:p w14:paraId="2AA7A4A4" w14:textId="77777777" w:rsidR="001B3460" w:rsidRPr="00EC5007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EC5007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C63FAAC" w14:textId="250C404F" w:rsidR="001B3460" w:rsidRPr="004577CA" w:rsidRDefault="0018749F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Minister Zdrowia</w:t>
            </w:r>
          </w:p>
          <w:p w14:paraId="2294832F" w14:textId="77777777" w:rsidR="006A701A" w:rsidRPr="008B4FE6" w:rsidRDefault="006A701A" w:rsidP="00631123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A3346E5" w14:textId="77777777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>Katarzyna Makowiecka</w:t>
            </w:r>
          </w:p>
          <w:p w14:paraId="7D09FF8A" w14:textId="480474D3" w:rsidR="007D5E75" w:rsidRPr="00575E9A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575E9A">
              <w:rPr>
                <w:rFonts w:ascii="Times New Roman" w:hAnsi="Times New Roman"/>
                <w:color w:val="000000"/>
              </w:rPr>
              <w:t xml:space="preserve">Departament </w:t>
            </w:r>
            <w:r w:rsidR="004B39A8">
              <w:rPr>
                <w:rFonts w:ascii="Times New Roman" w:hAnsi="Times New Roman"/>
                <w:color w:val="000000"/>
              </w:rPr>
              <w:t>Lecznictwa</w:t>
            </w:r>
            <w:r w:rsidRPr="00575E9A">
              <w:rPr>
                <w:rFonts w:ascii="Times New Roman" w:hAnsi="Times New Roman"/>
                <w:color w:val="000000"/>
              </w:rPr>
              <w:t xml:space="preserve"> w Ministerstwie Zdrowia</w:t>
            </w:r>
          </w:p>
          <w:p w14:paraId="6B99A870" w14:textId="039D4F64" w:rsidR="000847BD" w:rsidRPr="00DB4FBE" w:rsidRDefault="007D5E75" w:rsidP="00631123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7D5E75">
              <w:rPr>
                <w:rFonts w:ascii="Times New Roman" w:hAnsi="Times New Roman"/>
                <w:color w:val="000000"/>
                <w:lang w:val="en-US"/>
              </w:rPr>
              <w:t>e-mail: k.makowiecka@mz.gov.pl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00DFCCD9" w14:textId="533D0A5A" w:rsidR="001B3460" w:rsidRPr="00642825" w:rsidRDefault="001B3460" w:rsidP="00631123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21-01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A0490">
                  <w:rPr>
                    <w:rFonts w:ascii="Times New Roman" w:hAnsi="Times New Roman"/>
                    <w:b/>
                    <w:sz w:val="21"/>
                    <w:szCs w:val="21"/>
                  </w:rPr>
                  <w:t>26.01.2021</w:t>
                </w:r>
              </w:sdtContent>
            </w:sdt>
          </w:p>
          <w:p w14:paraId="24C2538F" w14:textId="77777777" w:rsidR="00F76884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4E0C6DAA" w14:textId="77777777" w:rsidR="00F76884" w:rsidRPr="0065019F" w:rsidRDefault="00F76884" w:rsidP="00631123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1" w:name="Lista1"/>
          </w:p>
          <w:bookmarkEnd w:id="1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4DD7FA7F" w14:textId="77777777" w:rsidR="00F76884" w:rsidRPr="00EF290C" w:rsidRDefault="00DB4FBE" w:rsidP="00631123">
                <w:pPr>
                  <w:spacing w:line="240" w:lineRule="auto"/>
                  <w:jc w:val="both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Inne</w:t>
                </w:r>
              </w:p>
            </w:sdtContent>
          </w:sdt>
          <w:p w14:paraId="71B1B34C" w14:textId="1B9F4FA4" w:rsidR="00F76884" w:rsidRPr="0065019F" w:rsidRDefault="00DB4FBE" w:rsidP="0063112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</w:t>
            </w:r>
            <w:r w:rsidR="004D6503">
              <w:rPr>
                <w:rFonts w:ascii="Times New Roman" w:hAnsi="Times New Roman"/>
              </w:rPr>
              <w:t>1</w:t>
            </w:r>
            <w:r w:rsidR="00B826A8">
              <w:rPr>
                <w:rFonts w:ascii="Times New Roman" w:hAnsi="Times New Roman"/>
              </w:rPr>
              <w:t>37</w:t>
            </w:r>
            <w:r w:rsidR="004D6503">
              <w:rPr>
                <w:rFonts w:ascii="Times New Roman" w:hAnsi="Times New Roman"/>
              </w:rPr>
              <w:t xml:space="preserve"> ust. </w:t>
            </w:r>
            <w:r w:rsidR="00B826A8">
              <w:rPr>
                <w:rFonts w:ascii="Times New Roman" w:hAnsi="Times New Roman"/>
              </w:rPr>
              <w:t>2</w:t>
            </w:r>
            <w:r w:rsidR="004D6503">
              <w:rPr>
                <w:rFonts w:ascii="Times New Roman" w:hAnsi="Times New Roman"/>
              </w:rPr>
              <w:t xml:space="preserve"> ustawy z dnia 27 sierpnia 2004r. o świadczeniach opieki zdrowotnej finansowanych ze środków publicznych (Dz. U. z 2020 r. poz. </w:t>
            </w:r>
            <w:r w:rsidR="00FA1EA6">
              <w:rPr>
                <w:rFonts w:ascii="Times New Roman" w:hAnsi="Times New Roman"/>
              </w:rPr>
              <w:t>1398</w:t>
            </w:r>
            <w:r w:rsidR="00300D65">
              <w:rPr>
                <w:rFonts w:ascii="Times New Roman" w:hAnsi="Times New Roman"/>
              </w:rPr>
              <w:t>,</w:t>
            </w:r>
            <w:r w:rsidR="004B39A8">
              <w:rPr>
                <w:rFonts w:ascii="Times New Roman" w:hAnsi="Times New Roman"/>
              </w:rPr>
              <w:t xml:space="preserve"> z </w:t>
            </w:r>
            <w:proofErr w:type="spellStart"/>
            <w:r w:rsidR="004B39A8">
              <w:rPr>
                <w:rFonts w:ascii="Times New Roman" w:hAnsi="Times New Roman"/>
              </w:rPr>
              <w:t>późn</w:t>
            </w:r>
            <w:proofErr w:type="spellEnd"/>
            <w:r w:rsidR="004B39A8">
              <w:rPr>
                <w:rFonts w:ascii="Times New Roman" w:hAnsi="Times New Roman"/>
              </w:rPr>
              <w:t>. zm.</w:t>
            </w:r>
            <w:r w:rsidR="004D6503">
              <w:rPr>
                <w:rFonts w:ascii="Times New Roman" w:hAnsi="Times New Roman"/>
              </w:rPr>
              <w:t>)</w:t>
            </w:r>
            <w:r w:rsidR="00C12AEF">
              <w:rPr>
                <w:rFonts w:ascii="Times New Roman" w:hAnsi="Times New Roman"/>
              </w:rPr>
              <w:t>.</w:t>
            </w:r>
          </w:p>
          <w:p w14:paraId="493870A8" w14:textId="5D5C175E" w:rsidR="006A701A" w:rsidRPr="008B4FE6" w:rsidRDefault="006A701A" w:rsidP="00631123">
            <w:pPr>
              <w:spacing w:before="12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093C04">
              <w:rPr>
                <w:rFonts w:ascii="Times New Roman" w:hAnsi="Times New Roman"/>
                <w:b/>
                <w:color w:val="000000"/>
              </w:rPr>
              <w:t>MZ:</w:t>
            </w:r>
          </w:p>
          <w:p w14:paraId="54A31D87" w14:textId="26092DFC" w:rsidR="006A701A" w:rsidRPr="008B4FE6" w:rsidRDefault="00FA1EA6" w:rsidP="004E3A9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MZ </w:t>
            </w:r>
            <w:r w:rsidR="00BA0490">
              <w:rPr>
                <w:rFonts w:ascii="Times New Roman" w:hAnsi="Times New Roman"/>
                <w:b/>
                <w:color w:val="000000"/>
              </w:rPr>
              <w:t>1111</w:t>
            </w:r>
          </w:p>
        </w:tc>
      </w:tr>
      <w:tr w:rsidR="006A701A" w:rsidRPr="0022687A" w14:paraId="1430D1A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4AB217E" w14:textId="77777777" w:rsidR="006A701A" w:rsidRPr="00627221" w:rsidRDefault="006A701A" w:rsidP="00631123">
            <w:pPr>
              <w:spacing w:line="240" w:lineRule="auto"/>
              <w:ind w:left="57"/>
              <w:jc w:val="both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566290A0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E74583" w14:textId="77777777" w:rsidR="006A701A" w:rsidRPr="008B4FE6" w:rsidRDefault="003D12F6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2" w:name="Wybór1"/>
            <w:bookmarkEnd w:id="2"/>
          </w:p>
        </w:tc>
      </w:tr>
      <w:tr w:rsidR="006A701A" w:rsidRPr="008B4FE6" w14:paraId="765B2F1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E532265" w14:textId="6088FDD2" w:rsidR="00F6227F" w:rsidRPr="00B37C80" w:rsidRDefault="00BD0FB3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</w:t>
            </w:r>
            <w:r w:rsidR="00C12AEF" w:rsidRPr="00C12AEF">
              <w:rPr>
                <w:rFonts w:ascii="Times New Roman" w:hAnsi="Times New Roman"/>
                <w:color w:val="000000"/>
              </w:rPr>
              <w:t xml:space="preserve"> związku z pandemią COVID-19, wielu świadczeniodawców odnotowuje</w:t>
            </w:r>
            <w:r w:rsidR="00F6227F">
              <w:rPr>
                <w:rFonts w:ascii="Times New Roman" w:hAnsi="Times New Roman"/>
                <w:color w:val="000000"/>
              </w:rPr>
              <w:t xml:space="preserve"> spadek liczby udzielanych świadczeń opieki zdrowotnej w ramach realizacji umów o udzielanie świadczeń opieki zdrowotnej. Powoduje to</w:t>
            </w:r>
            <w:r w:rsidR="00C12AEF" w:rsidRPr="00C12AEF">
              <w:rPr>
                <w:rFonts w:ascii="Times New Roman" w:hAnsi="Times New Roman"/>
                <w:color w:val="000000"/>
              </w:rPr>
              <w:t xml:space="preserve"> </w:t>
            </w:r>
            <w:r w:rsidR="00F6227F">
              <w:rPr>
                <w:rFonts w:ascii="Times New Roman" w:hAnsi="Times New Roman"/>
                <w:color w:val="000000"/>
              </w:rPr>
              <w:t>problemy z zachowaniem stabilności finansowej</w:t>
            </w:r>
            <w:r w:rsidR="00AF5D6A">
              <w:rPr>
                <w:rFonts w:ascii="Times New Roman" w:hAnsi="Times New Roman"/>
                <w:color w:val="000000"/>
              </w:rPr>
              <w:t xml:space="preserve">. Świadczeniodawcy skorzystali z wprowadzonej z dniem 9 września 2020 r. możliwości </w:t>
            </w:r>
            <w:r w:rsidR="00AF5D6A" w:rsidRPr="00AF5D6A">
              <w:rPr>
                <w:rFonts w:ascii="Times New Roman" w:hAnsi="Times New Roman"/>
                <w:color w:val="000000"/>
              </w:rPr>
              <w:t xml:space="preserve">wydłużenia </w:t>
            </w:r>
            <w:r w:rsidR="00AF5D6A">
              <w:rPr>
                <w:rFonts w:ascii="Times New Roman" w:hAnsi="Times New Roman"/>
                <w:color w:val="000000"/>
              </w:rPr>
              <w:t>do</w:t>
            </w:r>
            <w:r w:rsidR="001A33BB">
              <w:rPr>
                <w:rFonts w:ascii="Times New Roman" w:hAnsi="Times New Roman"/>
                <w:color w:val="000000"/>
              </w:rPr>
              <w:t xml:space="preserve"> dnia</w:t>
            </w:r>
            <w:r w:rsidR="00AF5D6A">
              <w:rPr>
                <w:rFonts w:ascii="Times New Roman" w:hAnsi="Times New Roman"/>
                <w:color w:val="000000"/>
              </w:rPr>
              <w:t xml:space="preserve"> 30 czerwca 2021 r. </w:t>
            </w:r>
            <w:r w:rsidR="00AF5D6A" w:rsidRPr="00AF5D6A">
              <w:rPr>
                <w:rFonts w:ascii="Times New Roman" w:hAnsi="Times New Roman"/>
                <w:color w:val="000000"/>
              </w:rPr>
              <w:t>okresów rozliczeniowych, obowiązujących przy rozliczaniu świadczeń opieki zdrowotnej w 2020 r.</w:t>
            </w:r>
            <w:r w:rsidR="00AF5D6A">
              <w:rPr>
                <w:rFonts w:ascii="Times New Roman" w:hAnsi="Times New Roman"/>
                <w:color w:val="000000"/>
              </w:rPr>
              <w:t xml:space="preserve"> </w:t>
            </w:r>
            <w:r w:rsidR="00AF5D6A" w:rsidRPr="00AF5D6A">
              <w:rPr>
                <w:rFonts w:ascii="Times New Roman" w:hAnsi="Times New Roman"/>
                <w:color w:val="000000"/>
              </w:rPr>
              <w:t>Wydłużenie okresu rozliczeniowego (tak aby obejmował odpowiednio dłuższy okres niż okres roku kalendarzowego 2020) miało na celu pełne wykorzystanie określonej w umowie kwoty zobowiązań</w:t>
            </w:r>
            <w:r w:rsidR="00AF5D6A">
              <w:rPr>
                <w:rFonts w:ascii="Times New Roman" w:hAnsi="Times New Roman"/>
                <w:color w:val="000000"/>
              </w:rPr>
              <w:t>. Obecnie obowiązujące przepisy umożliwiały wypłacanie zaliczek do końca 2020 r. Aby Narodowy Fundusz Zdrowia</w:t>
            </w:r>
            <w:r w:rsidR="0037128C">
              <w:rPr>
                <w:rFonts w:ascii="Times New Roman" w:hAnsi="Times New Roman"/>
                <w:color w:val="000000"/>
              </w:rPr>
              <w:t xml:space="preserve"> (dalej „NFZ”)</w:t>
            </w:r>
            <w:r w:rsidR="00AF5D6A">
              <w:rPr>
                <w:rFonts w:ascii="Times New Roman" w:hAnsi="Times New Roman"/>
                <w:color w:val="000000"/>
              </w:rPr>
              <w:t xml:space="preserve"> mógł wypłacać zaliczki </w:t>
            </w:r>
            <w:r w:rsidR="00595E10">
              <w:rPr>
                <w:rFonts w:ascii="Times New Roman" w:hAnsi="Times New Roman"/>
                <w:color w:val="000000"/>
              </w:rPr>
              <w:t>w miesiącach styczeń - marzec</w:t>
            </w:r>
            <w:r w:rsidR="002142C3">
              <w:rPr>
                <w:rFonts w:ascii="Times New Roman" w:hAnsi="Times New Roman"/>
                <w:color w:val="000000"/>
              </w:rPr>
              <w:t xml:space="preserve"> 2021 r. istnieje konieczność wprowadzenia nowych przepisów. </w:t>
            </w:r>
          </w:p>
        </w:tc>
      </w:tr>
      <w:tr w:rsidR="006A701A" w:rsidRPr="008B4FE6" w14:paraId="5538532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32B751B" w14:textId="77777777" w:rsidR="006A701A" w:rsidRPr="008B4FE6" w:rsidRDefault="0013216E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033167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55AEDAB8" w14:textId="5CFD1318" w:rsidR="002142C3" w:rsidRPr="002142C3" w:rsidRDefault="002142C3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C3">
              <w:rPr>
                <w:rFonts w:ascii="Times New Roman" w:hAnsi="Times New Roman"/>
                <w:color w:val="000000"/>
                <w:spacing w:val="-2"/>
              </w:rPr>
              <w:t>Dodawany do rozporządzenia Ministra Zdrowia z dnia 4 września 2020 r. zmieniającego rozporządzenie w sprawie ogólnych warunków umów o udzielanie świadczeń opieki zdrowotnej (Dz. U. poz. 1548, 1837 i 2142)</w:t>
            </w:r>
            <w:r w:rsidR="00595E10" w:rsidRPr="00595E10">
              <w:rPr>
                <w:rFonts w:ascii="Times New Roman" w:hAnsi="Times New Roman"/>
                <w:color w:val="000000"/>
                <w:spacing w:val="-2"/>
              </w:rPr>
              <w:t xml:space="preserve"> § 2</w:t>
            </w:r>
            <w:r w:rsidR="001A33B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595E10" w:rsidRPr="00595E1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przedłuża możliwość wypłaty świadczeniodawcom zaliczek (1/12 kwoty zobowiązania określonej w umowie o udzielanie świadczeń opieki zdrowotnej) 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 2021 r. Na podstawie projektowanego § 2</w:t>
            </w:r>
            <w:r w:rsidR="001A33B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, świadczeniodawcy będą mogli się ubiegać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 xml:space="preserve">o 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>maksymalnie 70% zaliczki (1/12 kwoty zobowiązania określonej w umowie o udzielanie świadczeń opieki zdrowotnej) przypadającej na okres sprawozdawczy, którego dotyczy wniosek.</w:t>
            </w:r>
          </w:p>
          <w:p w14:paraId="0CB5458E" w14:textId="30099CD0" w:rsidR="002142C3" w:rsidRDefault="002142C3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C3">
              <w:rPr>
                <w:rFonts w:ascii="Times New Roman" w:hAnsi="Times New Roman"/>
                <w:color w:val="000000"/>
                <w:spacing w:val="-2"/>
              </w:rPr>
              <w:t>Wniosek o wypłatę zaliczki będzie mógł złożyć świadczeniodawca, któremu na podstawie § 2 zmienianego rozporządzenia, został przedłużony okres rozliczeniowy.</w:t>
            </w:r>
          </w:p>
          <w:p w14:paraId="245E35A8" w14:textId="6B408C66" w:rsidR="002142C3" w:rsidRPr="002142C3" w:rsidRDefault="002142C3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C3">
              <w:rPr>
                <w:rFonts w:ascii="Times New Roman" w:hAnsi="Times New Roman"/>
                <w:color w:val="000000"/>
                <w:spacing w:val="-2"/>
              </w:rPr>
              <w:t>Świadczeniodawcy realizujący umowy w zakresach świadczeń, określonych w projektowanym § 2</w:t>
            </w:r>
            <w:r w:rsidR="001A33BB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DB709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ust. </w:t>
            </w:r>
            <w:r w:rsidR="00DB709F">
              <w:rPr>
                <w:rFonts w:ascii="Times New Roman" w:hAnsi="Times New Roman"/>
                <w:color w:val="000000"/>
                <w:spacing w:val="-2"/>
              </w:rPr>
              <w:t>2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, nie będą mogli ubiegać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się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 o wypłatę powyższych zaliczek. Świadczenia </w:t>
            </w:r>
            <w:r>
              <w:rPr>
                <w:rFonts w:ascii="Times New Roman" w:hAnsi="Times New Roman"/>
                <w:color w:val="000000"/>
                <w:spacing w:val="-2"/>
              </w:rPr>
              <w:t>te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 są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bowiem 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>świadczeniami ze znacznym udziałem kosztów zmiennych</w:t>
            </w:r>
            <w:r w:rsidR="0037128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 tj. kosztów obejmujących zużycie zasobów takich jak produkty lecznicze, wyroby medyczne czy procedury. Na całkowity koszt świadczenia składają się bowiem dwa główne rodzaje kosztów: stałe i zmienne. </w:t>
            </w:r>
          </w:p>
          <w:p w14:paraId="7F335AE6" w14:textId="71F8AB10" w:rsidR="00C12AEF" w:rsidRPr="000A6466" w:rsidRDefault="002142C3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C3">
              <w:rPr>
                <w:rFonts w:ascii="Times New Roman" w:hAnsi="Times New Roman"/>
                <w:color w:val="000000"/>
                <w:spacing w:val="-2"/>
              </w:rPr>
              <w:t>Ponadto świadczeniodawcy nie będą musieli spełniać innych dodatkowych warunków, jak miało to miejsce w przypadku poprzednich okresów sprawozdawczych.</w:t>
            </w:r>
          </w:p>
        </w:tc>
      </w:tr>
      <w:tr w:rsidR="006A701A" w:rsidRPr="008B4FE6" w14:paraId="70E8021B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F30A88" w14:textId="77777777" w:rsidR="006A701A" w:rsidRPr="008B4FE6" w:rsidRDefault="009E3C4B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6690287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FA5CC02" w14:textId="6BC76AF0" w:rsidR="0024297B" w:rsidRPr="00B37C80" w:rsidRDefault="008845B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 danych.</w:t>
            </w:r>
          </w:p>
        </w:tc>
      </w:tr>
      <w:tr w:rsidR="006A701A" w:rsidRPr="008B4FE6" w14:paraId="75B4EBC5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36E335A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40815110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8C5C9DF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6DE39AB" w14:textId="77777777" w:rsidR="00260F33" w:rsidRPr="008B4FE6" w:rsidRDefault="00563199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6571DCD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71F22A8" w14:textId="77777777" w:rsidR="00260F33" w:rsidRPr="008B4FE6" w:rsidRDefault="00260F33" w:rsidP="0024297B">
            <w:pPr>
              <w:spacing w:before="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7B2979" w:rsidRPr="008B4FE6" w14:paraId="628F4231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3C0F97F9" w14:textId="40281547" w:rsidR="007B2979" w:rsidRPr="00C322AB" w:rsidRDefault="00F24F33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NFZ</w:t>
            </w:r>
            <w:r w:rsidR="005B41F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D45F809" w14:textId="37BF9C49" w:rsidR="007B2979" w:rsidRPr="007B2979" w:rsidRDefault="00B1514B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1514B">
              <w:rPr>
                <w:rFonts w:ascii="Times New Roman" w:hAnsi="Times New Roman"/>
              </w:rPr>
              <w:t xml:space="preserve">Centrala i 16 oddziałów wojewódzkich </w:t>
            </w:r>
            <w:r w:rsidR="002E6DAA">
              <w:rPr>
                <w:rFonts w:ascii="Times New Roman" w:hAnsi="Times New Roman"/>
              </w:rPr>
              <w:t>NFZ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40493D2C" w14:textId="4CC3AF16" w:rsidR="007B2979" w:rsidRPr="007B2979" w:rsidRDefault="002D79C8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Ustawa z dnia 27 sierpnia 2004  r. </w:t>
            </w:r>
            <w:r w:rsidRPr="002D79C8">
              <w:rPr>
                <w:rFonts w:ascii="Times New Roman" w:hAnsi="Times New Roman"/>
              </w:rPr>
              <w:t>o świadczeniach opieki zdrowotnej finansowanych ze środków publicznych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4BC9AE6" w14:textId="34F7FA72" w:rsidR="007B2979" w:rsidRPr="00B37C80" w:rsidRDefault="006D1B1F" w:rsidP="0024297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6D1B1F">
              <w:rPr>
                <w:rFonts w:ascii="Times New Roman" w:hAnsi="Times New Roman"/>
                <w:color w:val="000000"/>
                <w:spacing w:val="-2"/>
              </w:rPr>
              <w:t xml:space="preserve">umożliwienie wypłaty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zaliczki 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="002142C3">
              <w:rPr>
                <w:rFonts w:ascii="Times New Roman" w:hAnsi="Times New Roman"/>
                <w:color w:val="000000"/>
                <w:spacing w:val="-2"/>
              </w:rPr>
              <w:t xml:space="preserve"> 2021 r. pomimo</w:t>
            </w:r>
            <w:r w:rsidR="008453BF">
              <w:rPr>
                <w:rFonts w:ascii="Times New Roman" w:hAnsi="Times New Roman"/>
                <w:color w:val="000000"/>
                <w:spacing w:val="-2"/>
              </w:rPr>
              <w:t xml:space="preserve"> niewykonania wszystkich zakontraktowanych świadczeń </w:t>
            </w:r>
          </w:p>
        </w:tc>
      </w:tr>
      <w:tr w:rsidR="005B41F0" w:rsidRPr="008B4FE6" w14:paraId="099845CA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E2792FB" w14:textId="2656EE44" w:rsidR="005B41F0" w:rsidRPr="00F24F33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33D9F">
              <w:rPr>
                <w:rFonts w:ascii="Times New Roman" w:hAnsi="Times New Roman"/>
              </w:rPr>
              <w:t xml:space="preserve">Świadczeniodawcy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2F3E82E6" w14:textId="6CC258A4" w:rsidR="005B41F0" w:rsidRPr="00B1514B" w:rsidRDefault="005B41F0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B41F0">
              <w:rPr>
                <w:rFonts w:ascii="Times New Roman" w:hAnsi="Times New Roman"/>
              </w:rPr>
              <w:t>posiadający  umowę o udzielenie świadczeń opieki zdrowotnej zawartej z NFZ</w:t>
            </w:r>
            <w:r w:rsidR="004B39A8">
              <w:rPr>
                <w:rFonts w:ascii="Times New Roman" w:hAnsi="Times New Roman"/>
              </w:rPr>
              <w:t xml:space="preserve"> </w:t>
            </w:r>
            <w:r w:rsidR="00DB709F">
              <w:rPr>
                <w:rFonts w:ascii="Times New Roman" w:hAnsi="Times New Roman"/>
              </w:rPr>
              <w:t xml:space="preserve">(ok. 30 tyś.)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C30719F" w14:textId="398F1CC8" w:rsidR="005B41F0" w:rsidRDefault="00DB709F" w:rsidP="002429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B709F">
              <w:rPr>
                <w:rFonts w:ascii="Times New Roman" w:hAnsi="Times New Roman"/>
              </w:rPr>
              <w:t xml:space="preserve">Sprawozdanie z działalności Narodowego Funduszu Zdrowia za III kwartał 2020 r.,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9839FDA" w14:textId="76959A80" w:rsidR="005B41F0" w:rsidRDefault="002142C3" w:rsidP="002142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umożliwienie wypłaty zaliczki  w pierwszym </w:t>
            </w:r>
            <w:r w:rsidR="00595E10">
              <w:rPr>
                <w:rFonts w:ascii="Times New Roman" w:hAnsi="Times New Roman"/>
                <w:color w:val="000000"/>
                <w:spacing w:val="-2"/>
              </w:rPr>
              <w:t>kwartale</w:t>
            </w:r>
            <w:r w:rsidRPr="002142C3">
              <w:rPr>
                <w:rFonts w:ascii="Times New Roman" w:hAnsi="Times New Roman"/>
                <w:color w:val="000000"/>
                <w:spacing w:val="-2"/>
              </w:rPr>
              <w:t xml:space="preserve"> 2021 r. pomimo niewykonania wszystkich zakontraktowanych świadczeń</w:t>
            </w:r>
          </w:p>
        </w:tc>
      </w:tr>
      <w:tr w:rsidR="006A701A" w:rsidRPr="008B4FE6" w14:paraId="24185A70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0D059F9" w14:textId="77777777" w:rsidR="006A701A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6CA0F3A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7646E1A" w14:textId="77777777" w:rsidR="004B39A8" w:rsidRDefault="004B39A8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3704A55A" w14:textId="1FF3596D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rozporządzenia został przekazany na 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>3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dni do konsultacji publicznych i opiniowania następującym podmiotom</w:t>
            </w:r>
            <w:r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23DC130A" w14:textId="77777777" w:rsidR="00E9552E" w:rsidRDefault="00E9552E" w:rsidP="004B39A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6BE35C0" w14:textId="1023814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Prezes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Narodowego Funduszu Zdrowia;</w:t>
            </w:r>
          </w:p>
          <w:p w14:paraId="21D8B17A" w14:textId="0D3CBCC4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Ogólnopolskie</w:t>
            </w:r>
            <w:r>
              <w:rPr>
                <w:rFonts w:ascii="Times New Roman" w:hAnsi="Times New Roman"/>
                <w:color w:val="000000"/>
                <w:spacing w:val="-2"/>
              </w:rPr>
              <w:t>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Zawodowych;</w:t>
            </w:r>
          </w:p>
          <w:p w14:paraId="19981841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NSZZ „Solidarność”;</w:t>
            </w:r>
          </w:p>
          <w:p w14:paraId="53B4EB7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Forum Związków Zawodowych;</w:t>
            </w:r>
          </w:p>
          <w:p w14:paraId="45055006" w14:textId="14F710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Pracodawc</w:t>
            </w:r>
            <w:r>
              <w:rPr>
                <w:rFonts w:ascii="Times New Roman" w:hAnsi="Times New Roman"/>
                <w:color w:val="000000"/>
                <w:spacing w:val="-2"/>
              </w:rPr>
              <w:t>om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Rzeczypospolitej Polskiej;</w:t>
            </w:r>
          </w:p>
          <w:p w14:paraId="02B3BBBC" w14:textId="059A645F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Konfederacj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„Lewiatan”;</w:t>
            </w:r>
          </w:p>
          <w:p w14:paraId="36003FB6" w14:textId="1CB87B6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Rzemiosła Polskiego;</w:t>
            </w:r>
          </w:p>
          <w:p w14:paraId="40BAB9BE" w14:textId="1D18BA3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Business Centre Club;</w:t>
            </w:r>
          </w:p>
          <w:p w14:paraId="779FD464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Związek Przedsiębiorców i Pracodawców;</w:t>
            </w:r>
          </w:p>
          <w:p w14:paraId="6CE56FFC" w14:textId="66EF4348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ej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492AAB34" w14:textId="39F54322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</w:t>
            </w:r>
          </w:p>
          <w:p w14:paraId="4F09DF75" w14:textId="401795D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Diagnostów Laboratoryjnych;</w:t>
            </w:r>
          </w:p>
          <w:p w14:paraId="1059FCDD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Krajowa Rada Fizjoterapeutów;</w:t>
            </w:r>
          </w:p>
          <w:p w14:paraId="4E3602D9" w14:textId="7BA0C679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Naczeln</w:t>
            </w:r>
            <w:r>
              <w:rPr>
                <w:rFonts w:ascii="Times New Roman" w:hAnsi="Times New Roman"/>
                <w:color w:val="000000"/>
                <w:spacing w:val="-2"/>
              </w:rPr>
              <w:t>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Rad</w:t>
            </w:r>
            <w:r>
              <w:rPr>
                <w:rFonts w:ascii="Times New Roman" w:hAnsi="Times New Roman"/>
                <w:color w:val="000000"/>
                <w:spacing w:val="-2"/>
              </w:rPr>
              <w:t>zie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Aptekarsk</w:t>
            </w:r>
            <w:r>
              <w:rPr>
                <w:rFonts w:ascii="Times New Roman" w:hAnsi="Times New Roman"/>
                <w:color w:val="000000"/>
                <w:spacing w:val="-2"/>
              </w:rPr>
              <w:t>iej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;</w:t>
            </w:r>
          </w:p>
          <w:p w14:paraId="5D82CD55" w14:textId="11EEC59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Związków Pracodawców Ochrony Zdrowia „Porozumienie Zielonogórskie”;</w:t>
            </w:r>
          </w:p>
          <w:p w14:paraId="10881B1C" w14:textId="2AD87FE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Porozumieni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Pracodawców Ochrony Zdrowia;</w:t>
            </w:r>
          </w:p>
          <w:p w14:paraId="780ACD26" w14:textId="5978D511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Krajow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Sekretariat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Ochrony Zdrowia NSZZ „Solidarność 80”;</w:t>
            </w:r>
          </w:p>
          <w:p w14:paraId="607794CD" w14:textId="6C5AA83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Lekarzy;</w:t>
            </w:r>
          </w:p>
          <w:p w14:paraId="0CFD92E5" w14:textId="1E20EE8C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Związ</w:t>
            </w:r>
            <w:r>
              <w:rPr>
                <w:rFonts w:ascii="Times New Roman" w:hAnsi="Times New Roman"/>
                <w:color w:val="000000"/>
                <w:spacing w:val="-2"/>
              </w:rPr>
              <w:t>kowi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Zawodow</w:t>
            </w:r>
            <w:r>
              <w:rPr>
                <w:rFonts w:ascii="Times New Roman" w:hAnsi="Times New Roman"/>
                <w:color w:val="000000"/>
                <w:spacing w:val="-2"/>
              </w:rPr>
              <w:t>emu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Pielęgniarek i Położnych; </w:t>
            </w:r>
          </w:p>
          <w:p w14:paraId="69D9C94F" w14:textId="77777777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Ogólnopolski Związek Zawodowy Położnych;</w:t>
            </w:r>
          </w:p>
          <w:p w14:paraId="5984E9CB" w14:textId="00AC3E0E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Stowarzyszeni</w:t>
            </w: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Menedżerów Opieki Zdrowotnej;</w:t>
            </w:r>
          </w:p>
          <w:p w14:paraId="7ACA25EB" w14:textId="3A501D3A" w:rsidR="00E9552E" w:rsidRDefault="00E9552E" w:rsidP="00E9552E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Rzecznik</w:t>
            </w:r>
            <w:r>
              <w:rPr>
                <w:rFonts w:ascii="Times New Roman" w:hAnsi="Times New Roman"/>
                <w:color w:val="000000"/>
                <w:spacing w:val="-2"/>
              </w:rPr>
              <w:t>owi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Praw Pacjenta;</w:t>
            </w:r>
          </w:p>
          <w:p w14:paraId="41DB4036" w14:textId="18482A2A" w:rsidR="00E9552E" w:rsidRPr="00A03566" w:rsidRDefault="00E9552E" w:rsidP="004B39A8">
            <w:pPr>
              <w:pStyle w:val="Akapitzlist"/>
              <w:numPr>
                <w:ilvl w:val="0"/>
                <w:numId w:val="23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Federacj</w:t>
            </w:r>
            <w:r>
              <w:rPr>
                <w:rFonts w:ascii="Times New Roman" w:hAnsi="Times New Roman"/>
                <w:color w:val="000000"/>
                <w:spacing w:val="-2"/>
              </w:rPr>
              <w:t>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Przedsiębiorców Polskich.</w:t>
            </w:r>
          </w:p>
          <w:p w14:paraId="048D1F6E" w14:textId="091FA979" w:rsidR="00E9552E" w:rsidRPr="00E9552E" w:rsidRDefault="00E9552E" w:rsidP="00E9552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>Skrócony termin konsultacji publicznych i opiniowania wynika z uwagi na konieczność jego pilnego wejścia w życie, a także ze względu na szczególny charakter regulacji, jakim jest umożliwienie wypłaty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 xml:space="preserve"> zaliczki – części 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kwoty zobowiązania określonej w umowie o udzielanie świadczeń opieki zdrowotnej w okresach sprawozdawczych styczeń – </w:t>
            </w:r>
            <w:r>
              <w:rPr>
                <w:rFonts w:ascii="Times New Roman" w:hAnsi="Times New Roman"/>
                <w:color w:val="000000"/>
                <w:spacing w:val="-2"/>
              </w:rPr>
              <w:t>marzec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2021 r.</w:t>
            </w:r>
            <w:r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pomimo niezrealizowania wszystkich zakontraktowanych świadczeń</w:t>
            </w:r>
            <w:r w:rsidR="00583799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 w okresie panującej obecnie w Rzeczypospolitej Polskiej </w:t>
            </w:r>
            <w:r w:rsidR="0037128C">
              <w:rPr>
                <w:rFonts w:ascii="Times New Roman" w:hAnsi="Times New Roman"/>
                <w:color w:val="000000"/>
                <w:spacing w:val="-2"/>
              </w:rPr>
              <w:t>stanu epidemii</w:t>
            </w:r>
            <w:r w:rsidRPr="00E9552E">
              <w:rPr>
                <w:rFonts w:ascii="Times New Roman" w:hAnsi="Times New Roman"/>
                <w:color w:val="000000"/>
                <w:spacing w:val="-2"/>
              </w:rPr>
              <w:t>. Przyczyni się to do utrzymania płynności finansowej świadczeniodawców.</w:t>
            </w:r>
          </w:p>
          <w:p w14:paraId="69CE34BC" w14:textId="1EB544DA" w:rsidR="00997011" w:rsidRPr="00B37C80" w:rsidRDefault="00E9552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9552E">
              <w:rPr>
                <w:rFonts w:ascii="Times New Roman" w:hAnsi="Times New Roman"/>
                <w:color w:val="000000"/>
                <w:spacing w:val="-2"/>
              </w:rPr>
              <w:t xml:space="preserve">Projekt został udostępniony na stronie podmiotowej Rządowego Centrum Legislacji, w serwisie „Rządowy Proces Legislacyjny” zgodnie z art. 5 ustawy z dnia 7 lipca 2005 r. o działalności lobbingowej w procesie stanowienia prawa (Dz. U. z 2017 r. poz. 248) oraz uchwałą nr 190 Rady Ministrów z dnia 29 października 2013 r. – Regulamin pracy Rady Ministrów (M.P. z 2016 r. poz. 1006, z </w:t>
            </w:r>
            <w:proofErr w:type="spellStart"/>
            <w:r w:rsidRPr="00E9552E">
              <w:rPr>
                <w:rFonts w:ascii="Times New Roman" w:hAnsi="Times New Roman"/>
                <w:color w:val="000000"/>
                <w:spacing w:val="-2"/>
              </w:rPr>
              <w:t>późn</w:t>
            </w:r>
            <w:proofErr w:type="spellEnd"/>
            <w:r w:rsidRPr="00E9552E">
              <w:rPr>
                <w:rFonts w:ascii="Times New Roman" w:hAnsi="Times New Roman"/>
                <w:color w:val="000000"/>
                <w:spacing w:val="-2"/>
              </w:rPr>
              <w:t>. zm.).</w:t>
            </w:r>
          </w:p>
        </w:tc>
      </w:tr>
      <w:tr w:rsidR="006A701A" w:rsidRPr="008B4FE6" w14:paraId="757CF93B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0B6F25F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12C3A9F8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56723AA7" w14:textId="77777777" w:rsidR="00260F33" w:rsidRPr="00C53F26" w:rsidRDefault="00821717" w:rsidP="00631123">
            <w:pPr>
              <w:spacing w:before="40" w:after="40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40F9FF" w14:textId="77777777" w:rsidR="00260F33" w:rsidRPr="00C53F26" w:rsidRDefault="00260F33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5DC756C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75C4C28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2AE29C2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28D8DA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B8072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9A7E8E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99EE29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4F67EB0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0AFAD5A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4E9A38A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D7D1CA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3C17B1B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009C6A0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0B9BDF91" w14:textId="77777777" w:rsidR="0057668E" w:rsidRPr="00C53F26" w:rsidRDefault="0057668E" w:rsidP="00631123">
            <w:pPr>
              <w:spacing w:before="40" w:after="40"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77376FF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5919AF9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DF2FF8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4192F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AF0A8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A33DB3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6DEF0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E789B4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3EA505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F19A82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65576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7A28BA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1D4B5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8531A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62677553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4CEC2C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B1400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5D3F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57192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D6DD8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1FF0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6C4A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361235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095CC4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CA631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8480B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EF4A6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AAAB82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3BB7946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60CE41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97389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6405A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B3A967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C0EC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BED7C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467F88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B739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28A7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F2C6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46A17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4AD216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E852A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F8A7C88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CC5150E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FC5613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2EB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C8A30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240DD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334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DB53F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D30C79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364DD0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F7F50FF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5314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376F5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1B6DEB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E7CFFD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ED8187D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305E4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19CE49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F9594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E3DB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7724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FB958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497139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2D828A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9B83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22DF5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ADF156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B45C4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18743E3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C6F3AF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235CC2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E4E3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E689F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479D7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471158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152DAF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02A62AA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BF90C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22E8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3F950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7441AE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AC9246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2AD3390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D4430A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C0B8B0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1E157E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CF5C9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20C8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E6620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4B134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42FBD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68B52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9F7902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62F3A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42A175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DCD93D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51211D5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99FE558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62E262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798C9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12629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5CA1A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B368D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2CA487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4ACBD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7A729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18BA8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C8808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7F7F10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DE714B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D3B0256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430D6C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46691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D8392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B157BC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3B07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A00F5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07864E1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5C2C6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C3406E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F8EE3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D652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314841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51B8E9E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F444441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BD58D43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A990C06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6EFD0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CB30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B9CFF1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F1FBC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E53E72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3D81E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07F4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29CB4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67F34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CC322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B06CF1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F20F966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8FB5EB5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E6D319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13BCD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40D8F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0D0CA5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4EE0A3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B0AF82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EDF135C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EF6A1CA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6A99567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2D5742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1D5A6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C644E68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70197E1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F0C9426" w14:textId="77777777" w:rsidR="0057668E" w:rsidRPr="00C53F26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09C445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5F6322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EE70F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6F633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3DAEB0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6365E3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48880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97A18D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1D87B9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EC9474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081495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0A8E4B" w14:textId="77777777" w:rsidR="0057668E" w:rsidRPr="00B37C80" w:rsidRDefault="0057668E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7B719218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32C7B45" w14:textId="77777777" w:rsidR="006A701A" w:rsidRPr="00C53F26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7A69BF2" w14:textId="20EB7620" w:rsidR="006A701A" w:rsidRPr="00BD0FB3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</w:t>
            </w:r>
            <w:r w:rsidRPr="00BD0FB3">
              <w:rPr>
                <w:rFonts w:ascii="Times New Roman" w:hAnsi="Times New Roman"/>
                <w:color w:val="000000"/>
              </w:rPr>
              <w:t>mian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BD0FB3">
              <w:rPr>
                <w:rFonts w:ascii="Times New Roman" w:hAnsi="Times New Roman"/>
                <w:color w:val="000000"/>
              </w:rPr>
              <w:t xml:space="preserve"> zawart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Pr="00BD0FB3">
              <w:rPr>
                <w:rFonts w:ascii="Times New Roman" w:hAnsi="Times New Roman"/>
                <w:color w:val="000000"/>
              </w:rPr>
              <w:t xml:space="preserve"> </w:t>
            </w:r>
            <w:r w:rsidR="00E3184D" w:rsidRPr="00BD0FB3">
              <w:rPr>
                <w:rFonts w:ascii="Times New Roman" w:hAnsi="Times New Roman"/>
                <w:color w:val="000000"/>
              </w:rPr>
              <w:t xml:space="preserve">w projekcie </w:t>
            </w:r>
            <w:r w:rsidR="002810ED" w:rsidRPr="00BD0FB3">
              <w:rPr>
                <w:rFonts w:ascii="Times New Roman" w:hAnsi="Times New Roman"/>
                <w:color w:val="000000"/>
              </w:rPr>
              <w:t>nie będą wymagać dodatkowych nakładów finansowych</w:t>
            </w:r>
            <w:r w:rsidR="00D346CE" w:rsidRPr="00BD0FB3">
              <w:rPr>
                <w:rFonts w:ascii="Times New Roman" w:hAnsi="Times New Roman"/>
                <w:color w:val="000000"/>
              </w:rPr>
              <w:t>.</w:t>
            </w:r>
            <w:r w:rsidR="002810ED" w:rsidRPr="00BD0FB3">
              <w:rPr>
                <w:rFonts w:ascii="Times New Roman" w:hAnsi="Times New Roman"/>
                <w:color w:val="000000"/>
              </w:rPr>
              <w:t xml:space="preserve"> Projektowane rozporządzenie n</w:t>
            </w:r>
            <w:r w:rsidR="000948C8" w:rsidRPr="00BD0FB3">
              <w:rPr>
                <w:rFonts w:ascii="Times New Roman" w:hAnsi="Times New Roman"/>
                <w:color w:val="000000"/>
              </w:rPr>
              <w:t xml:space="preserve">ie spowoduje skutków finansowych dla budżetu państwa i jednostek samorządu terytorialnego.  </w:t>
            </w:r>
          </w:p>
          <w:p w14:paraId="6DB95EAA" w14:textId="77777777" w:rsidR="006A701A" w:rsidRPr="00B37C80" w:rsidRDefault="006A701A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1B983470" w14:textId="77777777" w:rsidTr="0024297B">
        <w:trPr>
          <w:gridAfter w:val="1"/>
          <w:wAfter w:w="10" w:type="dxa"/>
          <w:trHeight w:val="1266"/>
        </w:trPr>
        <w:tc>
          <w:tcPr>
            <w:tcW w:w="2243" w:type="dxa"/>
            <w:gridSpan w:val="2"/>
            <w:shd w:val="clear" w:color="auto" w:fill="FFFFFF"/>
          </w:tcPr>
          <w:p w14:paraId="4EFEAA1D" w14:textId="77777777" w:rsidR="00E24BD7" w:rsidRPr="00C53F2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AD0FD12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E89498B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3D74791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C0FF78A" w14:textId="77777777" w:rsidR="00E24BD7" w:rsidRPr="00C53F26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D3DB897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9207538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1851F56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DF4B21" w14:textId="77777777" w:rsidR="005E7371" w:rsidRPr="00301959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6D6F781D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1B401DAD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5BF449A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5B777C1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A79D63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6F1CEC0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397AA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C7F4CD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2AB49972" w14:textId="77777777" w:rsidR="002E6D63" w:rsidRPr="001B346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479316CA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685FD83C" w14:textId="77777777" w:rsidR="006F78C4" w:rsidRDefault="002E6D63" w:rsidP="00631123">
            <w:pPr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FF75E9F" w14:textId="77777777" w:rsidR="006F78C4" w:rsidRDefault="006F78C4" w:rsidP="00631123">
            <w:pPr>
              <w:jc w:val="both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FF5D806" w14:textId="77777777" w:rsidR="002E6D63" w:rsidRPr="00301959" w:rsidRDefault="006F78C4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56D24FC" w14:textId="77777777" w:rsidR="002E6D63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2730CA57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5CF299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77AA83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47935E0E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B8C1B6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903E98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621BE6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1D34524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0DE3040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6EE0488" w14:textId="77777777" w:rsidR="002E6D63" w:rsidRPr="00301959" w:rsidRDefault="00705A2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4430A3D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190AE93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52A1C8F5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3A7410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275DA0B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5E3ABC8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603DEC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51E261CD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B44B1C6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564E62E" w14:textId="77777777" w:rsidR="002E6D63" w:rsidRPr="00301959" w:rsidRDefault="00A92BA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ADF1F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CD75BF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CF039B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16E42982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4A1920E4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10F9B4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0EC5B5F6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042C7429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74CEE197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FB1622E" w14:textId="77777777" w:rsidR="002E6D63" w:rsidRPr="00301959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10502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3DFF960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26ED8D3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218107B9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E11FB6D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2E77FC8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461DE6CF" w14:textId="77777777" w:rsidR="002E6D63" w:rsidRPr="00B37C80" w:rsidRDefault="002E6D6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746845EA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3870FE05" w14:textId="77777777" w:rsidR="008A608F" w:rsidRPr="00301959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CDD756" w14:textId="77777777" w:rsidR="008A608F" w:rsidRPr="00301959" w:rsidRDefault="009E3C4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0CAF00F" w14:textId="77777777" w:rsidR="008A608F" w:rsidRPr="00B37C80" w:rsidRDefault="008A608F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653C3" w:rsidRPr="008B4FE6" w14:paraId="21357866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F4F135F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7A71CF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10F40CA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Projektowane rozporządzenie nie będzie miało wpływu na mikro-,  małych i średnich przedsiębiorców.</w:t>
            </w:r>
          </w:p>
        </w:tc>
      </w:tr>
      <w:tr w:rsidR="002653C3" w:rsidRPr="008B4FE6" w14:paraId="44F1A737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B58B3EE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4FB60E4" w14:textId="77777777" w:rsidR="002653C3" w:rsidRPr="00301959" w:rsidRDefault="002653C3" w:rsidP="00631123">
            <w:pPr>
              <w:tabs>
                <w:tab w:val="right" w:pos="193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AC0E3D8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rodzin.</w:t>
            </w:r>
          </w:p>
        </w:tc>
      </w:tr>
      <w:tr w:rsidR="002653C3" w:rsidRPr="008B4FE6" w14:paraId="54B25B57" w14:textId="77777777" w:rsidTr="00676C8D">
        <w:trPr>
          <w:gridAfter w:val="1"/>
          <w:wAfter w:w="10" w:type="dxa"/>
          <w:trHeight w:val="240"/>
        </w:trPr>
        <w:tc>
          <w:tcPr>
            <w:tcW w:w="1596" w:type="dxa"/>
            <w:vMerge/>
            <w:shd w:val="clear" w:color="auto" w:fill="FFFFFF"/>
          </w:tcPr>
          <w:p w14:paraId="05A8C958" w14:textId="77777777" w:rsidR="002653C3" w:rsidRPr="00301959" w:rsidRDefault="002653C3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3740D8B6" w14:textId="77777777" w:rsidR="002653C3" w:rsidRPr="00301959" w:rsidRDefault="002653C3" w:rsidP="00631123">
            <w:pPr>
              <w:tabs>
                <w:tab w:val="right" w:pos="1936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2653C3">
              <w:rPr>
                <w:rFonts w:ascii="Times New Roman" w:hAnsi="Times New Roman"/>
                <w:sz w:val="21"/>
                <w:szCs w:val="21"/>
              </w:rPr>
              <w:t>osoby niepełnosprawne, osoby starsze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DC68A3E" w14:textId="77777777" w:rsidR="002653C3" w:rsidRPr="002653C3" w:rsidRDefault="002653C3" w:rsidP="00631123">
            <w:pPr>
              <w:jc w:val="both"/>
              <w:rPr>
                <w:rFonts w:ascii="Times New Roman" w:hAnsi="Times New Roman"/>
              </w:rPr>
            </w:pPr>
            <w:r w:rsidRPr="002653C3">
              <w:rPr>
                <w:rFonts w:ascii="Times New Roman" w:hAnsi="Times New Roman"/>
              </w:rPr>
              <w:t>Projekt rozporządzenia nie będzie miał wpływu na sytuację ekonomiczną i społeczną osób starszych</w:t>
            </w:r>
            <w:r w:rsidR="00D43F6A">
              <w:rPr>
                <w:rFonts w:ascii="Times New Roman" w:hAnsi="Times New Roman"/>
              </w:rPr>
              <w:t xml:space="preserve"> oraz osób niepełnosprawnych</w:t>
            </w:r>
            <w:r w:rsidRPr="002653C3">
              <w:rPr>
                <w:rFonts w:ascii="Times New Roman" w:hAnsi="Times New Roman"/>
              </w:rPr>
              <w:t>.</w:t>
            </w:r>
          </w:p>
        </w:tc>
      </w:tr>
      <w:tr w:rsidR="005E7371" w:rsidRPr="008B4FE6" w14:paraId="723ABAF1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59670B3F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1274647" w14:textId="77777777" w:rsidR="005E7371" w:rsidRPr="00301959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3ABFFC31" w14:textId="77777777" w:rsidR="005E7371" w:rsidRPr="00B37C80" w:rsidRDefault="005E7371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A59CA11" w14:textId="77777777" w:rsidTr="0024297B">
        <w:trPr>
          <w:gridAfter w:val="1"/>
          <w:wAfter w:w="10" w:type="dxa"/>
          <w:trHeight w:val="937"/>
        </w:trPr>
        <w:tc>
          <w:tcPr>
            <w:tcW w:w="2243" w:type="dxa"/>
            <w:gridSpan w:val="2"/>
            <w:shd w:val="clear" w:color="auto" w:fill="FFFFFF"/>
          </w:tcPr>
          <w:p w14:paraId="22B12DAF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02325650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025F654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B67E85C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5827F48" w14:textId="77777777" w:rsidR="00E24BD7" w:rsidRPr="00301959" w:rsidRDefault="00E24BD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0AC4039C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A9D102" w14:textId="77777777" w:rsidR="006A701A" w:rsidRPr="008B4FE6" w:rsidRDefault="006A701A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9D2DC03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CCB2EE6" w14:textId="030E768F" w:rsidR="00D86AFF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B84A6AE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94F2A3E" w14:textId="77777777" w:rsidR="00D86AFF" w:rsidRDefault="00D86AFF" w:rsidP="00631123">
            <w:pPr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1D146D7C" w14:textId="77777777" w:rsidR="00D86AFF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3B8E32C" w14:textId="77777777" w:rsidR="00D86AFF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56EFE081" w14:textId="6885FD49" w:rsidR="00D86AFF" w:rsidRDefault="00005242" w:rsidP="00631123">
            <w:pPr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97B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1DCA7F51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AFB37AE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293D937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D00E601" w14:textId="718220A1" w:rsidR="001B3460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768471BA" w14:textId="77777777" w:rsidR="001B3460" w:rsidRPr="008B4FE6" w:rsidRDefault="00005242" w:rsidP="00631123">
            <w:pPr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520BE3B5" w14:textId="081B7B7D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5BBB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D2B6967" w14:textId="4D7761B8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577554E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8A71B2D" w14:textId="5DD278CA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37C9DD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7C830477" w14:textId="77777777" w:rsidR="00BF0DA2" w:rsidRPr="008B4FE6" w:rsidRDefault="00BF0DA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94F325B" w14:textId="77777777" w:rsidR="00BF0DA2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7E4BA0E6" w14:textId="77777777" w:rsidR="00BF0DA2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70B4E5B" w14:textId="51B55247" w:rsidR="00117017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B15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14EE17D4" w14:textId="77777777" w:rsidTr="0024297B">
        <w:trPr>
          <w:gridAfter w:val="1"/>
          <w:wAfter w:w="10" w:type="dxa"/>
          <w:trHeight w:val="310"/>
        </w:trPr>
        <w:tc>
          <w:tcPr>
            <w:tcW w:w="10937" w:type="dxa"/>
            <w:gridSpan w:val="29"/>
            <w:shd w:val="clear" w:color="auto" w:fill="FFFFFF"/>
          </w:tcPr>
          <w:p w14:paraId="5647A0BB" w14:textId="77777777" w:rsidR="00117017" w:rsidRPr="008B4FE6" w:rsidRDefault="00117017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F4418F">
              <w:rPr>
                <w:rFonts w:ascii="Times New Roman" w:hAnsi="Times New Roman"/>
                <w:color w:val="000000"/>
              </w:rPr>
              <w:t xml:space="preserve"> Nie dotyczy.</w:t>
            </w:r>
          </w:p>
        </w:tc>
      </w:tr>
      <w:tr w:rsidR="001B3460" w:rsidRPr="008B4FE6" w14:paraId="738C543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D717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33F8D6D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9887B8E" w14:textId="77777777" w:rsidR="001B3460" w:rsidRPr="008B4FE6" w:rsidRDefault="003B63E6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B63E6">
              <w:rPr>
                <w:rFonts w:ascii="Times New Roman" w:hAnsi="Times New Roman"/>
                <w:color w:val="000000"/>
              </w:rPr>
              <w:t>Regulacje zaproponowane w projekcie rozporządzenia nie będą miały wpływu na rynek pracy.</w:t>
            </w:r>
          </w:p>
        </w:tc>
      </w:tr>
      <w:tr w:rsidR="001B3460" w:rsidRPr="008B4FE6" w14:paraId="040B3E0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57EC25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E1AAD76" w14:textId="77777777" w:rsidTr="0024297B">
        <w:trPr>
          <w:gridAfter w:val="1"/>
          <w:wAfter w:w="10" w:type="dxa"/>
          <w:trHeight w:val="898"/>
        </w:trPr>
        <w:tc>
          <w:tcPr>
            <w:tcW w:w="3547" w:type="dxa"/>
            <w:gridSpan w:val="5"/>
            <w:shd w:val="clear" w:color="auto" w:fill="FFFFFF"/>
          </w:tcPr>
          <w:p w14:paraId="3E58673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607D8C4A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B7BD9C2" w14:textId="77777777" w:rsidR="001B3460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695DD060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F0FD81A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2DE2467F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CB742F0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7D8FD1F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1177F131" w14:textId="44E36B2E" w:rsidR="001B3460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1F36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16C9847" w14:textId="77777777" w:rsidR="001B3460" w:rsidRPr="008B4FE6" w:rsidRDefault="00005242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43F76B99" w14:textId="77777777" w:rsidTr="0024297B">
        <w:trPr>
          <w:gridAfter w:val="1"/>
          <w:wAfter w:w="10" w:type="dxa"/>
          <w:trHeight w:val="38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607D879E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56E761" w14:textId="77777777" w:rsidR="001B3460" w:rsidRPr="008B4FE6" w:rsidRDefault="001B3460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1B3460" w:rsidRPr="008B4FE6" w14:paraId="24F377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5E7B410" w14:textId="77777777" w:rsidR="001B3460" w:rsidRPr="00627221" w:rsidRDefault="00A767D2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00FCE09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B373BC6" w14:textId="09C5E5CB" w:rsidR="001B3460" w:rsidRPr="00B37C80" w:rsidRDefault="0055569E" w:rsidP="00631123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55569E">
              <w:rPr>
                <w:rFonts w:ascii="Times New Roman" w:hAnsi="Times New Roman"/>
                <w:spacing w:val="-2"/>
              </w:rPr>
              <w:t>Proponuje się, aby przepisy rozporządzenia weszły w życi</w:t>
            </w:r>
            <w:r w:rsidR="00300B85">
              <w:rPr>
                <w:rFonts w:ascii="Times New Roman" w:hAnsi="Times New Roman"/>
                <w:spacing w:val="-2"/>
              </w:rPr>
              <w:t>e z dniem następującym po dniu ogłoszenia</w:t>
            </w:r>
            <w:r w:rsidR="002142C3">
              <w:rPr>
                <w:rFonts w:ascii="Times New Roman" w:hAnsi="Times New Roman"/>
                <w:spacing w:val="-2"/>
              </w:rPr>
              <w:t xml:space="preserve">. </w:t>
            </w:r>
            <w:r w:rsidR="004E3A9B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7523E7F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041BE08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332A404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D86B066" w14:textId="60EB92E8" w:rsidR="001B3460" w:rsidRPr="00B37C80" w:rsidRDefault="00222D69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t xml:space="preserve"> </w:t>
            </w:r>
            <w:r w:rsidRPr="00222D69">
              <w:rPr>
                <w:rFonts w:ascii="Times New Roman" w:hAnsi="Times New Roman"/>
                <w:color w:val="000000"/>
                <w:spacing w:val="-2"/>
              </w:rPr>
              <w:t>Nie planuje się ewaluacji efektów projektu, a tym samym nie stosuje się mierników dla tej ewaluacji.</w:t>
            </w:r>
          </w:p>
        </w:tc>
      </w:tr>
      <w:tr w:rsidR="001B3460" w:rsidRPr="008B4FE6" w14:paraId="2E5CFD4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6F19E90" w14:textId="77777777" w:rsidR="001B3460" w:rsidRPr="008B4FE6" w:rsidRDefault="001B3460" w:rsidP="00631123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4E72007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06DC6D7" w14:textId="5922F7DD" w:rsidR="001B3460" w:rsidRPr="00B37C80" w:rsidRDefault="004E3A9B" w:rsidP="0063112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0688D7AF" w14:textId="77777777" w:rsidR="006176ED" w:rsidRPr="00522D94" w:rsidRDefault="006176ED" w:rsidP="00631123">
      <w:pPr>
        <w:pStyle w:val="Nagwek1"/>
        <w:jc w:val="both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228B3" w14:textId="77777777" w:rsidR="00005242" w:rsidRDefault="00005242" w:rsidP="00044739">
      <w:pPr>
        <w:spacing w:line="240" w:lineRule="auto"/>
      </w:pPr>
      <w:r>
        <w:separator/>
      </w:r>
    </w:p>
  </w:endnote>
  <w:endnote w:type="continuationSeparator" w:id="0">
    <w:p w14:paraId="0F4AA120" w14:textId="77777777" w:rsidR="00005242" w:rsidRDefault="00005242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2EDCD" w14:textId="77777777" w:rsidR="00005242" w:rsidRDefault="00005242" w:rsidP="00044739">
      <w:pPr>
        <w:spacing w:line="240" w:lineRule="auto"/>
      </w:pPr>
      <w:r>
        <w:separator/>
      </w:r>
    </w:p>
  </w:footnote>
  <w:footnote w:type="continuationSeparator" w:id="0">
    <w:p w14:paraId="17900AC3" w14:textId="77777777" w:rsidR="00005242" w:rsidRDefault="00005242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3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C12040"/>
    <w:multiLevelType w:val="hybridMultilevel"/>
    <w:tmpl w:val="D1C03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5A6C75"/>
    <w:multiLevelType w:val="hybridMultilevel"/>
    <w:tmpl w:val="FEB4C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7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9"/>
  </w:num>
  <w:num w:numId="14">
    <w:abstractNumId w:val="18"/>
  </w:num>
  <w:num w:numId="15">
    <w:abstractNumId w:val="14"/>
  </w:num>
  <w:num w:numId="16">
    <w:abstractNumId w:val="16"/>
  </w:num>
  <w:num w:numId="17">
    <w:abstractNumId w:val="5"/>
  </w:num>
  <w:num w:numId="18">
    <w:abstractNumId w:val="19"/>
  </w:num>
  <w:num w:numId="19">
    <w:abstractNumId w:val="22"/>
  </w:num>
  <w:num w:numId="20">
    <w:abstractNumId w:val="15"/>
  </w:num>
  <w:num w:numId="21">
    <w:abstractNumId w:val="6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6CB"/>
    <w:rsid w:val="000008E5"/>
    <w:rsid w:val="000015EE"/>
    <w:rsid w:val="000022D5"/>
    <w:rsid w:val="00004C6A"/>
    <w:rsid w:val="00005242"/>
    <w:rsid w:val="00012D11"/>
    <w:rsid w:val="00013EB5"/>
    <w:rsid w:val="0002279A"/>
    <w:rsid w:val="00023836"/>
    <w:rsid w:val="00033D9F"/>
    <w:rsid w:val="000356A9"/>
    <w:rsid w:val="00037382"/>
    <w:rsid w:val="00044138"/>
    <w:rsid w:val="00044739"/>
    <w:rsid w:val="00047CE0"/>
    <w:rsid w:val="00051637"/>
    <w:rsid w:val="00056681"/>
    <w:rsid w:val="0005680A"/>
    <w:rsid w:val="000648A7"/>
    <w:rsid w:val="0006618B"/>
    <w:rsid w:val="000670C0"/>
    <w:rsid w:val="00071B99"/>
    <w:rsid w:val="000756E5"/>
    <w:rsid w:val="0007704E"/>
    <w:rsid w:val="00080EC8"/>
    <w:rsid w:val="000847BD"/>
    <w:rsid w:val="000862DD"/>
    <w:rsid w:val="00093C04"/>
    <w:rsid w:val="000944AC"/>
    <w:rsid w:val="000948C8"/>
    <w:rsid w:val="00094CB9"/>
    <w:rsid w:val="000956B2"/>
    <w:rsid w:val="000969E7"/>
    <w:rsid w:val="000A23DE"/>
    <w:rsid w:val="000A4020"/>
    <w:rsid w:val="000A6466"/>
    <w:rsid w:val="000B54FB"/>
    <w:rsid w:val="000B71BA"/>
    <w:rsid w:val="000C22A9"/>
    <w:rsid w:val="000C29B0"/>
    <w:rsid w:val="000C52AD"/>
    <w:rsid w:val="000C76FC"/>
    <w:rsid w:val="000D38FC"/>
    <w:rsid w:val="000D4D90"/>
    <w:rsid w:val="000E2D10"/>
    <w:rsid w:val="000F3204"/>
    <w:rsid w:val="001027F2"/>
    <w:rsid w:val="0010548B"/>
    <w:rsid w:val="001072D1"/>
    <w:rsid w:val="00117017"/>
    <w:rsid w:val="00120310"/>
    <w:rsid w:val="001228B1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1555"/>
    <w:rsid w:val="0018318D"/>
    <w:rsid w:val="0018572C"/>
    <w:rsid w:val="0018749F"/>
    <w:rsid w:val="00187E79"/>
    <w:rsid w:val="00187F0D"/>
    <w:rsid w:val="00192CC5"/>
    <w:rsid w:val="001956A7"/>
    <w:rsid w:val="001A118A"/>
    <w:rsid w:val="001A27F4"/>
    <w:rsid w:val="001A2D95"/>
    <w:rsid w:val="001A33BB"/>
    <w:rsid w:val="001B3460"/>
    <w:rsid w:val="001B4CA1"/>
    <w:rsid w:val="001B75D8"/>
    <w:rsid w:val="001C1060"/>
    <w:rsid w:val="001C3C63"/>
    <w:rsid w:val="001C5DE2"/>
    <w:rsid w:val="001D4732"/>
    <w:rsid w:val="001D6A3C"/>
    <w:rsid w:val="001D6D51"/>
    <w:rsid w:val="001F653A"/>
    <w:rsid w:val="001F6979"/>
    <w:rsid w:val="00202BC6"/>
    <w:rsid w:val="00205141"/>
    <w:rsid w:val="0020516B"/>
    <w:rsid w:val="00213559"/>
    <w:rsid w:val="002135D0"/>
    <w:rsid w:val="00213EFD"/>
    <w:rsid w:val="002142C3"/>
    <w:rsid w:val="002172F1"/>
    <w:rsid w:val="0021745C"/>
    <w:rsid w:val="00222D69"/>
    <w:rsid w:val="00223C7B"/>
    <w:rsid w:val="00224AB1"/>
    <w:rsid w:val="0022687A"/>
    <w:rsid w:val="00230728"/>
    <w:rsid w:val="00234040"/>
    <w:rsid w:val="00235CD2"/>
    <w:rsid w:val="0024297B"/>
    <w:rsid w:val="00254DED"/>
    <w:rsid w:val="00255619"/>
    <w:rsid w:val="00255DAD"/>
    <w:rsid w:val="00256108"/>
    <w:rsid w:val="00260F33"/>
    <w:rsid w:val="002613BD"/>
    <w:rsid w:val="002624F1"/>
    <w:rsid w:val="002653C3"/>
    <w:rsid w:val="00270C81"/>
    <w:rsid w:val="00271558"/>
    <w:rsid w:val="00274862"/>
    <w:rsid w:val="002810ED"/>
    <w:rsid w:val="00282D72"/>
    <w:rsid w:val="00283402"/>
    <w:rsid w:val="00290FD6"/>
    <w:rsid w:val="00294259"/>
    <w:rsid w:val="002A2C81"/>
    <w:rsid w:val="002B3D1A"/>
    <w:rsid w:val="002B41F3"/>
    <w:rsid w:val="002B66D1"/>
    <w:rsid w:val="002C27D0"/>
    <w:rsid w:val="002C2C9B"/>
    <w:rsid w:val="002D17D6"/>
    <w:rsid w:val="002D18D7"/>
    <w:rsid w:val="002D21CE"/>
    <w:rsid w:val="002D79C8"/>
    <w:rsid w:val="002E3DA3"/>
    <w:rsid w:val="002E450F"/>
    <w:rsid w:val="002E6B38"/>
    <w:rsid w:val="002E6D63"/>
    <w:rsid w:val="002E6DAA"/>
    <w:rsid w:val="002E6E2B"/>
    <w:rsid w:val="002F500B"/>
    <w:rsid w:val="002F7639"/>
    <w:rsid w:val="00300991"/>
    <w:rsid w:val="00300B85"/>
    <w:rsid w:val="00300D65"/>
    <w:rsid w:val="00301959"/>
    <w:rsid w:val="00305B8A"/>
    <w:rsid w:val="003168C0"/>
    <w:rsid w:val="00327C7A"/>
    <w:rsid w:val="00331BF9"/>
    <w:rsid w:val="00332298"/>
    <w:rsid w:val="0033495E"/>
    <w:rsid w:val="00334A79"/>
    <w:rsid w:val="00334D8D"/>
    <w:rsid w:val="00337345"/>
    <w:rsid w:val="00337DD2"/>
    <w:rsid w:val="003404D1"/>
    <w:rsid w:val="00341880"/>
    <w:rsid w:val="003443FF"/>
    <w:rsid w:val="00355808"/>
    <w:rsid w:val="0035761A"/>
    <w:rsid w:val="00360C99"/>
    <w:rsid w:val="00362C7E"/>
    <w:rsid w:val="00363309"/>
    <w:rsid w:val="00363601"/>
    <w:rsid w:val="0037128C"/>
    <w:rsid w:val="00371857"/>
    <w:rsid w:val="00376AC9"/>
    <w:rsid w:val="00393032"/>
    <w:rsid w:val="00394B69"/>
    <w:rsid w:val="00397078"/>
    <w:rsid w:val="003A6953"/>
    <w:rsid w:val="003B6083"/>
    <w:rsid w:val="003B63E6"/>
    <w:rsid w:val="003B7BE2"/>
    <w:rsid w:val="003C3838"/>
    <w:rsid w:val="003C5847"/>
    <w:rsid w:val="003D0681"/>
    <w:rsid w:val="003D12F6"/>
    <w:rsid w:val="003D1426"/>
    <w:rsid w:val="003D38DD"/>
    <w:rsid w:val="003E2F4E"/>
    <w:rsid w:val="003E720A"/>
    <w:rsid w:val="00403658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0D51"/>
    <w:rsid w:val="00452034"/>
    <w:rsid w:val="00455FA6"/>
    <w:rsid w:val="004577CA"/>
    <w:rsid w:val="00466C70"/>
    <w:rsid w:val="004702C9"/>
    <w:rsid w:val="0047299F"/>
    <w:rsid w:val="00472E45"/>
    <w:rsid w:val="00473FEA"/>
    <w:rsid w:val="0047579D"/>
    <w:rsid w:val="0047740B"/>
    <w:rsid w:val="00483262"/>
    <w:rsid w:val="00484107"/>
    <w:rsid w:val="00485CC5"/>
    <w:rsid w:val="00486FDD"/>
    <w:rsid w:val="004927AD"/>
    <w:rsid w:val="0049343F"/>
    <w:rsid w:val="004960B2"/>
    <w:rsid w:val="004964FC"/>
    <w:rsid w:val="004A145E"/>
    <w:rsid w:val="004A1F15"/>
    <w:rsid w:val="004A2A81"/>
    <w:rsid w:val="004A7BD7"/>
    <w:rsid w:val="004B39A8"/>
    <w:rsid w:val="004B40E5"/>
    <w:rsid w:val="004C15C2"/>
    <w:rsid w:val="004C3270"/>
    <w:rsid w:val="004C36D8"/>
    <w:rsid w:val="004D1248"/>
    <w:rsid w:val="004D1E3C"/>
    <w:rsid w:val="004D3C5A"/>
    <w:rsid w:val="004D4169"/>
    <w:rsid w:val="004D53EB"/>
    <w:rsid w:val="004D6503"/>
    <w:rsid w:val="004D6E14"/>
    <w:rsid w:val="004E3A9B"/>
    <w:rsid w:val="004F0575"/>
    <w:rsid w:val="004F4E17"/>
    <w:rsid w:val="0050082F"/>
    <w:rsid w:val="00500C56"/>
    <w:rsid w:val="00501713"/>
    <w:rsid w:val="00506568"/>
    <w:rsid w:val="0051551B"/>
    <w:rsid w:val="005204CB"/>
    <w:rsid w:val="00520C57"/>
    <w:rsid w:val="00522D94"/>
    <w:rsid w:val="00533D89"/>
    <w:rsid w:val="00536564"/>
    <w:rsid w:val="00544597"/>
    <w:rsid w:val="00544FFE"/>
    <w:rsid w:val="005473F5"/>
    <w:rsid w:val="005477E7"/>
    <w:rsid w:val="00552794"/>
    <w:rsid w:val="0055569E"/>
    <w:rsid w:val="00563199"/>
    <w:rsid w:val="00564874"/>
    <w:rsid w:val="00567963"/>
    <w:rsid w:val="0057009A"/>
    <w:rsid w:val="00571260"/>
    <w:rsid w:val="0057189C"/>
    <w:rsid w:val="00573FC1"/>
    <w:rsid w:val="005741EE"/>
    <w:rsid w:val="00575E9A"/>
    <w:rsid w:val="0057668E"/>
    <w:rsid w:val="00583799"/>
    <w:rsid w:val="005877FA"/>
    <w:rsid w:val="00595E10"/>
    <w:rsid w:val="00595E83"/>
    <w:rsid w:val="00596530"/>
    <w:rsid w:val="005967F3"/>
    <w:rsid w:val="005A06DF"/>
    <w:rsid w:val="005A5527"/>
    <w:rsid w:val="005A5AE6"/>
    <w:rsid w:val="005A753A"/>
    <w:rsid w:val="005B0CE8"/>
    <w:rsid w:val="005B1206"/>
    <w:rsid w:val="005B37E8"/>
    <w:rsid w:val="005B41F0"/>
    <w:rsid w:val="005C0056"/>
    <w:rsid w:val="005D2E38"/>
    <w:rsid w:val="005D43FB"/>
    <w:rsid w:val="005D61D6"/>
    <w:rsid w:val="005E0D13"/>
    <w:rsid w:val="005E5047"/>
    <w:rsid w:val="005E5A3C"/>
    <w:rsid w:val="005E7205"/>
    <w:rsid w:val="005E7371"/>
    <w:rsid w:val="005F116C"/>
    <w:rsid w:val="005F2131"/>
    <w:rsid w:val="00605EF6"/>
    <w:rsid w:val="00606455"/>
    <w:rsid w:val="00614706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123"/>
    <w:rsid w:val="006316FA"/>
    <w:rsid w:val="0063275A"/>
    <w:rsid w:val="006370D2"/>
    <w:rsid w:val="0064074F"/>
    <w:rsid w:val="00641F55"/>
    <w:rsid w:val="00645E4A"/>
    <w:rsid w:val="006529F6"/>
    <w:rsid w:val="00653688"/>
    <w:rsid w:val="00654A7C"/>
    <w:rsid w:val="0066091B"/>
    <w:rsid w:val="006609B8"/>
    <w:rsid w:val="00661B25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0E9E"/>
    <w:rsid w:val="006A4904"/>
    <w:rsid w:val="006A548F"/>
    <w:rsid w:val="006A701A"/>
    <w:rsid w:val="006B64DC"/>
    <w:rsid w:val="006B6C83"/>
    <w:rsid w:val="006B7A91"/>
    <w:rsid w:val="006D1B1F"/>
    <w:rsid w:val="006D4704"/>
    <w:rsid w:val="006D6A2D"/>
    <w:rsid w:val="006E03E1"/>
    <w:rsid w:val="006E1E18"/>
    <w:rsid w:val="006E31CE"/>
    <w:rsid w:val="006E34D3"/>
    <w:rsid w:val="006E790A"/>
    <w:rsid w:val="006F1435"/>
    <w:rsid w:val="006F1BD9"/>
    <w:rsid w:val="006F78C4"/>
    <w:rsid w:val="00701CEA"/>
    <w:rsid w:val="00701FEB"/>
    <w:rsid w:val="007031A0"/>
    <w:rsid w:val="00705A29"/>
    <w:rsid w:val="00707498"/>
    <w:rsid w:val="00710DB9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1C5"/>
    <w:rsid w:val="00740D2C"/>
    <w:rsid w:val="007415D0"/>
    <w:rsid w:val="00743548"/>
    <w:rsid w:val="00744BF9"/>
    <w:rsid w:val="00752623"/>
    <w:rsid w:val="00760F1F"/>
    <w:rsid w:val="0076423E"/>
    <w:rsid w:val="007646CB"/>
    <w:rsid w:val="0076658F"/>
    <w:rsid w:val="0077040A"/>
    <w:rsid w:val="007714A4"/>
    <w:rsid w:val="00772D64"/>
    <w:rsid w:val="00783862"/>
    <w:rsid w:val="007848CE"/>
    <w:rsid w:val="00792609"/>
    <w:rsid w:val="00792887"/>
    <w:rsid w:val="007943E2"/>
    <w:rsid w:val="00794F2C"/>
    <w:rsid w:val="007A1033"/>
    <w:rsid w:val="007A3B3C"/>
    <w:rsid w:val="007A3BC7"/>
    <w:rsid w:val="007A5AC4"/>
    <w:rsid w:val="007B0FDD"/>
    <w:rsid w:val="007B2430"/>
    <w:rsid w:val="007B2979"/>
    <w:rsid w:val="007B4802"/>
    <w:rsid w:val="007B6668"/>
    <w:rsid w:val="007B6B33"/>
    <w:rsid w:val="007C2701"/>
    <w:rsid w:val="007D0BD3"/>
    <w:rsid w:val="007D0BE5"/>
    <w:rsid w:val="007D2192"/>
    <w:rsid w:val="007D5E75"/>
    <w:rsid w:val="007D671A"/>
    <w:rsid w:val="007F0021"/>
    <w:rsid w:val="007F2F52"/>
    <w:rsid w:val="00801F71"/>
    <w:rsid w:val="00805F28"/>
    <w:rsid w:val="0080749F"/>
    <w:rsid w:val="008113D9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453BF"/>
    <w:rsid w:val="008477A9"/>
    <w:rsid w:val="008525C8"/>
    <w:rsid w:val="00856799"/>
    <w:rsid w:val="008575C3"/>
    <w:rsid w:val="00857F9C"/>
    <w:rsid w:val="00863D28"/>
    <w:rsid w:val="008648C3"/>
    <w:rsid w:val="00867AB4"/>
    <w:rsid w:val="0087212C"/>
    <w:rsid w:val="0087535B"/>
    <w:rsid w:val="00880F26"/>
    <w:rsid w:val="008845B2"/>
    <w:rsid w:val="00886151"/>
    <w:rsid w:val="00887F70"/>
    <w:rsid w:val="008912CC"/>
    <w:rsid w:val="00896C2E"/>
    <w:rsid w:val="00897279"/>
    <w:rsid w:val="008A5095"/>
    <w:rsid w:val="008A608F"/>
    <w:rsid w:val="008B1A9A"/>
    <w:rsid w:val="008B4FE6"/>
    <w:rsid w:val="008B6C37"/>
    <w:rsid w:val="008E18F7"/>
    <w:rsid w:val="008E1E10"/>
    <w:rsid w:val="008E291B"/>
    <w:rsid w:val="008E4F2F"/>
    <w:rsid w:val="008E74B0"/>
    <w:rsid w:val="008F2800"/>
    <w:rsid w:val="009008A8"/>
    <w:rsid w:val="009063B0"/>
    <w:rsid w:val="00907106"/>
    <w:rsid w:val="009107FD"/>
    <w:rsid w:val="0091137C"/>
    <w:rsid w:val="00911567"/>
    <w:rsid w:val="00917AAE"/>
    <w:rsid w:val="009251A9"/>
    <w:rsid w:val="00926FB1"/>
    <w:rsid w:val="00930699"/>
    <w:rsid w:val="00931F69"/>
    <w:rsid w:val="00933D4C"/>
    <w:rsid w:val="00934123"/>
    <w:rsid w:val="00953E5D"/>
    <w:rsid w:val="00955680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97011"/>
    <w:rsid w:val="009A0658"/>
    <w:rsid w:val="009A1D86"/>
    <w:rsid w:val="009B049C"/>
    <w:rsid w:val="009B11C8"/>
    <w:rsid w:val="009B2BCF"/>
    <w:rsid w:val="009B2FF8"/>
    <w:rsid w:val="009B47F2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08AF"/>
    <w:rsid w:val="00A02020"/>
    <w:rsid w:val="00A03566"/>
    <w:rsid w:val="00A056CB"/>
    <w:rsid w:val="00A07A29"/>
    <w:rsid w:val="00A10FF1"/>
    <w:rsid w:val="00A1506B"/>
    <w:rsid w:val="00A17CB2"/>
    <w:rsid w:val="00A23191"/>
    <w:rsid w:val="00A319C0"/>
    <w:rsid w:val="00A33560"/>
    <w:rsid w:val="00A33E24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8E9"/>
    <w:rsid w:val="00A56E64"/>
    <w:rsid w:val="00A624C3"/>
    <w:rsid w:val="00A6539D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87D"/>
    <w:rsid w:val="00A94BA3"/>
    <w:rsid w:val="00A96CBA"/>
    <w:rsid w:val="00AA62B5"/>
    <w:rsid w:val="00AB079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5BBB"/>
    <w:rsid w:val="00AE6CF8"/>
    <w:rsid w:val="00AF0F36"/>
    <w:rsid w:val="00AF4CAC"/>
    <w:rsid w:val="00AF5D6A"/>
    <w:rsid w:val="00B03E0D"/>
    <w:rsid w:val="00B054F8"/>
    <w:rsid w:val="00B1514B"/>
    <w:rsid w:val="00B15F74"/>
    <w:rsid w:val="00B2219A"/>
    <w:rsid w:val="00B34862"/>
    <w:rsid w:val="00B3581B"/>
    <w:rsid w:val="00B36B81"/>
    <w:rsid w:val="00B36FEE"/>
    <w:rsid w:val="00B37C80"/>
    <w:rsid w:val="00B431A1"/>
    <w:rsid w:val="00B4765D"/>
    <w:rsid w:val="00B5092B"/>
    <w:rsid w:val="00B5194E"/>
    <w:rsid w:val="00B51AF5"/>
    <w:rsid w:val="00B531FC"/>
    <w:rsid w:val="00B55347"/>
    <w:rsid w:val="00B57870"/>
    <w:rsid w:val="00B57E5E"/>
    <w:rsid w:val="00B61F37"/>
    <w:rsid w:val="00B704A6"/>
    <w:rsid w:val="00B7770F"/>
    <w:rsid w:val="00B77A89"/>
    <w:rsid w:val="00B77B27"/>
    <w:rsid w:val="00B8134E"/>
    <w:rsid w:val="00B81B55"/>
    <w:rsid w:val="00B826A8"/>
    <w:rsid w:val="00B84613"/>
    <w:rsid w:val="00B87AF0"/>
    <w:rsid w:val="00B9037B"/>
    <w:rsid w:val="00B910BD"/>
    <w:rsid w:val="00B9189C"/>
    <w:rsid w:val="00B93834"/>
    <w:rsid w:val="00B96469"/>
    <w:rsid w:val="00B96A25"/>
    <w:rsid w:val="00BA0490"/>
    <w:rsid w:val="00BA0DA2"/>
    <w:rsid w:val="00BA2981"/>
    <w:rsid w:val="00BA2BB7"/>
    <w:rsid w:val="00BA42EE"/>
    <w:rsid w:val="00BA48F9"/>
    <w:rsid w:val="00BA61F2"/>
    <w:rsid w:val="00BB0B88"/>
    <w:rsid w:val="00BB0DCA"/>
    <w:rsid w:val="00BB2666"/>
    <w:rsid w:val="00BB2E82"/>
    <w:rsid w:val="00BB6B80"/>
    <w:rsid w:val="00BC3773"/>
    <w:rsid w:val="00BC381A"/>
    <w:rsid w:val="00BD0962"/>
    <w:rsid w:val="00BD0FB3"/>
    <w:rsid w:val="00BD1EED"/>
    <w:rsid w:val="00BE63F2"/>
    <w:rsid w:val="00BF0DA2"/>
    <w:rsid w:val="00BF109C"/>
    <w:rsid w:val="00BF34FA"/>
    <w:rsid w:val="00BF48C4"/>
    <w:rsid w:val="00C004B6"/>
    <w:rsid w:val="00C0366A"/>
    <w:rsid w:val="00C047A7"/>
    <w:rsid w:val="00C05B64"/>
    <w:rsid w:val="00C05DE5"/>
    <w:rsid w:val="00C12AEF"/>
    <w:rsid w:val="00C322AB"/>
    <w:rsid w:val="00C33027"/>
    <w:rsid w:val="00C37667"/>
    <w:rsid w:val="00C435DB"/>
    <w:rsid w:val="00C44D73"/>
    <w:rsid w:val="00C50B42"/>
    <w:rsid w:val="00C516FF"/>
    <w:rsid w:val="00C52BFA"/>
    <w:rsid w:val="00C53D1D"/>
    <w:rsid w:val="00C53E6E"/>
    <w:rsid w:val="00C53F26"/>
    <w:rsid w:val="00C540BC"/>
    <w:rsid w:val="00C5499D"/>
    <w:rsid w:val="00C55424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0708"/>
    <w:rsid w:val="00CC6194"/>
    <w:rsid w:val="00CC6305"/>
    <w:rsid w:val="00CC7228"/>
    <w:rsid w:val="00CC78A5"/>
    <w:rsid w:val="00CD0516"/>
    <w:rsid w:val="00CD756B"/>
    <w:rsid w:val="00CE734F"/>
    <w:rsid w:val="00CF112E"/>
    <w:rsid w:val="00CF213B"/>
    <w:rsid w:val="00CF5F4F"/>
    <w:rsid w:val="00D0308F"/>
    <w:rsid w:val="00D218DC"/>
    <w:rsid w:val="00D22FC3"/>
    <w:rsid w:val="00D24E56"/>
    <w:rsid w:val="00D31643"/>
    <w:rsid w:val="00D31AEB"/>
    <w:rsid w:val="00D32ECD"/>
    <w:rsid w:val="00D346CE"/>
    <w:rsid w:val="00D361E4"/>
    <w:rsid w:val="00D36C5A"/>
    <w:rsid w:val="00D42A8F"/>
    <w:rsid w:val="00D439F6"/>
    <w:rsid w:val="00D43F6A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A1F36"/>
    <w:rsid w:val="00DB02B4"/>
    <w:rsid w:val="00DB4FBE"/>
    <w:rsid w:val="00DB538D"/>
    <w:rsid w:val="00DB709F"/>
    <w:rsid w:val="00DC275C"/>
    <w:rsid w:val="00DC4B0D"/>
    <w:rsid w:val="00DC7FE1"/>
    <w:rsid w:val="00DD3F3F"/>
    <w:rsid w:val="00DD5572"/>
    <w:rsid w:val="00DE195E"/>
    <w:rsid w:val="00DE4F6D"/>
    <w:rsid w:val="00DE5D80"/>
    <w:rsid w:val="00DF58CD"/>
    <w:rsid w:val="00DF65DE"/>
    <w:rsid w:val="00E019A5"/>
    <w:rsid w:val="00E02EC8"/>
    <w:rsid w:val="00E037F5"/>
    <w:rsid w:val="00E04ECB"/>
    <w:rsid w:val="00E05A09"/>
    <w:rsid w:val="00E06CA1"/>
    <w:rsid w:val="00E15E0D"/>
    <w:rsid w:val="00E16FE3"/>
    <w:rsid w:val="00E172B8"/>
    <w:rsid w:val="00E17FB4"/>
    <w:rsid w:val="00E20B75"/>
    <w:rsid w:val="00E214F2"/>
    <w:rsid w:val="00E2371E"/>
    <w:rsid w:val="00E2414B"/>
    <w:rsid w:val="00E24BD7"/>
    <w:rsid w:val="00E254AA"/>
    <w:rsid w:val="00E26523"/>
    <w:rsid w:val="00E26809"/>
    <w:rsid w:val="00E3184D"/>
    <w:rsid w:val="00E3412D"/>
    <w:rsid w:val="00E43D81"/>
    <w:rsid w:val="00E51E5B"/>
    <w:rsid w:val="00E55173"/>
    <w:rsid w:val="00E57322"/>
    <w:rsid w:val="00E628CB"/>
    <w:rsid w:val="00E62AD9"/>
    <w:rsid w:val="00E638C8"/>
    <w:rsid w:val="00E670F5"/>
    <w:rsid w:val="00E75025"/>
    <w:rsid w:val="00E7509B"/>
    <w:rsid w:val="00E829E9"/>
    <w:rsid w:val="00E86590"/>
    <w:rsid w:val="00E86B7A"/>
    <w:rsid w:val="00E907FF"/>
    <w:rsid w:val="00E9552E"/>
    <w:rsid w:val="00EA2CAD"/>
    <w:rsid w:val="00EA42D1"/>
    <w:rsid w:val="00EA42EF"/>
    <w:rsid w:val="00EB2DD1"/>
    <w:rsid w:val="00EB6B37"/>
    <w:rsid w:val="00EC19C6"/>
    <w:rsid w:val="00EC29FE"/>
    <w:rsid w:val="00EC3C70"/>
    <w:rsid w:val="00EC5007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B15"/>
    <w:rsid w:val="00F04F8D"/>
    <w:rsid w:val="00F10AD0"/>
    <w:rsid w:val="00F116CC"/>
    <w:rsid w:val="00F12BD1"/>
    <w:rsid w:val="00F12F2F"/>
    <w:rsid w:val="00F15327"/>
    <w:rsid w:val="00F168CF"/>
    <w:rsid w:val="00F24F33"/>
    <w:rsid w:val="00F2555C"/>
    <w:rsid w:val="00F31DF3"/>
    <w:rsid w:val="00F33AE5"/>
    <w:rsid w:val="00F3597D"/>
    <w:rsid w:val="00F4376D"/>
    <w:rsid w:val="00F4418F"/>
    <w:rsid w:val="00F45399"/>
    <w:rsid w:val="00F465EA"/>
    <w:rsid w:val="00F51619"/>
    <w:rsid w:val="00F54E7B"/>
    <w:rsid w:val="00F55A88"/>
    <w:rsid w:val="00F6227F"/>
    <w:rsid w:val="00F74005"/>
    <w:rsid w:val="00F75561"/>
    <w:rsid w:val="00F76884"/>
    <w:rsid w:val="00F8243E"/>
    <w:rsid w:val="00F83D24"/>
    <w:rsid w:val="00F83DD9"/>
    <w:rsid w:val="00F83F40"/>
    <w:rsid w:val="00F95FB9"/>
    <w:rsid w:val="00FA117A"/>
    <w:rsid w:val="00FA1EA6"/>
    <w:rsid w:val="00FA5F46"/>
    <w:rsid w:val="00FB386A"/>
    <w:rsid w:val="00FB45D1"/>
    <w:rsid w:val="00FC0786"/>
    <w:rsid w:val="00FC49EF"/>
    <w:rsid w:val="00FD19A1"/>
    <w:rsid w:val="00FD1EEC"/>
    <w:rsid w:val="00FE36E2"/>
    <w:rsid w:val="00FE37FF"/>
    <w:rsid w:val="00FF11AD"/>
    <w:rsid w:val="00FF174A"/>
    <w:rsid w:val="00FF2971"/>
    <w:rsid w:val="00FF34D4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49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A9"/>
    <w:rsid w:val="00120F89"/>
    <w:rsid w:val="001341A9"/>
    <w:rsid w:val="00146709"/>
    <w:rsid w:val="00153D5D"/>
    <w:rsid w:val="00235E7A"/>
    <w:rsid w:val="0024177D"/>
    <w:rsid w:val="003C2384"/>
    <w:rsid w:val="003F795D"/>
    <w:rsid w:val="00431F5B"/>
    <w:rsid w:val="0044540F"/>
    <w:rsid w:val="004B3407"/>
    <w:rsid w:val="004D2A7C"/>
    <w:rsid w:val="005135DA"/>
    <w:rsid w:val="005E0774"/>
    <w:rsid w:val="005E6A29"/>
    <w:rsid w:val="006433C9"/>
    <w:rsid w:val="0066104C"/>
    <w:rsid w:val="006A2ACF"/>
    <w:rsid w:val="006A3078"/>
    <w:rsid w:val="006D0541"/>
    <w:rsid w:val="006F16AF"/>
    <w:rsid w:val="00791F69"/>
    <w:rsid w:val="00840E1B"/>
    <w:rsid w:val="008A560B"/>
    <w:rsid w:val="008C7CA2"/>
    <w:rsid w:val="0093683D"/>
    <w:rsid w:val="00A1299A"/>
    <w:rsid w:val="00A16647"/>
    <w:rsid w:val="00A166D7"/>
    <w:rsid w:val="00AD66A9"/>
    <w:rsid w:val="00B31B1C"/>
    <w:rsid w:val="00C651E7"/>
    <w:rsid w:val="00CF6B24"/>
    <w:rsid w:val="00D15F54"/>
    <w:rsid w:val="00DB52FB"/>
    <w:rsid w:val="00DD4859"/>
    <w:rsid w:val="00DD6DA2"/>
    <w:rsid w:val="00DE7942"/>
    <w:rsid w:val="00E05E22"/>
    <w:rsid w:val="00E21A3C"/>
    <w:rsid w:val="00E4479C"/>
    <w:rsid w:val="00E671AE"/>
    <w:rsid w:val="00E836D9"/>
    <w:rsid w:val="00ED5E5F"/>
    <w:rsid w:val="00EE2403"/>
    <w:rsid w:val="00F07070"/>
    <w:rsid w:val="00F17C7F"/>
    <w:rsid w:val="00F523DD"/>
    <w:rsid w:val="00F8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38FCC-DB85-4151-9730-0C333930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9245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2021-01-27T11:18:00Z</dcterms:created>
  <dcterms:modified xsi:type="dcterms:W3CDTF">2021-01-27T11:18:00Z</dcterms:modified>
</cp:coreProperties>
</file>