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E3E3" w14:textId="77777777" w:rsidR="001024DD" w:rsidRPr="00822F69" w:rsidRDefault="001024DD" w:rsidP="001024DD">
      <w:bookmarkStart w:id="0" w:name="_GoBack"/>
      <w:bookmarkEnd w:id="0"/>
      <w:r w:rsidRPr="00822F69">
        <w:tab/>
      </w: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22"/>
        <w:gridCol w:w="278"/>
        <w:gridCol w:w="353"/>
        <w:gridCol w:w="217"/>
        <w:gridCol w:w="570"/>
        <w:gridCol w:w="151"/>
        <w:gridCol w:w="419"/>
        <w:gridCol w:w="113"/>
        <w:gridCol w:w="405"/>
        <w:gridCol w:w="51"/>
        <w:gridCol w:w="266"/>
        <w:gridCol w:w="304"/>
        <w:gridCol w:w="317"/>
        <w:gridCol w:w="253"/>
        <w:gridCol w:w="570"/>
        <w:gridCol w:w="115"/>
        <w:gridCol w:w="1422"/>
        <w:gridCol w:w="10"/>
      </w:tblGrid>
      <w:tr w:rsidR="001024DD" w:rsidRPr="00822F69" w14:paraId="1AFD59AF" w14:textId="77777777" w:rsidTr="000F70F7">
        <w:trPr>
          <w:trHeight w:val="1611"/>
        </w:trPr>
        <w:tc>
          <w:tcPr>
            <w:tcW w:w="5133" w:type="dxa"/>
            <w:gridSpan w:val="13"/>
            <w:shd w:val="clear" w:color="auto" w:fill="auto"/>
          </w:tcPr>
          <w:p w14:paraId="359C78D2" w14:textId="77777777" w:rsidR="001024DD" w:rsidRPr="00822F69" w:rsidRDefault="001024DD" w:rsidP="000F70F7">
            <w:pPr>
              <w:rPr>
                <w:color w:val="000000"/>
              </w:rPr>
            </w:pPr>
            <w:bookmarkStart w:id="1" w:name="t1"/>
            <w:r w:rsidRPr="00822F69">
              <w:rPr>
                <w:b/>
                <w:color w:val="000000"/>
              </w:rPr>
              <w:t>Nazwa projektu</w:t>
            </w:r>
          </w:p>
          <w:p w14:paraId="4ED3E5B5" w14:textId="77777777" w:rsidR="001024DD" w:rsidRPr="00822F69" w:rsidRDefault="001024DD" w:rsidP="000F70F7">
            <w:pPr>
              <w:pStyle w:val="Bezodstpw"/>
              <w:jc w:val="both"/>
              <w:rPr>
                <w:rStyle w:val="PodtytuZnak"/>
                <w:rFonts w:ascii="Times New Roman" w:hAnsi="Times New Roman"/>
                <w:sz w:val="22"/>
                <w:szCs w:val="22"/>
              </w:rPr>
            </w:pPr>
            <w:r>
              <w:rPr>
                <w:rStyle w:val="PodtytuZnak"/>
                <w:rFonts w:ascii="Times New Roman" w:hAnsi="Times New Roman"/>
                <w:sz w:val="22"/>
                <w:szCs w:val="22"/>
              </w:rPr>
              <w:t xml:space="preserve">Projekt ustawy </w:t>
            </w:r>
            <w:r w:rsidRPr="00822F69">
              <w:rPr>
                <w:rStyle w:val="PodtytuZnak"/>
                <w:rFonts w:ascii="Times New Roman" w:hAnsi="Times New Roman"/>
                <w:sz w:val="22"/>
                <w:szCs w:val="22"/>
              </w:rPr>
              <w:t>o zmianie ustawy o listach zastawnych i bankach hipotecznych oraz niektórych innych ustaw</w:t>
            </w:r>
          </w:p>
          <w:p w14:paraId="32202D4B" w14:textId="77777777" w:rsidR="001024DD" w:rsidRPr="00822F69" w:rsidRDefault="001024DD" w:rsidP="000F70F7">
            <w:pPr>
              <w:pStyle w:val="Bezodstpw"/>
              <w:jc w:val="both"/>
              <w:rPr>
                <w:rFonts w:ascii="Times New Roman" w:hAnsi="Times New Roman"/>
                <w:color w:val="000000"/>
              </w:rPr>
            </w:pPr>
          </w:p>
          <w:p w14:paraId="1776563D" w14:textId="77777777" w:rsidR="001024DD" w:rsidRPr="00822F69" w:rsidRDefault="001024DD" w:rsidP="000F70F7">
            <w:pPr>
              <w:rPr>
                <w:b/>
                <w:color w:val="000000"/>
              </w:rPr>
            </w:pPr>
            <w:r w:rsidRPr="00822F69">
              <w:rPr>
                <w:b/>
                <w:color w:val="000000"/>
              </w:rPr>
              <w:t>Ministerstwo wiodące i ministerstwa współpracujące</w:t>
            </w:r>
          </w:p>
          <w:p w14:paraId="31D71A48" w14:textId="77777777" w:rsidR="001024DD" w:rsidRPr="00822F69" w:rsidRDefault="001024DD" w:rsidP="000F70F7">
            <w:pPr>
              <w:rPr>
                <w:color w:val="000000"/>
              </w:rPr>
            </w:pPr>
            <w:r w:rsidRPr="00822F69">
              <w:rPr>
                <w:color w:val="000000"/>
              </w:rPr>
              <w:t>Ministerstwo Finansów</w:t>
            </w:r>
          </w:p>
          <w:p w14:paraId="241817DF" w14:textId="77777777" w:rsidR="001024DD" w:rsidRPr="00822F69" w:rsidRDefault="001024DD" w:rsidP="000F70F7">
            <w:pPr>
              <w:rPr>
                <w:b/>
                <w:color w:val="000000"/>
              </w:rPr>
            </w:pPr>
          </w:p>
          <w:p w14:paraId="4B588613" w14:textId="77777777" w:rsidR="001024DD" w:rsidRPr="00822F69" w:rsidRDefault="001024DD" w:rsidP="000F70F7">
            <w:pPr>
              <w:rPr>
                <w:b/>
                <w:color w:val="000000"/>
              </w:rPr>
            </w:pPr>
            <w:r w:rsidRPr="00822F69">
              <w:rPr>
                <w:b/>
                <w:color w:val="000000"/>
              </w:rPr>
              <w:t xml:space="preserve">Osoba odpowiedzialna za projekt w randze Ministra, Sekretarza Stanu lub Podsekretarza Stanu </w:t>
            </w:r>
          </w:p>
          <w:p w14:paraId="1E1C6C5C" w14:textId="30246BB1" w:rsidR="001024DD" w:rsidRPr="00822F69" w:rsidRDefault="00E12D87" w:rsidP="000F70F7">
            <w:r>
              <w:t>Piotr Patkowski</w:t>
            </w:r>
            <w:r w:rsidR="001024DD" w:rsidRPr="00822F69">
              <w:t>, Podsekretarz Stanu w Ministerstwie Finansów</w:t>
            </w:r>
          </w:p>
          <w:p w14:paraId="4375B6A6" w14:textId="77777777" w:rsidR="001024DD" w:rsidRPr="00822F69" w:rsidRDefault="001024DD" w:rsidP="000F70F7">
            <w:pPr>
              <w:rPr>
                <w:b/>
                <w:color w:val="000000"/>
              </w:rPr>
            </w:pPr>
          </w:p>
          <w:p w14:paraId="15ECE51C" w14:textId="77777777" w:rsidR="001024DD" w:rsidRPr="00822F69" w:rsidRDefault="001024DD" w:rsidP="000F70F7">
            <w:pPr>
              <w:rPr>
                <w:b/>
                <w:color w:val="000000"/>
              </w:rPr>
            </w:pPr>
            <w:r w:rsidRPr="00822F69">
              <w:rPr>
                <w:b/>
                <w:color w:val="000000"/>
              </w:rPr>
              <w:t>Kontakt do opiekuna merytorycznego projektu</w:t>
            </w:r>
          </w:p>
          <w:p w14:paraId="3C1E1EBE" w14:textId="77777777" w:rsidR="001024DD" w:rsidRPr="00822F69" w:rsidRDefault="001024DD" w:rsidP="000F70F7">
            <w:pPr>
              <w:rPr>
                <w:color w:val="000000"/>
              </w:rPr>
            </w:pPr>
            <w:r w:rsidRPr="00822F69">
              <w:rPr>
                <w:color w:val="000000"/>
              </w:rPr>
              <w:t>Piotr Pawliczak,</w:t>
            </w:r>
            <w:r w:rsidRPr="00822F69">
              <w:rPr>
                <w:b/>
                <w:color w:val="000000"/>
              </w:rPr>
              <w:t xml:space="preserve"> </w:t>
            </w:r>
            <w:r w:rsidRPr="00822F69">
              <w:rPr>
                <w:color w:val="000000"/>
              </w:rPr>
              <w:t>Zastępca Dyrektora Departamentu Rozwoju Rynku Finansowego</w:t>
            </w:r>
            <w:r w:rsidRPr="00822F69">
              <w:t xml:space="preserve"> w </w:t>
            </w:r>
            <w:r>
              <w:t>Ministerstwie Finansów,</w:t>
            </w:r>
            <w:r w:rsidRPr="00822F69">
              <w:rPr>
                <w:color w:val="000000"/>
              </w:rPr>
              <w:t xml:space="preserve"> tel. 22 694 58 28, </w:t>
            </w:r>
          </w:p>
          <w:p w14:paraId="6A8E2202" w14:textId="77777777" w:rsidR="001024DD" w:rsidRPr="00822F69" w:rsidRDefault="001024DD" w:rsidP="000F70F7">
            <w:pPr>
              <w:ind w:hanging="45"/>
              <w:rPr>
                <w:color w:val="000000"/>
                <w:lang w:val="en-GB"/>
              </w:rPr>
            </w:pPr>
            <w:r w:rsidRPr="0004072E">
              <w:rPr>
                <w:color w:val="000000"/>
              </w:rPr>
              <w:t xml:space="preserve"> </w:t>
            </w:r>
            <w:r w:rsidRPr="00822F69">
              <w:rPr>
                <w:color w:val="000000"/>
                <w:lang w:val="en-GB"/>
              </w:rPr>
              <w:t>e-mail: sekretariat.fn@mf.gov.pl</w:t>
            </w:r>
            <w:bookmarkEnd w:id="1"/>
          </w:p>
        </w:tc>
        <w:tc>
          <w:tcPr>
            <w:tcW w:w="5814" w:type="dxa"/>
            <w:gridSpan w:val="17"/>
            <w:shd w:val="clear" w:color="auto" w:fill="FFFFFF"/>
          </w:tcPr>
          <w:p w14:paraId="69BB8F66" w14:textId="7C031D1C" w:rsidR="001024DD" w:rsidRPr="00822F69" w:rsidRDefault="001024DD" w:rsidP="000F70F7">
            <w:pPr>
              <w:jc w:val="left"/>
              <w:rPr>
                <w:b/>
                <w:sz w:val="21"/>
                <w:szCs w:val="21"/>
              </w:rPr>
            </w:pPr>
            <w:r w:rsidRPr="00822F69">
              <w:rPr>
                <w:b/>
                <w:sz w:val="21"/>
                <w:szCs w:val="21"/>
              </w:rPr>
              <w:t>Data sporządzenia</w:t>
            </w:r>
            <w:r w:rsidRPr="00822F69">
              <w:rPr>
                <w:b/>
                <w:sz w:val="21"/>
                <w:szCs w:val="21"/>
              </w:rPr>
              <w:br/>
            </w:r>
            <w:r w:rsidR="000C7C86">
              <w:rPr>
                <w:sz w:val="21"/>
                <w:szCs w:val="21"/>
              </w:rPr>
              <w:t>4.01.2021</w:t>
            </w:r>
            <w:r w:rsidRPr="00822F69">
              <w:rPr>
                <w:sz w:val="21"/>
                <w:szCs w:val="21"/>
              </w:rPr>
              <w:t xml:space="preserve"> r.</w:t>
            </w:r>
          </w:p>
          <w:p w14:paraId="5B7932BD" w14:textId="77777777" w:rsidR="001024DD" w:rsidRPr="00822F69" w:rsidRDefault="001024DD" w:rsidP="000F70F7">
            <w:pPr>
              <w:rPr>
                <w:b/>
              </w:rPr>
            </w:pPr>
          </w:p>
          <w:p w14:paraId="539C7212" w14:textId="77777777" w:rsidR="001024DD" w:rsidRPr="00822F69" w:rsidRDefault="001024DD" w:rsidP="000F70F7">
            <w:pPr>
              <w:rPr>
                <w:b/>
              </w:rPr>
            </w:pPr>
            <w:r w:rsidRPr="00822F69">
              <w:rPr>
                <w:b/>
              </w:rPr>
              <w:t xml:space="preserve">Źródło: </w:t>
            </w:r>
            <w:bookmarkStart w:id="2" w:name="Lista1"/>
          </w:p>
          <w:bookmarkEnd w:id="2"/>
          <w:p w14:paraId="33D10E95" w14:textId="77777777" w:rsidR="001024DD" w:rsidRPr="00822F69" w:rsidRDefault="001024DD" w:rsidP="000F70F7">
            <w:r w:rsidRPr="00822F69">
              <w:t>1) dyrektywa Parlamentu Europejskiego i Rady (UE) 2019/2162 z dnia 27 listopada 2019 r. w sprawie emisji obligacji zabezpieczonych i nadzoru publicznego nad obligacjami zabezpieczonymi oraz zmieniająca dyrektywy 2009/65/WE i 2014/59/UE (Dz. Urz. UE. L 328 z 18.12.2019, str. 29);</w:t>
            </w:r>
          </w:p>
          <w:p w14:paraId="76292F23" w14:textId="77777777" w:rsidR="001024DD" w:rsidRPr="00822F69" w:rsidRDefault="001024DD" w:rsidP="000F70F7"/>
          <w:p w14:paraId="250236B8" w14:textId="77777777" w:rsidR="001024DD" w:rsidRPr="00822F69" w:rsidRDefault="001024DD" w:rsidP="000F70F7">
            <w:r w:rsidRPr="00822F69">
              <w:t>2) rozporządzenie Parlamentu Europejskiego i Rady (UE) 2019/2160 z dnia 27 listopada 2019 r. zmieniające rozporządzenie (UE) 575/2013 w odniesieniu do ekspozycji w postaci obligacji zabezpieczonych (Dz. Urz. UE. L 328 18.12.2019, str. 1)</w:t>
            </w:r>
            <w:r>
              <w:t>.</w:t>
            </w:r>
          </w:p>
          <w:p w14:paraId="60FA04FD" w14:textId="77777777" w:rsidR="001024DD" w:rsidRPr="00822F69" w:rsidRDefault="001024DD" w:rsidP="000F70F7"/>
          <w:p w14:paraId="729E3712" w14:textId="682618B2" w:rsidR="001024DD" w:rsidRPr="00822F69" w:rsidRDefault="001024DD" w:rsidP="000F70F7">
            <w:pPr>
              <w:spacing w:before="120"/>
              <w:rPr>
                <w:color w:val="000000"/>
              </w:rPr>
            </w:pPr>
            <w:r w:rsidRPr="00822F69">
              <w:rPr>
                <w:b/>
                <w:color w:val="000000"/>
              </w:rPr>
              <w:t>Nr w wykazie prac legislacyjnych i programowych Rady Ministrów:</w:t>
            </w:r>
            <w:r>
              <w:rPr>
                <w:b/>
                <w:color w:val="000000"/>
              </w:rPr>
              <w:t xml:space="preserve"> UC68</w:t>
            </w:r>
            <w:r w:rsidR="004E19FC">
              <w:rPr>
                <w:b/>
                <w:color w:val="000000"/>
              </w:rPr>
              <w:t xml:space="preserve"> </w:t>
            </w:r>
          </w:p>
          <w:p w14:paraId="3AB3B396" w14:textId="77777777" w:rsidR="001024DD" w:rsidRPr="00822F69" w:rsidRDefault="001024DD" w:rsidP="000F70F7">
            <w:pPr>
              <w:rPr>
                <w:color w:val="000000"/>
              </w:rPr>
            </w:pPr>
          </w:p>
        </w:tc>
      </w:tr>
      <w:tr w:rsidR="001024DD" w:rsidRPr="00822F69" w14:paraId="668CEA04" w14:textId="77777777" w:rsidTr="000F70F7">
        <w:trPr>
          <w:trHeight w:val="142"/>
        </w:trPr>
        <w:tc>
          <w:tcPr>
            <w:tcW w:w="10947" w:type="dxa"/>
            <w:gridSpan w:val="30"/>
            <w:shd w:val="clear" w:color="auto" w:fill="99CCFF"/>
          </w:tcPr>
          <w:p w14:paraId="04666066" w14:textId="77777777" w:rsidR="001024DD" w:rsidRPr="00822F69" w:rsidRDefault="001024DD" w:rsidP="000F70F7">
            <w:pPr>
              <w:ind w:left="57"/>
              <w:jc w:val="center"/>
              <w:rPr>
                <w:b/>
                <w:color w:val="FFFFFF"/>
                <w:sz w:val="32"/>
                <w:szCs w:val="32"/>
              </w:rPr>
            </w:pPr>
            <w:r w:rsidRPr="00822F69">
              <w:rPr>
                <w:b/>
                <w:color w:val="FFFFFF"/>
              </w:rPr>
              <w:t>OCENA SKUTKÓW REGULACJI</w:t>
            </w:r>
          </w:p>
        </w:tc>
      </w:tr>
      <w:tr w:rsidR="001024DD" w:rsidRPr="00822F69" w14:paraId="14388FFA" w14:textId="77777777" w:rsidTr="000F70F7">
        <w:trPr>
          <w:trHeight w:val="333"/>
        </w:trPr>
        <w:tc>
          <w:tcPr>
            <w:tcW w:w="10947" w:type="dxa"/>
            <w:gridSpan w:val="30"/>
            <w:shd w:val="clear" w:color="auto" w:fill="99CCFF"/>
            <w:vAlign w:val="center"/>
          </w:tcPr>
          <w:p w14:paraId="46FA87CD" w14:textId="77777777" w:rsidR="001024DD" w:rsidRPr="00822F69" w:rsidRDefault="001024DD" w:rsidP="000F70F7">
            <w:pPr>
              <w:numPr>
                <w:ilvl w:val="0"/>
                <w:numId w:val="1"/>
              </w:numPr>
              <w:spacing w:before="60" w:after="60"/>
              <w:ind w:left="318" w:hanging="284"/>
              <w:rPr>
                <w:b/>
                <w:color w:val="000000"/>
              </w:rPr>
            </w:pPr>
            <w:r w:rsidRPr="00822F69">
              <w:rPr>
                <w:b/>
              </w:rPr>
              <w:t>Jaki problem jest rozwiązywany?</w:t>
            </w:r>
            <w:bookmarkStart w:id="3" w:name="Wybór1"/>
            <w:bookmarkEnd w:id="3"/>
          </w:p>
        </w:tc>
      </w:tr>
      <w:tr w:rsidR="001024DD" w:rsidRPr="00822F69" w14:paraId="5A996BB9" w14:textId="77777777" w:rsidTr="000F70F7">
        <w:trPr>
          <w:gridAfter w:val="1"/>
          <w:wAfter w:w="10" w:type="dxa"/>
          <w:trHeight w:val="142"/>
        </w:trPr>
        <w:tc>
          <w:tcPr>
            <w:tcW w:w="10937" w:type="dxa"/>
            <w:gridSpan w:val="29"/>
            <w:shd w:val="clear" w:color="auto" w:fill="FFFFFF"/>
          </w:tcPr>
          <w:p w14:paraId="58F82EC1" w14:textId="77777777" w:rsidR="001024DD" w:rsidRDefault="001024DD" w:rsidP="000F70F7">
            <w:pPr>
              <w:spacing w:before="120"/>
              <w:outlineLvl w:val="0"/>
              <w:rPr>
                <w:noProof/>
              </w:rPr>
            </w:pPr>
            <w:r w:rsidRPr="00822F69">
              <w:t>Projektowana ustawa ma na celu wdrożenie postanowień dyrektywy Parlamentu Europejskiego i Rady (UE) 2019/2162 z dnia 27 listopada 2019 r. w sprawie emisji obligacji zabezpieczonych i nadzoru publicznego nad obligacjami zabezpieczonymi oraz zmieniającą dyre</w:t>
            </w:r>
            <w:r>
              <w:t>ktywy 2009/65/WE i 2014/59/UE (</w:t>
            </w:r>
            <w:r w:rsidRPr="00822F69">
              <w:t xml:space="preserve">„dyrektywa </w:t>
            </w:r>
            <w:r>
              <w:t>2019/2162</w:t>
            </w:r>
            <w:r w:rsidRPr="00822F69">
              <w:t>”), stanowiącej wraz z  rozporządzeniem Parlamentu Europejskiego i Rady (UE) 2019/2160 z dnia 27 listopada 2019 r. zmieniającym rozporządzenie (UE) 575/2013 w odniesieniu do ekspozycji w postaci obligacji zabezpieczonych (</w:t>
            </w:r>
            <w:r w:rsidRPr="00822F69">
              <w:rPr>
                <w:rFonts w:eastAsia="Times New Roman"/>
                <w:lang w:eastAsia="pl-PL"/>
              </w:rPr>
              <w:t xml:space="preserve">„rozporządzenie </w:t>
            </w:r>
            <w:r>
              <w:rPr>
                <w:rFonts w:eastAsia="Times New Roman"/>
                <w:lang w:eastAsia="pl-PL"/>
              </w:rPr>
              <w:t>2019/2160</w:t>
            </w:r>
            <w:r w:rsidRPr="00822F69">
              <w:rPr>
                <w:rFonts w:eastAsia="Times New Roman"/>
                <w:lang w:eastAsia="pl-PL"/>
              </w:rPr>
              <w:t>”)</w:t>
            </w:r>
            <w:r w:rsidRPr="00822F69">
              <w:t>, część pakietu regulacyjnego dotyczącego obligacji zabezpieczonych.</w:t>
            </w:r>
          </w:p>
          <w:p w14:paraId="44268026" w14:textId="77777777" w:rsidR="001024DD" w:rsidRDefault="001024DD" w:rsidP="000F70F7">
            <w:pPr>
              <w:pStyle w:val="Default"/>
              <w:jc w:val="both"/>
              <w:rPr>
                <w:rFonts w:ascii="Times New Roman" w:hAnsi="Times New Roman" w:cs="Times New Roman"/>
                <w:noProof/>
                <w:sz w:val="22"/>
                <w:szCs w:val="22"/>
              </w:rPr>
            </w:pPr>
            <w:r w:rsidRPr="00B80545">
              <w:rPr>
                <w:rFonts w:ascii="Times New Roman" w:hAnsi="Times New Roman" w:cs="Times New Roman"/>
                <w:noProof/>
                <w:sz w:val="22"/>
                <w:szCs w:val="22"/>
              </w:rPr>
              <w:t>Pakiet ten uwzględnia także opinie i rekomendacje Europejskiego Urzędu Nadzoru Bankowego (EUNB), który przeprowadził kompleksową analiz</w:t>
            </w:r>
            <w:r>
              <w:rPr>
                <w:rFonts w:ascii="Times New Roman" w:hAnsi="Times New Roman" w:cs="Times New Roman"/>
                <w:noProof/>
                <w:sz w:val="22"/>
                <w:szCs w:val="22"/>
              </w:rPr>
              <w:t xml:space="preserve">ę rozwoju sytuacji regulacyjnej </w:t>
            </w:r>
            <w:r w:rsidRPr="00B80545">
              <w:rPr>
                <w:rFonts w:ascii="Times New Roman" w:hAnsi="Times New Roman" w:cs="Times New Roman"/>
                <w:noProof/>
                <w:sz w:val="22"/>
                <w:szCs w:val="22"/>
              </w:rPr>
              <w:t>w kontekście ram dotyczących obligacji zabezpieczonych w poszczególnych państwach członkowskich, zalecając ich harmonizację na poziomie UE, zgodnie z  najlepszymi praktykami nadzorczymi</w:t>
            </w:r>
            <w:r w:rsidRPr="00822F69">
              <w:rPr>
                <w:rStyle w:val="Odwoanieprzypisudolnego"/>
                <w:noProof/>
              </w:rPr>
              <w:footnoteReference w:id="2"/>
            </w:r>
            <w:r w:rsidRPr="00822F69">
              <w:rPr>
                <w:noProof/>
              </w:rPr>
              <w:t>.</w:t>
            </w:r>
          </w:p>
          <w:p w14:paraId="140F0A13" w14:textId="77777777" w:rsidR="001024DD" w:rsidRDefault="001024DD" w:rsidP="000F70F7">
            <w:pPr>
              <w:spacing w:before="120"/>
              <w:outlineLvl w:val="0"/>
            </w:pPr>
            <w:r w:rsidRPr="00822F69">
              <w:t xml:space="preserve">Dyrektywa </w:t>
            </w:r>
            <w:r>
              <w:t>2019/2162</w:t>
            </w:r>
            <w:r w:rsidRPr="00822F69">
              <w:t xml:space="preserve"> wprowadza unijną def</w:t>
            </w:r>
            <w:r>
              <w:t>inicję obligacji zabezpieczonej</w:t>
            </w:r>
            <w:r w:rsidRPr="00822F69">
              <w:t>, wskazując jej cechy konstrukcyjne takie jak</w:t>
            </w:r>
            <w:r>
              <w:t>:</w:t>
            </w:r>
            <w:r w:rsidRPr="00822F69">
              <w:t xml:space="preserve"> mechanizm podwójnego regresu (</w:t>
            </w:r>
            <w:r w:rsidRPr="00822F69">
              <w:rPr>
                <w:i/>
              </w:rPr>
              <w:t>dual recourse</w:t>
            </w:r>
            <w:r w:rsidRPr="00822F69">
              <w:t>), który zapewnia inwestorom możliwość dochodzenia roszczeń zarówno w stosunku do emitentów obligacji zabezpieczonych, jak i z puli aktywów stanowiących zabezpieczenie obligacji zabezpieczonych</w:t>
            </w:r>
            <w:r>
              <w:t xml:space="preserve">, </w:t>
            </w:r>
            <w:r w:rsidRPr="00822F69">
              <w:t xml:space="preserve">wymóg posiadania wysokiej jakości aktywów oraz instrumentów pochodnych w puli aktywów stanowiących zabezpieczenie obligacji zabezpieczonych, przy czym dyrektywa zezwala także na korzystanie </w:t>
            </w:r>
            <w:r>
              <w:t>przez banki poszczególnych państw członkowskich UE z oznaczenia wyemitowanych obligacji jako</w:t>
            </w:r>
            <w:r w:rsidRPr="00595601">
              <w:t xml:space="preserve"> „</w:t>
            </w:r>
            <w:r w:rsidRPr="00FC4349">
              <w:rPr>
                <w:i/>
                <w:iCs/>
              </w:rPr>
              <w:t>europejska obligacja zabezpieczona</w:t>
            </w:r>
            <w:r w:rsidRPr="00595601">
              <w:t>” i „</w:t>
            </w:r>
            <w:r w:rsidRPr="00FC4349">
              <w:rPr>
                <w:i/>
                <w:iCs/>
              </w:rPr>
              <w:t>europejska obligacja zabezpieczona (premium)</w:t>
            </w:r>
            <w:r>
              <w:t>”.</w:t>
            </w:r>
            <w:r w:rsidRPr="00822F69">
              <w:t>Wprowadza także szczególne obowiązki informacyjne i sprawozdawcze dla emitentów obligacji zabezpieczonych, a ponadto szczególny nadzór publiczny nad tymi instrumentami</w:t>
            </w:r>
            <w:r>
              <w:t>.</w:t>
            </w:r>
          </w:p>
          <w:p w14:paraId="20022D55" w14:textId="77777777" w:rsidR="001024DD" w:rsidRDefault="001024DD" w:rsidP="000F70F7">
            <w:pPr>
              <w:pStyle w:val="Default"/>
              <w:jc w:val="both"/>
              <w:rPr>
                <w:rFonts w:ascii="Times New Roman" w:hAnsi="Times New Roman" w:cs="Times New Roman"/>
                <w:sz w:val="22"/>
                <w:szCs w:val="22"/>
              </w:rPr>
            </w:pPr>
          </w:p>
          <w:p w14:paraId="0E91D2B9" w14:textId="77777777" w:rsidR="001024DD" w:rsidRDefault="001024DD" w:rsidP="000F70F7">
            <w:pPr>
              <w:pStyle w:val="Default"/>
              <w:jc w:val="both"/>
              <w:rPr>
                <w:rFonts w:ascii="Times New Roman" w:hAnsi="Times New Roman" w:cs="Times New Roman"/>
                <w:noProof/>
                <w:sz w:val="22"/>
                <w:szCs w:val="22"/>
              </w:rPr>
            </w:pPr>
            <w:r w:rsidRPr="00637307">
              <w:rPr>
                <w:rFonts w:ascii="Times New Roman" w:hAnsi="Times New Roman" w:cs="Times New Roman"/>
                <w:sz w:val="22"/>
                <w:szCs w:val="22"/>
              </w:rPr>
              <w:t xml:space="preserve">Rozporządzenie </w:t>
            </w:r>
            <w:r>
              <w:rPr>
                <w:rFonts w:ascii="Times New Roman" w:hAnsi="Times New Roman" w:cs="Times New Roman"/>
                <w:sz w:val="22"/>
                <w:szCs w:val="22"/>
              </w:rPr>
              <w:t>2019/2160</w:t>
            </w:r>
            <w:r w:rsidRPr="00637307">
              <w:rPr>
                <w:rFonts w:ascii="Times New Roman" w:hAnsi="Times New Roman" w:cs="Times New Roman"/>
                <w:sz w:val="22"/>
                <w:szCs w:val="22"/>
              </w:rPr>
              <w:t xml:space="preserve"> wprowadza wymogi dotyczące minimalnego nadzabezpieczenia (całego ustawowego, umowne</w:t>
            </w:r>
            <w:r>
              <w:rPr>
                <w:rFonts w:ascii="Times New Roman" w:hAnsi="Times New Roman" w:cs="Times New Roman"/>
                <w:sz w:val="22"/>
                <w:szCs w:val="22"/>
              </w:rPr>
              <w:t>go</w:t>
            </w:r>
            <w:r w:rsidRPr="00637307">
              <w:rPr>
                <w:rFonts w:ascii="Times New Roman" w:hAnsi="Times New Roman" w:cs="Times New Roman"/>
                <w:sz w:val="22"/>
                <w:szCs w:val="22"/>
              </w:rPr>
              <w:t xml:space="preserve"> lub dobrowolnego poziom</w:t>
            </w:r>
            <w:r>
              <w:rPr>
                <w:rFonts w:ascii="Times New Roman" w:hAnsi="Times New Roman" w:cs="Times New Roman"/>
                <w:sz w:val="22"/>
                <w:szCs w:val="22"/>
              </w:rPr>
              <w:t>u</w:t>
            </w:r>
            <w:r w:rsidRPr="00637307">
              <w:rPr>
                <w:rFonts w:ascii="Times New Roman" w:hAnsi="Times New Roman" w:cs="Times New Roman"/>
                <w:sz w:val="22"/>
                <w:szCs w:val="22"/>
              </w:rPr>
              <w:t xml:space="preserve"> zabezpieczenia, który wykracza poza wymóg dotyczący pokrycia określony w art. 15 dyrektywy </w:t>
            </w:r>
            <w:r>
              <w:rPr>
                <w:rFonts w:ascii="Times New Roman" w:hAnsi="Times New Roman" w:cs="Times New Roman"/>
                <w:sz w:val="22"/>
                <w:szCs w:val="22"/>
              </w:rPr>
              <w:t>2019/2162</w:t>
            </w:r>
            <w:r w:rsidRPr="00637307">
              <w:rPr>
                <w:rFonts w:ascii="Times New Roman" w:hAnsi="Times New Roman" w:cs="Times New Roman"/>
                <w:sz w:val="22"/>
                <w:szCs w:val="22"/>
              </w:rPr>
              <w:t xml:space="preserve">) i aktywów zastępczych w odniesieniu do obligacji zabezpieczonych, ustanawiając </w:t>
            </w:r>
            <w:r>
              <w:rPr>
                <w:rFonts w:ascii="Times New Roman" w:hAnsi="Times New Roman" w:cs="Times New Roman"/>
                <w:sz w:val="22"/>
                <w:szCs w:val="22"/>
              </w:rPr>
              <w:t>tym samym nowe wymogi, w </w:t>
            </w:r>
            <w:r w:rsidRPr="00637307">
              <w:rPr>
                <w:rFonts w:ascii="Times New Roman" w:hAnsi="Times New Roman" w:cs="Times New Roman"/>
                <w:sz w:val="22"/>
                <w:szCs w:val="22"/>
              </w:rPr>
              <w:t xml:space="preserve">oparciu o które obligacjom zabezpieczonym przyznaje się możliwość ich preferencyjnego ujmowania w kapitale </w:t>
            </w:r>
            <w:r>
              <w:rPr>
                <w:rFonts w:ascii="Times New Roman" w:hAnsi="Times New Roman" w:cs="Times New Roman"/>
                <w:sz w:val="22"/>
                <w:szCs w:val="22"/>
              </w:rPr>
              <w:t xml:space="preserve">regulacyjnym </w:t>
            </w:r>
            <w:r w:rsidRPr="00637307">
              <w:rPr>
                <w:rFonts w:ascii="Times New Roman" w:hAnsi="Times New Roman" w:cs="Times New Roman"/>
                <w:sz w:val="22"/>
                <w:szCs w:val="22"/>
              </w:rPr>
              <w:t xml:space="preserve">(funduszach własnych) </w:t>
            </w:r>
            <w:r>
              <w:rPr>
                <w:rFonts w:ascii="Times New Roman" w:hAnsi="Times New Roman" w:cs="Times New Roman"/>
                <w:sz w:val="22"/>
                <w:szCs w:val="22"/>
              </w:rPr>
              <w:t>–</w:t>
            </w:r>
            <w:r w:rsidRPr="00637307">
              <w:rPr>
                <w:rFonts w:ascii="Times New Roman" w:hAnsi="Times New Roman" w:cs="Times New Roman"/>
                <w:sz w:val="22"/>
                <w:szCs w:val="22"/>
              </w:rPr>
              <w:t xml:space="preserve"> </w:t>
            </w:r>
            <w:r>
              <w:rPr>
                <w:rFonts w:ascii="Times New Roman" w:hAnsi="Times New Roman" w:cs="Times New Roman"/>
                <w:sz w:val="22"/>
                <w:szCs w:val="22"/>
              </w:rPr>
              <w:t xml:space="preserve">i </w:t>
            </w:r>
            <w:r w:rsidRPr="00637307">
              <w:rPr>
                <w:rFonts w:ascii="Times New Roman" w:hAnsi="Times New Roman" w:cs="Times New Roman"/>
                <w:sz w:val="22"/>
                <w:szCs w:val="22"/>
              </w:rPr>
              <w:t xml:space="preserve">przypisuje się im preferencyjną wagę ryzyka. </w:t>
            </w:r>
            <w:r w:rsidRPr="00637307">
              <w:rPr>
                <w:rFonts w:ascii="Times New Roman" w:hAnsi="Times New Roman" w:cs="Times New Roman"/>
                <w:noProof/>
                <w:sz w:val="22"/>
                <w:szCs w:val="22"/>
              </w:rPr>
              <w:t>Cechy konstruk</w:t>
            </w:r>
            <w:r>
              <w:rPr>
                <w:rFonts w:ascii="Times New Roman" w:hAnsi="Times New Roman" w:cs="Times New Roman"/>
                <w:noProof/>
                <w:sz w:val="22"/>
                <w:szCs w:val="22"/>
              </w:rPr>
              <w:t>cyjne obligacji zabezpieczonych, jak i</w:t>
            </w:r>
            <w:r w:rsidRPr="00637307">
              <w:rPr>
                <w:rFonts w:ascii="Times New Roman" w:hAnsi="Times New Roman" w:cs="Times New Roman"/>
                <w:noProof/>
                <w:sz w:val="22"/>
                <w:szCs w:val="22"/>
              </w:rPr>
              <w:t xml:space="preserve"> warunki </w:t>
            </w:r>
            <w:r>
              <w:rPr>
                <w:rFonts w:ascii="Times New Roman" w:hAnsi="Times New Roman" w:cs="Times New Roman"/>
                <w:noProof/>
                <w:sz w:val="22"/>
                <w:szCs w:val="22"/>
              </w:rPr>
              <w:t xml:space="preserve">ich </w:t>
            </w:r>
            <w:r w:rsidRPr="00637307">
              <w:rPr>
                <w:rFonts w:ascii="Times New Roman" w:hAnsi="Times New Roman" w:cs="Times New Roman"/>
                <w:noProof/>
                <w:sz w:val="22"/>
                <w:szCs w:val="22"/>
              </w:rPr>
              <w:t xml:space="preserve">emisji obecnie </w:t>
            </w:r>
            <w:r>
              <w:rPr>
                <w:rFonts w:ascii="Times New Roman" w:hAnsi="Times New Roman" w:cs="Times New Roman"/>
                <w:noProof/>
                <w:sz w:val="22"/>
                <w:szCs w:val="22"/>
              </w:rPr>
              <w:t>uregulowane</w:t>
            </w:r>
            <w:r w:rsidRPr="00637307">
              <w:rPr>
                <w:rFonts w:ascii="Times New Roman" w:hAnsi="Times New Roman" w:cs="Times New Roman"/>
                <w:noProof/>
                <w:sz w:val="22"/>
                <w:szCs w:val="22"/>
              </w:rPr>
              <w:t xml:space="preserve"> są głównie na poziomie krajowym, tym samym preferencyjne traktowanie przewidziane w rozporządzeniu (UE) 575/2013 przyznaje się faktycznie produktom różnego rodzaju. W związku z tym zostało uznane za niezbędne działanie na poziomie UE</w:t>
            </w:r>
            <w:r>
              <w:rPr>
                <w:rFonts w:ascii="Times New Roman" w:hAnsi="Times New Roman" w:cs="Times New Roman"/>
                <w:noProof/>
                <w:sz w:val="22"/>
                <w:szCs w:val="22"/>
              </w:rPr>
              <w:t>,</w:t>
            </w:r>
            <w:r w:rsidRPr="00637307">
              <w:rPr>
                <w:rFonts w:ascii="Times New Roman" w:hAnsi="Times New Roman" w:cs="Times New Roman"/>
                <w:noProof/>
                <w:sz w:val="22"/>
                <w:szCs w:val="22"/>
              </w:rPr>
              <w:t xml:space="preserve"> zmierzające do  ustanowienia wspólnych ram dotyczących obligacji zabezpieczonych w całej Unii, aby zapewnić, by ich cechy konstrukcyjne były spójne z ich profilem ryzyka uzasadniającym unijne</w:t>
            </w:r>
            <w:r>
              <w:rPr>
                <w:rFonts w:ascii="Times New Roman" w:hAnsi="Times New Roman" w:cs="Times New Roman"/>
                <w:noProof/>
                <w:sz w:val="22"/>
                <w:szCs w:val="22"/>
              </w:rPr>
              <w:t xml:space="preserve"> zasady ich preferencyjnego traktowania, a także </w:t>
            </w:r>
            <w:r w:rsidRPr="00637307">
              <w:rPr>
                <w:rFonts w:ascii="Times New Roman" w:hAnsi="Times New Roman" w:cs="Times New Roman"/>
                <w:noProof/>
                <w:sz w:val="22"/>
                <w:szCs w:val="22"/>
              </w:rPr>
              <w:t xml:space="preserve">sprzyjać rozwojowi </w:t>
            </w:r>
            <w:r>
              <w:rPr>
                <w:rFonts w:ascii="Times New Roman" w:hAnsi="Times New Roman" w:cs="Times New Roman"/>
                <w:noProof/>
                <w:sz w:val="22"/>
                <w:szCs w:val="22"/>
              </w:rPr>
              <w:t>tego segmentu rynku dłużnych papierów wartościowych.</w:t>
            </w:r>
            <w:r w:rsidRPr="00637307">
              <w:rPr>
                <w:rFonts w:ascii="Times New Roman" w:hAnsi="Times New Roman" w:cs="Times New Roman"/>
                <w:noProof/>
                <w:sz w:val="22"/>
                <w:szCs w:val="22"/>
              </w:rPr>
              <w:t xml:space="preserve"> </w:t>
            </w:r>
          </w:p>
          <w:p w14:paraId="0B4DC991" w14:textId="2D704BB4" w:rsidR="001024DD" w:rsidRDefault="001024DD" w:rsidP="000F70F7">
            <w:pPr>
              <w:pStyle w:val="Default"/>
              <w:jc w:val="both"/>
              <w:rPr>
                <w:rFonts w:ascii="Times New Roman" w:hAnsi="Times New Roman" w:cs="Times New Roman"/>
                <w:sz w:val="22"/>
                <w:szCs w:val="22"/>
              </w:rPr>
            </w:pPr>
            <w:r w:rsidRPr="00595601">
              <w:rPr>
                <w:rFonts w:ascii="Times New Roman" w:hAnsi="Times New Roman" w:cs="Times New Roman"/>
                <w:sz w:val="22"/>
                <w:szCs w:val="22"/>
              </w:rPr>
              <w:t xml:space="preserve">Państwa członkowskie zobowiązane są do wdrożenia postanowień </w:t>
            </w:r>
            <w:r w:rsidRPr="00B70B40">
              <w:rPr>
                <w:rFonts w:ascii="Times New Roman" w:hAnsi="Times New Roman" w:cs="Times New Roman"/>
                <w:sz w:val="22"/>
                <w:szCs w:val="22"/>
              </w:rPr>
              <w:t xml:space="preserve">dyrektywy </w:t>
            </w:r>
            <w:r w:rsidRPr="00B34B4C">
              <w:rPr>
                <w:rFonts w:ascii="Times New Roman" w:hAnsi="Times New Roman" w:cs="Times New Roman"/>
                <w:sz w:val="22"/>
                <w:szCs w:val="22"/>
              </w:rPr>
              <w:t>2019/2162</w:t>
            </w:r>
            <w:r w:rsidR="003009FF">
              <w:rPr>
                <w:rFonts w:ascii="Times New Roman" w:hAnsi="Times New Roman" w:cs="Times New Roman"/>
                <w:sz w:val="22"/>
                <w:szCs w:val="22"/>
              </w:rPr>
              <w:t xml:space="preserve"> </w:t>
            </w:r>
            <w:r w:rsidRPr="00B70B40">
              <w:rPr>
                <w:rFonts w:ascii="Times New Roman" w:hAnsi="Times New Roman" w:cs="Times New Roman"/>
                <w:sz w:val="22"/>
                <w:szCs w:val="22"/>
              </w:rPr>
              <w:t>do</w:t>
            </w:r>
            <w:r w:rsidRPr="00595601">
              <w:rPr>
                <w:rFonts w:ascii="Times New Roman" w:hAnsi="Times New Roman" w:cs="Times New Roman"/>
                <w:sz w:val="22"/>
                <w:szCs w:val="22"/>
              </w:rPr>
              <w:t xml:space="preserve"> dnia </w:t>
            </w:r>
            <w:r>
              <w:rPr>
                <w:rFonts w:ascii="Times New Roman" w:hAnsi="Times New Roman" w:cs="Times New Roman"/>
                <w:sz w:val="22"/>
                <w:szCs w:val="22"/>
              </w:rPr>
              <w:t>8 lipca 2021 r.</w:t>
            </w:r>
          </w:p>
          <w:p w14:paraId="423A88A8" w14:textId="77777777" w:rsidR="001024DD" w:rsidRPr="00822F69" w:rsidRDefault="001024DD" w:rsidP="000F70F7">
            <w:pPr>
              <w:pStyle w:val="Default"/>
              <w:jc w:val="both"/>
            </w:pPr>
          </w:p>
        </w:tc>
      </w:tr>
      <w:tr w:rsidR="001024DD" w:rsidRPr="00822F69" w14:paraId="3AFADD8E" w14:textId="77777777" w:rsidTr="000F70F7">
        <w:trPr>
          <w:gridAfter w:val="1"/>
          <w:wAfter w:w="10" w:type="dxa"/>
          <w:trHeight w:val="142"/>
        </w:trPr>
        <w:tc>
          <w:tcPr>
            <w:tcW w:w="10937" w:type="dxa"/>
            <w:gridSpan w:val="29"/>
            <w:shd w:val="clear" w:color="auto" w:fill="99CCFF"/>
            <w:vAlign w:val="center"/>
          </w:tcPr>
          <w:p w14:paraId="4AC6781D" w14:textId="77777777" w:rsidR="001024DD" w:rsidRPr="00822F69" w:rsidRDefault="001024DD" w:rsidP="000F70F7">
            <w:pPr>
              <w:numPr>
                <w:ilvl w:val="0"/>
                <w:numId w:val="1"/>
              </w:numPr>
              <w:ind w:left="318" w:hanging="284"/>
              <w:rPr>
                <w:b/>
                <w:color w:val="000000"/>
              </w:rPr>
            </w:pPr>
            <w:r w:rsidRPr="00822F69">
              <w:rPr>
                <w:b/>
                <w:color w:val="000000"/>
                <w:spacing w:val="-2"/>
              </w:rPr>
              <w:lastRenderedPageBreak/>
              <w:t>Rekomendowane rozwiązanie, w tym planowane narzędzia interwencji, i oczekiwany efekt</w:t>
            </w:r>
          </w:p>
        </w:tc>
      </w:tr>
      <w:tr w:rsidR="001024DD" w:rsidRPr="001B3446" w14:paraId="7396DC2E" w14:textId="77777777" w:rsidTr="000F70F7">
        <w:trPr>
          <w:gridAfter w:val="1"/>
          <w:wAfter w:w="10" w:type="dxa"/>
          <w:trHeight w:val="142"/>
        </w:trPr>
        <w:tc>
          <w:tcPr>
            <w:tcW w:w="10937" w:type="dxa"/>
            <w:gridSpan w:val="29"/>
            <w:shd w:val="clear" w:color="auto" w:fill="auto"/>
            <w:vAlign w:val="center"/>
          </w:tcPr>
          <w:p w14:paraId="45127570" w14:textId="77777777" w:rsidR="001024DD" w:rsidRPr="00C7281B" w:rsidRDefault="001024DD" w:rsidP="000F70F7">
            <w:pPr>
              <w:spacing w:after="120"/>
            </w:pPr>
            <w:r w:rsidRPr="00C7281B">
              <w:t>Wdrożenie dyrektyw</w:t>
            </w:r>
            <w:r>
              <w:t>y</w:t>
            </w:r>
            <w:r w:rsidRPr="00C7281B">
              <w:t xml:space="preserve"> </w:t>
            </w:r>
            <w:r>
              <w:t>2019/2162</w:t>
            </w:r>
            <w:r w:rsidRPr="00822F69">
              <w:t xml:space="preserve"> </w:t>
            </w:r>
            <w:r w:rsidRPr="00C7281B">
              <w:t>wymaga odpowiedniego uzupełnienia lub doprecyzowania przepisów krajowych. Należy wskazać, że w warunkach polskich odpowiednikiem obligacji zabezpieczonych (</w:t>
            </w:r>
            <w:r w:rsidRPr="00C7281B">
              <w:rPr>
                <w:i/>
              </w:rPr>
              <w:t>covered bonds</w:t>
            </w:r>
            <w:r w:rsidRPr="00C7281B">
              <w:t xml:space="preserve">) w  rozumieniu dyrektywy </w:t>
            </w:r>
            <w:r>
              <w:t>2019/2162</w:t>
            </w:r>
            <w:r w:rsidRPr="00C7281B">
              <w:t xml:space="preserve"> są listy zastawne emitowane przez wyspecjalizowane banki hipoteczne, zgodnie z przepisami ustawy z dnia 29  sierpnia 1997 r. o listach zastawnych i  bankach hipotecznych (Dz. U. z 2020 r. poz. 415).</w:t>
            </w:r>
          </w:p>
          <w:p w14:paraId="70303642" w14:textId="77777777" w:rsidR="001024DD" w:rsidRPr="00595601" w:rsidRDefault="001024DD" w:rsidP="000F70F7">
            <w:r w:rsidRPr="00595601">
              <w:rPr>
                <w:iCs/>
              </w:rPr>
              <w:t xml:space="preserve">W </w:t>
            </w:r>
            <w:r>
              <w:rPr>
                <w:iCs/>
              </w:rPr>
              <w:t xml:space="preserve">ramach </w:t>
            </w:r>
            <w:r w:rsidRPr="00595601">
              <w:rPr>
                <w:iCs/>
              </w:rPr>
              <w:t>wdrożenia do krajowego systemu prawnego zmian w</w:t>
            </w:r>
            <w:r>
              <w:rPr>
                <w:iCs/>
              </w:rPr>
              <w:t xml:space="preserve">ynikających z </w:t>
            </w:r>
            <w:r w:rsidRPr="00595601">
              <w:rPr>
                <w:iCs/>
              </w:rPr>
              <w:t>dyrektyw</w:t>
            </w:r>
            <w:r>
              <w:rPr>
                <w:iCs/>
              </w:rPr>
              <w:t>y</w:t>
            </w:r>
            <w:r w:rsidRPr="00595601">
              <w:rPr>
                <w:iCs/>
              </w:rPr>
              <w:t xml:space="preserve"> 2019/2162 </w:t>
            </w:r>
            <w:r>
              <w:rPr>
                <w:iCs/>
              </w:rPr>
              <w:t xml:space="preserve">w </w:t>
            </w:r>
            <w:r w:rsidRPr="00595601">
              <w:rPr>
                <w:iCs/>
              </w:rPr>
              <w:t>projektowan</w:t>
            </w:r>
            <w:r>
              <w:rPr>
                <w:iCs/>
              </w:rPr>
              <w:t>ej</w:t>
            </w:r>
            <w:r w:rsidRPr="00595601">
              <w:rPr>
                <w:iCs/>
              </w:rPr>
              <w:t xml:space="preserve"> ustaw</w:t>
            </w:r>
            <w:r>
              <w:rPr>
                <w:iCs/>
              </w:rPr>
              <w:t>ie</w:t>
            </w:r>
            <w:r w:rsidRPr="00595601">
              <w:rPr>
                <w:iCs/>
              </w:rPr>
              <w:t xml:space="preserve"> przede wszystkim:</w:t>
            </w:r>
          </w:p>
          <w:p w14:paraId="049E6363" w14:textId="77777777" w:rsidR="001024DD" w:rsidRDefault="001024DD" w:rsidP="000F70F7">
            <w:pPr>
              <w:pStyle w:val="Akapitzlist"/>
              <w:numPr>
                <w:ilvl w:val="0"/>
                <w:numId w:val="10"/>
              </w:numPr>
            </w:pPr>
            <w:r w:rsidRPr="00595601">
              <w:t>wprowadza się definicj</w:t>
            </w:r>
            <w:r>
              <w:t>ę</w:t>
            </w:r>
            <w:r w:rsidRPr="00595601">
              <w:t xml:space="preserve"> </w:t>
            </w:r>
            <w:r>
              <w:t xml:space="preserve">listu zastawnego, odwołującą się do </w:t>
            </w:r>
            <w:r w:rsidRPr="00595601">
              <w:t xml:space="preserve">mechanizm podwójnego regresu, który zapewnia inwestorom możliwość dochodzenia roszczeń zarówno w stosunku do emitentów </w:t>
            </w:r>
            <w:r>
              <w:t>listów zastawnych</w:t>
            </w:r>
            <w:r w:rsidRPr="00595601">
              <w:t>, jak i z puli aktywów stanowiących zabezpieczenie listów zastawnych</w:t>
            </w:r>
            <w:r>
              <w:t xml:space="preserve">, </w:t>
            </w:r>
          </w:p>
          <w:p w14:paraId="4B578589" w14:textId="77777777" w:rsidR="001024DD" w:rsidRDefault="001024DD" w:rsidP="000F70F7">
            <w:pPr>
              <w:pStyle w:val="Akapitzlist"/>
              <w:numPr>
                <w:ilvl w:val="0"/>
                <w:numId w:val="10"/>
              </w:numPr>
            </w:pPr>
            <w:r w:rsidRPr="00412C0D">
              <w:t>uzupełnia się zakres pojęć stosowanych na gruncie ustawy o definicje aktywów podstawowych, aktywów zastępczych, aktywów stanowiących zabezpieczenie listów zastawnych oraz puli aktywów stanowiących zabezpieczenie</w:t>
            </w:r>
            <w:r>
              <w:t>,</w:t>
            </w:r>
          </w:p>
          <w:p w14:paraId="77AAB7ED" w14:textId="77777777" w:rsidR="001024DD" w:rsidRPr="0004072E" w:rsidRDefault="001024DD" w:rsidP="000F70F7">
            <w:pPr>
              <w:pStyle w:val="Akapitzlist"/>
              <w:numPr>
                <w:ilvl w:val="0"/>
                <w:numId w:val="10"/>
              </w:numPr>
            </w:pPr>
            <w:r w:rsidRPr="0004072E">
              <w:t>proponuje się rozszerzenie zakresu podstaw emisji publicznego listu zastawnego</w:t>
            </w:r>
            <w:r>
              <w:t>,</w:t>
            </w:r>
            <w:r w:rsidRPr="0004072E">
              <w:t xml:space="preserve"> </w:t>
            </w:r>
          </w:p>
          <w:p w14:paraId="6B5EF329" w14:textId="77777777" w:rsidR="001024DD" w:rsidRPr="00595601" w:rsidRDefault="001024DD" w:rsidP="000F70F7">
            <w:pPr>
              <w:pStyle w:val="Akapitzlist"/>
              <w:numPr>
                <w:ilvl w:val="0"/>
                <w:numId w:val="10"/>
              </w:numPr>
            </w:pPr>
            <w:r w:rsidRPr="00595601">
              <w:t>ustanawia się warunki</w:t>
            </w:r>
            <w:r>
              <w:t xml:space="preserve"> umożliwiające</w:t>
            </w:r>
            <w:r w:rsidRPr="00595601">
              <w:t xml:space="preserve"> </w:t>
            </w:r>
            <w:r>
              <w:t>za</w:t>
            </w:r>
            <w:r w:rsidRPr="00595601">
              <w:t>kwalifik</w:t>
            </w:r>
            <w:r>
              <w:t>owanie</w:t>
            </w:r>
            <w:r w:rsidRPr="00595601">
              <w:t xml:space="preserve"> instrumentów pochodnych do puli aktywów stanowiących zabezpieczenie listów zastawnych,</w:t>
            </w:r>
          </w:p>
          <w:p w14:paraId="34A353AC" w14:textId="77777777" w:rsidR="001024DD" w:rsidRPr="00595601" w:rsidRDefault="001024DD" w:rsidP="000F70F7">
            <w:pPr>
              <w:pStyle w:val="Akapitzlist"/>
              <w:numPr>
                <w:ilvl w:val="0"/>
                <w:numId w:val="10"/>
              </w:numPr>
            </w:pPr>
            <w:r w:rsidRPr="00595601">
              <w:t>określa się zasady stosowania przez banki krajowe oznaczeń „</w:t>
            </w:r>
            <w:r w:rsidRPr="00595601">
              <w:rPr>
                <w:i/>
                <w:iCs/>
              </w:rPr>
              <w:t>europejska obligacja zabezpieczona</w:t>
            </w:r>
            <w:r w:rsidRPr="00595601">
              <w:t>” i „</w:t>
            </w:r>
            <w:r w:rsidRPr="00595601">
              <w:rPr>
                <w:i/>
                <w:iCs/>
              </w:rPr>
              <w:t>europejska obligacja zabezpieczona (premium)</w:t>
            </w:r>
            <w:r>
              <w:t>”,</w:t>
            </w:r>
          </w:p>
          <w:p w14:paraId="78CDB6FC" w14:textId="77777777" w:rsidR="001024DD" w:rsidRPr="00595601" w:rsidRDefault="001024DD" w:rsidP="000F70F7">
            <w:pPr>
              <w:pStyle w:val="Akapitzlist"/>
              <w:numPr>
                <w:ilvl w:val="0"/>
                <w:numId w:val="10"/>
              </w:numPr>
            </w:pPr>
            <w:r>
              <w:t>modyfikuje się zasady</w:t>
            </w:r>
            <w:r w:rsidRPr="00595601">
              <w:t xml:space="preserve"> kalkulacji bufora płynności dla puli aktywów stanowiących zabezpieczenie listów zastawnych,</w:t>
            </w:r>
          </w:p>
          <w:p w14:paraId="06F1E905" w14:textId="77777777" w:rsidR="001024DD" w:rsidRPr="00595601" w:rsidRDefault="001024DD" w:rsidP="000F70F7">
            <w:pPr>
              <w:pStyle w:val="Akapitzlist"/>
              <w:numPr>
                <w:ilvl w:val="0"/>
                <w:numId w:val="10"/>
              </w:numPr>
            </w:pPr>
            <w:r w:rsidRPr="00595601">
              <w:t>wskazuje się warunki uzyskania zezwolenia na program emisji hipotecznych lub publicznych listów zastawnych oraz dodatkowe wymogi dotyczące monitorowania przez Komisję Nadzoru Finansowego prowadzonych przez banki hipoteczne programów emisji,</w:t>
            </w:r>
          </w:p>
          <w:p w14:paraId="098527E2" w14:textId="77777777" w:rsidR="001024DD" w:rsidRPr="00595601" w:rsidRDefault="001024DD" w:rsidP="000F70F7">
            <w:pPr>
              <w:pStyle w:val="Akapitzlist"/>
              <w:numPr>
                <w:ilvl w:val="0"/>
                <w:numId w:val="10"/>
              </w:numPr>
            </w:pPr>
            <w:r w:rsidRPr="00595601">
              <w:t>wprowadza się wymogi informacyjne dotyczące programów emisji listów zastawnych w celu umożliwi</w:t>
            </w:r>
            <w:r>
              <w:t>e</w:t>
            </w:r>
            <w:r w:rsidRPr="00595601">
              <w:t xml:space="preserve">nia inwestorom badania profilu ryzyka danego programu oraz </w:t>
            </w:r>
            <w:r>
              <w:t xml:space="preserve">formułuje się </w:t>
            </w:r>
            <w:r w:rsidRPr="00595601">
              <w:t>szczególne obowiązki sprawozdawcze dla banków hipotecznych wobec organu nadzoru</w:t>
            </w:r>
            <w:r>
              <w:t xml:space="preserve"> (Komisji Nadzoru Finansowego)</w:t>
            </w:r>
            <w:r w:rsidRPr="00595601">
              <w:t>,</w:t>
            </w:r>
          </w:p>
          <w:p w14:paraId="5457AC04" w14:textId="77777777" w:rsidR="001024DD" w:rsidRPr="00595601" w:rsidRDefault="001024DD" w:rsidP="000F70F7">
            <w:pPr>
              <w:pStyle w:val="Akapitzlist"/>
              <w:numPr>
                <w:ilvl w:val="0"/>
                <w:numId w:val="10"/>
              </w:numPr>
            </w:pPr>
            <w:r w:rsidRPr="00595601">
              <w:t>ustanawia się uprawnienia dla Komisji Nadzoru Finansowego do nakładania sankcji administracyjnych.</w:t>
            </w:r>
          </w:p>
          <w:p w14:paraId="426F0805" w14:textId="77777777" w:rsidR="001024DD" w:rsidRPr="00C7281B" w:rsidRDefault="001024DD" w:rsidP="000F70F7"/>
          <w:p w14:paraId="3893773E" w14:textId="77777777" w:rsidR="001024DD" w:rsidRPr="00C7281B" w:rsidRDefault="001024DD" w:rsidP="000F70F7">
            <w:pPr>
              <w:autoSpaceDE w:val="0"/>
              <w:autoSpaceDN w:val="0"/>
              <w:adjustRightInd w:val="0"/>
            </w:pPr>
            <w:r w:rsidRPr="00C7281B">
              <w:t>Zmiany obejmą:</w:t>
            </w:r>
          </w:p>
          <w:p w14:paraId="0C524DAF" w14:textId="77777777" w:rsidR="001024DD" w:rsidRPr="00C7281B" w:rsidRDefault="001024DD" w:rsidP="000F70F7">
            <w:pPr>
              <w:pStyle w:val="Akapitzlist"/>
              <w:numPr>
                <w:ilvl w:val="0"/>
                <w:numId w:val="11"/>
              </w:numPr>
              <w:spacing w:before="120"/>
            </w:pPr>
            <w:r w:rsidRPr="00C7281B">
              <w:t>ustawę z dnia 29  sierpnia 1997 r. o listach zastawnych i  bankach hipotecznych (Dz. U. z 2020 r. poz. 415),</w:t>
            </w:r>
          </w:p>
          <w:p w14:paraId="4C7AE2FA" w14:textId="77777777" w:rsidR="001024DD" w:rsidRDefault="001024DD" w:rsidP="000F70F7">
            <w:pPr>
              <w:pStyle w:val="Akapitzlist"/>
              <w:numPr>
                <w:ilvl w:val="0"/>
                <w:numId w:val="11"/>
              </w:numPr>
              <w:spacing w:before="120"/>
            </w:pPr>
            <w:r w:rsidRPr="00C7281B">
              <w:t>ustawę z dnia 28 lutego 2003 r. – Prawo upadłościowe (Dz. U. z 2020 r. poz. 1228),</w:t>
            </w:r>
          </w:p>
          <w:p w14:paraId="216277B3" w14:textId="77777777" w:rsidR="001024DD" w:rsidRPr="00C7281B" w:rsidRDefault="001024DD" w:rsidP="000F70F7">
            <w:pPr>
              <w:pStyle w:val="Akapitzlist"/>
              <w:numPr>
                <w:ilvl w:val="0"/>
                <w:numId w:val="11"/>
              </w:numPr>
              <w:spacing w:before="120"/>
            </w:pPr>
            <w:r>
              <w:t>ustawę z dnia 14 marca 2003 r. o Banku Gospodarstwa Krajowego (Dz. U. z 2020 r. poz. 1198),</w:t>
            </w:r>
          </w:p>
          <w:p w14:paraId="5996D090" w14:textId="77777777" w:rsidR="001024DD" w:rsidRDefault="001024DD" w:rsidP="000F70F7">
            <w:pPr>
              <w:pStyle w:val="Akapitzlist"/>
              <w:numPr>
                <w:ilvl w:val="0"/>
                <w:numId w:val="11"/>
              </w:numPr>
              <w:spacing w:before="120"/>
            </w:pPr>
            <w:r w:rsidRPr="00C7281B">
              <w:t xml:space="preserve">ustawę z dnia 21 lipca 2006 r. o nadzorze nad rynkiem finansowym (Dz. U. z 2020 r. poz. </w:t>
            </w:r>
            <w:r>
              <w:t>2059</w:t>
            </w:r>
            <w:r w:rsidRPr="00C7281B">
              <w:t>).</w:t>
            </w:r>
          </w:p>
          <w:p w14:paraId="09CC098B" w14:textId="77777777" w:rsidR="001024DD" w:rsidRPr="0004072E" w:rsidRDefault="001024DD" w:rsidP="000F70F7"/>
        </w:tc>
      </w:tr>
      <w:tr w:rsidR="001024DD" w:rsidRPr="00822F69" w14:paraId="292C4942" w14:textId="77777777" w:rsidTr="000F70F7">
        <w:trPr>
          <w:gridAfter w:val="1"/>
          <w:wAfter w:w="10" w:type="dxa"/>
          <w:trHeight w:val="307"/>
        </w:trPr>
        <w:tc>
          <w:tcPr>
            <w:tcW w:w="10937" w:type="dxa"/>
            <w:gridSpan w:val="29"/>
            <w:shd w:val="clear" w:color="auto" w:fill="99CCFF"/>
            <w:vAlign w:val="center"/>
          </w:tcPr>
          <w:p w14:paraId="7D89C3DF" w14:textId="77777777" w:rsidR="001024DD" w:rsidRPr="00822F69" w:rsidRDefault="001024DD" w:rsidP="000F70F7">
            <w:pPr>
              <w:rPr>
                <w:b/>
                <w:color w:val="000000"/>
              </w:rPr>
            </w:pPr>
            <w:r w:rsidRPr="006964BB">
              <w:rPr>
                <w:b/>
              </w:rPr>
              <w:t>3.</w:t>
            </w:r>
            <w:r>
              <w:rPr>
                <w:b/>
              </w:rPr>
              <w:t>J</w:t>
            </w:r>
            <w:r w:rsidRPr="006964BB">
              <w:rPr>
                <w:b/>
              </w:rPr>
              <w:t>ak</w:t>
            </w:r>
            <w:r>
              <w:rPr>
                <w:b/>
                <w:spacing w:val="-2"/>
              </w:rPr>
              <w:t xml:space="preserve"> problem został rozwiązany</w:t>
            </w:r>
            <w:r w:rsidRPr="001812C7">
              <w:rPr>
                <w:b/>
                <w:spacing w:val="-2"/>
              </w:rPr>
              <w:t xml:space="preserve"> w innych krajach, w szczególności krajach członkowskich OECD/UE</w:t>
            </w:r>
            <w:r w:rsidRPr="008B4FE6">
              <w:rPr>
                <w:b/>
                <w:color w:val="000000"/>
              </w:rPr>
              <w:t>?</w:t>
            </w:r>
          </w:p>
        </w:tc>
      </w:tr>
      <w:tr w:rsidR="001024DD" w:rsidRPr="00E12D87" w14:paraId="47A827BE" w14:textId="77777777" w:rsidTr="000F70F7">
        <w:trPr>
          <w:gridAfter w:val="1"/>
          <w:wAfter w:w="10" w:type="dxa"/>
          <w:trHeight w:val="307"/>
        </w:trPr>
        <w:tc>
          <w:tcPr>
            <w:tcW w:w="10937" w:type="dxa"/>
            <w:gridSpan w:val="29"/>
            <w:shd w:val="clear" w:color="auto" w:fill="auto"/>
            <w:vAlign w:val="center"/>
          </w:tcPr>
          <w:p w14:paraId="23033D93" w14:textId="77777777" w:rsidR="001024DD" w:rsidRPr="00822F69" w:rsidRDefault="001024DD" w:rsidP="000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ogrubienie"/>
                <w:b w:val="0"/>
              </w:rPr>
            </w:pPr>
            <w:r w:rsidRPr="00822F69">
              <w:rPr>
                <w:rStyle w:val="Pogrubienie"/>
                <w:b w:val="0"/>
              </w:rPr>
              <w:t xml:space="preserve">Zasady funkcjonowania rynków obligacji zabezpieczonych w krajach UE są niejednolite, </w:t>
            </w:r>
            <w:r>
              <w:rPr>
                <w:rStyle w:val="Pogrubienie"/>
                <w:b w:val="0"/>
              </w:rPr>
              <w:t>a</w:t>
            </w:r>
            <w:r w:rsidRPr="00822F69">
              <w:rPr>
                <w:rStyle w:val="Pogrubienie"/>
                <w:b w:val="0"/>
              </w:rPr>
              <w:t xml:space="preserve"> proces rozwoju rynków krajowych przebiega nierównomiernie. Obecnie w wielu państwach członkowskich potencjał wynikający z tego długoterminowego źródła finansowana kredytu nadal pozostaj</w:t>
            </w:r>
            <w:r>
              <w:rPr>
                <w:rStyle w:val="Pogrubienie"/>
                <w:b w:val="0"/>
              </w:rPr>
              <w:t>e niedostatecznie wykorzystany.</w:t>
            </w:r>
          </w:p>
          <w:p w14:paraId="4E5DE6A6" w14:textId="77777777" w:rsidR="001024DD" w:rsidRPr="00C954F6" w:rsidRDefault="001024DD" w:rsidP="000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03665BA1" w14:textId="77777777" w:rsidR="001024DD" w:rsidRPr="00822F69" w:rsidRDefault="001024DD" w:rsidP="000F70F7">
            <w:pPr>
              <w:spacing w:after="180"/>
            </w:pPr>
            <w:r w:rsidRPr="00C954F6">
              <w:t>Według danych Europejskiej Rady ds. </w:t>
            </w:r>
            <w:r>
              <w:t>Obligacji Zabezpieczonych</w:t>
            </w:r>
            <w:r w:rsidRPr="00C954F6">
              <w:t xml:space="preserve"> – </w:t>
            </w:r>
            <w:r w:rsidRPr="00C954F6">
              <w:rPr>
                <w:i/>
              </w:rPr>
              <w:t>European Covered Bond Council (ECBC)</w:t>
            </w:r>
            <w:r w:rsidRPr="00822F69">
              <w:t xml:space="preserve">, obecnie blisko 60% wszystkich emisji koncentruje się w krajach UE: Danii, Francji, Niemczech, Hiszpanii oraz Szwecji, przy łącznym wolumenie 2,5 mld euro na koniec 2018 r. </w:t>
            </w:r>
            <w:r w:rsidRPr="00822F69">
              <w:rPr>
                <w:rStyle w:val="Pogrubienie"/>
                <w:b w:val="0"/>
              </w:rPr>
              <w:t>Jednym z powodów, dla których UE ma stosunkowo duży rynek obligacji zabezpieczonych, jest fakt, że wiele państw członkowskich od dawna posiada krajowe systemy prawne (</w:t>
            </w:r>
            <w:r>
              <w:rPr>
                <w:rStyle w:val="Pogrubienie"/>
                <w:b w:val="0"/>
              </w:rPr>
              <w:t xml:space="preserve">oraz </w:t>
            </w:r>
            <w:r w:rsidRPr="00822F69">
              <w:rPr>
                <w:rStyle w:val="Pogrubienie"/>
                <w:b w:val="0"/>
              </w:rPr>
              <w:t>tradycje) dotyczące emisji obligacji zabezpieczonych.</w:t>
            </w:r>
          </w:p>
          <w:p w14:paraId="08D5E37E" w14:textId="77777777" w:rsidR="001024DD" w:rsidRPr="00822F69" w:rsidRDefault="001024DD" w:rsidP="000F70F7">
            <w:pPr>
              <w:spacing w:after="180"/>
              <w:rPr>
                <w:rStyle w:val="Pogrubienie"/>
                <w:b w:val="0"/>
                <w:bCs w:val="0"/>
              </w:rPr>
            </w:pPr>
            <w:r w:rsidRPr="00822F69">
              <w:t xml:space="preserve">Największym i zdecydowanie odróżniającym się od innych krajów UE rynkiem obligacji zabezpieczonych jest rynek duński, na którym wartość listów zastawnych pozostających do wykupu w 2017 r. wynosiła ok. 138% PKB. Ponadto wartość wyemitowanych obligacji zabezpieczonych </w:t>
            </w:r>
            <w:r>
              <w:t xml:space="preserve">pozwala </w:t>
            </w:r>
            <w:r w:rsidRPr="00822F69">
              <w:t xml:space="preserve">prawie w całości </w:t>
            </w:r>
            <w:r>
              <w:t>finansować</w:t>
            </w:r>
            <w:r w:rsidRPr="00822F69">
              <w:t xml:space="preserve"> udzielone kredyty hipoteczne</w:t>
            </w:r>
            <w:r>
              <w:t>.</w:t>
            </w:r>
          </w:p>
          <w:p w14:paraId="10850E80" w14:textId="77777777" w:rsidR="001024DD" w:rsidRPr="00822F69" w:rsidRDefault="001024DD" w:rsidP="000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ogrubienie"/>
                <w:b w:val="0"/>
              </w:rPr>
            </w:pPr>
            <w:r w:rsidRPr="00822F69">
              <w:rPr>
                <w:rStyle w:val="Pogrubienie"/>
                <w:b w:val="0"/>
              </w:rPr>
              <w:t xml:space="preserve">Obligacje zabezpieczone </w:t>
            </w:r>
            <w:r>
              <w:rPr>
                <w:rStyle w:val="Pogrubienie"/>
                <w:b w:val="0"/>
              </w:rPr>
              <w:t xml:space="preserve">(listy zastawne) </w:t>
            </w:r>
            <w:r w:rsidRPr="00822F69">
              <w:rPr>
                <w:rStyle w:val="Pogrubienie"/>
                <w:b w:val="0"/>
              </w:rPr>
              <w:t>pod wieloma względami odgrywają ważną rolę zarówno w samym systemie finansowym, jak i finansowaniu gospodarki. Strategiczne pozostaje znaczenie obligacji zabezpieczonych jako narzędzia finansowania długoterminowego na rynkach UE</w:t>
            </w:r>
            <w:r>
              <w:rPr>
                <w:rStyle w:val="Pogrubienie"/>
                <w:b w:val="0"/>
              </w:rPr>
              <w:t>,</w:t>
            </w:r>
            <w:r w:rsidRPr="00822F69">
              <w:rPr>
                <w:rStyle w:val="Pogrubienie"/>
                <w:b w:val="0"/>
              </w:rPr>
              <w:t xml:space="preserve"> jak i na poziomie globalnym.</w:t>
            </w:r>
          </w:p>
          <w:p w14:paraId="5B8A010A" w14:textId="77777777" w:rsidR="001024DD" w:rsidRPr="00822F69" w:rsidRDefault="001024DD" w:rsidP="000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ogrubienie"/>
                <w:b w:val="0"/>
              </w:rPr>
            </w:pPr>
          </w:p>
          <w:p w14:paraId="5856D3D8" w14:textId="77777777" w:rsidR="001024DD" w:rsidRPr="00822F69" w:rsidRDefault="001024DD" w:rsidP="000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ogrubienie"/>
                <w:b w:val="0"/>
              </w:rPr>
            </w:pPr>
            <w:r w:rsidRPr="00822F69">
              <w:rPr>
                <w:rStyle w:val="Pogrubienie"/>
                <w:b w:val="0"/>
              </w:rPr>
              <w:t>Jak wynika z ostatniego raportu ECBC z</w:t>
            </w:r>
            <w:r>
              <w:rPr>
                <w:rStyle w:val="Pogrubienie"/>
                <w:b w:val="0"/>
              </w:rPr>
              <w:t xml:space="preserve"> 2019 </w:t>
            </w:r>
            <w:r w:rsidRPr="00822F69">
              <w:rPr>
                <w:rStyle w:val="Pogrubienie"/>
                <w:b w:val="0"/>
              </w:rPr>
              <w:t>r., poza Europą, w ostatnich latach Australia, Kanada, Nowa Zelandia, Singapur i  Korea Południowa wdrożyły ustawodawstwo dotyczące obligacji zabezpieczonych. Inne kraje, w tym Brazylia, Chile, Indie, Japonia, Meksyk, Maroko, Panama, Peru, Republika Południowej Afryki i Stany Zjednoczone, są w trakcie przyjmowania przepisów dotyczących obligacji zabezpieczonych lub analizują wprowadzenie regulacji w tym zakresie</w:t>
            </w:r>
            <w:r>
              <w:rPr>
                <w:rStyle w:val="Pogrubienie"/>
                <w:b w:val="0"/>
              </w:rPr>
              <w:t>.</w:t>
            </w:r>
          </w:p>
          <w:p w14:paraId="1609DEF0" w14:textId="77777777" w:rsidR="001024DD" w:rsidRPr="00822F69" w:rsidRDefault="001024DD" w:rsidP="000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Pogrubienie"/>
                <w:b w:val="0"/>
              </w:rPr>
            </w:pPr>
          </w:p>
          <w:p w14:paraId="13BA4C05" w14:textId="77777777" w:rsidR="001024DD" w:rsidRPr="00822F69" w:rsidRDefault="001024DD" w:rsidP="000F70F7">
            <w:pPr>
              <w:rPr>
                <w:rFonts w:eastAsiaTheme="minorHAnsi"/>
                <w:noProof/>
              </w:rPr>
            </w:pPr>
            <w:r w:rsidRPr="00822F69">
              <w:rPr>
                <w:rFonts w:eastAsiaTheme="minorHAnsi"/>
                <w:noProof/>
              </w:rPr>
              <w:t xml:space="preserve">Najważniejszą grupę </w:t>
            </w:r>
            <w:r>
              <w:rPr>
                <w:rFonts w:eastAsiaTheme="minorHAnsi"/>
                <w:noProof/>
              </w:rPr>
              <w:t>podmiotów inwestujących</w:t>
            </w:r>
            <w:r w:rsidRPr="00822F69">
              <w:rPr>
                <w:rFonts w:eastAsiaTheme="minorHAnsi"/>
                <w:noProof/>
              </w:rPr>
              <w:t xml:space="preserve"> </w:t>
            </w:r>
            <w:r>
              <w:rPr>
                <w:rFonts w:eastAsiaTheme="minorHAnsi"/>
                <w:noProof/>
              </w:rPr>
              <w:t xml:space="preserve">w </w:t>
            </w:r>
            <w:r w:rsidRPr="00822F69">
              <w:rPr>
                <w:rFonts w:eastAsiaTheme="minorHAnsi"/>
                <w:noProof/>
              </w:rPr>
              <w:t>obligacj</w:t>
            </w:r>
            <w:r>
              <w:rPr>
                <w:rFonts w:eastAsiaTheme="minorHAnsi"/>
                <w:noProof/>
              </w:rPr>
              <w:t>e zabezpieczone</w:t>
            </w:r>
            <w:r w:rsidRPr="00822F69">
              <w:rPr>
                <w:rFonts w:eastAsiaTheme="minorHAnsi"/>
                <w:noProof/>
              </w:rPr>
              <w:t xml:space="preserve"> stanowią banki centralne, banki, zarządzający funduszami oraz zakłady ubezpieczeń i towarzystwa emerytalne. </w:t>
            </w:r>
          </w:p>
          <w:p w14:paraId="6D032372" w14:textId="77777777" w:rsidR="001024DD" w:rsidRPr="00822F69" w:rsidRDefault="001024DD" w:rsidP="000F70F7">
            <w:pPr>
              <w:autoSpaceDE w:val="0"/>
              <w:autoSpaceDN w:val="0"/>
              <w:adjustRightInd w:val="0"/>
              <w:rPr>
                <w:rFonts w:eastAsiaTheme="minorHAnsi"/>
                <w:noProof/>
              </w:rPr>
            </w:pPr>
          </w:p>
          <w:p w14:paraId="2C73BF21" w14:textId="77777777" w:rsidR="001024DD" w:rsidRPr="00822F69" w:rsidRDefault="001024DD" w:rsidP="000F70F7">
            <w:pPr>
              <w:autoSpaceDE w:val="0"/>
              <w:autoSpaceDN w:val="0"/>
              <w:adjustRightInd w:val="0"/>
              <w:rPr>
                <w:rFonts w:eastAsiaTheme="minorHAnsi"/>
                <w:lang w:eastAsia="pl-PL"/>
              </w:rPr>
            </w:pPr>
            <w:r w:rsidRPr="00822F69">
              <w:rPr>
                <w:rFonts w:eastAsiaTheme="minorHAnsi"/>
                <w:lang w:eastAsia="pl-PL"/>
              </w:rPr>
              <w:lastRenderedPageBreak/>
              <w:t>Na rynku UE spotykanych jest kilka różnych modeli emisji obligacji zabezpieczonych</w:t>
            </w:r>
            <w:r>
              <w:rPr>
                <w:rFonts w:eastAsiaTheme="minorHAnsi"/>
                <w:lang w:eastAsia="pl-PL"/>
              </w:rPr>
              <w:t xml:space="preserve"> (listów zastawnych)</w:t>
            </w:r>
            <w:r w:rsidRPr="00822F69">
              <w:rPr>
                <w:rFonts w:eastAsiaTheme="minorHAnsi"/>
                <w:lang w:eastAsia="pl-PL"/>
              </w:rPr>
              <w:t>, dla których p</w:t>
            </w:r>
            <w:r w:rsidRPr="00822F69">
              <w:rPr>
                <w:lang w:eastAsia="pl-PL"/>
              </w:rPr>
              <w:t>odstawowym kryterium różnic</w:t>
            </w:r>
            <w:r>
              <w:rPr>
                <w:lang w:eastAsia="pl-PL"/>
              </w:rPr>
              <w:t>ującym</w:t>
            </w:r>
            <w:r w:rsidRPr="00822F69">
              <w:rPr>
                <w:lang w:eastAsia="pl-PL"/>
              </w:rPr>
              <w:t xml:space="preserve"> jest rodzaj podmiotu uprawnionego do ich emisji</w:t>
            </w:r>
            <w:r w:rsidRPr="00822F69">
              <w:rPr>
                <w:rFonts w:eastAsiaTheme="minorHAnsi"/>
                <w:lang w:eastAsia="pl-PL"/>
              </w:rPr>
              <w:t>:</w:t>
            </w:r>
          </w:p>
          <w:p w14:paraId="6F78326C" w14:textId="77777777" w:rsidR="001024DD" w:rsidRPr="00822F69" w:rsidRDefault="001024DD" w:rsidP="000F70F7">
            <w:pPr>
              <w:pStyle w:val="Akapitzlist"/>
              <w:numPr>
                <w:ilvl w:val="0"/>
                <w:numId w:val="14"/>
              </w:numPr>
              <w:rPr>
                <w:rStyle w:val="Pogrubienie"/>
                <w:b w:val="0"/>
              </w:rPr>
            </w:pPr>
            <w:r w:rsidRPr="00822F69">
              <w:rPr>
                <w:rStyle w:val="Pogrubienie"/>
                <w:b w:val="0"/>
              </w:rPr>
              <w:t>bank uniwersalny posiadający zezwolenie na emisję obligacji zabezpieczonych – np. Niemcy, Szwecja, Austria</w:t>
            </w:r>
            <w:r>
              <w:rPr>
                <w:rStyle w:val="Pogrubienie"/>
                <w:b w:val="0"/>
              </w:rPr>
              <w:t>,</w:t>
            </w:r>
          </w:p>
          <w:p w14:paraId="7133467A" w14:textId="77777777" w:rsidR="001024DD" w:rsidRPr="00822F69" w:rsidRDefault="001024DD" w:rsidP="000F70F7">
            <w:pPr>
              <w:pStyle w:val="Akapitzlist"/>
              <w:numPr>
                <w:ilvl w:val="0"/>
                <w:numId w:val="14"/>
              </w:numPr>
              <w:rPr>
                <w:rStyle w:val="Pogrubienie"/>
                <w:b w:val="0"/>
              </w:rPr>
            </w:pPr>
            <w:r w:rsidRPr="00822F69">
              <w:rPr>
                <w:rStyle w:val="Pogrubienie"/>
                <w:b w:val="0"/>
              </w:rPr>
              <w:t>bank uniwersalny, w stosunku do którego nie ma wymogu posiadania zezwolenia na emisję obligacji zabezpieczonych – np. Czechy, Hiszpania</w:t>
            </w:r>
            <w:r>
              <w:rPr>
                <w:rStyle w:val="Pogrubienie"/>
                <w:b w:val="0"/>
              </w:rPr>
              <w:t>,</w:t>
            </w:r>
          </w:p>
          <w:p w14:paraId="5723B03A" w14:textId="77777777" w:rsidR="001024DD" w:rsidRPr="00822F69" w:rsidRDefault="001024DD" w:rsidP="000F70F7">
            <w:pPr>
              <w:pStyle w:val="Akapitzlist"/>
              <w:numPr>
                <w:ilvl w:val="0"/>
                <w:numId w:val="14"/>
              </w:numPr>
              <w:rPr>
                <w:rStyle w:val="Pogrubienie"/>
                <w:b w:val="0"/>
              </w:rPr>
            </w:pPr>
            <w:r w:rsidRPr="00822F69">
              <w:rPr>
                <w:rStyle w:val="Pogrubienie"/>
                <w:b w:val="0"/>
              </w:rPr>
              <w:t>wyspecjalizowany podmiot (instytucja finansująca) – np. Francja, Norwegia</w:t>
            </w:r>
            <w:r>
              <w:rPr>
                <w:rStyle w:val="Pogrubienie"/>
                <w:b w:val="0"/>
              </w:rPr>
              <w:t>,</w:t>
            </w:r>
          </w:p>
          <w:p w14:paraId="0F2C8F4B" w14:textId="77777777" w:rsidR="001024DD" w:rsidRPr="00822F69" w:rsidRDefault="001024DD" w:rsidP="000F70F7">
            <w:pPr>
              <w:pStyle w:val="Akapitzlist"/>
              <w:numPr>
                <w:ilvl w:val="0"/>
                <w:numId w:val="14"/>
              </w:numPr>
              <w:rPr>
                <w:rStyle w:val="Pogrubienie"/>
                <w:b w:val="0"/>
              </w:rPr>
            </w:pPr>
            <w:r w:rsidRPr="00822F69">
              <w:rPr>
                <w:rStyle w:val="Pogrubienie"/>
                <w:b w:val="0"/>
              </w:rPr>
              <w:t>wyspecjalizowana instytucja kredytowa (bank hipoteczny) –</w:t>
            </w:r>
            <w:r>
              <w:rPr>
                <w:rStyle w:val="Pogrubienie"/>
                <w:b w:val="0"/>
              </w:rPr>
              <w:t xml:space="preserve"> </w:t>
            </w:r>
            <w:r w:rsidRPr="00822F69">
              <w:rPr>
                <w:rStyle w:val="Pogrubienie"/>
                <w:b w:val="0"/>
              </w:rPr>
              <w:t>np. Dania</w:t>
            </w:r>
            <w:r w:rsidRPr="008A38D4">
              <w:rPr>
                <w:rStyle w:val="Pogrubienie"/>
                <w:b w:val="0"/>
              </w:rPr>
              <w:t xml:space="preserve">, </w:t>
            </w:r>
            <w:r w:rsidRPr="003C0A58">
              <w:rPr>
                <w:rStyle w:val="Pogrubienie"/>
                <w:b w:val="0"/>
              </w:rPr>
              <w:t>Polska (listy zastawne)</w:t>
            </w:r>
            <w:r w:rsidRPr="00822F69">
              <w:rPr>
                <w:rStyle w:val="Pogrubienie"/>
                <w:b w:val="0"/>
              </w:rPr>
              <w:t>, Węgry, Luksemburg</w:t>
            </w:r>
            <w:r>
              <w:rPr>
                <w:rStyle w:val="Pogrubienie"/>
                <w:b w:val="0"/>
              </w:rPr>
              <w:t>,</w:t>
            </w:r>
          </w:p>
          <w:p w14:paraId="3B81EB24" w14:textId="77777777" w:rsidR="001024DD" w:rsidRDefault="001024DD" w:rsidP="000F70F7">
            <w:pPr>
              <w:pStyle w:val="Akapitzlist"/>
              <w:numPr>
                <w:ilvl w:val="0"/>
                <w:numId w:val="14"/>
              </w:numPr>
              <w:rPr>
                <w:rStyle w:val="Pogrubienie"/>
                <w:b w:val="0"/>
              </w:rPr>
            </w:pPr>
            <w:r w:rsidRPr="00822F69">
              <w:rPr>
                <w:rStyle w:val="Pogrubienie"/>
                <w:b w:val="0"/>
              </w:rPr>
              <w:t>spółka celowa (gwarantująca spłatę</w:t>
            </w:r>
            <w:r>
              <w:rPr>
                <w:rStyle w:val="Pogrubienie"/>
                <w:b w:val="0"/>
              </w:rPr>
              <w:t xml:space="preserve"> </w:t>
            </w:r>
            <w:r w:rsidRPr="00822F69">
              <w:rPr>
                <w:rStyle w:val="Pogrubienie"/>
                <w:b w:val="0"/>
              </w:rPr>
              <w:t xml:space="preserve">obligacji zabezpieczonych wyemitowanych przez </w:t>
            </w:r>
            <w:r>
              <w:rPr>
                <w:rStyle w:val="Pogrubienie"/>
                <w:b w:val="0"/>
              </w:rPr>
              <w:t>podmiot dominujący</w:t>
            </w:r>
            <w:r w:rsidRPr="00822F69">
              <w:rPr>
                <w:rStyle w:val="Pogrubienie"/>
                <w:b w:val="0"/>
              </w:rPr>
              <w:t>) – np. Holandia, Włochy</w:t>
            </w:r>
            <w:r>
              <w:rPr>
                <w:rStyle w:val="Pogrubienie"/>
                <w:b w:val="0"/>
              </w:rPr>
              <w:t>.</w:t>
            </w:r>
          </w:p>
          <w:p w14:paraId="02269514" w14:textId="77777777" w:rsidR="001024DD" w:rsidRPr="00222BCD" w:rsidRDefault="001024DD" w:rsidP="000F70F7">
            <w:pPr>
              <w:pStyle w:val="Akapitzlist"/>
              <w:ind w:left="717"/>
              <w:rPr>
                <w:rStyle w:val="Pogrubienie"/>
                <w:b w:val="0"/>
              </w:rPr>
            </w:pPr>
          </w:p>
          <w:p w14:paraId="1D31E14E" w14:textId="77777777" w:rsidR="001024DD" w:rsidRPr="00222BCD" w:rsidRDefault="001024DD" w:rsidP="000F70F7">
            <w:pPr>
              <w:rPr>
                <w:bCs/>
              </w:rPr>
            </w:pPr>
            <w:r w:rsidRPr="00822F69">
              <w:rPr>
                <w:lang w:eastAsia="pl-PL"/>
              </w:rPr>
              <w:t>W</w:t>
            </w:r>
            <w:r w:rsidRPr="00822F69">
              <w:t xml:space="preserve"> ramach poszczególnych modeli występują przy tym istotne różnice, dotyczące </w:t>
            </w:r>
            <w:r w:rsidRPr="00822F69">
              <w:rPr>
                <w:lang w:eastAsia="pl-PL"/>
              </w:rPr>
              <w:t xml:space="preserve">cech strukturalnych obligacji, zabezpieczenia ryzyka związanego z </w:t>
            </w:r>
            <w:r>
              <w:rPr>
                <w:lang w:eastAsia="pl-PL"/>
              </w:rPr>
              <w:t>programem emisji</w:t>
            </w:r>
            <w:r w:rsidRPr="00822F69">
              <w:rPr>
                <w:lang w:eastAsia="pl-PL"/>
              </w:rPr>
              <w:t>, nadzabezpieczenia</w:t>
            </w:r>
            <w:r>
              <w:rPr>
                <w:lang w:eastAsia="pl-PL"/>
              </w:rPr>
              <w:t>,</w:t>
            </w:r>
            <w:r w:rsidRPr="00822F69">
              <w:rPr>
                <w:lang w:eastAsia="pl-PL"/>
              </w:rPr>
              <w:t xml:space="preserve"> czy modelu nadzoru</w:t>
            </w:r>
            <w:r>
              <w:rPr>
                <w:lang w:eastAsia="pl-PL"/>
              </w:rPr>
              <w:t xml:space="preserve"> (</w:t>
            </w:r>
            <w:r w:rsidRPr="00822F69">
              <w:rPr>
                <w:lang w:eastAsia="pl-PL"/>
              </w:rPr>
              <w:t>np. na Węgrzech banki hipoteczne podlegają ogólnemu nadzorowi MNB, tj.</w:t>
            </w:r>
            <w:r>
              <w:rPr>
                <w:lang w:eastAsia="pl-PL"/>
              </w:rPr>
              <w:t xml:space="preserve"> Narodowego Banku Węgier, </w:t>
            </w:r>
            <w:r w:rsidRPr="00822F69">
              <w:rPr>
                <w:lang w:eastAsia="pl-PL"/>
              </w:rPr>
              <w:t xml:space="preserve">ale również nadzorowi HSFA, tj. </w:t>
            </w:r>
            <w:r w:rsidRPr="00222BCD">
              <w:rPr>
                <w:i/>
                <w:lang w:eastAsia="pl-PL"/>
              </w:rPr>
              <w:t>Hungarian Financial Supervision Authority</w:t>
            </w:r>
            <w:r w:rsidRPr="00822F69">
              <w:rPr>
                <w:lang w:eastAsia="pl-PL"/>
              </w:rPr>
              <w:t>, który odpowiada za monitorowanie puli jakości aktywów</w:t>
            </w:r>
            <w:r>
              <w:rPr>
                <w:lang w:eastAsia="pl-PL"/>
              </w:rPr>
              <w:t xml:space="preserve"> stanowiących zabezpieczenie)</w:t>
            </w:r>
            <w:r w:rsidRPr="00822F69">
              <w:rPr>
                <w:lang w:eastAsia="pl-PL"/>
              </w:rPr>
              <w:t>.</w:t>
            </w:r>
          </w:p>
          <w:p w14:paraId="1D9D3A4B" w14:textId="77777777" w:rsidR="001024DD" w:rsidRDefault="001024DD" w:rsidP="000F70F7">
            <w:pPr>
              <w:autoSpaceDE w:val="0"/>
              <w:autoSpaceDN w:val="0"/>
              <w:adjustRightInd w:val="0"/>
              <w:rPr>
                <w:color w:val="000000"/>
              </w:rPr>
            </w:pPr>
          </w:p>
          <w:p w14:paraId="33D20845" w14:textId="77777777" w:rsidR="001024DD" w:rsidRPr="00367FC5" w:rsidRDefault="001024DD" w:rsidP="000F70F7">
            <w:pPr>
              <w:rPr>
                <w:rStyle w:val="Pogrubienie"/>
                <w:b w:val="0"/>
                <w:i/>
                <w:sz w:val="20"/>
                <w:szCs w:val="20"/>
              </w:rPr>
            </w:pPr>
            <w:r w:rsidRPr="00367FC5">
              <w:rPr>
                <w:rStyle w:val="Pogrubienie"/>
                <w:b w:val="0"/>
                <w:i/>
                <w:sz w:val="20"/>
                <w:szCs w:val="20"/>
              </w:rPr>
              <w:t>Źródła danych:</w:t>
            </w:r>
          </w:p>
          <w:p w14:paraId="1B93FB50" w14:textId="77777777" w:rsidR="001024DD" w:rsidRPr="00367FC5" w:rsidRDefault="001024DD" w:rsidP="000F70F7">
            <w:pPr>
              <w:pStyle w:val="Akapitzlist"/>
              <w:numPr>
                <w:ilvl w:val="0"/>
                <w:numId w:val="15"/>
              </w:numPr>
              <w:ind w:left="360"/>
              <w:rPr>
                <w:bCs/>
                <w:sz w:val="20"/>
                <w:szCs w:val="20"/>
                <w:lang w:val="en-GB"/>
              </w:rPr>
            </w:pPr>
            <w:r w:rsidRPr="00367FC5">
              <w:rPr>
                <w:sz w:val="20"/>
                <w:szCs w:val="20"/>
                <w:lang w:val="en-GB"/>
              </w:rPr>
              <w:t xml:space="preserve">European Covered Bond Council, </w:t>
            </w:r>
            <w:r w:rsidRPr="00367FC5">
              <w:rPr>
                <w:i/>
                <w:sz w:val="20"/>
                <w:szCs w:val="20"/>
                <w:lang w:val="en-GB"/>
              </w:rPr>
              <w:t xml:space="preserve">European Coverd Bond Fact Book, </w:t>
            </w:r>
            <w:r w:rsidRPr="00367FC5">
              <w:rPr>
                <w:sz w:val="20"/>
                <w:szCs w:val="20"/>
                <w:lang w:val="en-GB"/>
              </w:rPr>
              <w:t>2019.</w:t>
            </w:r>
          </w:p>
          <w:p w14:paraId="171CE10A" w14:textId="77777777" w:rsidR="001024DD" w:rsidRPr="00367FC5" w:rsidRDefault="001024DD" w:rsidP="000F70F7">
            <w:pPr>
              <w:pStyle w:val="Akapitzlist"/>
              <w:numPr>
                <w:ilvl w:val="0"/>
                <w:numId w:val="15"/>
              </w:numPr>
              <w:ind w:left="360"/>
              <w:rPr>
                <w:bCs/>
                <w:sz w:val="20"/>
                <w:szCs w:val="20"/>
                <w:lang w:val="en-GB"/>
              </w:rPr>
            </w:pPr>
            <w:r w:rsidRPr="00367FC5">
              <w:rPr>
                <w:sz w:val="20"/>
                <w:szCs w:val="20"/>
                <w:lang w:val="en-GB"/>
              </w:rPr>
              <w:t xml:space="preserve">S&amp;P Global Ratings, </w:t>
            </w:r>
            <w:r w:rsidRPr="00367FC5">
              <w:rPr>
                <w:i/>
                <w:sz w:val="20"/>
                <w:szCs w:val="20"/>
                <w:lang w:val="en-GB"/>
              </w:rPr>
              <w:t xml:space="preserve">Global Covered Bond Insights, </w:t>
            </w:r>
            <w:r w:rsidRPr="00367FC5">
              <w:rPr>
                <w:sz w:val="20"/>
                <w:szCs w:val="20"/>
                <w:lang w:val="en-GB"/>
              </w:rPr>
              <w:t>2019.</w:t>
            </w:r>
          </w:p>
          <w:p w14:paraId="49F20038" w14:textId="77777777" w:rsidR="001024DD" w:rsidRPr="00367FC5" w:rsidRDefault="001024DD" w:rsidP="000F70F7">
            <w:pPr>
              <w:pStyle w:val="Akapitzlist"/>
              <w:numPr>
                <w:ilvl w:val="0"/>
                <w:numId w:val="15"/>
              </w:numPr>
              <w:ind w:left="360"/>
              <w:rPr>
                <w:rStyle w:val="tlid-translation"/>
                <w:bCs/>
                <w:sz w:val="20"/>
                <w:szCs w:val="20"/>
                <w:lang w:val="en-GB"/>
              </w:rPr>
            </w:pPr>
            <w:r w:rsidRPr="00367FC5">
              <w:rPr>
                <w:rStyle w:val="tlid-translation"/>
                <w:sz w:val="20"/>
                <w:szCs w:val="20"/>
                <w:lang w:val="en-GB"/>
              </w:rPr>
              <w:t xml:space="preserve">European Banking Authority, </w:t>
            </w:r>
            <w:r w:rsidRPr="00367FC5">
              <w:rPr>
                <w:rStyle w:val="tlid-translation"/>
                <w:i/>
                <w:sz w:val="20"/>
                <w:szCs w:val="20"/>
                <w:lang w:val="en-GB"/>
              </w:rPr>
              <w:t>Report on covered bonds recommendations on harmonisation of covered bond framework in the EU</w:t>
            </w:r>
            <w:r w:rsidRPr="00367FC5">
              <w:rPr>
                <w:rStyle w:val="tlid-translation"/>
                <w:sz w:val="20"/>
                <w:szCs w:val="20"/>
                <w:lang w:val="en-GB"/>
              </w:rPr>
              <w:t xml:space="preserve">, 2016. </w:t>
            </w:r>
          </w:p>
          <w:p w14:paraId="63FF3809" w14:textId="77777777" w:rsidR="001024DD" w:rsidRPr="00C94827" w:rsidRDefault="001024DD" w:rsidP="000F70F7">
            <w:pPr>
              <w:pStyle w:val="Akapitzlist"/>
              <w:numPr>
                <w:ilvl w:val="0"/>
                <w:numId w:val="15"/>
              </w:numPr>
              <w:ind w:left="360"/>
              <w:rPr>
                <w:bCs/>
                <w:sz w:val="20"/>
                <w:szCs w:val="20"/>
                <w:lang w:val="en-GB"/>
              </w:rPr>
            </w:pPr>
            <w:r w:rsidRPr="00367FC5">
              <w:rPr>
                <w:sz w:val="20"/>
                <w:szCs w:val="20"/>
                <w:lang w:val="en-GB"/>
              </w:rPr>
              <w:t xml:space="preserve">Commission Staff Working Document. Impact Assessment, </w:t>
            </w:r>
            <w:r w:rsidRPr="00367FC5">
              <w:rPr>
                <w:i/>
                <w:sz w:val="20"/>
                <w:szCs w:val="20"/>
                <w:lang w:val="en-GB"/>
              </w:rPr>
              <w:t>Accompanying the document, Proposal for a Directive of the Parli</w:t>
            </w:r>
            <w:r>
              <w:rPr>
                <w:i/>
                <w:sz w:val="20"/>
                <w:szCs w:val="20"/>
                <w:lang w:val="en-GB"/>
              </w:rPr>
              <w:t>a</w:t>
            </w:r>
            <w:r w:rsidRPr="00367FC5">
              <w:rPr>
                <w:i/>
                <w:sz w:val="20"/>
                <w:szCs w:val="20"/>
                <w:lang w:val="en-GB"/>
              </w:rPr>
              <w:t>ment and the Council on the issue of covered bond and public supervision and amending Directive 2009/65/EC and Directive 2014/59/EU and Proposal for a Regulation of the European Parli</w:t>
            </w:r>
            <w:r>
              <w:rPr>
                <w:i/>
                <w:sz w:val="20"/>
                <w:szCs w:val="20"/>
                <w:lang w:val="en-GB"/>
              </w:rPr>
              <w:t>a</w:t>
            </w:r>
            <w:r w:rsidRPr="00367FC5">
              <w:rPr>
                <w:i/>
                <w:sz w:val="20"/>
                <w:szCs w:val="20"/>
                <w:lang w:val="en-GB"/>
              </w:rPr>
              <w:t xml:space="preserve">ment and the Council on amending Regulation (EU) No 575/2013 as regard exposures in the form of covered bonds, </w:t>
            </w:r>
            <w:r w:rsidRPr="00367FC5">
              <w:rPr>
                <w:sz w:val="20"/>
                <w:szCs w:val="20"/>
                <w:lang w:val="en-GB"/>
              </w:rPr>
              <w:t xml:space="preserve">2016 r. </w:t>
            </w:r>
          </w:p>
          <w:p w14:paraId="5115AD5A" w14:textId="77777777" w:rsidR="001024DD" w:rsidRPr="00BE61BB" w:rsidRDefault="001024DD" w:rsidP="000F70F7">
            <w:pPr>
              <w:rPr>
                <w:b/>
                <w:lang w:val="en-GB"/>
              </w:rPr>
            </w:pPr>
          </w:p>
        </w:tc>
      </w:tr>
      <w:tr w:rsidR="001024DD" w:rsidRPr="00822F69" w14:paraId="1B95FFD0" w14:textId="77777777" w:rsidTr="000F70F7">
        <w:trPr>
          <w:gridAfter w:val="1"/>
          <w:wAfter w:w="10" w:type="dxa"/>
          <w:trHeight w:val="359"/>
        </w:trPr>
        <w:tc>
          <w:tcPr>
            <w:tcW w:w="10937" w:type="dxa"/>
            <w:gridSpan w:val="29"/>
            <w:shd w:val="clear" w:color="auto" w:fill="99CCFF"/>
            <w:vAlign w:val="center"/>
          </w:tcPr>
          <w:p w14:paraId="190979E5" w14:textId="77777777" w:rsidR="001024DD" w:rsidRPr="00822F69" w:rsidRDefault="001024DD" w:rsidP="000F70F7">
            <w:pPr>
              <w:spacing w:before="60" w:after="60"/>
              <w:rPr>
                <w:b/>
                <w:color w:val="000000"/>
              </w:rPr>
            </w:pPr>
            <w:r>
              <w:rPr>
                <w:b/>
              </w:rPr>
              <w:lastRenderedPageBreak/>
              <w:t xml:space="preserve">4. </w:t>
            </w:r>
            <w:r w:rsidRPr="00822F69">
              <w:rPr>
                <w:b/>
              </w:rPr>
              <w:t>Podmioty, na które oddziałuje projekt</w:t>
            </w:r>
          </w:p>
        </w:tc>
      </w:tr>
      <w:tr w:rsidR="001024DD" w:rsidRPr="00822F69" w14:paraId="58891AA4" w14:textId="77777777" w:rsidTr="000F70F7">
        <w:trPr>
          <w:gridAfter w:val="1"/>
          <w:wAfter w:w="10" w:type="dxa"/>
          <w:trHeight w:val="142"/>
        </w:trPr>
        <w:tc>
          <w:tcPr>
            <w:tcW w:w="2668" w:type="dxa"/>
            <w:gridSpan w:val="3"/>
          </w:tcPr>
          <w:p w14:paraId="64839C30" w14:textId="77777777" w:rsidR="001024DD" w:rsidRPr="00822F69" w:rsidRDefault="001024DD" w:rsidP="000F70F7">
            <w:pPr>
              <w:spacing w:before="40"/>
              <w:jc w:val="center"/>
              <w:rPr>
                <w:color w:val="000000"/>
                <w:spacing w:val="-2"/>
              </w:rPr>
            </w:pPr>
            <w:r w:rsidRPr="00822F69">
              <w:rPr>
                <w:color w:val="000000"/>
                <w:spacing w:val="-2"/>
              </w:rPr>
              <w:t>Grupa</w:t>
            </w:r>
          </w:p>
        </w:tc>
        <w:tc>
          <w:tcPr>
            <w:tcW w:w="2292" w:type="dxa"/>
            <w:gridSpan w:val="8"/>
          </w:tcPr>
          <w:p w14:paraId="280BBE2C" w14:textId="77777777" w:rsidR="001024DD" w:rsidRPr="00822F69" w:rsidRDefault="001024DD" w:rsidP="000F70F7">
            <w:pPr>
              <w:spacing w:before="40"/>
              <w:jc w:val="center"/>
              <w:rPr>
                <w:color w:val="000000"/>
                <w:spacing w:val="-2"/>
              </w:rPr>
            </w:pPr>
            <w:r w:rsidRPr="00822F69">
              <w:rPr>
                <w:color w:val="000000"/>
                <w:spacing w:val="-2"/>
              </w:rPr>
              <w:t>Wielkość</w:t>
            </w:r>
          </w:p>
        </w:tc>
        <w:tc>
          <w:tcPr>
            <w:tcW w:w="2996" w:type="dxa"/>
            <w:gridSpan w:val="12"/>
          </w:tcPr>
          <w:p w14:paraId="658B6491" w14:textId="77777777" w:rsidR="001024DD" w:rsidRPr="00822F69" w:rsidRDefault="001024DD" w:rsidP="000F70F7">
            <w:pPr>
              <w:spacing w:before="40"/>
              <w:jc w:val="center"/>
              <w:rPr>
                <w:color w:val="000000"/>
                <w:spacing w:val="-2"/>
              </w:rPr>
            </w:pPr>
            <w:r w:rsidRPr="00822F69">
              <w:rPr>
                <w:color w:val="000000"/>
                <w:spacing w:val="-2"/>
              </w:rPr>
              <w:t>Źródło danych</w:t>
            </w:r>
            <w:r w:rsidRPr="00822F69" w:rsidDel="00260F33">
              <w:rPr>
                <w:color w:val="000000"/>
                <w:spacing w:val="-2"/>
              </w:rPr>
              <w:t xml:space="preserve"> </w:t>
            </w:r>
          </w:p>
        </w:tc>
        <w:tc>
          <w:tcPr>
            <w:tcW w:w="2981" w:type="dxa"/>
            <w:gridSpan w:val="6"/>
          </w:tcPr>
          <w:p w14:paraId="2F9DEC90" w14:textId="77777777" w:rsidR="001024DD" w:rsidRPr="00822F69" w:rsidRDefault="001024DD" w:rsidP="000F70F7">
            <w:pPr>
              <w:spacing w:before="40"/>
              <w:jc w:val="center"/>
              <w:rPr>
                <w:color w:val="000000"/>
                <w:spacing w:val="-2"/>
              </w:rPr>
            </w:pPr>
            <w:r w:rsidRPr="00822F69">
              <w:rPr>
                <w:color w:val="000000"/>
                <w:spacing w:val="-2"/>
              </w:rPr>
              <w:t>Oddziaływanie</w:t>
            </w:r>
          </w:p>
        </w:tc>
      </w:tr>
      <w:tr w:rsidR="001024DD" w:rsidRPr="00822F69" w14:paraId="37F37615" w14:textId="77777777" w:rsidTr="000F70F7">
        <w:trPr>
          <w:gridAfter w:val="1"/>
          <w:wAfter w:w="10" w:type="dxa"/>
          <w:trHeight w:val="893"/>
        </w:trPr>
        <w:tc>
          <w:tcPr>
            <w:tcW w:w="2668" w:type="dxa"/>
            <w:gridSpan w:val="3"/>
          </w:tcPr>
          <w:p w14:paraId="1ECFE69D" w14:textId="77777777" w:rsidR="001024DD" w:rsidRPr="00822F69" w:rsidRDefault="001024DD" w:rsidP="000F70F7">
            <w:pPr>
              <w:spacing w:before="40"/>
              <w:jc w:val="center"/>
              <w:rPr>
                <w:rStyle w:val="Hipercze"/>
                <w:color w:val="000000"/>
                <w:spacing w:val="-2"/>
                <w:u w:val="none"/>
              </w:rPr>
            </w:pPr>
            <w:r w:rsidRPr="00822F69">
              <w:rPr>
                <w:rStyle w:val="Hipercze"/>
                <w:color w:val="000000" w:themeColor="text1"/>
                <w:spacing w:val="-2"/>
                <w:u w:val="none"/>
              </w:rPr>
              <w:t>Banki hipoteczne w formie spółek akcyjnych</w:t>
            </w:r>
          </w:p>
        </w:tc>
        <w:tc>
          <w:tcPr>
            <w:tcW w:w="2292" w:type="dxa"/>
            <w:gridSpan w:val="8"/>
          </w:tcPr>
          <w:p w14:paraId="28CED121" w14:textId="77777777" w:rsidR="001024DD" w:rsidRPr="00822F69" w:rsidRDefault="001024DD" w:rsidP="000F70F7">
            <w:pPr>
              <w:spacing w:before="40"/>
              <w:jc w:val="center"/>
              <w:rPr>
                <w:color w:val="000000"/>
                <w:spacing w:val="-2"/>
              </w:rPr>
            </w:pPr>
            <w:r w:rsidRPr="00822F69">
              <w:rPr>
                <w:color w:val="000000"/>
                <w:spacing w:val="-2"/>
              </w:rPr>
              <w:t>4</w:t>
            </w:r>
          </w:p>
        </w:tc>
        <w:tc>
          <w:tcPr>
            <w:tcW w:w="2996" w:type="dxa"/>
            <w:gridSpan w:val="12"/>
          </w:tcPr>
          <w:p w14:paraId="2139AC64" w14:textId="77777777" w:rsidR="001024DD" w:rsidRDefault="001024DD" w:rsidP="000F70F7">
            <w:pPr>
              <w:spacing w:before="40"/>
              <w:jc w:val="center"/>
              <w:rPr>
                <w:color w:val="000000"/>
                <w:spacing w:val="-2"/>
              </w:rPr>
            </w:pPr>
            <w:r w:rsidRPr="00822F69">
              <w:rPr>
                <w:color w:val="000000"/>
                <w:spacing w:val="-2"/>
              </w:rPr>
              <w:t>Rejestr podmiotów sektora bankowego KNF</w:t>
            </w:r>
            <w:r>
              <w:rPr>
                <w:color w:val="000000"/>
                <w:spacing w:val="-2"/>
              </w:rPr>
              <w:t xml:space="preserve"> </w:t>
            </w:r>
          </w:p>
          <w:p w14:paraId="3C974428" w14:textId="77777777" w:rsidR="001024DD" w:rsidRPr="00822F69" w:rsidRDefault="001024DD" w:rsidP="000F70F7">
            <w:pPr>
              <w:spacing w:before="40"/>
              <w:jc w:val="center"/>
              <w:rPr>
                <w:color w:val="000000"/>
                <w:spacing w:val="-2"/>
              </w:rPr>
            </w:pPr>
            <w:r>
              <w:rPr>
                <w:color w:val="000000"/>
                <w:spacing w:val="-2"/>
              </w:rPr>
              <w:t>(stan na 3.11</w:t>
            </w:r>
            <w:r w:rsidRPr="00822F69">
              <w:rPr>
                <w:color w:val="000000"/>
                <w:spacing w:val="-2"/>
              </w:rPr>
              <w:t>.2020 r.)</w:t>
            </w:r>
          </w:p>
        </w:tc>
        <w:tc>
          <w:tcPr>
            <w:tcW w:w="2981" w:type="dxa"/>
            <w:gridSpan w:val="6"/>
          </w:tcPr>
          <w:p w14:paraId="121E857B" w14:textId="77777777" w:rsidR="001024DD" w:rsidRPr="00822F69" w:rsidRDefault="001024DD" w:rsidP="000F70F7">
            <w:pPr>
              <w:spacing w:before="40"/>
              <w:jc w:val="center"/>
              <w:rPr>
                <w:color w:val="000000"/>
                <w:spacing w:val="-2"/>
              </w:rPr>
            </w:pPr>
            <w:r>
              <w:rPr>
                <w:color w:val="000000"/>
                <w:spacing w:val="-2"/>
              </w:rPr>
              <w:t>S</w:t>
            </w:r>
            <w:r w:rsidRPr="00822F69">
              <w:rPr>
                <w:color w:val="000000"/>
                <w:spacing w:val="-2"/>
              </w:rPr>
              <w:t>tosowanie nowych rozw</w:t>
            </w:r>
            <w:r>
              <w:rPr>
                <w:color w:val="000000"/>
                <w:spacing w:val="-2"/>
              </w:rPr>
              <w:t>iązań na zasadach określonych w </w:t>
            </w:r>
            <w:r w:rsidRPr="00822F69">
              <w:rPr>
                <w:color w:val="000000"/>
                <w:spacing w:val="-2"/>
              </w:rPr>
              <w:t>ustawie</w:t>
            </w:r>
          </w:p>
        </w:tc>
      </w:tr>
      <w:tr w:rsidR="001024DD" w:rsidRPr="00822F69" w14:paraId="30A69D04" w14:textId="77777777" w:rsidTr="000F70F7">
        <w:trPr>
          <w:gridAfter w:val="1"/>
          <w:wAfter w:w="10" w:type="dxa"/>
          <w:trHeight w:val="979"/>
        </w:trPr>
        <w:tc>
          <w:tcPr>
            <w:tcW w:w="2668" w:type="dxa"/>
            <w:gridSpan w:val="3"/>
          </w:tcPr>
          <w:p w14:paraId="1205D887" w14:textId="77777777" w:rsidR="001024DD" w:rsidRPr="00822F69" w:rsidRDefault="001024DD" w:rsidP="000F70F7">
            <w:pPr>
              <w:spacing w:before="40"/>
              <w:jc w:val="center"/>
              <w:rPr>
                <w:rStyle w:val="Hipercze"/>
                <w:color w:val="000000" w:themeColor="text1"/>
                <w:spacing w:val="-2"/>
                <w:u w:val="none"/>
              </w:rPr>
            </w:pPr>
            <w:r w:rsidRPr="00822F69">
              <w:rPr>
                <w:rStyle w:val="Hipercze"/>
                <w:color w:val="000000" w:themeColor="text1"/>
                <w:spacing w:val="-2"/>
                <w:u w:val="none"/>
              </w:rPr>
              <w:t>Banki w formie spółek akcyjnych (pozostałe)</w:t>
            </w:r>
          </w:p>
        </w:tc>
        <w:tc>
          <w:tcPr>
            <w:tcW w:w="2292" w:type="dxa"/>
            <w:gridSpan w:val="8"/>
          </w:tcPr>
          <w:p w14:paraId="05505ECE" w14:textId="77777777" w:rsidR="001024DD" w:rsidRPr="00822F69" w:rsidRDefault="001024DD" w:rsidP="000F70F7">
            <w:pPr>
              <w:spacing w:before="40"/>
              <w:jc w:val="center"/>
              <w:rPr>
                <w:color w:val="000000"/>
                <w:spacing w:val="-2"/>
              </w:rPr>
            </w:pPr>
            <w:r w:rsidRPr="00822F69">
              <w:rPr>
                <w:color w:val="000000"/>
                <w:spacing w:val="-2"/>
              </w:rPr>
              <w:t>26</w:t>
            </w:r>
          </w:p>
        </w:tc>
        <w:tc>
          <w:tcPr>
            <w:tcW w:w="2996" w:type="dxa"/>
            <w:gridSpan w:val="12"/>
          </w:tcPr>
          <w:p w14:paraId="7751BB4E" w14:textId="77777777" w:rsidR="001024DD" w:rsidRPr="00822F69" w:rsidRDefault="001024DD" w:rsidP="000F70F7">
            <w:pPr>
              <w:spacing w:before="40"/>
              <w:jc w:val="center"/>
              <w:rPr>
                <w:color w:val="000000"/>
                <w:spacing w:val="-2"/>
              </w:rPr>
            </w:pPr>
            <w:r w:rsidRPr="00822F69">
              <w:rPr>
                <w:color w:val="000000"/>
                <w:spacing w:val="-2"/>
              </w:rPr>
              <w:t>Rejestr podmiotów sektora bankowego KNF</w:t>
            </w:r>
          </w:p>
          <w:p w14:paraId="158BA190" w14:textId="77777777" w:rsidR="001024DD" w:rsidRPr="00822F69" w:rsidRDefault="001024DD" w:rsidP="000F70F7">
            <w:pPr>
              <w:spacing w:before="40"/>
              <w:jc w:val="center"/>
              <w:rPr>
                <w:color w:val="000000"/>
                <w:spacing w:val="-2"/>
              </w:rPr>
            </w:pPr>
            <w:r>
              <w:rPr>
                <w:color w:val="000000"/>
                <w:spacing w:val="-2"/>
              </w:rPr>
              <w:t>(stan na 3.11</w:t>
            </w:r>
            <w:r w:rsidRPr="00822F69">
              <w:rPr>
                <w:color w:val="000000"/>
                <w:spacing w:val="-2"/>
              </w:rPr>
              <w:t>.2020 r.)</w:t>
            </w:r>
          </w:p>
        </w:tc>
        <w:tc>
          <w:tcPr>
            <w:tcW w:w="2981" w:type="dxa"/>
            <w:gridSpan w:val="6"/>
          </w:tcPr>
          <w:p w14:paraId="28C1DF77" w14:textId="77777777" w:rsidR="001024DD" w:rsidRPr="00822F69" w:rsidRDefault="001024DD" w:rsidP="000F70F7">
            <w:pPr>
              <w:spacing w:before="40"/>
              <w:jc w:val="center"/>
              <w:rPr>
                <w:color w:val="000000"/>
                <w:spacing w:val="-2"/>
              </w:rPr>
            </w:pPr>
            <w:r w:rsidRPr="00822F69">
              <w:t xml:space="preserve">Wzmocnienie potencjału banków w zakresie finansowania gospodarki </w:t>
            </w:r>
          </w:p>
        </w:tc>
      </w:tr>
      <w:tr w:rsidR="001024DD" w:rsidRPr="00822F69" w14:paraId="36C2B703" w14:textId="77777777" w:rsidTr="000F70F7">
        <w:trPr>
          <w:gridAfter w:val="1"/>
          <w:wAfter w:w="10" w:type="dxa"/>
          <w:trHeight w:val="142"/>
        </w:trPr>
        <w:tc>
          <w:tcPr>
            <w:tcW w:w="2668" w:type="dxa"/>
            <w:gridSpan w:val="3"/>
          </w:tcPr>
          <w:p w14:paraId="02E2728E" w14:textId="77777777" w:rsidR="001024DD" w:rsidRPr="00822F69" w:rsidRDefault="001024DD" w:rsidP="000F70F7">
            <w:pPr>
              <w:jc w:val="center"/>
              <w:rPr>
                <w:color w:val="000000"/>
              </w:rPr>
            </w:pPr>
            <w:r w:rsidRPr="00822F69">
              <w:t>Komisja Nadzoru Finansowego</w:t>
            </w:r>
          </w:p>
          <w:p w14:paraId="44516BBB" w14:textId="77777777" w:rsidR="001024DD" w:rsidRPr="00822F69" w:rsidRDefault="001024DD" w:rsidP="000F70F7">
            <w:pPr>
              <w:spacing w:before="40"/>
              <w:jc w:val="center"/>
              <w:rPr>
                <w:color w:val="000000"/>
                <w:spacing w:val="-2"/>
              </w:rPr>
            </w:pPr>
          </w:p>
        </w:tc>
        <w:tc>
          <w:tcPr>
            <w:tcW w:w="2292" w:type="dxa"/>
            <w:gridSpan w:val="8"/>
          </w:tcPr>
          <w:p w14:paraId="029EBCFB" w14:textId="77777777" w:rsidR="001024DD" w:rsidRPr="00822F69" w:rsidRDefault="001024DD" w:rsidP="000F70F7">
            <w:pPr>
              <w:spacing w:before="40"/>
              <w:jc w:val="center"/>
              <w:rPr>
                <w:color w:val="000000"/>
                <w:spacing w:val="-2"/>
              </w:rPr>
            </w:pPr>
            <w:r w:rsidRPr="00822F69">
              <w:rPr>
                <w:color w:val="000000"/>
                <w:spacing w:val="-2"/>
              </w:rPr>
              <w:t>1</w:t>
            </w:r>
          </w:p>
        </w:tc>
        <w:tc>
          <w:tcPr>
            <w:tcW w:w="2996" w:type="dxa"/>
            <w:gridSpan w:val="12"/>
          </w:tcPr>
          <w:p w14:paraId="1EC49DB6" w14:textId="77777777" w:rsidR="001024DD" w:rsidRPr="00822F69" w:rsidRDefault="001024DD" w:rsidP="000F70F7">
            <w:pPr>
              <w:spacing w:before="40"/>
              <w:jc w:val="center"/>
              <w:rPr>
                <w:color w:val="000000"/>
                <w:spacing w:val="-2"/>
              </w:rPr>
            </w:pPr>
            <w:r w:rsidRPr="00822F69">
              <w:rPr>
                <w:bCs/>
                <w:color w:val="000000"/>
              </w:rPr>
              <w:t>Ustawa z dnia 21 lipca 2006 r. o nadzorze nad rynkiem finansowym</w:t>
            </w:r>
          </w:p>
        </w:tc>
        <w:tc>
          <w:tcPr>
            <w:tcW w:w="2981" w:type="dxa"/>
            <w:gridSpan w:val="6"/>
          </w:tcPr>
          <w:p w14:paraId="77E30F41" w14:textId="77777777" w:rsidR="001024DD" w:rsidRPr="00822F69" w:rsidRDefault="001024DD" w:rsidP="000F70F7">
            <w:pPr>
              <w:jc w:val="center"/>
              <w:rPr>
                <w:rStyle w:val="Ppogrubienie"/>
                <w:b w:val="0"/>
              </w:rPr>
            </w:pPr>
            <w:r>
              <w:rPr>
                <w:rStyle w:val="Ppogrubienie"/>
                <w:b w:val="0"/>
              </w:rPr>
              <w:t>R</w:t>
            </w:r>
            <w:r w:rsidRPr="00822F69">
              <w:rPr>
                <w:rStyle w:val="Ppogrubienie"/>
                <w:b w:val="0"/>
              </w:rPr>
              <w:t xml:space="preserve">ozszerzenie nadzoru </w:t>
            </w:r>
            <w:r>
              <w:rPr>
                <w:rStyle w:val="Ppogrubienie"/>
                <w:b w:val="0"/>
              </w:rPr>
              <w:t>nad wykonywaniem działalności w </w:t>
            </w:r>
            <w:r w:rsidRPr="00822F69">
              <w:rPr>
                <w:rStyle w:val="Ppogrubienie"/>
                <w:b w:val="0"/>
              </w:rPr>
              <w:t>zakresie emisji listów zastawnych oraz spełnianiem przez banki</w:t>
            </w:r>
            <w:r>
              <w:rPr>
                <w:rStyle w:val="Ppogrubienie"/>
                <w:b w:val="0"/>
              </w:rPr>
              <w:t xml:space="preserve"> hipoteczne wymogów ustawowych</w:t>
            </w:r>
          </w:p>
          <w:p w14:paraId="5CCD3409" w14:textId="77777777" w:rsidR="001024DD" w:rsidRPr="00822F69" w:rsidRDefault="001024DD" w:rsidP="000F70F7">
            <w:pPr>
              <w:jc w:val="center"/>
              <w:rPr>
                <w:b/>
                <w:color w:val="000000"/>
                <w:spacing w:val="-2"/>
              </w:rPr>
            </w:pPr>
          </w:p>
          <w:p w14:paraId="47522E30" w14:textId="77777777" w:rsidR="001024DD" w:rsidRPr="00822F69" w:rsidRDefault="001024DD" w:rsidP="000F70F7">
            <w:pPr>
              <w:jc w:val="center"/>
              <w:rPr>
                <w:color w:val="000000"/>
                <w:spacing w:val="-2"/>
              </w:rPr>
            </w:pPr>
            <w:r>
              <w:rPr>
                <w:color w:val="000000"/>
                <w:spacing w:val="-2"/>
              </w:rPr>
              <w:t>U</w:t>
            </w:r>
            <w:r w:rsidRPr="00822F69">
              <w:rPr>
                <w:color w:val="000000"/>
                <w:spacing w:val="-2"/>
              </w:rPr>
              <w:t>dzielanie zezwoleń na program emisji listów zastawnych</w:t>
            </w:r>
          </w:p>
        </w:tc>
      </w:tr>
      <w:tr w:rsidR="001024DD" w:rsidRPr="00822F69" w14:paraId="61AF82C2" w14:textId="77777777" w:rsidTr="000F70F7">
        <w:trPr>
          <w:gridAfter w:val="1"/>
          <w:wAfter w:w="10" w:type="dxa"/>
          <w:trHeight w:val="142"/>
        </w:trPr>
        <w:tc>
          <w:tcPr>
            <w:tcW w:w="2668" w:type="dxa"/>
            <w:gridSpan w:val="3"/>
          </w:tcPr>
          <w:p w14:paraId="66F3C42E" w14:textId="77777777" w:rsidR="001024DD" w:rsidRPr="00822F69" w:rsidRDefault="001024DD" w:rsidP="000F70F7">
            <w:pPr>
              <w:tabs>
                <w:tab w:val="left" w:pos="1560"/>
              </w:tabs>
              <w:spacing w:before="40"/>
              <w:jc w:val="center"/>
              <w:rPr>
                <w:color w:val="000000"/>
              </w:rPr>
            </w:pPr>
            <w:r w:rsidRPr="00822F69">
              <w:t>Towarzystwa funduszy inwestycyjnych</w:t>
            </w:r>
          </w:p>
        </w:tc>
        <w:tc>
          <w:tcPr>
            <w:tcW w:w="2292" w:type="dxa"/>
            <w:gridSpan w:val="8"/>
            <w:vAlign w:val="center"/>
          </w:tcPr>
          <w:p w14:paraId="30BA0D9A" w14:textId="77777777" w:rsidR="001024DD" w:rsidRPr="00822F69" w:rsidRDefault="001024DD" w:rsidP="000F70F7">
            <w:pPr>
              <w:spacing w:before="40"/>
              <w:jc w:val="center"/>
              <w:rPr>
                <w:color w:val="000000"/>
                <w:spacing w:val="-2"/>
              </w:rPr>
            </w:pPr>
            <w:r w:rsidRPr="00822F69">
              <w:rPr>
                <w:color w:val="000000"/>
                <w:spacing w:val="-2"/>
              </w:rPr>
              <w:t>65</w:t>
            </w:r>
          </w:p>
        </w:tc>
        <w:tc>
          <w:tcPr>
            <w:tcW w:w="2996" w:type="dxa"/>
            <w:gridSpan w:val="12"/>
          </w:tcPr>
          <w:p w14:paraId="6CA88E35" w14:textId="77777777" w:rsidR="001024DD" w:rsidRDefault="001024DD" w:rsidP="000F70F7">
            <w:pPr>
              <w:spacing w:before="40"/>
              <w:jc w:val="center"/>
              <w:rPr>
                <w:color w:val="000000"/>
                <w:spacing w:val="-2"/>
              </w:rPr>
            </w:pPr>
            <w:r w:rsidRPr="00822F69">
              <w:rPr>
                <w:color w:val="000000"/>
                <w:spacing w:val="-2"/>
              </w:rPr>
              <w:t>Rejestr towarzystw f</w:t>
            </w:r>
            <w:r>
              <w:rPr>
                <w:color w:val="000000"/>
                <w:spacing w:val="-2"/>
              </w:rPr>
              <w:t>unduszy inwestycyjnych</w:t>
            </w:r>
          </w:p>
          <w:p w14:paraId="1964691D" w14:textId="77777777" w:rsidR="001024DD" w:rsidRPr="00822F69" w:rsidRDefault="001024DD" w:rsidP="000F70F7">
            <w:pPr>
              <w:spacing w:before="40"/>
              <w:rPr>
                <w:color w:val="000000"/>
                <w:spacing w:val="-2"/>
              </w:rPr>
            </w:pPr>
            <w:r w:rsidRPr="00822F69">
              <w:rPr>
                <w:color w:val="000000"/>
                <w:spacing w:val="-2"/>
              </w:rPr>
              <w:t xml:space="preserve">KNF (stan na </w:t>
            </w:r>
            <w:r>
              <w:rPr>
                <w:color w:val="000000"/>
                <w:spacing w:val="-2"/>
              </w:rPr>
              <w:t>dzień 3.11</w:t>
            </w:r>
            <w:r w:rsidRPr="00822F69">
              <w:rPr>
                <w:color w:val="000000"/>
                <w:spacing w:val="-2"/>
              </w:rPr>
              <w:t>.2020 r.)</w:t>
            </w:r>
          </w:p>
        </w:tc>
        <w:tc>
          <w:tcPr>
            <w:tcW w:w="2981" w:type="dxa"/>
            <w:gridSpan w:val="6"/>
          </w:tcPr>
          <w:p w14:paraId="3C2139B4" w14:textId="77777777" w:rsidR="001024DD" w:rsidRPr="00822F69" w:rsidRDefault="001024DD" w:rsidP="000F70F7">
            <w:pPr>
              <w:spacing w:before="40"/>
              <w:jc w:val="center"/>
              <w:rPr>
                <w:b/>
                <w:color w:val="000000"/>
                <w:spacing w:val="-2"/>
              </w:rPr>
            </w:pPr>
            <w:r w:rsidRPr="00822F69">
              <w:rPr>
                <w:color w:val="000000"/>
                <w:spacing w:val="-2"/>
              </w:rPr>
              <w:t>Zwiększenie atrakcyjności listów zastawnych oraz zwiększenie możliwoś</w:t>
            </w:r>
            <w:r>
              <w:rPr>
                <w:color w:val="000000"/>
                <w:spacing w:val="-2"/>
              </w:rPr>
              <w:t>ci</w:t>
            </w:r>
            <w:r w:rsidRPr="00822F69">
              <w:rPr>
                <w:color w:val="000000"/>
                <w:spacing w:val="-2"/>
              </w:rPr>
              <w:t xml:space="preserve"> inwestowania.</w:t>
            </w:r>
          </w:p>
        </w:tc>
      </w:tr>
      <w:tr w:rsidR="001024DD" w:rsidRPr="00822F69" w14:paraId="74ACC47E" w14:textId="77777777" w:rsidTr="000F70F7">
        <w:trPr>
          <w:gridAfter w:val="1"/>
          <w:wAfter w:w="10" w:type="dxa"/>
          <w:trHeight w:val="1215"/>
        </w:trPr>
        <w:tc>
          <w:tcPr>
            <w:tcW w:w="2668" w:type="dxa"/>
            <w:gridSpan w:val="3"/>
          </w:tcPr>
          <w:p w14:paraId="25383A8C" w14:textId="77777777" w:rsidR="001024DD" w:rsidRPr="00822F69" w:rsidRDefault="001024DD" w:rsidP="000F70F7">
            <w:pPr>
              <w:tabs>
                <w:tab w:val="left" w:pos="1560"/>
              </w:tabs>
              <w:spacing w:before="40"/>
              <w:jc w:val="center"/>
              <w:rPr>
                <w:color w:val="000000"/>
              </w:rPr>
            </w:pPr>
            <w:r w:rsidRPr="00822F69">
              <w:rPr>
                <w:color w:val="000000"/>
              </w:rPr>
              <w:t>Zakłady ubezpieczeń</w:t>
            </w:r>
          </w:p>
        </w:tc>
        <w:tc>
          <w:tcPr>
            <w:tcW w:w="2292" w:type="dxa"/>
            <w:gridSpan w:val="8"/>
            <w:vAlign w:val="center"/>
          </w:tcPr>
          <w:p w14:paraId="792AE02D" w14:textId="77777777" w:rsidR="001024DD" w:rsidRPr="00822F69" w:rsidRDefault="001024DD" w:rsidP="000F70F7">
            <w:pPr>
              <w:spacing w:before="40"/>
              <w:jc w:val="center"/>
              <w:rPr>
                <w:color w:val="000000"/>
                <w:spacing w:val="-2"/>
              </w:rPr>
            </w:pPr>
            <w:r w:rsidRPr="00822F69">
              <w:rPr>
                <w:color w:val="000000"/>
                <w:spacing w:val="-2"/>
              </w:rPr>
              <w:t>25</w:t>
            </w:r>
          </w:p>
        </w:tc>
        <w:tc>
          <w:tcPr>
            <w:tcW w:w="2996" w:type="dxa"/>
            <w:gridSpan w:val="12"/>
          </w:tcPr>
          <w:p w14:paraId="7CE71DF2" w14:textId="77777777" w:rsidR="001024DD" w:rsidRDefault="001024DD" w:rsidP="000F70F7">
            <w:pPr>
              <w:spacing w:before="40"/>
              <w:jc w:val="center"/>
              <w:rPr>
                <w:color w:val="000000"/>
                <w:spacing w:val="-2"/>
              </w:rPr>
            </w:pPr>
            <w:r w:rsidRPr="00822F69">
              <w:rPr>
                <w:color w:val="000000"/>
                <w:spacing w:val="-2"/>
              </w:rPr>
              <w:t xml:space="preserve">Rejestr zakładów ubezpieczeń działu I (ubezpieczenia na życie) </w:t>
            </w:r>
          </w:p>
          <w:p w14:paraId="4974DA01" w14:textId="77777777" w:rsidR="001024DD" w:rsidRPr="00822F69" w:rsidRDefault="001024DD" w:rsidP="000F70F7">
            <w:pPr>
              <w:spacing w:before="40"/>
              <w:rPr>
                <w:color w:val="000000"/>
                <w:spacing w:val="-2"/>
              </w:rPr>
            </w:pPr>
            <w:r w:rsidRPr="00822F69">
              <w:rPr>
                <w:color w:val="000000"/>
                <w:spacing w:val="-2"/>
              </w:rPr>
              <w:t xml:space="preserve">KNF (stan na dzień </w:t>
            </w:r>
            <w:r>
              <w:rPr>
                <w:color w:val="000000"/>
                <w:spacing w:val="-2"/>
              </w:rPr>
              <w:t>3</w:t>
            </w:r>
            <w:r w:rsidRPr="00822F69">
              <w:rPr>
                <w:color w:val="000000"/>
                <w:spacing w:val="-2"/>
              </w:rPr>
              <w:t>.1</w:t>
            </w:r>
            <w:r>
              <w:rPr>
                <w:color w:val="000000"/>
                <w:spacing w:val="-2"/>
              </w:rPr>
              <w:t>1</w:t>
            </w:r>
            <w:r w:rsidRPr="00822F69">
              <w:rPr>
                <w:color w:val="000000"/>
                <w:spacing w:val="-2"/>
              </w:rPr>
              <w:t>.2020 r.)</w:t>
            </w:r>
          </w:p>
        </w:tc>
        <w:tc>
          <w:tcPr>
            <w:tcW w:w="2981" w:type="dxa"/>
            <w:gridSpan w:val="6"/>
          </w:tcPr>
          <w:p w14:paraId="22DC3367" w14:textId="77777777" w:rsidR="001024DD" w:rsidRPr="00822F69" w:rsidRDefault="001024DD" w:rsidP="000F70F7">
            <w:pPr>
              <w:spacing w:before="40"/>
              <w:jc w:val="center"/>
              <w:rPr>
                <w:color w:val="000000"/>
                <w:spacing w:val="-2"/>
              </w:rPr>
            </w:pPr>
            <w:r w:rsidRPr="00822F69">
              <w:rPr>
                <w:color w:val="000000"/>
                <w:spacing w:val="-2"/>
              </w:rPr>
              <w:t>Zwiększenie atrakcyjności polskich listów zastawnych oraz zwiększenie możliwoś</w:t>
            </w:r>
            <w:r>
              <w:rPr>
                <w:color w:val="000000"/>
                <w:spacing w:val="-2"/>
              </w:rPr>
              <w:t>ci</w:t>
            </w:r>
            <w:r w:rsidRPr="00822F69">
              <w:rPr>
                <w:color w:val="000000"/>
                <w:spacing w:val="-2"/>
              </w:rPr>
              <w:t xml:space="preserve"> inwestowania.</w:t>
            </w:r>
          </w:p>
        </w:tc>
      </w:tr>
      <w:tr w:rsidR="001024DD" w:rsidRPr="00822F69" w14:paraId="332AD6CD" w14:textId="77777777" w:rsidTr="000F70F7">
        <w:trPr>
          <w:gridAfter w:val="1"/>
          <w:wAfter w:w="10" w:type="dxa"/>
          <w:trHeight w:val="142"/>
        </w:trPr>
        <w:tc>
          <w:tcPr>
            <w:tcW w:w="2668" w:type="dxa"/>
            <w:gridSpan w:val="3"/>
          </w:tcPr>
          <w:p w14:paraId="22FAF9F4" w14:textId="77777777" w:rsidR="001024DD" w:rsidRPr="00822F69" w:rsidRDefault="001024DD" w:rsidP="000F70F7">
            <w:pPr>
              <w:tabs>
                <w:tab w:val="left" w:pos="1560"/>
              </w:tabs>
              <w:spacing w:before="40"/>
              <w:jc w:val="center"/>
              <w:rPr>
                <w:color w:val="000000"/>
              </w:rPr>
            </w:pPr>
            <w:r>
              <w:rPr>
                <w:color w:val="000000"/>
              </w:rPr>
              <w:t>Domy maklerskie</w:t>
            </w:r>
          </w:p>
        </w:tc>
        <w:tc>
          <w:tcPr>
            <w:tcW w:w="2292" w:type="dxa"/>
            <w:gridSpan w:val="8"/>
            <w:vAlign w:val="center"/>
          </w:tcPr>
          <w:p w14:paraId="1153D9F0" w14:textId="77777777" w:rsidR="001024DD" w:rsidRPr="00822F69" w:rsidRDefault="001024DD" w:rsidP="000F70F7">
            <w:pPr>
              <w:spacing w:before="40"/>
              <w:jc w:val="center"/>
              <w:rPr>
                <w:color w:val="000000"/>
                <w:spacing w:val="-2"/>
              </w:rPr>
            </w:pPr>
            <w:r>
              <w:rPr>
                <w:color w:val="000000"/>
                <w:spacing w:val="-2"/>
              </w:rPr>
              <w:t>21</w:t>
            </w:r>
          </w:p>
        </w:tc>
        <w:tc>
          <w:tcPr>
            <w:tcW w:w="2996" w:type="dxa"/>
            <w:gridSpan w:val="12"/>
          </w:tcPr>
          <w:p w14:paraId="58DC8CED" w14:textId="77777777" w:rsidR="001024DD" w:rsidRDefault="001024DD" w:rsidP="000F70F7">
            <w:pPr>
              <w:spacing w:before="40"/>
              <w:jc w:val="center"/>
              <w:rPr>
                <w:color w:val="000000"/>
                <w:spacing w:val="-2"/>
              </w:rPr>
            </w:pPr>
            <w:r>
              <w:rPr>
                <w:color w:val="000000"/>
                <w:spacing w:val="-2"/>
              </w:rPr>
              <w:t>Rejestr domów maklerskich</w:t>
            </w:r>
          </w:p>
          <w:p w14:paraId="2017378B" w14:textId="77777777" w:rsidR="001024DD" w:rsidRPr="00822F69" w:rsidRDefault="001024DD" w:rsidP="000F70F7">
            <w:pPr>
              <w:spacing w:before="40"/>
              <w:rPr>
                <w:color w:val="000000"/>
                <w:spacing w:val="-2"/>
              </w:rPr>
            </w:pPr>
            <w:r>
              <w:rPr>
                <w:color w:val="000000"/>
                <w:spacing w:val="-2"/>
              </w:rPr>
              <w:t>KNF (stan na dzień 3.11.2020 r.)</w:t>
            </w:r>
          </w:p>
        </w:tc>
        <w:tc>
          <w:tcPr>
            <w:tcW w:w="2981" w:type="dxa"/>
            <w:gridSpan w:val="6"/>
          </w:tcPr>
          <w:p w14:paraId="35BA8200" w14:textId="77777777" w:rsidR="001024DD" w:rsidRDefault="001024DD" w:rsidP="000F70F7">
            <w:pPr>
              <w:spacing w:before="40"/>
              <w:jc w:val="center"/>
              <w:rPr>
                <w:color w:val="000000"/>
                <w:spacing w:val="-2"/>
              </w:rPr>
            </w:pPr>
            <w:r w:rsidRPr="00822F69">
              <w:rPr>
                <w:color w:val="000000"/>
                <w:spacing w:val="-2"/>
              </w:rPr>
              <w:t>Zwiększenie atrakcyjności polskich listów zastawnych oraz zwiększenie możliwoś</w:t>
            </w:r>
            <w:r>
              <w:rPr>
                <w:color w:val="000000"/>
                <w:spacing w:val="-2"/>
              </w:rPr>
              <w:t>ci</w:t>
            </w:r>
            <w:r w:rsidRPr="00822F69">
              <w:rPr>
                <w:color w:val="000000"/>
                <w:spacing w:val="-2"/>
              </w:rPr>
              <w:t xml:space="preserve"> inwestowania.</w:t>
            </w:r>
          </w:p>
          <w:p w14:paraId="4F19FDCF" w14:textId="77777777" w:rsidR="001024DD" w:rsidRPr="00822F69" w:rsidRDefault="001024DD" w:rsidP="000F70F7">
            <w:pPr>
              <w:spacing w:before="40"/>
              <w:jc w:val="center"/>
              <w:rPr>
                <w:color w:val="000000"/>
                <w:spacing w:val="-2"/>
              </w:rPr>
            </w:pPr>
          </w:p>
        </w:tc>
      </w:tr>
      <w:tr w:rsidR="001024DD" w:rsidRPr="00822F69" w14:paraId="65C07B2F" w14:textId="77777777" w:rsidTr="000F70F7">
        <w:trPr>
          <w:gridAfter w:val="1"/>
          <w:wAfter w:w="10" w:type="dxa"/>
          <w:trHeight w:val="302"/>
        </w:trPr>
        <w:tc>
          <w:tcPr>
            <w:tcW w:w="10937" w:type="dxa"/>
            <w:gridSpan w:val="29"/>
            <w:shd w:val="clear" w:color="auto" w:fill="99CCFF"/>
            <w:vAlign w:val="center"/>
          </w:tcPr>
          <w:p w14:paraId="0D7F3FD5" w14:textId="77777777" w:rsidR="001024DD" w:rsidRPr="00C225E0" w:rsidRDefault="001024DD" w:rsidP="000F70F7">
            <w:pPr>
              <w:spacing w:before="60" w:after="60"/>
              <w:rPr>
                <w:b/>
                <w:color w:val="000000"/>
              </w:rPr>
            </w:pPr>
            <w:r>
              <w:rPr>
                <w:b/>
                <w:color w:val="000000"/>
              </w:rPr>
              <w:t xml:space="preserve">5. </w:t>
            </w:r>
            <w:r w:rsidRPr="00C225E0">
              <w:rPr>
                <w:b/>
                <w:color w:val="000000"/>
              </w:rPr>
              <w:t>Informacje na temat zakresu, czasu trwania i podsumowanie wyników konsultacji</w:t>
            </w:r>
          </w:p>
        </w:tc>
      </w:tr>
      <w:tr w:rsidR="001024DD" w:rsidRPr="00822F69" w14:paraId="02DA4B38" w14:textId="77777777" w:rsidTr="000F70F7">
        <w:trPr>
          <w:gridAfter w:val="1"/>
          <w:wAfter w:w="10" w:type="dxa"/>
          <w:trHeight w:val="3505"/>
        </w:trPr>
        <w:tc>
          <w:tcPr>
            <w:tcW w:w="10937" w:type="dxa"/>
            <w:gridSpan w:val="29"/>
            <w:shd w:val="clear" w:color="auto" w:fill="FFFFFF"/>
          </w:tcPr>
          <w:p w14:paraId="2442ABBE" w14:textId="77777777" w:rsidR="001024DD" w:rsidRPr="006E6B90" w:rsidRDefault="001024DD" w:rsidP="000F70F7">
            <w:r w:rsidRPr="006E6B90">
              <w:rPr>
                <w:lang w:eastAsia="pl-PL"/>
              </w:rPr>
              <w:t xml:space="preserve">Identyfikacja obszarów niezbędnych zmian przepisów krajowych w związku z transpozycją dyrektywy 2019/2162 była poprzedzona konsultacjami na forum </w:t>
            </w:r>
            <w:r>
              <w:rPr>
                <w:lang w:eastAsia="pl-PL"/>
              </w:rPr>
              <w:t>Z</w:t>
            </w:r>
            <w:r w:rsidRPr="006E6B90">
              <w:rPr>
                <w:lang w:eastAsia="pl-PL"/>
              </w:rPr>
              <w:t xml:space="preserve">espołu Rady Rozwoju Rynku Finansowego </w:t>
            </w:r>
            <w:r w:rsidRPr="006E6B90">
              <w:t xml:space="preserve">do spraw regulacji w zakresie emisji listów zastawnych. </w:t>
            </w:r>
            <w:r w:rsidRPr="006E6B90">
              <w:rPr>
                <w:lang w:eastAsia="pl-PL"/>
              </w:rPr>
              <w:t xml:space="preserve">Uczestnikami Zespołu, oprócz przedstawicieli Ministerstwa Finansów, byli przedstawiciele: Komisji Nadzoru Finansowego, Narodowego Banku Polskiego, Związku Banków Polskich, Bankowego Funduszu Gwarancyjnego, Krajowego Depozytu Papierów Wartościowych oraz banków hipotecznych. </w:t>
            </w:r>
          </w:p>
          <w:p w14:paraId="2CC3608E" w14:textId="77777777" w:rsidR="001024DD" w:rsidRPr="006A2F05" w:rsidRDefault="001024DD" w:rsidP="000F70F7">
            <w:pPr>
              <w:shd w:val="clear" w:color="auto" w:fill="FFFFFF"/>
              <w:spacing w:before="100" w:beforeAutospacing="1" w:after="100" w:afterAutospacing="1"/>
              <w:rPr>
                <w:color w:val="000000"/>
                <w:spacing w:val="-2"/>
              </w:rPr>
            </w:pPr>
            <w:r w:rsidRPr="006A2F05">
              <w:t xml:space="preserve">Projekt ustawy zostanie przesłany do konsultacji publicznych i zaopiniowania w szczególności do: </w:t>
            </w:r>
            <w:r w:rsidRPr="006A2F05">
              <w:rPr>
                <w:lang w:eastAsia="pl-PL"/>
              </w:rPr>
              <w:t xml:space="preserve">Związku Banków Polskich, </w:t>
            </w:r>
            <w:r w:rsidRPr="006A2F05">
              <w:rPr>
                <w:color w:val="000000"/>
                <w:spacing w:val="-2"/>
              </w:rPr>
              <w:t xml:space="preserve">Krajowego Związku Banków Spółdzielczych, Krajowej Spółdzielczej Kasy Oszczędnościowo-Kredytowej, </w:t>
            </w:r>
            <w:r w:rsidRPr="006A2F05">
              <w:rPr>
                <w:lang w:eastAsia="pl-PL"/>
              </w:rPr>
              <w:t xml:space="preserve">Giełdy Papierów Wartościowych S.A., </w:t>
            </w:r>
            <w:r w:rsidRPr="006A2F05">
              <w:rPr>
                <w:color w:val="000000"/>
                <w:spacing w:val="-2"/>
              </w:rPr>
              <w:t xml:space="preserve">BondSpot S.A., </w:t>
            </w:r>
            <w:r w:rsidRPr="006A2F05">
              <w:rPr>
                <w:lang w:eastAsia="pl-PL"/>
              </w:rPr>
              <w:t xml:space="preserve">Krajowego Depozytu Papierów Wartościowych S.A., </w:t>
            </w:r>
            <w:r w:rsidRPr="006A2F05">
              <w:rPr>
                <w:color w:val="000000"/>
                <w:spacing w:val="-2"/>
              </w:rPr>
              <w:t>Związku Maklerów i Doradców</w:t>
            </w:r>
            <w:r w:rsidRPr="006A2F05">
              <w:t xml:space="preserve">, </w:t>
            </w:r>
            <w:r w:rsidRPr="006A2F05">
              <w:rPr>
                <w:color w:val="000000"/>
                <w:spacing w:val="-2"/>
              </w:rPr>
              <w:t>Izby Domów Maklerskich, Stowarzyszenia Emitentów Giełdowych, Stowarzyszenia Inwestorów Indywidualnych, Izby Zarządzających Funduszami i Aktywami, Rady Banków Depozytariuszy, Polskiej Izby Ubezpieczeń, Polskiej Izby Biegłych Rewidentów, Polskiego Stowarzyszenia Aktuariuszy,</w:t>
            </w:r>
            <w:r w:rsidRPr="006A2F05">
              <w:t xml:space="preserve"> </w:t>
            </w:r>
            <w:r w:rsidRPr="006A2F05">
              <w:rPr>
                <w:color w:val="000000"/>
                <w:spacing w:val="-2"/>
              </w:rPr>
              <w:t>Polskiego Stowarzyszenia Inwestorów Kapitałowych, Stowarzyszenia Rynków Finansowych ACI Polska, CFA Society Poland,</w:t>
            </w:r>
            <w:r w:rsidRPr="006A2F05">
              <w:t xml:space="preserve"> </w:t>
            </w:r>
            <w:r w:rsidRPr="006A2F05">
              <w:rPr>
                <w:color w:val="000000"/>
                <w:spacing w:val="-2"/>
              </w:rPr>
              <w:t xml:space="preserve">Federacji Przedsiębiorców Polskich, </w:t>
            </w:r>
            <w:r w:rsidRPr="002B2EF6">
              <w:rPr>
                <w:rFonts w:eastAsia="Times New Roman"/>
                <w:lang w:eastAsia="pl-PL"/>
              </w:rPr>
              <w:t>NSZZ „Solidarność”,</w:t>
            </w:r>
            <w:r w:rsidRPr="006A2F05">
              <w:rPr>
                <w:rFonts w:eastAsia="Times New Roman"/>
                <w:lang w:eastAsia="pl-PL"/>
              </w:rPr>
              <w:t xml:space="preserve"> </w:t>
            </w:r>
            <w:r w:rsidRPr="002B2EF6">
              <w:rPr>
                <w:rFonts w:eastAsia="Times New Roman"/>
                <w:lang w:eastAsia="pl-PL"/>
              </w:rPr>
              <w:t>Ogólnopolskie</w:t>
            </w:r>
            <w:r w:rsidRPr="006A2F05">
              <w:rPr>
                <w:rFonts w:eastAsia="Times New Roman"/>
                <w:lang w:eastAsia="pl-PL"/>
              </w:rPr>
              <w:t>go</w:t>
            </w:r>
            <w:r w:rsidRPr="002B2EF6">
              <w:rPr>
                <w:rFonts w:eastAsia="Times New Roman"/>
                <w:lang w:eastAsia="pl-PL"/>
              </w:rPr>
              <w:t xml:space="preserve"> Porozumie</w:t>
            </w:r>
            <w:r w:rsidRPr="006A2F05">
              <w:rPr>
                <w:rFonts w:eastAsia="Times New Roman"/>
                <w:lang w:eastAsia="pl-PL"/>
              </w:rPr>
              <w:t>nia</w:t>
            </w:r>
            <w:r w:rsidRPr="002B2EF6">
              <w:rPr>
                <w:rFonts w:eastAsia="Times New Roman"/>
                <w:lang w:eastAsia="pl-PL"/>
              </w:rPr>
              <w:t xml:space="preserve"> Związków Zawodowych,</w:t>
            </w:r>
            <w:r w:rsidRPr="006A2F05">
              <w:rPr>
                <w:rFonts w:eastAsia="Times New Roman"/>
                <w:lang w:eastAsia="pl-PL"/>
              </w:rPr>
              <w:t xml:space="preserve"> Forum Związków Zawodowych, Pracodawców</w:t>
            </w:r>
            <w:r w:rsidRPr="002B2EF6">
              <w:rPr>
                <w:rFonts w:eastAsia="Times New Roman"/>
                <w:lang w:eastAsia="pl-PL"/>
              </w:rPr>
              <w:t xml:space="preserve"> Rzeczypospolitej Polskiej,</w:t>
            </w:r>
            <w:r w:rsidRPr="006A2F05">
              <w:rPr>
                <w:rFonts w:eastAsia="Times New Roman"/>
                <w:lang w:eastAsia="pl-PL"/>
              </w:rPr>
              <w:t xml:space="preserve"> Konfederacji</w:t>
            </w:r>
            <w:r w:rsidRPr="002B2EF6">
              <w:rPr>
                <w:rFonts w:eastAsia="Times New Roman"/>
                <w:lang w:eastAsia="pl-PL"/>
              </w:rPr>
              <w:t xml:space="preserve"> „Lewiatan”,</w:t>
            </w:r>
            <w:r w:rsidRPr="006A2F05">
              <w:rPr>
                <w:rFonts w:eastAsia="Times New Roman"/>
                <w:lang w:eastAsia="pl-PL"/>
              </w:rPr>
              <w:t xml:space="preserve"> Związku</w:t>
            </w:r>
            <w:r w:rsidRPr="002B2EF6">
              <w:rPr>
                <w:rFonts w:eastAsia="Times New Roman"/>
                <w:lang w:eastAsia="pl-PL"/>
              </w:rPr>
              <w:t xml:space="preserve"> Rzemiosła Polskiego,</w:t>
            </w:r>
            <w:r w:rsidRPr="006A2F05">
              <w:rPr>
                <w:rFonts w:eastAsia="Times New Roman"/>
                <w:lang w:eastAsia="pl-PL"/>
              </w:rPr>
              <w:t xml:space="preserve"> Związku</w:t>
            </w:r>
            <w:r w:rsidRPr="002B2EF6">
              <w:rPr>
                <w:rFonts w:eastAsia="Times New Roman"/>
                <w:lang w:eastAsia="pl-PL"/>
              </w:rPr>
              <w:t xml:space="preserve"> Pracodawców Business Centre Club,</w:t>
            </w:r>
            <w:r w:rsidRPr="006A2F05">
              <w:rPr>
                <w:rFonts w:eastAsia="Times New Roman"/>
                <w:lang w:eastAsia="pl-PL"/>
              </w:rPr>
              <w:t xml:space="preserve"> Związku Przedsiębiorców i Pracodawców.</w:t>
            </w:r>
          </w:p>
          <w:p w14:paraId="5E5BFAD4" w14:textId="77777777" w:rsidR="001024DD" w:rsidRPr="006A2F05" w:rsidRDefault="001024DD" w:rsidP="000F70F7">
            <w:pPr>
              <w:rPr>
                <w:color w:val="000000"/>
                <w:spacing w:val="-2"/>
              </w:rPr>
            </w:pPr>
            <w:r w:rsidRPr="006A2F05">
              <w:rPr>
                <w:color w:val="000000"/>
                <w:spacing w:val="-2"/>
              </w:rPr>
              <w:t>Projekt zostanie także przekazany do zaopiniowania Narodowemu Bankowi Polskiemu, Komisji Nadzoru Finansowego, Bankowemu Funduszowi Gwarancyjnemu, Urzędowi Ochrony Konkurencji i Konsumentów, Rzecznikowi Finansowemu, Prokuratorii Generalnej Rzeczypospolitej Polskiej, Prezesowi Urzędu Ochrony Danych Osobowych.</w:t>
            </w:r>
          </w:p>
          <w:p w14:paraId="09B28FA7" w14:textId="77777777" w:rsidR="001024DD" w:rsidRPr="006A2F05" w:rsidRDefault="001024DD" w:rsidP="000F70F7">
            <w:pPr>
              <w:ind w:left="-34"/>
              <w:rPr>
                <w:spacing w:val="-2"/>
              </w:rPr>
            </w:pPr>
          </w:p>
          <w:p w14:paraId="223DBE14" w14:textId="77777777" w:rsidR="001024DD" w:rsidRPr="006A2F05" w:rsidRDefault="001024DD" w:rsidP="000F70F7">
            <w:pPr>
              <w:ind w:left="-34"/>
              <w:rPr>
                <w:spacing w:val="-2"/>
              </w:rPr>
            </w:pPr>
            <w:r w:rsidRPr="006A2F05">
              <w:rPr>
                <w:spacing w:val="-2"/>
              </w:rPr>
              <w:t>Termin zgłaszania uwag – odpowiednio – 21 i 30 dni (związki zawodowe i organizacje pracodawców).</w:t>
            </w:r>
          </w:p>
          <w:p w14:paraId="35B1D8E3" w14:textId="77777777" w:rsidR="001024DD" w:rsidRPr="00822F69" w:rsidRDefault="001024DD" w:rsidP="000F70F7">
            <w:pPr>
              <w:ind w:left="-34"/>
              <w:rPr>
                <w:spacing w:val="-2"/>
              </w:rPr>
            </w:pPr>
          </w:p>
        </w:tc>
      </w:tr>
      <w:tr w:rsidR="001024DD" w:rsidRPr="00822F69" w14:paraId="6E76AE4C" w14:textId="77777777" w:rsidTr="000F70F7">
        <w:trPr>
          <w:gridAfter w:val="1"/>
          <w:wAfter w:w="10" w:type="dxa"/>
          <w:trHeight w:val="363"/>
        </w:trPr>
        <w:tc>
          <w:tcPr>
            <w:tcW w:w="10937" w:type="dxa"/>
            <w:gridSpan w:val="29"/>
            <w:shd w:val="clear" w:color="auto" w:fill="99CCFF"/>
            <w:vAlign w:val="center"/>
          </w:tcPr>
          <w:p w14:paraId="0B845327" w14:textId="77777777" w:rsidR="001024DD" w:rsidRPr="00822F69" w:rsidRDefault="001024DD" w:rsidP="000F70F7">
            <w:pPr>
              <w:spacing w:before="60" w:after="60"/>
              <w:rPr>
                <w:b/>
                <w:color w:val="000000"/>
              </w:rPr>
            </w:pPr>
            <w:r w:rsidRPr="00822F69">
              <w:rPr>
                <w:b/>
                <w:color w:val="000000"/>
              </w:rPr>
              <w:t>6.  Wpływ na sektor finansów publicznych</w:t>
            </w:r>
          </w:p>
        </w:tc>
      </w:tr>
      <w:tr w:rsidR="001024DD" w:rsidRPr="00822F69" w14:paraId="256E702E" w14:textId="77777777" w:rsidTr="000F70F7">
        <w:trPr>
          <w:gridAfter w:val="1"/>
          <w:wAfter w:w="10" w:type="dxa"/>
          <w:trHeight w:val="142"/>
        </w:trPr>
        <w:tc>
          <w:tcPr>
            <w:tcW w:w="3133" w:type="dxa"/>
            <w:gridSpan w:val="4"/>
            <w:vMerge w:val="restart"/>
            <w:shd w:val="clear" w:color="auto" w:fill="FFFFFF"/>
          </w:tcPr>
          <w:p w14:paraId="5A09941B" w14:textId="77777777" w:rsidR="001024DD" w:rsidRPr="00822F69" w:rsidRDefault="001024DD" w:rsidP="000F70F7">
            <w:pPr>
              <w:spacing w:before="40" w:after="40"/>
              <w:rPr>
                <w:i/>
                <w:color w:val="000000"/>
                <w:sz w:val="21"/>
                <w:szCs w:val="21"/>
              </w:rPr>
            </w:pPr>
            <w:r w:rsidRPr="00822F69">
              <w:rPr>
                <w:color w:val="000000"/>
                <w:sz w:val="21"/>
                <w:szCs w:val="21"/>
              </w:rPr>
              <w:t>(ceny stałe z …… r.)</w:t>
            </w:r>
          </w:p>
        </w:tc>
        <w:tc>
          <w:tcPr>
            <w:tcW w:w="7804" w:type="dxa"/>
            <w:gridSpan w:val="25"/>
            <w:shd w:val="clear" w:color="auto" w:fill="FFFFFF"/>
          </w:tcPr>
          <w:p w14:paraId="3C83C020" w14:textId="77777777" w:rsidR="001024DD" w:rsidRPr="00822F69" w:rsidRDefault="001024DD" w:rsidP="000F70F7">
            <w:pPr>
              <w:spacing w:before="40" w:after="40"/>
              <w:jc w:val="center"/>
              <w:rPr>
                <w:i/>
                <w:color w:val="000000"/>
                <w:spacing w:val="-2"/>
                <w:sz w:val="21"/>
                <w:szCs w:val="21"/>
              </w:rPr>
            </w:pPr>
            <w:r w:rsidRPr="00822F69">
              <w:rPr>
                <w:color w:val="000000"/>
                <w:sz w:val="21"/>
                <w:szCs w:val="21"/>
              </w:rPr>
              <w:t>Skutki w okresie 10 lat od wejścia w życie zmian [mln zł]</w:t>
            </w:r>
          </w:p>
        </w:tc>
      </w:tr>
      <w:tr w:rsidR="001024DD" w:rsidRPr="00822F69" w14:paraId="1133EF94" w14:textId="77777777" w:rsidTr="000F70F7">
        <w:trPr>
          <w:gridAfter w:val="1"/>
          <w:wAfter w:w="10" w:type="dxa"/>
          <w:trHeight w:val="142"/>
        </w:trPr>
        <w:tc>
          <w:tcPr>
            <w:tcW w:w="3133" w:type="dxa"/>
            <w:gridSpan w:val="4"/>
            <w:vMerge/>
            <w:shd w:val="clear" w:color="auto" w:fill="FFFFFF"/>
          </w:tcPr>
          <w:p w14:paraId="18D26569" w14:textId="77777777" w:rsidR="001024DD" w:rsidRPr="00822F69" w:rsidRDefault="001024DD" w:rsidP="000F70F7">
            <w:pPr>
              <w:spacing w:before="40" w:after="40"/>
              <w:rPr>
                <w:i/>
                <w:color w:val="000000"/>
                <w:sz w:val="21"/>
                <w:szCs w:val="21"/>
              </w:rPr>
            </w:pPr>
          </w:p>
        </w:tc>
        <w:tc>
          <w:tcPr>
            <w:tcW w:w="569" w:type="dxa"/>
            <w:gridSpan w:val="2"/>
            <w:shd w:val="clear" w:color="auto" w:fill="FFFFFF"/>
          </w:tcPr>
          <w:p w14:paraId="5A8938AC"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5D4FFBEB" w14:textId="77777777" w:rsidR="001024DD" w:rsidRPr="00822F69" w:rsidRDefault="001024DD" w:rsidP="000F70F7">
            <w:pPr>
              <w:jc w:val="center"/>
              <w:rPr>
                <w:color w:val="000000"/>
                <w:sz w:val="21"/>
                <w:szCs w:val="21"/>
              </w:rPr>
            </w:pPr>
            <w:r w:rsidRPr="00822F69">
              <w:rPr>
                <w:color w:val="000000"/>
                <w:sz w:val="21"/>
                <w:szCs w:val="21"/>
              </w:rPr>
              <w:t>1</w:t>
            </w:r>
          </w:p>
        </w:tc>
        <w:tc>
          <w:tcPr>
            <w:tcW w:w="570" w:type="dxa"/>
            <w:gridSpan w:val="2"/>
            <w:shd w:val="clear" w:color="auto" w:fill="FFFFFF"/>
          </w:tcPr>
          <w:p w14:paraId="6080539D" w14:textId="77777777" w:rsidR="001024DD" w:rsidRPr="00822F69" w:rsidRDefault="001024DD" w:rsidP="000F70F7">
            <w:pPr>
              <w:jc w:val="center"/>
              <w:rPr>
                <w:color w:val="000000"/>
                <w:sz w:val="21"/>
                <w:szCs w:val="21"/>
              </w:rPr>
            </w:pPr>
            <w:r w:rsidRPr="00822F69">
              <w:rPr>
                <w:color w:val="000000"/>
                <w:sz w:val="21"/>
                <w:szCs w:val="21"/>
              </w:rPr>
              <w:t>2</w:t>
            </w:r>
          </w:p>
        </w:tc>
        <w:tc>
          <w:tcPr>
            <w:tcW w:w="569" w:type="dxa"/>
            <w:gridSpan w:val="4"/>
            <w:shd w:val="clear" w:color="auto" w:fill="FFFFFF"/>
          </w:tcPr>
          <w:p w14:paraId="3614A7CB" w14:textId="77777777" w:rsidR="001024DD" w:rsidRPr="00822F69" w:rsidRDefault="001024DD" w:rsidP="000F70F7">
            <w:pPr>
              <w:jc w:val="center"/>
              <w:rPr>
                <w:color w:val="000000"/>
                <w:sz w:val="21"/>
                <w:szCs w:val="21"/>
              </w:rPr>
            </w:pPr>
            <w:r w:rsidRPr="00822F69">
              <w:rPr>
                <w:color w:val="000000"/>
                <w:sz w:val="21"/>
                <w:szCs w:val="21"/>
              </w:rPr>
              <w:t>3</w:t>
            </w:r>
          </w:p>
        </w:tc>
        <w:tc>
          <w:tcPr>
            <w:tcW w:w="570" w:type="dxa"/>
            <w:gridSpan w:val="2"/>
            <w:shd w:val="clear" w:color="auto" w:fill="FFFFFF"/>
          </w:tcPr>
          <w:p w14:paraId="5175F6F4" w14:textId="77777777" w:rsidR="001024DD" w:rsidRPr="00822F69" w:rsidRDefault="001024DD" w:rsidP="000F70F7">
            <w:pPr>
              <w:jc w:val="center"/>
              <w:rPr>
                <w:color w:val="000000"/>
                <w:sz w:val="21"/>
                <w:szCs w:val="21"/>
              </w:rPr>
            </w:pPr>
            <w:r w:rsidRPr="00822F69">
              <w:rPr>
                <w:color w:val="000000"/>
                <w:sz w:val="21"/>
                <w:szCs w:val="21"/>
              </w:rPr>
              <w:t>4</w:t>
            </w:r>
          </w:p>
        </w:tc>
        <w:tc>
          <w:tcPr>
            <w:tcW w:w="570" w:type="dxa"/>
            <w:shd w:val="clear" w:color="auto" w:fill="FFFFFF"/>
          </w:tcPr>
          <w:p w14:paraId="358FD12C" w14:textId="77777777" w:rsidR="001024DD" w:rsidRPr="00822F69" w:rsidRDefault="001024DD" w:rsidP="000F70F7">
            <w:pPr>
              <w:jc w:val="center"/>
              <w:rPr>
                <w:color w:val="000000"/>
                <w:sz w:val="21"/>
                <w:szCs w:val="21"/>
              </w:rPr>
            </w:pPr>
            <w:r w:rsidRPr="00822F69">
              <w:rPr>
                <w:color w:val="000000"/>
                <w:sz w:val="21"/>
                <w:szCs w:val="21"/>
              </w:rPr>
              <w:t>5</w:t>
            </w:r>
          </w:p>
        </w:tc>
        <w:tc>
          <w:tcPr>
            <w:tcW w:w="570" w:type="dxa"/>
            <w:gridSpan w:val="2"/>
            <w:shd w:val="clear" w:color="auto" w:fill="FFFFFF"/>
          </w:tcPr>
          <w:p w14:paraId="6958595A" w14:textId="77777777" w:rsidR="001024DD" w:rsidRPr="00822F69" w:rsidRDefault="001024DD" w:rsidP="000F70F7">
            <w:pPr>
              <w:jc w:val="center"/>
              <w:rPr>
                <w:color w:val="000000"/>
                <w:sz w:val="21"/>
                <w:szCs w:val="21"/>
              </w:rPr>
            </w:pPr>
            <w:r w:rsidRPr="00822F69">
              <w:rPr>
                <w:color w:val="000000"/>
                <w:sz w:val="21"/>
                <w:szCs w:val="21"/>
              </w:rPr>
              <w:t>6</w:t>
            </w:r>
          </w:p>
        </w:tc>
        <w:tc>
          <w:tcPr>
            <w:tcW w:w="569" w:type="dxa"/>
            <w:gridSpan w:val="3"/>
            <w:shd w:val="clear" w:color="auto" w:fill="FFFFFF"/>
          </w:tcPr>
          <w:p w14:paraId="7D68BFC3" w14:textId="77777777" w:rsidR="001024DD" w:rsidRPr="00822F69" w:rsidRDefault="001024DD" w:rsidP="000F70F7">
            <w:pPr>
              <w:jc w:val="center"/>
              <w:rPr>
                <w:color w:val="000000"/>
                <w:sz w:val="21"/>
                <w:szCs w:val="21"/>
              </w:rPr>
            </w:pPr>
            <w:r w:rsidRPr="00822F69">
              <w:rPr>
                <w:color w:val="000000"/>
                <w:sz w:val="21"/>
                <w:szCs w:val="21"/>
              </w:rPr>
              <w:t>7</w:t>
            </w:r>
          </w:p>
        </w:tc>
        <w:tc>
          <w:tcPr>
            <w:tcW w:w="570" w:type="dxa"/>
            <w:gridSpan w:val="2"/>
            <w:shd w:val="clear" w:color="auto" w:fill="FFFFFF"/>
          </w:tcPr>
          <w:p w14:paraId="36919586" w14:textId="77777777" w:rsidR="001024DD" w:rsidRPr="00822F69" w:rsidRDefault="001024DD" w:rsidP="000F70F7">
            <w:pPr>
              <w:jc w:val="center"/>
              <w:rPr>
                <w:color w:val="000000"/>
                <w:sz w:val="21"/>
                <w:szCs w:val="21"/>
              </w:rPr>
            </w:pPr>
            <w:r w:rsidRPr="00822F69">
              <w:rPr>
                <w:color w:val="000000"/>
                <w:sz w:val="21"/>
                <w:szCs w:val="21"/>
              </w:rPr>
              <w:t>8</w:t>
            </w:r>
          </w:p>
        </w:tc>
        <w:tc>
          <w:tcPr>
            <w:tcW w:w="570" w:type="dxa"/>
            <w:gridSpan w:val="2"/>
            <w:shd w:val="clear" w:color="auto" w:fill="FFFFFF"/>
          </w:tcPr>
          <w:p w14:paraId="0A220EEC" w14:textId="77777777" w:rsidR="001024DD" w:rsidRPr="00822F69" w:rsidRDefault="001024DD" w:rsidP="000F70F7">
            <w:pPr>
              <w:jc w:val="center"/>
              <w:rPr>
                <w:color w:val="000000"/>
                <w:sz w:val="21"/>
                <w:szCs w:val="21"/>
              </w:rPr>
            </w:pPr>
            <w:r w:rsidRPr="00822F69">
              <w:rPr>
                <w:color w:val="000000"/>
                <w:sz w:val="21"/>
                <w:szCs w:val="21"/>
              </w:rPr>
              <w:t>9</w:t>
            </w:r>
          </w:p>
        </w:tc>
        <w:tc>
          <w:tcPr>
            <w:tcW w:w="570" w:type="dxa"/>
            <w:shd w:val="clear" w:color="auto" w:fill="FFFFFF"/>
          </w:tcPr>
          <w:p w14:paraId="57A33406" w14:textId="77777777" w:rsidR="001024DD" w:rsidRPr="00822F69" w:rsidRDefault="001024DD" w:rsidP="000F70F7">
            <w:pPr>
              <w:jc w:val="center"/>
              <w:rPr>
                <w:color w:val="000000"/>
                <w:sz w:val="21"/>
                <w:szCs w:val="21"/>
              </w:rPr>
            </w:pPr>
            <w:r w:rsidRPr="00822F69">
              <w:rPr>
                <w:color w:val="000000"/>
                <w:sz w:val="21"/>
                <w:szCs w:val="21"/>
              </w:rPr>
              <w:t>10</w:t>
            </w:r>
          </w:p>
        </w:tc>
        <w:tc>
          <w:tcPr>
            <w:tcW w:w="1537" w:type="dxa"/>
            <w:gridSpan w:val="2"/>
            <w:shd w:val="clear" w:color="auto" w:fill="FFFFFF"/>
          </w:tcPr>
          <w:p w14:paraId="2B0F9E2D" w14:textId="77777777" w:rsidR="001024DD" w:rsidRPr="00822F69" w:rsidRDefault="001024DD" w:rsidP="000F70F7">
            <w:pPr>
              <w:spacing w:before="40" w:after="40"/>
              <w:jc w:val="center"/>
              <w:rPr>
                <w:i/>
                <w:color w:val="000000"/>
                <w:spacing w:val="-2"/>
                <w:sz w:val="21"/>
                <w:szCs w:val="21"/>
              </w:rPr>
            </w:pPr>
            <w:r w:rsidRPr="00822F69">
              <w:rPr>
                <w:i/>
                <w:color w:val="000000"/>
                <w:spacing w:val="-2"/>
                <w:sz w:val="21"/>
                <w:szCs w:val="21"/>
              </w:rPr>
              <w:t>Łącznie (0-10)</w:t>
            </w:r>
          </w:p>
        </w:tc>
      </w:tr>
      <w:tr w:rsidR="001024DD" w:rsidRPr="00822F69" w14:paraId="52F8078D" w14:textId="77777777" w:rsidTr="000F70F7">
        <w:trPr>
          <w:trHeight w:val="321"/>
        </w:trPr>
        <w:tc>
          <w:tcPr>
            <w:tcW w:w="3133" w:type="dxa"/>
            <w:gridSpan w:val="4"/>
            <w:shd w:val="clear" w:color="auto" w:fill="FFFFFF"/>
            <w:vAlign w:val="center"/>
          </w:tcPr>
          <w:p w14:paraId="107AC255" w14:textId="77777777" w:rsidR="001024DD" w:rsidRPr="00822F69" w:rsidRDefault="001024DD" w:rsidP="000F70F7">
            <w:pPr>
              <w:rPr>
                <w:color w:val="000000"/>
                <w:sz w:val="21"/>
                <w:szCs w:val="21"/>
              </w:rPr>
            </w:pPr>
            <w:r w:rsidRPr="00822F69">
              <w:rPr>
                <w:b/>
                <w:color w:val="000000"/>
                <w:sz w:val="21"/>
                <w:szCs w:val="21"/>
              </w:rPr>
              <w:t>Dochody ogółem</w:t>
            </w:r>
          </w:p>
        </w:tc>
        <w:tc>
          <w:tcPr>
            <w:tcW w:w="569" w:type="dxa"/>
            <w:gridSpan w:val="2"/>
            <w:shd w:val="clear" w:color="auto" w:fill="FFFFFF"/>
          </w:tcPr>
          <w:p w14:paraId="507DE7E2"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09359B00"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688816EE" w14:textId="77777777" w:rsidR="001024DD" w:rsidRPr="00822F69" w:rsidRDefault="001024DD" w:rsidP="000F70F7">
            <w:pPr>
              <w:jc w:val="center"/>
              <w:rPr>
                <w:color w:val="000000"/>
                <w:sz w:val="21"/>
                <w:szCs w:val="21"/>
              </w:rPr>
            </w:pPr>
            <w:r w:rsidRPr="00822F69">
              <w:rPr>
                <w:color w:val="000000"/>
                <w:sz w:val="21"/>
                <w:szCs w:val="21"/>
              </w:rPr>
              <w:t>0</w:t>
            </w:r>
          </w:p>
        </w:tc>
        <w:tc>
          <w:tcPr>
            <w:tcW w:w="569" w:type="dxa"/>
            <w:gridSpan w:val="4"/>
            <w:shd w:val="clear" w:color="auto" w:fill="FFFFFF"/>
          </w:tcPr>
          <w:p w14:paraId="47E490B0"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268F7CD1"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shd w:val="clear" w:color="auto" w:fill="FFFFFF"/>
          </w:tcPr>
          <w:p w14:paraId="69B41F56"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3E231609" w14:textId="77777777" w:rsidR="001024DD" w:rsidRPr="00822F69" w:rsidRDefault="001024DD" w:rsidP="000F70F7">
            <w:pPr>
              <w:jc w:val="center"/>
              <w:rPr>
                <w:color w:val="000000"/>
                <w:sz w:val="21"/>
                <w:szCs w:val="21"/>
              </w:rPr>
            </w:pPr>
            <w:r w:rsidRPr="00822F69">
              <w:rPr>
                <w:color w:val="000000"/>
                <w:sz w:val="21"/>
                <w:szCs w:val="21"/>
              </w:rPr>
              <w:t>0</w:t>
            </w:r>
          </w:p>
        </w:tc>
        <w:tc>
          <w:tcPr>
            <w:tcW w:w="569" w:type="dxa"/>
            <w:gridSpan w:val="3"/>
            <w:shd w:val="clear" w:color="auto" w:fill="FFFFFF"/>
          </w:tcPr>
          <w:p w14:paraId="63113168"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25A15054"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38936F6C"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shd w:val="clear" w:color="auto" w:fill="FFFFFF"/>
          </w:tcPr>
          <w:p w14:paraId="0B2651F6" w14:textId="77777777" w:rsidR="001024DD" w:rsidRPr="00822F69" w:rsidRDefault="001024DD" w:rsidP="000F70F7">
            <w:pPr>
              <w:jc w:val="center"/>
              <w:rPr>
                <w:color w:val="000000"/>
                <w:sz w:val="21"/>
                <w:szCs w:val="21"/>
              </w:rPr>
            </w:pPr>
            <w:r w:rsidRPr="00822F69">
              <w:rPr>
                <w:color w:val="000000"/>
                <w:sz w:val="21"/>
                <w:szCs w:val="21"/>
              </w:rPr>
              <w:t>0</w:t>
            </w:r>
          </w:p>
        </w:tc>
        <w:tc>
          <w:tcPr>
            <w:tcW w:w="1547" w:type="dxa"/>
            <w:gridSpan w:val="3"/>
            <w:shd w:val="clear" w:color="auto" w:fill="FFFFFF"/>
          </w:tcPr>
          <w:p w14:paraId="58230808" w14:textId="77777777" w:rsidR="001024DD" w:rsidRPr="00822F69" w:rsidRDefault="001024DD" w:rsidP="000F70F7">
            <w:pPr>
              <w:jc w:val="center"/>
              <w:rPr>
                <w:color w:val="000000"/>
                <w:spacing w:val="-2"/>
                <w:sz w:val="21"/>
                <w:szCs w:val="21"/>
              </w:rPr>
            </w:pPr>
            <w:r w:rsidRPr="00822F69">
              <w:rPr>
                <w:color w:val="000000"/>
                <w:sz w:val="21"/>
                <w:szCs w:val="21"/>
              </w:rPr>
              <w:t>0 zł</w:t>
            </w:r>
          </w:p>
        </w:tc>
      </w:tr>
      <w:tr w:rsidR="001024DD" w:rsidRPr="00822F69" w14:paraId="33314FED" w14:textId="77777777" w:rsidTr="000F70F7">
        <w:trPr>
          <w:trHeight w:val="321"/>
        </w:trPr>
        <w:tc>
          <w:tcPr>
            <w:tcW w:w="3133" w:type="dxa"/>
            <w:gridSpan w:val="4"/>
            <w:shd w:val="clear" w:color="auto" w:fill="FFFFFF"/>
            <w:vAlign w:val="center"/>
          </w:tcPr>
          <w:p w14:paraId="1046949A" w14:textId="77777777" w:rsidR="001024DD" w:rsidRPr="00822F69" w:rsidRDefault="001024DD" w:rsidP="000F70F7">
            <w:pPr>
              <w:rPr>
                <w:color w:val="000000"/>
                <w:sz w:val="21"/>
                <w:szCs w:val="21"/>
              </w:rPr>
            </w:pPr>
            <w:r w:rsidRPr="00822F69">
              <w:rPr>
                <w:color w:val="000000"/>
                <w:sz w:val="21"/>
                <w:szCs w:val="21"/>
              </w:rPr>
              <w:t>budżet państwa</w:t>
            </w:r>
          </w:p>
        </w:tc>
        <w:tc>
          <w:tcPr>
            <w:tcW w:w="569" w:type="dxa"/>
            <w:gridSpan w:val="2"/>
            <w:shd w:val="clear" w:color="auto" w:fill="FFFFFF"/>
          </w:tcPr>
          <w:p w14:paraId="7EBF8C64" w14:textId="77777777" w:rsidR="001024DD" w:rsidRPr="00822F69" w:rsidRDefault="001024DD" w:rsidP="000F70F7">
            <w:pPr>
              <w:rPr>
                <w:color w:val="000000"/>
                <w:sz w:val="21"/>
                <w:szCs w:val="21"/>
              </w:rPr>
            </w:pPr>
          </w:p>
        </w:tc>
        <w:tc>
          <w:tcPr>
            <w:tcW w:w="570" w:type="dxa"/>
            <w:gridSpan w:val="2"/>
            <w:shd w:val="clear" w:color="auto" w:fill="FFFFFF"/>
          </w:tcPr>
          <w:p w14:paraId="1579DE3A" w14:textId="77777777" w:rsidR="001024DD" w:rsidRPr="00822F69" w:rsidRDefault="001024DD" w:rsidP="000F70F7">
            <w:pPr>
              <w:rPr>
                <w:color w:val="000000"/>
                <w:sz w:val="21"/>
                <w:szCs w:val="21"/>
              </w:rPr>
            </w:pPr>
          </w:p>
        </w:tc>
        <w:tc>
          <w:tcPr>
            <w:tcW w:w="570" w:type="dxa"/>
            <w:gridSpan w:val="2"/>
            <w:shd w:val="clear" w:color="auto" w:fill="FFFFFF"/>
          </w:tcPr>
          <w:p w14:paraId="7F4F2152" w14:textId="77777777" w:rsidR="001024DD" w:rsidRPr="00822F69" w:rsidRDefault="001024DD" w:rsidP="000F70F7">
            <w:pPr>
              <w:rPr>
                <w:color w:val="000000"/>
                <w:sz w:val="21"/>
                <w:szCs w:val="21"/>
              </w:rPr>
            </w:pPr>
          </w:p>
        </w:tc>
        <w:tc>
          <w:tcPr>
            <w:tcW w:w="569" w:type="dxa"/>
            <w:gridSpan w:val="4"/>
            <w:shd w:val="clear" w:color="auto" w:fill="FFFFFF"/>
          </w:tcPr>
          <w:p w14:paraId="19BE4738" w14:textId="77777777" w:rsidR="001024DD" w:rsidRPr="00822F69" w:rsidRDefault="001024DD" w:rsidP="000F70F7">
            <w:pPr>
              <w:rPr>
                <w:color w:val="000000"/>
                <w:sz w:val="21"/>
                <w:szCs w:val="21"/>
              </w:rPr>
            </w:pPr>
          </w:p>
        </w:tc>
        <w:tc>
          <w:tcPr>
            <w:tcW w:w="570" w:type="dxa"/>
            <w:gridSpan w:val="2"/>
            <w:shd w:val="clear" w:color="auto" w:fill="FFFFFF"/>
          </w:tcPr>
          <w:p w14:paraId="33BEEFB5" w14:textId="77777777" w:rsidR="001024DD" w:rsidRPr="00822F69" w:rsidRDefault="001024DD" w:rsidP="000F70F7">
            <w:pPr>
              <w:rPr>
                <w:color w:val="000000"/>
                <w:sz w:val="21"/>
                <w:szCs w:val="21"/>
              </w:rPr>
            </w:pPr>
          </w:p>
        </w:tc>
        <w:tc>
          <w:tcPr>
            <w:tcW w:w="570" w:type="dxa"/>
            <w:shd w:val="clear" w:color="auto" w:fill="FFFFFF"/>
          </w:tcPr>
          <w:p w14:paraId="3EFECDB8" w14:textId="77777777" w:rsidR="001024DD" w:rsidRPr="00822F69" w:rsidRDefault="001024DD" w:rsidP="000F70F7">
            <w:pPr>
              <w:rPr>
                <w:color w:val="000000"/>
                <w:sz w:val="21"/>
                <w:szCs w:val="21"/>
              </w:rPr>
            </w:pPr>
          </w:p>
        </w:tc>
        <w:tc>
          <w:tcPr>
            <w:tcW w:w="570" w:type="dxa"/>
            <w:gridSpan w:val="2"/>
            <w:shd w:val="clear" w:color="auto" w:fill="FFFFFF"/>
          </w:tcPr>
          <w:p w14:paraId="5026D2F3" w14:textId="77777777" w:rsidR="001024DD" w:rsidRPr="00822F69" w:rsidRDefault="001024DD" w:rsidP="000F70F7">
            <w:pPr>
              <w:rPr>
                <w:color w:val="000000"/>
                <w:sz w:val="21"/>
                <w:szCs w:val="21"/>
              </w:rPr>
            </w:pPr>
          </w:p>
        </w:tc>
        <w:tc>
          <w:tcPr>
            <w:tcW w:w="569" w:type="dxa"/>
            <w:gridSpan w:val="3"/>
            <w:shd w:val="clear" w:color="auto" w:fill="FFFFFF"/>
          </w:tcPr>
          <w:p w14:paraId="7C779C93" w14:textId="77777777" w:rsidR="001024DD" w:rsidRPr="00822F69" w:rsidRDefault="001024DD" w:rsidP="000F70F7">
            <w:pPr>
              <w:rPr>
                <w:color w:val="000000"/>
                <w:sz w:val="21"/>
                <w:szCs w:val="21"/>
              </w:rPr>
            </w:pPr>
          </w:p>
        </w:tc>
        <w:tc>
          <w:tcPr>
            <w:tcW w:w="570" w:type="dxa"/>
            <w:gridSpan w:val="2"/>
            <w:shd w:val="clear" w:color="auto" w:fill="FFFFFF"/>
          </w:tcPr>
          <w:p w14:paraId="13BEAD9D" w14:textId="77777777" w:rsidR="001024DD" w:rsidRPr="00822F69" w:rsidRDefault="001024DD" w:rsidP="000F70F7">
            <w:pPr>
              <w:rPr>
                <w:color w:val="000000"/>
                <w:sz w:val="21"/>
                <w:szCs w:val="21"/>
              </w:rPr>
            </w:pPr>
          </w:p>
        </w:tc>
        <w:tc>
          <w:tcPr>
            <w:tcW w:w="570" w:type="dxa"/>
            <w:gridSpan w:val="2"/>
            <w:shd w:val="clear" w:color="auto" w:fill="FFFFFF"/>
          </w:tcPr>
          <w:p w14:paraId="15171D68" w14:textId="77777777" w:rsidR="001024DD" w:rsidRPr="00822F69" w:rsidRDefault="001024DD" w:rsidP="000F70F7">
            <w:pPr>
              <w:rPr>
                <w:color w:val="000000"/>
                <w:sz w:val="21"/>
                <w:szCs w:val="21"/>
              </w:rPr>
            </w:pPr>
          </w:p>
        </w:tc>
        <w:tc>
          <w:tcPr>
            <w:tcW w:w="570" w:type="dxa"/>
            <w:shd w:val="clear" w:color="auto" w:fill="FFFFFF"/>
          </w:tcPr>
          <w:p w14:paraId="32CFC931" w14:textId="77777777" w:rsidR="001024DD" w:rsidRPr="00822F69" w:rsidRDefault="001024DD" w:rsidP="000F70F7">
            <w:pPr>
              <w:rPr>
                <w:color w:val="000000"/>
                <w:sz w:val="21"/>
                <w:szCs w:val="21"/>
              </w:rPr>
            </w:pPr>
          </w:p>
        </w:tc>
        <w:tc>
          <w:tcPr>
            <w:tcW w:w="1547" w:type="dxa"/>
            <w:gridSpan w:val="3"/>
            <w:shd w:val="clear" w:color="auto" w:fill="FFFFFF"/>
          </w:tcPr>
          <w:p w14:paraId="68662F4B" w14:textId="77777777" w:rsidR="001024DD" w:rsidRPr="00822F69" w:rsidRDefault="001024DD" w:rsidP="000F70F7">
            <w:pPr>
              <w:rPr>
                <w:color w:val="000000"/>
                <w:spacing w:val="-2"/>
                <w:sz w:val="21"/>
                <w:szCs w:val="21"/>
              </w:rPr>
            </w:pPr>
          </w:p>
        </w:tc>
      </w:tr>
      <w:tr w:rsidR="001024DD" w:rsidRPr="00822F69" w14:paraId="32E8B103" w14:textId="77777777" w:rsidTr="000F70F7">
        <w:trPr>
          <w:trHeight w:val="344"/>
        </w:trPr>
        <w:tc>
          <w:tcPr>
            <w:tcW w:w="3133" w:type="dxa"/>
            <w:gridSpan w:val="4"/>
            <w:shd w:val="clear" w:color="auto" w:fill="FFFFFF"/>
            <w:vAlign w:val="center"/>
          </w:tcPr>
          <w:p w14:paraId="05D3FE5C" w14:textId="77777777" w:rsidR="001024DD" w:rsidRPr="00822F69" w:rsidRDefault="001024DD" w:rsidP="000F70F7">
            <w:pPr>
              <w:rPr>
                <w:color w:val="000000"/>
                <w:sz w:val="21"/>
                <w:szCs w:val="21"/>
              </w:rPr>
            </w:pPr>
            <w:r w:rsidRPr="00822F69">
              <w:rPr>
                <w:color w:val="000000"/>
                <w:sz w:val="21"/>
                <w:szCs w:val="21"/>
              </w:rPr>
              <w:t>JST</w:t>
            </w:r>
          </w:p>
        </w:tc>
        <w:tc>
          <w:tcPr>
            <w:tcW w:w="569" w:type="dxa"/>
            <w:gridSpan w:val="2"/>
            <w:shd w:val="clear" w:color="auto" w:fill="FFFFFF"/>
          </w:tcPr>
          <w:p w14:paraId="30D1B8EF" w14:textId="77777777" w:rsidR="001024DD" w:rsidRPr="00822F69" w:rsidRDefault="001024DD" w:rsidP="000F70F7">
            <w:pPr>
              <w:rPr>
                <w:color w:val="000000"/>
                <w:sz w:val="21"/>
                <w:szCs w:val="21"/>
              </w:rPr>
            </w:pPr>
          </w:p>
        </w:tc>
        <w:tc>
          <w:tcPr>
            <w:tcW w:w="570" w:type="dxa"/>
            <w:gridSpan w:val="2"/>
            <w:shd w:val="clear" w:color="auto" w:fill="FFFFFF"/>
          </w:tcPr>
          <w:p w14:paraId="78B0746C" w14:textId="77777777" w:rsidR="001024DD" w:rsidRPr="00822F69" w:rsidRDefault="001024DD" w:rsidP="000F70F7">
            <w:pPr>
              <w:rPr>
                <w:color w:val="000000"/>
                <w:sz w:val="21"/>
                <w:szCs w:val="21"/>
              </w:rPr>
            </w:pPr>
          </w:p>
        </w:tc>
        <w:tc>
          <w:tcPr>
            <w:tcW w:w="570" w:type="dxa"/>
            <w:gridSpan w:val="2"/>
            <w:shd w:val="clear" w:color="auto" w:fill="FFFFFF"/>
          </w:tcPr>
          <w:p w14:paraId="246F5E01" w14:textId="77777777" w:rsidR="001024DD" w:rsidRPr="00822F69" w:rsidRDefault="001024DD" w:rsidP="000F70F7">
            <w:pPr>
              <w:rPr>
                <w:color w:val="000000"/>
                <w:sz w:val="21"/>
                <w:szCs w:val="21"/>
              </w:rPr>
            </w:pPr>
          </w:p>
        </w:tc>
        <w:tc>
          <w:tcPr>
            <w:tcW w:w="569" w:type="dxa"/>
            <w:gridSpan w:val="4"/>
            <w:shd w:val="clear" w:color="auto" w:fill="FFFFFF"/>
          </w:tcPr>
          <w:p w14:paraId="5F760F1F" w14:textId="77777777" w:rsidR="001024DD" w:rsidRPr="00822F69" w:rsidRDefault="001024DD" w:rsidP="000F70F7">
            <w:pPr>
              <w:rPr>
                <w:color w:val="000000"/>
                <w:sz w:val="21"/>
                <w:szCs w:val="21"/>
              </w:rPr>
            </w:pPr>
          </w:p>
        </w:tc>
        <w:tc>
          <w:tcPr>
            <w:tcW w:w="570" w:type="dxa"/>
            <w:gridSpan w:val="2"/>
            <w:shd w:val="clear" w:color="auto" w:fill="FFFFFF"/>
          </w:tcPr>
          <w:p w14:paraId="4F2F1265" w14:textId="77777777" w:rsidR="001024DD" w:rsidRPr="00822F69" w:rsidRDefault="001024DD" w:rsidP="000F70F7">
            <w:pPr>
              <w:rPr>
                <w:color w:val="000000"/>
                <w:sz w:val="21"/>
                <w:szCs w:val="21"/>
              </w:rPr>
            </w:pPr>
          </w:p>
        </w:tc>
        <w:tc>
          <w:tcPr>
            <w:tcW w:w="570" w:type="dxa"/>
            <w:shd w:val="clear" w:color="auto" w:fill="FFFFFF"/>
          </w:tcPr>
          <w:p w14:paraId="5BE18960" w14:textId="77777777" w:rsidR="001024DD" w:rsidRPr="00822F69" w:rsidRDefault="001024DD" w:rsidP="000F70F7">
            <w:pPr>
              <w:rPr>
                <w:color w:val="000000"/>
                <w:sz w:val="21"/>
                <w:szCs w:val="21"/>
              </w:rPr>
            </w:pPr>
          </w:p>
        </w:tc>
        <w:tc>
          <w:tcPr>
            <w:tcW w:w="570" w:type="dxa"/>
            <w:gridSpan w:val="2"/>
            <w:shd w:val="clear" w:color="auto" w:fill="FFFFFF"/>
          </w:tcPr>
          <w:p w14:paraId="76601C29" w14:textId="77777777" w:rsidR="001024DD" w:rsidRPr="00822F69" w:rsidRDefault="001024DD" w:rsidP="000F70F7">
            <w:pPr>
              <w:rPr>
                <w:color w:val="000000"/>
                <w:sz w:val="21"/>
                <w:szCs w:val="21"/>
              </w:rPr>
            </w:pPr>
          </w:p>
        </w:tc>
        <w:tc>
          <w:tcPr>
            <w:tcW w:w="569" w:type="dxa"/>
            <w:gridSpan w:val="3"/>
            <w:shd w:val="clear" w:color="auto" w:fill="FFFFFF"/>
          </w:tcPr>
          <w:p w14:paraId="60254D80" w14:textId="77777777" w:rsidR="001024DD" w:rsidRPr="00822F69" w:rsidRDefault="001024DD" w:rsidP="000F70F7">
            <w:pPr>
              <w:rPr>
                <w:color w:val="000000"/>
                <w:sz w:val="21"/>
                <w:szCs w:val="21"/>
              </w:rPr>
            </w:pPr>
          </w:p>
        </w:tc>
        <w:tc>
          <w:tcPr>
            <w:tcW w:w="570" w:type="dxa"/>
            <w:gridSpan w:val="2"/>
            <w:shd w:val="clear" w:color="auto" w:fill="FFFFFF"/>
          </w:tcPr>
          <w:p w14:paraId="121B040A" w14:textId="77777777" w:rsidR="001024DD" w:rsidRPr="00822F69" w:rsidRDefault="001024DD" w:rsidP="000F70F7">
            <w:pPr>
              <w:rPr>
                <w:color w:val="000000"/>
                <w:sz w:val="21"/>
                <w:szCs w:val="21"/>
              </w:rPr>
            </w:pPr>
          </w:p>
        </w:tc>
        <w:tc>
          <w:tcPr>
            <w:tcW w:w="570" w:type="dxa"/>
            <w:gridSpan w:val="2"/>
            <w:shd w:val="clear" w:color="auto" w:fill="FFFFFF"/>
          </w:tcPr>
          <w:p w14:paraId="3176B39F" w14:textId="77777777" w:rsidR="001024DD" w:rsidRPr="00822F69" w:rsidRDefault="001024DD" w:rsidP="000F70F7">
            <w:pPr>
              <w:rPr>
                <w:color w:val="000000"/>
                <w:sz w:val="21"/>
                <w:szCs w:val="21"/>
              </w:rPr>
            </w:pPr>
          </w:p>
        </w:tc>
        <w:tc>
          <w:tcPr>
            <w:tcW w:w="570" w:type="dxa"/>
            <w:shd w:val="clear" w:color="auto" w:fill="FFFFFF"/>
          </w:tcPr>
          <w:p w14:paraId="31D5B93F" w14:textId="77777777" w:rsidR="001024DD" w:rsidRPr="00822F69" w:rsidRDefault="001024DD" w:rsidP="000F70F7">
            <w:pPr>
              <w:rPr>
                <w:color w:val="000000"/>
                <w:sz w:val="21"/>
                <w:szCs w:val="21"/>
              </w:rPr>
            </w:pPr>
          </w:p>
        </w:tc>
        <w:tc>
          <w:tcPr>
            <w:tcW w:w="1547" w:type="dxa"/>
            <w:gridSpan w:val="3"/>
            <w:shd w:val="clear" w:color="auto" w:fill="FFFFFF"/>
          </w:tcPr>
          <w:p w14:paraId="6F308199" w14:textId="77777777" w:rsidR="001024DD" w:rsidRPr="00822F69" w:rsidRDefault="001024DD" w:rsidP="000F70F7">
            <w:pPr>
              <w:rPr>
                <w:color w:val="000000"/>
                <w:sz w:val="21"/>
                <w:szCs w:val="21"/>
              </w:rPr>
            </w:pPr>
          </w:p>
        </w:tc>
      </w:tr>
      <w:tr w:rsidR="001024DD" w:rsidRPr="00822F69" w14:paraId="1C060A5D" w14:textId="77777777" w:rsidTr="000F70F7">
        <w:trPr>
          <w:trHeight w:val="344"/>
        </w:trPr>
        <w:tc>
          <w:tcPr>
            <w:tcW w:w="3133" w:type="dxa"/>
            <w:gridSpan w:val="4"/>
            <w:shd w:val="clear" w:color="auto" w:fill="FFFFFF"/>
            <w:vAlign w:val="center"/>
          </w:tcPr>
          <w:p w14:paraId="23DB7F42" w14:textId="77777777" w:rsidR="001024DD" w:rsidRPr="00822F69" w:rsidRDefault="001024DD" w:rsidP="000F70F7">
            <w:pPr>
              <w:rPr>
                <w:color w:val="000000"/>
                <w:sz w:val="21"/>
                <w:szCs w:val="21"/>
              </w:rPr>
            </w:pPr>
            <w:r w:rsidRPr="00822F69">
              <w:rPr>
                <w:color w:val="000000"/>
                <w:sz w:val="21"/>
                <w:szCs w:val="21"/>
              </w:rPr>
              <w:t>pozostałe jednostki (oddzielnie)</w:t>
            </w:r>
          </w:p>
        </w:tc>
        <w:tc>
          <w:tcPr>
            <w:tcW w:w="569" w:type="dxa"/>
            <w:gridSpan w:val="2"/>
            <w:shd w:val="clear" w:color="auto" w:fill="FFFFFF"/>
          </w:tcPr>
          <w:p w14:paraId="36ADBF2C" w14:textId="77777777" w:rsidR="001024DD" w:rsidRPr="00822F69" w:rsidRDefault="001024DD" w:rsidP="000F70F7">
            <w:pPr>
              <w:rPr>
                <w:color w:val="000000"/>
                <w:sz w:val="21"/>
                <w:szCs w:val="21"/>
              </w:rPr>
            </w:pPr>
          </w:p>
        </w:tc>
        <w:tc>
          <w:tcPr>
            <w:tcW w:w="570" w:type="dxa"/>
            <w:gridSpan w:val="2"/>
            <w:shd w:val="clear" w:color="auto" w:fill="FFFFFF"/>
          </w:tcPr>
          <w:p w14:paraId="428BDDAA" w14:textId="77777777" w:rsidR="001024DD" w:rsidRPr="00822F69" w:rsidRDefault="001024DD" w:rsidP="000F70F7">
            <w:pPr>
              <w:rPr>
                <w:color w:val="000000"/>
                <w:sz w:val="21"/>
                <w:szCs w:val="21"/>
              </w:rPr>
            </w:pPr>
          </w:p>
        </w:tc>
        <w:tc>
          <w:tcPr>
            <w:tcW w:w="570" w:type="dxa"/>
            <w:gridSpan w:val="2"/>
            <w:shd w:val="clear" w:color="auto" w:fill="FFFFFF"/>
          </w:tcPr>
          <w:p w14:paraId="0AC3A511" w14:textId="77777777" w:rsidR="001024DD" w:rsidRPr="00822F69" w:rsidRDefault="001024DD" w:rsidP="000F70F7">
            <w:pPr>
              <w:rPr>
                <w:color w:val="000000"/>
                <w:sz w:val="21"/>
                <w:szCs w:val="21"/>
              </w:rPr>
            </w:pPr>
          </w:p>
        </w:tc>
        <w:tc>
          <w:tcPr>
            <w:tcW w:w="569" w:type="dxa"/>
            <w:gridSpan w:val="4"/>
            <w:shd w:val="clear" w:color="auto" w:fill="FFFFFF"/>
          </w:tcPr>
          <w:p w14:paraId="0EA03CA5" w14:textId="77777777" w:rsidR="001024DD" w:rsidRPr="00822F69" w:rsidRDefault="001024DD" w:rsidP="000F70F7">
            <w:pPr>
              <w:rPr>
                <w:color w:val="000000"/>
                <w:sz w:val="21"/>
                <w:szCs w:val="21"/>
              </w:rPr>
            </w:pPr>
          </w:p>
        </w:tc>
        <w:tc>
          <w:tcPr>
            <w:tcW w:w="570" w:type="dxa"/>
            <w:gridSpan w:val="2"/>
            <w:shd w:val="clear" w:color="auto" w:fill="FFFFFF"/>
          </w:tcPr>
          <w:p w14:paraId="344333A6" w14:textId="77777777" w:rsidR="001024DD" w:rsidRPr="00822F69" w:rsidRDefault="001024DD" w:rsidP="000F70F7">
            <w:pPr>
              <w:rPr>
                <w:color w:val="000000"/>
                <w:sz w:val="21"/>
                <w:szCs w:val="21"/>
              </w:rPr>
            </w:pPr>
          </w:p>
        </w:tc>
        <w:tc>
          <w:tcPr>
            <w:tcW w:w="570" w:type="dxa"/>
            <w:shd w:val="clear" w:color="auto" w:fill="FFFFFF"/>
          </w:tcPr>
          <w:p w14:paraId="11213981" w14:textId="77777777" w:rsidR="001024DD" w:rsidRPr="00822F69" w:rsidRDefault="001024DD" w:rsidP="000F70F7">
            <w:pPr>
              <w:rPr>
                <w:color w:val="000000"/>
                <w:sz w:val="21"/>
                <w:szCs w:val="21"/>
              </w:rPr>
            </w:pPr>
          </w:p>
        </w:tc>
        <w:tc>
          <w:tcPr>
            <w:tcW w:w="570" w:type="dxa"/>
            <w:gridSpan w:val="2"/>
            <w:shd w:val="clear" w:color="auto" w:fill="FFFFFF"/>
          </w:tcPr>
          <w:p w14:paraId="42A7C74E" w14:textId="77777777" w:rsidR="001024DD" w:rsidRPr="00822F69" w:rsidRDefault="001024DD" w:rsidP="000F70F7">
            <w:pPr>
              <w:rPr>
                <w:color w:val="000000"/>
                <w:sz w:val="21"/>
                <w:szCs w:val="21"/>
              </w:rPr>
            </w:pPr>
          </w:p>
        </w:tc>
        <w:tc>
          <w:tcPr>
            <w:tcW w:w="569" w:type="dxa"/>
            <w:gridSpan w:val="3"/>
            <w:shd w:val="clear" w:color="auto" w:fill="FFFFFF"/>
          </w:tcPr>
          <w:p w14:paraId="3995D314" w14:textId="77777777" w:rsidR="001024DD" w:rsidRPr="00822F69" w:rsidRDefault="001024DD" w:rsidP="000F70F7">
            <w:pPr>
              <w:rPr>
                <w:color w:val="000000"/>
                <w:sz w:val="21"/>
                <w:szCs w:val="21"/>
              </w:rPr>
            </w:pPr>
          </w:p>
        </w:tc>
        <w:tc>
          <w:tcPr>
            <w:tcW w:w="570" w:type="dxa"/>
            <w:gridSpan w:val="2"/>
            <w:shd w:val="clear" w:color="auto" w:fill="FFFFFF"/>
          </w:tcPr>
          <w:p w14:paraId="43CF74A4" w14:textId="77777777" w:rsidR="001024DD" w:rsidRPr="00822F69" w:rsidRDefault="001024DD" w:rsidP="000F70F7">
            <w:pPr>
              <w:rPr>
                <w:color w:val="000000"/>
                <w:sz w:val="21"/>
                <w:szCs w:val="21"/>
              </w:rPr>
            </w:pPr>
          </w:p>
        </w:tc>
        <w:tc>
          <w:tcPr>
            <w:tcW w:w="570" w:type="dxa"/>
            <w:gridSpan w:val="2"/>
            <w:shd w:val="clear" w:color="auto" w:fill="FFFFFF"/>
          </w:tcPr>
          <w:p w14:paraId="08BA9145" w14:textId="77777777" w:rsidR="001024DD" w:rsidRPr="00822F69" w:rsidRDefault="001024DD" w:rsidP="000F70F7">
            <w:pPr>
              <w:rPr>
                <w:color w:val="000000"/>
                <w:sz w:val="21"/>
                <w:szCs w:val="21"/>
              </w:rPr>
            </w:pPr>
          </w:p>
        </w:tc>
        <w:tc>
          <w:tcPr>
            <w:tcW w:w="570" w:type="dxa"/>
            <w:shd w:val="clear" w:color="auto" w:fill="FFFFFF"/>
          </w:tcPr>
          <w:p w14:paraId="7863C7CC" w14:textId="77777777" w:rsidR="001024DD" w:rsidRPr="00822F69" w:rsidRDefault="001024DD" w:rsidP="000F70F7">
            <w:pPr>
              <w:rPr>
                <w:color w:val="000000"/>
                <w:sz w:val="21"/>
                <w:szCs w:val="21"/>
              </w:rPr>
            </w:pPr>
          </w:p>
        </w:tc>
        <w:tc>
          <w:tcPr>
            <w:tcW w:w="1547" w:type="dxa"/>
            <w:gridSpan w:val="3"/>
            <w:shd w:val="clear" w:color="auto" w:fill="FFFFFF"/>
          </w:tcPr>
          <w:p w14:paraId="26F4E51B" w14:textId="77777777" w:rsidR="001024DD" w:rsidRPr="00822F69" w:rsidRDefault="001024DD" w:rsidP="000F70F7">
            <w:pPr>
              <w:rPr>
                <w:color w:val="000000"/>
                <w:sz w:val="21"/>
                <w:szCs w:val="21"/>
              </w:rPr>
            </w:pPr>
          </w:p>
        </w:tc>
      </w:tr>
      <w:tr w:rsidR="001024DD" w:rsidRPr="00822F69" w14:paraId="2C308815" w14:textId="77777777" w:rsidTr="000F70F7">
        <w:trPr>
          <w:trHeight w:val="330"/>
        </w:trPr>
        <w:tc>
          <w:tcPr>
            <w:tcW w:w="3133" w:type="dxa"/>
            <w:gridSpan w:val="4"/>
            <w:shd w:val="clear" w:color="auto" w:fill="FFFFFF"/>
            <w:vAlign w:val="center"/>
          </w:tcPr>
          <w:p w14:paraId="2EC84530" w14:textId="77777777" w:rsidR="001024DD" w:rsidRPr="00822F69" w:rsidRDefault="001024DD" w:rsidP="000F70F7">
            <w:pPr>
              <w:rPr>
                <w:color w:val="000000"/>
                <w:sz w:val="21"/>
                <w:szCs w:val="21"/>
              </w:rPr>
            </w:pPr>
            <w:r w:rsidRPr="00822F69">
              <w:rPr>
                <w:b/>
                <w:color w:val="000000"/>
                <w:sz w:val="21"/>
                <w:szCs w:val="21"/>
              </w:rPr>
              <w:t>Wydatki ogółem</w:t>
            </w:r>
          </w:p>
        </w:tc>
        <w:tc>
          <w:tcPr>
            <w:tcW w:w="569" w:type="dxa"/>
            <w:gridSpan w:val="2"/>
            <w:shd w:val="clear" w:color="auto" w:fill="FFFFFF"/>
          </w:tcPr>
          <w:p w14:paraId="54130D24"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79EBFB96"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6D1F9DB4" w14:textId="77777777" w:rsidR="001024DD" w:rsidRPr="00822F69" w:rsidRDefault="001024DD" w:rsidP="000F70F7">
            <w:pPr>
              <w:jc w:val="center"/>
              <w:rPr>
                <w:color w:val="000000"/>
                <w:sz w:val="21"/>
                <w:szCs w:val="21"/>
              </w:rPr>
            </w:pPr>
            <w:r w:rsidRPr="00822F69">
              <w:rPr>
                <w:color w:val="000000"/>
                <w:sz w:val="21"/>
                <w:szCs w:val="21"/>
              </w:rPr>
              <w:t>0</w:t>
            </w:r>
          </w:p>
        </w:tc>
        <w:tc>
          <w:tcPr>
            <w:tcW w:w="569" w:type="dxa"/>
            <w:gridSpan w:val="4"/>
            <w:shd w:val="clear" w:color="auto" w:fill="FFFFFF"/>
          </w:tcPr>
          <w:p w14:paraId="70F1F81A"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0DC7E513"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shd w:val="clear" w:color="auto" w:fill="FFFFFF"/>
          </w:tcPr>
          <w:p w14:paraId="48ABC578"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00C375F2" w14:textId="77777777" w:rsidR="001024DD" w:rsidRPr="00822F69" w:rsidRDefault="001024DD" w:rsidP="000F70F7">
            <w:pPr>
              <w:jc w:val="center"/>
              <w:rPr>
                <w:color w:val="000000"/>
                <w:sz w:val="21"/>
                <w:szCs w:val="21"/>
              </w:rPr>
            </w:pPr>
            <w:r w:rsidRPr="00822F69">
              <w:rPr>
                <w:color w:val="000000"/>
                <w:sz w:val="21"/>
                <w:szCs w:val="21"/>
              </w:rPr>
              <w:t>0</w:t>
            </w:r>
          </w:p>
        </w:tc>
        <w:tc>
          <w:tcPr>
            <w:tcW w:w="569" w:type="dxa"/>
            <w:gridSpan w:val="3"/>
            <w:shd w:val="clear" w:color="auto" w:fill="FFFFFF"/>
          </w:tcPr>
          <w:p w14:paraId="65908739"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74A08C64"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gridSpan w:val="2"/>
            <w:shd w:val="clear" w:color="auto" w:fill="FFFFFF"/>
          </w:tcPr>
          <w:p w14:paraId="4E36D934" w14:textId="77777777" w:rsidR="001024DD" w:rsidRPr="00822F69" w:rsidRDefault="001024DD" w:rsidP="000F70F7">
            <w:pPr>
              <w:jc w:val="center"/>
              <w:rPr>
                <w:color w:val="000000"/>
                <w:sz w:val="21"/>
                <w:szCs w:val="21"/>
              </w:rPr>
            </w:pPr>
            <w:r w:rsidRPr="00822F69">
              <w:rPr>
                <w:color w:val="000000"/>
                <w:sz w:val="21"/>
                <w:szCs w:val="21"/>
              </w:rPr>
              <w:t>0</w:t>
            </w:r>
          </w:p>
        </w:tc>
        <w:tc>
          <w:tcPr>
            <w:tcW w:w="570" w:type="dxa"/>
            <w:shd w:val="clear" w:color="auto" w:fill="FFFFFF"/>
          </w:tcPr>
          <w:p w14:paraId="293789EA" w14:textId="77777777" w:rsidR="001024DD" w:rsidRPr="00822F69" w:rsidRDefault="001024DD" w:rsidP="000F70F7">
            <w:pPr>
              <w:jc w:val="center"/>
              <w:rPr>
                <w:color w:val="000000"/>
                <w:sz w:val="21"/>
                <w:szCs w:val="21"/>
              </w:rPr>
            </w:pPr>
            <w:r w:rsidRPr="00822F69">
              <w:rPr>
                <w:color w:val="000000"/>
                <w:sz w:val="21"/>
                <w:szCs w:val="21"/>
              </w:rPr>
              <w:t>0</w:t>
            </w:r>
          </w:p>
        </w:tc>
        <w:tc>
          <w:tcPr>
            <w:tcW w:w="1547" w:type="dxa"/>
            <w:gridSpan w:val="3"/>
            <w:shd w:val="clear" w:color="auto" w:fill="FFFFFF"/>
          </w:tcPr>
          <w:p w14:paraId="52B2B0AC" w14:textId="77777777" w:rsidR="001024DD" w:rsidRPr="00822F69" w:rsidRDefault="001024DD" w:rsidP="000F70F7">
            <w:pPr>
              <w:jc w:val="center"/>
              <w:rPr>
                <w:color w:val="000000"/>
                <w:sz w:val="21"/>
                <w:szCs w:val="21"/>
              </w:rPr>
            </w:pPr>
            <w:r w:rsidRPr="00822F69">
              <w:rPr>
                <w:color w:val="000000"/>
                <w:sz w:val="21"/>
                <w:szCs w:val="21"/>
              </w:rPr>
              <w:t>0 zł</w:t>
            </w:r>
          </w:p>
        </w:tc>
      </w:tr>
      <w:tr w:rsidR="001024DD" w:rsidRPr="00822F69" w14:paraId="277AEB4D" w14:textId="77777777" w:rsidTr="000F70F7">
        <w:trPr>
          <w:trHeight w:val="330"/>
        </w:trPr>
        <w:tc>
          <w:tcPr>
            <w:tcW w:w="3133" w:type="dxa"/>
            <w:gridSpan w:val="4"/>
            <w:shd w:val="clear" w:color="auto" w:fill="FFFFFF"/>
            <w:vAlign w:val="center"/>
          </w:tcPr>
          <w:p w14:paraId="5CE1600C" w14:textId="77777777" w:rsidR="001024DD" w:rsidRPr="00822F69" w:rsidRDefault="001024DD" w:rsidP="000F70F7">
            <w:pPr>
              <w:rPr>
                <w:color w:val="000000"/>
                <w:sz w:val="21"/>
                <w:szCs w:val="21"/>
              </w:rPr>
            </w:pPr>
            <w:r w:rsidRPr="00822F69">
              <w:rPr>
                <w:color w:val="000000"/>
                <w:sz w:val="21"/>
                <w:szCs w:val="21"/>
              </w:rPr>
              <w:t>budżet państwa</w:t>
            </w:r>
          </w:p>
        </w:tc>
        <w:tc>
          <w:tcPr>
            <w:tcW w:w="569" w:type="dxa"/>
            <w:gridSpan w:val="2"/>
            <w:shd w:val="clear" w:color="auto" w:fill="FFFFFF"/>
          </w:tcPr>
          <w:p w14:paraId="4D2EA512" w14:textId="77777777" w:rsidR="001024DD" w:rsidRPr="00822F69" w:rsidRDefault="001024DD" w:rsidP="000F70F7">
            <w:pPr>
              <w:rPr>
                <w:color w:val="000000"/>
                <w:sz w:val="21"/>
                <w:szCs w:val="21"/>
              </w:rPr>
            </w:pPr>
          </w:p>
        </w:tc>
        <w:tc>
          <w:tcPr>
            <w:tcW w:w="570" w:type="dxa"/>
            <w:gridSpan w:val="2"/>
            <w:shd w:val="clear" w:color="auto" w:fill="FFFFFF"/>
          </w:tcPr>
          <w:p w14:paraId="117F6EEC" w14:textId="77777777" w:rsidR="001024DD" w:rsidRPr="00822F69" w:rsidRDefault="001024DD" w:rsidP="000F70F7">
            <w:pPr>
              <w:rPr>
                <w:color w:val="000000"/>
                <w:sz w:val="21"/>
                <w:szCs w:val="21"/>
              </w:rPr>
            </w:pPr>
          </w:p>
        </w:tc>
        <w:tc>
          <w:tcPr>
            <w:tcW w:w="570" w:type="dxa"/>
            <w:gridSpan w:val="2"/>
            <w:shd w:val="clear" w:color="auto" w:fill="FFFFFF"/>
          </w:tcPr>
          <w:p w14:paraId="60CEFCDE" w14:textId="77777777" w:rsidR="001024DD" w:rsidRPr="00822F69" w:rsidRDefault="001024DD" w:rsidP="000F70F7">
            <w:pPr>
              <w:rPr>
                <w:color w:val="000000"/>
                <w:sz w:val="21"/>
                <w:szCs w:val="21"/>
              </w:rPr>
            </w:pPr>
          </w:p>
        </w:tc>
        <w:tc>
          <w:tcPr>
            <w:tcW w:w="569" w:type="dxa"/>
            <w:gridSpan w:val="4"/>
            <w:shd w:val="clear" w:color="auto" w:fill="FFFFFF"/>
          </w:tcPr>
          <w:p w14:paraId="7FC7C622" w14:textId="77777777" w:rsidR="001024DD" w:rsidRPr="00822F69" w:rsidRDefault="001024DD" w:rsidP="000F70F7">
            <w:pPr>
              <w:rPr>
                <w:color w:val="000000"/>
                <w:sz w:val="21"/>
                <w:szCs w:val="21"/>
              </w:rPr>
            </w:pPr>
          </w:p>
        </w:tc>
        <w:tc>
          <w:tcPr>
            <w:tcW w:w="570" w:type="dxa"/>
            <w:gridSpan w:val="2"/>
            <w:shd w:val="clear" w:color="auto" w:fill="FFFFFF"/>
          </w:tcPr>
          <w:p w14:paraId="2E08FF5D" w14:textId="77777777" w:rsidR="001024DD" w:rsidRPr="00822F69" w:rsidRDefault="001024DD" w:rsidP="000F70F7">
            <w:pPr>
              <w:rPr>
                <w:color w:val="000000"/>
                <w:sz w:val="21"/>
                <w:szCs w:val="21"/>
              </w:rPr>
            </w:pPr>
          </w:p>
        </w:tc>
        <w:tc>
          <w:tcPr>
            <w:tcW w:w="570" w:type="dxa"/>
            <w:shd w:val="clear" w:color="auto" w:fill="FFFFFF"/>
          </w:tcPr>
          <w:p w14:paraId="2A3953C0" w14:textId="77777777" w:rsidR="001024DD" w:rsidRPr="00822F69" w:rsidRDefault="001024DD" w:rsidP="000F70F7">
            <w:pPr>
              <w:rPr>
                <w:color w:val="000000"/>
                <w:sz w:val="21"/>
                <w:szCs w:val="21"/>
              </w:rPr>
            </w:pPr>
          </w:p>
        </w:tc>
        <w:tc>
          <w:tcPr>
            <w:tcW w:w="570" w:type="dxa"/>
            <w:gridSpan w:val="2"/>
            <w:shd w:val="clear" w:color="auto" w:fill="FFFFFF"/>
          </w:tcPr>
          <w:p w14:paraId="744EB2BB" w14:textId="77777777" w:rsidR="001024DD" w:rsidRPr="00822F69" w:rsidRDefault="001024DD" w:rsidP="000F70F7">
            <w:pPr>
              <w:rPr>
                <w:color w:val="000000"/>
                <w:sz w:val="21"/>
                <w:szCs w:val="21"/>
              </w:rPr>
            </w:pPr>
          </w:p>
        </w:tc>
        <w:tc>
          <w:tcPr>
            <w:tcW w:w="569" w:type="dxa"/>
            <w:gridSpan w:val="3"/>
            <w:shd w:val="clear" w:color="auto" w:fill="FFFFFF"/>
          </w:tcPr>
          <w:p w14:paraId="0A2BA2CD" w14:textId="77777777" w:rsidR="001024DD" w:rsidRPr="00822F69" w:rsidRDefault="001024DD" w:rsidP="000F70F7">
            <w:pPr>
              <w:rPr>
                <w:color w:val="000000"/>
                <w:sz w:val="21"/>
                <w:szCs w:val="21"/>
              </w:rPr>
            </w:pPr>
          </w:p>
        </w:tc>
        <w:tc>
          <w:tcPr>
            <w:tcW w:w="570" w:type="dxa"/>
            <w:gridSpan w:val="2"/>
            <w:shd w:val="clear" w:color="auto" w:fill="FFFFFF"/>
          </w:tcPr>
          <w:p w14:paraId="4711577B" w14:textId="77777777" w:rsidR="001024DD" w:rsidRPr="00822F69" w:rsidRDefault="001024DD" w:rsidP="000F70F7">
            <w:pPr>
              <w:rPr>
                <w:color w:val="000000"/>
                <w:sz w:val="21"/>
                <w:szCs w:val="21"/>
              </w:rPr>
            </w:pPr>
          </w:p>
        </w:tc>
        <w:tc>
          <w:tcPr>
            <w:tcW w:w="570" w:type="dxa"/>
            <w:gridSpan w:val="2"/>
            <w:shd w:val="clear" w:color="auto" w:fill="FFFFFF"/>
          </w:tcPr>
          <w:p w14:paraId="7F55EEAF" w14:textId="77777777" w:rsidR="001024DD" w:rsidRPr="00822F69" w:rsidRDefault="001024DD" w:rsidP="000F70F7">
            <w:pPr>
              <w:rPr>
                <w:color w:val="000000"/>
                <w:sz w:val="21"/>
                <w:szCs w:val="21"/>
              </w:rPr>
            </w:pPr>
          </w:p>
        </w:tc>
        <w:tc>
          <w:tcPr>
            <w:tcW w:w="570" w:type="dxa"/>
            <w:shd w:val="clear" w:color="auto" w:fill="FFFFFF"/>
          </w:tcPr>
          <w:p w14:paraId="1EB2AA16" w14:textId="77777777" w:rsidR="001024DD" w:rsidRPr="00822F69" w:rsidRDefault="001024DD" w:rsidP="000F70F7">
            <w:pPr>
              <w:rPr>
                <w:color w:val="000000"/>
                <w:sz w:val="21"/>
                <w:szCs w:val="21"/>
              </w:rPr>
            </w:pPr>
          </w:p>
        </w:tc>
        <w:tc>
          <w:tcPr>
            <w:tcW w:w="1547" w:type="dxa"/>
            <w:gridSpan w:val="3"/>
            <w:shd w:val="clear" w:color="auto" w:fill="FFFFFF"/>
          </w:tcPr>
          <w:p w14:paraId="4733C0DE" w14:textId="77777777" w:rsidR="001024DD" w:rsidRPr="00822F69" w:rsidRDefault="001024DD" w:rsidP="000F70F7">
            <w:pPr>
              <w:rPr>
                <w:color w:val="000000"/>
                <w:sz w:val="21"/>
                <w:szCs w:val="21"/>
              </w:rPr>
            </w:pPr>
          </w:p>
        </w:tc>
      </w:tr>
      <w:tr w:rsidR="001024DD" w:rsidRPr="00822F69" w14:paraId="5D86D7FC" w14:textId="77777777" w:rsidTr="000F70F7">
        <w:trPr>
          <w:trHeight w:val="351"/>
        </w:trPr>
        <w:tc>
          <w:tcPr>
            <w:tcW w:w="3133" w:type="dxa"/>
            <w:gridSpan w:val="4"/>
            <w:shd w:val="clear" w:color="auto" w:fill="FFFFFF"/>
            <w:vAlign w:val="center"/>
          </w:tcPr>
          <w:p w14:paraId="31A1BCF8" w14:textId="77777777" w:rsidR="001024DD" w:rsidRPr="00822F69" w:rsidRDefault="001024DD" w:rsidP="000F70F7">
            <w:pPr>
              <w:rPr>
                <w:color w:val="000000"/>
                <w:sz w:val="21"/>
                <w:szCs w:val="21"/>
              </w:rPr>
            </w:pPr>
            <w:r w:rsidRPr="00822F69">
              <w:rPr>
                <w:color w:val="000000"/>
                <w:sz w:val="21"/>
                <w:szCs w:val="21"/>
              </w:rPr>
              <w:t>JST</w:t>
            </w:r>
          </w:p>
        </w:tc>
        <w:tc>
          <w:tcPr>
            <w:tcW w:w="569" w:type="dxa"/>
            <w:gridSpan w:val="2"/>
            <w:shd w:val="clear" w:color="auto" w:fill="FFFFFF"/>
          </w:tcPr>
          <w:p w14:paraId="24DB4153" w14:textId="77777777" w:rsidR="001024DD" w:rsidRPr="00822F69" w:rsidRDefault="001024DD" w:rsidP="000F70F7">
            <w:pPr>
              <w:rPr>
                <w:color w:val="000000"/>
                <w:sz w:val="21"/>
                <w:szCs w:val="21"/>
              </w:rPr>
            </w:pPr>
          </w:p>
        </w:tc>
        <w:tc>
          <w:tcPr>
            <w:tcW w:w="570" w:type="dxa"/>
            <w:gridSpan w:val="2"/>
            <w:shd w:val="clear" w:color="auto" w:fill="FFFFFF"/>
          </w:tcPr>
          <w:p w14:paraId="0A65CEB8" w14:textId="77777777" w:rsidR="001024DD" w:rsidRPr="00822F69" w:rsidRDefault="001024DD" w:rsidP="000F70F7">
            <w:pPr>
              <w:rPr>
                <w:color w:val="000000"/>
                <w:sz w:val="21"/>
                <w:szCs w:val="21"/>
              </w:rPr>
            </w:pPr>
          </w:p>
        </w:tc>
        <w:tc>
          <w:tcPr>
            <w:tcW w:w="570" w:type="dxa"/>
            <w:gridSpan w:val="2"/>
            <w:shd w:val="clear" w:color="auto" w:fill="FFFFFF"/>
          </w:tcPr>
          <w:p w14:paraId="7EB819D8" w14:textId="77777777" w:rsidR="001024DD" w:rsidRPr="00822F69" w:rsidRDefault="001024DD" w:rsidP="000F70F7">
            <w:pPr>
              <w:rPr>
                <w:color w:val="000000"/>
                <w:sz w:val="21"/>
                <w:szCs w:val="21"/>
              </w:rPr>
            </w:pPr>
          </w:p>
        </w:tc>
        <w:tc>
          <w:tcPr>
            <w:tcW w:w="569" w:type="dxa"/>
            <w:gridSpan w:val="4"/>
            <w:shd w:val="clear" w:color="auto" w:fill="FFFFFF"/>
          </w:tcPr>
          <w:p w14:paraId="77C46BBA" w14:textId="77777777" w:rsidR="001024DD" w:rsidRPr="00822F69" w:rsidRDefault="001024DD" w:rsidP="000F70F7">
            <w:pPr>
              <w:rPr>
                <w:color w:val="000000"/>
                <w:sz w:val="21"/>
                <w:szCs w:val="21"/>
              </w:rPr>
            </w:pPr>
          </w:p>
        </w:tc>
        <w:tc>
          <w:tcPr>
            <w:tcW w:w="570" w:type="dxa"/>
            <w:gridSpan w:val="2"/>
            <w:shd w:val="clear" w:color="auto" w:fill="FFFFFF"/>
          </w:tcPr>
          <w:p w14:paraId="4565ACF1" w14:textId="77777777" w:rsidR="001024DD" w:rsidRPr="00822F69" w:rsidRDefault="001024DD" w:rsidP="000F70F7">
            <w:pPr>
              <w:rPr>
                <w:color w:val="000000"/>
                <w:sz w:val="21"/>
                <w:szCs w:val="21"/>
              </w:rPr>
            </w:pPr>
          </w:p>
        </w:tc>
        <w:tc>
          <w:tcPr>
            <w:tcW w:w="570" w:type="dxa"/>
            <w:shd w:val="clear" w:color="auto" w:fill="FFFFFF"/>
          </w:tcPr>
          <w:p w14:paraId="68A86274" w14:textId="77777777" w:rsidR="001024DD" w:rsidRPr="00822F69" w:rsidRDefault="001024DD" w:rsidP="000F70F7">
            <w:pPr>
              <w:rPr>
                <w:color w:val="000000"/>
                <w:sz w:val="21"/>
                <w:szCs w:val="21"/>
              </w:rPr>
            </w:pPr>
          </w:p>
        </w:tc>
        <w:tc>
          <w:tcPr>
            <w:tcW w:w="570" w:type="dxa"/>
            <w:gridSpan w:val="2"/>
            <w:shd w:val="clear" w:color="auto" w:fill="FFFFFF"/>
          </w:tcPr>
          <w:p w14:paraId="1ED5F23B" w14:textId="77777777" w:rsidR="001024DD" w:rsidRPr="00822F69" w:rsidRDefault="001024DD" w:rsidP="000F70F7">
            <w:pPr>
              <w:rPr>
                <w:color w:val="000000"/>
                <w:sz w:val="21"/>
                <w:szCs w:val="21"/>
              </w:rPr>
            </w:pPr>
          </w:p>
        </w:tc>
        <w:tc>
          <w:tcPr>
            <w:tcW w:w="569" w:type="dxa"/>
            <w:gridSpan w:val="3"/>
            <w:shd w:val="clear" w:color="auto" w:fill="FFFFFF"/>
          </w:tcPr>
          <w:p w14:paraId="10BA7F1A" w14:textId="77777777" w:rsidR="001024DD" w:rsidRPr="00822F69" w:rsidRDefault="001024DD" w:rsidP="000F70F7">
            <w:pPr>
              <w:rPr>
                <w:color w:val="000000"/>
                <w:sz w:val="21"/>
                <w:szCs w:val="21"/>
              </w:rPr>
            </w:pPr>
          </w:p>
        </w:tc>
        <w:tc>
          <w:tcPr>
            <w:tcW w:w="570" w:type="dxa"/>
            <w:gridSpan w:val="2"/>
            <w:shd w:val="clear" w:color="auto" w:fill="FFFFFF"/>
          </w:tcPr>
          <w:p w14:paraId="5DAACEBA" w14:textId="77777777" w:rsidR="001024DD" w:rsidRPr="00822F69" w:rsidRDefault="001024DD" w:rsidP="000F70F7">
            <w:pPr>
              <w:rPr>
                <w:color w:val="000000"/>
                <w:sz w:val="21"/>
                <w:szCs w:val="21"/>
              </w:rPr>
            </w:pPr>
          </w:p>
        </w:tc>
        <w:tc>
          <w:tcPr>
            <w:tcW w:w="570" w:type="dxa"/>
            <w:gridSpan w:val="2"/>
            <w:shd w:val="clear" w:color="auto" w:fill="FFFFFF"/>
          </w:tcPr>
          <w:p w14:paraId="7CC99DF1" w14:textId="77777777" w:rsidR="001024DD" w:rsidRPr="00822F69" w:rsidRDefault="001024DD" w:rsidP="000F70F7">
            <w:pPr>
              <w:rPr>
                <w:color w:val="000000"/>
                <w:sz w:val="21"/>
                <w:szCs w:val="21"/>
              </w:rPr>
            </w:pPr>
          </w:p>
        </w:tc>
        <w:tc>
          <w:tcPr>
            <w:tcW w:w="570" w:type="dxa"/>
            <w:shd w:val="clear" w:color="auto" w:fill="FFFFFF"/>
          </w:tcPr>
          <w:p w14:paraId="5DBD27BA" w14:textId="77777777" w:rsidR="001024DD" w:rsidRPr="00822F69" w:rsidRDefault="001024DD" w:rsidP="000F70F7">
            <w:pPr>
              <w:rPr>
                <w:color w:val="000000"/>
                <w:sz w:val="21"/>
                <w:szCs w:val="21"/>
              </w:rPr>
            </w:pPr>
          </w:p>
        </w:tc>
        <w:tc>
          <w:tcPr>
            <w:tcW w:w="1547" w:type="dxa"/>
            <w:gridSpan w:val="3"/>
            <w:shd w:val="clear" w:color="auto" w:fill="FFFFFF"/>
          </w:tcPr>
          <w:p w14:paraId="3CA9EA1B" w14:textId="77777777" w:rsidR="001024DD" w:rsidRPr="00822F69" w:rsidRDefault="001024DD" w:rsidP="000F70F7">
            <w:pPr>
              <w:rPr>
                <w:color w:val="000000"/>
                <w:sz w:val="21"/>
                <w:szCs w:val="21"/>
              </w:rPr>
            </w:pPr>
          </w:p>
        </w:tc>
      </w:tr>
      <w:tr w:rsidR="001024DD" w:rsidRPr="00822F69" w14:paraId="3B7EDBF0" w14:textId="77777777" w:rsidTr="000F70F7">
        <w:trPr>
          <w:trHeight w:val="351"/>
        </w:trPr>
        <w:tc>
          <w:tcPr>
            <w:tcW w:w="3133" w:type="dxa"/>
            <w:gridSpan w:val="4"/>
            <w:shd w:val="clear" w:color="auto" w:fill="FFFFFF"/>
            <w:vAlign w:val="center"/>
          </w:tcPr>
          <w:p w14:paraId="1918D802" w14:textId="77777777" w:rsidR="001024DD" w:rsidRPr="00822F69" w:rsidRDefault="001024DD" w:rsidP="000F70F7">
            <w:pPr>
              <w:rPr>
                <w:color w:val="000000"/>
                <w:sz w:val="21"/>
                <w:szCs w:val="21"/>
              </w:rPr>
            </w:pPr>
            <w:r w:rsidRPr="00822F69">
              <w:rPr>
                <w:color w:val="000000"/>
                <w:sz w:val="21"/>
                <w:szCs w:val="21"/>
              </w:rPr>
              <w:t>pozostałe jednostki (oddzielnie)</w:t>
            </w:r>
          </w:p>
        </w:tc>
        <w:tc>
          <w:tcPr>
            <w:tcW w:w="569" w:type="dxa"/>
            <w:gridSpan w:val="2"/>
            <w:shd w:val="clear" w:color="auto" w:fill="FFFFFF"/>
          </w:tcPr>
          <w:p w14:paraId="6923890F" w14:textId="77777777" w:rsidR="001024DD" w:rsidRPr="00822F69" w:rsidRDefault="001024DD" w:rsidP="000F70F7">
            <w:pPr>
              <w:rPr>
                <w:color w:val="000000"/>
                <w:sz w:val="21"/>
                <w:szCs w:val="21"/>
              </w:rPr>
            </w:pPr>
          </w:p>
        </w:tc>
        <w:tc>
          <w:tcPr>
            <w:tcW w:w="570" w:type="dxa"/>
            <w:gridSpan w:val="2"/>
            <w:shd w:val="clear" w:color="auto" w:fill="FFFFFF"/>
          </w:tcPr>
          <w:p w14:paraId="134DF778" w14:textId="77777777" w:rsidR="001024DD" w:rsidRPr="00822F69" w:rsidRDefault="001024DD" w:rsidP="000F70F7">
            <w:pPr>
              <w:rPr>
                <w:color w:val="000000"/>
                <w:sz w:val="21"/>
                <w:szCs w:val="21"/>
              </w:rPr>
            </w:pPr>
          </w:p>
        </w:tc>
        <w:tc>
          <w:tcPr>
            <w:tcW w:w="570" w:type="dxa"/>
            <w:gridSpan w:val="2"/>
            <w:shd w:val="clear" w:color="auto" w:fill="FFFFFF"/>
          </w:tcPr>
          <w:p w14:paraId="311B631A" w14:textId="77777777" w:rsidR="001024DD" w:rsidRPr="00822F69" w:rsidRDefault="001024DD" w:rsidP="000F70F7">
            <w:pPr>
              <w:rPr>
                <w:color w:val="000000"/>
                <w:sz w:val="21"/>
                <w:szCs w:val="21"/>
              </w:rPr>
            </w:pPr>
          </w:p>
        </w:tc>
        <w:tc>
          <w:tcPr>
            <w:tcW w:w="569" w:type="dxa"/>
            <w:gridSpan w:val="4"/>
            <w:shd w:val="clear" w:color="auto" w:fill="FFFFFF"/>
          </w:tcPr>
          <w:p w14:paraId="02B5B23E" w14:textId="77777777" w:rsidR="001024DD" w:rsidRPr="00822F69" w:rsidRDefault="001024DD" w:rsidP="000F70F7">
            <w:pPr>
              <w:rPr>
                <w:color w:val="000000"/>
                <w:sz w:val="21"/>
                <w:szCs w:val="21"/>
              </w:rPr>
            </w:pPr>
          </w:p>
        </w:tc>
        <w:tc>
          <w:tcPr>
            <w:tcW w:w="570" w:type="dxa"/>
            <w:gridSpan w:val="2"/>
            <w:shd w:val="clear" w:color="auto" w:fill="FFFFFF"/>
          </w:tcPr>
          <w:p w14:paraId="0F83A72E" w14:textId="77777777" w:rsidR="001024DD" w:rsidRPr="00822F69" w:rsidRDefault="001024DD" w:rsidP="000F70F7">
            <w:pPr>
              <w:rPr>
                <w:color w:val="000000"/>
                <w:sz w:val="21"/>
                <w:szCs w:val="21"/>
              </w:rPr>
            </w:pPr>
          </w:p>
        </w:tc>
        <w:tc>
          <w:tcPr>
            <w:tcW w:w="570" w:type="dxa"/>
            <w:shd w:val="clear" w:color="auto" w:fill="FFFFFF"/>
          </w:tcPr>
          <w:p w14:paraId="48B13B19" w14:textId="77777777" w:rsidR="001024DD" w:rsidRPr="00822F69" w:rsidRDefault="001024DD" w:rsidP="000F70F7">
            <w:pPr>
              <w:rPr>
                <w:color w:val="000000"/>
                <w:sz w:val="21"/>
                <w:szCs w:val="21"/>
              </w:rPr>
            </w:pPr>
          </w:p>
        </w:tc>
        <w:tc>
          <w:tcPr>
            <w:tcW w:w="570" w:type="dxa"/>
            <w:gridSpan w:val="2"/>
            <w:shd w:val="clear" w:color="auto" w:fill="FFFFFF"/>
          </w:tcPr>
          <w:p w14:paraId="5234FF14" w14:textId="77777777" w:rsidR="001024DD" w:rsidRPr="00822F69" w:rsidRDefault="001024DD" w:rsidP="000F70F7">
            <w:pPr>
              <w:rPr>
                <w:color w:val="000000"/>
                <w:sz w:val="21"/>
                <w:szCs w:val="21"/>
              </w:rPr>
            </w:pPr>
          </w:p>
        </w:tc>
        <w:tc>
          <w:tcPr>
            <w:tcW w:w="569" w:type="dxa"/>
            <w:gridSpan w:val="3"/>
            <w:shd w:val="clear" w:color="auto" w:fill="FFFFFF"/>
          </w:tcPr>
          <w:p w14:paraId="562A89AA" w14:textId="77777777" w:rsidR="001024DD" w:rsidRPr="00822F69" w:rsidRDefault="001024DD" w:rsidP="000F70F7">
            <w:pPr>
              <w:rPr>
                <w:color w:val="000000"/>
                <w:sz w:val="21"/>
                <w:szCs w:val="21"/>
              </w:rPr>
            </w:pPr>
          </w:p>
        </w:tc>
        <w:tc>
          <w:tcPr>
            <w:tcW w:w="570" w:type="dxa"/>
            <w:gridSpan w:val="2"/>
            <w:shd w:val="clear" w:color="auto" w:fill="FFFFFF"/>
          </w:tcPr>
          <w:p w14:paraId="38F03213" w14:textId="77777777" w:rsidR="001024DD" w:rsidRPr="00822F69" w:rsidRDefault="001024DD" w:rsidP="000F70F7">
            <w:pPr>
              <w:rPr>
                <w:color w:val="000000"/>
                <w:sz w:val="21"/>
                <w:szCs w:val="21"/>
              </w:rPr>
            </w:pPr>
          </w:p>
        </w:tc>
        <w:tc>
          <w:tcPr>
            <w:tcW w:w="570" w:type="dxa"/>
            <w:gridSpan w:val="2"/>
            <w:shd w:val="clear" w:color="auto" w:fill="FFFFFF"/>
          </w:tcPr>
          <w:p w14:paraId="71BDCB48" w14:textId="77777777" w:rsidR="001024DD" w:rsidRPr="00822F69" w:rsidRDefault="001024DD" w:rsidP="000F70F7">
            <w:pPr>
              <w:rPr>
                <w:color w:val="000000"/>
                <w:sz w:val="21"/>
                <w:szCs w:val="21"/>
              </w:rPr>
            </w:pPr>
          </w:p>
        </w:tc>
        <w:tc>
          <w:tcPr>
            <w:tcW w:w="570" w:type="dxa"/>
            <w:shd w:val="clear" w:color="auto" w:fill="FFFFFF"/>
          </w:tcPr>
          <w:p w14:paraId="192C74D5" w14:textId="77777777" w:rsidR="001024DD" w:rsidRPr="00822F69" w:rsidRDefault="001024DD" w:rsidP="000F70F7">
            <w:pPr>
              <w:rPr>
                <w:color w:val="000000"/>
                <w:sz w:val="21"/>
                <w:szCs w:val="21"/>
              </w:rPr>
            </w:pPr>
          </w:p>
        </w:tc>
        <w:tc>
          <w:tcPr>
            <w:tcW w:w="1547" w:type="dxa"/>
            <w:gridSpan w:val="3"/>
            <w:shd w:val="clear" w:color="auto" w:fill="FFFFFF"/>
          </w:tcPr>
          <w:p w14:paraId="598AC39A" w14:textId="77777777" w:rsidR="001024DD" w:rsidRPr="00822F69" w:rsidRDefault="001024DD" w:rsidP="000F70F7">
            <w:pPr>
              <w:rPr>
                <w:color w:val="000000"/>
                <w:sz w:val="21"/>
                <w:szCs w:val="21"/>
              </w:rPr>
            </w:pPr>
          </w:p>
        </w:tc>
      </w:tr>
      <w:tr w:rsidR="001024DD" w:rsidRPr="00822F69" w14:paraId="4AA5EA4C" w14:textId="77777777" w:rsidTr="000F70F7">
        <w:trPr>
          <w:trHeight w:val="360"/>
        </w:trPr>
        <w:tc>
          <w:tcPr>
            <w:tcW w:w="3133" w:type="dxa"/>
            <w:gridSpan w:val="4"/>
            <w:shd w:val="clear" w:color="auto" w:fill="FFFFFF"/>
            <w:vAlign w:val="center"/>
          </w:tcPr>
          <w:p w14:paraId="0CC85CBC" w14:textId="77777777" w:rsidR="001024DD" w:rsidRPr="00822F69" w:rsidRDefault="001024DD" w:rsidP="000F70F7">
            <w:pPr>
              <w:rPr>
                <w:color w:val="000000"/>
                <w:sz w:val="21"/>
                <w:szCs w:val="21"/>
              </w:rPr>
            </w:pPr>
            <w:r w:rsidRPr="00822F69">
              <w:rPr>
                <w:b/>
                <w:color w:val="000000"/>
                <w:sz w:val="21"/>
                <w:szCs w:val="21"/>
              </w:rPr>
              <w:t>Saldo ogółem</w:t>
            </w:r>
          </w:p>
        </w:tc>
        <w:tc>
          <w:tcPr>
            <w:tcW w:w="569" w:type="dxa"/>
            <w:gridSpan w:val="2"/>
            <w:shd w:val="clear" w:color="auto" w:fill="FFFFFF"/>
          </w:tcPr>
          <w:p w14:paraId="7D9A43E7" w14:textId="77777777" w:rsidR="001024DD" w:rsidRPr="00822F69" w:rsidRDefault="001024DD" w:rsidP="000F70F7">
            <w:pPr>
              <w:rPr>
                <w:color w:val="000000"/>
                <w:sz w:val="21"/>
                <w:szCs w:val="21"/>
              </w:rPr>
            </w:pPr>
            <w:r w:rsidRPr="00822F69">
              <w:rPr>
                <w:color w:val="000000"/>
                <w:sz w:val="18"/>
                <w:szCs w:val="18"/>
              </w:rPr>
              <w:t>0</w:t>
            </w:r>
          </w:p>
        </w:tc>
        <w:tc>
          <w:tcPr>
            <w:tcW w:w="570" w:type="dxa"/>
            <w:gridSpan w:val="2"/>
            <w:shd w:val="clear" w:color="auto" w:fill="FFFFFF"/>
          </w:tcPr>
          <w:p w14:paraId="222BEA2F" w14:textId="77777777" w:rsidR="001024DD" w:rsidRPr="00822F69" w:rsidRDefault="001024DD" w:rsidP="000F70F7">
            <w:pPr>
              <w:rPr>
                <w:color w:val="000000"/>
                <w:sz w:val="21"/>
                <w:szCs w:val="21"/>
              </w:rPr>
            </w:pPr>
            <w:r w:rsidRPr="00822F69">
              <w:rPr>
                <w:color w:val="000000"/>
                <w:sz w:val="18"/>
                <w:szCs w:val="18"/>
              </w:rPr>
              <w:t>0</w:t>
            </w:r>
          </w:p>
        </w:tc>
        <w:tc>
          <w:tcPr>
            <w:tcW w:w="570" w:type="dxa"/>
            <w:gridSpan w:val="2"/>
            <w:shd w:val="clear" w:color="auto" w:fill="FFFFFF"/>
          </w:tcPr>
          <w:p w14:paraId="09C3CAE5" w14:textId="77777777" w:rsidR="001024DD" w:rsidRPr="00822F69" w:rsidRDefault="001024DD" w:rsidP="000F70F7">
            <w:pPr>
              <w:rPr>
                <w:color w:val="000000"/>
                <w:sz w:val="21"/>
                <w:szCs w:val="21"/>
              </w:rPr>
            </w:pPr>
            <w:r w:rsidRPr="00822F69">
              <w:rPr>
                <w:color w:val="000000"/>
                <w:sz w:val="18"/>
                <w:szCs w:val="18"/>
              </w:rPr>
              <w:t>0</w:t>
            </w:r>
          </w:p>
        </w:tc>
        <w:tc>
          <w:tcPr>
            <w:tcW w:w="569" w:type="dxa"/>
            <w:gridSpan w:val="4"/>
            <w:shd w:val="clear" w:color="auto" w:fill="FFFFFF"/>
          </w:tcPr>
          <w:p w14:paraId="374B610C" w14:textId="77777777" w:rsidR="001024DD" w:rsidRPr="00822F69" w:rsidRDefault="001024DD" w:rsidP="000F70F7">
            <w:pPr>
              <w:rPr>
                <w:color w:val="000000"/>
                <w:sz w:val="21"/>
                <w:szCs w:val="21"/>
              </w:rPr>
            </w:pPr>
            <w:r w:rsidRPr="00822F69">
              <w:rPr>
                <w:color w:val="000000"/>
                <w:sz w:val="18"/>
                <w:szCs w:val="18"/>
              </w:rPr>
              <w:t>0</w:t>
            </w:r>
          </w:p>
        </w:tc>
        <w:tc>
          <w:tcPr>
            <w:tcW w:w="570" w:type="dxa"/>
            <w:gridSpan w:val="2"/>
            <w:shd w:val="clear" w:color="auto" w:fill="FFFFFF"/>
          </w:tcPr>
          <w:p w14:paraId="61D6E97E" w14:textId="77777777" w:rsidR="001024DD" w:rsidRPr="00822F69" w:rsidRDefault="001024DD" w:rsidP="000F70F7">
            <w:pPr>
              <w:rPr>
                <w:color w:val="000000"/>
                <w:sz w:val="21"/>
                <w:szCs w:val="21"/>
              </w:rPr>
            </w:pPr>
            <w:r w:rsidRPr="00822F69">
              <w:rPr>
                <w:color w:val="000000"/>
                <w:sz w:val="18"/>
                <w:szCs w:val="18"/>
              </w:rPr>
              <w:t>0</w:t>
            </w:r>
          </w:p>
        </w:tc>
        <w:tc>
          <w:tcPr>
            <w:tcW w:w="570" w:type="dxa"/>
            <w:shd w:val="clear" w:color="auto" w:fill="FFFFFF"/>
          </w:tcPr>
          <w:p w14:paraId="0CC86257" w14:textId="77777777" w:rsidR="001024DD" w:rsidRPr="00822F69" w:rsidRDefault="001024DD" w:rsidP="000F70F7">
            <w:pPr>
              <w:rPr>
                <w:color w:val="000000"/>
                <w:sz w:val="21"/>
                <w:szCs w:val="21"/>
              </w:rPr>
            </w:pPr>
            <w:r w:rsidRPr="00822F69">
              <w:rPr>
                <w:color w:val="000000"/>
                <w:sz w:val="18"/>
                <w:szCs w:val="18"/>
              </w:rPr>
              <w:t>0</w:t>
            </w:r>
          </w:p>
        </w:tc>
        <w:tc>
          <w:tcPr>
            <w:tcW w:w="570" w:type="dxa"/>
            <w:gridSpan w:val="2"/>
            <w:shd w:val="clear" w:color="auto" w:fill="FFFFFF"/>
          </w:tcPr>
          <w:p w14:paraId="7E7155BB" w14:textId="77777777" w:rsidR="001024DD" w:rsidRPr="00822F69" w:rsidRDefault="001024DD" w:rsidP="000F70F7">
            <w:pPr>
              <w:rPr>
                <w:color w:val="000000"/>
                <w:sz w:val="21"/>
                <w:szCs w:val="21"/>
              </w:rPr>
            </w:pPr>
            <w:r w:rsidRPr="00822F69">
              <w:rPr>
                <w:color w:val="000000"/>
                <w:sz w:val="18"/>
                <w:szCs w:val="18"/>
              </w:rPr>
              <w:t>0</w:t>
            </w:r>
          </w:p>
        </w:tc>
        <w:tc>
          <w:tcPr>
            <w:tcW w:w="569" w:type="dxa"/>
            <w:gridSpan w:val="3"/>
            <w:shd w:val="clear" w:color="auto" w:fill="FFFFFF"/>
          </w:tcPr>
          <w:p w14:paraId="5CF2D4A1" w14:textId="77777777" w:rsidR="001024DD" w:rsidRPr="00822F69" w:rsidRDefault="001024DD" w:rsidP="000F70F7">
            <w:pPr>
              <w:rPr>
                <w:color w:val="000000"/>
                <w:sz w:val="21"/>
                <w:szCs w:val="21"/>
              </w:rPr>
            </w:pPr>
            <w:r w:rsidRPr="00822F69">
              <w:rPr>
                <w:color w:val="000000"/>
                <w:sz w:val="18"/>
                <w:szCs w:val="18"/>
              </w:rPr>
              <w:t>0</w:t>
            </w:r>
          </w:p>
        </w:tc>
        <w:tc>
          <w:tcPr>
            <w:tcW w:w="570" w:type="dxa"/>
            <w:gridSpan w:val="2"/>
            <w:shd w:val="clear" w:color="auto" w:fill="FFFFFF"/>
          </w:tcPr>
          <w:p w14:paraId="6AD3FB54" w14:textId="77777777" w:rsidR="001024DD" w:rsidRPr="00822F69" w:rsidRDefault="001024DD" w:rsidP="000F70F7">
            <w:pPr>
              <w:rPr>
                <w:color w:val="000000"/>
                <w:sz w:val="21"/>
                <w:szCs w:val="21"/>
              </w:rPr>
            </w:pPr>
            <w:r w:rsidRPr="00822F69">
              <w:rPr>
                <w:color w:val="000000"/>
                <w:sz w:val="18"/>
                <w:szCs w:val="18"/>
              </w:rPr>
              <w:t>0</w:t>
            </w:r>
          </w:p>
        </w:tc>
        <w:tc>
          <w:tcPr>
            <w:tcW w:w="570" w:type="dxa"/>
            <w:gridSpan w:val="2"/>
            <w:shd w:val="clear" w:color="auto" w:fill="FFFFFF"/>
          </w:tcPr>
          <w:p w14:paraId="615DB35C" w14:textId="77777777" w:rsidR="001024DD" w:rsidRPr="00822F69" w:rsidRDefault="001024DD" w:rsidP="000F70F7">
            <w:pPr>
              <w:rPr>
                <w:color w:val="000000"/>
                <w:sz w:val="21"/>
                <w:szCs w:val="21"/>
              </w:rPr>
            </w:pPr>
            <w:r w:rsidRPr="00822F69">
              <w:rPr>
                <w:color w:val="000000"/>
                <w:sz w:val="18"/>
                <w:szCs w:val="18"/>
              </w:rPr>
              <w:t>0</w:t>
            </w:r>
          </w:p>
        </w:tc>
        <w:tc>
          <w:tcPr>
            <w:tcW w:w="570" w:type="dxa"/>
            <w:shd w:val="clear" w:color="auto" w:fill="FFFFFF"/>
          </w:tcPr>
          <w:p w14:paraId="62B6B559" w14:textId="77777777" w:rsidR="001024DD" w:rsidRPr="00822F69" w:rsidRDefault="001024DD" w:rsidP="000F70F7">
            <w:pPr>
              <w:rPr>
                <w:color w:val="000000"/>
                <w:sz w:val="21"/>
                <w:szCs w:val="21"/>
              </w:rPr>
            </w:pPr>
            <w:r w:rsidRPr="00822F69">
              <w:rPr>
                <w:color w:val="000000"/>
                <w:sz w:val="18"/>
                <w:szCs w:val="18"/>
              </w:rPr>
              <w:t>0</w:t>
            </w:r>
          </w:p>
        </w:tc>
        <w:tc>
          <w:tcPr>
            <w:tcW w:w="1547" w:type="dxa"/>
            <w:gridSpan w:val="3"/>
            <w:shd w:val="clear" w:color="auto" w:fill="FFFFFF"/>
          </w:tcPr>
          <w:p w14:paraId="16580AE0" w14:textId="77777777" w:rsidR="001024DD" w:rsidRPr="00822F69" w:rsidRDefault="001024DD" w:rsidP="000F70F7">
            <w:pPr>
              <w:jc w:val="center"/>
              <w:rPr>
                <w:color w:val="000000"/>
                <w:sz w:val="21"/>
                <w:szCs w:val="21"/>
              </w:rPr>
            </w:pPr>
            <w:r w:rsidRPr="00822F69">
              <w:rPr>
                <w:color w:val="000000"/>
                <w:sz w:val="21"/>
                <w:szCs w:val="21"/>
              </w:rPr>
              <w:t>0 zł</w:t>
            </w:r>
          </w:p>
        </w:tc>
      </w:tr>
      <w:tr w:rsidR="001024DD" w:rsidRPr="00822F69" w14:paraId="3930D564" w14:textId="77777777" w:rsidTr="000F70F7">
        <w:trPr>
          <w:trHeight w:val="360"/>
        </w:trPr>
        <w:tc>
          <w:tcPr>
            <w:tcW w:w="3133" w:type="dxa"/>
            <w:gridSpan w:val="4"/>
            <w:shd w:val="clear" w:color="auto" w:fill="FFFFFF"/>
            <w:vAlign w:val="center"/>
          </w:tcPr>
          <w:p w14:paraId="5A1A44EB" w14:textId="77777777" w:rsidR="001024DD" w:rsidRPr="00822F69" w:rsidRDefault="001024DD" w:rsidP="000F70F7">
            <w:pPr>
              <w:rPr>
                <w:color w:val="000000"/>
                <w:sz w:val="21"/>
                <w:szCs w:val="21"/>
              </w:rPr>
            </w:pPr>
            <w:r w:rsidRPr="00822F69">
              <w:rPr>
                <w:color w:val="000000"/>
                <w:sz w:val="21"/>
                <w:szCs w:val="21"/>
              </w:rPr>
              <w:t>budżet państwa</w:t>
            </w:r>
          </w:p>
        </w:tc>
        <w:tc>
          <w:tcPr>
            <w:tcW w:w="569" w:type="dxa"/>
            <w:gridSpan w:val="2"/>
            <w:shd w:val="clear" w:color="auto" w:fill="FFFFFF"/>
          </w:tcPr>
          <w:p w14:paraId="3CD2C702" w14:textId="77777777" w:rsidR="001024DD" w:rsidRPr="00822F69" w:rsidRDefault="001024DD" w:rsidP="000F70F7">
            <w:pPr>
              <w:rPr>
                <w:color w:val="000000"/>
                <w:sz w:val="18"/>
                <w:szCs w:val="18"/>
              </w:rPr>
            </w:pPr>
          </w:p>
        </w:tc>
        <w:tc>
          <w:tcPr>
            <w:tcW w:w="570" w:type="dxa"/>
            <w:gridSpan w:val="2"/>
            <w:shd w:val="clear" w:color="auto" w:fill="FFFFFF"/>
          </w:tcPr>
          <w:p w14:paraId="7D29772F" w14:textId="77777777" w:rsidR="001024DD" w:rsidRPr="00822F69" w:rsidRDefault="001024DD" w:rsidP="000F70F7">
            <w:pPr>
              <w:rPr>
                <w:color w:val="000000"/>
                <w:sz w:val="21"/>
                <w:szCs w:val="21"/>
              </w:rPr>
            </w:pPr>
          </w:p>
        </w:tc>
        <w:tc>
          <w:tcPr>
            <w:tcW w:w="570" w:type="dxa"/>
            <w:gridSpan w:val="2"/>
            <w:shd w:val="clear" w:color="auto" w:fill="FFFFFF"/>
          </w:tcPr>
          <w:p w14:paraId="3ACE2FA6" w14:textId="77777777" w:rsidR="001024DD" w:rsidRPr="00822F69" w:rsidRDefault="001024DD" w:rsidP="000F70F7">
            <w:pPr>
              <w:rPr>
                <w:color w:val="000000"/>
                <w:sz w:val="21"/>
                <w:szCs w:val="21"/>
              </w:rPr>
            </w:pPr>
          </w:p>
        </w:tc>
        <w:tc>
          <w:tcPr>
            <w:tcW w:w="569" w:type="dxa"/>
            <w:gridSpan w:val="4"/>
            <w:shd w:val="clear" w:color="auto" w:fill="FFFFFF"/>
          </w:tcPr>
          <w:p w14:paraId="1306CA99" w14:textId="77777777" w:rsidR="001024DD" w:rsidRPr="00822F69" w:rsidRDefault="001024DD" w:rsidP="000F70F7">
            <w:pPr>
              <w:rPr>
                <w:color w:val="000000"/>
                <w:sz w:val="21"/>
                <w:szCs w:val="21"/>
              </w:rPr>
            </w:pPr>
          </w:p>
        </w:tc>
        <w:tc>
          <w:tcPr>
            <w:tcW w:w="570" w:type="dxa"/>
            <w:gridSpan w:val="2"/>
            <w:shd w:val="clear" w:color="auto" w:fill="FFFFFF"/>
          </w:tcPr>
          <w:p w14:paraId="06971A84" w14:textId="77777777" w:rsidR="001024DD" w:rsidRPr="00822F69" w:rsidRDefault="001024DD" w:rsidP="000F70F7">
            <w:pPr>
              <w:rPr>
                <w:color w:val="000000"/>
                <w:sz w:val="21"/>
                <w:szCs w:val="21"/>
              </w:rPr>
            </w:pPr>
          </w:p>
        </w:tc>
        <w:tc>
          <w:tcPr>
            <w:tcW w:w="570" w:type="dxa"/>
            <w:shd w:val="clear" w:color="auto" w:fill="FFFFFF"/>
          </w:tcPr>
          <w:p w14:paraId="6DE0DFA4" w14:textId="77777777" w:rsidR="001024DD" w:rsidRPr="00822F69" w:rsidRDefault="001024DD" w:rsidP="000F70F7">
            <w:pPr>
              <w:rPr>
                <w:color w:val="000000"/>
                <w:sz w:val="21"/>
                <w:szCs w:val="21"/>
              </w:rPr>
            </w:pPr>
          </w:p>
        </w:tc>
        <w:tc>
          <w:tcPr>
            <w:tcW w:w="570" w:type="dxa"/>
            <w:gridSpan w:val="2"/>
            <w:shd w:val="clear" w:color="auto" w:fill="FFFFFF"/>
          </w:tcPr>
          <w:p w14:paraId="66F07E6D" w14:textId="77777777" w:rsidR="001024DD" w:rsidRPr="00822F69" w:rsidRDefault="001024DD" w:rsidP="000F70F7">
            <w:pPr>
              <w:rPr>
                <w:color w:val="000000"/>
                <w:sz w:val="21"/>
                <w:szCs w:val="21"/>
              </w:rPr>
            </w:pPr>
          </w:p>
        </w:tc>
        <w:tc>
          <w:tcPr>
            <w:tcW w:w="569" w:type="dxa"/>
            <w:gridSpan w:val="3"/>
            <w:shd w:val="clear" w:color="auto" w:fill="FFFFFF"/>
          </w:tcPr>
          <w:p w14:paraId="332F1283" w14:textId="77777777" w:rsidR="001024DD" w:rsidRPr="00822F69" w:rsidRDefault="001024DD" w:rsidP="000F70F7">
            <w:pPr>
              <w:rPr>
                <w:color w:val="000000"/>
                <w:sz w:val="21"/>
                <w:szCs w:val="21"/>
              </w:rPr>
            </w:pPr>
          </w:p>
        </w:tc>
        <w:tc>
          <w:tcPr>
            <w:tcW w:w="570" w:type="dxa"/>
            <w:gridSpan w:val="2"/>
            <w:shd w:val="clear" w:color="auto" w:fill="FFFFFF"/>
          </w:tcPr>
          <w:p w14:paraId="2FE5E92F" w14:textId="77777777" w:rsidR="001024DD" w:rsidRPr="00822F69" w:rsidRDefault="001024DD" w:rsidP="000F70F7">
            <w:pPr>
              <w:rPr>
                <w:color w:val="000000"/>
                <w:sz w:val="21"/>
                <w:szCs w:val="21"/>
              </w:rPr>
            </w:pPr>
          </w:p>
        </w:tc>
        <w:tc>
          <w:tcPr>
            <w:tcW w:w="570" w:type="dxa"/>
            <w:gridSpan w:val="2"/>
            <w:shd w:val="clear" w:color="auto" w:fill="FFFFFF"/>
          </w:tcPr>
          <w:p w14:paraId="222F6F64" w14:textId="77777777" w:rsidR="001024DD" w:rsidRPr="00822F69" w:rsidRDefault="001024DD" w:rsidP="000F70F7">
            <w:pPr>
              <w:rPr>
                <w:color w:val="000000"/>
                <w:sz w:val="21"/>
                <w:szCs w:val="21"/>
              </w:rPr>
            </w:pPr>
          </w:p>
        </w:tc>
        <w:tc>
          <w:tcPr>
            <w:tcW w:w="570" w:type="dxa"/>
            <w:shd w:val="clear" w:color="auto" w:fill="FFFFFF"/>
          </w:tcPr>
          <w:p w14:paraId="10D11577" w14:textId="77777777" w:rsidR="001024DD" w:rsidRPr="00822F69" w:rsidRDefault="001024DD" w:rsidP="000F70F7">
            <w:pPr>
              <w:rPr>
                <w:color w:val="000000"/>
                <w:sz w:val="21"/>
                <w:szCs w:val="21"/>
              </w:rPr>
            </w:pPr>
          </w:p>
        </w:tc>
        <w:tc>
          <w:tcPr>
            <w:tcW w:w="1547" w:type="dxa"/>
            <w:gridSpan w:val="3"/>
            <w:shd w:val="clear" w:color="auto" w:fill="FFFFFF"/>
          </w:tcPr>
          <w:p w14:paraId="40312A4E" w14:textId="77777777" w:rsidR="001024DD" w:rsidRPr="00822F69" w:rsidRDefault="001024DD" w:rsidP="000F70F7">
            <w:pPr>
              <w:jc w:val="center"/>
              <w:rPr>
                <w:color w:val="000000"/>
                <w:sz w:val="21"/>
                <w:szCs w:val="21"/>
              </w:rPr>
            </w:pPr>
          </w:p>
        </w:tc>
      </w:tr>
      <w:tr w:rsidR="001024DD" w:rsidRPr="00822F69" w14:paraId="51A1F611" w14:textId="77777777" w:rsidTr="000F70F7">
        <w:trPr>
          <w:trHeight w:val="357"/>
        </w:trPr>
        <w:tc>
          <w:tcPr>
            <w:tcW w:w="3133" w:type="dxa"/>
            <w:gridSpan w:val="4"/>
            <w:shd w:val="clear" w:color="auto" w:fill="FFFFFF"/>
            <w:vAlign w:val="center"/>
          </w:tcPr>
          <w:p w14:paraId="21773C1D" w14:textId="77777777" w:rsidR="001024DD" w:rsidRPr="00822F69" w:rsidRDefault="001024DD" w:rsidP="000F70F7">
            <w:pPr>
              <w:rPr>
                <w:color w:val="000000"/>
                <w:sz w:val="21"/>
                <w:szCs w:val="21"/>
              </w:rPr>
            </w:pPr>
            <w:r w:rsidRPr="00822F69">
              <w:rPr>
                <w:color w:val="000000"/>
                <w:sz w:val="21"/>
                <w:szCs w:val="21"/>
              </w:rPr>
              <w:t>JST</w:t>
            </w:r>
          </w:p>
        </w:tc>
        <w:tc>
          <w:tcPr>
            <w:tcW w:w="569" w:type="dxa"/>
            <w:gridSpan w:val="2"/>
            <w:shd w:val="clear" w:color="auto" w:fill="FFFFFF"/>
          </w:tcPr>
          <w:p w14:paraId="7649F5C1" w14:textId="77777777" w:rsidR="001024DD" w:rsidRPr="00822F69" w:rsidRDefault="001024DD" w:rsidP="000F70F7">
            <w:pPr>
              <w:rPr>
                <w:color w:val="000000"/>
                <w:sz w:val="21"/>
                <w:szCs w:val="21"/>
              </w:rPr>
            </w:pPr>
          </w:p>
        </w:tc>
        <w:tc>
          <w:tcPr>
            <w:tcW w:w="570" w:type="dxa"/>
            <w:gridSpan w:val="2"/>
            <w:shd w:val="clear" w:color="auto" w:fill="FFFFFF"/>
          </w:tcPr>
          <w:p w14:paraId="0E65E96C" w14:textId="77777777" w:rsidR="001024DD" w:rsidRPr="00822F69" w:rsidRDefault="001024DD" w:rsidP="000F70F7">
            <w:pPr>
              <w:rPr>
                <w:color w:val="000000"/>
                <w:sz w:val="21"/>
                <w:szCs w:val="21"/>
              </w:rPr>
            </w:pPr>
          </w:p>
        </w:tc>
        <w:tc>
          <w:tcPr>
            <w:tcW w:w="570" w:type="dxa"/>
            <w:gridSpan w:val="2"/>
            <w:shd w:val="clear" w:color="auto" w:fill="FFFFFF"/>
          </w:tcPr>
          <w:p w14:paraId="76B894E5" w14:textId="77777777" w:rsidR="001024DD" w:rsidRPr="00822F69" w:rsidRDefault="001024DD" w:rsidP="000F70F7">
            <w:pPr>
              <w:rPr>
                <w:color w:val="000000"/>
                <w:sz w:val="21"/>
                <w:szCs w:val="21"/>
              </w:rPr>
            </w:pPr>
          </w:p>
        </w:tc>
        <w:tc>
          <w:tcPr>
            <w:tcW w:w="569" w:type="dxa"/>
            <w:gridSpan w:val="4"/>
            <w:shd w:val="clear" w:color="auto" w:fill="FFFFFF"/>
          </w:tcPr>
          <w:p w14:paraId="22350C08" w14:textId="77777777" w:rsidR="001024DD" w:rsidRPr="00822F69" w:rsidRDefault="001024DD" w:rsidP="000F70F7">
            <w:pPr>
              <w:rPr>
                <w:color w:val="000000"/>
                <w:sz w:val="21"/>
                <w:szCs w:val="21"/>
              </w:rPr>
            </w:pPr>
          </w:p>
        </w:tc>
        <w:tc>
          <w:tcPr>
            <w:tcW w:w="570" w:type="dxa"/>
            <w:gridSpan w:val="2"/>
            <w:shd w:val="clear" w:color="auto" w:fill="FFFFFF"/>
          </w:tcPr>
          <w:p w14:paraId="681B45AD" w14:textId="77777777" w:rsidR="001024DD" w:rsidRPr="00822F69" w:rsidRDefault="001024DD" w:rsidP="000F70F7">
            <w:pPr>
              <w:rPr>
                <w:color w:val="000000"/>
                <w:sz w:val="21"/>
                <w:szCs w:val="21"/>
              </w:rPr>
            </w:pPr>
          </w:p>
        </w:tc>
        <w:tc>
          <w:tcPr>
            <w:tcW w:w="570" w:type="dxa"/>
            <w:shd w:val="clear" w:color="auto" w:fill="FFFFFF"/>
          </w:tcPr>
          <w:p w14:paraId="794CF594" w14:textId="77777777" w:rsidR="001024DD" w:rsidRPr="00822F69" w:rsidRDefault="001024DD" w:rsidP="000F70F7">
            <w:pPr>
              <w:rPr>
                <w:color w:val="000000"/>
                <w:sz w:val="21"/>
                <w:szCs w:val="21"/>
              </w:rPr>
            </w:pPr>
          </w:p>
        </w:tc>
        <w:tc>
          <w:tcPr>
            <w:tcW w:w="570" w:type="dxa"/>
            <w:gridSpan w:val="2"/>
            <w:shd w:val="clear" w:color="auto" w:fill="FFFFFF"/>
          </w:tcPr>
          <w:p w14:paraId="18763903" w14:textId="77777777" w:rsidR="001024DD" w:rsidRPr="00822F69" w:rsidRDefault="001024DD" w:rsidP="000F70F7">
            <w:pPr>
              <w:rPr>
                <w:color w:val="000000"/>
                <w:sz w:val="21"/>
                <w:szCs w:val="21"/>
              </w:rPr>
            </w:pPr>
          </w:p>
        </w:tc>
        <w:tc>
          <w:tcPr>
            <w:tcW w:w="569" w:type="dxa"/>
            <w:gridSpan w:val="3"/>
            <w:shd w:val="clear" w:color="auto" w:fill="FFFFFF"/>
          </w:tcPr>
          <w:p w14:paraId="0A75E084" w14:textId="77777777" w:rsidR="001024DD" w:rsidRPr="00822F69" w:rsidRDefault="001024DD" w:rsidP="000F70F7">
            <w:pPr>
              <w:rPr>
                <w:color w:val="000000"/>
                <w:sz w:val="21"/>
                <w:szCs w:val="21"/>
              </w:rPr>
            </w:pPr>
          </w:p>
        </w:tc>
        <w:tc>
          <w:tcPr>
            <w:tcW w:w="570" w:type="dxa"/>
            <w:gridSpan w:val="2"/>
            <w:shd w:val="clear" w:color="auto" w:fill="FFFFFF"/>
          </w:tcPr>
          <w:p w14:paraId="6732D2CF" w14:textId="77777777" w:rsidR="001024DD" w:rsidRPr="00822F69" w:rsidRDefault="001024DD" w:rsidP="000F70F7">
            <w:pPr>
              <w:rPr>
                <w:color w:val="000000"/>
                <w:sz w:val="21"/>
                <w:szCs w:val="21"/>
              </w:rPr>
            </w:pPr>
          </w:p>
        </w:tc>
        <w:tc>
          <w:tcPr>
            <w:tcW w:w="570" w:type="dxa"/>
            <w:gridSpan w:val="2"/>
            <w:shd w:val="clear" w:color="auto" w:fill="FFFFFF"/>
          </w:tcPr>
          <w:p w14:paraId="23CE4B82" w14:textId="77777777" w:rsidR="001024DD" w:rsidRPr="00822F69" w:rsidRDefault="001024DD" w:rsidP="000F70F7">
            <w:pPr>
              <w:rPr>
                <w:color w:val="000000"/>
                <w:sz w:val="21"/>
                <w:szCs w:val="21"/>
              </w:rPr>
            </w:pPr>
          </w:p>
        </w:tc>
        <w:tc>
          <w:tcPr>
            <w:tcW w:w="570" w:type="dxa"/>
            <w:shd w:val="clear" w:color="auto" w:fill="FFFFFF"/>
          </w:tcPr>
          <w:p w14:paraId="3C337AD1" w14:textId="77777777" w:rsidR="001024DD" w:rsidRPr="00822F69" w:rsidRDefault="001024DD" w:rsidP="000F70F7">
            <w:pPr>
              <w:rPr>
                <w:color w:val="000000"/>
                <w:sz w:val="21"/>
                <w:szCs w:val="21"/>
              </w:rPr>
            </w:pPr>
          </w:p>
        </w:tc>
        <w:tc>
          <w:tcPr>
            <w:tcW w:w="1547" w:type="dxa"/>
            <w:gridSpan w:val="3"/>
            <w:shd w:val="clear" w:color="auto" w:fill="FFFFFF"/>
          </w:tcPr>
          <w:p w14:paraId="1DFB6D6F" w14:textId="77777777" w:rsidR="001024DD" w:rsidRPr="00822F69" w:rsidRDefault="001024DD" w:rsidP="000F70F7">
            <w:pPr>
              <w:rPr>
                <w:color w:val="000000"/>
                <w:sz w:val="21"/>
                <w:szCs w:val="21"/>
              </w:rPr>
            </w:pPr>
          </w:p>
        </w:tc>
      </w:tr>
      <w:tr w:rsidR="001024DD" w:rsidRPr="00822F69" w14:paraId="29C0D179" w14:textId="77777777" w:rsidTr="000F70F7">
        <w:trPr>
          <w:trHeight w:val="357"/>
        </w:trPr>
        <w:tc>
          <w:tcPr>
            <w:tcW w:w="3133" w:type="dxa"/>
            <w:gridSpan w:val="4"/>
            <w:shd w:val="clear" w:color="auto" w:fill="FFFFFF"/>
            <w:vAlign w:val="center"/>
          </w:tcPr>
          <w:p w14:paraId="4D69D399" w14:textId="77777777" w:rsidR="001024DD" w:rsidRPr="00822F69" w:rsidRDefault="001024DD" w:rsidP="000F70F7">
            <w:pPr>
              <w:rPr>
                <w:color w:val="000000"/>
                <w:sz w:val="21"/>
                <w:szCs w:val="21"/>
              </w:rPr>
            </w:pPr>
            <w:r w:rsidRPr="00822F69">
              <w:rPr>
                <w:color w:val="000000"/>
                <w:sz w:val="21"/>
                <w:szCs w:val="21"/>
              </w:rPr>
              <w:t>pozostałe jednostki (oddzielnie)</w:t>
            </w:r>
          </w:p>
        </w:tc>
        <w:tc>
          <w:tcPr>
            <w:tcW w:w="569" w:type="dxa"/>
            <w:gridSpan w:val="2"/>
            <w:shd w:val="clear" w:color="auto" w:fill="FFFFFF"/>
          </w:tcPr>
          <w:p w14:paraId="6FE78439" w14:textId="77777777" w:rsidR="001024DD" w:rsidRPr="00822F69" w:rsidRDefault="001024DD" w:rsidP="000F70F7">
            <w:pPr>
              <w:rPr>
                <w:color w:val="000000"/>
                <w:sz w:val="21"/>
                <w:szCs w:val="21"/>
              </w:rPr>
            </w:pPr>
          </w:p>
        </w:tc>
        <w:tc>
          <w:tcPr>
            <w:tcW w:w="570" w:type="dxa"/>
            <w:gridSpan w:val="2"/>
            <w:shd w:val="clear" w:color="auto" w:fill="FFFFFF"/>
          </w:tcPr>
          <w:p w14:paraId="1FC87146" w14:textId="77777777" w:rsidR="001024DD" w:rsidRPr="00822F69" w:rsidRDefault="001024DD" w:rsidP="000F70F7">
            <w:pPr>
              <w:rPr>
                <w:color w:val="000000"/>
                <w:sz w:val="21"/>
                <w:szCs w:val="21"/>
              </w:rPr>
            </w:pPr>
          </w:p>
        </w:tc>
        <w:tc>
          <w:tcPr>
            <w:tcW w:w="570" w:type="dxa"/>
            <w:gridSpan w:val="2"/>
            <w:shd w:val="clear" w:color="auto" w:fill="FFFFFF"/>
          </w:tcPr>
          <w:p w14:paraId="67AE59ED" w14:textId="77777777" w:rsidR="001024DD" w:rsidRPr="00822F69" w:rsidRDefault="001024DD" w:rsidP="000F70F7">
            <w:pPr>
              <w:rPr>
                <w:color w:val="000000"/>
                <w:sz w:val="21"/>
                <w:szCs w:val="21"/>
              </w:rPr>
            </w:pPr>
          </w:p>
        </w:tc>
        <w:tc>
          <w:tcPr>
            <w:tcW w:w="569" w:type="dxa"/>
            <w:gridSpan w:val="4"/>
            <w:shd w:val="clear" w:color="auto" w:fill="FFFFFF"/>
          </w:tcPr>
          <w:p w14:paraId="26BCCE96" w14:textId="77777777" w:rsidR="001024DD" w:rsidRPr="00822F69" w:rsidRDefault="001024DD" w:rsidP="000F70F7">
            <w:pPr>
              <w:rPr>
                <w:color w:val="000000"/>
                <w:sz w:val="21"/>
                <w:szCs w:val="21"/>
              </w:rPr>
            </w:pPr>
          </w:p>
        </w:tc>
        <w:tc>
          <w:tcPr>
            <w:tcW w:w="570" w:type="dxa"/>
            <w:gridSpan w:val="2"/>
            <w:shd w:val="clear" w:color="auto" w:fill="FFFFFF"/>
          </w:tcPr>
          <w:p w14:paraId="344E2324" w14:textId="77777777" w:rsidR="001024DD" w:rsidRPr="00822F69" w:rsidRDefault="001024DD" w:rsidP="000F70F7">
            <w:pPr>
              <w:rPr>
                <w:color w:val="000000"/>
                <w:sz w:val="21"/>
                <w:szCs w:val="21"/>
              </w:rPr>
            </w:pPr>
          </w:p>
        </w:tc>
        <w:tc>
          <w:tcPr>
            <w:tcW w:w="570" w:type="dxa"/>
            <w:shd w:val="clear" w:color="auto" w:fill="FFFFFF"/>
          </w:tcPr>
          <w:p w14:paraId="34A6DCF8" w14:textId="77777777" w:rsidR="001024DD" w:rsidRPr="00822F69" w:rsidRDefault="001024DD" w:rsidP="000F70F7">
            <w:pPr>
              <w:rPr>
                <w:color w:val="000000"/>
                <w:sz w:val="21"/>
                <w:szCs w:val="21"/>
              </w:rPr>
            </w:pPr>
          </w:p>
        </w:tc>
        <w:tc>
          <w:tcPr>
            <w:tcW w:w="570" w:type="dxa"/>
            <w:gridSpan w:val="2"/>
            <w:shd w:val="clear" w:color="auto" w:fill="FFFFFF"/>
          </w:tcPr>
          <w:p w14:paraId="0077D51D" w14:textId="77777777" w:rsidR="001024DD" w:rsidRPr="00822F69" w:rsidRDefault="001024DD" w:rsidP="000F70F7">
            <w:pPr>
              <w:rPr>
                <w:color w:val="000000"/>
                <w:sz w:val="21"/>
                <w:szCs w:val="21"/>
              </w:rPr>
            </w:pPr>
          </w:p>
        </w:tc>
        <w:tc>
          <w:tcPr>
            <w:tcW w:w="569" w:type="dxa"/>
            <w:gridSpan w:val="3"/>
            <w:shd w:val="clear" w:color="auto" w:fill="FFFFFF"/>
          </w:tcPr>
          <w:p w14:paraId="103763CC" w14:textId="77777777" w:rsidR="001024DD" w:rsidRPr="00822F69" w:rsidRDefault="001024DD" w:rsidP="000F70F7">
            <w:pPr>
              <w:rPr>
                <w:color w:val="000000"/>
                <w:sz w:val="21"/>
                <w:szCs w:val="21"/>
              </w:rPr>
            </w:pPr>
          </w:p>
        </w:tc>
        <w:tc>
          <w:tcPr>
            <w:tcW w:w="570" w:type="dxa"/>
            <w:gridSpan w:val="2"/>
            <w:shd w:val="clear" w:color="auto" w:fill="FFFFFF"/>
          </w:tcPr>
          <w:p w14:paraId="37FC4DAC" w14:textId="77777777" w:rsidR="001024DD" w:rsidRPr="00822F69" w:rsidRDefault="001024DD" w:rsidP="000F70F7">
            <w:pPr>
              <w:rPr>
                <w:color w:val="000000"/>
                <w:sz w:val="21"/>
                <w:szCs w:val="21"/>
              </w:rPr>
            </w:pPr>
          </w:p>
        </w:tc>
        <w:tc>
          <w:tcPr>
            <w:tcW w:w="570" w:type="dxa"/>
            <w:gridSpan w:val="2"/>
            <w:shd w:val="clear" w:color="auto" w:fill="FFFFFF"/>
          </w:tcPr>
          <w:p w14:paraId="653C862D" w14:textId="77777777" w:rsidR="001024DD" w:rsidRPr="00822F69" w:rsidRDefault="001024DD" w:rsidP="000F70F7">
            <w:pPr>
              <w:rPr>
                <w:color w:val="000000"/>
                <w:sz w:val="21"/>
                <w:szCs w:val="21"/>
              </w:rPr>
            </w:pPr>
          </w:p>
        </w:tc>
        <w:tc>
          <w:tcPr>
            <w:tcW w:w="570" w:type="dxa"/>
            <w:shd w:val="clear" w:color="auto" w:fill="FFFFFF"/>
          </w:tcPr>
          <w:p w14:paraId="5DF467D4" w14:textId="77777777" w:rsidR="001024DD" w:rsidRPr="00822F69" w:rsidRDefault="001024DD" w:rsidP="000F70F7">
            <w:pPr>
              <w:rPr>
                <w:color w:val="000000"/>
                <w:sz w:val="21"/>
                <w:szCs w:val="21"/>
              </w:rPr>
            </w:pPr>
          </w:p>
        </w:tc>
        <w:tc>
          <w:tcPr>
            <w:tcW w:w="1547" w:type="dxa"/>
            <w:gridSpan w:val="3"/>
            <w:shd w:val="clear" w:color="auto" w:fill="FFFFFF"/>
          </w:tcPr>
          <w:p w14:paraId="0440170C" w14:textId="77777777" w:rsidR="001024DD" w:rsidRPr="00822F69" w:rsidRDefault="001024DD" w:rsidP="000F70F7">
            <w:pPr>
              <w:rPr>
                <w:color w:val="000000"/>
                <w:sz w:val="21"/>
                <w:szCs w:val="21"/>
              </w:rPr>
            </w:pPr>
          </w:p>
        </w:tc>
      </w:tr>
      <w:tr w:rsidR="001024DD" w:rsidRPr="00822F69" w14:paraId="1C078870" w14:textId="77777777" w:rsidTr="000F70F7">
        <w:trPr>
          <w:gridAfter w:val="1"/>
          <w:wAfter w:w="10" w:type="dxa"/>
          <w:trHeight w:val="348"/>
        </w:trPr>
        <w:tc>
          <w:tcPr>
            <w:tcW w:w="2243" w:type="dxa"/>
            <w:gridSpan w:val="2"/>
            <w:shd w:val="clear" w:color="auto" w:fill="FFFFFF"/>
            <w:vAlign w:val="center"/>
          </w:tcPr>
          <w:p w14:paraId="6530C594" w14:textId="77777777" w:rsidR="001024DD" w:rsidRPr="00822F69" w:rsidRDefault="001024DD" w:rsidP="000F70F7">
            <w:pPr>
              <w:rPr>
                <w:color w:val="000000"/>
                <w:sz w:val="21"/>
                <w:szCs w:val="21"/>
              </w:rPr>
            </w:pPr>
            <w:r w:rsidRPr="00822F69">
              <w:rPr>
                <w:color w:val="000000"/>
                <w:sz w:val="21"/>
                <w:szCs w:val="21"/>
              </w:rPr>
              <w:t xml:space="preserve">Źródła finansowania </w:t>
            </w:r>
          </w:p>
        </w:tc>
        <w:tc>
          <w:tcPr>
            <w:tcW w:w="8694" w:type="dxa"/>
            <w:gridSpan w:val="27"/>
            <w:shd w:val="clear" w:color="auto" w:fill="FFFFFF"/>
            <w:vAlign w:val="center"/>
          </w:tcPr>
          <w:p w14:paraId="1B18A891" w14:textId="77777777" w:rsidR="001024DD" w:rsidRPr="00822F69" w:rsidRDefault="001024DD" w:rsidP="000F70F7">
            <w:pPr>
              <w:rPr>
                <w:color w:val="000000"/>
              </w:rPr>
            </w:pPr>
            <w:r w:rsidRPr="00B34B4C">
              <w:rPr>
                <w:color w:val="000000"/>
              </w:rPr>
              <w:t>Wejście w życie ustawy nie będzie miało wpływu na sektor finansów publicznych, w tym na budżet państwa i budżety jednostek samorządu terytorialnego</w:t>
            </w:r>
            <w:r w:rsidRPr="00822F69">
              <w:rPr>
                <w:color w:val="000000"/>
                <w:sz w:val="21"/>
                <w:szCs w:val="21"/>
              </w:rPr>
              <w:t>.</w:t>
            </w:r>
          </w:p>
        </w:tc>
      </w:tr>
      <w:tr w:rsidR="001024DD" w:rsidRPr="00822F69" w14:paraId="118273D7" w14:textId="77777777" w:rsidTr="000F70F7">
        <w:trPr>
          <w:gridAfter w:val="1"/>
          <w:wAfter w:w="10" w:type="dxa"/>
          <w:trHeight w:val="1006"/>
        </w:trPr>
        <w:tc>
          <w:tcPr>
            <w:tcW w:w="2243" w:type="dxa"/>
            <w:gridSpan w:val="2"/>
            <w:shd w:val="clear" w:color="auto" w:fill="FFFFFF"/>
          </w:tcPr>
          <w:p w14:paraId="6809E848" w14:textId="77777777" w:rsidR="001024DD" w:rsidRPr="00822F69" w:rsidRDefault="001024DD" w:rsidP="000F70F7">
            <w:pPr>
              <w:rPr>
                <w:color w:val="000000"/>
                <w:sz w:val="21"/>
                <w:szCs w:val="21"/>
              </w:rPr>
            </w:pPr>
            <w:r w:rsidRPr="00822F69">
              <w:rPr>
                <w:color w:val="000000"/>
                <w:sz w:val="21"/>
                <w:szCs w:val="21"/>
              </w:rPr>
              <w:t>Dodatkowe informacje, w tym wskazanie źródeł danych i przyjętych do obliczeń założeń</w:t>
            </w:r>
          </w:p>
        </w:tc>
        <w:tc>
          <w:tcPr>
            <w:tcW w:w="8694" w:type="dxa"/>
            <w:gridSpan w:val="27"/>
            <w:shd w:val="clear" w:color="auto" w:fill="FFFFFF"/>
          </w:tcPr>
          <w:p w14:paraId="5F2109D1" w14:textId="77777777" w:rsidR="001024DD" w:rsidRPr="00822F69" w:rsidRDefault="001024DD" w:rsidP="000F70F7">
            <w:pPr>
              <w:rPr>
                <w:b/>
              </w:rPr>
            </w:pPr>
          </w:p>
        </w:tc>
      </w:tr>
      <w:tr w:rsidR="001024DD" w:rsidRPr="00822F69" w14:paraId="0202C049" w14:textId="77777777" w:rsidTr="000F70F7">
        <w:trPr>
          <w:gridAfter w:val="1"/>
          <w:wAfter w:w="10" w:type="dxa"/>
          <w:trHeight w:val="345"/>
        </w:trPr>
        <w:tc>
          <w:tcPr>
            <w:tcW w:w="10937" w:type="dxa"/>
            <w:gridSpan w:val="29"/>
            <w:shd w:val="clear" w:color="auto" w:fill="99CCFF"/>
          </w:tcPr>
          <w:p w14:paraId="54A2BB92" w14:textId="77777777" w:rsidR="001024DD" w:rsidRPr="00822F69" w:rsidRDefault="001024DD" w:rsidP="000F70F7">
            <w:pPr>
              <w:spacing w:before="120" w:after="120"/>
              <w:rPr>
                <w:b/>
                <w:color w:val="000000"/>
                <w:spacing w:val="-2"/>
              </w:rPr>
            </w:pPr>
            <w:r w:rsidRPr="00822F69">
              <w:rPr>
                <w:b/>
                <w:color w:val="000000"/>
                <w:spacing w:val="-2"/>
              </w:rPr>
              <w:t xml:space="preserve">7. Wpływ na </w:t>
            </w:r>
            <w:r w:rsidRPr="00822F69">
              <w:rPr>
                <w:b/>
                <w:color w:val="000000"/>
              </w:rPr>
              <w:t xml:space="preserve">konkurencyjność gospodarki i przedsiębiorczość, w tym funkcjonowanie przedsiębiorców oraz na rodzinę, obywateli i gospodarstwa domowe </w:t>
            </w:r>
          </w:p>
        </w:tc>
      </w:tr>
      <w:tr w:rsidR="001024DD" w:rsidRPr="00822F69" w14:paraId="5173B8D8" w14:textId="77777777" w:rsidTr="000F70F7">
        <w:trPr>
          <w:gridAfter w:val="1"/>
          <w:wAfter w:w="10" w:type="dxa"/>
          <w:trHeight w:val="142"/>
        </w:trPr>
        <w:tc>
          <w:tcPr>
            <w:tcW w:w="10937" w:type="dxa"/>
            <w:gridSpan w:val="29"/>
            <w:shd w:val="clear" w:color="auto" w:fill="FFFFFF"/>
          </w:tcPr>
          <w:p w14:paraId="3E9767BE" w14:textId="77777777" w:rsidR="001024DD" w:rsidRPr="00822F69" w:rsidRDefault="001024DD" w:rsidP="000F70F7">
            <w:pPr>
              <w:jc w:val="center"/>
              <w:rPr>
                <w:color w:val="000000"/>
                <w:spacing w:val="-2"/>
                <w:sz w:val="21"/>
                <w:szCs w:val="21"/>
              </w:rPr>
            </w:pPr>
            <w:r w:rsidRPr="00822F69">
              <w:rPr>
                <w:color w:val="000000"/>
                <w:spacing w:val="-2"/>
                <w:sz w:val="21"/>
                <w:szCs w:val="21"/>
              </w:rPr>
              <w:t>Skutki</w:t>
            </w:r>
          </w:p>
        </w:tc>
      </w:tr>
      <w:tr w:rsidR="001024DD" w:rsidRPr="00822F69" w14:paraId="32C3BB8F" w14:textId="77777777" w:rsidTr="000F70F7">
        <w:trPr>
          <w:gridAfter w:val="1"/>
          <w:wAfter w:w="10" w:type="dxa"/>
          <w:trHeight w:val="142"/>
        </w:trPr>
        <w:tc>
          <w:tcPr>
            <w:tcW w:w="3889" w:type="dxa"/>
            <w:gridSpan w:val="7"/>
            <w:shd w:val="clear" w:color="auto" w:fill="FFFFFF"/>
          </w:tcPr>
          <w:p w14:paraId="5F8718A0" w14:textId="77777777" w:rsidR="001024DD" w:rsidRPr="00822F69" w:rsidRDefault="001024DD" w:rsidP="000F70F7">
            <w:pPr>
              <w:rPr>
                <w:color w:val="000000"/>
                <w:sz w:val="21"/>
                <w:szCs w:val="21"/>
              </w:rPr>
            </w:pPr>
            <w:r w:rsidRPr="00822F69">
              <w:rPr>
                <w:color w:val="000000"/>
                <w:sz w:val="21"/>
                <w:szCs w:val="21"/>
              </w:rPr>
              <w:t>Czas w latach od wejścia w życie zmian</w:t>
            </w:r>
          </w:p>
        </w:tc>
        <w:tc>
          <w:tcPr>
            <w:tcW w:w="937" w:type="dxa"/>
            <w:gridSpan w:val="2"/>
            <w:shd w:val="clear" w:color="auto" w:fill="FFFFFF"/>
          </w:tcPr>
          <w:p w14:paraId="5CC88A04" w14:textId="77777777" w:rsidR="001024DD" w:rsidRPr="00822F69" w:rsidRDefault="001024DD" w:rsidP="000F70F7">
            <w:pPr>
              <w:jc w:val="center"/>
              <w:rPr>
                <w:color w:val="000000"/>
                <w:sz w:val="21"/>
                <w:szCs w:val="21"/>
              </w:rPr>
            </w:pPr>
            <w:r w:rsidRPr="00822F69">
              <w:rPr>
                <w:color w:val="000000"/>
                <w:sz w:val="21"/>
                <w:szCs w:val="21"/>
              </w:rPr>
              <w:t>0</w:t>
            </w:r>
          </w:p>
        </w:tc>
        <w:tc>
          <w:tcPr>
            <w:tcW w:w="938" w:type="dxa"/>
            <w:gridSpan w:val="6"/>
            <w:shd w:val="clear" w:color="auto" w:fill="FFFFFF"/>
          </w:tcPr>
          <w:p w14:paraId="146397C5" w14:textId="77777777" w:rsidR="001024DD" w:rsidRPr="00822F69" w:rsidRDefault="001024DD" w:rsidP="000F70F7">
            <w:pPr>
              <w:jc w:val="center"/>
              <w:rPr>
                <w:color w:val="000000"/>
                <w:sz w:val="21"/>
                <w:szCs w:val="21"/>
              </w:rPr>
            </w:pPr>
            <w:r w:rsidRPr="00822F69">
              <w:rPr>
                <w:color w:val="000000"/>
                <w:sz w:val="21"/>
                <w:szCs w:val="21"/>
              </w:rPr>
              <w:t>1</w:t>
            </w:r>
          </w:p>
        </w:tc>
        <w:tc>
          <w:tcPr>
            <w:tcW w:w="938" w:type="dxa"/>
            <w:gridSpan w:val="3"/>
            <w:shd w:val="clear" w:color="auto" w:fill="FFFFFF"/>
          </w:tcPr>
          <w:p w14:paraId="4BC20BA6" w14:textId="77777777" w:rsidR="001024DD" w:rsidRPr="00822F69" w:rsidRDefault="001024DD" w:rsidP="000F70F7">
            <w:pPr>
              <w:jc w:val="center"/>
              <w:rPr>
                <w:color w:val="000000"/>
                <w:sz w:val="21"/>
                <w:szCs w:val="21"/>
              </w:rPr>
            </w:pPr>
            <w:r w:rsidRPr="00822F69">
              <w:rPr>
                <w:color w:val="000000"/>
                <w:sz w:val="21"/>
                <w:szCs w:val="21"/>
              </w:rPr>
              <w:t>2</w:t>
            </w:r>
          </w:p>
        </w:tc>
        <w:tc>
          <w:tcPr>
            <w:tcW w:w="937" w:type="dxa"/>
            <w:gridSpan w:val="3"/>
            <w:shd w:val="clear" w:color="auto" w:fill="FFFFFF"/>
          </w:tcPr>
          <w:p w14:paraId="6E45CA26" w14:textId="77777777" w:rsidR="001024DD" w:rsidRPr="00822F69" w:rsidRDefault="001024DD" w:rsidP="000F70F7">
            <w:pPr>
              <w:jc w:val="center"/>
              <w:rPr>
                <w:color w:val="000000"/>
                <w:sz w:val="21"/>
                <w:szCs w:val="21"/>
              </w:rPr>
            </w:pPr>
            <w:r w:rsidRPr="00822F69">
              <w:rPr>
                <w:color w:val="000000"/>
                <w:sz w:val="21"/>
                <w:szCs w:val="21"/>
              </w:rPr>
              <w:t>3</w:t>
            </w:r>
          </w:p>
        </w:tc>
        <w:tc>
          <w:tcPr>
            <w:tcW w:w="938" w:type="dxa"/>
            <w:gridSpan w:val="4"/>
            <w:shd w:val="clear" w:color="auto" w:fill="FFFFFF"/>
          </w:tcPr>
          <w:p w14:paraId="066914C3" w14:textId="77777777" w:rsidR="001024DD" w:rsidRPr="00822F69" w:rsidRDefault="001024DD" w:rsidP="000F70F7">
            <w:pPr>
              <w:jc w:val="center"/>
              <w:rPr>
                <w:color w:val="000000"/>
                <w:sz w:val="21"/>
                <w:szCs w:val="21"/>
              </w:rPr>
            </w:pPr>
            <w:r w:rsidRPr="00822F69">
              <w:rPr>
                <w:color w:val="000000"/>
                <w:sz w:val="21"/>
                <w:szCs w:val="21"/>
              </w:rPr>
              <w:t>5</w:t>
            </w:r>
          </w:p>
        </w:tc>
        <w:tc>
          <w:tcPr>
            <w:tcW w:w="938" w:type="dxa"/>
            <w:gridSpan w:val="3"/>
            <w:shd w:val="clear" w:color="auto" w:fill="FFFFFF"/>
          </w:tcPr>
          <w:p w14:paraId="084E212F" w14:textId="77777777" w:rsidR="001024DD" w:rsidRPr="00822F69" w:rsidRDefault="001024DD" w:rsidP="000F70F7">
            <w:pPr>
              <w:jc w:val="center"/>
              <w:rPr>
                <w:color w:val="000000"/>
                <w:sz w:val="21"/>
                <w:szCs w:val="21"/>
              </w:rPr>
            </w:pPr>
            <w:r w:rsidRPr="00822F69">
              <w:rPr>
                <w:color w:val="000000"/>
                <w:sz w:val="21"/>
                <w:szCs w:val="21"/>
              </w:rPr>
              <w:t>10</w:t>
            </w:r>
          </w:p>
        </w:tc>
        <w:tc>
          <w:tcPr>
            <w:tcW w:w="1422" w:type="dxa"/>
            <w:shd w:val="clear" w:color="auto" w:fill="FFFFFF"/>
          </w:tcPr>
          <w:p w14:paraId="385BBF39" w14:textId="77777777" w:rsidR="001024DD" w:rsidRPr="00822F69" w:rsidRDefault="001024DD" w:rsidP="000F70F7">
            <w:pPr>
              <w:jc w:val="center"/>
              <w:rPr>
                <w:i/>
                <w:color w:val="000000"/>
                <w:spacing w:val="-2"/>
                <w:sz w:val="21"/>
                <w:szCs w:val="21"/>
              </w:rPr>
            </w:pPr>
            <w:r w:rsidRPr="00822F69">
              <w:rPr>
                <w:i/>
                <w:color w:val="000000"/>
                <w:spacing w:val="-2"/>
                <w:sz w:val="21"/>
                <w:szCs w:val="21"/>
              </w:rPr>
              <w:t>Łącznie</w:t>
            </w:r>
            <w:r w:rsidRPr="00822F69" w:rsidDel="0073273A">
              <w:rPr>
                <w:i/>
                <w:color w:val="000000"/>
                <w:spacing w:val="-2"/>
                <w:sz w:val="21"/>
                <w:szCs w:val="21"/>
              </w:rPr>
              <w:t xml:space="preserve"> </w:t>
            </w:r>
            <w:r w:rsidRPr="00822F69">
              <w:rPr>
                <w:i/>
                <w:color w:val="000000"/>
                <w:spacing w:val="-2"/>
                <w:sz w:val="21"/>
                <w:szCs w:val="21"/>
              </w:rPr>
              <w:t>(0-10)</w:t>
            </w:r>
          </w:p>
        </w:tc>
      </w:tr>
      <w:tr w:rsidR="001024DD" w:rsidRPr="00822F69" w14:paraId="21F14110" w14:textId="77777777" w:rsidTr="000F70F7">
        <w:trPr>
          <w:gridAfter w:val="1"/>
          <w:wAfter w:w="10" w:type="dxa"/>
          <w:trHeight w:val="142"/>
        </w:trPr>
        <w:tc>
          <w:tcPr>
            <w:tcW w:w="1596" w:type="dxa"/>
            <w:vMerge w:val="restart"/>
            <w:shd w:val="clear" w:color="auto" w:fill="FFFFFF"/>
          </w:tcPr>
          <w:p w14:paraId="19FF2C3A" w14:textId="77777777" w:rsidR="001024DD" w:rsidRPr="00822F69" w:rsidRDefault="001024DD" w:rsidP="000F70F7">
            <w:pPr>
              <w:rPr>
                <w:color w:val="000000"/>
                <w:sz w:val="21"/>
                <w:szCs w:val="21"/>
              </w:rPr>
            </w:pPr>
            <w:r w:rsidRPr="00822F69">
              <w:rPr>
                <w:color w:val="000000"/>
                <w:sz w:val="21"/>
                <w:szCs w:val="21"/>
              </w:rPr>
              <w:t>W ujęciu pieniężnym</w:t>
            </w:r>
          </w:p>
          <w:p w14:paraId="6D50674A" w14:textId="77777777" w:rsidR="001024DD" w:rsidRPr="00822F69" w:rsidRDefault="001024DD" w:rsidP="000F70F7">
            <w:pPr>
              <w:rPr>
                <w:spacing w:val="-2"/>
                <w:sz w:val="21"/>
                <w:szCs w:val="21"/>
              </w:rPr>
            </w:pPr>
            <w:r w:rsidRPr="00822F69">
              <w:rPr>
                <w:spacing w:val="-2"/>
                <w:sz w:val="21"/>
                <w:szCs w:val="21"/>
              </w:rPr>
              <w:t xml:space="preserve">(w mln zł, </w:t>
            </w:r>
          </w:p>
          <w:p w14:paraId="409760E4" w14:textId="77777777" w:rsidR="001024DD" w:rsidRPr="00822F69" w:rsidRDefault="001024DD" w:rsidP="000F70F7">
            <w:pPr>
              <w:rPr>
                <w:color w:val="000000"/>
                <w:sz w:val="21"/>
                <w:szCs w:val="21"/>
              </w:rPr>
            </w:pPr>
            <w:r w:rsidRPr="00822F69">
              <w:rPr>
                <w:spacing w:val="-2"/>
                <w:sz w:val="21"/>
                <w:szCs w:val="21"/>
              </w:rPr>
              <w:t>ceny stałe z …… r.)</w:t>
            </w:r>
          </w:p>
        </w:tc>
        <w:tc>
          <w:tcPr>
            <w:tcW w:w="2293" w:type="dxa"/>
            <w:gridSpan w:val="6"/>
            <w:shd w:val="clear" w:color="auto" w:fill="FFFFFF"/>
          </w:tcPr>
          <w:p w14:paraId="0A6CF0F5" w14:textId="77777777" w:rsidR="001024DD" w:rsidRPr="00822F69" w:rsidRDefault="001024DD" w:rsidP="000F70F7">
            <w:pPr>
              <w:rPr>
                <w:color w:val="000000"/>
                <w:sz w:val="21"/>
                <w:szCs w:val="21"/>
              </w:rPr>
            </w:pPr>
            <w:r w:rsidRPr="00822F69">
              <w:rPr>
                <w:color w:val="000000"/>
                <w:sz w:val="21"/>
                <w:szCs w:val="21"/>
              </w:rPr>
              <w:t>duże przedsiębiorstwa</w:t>
            </w:r>
          </w:p>
        </w:tc>
        <w:tc>
          <w:tcPr>
            <w:tcW w:w="937" w:type="dxa"/>
            <w:gridSpan w:val="2"/>
            <w:shd w:val="clear" w:color="auto" w:fill="FFFFFF"/>
          </w:tcPr>
          <w:p w14:paraId="1064B096" w14:textId="77777777" w:rsidR="001024DD" w:rsidRPr="00822F69" w:rsidRDefault="001024DD" w:rsidP="000F70F7">
            <w:pPr>
              <w:rPr>
                <w:color w:val="000000"/>
                <w:sz w:val="21"/>
                <w:szCs w:val="21"/>
              </w:rPr>
            </w:pPr>
          </w:p>
        </w:tc>
        <w:tc>
          <w:tcPr>
            <w:tcW w:w="938" w:type="dxa"/>
            <w:gridSpan w:val="6"/>
            <w:shd w:val="clear" w:color="auto" w:fill="FFFFFF"/>
          </w:tcPr>
          <w:p w14:paraId="01D72C35" w14:textId="77777777" w:rsidR="001024DD" w:rsidRPr="00822F69" w:rsidRDefault="001024DD" w:rsidP="000F70F7">
            <w:pPr>
              <w:rPr>
                <w:color w:val="000000"/>
                <w:sz w:val="21"/>
                <w:szCs w:val="21"/>
              </w:rPr>
            </w:pPr>
          </w:p>
        </w:tc>
        <w:tc>
          <w:tcPr>
            <w:tcW w:w="938" w:type="dxa"/>
            <w:gridSpan w:val="3"/>
            <w:shd w:val="clear" w:color="auto" w:fill="FFFFFF"/>
          </w:tcPr>
          <w:p w14:paraId="36C7AC32" w14:textId="77777777" w:rsidR="001024DD" w:rsidRPr="00822F69" w:rsidRDefault="001024DD" w:rsidP="000F70F7">
            <w:pPr>
              <w:rPr>
                <w:color w:val="000000"/>
                <w:sz w:val="21"/>
                <w:szCs w:val="21"/>
              </w:rPr>
            </w:pPr>
          </w:p>
        </w:tc>
        <w:tc>
          <w:tcPr>
            <w:tcW w:w="937" w:type="dxa"/>
            <w:gridSpan w:val="3"/>
            <w:shd w:val="clear" w:color="auto" w:fill="FFFFFF"/>
          </w:tcPr>
          <w:p w14:paraId="2525C3D3" w14:textId="77777777" w:rsidR="001024DD" w:rsidRPr="00822F69" w:rsidRDefault="001024DD" w:rsidP="000F70F7">
            <w:pPr>
              <w:rPr>
                <w:color w:val="000000"/>
                <w:sz w:val="21"/>
                <w:szCs w:val="21"/>
              </w:rPr>
            </w:pPr>
          </w:p>
        </w:tc>
        <w:tc>
          <w:tcPr>
            <w:tcW w:w="938" w:type="dxa"/>
            <w:gridSpan w:val="4"/>
            <w:shd w:val="clear" w:color="auto" w:fill="FFFFFF"/>
          </w:tcPr>
          <w:p w14:paraId="34D62EF9" w14:textId="77777777" w:rsidR="001024DD" w:rsidRPr="00822F69" w:rsidRDefault="001024DD" w:rsidP="000F70F7">
            <w:pPr>
              <w:rPr>
                <w:color w:val="000000"/>
                <w:sz w:val="21"/>
                <w:szCs w:val="21"/>
              </w:rPr>
            </w:pPr>
          </w:p>
        </w:tc>
        <w:tc>
          <w:tcPr>
            <w:tcW w:w="938" w:type="dxa"/>
            <w:gridSpan w:val="3"/>
            <w:shd w:val="clear" w:color="auto" w:fill="FFFFFF"/>
          </w:tcPr>
          <w:p w14:paraId="17D4DE93" w14:textId="77777777" w:rsidR="001024DD" w:rsidRPr="00822F69" w:rsidRDefault="001024DD" w:rsidP="000F70F7">
            <w:pPr>
              <w:rPr>
                <w:color w:val="000000"/>
                <w:sz w:val="21"/>
                <w:szCs w:val="21"/>
              </w:rPr>
            </w:pPr>
          </w:p>
        </w:tc>
        <w:tc>
          <w:tcPr>
            <w:tcW w:w="1422" w:type="dxa"/>
            <w:shd w:val="clear" w:color="auto" w:fill="FFFFFF"/>
          </w:tcPr>
          <w:p w14:paraId="5C6B7841" w14:textId="77777777" w:rsidR="001024DD" w:rsidRPr="00822F69" w:rsidRDefault="001024DD" w:rsidP="000F70F7">
            <w:pPr>
              <w:rPr>
                <w:color w:val="000000"/>
                <w:spacing w:val="-2"/>
                <w:sz w:val="21"/>
                <w:szCs w:val="21"/>
              </w:rPr>
            </w:pPr>
          </w:p>
        </w:tc>
      </w:tr>
      <w:tr w:rsidR="001024DD" w:rsidRPr="00822F69" w14:paraId="2200B49F" w14:textId="77777777" w:rsidTr="000F70F7">
        <w:trPr>
          <w:gridAfter w:val="1"/>
          <w:wAfter w:w="10" w:type="dxa"/>
          <w:trHeight w:val="142"/>
        </w:trPr>
        <w:tc>
          <w:tcPr>
            <w:tcW w:w="1596" w:type="dxa"/>
            <w:vMerge/>
            <w:shd w:val="clear" w:color="auto" w:fill="FFFFFF"/>
          </w:tcPr>
          <w:p w14:paraId="3F59C86C" w14:textId="77777777" w:rsidR="001024DD" w:rsidRPr="00822F69" w:rsidRDefault="001024DD" w:rsidP="000F70F7">
            <w:pPr>
              <w:rPr>
                <w:color w:val="000000"/>
                <w:sz w:val="21"/>
                <w:szCs w:val="21"/>
              </w:rPr>
            </w:pPr>
          </w:p>
        </w:tc>
        <w:tc>
          <w:tcPr>
            <w:tcW w:w="2293" w:type="dxa"/>
            <w:gridSpan w:val="6"/>
            <w:shd w:val="clear" w:color="auto" w:fill="FFFFFF"/>
          </w:tcPr>
          <w:p w14:paraId="726AA741" w14:textId="77777777" w:rsidR="001024DD" w:rsidRPr="00822F69" w:rsidRDefault="001024DD" w:rsidP="000F70F7">
            <w:pPr>
              <w:rPr>
                <w:color w:val="000000"/>
                <w:sz w:val="21"/>
                <w:szCs w:val="21"/>
              </w:rPr>
            </w:pPr>
            <w:r w:rsidRPr="00822F69">
              <w:rPr>
                <w:color w:val="000000"/>
                <w:sz w:val="21"/>
                <w:szCs w:val="21"/>
              </w:rPr>
              <w:t>sektor mikro-, małych i średnich przedsiębiorstw</w:t>
            </w:r>
          </w:p>
        </w:tc>
        <w:tc>
          <w:tcPr>
            <w:tcW w:w="937" w:type="dxa"/>
            <w:gridSpan w:val="2"/>
            <w:shd w:val="clear" w:color="auto" w:fill="FFFFFF"/>
          </w:tcPr>
          <w:p w14:paraId="009F6885" w14:textId="77777777" w:rsidR="001024DD" w:rsidRPr="00822F69" w:rsidRDefault="001024DD" w:rsidP="000F70F7">
            <w:pPr>
              <w:rPr>
                <w:color w:val="000000"/>
                <w:sz w:val="21"/>
                <w:szCs w:val="21"/>
              </w:rPr>
            </w:pPr>
          </w:p>
        </w:tc>
        <w:tc>
          <w:tcPr>
            <w:tcW w:w="938" w:type="dxa"/>
            <w:gridSpan w:val="6"/>
            <w:shd w:val="clear" w:color="auto" w:fill="FFFFFF"/>
          </w:tcPr>
          <w:p w14:paraId="7E796C30" w14:textId="77777777" w:rsidR="001024DD" w:rsidRPr="00822F69" w:rsidRDefault="001024DD" w:rsidP="000F70F7">
            <w:pPr>
              <w:rPr>
                <w:color w:val="000000"/>
                <w:sz w:val="21"/>
                <w:szCs w:val="21"/>
              </w:rPr>
            </w:pPr>
          </w:p>
        </w:tc>
        <w:tc>
          <w:tcPr>
            <w:tcW w:w="938" w:type="dxa"/>
            <w:gridSpan w:val="3"/>
            <w:shd w:val="clear" w:color="auto" w:fill="FFFFFF"/>
          </w:tcPr>
          <w:p w14:paraId="13385E49" w14:textId="77777777" w:rsidR="001024DD" w:rsidRPr="00822F69" w:rsidRDefault="001024DD" w:rsidP="000F70F7">
            <w:pPr>
              <w:rPr>
                <w:color w:val="000000"/>
                <w:sz w:val="21"/>
                <w:szCs w:val="21"/>
              </w:rPr>
            </w:pPr>
          </w:p>
        </w:tc>
        <w:tc>
          <w:tcPr>
            <w:tcW w:w="937" w:type="dxa"/>
            <w:gridSpan w:val="3"/>
            <w:shd w:val="clear" w:color="auto" w:fill="FFFFFF"/>
          </w:tcPr>
          <w:p w14:paraId="7485C44C" w14:textId="77777777" w:rsidR="001024DD" w:rsidRPr="00822F69" w:rsidRDefault="001024DD" w:rsidP="000F70F7">
            <w:pPr>
              <w:rPr>
                <w:color w:val="000000"/>
                <w:sz w:val="21"/>
                <w:szCs w:val="21"/>
              </w:rPr>
            </w:pPr>
          </w:p>
        </w:tc>
        <w:tc>
          <w:tcPr>
            <w:tcW w:w="938" w:type="dxa"/>
            <w:gridSpan w:val="4"/>
            <w:shd w:val="clear" w:color="auto" w:fill="FFFFFF"/>
          </w:tcPr>
          <w:p w14:paraId="4AC89723" w14:textId="77777777" w:rsidR="001024DD" w:rsidRPr="00822F69" w:rsidRDefault="001024DD" w:rsidP="000F70F7">
            <w:pPr>
              <w:rPr>
                <w:color w:val="000000"/>
                <w:sz w:val="21"/>
                <w:szCs w:val="21"/>
              </w:rPr>
            </w:pPr>
          </w:p>
        </w:tc>
        <w:tc>
          <w:tcPr>
            <w:tcW w:w="938" w:type="dxa"/>
            <w:gridSpan w:val="3"/>
            <w:shd w:val="clear" w:color="auto" w:fill="FFFFFF"/>
          </w:tcPr>
          <w:p w14:paraId="0C5AF98D" w14:textId="77777777" w:rsidR="001024DD" w:rsidRPr="00822F69" w:rsidRDefault="001024DD" w:rsidP="000F70F7">
            <w:pPr>
              <w:rPr>
                <w:color w:val="000000"/>
                <w:sz w:val="21"/>
                <w:szCs w:val="21"/>
              </w:rPr>
            </w:pPr>
          </w:p>
        </w:tc>
        <w:tc>
          <w:tcPr>
            <w:tcW w:w="1422" w:type="dxa"/>
            <w:shd w:val="clear" w:color="auto" w:fill="FFFFFF"/>
          </w:tcPr>
          <w:p w14:paraId="192455EA" w14:textId="77777777" w:rsidR="001024DD" w:rsidRPr="00822F69" w:rsidRDefault="001024DD" w:rsidP="000F70F7">
            <w:pPr>
              <w:rPr>
                <w:color w:val="000000"/>
                <w:spacing w:val="-2"/>
                <w:sz w:val="21"/>
                <w:szCs w:val="21"/>
              </w:rPr>
            </w:pPr>
          </w:p>
        </w:tc>
      </w:tr>
      <w:tr w:rsidR="001024DD" w:rsidRPr="00822F69" w14:paraId="1CACEDB8" w14:textId="77777777" w:rsidTr="000F70F7">
        <w:trPr>
          <w:gridAfter w:val="1"/>
          <w:wAfter w:w="10" w:type="dxa"/>
          <w:trHeight w:val="142"/>
        </w:trPr>
        <w:tc>
          <w:tcPr>
            <w:tcW w:w="1596" w:type="dxa"/>
            <w:vMerge/>
            <w:shd w:val="clear" w:color="auto" w:fill="FFFFFF"/>
          </w:tcPr>
          <w:p w14:paraId="101DFD99" w14:textId="77777777" w:rsidR="001024DD" w:rsidRPr="00822F69" w:rsidRDefault="001024DD" w:rsidP="000F70F7">
            <w:pPr>
              <w:rPr>
                <w:color w:val="000000"/>
                <w:sz w:val="21"/>
                <w:szCs w:val="21"/>
              </w:rPr>
            </w:pPr>
          </w:p>
        </w:tc>
        <w:tc>
          <w:tcPr>
            <w:tcW w:w="2293" w:type="dxa"/>
            <w:gridSpan w:val="6"/>
            <w:shd w:val="clear" w:color="auto" w:fill="FFFFFF"/>
          </w:tcPr>
          <w:p w14:paraId="69969525" w14:textId="77777777" w:rsidR="001024DD" w:rsidRPr="00822F69" w:rsidRDefault="001024DD" w:rsidP="000F70F7">
            <w:pPr>
              <w:rPr>
                <w:color w:val="000000"/>
                <w:sz w:val="21"/>
                <w:szCs w:val="21"/>
              </w:rPr>
            </w:pPr>
            <w:r w:rsidRPr="00822F69">
              <w:rPr>
                <w:sz w:val="21"/>
                <w:szCs w:val="21"/>
              </w:rPr>
              <w:t>rodzina, obywatele oraz gospodarstwa domowe</w:t>
            </w:r>
          </w:p>
        </w:tc>
        <w:tc>
          <w:tcPr>
            <w:tcW w:w="937" w:type="dxa"/>
            <w:gridSpan w:val="2"/>
            <w:shd w:val="clear" w:color="auto" w:fill="FFFFFF"/>
          </w:tcPr>
          <w:p w14:paraId="50E49FFB" w14:textId="77777777" w:rsidR="001024DD" w:rsidRPr="00822F69" w:rsidRDefault="001024DD" w:rsidP="000F70F7">
            <w:pPr>
              <w:rPr>
                <w:color w:val="000000"/>
                <w:sz w:val="21"/>
                <w:szCs w:val="21"/>
              </w:rPr>
            </w:pPr>
          </w:p>
        </w:tc>
        <w:tc>
          <w:tcPr>
            <w:tcW w:w="938" w:type="dxa"/>
            <w:gridSpan w:val="6"/>
            <w:shd w:val="clear" w:color="auto" w:fill="FFFFFF"/>
          </w:tcPr>
          <w:p w14:paraId="6DDA3D78" w14:textId="77777777" w:rsidR="001024DD" w:rsidRPr="00822F69" w:rsidRDefault="001024DD" w:rsidP="000F70F7">
            <w:pPr>
              <w:rPr>
                <w:color w:val="000000"/>
                <w:sz w:val="21"/>
                <w:szCs w:val="21"/>
              </w:rPr>
            </w:pPr>
          </w:p>
        </w:tc>
        <w:tc>
          <w:tcPr>
            <w:tcW w:w="938" w:type="dxa"/>
            <w:gridSpan w:val="3"/>
            <w:shd w:val="clear" w:color="auto" w:fill="FFFFFF"/>
          </w:tcPr>
          <w:p w14:paraId="687503E7" w14:textId="77777777" w:rsidR="001024DD" w:rsidRPr="00822F69" w:rsidRDefault="001024DD" w:rsidP="000F70F7">
            <w:pPr>
              <w:rPr>
                <w:color w:val="000000"/>
                <w:sz w:val="21"/>
                <w:szCs w:val="21"/>
              </w:rPr>
            </w:pPr>
          </w:p>
        </w:tc>
        <w:tc>
          <w:tcPr>
            <w:tcW w:w="937" w:type="dxa"/>
            <w:gridSpan w:val="3"/>
            <w:shd w:val="clear" w:color="auto" w:fill="FFFFFF"/>
          </w:tcPr>
          <w:p w14:paraId="6C23908E" w14:textId="77777777" w:rsidR="001024DD" w:rsidRPr="00822F69" w:rsidRDefault="001024DD" w:rsidP="000F70F7">
            <w:pPr>
              <w:rPr>
                <w:color w:val="000000"/>
                <w:sz w:val="21"/>
                <w:szCs w:val="21"/>
              </w:rPr>
            </w:pPr>
          </w:p>
        </w:tc>
        <w:tc>
          <w:tcPr>
            <w:tcW w:w="938" w:type="dxa"/>
            <w:gridSpan w:val="4"/>
            <w:shd w:val="clear" w:color="auto" w:fill="FFFFFF"/>
          </w:tcPr>
          <w:p w14:paraId="2B6D770C" w14:textId="77777777" w:rsidR="001024DD" w:rsidRPr="00822F69" w:rsidRDefault="001024DD" w:rsidP="000F70F7">
            <w:pPr>
              <w:rPr>
                <w:color w:val="000000"/>
                <w:sz w:val="21"/>
                <w:szCs w:val="21"/>
              </w:rPr>
            </w:pPr>
          </w:p>
        </w:tc>
        <w:tc>
          <w:tcPr>
            <w:tcW w:w="938" w:type="dxa"/>
            <w:gridSpan w:val="3"/>
            <w:shd w:val="clear" w:color="auto" w:fill="FFFFFF"/>
          </w:tcPr>
          <w:p w14:paraId="217CCAB9" w14:textId="77777777" w:rsidR="001024DD" w:rsidRPr="00822F69" w:rsidRDefault="001024DD" w:rsidP="000F70F7">
            <w:pPr>
              <w:rPr>
                <w:color w:val="000000"/>
                <w:sz w:val="21"/>
                <w:szCs w:val="21"/>
              </w:rPr>
            </w:pPr>
          </w:p>
        </w:tc>
        <w:tc>
          <w:tcPr>
            <w:tcW w:w="1422" w:type="dxa"/>
            <w:shd w:val="clear" w:color="auto" w:fill="FFFFFF"/>
          </w:tcPr>
          <w:p w14:paraId="4B79D9FF" w14:textId="77777777" w:rsidR="001024DD" w:rsidRPr="00822F69" w:rsidRDefault="001024DD" w:rsidP="000F70F7">
            <w:pPr>
              <w:rPr>
                <w:color w:val="000000"/>
                <w:spacing w:val="-2"/>
                <w:sz w:val="21"/>
                <w:szCs w:val="21"/>
              </w:rPr>
            </w:pPr>
          </w:p>
        </w:tc>
      </w:tr>
      <w:tr w:rsidR="001024DD" w:rsidRPr="00822F69" w14:paraId="4F2C480A" w14:textId="77777777" w:rsidTr="000F70F7">
        <w:trPr>
          <w:gridAfter w:val="1"/>
          <w:wAfter w:w="10" w:type="dxa"/>
          <w:trHeight w:val="142"/>
        </w:trPr>
        <w:tc>
          <w:tcPr>
            <w:tcW w:w="1596" w:type="dxa"/>
            <w:vMerge w:val="restart"/>
            <w:shd w:val="clear" w:color="auto" w:fill="FFFFFF"/>
          </w:tcPr>
          <w:p w14:paraId="31287CC4" w14:textId="77777777" w:rsidR="001024DD" w:rsidRPr="00822F69" w:rsidRDefault="001024DD" w:rsidP="000F70F7">
            <w:pPr>
              <w:rPr>
                <w:color w:val="000000"/>
                <w:sz w:val="21"/>
                <w:szCs w:val="21"/>
              </w:rPr>
            </w:pPr>
            <w:r w:rsidRPr="00822F69">
              <w:rPr>
                <w:color w:val="000000"/>
                <w:sz w:val="21"/>
                <w:szCs w:val="21"/>
              </w:rPr>
              <w:t>W ujęciu niepieniężnym</w:t>
            </w:r>
          </w:p>
        </w:tc>
        <w:tc>
          <w:tcPr>
            <w:tcW w:w="2293" w:type="dxa"/>
            <w:gridSpan w:val="6"/>
            <w:shd w:val="clear" w:color="auto" w:fill="FFFFFF"/>
          </w:tcPr>
          <w:p w14:paraId="79474BA2" w14:textId="77777777" w:rsidR="001024DD" w:rsidRPr="00822F69" w:rsidRDefault="001024DD" w:rsidP="000F70F7">
            <w:pPr>
              <w:rPr>
                <w:color w:val="000000"/>
                <w:sz w:val="21"/>
                <w:szCs w:val="21"/>
              </w:rPr>
            </w:pPr>
            <w:r w:rsidRPr="00822F69">
              <w:rPr>
                <w:color w:val="000000"/>
                <w:sz w:val="21"/>
                <w:szCs w:val="21"/>
              </w:rPr>
              <w:t>duże przedsiębiorstwa</w:t>
            </w:r>
          </w:p>
        </w:tc>
        <w:tc>
          <w:tcPr>
            <w:tcW w:w="7048" w:type="dxa"/>
            <w:gridSpan w:val="22"/>
            <w:shd w:val="clear" w:color="auto" w:fill="FFFFFF"/>
          </w:tcPr>
          <w:p w14:paraId="3F2D7D4A" w14:textId="77777777" w:rsidR="001024DD" w:rsidRPr="00660E42" w:rsidRDefault="001024DD" w:rsidP="000F70F7">
            <w:pPr>
              <w:rPr>
                <w:color w:val="000000"/>
                <w:spacing w:val="-2"/>
              </w:rPr>
            </w:pPr>
            <w:r w:rsidRPr="00660E42">
              <w:rPr>
                <w:color w:val="000000"/>
                <w:spacing w:val="-2"/>
              </w:rPr>
              <w:t>Wprowadzane rozwiązania mogą pozytywnie wpłynąć na postrzeganie polskiego systemu finansowego, w szczególności sektora bankowego</w:t>
            </w:r>
            <w:r w:rsidRPr="00660E42">
              <w:t xml:space="preserve"> oraz polskiego rynku listów zastawnych.</w:t>
            </w:r>
          </w:p>
        </w:tc>
      </w:tr>
      <w:tr w:rsidR="001024DD" w:rsidRPr="00822F69" w14:paraId="6AFF5285" w14:textId="77777777" w:rsidTr="000F70F7">
        <w:trPr>
          <w:gridAfter w:val="1"/>
          <w:wAfter w:w="10" w:type="dxa"/>
          <w:trHeight w:val="142"/>
        </w:trPr>
        <w:tc>
          <w:tcPr>
            <w:tcW w:w="1596" w:type="dxa"/>
            <w:vMerge/>
            <w:shd w:val="clear" w:color="auto" w:fill="FFFFFF"/>
          </w:tcPr>
          <w:p w14:paraId="70D47E66" w14:textId="77777777" w:rsidR="001024DD" w:rsidRPr="00822F69" w:rsidRDefault="001024DD" w:rsidP="000F70F7">
            <w:pPr>
              <w:rPr>
                <w:color w:val="000000"/>
                <w:sz w:val="21"/>
                <w:szCs w:val="21"/>
              </w:rPr>
            </w:pPr>
          </w:p>
        </w:tc>
        <w:tc>
          <w:tcPr>
            <w:tcW w:w="2293" w:type="dxa"/>
            <w:gridSpan w:val="6"/>
            <w:shd w:val="clear" w:color="auto" w:fill="FFFFFF"/>
          </w:tcPr>
          <w:p w14:paraId="2301F5EF" w14:textId="77777777" w:rsidR="001024DD" w:rsidRPr="00822F69" w:rsidRDefault="001024DD" w:rsidP="000F70F7">
            <w:pPr>
              <w:rPr>
                <w:color w:val="000000"/>
                <w:sz w:val="21"/>
                <w:szCs w:val="21"/>
              </w:rPr>
            </w:pPr>
            <w:r w:rsidRPr="00822F69">
              <w:rPr>
                <w:color w:val="000000"/>
                <w:sz w:val="21"/>
                <w:szCs w:val="21"/>
              </w:rPr>
              <w:t>sektor mikro-, małych i średnich przedsiębiorstw</w:t>
            </w:r>
          </w:p>
        </w:tc>
        <w:tc>
          <w:tcPr>
            <w:tcW w:w="7048" w:type="dxa"/>
            <w:gridSpan w:val="22"/>
            <w:shd w:val="clear" w:color="auto" w:fill="FFFFFF"/>
          </w:tcPr>
          <w:p w14:paraId="1D449470" w14:textId="77777777" w:rsidR="001024DD" w:rsidRPr="00822F69" w:rsidRDefault="001024DD" w:rsidP="000F70F7">
            <w:pPr>
              <w:rPr>
                <w:color w:val="000000"/>
                <w:spacing w:val="-2"/>
              </w:rPr>
            </w:pPr>
            <w:r w:rsidRPr="00822F69">
              <w:rPr>
                <w:color w:val="000000"/>
                <w:spacing w:val="-2"/>
              </w:rPr>
              <w:t>Wejście w życie ustawy nie wpłynie na sektor mikro-, małych i średnich przedsiębiorstw.</w:t>
            </w:r>
          </w:p>
        </w:tc>
      </w:tr>
      <w:tr w:rsidR="001024DD" w:rsidRPr="00822F69" w14:paraId="7DFD1E47" w14:textId="77777777" w:rsidTr="000F70F7">
        <w:trPr>
          <w:gridAfter w:val="1"/>
          <w:wAfter w:w="10" w:type="dxa"/>
          <w:trHeight w:val="596"/>
        </w:trPr>
        <w:tc>
          <w:tcPr>
            <w:tcW w:w="1596" w:type="dxa"/>
            <w:vMerge/>
            <w:shd w:val="clear" w:color="auto" w:fill="FFFFFF"/>
          </w:tcPr>
          <w:p w14:paraId="600D9D3E" w14:textId="77777777" w:rsidR="001024DD" w:rsidRPr="00822F69" w:rsidRDefault="001024DD" w:rsidP="000F70F7">
            <w:pPr>
              <w:rPr>
                <w:color w:val="000000"/>
                <w:sz w:val="21"/>
                <w:szCs w:val="21"/>
              </w:rPr>
            </w:pPr>
          </w:p>
        </w:tc>
        <w:tc>
          <w:tcPr>
            <w:tcW w:w="2293" w:type="dxa"/>
            <w:gridSpan w:val="6"/>
            <w:shd w:val="clear" w:color="auto" w:fill="FFFFFF"/>
          </w:tcPr>
          <w:p w14:paraId="05564724" w14:textId="77777777" w:rsidR="001024DD" w:rsidRPr="00822F69" w:rsidRDefault="001024DD" w:rsidP="000F70F7">
            <w:pPr>
              <w:tabs>
                <w:tab w:val="right" w:pos="1936"/>
              </w:tabs>
              <w:rPr>
                <w:color w:val="000000"/>
                <w:sz w:val="21"/>
                <w:szCs w:val="21"/>
              </w:rPr>
            </w:pPr>
            <w:r w:rsidRPr="00822F69">
              <w:rPr>
                <w:sz w:val="21"/>
                <w:szCs w:val="21"/>
              </w:rPr>
              <w:t>rodzina, obywatele oraz gospodarstwa domowe</w:t>
            </w:r>
            <w:r w:rsidRPr="00822F69">
              <w:rPr>
                <w:color w:val="000000"/>
                <w:sz w:val="21"/>
                <w:szCs w:val="21"/>
              </w:rPr>
              <w:t xml:space="preserve"> </w:t>
            </w:r>
          </w:p>
        </w:tc>
        <w:tc>
          <w:tcPr>
            <w:tcW w:w="7048" w:type="dxa"/>
            <w:gridSpan w:val="22"/>
            <w:shd w:val="clear" w:color="auto" w:fill="FFFFFF"/>
          </w:tcPr>
          <w:p w14:paraId="59F3EDF8" w14:textId="77777777" w:rsidR="001024DD" w:rsidRPr="00822F69" w:rsidRDefault="001024DD" w:rsidP="000F70F7">
            <w:pPr>
              <w:rPr>
                <w:color w:val="000000"/>
                <w:spacing w:val="-2"/>
              </w:rPr>
            </w:pPr>
            <w:r w:rsidRPr="00822F69">
              <w:rPr>
                <w:color w:val="000000"/>
                <w:spacing w:val="-2"/>
              </w:rPr>
              <w:t>Wejście w życie ustawy nie wpłynie na sytuację ekonomiczną i społeczną rodziny, a także osób niepełnosprawnych oraz osób starszych.</w:t>
            </w:r>
          </w:p>
        </w:tc>
      </w:tr>
      <w:tr w:rsidR="001024DD" w:rsidRPr="00822F69" w14:paraId="474F1B55" w14:textId="77777777" w:rsidTr="000F70F7">
        <w:trPr>
          <w:gridAfter w:val="1"/>
          <w:wAfter w:w="10" w:type="dxa"/>
          <w:trHeight w:val="142"/>
        </w:trPr>
        <w:tc>
          <w:tcPr>
            <w:tcW w:w="1596" w:type="dxa"/>
            <w:shd w:val="clear" w:color="auto" w:fill="FFFFFF"/>
          </w:tcPr>
          <w:p w14:paraId="727F8C2A" w14:textId="77777777" w:rsidR="001024DD" w:rsidRPr="00822F69" w:rsidRDefault="001024DD" w:rsidP="000F70F7">
            <w:pPr>
              <w:rPr>
                <w:color w:val="000000"/>
                <w:sz w:val="21"/>
                <w:szCs w:val="21"/>
              </w:rPr>
            </w:pPr>
            <w:r w:rsidRPr="00822F69">
              <w:rPr>
                <w:color w:val="000000"/>
                <w:sz w:val="21"/>
                <w:szCs w:val="21"/>
              </w:rPr>
              <w:t>Niemierzalne</w:t>
            </w:r>
          </w:p>
        </w:tc>
        <w:tc>
          <w:tcPr>
            <w:tcW w:w="2293" w:type="dxa"/>
            <w:gridSpan w:val="6"/>
            <w:shd w:val="clear" w:color="auto" w:fill="FFFFFF"/>
          </w:tcPr>
          <w:p w14:paraId="2231298F" w14:textId="77777777" w:rsidR="001024DD" w:rsidRPr="00822F69" w:rsidRDefault="001024DD" w:rsidP="000F70F7">
            <w:pPr>
              <w:rPr>
                <w:color w:val="000000"/>
                <w:sz w:val="21"/>
                <w:szCs w:val="21"/>
              </w:rPr>
            </w:pPr>
          </w:p>
        </w:tc>
        <w:tc>
          <w:tcPr>
            <w:tcW w:w="7048" w:type="dxa"/>
            <w:gridSpan w:val="22"/>
            <w:shd w:val="clear" w:color="auto" w:fill="FFFFFF"/>
          </w:tcPr>
          <w:p w14:paraId="531427FE" w14:textId="77777777" w:rsidR="001024DD" w:rsidRPr="00822F69" w:rsidRDefault="001024DD" w:rsidP="000F70F7">
            <w:pPr>
              <w:rPr>
                <w:color w:val="000000"/>
                <w:spacing w:val="-2"/>
                <w:sz w:val="21"/>
                <w:szCs w:val="21"/>
              </w:rPr>
            </w:pPr>
          </w:p>
        </w:tc>
      </w:tr>
      <w:tr w:rsidR="001024DD" w:rsidRPr="00822F69" w14:paraId="5FCE6AEB" w14:textId="77777777" w:rsidTr="000F70F7">
        <w:trPr>
          <w:gridAfter w:val="1"/>
          <w:wAfter w:w="10" w:type="dxa"/>
          <w:trHeight w:val="1124"/>
        </w:trPr>
        <w:tc>
          <w:tcPr>
            <w:tcW w:w="2243" w:type="dxa"/>
            <w:gridSpan w:val="2"/>
            <w:shd w:val="clear" w:color="auto" w:fill="FFFFFF"/>
          </w:tcPr>
          <w:p w14:paraId="40D86079" w14:textId="77777777" w:rsidR="001024DD" w:rsidRPr="00822F69" w:rsidRDefault="001024DD" w:rsidP="000F70F7">
            <w:pPr>
              <w:rPr>
                <w:color w:val="000000"/>
                <w:sz w:val="21"/>
                <w:szCs w:val="21"/>
              </w:rPr>
            </w:pPr>
            <w:r w:rsidRPr="00822F69">
              <w:rPr>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47F9DE91" w14:textId="77777777" w:rsidR="001024DD" w:rsidRPr="00D3778B" w:rsidRDefault="001024DD" w:rsidP="000F70F7">
            <w:pPr>
              <w:spacing w:after="160" w:line="259" w:lineRule="auto"/>
              <w:contextualSpacing/>
            </w:pPr>
            <w:r w:rsidRPr="00DF4B4B">
              <w:t>Polski rynek listów zastawnych nadal pozostaje w fazie rozwoju na tle rynku europejskiego. Aktualnie na rynku krajowym działają cztery banki hipoteczne: PKO Bank Hipoteczny, mBank Hipoteczny, Pekao Bank Hipoteczny i ING Bank Hipoteczny.</w:t>
            </w:r>
          </w:p>
          <w:p w14:paraId="57DC4DFF" w14:textId="77777777" w:rsidR="001024DD" w:rsidRPr="00DF4B4B" w:rsidRDefault="001024DD" w:rsidP="000F70F7">
            <w:pPr>
              <w:spacing w:after="160" w:line="259" w:lineRule="auto"/>
              <w:contextualSpacing/>
            </w:pPr>
            <w:r w:rsidRPr="00DF4B4B">
              <w:t>Aktywa banków hipotecznych stanowiły w grudniu 2019 r. 2,3% aktywów sektora bankowego, a kredyty mieszkaniowe – około 7% tych kredytów w całym sektorze bankowym. Konsekwencją niewielkich rozmiarów banków hipotecznych jest obecnie nieduże znaczenie listów zastawnych w  finansowaniu sektora bankowego w Polsce. W 2019 r., podobnie jak w roku poprzednim, istotnie zwiększyła się łączna wartość kredytów mieszkaniowych w bilansach banków hipotecznych (z 27,9 mld zł w 2018 r. do 37,3 mld zł w roku 2019). Wzrost portfela kredytów mieszkaniowych umożliwił bankom hipotecznym zwiększenie emisji listów zastawnych.</w:t>
            </w:r>
            <w:r w:rsidRPr="00B34B4C">
              <w:t xml:space="preserve"> W 2019 r. banki hipoteczne wyemitowały na rynku krajowym listy zastawne o wartości 1,2 mld zł, w tym po raz pierwszy dokonano emisji tzw. zielonych hipotecznych listów zastawnych. Wartość ich zobowiązań  z tytułu emisji listów zastawnych na rynku krajowym osiągnęła na koniec roku 11,9 mld zł</w:t>
            </w:r>
            <w:r w:rsidRPr="00DF4B4B">
              <w:t>.</w:t>
            </w:r>
          </w:p>
          <w:p w14:paraId="39A90A00" w14:textId="77777777" w:rsidR="001024DD" w:rsidRPr="00DF4B4B" w:rsidRDefault="001024DD" w:rsidP="000F70F7">
            <w:r w:rsidRPr="00D3778B">
              <w:t>Wejście w życie ustawy może wpłynąć na konkurencyjność i atrakcyjność polskiego rynku listów zastawnych oraz wykorzystanie jego potencjału przez inwestorów.</w:t>
            </w:r>
            <w:r w:rsidRPr="00DF4B4B">
              <w:t xml:space="preserve"> Na obecnym etapie nie można jednak dokonać oszacowania skali nowych emisji, niemniej jednak projektowane przepisy powinny przyczynić się do dalszego rozwoju rynku listów zastawnych. </w:t>
            </w:r>
          </w:p>
          <w:p w14:paraId="24F17E17" w14:textId="77777777" w:rsidR="001024DD" w:rsidRPr="00DF4B4B" w:rsidRDefault="001024DD" w:rsidP="000F70F7">
            <w:pPr>
              <w:spacing w:after="160" w:line="259" w:lineRule="auto"/>
              <w:contextualSpacing/>
            </w:pPr>
            <w:r w:rsidRPr="00DF4B4B">
              <w:t>W związku z projektowanymi regulacjami obecnie działające banki hipoteczne będą musiały dostosować swoją działalność m.in. w zakresie zmodyfikowanych wymogów dotyczących utrzymywania bufora płynnościowego. W dotychczasowym stanie prawnym banki hipoteczne obowiązane są utrzymywać, odrębnie dla hipotecznych listów zastawnych oraz publicznych listów zastawnych, nadwyżkę stanowiącą bufor płynnościowy, utworzoną ze środków, o których mowa w art. 18 ust. 3 ustawy</w:t>
            </w:r>
            <w:r>
              <w:t xml:space="preserve"> z dnia </w:t>
            </w:r>
            <w:r w:rsidRPr="00C7281B">
              <w:t>29  sierpnia 1997 r. o listach zastawnych i  bankach hipotecznych</w:t>
            </w:r>
            <w:r w:rsidRPr="00DF4B4B">
              <w:t>, w wysokości nie niższej niż łączna kwota nominalnych wartości odsetek od znajdujących się w obrocie odpowiednio hipotecznych albo publicznych listów zastawnych, przypadających do wypłaty w okres</w:t>
            </w:r>
            <w:r w:rsidRPr="00D3778B">
              <w:t xml:space="preserve">ie kolejnych 6 miesięcy. W świetle nowelizacji ustawy z dnia 29  sierpnia 1997 r. o listach zastawnych i bankach hipotecznych </w:t>
            </w:r>
            <w:r w:rsidRPr="00DF4B4B">
              <w:t>banki hipoteczne będą musiały przestrzegać nowych warunków i zasad dotyczących bufora płynnościowego, którego minimalny poziom określają przepisy projektu</w:t>
            </w:r>
            <w:r>
              <w:t xml:space="preserve"> ustawy</w:t>
            </w:r>
            <w:r w:rsidRPr="00DF4B4B">
              <w:t>,</w:t>
            </w:r>
            <w:r>
              <w:t xml:space="preserve"> w ramach których</w:t>
            </w:r>
            <w:r w:rsidRPr="00DF4B4B">
              <w:t xml:space="preserve"> </w:t>
            </w:r>
            <w:r w:rsidRPr="00D3778B">
              <w:t xml:space="preserve">sprecyzowano rodzaj aktywów, z których bufor będzie mógł być tworzony, </w:t>
            </w:r>
            <w:r w:rsidRPr="00DF4B4B">
              <w:t xml:space="preserve">a </w:t>
            </w:r>
            <w:r>
              <w:t xml:space="preserve">także </w:t>
            </w:r>
            <w:r w:rsidRPr="00D3778B">
              <w:t>zdefiniowan</w:t>
            </w:r>
            <w:r>
              <w:t>o</w:t>
            </w:r>
            <w:r w:rsidRPr="00DF4B4B">
              <w:t xml:space="preserve"> </w:t>
            </w:r>
            <w:r w:rsidRPr="00D3778B">
              <w:t xml:space="preserve">kryterium wypływów płatności netto </w:t>
            </w:r>
            <w:r>
              <w:t xml:space="preserve">niezbędnego do </w:t>
            </w:r>
            <w:r w:rsidRPr="006769E2">
              <w:t>oblicz</w:t>
            </w:r>
            <w:r>
              <w:t>e</w:t>
            </w:r>
            <w:r w:rsidRPr="006769E2">
              <w:t xml:space="preserve">nia </w:t>
            </w:r>
            <w:r>
              <w:t xml:space="preserve">przez </w:t>
            </w:r>
            <w:r w:rsidRPr="006769E2">
              <w:t>banki hipoteczne</w:t>
            </w:r>
            <w:r>
              <w:t xml:space="preserve"> tego bufora</w:t>
            </w:r>
            <w:r w:rsidRPr="006769E2">
              <w:t xml:space="preserve"> </w:t>
            </w:r>
            <w:r w:rsidRPr="00DF4B4B">
              <w:t>(</w:t>
            </w:r>
            <w:r>
              <w:t xml:space="preserve">projektowana </w:t>
            </w:r>
            <w:r w:rsidRPr="00DF4B4B">
              <w:t>zmiana art. 18 ust. 3a ustawy</w:t>
            </w:r>
            <w:r>
              <w:t xml:space="preserve">  z dnia </w:t>
            </w:r>
            <w:r w:rsidRPr="00C7281B">
              <w:t>29  sierpnia 1997 r. o listach zastawnych i  bankach hipotecznych</w:t>
            </w:r>
            <w:r w:rsidRPr="00DF4B4B">
              <w:t xml:space="preserve">). </w:t>
            </w:r>
            <w:r w:rsidRPr="00D3778B">
              <w:t xml:space="preserve">Ze względu na konieczność dostosowania się banków hipotecznych do nowych wymogów w </w:t>
            </w:r>
            <w:r w:rsidRPr="00DF4B4B">
              <w:t xml:space="preserve">projekcie przewidziano odroczony termin wejścia w życie przepisów dotyczących bufora płynnościowego (trzymiesięczny okres </w:t>
            </w:r>
            <w:r w:rsidRPr="00DF4B4B">
              <w:rPr>
                <w:i/>
              </w:rPr>
              <w:t>vacatio legis</w:t>
            </w:r>
            <w:r w:rsidRPr="00DF4B4B">
              <w:t xml:space="preserve">). </w:t>
            </w:r>
          </w:p>
          <w:p w14:paraId="5F7EF4E5" w14:textId="77777777" w:rsidR="001024DD" w:rsidRPr="000746D5" w:rsidRDefault="001024DD" w:rsidP="000F70F7">
            <w:pPr>
              <w:spacing w:after="160" w:line="259" w:lineRule="auto"/>
              <w:contextualSpacing/>
            </w:pPr>
            <w:r w:rsidRPr="00DF4B4B">
              <w:t>Ponadto banki hipoteczne będą obowiązane do zawierania na nowych zasadach um</w:t>
            </w:r>
            <w:r>
              <w:t>ów</w:t>
            </w:r>
            <w:r w:rsidRPr="00DF4B4B">
              <w:t xml:space="preserve"> o instrument pochodny, </w:t>
            </w:r>
            <w:r>
              <w:t xml:space="preserve">które są </w:t>
            </w:r>
            <w:r w:rsidRPr="00DF4B4B">
              <w:t>uwzględniane</w:t>
            </w:r>
            <w:r w:rsidRPr="00D3778B">
              <w:t xml:space="preserve"> w puli aktywów stanowiących zabezpieczenie</w:t>
            </w:r>
            <w:r>
              <w:t xml:space="preserve">. Zmiany w tym zakresie dotyczą w szczególności określenia katalogu </w:t>
            </w:r>
            <w:r w:rsidRPr="00D3778B">
              <w:t xml:space="preserve">stron umowy o instrument pochodny. </w:t>
            </w:r>
            <w:r>
              <w:t>Obecnie obowiązujące p</w:t>
            </w:r>
            <w:r w:rsidRPr="00DF4B4B">
              <w:t xml:space="preserve">rzepisy </w:t>
            </w:r>
            <w:r w:rsidRPr="00D3778B">
              <w:t xml:space="preserve">ustawy </w:t>
            </w:r>
            <w:r>
              <w:t xml:space="preserve">z dnia </w:t>
            </w:r>
            <w:r w:rsidRPr="00C7281B">
              <w:t>29  sierpnia 1997 r.</w:t>
            </w:r>
            <w:r>
              <w:t xml:space="preserve"> </w:t>
            </w:r>
            <w:r w:rsidRPr="00DF4B4B">
              <w:t xml:space="preserve">o listach zastawnych i bankach hipotecznych nie ograniczają banku hipotecznego co do wyboru podmiotu, z którym może być zawarta </w:t>
            </w:r>
            <w:r w:rsidRPr="00D3778B">
              <w:t xml:space="preserve">tego rodzaju umowa o  instrument pochodny. Bank hipoteczny będzie uprawniony do zawarcia </w:t>
            </w:r>
            <w:r>
              <w:t>tej</w:t>
            </w:r>
            <w:r w:rsidRPr="00DF4B4B">
              <w:t xml:space="preserve"> umowy z podmiotami rynku finansowego </w:t>
            </w:r>
            <w:r w:rsidRPr="00D3778B">
              <w:t xml:space="preserve">wymienionymi w art. 18a nowelizowanej ustawy </w:t>
            </w:r>
            <w:r>
              <w:t xml:space="preserve">z dnia </w:t>
            </w:r>
            <w:r w:rsidRPr="00C7281B">
              <w:t>29  sierpnia 1997 r.</w:t>
            </w:r>
            <w:r>
              <w:t xml:space="preserve"> </w:t>
            </w:r>
            <w:r w:rsidRPr="009840B0">
              <w:t xml:space="preserve">o listach zastawnych i bankach hipotecznych </w:t>
            </w:r>
            <w:r w:rsidRPr="00DF4B4B">
              <w:t xml:space="preserve">(tj. z </w:t>
            </w:r>
            <w:r w:rsidRPr="00D3778B">
              <w:t xml:space="preserve">bankiem krajowym, instytucją kredytową lub firmą inwestycyjną), o ile wypełniają przesłanki wskazane w tym </w:t>
            </w:r>
            <w:r>
              <w:t>przepisie</w:t>
            </w:r>
            <w:r w:rsidRPr="00DF4B4B">
              <w:t xml:space="preserve">. W odniesieniu do </w:t>
            </w:r>
            <w:r>
              <w:t xml:space="preserve">projektowanych zmian dotyczących </w:t>
            </w:r>
            <w:r w:rsidRPr="00DF4B4B">
              <w:t>umów o instrument pochodny</w:t>
            </w:r>
            <w:r>
              <w:t xml:space="preserve">, to </w:t>
            </w:r>
            <w:r w:rsidRPr="00DF4B4B">
              <w:t xml:space="preserve"> banki hipot</w:t>
            </w:r>
            <w:r w:rsidRPr="00D3778B">
              <w:t xml:space="preserve">eczne będą </w:t>
            </w:r>
            <w:r>
              <w:t>w szczególności</w:t>
            </w:r>
            <w:r w:rsidRPr="00DF4B4B">
              <w:t xml:space="preserve"> </w:t>
            </w:r>
            <w:r>
              <w:t>zobowiązane do tego, by</w:t>
            </w:r>
            <w:r w:rsidRPr="00DF4B4B">
              <w:t xml:space="preserve"> tak kształtować ich treść, aby umowa nie </w:t>
            </w:r>
            <w:r w:rsidRPr="00D3778B">
              <w:t>zakładała jej rozwiązania z chwilą wszczęcia postępowania przymusowej restrukturyzacji lub postępowania upadłościowego wobec banku hipotecznego</w:t>
            </w:r>
            <w:r w:rsidRPr="000746D5">
              <w:t xml:space="preserve">. </w:t>
            </w:r>
          </w:p>
          <w:p w14:paraId="2485EC68" w14:textId="77777777" w:rsidR="001024DD" w:rsidRPr="00DF4B4B" w:rsidRDefault="001024DD" w:rsidP="000F70F7">
            <w:pPr>
              <w:spacing w:after="160" w:line="259" w:lineRule="auto"/>
              <w:contextualSpacing/>
            </w:pPr>
            <w:r w:rsidRPr="00DF4B4B">
              <w:t xml:space="preserve">Ponadto w ramach nowelizacji ustawy </w:t>
            </w:r>
            <w:r>
              <w:t xml:space="preserve">z dnia </w:t>
            </w:r>
            <w:r w:rsidRPr="00C7281B">
              <w:t>29  sierpnia 1997 r.</w:t>
            </w:r>
            <w:r>
              <w:t xml:space="preserve"> </w:t>
            </w:r>
            <w:r w:rsidRPr="00DF4B4B">
              <w:t xml:space="preserve">o listach zastawnych i bankach hipotecznych wprowadzono nowe przepisy zobowiązujące bank </w:t>
            </w:r>
            <w:r w:rsidRPr="00D3778B">
              <w:t>hipoteczny do uzyskania zezwolenia Komisji Nadzoru Finansowego</w:t>
            </w:r>
            <w:r w:rsidRPr="00DF4B4B">
              <w:t xml:space="preserve"> na program emisji listów zastawnych,</w:t>
            </w:r>
            <w:r>
              <w:t xml:space="preserve"> którego realizacja będzie</w:t>
            </w:r>
            <w:r w:rsidRPr="00DF4B4B">
              <w:t xml:space="preserve"> </w:t>
            </w:r>
            <w:r w:rsidRPr="00D3778B">
              <w:t>odbywać się będzie zgodnie z warunkami udzielonego zezwolenia. Nowelizowana ustawa jednoznacznie przesądza również o obowiązku b</w:t>
            </w:r>
            <w:r w:rsidRPr="00DF4B4B">
              <w:t>anku hipotecznego udostępniania  informacji o programach emisji listów zastawnych na jego stronie internetowej oraz wypełniania określonych obowiązków sprawozdawczych wobec Komisji Nadzoru Finansowego.</w:t>
            </w:r>
          </w:p>
          <w:p w14:paraId="40CB04E2" w14:textId="77777777" w:rsidR="001024DD" w:rsidRPr="00DF4B4B" w:rsidRDefault="001024DD" w:rsidP="000F70F7">
            <w:pPr>
              <w:spacing w:after="160" w:line="259" w:lineRule="auto"/>
              <w:contextualSpacing/>
            </w:pPr>
            <w:r w:rsidRPr="00DF4B4B">
              <w:t>Do listów zastawnych wyemitowanych przez banki hipoteczne przed dniem 8 lipca 2022 r., do dnia upływu terminu ich zapadalności, oraz do listów zastawnych wyemitowanych w ramach tego samego kodu ISIN (emisje ciągłe) będą miały zastosowanie przepisy o charakterze przejściowym: art. 6 - 8 projektu.</w:t>
            </w:r>
          </w:p>
          <w:p w14:paraId="4787274B" w14:textId="77777777" w:rsidR="001024DD" w:rsidRPr="00B34B4C" w:rsidRDefault="001024DD" w:rsidP="000F70F7">
            <w:pPr>
              <w:spacing w:after="160" w:line="259" w:lineRule="auto"/>
              <w:contextualSpacing/>
            </w:pPr>
            <w:r w:rsidRPr="00DF4B4B">
              <w:t>Niezależnie od powyższych obowiązków banków dostosowania się do nowych wymogów wynikających z dyrektywy 2019/2162, wydaje się, że po wejściu w życie implementowanych przepisów dyrektywy konkurencyjność listów zastawnych na rynkach międzynarodowych, jako bezpiecznych papierów wartościowych o niskim stopniu ryzyka dla inwestorów, może się zwiększyć. W  tym kontekście wskazać należy na przewidzianą projektem możliwość oznaczania listów zastawnych, spełniających określone wymogi, oznaczeniem „europejski list zastawny” lub „europejska obligacja zabezpieczona” albo „europejski list zastawny (premium)” lub „europejska obligacja zabezpieczona (premium)” wraz z tłumaczeniem tego oznaczenia na wszystkie języki urzędowe Unii Europejskiej.</w:t>
            </w:r>
          </w:p>
          <w:p w14:paraId="26FB563E" w14:textId="77777777" w:rsidR="001024DD" w:rsidRDefault="001024DD" w:rsidP="000F70F7">
            <w:pPr>
              <w:spacing w:after="160" w:line="259" w:lineRule="auto"/>
              <w:contextualSpacing/>
              <w:rPr>
                <w:sz w:val="24"/>
                <w:szCs w:val="24"/>
              </w:rPr>
            </w:pPr>
          </w:p>
          <w:p w14:paraId="132854E1" w14:textId="77777777" w:rsidR="001024DD" w:rsidRDefault="001024DD" w:rsidP="000F70F7">
            <w:pPr>
              <w:rPr>
                <w:i/>
              </w:rPr>
            </w:pPr>
            <w:r w:rsidRPr="00E117F9">
              <w:rPr>
                <w:i/>
              </w:rPr>
              <w:t>Źródł</w:t>
            </w:r>
            <w:r>
              <w:rPr>
                <w:i/>
              </w:rPr>
              <w:t>o</w:t>
            </w:r>
            <w:r w:rsidRPr="00E117F9">
              <w:rPr>
                <w:i/>
              </w:rPr>
              <w:t xml:space="preserve"> danych:</w:t>
            </w:r>
            <w:r>
              <w:rPr>
                <w:i/>
              </w:rPr>
              <w:t xml:space="preserve"> </w:t>
            </w:r>
          </w:p>
          <w:p w14:paraId="0D4CF2BD" w14:textId="77777777" w:rsidR="001024DD" w:rsidRPr="00794C51" w:rsidRDefault="001024DD" w:rsidP="000F70F7">
            <w:pPr>
              <w:pStyle w:val="Akapitzlist"/>
              <w:numPr>
                <w:ilvl w:val="0"/>
                <w:numId w:val="19"/>
              </w:numPr>
              <w:ind w:left="0"/>
              <w:rPr>
                <w:sz w:val="20"/>
                <w:szCs w:val="20"/>
              </w:rPr>
            </w:pPr>
            <w:r w:rsidRPr="00794C51">
              <w:rPr>
                <w:sz w:val="20"/>
                <w:szCs w:val="20"/>
              </w:rPr>
              <w:t xml:space="preserve">Narodowy Bank Polski, </w:t>
            </w:r>
            <w:r w:rsidRPr="00794C51">
              <w:rPr>
                <w:i/>
                <w:sz w:val="20"/>
                <w:szCs w:val="20"/>
              </w:rPr>
              <w:t>Rozwój systemu finansowego w Polsce w 2019</w:t>
            </w:r>
            <w:r w:rsidRPr="00794C51">
              <w:rPr>
                <w:sz w:val="20"/>
                <w:szCs w:val="20"/>
              </w:rPr>
              <w:t xml:space="preserve"> r., Warszawa 2020.</w:t>
            </w:r>
          </w:p>
          <w:p w14:paraId="5C08FC93" w14:textId="77777777" w:rsidR="001024DD" w:rsidRPr="00934BF4" w:rsidRDefault="001024DD" w:rsidP="000F70F7">
            <w:pPr>
              <w:pStyle w:val="Akapitzlist"/>
              <w:numPr>
                <w:ilvl w:val="0"/>
                <w:numId w:val="19"/>
              </w:numPr>
              <w:ind w:left="0"/>
            </w:pPr>
          </w:p>
        </w:tc>
      </w:tr>
      <w:tr w:rsidR="001024DD" w:rsidRPr="00822F69" w14:paraId="524A45F1" w14:textId="77777777" w:rsidTr="000F70F7">
        <w:trPr>
          <w:gridAfter w:val="1"/>
          <w:wAfter w:w="10" w:type="dxa"/>
          <w:trHeight w:val="342"/>
        </w:trPr>
        <w:tc>
          <w:tcPr>
            <w:tcW w:w="10937" w:type="dxa"/>
            <w:gridSpan w:val="29"/>
            <w:shd w:val="clear" w:color="auto" w:fill="99CCFF"/>
            <w:vAlign w:val="center"/>
          </w:tcPr>
          <w:p w14:paraId="0CE89935" w14:textId="77777777" w:rsidR="001024DD" w:rsidRPr="00822F69" w:rsidRDefault="001024DD" w:rsidP="000F70F7">
            <w:pPr>
              <w:spacing w:before="60" w:after="60"/>
              <w:rPr>
                <w:b/>
                <w:color w:val="000000"/>
              </w:rPr>
            </w:pPr>
            <w:r w:rsidRPr="00822F69">
              <w:rPr>
                <w:b/>
                <w:color w:val="000000"/>
              </w:rPr>
              <w:t xml:space="preserve">8.  </w:t>
            </w:r>
            <w:r w:rsidRPr="00822F69">
              <w:rPr>
                <w:b/>
              </w:rPr>
              <w:t>Zmiana obciążeń regulacyjnych (w tym obowiązków informacyjnych) wynikających z projektu</w:t>
            </w:r>
          </w:p>
        </w:tc>
      </w:tr>
      <w:tr w:rsidR="001024DD" w:rsidRPr="00822F69" w14:paraId="2F155BE1" w14:textId="77777777" w:rsidTr="000F70F7">
        <w:trPr>
          <w:gridAfter w:val="1"/>
          <w:wAfter w:w="10" w:type="dxa"/>
          <w:trHeight w:val="558"/>
        </w:trPr>
        <w:tc>
          <w:tcPr>
            <w:tcW w:w="10937" w:type="dxa"/>
            <w:gridSpan w:val="29"/>
            <w:shd w:val="clear" w:color="auto" w:fill="FFFFFF"/>
          </w:tcPr>
          <w:p w14:paraId="066A1787" w14:textId="77777777" w:rsidR="001024DD" w:rsidRPr="00822F69" w:rsidRDefault="00AA7709" w:rsidP="000F70F7">
            <w:pPr>
              <w:rPr>
                <w:color w:val="000000"/>
              </w:rPr>
            </w:pPr>
            <w:sdt>
              <w:sdtPr>
                <w:rPr>
                  <w:color w:val="000000"/>
                  <w:spacing w:val="-2"/>
                </w:rPr>
                <w:id w:val="1930998347"/>
                <w14:checkbox>
                  <w14:checked w14:val="0"/>
                  <w14:checkedState w14:val="2612" w14:font="MS Gothic"/>
                  <w14:uncheckedState w14:val="2610" w14:font="MS Gothic"/>
                </w14:checkbox>
              </w:sdtPr>
              <w:sdtEndPr/>
              <w:sdtContent>
                <w:r w:rsidR="001024DD">
                  <w:rPr>
                    <w:rFonts w:ascii="MS Gothic" w:eastAsia="MS Gothic" w:hAnsi="MS Gothic" w:hint="eastAsia"/>
                    <w:color w:val="000000"/>
                    <w:spacing w:val="-2"/>
                  </w:rPr>
                  <w:t>☐</w:t>
                </w:r>
              </w:sdtContent>
            </w:sdt>
            <w:r w:rsidR="001024DD">
              <w:rPr>
                <w:color w:val="000000"/>
                <w:spacing w:val="-2"/>
              </w:rPr>
              <w:t xml:space="preserve"> </w:t>
            </w:r>
            <w:r w:rsidR="001024DD" w:rsidRPr="001A5FDA">
              <w:rPr>
                <w:color w:val="000000"/>
                <w:spacing w:val="-2"/>
              </w:rPr>
              <w:t>nie dotyczy</w:t>
            </w:r>
          </w:p>
        </w:tc>
      </w:tr>
      <w:tr w:rsidR="001024DD" w:rsidRPr="00822F69" w14:paraId="1D52C4AE" w14:textId="77777777" w:rsidTr="000F70F7">
        <w:trPr>
          <w:gridAfter w:val="1"/>
          <w:wAfter w:w="10" w:type="dxa"/>
          <w:trHeight w:val="946"/>
        </w:trPr>
        <w:tc>
          <w:tcPr>
            <w:tcW w:w="5111" w:type="dxa"/>
            <w:gridSpan w:val="12"/>
            <w:shd w:val="clear" w:color="auto" w:fill="FFFFFF"/>
          </w:tcPr>
          <w:p w14:paraId="6172854D" w14:textId="77777777" w:rsidR="001024DD" w:rsidRPr="00822F69" w:rsidRDefault="001024DD" w:rsidP="000F70F7">
            <w:pPr>
              <w:rPr>
                <w:color w:val="000000"/>
                <w:spacing w:val="-2"/>
              </w:rPr>
            </w:pPr>
            <w:r>
              <w:rPr>
                <w:color w:val="000000"/>
                <w:spacing w:val="-2"/>
              </w:rPr>
              <w:t>W</w:t>
            </w:r>
            <w:r w:rsidRPr="00653688">
              <w:rPr>
                <w:color w:val="000000"/>
                <w:spacing w:val="-2"/>
              </w:rPr>
              <w:t xml:space="preserve">prowadzane są </w:t>
            </w:r>
            <w:r>
              <w:rPr>
                <w:color w:val="000000"/>
                <w:spacing w:val="-2"/>
              </w:rPr>
              <w:t>obciążenia</w:t>
            </w:r>
            <w:r w:rsidRPr="00653688">
              <w:rPr>
                <w:color w:val="000000"/>
                <w:spacing w:val="-2"/>
              </w:rPr>
              <w:t xml:space="preserve"> poza bezwzględnie wymaganymi przez UE</w:t>
            </w:r>
            <w:r>
              <w:rPr>
                <w:color w:val="000000"/>
                <w:spacing w:val="-2"/>
              </w:rPr>
              <w:t xml:space="preserve"> </w:t>
            </w:r>
            <w:r w:rsidRPr="008B4FE6">
              <w:rPr>
                <w:color w:val="000000"/>
              </w:rPr>
              <w:t>(szczegóły w odwróconej tabeli zgodności</w:t>
            </w:r>
            <w:r>
              <w:rPr>
                <w:color w:val="000000"/>
              </w:rPr>
              <w:t>).</w:t>
            </w:r>
          </w:p>
        </w:tc>
        <w:tc>
          <w:tcPr>
            <w:tcW w:w="5826" w:type="dxa"/>
            <w:gridSpan w:val="17"/>
            <w:shd w:val="clear" w:color="auto" w:fill="FFFFFF"/>
          </w:tcPr>
          <w:p w14:paraId="0170CE84" w14:textId="77777777" w:rsidR="001024DD" w:rsidRDefault="00AA7709" w:rsidP="000F70F7">
            <w:pPr>
              <w:rPr>
                <w:color w:val="000000"/>
              </w:rPr>
            </w:pPr>
            <w:sdt>
              <w:sdtPr>
                <w:rPr>
                  <w:color w:val="000000"/>
                </w:rPr>
                <w:id w:val="-501432790"/>
                <w14:checkbox>
                  <w14:checked w14:val="0"/>
                  <w14:checkedState w14:val="2612" w14:font="MS Gothic"/>
                  <w14:uncheckedState w14:val="2610" w14:font="MS Gothic"/>
                </w14:checkbox>
              </w:sdtPr>
              <w:sdtEndPr/>
              <w:sdtContent>
                <w:r w:rsidR="001024DD">
                  <w:rPr>
                    <w:rFonts w:ascii="MS Gothic" w:eastAsia="MS Gothic" w:hAnsi="MS Gothic" w:hint="eastAsia"/>
                    <w:color w:val="000000"/>
                  </w:rPr>
                  <w:t>☐</w:t>
                </w:r>
              </w:sdtContent>
            </w:sdt>
            <w:r w:rsidR="001024DD">
              <w:rPr>
                <w:color w:val="000000"/>
              </w:rPr>
              <w:t xml:space="preserve"> tak</w:t>
            </w:r>
          </w:p>
          <w:p w14:paraId="5FAF54E0" w14:textId="77777777" w:rsidR="001024DD" w:rsidRDefault="00AA7709" w:rsidP="000F70F7">
            <w:pPr>
              <w:rPr>
                <w:color w:val="000000"/>
              </w:rPr>
            </w:pPr>
            <w:sdt>
              <w:sdtPr>
                <w:rPr>
                  <w:color w:val="000000"/>
                </w:rPr>
                <w:id w:val="-1774005171"/>
                <w14:checkbox>
                  <w14:checked w14:val="1"/>
                  <w14:checkedState w14:val="2612" w14:font="MS Gothic"/>
                  <w14:uncheckedState w14:val="2610" w14:font="MS Gothic"/>
                </w14:checkbox>
              </w:sdtPr>
              <w:sdtEndPr/>
              <w:sdtContent>
                <w:r w:rsidR="001024DD">
                  <w:rPr>
                    <w:rFonts w:ascii="MS Gothic" w:eastAsia="MS Gothic" w:hAnsi="MS Gothic" w:hint="eastAsia"/>
                    <w:color w:val="000000"/>
                  </w:rPr>
                  <w:t>☒</w:t>
                </w:r>
              </w:sdtContent>
            </w:sdt>
            <w:r w:rsidR="001024DD">
              <w:rPr>
                <w:color w:val="000000"/>
              </w:rPr>
              <w:t xml:space="preserve"> nie</w:t>
            </w:r>
          </w:p>
          <w:p w14:paraId="6457F4AF" w14:textId="77777777" w:rsidR="001024DD" w:rsidRPr="00822F69" w:rsidRDefault="001024DD" w:rsidP="000F70F7">
            <w:pPr>
              <w:rPr>
                <w:color w:val="000000"/>
              </w:rPr>
            </w:pPr>
            <w:r w:rsidRPr="00822F69">
              <w:rPr>
                <w:rFonts w:ascii="Segoe UI Symbol" w:eastAsia="MS Gothic" w:hAnsi="Segoe UI Symbol" w:cs="Segoe UI Symbol"/>
                <w:color w:val="000000"/>
              </w:rPr>
              <w:t>☐</w:t>
            </w:r>
            <w:r w:rsidRPr="00822F69">
              <w:rPr>
                <w:color w:val="000000"/>
              </w:rPr>
              <w:t xml:space="preserve"> nie dotyczy</w:t>
            </w:r>
          </w:p>
        </w:tc>
      </w:tr>
      <w:tr w:rsidR="001024DD" w:rsidRPr="00822F69" w14:paraId="2856D455" w14:textId="77777777" w:rsidTr="000F70F7">
        <w:trPr>
          <w:gridAfter w:val="1"/>
          <w:wAfter w:w="10" w:type="dxa"/>
          <w:trHeight w:val="1245"/>
        </w:trPr>
        <w:tc>
          <w:tcPr>
            <w:tcW w:w="5111" w:type="dxa"/>
            <w:gridSpan w:val="12"/>
            <w:shd w:val="clear" w:color="auto" w:fill="FFFFFF"/>
          </w:tcPr>
          <w:p w14:paraId="0B4FF84B" w14:textId="77777777" w:rsidR="001024DD" w:rsidRPr="00822F69" w:rsidRDefault="001024DD" w:rsidP="000F70F7">
            <w:pPr>
              <w:rPr>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zmniejszenie liczby dokumentów </w:t>
            </w:r>
          </w:p>
          <w:p w14:paraId="15F507C0" w14:textId="77777777" w:rsidR="001024DD" w:rsidRPr="00822F69" w:rsidRDefault="001024DD" w:rsidP="000F70F7">
            <w:pPr>
              <w:rPr>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zmniejszenie liczby procedur</w:t>
            </w:r>
          </w:p>
          <w:p w14:paraId="7437148F" w14:textId="77777777" w:rsidR="001024DD" w:rsidRPr="00822F69" w:rsidRDefault="001024DD" w:rsidP="000F70F7">
            <w:pPr>
              <w:rPr>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skrócenie czasu na załatwienie sprawy</w:t>
            </w:r>
          </w:p>
          <w:p w14:paraId="001C9A8E" w14:textId="77777777" w:rsidR="001024DD" w:rsidRPr="00822F69" w:rsidRDefault="001024DD" w:rsidP="000F70F7">
            <w:pPr>
              <w:rPr>
                <w:b/>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inne:</w:t>
            </w:r>
            <w:r w:rsidRPr="00822F69">
              <w:rPr>
                <w:color w:val="000000"/>
              </w:rPr>
              <w:t xml:space="preserve"> …</w:t>
            </w:r>
          </w:p>
        </w:tc>
        <w:tc>
          <w:tcPr>
            <w:tcW w:w="5826" w:type="dxa"/>
            <w:gridSpan w:val="17"/>
            <w:shd w:val="clear" w:color="auto" w:fill="FFFFFF"/>
          </w:tcPr>
          <w:p w14:paraId="6461DC93" w14:textId="77777777" w:rsidR="001024DD" w:rsidRPr="008B4FE6" w:rsidRDefault="00AA7709" w:rsidP="000F70F7">
            <w:pPr>
              <w:rPr>
                <w:color w:val="000000"/>
                <w:spacing w:val="-2"/>
              </w:rPr>
            </w:pPr>
            <w:sdt>
              <w:sdtPr>
                <w:rPr>
                  <w:color w:val="000000"/>
                  <w:spacing w:val="-2"/>
                </w:rPr>
                <w:id w:val="2104995084"/>
                <w14:checkbox>
                  <w14:checked w14:val="1"/>
                  <w14:checkedState w14:val="2612" w14:font="MS Gothic"/>
                  <w14:uncheckedState w14:val="2610" w14:font="MS Gothic"/>
                </w14:checkbox>
              </w:sdtPr>
              <w:sdtEndPr/>
              <w:sdtContent>
                <w:r w:rsidR="001024DD">
                  <w:rPr>
                    <w:rFonts w:ascii="MS Gothic" w:eastAsia="MS Gothic" w:hAnsi="MS Gothic" w:hint="eastAsia"/>
                    <w:color w:val="000000"/>
                    <w:spacing w:val="-2"/>
                  </w:rPr>
                  <w:t>☒</w:t>
                </w:r>
              </w:sdtContent>
            </w:sdt>
            <w:r w:rsidR="001024DD">
              <w:rPr>
                <w:color w:val="000000"/>
                <w:spacing w:val="-2"/>
              </w:rPr>
              <w:t xml:space="preserve"> </w:t>
            </w:r>
            <w:r w:rsidR="001024DD" w:rsidRPr="008B4FE6">
              <w:rPr>
                <w:color w:val="000000"/>
                <w:spacing w:val="-2"/>
              </w:rPr>
              <w:t>zwiększenie liczby dokumentów</w:t>
            </w:r>
          </w:p>
          <w:p w14:paraId="1957ECF1" w14:textId="77777777" w:rsidR="001024DD" w:rsidRPr="008B4FE6" w:rsidRDefault="00AA7709" w:rsidP="000F70F7">
            <w:pPr>
              <w:rPr>
                <w:color w:val="000000"/>
                <w:spacing w:val="-2"/>
              </w:rPr>
            </w:pPr>
            <w:sdt>
              <w:sdtPr>
                <w:rPr>
                  <w:color w:val="000000"/>
                </w:rPr>
                <w:id w:val="762415844"/>
                <w14:checkbox>
                  <w14:checked w14:val="1"/>
                  <w14:checkedState w14:val="2612" w14:font="MS Gothic"/>
                  <w14:uncheckedState w14:val="2610" w14:font="MS Gothic"/>
                </w14:checkbox>
              </w:sdtPr>
              <w:sdtEndPr/>
              <w:sdtContent>
                <w:r w:rsidR="001024DD">
                  <w:rPr>
                    <w:rFonts w:ascii="MS Gothic" w:eastAsia="MS Gothic" w:hAnsi="MS Gothic" w:hint="eastAsia"/>
                    <w:color w:val="000000"/>
                  </w:rPr>
                  <w:t>☒</w:t>
                </w:r>
              </w:sdtContent>
            </w:sdt>
            <w:r w:rsidR="001024DD">
              <w:rPr>
                <w:color w:val="000000"/>
              </w:rPr>
              <w:t xml:space="preserve"> </w:t>
            </w:r>
            <w:r w:rsidR="001024DD" w:rsidRPr="008B4FE6">
              <w:rPr>
                <w:color w:val="000000"/>
                <w:spacing w:val="-2"/>
              </w:rPr>
              <w:t>zwiększenie liczby procedur</w:t>
            </w:r>
          </w:p>
          <w:p w14:paraId="5D298CE0" w14:textId="77777777" w:rsidR="001024DD" w:rsidRPr="00822F69" w:rsidRDefault="001024DD" w:rsidP="000F70F7">
            <w:pPr>
              <w:rPr>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wydłużenie czasu na załatwienie sprawy</w:t>
            </w:r>
          </w:p>
          <w:p w14:paraId="1E0E577A" w14:textId="77777777" w:rsidR="001024DD" w:rsidRPr="00822F69" w:rsidRDefault="001024DD" w:rsidP="000F70F7">
            <w:pPr>
              <w:rPr>
                <w:color w:val="000000"/>
              </w:rPr>
            </w:pPr>
            <w:r w:rsidRPr="00822F69">
              <w:rPr>
                <w:rFonts w:ascii="Segoe UI Symbol" w:eastAsia="MS Gothic" w:hAnsi="Segoe UI Symbol" w:cs="Segoe UI Symbol"/>
                <w:color w:val="000000"/>
                <w:spacing w:val="-2"/>
              </w:rPr>
              <w:t>☐</w:t>
            </w:r>
            <w:r w:rsidRPr="00822F69">
              <w:rPr>
                <w:color w:val="000000"/>
                <w:spacing w:val="-2"/>
              </w:rPr>
              <w:t xml:space="preserve"> inne:</w:t>
            </w:r>
            <w:r w:rsidRPr="00822F69">
              <w:rPr>
                <w:color w:val="000000"/>
              </w:rPr>
              <w:t xml:space="preserve"> (komentarz)</w:t>
            </w:r>
          </w:p>
          <w:p w14:paraId="273E9E97" w14:textId="77777777" w:rsidR="001024DD" w:rsidRPr="00822F69" w:rsidRDefault="001024DD" w:rsidP="000F70F7">
            <w:pPr>
              <w:rPr>
                <w:color w:val="000000"/>
              </w:rPr>
            </w:pPr>
          </w:p>
        </w:tc>
      </w:tr>
      <w:tr w:rsidR="001024DD" w:rsidRPr="00822F69" w14:paraId="43DF923B" w14:textId="77777777" w:rsidTr="000F70F7">
        <w:trPr>
          <w:gridAfter w:val="1"/>
          <w:wAfter w:w="10" w:type="dxa"/>
          <w:trHeight w:val="870"/>
        </w:trPr>
        <w:tc>
          <w:tcPr>
            <w:tcW w:w="5111" w:type="dxa"/>
            <w:gridSpan w:val="12"/>
            <w:shd w:val="clear" w:color="auto" w:fill="FFFFFF"/>
          </w:tcPr>
          <w:p w14:paraId="261C93AD" w14:textId="77777777" w:rsidR="001024DD" w:rsidRPr="00822F69" w:rsidRDefault="001024DD" w:rsidP="000F70F7">
            <w:pPr>
              <w:rPr>
                <w:color w:val="000000"/>
              </w:rPr>
            </w:pPr>
            <w:r w:rsidRPr="00822F69">
              <w:rPr>
                <w:color w:val="000000"/>
                <w:spacing w:val="-2"/>
              </w:rPr>
              <w:t>Wprowadzane obciążenia są przystosowane do ich elektronizacji.</w:t>
            </w:r>
          </w:p>
        </w:tc>
        <w:tc>
          <w:tcPr>
            <w:tcW w:w="5826" w:type="dxa"/>
            <w:gridSpan w:val="17"/>
            <w:shd w:val="clear" w:color="auto" w:fill="FFFFFF"/>
          </w:tcPr>
          <w:p w14:paraId="315A22AC" w14:textId="77777777" w:rsidR="001024DD" w:rsidRDefault="00AA7709" w:rsidP="000F70F7">
            <w:pPr>
              <w:rPr>
                <w:color w:val="000000"/>
              </w:rPr>
            </w:pPr>
            <w:sdt>
              <w:sdtPr>
                <w:rPr>
                  <w:color w:val="000000"/>
                </w:rPr>
                <w:id w:val="297268939"/>
                <w14:checkbox>
                  <w14:checked w14:val="1"/>
                  <w14:checkedState w14:val="2612" w14:font="MS Gothic"/>
                  <w14:uncheckedState w14:val="2610" w14:font="MS Gothic"/>
                </w14:checkbox>
              </w:sdtPr>
              <w:sdtEndPr/>
              <w:sdtContent>
                <w:r w:rsidR="001024DD">
                  <w:rPr>
                    <w:rFonts w:ascii="MS Gothic" w:eastAsia="MS Gothic" w:hAnsi="MS Gothic" w:hint="eastAsia"/>
                    <w:color w:val="000000"/>
                  </w:rPr>
                  <w:t>☒</w:t>
                </w:r>
              </w:sdtContent>
            </w:sdt>
            <w:r w:rsidR="001024DD">
              <w:rPr>
                <w:color w:val="000000"/>
              </w:rPr>
              <w:t xml:space="preserve"> tak</w:t>
            </w:r>
          </w:p>
          <w:p w14:paraId="69F0FD9E" w14:textId="77777777" w:rsidR="001024DD" w:rsidRPr="00822F69" w:rsidRDefault="001024DD" w:rsidP="000F70F7">
            <w:pPr>
              <w:rPr>
                <w:color w:val="000000"/>
              </w:rPr>
            </w:pPr>
            <w:r w:rsidRPr="00822F69">
              <w:rPr>
                <w:rFonts w:ascii="Segoe UI Symbol" w:eastAsia="MS Gothic" w:hAnsi="Segoe UI Symbol" w:cs="Segoe UI Symbol"/>
                <w:color w:val="000000"/>
              </w:rPr>
              <w:t>☐</w:t>
            </w:r>
            <w:r w:rsidRPr="00822F69">
              <w:rPr>
                <w:color w:val="000000"/>
              </w:rPr>
              <w:t xml:space="preserve"> nie</w:t>
            </w:r>
          </w:p>
          <w:p w14:paraId="5D3E8E22" w14:textId="77777777" w:rsidR="001024DD" w:rsidRPr="00822F69" w:rsidRDefault="001024DD" w:rsidP="000F70F7">
            <w:pPr>
              <w:rPr>
                <w:color w:val="000000"/>
              </w:rPr>
            </w:pPr>
            <w:r w:rsidRPr="00822F69">
              <w:rPr>
                <w:rFonts w:ascii="Segoe UI Symbol" w:eastAsia="MS Gothic" w:hAnsi="Segoe UI Symbol" w:cs="Segoe UI Symbol"/>
                <w:color w:val="000000"/>
              </w:rPr>
              <w:t>☐</w:t>
            </w:r>
            <w:r w:rsidRPr="00822F69">
              <w:rPr>
                <w:color w:val="000000"/>
              </w:rPr>
              <w:t xml:space="preserve"> nie dotyczy</w:t>
            </w:r>
          </w:p>
        </w:tc>
      </w:tr>
      <w:tr w:rsidR="001024DD" w:rsidRPr="00822F69" w14:paraId="173373D3" w14:textId="77777777" w:rsidTr="000F70F7">
        <w:trPr>
          <w:gridAfter w:val="1"/>
          <w:wAfter w:w="10" w:type="dxa"/>
          <w:trHeight w:val="630"/>
        </w:trPr>
        <w:tc>
          <w:tcPr>
            <w:tcW w:w="10937" w:type="dxa"/>
            <w:gridSpan w:val="29"/>
            <w:shd w:val="clear" w:color="auto" w:fill="FFFFFF"/>
          </w:tcPr>
          <w:p w14:paraId="72F9C024" w14:textId="77777777" w:rsidR="001024DD" w:rsidRDefault="001024DD" w:rsidP="000F70F7">
            <w:pPr>
              <w:rPr>
                <w:color w:val="000000"/>
              </w:rPr>
            </w:pPr>
            <w:r>
              <w:rPr>
                <w:color w:val="000000"/>
              </w:rPr>
              <w:t>W</w:t>
            </w:r>
            <w:r w:rsidRPr="008D2BF1">
              <w:rPr>
                <w:color w:val="000000"/>
              </w:rPr>
              <w:t xml:space="preserve">prowadzane </w:t>
            </w:r>
            <w:r>
              <w:rPr>
                <w:color w:val="000000"/>
              </w:rPr>
              <w:t>w projekcie o</w:t>
            </w:r>
            <w:r w:rsidRPr="008D2BF1">
              <w:rPr>
                <w:color w:val="000000"/>
              </w:rPr>
              <w:t>bciążenia regulacyjne wynikają z wymogów prawa UE</w:t>
            </w:r>
            <w:r>
              <w:rPr>
                <w:color w:val="000000"/>
              </w:rPr>
              <w:t xml:space="preserve">. W ramach wdrożenia właściwych wymogów dyrektywy </w:t>
            </w:r>
            <w:r w:rsidRPr="0033490D">
              <w:rPr>
                <w:color w:val="000000"/>
              </w:rPr>
              <w:t>2019/2162</w:t>
            </w:r>
            <w:r>
              <w:rPr>
                <w:color w:val="000000"/>
              </w:rPr>
              <w:t xml:space="preserve">, nowelizowana ustawa </w:t>
            </w:r>
            <w:r w:rsidRPr="00C7281B">
              <w:t>z dnia 29  sierpnia 199</w:t>
            </w:r>
            <w:r>
              <w:t>7</w:t>
            </w:r>
            <w:r w:rsidRPr="00C7281B">
              <w:t xml:space="preserve"> r.</w:t>
            </w:r>
            <w:r>
              <w:rPr>
                <w:color w:val="000000"/>
              </w:rPr>
              <w:t xml:space="preserve"> o listach zastawnych i bankach hipotecznych nakłada na banki hipoteczne obowiązki informacyjne, które mają umożliwiać inwestorom ocenę profilu ryzyka danego programu emisji listów zastawnych. Obszary informacji przewidziane w projekcie ustawy odpowiadają stosowanej dotychczas praktyce rynkowej w tym zakresie. Informacje dotyczące p</w:t>
            </w:r>
            <w:r w:rsidRPr="0033490D">
              <w:rPr>
                <w:color w:val="000000"/>
              </w:rPr>
              <w:t>rogram</w:t>
            </w:r>
            <w:r>
              <w:rPr>
                <w:color w:val="000000"/>
              </w:rPr>
              <w:t>u</w:t>
            </w:r>
            <w:r w:rsidRPr="0033490D">
              <w:rPr>
                <w:color w:val="000000"/>
              </w:rPr>
              <w:t xml:space="preserve"> emisji listów zastawnych powin</w:t>
            </w:r>
            <w:r>
              <w:rPr>
                <w:color w:val="000000"/>
              </w:rPr>
              <w:t xml:space="preserve">ny </w:t>
            </w:r>
            <w:r w:rsidRPr="0033490D">
              <w:rPr>
                <w:color w:val="000000"/>
              </w:rPr>
              <w:t>być udostępnian</w:t>
            </w:r>
            <w:r>
              <w:rPr>
                <w:color w:val="000000"/>
              </w:rPr>
              <w:t>e</w:t>
            </w:r>
            <w:r w:rsidRPr="0033490D">
              <w:rPr>
                <w:color w:val="000000"/>
              </w:rPr>
              <w:t xml:space="preserve"> przez bank hipoteczny nie później niż do końca każdego kwartału, według stanu na ostatni dzień kwartału poprzedniego.</w:t>
            </w:r>
            <w:r>
              <w:rPr>
                <w:color w:val="000000"/>
              </w:rPr>
              <w:t xml:space="preserve"> Przedmiotowe in</w:t>
            </w:r>
            <w:r w:rsidRPr="0033490D">
              <w:rPr>
                <w:color w:val="000000"/>
              </w:rPr>
              <w:t>formacj</w:t>
            </w:r>
            <w:r>
              <w:rPr>
                <w:color w:val="000000"/>
              </w:rPr>
              <w:t>e</w:t>
            </w:r>
            <w:r w:rsidRPr="0033490D">
              <w:rPr>
                <w:color w:val="000000"/>
              </w:rPr>
              <w:t xml:space="preserve"> udostępniane będą na stronie internetowej banku hipotecznego</w:t>
            </w:r>
            <w:r>
              <w:rPr>
                <w:color w:val="000000"/>
              </w:rPr>
              <w:t xml:space="preserve">, co ma znaczenie dla minimalizowania obciążeń regulacyjnych z tym związanych. </w:t>
            </w:r>
          </w:p>
          <w:p w14:paraId="724D15B1" w14:textId="77777777" w:rsidR="001024DD" w:rsidRDefault="001024DD" w:rsidP="000F70F7">
            <w:pPr>
              <w:rPr>
                <w:color w:val="000000"/>
              </w:rPr>
            </w:pPr>
            <w:r>
              <w:rPr>
                <w:color w:val="000000"/>
              </w:rPr>
              <w:t xml:space="preserve">Jednocześnie przepisy projektu ustawy, w ślad za wymogami dyrektywy </w:t>
            </w:r>
            <w:r w:rsidRPr="0033490D">
              <w:rPr>
                <w:color w:val="000000"/>
              </w:rPr>
              <w:t>2019/2162</w:t>
            </w:r>
            <w:r>
              <w:rPr>
                <w:color w:val="000000"/>
              </w:rPr>
              <w:t>, nakładają na bank hipoteczny obowiązek przekazywania organowi nadzoru nad rynkiem finansowym informacji sprawozdawczych dotyczących programów emisji listów zastawnych. W projekcie wyspecyfikowane są rodzaje (kategorie) przekazywanych informacji, natomiast ich szczegółowy zakres, sposób oraz terminy przekazywania zostaną określone w akcie wykonawczym.</w:t>
            </w:r>
          </w:p>
          <w:p w14:paraId="124627CE" w14:textId="77777777" w:rsidR="001024DD" w:rsidRDefault="001024DD" w:rsidP="000F70F7">
            <w:pPr>
              <w:rPr>
                <w:color w:val="000000"/>
              </w:rPr>
            </w:pPr>
            <w:r>
              <w:rPr>
                <w:color w:val="000000"/>
              </w:rPr>
              <w:t xml:space="preserve">Projekt </w:t>
            </w:r>
            <w:r w:rsidRPr="0033490D">
              <w:rPr>
                <w:color w:val="000000"/>
              </w:rPr>
              <w:t xml:space="preserve">wprowadza wymóg </w:t>
            </w:r>
            <w:r>
              <w:rPr>
                <w:color w:val="000000"/>
              </w:rPr>
              <w:t xml:space="preserve">uzyskania </w:t>
            </w:r>
            <w:r w:rsidRPr="0033490D">
              <w:rPr>
                <w:color w:val="000000"/>
              </w:rPr>
              <w:t xml:space="preserve">zezwolenia </w:t>
            </w:r>
            <w:r w:rsidRPr="00DB1672">
              <w:rPr>
                <w:color w:val="000000"/>
              </w:rPr>
              <w:t xml:space="preserve">Komisji Nadzoru Finansowego </w:t>
            </w:r>
            <w:r w:rsidRPr="0033490D">
              <w:rPr>
                <w:color w:val="000000"/>
              </w:rPr>
              <w:t>na program emisji</w:t>
            </w:r>
            <w:r>
              <w:rPr>
                <w:color w:val="000000"/>
              </w:rPr>
              <w:t xml:space="preserve"> listów zastawnych. Zgodnie z rozwiązaniami</w:t>
            </w:r>
            <w:r w:rsidDel="00A15FAA">
              <w:rPr>
                <w:color w:val="000000"/>
              </w:rPr>
              <w:t xml:space="preserve"> </w:t>
            </w:r>
            <w:r>
              <w:rPr>
                <w:color w:val="000000"/>
              </w:rPr>
              <w:t>projektu w</w:t>
            </w:r>
            <w:r w:rsidRPr="00A15FAA">
              <w:rPr>
                <w:color w:val="000000"/>
              </w:rPr>
              <w:t>niosek</w:t>
            </w:r>
            <w:r>
              <w:rPr>
                <w:color w:val="000000"/>
              </w:rPr>
              <w:t xml:space="preserve"> </w:t>
            </w:r>
            <w:r w:rsidRPr="00A15FAA">
              <w:rPr>
                <w:color w:val="000000"/>
              </w:rPr>
              <w:t xml:space="preserve">o udzielenie zezwolenia na program emisji hipotecznych listów zastawnych lub program emisji publicznych listów zastawnych </w:t>
            </w:r>
            <w:r>
              <w:rPr>
                <w:color w:val="000000"/>
              </w:rPr>
              <w:t xml:space="preserve">będzie mógł zostać </w:t>
            </w:r>
            <w:r w:rsidRPr="00A15FAA">
              <w:rPr>
                <w:color w:val="000000"/>
              </w:rPr>
              <w:t>złożony równocześnie z wnioskiem o wydanie zezwolenia na rozpoczęcie działalności przez bank hipoteczny.</w:t>
            </w:r>
            <w:r>
              <w:rPr>
                <w:color w:val="000000"/>
              </w:rPr>
              <w:t xml:space="preserve"> </w:t>
            </w:r>
          </w:p>
          <w:p w14:paraId="2871D118" w14:textId="77777777" w:rsidR="001024DD" w:rsidRDefault="001024DD" w:rsidP="000F70F7">
            <w:pPr>
              <w:rPr>
                <w:color w:val="000000"/>
              </w:rPr>
            </w:pPr>
            <w:r w:rsidRPr="0033490D">
              <w:rPr>
                <w:color w:val="000000"/>
              </w:rPr>
              <w:t>K</w:t>
            </w:r>
            <w:r>
              <w:rPr>
                <w:color w:val="000000"/>
              </w:rPr>
              <w:t xml:space="preserve">omisja Nadzoru Finansowego, zgodnie z projektowanymi  zmianami, będzie </w:t>
            </w:r>
            <w:r w:rsidRPr="0033490D">
              <w:rPr>
                <w:color w:val="000000"/>
              </w:rPr>
              <w:t xml:space="preserve">obowiązana </w:t>
            </w:r>
            <w:r>
              <w:rPr>
                <w:color w:val="000000"/>
              </w:rPr>
              <w:t xml:space="preserve">m.in. </w:t>
            </w:r>
            <w:r w:rsidRPr="0033490D">
              <w:rPr>
                <w:color w:val="000000"/>
              </w:rPr>
              <w:t>do monitorowania realizacji programu emisji listów zastawnych</w:t>
            </w:r>
            <w:r>
              <w:rPr>
                <w:color w:val="000000"/>
              </w:rPr>
              <w:t xml:space="preserve">. Ponadto projekt wyposaża Komisję </w:t>
            </w:r>
            <w:r w:rsidRPr="00A15FAA">
              <w:rPr>
                <w:color w:val="000000"/>
              </w:rPr>
              <w:t xml:space="preserve">Nadzoru Finansowego </w:t>
            </w:r>
            <w:r>
              <w:rPr>
                <w:color w:val="000000"/>
              </w:rPr>
              <w:t>w uprawnienie do nakładania sankcji administracyjnych w przypadku stwierdzenia naruszeń wskazanych w projekcie ustawy (sankcje obejmują m.in. cofnięcie zezwolenia na program emisji listów zastawnych, nałożenie kary pieniężnej lub podanie do publicznej wiadomości informacji o nałożonej sankcji, przy spełnieniu określonych przesłanek).</w:t>
            </w:r>
          </w:p>
          <w:p w14:paraId="316F5598" w14:textId="77777777" w:rsidR="001024DD" w:rsidRPr="00822F69" w:rsidRDefault="001024DD" w:rsidP="000F70F7">
            <w:pPr>
              <w:rPr>
                <w:color w:val="000000"/>
              </w:rPr>
            </w:pPr>
          </w:p>
        </w:tc>
      </w:tr>
      <w:tr w:rsidR="001024DD" w:rsidRPr="00822F69" w14:paraId="1039266E" w14:textId="77777777" w:rsidTr="000F70F7">
        <w:trPr>
          <w:gridAfter w:val="1"/>
          <w:wAfter w:w="10" w:type="dxa"/>
          <w:trHeight w:val="142"/>
        </w:trPr>
        <w:tc>
          <w:tcPr>
            <w:tcW w:w="10937" w:type="dxa"/>
            <w:gridSpan w:val="29"/>
            <w:shd w:val="clear" w:color="auto" w:fill="99CCFF"/>
          </w:tcPr>
          <w:p w14:paraId="2BEF23B2" w14:textId="77777777" w:rsidR="001024DD" w:rsidRPr="00822F69" w:rsidRDefault="001024DD" w:rsidP="000F70F7">
            <w:pPr>
              <w:spacing w:before="60" w:after="60"/>
              <w:jc w:val="left"/>
              <w:rPr>
                <w:b/>
                <w:color w:val="000000"/>
              </w:rPr>
            </w:pPr>
            <w:r w:rsidRPr="00822F69">
              <w:rPr>
                <w:b/>
                <w:color w:val="000000"/>
              </w:rPr>
              <w:t xml:space="preserve">9. Wpływ na rynek pracy </w:t>
            </w:r>
          </w:p>
        </w:tc>
      </w:tr>
      <w:tr w:rsidR="001024DD" w:rsidRPr="00822F69" w14:paraId="10B5ADD7" w14:textId="77777777" w:rsidTr="000F70F7">
        <w:trPr>
          <w:gridAfter w:val="1"/>
          <w:wAfter w:w="10" w:type="dxa"/>
          <w:trHeight w:val="142"/>
        </w:trPr>
        <w:tc>
          <w:tcPr>
            <w:tcW w:w="10937" w:type="dxa"/>
            <w:gridSpan w:val="29"/>
          </w:tcPr>
          <w:p w14:paraId="7B83F75D" w14:textId="77777777" w:rsidR="001024DD" w:rsidRPr="00822F69" w:rsidRDefault="001024DD" w:rsidP="000F70F7">
            <w:pPr>
              <w:spacing w:before="60" w:after="60"/>
              <w:rPr>
                <w:color w:val="000000"/>
              </w:rPr>
            </w:pPr>
            <w:r w:rsidRPr="00822F69">
              <w:rPr>
                <w:color w:val="000000"/>
              </w:rPr>
              <w:t xml:space="preserve">Wejście w życie ustawy nie wpłynie na rynek pracy. </w:t>
            </w:r>
          </w:p>
        </w:tc>
      </w:tr>
      <w:tr w:rsidR="001024DD" w:rsidRPr="00822F69" w14:paraId="75EE2E3B" w14:textId="77777777" w:rsidTr="000F70F7">
        <w:trPr>
          <w:gridAfter w:val="1"/>
          <w:wAfter w:w="10" w:type="dxa"/>
          <w:trHeight w:val="142"/>
        </w:trPr>
        <w:tc>
          <w:tcPr>
            <w:tcW w:w="10937" w:type="dxa"/>
            <w:gridSpan w:val="29"/>
            <w:shd w:val="clear" w:color="auto" w:fill="99CCFF"/>
          </w:tcPr>
          <w:p w14:paraId="24DAB8BF" w14:textId="77777777" w:rsidR="001024DD" w:rsidRPr="00822F69" w:rsidRDefault="001024DD" w:rsidP="000F70F7">
            <w:pPr>
              <w:spacing w:before="60" w:after="60"/>
              <w:rPr>
                <w:b/>
                <w:color w:val="000000"/>
              </w:rPr>
            </w:pPr>
            <w:r w:rsidRPr="00822F69">
              <w:rPr>
                <w:b/>
                <w:color w:val="000000"/>
              </w:rPr>
              <w:t>10. Wpływ na pozostałe obszary</w:t>
            </w:r>
          </w:p>
        </w:tc>
      </w:tr>
      <w:tr w:rsidR="001024DD" w:rsidRPr="00822F69" w14:paraId="4655BCC8" w14:textId="77777777" w:rsidTr="000F70F7">
        <w:trPr>
          <w:gridAfter w:val="1"/>
          <w:wAfter w:w="10" w:type="dxa"/>
          <w:trHeight w:val="1031"/>
        </w:trPr>
        <w:tc>
          <w:tcPr>
            <w:tcW w:w="3547" w:type="dxa"/>
            <w:gridSpan w:val="5"/>
            <w:shd w:val="clear" w:color="auto" w:fill="FFFFFF"/>
          </w:tcPr>
          <w:p w14:paraId="4D708C23" w14:textId="77777777" w:rsidR="001024DD" w:rsidRPr="00822F69" w:rsidRDefault="001024DD" w:rsidP="000F70F7">
            <w:pPr>
              <w:rPr>
                <w:color w:val="000000"/>
              </w:rPr>
            </w:pPr>
          </w:p>
          <w:p w14:paraId="71BCFA8C" w14:textId="77777777" w:rsidR="001024DD" w:rsidRPr="00822F69" w:rsidRDefault="001024DD" w:rsidP="000F70F7">
            <w:pPr>
              <w:rPr>
                <w:color w:val="000000"/>
                <w:spacing w:val="-2"/>
              </w:rPr>
            </w:pPr>
            <w:r w:rsidRPr="00822F69">
              <w:rPr>
                <w:rFonts w:ascii="Segoe UI Symbol" w:eastAsia="MS Gothic" w:hAnsi="Segoe UI Symbol" w:cs="Segoe UI Symbol"/>
                <w:color w:val="000000"/>
              </w:rPr>
              <w:t>☐</w:t>
            </w:r>
            <w:r w:rsidRPr="00822F69">
              <w:rPr>
                <w:color w:val="000000"/>
              </w:rPr>
              <w:t xml:space="preserve"> </w:t>
            </w:r>
            <w:r w:rsidRPr="00822F69">
              <w:rPr>
                <w:color w:val="000000"/>
                <w:spacing w:val="-2"/>
              </w:rPr>
              <w:t>środowisko naturalne</w:t>
            </w:r>
          </w:p>
          <w:p w14:paraId="79E4B2E9" w14:textId="77777777" w:rsidR="001024DD" w:rsidRPr="00822F69" w:rsidRDefault="001024DD" w:rsidP="000F70F7">
            <w:pPr>
              <w:rPr>
                <w:color w:val="000000"/>
              </w:rPr>
            </w:pPr>
            <w:r w:rsidRPr="00822F69">
              <w:rPr>
                <w:rFonts w:ascii="Segoe UI Symbol" w:eastAsia="MS Gothic" w:hAnsi="Segoe UI Symbol" w:cs="Segoe UI Symbol"/>
                <w:color w:val="000000"/>
              </w:rPr>
              <w:t>☐</w:t>
            </w:r>
            <w:r w:rsidRPr="00822F69">
              <w:rPr>
                <w:color w:val="000000"/>
              </w:rPr>
              <w:t xml:space="preserve"> sytuacja i rozwój regionalny</w:t>
            </w:r>
          </w:p>
          <w:p w14:paraId="55B07DC5" w14:textId="77777777" w:rsidR="001024DD" w:rsidRPr="00822F69" w:rsidRDefault="001024DD" w:rsidP="000F70F7">
            <w:pPr>
              <w:rPr>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inne: </w:t>
            </w:r>
            <w:r w:rsidRPr="00822F69">
              <w:rPr>
                <w:color w:val="000000"/>
              </w:rPr>
              <w:t>…</w:t>
            </w:r>
          </w:p>
        </w:tc>
        <w:tc>
          <w:tcPr>
            <w:tcW w:w="3687" w:type="dxa"/>
            <w:gridSpan w:val="15"/>
            <w:shd w:val="clear" w:color="auto" w:fill="FFFFFF"/>
          </w:tcPr>
          <w:p w14:paraId="6ED5C269" w14:textId="77777777" w:rsidR="001024DD" w:rsidRPr="00822F69" w:rsidRDefault="001024DD" w:rsidP="000F70F7">
            <w:pPr>
              <w:rPr>
                <w:color w:val="000000"/>
              </w:rPr>
            </w:pPr>
          </w:p>
          <w:p w14:paraId="199019CD" w14:textId="77777777" w:rsidR="001024DD" w:rsidRPr="00822F69" w:rsidRDefault="001024DD" w:rsidP="000F70F7">
            <w:pPr>
              <w:rPr>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demografia</w:t>
            </w:r>
          </w:p>
          <w:p w14:paraId="483A976D" w14:textId="77777777" w:rsidR="001024DD" w:rsidRPr="00822F69" w:rsidRDefault="001024DD" w:rsidP="000F70F7">
            <w:pPr>
              <w:rPr>
                <w:color w:val="000000"/>
              </w:rPr>
            </w:pPr>
            <w:r w:rsidRPr="00822F69">
              <w:rPr>
                <w:rFonts w:ascii="Segoe UI Symbol" w:eastAsia="MS Gothic" w:hAnsi="Segoe UI Symbol" w:cs="Segoe UI Symbol"/>
                <w:color w:val="000000"/>
              </w:rPr>
              <w:t>☐</w:t>
            </w:r>
            <w:r w:rsidRPr="00822F69">
              <w:rPr>
                <w:color w:val="000000"/>
              </w:rPr>
              <w:t xml:space="preserve"> mienie państwowe</w:t>
            </w:r>
          </w:p>
        </w:tc>
        <w:tc>
          <w:tcPr>
            <w:tcW w:w="3703" w:type="dxa"/>
            <w:gridSpan w:val="9"/>
            <w:shd w:val="clear" w:color="auto" w:fill="FFFFFF"/>
          </w:tcPr>
          <w:p w14:paraId="0AD01528" w14:textId="77777777" w:rsidR="001024DD" w:rsidRPr="00822F69" w:rsidRDefault="001024DD" w:rsidP="000F70F7">
            <w:pPr>
              <w:rPr>
                <w:color w:val="000000"/>
              </w:rPr>
            </w:pPr>
          </w:p>
          <w:p w14:paraId="6BC849DD" w14:textId="77777777" w:rsidR="001024DD" w:rsidRPr="00822F69" w:rsidRDefault="001024DD" w:rsidP="000F70F7">
            <w:pPr>
              <w:rPr>
                <w:color w:val="000000"/>
                <w:spacing w:val="-2"/>
              </w:rPr>
            </w:pPr>
            <w:r w:rsidRPr="00822F69">
              <w:rPr>
                <w:rFonts w:ascii="Segoe UI Symbol" w:eastAsia="MS Gothic" w:hAnsi="Segoe UI Symbol" w:cs="Segoe UI Symbol"/>
                <w:color w:val="000000"/>
                <w:spacing w:val="-2"/>
              </w:rPr>
              <w:t>☐</w:t>
            </w:r>
            <w:r w:rsidRPr="00822F69">
              <w:rPr>
                <w:color w:val="000000"/>
                <w:spacing w:val="-2"/>
              </w:rPr>
              <w:t xml:space="preserve"> informatyzacja</w:t>
            </w:r>
          </w:p>
          <w:p w14:paraId="7DC6952C" w14:textId="77777777" w:rsidR="001024DD" w:rsidRPr="00822F69" w:rsidRDefault="001024DD" w:rsidP="000F70F7">
            <w:pPr>
              <w:rPr>
                <w:color w:val="000000"/>
              </w:rPr>
            </w:pPr>
            <w:r w:rsidRPr="00822F69">
              <w:rPr>
                <w:rFonts w:ascii="Segoe UI Symbol" w:eastAsia="MS Gothic" w:hAnsi="Segoe UI Symbol" w:cs="Segoe UI Symbol"/>
                <w:color w:val="000000"/>
                <w:spacing w:val="-2"/>
              </w:rPr>
              <w:t>☐</w:t>
            </w:r>
            <w:r w:rsidRPr="00822F69">
              <w:rPr>
                <w:color w:val="000000"/>
                <w:spacing w:val="-2"/>
              </w:rPr>
              <w:t xml:space="preserve"> zdrowie</w:t>
            </w:r>
          </w:p>
        </w:tc>
      </w:tr>
      <w:tr w:rsidR="001024DD" w:rsidRPr="00822F69" w14:paraId="17250953" w14:textId="77777777" w:rsidTr="000F70F7">
        <w:trPr>
          <w:gridAfter w:val="1"/>
          <w:wAfter w:w="10" w:type="dxa"/>
          <w:trHeight w:val="712"/>
        </w:trPr>
        <w:tc>
          <w:tcPr>
            <w:tcW w:w="2243" w:type="dxa"/>
            <w:gridSpan w:val="2"/>
            <w:shd w:val="clear" w:color="auto" w:fill="FFFFFF"/>
            <w:vAlign w:val="center"/>
          </w:tcPr>
          <w:p w14:paraId="623831FA" w14:textId="77777777" w:rsidR="001024DD" w:rsidRPr="00822F69" w:rsidRDefault="001024DD" w:rsidP="000F70F7">
            <w:pPr>
              <w:rPr>
                <w:color w:val="000000"/>
              </w:rPr>
            </w:pPr>
            <w:r w:rsidRPr="00822F69">
              <w:rPr>
                <w:color w:val="000000"/>
              </w:rPr>
              <w:t>Omówienie wpływu</w:t>
            </w:r>
          </w:p>
        </w:tc>
        <w:tc>
          <w:tcPr>
            <w:tcW w:w="8694" w:type="dxa"/>
            <w:gridSpan w:val="27"/>
            <w:shd w:val="clear" w:color="auto" w:fill="FFFFFF"/>
            <w:vAlign w:val="center"/>
          </w:tcPr>
          <w:p w14:paraId="20E21E30" w14:textId="77777777" w:rsidR="001024DD" w:rsidRPr="00822F69" w:rsidRDefault="001024DD" w:rsidP="000F70F7">
            <w:pPr>
              <w:rPr>
                <w:color w:val="000000"/>
                <w:spacing w:val="-2"/>
                <w:sz w:val="8"/>
                <w:szCs w:val="8"/>
              </w:rPr>
            </w:pPr>
          </w:p>
          <w:p w14:paraId="1DACCD2A" w14:textId="77777777" w:rsidR="001024DD" w:rsidRPr="00822F69" w:rsidRDefault="001024DD" w:rsidP="000F70F7">
            <w:pPr>
              <w:rPr>
                <w:color w:val="000000"/>
                <w:spacing w:val="-2"/>
              </w:rPr>
            </w:pPr>
            <w:r w:rsidRPr="00822F69">
              <w:rPr>
                <w:color w:val="000000"/>
                <w:spacing w:val="-2"/>
              </w:rPr>
              <w:t>Wejście w życie ustawy nie wpłynie na sytuację i rozwój regionalny oraz pozostałe obszary wskazane w pkt 10.</w:t>
            </w:r>
          </w:p>
          <w:p w14:paraId="094780CE" w14:textId="77777777" w:rsidR="001024DD" w:rsidRPr="00822F69" w:rsidRDefault="001024DD" w:rsidP="000F70F7">
            <w:pPr>
              <w:rPr>
                <w:color w:val="000000"/>
                <w:spacing w:val="-2"/>
                <w:sz w:val="8"/>
                <w:szCs w:val="8"/>
              </w:rPr>
            </w:pPr>
          </w:p>
        </w:tc>
      </w:tr>
      <w:tr w:rsidR="001024DD" w:rsidRPr="00822F69" w14:paraId="69235ACE" w14:textId="77777777" w:rsidTr="000F70F7">
        <w:trPr>
          <w:gridAfter w:val="1"/>
          <w:wAfter w:w="10" w:type="dxa"/>
          <w:trHeight w:val="142"/>
        </w:trPr>
        <w:tc>
          <w:tcPr>
            <w:tcW w:w="10937" w:type="dxa"/>
            <w:gridSpan w:val="29"/>
            <w:shd w:val="clear" w:color="auto" w:fill="99CCFF"/>
          </w:tcPr>
          <w:p w14:paraId="02E36842" w14:textId="77777777" w:rsidR="001024DD" w:rsidRPr="00822F69" w:rsidRDefault="001024DD" w:rsidP="000F70F7">
            <w:pPr>
              <w:spacing w:before="60" w:after="60"/>
              <w:rPr>
                <w:b/>
              </w:rPr>
            </w:pPr>
            <w:r w:rsidRPr="00822F69">
              <w:rPr>
                <w:b/>
                <w:spacing w:val="-2"/>
                <w:sz w:val="21"/>
                <w:szCs w:val="21"/>
              </w:rPr>
              <w:t>11.  Planowane wykonanie przepisów aktu prawnego</w:t>
            </w:r>
          </w:p>
        </w:tc>
      </w:tr>
      <w:tr w:rsidR="001024DD" w:rsidRPr="00822F69" w14:paraId="469194BC" w14:textId="77777777" w:rsidTr="000F70F7">
        <w:trPr>
          <w:gridAfter w:val="1"/>
          <w:wAfter w:w="10" w:type="dxa"/>
          <w:trHeight w:val="142"/>
        </w:trPr>
        <w:tc>
          <w:tcPr>
            <w:tcW w:w="10937" w:type="dxa"/>
            <w:gridSpan w:val="29"/>
            <w:shd w:val="clear" w:color="auto" w:fill="FFFFFF"/>
          </w:tcPr>
          <w:p w14:paraId="0C5F7ED6" w14:textId="77777777" w:rsidR="001024DD" w:rsidRPr="00822F69" w:rsidRDefault="001024DD" w:rsidP="000F70F7">
            <w:pPr>
              <w:spacing w:before="120" w:after="160"/>
              <w:rPr>
                <w:szCs w:val="24"/>
              </w:rPr>
            </w:pPr>
            <w:r w:rsidRPr="00822F69">
              <w:rPr>
                <w:spacing w:val="-2"/>
              </w:rPr>
              <w:t xml:space="preserve">Planowane wykonanie przepisów ustawy nastąpi z dniem jej wejścia w życie. </w:t>
            </w:r>
          </w:p>
        </w:tc>
      </w:tr>
      <w:tr w:rsidR="001024DD" w:rsidRPr="00822F69" w14:paraId="5D99BBF5" w14:textId="77777777" w:rsidTr="000F70F7">
        <w:trPr>
          <w:gridAfter w:val="1"/>
          <w:wAfter w:w="10" w:type="dxa"/>
          <w:trHeight w:val="142"/>
        </w:trPr>
        <w:tc>
          <w:tcPr>
            <w:tcW w:w="10937" w:type="dxa"/>
            <w:gridSpan w:val="29"/>
            <w:shd w:val="clear" w:color="auto" w:fill="99CCFF"/>
          </w:tcPr>
          <w:p w14:paraId="5A03C497" w14:textId="77777777" w:rsidR="001024DD" w:rsidRPr="00822F69" w:rsidRDefault="001024DD" w:rsidP="000F70F7">
            <w:pPr>
              <w:spacing w:before="60" w:after="60"/>
              <w:rPr>
                <w:b/>
                <w:color w:val="000000"/>
              </w:rPr>
            </w:pPr>
            <w:r w:rsidRPr="00822F69">
              <w:rPr>
                <w:b/>
                <w:color w:val="000000"/>
              </w:rPr>
              <w:t xml:space="preserve">12. </w:t>
            </w:r>
            <w:r w:rsidRPr="00822F69">
              <w:rPr>
                <w:b/>
                <w:spacing w:val="-2"/>
                <w:sz w:val="21"/>
                <w:szCs w:val="21"/>
              </w:rPr>
              <w:t>W jaki sposób i kiedy nastąpi ewaluacja efektów projektu oraz jakie mierniki zostaną zastosowane?</w:t>
            </w:r>
          </w:p>
        </w:tc>
      </w:tr>
      <w:tr w:rsidR="001024DD" w:rsidRPr="00822F69" w14:paraId="58F55747" w14:textId="77777777" w:rsidTr="000F70F7">
        <w:trPr>
          <w:gridAfter w:val="1"/>
          <w:wAfter w:w="10" w:type="dxa"/>
          <w:trHeight w:val="1517"/>
        </w:trPr>
        <w:tc>
          <w:tcPr>
            <w:tcW w:w="10937" w:type="dxa"/>
            <w:gridSpan w:val="29"/>
            <w:shd w:val="clear" w:color="auto" w:fill="FFFFFF"/>
          </w:tcPr>
          <w:p w14:paraId="6DCC7D71" w14:textId="77777777" w:rsidR="001024DD" w:rsidRPr="00946C0B" w:rsidRDefault="001024DD" w:rsidP="000F70F7">
            <w:pPr>
              <w:rPr>
                <w:spacing w:val="-2"/>
              </w:rPr>
            </w:pPr>
            <w:r>
              <w:rPr>
                <w:spacing w:val="-2"/>
              </w:rPr>
              <w:t xml:space="preserve">Zgodnie z art 31 dyrektywy </w:t>
            </w:r>
            <w:r w:rsidRPr="007D4053">
              <w:rPr>
                <w:spacing w:val="-2"/>
              </w:rPr>
              <w:t>2019/2162</w:t>
            </w:r>
            <w:r>
              <w:rPr>
                <w:spacing w:val="-2"/>
              </w:rPr>
              <w:t xml:space="preserve"> </w:t>
            </w:r>
            <w:r w:rsidRPr="00D97037">
              <w:rPr>
                <w:spacing w:val="-2"/>
              </w:rPr>
              <w:t>do dnia 8 lipca 2025 r. Komisja, w ścisłej współpracy z EUNB, przedkłada Parlamentowi Europejskiemu i Radzie sprawozdanie dotyczące wdrożenia niniejszej dyrektywy w odniesieniu do poziomu ochrony inwestorów i rozwoju sytuacji w odniesieniu do emisji obligacji zabezpieczonych w Unii</w:t>
            </w:r>
            <w:r>
              <w:rPr>
                <w:spacing w:val="-2"/>
              </w:rPr>
              <w:t xml:space="preserve">. </w:t>
            </w:r>
            <w:r w:rsidRPr="00D97037">
              <w:rPr>
                <w:spacing w:val="-2"/>
              </w:rPr>
              <w:t>Do dnia 8 lipca 2024 r. państwa członkowskie przekazują Komisji informacje dotyczące m.in. funkcjonowania rynków obligacji zabezpieczonych. Ponadto e</w:t>
            </w:r>
            <w:r w:rsidRPr="00822F69">
              <w:rPr>
                <w:spacing w:val="-2"/>
              </w:rPr>
              <w:t>waluacja efektów projektu będzie dokonywana przez Komisję Nadzoru Finansowego w ramach prowadzonych działań nadzorczych.</w:t>
            </w:r>
          </w:p>
        </w:tc>
      </w:tr>
      <w:tr w:rsidR="001024DD" w:rsidRPr="00822F69" w14:paraId="54903412" w14:textId="77777777" w:rsidTr="000F70F7">
        <w:trPr>
          <w:gridAfter w:val="1"/>
          <w:wAfter w:w="10" w:type="dxa"/>
          <w:trHeight w:val="142"/>
        </w:trPr>
        <w:tc>
          <w:tcPr>
            <w:tcW w:w="10937" w:type="dxa"/>
            <w:gridSpan w:val="29"/>
            <w:shd w:val="clear" w:color="auto" w:fill="99CCFF"/>
          </w:tcPr>
          <w:p w14:paraId="5722291D" w14:textId="77777777" w:rsidR="001024DD" w:rsidRPr="00822F69" w:rsidRDefault="001024DD" w:rsidP="000F70F7">
            <w:pPr>
              <w:spacing w:before="60" w:after="60"/>
              <w:rPr>
                <w:b/>
                <w:color w:val="000000"/>
                <w:spacing w:val="-2"/>
              </w:rPr>
            </w:pPr>
            <w:r w:rsidRPr="00822F69">
              <w:rPr>
                <w:b/>
                <w:color w:val="000000"/>
                <w:spacing w:val="-2"/>
              </w:rPr>
              <w:t xml:space="preserve">13. Załączniki </w:t>
            </w:r>
            <w:r w:rsidRPr="00822F69">
              <w:rPr>
                <w:b/>
                <w:spacing w:val="-2"/>
                <w:sz w:val="21"/>
                <w:szCs w:val="21"/>
              </w:rPr>
              <w:t>(istotne dokumenty źródłowe, badania, analizy itp.</w:t>
            </w:r>
            <w:r w:rsidRPr="00822F69">
              <w:rPr>
                <w:b/>
                <w:color w:val="000000"/>
                <w:spacing w:val="-2"/>
              </w:rPr>
              <w:t xml:space="preserve">) </w:t>
            </w:r>
          </w:p>
        </w:tc>
      </w:tr>
      <w:tr w:rsidR="001024DD" w:rsidRPr="00822F69" w14:paraId="6831335F" w14:textId="77777777" w:rsidTr="000F70F7">
        <w:trPr>
          <w:gridAfter w:val="1"/>
          <w:wAfter w:w="10" w:type="dxa"/>
          <w:trHeight w:val="142"/>
        </w:trPr>
        <w:tc>
          <w:tcPr>
            <w:tcW w:w="10937" w:type="dxa"/>
            <w:gridSpan w:val="29"/>
            <w:shd w:val="clear" w:color="auto" w:fill="FFFFFF"/>
          </w:tcPr>
          <w:p w14:paraId="3B2A7E04" w14:textId="77777777" w:rsidR="001024DD" w:rsidRPr="00822F69" w:rsidRDefault="001024DD" w:rsidP="000F70F7">
            <w:r w:rsidRPr="00822F69">
              <w:t>Brak</w:t>
            </w:r>
          </w:p>
        </w:tc>
      </w:tr>
    </w:tbl>
    <w:p w14:paraId="428CAE23" w14:textId="77777777" w:rsidR="001024DD" w:rsidRPr="007465AA" w:rsidRDefault="001024DD" w:rsidP="001024DD"/>
    <w:p w14:paraId="4AEF5D02" w14:textId="77777777" w:rsidR="005401EF" w:rsidRPr="001024DD" w:rsidRDefault="005401EF" w:rsidP="001024DD"/>
    <w:sectPr w:rsidR="005401EF" w:rsidRPr="001024DD"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F0E2B" w14:textId="77777777" w:rsidR="00DA783F" w:rsidRDefault="00DA783F" w:rsidP="00044739">
      <w:r>
        <w:separator/>
      </w:r>
    </w:p>
  </w:endnote>
  <w:endnote w:type="continuationSeparator" w:id="0">
    <w:p w14:paraId="0C778CCE" w14:textId="77777777" w:rsidR="00DA783F" w:rsidRDefault="00DA783F" w:rsidP="00044739">
      <w:r>
        <w:continuationSeparator/>
      </w:r>
    </w:p>
  </w:endnote>
  <w:endnote w:type="continuationNotice" w:id="1">
    <w:p w14:paraId="6FE35AFA" w14:textId="77777777" w:rsidR="00DA783F" w:rsidRDefault="00DA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47EE" w14:textId="77777777" w:rsidR="00DA783F" w:rsidRDefault="00DA783F" w:rsidP="00044739">
      <w:r>
        <w:separator/>
      </w:r>
    </w:p>
  </w:footnote>
  <w:footnote w:type="continuationSeparator" w:id="0">
    <w:p w14:paraId="58BD8D17" w14:textId="77777777" w:rsidR="00DA783F" w:rsidRDefault="00DA783F" w:rsidP="00044739">
      <w:r>
        <w:continuationSeparator/>
      </w:r>
    </w:p>
  </w:footnote>
  <w:footnote w:type="continuationNotice" w:id="1">
    <w:p w14:paraId="3039B28A" w14:textId="77777777" w:rsidR="00DA783F" w:rsidRDefault="00DA783F"/>
  </w:footnote>
  <w:footnote w:id="2">
    <w:p w14:paraId="2A013A66" w14:textId="77777777" w:rsidR="001024DD" w:rsidRPr="00DF7AFB" w:rsidRDefault="001024DD" w:rsidP="001024DD">
      <w:pPr>
        <w:rPr>
          <w:rStyle w:val="tlid-translation"/>
          <w:bCs/>
          <w:lang w:val="en-GB"/>
        </w:rPr>
      </w:pPr>
      <w:r>
        <w:rPr>
          <w:rStyle w:val="Odwoanieprzypisudolnego"/>
        </w:rPr>
        <w:footnoteRef/>
      </w:r>
      <w:r w:rsidRPr="00593F7D">
        <w:rPr>
          <w:lang w:val="en-GB"/>
        </w:rPr>
        <w:t xml:space="preserve"> </w:t>
      </w:r>
      <w:r w:rsidRPr="00593F7D">
        <w:rPr>
          <w:rStyle w:val="tlid-translation"/>
          <w:lang w:val="en-GB"/>
        </w:rPr>
        <w:t xml:space="preserve">European Banking Authority, </w:t>
      </w:r>
      <w:r w:rsidRPr="00593F7D">
        <w:rPr>
          <w:rStyle w:val="tlid-translation"/>
          <w:i/>
          <w:lang w:val="en-GB"/>
        </w:rPr>
        <w:t>Report on covered bonds recommendations on harmonisation of covered bond framework in the EU</w:t>
      </w:r>
      <w:r w:rsidRPr="00593F7D">
        <w:rPr>
          <w:rStyle w:val="tlid-translation"/>
          <w:lang w:val="en-GB"/>
        </w:rPr>
        <w:t xml:space="preserve">, 2016. </w:t>
      </w:r>
    </w:p>
    <w:p w14:paraId="0C2A320D" w14:textId="77777777" w:rsidR="001024DD" w:rsidRPr="00593F7D" w:rsidRDefault="001024DD" w:rsidP="001024DD">
      <w:pPr>
        <w:pStyle w:val="Tekstprzypisudolnego"/>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B34"/>
    <w:multiLevelType w:val="hybridMultilevel"/>
    <w:tmpl w:val="14B480EA"/>
    <w:lvl w:ilvl="0" w:tplc="25241E68">
      <w:start w:val="1"/>
      <w:numFmt w:val="bullet"/>
      <w:lvlText w:val=""/>
      <w:lvlJc w:val="left"/>
      <w:pPr>
        <w:tabs>
          <w:tab w:val="num" w:pos="720"/>
        </w:tabs>
        <w:ind w:left="720" w:hanging="360"/>
      </w:pPr>
      <w:rPr>
        <w:rFonts w:ascii="Wingdings" w:hAnsi="Wingdings" w:hint="default"/>
      </w:rPr>
    </w:lvl>
    <w:lvl w:ilvl="1" w:tplc="EB467828" w:tentative="1">
      <w:start w:val="1"/>
      <w:numFmt w:val="bullet"/>
      <w:lvlText w:val=""/>
      <w:lvlJc w:val="left"/>
      <w:pPr>
        <w:tabs>
          <w:tab w:val="num" w:pos="1440"/>
        </w:tabs>
        <w:ind w:left="1440" w:hanging="360"/>
      </w:pPr>
      <w:rPr>
        <w:rFonts w:ascii="Wingdings" w:hAnsi="Wingdings" w:hint="default"/>
      </w:rPr>
    </w:lvl>
    <w:lvl w:ilvl="2" w:tplc="F61067EC" w:tentative="1">
      <w:start w:val="1"/>
      <w:numFmt w:val="bullet"/>
      <w:lvlText w:val=""/>
      <w:lvlJc w:val="left"/>
      <w:pPr>
        <w:tabs>
          <w:tab w:val="num" w:pos="2160"/>
        </w:tabs>
        <w:ind w:left="2160" w:hanging="360"/>
      </w:pPr>
      <w:rPr>
        <w:rFonts w:ascii="Wingdings" w:hAnsi="Wingdings" w:hint="default"/>
      </w:rPr>
    </w:lvl>
    <w:lvl w:ilvl="3" w:tplc="59BE26E8" w:tentative="1">
      <w:start w:val="1"/>
      <w:numFmt w:val="bullet"/>
      <w:lvlText w:val=""/>
      <w:lvlJc w:val="left"/>
      <w:pPr>
        <w:tabs>
          <w:tab w:val="num" w:pos="2880"/>
        </w:tabs>
        <w:ind w:left="2880" w:hanging="360"/>
      </w:pPr>
      <w:rPr>
        <w:rFonts w:ascii="Wingdings" w:hAnsi="Wingdings" w:hint="default"/>
      </w:rPr>
    </w:lvl>
    <w:lvl w:ilvl="4" w:tplc="FA2878B4" w:tentative="1">
      <w:start w:val="1"/>
      <w:numFmt w:val="bullet"/>
      <w:lvlText w:val=""/>
      <w:lvlJc w:val="left"/>
      <w:pPr>
        <w:tabs>
          <w:tab w:val="num" w:pos="3600"/>
        </w:tabs>
        <w:ind w:left="3600" w:hanging="360"/>
      </w:pPr>
      <w:rPr>
        <w:rFonts w:ascii="Wingdings" w:hAnsi="Wingdings" w:hint="default"/>
      </w:rPr>
    </w:lvl>
    <w:lvl w:ilvl="5" w:tplc="12B87C36" w:tentative="1">
      <w:start w:val="1"/>
      <w:numFmt w:val="bullet"/>
      <w:lvlText w:val=""/>
      <w:lvlJc w:val="left"/>
      <w:pPr>
        <w:tabs>
          <w:tab w:val="num" w:pos="4320"/>
        </w:tabs>
        <w:ind w:left="4320" w:hanging="360"/>
      </w:pPr>
      <w:rPr>
        <w:rFonts w:ascii="Wingdings" w:hAnsi="Wingdings" w:hint="default"/>
      </w:rPr>
    </w:lvl>
    <w:lvl w:ilvl="6" w:tplc="AC3CE3A0" w:tentative="1">
      <w:start w:val="1"/>
      <w:numFmt w:val="bullet"/>
      <w:lvlText w:val=""/>
      <w:lvlJc w:val="left"/>
      <w:pPr>
        <w:tabs>
          <w:tab w:val="num" w:pos="5040"/>
        </w:tabs>
        <w:ind w:left="5040" w:hanging="360"/>
      </w:pPr>
      <w:rPr>
        <w:rFonts w:ascii="Wingdings" w:hAnsi="Wingdings" w:hint="default"/>
      </w:rPr>
    </w:lvl>
    <w:lvl w:ilvl="7" w:tplc="061A4C82" w:tentative="1">
      <w:start w:val="1"/>
      <w:numFmt w:val="bullet"/>
      <w:lvlText w:val=""/>
      <w:lvlJc w:val="left"/>
      <w:pPr>
        <w:tabs>
          <w:tab w:val="num" w:pos="5760"/>
        </w:tabs>
        <w:ind w:left="5760" w:hanging="360"/>
      </w:pPr>
      <w:rPr>
        <w:rFonts w:ascii="Wingdings" w:hAnsi="Wingdings" w:hint="default"/>
      </w:rPr>
    </w:lvl>
    <w:lvl w:ilvl="8" w:tplc="783E3E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E0716"/>
    <w:multiLevelType w:val="hybridMultilevel"/>
    <w:tmpl w:val="0526CD54"/>
    <w:lvl w:ilvl="0" w:tplc="04150011">
      <w:start w:val="1"/>
      <w:numFmt w:val="decimal"/>
      <w:lvlText w:val="%1)"/>
      <w:lvlJc w:val="left"/>
      <w:pPr>
        <w:ind w:left="717" w:hanging="360"/>
      </w:pPr>
      <w:rPr>
        <w:rFont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 w15:restartNumberingAfterBreak="0">
    <w:nsid w:val="13F139B6"/>
    <w:multiLevelType w:val="hybridMultilevel"/>
    <w:tmpl w:val="66F652FA"/>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DA3435"/>
    <w:multiLevelType w:val="hybridMultilevel"/>
    <w:tmpl w:val="2620E1F4"/>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F2141"/>
    <w:multiLevelType w:val="hybridMultilevel"/>
    <w:tmpl w:val="D7A6B8E6"/>
    <w:lvl w:ilvl="0" w:tplc="A4FE1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3C69D8"/>
    <w:multiLevelType w:val="hybridMultilevel"/>
    <w:tmpl w:val="97308824"/>
    <w:lvl w:ilvl="0" w:tplc="C6844946">
      <w:start w:val="1"/>
      <w:numFmt w:val="decimal"/>
      <w:lvlText w:val="%1)"/>
      <w:lvlJc w:val="left"/>
      <w:pPr>
        <w:ind w:left="720" w:hanging="36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D411700"/>
    <w:multiLevelType w:val="hybridMultilevel"/>
    <w:tmpl w:val="3502D40A"/>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482246"/>
    <w:multiLevelType w:val="hybridMultilevel"/>
    <w:tmpl w:val="B0BA6666"/>
    <w:lvl w:ilvl="0" w:tplc="7626FD5A">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44314717"/>
    <w:multiLevelType w:val="hybridMultilevel"/>
    <w:tmpl w:val="E2EC3B78"/>
    <w:lvl w:ilvl="0" w:tplc="A4FE1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9D2DCF"/>
    <w:multiLevelType w:val="hybridMultilevel"/>
    <w:tmpl w:val="8F30A92E"/>
    <w:lvl w:ilvl="0" w:tplc="AE5A1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1D107D"/>
    <w:multiLevelType w:val="hybridMultilevel"/>
    <w:tmpl w:val="7194C10C"/>
    <w:lvl w:ilvl="0" w:tplc="DA9E71FE">
      <w:start w:val="1"/>
      <w:numFmt w:val="bullet"/>
      <w:lvlText w:val="-"/>
      <w:lvlJc w:val="left"/>
      <w:pPr>
        <w:ind w:left="778" w:hanging="360"/>
      </w:pPr>
      <w:rPr>
        <w:rFonts w:ascii="Courier New" w:hAnsi="Courier New"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2" w15:restartNumberingAfterBreak="0">
    <w:nsid w:val="60EA29DC"/>
    <w:multiLevelType w:val="hybridMultilevel"/>
    <w:tmpl w:val="C2469C1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3467E4"/>
    <w:multiLevelType w:val="hybridMultilevel"/>
    <w:tmpl w:val="FAFADEA2"/>
    <w:lvl w:ilvl="0" w:tplc="DA9E71FE">
      <w:start w:val="1"/>
      <w:numFmt w:val="bullet"/>
      <w:lvlText w:val="-"/>
      <w:lvlJc w:val="left"/>
      <w:pPr>
        <w:ind w:left="717" w:hanging="360"/>
      </w:pPr>
      <w:rPr>
        <w:rFonts w:ascii="Courier New" w:hAnsi="Courier New"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15:restartNumberingAfterBreak="0">
    <w:nsid w:val="72045AD9"/>
    <w:multiLevelType w:val="hybridMultilevel"/>
    <w:tmpl w:val="1B4A423E"/>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295BA8"/>
    <w:multiLevelType w:val="hybridMultilevel"/>
    <w:tmpl w:val="EBBE916A"/>
    <w:lvl w:ilvl="0" w:tplc="DA9E71FE">
      <w:start w:val="1"/>
      <w:numFmt w:val="bullet"/>
      <w:lvlText w:val="-"/>
      <w:lvlJc w:val="left"/>
      <w:pPr>
        <w:ind w:left="778" w:hanging="360"/>
      </w:pPr>
      <w:rPr>
        <w:rFonts w:ascii="Courier New" w:hAnsi="Courier New"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 w15:restartNumberingAfterBreak="0">
    <w:nsid w:val="76352DCA"/>
    <w:multiLevelType w:val="hybridMultilevel"/>
    <w:tmpl w:val="A8F08030"/>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7B36743"/>
    <w:multiLevelType w:val="hybridMultilevel"/>
    <w:tmpl w:val="6EC883CE"/>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7C01F1"/>
    <w:multiLevelType w:val="hybridMultilevel"/>
    <w:tmpl w:val="451837A6"/>
    <w:lvl w:ilvl="0" w:tplc="7626FD5A">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2"/>
  </w:num>
  <w:num w:numId="4">
    <w:abstractNumId w:val="17"/>
  </w:num>
  <w:num w:numId="5">
    <w:abstractNumId w:val="14"/>
  </w:num>
  <w:num w:numId="6">
    <w:abstractNumId w:val="7"/>
  </w:num>
  <w:num w:numId="7">
    <w:abstractNumId w:val="15"/>
  </w:num>
  <w:num w:numId="8">
    <w:abstractNumId w:val="11"/>
  </w:num>
  <w:num w:numId="9">
    <w:abstractNumId w:val="9"/>
  </w:num>
  <w:num w:numId="10">
    <w:abstractNumId w:val="2"/>
  </w:num>
  <w:num w:numId="11">
    <w:abstractNumId w:val="4"/>
  </w:num>
  <w:num w:numId="12">
    <w:abstractNumId w:val="18"/>
  </w:num>
  <w:num w:numId="13">
    <w:abstractNumId w:val="1"/>
  </w:num>
  <w:num w:numId="14">
    <w:abstractNumId w:val="13"/>
  </w:num>
  <w:num w:numId="15">
    <w:abstractNumId w:val="10"/>
  </w:num>
  <w:num w:numId="16">
    <w:abstractNumId w:val="0"/>
  </w:num>
  <w:num w:numId="17">
    <w:abstractNumId w:val="8"/>
  </w:num>
  <w:num w:numId="18">
    <w:abstractNumId w:val="3"/>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ocumentProtection w:edit="forms" w:formatting="1" w:enforcement="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022"/>
    <w:rsid w:val="000015EE"/>
    <w:rsid w:val="00001F6F"/>
    <w:rsid w:val="000022D5"/>
    <w:rsid w:val="00003126"/>
    <w:rsid w:val="00004C6A"/>
    <w:rsid w:val="00004C6C"/>
    <w:rsid w:val="00007DD0"/>
    <w:rsid w:val="000114BC"/>
    <w:rsid w:val="000116B9"/>
    <w:rsid w:val="000120C8"/>
    <w:rsid w:val="00012D11"/>
    <w:rsid w:val="00013EB5"/>
    <w:rsid w:val="00013F2A"/>
    <w:rsid w:val="0001469B"/>
    <w:rsid w:val="0001658B"/>
    <w:rsid w:val="00017D75"/>
    <w:rsid w:val="00020245"/>
    <w:rsid w:val="0002054E"/>
    <w:rsid w:val="0002076E"/>
    <w:rsid w:val="00020C4F"/>
    <w:rsid w:val="000223C6"/>
    <w:rsid w:val="00022899"/>
    <w:rsid w:val="00022CF1"/>
    <w:rsid w:val="00023836"/>
    <w:rsid w:val="00023B83"/>
    <w:rsid w:val="00024401"/>
    <w:rsid w:val="00024B2B"/>
    <w:rsid w:val="00025590"/>
    <w:rsid w:val="00025DA4"/>
    <w:rsid w:val="00026FB3"/>
    <w:rsid w:val="00027D09"/>
    <w:rsid w:val="000308EE"/>
    <w:rsid w:val="00033472"/>
    <w:rsid w:val="00035156"/>
    <w:rsid w:val="000356A9"/>
    <w:rsid w:val="00035740"/>
    <w:rsid w:val="00036E63"/>
    <w:rsid w:val="0004072E"/>
    <w:rsid w:val="0004139F"/>
    <w:rsid w:val="00042D29"/>
    <w:rsid w:val="00043492"/>
    <w:rsid w:val="000439C4"/>
    <w:rsid w:val="00044138"/>
    <w:rsid w:val="000442FC"/>
    <w:rsid w:val="000442FE"/>
    <w:rsid w:val="00044739"/>
    <w:rsid w:val="000461C3"/>
    <w:rsid w:val="00047287"/>
    <w:rsid w:val="00051082"/>
    <w:rsid w:val="00051637"/>
    <w:rsid w:val="000523F3"/>
    <w:rsid w:val="00052E4E"/>
    <w:rsid w:val="00055026"/>
    <w:rsid w:val="000557FB"/>
    <w:rsid w:val="00056681"/>
    <w:rsid w:val="00060AAA"/>
    <w:rsid w:val="0006230B"/>
    <w:rsid w:val="00062D04"/>
    <w:rsid w:val="00063987"/>
    <w:rsid w:val="000648A7"/>
    <w:rsid w:val="0006618B"/>
    <w:rsid w:val="000670C0"/>
    <w:rsid w:val="000670FC"/>
    <w:rsid w:val="0006782B"/>
    <w:rsid w:val="000707F2"/>
    <w:rsid w:val="00071B99"/>
    <w:rsid w:val="00073621"/>
    <w:rsid w:val="00074809"/>
    <w:rsid w:val="000756E5"/>
    <w:rsid w:val="00075B9D"/>
    <w:rsid w:val="000764CC"/>
    <w:rsid w:val="0007704E"/>
    <w:rsid w:val="00080EC8"/>
    <w:rsid w:val="0008237E"/>
    <w:rsid w:val="00082A87"/>
    <w:rsid w:val="00083008"/>
    <w:rsid w:val="00083FB8"/>
    <w:rsid w:val="0008446E"/>
    <w:rsid w:val="00084620"/>
    <w:rsid w:val="00090754"/>
    <w:rsid w:val="00090C0F"/>
    <w:rsid w:val="00090C45"/>
    <w:rsid w:val="00091FA3"/>
    <w:rsid w:val="0009251B"/>
    <w:rsid w:val="00092C7C"/>
    <w:rsid w:val="0009449E"/>
    <w:rsid w:val="000944AC"/>
    <w:rsid w:val="00094CB9"/>
    <w:rsid w:val="000956B2"/>
    <w:rsid w:val="00096335"/>
    <w:rsid w:val="000969E7"/>
    <w:rsid w:val="00097A4E"/>
    <w:rsid w:val="000A0AEE"/>
    <w:rsid w:val="000A1207"/>
    <w:rsid w:val="000A23DE"/>
    <w:rsid w:val="000A3841"/>
    <w:rsid w:val="000A4020"/>
    <w:rsid w:val="000A4BF9"/>
    <w:rsid w:val="000A663A"/>
    <w:rsid w:val="000A78E5"/>
    <w:rsid w:val="000B1FAA"/>
    <w:rsid w:val="000B202C"/>
    <w:rsid w:val="000B20EB"/>
    <w:rsid w:val="000B2FF3"/>
    <w:rsid w:val="000B4B08"/>
    <w:rsid w:val="000B54FB"/>
    <w:rsid w:val="000B7385"/>
    <w:rsid w:val="000B7C96"/>
    <w:rsid w:val="000C0674"/>
    <w:rsid w:val="000C0AB6"/>
    <w:rsid w:val="000C1C59"/>
    <w:rsid w:val="000C29B0"/>
    <w:rsid w:val="000C2F24"/>
    <w:rsid w:val="000C5201"/>
    <w:rsid w:val="000C5C41"/>
    <w:rsid w:val="000C76FC"/>
    <w:rsid w:val="000C7C86"/>
    <w:rsid w:val="000D14A4"/>
    <w:rsid w:val="000D282A"/>
    <w:rsid w:val="000D3139"/>
    <w:rsid w:val="000D38FC"/>
    <w:rsid w:val="000D417E"/>
    <w:rsid w:val="000D4D90"/>
    <w:rsid w:val="000D53B0"/>
    <w:rsid w:val="000E0808"/>
    <w:rsid w:val="000E0ECB"/>
    <w:rsid w:val="000E14FD"/>
    <w:rsid w:val="000E24BB"/>
    <w:rsid w:val="000E2D10"/>
    <w:rsid w:val="000E3825"/>
    <w:rsid w:val="000E4410"/>
    <w:rsid w:val="000E5ED3"/>
    <w:rsid w:val="000E72F8"/>
    <w:rsid w:val="000E74FC"/>
    <w:rsid w:val="000E7AC7"/>
    <w:rsid w:val="000F0ECD"/>
    <w:rsid w:val="000F1044"/>
    <w:rsid w:val="000F1BB5"/>
    <w:rsid w:val="000F3204"/>
    <w:rsid w:val="000F5972"/>
    <w:rsid w:val="000F6AA9"/>
    <w:rsid w:val="000F717C"/>
    <w:rsid w:val="000F76FD"/>
    <w:rsid w:val="001003E2"/>
    <w:rsid w:val="0010048D"/>
    <w:rsid w:val="00100E27"/>
    <w:rsid w:val="0010171C"/>
    <w:rsid w:val="00102083"/>
    <w:rsid w:val="00102257"/>
    <w:rsid w:val="001024DD"/>
    <w:rsid w:val="001033B3"/>
    <w:rsid w:val="0010359C"/>
    <w:rsid w:val="0010548B"/>
    <w:rsid w:val="001072D1"/>
    <w:rsid w:val="00112CD5"/>
    <w:rsid w:val="00113E50"/>
    <w:rsid w:val="00114F6E"/>
    <w:rsid w:val="00115315"/>
    <w:rsid w:val="00116402"/>
    <w:rsid w:val="00116650"/>
    <w:rsid w:val="00117017"/>
    <w:rsid w:val="00117F1B"/>
    <w:rsid w:val="001216AC"/>
    <w:rsid w:val="00122C2F"/>
    <w:rsid w:val="00122CC4"/>
    <w:rsid w:val="00123EF3"/>
    <w:rsid w:val="00127299"/>
    <w:rsid w:val="00130E8E"/>
    <w:rsid w:val="00131444"/>
    <w:rsid w:val="0013216E"/>
    <w:rsid w:val="001328AF"/>
    <w:rsid w:val="00133576"/>
    <w:rsid w:val="0013370C"/>
    <w:rsid w:val="00133E1B"/>
    <w:rsid w:val="00135913"/>
    <w:rsid w:val="00137126"/>
    <w:rsid w:val="00137D41"/>
    <w:rsid w:val="001401B5"/>
    <w:rsid w:val="001422B9"/>
    <w:rsid w:val="00143B19"/>
    <w:rsid w:val="00143BAF"/>
    <w:rsid w:val="00144379"/>
    <w:rsid w:val="001443A8"/>
    <w:rsid w:val="00145A36"/>
    <w:rsid w:val="0014665F"/>
    <w:rsid w:val="00146863"/>
    <w:rsid w:val="00146E25"/>
    <w:rsid w:val="00147D1F"/>
    <w:rsid w:val="00150131"/>
    <w:rsid w:val="0015013F"/>
    <w:rsid w:val="001518CF"/>
    <w:rsid w:val="00152E02"/>
    <w:rsid w:val="00153464"/>
    <w:rsid w:val="00153F05"/>
    <w:rsid w:val="001541B3"/>
    <w:rsid w:val="00155B15"/>
    <w:rsid w:val="001570C6"/>
    <w:rsid w:val="001571E5"/>
    <w:rsid w:val="001576CB"/>
    <w:rsid w:val="001625BE"/>
    <w:rsid w:val="001629AF"/>
    <w:rsid w:val="001633BD"/>
    <w:rsid w:val="00163753"/>
    <w:rsid w:val="00163E0B"/>
    <w:rsid w:val="001643A4"/>
    <w:rsid w:val="00165C69"/>
    <w:rsid w:val="00170C21"/>
    <w:rsid w:val="00171534"/>
    <w:rsid w:val="00171B5E"/>
    <w:rsid w:val="001727BB"/>
    <w:rsid w:val="001729A6"/>
    <w:rsid w:val="00172F65"/>
    <w:rsid w:val="0017302A"/>
    <w:rsid w:val="00174CEB"/>
    <w:rsid w:val="0017695F"/>
    <w:rsid w:val="00180371"/>
    <w:rsid w:val="00180D06"/>
    <w:rsid w:val="00180D25"/>
    <w:rsid w:val="001812C7"/>
    <w:rsid w:val="0018318D"/>
    <w:rsid w:val="00184968"/>
    <w:rsid w:val="0018572C"/>
    <w:rsid w:val="00187E79"/>
    <w:rsid w:val="00187F0D"/>
    <w:rsid w:val="001908D1"/>
    <w:rsid w:val="00192CC5"/>
    <w:rsid w:val="001943DF"/>
    <w:rsid w:val="001947DD"/>
    <w:rsid w:val="00195594"/>
    <w:rsid w:val="001956A7"/>
    <w:rsid w:val="00195BED"/>
    <w:rsid w:val="00195CFB"/>
    <w:rsid w:val="0019627B"/>
    <w:rsid w:val="00196AD1"/>
    <w:rsid w:val="00196DCA"/>
    <w:rsid w:val="001972A4"/>
    <w:rsid w:val="00197C5B"/>
    <w:rsid w:val="001A07E1"/>
    <w:rsid w:val="001A118A"/>
    <w:rsid w:val="001A27F4"/>
    <w:rsid w:val="001A2D95"/>
    <w:rsid w:val="001A4F6E"/>
    <w:rsid w:val="001A5992"/>
    <w:rsid w:val="001A5FDA"/>
    <w:rsid w:val="001A68F7"/>
    <w:rsid w:val="001A7074"/>
    <w:rsid w:val="001B0298"/>
    <w:rsid w:val="001B07CA"/>
    <w:rsid w:val="001B1D2C"/>
    <w:rsid w:val="001B3438"/>
    <w:rsid w:val="001B3446"/>
    <w:rsid w:val="001B3460"/>
    <w:rsid w:val="001B4CA1"/>
    <w:rsid w:val="001B574C"/>
    <w:rsid w:val="001B75D8"/>
    <w:rsid w:val="001C1060"/>
    <w:rsid w:val="001C3C63"/>
    <w:rsid w:val="001C5F17"/>
    <w:rsid w:val="001C6EEA"/>
    <w:rsid w:val="001C790B"/>
    <w:rsid w:val="001D048E"/>
    <w:rsid w:val="001D2088"/>
    <w:rsid w:val="001D23D7"/>
    <w:rsid w:val="001D2644"/>
    <w:rsid w:val="001D4732"/>
    <w:rsid w:val="001D5276"/>
    <w:rsid w:val="001D56D6"/>
    <w:rsid w:val="001D6A3C"/>
    <w:rsid w:val="001D6D51"/>
    <w:rsid w:val="001D6FB4"/>
    <w:rsid w:val="001D7F24"/>
    <w:rsid w:val="001E08B6"/>
    <w:rsid w:val="001E248D"/>
    <w:rsid w:val="001E2786"/>
    <w:rsid w:val="001E3E62"/>
    <w:rsid w:val="001E4385"/>
    <w:rsid w:val="001E4895"/>
    <w:rsid w:val="001E53F4"/>
    <w:rsid w:val="001E541D"/>
    <w:rsid w:val="001E5E3F"/>
    <w:rsid w:val="001E6A72"/>
    <w:rsid w:val="001F1708"/>
    <w:rsid w:val="001F2380"/>
    <w:rsid w:val="001F5348"/>
    <w:rsid w:val="001F653A"/>
    <w:rsid w:val="001F6979"/>
    <w:rsid w:val="001F6CE7"/>
    <w:rsid w:val="001F7C74"/>
    <w:rsid w:val="0020293F"/>
    <w:rsid w:val="00202BC6"/>
    <w:rsid w:val="002035FD"/>
    <w:rsid w:val="00203726"/>
    <w:rsid w:val="00205141"/>
    <w:rsid w:val="0020516B"/>
    <w:rsid w:val="00205925"/>
    <w:rsid w:val="00205F88"/>
    <w:rsid w:val="00207067"/>
    <w:rsid w:val="002077AC"/>
    <w:rsid w:val="00207828"/>
    <w:rsid w:val="002108F6"/>
    <w:rsid w:val="00211767"/>
    <w:rsid w:val="002122B6"/>
    <w:rsid w:val="00213559"/>
    <w:rsid w:val="00213A6D"/>
    <w:rsid w:val="00213EFD"/>
    <w:rsid w:val="00214A23"/>
    <w:rsid w:val="002151CB"/>
    <w:rsid w:val="002172F1"/>
    <w:rsid w:val="0022057F"/>
    <w:rsid w:val="002210FF"/>
    <w:rsid w:val="00221C6F"/>
    <w:rsid w:val="00222816"/>
    <w:rsid w:val="00222BCD"/>
    <w:rsid w:val="002238DD"/>
    <w:rsid w:val="00223BD4"/>
    <w:rsid w:val="00223C7B"/>
    <w:rsid w:val="00224AB1"/>
    <w:rsid w:val="00224FBB"/>
    <w:rsid w:val="0022548C"/>
    <w:rsid w:val="0022687A"/>
    <w:rsid w:val="00230728"/>
    <w:rsid w:val="00234040"/>
    <w:rsid w:val="00234B79"/>
    <w:rsid w:val="00234BD2"/>
    <w:rsid w:val="0023574E"/>
    <w:rsid w:val="00235CD2"/>
    <w:rsid w:val="002368E1"/>
    <w:rsid w:val="00236D5A"/>
    <w:rsid w:val="002370A2"/>
    <w:rsid w:val="00240660"/>
    <w:rsid w:val="002415C2"/>
    <w:rsid w:val="00241627"/>
    <w:rsid w:val="00244513"/>
    <w:rsid w:val="0024605E"/>
    <w:rsid w:val="0024793F"/>
    <w:rsid w:val="00247E87"/>
    <w:rsid w:val="00251041"/>
    <w:rsid w:val="00252BD5"/>
    <w:rsid w:val="00252EE9"/>
    <w:rsid w:val="00253E87"/>
    <w:rsid w:val="00254797"/>
    <w:rsid w:val="00254DED"/>
    <w:rsid w:val="00255619"/>
    <w:rsid w:val="00255DAD"/>
    <w:rsid w:val="00256108"/>
    <w:rsid w:val="00257293"/>
    <w:rsid w:val="0025755D"/>
    <w:rsid w:val="00260618"/>
    <w:rsid w:val="00260F33"/>
    <w:rsid w:val="002613BD"/>
    <w:rsid w:val="00261997"/>
    <w:rsid w:val="0026200B"/>
    <w:rsid w:val="00262244"/>
    <w:rsid w:val="002624F1"/>
    <w:rsid w:val="002631B2"/>
    <w:rsid w:val="0026482C"/>
    <w:rsid w:val="0027073D"/>
    <w:rsid w:val="00270842"/>
    <w:rsid w:val="00270C81"/>
    <w:rsid w:val="00271120"/>
    <w:rsid w:val="00271558"/>
    <w:rsid w:val="002716D8"/>
    <w:rsid w:val="00271A33"/>
    <w:rsid w:val="002733EB"/>
    <w:rsid w:val="00274801"/>
    <w:rsid w:val="00274862"/>
    <w:rsid w:val="00274D02"/>
    <w:rsid w:val="002750A0"/>
    <w:rsid w:val="00276147"/>
    <w:rsid w:val="002822EA"/>
    <w:rsid w:val="00282D72"/>
    <w:rsid w:val="00283402"/>
    <w:rsid w:val="0028619B"/>
    <w:rsid w:val="00286E51"/>
    <w:rsid w:val="00287219"/>
    <w:rsid w:val="002903CF"/>
    <w:rsid w:val="002904B3"/>
    <w:rsid w:val="00290FD6"/>
    <w:rsid w:val="002940D9"/>
    <w:rsid w:val="00294259"/>
    <w:rsid w:val="00294EAC"/>
    <w:rsid w:val="00295BC3"/>
    <w:rsid w:val="00296C13"/>
    <w:rsid w:val="002A0A65"/>
    <w:rsid w:val="002A0E7A"/>
    <w:rsid w:val="002A1F15"/>
    <w:rsid w:val="002A2C81"/>
    <w:rsid w:val="002A30AA"/>
    <w:rsid w:val="002A450D"/>
    <w:rsid w:val="002A47FF"/>
    <w:rsid w:val="002A6517"/>
    <w:rsid w:val="002A7569"/>
    <w:rsid w:val="002B2022"/>
    <w:rsid w:val="002B25C8"/>
    <w:rsid w:val="002B3C9F"/>
    <w:rsid w:val="002B3D1A"/>
    <w:rsid w:val="002B5258"/>
    <w:rsid w:val="002B540A"/>
    <w:rsid w:val="002B55EA"/>
    <w:rsid w:val="002B56E9"/>
    <w:rsid w:val="002B5779"/>
    <w:rsid w:val="002B5F66"/>
    <w:rsid w:val="002B6EED"/>
    <w:rsid w:val="002B74B0"/>
    <w:rsid w:val="002C0260"/>
    <w:rsid w:val="002C0509"/>
    <w:rsid w:val="002C0FB3"/>
    <w:rsid w:val="002C27D0"/>
    <w:rsid w:val="002C2A4A"/>
    <w:rsid w:val="002C2C9B"/>
    <w:rsid w:val="002C356F"/>
    <w:rsid w:val="002C4B3B"/>
    <w:rsid w:val="002C51ED"/>
    <w:rsid w:val="002C62B6"/>
    <w:rsid w:val="002C6991"/>
    <w:rsid w:val="002C7EC6"/>
    <w:rsid w:val="002D17D6"/>
    <w:rsid w:val="002D18D7"/>
    <w:rsid w:val="002D19ED"/>
    <w:rsid w:val="002D21CE"/>
    <w:rsid w:val="002D3BFE"/>
    <w:rsid w:val="002D3F00"/>
    <w:rsid w:val="002D4803"/>
    <w:rsid w:val="002D7AD3"/>
    <w:rsid w:val="002D7DB5"/>
    <w:rsid w:val="002E0757"/>
    <w:rsid w:val="002E08EA"/>
    <w:rsid w:val="002E2466"/>
    <w:rsid w:val="002E36B5"/>
    <w:rsid w:val="002E3DA3"/>
    <w:rsid w:val="002E3FCC"/>
    <w:rsid w:val="002E450F"/>
    <w:rsid w:val="002E451D"/>
    <w:rsid w:val="002E5799"/>
    <w:rsid w:val="002E6B38"/>
    <w:rsid w:val="002E6BF6"/>
    <w:rsid w:val="002E6D63"/>
    <w:rsid w:val="002E6E2B"/>
    <w:rsid w:val="002F1859"/>
    <w:rsid w:val="002F4ED6"/>
    <w:rsid w:val="002F500B"/>
    <w:rsid w:val="002F6605"/>
    <w:rsid w:val="00300133"/>
    <w:rsid w:val="0030052B"/>
    <w:rsid w:val="00300991"/>
    <w:rsid w:val="003009FF"/>
    <w:rsid w:val="00300E11"/>
    <w:rsid w:val="00300F3A"/>
    <w:rsid w:val="00301760"/>
    <w:rsid w:val="00301959"/>
    <w:rsid w:val="00302D15"/>
    <w:rsid w:val="00304931"/>
    <w:rsid w:val="00305148"/>
    <w:rsid w:val="00305B8A"/>
    <w:rsid w:val="00306FAE"/>
    <w:rsid w:val="00311F57"/>
    <w:rsid w:val="00315D97"/>
    <w:rsid w:val="00316341"/>
    <w:rsid w:val="003168C0"/>
    <w:rsid w:val="0032073B"/>
    <w:rsid w:val="00321A63"/>
    <w:rsid w:val="00324AB7"/>
    <w:rsid w:val="00326359"/>
    <w:rsid w:val="003276E3"/>
    <w:rsid w:val="00327820"/>
    <w:rsid w:val="003302D9"/>
    <w:rsid w:val="003307BE"/>
    <w:rsid w:val="00330996"/>
    <w:rsid w:val="00331BF9"/>
    <w:rsid w:val="00331C80"/>
    <w:rsid w:val="00332F2B"/>
    <w:rsid w:val="003344E7"/>
    <w:rsid w:val="0033490D"/>
    <w:rsid w:val="0033495E"/>
    <w:rsid w:val="00334A79"/>
    <w:rsid w:val="00334D8D"/>
    <w:rsid w:val="00334F7F"/>
    <w:rsid w:val="00334FCA"/>
    <w:rsid w:val="00335465"/>
    <w:rsid w:val="00335804"/>
    <w:rsid w:val="00335B9D"/>
    <w:rsid w:val="00336C66"/>
    <w:rsid w:val="00337345"/>
    <w:rsid w:val="00337856"/>
    <w:rsid w:val="00337AD2"/>
    <w:rsid w:val="00337DD2"/>
    <w:rsid w:val="003404D1"/>
    <w:rsid w:val="00341DC7"/>
    <w:rsid w:val="00341F18"/>
    <w:rsid w:val="003424BD"/>
    <w:rsid w:val="00343088"/>
    <w:rsid w:val="003443FF"/>
    <w:rsid w:val="003444F4"/>
    <w:rsid w:val="00344E62"/>
    <w:rsid w:val="00344EFE"/>
    <w:rsid w:val="0034512A"/>
    <w:rsid w:val="00346579"/>
    <w:rsid w:val="00346842"/>
    <w:rsid w:val="00346AB1"/>
    <w:rsid w:val="00346CA8"/>
    <w:rsid w:val="00347CA6"/>
    <w:rsid w:val="003510A5"/>
    <w:rsid w:val="003533F8"/>
    <w:rsid w:val="00353AA9"/>
    <w:rsid w:val="0035424E"/>
    <w:rsid w:val="00354303"/>
    <w:rsid w:val="0035436F"/>
    <w:rsid w:val="00354D9B"/>
    <w:rsid w:val="003552DD"/>
    <w:rsid w:val="003556AC"/>
    <w:rsid w:val="00355808"/>
    <w:rsid w:val="00355AF6"/>
    <w:rsid w:val="00355C96"/>
    <w:rsid w:val="00355CED"/>
    <w:rsid w:val="00357011"/>
    <w:rsid w:val="00357501"/>
    <w:rsid w:val="00360414"/>
    <w:rsid w:val="00360697"/>
    <w:rsid w:val="00361EEA"/>
    <w:rsid w:val="00362C7E"/>
    <w:rsid w:val="00363309"/>
    <w:rsid w:val="0036350D"/>
    <w:rsid w:val="00363601"/>
    <w:rsid w:val="00363713"/>
    <w:rsid w:val="00363862"/>
    <w:rsid w:val="00365772"/>
    <w:rsid w:val="00367FC5"/>
    <w:rsid w:val="00371857"/>
    <w:rsid w:val="00374699"/>
    <w:rsid w:val="00376AC9"/>
    <w:rsid w:val="00380414"/>
    <w:rsid w:val="003804BF"/>
    <w:rsid w:val="003809F7"/>
    <w:rsid w:val="00382689"/>
    <w:rsid w:val="00387717"/>
    <w:rsid w:val="003914E8"/>
    <w:rsid w:val="00393032"/>
    <w:rsid w:val="00393C03"/>
    <w:rsid w:val="00394B69"/>
    <w:rsid w:val="00396E18"/>
    <w:rsid w:val="00397078"/>
    <w:rsid w:val="00397273"/>
    <w:rsid w:val="00397592"/>
    <w:rsid w:val="003A1C3A"/>
    <w:rsid w:val="003A24A1"/>
    <w:rsid w:val="003A2793"/>
    <w:rsid w:val="003A37D2"/>
    <w:rsid w:val="003A3C11"/>
    <w:rsid w:val="003A638F"/>
    <w:rsid w:val="003A67C1"/>
    <w:rsid w:val="003A6953"/>
    <w:rsid w:val="003A695C"/>
    <w:rsid w:val="003A779A"/>
    <w:rsid w:val="003A7A50"/>
    <w:rsid w:val="003A7C5E"/>
    <w:rsid w:val="003A7E4F"/>
    <w:rsid w:val="003B01DF"/>
    <w:rsid w:val="003B145E"/>
    <w:rsid w:val="003B180F"/>
    <w:rsid w:val="003B2FD2"/>
    <w:rsid w:val="003B4230"/>
    <w:rsid w:val="003B4EC3"/>
    <w:rsid w:val="003B6083"/>
    <w:rsid w:val="003B730E"/>
    <w:rsid w:val="003B77E7"/>
    <w:rsid w:val="003C0147"/>
    <w:rsid w:val="003C0A58"/>
    <w:rsid w:val="003C1578"/>
    <w:rsid w:val="003C2240"/>
    <w:rsid w:val="003C2ED9"/>
    <w:rsid w:val="003C3838"/>
    <w:rsid w:val="003C4B3C"/>
    <w:rsid w:val="003C5650"/>
    <w:rsid w:val="003C5847"/>
    <w:rsid w:val="003C5874"/>
    <w:rsid w:val="003C5DB3"/>
    <w:rsid w:val="003D0681"/>
    <w:rsid w:val="003D0881"/>
    <w:rsid w:val="003D12F6"/>
    <w:rsid w:val="003D1426"/>
    <w:rsid w:val="003D2708"/>
    <w:rsid w:val="003D5081"/>
    <w:rsid w:val="003E2D61"/>
    <w:rsid w:val="003E2E48"/>
    <w:rsid w:val="003E2F4E"/>
    <w:rsid w:val="003E39C1"/>
    <w:rsid w:val="003E4341"/>
    <w:rsid w:val="003E593C"/>
    <w:rsid w:val="003E6522"/>
    <w:rsid w:val="003E6B49"/>
    <w:rsid w:val="003E7198"/>
    <w:rsid w:val="003E720A"/>
    <w:rsid w:val="003E7724"/>
    <w:rsid w:val="003E7876"/>
    <w:rsid w:val="003E7FFA"/>
    <w:rsid w:val="003F0DE3"/>
    <w:rsid w:val="003F354E"/>
    <w:rsid w:val="003F3B02"/>
    <w:rsid w:val="003F607C"/>
    <w:rsid w:val="003F6374"/>
    <w:rsid w:val="00400299"/>
    <w:rsid w:val="00400332"/>
    <w:rsid w:val="00400586"/>
    <w:rsid w:val="00401592"/>
    <w:rsid w:val="00401D5C"/>
    <w:rsid w:val="004037D5"/>
    <w:rsid w:val="00403C52"/>
    <w:rsid w:val="00403E6E"/>
    <w:rsid w:val="00404EBB"/>
    <w:rsid w:val="004053BB"/>
    <w:rsid w:val="004060BE"/>
    <w:rsid w:val="00407869"/>
    <w:rsid w:val="00407CEB"/>
    <w:rsid w:val="00411F2D"/>
    <w:rsid w:val="004128CE"/>
    <w:rsid w:val="00412914"/>
    <w:rsid w:val="004129B4"/>
    <w:rsid w:val="00412A94"/>
    <w:rsid w:val="00412C0D"/>
    <w:rsid w:val="004142AC"/>
    <w:rsid w:val="00416638"/>
    <w:rsid w:val="00416B09"/>
    <w:rsid w:val="0041719A"/>
    <w:rsid w:val="00417EF0"/>
    <w:rsid w:val="00420CA3"/>
    <w:rsid w:val="004215F2"/>
    <w:rsid w:val="00422181"/>
    <w:rsid w:val="004223EC"/>
    <w:rsid w:val="004244A8"/>
    <w:rsid w:val="004257F5"/>
    <w:rsid w:val="00425F72"/>
    <w:rsid w:val="004265FD"/>
    <w:rsid w:val="00426A15"/>
    <w:rsid w:val="00427736"/>
    <w:rsid w:val="00431344"/>
    <w:rsid w:val="0043163C"/>
    <w:rsid w:val="00433205"/>
    <w:rsid w:val="00434C27"/>
    <w:rsid w:val="00436765"/>
    <w:rsid w:val="00436960"/>
    <w:rsid w:val="004377A0"/>
    <w:rsid w:val="004400B4"/>
    <w:rsid w:val="00440A3F"/>
    <w:rsid w:val="00441787"/>
    <w:rsid w:val="004419A7"/>
    <w:rsid w:val="00442A8D"/>
    <w:rsid w:val="00442F05"/>
    <w:rsid w:val="0044492A"/>
    <w:rsid w:val="00444F2D"/>
    <w:rsid w:val="004456F6"/>
    <w:rsid w:val="00446861"/>
    <w:rsid w:val="00450D0C"/>
    <w:rsid w:val="004513C5"/>
    <w:rsid w:val="00452034"/>
    <w:rsid w:val="0045211C"/>
    <w:rsid w:val="00452A66"/>
    <w:rsid w:val="00452C5A"/>
    <w:rsid w:val="00454C84"/>
    <w:rsid w:val="004551EE"/>
    <w:rsid w:val="00455228"/>
    <w:rsid w:val="00455FA6"/>
    <w:rsid w:val="00456E24"/>
    <w:rsid w:val="00456FF5"/>
    <w:rsid w:val="00460D1E"/>
    <w:rsid w:val="00461CDD"/>
    <w:rsid w:val="00462906"/>
    <w:rsid w:val="00462C50"/>
    <w:rsid w:val="00462DF3"/>
    <w:rsid w:val="00463EA6"/>
    <w:rsid w:val="004652F5"/>
    <w:rsid w:val="00466364"/>
    <w:rsid w:val="00466C70"/>
    <w:rsid w:val="00467C00"/>
    <w:rsid w:val="004702C9"/>
    <w:rsid w:val="004703A6"/>
    <w:rsid w:val="00470BE0"/>
    <w:rsid w:val="00471EFF"/>
    <w:rsid w:val="00472A76"/>
    <w:rsid w:val="00472E45"/>
    <w:rsid w:val="00473FEA"/>
    <w:rsid w:val="0047579D"/>
    <w:rsid w:val="004778F3"/>
    <w:rsid w:val="00477A30"/>
    <w:rsid w:val="00477D53"/>
    <w:rsid w:val="00477D59"/>
    <w:rsid w:val="004816D2"/>
    <w:rsid w:val="004831E1"/>
    <w:rsid w:val="00483262"/>
    <w:rsid w:val="00483D2C"/>
    <w:rsid w:val="00483EAC"/>
    <w:rsid w:val="00484107"/>
    <w:rsid w:val="00484AEC"/>
    <w:rsid w:val="00484CD7"/>
    <w:rsid w:val="00485CC5"/>
    <w:rsid w:val="00487825"/>
    <w:rsid w:val="00487CA5"/>
    <w:rsid w:val="00491BB0"/>
    <w:rsid w:val="00492559"/>
    <w:rsid w:val="0049343F"/>
    <w:rsid w:val="00494019"/>
    <w:rsid w:val="00494C7C"/>
    <w:rsid w:val="004964FC"/>
    <w:rsid w:val="00497E30"/>
    <w:rsid w:val="004A01BD"/>
    <w:rsid w:val="004A1042"/>
    <w:rsid w:val="004A145E"/>
    <w:rsid w:val="004A1F15"/>
    <w:rsid w:val="004A2A81"/>
    <w:rsid w:val="004A36AB"/>
    <w:rsid w:val="004A4E56"/>
    <w:rsid w:val="004A6311"/>
    <w:rsid w:val="004A6453"/>
    <w:rsid w:val="004A6ACE"/>
    <w:rsid w:val="004A7BD7"/>
    <w:rsid w:val="004B20BA"/>
    <w:rsid w:val="004B23EC"/>
    <w:rsid w:val="004B2C19"/>
    <w:rsid w:val="004B3357"/>
    <w:rsid w:val="004B39F4"/>
    <w:rsid w:val="004B6DCE"/>
    <w:rsid w:val="004C1543"/>
    <w:rsid w:val="004C15C2"/>
    <w:rsid w:val="004C2A49"/>
    <w:rsid w:val="004C2AC5"/>
    <w:rsid w:val="004C36D8"/>
    <w:rsid w:val="004C3937"/>
    <w:rsid w:val="004C3F52"/>
    <w:rsid w:val="004C745B"/>
    <w:rsid w:val="004D1248"/>
    <w:rsid w:val="004D1E3C"/>
    <w:rsid w:val="004D3B56"/>
    <w:rsid w:val="004D4169"/>
    <w:rsid w:val="004D5BA8"/>
    <w:rsid w:val="004D6E14"/>
    <w:rsid w:val="004E00B9"/>
    <w:rsid w:val="004E02A7"/>
    <w:rsid w:val="004E0410"/>
    <w:rsid w:val="004E105C"/>
    <w:rsid w:val="004E1539"/>
    <w:rsid w:val="004E17C0"/>
    <w:rsid w:val="004E19FC"/>
    <w:rsid w:val="004E237F"/>
    <w:rsid w:val="004E30C9"/>
    <w:rsid w:val="004E693B"/>
    <w:rsid w:val="004E742A"/>
    <w:rsid w:val="004E767B"/>
    <w:rsid w:val="004F0575"/>
    <w:rsid w:val="004F1A4A"/>
    <w:rsid w:val="004F3094"/>
    <w:rsid w:val="004F35B1"/>
    <w:rsid w:val="004F43C2"/>
    <w:rsid w:val="004F4E17"/>
    <w:rsid w:val="004F6DDE"/>
    <w:rsid w:val="004F7EA3"/>
    <w:rsid w:val="004F7F80"/>
    <w:rsid w:val="00500204"/>
    <w:rsid w:val="0050082F"/>
    <w:rsid w:val="00500851"/>
    <w:rsid w:val="00500BAC"/>
    <w:rsid w:val="00500C56"/>
    <w:rsid w:val="00501713"/>
    <w:rsid w:val="00502C72"/>
    <w:rsid w:val="00503972"/>
    <w:rsid w:val="0050552F"/>
    <w:rsid w:val="005060F7"/>
    <w:rsid w:val="005063B0"/>
    <w:rsid w:val="00506568"/>
    <w:rsid w:val="00507080"/>
    <w:rsid w:val="00507E9C"/>
    <w:rsid w:val="00510E26"/>
    <w:rsid w:val="005123FC"/>
    <w:rsid w:val="00512DBD"/>
    <w:rsid w:val="00513B55"/>
    <w:rsid w:val="00514A1E"/>
    <w:rsid w:val="0051551B"/>
    <w:rsid w:val="00515A07"/>
    <w:rsid w:val="00516A27"/>
    <w:rsid w:val="00516A67"/>
    <w:rsid w:val="005209EA"/>
    <w:rsid w:val="00520C57"/>
    <w:rsid w:val="00520CDB"/>
    <w:rsid w:val="00520D14"/>
    <w:rsid w:val="00521AED"/>
    <w:rsid w:val="00522D94"/>
    <w:rsid w:val="00522DA6"/>
    <w:rsid w:val="0052485B"/>
    <w:rsid w:val="005268E2"/>
    <w:rsid w:val="00527328"/>
    <w:rsid w:val="00527D7C"/>
    <w:rsid w:val="00530A6D"/>
    <w:rsid w:val="0053187B"/>
    <w:rsid w:val="00532A35"/>
    <w:rsid w:val="00533501"/>
    <w:rsid w:val="00533B48"/>
    <w:rsid w:val="00533D89"/>
    <w:rsid w:val="0053410F"/>
    <w:rsid w:val="00535391"/>
    <w:rsid w:val="00536564"/>
    <w:rsid w:val="0053668F"/>
    <w:rsid w:val="00536C3F"/>
    <w:rsid w:val="005401EF"/>
    <w:rsid w:val="00540708"/>
    <w:rsid w:val="00541ABB"/>
    <w:rsid w:val="00541B5F"/>
    <w:rsid w:val="00542D13"/>
    <w:rsid w:val="00544597"/>
    <w:rsid w:val="005449F7"/>
    <w:rsid w:val="00544FFE"/>
    <w:rsid w:val="005473F5"/>
    <w:rsid w:val="005477E7"/>
    <w:rsid w:val="0055004E"/>
    <w:rsid w:val="00550288"/>
    <w:rsid w:val="00551176"/>
    <w:rsid w:val="00552794"/>
    <w:rsid w:val="00553393"/>
    <w:rsid w:val="00555EF2"/>
    <w:rsid w:val="005601F4"/>
    <w:rsid w:val="005603E2"/>
    <w:rsid w:val="005608E8"/>
    <w:rsid w:val="00562698"/>
    <w:rsid w:val="00563199"/>
    <w:rsid w:val="00563BA8"/>
    <w:rsid w:val="00564874"/>
    <w:rsid w:val="00565496"/>
    <w:rsid w:val="00565F23"/>
    <w:rsid w:val="005669D2"/>
    <w:rsid w:val="00567963"/>
    <w:rsid w:val="0057009A"/>
    <w:rsid w:val="00570913"/>
    <w:rsid w:val="00571260"/>
    <w:rsid w:val="0057189C"/>
    <w:rsid w:val="0057244F"/>
    <w:rsid w:val="00573FC1"/>
    <w:rsid w:val="005741EE"/>
    <w:rsid w:val="0057497B"/>
    <w:rsid w:val="0057668E"/>
    <w:rsid w:val="005769FF"/>
    <w:rsid w:val="0057722E"/>
    <w:rsid w:val="00580000"/>
    <w:rsid w:val="00580870"/>
    <w:rsid w:val="00580AE2"/>
    <w:rsid w:val="0058121F"/>
    <w:rsid w:val="00582409"/>
    <w:rsid w:val="00582593"/>
    <w:rsid w:val="0058286C"/>
    <w:rsid w:val="00587857"/>
    <w:rsid w:val="00587904"/>
    <w:rsid w:val="00590577"/>
    <w:rsid w:val="00590642"/>
    <w:rsid w:val="005906FA"/>
    <w:rsid w:val="0059270F"/>
    <w:rsid w:val="0059338E"/>
    <w:rsid w:val="00593F7D"/>
    <w:rsid w:val="00594F81"/>
    <w:rsid w:val="00595601"/>
    <w:rsid w:val="00595E83"/>
    <w:rsid w:val="00596530"/>
    <w:rsid w:val="005967F3"/>
    <w:rsid w:val="00597DCF"/>
    <w:rsid w:val="005A06DF"/>
    <w:rsid w:val="005A134B"/>
    <w:rsid w:val="005A1A38"/>
    <w:rsid w:val="005A524A"/>
    <w:rsid w:val="005A5527"/>
    <w:rsid w:val="005A5AE6"/>
    <w:rsid w:val="005A6A66"/>
    <w:rsid w:val="005B04FE"/>
    <w:rsid w:val="005B1206"/>
    <w:rsid w:val="005B1590"/>
    <w:rsid w:val="005B37E8"/>
    <w:rsid w:val="005B4375"/>
    <w:rsid w:val="005B4B2B"/>
    <w:rsid w:val="005B5CC3"/>
    <w:rsid w:val="005B622E"/>
    <w:rsid w:val="005B7A42"/>
    <w:rsid w:val="005C0056"/>
    <w:rsid w:val="005C1F4B"/>
    <w:rsid w:val="005D0DCE"/>
    <w:rsid w:val="005D1FA9"/>
    <w:rsid w:val="005D3BF4"/>
    <w:rsid w:val="005D3FEC"/>
    <w:rsid w:val="005D51B0"/>
    <w:rsid w:val="005D59FA"/>
    <w:rsid w:val="005D61D6"/>
    <w:rsid w:val="005D770B"/>
    <w:rsid w:val="005D7A5A"/>
    <w:rsid w:val="005E045C"/>
    <w:rsid w:val="005E0D13"/>
    <w:rsid w:val="005E1756"/>
    <w:rsid w:val="005E2089"/>
    <w:rsid w:val="005E3172"/>
    <w:rsid w:val="005E35D4"/>
    <w:rsid w:val="005E5047"/>
    <w:rsid w:val="005E53BC"/>
    <w:rsid w:val="005E556D"/>
    <w:rsid w:val="005E5BBD"/>
    <w:rsid w:val="005E7205"/>
    <w:rsid w:val="005E7371"/>
    <w:rsid w:val="005E755E"/>
    <w:rsid w:val="005E7F0D"/>
    <w:rsid w:val="005F112E"/>
    <w:rsid w:val="005F116C"/>
    <w:rsid w:val="005F124A"/>
    <w:rsid w:val="005F13B2"/>
    <w:rsid w:val="005F2131"/>
    <w:rsid w:val="005F39EB"/>
    <w:rsid w:val="005F43D3"/>
    <w:rsid w:val="005F4E64"/>
    <w:rsid w:val="005F504D"/>
    <w:rsid w:val="005F5531"/>
    <w:rsid w:val="005F6CD6"/>
    <w:rsid w:val="006005C2"/>
    <w:rsid w:val="0060226A"/>
    <w:rsid w:val="006041B9"/>
    <w:rsid w:val="006045CD"/>
    <w:rsid w:val="00604C68"/>
    <w:rsid w:val="0060532C"/>
    <w:rsid w:val="00605BA1"/>
    <w:rsid w:val="00605EF6"/>
    <w:rsid w:val="00605F57"/>
    <w:rsid w:val="00606455"/>
    <w:rsid w:val="00610900"/>
    <w:rsid w:val="006115CA"/>
    <w:rsid w:val="00612A45"/>
    <w:rsid w:val="00614114"/>
    <w:rsid w:val="00614929"/>
    <w:rsid w:val="00616511"/>
    <w:rsid w:val="006176ED"/>
    <w:rsid w:val="006202F3"/>
    <w:rsid w:val="0062097A"/>
    <w:rsid w:val="00620D81"/>
    <w:rsid w:val="00621B12"/>
    <w:rsid w:val="00621B57"/>
    <w:rsid w:val="00621DA6"/>
    <w:rsid w:val="00623CFE"/>
    <w:rsid w:val="00625179"/>
    <w:rsid w:val="006252E7"/>
    <w:rsid w:val="00627221"/>
    <w:rsid w:val="0062762C"/>
    <w:rsid w:val="00627999"/>
    <w:rsid w:val="00627EE8"/>
    <w:rsid w:val="0063060B"/>
    <w:rsid w:val="006316FA"/>
    <w:rsid w:val="00632134"/>
    <w:rsid w:val="00632691"/>
    <w:rsid w:val="0063275A"/>
    <w:rsid w:val="00632ABD"/>
    <w:rsid w:val="006330D9"/>
    <w:rsid w:val="006370D2"/>
    <w:rsid w:val="00637307"/>
    <w:rsid w:val="0064074F"/>
    <w:rsid w:val="00640828"/>
    <w:rsid w:val="00640CD9"/>
    <w:rsid w:val="00641F55"/>
    <w:rsid w:val="006422A5"/>
    <w:rsid w:val="00642825"/>
    <w:rsid w:val="00642F11"/>
    <w:rsid w:val="00645E4A"/>
    <w:rsid w:val="00647FCC"/>
    <w:rsid w:val="0065019F"/>
    <w:rsid w:val="00652241"/>
    <w:rsid w:val="00652358"/>
    <w:rsid w:val="00652925"/>
    <w:rsid w:val="00653616"/>
    <w:rsid w:val="00653688"/>
    <w:rsid w:val="006536CF"/>
    <w:rsid w:val="00654138"/>
    <w:rsid w:val="00654278"/>
    <w:rsid w:val="00654E24"/>
    <w:rsid w:val="00655B96"/>
    <w:rsid w:val="0066091B"/>
    <w:rsid w:val="00660E42"/>
    <w:rsid w:val="006626C5"/>
    <w:rsid w:val="00662AB4"/>
    <w:rsid w:val="00663D60"/>
    <w:rsid w:val="006643CE"/>
    <w:rsid w:val="006647C4"/>
    <w:rsid w:val="0066509E"/>
    <w:rsid w:val="006660E9"/>
    <w:rsid w:val="006662A9"/>
    <w:rsid w:val="006668F5"/>
    <w:rsid w:val="00667249"/>
    <w:rsid w:val="00667558"/>
    <w:rsid w:val="00667BBE"/>
    <w:rsid w:val="00667DD1"/>
    <w:rsid w:val="00670343"/>
    <w:rsid w:val="00671523"/>
    <w:rsid w:val="00671F37"/>
    <w:rsid w:val="006723BF"/>
    <w:rsid w:val="006728D7"/>
    <w:rsid w:val="00674715"/>
    <w:rsid w:val="006754EF"/>
    <w:rsid w:val="00675595"/>
    <w:rsid w:val="00676223"/>
    <w:rsid w:val="00676811"/>
    <w:rsid w:val="00676C8D"/>
    <w:rsid w:val="00676F1F"/>
    <w:rsid w:val="00677381"/>
    <w:rsid w:val="00677414"/>
    <w:rsid w:val="006775E4"/>
    <w:rsid w:val="006777B7"/>
    <w:rsid w:val="00683209"/>
    <w:rsid w:val="006832CF"/>
    <w:rsid w:val="00683859"/>
    <w:rsid w:val="00684563"/>
    <w:rsid w:val="0068601E"/>
    <w:rsid w:val="0069039A"/>
    <w:rsid w:val="006912EA"/>
    <w:rsid w:val="00692107"/>
    <w:rsid w:val="00692E1A"/>
    <w:rsid w:val="00692FA2"/>
    <w:rsid w:val="00693F91"/>
    <w:rsid w:val="0069486B"/>
    <w:rsid w:val="00694AA6"/>
    <w:rsid w:val="00694E44"/>
    <w:rsid w:val="00695F23"/>
    <w:rsid w:val="006964BB"/>
    <w:rsid w:val="0069713D"/>
    <w:rsid w:val="00697BA0"/>
    <w:rsid w:val="006A0678"/>
    <w:rsid w:val="006A07F8"/>
    <w:rsid w:val="006A108C"/>
    <w:rsid w:val="006A1256"/>
    <w:rsid w:val="006A2F05"/>
    <w:rsid w:val="006A47AD"/>
    <w:rsid w:val="006A4904"/>
    <w:rsid w:val="006A548F"/>
    <w:rsid w:val="006A6CB1"/>
    <w:rsid w:val="006A701A"/>
    <w:rsid w:val="006A7EE9"/>
    <w:rsid w:val="006B0618"/>
    <w:rsid w:val="006B1B93"/>
    <w:rsid w:val="006B3964"/>
    <w:rsid w:val="006B4F92"/>
    <w:rsid w:val="006B5119"/>
    <w:rsid w:val="006B5E77"/>
    <w:rsid w:val="006B64DC"/>
    <w:rsid w:val="006B77F5"/>
    <w:rsid w:val="006B7A91"/>
    <w:rsid w:val="006C1B88"/>
    <w:rsid w:val="006C375C"/>
    <w:rsid w:val="006C4CA4"/>
    <w:rsid w:val="006C640E"/>
    <w:rsid w:val="006C66A3"/>
    <w:rsid w:val="006C7AE9"/>
    <w:rsid w:val="006D04F7"/>
    <w:rsid w:val="006D1827"/>
    <w:rsid w:val="006D32F2"/>
    <w:rsid w:val="006D4233"/>
    <w:rsid w:val="006D4704"/>
    <w:rsid w:val="006D52B3"/>
    <w:rsid w:val="006D5C42"/>
    <w:rsid w:val="006D6A2D"/>
    <w:rsid w:val="006E1E18"/>
    <w:rsid w:val="006E31CE"/>
    <w:rsid w:val="006E34D3"/>
    <w:rsid w:val="006E3A46"/>
    <w:rsid w:val="006E49B9"/>
    <w:rsid w:val="006E6B90"/>
    <w:rsid w:val="006F0052"/>
    <w:rsid w:val="006F1435"/>
    <w:rsid w:val="006F25EB"/>
    <w:rsid w:val="006F3E6B"/>
    <w:rsid w:val="006F4CE1"/>
    <w:rsid w:val="006F6D2E"/>
    <w:rsid w:val="006F78C4"/>
    <w:rsid w:val="007008CD"/>
    <w:rsid w:val="00700C94"/>
    <w:rsid w:val="00703161"/>
    <w:rsid w:val="007031A0"/>
    <w:rsid w:val="00705A29"/>
    <w:rsid w:val="00705B58"/>
    <w:rsid w:val="007070E6"/>
    <w:rsid w:val="00707498"/>
    <w:rsid w:val="00710516"/>
    <w:rsid w:val="00710664"/>
    <w:rsid w:val="0071081A"/>
    <w:rsid w:val="00711A65"/>
    <w:rsid w:val="007122D0"/>
    <w:rsid w:val="00712D46"/>
    <w:rsid w:val="00713CBD"/>
    <w:rsid w:val="00714133"/>
    <w:rsid w:val="007145A4"/>
    <w:rsid w:val="00714CBB"/>
    <w:rsid w:val="00714DA4"/>
    <w:rsid w:val="007158B2"/>
    <w:rsid w:val="00716081"/>
    <w:rsid w:val="00717354"/>
    <w:rsid w:val="00722B48"/>
    <w:rsid w:val="00722B52"/>
    <w:rsid w:val="00724027"/>
    <w:rsid w:val="00724164"/>
    <w:rsid w:val="007246AB"/>
    <w:rsid w:val="007248BC"/>
    <w:rsid w:val="00725182"/>
    <w:rsid w:val="00725DE7"/>
    <w:rsid w:val="0072636A"/>
    <w:rsid w:val="00726B44"/>
    <w:rsid w:val="00726DA0"/>
    <w:rsid w:val="00726E60"/>
    <w:rsid w:val="0072754A"/>
    <w:rsid w:val="007318DD"/>
    <w:rsid w:val="00732446"/>
    <w:rsid w:val="0073270E"/>
    <w:rsid w:val="0073273A"/>
    <w:rsid w:val="00733167"/>
    <w:rsid w:val="0073365D"/>
    <w:rsid w:val="007353F7"/>
    <w:rsid w:val="00735A06"/>
    <w:rsid w:val="007377F2"/>
    <w:rsid w:val="00740619"/>
    <w:rsid w:val="00740D2C"/>
    <w:rsid w:val="007415D0"/>
    <w:rsid w:val="00741607"/>
    <w:rsid w:val="00741A59"/>
    <w:rsid w:val="00743530"/>
    <w:rsid w:val="007438BE"/>
    <w:rsid w:val="007439FF"/>
    <w:rsid w:val="00743CA8"/>
    <w:rsid w:val="00743D30"/>
    <w:rsid w:val="007442ED"/>
    <w:rsid w:val="00744BF9"/>
    <w:rsid w:val="00744F56"/>
    <w:rsid w:val="00745013"/>
    <w:rsid w:val="00745C90"/>
    <w:rsid w:val="007465AA"/>
    <w:rsid w:val="00746837"/>
    <w:rsid w:val="0074746E"/>
    <w:rsid w:val="00750547"/>
    <w:rsid w:val="00752623"/>
    <w:rsid w:val="007526C1"/>
    <w:rsid w:val="00760F1F"/>
    <w:rsid w:val="00761FBD"/>
    <w:rsid w:val="00762F32"/>
    <w:rsid w:val="0076397B"/>
    <w:rsid w:val="00764117"/>
    <w:rsid w:val="0076423E"/>
    <w:rsid w:val="007646CB"/>
    <w:rsid w:val="0076493C"/>
    <w:rsid w:val="00765494"/>
    <w:rsid w:val="007663A2"/>
    <w:rsid w:val="0076658F"/>
    <w:rsid w:val="0077040A"/>
    <w:rsid w:val="0077240D"/>
    <w:rsid w:val="007724E7"/>
    <w:rsid w:val="007726BE"/>
    <w:rsid w:val="00772D64"/>
    <w:rsid w:val="00772EF7"/>
    <w:rsid w:val="0078092C"/>
    <w:rsid w:val="007831FA"/>
    <w:rsid w:val="00783321"/>
    <w:rsid w:val="00786605"/>
    <w:rsid w:val="00786DE7"/>
    <w:rsid w:val="00787504"/>
    <w:rsid w:val="00787E31"/>
    <w:rsid w:val="0079116C"/>
    <w:rsid w:val="007913EB"/>
    <w:rsid w:val="00792109"/>
    <w:rsid w:val="00792609"/>
    <w:rsid w:val="00792887"/>
    <w:rsid w:val="007943E2"/>
    <w:rsid w:val="00794C51"/>
    <w:rsid w:val="00794F2C"/>
    <w:rsid w:val="0079664B"/>
    <w:rsid w:val="00796701"/>
    <w:rsid w:val="007A2E0F"/>
    <w:rsid w:val="007A3725"/>
    <w:rsid w:val="007A390A"/>
    <w:rsid w:val="007A3BC7"/>
    <w:rsid w:val="007A401A"/>
    <w:rsid w:val="007A4089"/>
    <w:rsid w:val="007A4D03"/>
    <w:rsid w:val="007A590B"/>
    <w:rsid w:val="007A5AC4"/>
    <w:rsid w:val="007A68FA"/>
    <w:rsid w:val="007A6C6D"/>
    <w:rsid w:val="007B0247"/>
    <w:rsid w:val="007B0411"/>
    <w:rsid w:val="007B06A9"/>
    <w:rsid w:val="007B080D"/>
    <w:rsid w:val="007B0A54"/>
    <w:rsid w:val="007B0C80"/>
    <w:rsid w:val="007B0FDD"/>
    <w:rsid w:val="007B2800"/>
    <w:rsid w:val="007B3B94"/>
    <w:rsid w:val="007B40D2"/>
    <w:rsid w:val="007B4802"/>
    <w:rsid w:val="007B4922"/>
    <w:rsid w:val="007B517B"/>
    <w:rsid w:val="007B5186"/>
    <w:rsid w:val="007B5FCF"/>
    <w:rsid w:val="007B6668"/>
    <w:rsid w:val="007B6B33"/>
    <w:rsid w:val="007C07C2"/>
    <w:rsid w:val="007C0AD4"/>
    <w:rsid w:val="007C22D9"/>
    <w:rsid w:val="007C2701"/>
    <w:rsid w:val="007C36BA"/>
    <w:rsid w:val="007C43A2"/>
    <w:rsid w:val="007C53C0"/>
    <w:rsid w:val="007C5459"/>
    <w:rsid w:val="007C5C97"/>
    <w:rsid w:val="007C6820"/>
    <w:rsid w:val="007D2192"/>
    <w:rsid w:val="007D309E"/>
    <w:rsid w:val="007D329C"/>
    <w:rsid w:val="007D3984"/>
    <w:rsid w:val="007D4053"/>
    <w:rsid w:val="007D4F96"/>
    <w:rsid w:val="007D57A4"/>
    <w:rsid w:val="007D6516"/>
    <w:rsid w:val="007D69A2"/>
    <w:rsid w:val="007D7C6A"/>
    <w:rsid w:val="007E0124"/>
    <w:rsid w:val="007E0D3A"/>
    <w:rsid w:val="007E0F2D"/>
    <w:rsid w:val="007E3369"/>
    <w:rsid w:val="007E3C31"/>
    <w:rsid w:val="007E4311"/>
    <w:rsid w:val="007E4DD8"/>
    <w:rsid w:val="007E5155"/>
    <w:rsid w:val="007E5D7F"/>
    <w:rsid w:val="007E6ECA"/>
    <w:rsid w:val="007E7A66"/>
    <w:rsid w:val="007F0021"/>
    <w:rsid w:val="007F0EE5"/>
    <w:rsid w:val="007F1118"/>
    <w:rsid w:val="007F17C5"/>
    <w:rsid w:val="007F2C4B"/>
    <w:rsid w:val="007F2F52"/>
    <w:rsid w:val="007F3B22"/>
    <w:rsid w:val="007F6063"/>
    <w:rsid w:val="007F6D77"/>
    <w:rsid w:val="007F6E4C"/>
    <w:rsid w:val="0080066C"/>
    <w:rsid w:val="00800A79"/>
    <w:rsid w:val="00800C3E"/>
    <w:rsid w:val="00801F71"/>
    <w:rsid w:val="008041B9"/>
    <w:rsid w:val="0080544C"/>
    <w:rsid w:val="00805F28"/>
    <w:rsid w:val="00805FFA"/>
    <w:rsid w:val="0080746C"/>
    <w:rsid w:val="0080749F"/>
    <w:rsid w:val="008079B2"/>
    <w:rsid w:val="0081027A"/>
    <w:rsid w:val="00811620"/>
    <w:rsid w:val="008116C3"/>
    <w:rsid w:val="00811D46"/>
    <w:rsid w:val="008125B0"/>
    <w:rsid w:val="008144CB"/>
    <w:rsid w:val="008162FF"/>
    <w:rsid w:val="00821717"/>
    <w:rsid w:val="00822F69"/>
    <w:rsid w:val="00824210"/>
    <w:rsid w:val="00824B4E"/>
    <w:rsid w:val="00825392"/>
    <w:rsid w:val="00825D70"/>
    <w:rsid w:val="008263C0"/>
    <w:rsid w:val="008267D9"/>
    <w:rsid w:val="00826BA8"/>
    <w:rsid w:val="00826ED5"/>
    <w:rsid w:val="0083025B"/>
    <w:rsid w:val="008303F0"/>
    <w:rsid w:val="00831190"/>
    <w:rsid w:val="0083177C"/>
    <w:rsid w:val="00832602"/>
    <w:rsid w:val="00832706"/>
    <w:rsid w:val="008329F5"/>
    <w:rsid w:val="00833085"/>
    <w:rsid w:val="008354AD"/>
    <w:rsid w:val="008369BA"/>
    <w:rsid w:val="00836F75"/>
    <w:rsid w:val="00841422"/>
    <w:rsid w:val="00841D3B"/>
    <w:rsid w:val="0084258C"/>
    <w:rsid w:val="0084314C"/>
    <w:rsid w:val="00843171"/>
    <w:rsid w:val="00844E85"/>
    <w:rsid w:val="008460DF"/>
    <w:rsid w:val="00846178"/>
    <w:rsid w:val="008516CC"/>
    <w:rsid w:val="00851CBC"/>
    <w:rsid w:val="00854D14"/>
    <w:rsid w:val="00855456"/>
    <w:rsid w:val="00856799"/>
    <w:rsid w:val="008575C3"/>
    <w:rsid w:val="00863D28"/>
    <w:rsid w:val="008648C3"/>
    <w:rsid w:val="0086636F"/>
    <w:rsid w:val="00871E69"/>
    <w:rsid w:val="00874967"/>
    <w:rsid w:val="00876735"/>
    <w:rsid w:val="00877D8F"/>
    <w:rsid w:val="00880F26"/>
    <w:rsid w:val="008839AF"/>
    <w:rsid w:val="0088579C"/>
    <w:rsid w:val="008859B0"/>
    <w:rsid w:val="0088742C"/>
    <w:rsid w:val="00890A6B"/>
    <w:rsid w:val="0089144A"/>
    <w:rsid w:val="00891EBB"/>
    <w:rsid w:val="0089281C"/>
    <w:rsid w:val="00893523"/>
    <w:rsid w:val="008936E8"/>
    <w:rsid w:val="00893873"/>
    <w:rsid w:val="00893BF4"/>
    <w:rsid w:val="00893CA5"/>
    <w:rsid w:val="008965C7"/>
    <w:rsid w:val="00896C2E"/>
    <w:rsid w:val="00897873"/>
    <w:rsid w:val="008A0337"/>
    <w:rsid w:val="008A14C6"/>
    <w:rsid w:val="008A21B7"/>
    <w:rsid w:val="008A38D4"/>
    <w:rsid w:val="008A5095"/>
    <w:rsid w:val="008A5425"/>
    <w:rsid w:val="008A59ED"/>
    <w:rsid w:val="008A5CF9"/>
    <w:rsid w:val="008A608F"/>
    <w:rsid w:val="008A6878"/>
    <w:rsid w:val="008A7EB3"/>
    <w:rsid w:val="008B1A9A"/>
    <w:rsid w:val="008B3123"/>
    <w:rsid w:val="008B4C66"/>
    <w:rsid w:val="008B4FE6"/>
    <w:rsid w:val="008B5617"/>
    <w:rsid w:val="008B5E5F"/>
    <w:rsid w:val="008B6636"/>
    <w:rsid w:val="008B6C37"/>
    <w:rsid w:val="008B7419"/>
    <w:rsid w:val="008B7F58"/>
    <w:rsid w:val="008C18FA"/>
    <w:rsid w:val="008C25DB"/>
    <w:rsid w:val="008C2751"/>
    <w:rsid w:val="008C447B"/>
    <w:rsid w:val="008C5F9E"/>
    <w:rsid w:val="008C698E"/>
    <w:rsid w:val="008C7A46"/>
    <w:rsid w:val="008D04F5"/>
    <w:rsid w:val="008D2652"/>
    <w:rsid w:val="008D2BF1"/>
    <w:rsid w:val="008D3DF8"/>
    <w:rsid w:val="008D6392"/>
    <w:rsid w:val="008D70DB"/>
    <w:rsid w:val="008D7607"/>
    <w:rsid w:val="008E1441"/>
    <w:rsid w:val="008E18F7"/>
    <w:rsid w:val="008E1E10"/>
    <w:rsid w:val="008E2015"/>
    <w:rsid w:val="008E26DD"/>
    <w:rsid w:val="008E291B"/>
    <w:rsid w:val="008E2EF6"/>
    <w:rsid w:val="008E367E"/>
    <w:rsid w:val="008E4F2F"/>
    <w:rsid w:val="008E502C"/>
    <w:rsid w:val="008E523D"/>
    <w:rsid w:val="008E5A60"/>
    <w:rsid w:val="008E5B3A"/>
    <w:rsid w:val="008E6B6A"/>
    <w:rsid w:val="008E6D3C"/>
    <w:rsid w:val="008E6ECE"/>
    <w:rsid w:val="008E74B0"/>
    <w:rsid w:val="008E7884"/>
    <w:rsid w:val="008E7949"/>
    <w:rsid w:val="008E7A35"/>
    <w:rsid w:val="008F0E23"/>
    <w:rsid w:val="008F1772"/>
    <w:rsid w:val="008F1E08"/>
    <w:rsid w:val="008F4ED6"/>
    <w:rsid w:val="008F5B7F"/>
    <w:rsid w:val="008F63AB"/>
    <w:rsid w:val="008F645A"/>
    <w:rsid w:val="009000D3"/>
    <w:rsid w:val="00900831"/>
    <w:rsid w:val="009008A8"/>
    <w:rsid w:val="0090170C"/>
    <w:rsid w:val="009030E9"/>
    <w:rsid w:val="0090572D"/>
    <w:rsid w:val="00905DC0"/>
    <w:rsid w:val="009063B0"/>
    <w:rsid w:val="00907106"/>
    <w:rsid w:val="009107FD"/>
    <w:rsid w:val="00911264"/>
    <w:rsid w:val="0091137C"/>
    <w:rsid w:val="00911567"/>
    <w:rsid w:val="00911C5F"/>
    <w:rsid w:val="009127A4"/>
    <w:rsid w:val="00913797"/>
    <w:rsid w:val="00915C49"/>
    <w:rsid w:val="009172E0"/>
    <w:rsid w:val="00917AAE"/>
    <w:rsid w:val="0092475C"/>
    <w:rsid w:val="009251A9"/>
    <w:rsid w:val="00927F58"/>
    <w:rsid w:val="00930699"/>
    <w:rsid w:val="00931F69"/>
    <w:rsid w:val="00934123"/>
    <w:rsid w:val="00934BF4"/>
    <w:rsid w:val="00935793"/>
    <w:rsid w:val="0093665C"/>
    <w:rsid w:val="009441EF"/>
    <w:rsid w:val="00944B37"/>
    <w:rsid w:val="00944FAA"/>
    <w:rsid w:val="009462B7"/>
    <w:rsid w:val="00946C0B"/>
    <w:rsid w:val="00947639"/>
    <w:rsid w:val="009476D3"/>
    <w:rsid w:val="009502B3"/>
    <w:rsid w:val="00951384"/>
    <w:rsid w:val="009523A5"/>
    <w:rsid w:val="009527DB"/>
    <w:rsid w:val="00952979"/>
    <w:rsid w:val="00952D93"/>
    <w:rsid w:val="00953210"/>
    <w:rsid w:val="009532F2"/>
    <w:rsid w:val="0095386D"/>
    <w:rsid w:val="00953CFC"/>
    <w:rsid w:val="00954A53"/>
    <w:rsid w:val="00955774"/>
    <w:rsid w:val="009560B5"/>
    <w:rsid w:val="00956809"/>
    <w:rsid w:val="009576EE"/>
    <w:rsid w:val="009603FA"/>
    <w:rsid w:val="009608CD"/>
    <w:rsid w:val="009629BB"/>
    <w:rsid w:val="00962D15"/>
    <w:rsid w:val="009630E2"/>
    <w:rsid w:val="0096310D"/>
    <w:rsid w:val="0096518B"/>
    <w:rsid w:val="00965195"/>
    <w:rsid w:val="00965740"/>
    <w:rsid w:val="0096594B"/>
    <w:rsid w:val="00967368"/>
    <w:rsid w:val="00967866"/>
    <w:rsid w:val="009703D6"/>
    <w:rsid w:val="009707EE"/>
    <w:rsid w:val="0097181B"/>
    <w:rsid w:val="009718AF"/>
    <w:rsid w:val="009742BD"/>
    <w:rsid w:val="00975B10"/>
    <w:rsid w:val="009761C4"/>
    <w:rsid w:val="00976DC5"/>
    <w:rsid w:val="00980333"/>
    <w:rsid w:val="00980D56"/>
    <w:rsid w:val="009818C7"/>
    <w:rsid w:val="00982DD4"/>
    <w:rsid w:val="009836EE"/>
    <w:rsid w:val="009841E5"/>
    <w:rsid w:val="009846FF"/>
    <w:rsid w:val="0098479F"/>
    <w:rsid w:val="00984A8A"/>
    <w:rsid w:val="009857B6"/>
    <w:rsid w:val="00985A8D"/>
    <w:rsid w:val="00985D24"/>
    <w:rsid w:val="00986610"/>
    <w:rsid w:val="00986797"/>
    <w:rsid w:val="00986839"/>
    <w:rsid w:val="009877DC"/>
    <w:rsid w:val="00991E51"/>
    <w:rsid w:val="00991F96"/>
    <w:rsid w:val="00993AE8"/>
    <w:rsid w:val="00994C87"/>
    <w:rsid w:val="00996F0A"/>
    <w:rsid w:val="009A0131"/>
    <w:rsid w:val="009A0658"/>
    <w:rsid w:val="009A07AB"/>
    <w:rsid w:val="009A12E5"/>
    <w:rsid w:val="009A15A3"/>
    <w:rsid w:val="009A1D86"/>
    <w:rsid w:val="009A4200"/>
    <w:rsid w:val="009A5582"/>
    <w:rsid w:val="009A60E8"/>
    <w:rsid w:val="009B049C"/>
    <w:rsid w:val="009B11C8"/>
    <w:rsid w:val="009B2670"/>
    <w:rsid w:val="009B2BCF"/>
    <w:rsid w:val="009B2FF8"/>
    <w:rsid w:val="009B30B9"/>
    <w:rsid w:val="009B3547"/>
    <w:rsid w:val="009B3752"/>
    <w:rsid w:val="009B3CAC"/>
    <w:rsid w:val="009B4FA5"/>
    <w:rsid w:val="009B5BA3"/>
    <w:rsid w:val="009B706A"/>
    <w:rsid w:val="009B75C8"/>
    <w:rsid w:val="009B76B6"/>
    <w:rsid w:val="009B7700"/>
    <w:rsid w:val="009B7860"/>
    <w:rsid w:val="009B79B5"/>
    <w:rsid w:val="009C177F"/>
    <w:rsid w:val="009C20AB"/>
    <w:rsid w:val="009C306E"/>
    <w:rsid w:val="009C3604"/>
    <w:rsid w:val="009C48BF"/>
    <w:rsid w:val="009C5174"/>
    <w:rsid w:val="009D0027"/>
    <w:rsid w:val="009D0655"/>
    <w:rsid w:val="009D0804"/>
    <w:rsid w:val="009D0900"/>
    <w:rsid w:val="009D1220"/>
    <w:rsid w:val="009D14F0"/>
    <w:rsid w:val="009D1628"/>
    <w:rsid w:val="009D2073"/>
    <w:rsid w:val="009D2438"/>
    <w:rsid w:val="009D671D"/>
    <w:rsid w:val="009D6FC4"/>
    <w:rsid w:val="009D7BCC"/>
    <w:rsid w:val="009E1E98"/>
    <w:rsid w:val="009E345B"/>
    <w:rsid w:val="009E3ABE"/>
    <w:rsid w:val="009E3C4B"/>
    <w:rsid w:val="009E6BC4"/>
    <w:rsid w:val="009F0578"/>
    <w:rsid w:val="009F0637"/>
    <w:rsid w:val="009F1AB9"/>
    <w:rsid w:val="009F41EE"/>
    <w:rsid w:val="009F4EAC"/>
    <w:rsid w:val="009F62A6"/>
    <w:rsid w:val="009F674F"/>
    <w:rsid w:val="009F799E"/>
    <w:rsid w:val="00A00828"/>
    <w:rsid w:val="00A01232"/>
    <w:rsid w:val="00A02020"/>
    <w:rsid w:val="00A0206A"/>
    <w:rsid w:val="00A026A8"/>
    <w:rsid w:val="00A035A0"/>
    <w:rsid w:val="00A04AFD"/>
    <w:rsid w:val="00A056CB"/>
    <w:rsid w:val="00A05C3C"/>
    <w:rsid w:val="00A06477"/>
    <w:rsid w:val="00A07A29"/>
    <w:rsid w:val="00A10FF1"/>
    <w:rsid w:val="00A11581"/>
    <w:rsid w:val="00A12BC2"/>
    <w:rsid w:val="00A12BE7"/>
    <w:rsid w:val="00A141B8"/>
    <w:rsid w:val="00A14616"/>
    <w:rsid w:val="00A1506B"/>
    <w:rsid w:val="00A15FAA"/>
    <w:rsid w:val="00A17CB2"/>
    <w:rsid w:val="00A20573"/>
    <w:rsid w:val="00A21A3A"/>
    <w:rsid w:val="00A21C5D"/>
    <w:rsid w:val="00A2278C"/>
    <w:rsid w:val="00A23191"/>
    <w:rsid w:val="00A23E22"/>
    <w:rsid w:val="00A23FA4"/>
    <w:rsid w:val="00A27EA5"/>
    <w:rsid w:val="00A319C0"/>
    <w:rsid w:val="00A31E6C"/>
    <w:rsid w:val="00A33560"/>
    <w:rsid w:val="00A356E2"/>
    <w:rsid w:val="00A35CCE"/>
    <w:rsid w:val="00A35FD5"/>
    <w:rsid w:val="00A364E4"/>
    <w:rsid w:val="00A371A5"/>
    <w:rsid w:val="00A41458"/>
    <w:rsid w:val="00A41DE5"/>
    <w:rsid w:val="00A42CE4"/>
    <w:rsid w:val="00A45CA1"/>
    <w:rsid w:val="00A4628A"/>
    <w:rsid w:val="00A47BDF"/>
    <w:rsid w:val="00A5037A"/>
    <w:rsid w:val="00A512EA"/>
    <w:rsid w:val="00A51394"/>
    <w:rsid w:val="00A51CD7"/>
    <w:rsid w:val="00A52ADB"/>
    <w:rsid w:val="00A533E8"/>
    <w:rsid w:val="00A542D9"/>
    <w:rsid w:val="00A54BD4"/>
    <w:rsid w:val="00A56605"/>
    <w:rsid w:val="00A56E64"/>
    <w:rsid w:val="00A624C3"/>
    <w:rsid w:val="00A64ADA"/>
    <w:rsid w:val="00A65799"/>
    <w:rsid w:val="00A6607F"/>
    <w:rsid w:val="00A6610C"/>
    <w:rsid w:val="00A6641C"/>
    <w:rsid w:val="00A7160F"/>
    <w:rsid w:val="00A72D01"/>
    <w:rsid w:val="00A73AAB"/>
    <w:rsid w:val="00A73E87"/>
    <w:rsid w:val="00A74BAE"/>
    <w:rsid w:val="00A74CA6"/>
    <w:rsid w:val="00A767D2"/>
    <w:rsid w:val="00A77616"/>
    <w:rsid w:val="00A805DA"/>
    <w:rsid w:val="00A807AE"/>
    <w:rsid w:val="00A811B4"/>
    <w:rsid w:val="00A81F36"/>
    <w:rsid w:val="00A82403"/>
    <w:rsid w:val="00A827DD"/>
    <w:rsid w:val="00A8280A"/>
    <w:rsid w:val="00A83D4B"/>
    <w:rsid w:val="00A840A4"/>
    <w:rsid w:val="00A84128"/>
    <w:rsid w:val="00A85170"/>
    <w:rsid w:val="00A8707A"/>
    <w:rsid w:val="00A87CDE"/>
    <w:rsid w:val="00A901A0"/>
    <w:rsid w:val="00A90545"/>
    <w:rsid w:val="00A90DA9"/>
    <w:rsid w:val="00A92BAF"/>
    <w:rsid w:val="00A935DF"/>
    <w:rsid w:val="00A93B9B"/>
    <w:rsid w:val="00A94737"/>
    <w:rsid w:val="00A94BA3"/>
    <w:rsid w:val="00A94ED2"/>
    <w:rsid w:val="00A94EE7"/>
    <w:rsid w:val="00A964EC"/>
    <w:rsid w:val="00A96CBA"/>
    <w:rsid w:val="00A97104"/>
    <w:rsid w:val="00A9780F"/>
    <w:rsid w:val="00AA24B7"/>
    <w:rsid w:val="00AA2AB2"/>
    <w:rsid w:val="00AA33EA"/>
    <w:rsid w:val="00AA3AB3"/>
    <w:rsid w:val="00AA5D6A"/>
    <w:rsid w:val="00AA64B4"/>
    <w:rsid w:val="00AA73F1"/>
    <w:rsid w:val="00AA756D"/>
    <w:rsid w:val="00AA7709"/>
    <w:rsid w:val="00AA7CAA"/>
    <w:rsid w:val="00AB021A"/>
    <w:rsid w:val="00AB0B22"/>
    <w:rsid w:val="00AB0FED"/>
    <w:rsid w:val="00AB1ACD"/>
    <w:rsid w:val="00AB1B36"/>
    <w:rsid w:val="00AB1E76"/>
    <w:rsid w:val="00AB2160"/>
    <w:rsid w:val="00AB2483"/>
    <w:rsid w:val="00AB277F"/>
    <w:rsid w:val="00AB347B"/>
    <w:rsid w:val="00AB3BC3"/>
    <w:rsid w:val="00AB4099"/>
    <w:rsid w:val="00AB449A"/>
    <w:rsid w:val="00AB5E08"/>
    <w:rsid w:val="00AB6E0E"/>
    <w:rsid w:val="00AC082F"/>
    <w:rsid w:val="00AC12BB"/>
    <w:rsid w:val="00AC1BC8"/>
    <w:rsid w:val="00AC2831"/>
    <w:rsid w:val="00AC54A5"/>
    <w:rsid w:val="00AC715C"/>
    <w:rsid w:val="00AC7171"/>
    <w:rsid w:val="00AC74E4"/>
    <w:rsid w:val="00AD02F8"/>
    <w:rsid w:val="00AD14F9"/>
    <w:rsid w:val="00AD207F"/>
    <w:rsid w:val="00AD29E7"/>
    <w:rsid w:val="00AD3559"/>
    <w:rsid w:val="00AD35D6"/>
    <w:rsid w:val="00AD58C5"/>
    <w:rsid w:val="00AD684E"/>
    <w:rsid w:val="00AE0F07"/>
    <w:rsid w:val="00AE1EE3"/>
    <w:rsid w:val="00AE36C4"/>
    <w:rsid w:val="00AE472C"/>
    <w:rsid w:val="00AE5375"/>
    <w:rsid w:val="00AE5DEB"/>
    <w:rsid w:val="00AE60F0"/>
    <w:rsid w:val="00AE6CF8"/>
    <w:rsid w:val="00AE78F9"/>
    <w:rsid w:val="00AE7C75"/>
    <w:rsid w:val="00AF21B6"/>
    <w:rsid w:val="00AF255E"/>
    <w:rsid w:val="00AF29B7"/>
    <w:rsid w:val="00AF3216"/>
    <w:rsid w:val="00AF4535"/>
    <w:rsid w:val="00AF4CAC"/>
    <w:rsid w:val="00AF56D7"/>
    <w:rsid w:val="00AF65E1"/>
    <w:rsid w:val="00AF7299"/>
    <w:rsid w:val="00AF7C76"/>
    <w:rsid w:val="00B00678"/>
    <w:rsid w:val="00B03E0D"/>
    <w:rsid w:val="00B040DB"/>
    <w:rsid w:val="00B054F8"/>
    <w:rsid w:val="00B05794"/>
    <w:rsid w:val="00B05A8A"/>
    <w:rsid w:val="00B05DA5"/>
    <w:rsid w:val="00B07186"/>
    <w:rsid w:val="00B071FE"/>
    <w:rsid w:val="00B075C8"/>
    <w:rsid w:val="00B07F31"/>
    <w:rsid w:val="00B1211D"/>
    <w:rsid w:val="00B1232F"/>
    <w:rsid w:val="00B1455E"/>
    <w:rsid w:val="00B14A9D"/>
    <w:rsid w:val="00B15B74"/>
    <w:rsid w:val="00B162CD"/>
    <w:rsid w:val="00B16D35"/>
    <w:rsid w:val="00B177E1"/>
    <w:rsid w:val="00B2219A"/>
    <w:rsid w:val="00B22AE6"/>
    <w:rsid w:val="00B23A19"/>
    <w:rsid w:val="00B24317"/>
    <w:rsid w:val="00B300C4"/>
    <w:rsid w:val="00B326F3"/>
    <w:rsid w:val="00B331E2"/>
    <w:rsid w:val="00B3417F"/>
    <w:rsid w:val="00B34CFD"/>
    <w:rsid w:val="00B3581B"/>
    <w:rsid w:val="00B358B4"/>
    <w:rsid w:val="00B35AA3"/>
    <w:rsid w:val="00B3609E"/>
    <w:rsid w:val="00B36B81"/>
    <w:rsid w:val="00B36FEE"/>
    <w:rsid w:val="00B377DC"/>
    <w:rsid w:val="00B37C80"/>
    <w:rsid w:val="00B37EF0"/>
    <w:rsid w:val="00B40A30"/>
    <w:rsid w:val="00B415A7"/>
    <w:rsid w:val="00B433EE"/>
    <w:rsid w:val="00B43C23"/>
    <w:rsid w:val="00B4469E"/>
    <w:rsid w:val="00B44708"/>
    <w:rsid w:val="00B45352"/>
    <w:rsid w:val="00B45FCA"/>
    <w:rsid w:val="00B47DBB"/>
    <w:rsid w:val="00B5092B"/>
    <w:rsid w:val="00B509B7"/>
    <w:rsid w:val="00B50BFA"/>
    <w:rsid w:val="00B5194E"/>
    <w:rsid w:val="00B51AF5"/>
    <w:rsid w:val="00B52249"/>
    <w:rsid w:val="00B5249E"/>
    <w:rsid w:val="00B531FC"/>
    <w:rsid w:val="00B53B4A"/>
    <w:rsid w:val="00B55347"/>
    <w:rsid w:val="00B555EB"/>
    <w:rsid w:val="00B56E26"/>
    <w:rsid w:val="00B574EB"/>
    <w:rsid w:val="00B57819"/>
    <w:rsid w:val="00B57865"/>
    <w:rsid w:val="00B57E5E"/>
    <w:rsid w:val="00B614AF"/>
    <w:rsid w:val="00B615D7"/>
    <w:rsid w:val="00B61934"/>
    <w:rsid w:val="00B61F37"/>
    <w:rsid w:val="00B623EC"/>
    <w:rsid w:val="00B62D61"/>
    <w:rsid w:val="00B63FBD"/>
    <w:rsid w:val="00B65EBD"/>
    <w:rsid w:val="00B66A79"/>
    <w:rsid w:val="00B6741F"/>
    <w:rsid w:val="00B67799"/>
    <w:rsid w:val="00B70703"/>
    <w:rsid w:val="00B70928"/>
    <w:rsid w:val="00B71DC1"/>
    <w:rsid w:val="00B724DC"/>
    <w:rsid w:val="00B73837"/>
    <w:rsid w:val="00B741B9"/>
    <w:rsid w:val="00B74736"/>
    <w:rsid w:val="00B7770F"/>
    <w:rsid w:val="00B77A89"/>
    <w:rsid w:val="00B77B27"/>
    <w:rsid w:val="00B77E24"/>
    <w:rsid w:val="00B80545"/>
    <w:rsid w:val="00B8134E"/>
    <w:rsid w:val="00B81B55"/>
    <w:rsid w:val="00B84613"/>
    <w:rsid w:val="00B87AF0"/>
    <w:rsid w:val="00B902DC"/>
    <w:rsid w:val="00B9037B"/>
    <w:rsid w:val="00B910BD"/>
    <w:rsid w:val="00B9189C"/>
    <w:rsid w:val="00B93834"/>
    <w:rsid w:val="00B93ADC"/>
    <w:rsid w:val="00B9425E"/>
    <w:rsid w:val="00B94858"/>
    <w:rsid w:val="00B956BF"/>
    <w:rsid w:val="00B961E0"/>
    <w:rsid w:val="00B96469"/>
    <w:rsid w:val="00B9735A"/>
    <w:rsid w:val="00BA0DA2"/>
    <w:rsid w:val="00BA0FE8"/>
    <w:rsid w:val="00BA12B5"/>
    <w:rsid w:val="00BA1F73"/>
    <w:rsid w:val="00BA2981"/>
    <w:rsid w:val="00BA2BB7"/>
    <w:rsid w:val="00BA42EE"/>
    <w:rsid w:val="00BA48F9"/>
    <w:rsid w:val="00BA6196"/>
    <w:rsid w:val="00BA7AB2"/>
    <w:rsid w:val="00BB04E7"/>
    <w:rsid w:val="00BB0DCA"/>
    <w:rsid w:val="00BB2003"/>
    <w:rsid w:val="00BB2666"/>
    <w:rsid w:val="00BB32C9"/>
    <w:rsid w:val="00BB3A88"/>
    <w:rsid w:val="00BB64EB"/>
    <w:rsid w:val="00BB6B80"/>
    <w:rsid w:val="00BB6E40"/>
    <w:rsid w:val="00BB6EC8"/>
    <w:rsid w:val="00BC22FB"/>
    <w:rsid w:val="00BC330F"/>
    <w:rsid w:val="00BC3773"/>
    <w:rsid w:val="00BC381A"/>
    <w:rsid w:val="00BC3C48"/>
    <w:rsid w:val="00BC40B0"/>
    <w:rsid w:val="00BC6470"/>
    <w:rsid w:val="00BC6D69"/>
    <w:rsid w:val="00BC6D6C"/>
    <w:rsid w:val="00BD0962"/>
    <w:rsid w:val="00BD11B6"/>
    <w:rsid w:val="00BD1B73"/>
    <w:rsid w:val="00BD1EED"/>
    <w:rsid w:val="00BD22A0"/>
    <w:rsid w:val="00BD5516"/>
    <w:rsid w:val="00BD5FE3"/>
    <w:rsid w:val="00BD7C65"/>
    <w:rsid w:val="00BE2189"/>
    <w:rsid w:val="00BE4164"/>
    <w:rsid w:val="00BE4B95"/>
    <w:rsid w:val="00BE5F66"/>
    <w:rsid w:val="00BE61BB"/>
    <w:rsid w:val="00BF0DA2"/>
    <w:rsid w:val="00BF109C"/>
    <w:rsid w:val="00BF16A1"/>
    <w:rsid w:val="00BF34FA"/>
    <w:rsid w:val="00BF3C49"/>
    <w:rsid w:val="00BF4211"/>
    <w:rsid w:val="00BF52B7"/>
    <w:rsid w:val="00BF53E1"/>
    <w:rsid w:val="00BF54E5"/>
    <w:rsid w:val="00C004B6"/>
    <w:rsid w:val="00C00607"/>
    <w:rsid w:val="00C0258F"/>
    <w:rsid w:val="00C02A12"/>
    <w:rsid w:val="00C047A7"/>
    <w:rsid w:val="00C05DE5"/>
    <w:rsid w:val="00C05E56"/>
    <w:rsid w:val="00C06E03"/>
    <w:rsid w:val="00C07A73"/>
    <w:rsid w:val="00C13540"/>
    <w:rsid w:val="00C13D20"/>
    <w:rsid w:val="00C16161"/>
    <w:rsid w:val="00C173B5"/>
    <w:rsid w:val="00C17D46"/>
    <w:rsid w:val="00C201BB"/>
    <w:rsid w:val="00C20D05"/>
    <w:rsid w:val="00C2114F"/>
    <w:rsid w:val="00C225E0"/>
    <w:rsid w:val="00C23C15"/>
    <w:rsid w:val="00C25CE6"/>
    <w:rsid w:val="00C306ED"/>
    <w:rsid w:val="00C3262B"/>
    <w:rsid w:val="00C33027"/>
    <w:rsid w:val="00C360EF"/>
    <w:rsid w:val="00C36575"/>
    <w:rsid w:val="00C37667"/>
    <w:rsid w:val="00C40418"/>
    <w:rsid w:val="00C435DB"/>
    <w:rsid w:val="00C44D73"/>
    <w:rsid w:val="00C45074"/>
    <w:rsid w:val="00C50B42"/>
    <w:rsid w:val="00C50F53"/>
    <w:rsid w:val="00C516FF"/>
    <w:rsid w:val="00C51C28"/>
    <w:rsid w:val="00C51E49"/>
    <w:rsid w:val="00C527FD"/>
    <w:rsid w:val="00C52BFA"/>
    <w:rsid w:val="00C53276"/>
    <w:rsid w:val="00C535EE"/>
    <w:rsid w:val="00C53D1D"/>
    <w:rsid w:val="00C53F26"/>
    <w:rsid w:val="00C540BC"/>
    <w:rsid w:val="00C542C4"/>
    <w:rsid w:val="00C545CB"/>
    <w:rsid w:val="00C5499D"/>
    <w:rsid w:val="00C56680"/>
    <w:rsid w:val="00C60D4F"/>
    <w:rsid w:val="00C61D5E"/>
    <w:rsid w:val="00C63C68"/>
    <w:rsid w:val="00C64125"/>
    <w:rsid w:val="00C64F7D"/>
    <w:rsid w:val="00C658B1"/>
    <w:rsid w:val="00C67309"/>
    <w:rsid w:val="00C704C2"/>
    <w:rsid w:val="00C721BF"/>
    <w:rsid w:val="00C7281B"/>
    <w:rsid w:val="00C740C6"/>
    <w:rsid w:val="00C75830"/>
    <w:rsid w:val="00C76061"/>
    <w:rsid w:val="00C7614E"/>
    <w:rsid w:val="00C77BF1"/>
    <w:rsid w:val="00C80D60"/>
    <w:rsid w:val="00C81E0B"/>
    <w:rsid w:val="00C82FBD"/>
    <w:rsid w:val="00C85267"/>
    <w:rsid w:val="00C85B9D"/>
    <w:rsid w:val="00C8721B"/>
    <w:rsid w:val="00C87F7C"/>
    <w:rsid w:val="00C92A3B"/>
    <w:rsid w:val="00C9372C"/>
    <w:rsid w:val="00C93D5C"/>
    <w:rsid w:val="00C94200"/>
    <w:rsid w:val="00C9470E"/>
    <w:rsid w:val="00C94827"/>
    <w:rsid w:val="00C954F6"/>
    <w:rsid w:val="00C95CEB"/>
    <w:rsid w:val="00CA00EE"/>
    <w:rsid w:val="00CA063E"/>
    <w:rsid w:val="00CA0E80"/>
    <w:rsid w:val="00CA1054"/>
    <w:rsid w:val="00CA1CE3"/>
    <w:rsid w:val="00CA2F2B"/>
    <w:rsid w:val="00CA3012"/>
    <w:rsid w:val="00CA4C77"/>
    <w:rsid w:val="00CA5198"/>
    <w:rsid w:val="00CA63EB"/>
    <w:rsid w:val="00CA69F1"/>
    <w:rsid w:val="00CA769D"/>
    <w:rsid w:val="00CA7C59"/>
    <w:rsid w:val="00CB0C97"/>
    <w:rsid w:val="00CB310B"/>
    <w:rsid w:val="00CB50F6"/>
    <w:rsid w:val="00CB521B"/>
    <w:rsid w:val="00CB563A"/>
    <w:rsid w:val="00CB5A85"/>
    <w:rsid w:val="00CB6991"/>
    <w:rsid w:val="00CB6DE0"/>
    <w:rsid w:val="00CB77B0"/>
    <w:rsid w:val="00CC167B"/>
    <w:rsid w:val="00CC1B64"/>
    <w:rsid w:val="00CC24FF"/>
    <w:rsid w:val="00CC6194"/>
    <w:rsid w:val="00CC6305"/>
    <w:rsid w:val="00CC78A5"/>
    <w:rsid w:val="00CD0516"/>
    <w:rsid w:val="00CD074C"/>
    <w:rsid w:val="00CD1167"/>
    <w:rsid w:val="00CD1F60"/>
    <w:rsid w:val="00CD20B0"/>
    <w:rsid w:val="00CD2D49"/>
    <w:rsid w:val="00CD34C8"/>
    <w:rsid w:val="00CD3B95"/>
    <w:rsid w:val="00CD3C54"/>
    <w:rsid w:val="00CD490B"/>
    <w:rsid w:val="00CD756B"/>
    <w:rsid w:val="00CE1B69"/>
    <w:rsid w:val="00CE3799"/>
    <w:rsid w:val="00CE61C5"/>
    <w:rsid w:val="00CE69D1"/>
    <w:rsid w:val="00CE734F"/>
    <w:rsid w:val="00CE7757"/>
    <w:rsid w:val="00CF0C2A"/>
    <w:rsid w:val="00CF112E"/>
    <w:rsid w:val="00CF2128"/>
    <w:rsid w:val="00CF24D9"/>
    <w:rsid w:val="00CF3A41"/>
    <w:rsid w:val="00CF4A2E"/>
    <w:rsid w:val="00CF4BCD"/>
    <w:rsid w:val="00CF5F4F"/>
    <w:rsid w:val="00D00DD4"/>
    <w:rsid w:val="00D02393"/>
    <w:rsid w:val="00D03361"/>
    <w:rsid w:val="00D047F5"/>
    <w:rsid w:val="00D05B78"/>
    <w:rsid w:val="00D05BD2"/>
    <w:rsid w:val="00D06ADD"/>
    <w:rsid w:val="00D06C3F"/>
    <w:rsid w:val="00D06D12"/>
    <w:rsid w:val="00D11B28"/>
    <w:rsid w:val="00D13D12"/>
    <w:rsid w:val="00D16090"/>
    <w:rsid w:val="00D1647C"/>
    <w:rsid w:val="00D165B2"/>
    <w:rsid w:val="00D16D63"/>
    <w:rsid w:val="00D218DC"/>
    <w:rsid w:val="00D22547"/>
    <w:rsid w:val="00D2420C"/>
    <w:rsid w:val="00D245E2"/>
    <w:rsid w:val="00D24E56"/>
    <w:rsid w:val="00D25F3E"/>
    <w:rsid w:val="00D2747B"/>
    <w:rsid w:val="00D27CBC"/>
    <w:rsid w:val="00D27F94"/>
    <w:rsid w:val="00D306C8"/>
    <w:rsid w:val="00D30CE4"/>
    <w:rsid w:val="00D31643"/>
    <w:rsid w:val="00D31AEB"/>
    <w:rsid w:val="00D3248E"/>
    <w:rsid w:val="00D32ECD"/>
    <w:rsid w:val="00D32EE4"/>
    <w:rsid w:val="00D333E9"/>
    <w:rsid w:val="00D337E5"/>
    <w:rsid w:val="00D34491"/>
    <w:rsid w:val="00D361E4"/>
    <w:rsid w:val="00D37819"/>
    <w:rsid w:val="00D37FF9"/>
    <w:rsid w:val="00D41320"/>
    <w:rsid w:val="00D4139B"/>
    <w:rsid w:val="00D42A8F"/>
    <w:rsid w:val="00D42B00"/>
    <w:rsid w:val="00D42C1D"/>
    <w:rsid w:val="00D430A9"/>
    <w:rsid w:val="00D439F6"/>
    <w:rsid w:val="00D44234"/>
    <w:rsid w:val="00D44C5C"/>
    <w:rsid w:val="00D45418"/>
    <w:rsid w:val="00D459C6"/>
    <w:rsid w:val="00D45CD0"/>
    <w:rsid w:val="00D46B86"/>
    <w:rsid w:val="00D47FE1"/>
    <w:rsid w:val="00D505DF"/>
    <w:rsid w:val="00D50729"/>
    <w:rsid w:val="00D50C19"/>
    <w:rsid w:val="00D51612"/>
    <w:rsid w:val="00D526C1"/>
    <w:rsid w:val="00D5379E"/>
    <w:rsid w:val="00D55B34"/>
    <w:rsid w:val="00D57250"/>
    <w:rsid w:val="00D573FC"/>
    <w:rsid w:val="00D5790E"/>
    <w:rsid w:val="00D619FD"/>
    <w:rsid w:val="00D61ACB"/>
    <w:rsid w:val="00D61F64"/>
    <w:rsid w:val="00D62643"/>
    <w:rsid w:val="00D6377B"/>
    <w:rsid w:val="00D63C8A"/>
    <w:rsid w:val="00D63F62"/>
    <w:rsid w:val="00D643EF"/>
    <w:rsid w:val="00D64C0F"/>
    <w:rsid w:val="00D651BB"/>
    <w:rsid w:val="00D65D48"/>
    <w:rsid w:val="00D66183"/>
    <w:rsid w:val="00D6645C"/>
    <w:rsid w:val="00D67E4D"/>
    <w:rsid w:val="00D717DE"/>
    <w:rsid w:val="00D72EFE"/>
    <w:rsid w:val="00D73D5E"/>
    <w:rsid w:val="00D741D3"/>
    <w:rsid w:val="00D74A2C"/>
    <w:rsid w:val="00D75F97"/>
    <w:rsid w:val="00D76227"/>
    <w:rsid w:val="00D776D4"/>
    <w:rsid w:val="00D77DF1"/>
    <w:rsid w:val="00D81765"/>
    <w:rsid w:val="00D82FA5"/>
    <w:rsid w:val="00D857D0"/>
    <w:rsid w:val="00D85C31"/>
    <w:rsid w:val="00D85C8D"/>
    <w:rsid w:val="00D86AFF"/>
    <w:rsid w:val="00D87F43"/>
    <w:rsid w:val="00D905EB"/>
    <w:rsid w:val="00D9083E"/>
    <w:rsid w:val="00D90891"/>
    <w:rsid w:val="00D92928"/>
    <w:rsid w:val="00D94591"/>
    <w:rsid w:val="00D94B93"/>
    <w:rsid w:val="00D94EE4"/>
    <w:rsid w:val="00D95464"/>
    <w:rsid w:val="00D95A44"/>
    <w:rsid w:val="00D95D16"/>
    <w:rsid w:val="00D95FC4"/>
    <w:rsid w:val="00D97037"/>
    <w:rsid w:val="00D97C76"/>
    <w:rsid w:val="00DA0317"/>
    <w:rsid w:val="00DA1250"/>
    <w:rsid w:val="00DA4AD9"/>
    <w:rsid w:val="00DA5A12"/>
    <w:rsid w:val="00DA76FA"/>
    <w:rsid w:val="00DA783F"/>
    <w:rsid w:val="00DB02B4"/>
    <w:rsid w:val="00DB03EE"/>
    <w:rsid w:val="00DB1672"/>
    <w:rsid w:val="00DB16ED"/>
    <w:rsid w:val="00DB421A"/>
    <w:rsid w:val="00DB46B6"/>
    <w:rsid w:val="00DB538D"/>
    <w:rsid w:val="00DB5D73"/>
    <w:rsid w:val="00DB6391"/>
    <w:rsid w:val="00DB726F"/>
    <w:rsid w:val="00DB764B"/>
    <w:rsid w:val="00DC06A5"/>
    <w:rsid w:val="00DC09BD"/>
    <w:rsid w:val="00DC275C"/>
    <w:rsid w:val="00DC3ED2"/>
    <w:rsid w:val="00DC4B0D"/>
    <w:rsid w:val="00DC7D9E"/>
    <w:rsid w:val="00DC7FE1"/>
    <w:rsid w:val="00DD07D2"/>
    <w:rsid w:val="00DD3F3F"/>
    <w:rsid w:val="00DD53C5"/>
    <w:rsid w:val="00DD5572"/>
    <w:rsid w:val="00DD5C8D"/>
    <w:rsid w:val="00DD6667"/>
    <w:rsid w:val="00DD6F17"/>
    <w:rsid w:val="00DD725E"/>
    <w:rsid w:val="00DD77F7"/>
    <w:rsid w:val="00DE18AC"/>
    <w:rsid w:val="00DE2B2F"/>
    <w:rsid w:val="00DE41F8"/>
    <w:rsid w:val="00DE5A31"/>
    <w:rsid w:val="00DE5D80"/>
    <w:rsid w:val="00DE5E22"/>
    <w:rsid w:val="00DE628A"/>
    <w:rsid w:val="00DE70B9"/>
    <w:rsid w:val="00DE7550"/>
    <w:rsid w:val="00DE77F3"/>
    <w:rsid w:val="00DF2F24"/>
    <w:rsid w:val="00DF3020"/>
    <w:rsid w:val="00DF39BF"/>
    <w:rsid w:val="00DF3D37"/>
    <w:rsid w:val="00DF3ED2"/>
    <w:rsid w:val="00DF58CD"/>
    <w:rsid w:val="00DF5B5C"/>
    <w:rsid w:val="00DF65DE"/>
    <w:rsid w:val="00DF6610"/>
    <w:rsid w:val="00DF7AFB"/>
    <w:rsid w:val="00DF7BAC"/>
    <w:rsid w:val="00E00C9C"/>
    <w:rsid w:val="00E013FD"/>
    <w:rsid w:val="00E019A5"/>
    <w:rsid w:val="00E02EC8"/>
    <w:rsid w:val="00E02F1C"/>
    <w:rsid w:val="00E037F5"/>
    <w:rsid w:val="00E0462F"/>
    <w:rsid w:val="00E04ECB"/>
    <w:rsid w:val="00E05369"/>
    <w:rsid w:val="00E056FF"/>
    <w:rsid w:val="00E058ED"/>
    <w:rsid w:val="00E05A09"/>
    <w:rsid w:val="00E06CA1"/>
    <w:rsid w:val="00E104A0"/>
    <w:rsid w:val="00E117F9"/>
    <w:rsid w:val="00E11A0B"/>
    <w:rsid w:val="00E11DB3"/>
    <w:rsid w:val="00E125D3"/>
    <w:rsid w:val="00E12D87"/>
    <w:rsid w:val="00E13FF2"/>
    <w:rsid w:val="00E15559"/>
    <w:rsid w:val="00E167EA"/>
    <w:rsid w:val="00E16CFD"/>
    <w:rsid w:val="00E172B8"/>
    <w:rsid w:val="00E17865"/>
    <w:rsid w:val="00E17FB4"/>
    <w:rsid w:val="00E2005A"/>
    <w:rsid w:val="00E20452"/>
    <w:rsid w:val="00E20B75"/>
    <w:rsid w:val="00E214F2"/>
    <w:rsid w:val="00E2371E"/>
    <w:rsid w:val="00E24BD7"/>
    <w:rsid w:val="00E24F35"/>
    <w:rsid w:val="00E26523"/>
    <w:rsid w:val="00E26809"/>
    <w:rsid w:val="00E27218"/>
    <w:rsid w:val="00E30B29"/>
    <w:rsid w:val="00E3236A"/>
    <w:rsid w:val="00E32D80"/>
    <w:rsid w:val="00E32EB4"/>
    <w:rsid w:val="00E3412D"/>
    <w:rsid w:val="00E343D0"/>
    <w:rsid w:val="00E34CEE"/>
    <w:rsid w:val="00E35DFF"/>
    <w:rsid w:val="00E35ED2"/>
    <w:rsid w:val="00E375E4"/>
    <w:rsid w:val="00E37AB5"/>
    <w:rsid w:val="00E37BE7"/>
    <w:rsid w:val="00E40097"/>
    <w:rsid w:val="00E40DAD"/>
    <w:rsid w:val="00E41BD2"/>
    <w:rsid w:val="00E45FC7"/>
    <w:rsid w:val="00E46804"/>
    <w:rsid w:val="00E47452"/>
    <w:rsid w:val="00E515F4"/>
    <w:rsid w:val="00E526B4"/>
    <w:rsid w:val="00E52A9B"/>
    <w:rsid w:val="00E556D8"/>
    <w:rsid w:val="00E567FB"/>
    <w:rsid w:val="00E56AA7"/>
    <w:rsid w:val="00E57322"/>
    <w:rsid w:val="00E60DD7"/>
    <w:rsid w:val="00E62748"/>
    <w:rsid w:val="00E628CB"/>
    <w:rsid w:val="00E629FB"/>
    <w:rsid w:val="00E62AD9"/>
    <w:rsid w:val="00E63621"/>
    <w:rsid w:val="00E638C8"/>
    <w:rsid w:val="00E63DDF"/>
    <w:rsid w:val="00E65351"/>
    <w:rsid w:val="00E65EB6"/>
    <w:rsid w:val="00E67640"/>
    <w:rsid w:val="00E70CD4"/>
    <w:rsid w:val="00E72BD1"/>
    <w:rsid w:val="00E7498F"/>
    <w:rsid w:val="00E74B1E"/>
    <w:rsid w:val="00E7509B"/>
    <w:rsid w:val="00E7606F"/>
    <w:rsid w:val="00E76D46"/>
    <w:rsid w:val="00E77888"/>
    <w:rsid w:val="00E814E9"/>
    <w:rsid w:val="00E82BA3"/>
    <w:rsid w:val="00E86590"/>
    <w:rsid w:val="00E86F46"/>
    <w:rsid w:val="00E87A1B"/>
    <w:rsid w:val="00E907FF"/>
    <w:rsid w:val="00E90E7F"/>
    <w:rsid w:val="00E9164E"/>
    <w:rsid w:val="00E942D5"/>
    <w:rsid w:val="00E95B52"/>
    <w:rsid w:val="00E975F0"/>
    <w:rsid w:val="00E97949"/>
    <w:rsid w:val="00E97EE2"/>
    <w:rsid w:val="00EA0481"/>
    <w:rsid w:val="00EA08B5"/>
    <w:rsid w:val="00EA0970"/>
    <w:rsid w:val="00EA0D39"/>
    <w:rsid w:val="00EA1B1F"/>
    <w:rsid w:val="00EA3010"/>
    <w:rsid w:val="00EA340A"/>
    <w:rsid w:val="00EA3532"/>
    <w:rsid w:val="00EA3688"/>
    <w:rsid w:val="00EA37F3"/>
    <w:rsid w:val="00EA3A02"/>
    <w:rsid w:val="00EA42D1"/>
    <w:rsid w:val="00EA42EF"/>
    <w:rsid w:val="00EA55E1"/>
    <w:rsid w:val="00EA7A50"/>
    <w:rsid w:val="00EB0B7D"/>
    <w:rsid w:val="00EB1C29"/>
    <w:rsid w:val="00EB2DD1"/>
    <w:rsid w:val="00EB2ED4"/>
    <w:rsid w:val="00EB6B37"/>
    <w:rsid w:val="00EC1CEC"/>
    <w:rsid w:val="00EC29FE"/>
    <w:rsid w:val="00EC35D4"/>
    <w:rsid w:val="00EC3964"/>
    <w:rsid w:val="00EC3C70"/>
    <w:rsid w:val="00EC57E7"/>
    <w:rsid w:val="00EC59FC"/>
    <w:rsid w:val="00EC5DED"/>
    <w:rsid w:val="00EC645C"/>
    <w:rsid w:val="00EC71B1"/>
    <w:rsid w:val="00EC7D5E"/>
    <w:rsid w:val="00ED199A"/>
    <w:rsid w:val="00ED1E7B"/>
    <w:rsid w:val="00ED2B3A"/>
    <w:rsid w:val="00ED3A3D"/>
    <w:rsid w:val="00ED43ED"/>
    <w:rsid w:val="00ED5011"/>
    <w:rsid w:val="00ED538A"/>
    <w:rsid w:val="00ED6090"/>
    <w:rsid w:val="00ED6CAF"/>
    <w:rsid w:val="00ED6FBC"/>
    <w:rsid w:val="00ED7DB4"/>
    <w:rsid w:val="00ED7DFB"/>
    <w:rsid w:val="00EE0282"/>
    <w:rsid w:val="00EE0530"/>
    <w:rsid w:val="00EE05E3"/>
    <w:rsid w:val="00EE2F16"/>
    <w:rsid w:val="00EE3861"/>
    <w:rsid w:val="00EE4FDB"/>
    <w:rsid w:val="00EE5B68"/>
    <w:rsid w:val="00EE6735"/>
    <w:rsid w:val="00EF0274"/>
    <w:rsid w:val="00EF0530"/>
    <w:rsid w:val="00EF2246"/>
    <w:rsid w:val="00EF25D8"/>
    <w:rsid w:val="00EF290C"/>
    <w:rsid w:val="00EF2E73"/>
    <w:rsid w:val="00EF3DC9"/>
    <w:rsid w:val="00EF68E6"/>
    <w:rsid w:val="00EF7683"/>
    <w:rsid w:val="00EF7A2D"/>
    <w:rsid w:val="00F03A63"/>
    <w:rsid w:val="00F04808"/>
    <w:rsid w:val="00F0489A"/>
    <w:rsid w:val="00F04F8D"/>
    <w:rsid w:val="00F04FB5"/>
    <w:rsid w:val="00F068F7"/>
    <w:rsid w:val="00F0714C"/>
    <w:rsid w:val="00F0755A"/>
    <w:rsid w:val="00F075DC"/>
    <w:rsid w:val="00F10AD0"/>
    <w:rsid w:val="00F10BE2"/>
    <w:rsid w:val="00F1128F"/>
    <w:rsid w:val="00F116CC"/>
    <w:rsid w:val="00F12BD1"/>
    <w:rsid w:val="00F13B3D"/>
    <w:rsid w:val="00F152D5"/>
    <w:rsid w:val="00F15327"/>
    <w:rsid w:val="00F163A3"/>
    <w:rsid w:val="00F168CF"/>
    <w:rsid w:val="00F16E87"/>
    <w:rsid w:val="00F174DA"/>
    <w:rsid w:val="00F178BC"/>
    <w:rsid w:val="00F179E4"/>
    <w:rsid w:val="00F17A73"/>
    <w:rsid w:val="00F23A8B"/>
    <w:rsid w:val="00F23EEE"/>
    <w:rsid w:val="00F2555C"/>
    <w:rsid w:val="00F26979"/>
    <w:rsid w:val="00F313CD"/>
    <w:rsid w:val="00F317AC"/>
    <w:rsid w:val="00F31A09"/>
    <w:rsid w:val="00F31DF3"/>
    <w:rsid w:val="00F33AE5"/>
    <w:rsid w:val="00F34CFD"/>
    <w:rsid w:val="00F3597D"/>
    <w:rsid w:val="00F36D64"/>
    <w:rsid w:val="00F3756F"/>
    <w:rsid w:val="00F40133"/>
    <w:rsid w:val="00F403D4"/>
    <w:rsid w:val="00F41485"/>
    <w:rsid w:val="00F4376D"/>
    <w:rsid w:val="00F43C5B"/>
    <w:rsid w:val="00F43E67"/>
    <w:rsid w:val="00F45399"/>
    <w:rsid w:val="00F46210"/>
    <w:rsid w:val="00F465EA"/>
    <w:rsid w:val="00F47910"/>
    <w:rsid w:val="00F47D9F"/>
    <w:rsid w:val="00F51B6F"/>
    <w:rsid w:val="00F54E7B"/>
    <w:rsid w:val="00F555CE"/>
    <w:rsid w:val="00F55A88"/>
    <w:rsid w:val="00F57D54"/>
    <w:rsid w:val="00F6313D"/>
    <w:rsid w:val="00F63932"/>
    <w:rsid w:val="00F64EE2"/>
    <w:rsid w:val="00F652CE"/>
    <w:rsid w:val="00F6623D"/>
    <w:rsid w:val="00F66332"/>
    <w:rsid w:val="00F66A52"/>
    <w:rsid w:val="00F67737"/>
    <w:rsid w:val="00F72733"/>
    <w:rsid w:val="00F74005"/>
    <w:rsid w:val="00F74E61"/>
    <w:rsid w:val="00F753FB"/>
    <w:rsid w:val="00F761A6"/>
    <w:rsid w:val="00F765B3"/>
    <w:rsid w:val="00F76884"/>
    <w:rsid w:val="00F80271"/>
    <w:rsid w:val="00F828F9"/>
    <w:rsid w:val="00F82CCB"/>
    <w:rsid w:val="00F83062"/>
    <w:rsid w:val="00F83701"/>
    <w:rsid w:val="00F83D24"/>
    <w:rsid w:val="00F83DD9"/>
    <w:rsid w:val="00F83F40"/>
    <w:rsid w:val="00F84C52"/>
    <w:rsid w:val="00F86257"/>
    <w:rsid w:val="00F866E0"/>
    <w:rsid w:val="00F867FD"/>
    <w:rsid w:val="00F9021B"/>
    <w:rsid w:val="00F91CBF"/>
    <w:rsid w:val="00F936F7"/>
    <w:rsid w:val="00F941A0"/>
    <w:rsid w:val="00F944BB"/>
    <w:rsid w:val="00F94AE2"/>
    <w:rsid w:val="00F951A8"/>
    <w:rsid w:val="00F971F7"/>
    <w:rsid w:val="00F97B8A"/>
    <w:rsid w:val="00F97D2A"/>
    <w:rsid w:val="00FA03D6"/>
    <w:rsid w:val="00FA117A"/>
    <w:rsid w:val="00FA1893"/>
    <w:rsid w:val="00FA3179"/>
    <w:rsid w:val="00FA3DC4"/>
    <w:rsid w:val="00FA467C"/>
    <w:rsid w:val="00FB00BE"/>
    <w:rsid w:val="00FB1628"/>
    <w:rsid w:val="00FB1FC1"/>
    <w:rsid w:val="00FB2708"/>
    <w:rsid w:val="00FB386A"/>
    <w:rsid w:val="00FB53AA"/>
    <w:rsid w:val="00FB53C3"/>
    <w:rsid w:val="00FB5D81"/>
    <w:rsid w:val="00FB7176"/>
    <w:rsid w:val="00FB79E0"/>
    <w:rsid w:val="00FB7C9F"/>
    <w:rsid w:val="00FC0786"/>
    <w:rsid w:val="00FC38BB"/>
    <w:rsid w:val="00FC4349"/>
    <w:rsid w:val="00FC49EF"/>
    <w:rsid w:val="00FC5AC4"/>
    <w:rsid w:val="00FC6D43"/>
    <w:rsid w:val="00FC743E"/>
    <w:rsid w:val="00FD0981"/>
    <w:rsid w:val="00FD32C3"/>
    <w:rsid w:val="00FD4AD7"/>
    <w:rsid w:val="00FD4BAF"/>
    <w:rsid w:val="00FD532A"/>
    <w:rsid w:val="00FD59AA"/>
    <w:rsid w:val="00FD5CEA"/>
    <w:rsid w:val="00FD5D4D"/>
    <w:rsid w:val="00FD6036"/>
    <w:rsid w:val="00FD60D1"/>
    <w:rsid w:val="00FE0C7D"/>
    <w:rsid w:val="00FE2CF9"/>
    <w:rsid w:val="00FE3649"/>
    <w:rsid w:val="00FE36E2"/>
    <w:rsid w:val="00FE3B4F"/>
    <w:rsid w:val="00FE4845"/>
    <w:rsid w:val="00FE4FD3"/>
    <w:rsid w:val="00FF11AD"/>
    <w:rsid w:val="00FF2971"/>
    <w:rsid w:val="00FF33F6"/>
    <w:rsid w:val="00FF34D4"/>
    <w:rsid w:val="00FF4679"/>
    <w:rsid w:val="00FF7739"/>
    <w:rsid w:val="00FF78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2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6A1"/>
    <w:pPr>
      <w:jc w:val="both"/>
    </w:pPr>
    <w:rPr>
      <w:rFonts w:ascii="Times New Roman" w:hAnsi="Times New Roman"/>
      <w:lang w:eastAsia="en-US"/>
    </w:rPr>
  </w:style>
  <w:style w:type="paragraph" w:styleId="Nagwek1">
    <w:name w:val="heading 1"/>
    <w:basedOn w:val="Normalny"/>
    <w:next w:val="Normalny"/>
    <w:link w:val="Nagwek1Znak"/>
    <w:uiPriority w:val="99"/>
    <w:qFormat/>
    <w:locked/>
    <w:rsid w:val="006176ED"/>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locked/>
    <w:rsid w:val="001E541D"/>
    <w:pPr>
      <w:keepNext/>
      <w:keepLines/>
      <w:spacing w:before="40"/>
      <w:outlineLvl w:val="1"/>
    </w:pPr>
    <w:rPr>
      <w:rFonts w:ascii="Cambria" w:eastAsia="Times New Roman" w:hAnsi="Cambria"/>
      <w:color w:val="365F91"/>
      <w:sz w:val="26"/>
      <w:szCs w:val="26"/>
    </w:rPr>
  </w:style>
  <w:style w:type="paragraph" w:styleId="Nagwek3">
    <w:name w:val="heading 3"/>
    <w:basedOn w:val="Normalny"/>
    <w:next w:val="Normalny"/>
    <w:link w:val="Nagwek3Znak"/>
    <w:uiPriority w:val="99"/>
    <w:qFormat/>
    <w:locked/>
    <w:rsid w:val="00522D94"/>
    <w:pPr>
      <w:keepNext/>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5959"/>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9"/>
    <w:locked/>
    <w:rsid w:val="001E541D"/>
    <w:rPr>
      <w:rFonts w:ascii="Cambria" w:hAnsi="Cambria" w:cs="Times New Roman"/>
      <w:color w:val="365F91"/>
      <w:sz w:val="26"/>
      <w:szCs w:val="26"/>
      <w:lang w:eastAsia="en-US"/>
    </w:rPr>
  </w:style>
  <w:style w:type="character" w:customStyle="1" w:styleId="Nagwek3Znak">
    <w:name w:val="Nagłówek 3 Znak"/>
    <w:basedOn w:val="Domylnaczcionkaakapitu"/>
    <w:link w:val="Nagwek3"/>
    <w:uiPriority w:val="9"/>
    <w:semiHidden/>
    <w:rsid w:val="00AB5959"/>
    <w:rPr>
      <w:rFonts w:asciiTheme="majorHAnsi" w:eastAsiaTheme="majorEastAsia" w:hAnsiTheme="majorHAnsi" w:cstheme="majorBidi"/>
      <w:b/>
      <w:bCs/>
      <w:sz w:val="26"/>
      <w:szCs w:val="26"/>
      <w:lang w:eastAsia="en-US"/>
    </w:rPr>
  </w:style>
  <w:style w:type="table" w:styleId="Tabela-Siatka">
    <w:name w:val="Table Grid"/>
    <w:basedOn w:val="Standardowy"/>
    <w:uiPriority w:val="99"/>
    <w:rsid w:val="007646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4702C9"/>
    <w:rPr>
      <w:rFonts w:ascii="Tahoma" w:hAnsi="Tahoma"/>
      <w:sz w:val="16"/>
    </w:rPr>
  </w:style>
  <w:style w:type="paragraph" w:styleId="Nagwek">
    <w:name w:val="header"/>
    <w:basedOn w:val="Normalny"/>
    <w:link w:val="NagwekZnak"/>
    <w:uiPriority w:val="99"/>
    <w:rsid w:val="00044739"/>
    <w:pPr>
      <w:tabs>
        <w:tab w:val="center" w:pos="4536"/>
        <w:tab w:val="right" w:pos="9072"/>
      </w:tabs>
    </w:pPr>
    <w:rPr>
      <w:rFonts w:ascii="Calibri" w:hAnsi="Calibri"/>
      <w:sz w:val="20"/>
      <w:szCs w:val="20"/>
    </w:rPr>
  </w:style>
  <w:style w:type="character" w:customStyle="1" w:styleId="NagwekZnak">
    <w:name w:val="Nagłówek Znak"/>
    <w:basedOn w:val="Domylnaczcionkaakapitu"/>
    <w:link w:val="Nagwek"/>
    <w:uiPriority w:val="99"/>
    <w:locked/>
    <w:rsid w:val="00044739"/>
    <w:rPr>
      <w:lang w:eastAsia="en-US"/>
    </w:rPr>
  </w:style>
  <w:style w:type="paragraph" w:styleId="Stopka">
    <w:name w:val="footer"/>
    <w:basedOn w:val="Normalny"/>
    <w:link w:val="StopkaZnak"/>
    <w:uiPriority w:val="99"/>
    <w:rsid w:val="00044739"/>
    <w:pPr>
      <w:tabs>
        <w:tab w:val="center" w:pos="4536"/>
        <w:tab w:val="right" w:pos="9072"/>
      </w:tabs>
    </w:pPr>
    <w:rPr>
      <w:rFonts w:ascii="Calibri" w:hAnsi="Calibri"/>
      <w:sz w:val="20"/>
      <w:szCs w:val="20"/>
    </w:rPr>
  </w:style>
  <w:style w:type="character" w:customStyle="1" w:styleId="StopkaZnak">
    <w:name w:val="Stopka Znak"/>
    <w:basedOn w:val="Domylnaczcionkaakapitu"/>
    <w:link w:val="Stopka"/>
    <w:uiPriority w:val="99"/>
    <w:locked/>
    <w:rsid w:val="00044739"/>
    <w:rPr>
      <w:lang w:eastAsia="en-US"/>
    </w:rPr>
  </w:style>
  <w:style w:type="paragraph" w:styleId="Tekstprzypisukocowego">
    <w:name w:val="endnote text"/>
    <w:basedOn w:val="Normalny"/>
    <w:link w:val="TekstprzypisukocowegoZnak"/>
    <w:uiPriority w:val="99"/>
    <w:semiHidden/>
    <w:rsid w:val="00DF58CD"/>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locked/>
    <w:rsid w:val="00DF58CD"/>
    <w:rPr>
      <w:sz w:val="20"/>
      <w:lang w:eastAsia="en-US"/>
    </w:rPr>
  </w:style>
  <w:style w:type="character" w:styleId="Odwoanieprzypisukocowego">
    <w:name w:val="endnote reference"/>
    <w:basedOn w:val="Domylnaczcionkaakapitu"/>
    <w:uiPriority w:val="99"/>
    <w:semiHidden/>
    <w:rsid w:val="00DF58CD"/>
    <w:rPr>
      <w:rFonts w:cs="Times New Roman"/>
      <w:vertAlign w:val="superscript"/>
    </w:rPr>
  </w:style>
  <w:style w:type="paragraph" w:styleId="Akapitzlist">
    <w:name w:val="List Paragraph"/>
    <w:aliases w:val="Listaszerű bekezdés1,List Paragraph à moi,Recommendation,List Paragraph11,Kolorowa lista — akcent 11,Numerowanie,Dot pt,F5 List Paragraph,Numbered Para 1,No Spacing1,Indicator Text,Bullet 1,List Paragraph Char Char Char,2,Akapit z list?,3"/>
    <w:basedOn w:val="Normalny"/>
    <w:link w:val="AkapitzlistZnak"/>
    <w:uiPriority w:val="34"/>
    <w:qFormat/>
    <w:rsid w:val="00397078"/>
    <w:pPr>
      <w:ind w:left="720"/>
      <w:contextualSpacing/>
    </w:pPr>
  </w:style>
  <w:style w:type="character" w:styleId="Odwoaniedokomentarza">
    <w:name w:val="annotation reference"/>
    <w:basedOn w:val="Domylnaczcionkaakapitu"/>
    <w:uiPriority w:val="99"/>
    <w:semiHidden/>
    <w:rsid w:val="00A17CB2"/>
    <w:rPr>
      <w:rFonts w:cs="Times New Roman"/>
      <w:sz w:val="16"/>
    </w:rPr>
  </w:style>
  <w:style w:type="paragraph" w:styleId="Tekstkomentarza">
    <w:name w:val="annotation text"/>
    <w:basedOn w:val="Normalny"/>
    <w:link w:val="TekstkomentarzaZnak"/>
    <w:uiPriority w:val="99"/>
    <w:rsid w:val="00A17CB2"/>
    <w:rPr>
      <w:rFonts w:ascii="Calibri" w:hAnsi="Calibri"/>
      <w:sz w:val="20"/>
      <w:szCs w:val="20"/>
    </w:rPr>
  </w:style>
  <w:style w:type="character" w:customStyle="1" w:styleId="TekstkomentarzaZnak">
    <w:name w:val="Tekst komentarza Znak"/>
    <w:basedOn w:val="Domylnaczcionkaakapitu"/>
    <w:link w:val="Tekstkomentarza"/>
    <w:uiPriority w:val="99"/>
    <w:locked/>
    <w:rsid w:val="00A17CB2"/>
    <w:rPr>
      <w:lang w:eastAsia="en-US"/>
    </w:rPr>
  </w:style>
  <w:style w:type="paragraph" w:styleId="Tematkomentarza">
    <w:name w:val="annotation subject"/>
    <w:basedOn w:val="Tekstkomentarza"/>
    <w:next w:val="Tekstkomentarza"/>
    <w:link w:val="TematkomentarzaZnak"/>
    <w:uiPriority w:val="99"/>
    <w:semiHidden/>
    <w:rsid w:val="00A17CB2"/>
    <w:rPr>
      <w:b/>
      <w:bCs/>
    </w:rPr>
  </w:style>
  <w:style w:type="character" w:customStyle="1" w:styleId="TematkomentarzaZnak">
    <w:name w:val="Temat komentarza Znak"/>
    <w:basedOn w:val="TekstkomentarzaZnak"/>
    <w:link w:val="Tematkomentarza"/>
    <w:uiPriority w:val="99"/>
    <w:semiHidden/>
    <w:locked/>
    <w:rsid w:val="00A17CB2"/>
    <w:rPr>
      <w:b/>
      <w:lang w:eastAsia="en-US"/>
    </w:rPr>
  </w:style>
  <w:style w:type="paragraph" w:styleId="Tekstprzypisudolnego">
    <w:name w:val="footnote text"/>
    <w:aliases w:val="Footnote Text Char Char,Footnote,Fußnote,FSR footnote,lábléc Car Car Car,Fodnotetekst Tegn Tegn Tegn Tegn Tegn Tegn Tegn Char Char,Fodnotetekst Tegn Tegn Tegn Tegn Tegn Tegn Tegn Char Char Char Char,fn,lábléc,Znak"/>
    <w:basedOn w:val="Normalny"/>
    <w:link w:val="TekstprzypisudolnegoZnak"/>
    <w:uiPriority w:val="99"/>
    <w:semiHidden/>
    <w:rsid w:val="00C047A7"/>
    <w:rPr>
      <w:rFonts w:ascii="Calibri" w:hAnsi="Calibri"/>
      <w:sz w:val="20"/>
      <w:szCs w:val="20"/>
    </w:rPr>
  </w:style>
  <w:style w:type="character" w:customStyle="1" w:styleId="TekstprzypisudolnegoZnak">
    <w:name w:val="Tekst przypisu dolnego Znak"/>
    <w:aliases w:val="Footnote Text Char Char Znak,Footnote Znak,Fußnote Znak,FSR footnote Znak,lábléc Car Car Car Znak,Fodnotetekst Tegn Tegn Tegn Tegn Tegn Tegn Tegn Char Char Znak,fn Znak,lábléc Znak,Znak Znak"/>
    <w:basedOn w:val="Domylnaczcionkaakapitu"/>
    <w:link w:val="Tekstprzypisudolnego"/>
    <w:uiPriority w:val="99"/>
    <w:semiHidden/>
    <w:locked/>
    <w:rsid w:val="00C047A7"/>
    <w:rPr>
      <w:lang w:eastAsia="en-US"/>
    </w:rPr>
  </w:style>
  <w:style w:type="character" w:styleId="Odwoanieprzypisudolnego">
    <w:name w:val="footnote reference"/>
    <w:aliases w:val="Footnote Reference Number,Footnote Reference_LVL6,Footnote Reference_LVL61,Footnote Reference_LVL62,Footnote Reference_LVL63,Footnote Reference_LVL64,Nota,Footnote symbol,Appel note de bas de p,BVI fnr,SUPERS,note TES"/>
    <w:basedOn w:val="Domylnaczcionkaakapitu"/>
    <w:uiPriority w:val="99"/>
    <w:semiHidden/>
    <w:rsid w:val="00C047A7"/>
    <w:rPr>
      <w:rFonts w:cs="Times New Roman"/>
      <w:vertAlign w:val="superscript"/>
    </w:rPr>
  </w:style>
  <w:style w:type="character" w:styleId="Hipercze">
    <w:name w:val="Hyperlink"/>
    <w:basedOn w:val="Domylnaczcionkaakapitu"/>
    <w:uiPriority w:val="99"/>
    <w:rsid w:val="0072636A"/>
    <w:rPr>
      <w:rFonts w:cs="Times New Roman"/>
      <w:color w:val="0000FF"/>
      <w:u w:val="single"/>
    </w:rPr>
  </w:style>
  <w:style w:type="character" w:styleId="UyteHipercze">
    <w:name w:val="FollowedHyperlink"/>
    <w:basedOn w:val="Domylnaczcionkaakapitu"/>
    <w:uiPriority w:val="99"/>
    <w:semiHidden/>
    <w:rsid w:val="00801F71"/>
    <w:rPr>
      <w:rFonts w:cs="Times New Roman"/>
      <w:color w:val="800080"/>
      <w:u w:val="single"/>
    </w:rPr>
  </w:style>
  <w:style w:type="character" w:styleId="Tekstzastpczy">
    <w:name w:val="Placeholder Text"/>
    <w:basedOn w:val="Domylnaczcionkaakapitu"/>
    <w:uiPriority w:val="99"/>
    <w:semiHidden/>
    <w:rsid w:val="00EF290C"/>
    <w:rPr>
      <w:rFonts w:cs="Times New Roman"/>
      <w:color w:val="808080"/>
    </w:rPr>
  </w:style>
  <w:style w:type="paragraph" w:styleId="Podtytu">
    <w:name w:val="Subtitle"/>
    <w:basedOn w:val="Normalny"/>
    <w:next w:val="Normalny"/>
    <w:link w:val="PodtytuZnak"/>
    <w:uiPriority w:val="99"/>
    <w:qFormat/>
    <w:locked/>
    <w:rsid w:val="002B5779"/>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2B5779"/>
    <w:rPr>
      <w:rFonts w:ascii="Cambria" w:hAnsi="Cambria" w:cs="Times New Roman"/>
      <w:sz w:val="24"/>
      <w:szCs w:val="24"/>
      <w:lang w:eastAsia="en-US"/>
    </w:rPr>
  </w:style>
  <w:style w:type="paragraph" w:styleId="Bezodstpw">
    <w:name w:val="No Spacing"/>
    <w:uiPriority w:val="99"/>
    <w:qFormat/>
    <w:rsid w:val="002B5779"/>
    <w:rPr>
      <w:lang w:eastAsia="en-US"/>
    </w:rPr>
  </w:style>
  <w:style w:type="paragraph" w:styleId="NormalnyWeb">
    <w:name w:val="Normal (Web)"/>
    <w:basedOn w:val="Normalny"/>
    <w:uiPriority w:val="99"/>
    <w:semiHidden/>
    <w:rsid w:val="00A141B8"/>
    <w:pPr>
      <w:spacing w:before="100" w:beforeAutospacing="1" w:after="100" w:afterAutospacing="1"/>
      <w:jc w:val="left"/>
    </w:pPr>
    <w:rPr>
      <w:rFonts w:eastAsia="Times New Roman"/>
      <w:sz w:val="24"/>
      <w:szCs w:val="24"/>
      <w:lang w:eastAsia="pl-PL"/>
    </w:rPr>
  </w:style>
  <w:style w:type="character" w:customStyle="1" w:styleId="luchili">
    <w:name w:val="luc_hili"/>
    <w:basedOn w:val="Domylnaczcionkaakapitu"/>
    <w:uiPriority w:val="99"/>
    <w:rsid w:val="005601F4"/>
    <w:rPr>
      <w:rFonts w:cs="Times New Roman"/>
    </w:rPr>
  </w:style>
  <w:style w:type="character" w:customStyle="1" w:styleId="tabulatory">
    <w:name w:val="tabulatory"/>
    <w:basedOn w:val="Domylnaczcionkaakapitu"/>
    <w:uiPriority w:val="99"/>
    <w:rsid w:val="005601F4"/>
    <w:rPr>
      <w:rFonts w:cs="Times New Roman"/>
    </w:rPr>
  </w:style>
  <w:style w:type="character" w:customStyle="1" w:styleId="highlight">
    <w:name w:val="highlight"/>
    <w:basedOn w:val="Domylnaczcionkaakapitu"/>
    <w:uiPriority w:val="99"/>
    <w:rsid w:val="00F23A8B"/>
    <w:rPr>
      <w:rFonts w:cs="Times New Roman"/>
    </w:rPr>
  </w:style>
  <w:style w:type="character" w:styleId="Pogrubienie">
    <w:name w:val="Strong"/>
    <w:basedOn w:val="Domylnaczcionkaakapitu"/>
    <w:uiPriority w:val="99"/>
    <w:qFormat/>
    <w:locked/>
    <w:rsid w:val="006330D9"/>
    <w:rPr>
      <w:rFonts w:cs="Times New Roman"/>
      <w:b/>
      <w:bCs/>
    </w:rPr>
  </w:style>
  <w:style w:type="paragraph" w:customStyle="1" w:styleId="Default">
    <w:name w:val="Default"/>
    <w:rsid w:val="009D2438"/>
    <w:pPr>
      <w:autoSpaceDE w:val="0"/>
      <w:autoSpaceDN w:val="0"/>
      <w:adjustRightInd w:val="0"/>
    </w:pPr>
    <w:rPr>
      <w:rFonts w:cs="Calibri"/>
      <w:color w:val="000000"/>
      <w:sz w:val="24"/>
      <w:szCs w:val="24"/>
    </w:rPr>
  </w:style>
  <w:style w:type="paragraph" w:styleId="Poprawka">
    <w:name w:val="Revision"/>
    <w:hidden/>
    <w:uiPriority w:val="99"/>
    <w:semiHidden/>
    <w:rsid w:val="006B5119"/>
    <w:rPr>
      <w:rFonts w:ascii="Times New Roman" w:hAnsi="Times New Roman"/>
      <w:lang w:eastAsia="en-US"/>
    </w:rPr>
  </w:style>
  <w:style w:type="character" w:customStyle="1" w:styleId="Data1">
    <w:name w:val="Data1"/>
    <w:basedOn w:val="Domylnaczcionkaakapitu"/>
    <w:uiPriority w:val="99"/>
    <w:rsid w:val="00B37EF0"/>
    <w:rPr>
      <w:rFonts w:cs="Times New Roman"/>
    </w:rPr>
  </w:style>
  <w:style w:type="character" w:customStyle="1" w:styleId="Bodytext">
    <w:name w:val="Body text_"/>
    <w:link w:val="Tekstpodstawowy1"/>
    <w:uiPriority w:val="99"/>
    <w:locked/>
    <w:rsid w:val="00A73E87"/>
    <w:rPr>
      <w:rFonts w:ascii="Arial" w:eastAsia="Times New Roman" w:hAnsi="Arial"/>
      <w:sz w:val="22"/>
      <w:shd w:val="clear" w:color="auto" w:fill="FFFFFF"/>
    </w:rPr>
  </w:style>
  <w:style w:type="paragraph" w:customStyle="1" w:styleId="Tekstpodstawowy1">
    <w:name w:val="Tekst podstawowy1"/>
    <w:basedOn w:val="Normalny"/>
    <w:link w:val="Bodytext"/>
    <w:uiPriority w:val="99"/>
    <w:rsid w:val="00A73E87"/>
    <w:pPr>
      <w:shd w:val="clear" w:color="auto" w:fill="FFFFFF"/>
      <w:spacing w:before="60" w:after="60" w:line="240" w:lineRule="atLeast"/>
      <w:ind w:hanging="360"/>
      <w:jc w:val="left"/>
    </w:pPr>
    <w:rPr>
      <w:rFonts w:ascii="Arial" w:hAnsi="Arial"/>
      <w:lang w:eastAsia="pl-PL"/>
    </w:rPr>
  </w:style>
  <w:style w:type="character" w:customStyle="1" w:styleId="txt-new">
    <w:name w:val="txt-new"/>
    <w:basedOn w:val="Domylnaczcionkaakapitu"/>
    <w:uiPriority w:val="99"/>
    <w:rsid w:val="00C53276"/>
    <w:rPr>
      <w:rFonts w:cs="Times New Roman"/>
    </w:rPr>
  </w:style>
  <w:style w:type="paragraph" w:styleId="HTML-wstpniesformatowany">
    <w:name w:val="HTML Preformatted"/>
    <w:basedOn w:val="Normalny"/>
    <w:link w:val="HTML-wstpniesformatowanyZnak"/>
    <w:uiPriority w:val="99"/>
    <w:semiHidden/>
    <w:rsid w:val="0055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55004E"/>
    <w:rPr>
      <w:rFonts w:ascii="Courier New" w:hAnsi="Courier New" w:cs="Courier New"/>
    </w:rPr>
  </w:style>
  <w:style w:type="paragraph" w:customStyle="1" w:styleId="ZPKTzmpktartykuempunktem">
    <w:name w:val="Z/PKT – zm. pkt artykułem (punktem)"/>
    <w:basedOn w:val="Normalny"/>
    <w:uiPriority w:val="99"/>
    <w:rsid w:val="00F178BC"/>
    <w:pPr>
      <w:spacing w:line="360" w:lineRule="auto"/>
      <w:ind w:left="1020" w:hanging="510"/>
    </w:pPr>
    <w:rPr>
      <w:rFonts w:ascii="Times" w:eastAsia="Times New Roman" w:hAnsi="Times" w:cs="Arial"/>
      <w:bCs/>
      <w:sz w:val="24"/>
      <w:szCs w:val="20"/>
      <w:lang w:eastAsia="pl-PL"/>
    </w:rPr>
  </w:style>
  <w:style w:type="character" w:customStyle="1" w:styleId="AkapitzlistZnak">
    <w:name w:val="Akapit z listą Znak"/>
    <w:aliases w:val="Listaszerű bekezdés1 Znak,List Paragraph à moi Znak,Recommendation Znak,List Paragraph11 Znak,Kolorowa lista — akcent 11 Znak,Numerowanie Znak,Dot pt Znak,F5 List Paragraph Znak,Numbered Para 1 Znak,No Spacing1 Znak,Bullet 1 Znak"/>
    <w:link w:val="Akapitzlist"/>
    <w:uiPriority w:val="34"/>
    <w:qFormat/>
    <w:locked/>
    <w:rsid w:val="000670FC"/>
    <w:rPr>
      <w:rFonts w:ascii="Times New Roman" w:hAnsi="Times New Roman"/>
      <w:lang w:eastAsia="en-US"/>
    </w:rPr>
  </w:style>
  <w:style w:type="character" w:customStyle="1" w:styleId="Ppogrubienie">
    <w:name w:val="_P_ – pogrubienie"/>
    <w:basedOn w:val="Domylnaczcionkaakapitu"/>
    <w:uiPriority w:val="1"/>
    <w:qFormat/>
    <w:rsid w:val="00BB32C9"/>
    <w:rPr>
      <w:b/>
    </w:rPr>
  </w:style>
  <w:style w:type="character" w:customStyle="1" w:styleId="tlid-translation">
    <w:name w:val="tlid-translation"/>
    <w:basedOn w:val="Domylnaczcionkaakapitu"/>
    <w:rsid w:val="008859B0"/>
  </w:style>
  <w:style w:type="paragraph" w:customStyle="1" w:styleId="ODNONIKtreodnonika">
    <w:name w:val="ODNOŚNIK – treść odnośnika"/>
    <w:uiPriority w:val="19"/>
    <w:qFormat/>
    <w:rsid w:val="00E24F35"/>
    <w:pPr>
      <w:ind w:left="284" w:hanging="284"/>
      <w:jc w:val="both"/>
    </w:pPr>
    <w:rPr>
      <w:rFonts w:ascii="Times New Roman" w:eastAsiaTheme="minorEastAsia" w:hAnsi="Times New Roman" w:cs="Arial"/>
      <w:sz w:val="20"/>
      <w:szCs w:val="20"/>
    </w:rPr>
  </w:style>
  <w:style w:type="character" w:styleId="Uwydatnienie">
    <w:name w:val="Emphasis"/>
    <w:basedOn w:val="Domylnaczcionkaakapitu"/>
    <w:uiPriority w:val="20"/>
    <w:qFormat/>
    <w:locked/>
    <w:rsid w:val="00C95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6026">
      <w:bodyDiv w:val="1"/>
      <w:marLeft w:val="0"/>
      <w:marRight w:val="0"/>
      <w:marTop w:val="0"/>
      <w:marBottom w:val="0"/>
      <w:divBdr>
        <w:top w:val="none" w:sz="0" w:space="0" w:color="auto"/>
        <w:left w:val="none" w:sz="0" w:space="0" w:color="auto"/>
        <w:bottom w:val="none" w:sz="0" w:space="0" w:color="auto"/>
        <w:right w:val="none" w:sz="0" w:space="0" w:color="auto"/>
      </w:divBdr>
    </w:div>
    <w:div w:id="166485688">
      <w:bodyDiv w:val="1"/>
      <w:marLeft w:val="0"/>
      <w:marRight w:val="0"/>
      <w:marTop w:val="0"/>
      <w:marBottom w:val="0"/>
      <w:divBdr>
        <w:top w:val="none" w:sz="0" w:space="0" w:color="auto"/>
        <w:left w:val="none" w:sz="0" w:space="0" w:color="auto"/>
        <w:bottom w:val="none" w:sz="0" w:space="0" w:color="auto"/>
        <w:right w:val="none" w:sz="0" w:space="0" w:color="auto"/>
      </w:divBdr>
    </w:div>
    <w:div w:id="178466444">
      <w:bodyDiv w:val="1"/>
      <w:marLeft w:val="0"/>
      <w:marRight w:val="0"/>
      <w:marTop w:val="0"/>
      <w:marBottom w:val="0"/>
      <w:divBdr>
        <w:top w:val="none" w:sz="0" w:space="0" w:color="auto"/>
        <w:left w:val="none" w:sz="0" w:space="0" w:color="auto"/>
        <w:bottom w:val="none" w:sz="0" w:space="0" w:color="auto"/>
        <w:right w:val="none" w:sz="0" w:space="0" w:color="auto"/>
      </w:divBdr>
    </w:div>
    <w:div w:id="358698797">
      <w:bodyDiv w:val="1"/>
      <w:marLeft w:val="0"/>
      <w:marRight w:val="0"/>
      <w:marTop w:val="0"/>
      <w:marBottom w:val="0"/>
      <w:divBdr>
        <w:top w:val="none" w:sz="0" w:space="0" w:color="auto"/>
        <w:left w:val="none" w:sz="0" w:space="0" w:color="auto"/>
        <w:bottom w:val="none" w:sz="0" w:space="0" w:color="auto"/>
        <w:right w:val="none" w:sz="0" w:space="0" w:color="auto"/>
      </w:divBdr>
    </w:div>
    <w:div w:id="407969309">
      <w:bodyDiv w:val="1"/>
      <w:marLeft w:val="0"/>
      <w:marRight w:val="0"/>
      <w:marTop w:val="0"/>
      <w:marBottom w:val="0"/>
      <w:divBdr>
        <w:top w:val="none" w:sz="0" w:space="0" w:color="auto"/>
        <w:left w:val="none" w:sz="0" w:space="0" w:color="auto"/>
        <w:bottom w:val="none" w:sz="0" w:space="0" w:color="auto"/>
        <w:right w:val="none" w:sz="0" w:space="0" w:color="auto"/>
      </w:divBdr>
      <w:divsChild>
        <w:div w:id="548344383">
          <w:marLeft w:val="0"/>
          <w:marRight w:val="0"/>
          <w:marTop w:val="0"/>
          <w:marBottom w:val="0"/>
          <w:divBdr>
            <w:top w:val="none" w:sz="0" w:space="0" w:color="auto"/>
            <w:left w:val="none" w:sz="0" w:space="0" w:color="auto"/>
            <w:bottom w:val="none" w:sz="0" w:space="0" w:color="auto"/>
            <w:right w:val="none" w:sz="0" w:space="0" w:color="auto"/>
          </w:divBdr>
        </w:div>
      </w:divsChild>
    </w:div>
    <w:div w:id="461391354">
      <w:bodyDiv w:val="1"/>
      <w:marLeft w:val="0"/>
      <w:marRight w:val="0"/>
      <w:marTop w:val="0"/>
      <w:marBottom w:val="0"/>
      <w:divBdr>
        <w:top w:val="none" w:sz="0" w:space="0" w:color="auto"/>
        <w:left w:val="none" w:sz="0" w:space="0" w:color="auto"/>
        <w:bottom w:val="none" w:sz="0" w:space="0" w:color="auto"/>
        <w:right w:val="none" w:sz="0" w:space="0" w:color="auto"/>
      </w:divBdr>
    </w:div>
    <w:div w:id="858933369">
      <w:bodyDiv w:val="1"/>
      <w:marLeft w:val="0"/>
      <w:marRight w:val="0"/>
      <w:marTop w:val="0"/>
      <w:marBottom w:val="0"/>
      <w:divBdr>
        <w:top w:val="none" w:sz="0" w:space="0" w:color="auto"/>
        <w:left w:val="none" w:sz="0" w:space="0" w:color="auto"/>
        <w:bottom w:val="none" w:sz="0" w:space="0" w:color="auto"/>
        <w:right w:val="none" w:sz="0" w:space="0" w:color="auto"/>
      </w:divBdr>
    </w:div>
    <w:div w:id="953442967">
      <w:bodyDiv w:val="1"/>
      <w:marLeft w:val="0"/>
      <w:marRight w:val="0"/>
      <w:marTop w:val="0"/>
      <w:marBottom w:val="0"/>
      <w:divBdr>
        <w:top w:val="none" w:sz="0" w:space="0" w:color="auto"/>
        <w:left w:val="none" w:sz="0" w:space="0" w:color="auto"/>
        <w:bottom w:val="none" w:sz="0" w:space="0" w:color="auto"/>
        <w:right w:val="none" w:sz="0" w:space="0" w:color="auto"/>
      </w:divBdr>
    </w:div>
    <w:div w:id="969945850">
      <w:bodyDiv w:val="1"/>
      <w:marLeft w:val="0"/>
      <w:marRight w:val="0"/>
      <w:marTop w:val="0"/>
      <w:marBottom w:val="0"/>
      <w:divBdr>
        <w:top w:val="none" w:sz="0" w:space="0" w:color="auto"/>
        <w:left w:val="none" w:sz="0" w:space="0" w:color="auto"/>
        <w:bottom w:val="none" w:sz="0" w:space="0" w:color="auto"/>
        <w:right w:val="none" w:sz="0" w:space="0" w:color="auto"/>
      </w:divBdr>
    </w:div>
    <w:div w:id="1071538834">
      <w:bodyDiv w:val="1"/>
      <w:marLeft w:val="0"/>
      <w:marRight w:val="0"/>
      <w:marTop w:val="0"/>
      <w:marBottom w:val="0"/>
      <w:divBdr>
        <w:top w:val="none" w:sz="0" w:space="0" w:color="auto"/>
        <w:left w:val="none" w:sz="0" w:space="0" w:color="auto"/>
        <w:bottom w:val="none" w:sz="0" w:space="0" w:color="auto"/>
        <w:right w:val="none" w:sz="0" w:space="0" w:color="auto"/>
      </w:divBdr>
    </w:div>
    <w:div w:id="1353259601">
      <w:bodyDiv w:val="1"/>
      <w:marLeft w:val="0"/>
      <w:marRight w:val="0"/>
      <w:marTop w:val="0"/>
      <w:marBottom w:val="0"/>
      <w:divBdr>
        <w:top w:val="none" w:sz="0" w:space="0" w:color="auto"/>
        <w:left w:val="none" w:sz="0" w:space="0" w:color="auto"/>
        <w:bottom w:val="none" w:sz="0" w:space="0" w:color="auto"/>
        <w:right w:val="none" w:sz="0" w:space="0" w:color="auto"/>
      </w:divBdr>
    </w:div>
    <w:div w:id="1431897041">
      <w:bodyDiv w:val="1"/>
      <w:marLeft w:val="0"/>
      <w:marRight w:val="0"/>
      <w:marTop w:val="0"/>
      <w:marBottom w:val="0"/>
      <w:divBdr>
        <w:top w:val="none" w:sz="0" w:space="0" w:color="auto"/>
        <w:left w:val="none" w:sz="0" w:space="0" w:color="auto"/>
        <w:bottom w:val="none" w:sz="0" w:space="0" w:color="auto"/>
        <w:right w:val="none" w:sz="0" w:space="0" w:color="auto"/>
      </w:divBdr>
      <w:divsChild>
        <w:div w:id="469714687">
          <w:marLeft w:val="446"/>
          <w:marRight w:val="0"/>
          <w:marTop w:val="80"/>
          <w:marBottom w:val="80"/>
          <w:divBdr>
            <w:top w:val="none" w:sz="0" w:space="0" w:color="auto"/>
            <w:left w:val="none" w:sz="0" w:space="0" w:color="auto"/>
            <w:bottom w:val="none" w:sz="0" w:space="0" w:color="auto"/>
            <w:right w:val="none" w:sz="0" w:space="0" w:color="auto"/>
          </w:divBdr>
        </w:div>
        <w:div w:id="299385419">
          <w:marLeft w:val="446"/>
          <w:marRight w:val="0"/>
          <w:marTop w:val="80"/>
          <w:marBottom w:val="80"/>
          <w:divBdr>
            <w:top w:val="none" w:sz="0" w:space="0" w:color="auto"/>
            <w:left w:val="none" w:sz="0" w:space="0" w:color="auto"/>
            <w:bottom w:val="none" w:sz="0" w:space="0" w:color="auto"/>
            <w:right w:val="none" w:sz="0" w:space="0" w:color="auto"/>
          </w:divBdr>
        </w:div>
        <w:div w:id="792600202">
          <w:marLeft w:val="446"/>
          <w:marRight w:val="0"/>
          <w:marTop w:val="80"/>
          <w:marBottom w:val="80"/>
          <w:divBdr>
            <w:top w:val="none" w:sz="0" w:space="0" w:color="auto"/>
            <w:left w:val="none" w:sz="0" w:space="0" w:color="auto"/>
            <w:bottom w:val="none" w:sz="0" w:space="0" w:color="auto"/>
            <w:right w:val="none" w:sz="0" w:space="0" w:color="auto"/>
          </w:divBdr>
        </w:div>
        <w:div w:id="270237273">
          <w:marLeft w:val="446"/>
          <w:marRight w:val="0"/>
          <w:marTop w:val="80"/>
          <w:marBottom w:val="80"/>
          <w:divBdr>
            <w:top w:val="none" w:sz="0" w:space="0" w:color="auto"/>
            <w:left w:val="none" w:sz="0" w:space="0" w:color="auto"/>
            <w:bottom w:val="none" w:sz="0" w:space="0" w:color="auto"/>
            <w:right w:val="none" w:sz="0" w:space="0" w:color="auto"/>
          </w:divBdr>
        </w:div>
        <w:div w:id="1079056096">
          <w:marLeft w:val="446"/>
          <w:marRight w:val="0"/>
          <w:marTop w:val="80"/>
          <w:marBottom w:val="80"/>
          <w:divBdr>
            <w:top w:val="none" w:sz="0" w:space="0" w:color="auto"/>
            <w:left w:val="none" w:sz="0" w:space="0" w:color="auto"/>
            <w:bottom w:val="none" w:sz="0" w:space="0" w:color="auto"/>
            <w:right w:val="none" w:sz="0" w:space="0" w:color="auto"/>
          </w:divBdr>
        </w:div>
        <w:div w:id="971056829">
          <w:marLeft w:val="446"/>
          <w:marRight w:val="0"/>
          <w:marTop w:val="80"/>
          <w:marBottom w:val="80"/>
          <w:divBdr>
            <w:top w:val="none" w:sz="0" w:space="0" w:color="auto"/>
            <w:left w:val="none" w:sz="0" w:space="0" w:color="auto"/>
            <w:bottom w:val="none" w:sz="0" w:space="0" w:color="auto"/>
            <w:right w:val="none" w:sz="0" w:space="0" w:color="auto"/>
          </w:divBdr>
        </w:div>
        <w:div w:id="421876590">
          <w:marLeft w:val="446"/>
          <w:marRight w:val="0"/>
          <w:marTop w:val="80"/>
          <w:marBottom w:val="80"/>
          <w:divBdr>
            <w:top w:val="none" w:sz="0" w:space="0" w:color="auto"/>
            <w:left w:val="none" w:sz="0" w:space="0" w:color="auto"/>
            <w:bottom w:val="none" w:sz="0" w:space="0" w:color="auto"/>
            <w:right w:val="none" w:sz="0" w:space="0" w:color="auto"/>
          </w:divBdr>
        </w:div>
      </w:divsChild>
    </w:div>
    <w:div w:id="1779444192">
      <w:marLeft w:val="0"/>
      <w:marRight w:val="0"/>
      <w:marTop w:val="0"/>
      <w:marBottom w:val="0"/>
      <w:divBdr>
        <w:top w:val="none" w:sz="0" w:space="0" w:color="auto"/>
        <w:left w:val="none" w:sz="0" w:space="0" w:color="auto"/>
        <w:bottom w:val="none" w:sz="0" w:space="0" w:color="auto"/>
        <w:right w:val="none" w:sz="0" w:space="0" w:color="auto"/>
      </w:divBdr>
    </w:div>
    <w:div w:id="1779444200">
      <w:marLeft w:val="0"/>
      <w:marRight w:val="0"/>
      <w:marTop w:val="0"/>
      <w:marBottom w:val="0"/>
      <w:divBdr>
        <w:top w:val="none" w:sz="0" w:space="0" w:color="auto"/>
        <w:left w:val="none" w:sz="0" w:space="0" w:color="auto"/>
        <w:bottom w:val="none" w:sz="0" w:space="0" w:color="auto"/>
        <w:right w:val="none" w:sz="0" w:space="0" w:color="auto"/>
      </w:divBdr>
      <w:divsChild>
        <w:div w:id="1779444218">
          <w:marLeft w:val="0"/>
          <w:marRight w:val="0"/>
          <w:marTop w:val="0"/>
          <w:marBottom w:val="0"/>
          <w:divBdr>
            <w:top w:val="none" w:sz="0" w:space="0" w:color="auto"/>
            <w:left w:val="none" w:sz="0" w:space="0" w:color="auto"/>
            <w:bottom w:val="none" w:sz="0" w:space="0" w:color="auto"/>
            <w:right w:val="none" w:sz="0" w:space="0" w:color="auto"/>
          </w:divBdr>
        </w:div>
        <w:div w:id="1779444320">
          <w:marLeft w:val="0"/>
          <w:marRight w:val="0"/>
          <w:marTop w:val="0"/>
          <w:marBottom w:val="0"/>
          <w:divBdr>
            <w:top w:val="none" w:sz="0" w:space="0" w:color="auto"/>
            <w:left w:val="none" w:sz="0" w:space="0" w:color="auto"/>
            <w:bottom w:val="none" w:sz="0" w:space="0" w:color="auto"/>
            <w:right w:val="none" w:sz="0" w:space="0" w:color="auto"/>
          </w:divBdr>
        </w:div>
        <w:div w:id="1779444348">
          <w:marLeft w:val="0"/>
          <w:marRight w:val="0"/>
          <w:marTop w:val="0"/>
          <w:marBottom w:val="0"/>
          <w:divBdr>
            <w:top w:val="none" w:sz="0" w:space="0" w:color="auto"/>
            <w:left w:val="none" w:sz="0" w:space="0" w:color="auto"/>
            <w:bottom w:val="none" w:sz="0" w:space="0" w:color="auto"/>
            <w:right w:val="none" w:sz="0" w:space="0" w:color="auto"/>
          </w:divBdr>
        </w:div>
        <w:div w:id="1779444360">
          <w:marLeft w:val="0"/>
          <w:marRight w:val="0"/>
          <w:marTop w:val="0"/>
          <w:marBottom w:val="0"/>
          <w:divBdr>
            <w:top w:val="none" w:sz="0" w:space="0" w:color="auto"/>
            <w:left w:val="none" w:sz="0" w:space="0" w:color="auto"/>
            <w:bottom w:val="none" w:sz="0" w:space="0" w:color="auto"/>
            <w:right w:val="none" w:sz="0" w:space="0" w:color="auto"/>
          </w:divBdr>
        </w:div>
        <w:div w:id="1779444393">
          <w:marLeft w:val="0"/>
          <w:marRight w:val="0"/>
          <w:marTop w:val="0"/>
          <w:marBottom w:val="0"/>
          <w:divBdr>
            <w:top w:val="none" w:sz="0" w:space="0" w:color="auto"/>
            <w:left w:val="none" w:sz="0" w:space="0" w:color="auto"/>
            <w:bottom w:val="none" w:sz="0" w:space="0" w:color="auto"/>
            <w:right w:val="none" w:sz="0" w:space="0" w:color="auto"/>
          </w:divBdr>
        </w:div>
        <w:div w:id="1779444434">
          <w:marLeft w:val="0"/>
          <w:marRight w:val="0"/>
          <w:marTop w:val="0"/>
          <w:marBottom w:val="0"/>
          <w:divBdr>
            <w:top w:val="none" w:sz="0" w:space="0" w:color="auto"/>
            <w:left w:val="none" w:sz="0" w:space="0" w:color="auto"/>
            <w:bottom w:val="none" w:sz="0" w:space="0" w:color="auto"/>
            <w:right w:val="none" w:sz="0" w:space="0" w:color="auto"/>
          </w:divBdr>
        </w:div>
      </w:divsChild>
    </w:div>
    <w:div w:id="1779444204">
      <w:marLeft w:val="0"/>
      <w:marRight w:val="0"/>
      <w:marTop w:val="0"/>
      <w:marBottom w:val="0"/>
      <w:divBdr>
        <w:top w:val="none" w:sz="0" w:space="0" w:color="auto"/>
        <w:left w:val="none" w:sz="0" w:space="0" w:color="auto"/>
        <w:bottom w:val="none" w:sz="0" w:space="0" w:color="auto"/>
        <w:right w:val="none" w:sz="0" w:space="0" w:color="auto"/>
      </w:divBdr>
      <w:divsChild>
        <w:div w:id="1779444202">
          <w:marLeft w:val="0"/>
          <w:marRight w:val="0"/>
          <w:marTop w:val="0"/>
          <w:marBottom w:val="0"/>
          <w:divBdr>
            <w:top w:val="none" w:sz="0" w:space="0" w:color="auto"/>
            <w:left w:val="none" w:sz="0" w:space="0" w:color="auto"/>
            <w:bottom w:val="none" w:sz="0" w:space="0" w:color="auto"/>
            <w:right w:val="none" w:sz="0" w:space="0" w:color="auto"/>
          </w:divBdr>
        </w:div>
        <w:div w:id="1779444385">
          <w:marLeft w:val="0"/>
          <w:marRight w:val="0"/>
          <w:marTop w:val="0"/>
          <w:marBottom w:val="0"/>
          <w:divBdr>
            <w:top w:val="none" w:sz="0" w:space="0" w:color="auto"/>
            <w:left w:val="none" w:sz="0" w:space="0" w:color="auto"/>
            <w:bottom w:val="none" w:sz="0" w:space="0" w:color="auto"/>
            <w:right w:val="none" w:sz="0" w:space="0" w:color="auto"/>
          </w:divBdr>
        </w:div>
        <w:div w:id="1779444394">
          <w:marLeft w:val="0"/>
          <w:marRight w:val="0"/>
          <w:marTop w:val="0"/>
          <w:marBottom w:val="0"/>
          <w:divBdr>
            <w:top w:val="none" w:sz="0" w:space="0" w:color="auto"/>
            <w:left w:val="none" w:sz="0" w:space="0" w:color="auto"/>
            <w:bottom w:val="none" w:sz="0" w:space="0" w:color="auto"/>
            <w:right w:val="none" w:sz="0" w:space="0" w:color="auto"/>
          </w:divBdr>
        </w:div>
        <w:div w:id="1779444416">
          <w:marLeft w:val="0"/>
          <w:marRight w:val="0"/>
          <w:marTop w:val="0"/>
          <w:marBottom w:val="0"/>
          <w:divBdr>
            <w:top w:val="none" w:sz="0" w:space="0" w:color="auto"/>
            <w:left w:val="none" w:sz="0" w:space="0" w:color="auto"/>
            <w:bottom w:val="none" w:sz="0" w:space="0" w:color="auto"/>
            <w:right w:val="none" w:sz="0" w:space="0" w:color="auto"/>
          </w:divBdr>
        </w:div>
        <w:div w:id="1779444485">
          <w:marLeft w:val="0"/>
          <w:marRight w:val="0"/>
          <w:marTop w:val="0"/>
          <w:marBottom w:val="0"/>
          <w:divBdr>
            <w:top w:val="none" w:sz="0" w:space="0" w:color="auto"/>
            <w:left w:val="none" w:sz="0" w:space="0" w:color="auto"/>
            <w:bottom w:val="none" w:sz="0" w:space="0" w:color="auto"/>
            <w:right w:val="none" w:sz="0" w:space="0" w:color="auto"/>
          </w:divBdr>
        </w:div>
      </w:divsChild>
    </w:div>
    <w:div w:id="1779444205">
      <w:marLeft w:val="0"/>
      <w:marRight w:val="0"/>
      <w:marTop w:val="0"/>
      <w:marBottom w:val="0"/>
      <w:divBdr>
        <w:top w:val="none" w:sz="0" w:space="0" w:color="auto"/>
        <w:left w:val="none" w:sz="0" w:space="0" w:color="auto"/>
        <w:bottom w:val="none" w:sz="0" w:space="0" w:color="auto"/>
        <w:right w:val="none" w:sz="0" w:space="0" w:color="auto"/>
      </w:divBdr>
      <w:divsChild>
        <w:div w:id="1779444386">
          <w:marLeft w:val="0"/>
          <w:marRight w:val="0"/>
          <w:marTop w:val="0"/>
          <w:marBottom w:val="0"/>
          <w:divBdr>
            <w:top w:val="none" w:sz="0" w:space="0" w:color="auto"/>
            <w:left w:val="none" w:sz="0" w:space="0" w:color="auto"/>
            <w:bottom w:val="none" w:sz="0" w:space="0" w:color="auto"/>
            <w:right w:val="none" w:sz="0" w:space="0" w:color="auto"/>
          </w:divBdr>
        </w:div>
        <w:div w:id="1779444389">
          <w:marLeft w:val="0"/>
          <w:marRight w:val="0"/>
          <w:marTop w:val="0"/>
          <w:marBottom w:val="0"/>
          <w:divBdr>
            <w:top w:val="none" w:sz="0" w:space="0" w:color="auto"/>
            <w:left w:val="none" w:sz="0" w:space="0" w:color="auto"/>
            <w:bottom w:val="none" w:sz="0" w:space="0" w:color="auto"/>
            <w:right w:val="none" w:sz="0" w:space="0" w:color="auto"/>
          </w:divBdr>
        </w:div>
        <w:div w:id="1779444511">
          <w:marLeft w:val="0"/>
          <w:marRight w:val="0"/>
          <w:marTop w:val="0"/>
          <w:marBottom w:val="0"/>
          <w:divBdr>
            <w:top w:val="none" w:sz="0" w:space="0" w:color="auto"/>
            <w:left w:val="none" w:sz="0" w:space="0" w:color="auto"/>
            <w:bottom w:val="none" w:sz="0" w:space="0" w:color="auto"/>
            <w:right w:val="none" w:sz="0" w:space="0" w:color="auto"/>
          </w:divBdr>
        </w:div>
      </w:divsChild>
    </w:div>
    <w:div w:id="1779444208">
      <w:marLeft w:val="0"/>
      <w:marRight w:val="0"/>
      <w:marTop w:val="0"/>
      <w:marBottom w:val="0"/>
      <w:divBdr>
        <w:top w:val="none" w:sz="0" w:space="0" w:color="auto"/>
        <w:left w:val="none" w:sz="0" w:space="0" w:color="auto"/>
        <w:bottom w:val="none" w:sz="0" w:space="0" w:color="auto"/>
        <w:right w:val="none" w:sz="0" w:space="0" w:color="auto"/>
      </w:divBdr>
      <w:divsChild>
        <w:div w:id="1779444292">
          <w:marLeft w:val="0"/>
          <w:marRight w:val="0"/>
          <w:marTop w:val="0"/>
          <w:marBottom w:val="0"/>
          <w:divBdr>
            <w:top w:val="none" w:sz="0" w:space="0" w:color="auto"/>
            <w:left w:val="none" w:sz="0" w:space="0" w:color="auto"/>
            <w:bottom w:val="none" w:sz="0" w:space="0" w:color="auto"/>
            <w:right w:val="none" w:sz="0" w:space="0" w:color="auto"/>
          </w:divBdr>
        </w:div>
        <w:div w:id="1779444444">
          <w:marLeft w:val="0"/>
          <w:marRight w:val="0"/>
          <w:marTop w:val="0"/>
          <w:marBottom w:val="0"/>
          <w:divBdr>
            <w:top w:val="none" w:sz="0" w:space="0" w:color="auto"/>
            <w:left w:val="none" w:sz="0" w:space="0" w:color="auto"/>
            <w:bottom w:val="none" w:sz="0" w:space="0" w:color="auto"/>
            <w:right w:val="none" w:sz="0" w:space="0" w:color="auto"/>
          </w:divBdr>
        </w:div>
        <w:div w:id="1779444449">
          <w:marLeft w:val="0"/>
          <w:marRight w:val="0"/>
          <w:marTop w:val="0"/>
          <w:marBottom w:val="0"/>
          <w:divBdr>
            <w:top w:val="none" w:sz="0" w:space="0" w:color="auto"/>
            <w:left w:val="none" w:sz="0" w:space="0" w:color="auto"/>
            <w:bottom w:val="none" w:sz="0" w:space="0" w:color="auto"/>
            <w:right w:val="none" w:sz="0" w:space="0" w:color="auto"/>
          </w:divBdr>
        </w:div>
      </w:divsChild>
    </w:div>
    <w:div w:id="1779444211">
      <w:marLeft w:val="0"/>
      <w:marRight w:val="0"/>
      <w:marTop w:val="0"/>
      <w:marBottom w:val="0"/>
      <w:divBdr>
        <w:top w:val="none" w:sz="0" w:space="0" w:color="auto"/>
        <w:left w:val="none" w:sz="0" w:space="0" w:color="auto"/>
        <w:bottom w:val="none" w:sz="0" w:space="0" w:color="auto"/>
        <w:right w:val="none" w:sz="0" w:space="0" w:color="auto"/>
      </w:divBdr>
    </w:div>
    <w:div w:id="1779444216">
      <w:marLeft w:val="0"/>
      <w:marRight w:val="0"/>
      <w:marTop w:val="0"/>
      <w:marBottom w:val="0"/>
      <w:divBdr>
        <w:top w:val="none" w:sz="0" w:space="0" w:color="auto"/>
        <w:left w:val="none" w:sz="0" w:space="0" w:color="auto"/>
        <w:bottom w:val="none" w:sz="0" w:space="0" w:color="auto"/>
        <w:right w:val="none" w:sz="0" w:space="0" w:color="auto"/>
      </w:divBdr>
      <w:divsChild>
        <w:div w:id="1779444194">
          <w:marLeft w:val="0"/>
          <w:marRight w:val="0"/>
          <w:marTop w:val="0"/>
          <w:marBottom w:val="0"/>
          <w:divBdr>
            <w:top w:val="none" w:sz="0" w:space="0" w:color="auto"/>
            <w:left w:val="none" w:sz="0" w:space="0" w:color="auto"/>
            <w:bottom w:val="none" w:sz="0" w:space="0" w:color="auto"/>
            <w:right w:val="none" w:sz="0" w:space="0" w:color="auto"/>
          </w:divBdr>
        </w:div>
        <w:div w:id="1779444229">
          <w:marLeft w:val="0"/>
          <w:marRight w:val="0"/>
          <w:marTop w:val="0"/>
          <w:marBottom w:val="0"/>
          <w:divBdr>
            <w:top w:val="none" w:sz="0" w:space="0" w:color="auto"/>
            <w:left w:val="none" w:sz="0" w:space="0" w:color="auto"/>
            <w:bottom w:val="none" w:sz="0" w:space="0" w:color="auto"/>
            <w:right w:val="none" w:sz="0" w:space="0" w:color="auto"/>
          </w:divBdr>
        </w:div>
        <w:div w:id="1779444237">
          <w:marLeft w:val="0"/>
          <w:marRight w:val="0"/>
          <w:marTop w:val="0"/>
          <w:marBottom w:val="0"/>
          <w:divBdr>
            <w:top w:val="none" w:sz="0" w:space="0" w:color="auto"/>
            <w:left w:val="none" w:sz="0" w:space="0" w:color="auto"/>
            <w:bottom w:val="none" w:sz="0" w:space="0" w:color="auto"/>
            <w:right w:val="none" w:sz="0" w:space="0" w:color="auto"/>
          </w:divBdr>
        </w:div>
        <w:div w:id="1779444238">
          <w:marLeft w:val="0"/>
          <w:marRight w:val="0"/>
          <w:marTop w:val="0"/>
          <w:marBottom w:val="0"/>
          <w:divBdr>
            <w:top w:val="none" w:sz="0" w:space="0" w:color="auto"/>
            <w:left w:val="none" w:sz="0" w:space="0" w:color="auto"/>
            <w:bottom w:val="none" w:sz="0" w:space="0" w:color="auto"/>
            <w:right w:val="none" w:sz="0" w:space="0" w:color="auto"/>
          </w:divBdr>
        </w:div>
        <w:div w:id="1779444245">
          <w:marLeft w:val="0"/>
          <w:marRight w:val="0"/>
          <w:marTop w:val="0"/>
          <w:marBottom w:val="0"/>
          <w:divBdr>
            <w:top w:val="none" w:sz="0" w:space="0" w:color="auto"/>
            <w:left w:val="none" w:sz="0" w:space="0" w:color="auto"/>
            <w:bottom w:val="none" w:sz="0" w:space="0" w:color="auto"/>
            <w:right w:val="none" w:sz="0" w:space="0" w:color="auto"/>
          </w:divBdr>
        </w:div>
        <w:div w:id="1779444248">
          <w:marLeft w:val="0"/>
          <w:marRight w:val="0"/>
          <w:marTop w:val="0"/>
          <w:marBottom w:val="0"/>
          <w:divBdr>
            <w:top w:val="none" w:sz="0" w:space="0" w:color="auto"/>
            <w:left w:val="none" w:sz="0" w:space="0" w:color="auto"/>
            <w:bottom w:val="none" w:sz="0" w:space="0" w:color="auto"/>
            <w:right w:val="none" w:sz="0" w:space="0" w:color="auto"/>
          </w:divBdr>
        </w:div>
        <w:div w:id="1779444250">
          <w:marLeft w:val="0"/>
          <w:marRight w:val="0"/>
          <w:marTop w:val="0"/>
          <w:marBottom w:val="0"/>
          <w:divBdr>
            <w:top w:val="none" w:sz="0" w:space="0" w:color="auto"/>
            <w:left w:val="none" w:sz="0" w:space="0" w:color="auto"/>
            <w:bottom w:val="none" w:sz="0" w:space="0" w:color="auto"/>
            <w:right w:val="none" w:sz="0" w:space="0" w:color="auto"/>
          </w:divBdr>
        </w:div>
        <w:div w:id="1779444254">
          <w:marLeft w:val="0"/>
          <w:marRight w:val="0"/>
          <w:marTop w:val="0"/>
          <w:marBottom w:val="0"/>
          <w:divBdr>
            <w:top w:val="none" w:sz="0" w:space="0" w:color="auto"/>
            <w:left w:val="none" w:sz="0" w:space="0" w:color="auto"/>
            <w:bottom w:val="none" w:sz="0" w:space="0" w:color="auto"/>
            <w:right w:val="none" w:sz="0" w:space="0" w:color="auto"/>
          </w:divBdr>
        </w:div>
        <w:div w:id="1779444268">
          <w:marLeft w:val="0"/>
          <w:marRight w:val="0"/>
          <w:marTop w:val="0"/>
          <w:marBottom w:val="0"/>
          <w:divBdr>
            <w:top w:val="none" w:sz="0" w:space="0" w:color="auto"/>
            <w:left w:val="none" w:sz="0" w:space="0" w:color="auto"/>
            <w:bottom w:val="none" w:sz="0" w:space="0" w:color="auto"/>
            <w:right w:val="none" w:sz="0" w:space="0" w:color="auto"/>
          </w:divBdr>
        </w:div>
        <w:div w:id="1779444273">
          <w:marLeft w:val="0"/>
          <w:marRight w:val="0"/>
          <w:marTop w:val="0"/>
          <w:marBottom w:val="0"/>
          <w:divBdr>
            <w:top w:val="none" w:sz="0" w:space="0" w:color="auto"/>
            <w:left w:val="none" w:sz="0" w:space="0" w:color="auto"/>
            <w:bottom w:val="none" w:sz="0" w:space="0" w:color="auto"/>
            <w:right w:val="none" w:sz="0" w:space="0" w:color="auto"/>
          </w:divBdr>
        </w:div>
        <w:div w:id="1779444326">
          <w:marLeft w:val="0"/>
          <w:marRight w:val="0"/>
          <w:marTop w:val="0"/>
          <w:marBottom w:val="0"/>
          <w:divBdr>
            <w:top w:val="none" w:sz="0" w:space="0" w:color="auto"/>
            <w:left w:val="none" w:sz="0" w:space="0" w:color="auto"/>
            <w:bottom w:val="none" w:sz="0" w:space="0" w:color="auto"/>
            <w:right w:val="none" w:sz="0" w:space="0" w:color="auto"/>
          </w:divBdr>
        </w:div>
        <w:div w:id="1779444332">
          <w:marLeft w:val="0"/>
          <w:marRight w:val="0"/>
          <w:marTop w:val="0"/>
          <w:marBottom w:val="0"/>
          <w:divBdr>
            <w:top w:val="none" w:sz="0" w:space="0" w:color="auto"/>
            <w:left w:val="none" w:sz="0" w:space="0" w:color="auto"/>
            <w:bottom w:val="none" w:sz="0" w:space="0" w:color="auto"/>
            <w:right w:val="none" w:sz="0" w:space="0" w:color="auto"/>
          </w:divBdr>
        </w:div>
        <w:div w:id="1779444347">
          <w:marLeft w:val="0"/>
          <w:marRight w:val="0"/>
          <w:marTop w:val="0"/>
          <w:marBottom w:val="0"/>
          <w:divBdr>
            <w:top w:val="none" w:sz="0" w:space="0" w:color="auto"/>
            <w:left w:val="none" w:sz="0" w:space="0" w:color="auto"/>
            <w:bottom w:val="none" w:sz="0" w:space="0" w:color="auto"/>
            <w:right w:val="none" w:sz="0" w:space="0" w:color="auto"/>
          </w:divBdr>
        </w:div>
        <w:div w:id="1779444352">
          <w:marLeft w:val="0"/>
          <w:marRight w:val="0"/>
          <w:marTop w:val="0"/>
          <w:marBottom w:val="0"/>
          <w:divBdr>
            <w:top w:val="none" w:sz="0" w:space="0" w:color="auto"/>
            <w:left w:val="none" w:sz="0" w:space="0" w:color="auto"/>
            <w:bottom w:val="none" w:sz="0" w:space="0" w:color="auto"/>
            <w:right w:val="none" w:sz="0" w:space="0" w:color="auto"/>
          </w:divBdr>
        </w:div>
        <w:div w:id="1779444372">
          <w:marLeft w:val="0"/>
          <w:marRight w:val="0"/>
          <w:marTop w:val="0"/>
          <w:marBottom w:val="0"/>
          <w:divBdr>
            <w:top w:val="none" w:sz="0" w:space="0" w:color="auto"/>
            <w:left w:val="none" w:sz="0" w:space="0" w:color="auto"/>
            <w:bottom w:val="none" w:sz="0" w:space="0" w:color="auto"/>
            <w:right w:val="none" w:sz="0" w:space="0" w:color="auto"/>
          </w:divBdr>
        </w:div>
        <w:div w:id="1779444376">
          <w:marLeft w:val="0"/>
          <w:marRight w:val="0"/>
          <w:marTop w:val="0"/>
          <w:marBottom w:val="0"/>
          <w:divBdr>
            <w:top w:val="none" w:sz="0" w:space="0" w:color="auto"/>
            <w:left w:val="none" w:sz="0" w:space="0" w:color="auto"/>
            <w:bottom w:val="none" w:sz="0" w:space="0" w:color="auto"/>
            <w:right w:val="none" w:sz="0" w:space="0" w:color="auto"/>
          </w:divBdr>
        </w:div>
        <w:div w:id="1779444377">
          <w:marLeft w:val="0"/>
          <w:marRight w:val="0"/>
          <w:marTop w:val="0"/>
          <w:marBottom w:val="0"/>
          <w:divBdr>
            <w:top w:val="none" w:sz="0" w:space="0" w:color="auto"/>
            <w:left w:val="none" w:sz="0" w:space="0" w:color="auto"/>
            <w:bottom w:val="none" w:sz="0" w:space="0" w:color="auto"/>
            <w:right w:val="none" w:sz="0" w:space="0" w:color="auto"/>
          </w:divBdr>
        </w:div>
        <w:div w:id="1779444396">
          <w:marLeft w:val="0"/>
          <w:marRight w:val="0"/>
          <w:marTop w:val="0"/>
          <w:marBottom w:val="0"/>
          <w:divBdr>
            <w:top w:val="none" w:sz="0" w:space="0" w:color="auto"/>
            <w:left w:val="none" w:sz="0" w:space="0" w:color="auto"/>
            <w:bottom w:val="none" w:sz="0" w:space="0" w:color="auto"/>
            <w:right w:val="none" w:sz="0" w:space="0" w:color="auto"/>
          </w:divBdr>
        </w:div>
        <w:div w:id="1779444429">
          <w:marLeft w:val="0"/>
          <w:marRight w:val="0"/>
          <w:marTop w:val="0"/>
          <w:marBottom w:val="0"/>
          <w:divBdr>
            <w:top w:val="none" w:sz="0" w:space="0" w:color="auto"/>
            <w:left w:val="none" w:sz="0" w:space="0" w:color="auto"/>
            <w:bottom w:val="none" w:sz="0" w:space="0" w:color="auto"/>
            <w:right w:val="none" w:sz="0" w:space="0" w:color="auto"/>
          </w:divBdr>
        </w:div>
        <w:div w:id="1779444435">
          <w:marLeft w:val="0"/>
          <w:marRight w:val="0"/>
          <w:marTop w:val="0"/>
          <w:marBottom w:val="0"/>
          <w:divBdr>
            <w:top w:val="none" w:sz="0" w:space="0" w:color="auto"/>
            <w:left w:val="none" w:sz="0" w:space="0" w:color="auto"/>
            <w:bottom w:val="none" w:sz="0" w:space="0" w:color="auto"/>
            <w:right w:val="none" w:sz="0" w:space="0" w:color="auto"/>
          </w:divBdr>
        </w:div>
        <w:div w:id="1779444459">
          <w:marLeft w:val="0"/>
          <w:marRight w:val="0"/>
          <w:marTop w:val="0"/>
          <w:marBottom w:val="0"/>
          <w:divBdr>
            <w:top w:val="none" w:sz="0" w:space="0" w:color="auto"/>
            <w:left w:val="none" w:sz="0" w:space="0" w:color="auto"/>
            <w:bottom w:val="none" w:sz="0" w:space="0" w:color="auto"/>
            <w:right w:val="none" w:sz="0" w:space="0" w:color="auto"/>
          </w:divBdr>
        </w:div>
        <w:div w:id="1779444500">
          <w:marLeft w:val="0"/>
          <w:marRight w:val="0"/>
          <w:marTop w:val="0"/>
          <w:marBottom w:val="0"/>
          <w:divBdr>
            <w:top w:val="none" w:sz="0" w:space="0" w:color="auto"/>
            <w:left w:val="none" w:sz="0" w:space="0" w:color="auto"/>
            <w:bottom w:val="none" w:sz="0" w:space="0" w:color="auto"/>
            <w:right w:val="none" w:sz="0" w:space="0" w:color="auto"/>
          </w:divBdr>
        </w:div>
        <w:div w:id="1779444507">
          <w:marLeft w:val="0"/>
          <w:marRight w:val="0"/>
          <w:marTop w:val="0"/>
          <w:marBottom w:val="0"/>
          <w:divBdr>
            <w:top w:val="none" w:sz="0" w:space="0" w:color="auto"/>
            <w:left w:val="none" w:sz="0" w:space="0" w:color="auto"/>
            <w:bottom w:val="none" w:sz="0" w:space="0" w:color="auto"/>
            <w:right w:val="none" w:sz="0" w:space="0" w:color="auto"/>
          </w:divBdr>
        </w:div>
        <w:div w:id="1779444512">
          <w:marLeft w:val="0"/>
          <w:marRight w:val="0"/>
          <w:marTop w:val="0"/>
          <w:marBottom w:val="0"/>
          <w:divBdr>
            <w:top w:val="none" w:sz="0" w:space="0" w:color="auto"/>
            <w:left w:val="none" w:sz="0" w:space="0" w:color="auto"/>
            <w:bottom w:val="none" w:sz="0" w:space="0" w:color="auto"/>
            <w:right w:val="none" w:sz="0" w:space="0" w:color="auto"/>
          </w:divBdr>
        </w:div>
        <w:div w:id="1779444516">
          <w:marLeft w:val="0"/>
          <w:marRight w:val="0"/>
          <w:marTop w:val="0"/>
          <w:marBottom w:val="0"/>
          <w:divBdr>
            <w:top w:val="none" w:sz="0" w:space="0" w:color="auto"/>
            <w:left w:val="none" w:sz="0" w:space="0" w:color="auto"/>
            <w:bottom w:val="none" w:sz="0" w:space="0" w:color="auto"/>
            <w:right w:val="none" w:sz="0" w:space="0" w:color="auto"/>
          </w:divBdr>
        </w:div>
        <w:div w:id="1779444541">
          <w:marLeft w:val="0"/>
          <w:marRight w:val="0"/>
          <w:marTop w:val="0"/>
          <w:marBottom w:val="0"/>
          <w:divBdr>
            <w:top w:val="none" w:sz="0" w:space="0" w:color="auto"/>
            <w:left w:val="none" w:sz="0" w:space="0" w:color="auto"/>
            <w:bottom w:val="none" w:sz="0" w:space="0" w:color="auto"/>
            <w:right w:val="none" w:sz="0" w:space="0" w:color="auto"/>
          </w:divBdr>
        </w:div>
      </w:divsChild>
    </w:div>
    <w:div w:id="1779444219">
      <w:marLeft w:val="0"/>
      <w:marRight w:val="0"/>
      <w:marTop w:val="0"/>
      <w:marBottom w:val="0"/>
      <w:divBdr>
        <w:top w:val="none" w:sz="0" w:space="0" w:color="auto"/>
        <w:left w:val="none" w:sz="0" w:space="0" w:color="auto"/>
        <w:bottom w:val="none" w:sz="0" w:space="0" w:color="auto"/>
        <w:right w:val="none" w:sz="0" w:space="0" w:color="auto"/>
      </w:divBdr>
    </w:div>
    <w:div w:id="1779444221">
      <w:marLeft w:val="0"/>
      <w:marRight w:val="0"/>
      <w:marTop w:val="0"/>
      <w:marBottom w:val="0"/>
      <w:divBdr>
        <w:top w:val="none" w:sz="0" w:space="0" w:color="auto"/>
        <w:left w:val="none" w:sz="0" w:space="0" w:color="auto"/>
        <w:bottom w:val="none" w:sz="0" w:space="0" w:color="auto"/>
        <w:right w:val="none" w:sz="0" w:space="0" w:color="auto"/>
      </w:divBdr>
      <w:divsChild>
        <w:div w:id="1779444217">
          <w:marLeft w:val="0"/>
          <w:marRight w:val="0"/>
          <w:marTop w:val="0"/>
          <w:marBottom w:val="0"/>
          <w:divBdr>
            <w:top w:val="none" w:sz="0" w:space="0" w:color="auto"/>
            <w:left w:val="none" w:sz="0" w:space="0" w:color="auto"/>
            <w:bottom w:val="none" w:sz="0" w:space="0" w:color="auto"/>
            <w:right w:val="none" w:sz="0" w:space="0" w:color="auto"/>
          </w:divBdr>
        </w:div>
        <w:div w:id="1779444255">
          <w:marLeft w:val="0"/>
          <w:marRight w:val="0"/>
          <w:marTop w:val="0"/>
          <w:marBottom w:val="0"/>
          <w:divBdr>
            <w:top w:val="none" w:sz="0" w:space="0" w:color="auto"/>
            <w:left w:val="none" w:sz="0" w:space="0" w:color="auto"/>
            <w:bottom w:val="none" w:sz="0" w:space="0" w:color="auto"/>
            <w:right w:val="none" w:sz="0" w:space="0" w:color="auto"/>
          </w:divBdr>
        </w:div>
        <w:div w:id="1779444356">
          <w:marLeft w:val="0"/>
          <w:marRight w:val="0"/>
          <w:marTop w:val="0"/>
          <w:marBottom w:val="0"/>
          <w:divBdr>
            <w:top w:val="none" w:sz="0" w:space="0" w:color="auto"/>
            <w:left w:val="none" w:sz="0" w:space="0" w:color="auto"/>
            <w:bottom w:val="none" w:sz="0" w:space="0" w:color="auto"/>
            <w:right w:val="none" w:sz="0" w:space="0" w:color="auto"/>
          </w:divBdr>
        </w:div>
        <w:div w:id="1779444380">
          <w:marLeft w:val="0"/>
          <w:marRight w:val="0"/>
          <w:marTop w:val="0"/>
          <w:marBottom w:val="0"/>
          <w:divBdr>
            <w:top w:val="none" w:sz="0" w:space="0" w:color="auto"/>
            <w:left w:val="none" w:sz="0" w:space="0" w:color="auto"/>
            <w:bottom w:val="none" w:sz="0" w:space="0" w:color="auto"/>
            <w:right w:val="none" w:sz="0" w:space="0" w:color="auto"/>
          </w:divBdr>
        </w:div>
        <w:div w:id="1779444424">
          <w:marLeft w:val="0"/>
          <w:marRight w:val="0"/>
          <w:marTop w:val="0"/>
          <w:marBottom w:val="0"/>
          <w:divBdr>
            <w:top w:val="none" w:sz="0" w:space="0" w:color="auto"/>
            <w:left w:val="none" w:sz="0" w:space="0" w:color="auto"/>
            <w:bottom w:val="none" w:sz="0" w:space="0" w:color="auto"/>
            <w:right w:val="none" w:sz="0" w:space="0" w:color="auto"/>
          </w:divBdr>
        </w:div>
      </w:divsChild>
    </w:div>
    <w:div w:id="1779444226">
      <w:marLeft w:val="0"/>
      <w:marRight w:val="0"/>
      <w:marTop w:val="0"/>
      <w:marBottom w:val="0"/>
      <w:divBdr>
        <w:top w:val="none" w:sz="0" w:space="0" w:color="auto"/>
        <w:left w:val="none" w:sz="0" w:space="0" w:color="auto"/>
        <w:bottom w:val="none" w:sz="0" w:space="0" w:color="auto"/>
        <w:right w:val="none" w:sz="0" w:space="0" w:color="auto"/>
      </w:divBdr>
      <w:divsChild>
        <w:div w:id="1779444232">
          <w:marLeft w:val="0"/>
          <w:marRight w:val="0"/>
          <w:marTop w:val="0"/>
          <w:marBottom w:val="0"/>
          <w:divBdr>
            <w:top w:val="none" w:sz="0" w:space="0" w:color="auto"/>
            <w:left w:val="none" w:sz="0" w:space="0" w:color="auto"/>
            <w:bottom w:val="none" w:sz="0" w:space="0" w:color="auto"/>
            <w:right w:val="none" w:sz="0" w:space="0" w:color="auto"/>
          </w:divBdr>
        </w:div>
        <w:div w:id="1779444259">
          <w:marLeft w:val="0"/>
          <w:marRight w:val="0"/>
          <w:marTop w:val="0"/>
          <w:marBottom w:val="0"/>
          <w:divBdr>
            <w:top w:val="none" w:sz="0" w:space="0" w:color="auto"/>
            <w:left w:val="none" w:sz="0" w:space="0" w:color="auto"/>
            <w:bottom w:val="none" w:sz="0" w:space="0" w:color="auto"/>
            <w:right w:val="none" w:sz="0" w:space="0" w:color="auto"/>
          </w:divBdr>
        </w:div>
        <w:div w:id="1779444305">
          <w:marLeft w:val="0"/>
          <w:marRight w:val="0"/>
          <w:marTop w:val="0"/>
          <w:marBottom w:val="0"/>
          <w:divBdr>
            <w:top w:val="none" w:sz="0" w:space="0" w:color="auto"/>
            <w:left w:val="none" w:sz="0" w:space="0" w:color="auto"/>
            <w:bottom w:val="none" w:sz="0" w:space="0" w:color="auto"/>
            <w:right w:val="none" w:sz="0" w:space="0" w:color="auto"/>
          </w:divBdr>
        </w:div>
        <w:div w:id="1779444317">
          <w:marLeft w:val="0"/>
          <w:marRight w:val="0"/>
          <w:marTop w:val="0"/>
          <w:marBottom w:val="0"/>
          <w:divBdr>
            <w:top w:val="none" w:sz="0" w:space="0" w:color="auto"/>
            <w:left w:val="none" w:sz="0" w:space="0" w:color="auto"/>
            <w:bottom w:val="none" w:sz="0" w:space="0" w:color="auto"/>
            <w:right w:val="none" w:sz="0" w:space="0" w:color="auto"/>
          </w:divBdr>
        </w:div>
        <w:div w:id="1779444319">
          <w:marLeft w:val="0"/>
          <w:marRight w:val="0"/>
          <w:marTop w:val="0"/>
          <w:marBottom w:val="0"/>
          <w:divBdr>
            <w:top w:val="none" w:sz="0" w:space="0" w:color="auto"/>
            <w:left w:val="none" w:sz="0" w:space="0" w:color="auto"/>
            <w:bottom w:val="none" w:sz="0" w:space="0" w:color="auto"/>
            <w:right w:val="none" w:sz="0" w:space="0" w:color="auto"/>
          </w:divBdr>
        </w:div>
        <w:div w:id="1779444321">
          <w:marLeft w:val="0"/>
          <w:marRight w:val="0"/>
          <w:marTop w:val="0"/>
          <w:marBottom w:val="0"/>
          <w:divBdr>
            <w:top w:val="none" w:sz="0" w:space="0" w:color="auto"/>
            <w:left w:val="none" w:sz="0" w:space="0" w:color="auto"/>
            <w:bottom w:val="none" w:sz="0" w:space="0" w:color="auto"/>
            <w:right w:val="none" w:sz="0" w:space="0" w:color="auto"/>
          </w:divBdr>
        </w:div>
        <w:div w:id="1779444327">
          <w:marLeft w:val="0"/>
          <w:marRight w:val="0"/>
          <w:marTop w:val="0"/>
          <w:marBottom w:val="0"/>
          <w:divBdr>
            <w:top w:val="none" w:sz="0" w:space="0" w:color="auto"/>
            <w:left w:val="none" w:sz="0" w:space="0" w:color="auto"/>
            <w:bottom w:val="none" w:sz="0" w:space="0" w:color="auto"/>
            <w:right w:val="none" w:sz="0" w:space="0" w:color="auto"/>
          </w:divBdr>
        </w:div>
        <w:div w:id="1779444328">
          <w:marLeft w:val="0"/>
          <w:marRight w:val="0"/>
          <w:marTop w:val="0"/>
          <w:marBottom w:val="0"/>
          <w:divBdr>
            <w:top w:val="none" w:sz="0" w:space="0" w:color="auto"/>
            <w:left w:val="none" w:sz="0" w:space="0" w:color="auto"/>
            <w:bottom w:val="none" w:sz="0" w:space="0" w:color="auto"/>
            <w:right w:val="none" w:sz="0" w:space="0" w:color="auto"/>
          </w:divBdr>
        </w:div>
        <w:div w:id="1779444336">
          <w:marLeft w:val="0"/>
          <w:marRight w:val="0"/>
          <w:marTop w:val="0"/>
          <w:marBottom w:val="0"/>
          <w:divBdr>
            <w:top w:val="none" w:sz="0" w:space="0" w:color="auto"/>
            <w:left w:val="none" w:sz="0" w:space="0" w:color="auto"/>
            <w:bottom w:val="none" w:sz="0" w:space="0" w:color="auto"/>
            <w:right w:val="none" w:sz="0" w:space="0" w:color="auto"/>
          </w:divBdr>
        </w:div>
        <w:div w:id="1779444366">
          <w:marLeft w:val="0"/>
          <w:marRight w:val="0"/>
          <w:marTop w:val="0"/>
          <w:marBottom w:val="0"/>
          <w:divBdr>
            <w:top w:val="none" w:sz="0" w:space="0" w:color="auto"/>
            <w:left w:val="none" w:sz="0" w:space="0" w:color="auto"/>
            <w:bottom w:val="none" w:sz="0" w:space="0" w:color="auto"/>
            <w:right w:val="none" w:sz="0" w:space="0" w:color="auto"/>
          </w:divBdr>
        </w:div>
        <w:div w:id="1779444369">
          <w:marLeft w:val="0"/>
          <w:marRight w:val="0"/>
          <w:marTop w:val="0"/>
          <w:marBottom w:val="0"/>
          <w:divBdr>
            <w:top w:val="none" w:sz="0" w:space="0" w:color="auto"/>
            <w:left w:val="none" w:sz="0" w:space="0" w:color="auto"/>
            <w:bottom w:val="none" w:sz="0" w:space="0" w:color="auto"/>
            <w:right w:val="none" w:sz="0" w:space="0" w:color="auto"/>
          </w:divBdr>
        </w:div>
        <w:div w:id="1779444374">
          <w:marLeft w:val="0"/>
          <w:marRight w:val="0"/>
          <w:marTop w:val="0"/>
          <w:marBottom w:val="0"/>
          <w:divBdr>
            <w:top w:val="none" w:sz="0" w:space="0" w:color="auto"/>
            <w:left w:val="none" w:sz="0" w:space="0" w:color="auto"/>
            <w:bottom w:val="none" w:sz="0" w:space="0" w:color="auto"/>
            <w:right w:val="none" w:sz="0" w:space="0" w:color="auto"/>
          </w:divBdr>
        </w:div>
        <w:div w:id="1779444383">
          <w:marLeft w:val="0"/>
          <w:marRight w:val="0"/>
          <w:marTop w:val="0"/>
          <w:marBottom w:val="0"/>
          <w:divBdr>
            <w:top w:val="none" w:sz="0" w:space="0" w:color="auto"/>
            <w:left w:val="none" w:sz="0" w:space="0" w:color="auto"/>
            <w:bottom w:val="none" w:sz="0" w:space="0" w:color="auto"/>
            <w:right w:val="none" w:sz="0" w:space="0" w:color="auto"/>
          </w:divBdr>
        </w:div>
        <w:div w:id="1779444391">
          <w:marLeft w:val="0"/>
          <w:marRight w:val="0"/>
          <w:marTop w:val="0"/>
          <w:marBottom w:val="0"/>
          <w:divBdr>
            <w:top w:val="none" w:sz="0" w:space="0" w:color="auto"/>
            <w:left w:val="none" w:sz="0" w:space="0" w:color="auto"/>
            <w:bottom w:val="none" w:sz="0" w:space="0" w:color="auto"/>
            <w:right w:val="none" w:sz="0" w:space="0" w:color="auto"/>
          </w:divBdr>
        </w:div>
        <w:div w:id="1779444406">
          <w:marLeft w:val="0"/>
          <w:marRight w:val="0"/>
          <w:marTop w:val="0"/>
          <w:marBottom w:val="0"/>
          <w:divBdr>
            <w:top w:val="none" w:sz="0" w:space="0" w:color="auto"/>
            <w:left w:val="none" w:sz="0" w:space="0" w:color="auto"/>
            <w:bottom w:val="none" w:sz="0" w:space="0" w:color="auto"/>
            <w:right w:val="none" w:sz="0" w:space="0" w:color="auto"/>
          </w:divBdr>
        </w:div>
        <w:div w:id="1779444407">
          <w:marLeft w:val="0"/>
          <w:marRight w:val="0"/>
          <w:marTop w:val="0"/>
          <w:marBottom w:val="0"/>
          <w:divBdr>
            <w:top w:val="none" w:sz="0" w:space="0" w:color="auto"/>
            <w:left w:val="none" w:sz="0" w:space="0" w:color="auto"/>
            <w:bottom w:val="none" w:sz="0" w:space="0" w:color="auto"/>
            <w:right w:val="none" w:sz="0" w:space="0" w:color="auto"/>
          </w:divBdr>
        </w:div>
        <w:div w:id="1779444410">
          <w:marLeft w:val="0"/>
          <w:marRight w:val="0"/>
          <w:marTop w:val="0"/>
          <w:marBottom w:val="0"/>
          <w:divBdr>
            <w:top w:val="none" w:sz="0" w:space="0" w:color="auto"/>
            <w:left w:val="none" w:sz="0" w:space="0" w:color="auto"/>
            <w:bottom w:val="none" w:sz="0" w:space="0" w:color="auto"/>
            <w:right w:val="none" w:sz="0" w:space="0" w:color="auto"/>
          </w:divBdr>
        </w:div>
        <w:div w:id="1779444422">
          <w:marLeft w:val="0"/>
          <w:marRight w:val="0"/>
          <w:marTop w:val="0"/>
          <w:marBottom w:val="0"/>
          <w:divBdr>
            <w:top w:val="none" w:sz="0" w:space="0" w:color="auto"/>
            <w:left w:val="none" w:sz="0" w:space="0" w:color="auto"/>
            <w:bottom w:val="none" w:sz="0" w:space="0" w:color="auto"/>
            <w:right w:val="none" w:sz="0" w:space="0" w:color="auto"/>
          </w:divBdr>
        </w:div>
        <w:div w:id="1779444437">
          <w:marLeft w:val="0"/>
          <w:marRight w:val="0"/>
          <w:marTop w:val="0"/>
          <w:marBottom w:val="0"/>
          <w:divBdr>
            <w:top w:val="none" w:sz="0" w:space="0" w:color="auto"/>
            <w:left w:val="none" w:sz="0" w:space="0" w:color="auto"/>
            <w:bottom w:val="none" w:sz="0" w:space="0" w:color="auto"/>
            <w:right w:val="none" w:sz="0" w:space="0" w:color="auto"/>
          </w:divBdr>
        </w:div>
        <w:div w:id="1779444452">
          <w:marLeft w:val="0"/>
          <w:marRight w:val="0"/>
          <w:marTop w:val="0"/>
          <w:marBottom w:val="0"/>
          <w:divBdr>
            <w:top w:val="none" w:sz="0" w:space="0" w:color="auto"/>
            <w:left w:val="none" w:sz="0" w:space="0" w:color="auto"/>
            <w:bottom w:val="none" w:sz="0" w:space="0" w:color="auto"/>
            <w:right w:val="none" w:sz="0" w:space="0" w:color="auto"/>
          </w:divBdr>
        </w:div>
        <w:div w:id="1779444460">
          <w:marLeft w:val="0"/>
          <w:marRight w:val="0"/>
          <w:marTop w:val="0"/>
          <w:marBottom w:val="0"/>
          <w:divBdr>
            <w:top w:val="none" w:sz="0" w:space="0" w:color="auto"/>
            <w:left w:val="none" w:sz="0" w:space="0" w:color="auto"/>
            <w:bottom w:val="none" w:sz="0" w:space="0" w:color="auto"/>
            <w:right w:val="none" w:sz="0" w:space="0" w:color="auto"/>
          </w:divBdr>
        </w:div>
        <w:div w:id="1779444477">
          <w:marLeft w:val="0"/>
          <w:marRight w:val="0"/>
          <w:marTop w:val="0"/>
          <w:marBottom w:val="0"/>
          <w:divBdr>
            <w:top w:val="none" w:sz="0" w:space="0" w:color="auto"/>
            <w:left w:val="none" w:sz="0" w:space="0" w:color="auto"/>
            <w:bottom w:val="none" w:sz="0" w:space="0" w:color="auto"/>
            <w:right w:val="none" w:sz="0" w:space="0" w:color="auto"/>
          </w:divBdr>
        </w:div>
        <w:div w:id="1779444482">
          <w:marLeft w:val="0"/>
          <w:marRight w:val="0"/>
          <w:marTop w:val="0"/>
          <w:marBottom w:val="0"/>
          <w:divBdr>
            <w:top w:val="none" w:sz="0" w:space="0" w:color="auto"/>
            <w:left w:val="none" w:sz="0" w:space="0" w:color="auto"/>
            <w:bottom w:val="none" w:sz="0" w:space="0" w:color="auto"/>
            <w:right w:val="none" w:sz="0" w:space="0" w:color="auto"/>
          </w:divBdr>
        </w:div>
        <w:div w:id="1779444499">
          <w:marLeft w:val="0"/>
          <w:marRight w:val="0"/>
          <w:marTop w:val="0"/>
          <w:marBottom w:val="0"/>
          <w:divBdr>
            <w:top w:val="none" w:sz="0" w:space="0" w:color="auto"/>
            <w:left w:val="none" w:sz="0" w:space="0" w:color="auto"/>
            <w:bottom w:val="none" w:sz="0" w:space="0" w:color="auto"/>
            <w:right w:val="none" w:sz="0" w:space="0" w:color="auto"/>
          </w:divBdr>
        </w:div>
        <w:div w:id="1779444508">
          <w:marLeft w:val="0"/>
          <w:marRight w:val="0"/>
          <w:marTop w:val="0"/>
          <w:marBottom w:val="0"/>
          <w:divBdr>
            <w:top w:val="none" w:sz="0" w:space="0" w:color="auto"/>
            <w:left w:val="none" w:sz="0" w:space="0" w:color="auto"/>
            <w:bottom w:val="none" w:sz="0" w:space="0" w:color="auto"/>
            <w:right w:val="none" w:sz="0" w:space="0" w:color="auto"/>
          </w:divBdr>
        </w:div>
        <w:div w:id="1779444513">
          <w:marLeft w:val="0"/>
          <w:marRight w:val="0"/>
          <w:marTop w:val="0"/>
          <w:marBottom w:val="0"/>
          <w:divBdr>
            <w:top w:val="none" w:sz="0" w:space="0" w:color="auto"/>
            <w:left w:val="none" w:sz="0" w:space="0" w:color="auto"/>
            <w:bottom w:val="none" w:sz="0" w:space="0" w:color="auto"/>
            <w:right w:val="none" w:sz="0" w:space="0" w:color="auto"/>
          </w:divBdr>
        </w:div>
        <w:div w:id="1779444514">
          <w:marLeft w:val="0"/>
          <w:marRight w:val="0"/>
          <w:marTop w:val="0"/>
          <w:marBottom w:val="0"/>
          <w:divBdr>
            <w:top w:val="none" w:sz="0" w:space="0" w:color="auto"/>
            <w:left w:val="none" w:sz="0" w:space="0" w:color="auto"/>
            <w:bottom w:val="none" w:sz="0" w:space="0" w:color="auto"/>
            <w:right w:val="none" w:sz="0" w:space="0" w:color="auto"/>
          </w:divBdr>
        </w:div>
        <w:div w:id="1779444530">
          <w:marLeft w:val="0"/>
          <w:marRight w:val="0"/>
          <w:marTop w:val="0"/>
          <w:marBottom w:val="0"/>
          <w:divBdr>
            <w:top w:val="none" w:sz="0" w:space="0" w:color="auto"/>
            <w:left w:val="none" w:sz="0" w:space="0" w:color="auto"/>
            <w:bottom w:val="none" w:sz="0" w:space="0" w:color="auto"/>
            <w:right w:val="none" w:sz="0" w:space="0" w:color="auto"/>
          </w:divBdr>
        </w:div>
      </w:divsChild>
    </w:div>
    <w:div w:id="1779444227">
      <w:marLeft w:val="0"/>
      <w:marRight w:val="0"/>
      <w:marTop w:val="0"/>
      <w:marBottom w:val="0"/>
      <w:divBdr>
        <w:top w:val="none" w:sz="0" w:space="0" w:color="auto"/>
        <w:left w:val="none" w:sz="0" w:space="0" w:color="auto"/>
        <w:bottom w:val="none" w:sz="0" w:space="0" w:color="auto"/>
        <w:right w:val="none" w:sz="0" w:space="0" w:color="auto"/>
      </w:divBdr>
    </w:div>
    <w:div w:id="1779444235">
      <w:marLeft w:val="0"/>
      <w:marRight w:val="0"/>
      <w:marTop w:val="0"/>
      <w:marBottom w:val="0"/>
      <w:divBdr>
        <w:top w:val="none" w:sz="0" w:space="0" w:color="auto"/>
        <w:left w:val="none" w:sz="0" w:space="0" w:color="auto"/>
        <w:bottom w:val="none" w:sz="0" w:space="0" w:color="auto"/>
        <w:right w:val="none" w:sz="0" w:space="0" w:color="auto"/>
      </w:divBdr>
    </w:div>
    <w:div w:id="1779444246">
      <w:marLeft w:val="0"/>
      <w:marRight w:val="0"/>
      <w:marTop w:val="0"/>
      <w:marBottom w:val="0"/>
      <w:divBdr>
        <w:top w:val="none" w:sz="0" w:space="0" w:color="auto"/>
        <w:left w:val="none" w:sz="0" w:space="0" w:color="auto"/>
        <w:bottom w:val="none" w:sz="0" w:space="0" w:color="auto"/>
        <w:right w:val="none" w:sz="0" w:space="0" w:color="auto"/>
      </w:divBdr>
    </w:div>
    <w:div w:id="1779444260">
      <w:marLeft w:val="0"/>
      <w:marRight w:val="0"/>
      <w:marTop w:val="0"/>
      <w:marBottom w:val="0"/>
      <w:divBdr>
        <w:top w:val="none" w:sz="0" w:space="0" w:color="auto"/>
        <w:left w:val="none" w:sz="0" w:space="0" w:color="auto"/>
        <w:bottom w:val="none" w:sz="0" w:space="0" w:color="auto"/>
        <w:right w:val="none" w:sz="0" w:space="0" w:color="auto"/>
      </w:divBdr>
    </w:div>
    <w:div w:id="1779444263">
      <w:marLeft w:val="0"/>
      <w:marRight w:val="0"/>
      <w:marTop w:val="0"/>
      <w:marBottom w:val="0"/>
      <w:divBdr>
        <w:top w:val="none" w:sz="0" w:space="0" w:color="auto"/>
        <w:left w:val="none" w:sz="0" w:space="0" w:color="auto"/>
        <w:bottom w:val="none" w:sz="0" w:space="0" w:color="auto"/>
        <w:right w:val="none" w:sz="0" w:space="0" w:color="auto"/>
      </w:divBdr>
      <w:divsChild>
        <w:div w:id="1779444207">
          <w:marLeft w:val="0"/>
          <w:marRight w:val="0"/>
          <w:marTop w:val="0"/>
          <w:marBottom w:val="0"/>
          <w:divBdr>
            <w:top w:val="none" w:sz="0" w:space="0" w:color="auto"/>
            <w:left w:val="none" w:sz="0" w:space="0" w:color="auto"/>
            <w:bottom w:val="none" w:sz="0" w:space="0" w:color="auto"/>
            <w:right w:val="none" w:sz="0" w:space="0" w:color="auto"/>
          </w:divBdr>
          <w:divsChild>
            <w:div w:id="1779444453">
              <w:marLeft w:val="0"/>
              <w:marRight w:val="0"/>
              <w:marTop w:val="0"/>
              <w:marBottom w:val="0"/>
              <w:divBdr>
                <w:top w:val="none" w:sz="0" w:space="0" w:color="auto"/>
                <w:left w:val="none" w:sz="0" w:space="0" w:color="auto"/>
                <w:bottom w:val="none" w:sz="0" w:space="0" w:color="auto"/>
                <w:right w:val="none" w:sz="0" w:space="0" w:color="auto"/>
              </w:divBdr>
            </w:div>
          </w:divsChild>
        </w:div>
        <w:div w:id="1779444289">
          <w:marLeft w:val="0"/>
          <w:marRight w:val="0"/>
          <w:marTop w:val="0"/>
          <w:marBottom w:val="0"/>
          <w:divBdr>
            <w:top w:val="none" w:sz="0" w:space="0" w:color="auto"/>
            <w:left w:val="none" w:sz="0" w:space="0" w:color="auto"/>
            <w:bottom w:val="none" w:sz="0" w:space="0" w:color="auto"/>
            <w:right w:val="none" w:sz="0" w:space="0" w:color="auto"/>
          </w:divBdr>
          <w:divsChild>
            <w:div w:id="1779444445">
              <w:marLeft w:val="0"/>
              <w:marRight w:val="0"/>
              <w:marTop w:val="0"/>
              <w:marBottom w:val="0"/>
              <w:divBdr>
                <w:top w:val="none" w:sz="0" w:space="0" w:color="auto"/>
                <w:left w:val="none" w:sz="0" w:space="0" w:color="auto"/>
                <w:bottom w:val="none" w:sz="0" w:space="0" w:color="auto"/>
                <w:right w:val="none" w:sz="0" w:space="0" w:color="auto"/>
              </w:divBdr>
            </w:div>
          </w:divsChild>
        </w:div>
        <w:div w:id="1779444318">
          <w:marLeft w:val="0"/>
          <w:marRight w:val="0"/>
          <w:marTop w:val="0"/>
          <w:marBottom w:val="0"/>
          <w:divBdr>
            <w:top w:val="none" w:sz="0" w:space="0" w:color="auto"/>
            <w:left w:val="none" w:sz="0" w:space="0" w:color="auto"/>
            <w:bottom w:val="none" w:sz="0" w:space="0" w:color="auto"/>
            <w:right w:val="none" w:sz="0" w:space="0" w:color="auto"/>
          </w:divBdr>
          <w:divsChild>
            <w:div w:id="1779444244">
              <w:marLeft w:val="0"/>
              <w:marRight w:val="0"/>
              <w:marTop w:val="0"/>
              <w:marBottom w:val="0"/>
              <w:divBdr>
                <w:top w:val="none" w:sz="0" w:space="0" w:color="auto"/>
                <w:left w:val="none" w:sz="0" w:space="0" w:color="auto"/>
                <w:bottom w:val="none" w:sz="0" w:space="0" w:color="auto"/>
                <w:right w:val="none" w:sz="0" w:space="0" w:color="auto"/>
              </w:divBdr>
            </w:div>
          </w:divsChild>
        </w:div>
        <w:div w:id="1779444351">
          <w:marLeft w:val="0"/>
          <w:marRight w:val="0"/>
          <w:marTop w:val="0"/>
          <w:marBottom w:val="0"/>
          <w:divBdr>
            <w:top w:val="none" w:sz="0" w:space="0" w:color="auto"/>
            <w:left w:val="none" w:sz="0" w:space="0" w:color="auto"/>
            <w:bottom w:val="none" w:sz="0" w:space="0" w:color="auto"/>
            <w:right w:val="none" w:sz="0" w:space="0" w:color="auto"/>
          </w:divBdr>
          <w:divsChild>
            <w:div w:id="1779444387">
              <w:marLeft w:val="0"/>
              <w:marRight w:val="0"/>
              <w:marTop w:val="0"/>
              <w:marBottom w:val="0"/>
              <w:divBdr>
                <w:top w:val="none" w:sz="0" w:space="0" w:color="auto"/>
                <w:left w:val="none" w:sz="0" w:space="0" w:color="auto"/>
                <w:bottom w:val="none" w:sz="0" w:space="0" w:color="auto"/>
                <w:right w:val="none" w:sz="0" w:space="0" w:color="auto"/>
              </w:divBdr>
              <w:divsChild>
                <w:div w:id="1779444267">
                  <w:marLeft w:val="720"/>
                  <w:marRight w:val="0"/>
                  <w:marTop w:val="0"/>
                  <w:marBottom w:val="0"/>
                  <w:divBdr>
                    <w:top w:val="none" w:sz="0" w:space="0" w:color="auto"/>
                    <w:left w:val="none" w:sz="0" w:space="0" w:color="auto"/>
                    <w:bottom w:val="none" w:sz="0" w:space="0" w:color="auto"/>
                    <w:right w:val="none" w:sz="0" w:space="0" w:color="auto"/>
                  </w:divBdr>
                </w:div>
              </w:divsChild>
            </w:div>
            <w:div w:id="1779444418">
              <w:marLeft w:val="0"/>
              <w:marRight w:val="0"/>
              <w:marTop w:val="0"/>
              <w:marBottom w:val="0"/>
              <w:divBdr>
                <w:top w:val="none" w:sz="0" w:space="0" w:color="auto"/>
                <w:left w:val="none" w:sz="0" w:space="0" w:color="auto"/>
                <w:bottom w:val="none" w:sz="0" w:space="0" w:color="auto"/>
                <w:right w:val="none" w:sz="0" w:space="0" w:color="auto"/>
              </w:divBdr>
              <w:divsChild>
                <w:div w:id="1779444199">
                  <w:marLeft w:val="720"/>
                  <w:marRight w:val="0"/>
                  <w:marTop w:val="0"/>
                  <w:marBottom w:val="0"/>
                  <w:divBdr>
                    <w:top w:val="none" w:sz="0" w:space="0" w:color="auto"/>
                    <w:left w:val="none" w:sz="0" w:space="0" w:color="auto"/>
                    <w:bottom w:val="none" w:sz="0" w:space="0" w:color="auto"/>
                    <w:right w:val="none" w:sz="0" w:space="0" w:color="auto"/>
                  </w:divBdr>
                </w:div>
              </w:divsChild>
            </w:div>
            <w:div w:id="1779444504">
              <w:marLeft w:val="0"/>
              <w:marRight w:val="0"/>
              <w:marTop w:val="0"/>
              <w:marBottom w:val="0"/>
              <w:divBdr>
                <w:top w:val="none" w:sz="0" w:space="0" w:color="auto"/>
                <w:left w:val="none" w:sz="0" w:space="0" w:color="auto"/>
                <w:bottom w:val="none" w:sz="0" w:space="0" w:color="auto"/>
                <w:right w:val="none" w:sz="0" w:space="0" w:color="auto"/>
              </w:divBdr>
            </w:div>
          </w:divsChild>
        </w:div>
        <w:div w:id="1779444414">
          <w:marLeft w:val="0"/>
          <w:marRight w:val="0"/>
          <w:marTop w:val="0"/>
          <w:marBottom w:val="0"/>
          <w:divBdr>
            <w:top w:val="none" w:sz="0" w:space="0" w:color="auto"/>
            <w:left w:val="none" w:sz="0" w:space="0" w:color="auto"/>
            <w:bottom w:val="none" w:sz="0" w:space="0" w:color="auto"/>
            <w:right w:val="none" w:sz="0" w:space="0" w:color="auto"/>
          </w:divBdr>
          <w:divsChild>
            <w:div w:id="1779444496">
              <w:marLeft w:val="0"/>
              <w:marRight w:val="0"/>
              <w:marTop w:val="0"/>
              <w:marBottom w:val="0"/>
              <w:divBdr>
                <w:top w:val="none" w:sz="0" w:space="0" w:color="auto"/>
                <w:left w:val="none" w:sz="0" w:space="0" w:color="auto"/>
                <w:bottom w:val="none" w:sz="0" w:space="0" w:color="auto"/>
                <w:right w:val="none" w:sz="0" w:space="0" w:color="auto"/>
              </w:divBdr>
            </w:div>
          </w:divsChild>
        </w:div>
        <w:div w:id="1779444503">
          <w:marLeft w:val="0"/>
          <w:marRight w:val="0"/>
          <w:marTop w:val="0"/>
          <w:marBottom w:val="0"/>
          <w:divBdr>
            <w:top w:val="none" w:sz="0" w:space="0" w:color="auto"/>
            <w:left w:val="none" w:sz="0" w:space="0" w:color="auto"/>
            <w:bottom w:val="none" w:sz="0" w:space="0" w:color="auto"/>
            <w:right w:val="none" w:sz="0" w:space="0" w:color="auto"/>
          </w:divBdr>
        </w:div>
        <w:div w:id="1779444534">
          <w:marLeft w:val="0"/>
          <w:marRight w:val="0"/>
          <w:marTop w:val="0"/>
          <w:marBottom w:val="0"/>
          <w:divBdr>
            <w:top w:val="none" w:sz="0" w:space="0" w:color="auto"/>
            <w:left w:val="none" w:sz="0" w:space="0" w:color="auto"/>
            <w:bottom w:val="none" w:sz="0" w:space="0" w:color="auto"/>
            <w:right w:val="none" w:sz="0" w:space="0" w:color="auto"/>
          </w:divBdr>
          <w:divsChild>
            <w:div w:id="1779444323">
              <w:marLeft w:val="360"/>
              <w:marRight w:val="0"/>
              <w:marTop w:val="0"/>
              <w:marBottom w:val="0"/>
              <w:divBdr>
                <w:top w:val="none" w:sz="0" w:space="0" w:color="auto"/>
                <w:left w:val="none" w:sz="0" w:space="0" w:color="auto"/>
                <w:bottom w:val="none" w:sz="0" w:space="0" w:color="auto"/>
                <w:right w:val="none" w:sz="0" w:space="0" w:color="auto"/>
              </w:divBdr>
            </w:div>
            <w:div w:id="17794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264">
      <w:marLeft w:val="0"/>
      <w:marRight w:val="0"/>
      <w:marTop w:val="0"/>
      <w:marBottom w:val="0"/>
      <w:divBdr>
        <w:top w:val="none" w:sz="0" w:space="0" w:color="auto"/>
        <w:left w:val="none" w:sz="0" w:space="0" w:color="auto"/>
        <w:bottom w:val="none" w:sz="0" w:space="0" w:color="auto"/>
        <w:right w:val="none" w:sz="0" w:space="0" w:color="auto"/>
      </w:divBdr>
      <w:divsChild>
        <w:div w:id="1779444196">
          <w:marLeft w:val="0"/>
          <w:marRight w:val="0"/>
          <w:marTop w:val="0"/>
          <w:marBottom w:val="0"/>
          <w:divBdr>
            <w:top w:val="none" w:sz="0" w:space="0" w:color="auto"/>
            <w:left w:val="none" w:sz="0" w:space="0" w:color="auto"/>
            <w:bottom w:val="none" w:sz="0" w:space="0" w:color="auto"/>
            <w:right w:val="none" w:sz="0" w:space="0" w:color="auto"/>
          </w:divBdr>
        </w:div>
        <w:div w:id="1779444198">
          <w:marLeft w:val="0"/>
          <w:marRight w:val="0"/>
          <w:marTop w:val="0"/>
          <w:marBottom w:val="0"/>
          <w:divBdr>
            <w:top w:val="none" w:sz="0" w:space="0" w:color="auto"/>
            <w:left w:val="none" w:sz="0" w:space="0" w:color="auto"/>
            <w:bottom w:val="none" w:sz="0" w:space="0" w:color="auto"/>
            <w:right w:val="none" w:sz="0" w:space="0" w:color="auto"/>
          </w:divBdr>
        </w:div>
        <w:div w:id="1779444206">
          <w:marLeft w:val="0"/>
          <w:marRight w:val="0"/>
          <w:marTop w:val="0"/>
          <w:marBottom w:val="0"/>
          <w:divBdr>
            <w:top w:val="none" w:sz="0" w:space="0" w:color="auto"/>
            <w:left w:val="none" w:sz="0" w:space="0" w:color="auto"/>
            <w:bottom w:val="none" w:sz="0" w:space="0" w:color="auto"/>
            <w:right w:val="none" w:sz="0" w:space="0" w:color="auto"/>
          </w:divBdr>
        </w:div>
        <w:div w:id="1779444209">
          <w:marLeft w:val="0"/>
          <w:marRight w:val="0"/>
          <w:marTop w:val="0"/>
          <w:marBottom w:val="0"/>
          <w:divBdr>
            <w:top w:val="none" w:sz="0" w:space="0" w:color="auto"/>
            <w:left w:val="none" w:sz="0" w:space="0" w:color="auto"/>
            <w:bottom w:val="none" w:sz="0" w:space="0" w:color="auto"/>
            <w:right w:val="none" w:sz="0" w:space="0" w:color="auto"/>
          </w:divBdr>
        </w:div>
        <w:div w:id="1779444210">
          <w:marLeft w:val="0"/>
          <w:marRight w:val="0"/>
          <w:marTop w:val="0"/>
          <w:marBottom w:val="0"/>
          <w:divBdr>
            <w:top w:val="none" w:sz="0" w:space="0" w:color="auto"/>
            <w:left w:val="none" w:sz="0" w:space="0" w:color="auto"/>
            <w:bottom w:val="none" w:sz="0" w:space="0" w:color="auto"/>
            <w:right w:val="none" w:sz="0" w:space="0" w:color="auto"/>
          </w:divBdr>
        </w:div>
        <w:div w:id="1779444222">
          <w:marLeft w:val="0"/>
          <w:marRight w:val="0"/>
          <w:marTop w:val="0"/>
          <w:marBottom w:val="0"/>
          <w:divBdr>
            <w:top w:val="none" w:sz="0" w:space="0" w:color="auto"/>
            <w:left w:val="none" w:sz="0" w:space="0" w:color="auto"/>
            <w:bottom w:val="none" w:sz="0" w:space="0" w:color="auto"/>
            <w:right w:val="none" w:sz="0" w:space="0" w:color="auto"/>
          </w:divBdr>
        </w:div>
        <w:div w:id="1779444223">
          <w:marLeft w:val="0"/>
          <w:marRight w:val="0"/>
          <w:marTop w:val="0"/>
          <w:marBottom w:val="0"/>
          <w:divBdr>
            <w:top w:val="none" w:sz="0" w:space="0" w:color="auto"/>
            <w:left w:val="none" w:sz="0" w:space="0" w:color="auto"/>
            <w:bottom w:val="none" w:sz="0" w:space="0" w:color="auto"/>
            <w:right w:val="none" w:sz="0" w:space="0" w:color="auto"/>
          </w:divBdr>
        </w:div>
        <w:div w:id="1779444225">
          <w:marLeft w:val="0"/>
          <w:marRight w:val="0"/>
          <w:marTop w:val="0"/>
          <w:marBottom w:val="0"/>
          <w:divBdr>
            <w:top w:val="none" w:sz="0" w:space="0" w:color="auto"/>
            <w:left w:val="none" w:sz="0" w:space="0" w:color="auto"/>
            <w:bottom w:val="none" w:sz="0" w:space="0" w:color="auto"/>
            <w:right w:val="none" w:sz="0" w:space="0" w:color="auto"/>
          </w:divBdr>
        </w:div>
        <w:div w:id="1779444233">
          <w:marLeft w:val="0"/>
          <w:marRight w:val="0"/>
          <w:marTop w:val="0"/>
          <w:marBottom w:val="0"/>
          <w:divBdr>
            <w:top w:val="none" w:sz="0" w:space="0" w:color="auto"/>
            <w:left w:val="none" w:sz="0" w:space="0" w:color="auto"/>
            <w:bottom w:val="none" w:sz="0" w:space="0" w:color="auto"/>
            <w:right w:val="none" w:sz="0" w:space="0" w:color="auto"/>
          </w:divBdr>
        </w:div>
        <w:div w:id="1779444234">
          <w:marLeft w:val="0"/>
          <w:marRight w:val="0"/>
          <w:marTop w:val="0"/>
          <w:marBottom w:val="0"/>
          <w:divBdr>
            <w:top w:val="none" w:sz="0" w:space="0" w:color="auto"/>
            <w:left w:val="none" w:sz="0" w:space="0" w:color="auto"/>
            <w:bottom w:val="none" w:sz="0" w:space="0" w:color="auto"/>
            <w:right w:val="none" w:sz="0" w:space="0" w:color="auto"/>
          </w:divBdr>
        </w:div>
        <w:div w:id="1779444239">
          <w:marLeft w:val="0"/>
          <w:marRight w:val="0"/>
          <w:marTop w:val="0"/>
          <w:marBottom w:val="0"/>
          <w:divBdr>
            <w:top w:val="none" w:sz="0" w:space="0" w:color="auto"/>
            <w:left w:val="none" w:sz="0" w:space="0" w:color="auto"/>
            <w:bottom w:val="none" w:sz="0" w:space="0" w:color="auto"/>
            <w:right w:val="none" w:sz="0" w:space="0" w:color="auto"/>
          </w:divBdr>
        </w:div>
        <w:div w:id="1779444253">
          <w:marLeft w:val="0"/>
          <w:marRight w:val="0"/>
          <w:marTop w:val="0"/>
          <w:marBottom w:val="0"/>
          <w:divBdr>
            <w:top w:val="none" w:sz="0" w:space="0" w:color="auto"/>
            <w:left w:val="none" w:sz="0" w:space="0" w:color="auto"/>
            <w:bottom w:val="none" w:sz="0" w:space="0" w:color="auto"/>
            <w:right w:val="none" w:sz="0" w:space="0" w:color="auto"/>
          </w:divBdr>
        </w:div>
        <w:div w:id="1779444256">
          <w:marLeft w:val="0"/>
          <w:marRight w:val="0"/>
          <w:marTop w:val="0"/>
          <w:marBottom w:val="0"/>
          <w:divBdr>
            <w:top w:val="none" w:sz="0" w:space="0" w:color="auto"/>
            <w:left w:val="none" w:sz="0" w:space="0" w:color="auto"/>
            <w:bottom w:val="none" w:sz="0" w:space="0" w:color="auto"/>
            <w:right w:val="none" w:sz="0" w:space="0" w:color="auto"/>
          </w:divBdr>
        </w:div>
        <w:div w:id="1779444257">
          <w:marLeft w:val="0"/>
          <w:marRight w:val="0"/>
          <w:marTop w:val="0"/>
          <w:marBottom w:val="0"/>
          <w:divBdr>
            <w:top w:val="none" w:sz="0" w:space="0" w:color="auto"/>
            <w:left w:val="none" w:sz="0" w:space="0" w:color="auto"/>
            <w:bottom w:val="none" w:sz="0" w:space="0" w:color="auto"/>
            <w:right w:val="none" w:sz="0" w:space="0" w:color="auto"/>
          </w:divBdr>
        </w:div>
        <w:div w:id="1779444265">
          <w:marLeft w:val="0"/>
          <w:marRight w:val="0"/>
          <w:marTop w:val="0"/>
          <w:marBottom w:val="0"/>
          <w:divBdr>
            <w:top w:val="none" w:sz="0" w:space="0" w:color="auto"/>
            <w:left w:val="none" w:sz="0" w:space="0" w:color="auto"/>
            <w:bottom w:val="none" w:sz="0" w:space="0" w:color="auto"/>
            <w:right w:val="none" w:sz="0" w:space="0" w:color="auto"/>
          </w:divBdr>
        </w:div>
        <w:div w:id="1779444266">
          <w:marLeft w:val="0"/>
          <w:marRight w:val="0"/>
          <w:marTop w:val="0"/>
          <w:marBottom w:val="0"/>
          <w:divBdr>
            <w:top w:val="none" w:sz="0" w:space="0" w:color="auto"/>
            <w:left w:val="none" w:sz="0" w:space="0" w:color="auto"/>
            <w:bottom w:val="none" w:sz="0" w:space="0" w:color="auto"/>
            <w:right w:val="none" w:sz="0" w:space="0" w:color="auto"/>
          </w:divBdr>
        </w:div>
        <w:div w:id="1779444274">
          <w:marLeft w:val="0"/>
          <w:marRight w:val="0"/>
          <w:marTop w:val="0"/>
          <w:marBottom w:val="0"/>
          <w:divBdr>
            <w:top w:val="none" w:sz="0" w:space="0" w:color="auto"/>
            <w:left w:val="none" w:sz="0" w:space="0" w:color="auto"/>
            <w:bottom w:val="none" w:sz="0" w:space="0" w:color="auto"/>
            <w:right w:val="none" w:sz="0" w:space="0" w:color="auto"/>
          </w:divBdr>
        </w:div>
        <w:div w:id="1779444278">
          <w:marLeft w:val="0"/>
          <w:marRight w:val="0"/>
          <w:marTop w:val="0"/>
          <w:marBottom w:val="0"/>
          <w:divBdr>
            <w:top w:val="none" w:sz="0" w:space="0" w:color="auto"/>
            <w:left w:val="none" w:sz="0" w:space="0" w:color="auto"/>
            <w:bottom w:val="none" w:sz="0" w:space="0" w:color="auto"/>
            <w:right w:val="none" w:sz="0" w:space="0" w:color="auto"/>
          </w:divBdr>
        </w:div>
        <w:div w:id="1779444279">
          <w:marLeft w:val="0"/>
          <w:marRight w:val="0"/>
          <w:marTop w:val="0"/>
          <w:marBottom w:val="0"/>
          <w:divBdr>
            <w:top w:val="none" w:sz="0" w:space="0" w:color="auto"/>
            <w:left w:val="none" w:sz="0" w:space="0" w:color="auto"/>
            <w:bottom w:val="none" w:sz="0" w:space="0" w:color="auto"/>
            <w:right w:val="none" w:sz="0" w:space="0" w:color="auto"/>
          </w:divBdr>
        </w:div>
        <w:div w:id="1779444285">
          <w:marLeft w:val="0"/>
          <w:marRight w:val="0"/>
          <w:marTop w:val="0"/>
          <w:marBottom w:val="0"/>
          <w:divBdr>
            <w:top w:val="none" w:sz="0" w:space="0" w:color="auto"/>
            <w:left w:val="none" w:sz="0" w:space="0" w:color="auto"/>
            <w:bottom w:val="none" w:sz="0" w:space="0" w:color="auto"/>
            <w:right w:val="none" w:sz="0" w:space="0" w:color="auto"/>
          </w:divBdr>
        </w:div>
        <w:div w:id="1779444290">
          <w:marLeft w:val="0"/>
          <w:marRight w:val="0"/>
          <w:marTop w:val="0"/>
          <w:marBottom w:val="0"/>
          <w:divBdr>
            <w:top w:val="none" w:sz="0" w:space="0" w:color="auto"/>
            <w:left w:val="none" w:sz="0" w:space="0" w:color="auto"/>
            <w:bottom w:val="none" w:sz="0" w:space="0" w:color="auto"/>
            <w:right w:val="none" w:sz="0" w:space="0" w:color="auto"/>
          </w:divBdr>
        </w:div>
        <w:div w:id="1779444291">
          <w:marLeft w:val="0"/>
          <w:marRight w:val="0"/>
          <w:marTop w:val="0"/>
          <w:marBottom w:val="0"/>
          <w:divBdr>
            <w:top w:val="none" w:sz="0" w:space="0" w:color="auto"/>
            <w:left w:val="none" w:sz="0" w:space="0" w:color="auto"/>
            <w:bottom w:val="none" w:sz="0" w:space="0" w:color="auto"/>
            <w:right w:val="none" w:sz="0" w:space="0" w:color="auto"/>
          </w:divBdr>
        </w:div>
        <w:div w:id="1779444306">
          <w:marLeft w:val="0"/>
          <w:marRight w:val="0"/>
          <w:marTop w:val="0"/>
          <w:marBottom w:val="0"/>
          <w:divBdr>
            <w:top w:val="none" w:sz="0" w:space="0" w:color="auto"/>
            <w:left w:val="none" w:sz="0" w:space="0" w:color="auto"/>
            <w:bottom w:val="none" w:sz="0" w:space="0" w:color="auto"/>
            <w:right w:val="none" w:sz="0" w:space="0" w:color="auto"/>
          </w:divBdr>
        </w:div>
        <w:div w:id="1779444313">
          <w:marLeft w:val="0"/>
          <w:marRight w:val="0"/>
          <w:marTop w:val="0"/>
          <w:marBottom w:val="0"/>
          <w:divBdr>
            <w:top w:val="none" w:sz="0" w:space="0" w:color="auto"/>
            <w:left w:val="none" w:sz="0" w:space="0" w:color="auto"/>
            <w:bottom w:val="none" w:sz="0" w:space="0" w:color="auto"/>
            <w:right w:val="none" w:sz="0" w:space="0" w:color="auto"/>
          </w:divBdr>
        </w:div>
        <w:div w:id="1779444314">
          <w:marLeft w:val="0"/>
          <w:marRight w:val="0"/>
          <w:marTop w:val="0"/>
          <w:marBottom w:val="0"/>
          <w:divBdr>
            <w:top w:val="none" w:sz="0" w:space="0" w:color="auto"/>
            <w:left w:val="none" w:sz="0" w:space="0" w:color="auto"/>
            <w:bottom w:val="none" w:sz="0" w:space="0" w:color="auto"/>
            <w:right w:val="none" w:sz="0" w:space="0" w:color="auto"/>
          </w:divBdr>
        </w:div>
        <w:div w:id="1779444324">
          <w:marLeft w:val="0"/>
          <w:marRight w:val="0"/>
          <w:marTop w:val="0"/>
          <w:marBottom w:val="0"/>
          <w:divBdr>
            <w:top w:val="none" w:sz="0" w:space="0" w:color="auto"/>
            <w:left w:val="none" w:sz="0" w:space="0" w:color="auto"/>
            <w:bottom w:val="none" w:sz="0" w:space="0" w:color="auto"/>
            <w:right w:val="none" w:sz="0" w:space="0" w:color="auto"/>
          </w:divBdr>
        </w:div>
        <w:div w:id="1779444329">
          <w:marLeft w:val="0"/>
          <w:marRight w:val="0"/>
          <w:marTop w:val="0"/>
          <w:marBottom w:val="0"/>
          <w:divBdr>
            <w:top w:val="none" w:sz="0" w:space="0" w:color="auto"/>
            <w:left w:val="none" w:sz="0" w:space="0" w:color="auto"/>
            <w:bottom w:val="none" w:sz="0" w:space="0" w:color="auto"/>
            <w:right w:val="none" w:sz="0" w:space="0" w:color="auto"/>
          </w:divBdr>
        </w:div>
        <w:div w:id="1779444333">
          <w:marLeft w:val="0"/>
          <w:marRight w:val="0"/>
          <w:marTop w:val="0"/>
          <w:marBottom w:val="0"/>
          <w:divBdr>
            <w:top w:val="none" w:sz="0" w:space="0" w:color="auto"/>
            <w:left w:val="none" w:sz="0" w:space="0" w:color="auto"/>
            <w:bottom w:val="none" w:sz="0" w:space="0" w:color="auto"/>
            <w:right w:val="none" w:sz="0" w:space="0" w:color="auto"/>
          </w:divBdr>
        </w:div>
        <w:div w:id="1779444338">
          <w:marLeft w:val="0"/>
          <w:marRight w:val="0"/>
          <w:marTop w:val="0"/>
          <w:marBottom w:val="0"/>
          <w:divBdr>
            <w:top w:val="none" w:sz="0" w:space="0" w:color="auto"/>
            <w:left w:val="none" w:sz="0" w:space="0" w:color="auto"/>
            <w:bottom w:val="none" w:sz="0" w:space="0" w:color="auto"/>
            <w:right w:val="none" w:sz="0" w:space="0" w:color="auto"/>
          </w:divBdr>
        </w:div>
        <w:div w:id="1779444345">
          <w:marLeft w:val="0"/>
          <w:marRight w:val="0"/>
          <w:marTop w:val="0"/>
          <w:marBottom w:val="0"/>
          <w:divBdr>
            <w:top w:val="none" w:sz="0" w:space="0" w:color="auto"/>
            <w:left w:val="none" w:sz="0" w:space="0" w:color="auto"/>
            <w:bottom w:val="none" w:sz="0" w:space="0" w:color="auto"/>
            <w:right w:val="none" w:sz="0" w:space="0" w:color="auto"/>
          </w:divBdr>
        </w:div>
        <w:div w:id="1779444353">
          <w:marLeft w:val="0"/>
          <w:marRight w:val="0"/>
          <w:marTop w:val="0"/>
          <w:marBottom w:val="0"/>
          <w:divBdr>
            <w:top w:val="none" w:sz="0" w:space="0" w:color="auto"/>
            <w:left w:val="none" w:sz="0" w:space="0" w:color="auto"/>
            <w:bottom w:val="none" w:sz="0" w:space="0" w:color="auto"/>
            <w:right w:val="none" w:sz="0" w:space="0" w:color="auto"/>
          </w:divBdr>
        </w:div>
        <w:div w:id="1779444355">
          <w:marLeft w:val="0"/>
          <w:marRight w:val="0"/>
          <w:marTop w:val="0"/>
          <w:marBottom w:val="0"/>
          <w:divBdr>
            <w:top w:val="none" w:sz="0" w:space="0" w:color="auto"/>
            <w:left w:val="none" w:sz="0" w:space="0" w:color="auto"/>
            <w:bottom w:val="none" w:sz="0" w:space="0" w:color="auto"/>
            <w:right w:val="none" w:sz="0" w:space="0" w:color="auto"/>
          </w:divBdr>
        </w:div>
        <w:div w:id="1779444359">
          <w:marLeft w:val="0"/>
          <w:marRight w:val="0"/>
          <w:marTop w:val="0"/>
          <w:marBottom w:val="0"/>
          <w:divBdr>
            <w:top w:val="none" w:sz="0" w:space="0" w:color="auto"/>
            <w:left w:val="none" w:sz="0" w:space="0" w:color="auto"/>
            <w:bottom w:val="none" w:sz="0" w:space="0" w:color="auto"/>
            <w:right w:val="none" w:sz="0" w:space="0" w:color="auto"/>
          </w:divBdr>
        </w:div>
        <w:div w:id="1779444398">
          <w:marLeft w:val="0"/>
          <w:marRight w:val="0"/>
          <w:marTop w:val="0"/>
          <w:marBottom w:val="0"/>
          <w:divBdr>
            <w:top w:val="none" w:sz="0" w:space="0" w:color="auto"/>
            <w:left w:val="none" w:sz="0" w:space="0" w:color="auto"/>
            <w:bottom w:val="none" w:sz="0" w:space="0" w:color="auto"/>
            <w:right w:val="none" w:sz="0" w:space="0" w:color="auto"/>
          </w:divBdr>
        </w:div>
        <w:div w:id="1779444399">
          <w:marLeft w:val="0"/>
          <w:marRight w:val="0"/>
          <w:marTop w:val="0"/>
          <w:marBottom w:val="0"/>
          <w:divBdr>
            <w:top w:val="none" w:sz="0" w:space="0" w:color="auto"/>
            <w:left w:val="none" w:sz="0" w:space="0" w:color="auto"/>
            <w:bottom w:val="none" w:sz="0" w:space="0" w:color="auto"/>
            <w:right w:val="none" w:sz="0" w:space="0" w:color="auto"/>
          </w:divBdr>
        </w:div>
        <w:div w:id="1779444400">
          <w:marLeft w:val="0"/>
          <w:marRight w:val="0"/>
          <w:marTop w:val="0"/>
          <w:marBottom w:val="0"/>
          <w:divBdr>
            <w:top w:val="none" w:sz="0" w:space="0" w:color="auto"/>
            <w:left w:val="none" w:sz="0" w:space="0" w:color="auto"/>
            <w:bottom w:val="none" w:sz="0" w:space="0" w:color="auto"/>
            <w:right w:val="none" w:sz="0" w:space="0" w:color="auto"/>
          </w:divBdr>
        </w:div>
        <w:div w:id="1779444401">
          <w:marLeft w:val="0"/>
          <w:marRight w:val="0"/>
          <w:marTop w:val="0"/>
          <w:marBottom w:val="0"/>
          <w:divBdr>
            <w:top w:val="none" w:sz="0" w:space="0" w:color="auto"/>
            <w:left w:val="none" w:sz="0" w:space="0" w:color="auto"/>
            <w:bottom w:val="none" w:sz="0" w:space="0" w:color="auto"/>
            <w:right w:val="none" w:sz="0" w:space="0" w:color="auto"/>
          </w:divBdr>
        </w:div>
        <w:div w:id="1779444403">
          <w:marLeft w:val="0"/>
          <w:marRight w:val="0"/>
          <w:marTop w:val="0"/>
          <w:marBottom w:val="0"/>
          <w:divBdr>
            <w:top w:val="none" w:sz="0" w:space="0" w:color="auto"/>
            <w:left w:val="none" w:sz="0" w:space="0" w:color="auto"/>
            <w:bottom w:val="none" w:sz="0" w:space="0" w:color="auto"/>
            <w:right w:val="none" w:sz="0" w:space="0" w:color="auto"/>
          </w:divBdr>
        </w:div>
        <w:div w:id="1779444412">
          <w:marLeft w:val="0"/>
          <w:marRight w:val="0"/>
          <w:marTop w:val="0"/>
          <w:marBottom w:val="0"/>
          <w:divBdr>
            <w:top w:val="none" w:sz="0" w:space="0" w:color="auto"/>
            <w:left w:val="none" w:sz="0" w:space="0" w:color="auto"/>
            <w:bottom w:val="none" w:sz="0" w:space="0" w:color="auto"/>
            <w:right w:val="none" w:sz="0" w:space="0" w:color="auto"/>
          </w:divBdr>
        </w:div>
        <w:div w:id="1779444425">
          <w:marLeft w:val="0"/>
          <w:marRight w:val="0"/>
          <w:marTop w:val="0"/>
          <w:marBottom w:val="0"/>
          <w:divBdr>
            <w:top w:val="none" w:sz="0" w:space="0" w:color="auto"/>
            <w:left w:val="none" w:sz="0" w:space="0" w:color="auto"/>
            <w:bottom w:val="none" w:sz="0" w:space="0" w:color="auto"/>
            <w:right w:val="none" w:sz="0" w:space="0" w:color="auto"/>
          </w:divBdr>
        </w:div>
        <w:div w:id="1779444426">
          <w:marLeft w:val="0"/>
          <w:marRight w:val="0"/>
          <w:marTop w:val="0"/>
          <w:marBottom w:val="0"/>
          <w:divBdr>
            <w:top w:val="none" w:sz="0" w:space="0" w:color="auto"/>
            <w:left w:val="none" w:sz="0" w:space="0" w:color="auto"/>
            <w:bottom w:val="none" w:sz="0" w:space="0" w:color="auto"/>
            <w:right w:val="none" w:sz="0" w:space="0" w:color="auto"/>
          </w:divBdr>
        </w:div>
        <w:div w:id="1779444430">
          <w:marLeft w:val="0"/>
          <w:marRight w:val="0"/>
          <w:marTop w:val="0"/>
          <w:marBottom w:val="0"/>
          <w:divBdr>
            <w:top w:val="none" w:sz="0" w:space="0" w:color="auto"/>
            <w:left w:val="none" w:sz="0" w:space="0" w:color="auto"/>
            <w:bottom w:val="none" w:sz="0" w:space="0" w:color="auto"/>
            <w:right w:val="none" w:sz="0" w:space="0" w:color="auto"/>
          </w:divBdr>
        </w:div>
        <w:div w:id="1779444431">
          <w:marLeft w:val="0"/>
          <w:marRight w:val="0"/>
          <w:marTop w:val="0"/>
          <w:marBottom w:val="0"/>
          <w:divBdr>
            <w:top w:val="none" w:sz="0" w:space="0" w:color="auto"/>
            <w:left w:val="none" w:sz="0" w:space="0" w:color="auto"/>
            <w:bottom w:val="none" w:sz="0" w:space="0" w:color="auto"/>
            <w:right w:val="none" w:sz="0" w:space="0" w:color="auto"/>
          </w:divBdr>
        </w:div>
        <w:div w:id="1779444438">
          <w:marLeft w:val="0"/>
          <w:marRight w:val="0"/>
          <w:marTop w:val="0"/>
          <w:marBottom w:val="0"/>
          <w:divBdr>
            <w:top w:val="none" w:sz="0" w:space="0" w:color="auto"/>
            <w:left w:val="none" w:sz="0" w:space="0" w:color="auto"/>
            <w:bottom w:val="none" w:sz="0" w:space="0" w:color="auto"/>
            <w:right w:val="none" w:sz="0" w:space="0" w:color="auto"/>
          </w:divBdr>
        </w:div>
        <w:div w:id="1779444441">
          <w:marLeft w:val="0"/>
          <w:marRight w:val="0"/>
          <w:marTop w:val="0"/>
          <w:marBottom w:val="0"/>
          <w:divBdr>
            <w:top w:val="none" w:sz="0" w:space="0" w:color="auto"/>
            <w:left w:val="none" w:sz="0" w:space="0" w:color="auto"/>
            <w:bottom w:val="none" w:sz="0" w:space="0" w:color="auto"/>
            <w:right w:val="none" w:sz="0" w:space="0" w:color="auto"/>
          </w:divBdr>
        </w:div>
        <w:div w:id="1779444450">
          <w:marLeft w:val="0"/>
          <w:marRight w:val="0"/>
          <w:marTop w:val="0"/>
          <w:marBottom w:val="0"/>
          <w:divBdr>
            <w:top w:val="none" w:sz="0" w:space="0" w:color="auto"/>
            <w:left w:val="none" w:sz="0" w:space="0" w:color="auto"/>
            <w:bottom w:val="none" w:sz="0" w:space="0" w:color="auto"/>
            <w:right w:val="none" w:sz="0" w:space="0" w:color="auto"/>
          </w:divBdr>
        </w:div>
        <w:div w:id="1779444451">
          <w:marLeft w:val="0"/>
          <w:marRight w:val="0"/>
          <w:marTop w:val="0"/>
          <w:marBottom w:val="0"/>
          <w:divBdr>
            <w:top w:val="none" w:sz="0" w:space="0" w:color="auto"/>
            <w:left w:val="none" w:sz="0" w:space="0" w:color="auto"/>
            <w:bottom w:val="none" w:sz="0" w:space="0" w:color="auto"/>
            <w:right w:val="none" w:sz="0" w:space="0" w:color="auto"/>
          </w:divBdr>
        </w:div>
        <w:div w:id="1779444455">
          <w:marLeft w:val="0"/>
          <w:marRight w:val="0"/>
          <w:marTop w:val="0"/>
          <w:marBottom w:val="0"/>
          <w:divBdr>
            <w:top w:val="none" w:sz="0" w:space="0" w:color="auto"/>
            <w:left w:val="none" w:sz="0" w:space="0" w:color="auto"/>
            <w:bottom w:val="none" w:sz="0" w:space="0" w:color="auto"/>
            <w:right w:val="none" w:sz="0" w:space="0" w:color="auto"/>
          </w:divBdr>
        </w:div>
        <w:div w:id="1779444457">
          <w:marLeft w:val="0"/>
          <w:marRight w:val="0"/>
          <w:marTop w:val="0"/>
          <w:marBottom w:val="0"/>
          <w:divBdr>
            <w:top w:val="none" w:sz="0" w:space="0" w:color="auto"/>
            <w:left w:val="none" w:sz="0" w:space="0" w:color="auto"/>
            <w:bottom w:val="none" w:sz="0" w:space="0" w:color="auto"/>
            <w:right w:val="none" w:sz="0" w:space="0" w:color="auto"/>
          </w:divBdr>
        </w:div>
        <w:div w:id="1779444463">
          <w:marLeft w:val="0"/>
          <w:marRight w:val="0"/>
          <w:marTop w:val="0"/>
          <w:marBottom w:val="0"/>
          <w:divBdr>
            <w:top w:val="none" w:sz="0" w:space="0" w:color="auto"/>
            <w:left w:val="none" w:sz="0" w:space="0" w:color="auto"/>
            <w:bottom w:val="none" w:sz="0" w:space="0" w:color="auto"/>
            <w:right w:val="none" w:sz="0" w:space="0" w:color="auto"/>
          </w:divBdr>
        </w:div>
        <w:div w:id="1779444466">
          <w:marLeft w:val="0"/>
          <w:marRight w:val="0"/>
          <w:marTop w:val="0"/>
          <w:marBottom w:val="0"/>
          <w:divBdr>
            <w:top w:val="none" w:sz="0" w:space="0" w:color="auto"/>
            <w:left w:val="none" w:sz="0" w:space="0" w:color="auto"/>
            <w:bottom w:val="none" w:sz="0" w:space="0" w:color="auto"/>
            <w:right w:val="none" w:sz="0" w:space="0" w:color="auto"/>
          </w:divBdr>
        </w:div>
        <w:div w:id="1779444473">
          <w:marLeft w:val="0"/>
          <w:marRight w:val="0"/>
          <w:marTop w:val="0"/>
          <w:marBottom w:val="0"/>
          <w:divBdr>
            <w:top w:val="none" w:sz="0" w:space="0" w:color="auto"/>
            <w:left w:val="none" w:sz="0" w:space="0" w:color="auto"/>
            <w:bottom w:val="none" w:sz="0" w:space="0" w:color="auto"/>
            <w:right w:val="none" w:sz="0" w:space="0" w:color="auto"/>
          </w:divBdr>
        </w:div>
        <w:div w:id="1779444476">
          <w:marLeft w:val="0"/>
          <w:marRight w:val="0"/>
          <w:marTop w:val="0"/>
          <w:marBottom w:val="0"/>
          <w:divBdr>
            <w:top w:val="none" w:sz="0" w:space="0" w:color="auto"/>
            <w:left w:val="none" w:sz="0" w:space="0" w:color="auto"/>
            <w:bottom w:val="none" w:sz="0" w:space="0" w:color="auto"/>
            <w:right w:val="none" w:sz="0" w:space="0" w:color="auto"/>
          </w:divBdr>
        </w:div>
        <w:div w:id="1779444479">
          <w:marLeft w:val="0"/>
          <w:marRight w:val="0"/>
          <w:marTop w:val="0"/>
          <w:marBottom w:val="0"/>
          <w:divBdr>
            <w:top w:val="none" w:sz="0" w:space="0" w:color="auto"/>
            <w:left w:val="none" w:sz="0" w:space="0" w:color="auto"/>
            <w:bottom w:val="none" w:sz="0" w:space="0" w:color="auto"/>
            <w:right w:val="none" w:sz="0" w:space="0" w:color="auto"/>
          </w:divBdr>
        </w:div>
        <w:div w:id="1779444491">
          <w:marLeft w:val="0"/>
          <w:marRight w:val="0"/>
          <w:marTop w:val="0"/>
          <w:marBottom w:val="0"/>
          <w:divBdr>
            <w:top w:val="none" w:sz="0" w:space="0" w:color="auto"/>
            <w:left w:val="none" w:sz="0" w:space="0" w:color="auto"/>
            <w:bottom w:val="none" w:sz="0" w:space="0" w:color="auto"/>
            <w:right w:val="none" w:sz="0" w:space="0" w:color="auto"/>
          </w:divBdr>
        </w:div>
        <w:div w:id="1779444506">
          <w:marLeft w:val="0"/>
          <w:marRight w:val="0"/>
          <w:marTop w:val="0"/>
          <w:marBottom w:val="0"/>
          <w:divBdr>
            <w:top w:val="none" w:sz="0" w:space="0" w:color="auto"/>
            <w:left w:val="none" w:sz="0" w:space="0" w:color="auto"/>
            <w:bottom w:val="none" w:sz="0" w:space="0" w:color="auto"/>
            <w:right w:val="none" w:sz="0" w:space="0" w:color="auto"/>
          </w:divBdr>
        </w:div>
        <w:div w:id="1779444515">
          <w:marLeft w:val="0"/>
          <w:marRight w:val="0"/>
          <w:marTop w:val="0"/>
          <w:marBottom w:val="0"/>
          <w:divBdr>
            <w:top w:val="none" w:sz="0" w:space="0" w:color="auto"/>
            <w:left w:val="none" w:sz="0" w:space="0" w:color="auto"/>
            <w:bottom w:val="none" w:sz="0" w:space="0" w:color="auto"/>
            <w:right w:val="none" w:sz="0" w:space="0" w:color="auto"/>
          </w:divBdr>
        </w:div>
        <w:div w:id="1779444521">
          <w:marLeft w:val="0"/>
          <w:marRight w:val="0"/>
          <w:marTop w:val="0"/>
          <w:marBottom w:val="0"/>
          <w:divBdr>
            <w:top w:val="none" w:sz="0" w:space="0" w:color="auto"/>
            <w:left w:val="none" w:sz="0" w:space="0" w:color="auto"/>
            <w:bottom w:val="none" w:sz="0" w:space="0" w:color="auto"/>
            <w:right w:val="none" w:sz="0" w:space="0" w:color="auto"/>
          </w:divBdr>
        </w:div>
        <w:div w:id="1779444524">
          <w:marLeft w:val="0"/>
          <w:marRight w:val="0"/>
          <w:marTop w:val="0"/>
          <w:marBottom w:val="0"/>
          <w:divBdr>
            <w:top w:val="none" w:sz="0" w:space="0" w:color="auto"/>
            <w:left w:val="none" w:sz="0" w:space="0" w:color="auto"/>
            <w:bottom w:val="none" w:sz="0" w:space="0" w:color="auto"/>
            <w:right w:val="none" w:sz="0" w:space="0" w:color="auto"/>
          </w:divBdr>
        </w:div>
        <w:div w:id="1779444529">
          <w:marLeft w:val="0"/>
          <w:marRight w:val="0"/>
          <w:marTop w:val="0"/>
          <w:marBottom w:val="0"/>
          <w:divBdr>
            <w:top w:val="none" w:sz="0" w:space="0" w:color="auto"/>
            <w:left w:val="none" w:sz="0" w:space="0" w:color="auto"/>
            <w:bottom w:val="none" w:sz="0" w:space="0" w:color="auto"/>
            <w:right w:val="none" w:sz="0" w:space="0" w:color="auto"/>
          </w:divBdr>
        </w:div>
        <w:div w:id="1779444543">
          <w:marLeft w:val="0"/>
          <w:marRight w:val="0"/>
          <w:marTop w:val="0"/>
          <w:marBottom w:val="0"/>
          <w:divBdr>
            <w:top w:val="none" w:sz="0" w:space="0" w:color="auto"/>
            <w:left w:val="none" w:sz="0" w:space="0" w:color="auto"/>
            <w:bottom w:val="none" w:sz="0" w:space="0" w:color="auto"/>
            <w:right w:val="none" w:sz="0" w:space="0" w:color="auto"/>
          </w:divBdr>
        </w:div>
      </w:divsChild>
    </w:div>
    <w:div w:id="1779444272">
      <w:marLeft w:val="0"/>
      <w:marRight w:val="0"/>
      <w:marTop w:val="0"/>
      <w:marBottom w:val="0"/>
      <w:divBdr>
        <w:top w:val="none" w:sz="0" w:space="0" w:color="auto"/>
        <w:left w:val="none" w:sz="0" w:space="0" w:color="auto"/>
        <w:bottom w:val="none" w:sz="0" w:space="0" w:color="auto"/>
        <w:right w:val="none" w:sz="0" w:space="0" w:color="auto"/>
      </w:divBdr>
    </w:div>
    <w:div w:id="1779444288">
      <w:marLeft w:val="0"/>
      <w:marRight w:val="0"/>
      <w:marTop w:val="0"/>
      <w:marBottom w:val="0"/>
      <w:divBdr>
        <w:top w:val="none" w:sz="0" w:space="0" w:color="auto"/>
        <w:left w:val="none" w:sz="0" w:space="0" w:color="auto"/>
        <w:bottom w:val="none" w:sz="0" w:space="0" w:color="auto"/>
        <w:right w:val="none" w:sz="0" w:space="0" w:color="auto"/>
      </w:divBdr>
    </w:div>
    <w:div w:id="1779444293">
      <w:marLeft w:val="0"/>
      <w:marRight w:val="0"/>
      <w:marTop w:val="0"/>
      <w:marBottom w:val="0"/>
      <w:divBdr>
        <w:top w:val="none" w:sz="0" w:space="0" w:color="auto"/>
        <w:left w:val="none" w:sz="0" w:space="0" w:color="auto"/>
        <w:bottom w:val="none" w:sz="0" w:space="0" w:color="auto"/>
        <w:right w:val="none" w:sz="0" w:space="0" w:color="auto"/>
      </w:divBdr>
    </w:div>
    <w:div w:id="1779444296">
      <w:marLeft w:val="0"/>
      <w:marRight w:val="0"/>
      <w:marTop w:val="0"/>
      <w:marBottom w:val="0"/>
      <w:divBdr>
        <w:top w:val="none" w:sz="0" w:space="0" w:color="auto"/>
        <w:left w:val="none" w:sz="0" w:space="0" w:color="auto"/>
        <w:bottom w:val="none" w:sz="0" w:space="0" w:color="auto"/>
        <w:right w:val="none" w:sz="0" w:space="0" w:color="auto"/>
      </w:divBdr>
    </w:div>
    <w:div w:id="1779444302">
      <w:marLeft w:val="0"/>
      <w:marRight w:val="0"/>
      <w:marTop w:val="0"/>
      <w:marBottom w:val="0"/>
      <w:divBdr>
        <w:top w:val="none" w:sz="0" w:space="0" w:color="auto"/>
        <w:left w:val="none" w:sz="0" w:space="0" w:color="auto"/>
        <w:bottom w:val="none" w:sz="0" w:space="0" w:color="auto"/>
        <w:right w:val="none" w:sz="0" w:space="0" w:color="auto"/>
      </w:divBdr>
    </w:div>
    <w:div w:id="1779444303">
      <w:marLeft w:val="0"/>
      <w:marRight w:val="0"/>
      <w:marTop w:val="0"/>
      <w:marBottom w:val="0"/>
      <w:divBdr>
        <w:top w:val="none" w:sz="0" w:space="0" w:color="auto"/>
        <w:left w:val="none" w:sz="0" w:space="0" w:color="auto"/>
        <w:bottom w:val="none" w:sz="0" w:space="0" w:color="auto"/>
        <w:right w:val="none" w:sz="0" w:space="0" w:color="auto"/>
      </w:divBdr>
    </w:div>
    <w:div w:id="1779444312">
      <w:marLeft w:val="0"/>
      <w:marRight w:val="0"/>
      <w:marTop w:val="0"/>
      <w:marBottom w:val="0"/>
      <w:divBdr>
        <w:top w:val="none" w:sz="0" w:space="0" w:color="auto"/>
        <w:left w:val="none" w:sz="0" w:space="0" w:color="auto"/>
        <w:bottom w:val="none" w:sz="0" w:space="0" w:color="auto"/>
        <w:right w:val="none" w:sz="0" w:space="0" w:color="auto"/>
      </w:divBdr>
      <w:divsChild>
        <w:div w:id="1779444404">
          <w:marLeft w:val="0"/>
          <w:marRight w:val="0"/>
          <w:marTop w:val="0"/>
          <w:marBottom w:val="0"/>
          <w:divBdr>
            <w:top w:val="none" w:sz="0" w:space="0" w:color="auto"/>
            <w:left w:val="none" w:sz="0" w:space="0" w:color="auto"/>
            <w:bottom w:val="none" w:sz="0" w:space="0" w:color="auto"/>
            <w:right w:val="none" w:sz="0" w:space="0" w:color="auto"/>
          </w:divBdr>
        </w:div>
      </w:divsChild>
    </w:div>
    <w:div w:id="1779444331">
      <w:marLeft w:val="0"/>
      <w:marRight w:val="0"/>
      <w:marTop w:val="0"/>
      <w:marBottom w:val="0"/>
      <w:divBdr>
        <w:top w:val="none" w:sz="0" w:space="0" w:color="auto"/>
        <w:left w:val="none" w:sz="0" w:space="0" w:color="auto"/>
        <w:bottom w:val="none" w:sz="0" w:space="0" w:color="auto"/>
        <w:right w:val="none" w:sz="0" w:space="0" w:color="auto"/>
      </w:divBdr>
      <w:divsChild>
        <w:div w:id="1779444231">
          <w:marLeft w:val="0"/>
          <w:marRight w:val="0"/>
          <w:marTop w:val="0"/>
          <w:marBottom w:val="0"/>
          <w:divBdr>
            <w:top w:val="none" w:sz="0" w:space="0" w:color="auto"/>
            <w:left w:val="none" w:sz="0" w:space="0" w:color="auto"/>
            <w:bottom w:val="none" w:sz="0" w:space="0" w:color="auto"/>
            <w:right w:val="none" w:sz="0" w:space="0" w:color="auto"/>
          </w:divBdr>
        </w:div>
        <w:div w:id="1779444300">
          <w:marLeft w:val="0"/>
          <w:marRight w:val="0"/>
          <w:marTop w:val="0"/>
          <w:marBottom w:val="0"/>
          <w:divBdr>
            <w:top w:val="none" w:sz="0" w:space="0" w:color="auto"/>
            <w:left w:val="none" w:sz="0" w:space="0" w:color="auto"/>
            <w:bottom w:val="none" w:sz="0" w:space="0" w:color="auto"/>
            <w:right w:val="none" w:sz="0" w:space="0" w:color="auto"/>
          </w:divBdr>
        </w:div>
        <w:div w:id="1779444316">
          <w:marLeft w:val="0"/>
          <w:marRight w:val="0"/>
          <w:marTop w:val="0"/>
          <w:marBottom w:val="0"/>
          <w:divBdr>
            <w:top w:val="none" w:sz="0" w:space="0" w:color="auto"/>
            <w:left w:val="none" w:sz="0" w:space="0" w:color="auto"/>
            <w:bottom w:val="none" w:sz="0" w:space="0" w:color="auto"/>
            <w:right w:val="none" w:sz="0" w:space="0" w:color="auto"/>
          </w:divBdr>
        </w:div>
        <w:div w:id="1779444340">
          <w:marLeft w:val="0"/>
          <w:marRight w:val="0"/>
          <w:marTop w:val="0"/>
          <w:marBottom w:val="0"/>
          <w:divBdr>
            <w:top w:val="none" w:sz="0" w:space="0" w:color="auto"/>
            <w:left w:val="none" w:sz="0" w:space="0" w:color="auto"/>
            <w:bottom w:val="none" w:sz="0" w:space="0" w:color="auto"/>
            <w:right w:val="none" w:sz="0" w:space="0" w:color="auto"/>
          </w:divBdr>
        </w:div>
        <w:div w:id="1779444362">
          <w:marLeft w:val="0"/>
          <w:marRight w:val="0"/>
          <w:marTop w:val="0"/>
          <w:marBottom w:val="0"/>
          <w:divBdr>
            <w:top w:val="none" w:sz="0" w:space="0" w:color="auto"/>
            <w:left w:val="none" w:sz="0" w:space="0" w:color="auto"/>
            <w:bottom w:val="none" w:sz="0" w:space="0" w:color="auto"/>
            <w:right w:val="none" w:sz="0" w:space="0" w:color="auto"/>
          </w:divBdr>
        </w:div>
        <w:div w:id="1779444413">
          <w:marLeft w:val="0"/>
          <w:marRight w:val="0"/>
          <w:marTop w:val="0"/>
          <w:marBottom w:val="0"/>
          <w:divBdr>
            <w:top w:val="none" w:sz="0" w:space="0" w:color="auto"/>
            <w:left w:val="none" w:sz="0" w:space="0" w:color="auto"/>
            <w:bottom w:val="none" w:sz="0" w:space="0" w:color="auto"/>
            <w:right w:val="none" w:sz="0" w:space="0" w:color="auto"/>
          </w:divBdr>
        </w:div>
      </w:divsChild>
    </w:div>
    <w:div w:id="1779444334">
      <w:marLeft w:val="0"/>
      <w:marRight w:val="0"/>
      <w:marTop w:val="0"/>
      <w:marBottom w:val="0"/>
      <w:divBdr>
        <w:top w:val="none" w:sz="0" w:space="0" w:color="auto"/>
        <w:left w:val="none" w:sz="0" w:space="0" w:color="auto"/>
        <w:bottom w:val="none" w:sz="0" w:space="0" w:color="auto"/>
        <w:right w:val="none" w:sz="0" w:space="0" w:color="auto"/>
      </w:divBdr>
    </w:div>
    <w:div w:id="1779444335">
      <w:marLeft w:val="0"/>
      <w:marRight w:val="0"/>
      <w:marTop w:val="0"/>
      <w:marBottom w:val="0"/>
      <w:divBdr>
        <w:top w:val="none" w:sz="0" w:space="0" w:color="auto"/>
        <w:left w:val="none" w:sz="0" w:space="0" w:color="auto"/>
        <w:bottom w:val="none" w:sz="0" w:space="0" w:color="auto"/>
        <w:right w:val="none" w:sz="0" w:space="0" w:color="auto"/>
      </w:divBdr>
      <w:divsChild>
        <w:div w:id="1779444440">
          <w:marLeft w:val="0"/>
          <w:marRight w:val="0"/>
          <w:marTop w:val="0"/>
          <w:marBottom w:val="0"/>
          <w:divBdr>
            <w:top w:val="none" w:sz="0" w:space="0" w:color="auto"/>
            <w:left w:val="none" w:sz="0" w:space="0" w:color="auto"/>
            <w:bottom w:val="none" w:sz="0" w:space="0" w:color="auto"/>
            <w:right w:val="none" w:sz="0" w:space="0" w:color="auto"/>
          </w:divBdr>
        </w:div>
        <w:div w:id="1779444483">
          <w:marLeft w:val="0"/>
          <w:marRight w:val="0"/>
          <w:marTop w:val="0"/>
          <w:marBottom w:val="0"/>
          <w:divBdr>
            <w:top w:val="none" w:sz="0" w:space="0" w:color="auto"/>
            <w:left w:val="none" w:sz="0" w:space="0" w:color="auto"/>
            <w:bottom w:val="none" w:sz="0" w:space="0" w:color="auto"/>
            <w:right w:val="none" w:sz="0" w:space="0" w:color="auto"/>
          </w:divBdr>
        </w:div>
      </w:divsChild>
    </w:div>
    <w:div w:id="1779444342">
      <w:marLeft w:val="0"/>
      <w:marRight w:val="0"/>
      <w:marTop w:val="0"/>
      <w:marBottom w:val="0"/>
      <w:divBdr>
        <w:top w:val="none" w:sz="0" w:space="0" w:color="auto"/>
        <w:left w:val="none" w:sz="0" w:space="0" w:color="auto"/>
        <w:bottom w:val="none" w:sz="0" w:space="0" w:color="auto"/>
        <w:right w:val="none" w:sz="0" w:space="0" w:color="auto"/>
      </w:divBdr>
    </w:div>
    <w:div w:id="1779444344">
      <w:marLeft w:val="0"/>
      <w:marRight w:val="0"/>
      <w:marTop w:val="0"/>
      <w:marBottom w:val="0"/>
      <w:divBdr>
        <w:top w:val="none" w:sz="0" w:space="0" w:color="auto"/>
        <w:left w:val="none" w:sz="0" w:space="0" w:color="auto"/>
        <w:bottom w:val="none" w:sz="0" w:space="0" w:color="auto"/>
        <w:right w:val="none" w:sz="0" w:space="0" w:color="auto"/>
      </w:divBdr>
    </w:div>
    <w:div w:id="1779444357">
      <w:marLeft w:val="0"/>
      <w:marRight w:val="0"/>
      <w:marTop w:val="0"/>
      <w:marBottom w:val="0"/>
      <w:divBdr>
        <w:top w:val="none" w:sz="0" w:space="0" w:color="auto"/>
        <w:left w:val="none" w:sz="0" w:space="0" w:color="auto"/>
        <w:bottom w:val="none" w:sz="0" w:space="0" w:color="auto"/>
        <w:right w:val="none" w:sz="0" w:space="0" w:color="auto"/>
      </w:divBdr>
    </w:div>
    <w:div w:id="1779444358">
      <w:marLeft w:val="0"/>
      <w:marRight w:val="0"/>
      <w:marTop w:val="0"/>
      <w:marBottom w:val="0"/>
      <w:divBdr>
        <w:top w:val="none" w:sz="0" w:space="0" w:color="auto"/>
        <w:left w:val="none" w:sz="0" w:space="0" w:color="auto"/>
        <w:bottom w:val="none" w:sz="0" w:space="0" w:color="auto"/>
        <w:right w:val="none" w:sz="0" w:space="0" w:color="auto"/>
      </w:divBdr>
    </w:div>
    <w:div w:id="1779444363">
      <w:marLeft w:val="0"/>
      <w:marRight w:val="0"/>
      <w:marTop w:val="0"/>
      <w:marBottom w:val="0"/>
      <w:divBdr>
        <w:top w:val="none" w:sz="0" w:space="0" w:color="auto"/>
        <w:left w:val="none" w:sz="0" w:space="0" w:color="auto"/>
        <w:bottom w:val="none" w:sz="0" w:space="0" w:color="auto"/>
        <w:right w:val="none" w:sz="0" w:space="0" w:color="auto"/>
      </w:divBdr>
    </w:div>
    <w:div w:id="1779444364">
      <w:marLeft w:val="0"/>
      <w:marRight w:val="0"/>
      <w:marTop w:val="0"/>
      <w:marBottom w:val="0"/>
      <w:divBdr>
        <w:top w:val="none" w:sz="0" w:space="0" w:color="auto"/>
        <w:left w:val="none" w:sz="0" w:space="0" w:color="auto"/>
        <w:bottom w:val="none" w:sz="0" w:space="0" w:color="auto"/>
        <w:right w:val="none" w:sz="0" w:space="0" w:color="auto"/>
      </w:divBdr>
    </w:div>
    <w:div w:id="1779444368">
      <w:marLeft w:val="0"/>
      <w:marRight w:val="0"/>
      <w:marTop w:val="0"/>
      <w:marBottom w:val="0"/>
      <w:divBdr>
        <w:top w:val="none" w:sz="0" w:space="0" w:color="auto"/>
        <w:left w:val="none" w:sz="0" w:space="0" w:color="auto"/>
        <w:bottom w:val="none" w:sz="0" w:space="0" w:color="auto"/>
        <w:right w:val="none" w:sz="0" w:space="0" w:color="auto"/>
      </w:divBdr>
      <w:divsChild>
        <w:div w:id="1779444214">
          <w:marLeft w:val="0"/>
          <w:marRight w:val="0"/>
          <w:marTop w:val="0"/>
          <w:marBottom w:val="0"/>
          <w:divBdr>
            <w:top w:val="none" w:sz="0" w:space="0" w:color="auto"/>
            <w:left w:val="none" w:sz="0" w:space="0" w:color="auto"/>
            <w:bottom w:val="none" w:sz="0" w:space="0" w:color="auto"/>
            <w:right w:val="none" w:sz="0" w:space="0" w:color="auto"/>
          </w:divBdr>
        </w:div>
        <w:div w:id="1779444252">
          <w:marLeft w:val="0"/>
          <w:marRight w:val="0"/>
          <w:marTop w:val="0"/>
          <w:marBottom w:val="0"/>
          <w:divBdr>
            <w:top w:val="none" w:sz="0" w:space="0" w:color="auto"/>
            <w:left w:val="none" w:sz="0" w:space="0" w:color="auto"/>
            <w:bottom w:val="none" w:sz="0" w:space="0" w:color="auto"/>
            <w:right w:val="none" w:sz="0" w:space="0" w:color="auto"/>
          </w:divBdr>
        </w:div>
        <w:div w:id="1779444276">
          <w:marLeft w:val="0"/>
          <w:marRight w:val="0"/>
          <w:marTop w:val="0"/>
          <w:marBottom w:val="0"/>
          <w:divBdr>
            <w:top w:val="none" w:sz="0" w:space="0" w:color="auto"/>
            <w:left w:val="none" w:sz="0" w:space="0" w:color="auto"/>
            <w:bottom w:val="none" w:sz="0" w:space="0" w:color="auto"/>
            <w:right w:val="none" w:sz="0" w:space="0" w:color="auto"/>
          </w:divBdr>
        </w:div>
        <w:div w:id="1779444284">
          <w:marLeft w:val="0"/>
          <w:marRight w:val="0"/>
          <w:marTop w:val="0"/>
          <w:marBottom w:val="0"/>
          <w:divBdr>
            <w:top w:val="none" w:sz="0" w:space="0" w:color="auto"/>
            <w:left w:val="none" w:sz="0" w:space="0" w:color="auto"/>
            <w:bottom w:val="none" w:sz="0" w:space="0" w:color="auto"/>
            <w:right w:val="none" w:sz="0" w:space="0" w:color="auto"/>
          </w:divBdr>
        </w:div>
        <w:div w:id="1779444295">
          <w:marLeft w:val="0"/>
          <w:marRight w:val="0"/>
          <w:marTop w:val="0"/>
          <w:marBottom w:val="0"/>
          <w:divBdr>
            <w:top w:val="none" w:sz="0" w:space="0" w:color="auto"/>
            <w:left w:val="none" w:sz="0" w:space="0" w:color="auto"/>
            <w:bottom w:val="none" w:sz="0" w:space="0" w:color="auto"/>
            <w:right w:val="none" w:sz="0" w:space="0" w:color="auto"/>
          </w:divBdr>
        </w:div>
        <w:div w:id="1779444330">
          <w:marLeft w:val="0"/>
          <w:marRight w:val="0"/>
          <w:marTop w:val="0"/>
          <w:marBottom w:val="0"/>
          <w:divBdr>
            <w:top w:val="none" w:sz="0" w:space="0" w:color="auto"/>
            <w:left w:val="none" w:sz="0" w:space="0" w:color="auto"/>
            <w:bottom w:val="none" w:sz="0" w:space="0" w:color="auto"/>
            <w:right w:val="none" w:sz="0" w:space="0" w:color="auto"/>
          </w:divBdr>
        </w:div>
        <w:div w:id="1779444337">
          <w:marLeft w:val="0"/>
          <w:marRight w:val="0"/>
          <w:marTop w:val="0"/>
          <w:marBottom w:val="0"/>
          <w:divBdr>
            <w:top w:val="none" w:sz="0" w:space="0" w:color="auto"/>
            <w:left w:val="none" w:sz="0" w:space="0" w:color="auto"/>
            <w:bottom w:val="none" w:sz="0" w:space="0" w:color="auto"/>
            <w:right w:val="none" w:sz="0" w:space="0" w:color="auto"/>
          </w:divBdr>
        </w:div>
        <w:div w:id="1779444339">
          <w:marLeft w:val="0"/>
          <w:marRight w:val="0"/>
          <w:marTop w:val="0"/>
          <w:marBottom w:val="0"/>
          <w:divBdr>
            <w:top w:val="none" w:sz="0" w:space="0" w:color="auto"/>
            <w:left w:val="none" w:sz="0" w:space="0" w:color="auto"/>
            <w:bottom w:val="none" w:sz="0" w:space="0" w:color="auto"/>
            <w:right w:val="none" w:sz="0" w:space="0" w:color="auto"/>
          </w:divBdr>
        </w:div>
        <w:div w:id="1779444341">
          <w:marLeft w:val="0"/>
          <w:marRight w:val="0"/>
          <w:marTop w:val="0"/>
          <w:marBottom w:val="0"/>
          <w:divBdr>
            <w:top w:val="none" w:sz="0" w:space="0" w:color="auto"/>
            <w:left w:val="none" w:sz="0" w:space="0" w:color="auto"/>
            <w:bottom w:val="none" w:sz="0" w:space="0" w:color="auto"/>
            <w:right w:val="none" w:sz="0" w:space="0" w:color="auto"/>
          </w:divBdr>
        </w:div>
        <w:div w:id="1779444350">
          <w:marLeft w:val="0"/>
          <w:marRight w:val="0"/>
          <w:marTop w:val="0"/>
          <w:marBottom w:val="0"/>
          <w:divBdr>
            <w:top w:val="none" w:sz="0" w:space="0" w:color="auto"/>
            <w:left w:val="none" w:sz="0" w:space="0" w:color="auto"/>
            <w:bottom w:val="none" w:sz="0" w:space="0" w:color="auto"/>
            <w:right w:val="none" w:sz="0" w:space="0" w:color="auto"/>
          </w:divBdr>
        </w:div>
        <w:div w:id="1779444375">
          <w:marLeft w:val="0"/>
          <w:marRight w:val="0"/>
          <w:marTop w:val="0"/>
          <w:marBottom w:val="0"/>
          <w:divBdr>
            <w:top w:val="none" w:sz="0" w:space="0" w:color="auto"/>
            <w:left w:val="none" w:sz="0" w:space="0" w:color="auto"/>
            <w:bottom w:val="none" w:sz="0" w:space="0" w:color="auto"/>
            <w:right w:val="none" w:sz="0" w:space="0" w:color="auto"/>
          </w:divBdr>
        </w:div>
        <w:div w:id="1779444379">
          <w:marLeft w:val="0"/>
          <w:marRight w:val="0"/>
          <w:marTop w:val="0"/>
          <w:marBottom w:val="0"/>
          <w:divBdr>
            <w:top w:val="none" w:sz="0" w:space="0" w:color="auto"/>
            <w:left w:val="none" w:sz="0" w:space="0" w:color="auto"/>
            <w:bottom w:val="none" w:sz="0" w:space="0" w:color="auto"/>
            <w:right w:val="none" w:sz="0" w:space="0" w:color="auto"/>
          </w:divBdr>
        </w:div>
        <w:div w:id="1779444384">
          <w:marLeft w:val="0"/>
          <w:marRight w:val="0"/>
          <w:marTop w:val="0"/>
          <w:marBottom w:val="0"/>
          <w:divBdr>
            <w:top w:val="none" w:sz="0" w:space="0" w:color="auto"/>
            <w:left w:val="none" w:sz="0" w:space="0" w:color="auto"/>
            <w:bottom w:val="none" w:sz="0" w:space="0" w:color="auto"/>
            <w:right w:val="none" w:sz="0" w:space="0" w:color="auto"/>
          </w:divBdr>
        </w:div>
        <w:div w:id="1779444456">
          <w:marLeft w:val="0"/>
          <w:marRight w:val="0"/>
          <w:marTop w:val="0"/>
          <w:marBottom w:val="0"/>
          <w:divBdr>
            <w:top w:val="none" w:sz="0" w:space="0" w:color="auto"/>
            <w:left w:val="none" w:sz="0" w:space="0" w:color="auto"/>
            <w:bottom w:val="none" w:sz="0" w:space="0" w:color="auto"/>
            <w:right w:val="none" w:sz="0" w:space="0" w:color="auto"/>
          </w:divBdr>
        </w:div>
        <w:div w:id="1779444458">
          <w:marLeft w:val="0"/>
          <w:marRight w:val="0"/>
          <w:marTop w:val="0"/>
          <w:marBottom w:val="0"/>
          <w:divBdr>
            <w:top w:val="none" w:sz="0" w:space="0" w:color="auto"/>
            <w:left w:val="none" w:sz="0" w:space="0" w:color="auto"/>
            <w:bottom w:val="none" w:sz="0" w:space="0" w:color="auto"/>
            <w:right w:val="none" w:sz="0" w:space="0" w:color="auto"/>
          </w:divBdr>
        </w:div>
        <w:div w:id="1779444474">
          <w:marLeft w:val="0"/>
          <w:marRight w:val="0"/>
          <w:marTop w:val="0"/>
          <w:marBottom w:val="0"/>
          <w:divBdr>
            <w:top w:val="none" w:sz="0" w:space="0" w:color="auto"/>
            <w:left w:val="none" w:sz="0" w:space="0" w:color="auto"/>
            <w:bottom w:val="none" w:sz="0" w:space="0" w:color="auto"/>
            <w:right w:val="none" w:sz="0" w:space="0" w:color="auto"/>
          </w:divBdr>
        </w:div>
        <w:div w:id="1779444489">
          <w:marLeft w:val="0"/>
          <w:marRight w:val="0"/>
          <w:marTop w:val="0"/>
          <w:marBottom w:val="0"/>
          <w:divBdr>
            <w:top w:val="none" w:sz="0" w:space="0" w:color="auto"/>
            <w:left w:val="none" w:sz="0" w:space="0" w:color="auto"/>
            <w:bottom w:val="none" w:sz="0" w:space="0" w:color="auto"/>
            <w:right w:val="none" w:sz="0" w:space="0" w:color="auto"/>
          </w:divBdr>
        </w:div>
        <w:div w:id="1779444490">
          <w:marLeft w:val="0"/>
          <w:marRight w:val="0"/>
          <w:marTop w:val="0"/>
          <w:marBottom w:val="0"/>
          <w:divBdr>
            <w:top w:val="none" w:sz="0" w:space="0" w:color="auto"/>
            <w:left w:val="none" w:sz="0" w:space="0" w:color="auto"/>
            <w:bottom w:val="none" w:sz="0" w:space="0" w:color="auto"/>
            <w:right w:val="none" w:sz="0" w:space="0" w:color="auto"/>
          </w:divBdr>
        </w:div>
        <w:div w:id="1779444501">
          <w:marLeft w:val="0"/>
          <w:marRight w:val="0"/>
          <w:marTop w:val="0"/>
          <w:marBottom w:val="0"/>
          <w:divBdr>
            <w:top w:val="none" w:sz="0" w:space="0" w:color="auto"/>
            <w:left w:val="none" w:sz="0" w:space="0" w:color="auto"/>
            <w:bottom w:val="none" w:sz="0" w:space="0" w:color="auto"/>
            <w:right w:val="none" w:sz="0" w:space="0" w:color="auto"/>
          </w:divBdr>
        </w:div>
        <w:div w:id="1779444519">
          <w:marLeft w:val="0"/>
          <w:marRight w:val="0"/>
          <w:marTop w:val="0"/>
          <w:marBottom w:val="0"/>
          <w:divBdr>
            <w:top w:val="none" w:sz="0" w:space="0" w:color="auto"/>
            <w:left w:val="none" w:sz="0" w:space="0" w:color="auto"/>
            <w:bottom w:val="none" w:sz="0" w:space="0" w:color="auto"/>
            <w:right w:val="none" w:sz="0" w:space="0" w:color="auto"/>
          </w:divBdr>
        </w:div>
        <w:div w:id="1779444527">
          <w:marLeft w:val="0"/>
          <w:marRight w:val="0"/>
          <w:marTop w:val="0"/>
          <w:marBottom w:val="0"/>
          <w:divBdr>
            <w:top w:val="none" w:sz="0" w:space="0" w:color="auto"/>
            <w:left w:val="none" w:sz="0" w:space="0" w:color="auto"/>
            <w:bottom w:val="none" w:sz="0" w:space="0" w:color="auto"/>
            <w:right w:val="none" w:sz="0" w:space="0" w:color="auto"/>
          </w:divBdr>
        </w:div>
      </w:divsChild>
    </w:div>
    <w:div w:id="1779444378">
      <w:marLeft w:val="0"/>
      <w:marRight w:val="0"/>
      <w:marTop w:val="0"/>
      <w:marBottom w:val="0"/>
      <w:divBdr>
        <w:top w:val="none" w:sz="0" w:space="0" w:color="auto"/>
        <w:left w:val="none" w:sz="0" w:space="0" w:color="auto"/>
        <w:bottom w:val="none" w:sz="0" w:space="0" w:color="auto"/>
        <w:right w:val="none" w:sz="0" w:space="0" w:color="auto"/>
      </w:divBdr>
      <w:divsChild>
        <w:div w:id="1779444195">
          <w:marLeft w:val="0"/>
          <w:marRight w:val="0"/>
          <w:marTop w:val="0"/>
          <w:marBottom w:val="0"/>
          <w:divBdr>
            <w:top w:val="none" w:sz="0" w:space="0" w:color="auto"/>
            <w:left w:val="none" w:sz="0" w:space="0" w:color="auto"/>
            <w:bottom w:val="none" w:sz="0" w:space="0" w:color="auto"/>
            <w:right w:val="none" w:sz="0" w:space="0" w:color="auto"/>
          </w:divBdr>
        </w:div>
        <w:div w:id="1779444236">
          <w:marLeft w:val="0"/>
          <w:marRight w:val="0"/>
          <w:marTop w:val="0"/>
          <w:marBottom w:val="0"/>
          <w:divBdr>
            <w:top w:val="none" w:sz="0" w:space="0" w:color="auto"/>
            <w:left w:val="none" w:sz="0" w:space="0" w:color="auto"/>
            <w:bottom w:val="none" w:sz="0" w:space="0" w:color="auto"/>
            <w:right w:val="none" w:sz="0" w:space="0" w:color="auto"/>
          </w:divBdr>
        </w:div>
        <w:div w:id="1779444242">
          <w:marLeft w:val="0"/>
          <w:marRight w:val="0"/>
          <w:marTop w:val="0"/>
          <w:marBottom w:val="0"/>
          <w:divBdr>
            <w:top w:val="none" w:sz="0" w:space="0" w:color="auto"/>
            <w:left w:val="none" w:sz="0" w:space="0" w:color="auto"/>
            <w:bottom w:val="none" w:sz="0" w:space="0" w:color="auto"/>
            <w:right w:val="none" w:sz="0" w:space="0" w:color="auto"/>
          </w:divBdr>
        </w:div>
        <w:div w:id="1779444277">
          <w:marLeft w:val="0"/>
          <w:marRight w:val="0"/>
          <w:marTop w:val="0"/>
          <w:marBottom w:val="0"/>
          <w:divBdr>
            <w:top w:val="none" w:sz="0" w:space="0" w:color="auto"/>
            <w:left w:val="none" w:sz="0" w:space="0" w:color="auto"/>
            <w:bottom w:val="none" w:sz="0" w:space="0" w:color="auto"/>
            <w:right w:val="none" w:sz="0" w:space="0" w:color="auto"/>
          </w:divBdr>
        </w:div>
        <w:div w:id="1779444283">
          <w:marLeft w:val="0"/>
          <w:marRight w:val="0"/>
          <w:marTop w:val="0"/>
          <w:marBottom w:val="0"/>
          <w:divBdr>
            <w:top w:val="none" w:sz="0" w:space="0" w:color="auto"/>
            <w:left w:val="none" w:sz="0" w:space="0" w:color="auto"/>
            <w:bottom w:val="none" w:sz="0" w:space="0" w:color="auto"/>
            <w:right w:val="none" w:sz="0" w:space="0" w:color="auto"/>
          </w:divBdr>
        </w:div>
        <w:div w:id="1779444286">
          <w:marLeft w:val="0"/>
          <w:marRight w:val="0"/>
          <w:marTop w:val="0"/>
          <w:marBottom w:val="0"/>
          <w:divBdr>
            <w:top w:val="none" w:sz="0" w:space="0" w:color="auto"/>
            <w:left w:val="none" w:sz="0" w:space="0" w:color="auto"/>
            <w:bottom w:val="none" w:sz="0" w:space="0" w:color="auto"/>
            <w:right w:val="none" w:sz="0" w:space="0" w:color="auto"/>
          </w:divBdr>
        </w:div>
        <w:div w:id="1779444309">
          <w:marLeft w:val="0"/>
          <w:marRight w:val="0"/>
          <w:marTop w:val="0"/>
          <w:marBottom w:val="0"/>
          <w:divBdr>
            <w:top w:val="none" w:sz="0" w:space="0" w:color="auto"/>
            <w:left w:val="none" w:sz="0" w:space="0" w:color="auto"/>
            <w:bottom w:val="none" w:sz="0" w:space="0" w:color="auto"/>
            <w:right w:val="none" w:sz="0" w:space="0" w:color="auto"/>
          </w:divBdr>
        </w:div>
        <w:div w:id="1779444315">
          <w:marLeft w:val="0"/>
          <w:marRight w:val="0"/>
          <w:marTop w:val="0"/>
          <w:marBottom w:val="0"/>
          <w:divBdr>
            <w:top w:val="none" w:sz="0" w:space="0" w:color="auto"/>
            <w:left w:val="none" w:sz="0" w:space="0" w:color="auto"/>
            <w:bottom w:val="none" w:sz="0" w:space="0" w:color="auto"/>
            <w:right w:val="none" w:sz="0" w:space="0" w:color="auto"/>
          </w:divBdr>
        </w:div>
        <w:div w:id="1779444361">
          <w:marLeft w:val="0"/>
          <w:marRight w:val="0"/>
          <w:marTop w:val="0"/>
          <w:marBottom w:val="0"/>
          <w:divBdr>
            <w:top w:val="none" w:sz="0" w:space="0" w:color="auto"/>
            <w:left w:val="none" w:sz="0" w:space="0" w:color="auto"/>
            <w:bottom w:val="none" w:sz="0" w:space="0" w:color="auto"/>
            <w:right w:val="none" w:sz="0" w:space="0" w:color="auto"/>
          </w:divBdr>
        </w:div>
        <w:div w:id="1779444370">
          <w:marLeft w:val="0"/>
          <w:marRight w:val="0"/>
          <w:marTop w:val="0"/>
          <w:marBottom w:val="0"/>
          <w:divBdr>
            <w:top w:val="none" w:sz="0" w:space="0" w:color="auto"/>
            <w:left w:val="none" w:sz="0" w:space="0" w:color="auto"/>
            <w:bottom w:val="none" w:sz="0" w:space="0" w:color="auto"/>
            <w:right w:val="none" w:sz="0" w:space="0" w:color="auto"/>
          </w:divBdr>
        </w:div>
        <w:div w:id="1779444390">
          <w:marLeft w:val="0"/>
          <w:marRight w:val="0"/>
          <w:marTop w:val="0"/>
          <w:marBottom w:val="0"/>
          <w:divBdr>
            <w:top w:val="none" w:sz="0" w:space="0" w:color="auto"/>
            <w:left w:val="none" w:sz="0" w:space="0" w:color="auto"/>
            <w:bottom w:val="none" w:sz="0" w:space="0" w:color="auto"/>
            <w:right w:val="none" w:sz="0" w:space="0" w:color="auto"/>
          </w:divBdr>
        </w:div>
        <w:div w:id="1779444442">
          <w:marLeft w:val="0"/>
          <w:marRight w:val="0"/>
          <w:marTop w:val="0"/>
          <w:marBottom w:val="0"/>
          <w:divBdr>
            <w:top w:val="none" w:sz="0" w:space="0" w:color="auto"/>
            <w:left w:val="none" w:sz="0" w:space="0" w:color="auto"/>
            <w:bottom w:val="none" w:sz="0" w:space="0" w:color="auto"/>
            <w:right w:val="none" w:sz="0" w:space="0" w:color="auto"/>
          </w:divBdr>
        </w:div>
        <w:div w:id="1779444462">
          <w:marLeft w:val="0"/>
          <w:marRight w:val="0"/>
          <w:marTop w:val="0"/>
          <w:marBottom w:val="0"/>
          <w:divBdr>
            <w:top w:val="none" w:sz="0" w:space="0" w:color="auto"/>
            <w:left w:val="none" w:sz="0" w:space="0" w:color="auto"/>
            <w:bottom w:val="none" w:sz="0" w:space="0" w:color="auto"/>
            <w:right w:val="none" w:sz="0" w:space="0" w:color="auto"/>
          </w:divBdr>
        </w:div>
        <w:div w:id="1779444487">
          <w:marLeft w:val="0"/>
          <w:marRight w:val="0"/>
          <w:marTop w:val="0"/>
          <w:marBottom w:val="0"/>
          <w:divBdr>
            <w:top w:val="none" w:sz="0" w:space="0" w:color="auto"/>
            <w:left w:val="none" w:sz="0" w:space="0" w:color="auto"/>
            <w:bottom w:val="none" w:sz="0" w:space="0" w:color="auto"/>
            <w:right w:val="none" w:sz="0" w:space="0" w:color="auto"/>
          </w:divBdr>
        </w:div>
      </w:divsChild>
    </w:div>
    <w:div w:id="1779444381">
      <w:marLeft w:val="0"/>
      <w:marRight w:val="0"/>
      <w:marTop w:val="0"/>
      <w:marBottom w:val="0"/>
      <w:divBdr>
        <w:top w:val="none" w:sz="0" w:space="0" w:color="auto"/>
        <w:left w:val="none" w:sz="0" w:space="0" w:color="auto"/>
        <w:bottom w:val="none" w:sz="0" w:space="0" w:color="auto"/>
        <w:right w:val="none" w:sz="0" w:space="0" w:color="auto"/>
      </w:divBdr>
    </w:div>
    <w:div w:id="1779444388">
      <w:marLeft w:val="0"/>
      <w:marRight w:val="0"/>
      <w:marTop w:val="0"/>
      <w:marBottom w:val="0"/>
      <w:divBdr>
        <w:top w:val="none" w:sz="0" w:space="0" w:color="auto"/>
        <w:left w:val="none" w:sz="0" w:space="0" w:color="auto"/>
        <w:bottom w:val="none" w:sz="0" w:space="0" w:color="auto"/>
        <w:right w:val="none" w:sz="0" w:space="0" w:color="auto"/>
      </w:divBdr>
      <w:divsChild>
        <w:div w:id="1779444212">
          <w:marLeft w:val="0"/>
          <w:marRight w:val="0"/>
          <w:marTop w:val="0"/>
          <w:marBottom w:val="0"/>
          <w:divBdr>
            <w:top w:val="none" w:sz="0" w:space="0" w:color="auto"/>
            <w:left w:val="none" w:sz="0" w:space="0" w:color="auto"/>
            <w:bottom w:val="none" w:sz="0" w:space="0" w:color="auto"/>
            <w:right w:val="none" w:sz="0" w:space="0" w:color="auto"/>
          </w:divBdr>
        </w:div>
        <w:div w:id="1779444213">
          <w:marLeft w:val="0"/>
          <w:marRight w:val="0"/>
          <w:marTop w:val="0"/>
          <w:marBottom w:val="0"/>
          <w:divBdr>
            <w:top w:val="none" w:sz="0" w:space="0" w:color="auto"/>
            <w:left w:val="none" w:sz="0" w:space="0" w:color="auto"/>
            <w:bottom w:val="none" w:sz="0" w:space="0" w:color="auto"/>
            <w:right w:val="none" w:sz="0" w:space="0" w:color="auto"/>
          </w:divBdr>
        </w:div>
        <w:div w:id="1779444258">
          <w:marLeft w:val="0"/>
          <w:marRight w:val="0"/>
          <w:marTop w:val="0"/>
          <w:marBottom w:val="0"/>
          <w:divBdr>
            <w:top w:val="none" w:sz="0" w:space="0" w:color="auto"/>
            <w:left w:val="none" w:sz="0" w:space="0" w:color="auto"/>
            <w:bottom w:val="none" w:sz="0" w:space="0" w:color="auto"/>
            <w:right w:val="none" w:sz="0" w:space="0" w:color="auto"/>
          </w:divBdr>
        </w:div>
        <w:div w:id="1779444275">
          <w:marLeft w:val="0"/>
          <w:marRight w:val="0"/>
          <w:marTop w:val="0"/>
          <w:marBottom w:val="0"/>
          <w:divBdr>
            <w:top w:val="none" w:sz="0" w:space="0" w:color="auto"/>
            <w:left w:val="none" w:sz="0" w:space="0" w:color="auto"/>
            <w:bottom w:val="none" w:sz="0" w:space="0" w:color="auto"/>
            <w:right w:val="none" w:sz="0" w:space="0" w:color="auto"/>
          </w:divBdr>
        </w:div>
        <w:div w:id="1779444373">
          <w:marLeft w:val="0"/>
          <w:marRight w:val="0"/>
          <w:marTop w:val="0"/>
          <w:marBottom w:val="0"/>
          <w:divBdr>
            <w:top w:val="none" w:sz="0" w:space="0" w:color="auto"/>
            <w:left w:val="none" w:sz="0" w:space="0" w:color="auto"/>
            <w:bottom w:val="none" w:sz="0" w:space="0" w:color="auto"/>
            <w:right w:val="none" w:sz="0" w:space="0" w:color="auto"/>
          </w:divBdr>
        </w:div>
        <w:div w:id="1779444382">
          <w:marLeft w:val="0"/>
          <w:marRight w:val="0"/>
          <w:marTop w:val="0"/>
          <w:marBottom w:val="0"/>
          <w:divBdr>
            <w:top w:val="none" w:sz="0" w:space="0" w:color="auto"/>
            <w:left w:val="none" w:sz="0" w:space="0" w:color="auto"/>
            <w:bottom w:val="none" w:sz="0" w:space="0" w:color="auto"/>
            <w:right w:val="none" w:sz="0" w:space="0" w:color="auto"/>
          </w:divBdr>
        </w:div>
        <w:div w:id="1779444480">
          <w:marLeft w:val="0"/>
          <w:marRight w:val="0"/>
          <w:marTop w:val="0"/>
          <w:marBottom w:val="0"/>
          <w:divBdr>
            <w:top w:val="none" w:sz="0" w:space="0" w:color="auto"/>
            <w:left w:val="none" w:sz="0" w:space="0" w:color="auto"/>
            <w:bottom w:val="none" w:sz="0" w:space="0" w:color="auto"/>
            <w:right w:val="none" w:sz="0" w:space="0" w:color="auto"/>
          </w:divBdr>
        </w:div>
        <w:div w:id="1779444492">
          <w:marLeft w:val="0"/>
          <w:marRight w:val="0"/>
          <w:marTop w:val="0"/>
          <w:marBottom w:val="0"/>
          <w:divBdr>
            <w:top w:val="none" w:sz="0" w:space="0" w:color="auto"/>
            <w:left w:val="none" w:sz="0" w:space="0" w:color="auto"/>
            <w:bottom w:val="none" w:sz="0" w:space="0" w:color="auto"/>
            <w:right w:val="none" w:sz="0" w:space="0" w:color="auto"/>
          </w:divBdr>
        </w:div>
        <w:div w:id="1779444495">
          <w:marLeft w:val="0"/>
          <w:marRight w:val="0"/>
          <w:marTop w:val="0"/>
          <w:marBottom w:val="0"/>
          <w:divBdr>
            <w:top w:val="none" w:sz="0" w:space="0" w:color="auto"/>
            <w:left w:val="none" w:sz="0" w:space="0" w:color="auto"/>
            <w:bottom w:val="none" w:sz="0" w:space="0" w:color="auto"/>
            <w:right w:val="none" w:sz="0" w:space="0" w:color="auto"/>
          </w:divBdr>
        </w:div>
        <w:div w:id="1779444498">
          <w:marLeft w:val="0"/>
          <w:marRight w:val="0"/>
          <w:marTop w:val="0"/>
          <w:marBottom w:val="0"/>
          <w:divBdr>
            <w:top w:val="none" w:sz="0" w:space="0" w:color="auto"/>
            <w:left w:val="none" w:sz="0" w:space="0" w:color="auto"/>
            <w:bottom w:val="none" w:sz="0" w:space="0" w:color="auto"/>
            <w:right w:val="none" w:sz="0" w:space="0" w:color="auto"/>
          </w:divBdr>
        </w:div>
        <w:div w:id="1779444533">
          <w:marLeft w:val="0"/>
          <w:marRight w:val="0"/>
          <w:marTop w:val="0"/>
          <w:marBottom w:val="0"/>
          <w:divBdr>
            <w:top w:val="none" w:sz="0" w:space="0" w:color="auto"/>
            <w:left w:val="none" w:sz="0" w:space="0" w:color="auto"/>
            <w:bottom w:val="none" w:sz="0" w:space="0" w:color="auto"/>
            <w:right w:val="none" w:sz="0" w:space="0" w:color="auto"/>
          </w:divBdr>
        </w:div>
      </w:divsChild>
    </w:div>
    <w:div w:id="1779444411">
      <w:marLeft w:val="0"/>
      <w:marRight w:val="0"/>
      <w:marTop w:val="0"/>
      <w:marBottom w:val="0"/>
      <w:divBdr>
        <w:top w:val="none" w:sz="0" w:space="0" w:color="auto"/>
        <w:left w:val="none" w:sz="0" w:space="0" w:color="auto"/>
        <w:bottom w:val="none" w:sz="0" w:space="0" w:color="auto"/>
        <w:right w:val="none" w:sz="0" w:space="0" w:color="auto"/>
      </w:divBdr>
      <w:divsChild>
        <w:div w:id="1779444247">
          <w:marLeft w:val="0"/>
          <w:marRight w:val="0"/>
          <w:marTop w:val="0"/>
          <w:marBottom w:val="0"/>
          <w:divBdr>
            <w:top w:val="none" w:sz="0" w:space="0" w:color="auto"/>
            <w:left w:val="none" w:sz="0" w:space="0" w:color="auto"/>
            <w:bottom w:val="none" w:sz="0" w:space="0" w:color="auto"/>
            <w:right w:val="none" w:sz="0" w:space="0" w:color="auto"/>
          </w:divBdr>
        </w:div>
        <w:div w:id="1779444269">
          <w:marLeft w:val="0"/>
          <w:marRight w:val="0"/>
          <w:marTop w:val="0"/>
          <w:marBottom w:val="0"/>
          <w:divBdr>
            <w:top w:val="none" w:sz="0" w:space="0" w:color="auto"/>
            <w:left w:val="none" w:sz="0" w:space="0" w:color="auto"/>
            <w:bottom w:val="none" w:sz="0" w:space="0" w:color="auto"/>
            <w:right w:val="none" w:sz="0" w:space="0" w:color="auto"/>
          </w:divBdr>
        </w:div>
        <w:div w:id="1779444525">
          <w:marLeft w:val="0"/>
          <w:marRight w:val="0"/>
          <w:marTop w:val="0"/>
          <w:marBottom w:val="0"/>
          <w:divBdr>
            <w:top w:val="none" w:sz="0" w:space="0" w:color="auto"/>
            <w:left w:val="none" w:sz="0" w:space="0" w:color="auto"/>
            <w:bottom w:val="none" w:sz="0" w:space="0" w:color="auto"/>
            <w:right w:val="none" w:sz="0" w:space="0" w:color="auto"/>
          </w:divBdr>
        </w:div>
      </w:divsChild>
    </w:div>
    <w:div w:id="1779444419">
      <w:marLeft w:val="0"/>
      <w:marRight w:val="0"/>
      <w:marTop w:val="0"/>
      <w:marBottom w:val="0"/>
      <w:divBdr>
        <w:top w:val="none" w:sz="0" w:space="0" w:color="auto"/>
        <w:left w:val="none" w:sz="0" w:space="0" w:color="auto"/>
        <w:bottom w:val="none" w:sz="0" w:space="0" w:color="auto"/>
        <w:right w:val="none" w:sz="0" w:space="0" w:color="auto"/>
      </w:divBdr>
      <w:divsChild>
        <w:div w:id="1779444215">
          <w:marLeft w:val="0"/>
          <w:marRight w:val="0"/>
          <w:marTop w:val="0"/>
          <w:marBottom w:val="0"/>
          <w:divBdr>
            <w:top w:val="none" w:sz="0" w:space="0" w:color="auto"/>
            <w:left w:val="none" w:sz="0" w:space="0" w:color="auto"/>
            <w:bottom w:val="none" w:sz="0" w:space="0" w:color="auto"/>
            <w:right w:val="none" w:sz="0" w:space="0" w:color="auto"/>
          </w:divBdr>
        </w:div>
        <w:div w:id="1779444251">
          <w:marLeft w:val="0"/>
          <w:marRight w:val="0"/>
          <w:marTop w:val="0"/>
          <w:marBottom w:val="0"/>
          <w:divBdr>
            <w:top w:val="none" w:sz="0" w:space="0" w:color="auto"/>
            <w:left w:val="none" w:sz="0" w:space="0" w:color="auto"/>
            <w:bottom w:val="none" w:sz="0" w:space="0" w:color="auto"/>
            <w:right w:val="none" w:sz="0" w:space="0" w:color="auto"/>
          </w:divBdr>
        </w:div>
        <w:div w:id="1779444261">
          <w:marLeft w:val="0"/>
          <w:marRight w:val="0"/>
          <w:marTop w:val="0"/>
          <w:marBottom w:val="0"/>
          <w:divBdr>
            <w:top w:val="none" w:sz="0" w:space="0" w:color="auto"/>
            <w:left w:val="none" w:sz="0" w:space="0" w:color="auto"/>
            <w:bottom w:val="none" w:sz="0" w:space="0" w:color="auto"/>
            <w:right w:val="none" w:sz="0" w:space="0" w:color="auto"/>
          </w:divBdr>
        </w:div>
        <w:div w:id="1779444271">
          <w:marLeft w:val="0"/>
          <w:marRight w:val="0"/>
          <w:marTop w:val="0"/>
          <w:marBottom w:val="0"/>
          <w:divBdr>
            <w:top w:val="none" w:sz="0" w:space="0" w:color="auto"/>
            <w:left w:val="none" w:sz="0" w:space="0" w:color="auto"/>
            <w:bottom w:val="none" w:sz="0" w:space="0" w:color="auto"/>
            <w:right w:val="none" w:sz="0" w:space="0" w:color="auto"/>
          </w:divBdr>
        </w:div>
        <w:div w:id="1779444294">
          <w:marLeft w:val="0"/>
          <w:marRight w:val="0"/>
          <w:marTop w:val="0"/>
          <w:marBottom w:val="0"/>
          <w:divBdr>
            <w:top w:val="none" w:sz="0" w:space="0" w:color="auto"/>
            <w:left w:val="none" w:sz="0" w:space="0" w:color="auto"/>
            <w:bottom w:val="none" w:sz="0" w:space="0" w:color="auto"/>
            <w:right w:val="none" w:sz="0" w:space="0" w:color="auto"/>
          </w:divBdr>
        </w:div>
        <w:div w:id="1779444297">
          <w:marLeft w:val="0"/>
          <w:marRight w:val="0"/>
          <w:marTop w:val="0"/>
          <w:marBottom w:val="0"/>
          <w:divBdr>
            <w:top w:val="none" w:sz="0" w:space="0" w:color="auto"/>
            <w:left w:val="none" w:sz="0" w:space="0" w:color="auto"/>
            <w:bottom w:val="none" w:sz="0" w:space="0" w:color="auto"/>
            <w:right w:val="none" w:sz="0" w:space="0" w:color="auto"/>
          </w:divBdr>
        </w:div>
        <w:div w:id="1779444308">
          <w:marLeft w:val="0"/>
          <w:marRight w:val="0"/>
          <w:marTop w:val="0"/>
          <w:marBottom w:val="0"/>
          <w:divBdr>
            <w:top w:val="none" w:sz="0" w:space="0" w:color="auto"/>
            <w:left w:val="none" w:sz="0" w:space="0" w:color="auto"/>
            <w:bottom w:val="none" w:sz="0" w:space="0" w:color="auto"/>
            <w:right w:val="none" w:sz="0" w:space="0" w:color="auto"/>
          </w:divBdr>
        </w:div>
        <w:div w:id="1779444322">
          <w:marLeft w:val="0"/>
          <w:marRight w:val="0"/>
          <w:marTop w:val="0"/>
          <w:marBottom w:val="0"/>
          <w:divBdr>
            <w:top w:val="none" w:sz="0" w:space="0" w:color="auto"/>
            <w:left w:val="none" w:sz="0" w:space="0" w:color="auto"/>
            <w:bottom w:val="none" w:sz="0" w:space="0" w:color="auto"/>
            <w:right w:val="none" w:sz="0" w:space="0" w:color="auto"/>
          </w:divBdr>
        </w:div>
        <w:div w:id="1779444346">
          <w:marLeft w:val="0"/>
          <w:marRight w:val="0"/>
          <w:marTop w:val="0"/>
          <w:marBottom w:val="0"/>
          <w:divBdr>
            <w:top w:val="none" w:sz="0" w:space="0" w:color="auto"/>
            <w:left w:val="none" w:sz="0" w:space="0" w:color="auto"/>
            <w:bottom w:val="none" w:sz="0" w:space="0" w:color="auto"/>
            <w:right w:val="none" w:sz="0" w:space="0" w:color="auto"/>
          </w:divBdr>
        </w:div>
        <w:div w:id="1779444349">
          <w:marLeft w:val="0"/>
          <w:marRight w:val="0"/>
          <w:marTop w:val="0"/>
          <w:marBottom w:val="0"/>
          <w:divBdr>
            <w:top w:val="none" w:sz="0" w:space="0" w:color="auto"/>
            <w:left w:val="none" w:sz="0" w:space="0" w:color="auto"/>
            <w:bottom w:val="none" w:sz="0" w:space="0" w:color="auto"/>
            <w:right w:val="none" w:sz="0" w:space="0" w:color="auto"/>
          </w:divBdr>
        </w:div>
        <w:div w:id="1779444395">
          <w:marLeft w:val="0"/>
          <w:marRight w:val="0"/>
          <w:marTop w:val="0"/>
          <w:marBottom w:val="0"/>
          <w:divBdr>
            <w:top w:val="none" w:sz="0" w:space="0" w:color="auto"/>
            <w:left w:val="none" w:sz="0" w:space="0" w:color="auto"/>
            <w:bottom w:val="none" w:sz="0" w:space="0" w:color="auto"/>
            <w:right w:val="none" w:sz="0" w:space="0" w:color="auto"/>
          </w:divBdr>
        </w:div>
        <w:div w:id="1779444397">
          <w:marLeft w:val="0"/>
          <w:marRight w:val="0"/>
          <w:marTop w:val="0"/>
          <w:marBottom w:val="0"/>
          <w:divBdr>
            <w:top w:val="none" w:sz="0" w:space="0" w:color="auto"/>
            <w:left w:val="none" w:sz="0" w:space="0" w:color="auto"/>
            <w:bottom w:val="none" w:sz="0" w:space="0" w:color="auto"/>
            <w:right w:val="none" w:sz="0" w:space="0" w:color="auto"/>
          </w:divBdr>
        </w:div>
        <w:div w:id="1779444405">
          <w:marLeft w:val="0"/>
          <w:marRight w:val="0"/>
          <w:marTop w:val="0"/>
          <w:marBottom w:val="0"/>
          <w:divBdr>
            <w:top w:val="none" w:sz="0" w:space="0" w:color="auto"/>
            <w:left w:val="none" w:sz="0" w:space="0" w:color="auto"/>
            <w:bottom w:val="none" w:sz="0" w:space="0" w:color="auto"/>
            <w:right w:val="none" w:sz="0" w:space="0" w:color="auto"/>
          </w:divBdr>
        </w:div>
        <w:div w:id="1779444417">
          <w:marLeft w:val="0"/>
          <w:marRight w:val="0"/>
          <w:marTop w:val="0"/>
          <w:marBottom w:val="0"/>
          <w:divBdr>
            <w:top w:val="none" w:sz="0" w:space="0" w:color="auto"/>
            <w:left w:val="none" w:sz="0" w:space="0" w:color="auto"/>
            <w:bottom w:val="none" w:sz="0" w:space="0" w:color="auto"/>
            <w:right w:val="none" w:sz="0" w:space="0" w:color="auto"/>
          </w:divBdr>
        </w:div>
        <w:div w:id="1779444420">
          <w:marLeft w:val="0"/>
          <w:marRight w:val="0"/>
          <w:marTop w:val="0"/>
          <w:marBottom w:val="0"/>
          <w:divBdr>
            <w:top w:val="none" w:sz="0" w:space="0" w:color="auto"/>
            <w:left w:val="none" w:sz="0" w:space="0" w:color="auto"/>
            <w:bottom w:val="none" w:sz="0" w:space="0" w:color="auto"/>
            <w:right w:val="none" w:sz="0" w:space="0" w:color="auto"/>
          </w:divBdr>
        </w:div>
        <w:div w:id="1779444421">
          <w:marLeft w:val="0"/>
          <w:marRight w:val="0"/>
          <w:marTop w:val="0"/>
          <w:marBottom w:val="0"/>
          <w:divBdr>
            <w:top w:val="none" w:sz="0" w:space="0" w:color="auto"/>
            <w:left w:val="none" w:sz="0" w:space="0" w:color="auto"/>
            <w:bottom w:val="none" w:sz="0" w:space="0" w:color="auto"/>
            <w:right w:val="none" w:sz="0" w:space="0" w:color="auto"/>
          </w:divBdr>
        </w:div>
        <w:div w:id="1779444427">
          <w:marLeft w:val="0"/>
          <w:marRight w:val="0"/>
          <w:marTop w:val="0"/>
          <w:marBottom w:val="0"/>
          <w:divBdr>
            <w:top w:val="none" w:sz="0" w:space="0" w:color="auto"/>
            <w:left w:val="none" w:sz="0" w:space="0" w:color="auto"/>
            <w:bottom w:val="none" w:sz="0" w:space="0" w:color="auto"/>
            <w:right w:val="none" w:sz="0" w:space="0" w:color="auto"/>
          </w:divBdr>
        </w:div>
        <w:div w:id="1779444468">
          <w:marLeft w:val="0"/>
          <w:marRight w:val="0"/>
          <w:marTop w:val="0"/>
          <w:marBottom w:val="0"/>
          <w:divBdr>
            <w:top w:val="none" w:sz="0" w:space="0" w:color="auto"/>
            <w:left w:val="none" w:sz="0" w:space="0" w:color="auto"/>
            <w:bottom w:val="none" w:sz="0" w:space="0" w:color="auto"/>
            <w:right w:val="none" w:sz="0" w:space="0" w:color="auto"/>
          </w:divBdr>
        </w:div>
        <w:div w:id="1779444471">
          <w:marLeft w:val="0"/>
          <w:marRight w:val="0"/>
          <w:marTop w:val="0"/>
          <w:marBottom w:val="0"/>
          <w:divBdr>
            <w:top w:val="none" w:sz="0" w:space="0" w:color="auto"/>
            <w:left w:val="none" w:sz="0" w:space="0" w:color="auto"/>
            <w:bottom w:val="none" w:sz="0" w:space="0" w:color="auto"/>
            <w:right w:val="none" w:sz="0" w:space="0" w:color="auto"/>
          </w:divBdr>
        </w:div>
        <w:div w:id="1779444520">
          <w:marLeft w:val="0"/>
          <w:marRight w:val="0"/>
          <w:marTop w:val="0"/>
          <w:marBottom w:val="0"/>
          <w:divBdr>
            <w:top w:val="none" w:sz="0" w:space="0" w:color="auto"/>
            <w:left w:val="none" w:sz="0" w:space="0" w:color="auto"/>
            <w:bottom w:val="none" w:sz="0" w:space="0" w:color="auto"/>
            <w:right w:val="none" w:sz="0" w:space="0" w:color="auto"/>
          </w:divBdr>
        </w:div>
        <w:div w:id="1779444538">
          <w:marLeft w:val="0"/>
          <w:marRight w:val="0"/>
          <w:marTop w:val="0"/>
          <w:marBottom w:val="0"/>
          <w:divBdr>
            <w:top w:val="none" w:sz="0" w:space="0" w:color="auto"/>
            <w:left w:val="none" w:sz="0" w:space="0" w:color="auto"/>
            <w:bottom w:val="none" w:sz="0" w:space="0" w:color="auto"/>
            <w:right w:val="none" w:sz="0" w:space="0" w:color="auto"/>
          </w:divBdr>
        </w:div>
      </w:divsChild>
    </w:div>
    <w:div w:id="1779444423">
      <w:marLeft w:val="0"/>
      <w:marRight w:val="0"/>
      <w:marTop w:val="0"/>
      <w:marBottom w:val="0"/>
      <w:divBdr>
        <w:top w:val="none" w:sz="0" w:space="0" w:color="auto"/>
        <w:left w:val="none" w:sz="0" w:space="0" w:color="auto"/>
        <w:bottom w:val="none" w:sz="0" w:space="0" w:color="auto"/>
        <w:right w:val="none" w:sz="0" w:space="0" w:color="auto"/>
      </w:divBdr>
      <w:divsChild>
        <w:div w:id="1779444464">
          <w:marLeft w:val="0"/>
          <w:marRight w:val="0"/>
          <w:marTop w:val="0"/>
          <w:marBottom w:val="0"/>
          <w:divBdr>
            <w:top w:val="none" w:sz="0" w:space="0" w:color="auto"/>
            <w:left w:val="none" w:sz="0" w:space="0" w:color="auto"/>
            <w:bottom w:val="none" w:sz="0" w:space="0" w:color="auto"/>
            <w:right w:val="none" w:sz="0" w:space="0" w:color="auto"/>
          </w:divBdr>
        </w:div>
      </w:divsChild>
    </w:div>
    <w:div w:id="1779444432">
      <w:marLeft w:val="0"/>
      <w:marRight w:val="0"/>
      <w:marTop w:val="0"/>
      <w:marBottom w:val="0"/>
      <w:divBdr>
        <w:top w:val="none" w:sz="0" w:space="0" w:color="auto"/>
        <w:left w:val="none" w:sz="0" w:space="0" w:color="auto"/>
        <w:bottom w:val="none" w:sz="0" w:space="0" w:color="auto"/>
        <w:right w:val="none" w:sz="0" w:space="0" w:color="auto"/>
      </w:divBdr>
    </w:div>
    <w:div w:id="1779444433">
      <w:marLeft w:val="0"/>
      <w:marRight w:val="0"/>
      <w:marTop w:val="0"/>
      <w:marBottom w:val="0"/>
      <w:divBdr>
        <w:top w:val="none" w:sz="0" w:space="0" w:color="auto"/>
        <w:left w:val="none" w:sz="0" w:space="0" w:color="auto"/>
        <w:bottom w:val="none" w:sz="0" w:space="0" w:color="auto"/>
        <w:right w:val="none" w:sz="0" w:space="0" w:color="auto"/>
      </w:divBdr>
    </w:div>
    <w:div w:id="1779444448">
      <w:marLeft w:val="0"/>
      <w:marRight w:val="0"/>
      <w:marTop w:val="0"/>
      <w:marBottom w:val="0"/>
      <w:divBdr>
        <w:top w:val="none" w:sz="0" w:space="0" w:color="auto"/>
        <w:left w:val="none" w:sz="0" w:space="0" w:color="auto"/>
        <w:bottom w:val="none" w:sz="0" w:space="0" w:color="auto"/>
        <w:right w:val="none" w:sz="0" w:space="0" w:color="auto"/>
      </w:divBdr>
    </w:div>
    <w:div w:id="1779444465">
      <w:marLeft w:val="0"/>
      <w:marRight w:val="0"/>
      <w:marTop w:val="0"/>
      <w:marBottom w:val="0"/>
      <w:divBdr>
        <w:top w:val="none" w:sz="0" w:space="0" w:color="auto"/>
        <w:left w:val="none" w:sz="0" w:space="0" w:color="auto"/>
        <w:bottom w:val="none" w:sz="0" w:space="0" w:color="auto"/>
        <w:right w:val="none" w:sz="0" w:space="0" w:color="auto"/>
      </w:divBdr>
      <w:divsChild>
        <w:div w:id="1779444392">
          <w:marLeft w:val="0"/>
          <w:marRight w:val="0"/>
          <w:marTop w:val="0"/>
          <w:marBottom w:val="0"/>
          <w:divBdr>
            <w:top w:val="none" w:sz="0" w:space="0" w:color="auto"/>
            <w:left w:val="none" w:sz="0" w:space="0" w:color="auto"/>
            <w:bottom w:val="none" w:sz="0" w:space="0" w:color="auto"/>
            <w:right w:val="none" w:sz="0" w:space="0" w:color="auto"/>
          </w:divBdr>
        </w:div>
      </w:divsChild>
    </w:div>
    <w:div w:id="1779444467">
      <w:marLeft w:val="0"/>
      <w:marRight w:val="0"/>
      <w:marTop w:val="0"/>
      <w:marBottom w:val="0"/>
      <w:divBdr>
        <w:top w:val="none" w:sz="0" w:space="0" w:color="auto"/>
        <w:left w:val="none" w:sz="0" w:space="0" w:color="auto"/>
        <w:bottom w:val="none" w:sz="0" w:space="0" w:color="auto"/>
        <w:right w:val="none" w:sz="0" w:space="0" w:color="auto"/>
      </w:divBdr>
    </w:div>
    <w:div w:id="1779444469">
      <w:marLeft w:val="0"/>
      <w:marRight w:val="0"/>
      <w:marTop w:val="0"/>
      <w:marBottom w:val="0"/>
      <w:divBdr>
        <w:top w:val="none" w:sz="0" w:space="0" w:color="auto"/>
        <w:left w:val="none" w:sz="0" w:space="0" w:color="auto"/>
        <w:bottom w:val="none" w:sz="0" w:space="0" w:color="auto"/>
        <w:right w:val="none" w:sz="0" w:space="0" w:color="auto"/>
      </w:divBdr>
    </w:div>
    <w:div w:id="1779444472">
      <w:marLeft w:val="0"/>
      <w:marRight w:val="0"/>
      <w:marTop w:val="0"/>
      <w:marBottom w:val="0"/>
      <w:divBdr>
        <w:top w:val="none" w:sz="0" w:space="0" w:color="auto"/>
        <w:left w:val="none" w:sz="0" w:space="0" w:color="auto"/>
        <w:bottom w:val="none" w:sz="0" w:space="0" w:color="auto"/>
        <w:right w:val="none" w:sz="0" w:space="0" w:color="auto"/>
      </w:divBdr>
    </w:div>
    <w:div w:id="1779444478">
      <w:marLeft w:val="0"/>
      <w:marRight w:val="0"/>
      <w:marTop w:val="0"/>
      <w:marBottom w:val="0"/>
      <w:divBdr>
        <w:top w:val="none" w:sz="0" w:space="0" w:color="auto"/>
        <w:left w:val="none" w:sz="0" w:space="0" w:color="auto"/>
        <w:bottom w:val="none" w:sz="0" w:space="0" w:color="auto"/>
        <w:right w:val="none" w:sz="0" w:space="0" w:color="auto"/>
      </w:divBdr>
      <w:divsChild>
        <w:div w:id="1779444228">
          <w:marLeft w:val="0"/>
          <w:marRight w:val="0"/>
          <w:marTop w:val="0"/>
          <w:marBottom w:val="0"/>
          <w:divBdr>
            <w:top w:val="none" w:sz="0" w:space="0" w:color="auto"/>
            <w:left w:val="none" w:sz="0" w:space="0" w:color="auto"/>
            <w:bottom w:val="none" w:sz="0" w:space="0" w:color="auto"/>
            <w:right w:val="none" w:sz="0" w:space="0" w:color="auto"/>
          </w:divBdr>
        </w:div>
        <w:div w:id="1779444311">
          <w:marLeft w:val="0"/>
          <w:marRight w:val="0"/>
          <w:marTop w:val="0"/>
          <w:marBottom w:val="0"/>
          <w:divBdr>
            <w:top w:val="none" w:sz="0" w:space="0" w:color="auto"/>
            <w:left w:val="none" w:sz="0" w:space="0" w:color="auto"/>
            <w:bottom w:val="none" w:sz="0" w:space="0" w:color="auto"/>
            <w:right w:val="none" w:sz="0" w:space="0" w:color="auto"/>
          </w:divBdr>
        </w:div>
        <w:div w:id="1779444371">
          <w:marLeft w:val="0"/>
          <w:marRight w:val="0"/>
          <w:marTop w:val="0"/>
          <w:marBottom w:val="0"/>
          <w:divBdr>
            <w:top w:val="none" w:sz="0" w:space="0" w:color="auto"/>
            <w:left w:val="none" w:sz="0" w:space="0" w:color="auto"/>
            <w:bottom w:val="none" w:sz="0" w:space="0" w:color="auto"/>
            <w:right w:val="none" w:sz="0" w:space="0" w:color="auto"/>
          </w:divBdr>
        </w:div>
        <w:div w:id="1779444402">
          <w:marLeft w:val="0"/>
          <w:marRight w:val="0"/>
          <w:marTop w:val="0"/>
          <w:marBottom w:val="0"/>
          <w:divBdr>
            <w:top w:val="none" w:sz="0" w:space="0" w:color="auto"/>
            <w:left w:val="none" w:sz="0" w:space="0" w:color="auto"/>
            <w:bottom w:val="none" w:sz="0" w:space="0" w:color="auto"/>
            <w:right w:val="none" w:sz="0" w:space="0" w:color="auto"/>
          </w:divBdr>
        </w:div>
        <w:div w:id="1779444428">
          <w:marLeft w:val="0"/>
          <w:marRight w:val="0"/>
          <w:marTop w:val="0"/>
          <w:marBottom w:val="0"/>
          <w:divBdr>
            <w:top w:val="none" w:sz="0" w:space="0" w:color="auto"/>
            <w:left w:val="none" w:sz="0" w:space="0" w:color="auto"/>
            <w:bottom w:val="none" w:sz="0" w:space="0" w:color="auto"/>
            <w:right w:val="none" w:sz="0" w:space="0" w:color="auto"/>
          </w:divBdr>
        </w:div>
      </w:divsChild>
    </w:div>
    <w:div w:id="1779444481">
      <w:marLeft w:val="0"/>
      <w:marRight w:val="0"/>
      <w:marTop w:val="0"/>
      <w:marBottom w:val="0"/>
      <w:divBdr>
        <w:top w:val="none" w:sz="0" w:space="0" w:color="auto"/>
        <w:left w:val="none" w:sz="0" w:space="0" w:color="auto"/>
        <w:bottom w:val="none" w:sz="0" w:space="0" w:color="auto"/>
        <w:right w:val="none" w:sz="0" w:space="0" w:color="auto"/>
      </w:divBdr>
    </w:div>
    <w:div w:id="1779444484">
      <w:marLeft w:val="0"/>
      <w:marRight w:val="0"/>
      <w:marTop w:val="0"/>
      <w:marBottom w:val="0"/>
      <w:divBdr>
        <w:top w:val="none" w:sz="0" w:space="0" w:color="auto"/>
        <w:left w:val="none" w:sz="0" w:space="0" w:color="auto"/>
        <w:bottom w:val="none" w:sz="0" w:space="0" w:color="auto"/>
        <w:right w:val="none" w:sz="0" w:space="0" w:color="auto"/>
      </w:divBdr>
    </w:div>
    <w:div w:id="1779444488">
      <w:marLeft w:val="0"/>
      <w:marRight w:val="0"/>
      <w:marTop w:val="0"/>
      <w:marBottom w:val="0"/>
      <w:divBdr>
        <w:top w:val="none" w:sz="0" w:space="0" w:color="auto"/>
        <w:left w:val="none" w:sz="0" w:space="0" w:color="auto"/>
        <w:bottom w:val="none" w:sz="0" w:space="0" w:color="auto"/>
        <w:right w:val="none" w:sz="0" w:space="0" w:color="auto"/>
      </w:divBdr>
      <w:divsChild>
        <w:div w:id="1779444310">
          <w:marLeft w:val="0"/>
          <w:marRight w:val="0"/>
          <w:marTop w:val="0"/>
          <w:marBottom w:val="0"/>
          <w:divBdr>
            <w:top w:val="none" w:sz="0" w:space="0" w:color="auto"/>
            <w:left w:val="none" w:sz="0" w:space="0" w:color="auto"/>
            <w:bottom w:val="none" w:sz="0" w:space="0" w:color="auto"/>
            <w:right w:val="none" w:sz="0" w:space="0" w:color="auto"/>
          </w:divBdr>
        </w:div>
        <w:div w:id="1779444367">
          <w:marLeft w:val="0"/>
          <w:marRight w:val="0"/>
          <w:marTop w:val="0"/>
          <w:marBottom w:val="0"/>
          <w:divBdr>
            <w:top w:val="none" w:sz="0" w:space="0" w:color="auto"/>
            <w:left w:val="none" w:sz="0" w:space="0" w:color="auto"/>
            <w:bottom w:val="none" w:sz="0" w:space="0" w:color="auto"/>
            <w:right w:val="none" w:sz="0" w:space="0" w:color="auto"/>
          </w:divBdr>
        </w:div>
        <w:div w:id="1779444510">
          <w:marLeft w:val="0"/>
          <w:marRight w:val="0"/>
          <w:marTop w:val="0"/>
          <w:marBottom w:val="0"/>
          <w:divBdr>
            <w:top w:val="none" w:sz="0" w:space="0" w:color="auto"/>
            <w:left w:val="none" w:sz="0" w:space="0" w:color="auto"/>
            <w:bottom w:val="none" w:sz="0" w:space="0" w:color="auto"/>
            <w:right w:val="none" w:sz="0" w:space="0" w:color="auto"/>
          </w:divBdr>
        </w:div>
      </w:divsChild>
    </w:div>
    <w:div w:id="1779444493">
      <w:marLeft w:val="0"/>
      <w:marRight w:val="0"/>
      <w:marTop w:val="0"/>
      <w:marBottom w:val="0"/>
      <w:divBdr>
        <w:top w:val="none" w:sz="0" w:space="0" w:color="auto"/>
        <w:left w:val="none" w:sz="0" w:space="0" w:color="auto"/>
        <w:bottom w:val="none" w:sz="0" w:space="0" w:color="auto"/>
        <w:right w:val="none" w:sz="0" w:space="0" w:color="auto"/>
      </w:divBdr>
    </w:div>
    <w:div w:id="1779444497">
      <w:marLeft w:val="0"/>
      <w:marRight w:val="0"/>
      <w:marTop w:val="0"/>
      <w:marBottom w:val="0"/>
      <w:divBdr>
        <w:top w:val="none" w:sz="0" w:space="0" w:color="auto"/>
        <w:left w:val="none" w:sz="0" w:space="0" w:color="auto"/>
        <w:bottom w:val="none" w:sz="0" w:space="0" w:color="auto"/>
        <w:right w:val="none" w:sz="0" w:space="0" w:color="auto"/>
      </w:divBdr>
    </w:div>
    <w:div w:id="1779444505">
      <w:marLeft w:val="0"/>
      <w:marRight w:val="0"/>
      <w:marTop w:val="0"/>
      <w:marBottom w:val="0"/>
      <w:divBdr>
        <w:top w:val="none" w:sz="0" w:space="0" w:color="auto"/>
        <w:left w:val="none" w:sz="0" w:space="0" w:color="auto"/>
        <w:bottom w:val="none" w:sz="0" w:space="0" w:color="auto"/>
        <w:right w:val="none" w:sz="0" w:space="0" w:color="auto"/>
      </w:divBdr>
    </w:div>
    <w:div w:id="1779444509">
      <w:marLeft w:val="0"/>
      <w:marRight w:val="0"/>
      <w:marTop w:val="0"/>
      <w:marBottom w:val="0"/>
      <w:divBdr>
        <w:top w:val="none" w:sz="0" w:space="0" w:color="auto"/>
        <w:left w:val="none" w:sz="0" w:space="0" w:color="auto"/>
        <w:bottom w:val="none" w:sz="0" w:space="0" w:color="auto"/>
        <w:right w:val="none" w:sz="0" w:space="0" w:color="auto"/>
      </w:divBdr>
    </w:div>
    <w:div w:id="1779444518">
      <w:marLeft w:val="0"/>
      <w:marRight w:val="0"/>
      <w:marTop w:val="0"/>
      <w:marBottom w:val="0"/>
      <w:divBdr>
        <w:top w:val="none" w:sz="0" w:space="0" w:color="auto"/>
        <w:left w:val="none" w:sz="0" w:space="0" w:color="auto"/>
        <w:bottom w:val="none" w:sz="0" w:space="0" w:color="auto"/>
        <w:right w:val="none" w:sz="0" w:space="0" w:color="auto"/>
      </w:divBdr>
      <w:divsChild>
        <w:div w:id="1779444201">
          <w:marLeft w:val="0"/>
          <w:marRight w:val="0"/>
          <w:marTop w:val="0"/>
          <w:marBottom w:val="0"/>
          <w:divBdr>
            <w:top w:val="none" w:sz="0" w:space="0" w:color="auto"/>
            <w:left w:val="none" w:sz="0" w:space="0" w:color="auto"/>
            <w:bottom w:val="none" w:sz="0" w:space="0" w:color="auto"/>
            <w:right w:val="none" w:sz="0" w:space="0" w:color="auto"/>
          </w:divBdr>
        </w:div>
        <w:div w:id="1779444240">
          <w:marLeft w:val="0"/>
          <w:marRight w:val="0"/>
          <w:marTop w:val="0"/>
          <w:marBottom w:val="0"/>
          <w:divBdr>
            <w:top w:val="none" w:sz="0" w:space="0" w:color="auto"/>
            <w:left w:val="none" w:sz="0" w:space="0" w:color="auto"/>
            <w:bottom w:val="none" w:sz="0" w:space="0" w:color="auto"/>
            <w:right w:val="none" w:sz="0" w:space="0" w:color="auto"/>
          </w:divBdr>
        </w:div>
        <w:div w:id="1779444523">
          <w:marLeft w:val="0"/>
          <w:marRight w:val="0"/>
          <w:marTop w:val="0"/>
          <w:marBottom w:val="0"/>
          <w:divBdr>
            <w:top w:val="none" w:sz="0" w:space="0" w:color="auto"/>
            <w:left w:val="none" w:sz="0" w:space="0" w:color="auto"/>
            <w:bottom w:val="none" w:sz="0" w:space="0" w:color="auto"/>
            <w:right w:val="none" w:sz="0" w:space="0" w:color="auto"/>
          </w:divBdr>
        </w:div>
      </w:divsChild>
    </w:div>
    <w:div w:id="1779444526">
      <w:marLeft w:val="0"/>
      <w:marRight w:val="0"/>
      <w:marTop w:val="0"/>
      <w:marBottom w:val="0"/>
      <w:divBdr>
        <w:top w:val="none" w:sz="0" w:space="0" w:color="auto"/>
        <w:left w:val="none" w:sz="0" w:space="0" w:color="auto"/>
        <w:bottom w:val="none" w:sz="0" w:space="0" w:color="auto"/>
        <w:right w:val="none" w:sz="0" w:space="0" w:color="auto"/>
      </w:divBdr>
      <w:divsChild>
        <w:div w:id="1779444230">
          <w:marLeft w:val="0"/>
          <w:marRight w:val="0"/>
          <w:marTop w:val="0"/>
          <w:marBottom w:val="0"/>
          <w:divBdr>
            <w:top w:val="none" w:sz="0" w:space="0" w:color="auto"/>
            <w:left w:val="none" w:sz="0" w:space="0" w:color="auto"/>
            <w:bottom w:val="none" w:sz="0" w:space="0" w:color="auto"/>
            <w:right w:val="none" w:sz="0" w:space="0" w:color="auto"/>
          </w:divBdr>
        </w:div>
        <w:div w:id="1779444243">
          <w:marLeft w:val="0"/>
          <w:marRight w:val="0"/>
          <w:marTop w:val="0"/>
          <w:marBottom w:val="0"/>
          <w:divBdr>
            <w:top w:val="none" w:sz="0" w:space="0" w:color="auto"/>
            <w:left w:val="none" w:sz="0" w:space="0" w:color="auto"/>
            <w:bottom w:val="none" w:sz="0" w:space="0" w:color="auto"/>
            <w:right w:val="none" w:sz="0" w:space="0" w:color="auto"/>
          </w:divBdr>
        </w:div>
      </w:divsChild>
    </w:div>
    <w:div w:id="1779444528">
      <w:marLeft w:val="0"/>
      <w:marRight w:val="0"/>
      <w:marTop w:val="0"/>
      <w:marBottom w:val="0"/>
      <w:divBdr>
        <w:top w:val="none" w:sz="0" w:space="0" w:color="auto"/>
        <w:left w:val="none" w:sz="0" w:space="0" w:color="auto"/>
        <w:bottom w:val="none" w:sz="0" w:space="0" w:color="auto"/>
        <w:right w:val="none" w:sz="0" w:space="0" w:color="auto"/>
      </w:divBdr>
      <w:divsChild>
        <w:div w:id="1779444270">
          <w:marLeft w:val="0"/>
          <w:marRight w:val="0"/>
          <w:marTop w:val="0"/>
          <w:marBottom w:val="0"/>
          <w:divBdr>
            <w:top w:val="none" w:sz="0" w:space="0" w:color="auto"/>
            <w:left w:val="none" w:sz="0" w:space="0" w:color="auto"/>
            <w:bottom w:val="none" w:sz="0" w:space="0" w:color="auto"/>
            <w:right w:val="none" w:sz="0" w:space="0" w:color="auto"/>
          </w:divBdr>
        </w:div>
        <w:div w:id="1779444325">
          <w:marLeft w:val="0"/>
          <w:marRight w:val="0"/>
          <w:marTop w:val="0"/>
          <w:marBottom w:val="0"/>
          <w:divBdr>
            <w:top w:val="none" w:sz="0" w:space="0" w:color="auto"/>
            <w:left w:val="none" w:sz="0" w:space="0" w:color="auto"/>
            <w:bottom w:val="none" w:sz="0" w:space="0" w:color="auto"/>
            <w:right w:val="none" w:sz="0" w:space="0" w:color="auto"/>
          </w:divBdr>
        </w:div>
      </w:divsChild>
    </w:div>
    <w:div w:id="1779444536">
      <w:marLeft w:val="0"/>
      <w:marRight w:val="0"/>
      <w:marTop w:val="0"/>
      <w:marBottom w:val="0"/>
      <w:divBdr>
        <w:top w:val="none" w:sz="0" w:space="0" w:color="auto"/>
        <w:left w:val="none" w:sz="0" w:space="0" w:color="auto"/>
        <w:bottom w:val="none" w:sz="0" w:space="0" w:color="auto"/>
        <w:right w:val="none" w:sz="0" w:space="0" w:color="auto"/>
      </w:divBdr>
      <w:divsChild>
        <w:div w:id="1779444241">
          <w:marLeft w:val="0"/>
          <w:marRight w:val="0"/>
          <w:marTop w:val="0"/>
          <w:marBottom w:val="0"/>
          <w:divBdr>
            <w:top w:val="none" w:sz="0" w:space="0" w:color="auto"/>
            <w:left w:val="none" w:sz="0" w:space="0" w:color="auto"/>
            <w:bottom w:val="none" w:sz="0" w:space="0" w:color="auto"/>
            <w:right w:val="none" w:sz="0" w:space="0" w:color="auto"/>
          </w:divBdr>
        </w:div>
        <w:div w:id="1779444249">
          <w:marLeft w:val="0"/>
          <w:marRight w:val="0"/>
          <w:marTop w:val="0"/>
          <w:marBottom w:val="0"/>
          <w:divBdr>
            <w:top w:val="none" w:sz="0" w:space="0" w:color="auto"/>
            <w:left w:val="none" w:sz="0" w:space="0" w:color="auto"/>
            <w:bottom w:val="none" w:sz="0" w:space="0" w:color="auto"/>
            <w:right w:val="none" w:sz="0" w:space="0" w:color="auto"/>
          </w:divBdr>
        </w:div>
        <w:div w:id="1779444282">
          <w:marLeft w:val="0"/>
          <w:marRight w:val="0"/>
          <w:marTop w:val="0"/>
          <w:marBottom w:val="0"/>
          <w:divBdr>
            <w:top w:val="none" w:sz="0" w:space="0" w:color="auto"/>
            <w:left w:val="none" w:sz="0" w:space="0" w:color="auto"/>
            <w:bottom w:val="none" w:sz="0" w:space="0" w:color="auto"/>
            <w:right w:val="none" w:sz="0" w:space="0" w:color="auto"/>
          </w:divBdr>
        </w:div>
        <w:div w:id="1779444287">
          <w:marLeft w:val="0"/>
          <w:marRight w:val="0"/>
          <w:marTop w:val="0"/>
          <w:marBottom w:val="0"/>
          <w:divBdr>
            <w:top w:val="none" w:sz="0" w:space="0" w:color="auto"/>
            <w:left w:val="none" w:sz="0" w:space="0" w:color="auto"/>
            <w:bottom w:val="none" w:sz="0" w:space="0" w:color="auto"/>
            <w:right w:val="none" w:sz="0" w:space="0" w:color="auto"/>
          </w:divBdr>
        </w:div>
        <w:div w:id="1779444298">
          <w:marLeft w:val="0"/>
          <w:marRight w:val="0"/>
          <w:marTop w:val="0"/>
          <w:marBottom w:val="0"/>
          <w:divBdr>
            <w:top w:val="none" w:sz="0" w:space="0" w:color="auto"/>
            <w:left w:val="none" w:sz="0" w:space="0" w:color="auto"/>
            <w:bottom w:val="none" w:sz="0" w:space="0" w:color="auto"/>
            <w:right w:val="none" w:sz="0" w:space="0" w:color="auto"/>
          </w:divBdr>
        </w:div>
        <w:div w:id="1779444299">
          <w:marLeft w:val="0"/>
          <w:marRight w:val="0"/>
          <w:marTop w:val="0"/>
          <w:marBottom w:val="0"/>
          <w:divBdr>
            <w:top w:val="none" w:sz="0" w:space="0" w:color="auto"/>
            <w:left w:val="none" w:sz="0" w:space="0" w:color="auto"/>
            <w:bottom w:val="none" w:sz="0" w:space="0" w:color="auto"/>
            <w:right w:val="none" w:sz="0" w:space="0" w:color="auto"/>
          </w:divBdr>
        </w:div>
        <w:div w:id="1779444307">
          <w:marLeft w:val="0"/>
          <w:marRight w:val="0"/>
          <w:marTop w:val="0"/>
          <w:marBottom w:val="0"/>
          <w:divBdr>
            <w:top w:val="none" w:sz="0" w:space="0" w:color="auto"/>
            <w:left w:val="none" w:sz="0" w:space="0" w:color="auto"/>
            <w:bottom w:val="none" w:sz="0" w:space="0" w:color="auto"/>
            <w:right w:val="none" w:sz="0" w:space="0" w:color="auto"/>
          </w:divBdr>
        </w:div>
        <w:div w:id="1779444354">
          <w:marLeft w:val="0"/>
          <w:marRight w:val="0"/>
          <w:marTop w:val="0"/>
          <w:marBottom w:val="0"/>
          <w:divBdr>
            <w:top w:val="none" w:sz="0" w:space="0" w:color="auto"/>
            <w:left w:val="none" w:sz="0" w:space="0" w:color="auto"/>
            <w:bottom w:val="none" w:sz="0" w:space="0" w:color="auto"/>
            <w:right w:val="none" w:sz="0" w:space="0" w:color="auto"/>
          </w:divBdr>
        </w:div>
        <w:div w:id="1779444365">
          <w:marLeft w:val="0"/>
          <w:marRight w:val="0"/>
          <w:marTop w:val="0"/>
          <w:marBottom w:val="0"/>
          <w:divBdr>
            <w:top w:val="none" w:sz="0" w:space="0" w:color="auto"/>
            <w:left w:val="none" w:sz="0" w:space="0" w:color="auto"/>
            <w:bottom w:val="none" w:sz="0" w:space="0" w:color="auto"/>
            <w:right w:val="none" w:sz="0" w:space="0" w:color="auto"/>
          </w:divBdr>
        </w:div>
        <w:div w:id="1779444408">
          <w:marLeft w:val="0"/>
          <w:marRight w:val="0"/>
          <w:marTop w:val="0"/>
          <w:marBottom w:val="0"/>
          <w:divBdr>
            <w:top w:val="none" w:sz="0" w:space="0" w:color="auto"/>
            <w:left w:val="none" w:sz="0" w:space="0" w:color="auto"/>
            <w:bottom w:val="none" w:sz="0" w:space="0" w:color="auto"/>
            <w:right w:val="none" w:sz="0" w:space="0" w:color="auto"/>
          </w:divBdr>
        </w:div>
        <w:div w:id="1779444446">
          <w:marLeft w:val="0"/>
          <w:marRight w:val="0"/>
          <w:marTop w:val="0"/>
          <w:marBottom w:val="0"/>
          <w:divBdr>
            <w:top w:val="none" w:sz="0" w:space="0" w:color="auto"/>
            <w:left w:val="none" w:sz="0" w:space="0" w:color="auto"/>
            <w:bottom w:val="none" w:sz="0" w:space="0" w:color="auto"/>
            <w:right w:val="none" w:sz="0" w:space="0" w:color="auto"/>
          </w:divBdr>
        </w:div>
        <w:div w:id="1779444447">
          <w:marLeft w:val="0"/>
          <w:marRight w:val="0"/>
          <w:marTop w:val="0"/>
          <w:marBottom w:val="0"/>
          <w:divBdr>
            <w:top w:val="none" w:sz="0" w:space="0" w:color="auto"/>
            <w:left w:val="none" w:sz="0" w:space="0" w:color="auto"/>
            <w:bottom w:val="none" w:sz="0" w:space="0" w:color="auto"/>
            <w:right w:val="none" w:sz="0" w:space="0" w:color="auto"/>
          </w:divBdr>
        </w:div>
        <w:div w:id="1779444461">
          <w:marLeft w:val="0"/>
          <w:marRight w:val="0"/>
          <w:marTop w:val="0"/>
          <w:marBottom w:val="0"/>
          <w:divBdr>
            <w:top w:val="none" w:sz="0" w:space="0" w:color="auto"/>
            <w:left w:val="none" w:sz="0" w:space="0" w:color="auto"/>
            <w:bottom w:val="none" w:sz="0" w:space="0" w:color="auto"/>
            <w:right w:val="none" w:sz="0" w:space="0" w:color="auto"/>
          </w:divBdr>
        </w:div>
        <w:div w:id="1779444470">
          <w:marLeft w:val="0"/>
          <w:marRight w:val="0"/>
          <w:marTop w:val="0"/>
          <w:marBottom w:val="0"/>
          <w:divBdr>
            <w:top w:val="none" w:sz="0" w:space="0" w:color="auto"/>
            <w:left w:val="none" w:sz="0" w:space="0" w:color="auto"/>
            <w:bottom w:val="none" w:sz="0" w:space="0" w:color="auto"/>
            <w:right w:val="none" w:sz="0" w:space="0" w:color="auto"/>
          </w:divBdr>
        </w:div>
        <w:div w:id="1779444475">
          <w:marLeft w:val="0"/>
          <w:marRight w:val="0"/>
          <w:marTop w:val="0"/>
          <w:marBottom w:val="0"/>
          <w:divBdr>
            <w:top w:val="none" w:sz="0" w:space="0" w:color="auto"/>
            <w:left w:val="none" w:sz="0" w:space="0" w:color="auto"/>
            <w:bottom w:val="none" w:sz="0" w:space="0" w:color="auto"/>
            <w:right w:val="none" w:sz="0" w:space="0" w:color="auto"/>
          </w:divBdr>
        </w:div>
        <w:div w:id="1779444522">
          <w:marLeft w:val="0"/>
          <w:marRight w:val="0"/>
          <w:marTop w:val="0"/>
          <w:marBottom w:val="0"/>
          <w:divBdr>
            <w:top w:val="none" w:sz="0" w:space="0" w:color="auto"/>
            <w:left w:val="none" w:sz="0" w:space="0" w:color="auto"/>
            <w:bottom w:val="none" w:sz="0" w:space="0" w:color="auto"/>
            <w:right w:val="none" w:sz="0" w:space="0" w:color="auto"/>
          </w:divBdr>
        </w:div>
        <w:div w:id="1779444532">
          <w:marLeft w:val="0"/>
          <w:marRight w:val="0"/>
          <w:marTop w:val="0"/>
          <w:marBottom w:val="0"/>
          <w:divBdr>
            <w:top w:val="none" w:sz="0" w:space="0" w:color="auto"/>
            <w:left w:val="none" w:sz="0" w:space="0" w:color="auto"/>
            <w:bottom w:val="none" w:sz="0" w:space="0" w:color="auto"/>
            <w:right w:val="none" w:sz="0" w:space="0" w:color="auto"/>
          </w:divBdr>
        </w:div>
        <w:div w:id="1779444535">
          <w:marLeft w:val="0"/>
          <w:marRight w:val="0"/>
          <w:marTop w:val="0"/>
          <w:marBottom w:val="0"/>
          <w:divBdr>
            <w:top w:val="none" w:sz="0" w:space="0" w:color="auto"/>
            <w:left w:val="none" w:sz="0" w:space="0" w:color="auto"/>
            <w:bottom w:val="none" w:sz="0" w:space="0" w:color="auto"/>
            <w:right w:val="none" w:sz="0" w:space="0" w:color="auto"/>
          </w:divBdr>
        </w:div>
      </w:divsChild>
    </w:div>
    <w:div w:id="1779444537">
      <w:marLeft w:val="0"/>
      <w:marRight w:val="0"/>
      <w:marTop w:val="0"/>
      <w:marBottom w:val="0"/>
      <w:divBdr>
        <w:top w:val="none" w:sz="0" w:space="0" w:color="auto"/>
        <w:left w:val="none" w:sz="0" w:space="0" w:color="auto"/>
        <w:bottom w:val="none" w:sz="0" w:space="0" w:color="auto"/>
        <w:right w:val="none" w:sz="0" w:space="0" w:color="auto"/>
      </w:divBdr>
      <w:divsChild>
        <w:div w:id="1779444193">
          <w:marLeft w:val="0"/>
          <w:marRight w:val="0"/>
          <w:marTop w:val="0"/>
          <w:marBottom w:val="0"/>
          <w:divBdr>
            <w:top w:val="none" w:sz="0" w:space="0" w:color="auto"/>
            <w:left w:val="none" w:sz="0" w:space="0" w:color="auto"/>
            <w:bottom w:val="none" w:sz="0" w:space="0" w:color="auto"/>
            <w:right w:val="none" w:sz="0" w:space="0" w:color="auto"/>
          </w:divBdr>
        </w:div>
        <w:div w:id="1779444197">
          <w:marLeft w:val="0"/>
          <w:marRight w:val="0"/>
          <w:marTop w:val="0"/>
          <w:marBottom w:val="0"/>
          <w:divBdr>
            <w:top w:val="none" w:sz="0" w:space="0" w:color="auto"/>
            <w:left w:val="none" w:sz="0" w:space="0" w:color="auto"/>
            <w:bottom w:val="none" w:sz="0" w:space="0" w:color="auto"/>
            <w:right w:val="none" w:sz="0" w:space="0" w:color="auto"/>
          </w:divBdr>
        </w:div>
        <w:div w:id="1779444220">
          <w:marLeft w:val="0"/>
          <w:marRight w:val="0"/>
          <w:marTop w:val="0"/>
          <w:marBottom w:val="0"/>
          <w:divBdr>
            <w:top w:val="none" w:sz="0" w:space="0" w:color="auto"/>
            <w:left w:val="none" w:sz="0" w:space="0" w:color="auto"/>
            <w:bottom w:val="none" w:sz="0" w:space="0" w:color="auto"/>
            <w:right w:val="none" w:sz="0" w:space="0" w:color="auto"/>
          </w:divBdr>
        </w:div>
        <w:div w:id="1779444262">
          <w:marLeft w:val="0"/>
          <w:marRight w:val="0"/>
          <w:marTop w:val="0"/>
          <w:marBottom w:val="0"/>
          <w:divBdr>
            <w:top w:val="none" w:sz="0" w:space="0" w:color="auto"/>
            <w:left w:val="none" w:sz="0" w:space="0" w:color="auto"/>
            <w:bottom w:val="none" w:sz="0" w:space="0" w:color="auto"/>
            <w:right w:val="none" w:sz="0" w:space="0" w:color="auto"/>
          </w:divBdr>
        </w:div>
        <w:div w:id="1779444281">
          <w:marLeft w:val="0"/>
          <w:marRight w:val="0"/>
          <w:marTop w:val="0"/>
          <w:marBottom w:val="0"/>
          <w:divBdr>
            <w:top w:val="none" w:sz="0" w:space="0" w:color="auto"/>
            <w:left w:val="none" w:sz="0" w:space="0" w:color="auto"/>
            <w:bottom w:val="none" w:sz="0" w:space="0" w:color="auto"/>
            <w:right w:val="none" w:sz="0" w:space="0" w:color="auto"/>
          </w:divBdr>
        </w:div>
        <w:div w:id="1779444301">
          <w:marLeft w:val="0"/>
          <w:marRight w:val="0"/>
          <w:marTop w:val="0"/>
          <w:marBottom w:val="0"/>
          <w:divBdr>
            <w:top w:val="none" w:sz="0" w:space="0" w:color="auto"/>
            <w:left w:val="none" w:sz="0" w:space="0" w:color="auto"/>
            <w:bottom w:val="none" w:sz="0" w:space="0" w:color="auto"/>
            <w:right w:val="none" w:sz="0" w:space="0" w:color="auto"/>
          </w:divBdr>
        </w:div>
        <w:div w:id="1779444304">
          <w:marLeft w:val="0"/>
          <w:marRight w:val="0"/>
          <w:marTop w:val="0"/>
          <w:marBottom w:val="0"/>
          <w:divBdr>
            <w:top w:val="none" w:sz="0" w:space="0" w:color="auto"/>
            <w:left w:val="none" w:sz="0" w:space="0" w:color="auto"/>
            <w:bottom w:val="none" w:sz="0" w:space="0" w:color="auto"/>
            <w:right w:val="none" w:sz="0" w:space="0" w:color="auto"/>
          </w:divBdr>
        </w:div>
        <w:div w:id="1779444343">
          <w:marLeft w:val="0"/>
          <w:marRight w:val="0"/>
          <w:marTop w:val="0"/>
          <w:marBottom w:val="0"/>
          <w:divBdr>
            <w:top w:val="none" w:sz="0" w:space="0" w:color="auto"/>
            <w:left w:val="none" w:sz="0" w:space="0" w:color="auto"/>
            <w:bottom w:val="none" w:sz="0" w:space="0" w:color="auto"/>
            <w:right w:val="none" w:sz="0" w:space="0" w:color="auto"/>
          </w:divBdr>
        </w:div>
        <w:div w:id="1779444409">
          <w:marLeft w:val="0"/>
          <w:marRight w:val="0"/>
          <w:marTop w:val="0"/>
          <w:marBottom w:val="0"/>
          <w:divBdr>
            <w:top w:val="none" w:sz="0" w:space="0" w:color="auto"/>
            <w:left w:val="none" w:sz="0" w:space="0" w:color="auto"/>
            <w:bottom w:val="none" w:sz="0" w:space="0" w:color="auto"/>
            <w:right w:val="none" w:sz="0" w:space="0" w:color="auto"/>
          </w:divBdr>
        </w:div>
        <w:div w:id="1779444436">
          <w:marLeft w:val="0"/>
          <w:marRight w:val="0"/>
          <w:marTop w:val="0"/>
          <w:marBottom w:val="0"/>
          <w:divBdr>
            <w:top w:val="none" w:sz="0" w:space="0" w:color="auto"/>
            <w:left w:val="none" w:sz="0" w:space="0" w:color="auto"/>
            <w:bottom w:val="none" w:sz="0" w:space="0" w:color="auto"/>
            <w:right w:val="none" w:sz="0" w:space="0" w:color="auto"/>
          </w:divBdr>
        </w:div>
        <w:div w:id="1779444443">
          <w:marLeft w:val="0"/>
          <w:marRight w:val="0"/>
          <w:marTop w:val="0"/>
          <w:marBottom w:val="0"/>
          <w:divBdr>
            <w:top w:val="none" w:sz="0" w:space="0" w:color="auto"/>
            <w:left w:val="none" w:sz="0" w:space="0" w:color="auto"/>
            <w:bottom w:val="none" w:sz="0" w:space="0" w:color="auto"/>
            <w:right w:val="none" w:sz="0" w:space="0" w:color="auto"/>
          </w:divBdr>
        </w:div>
        <w:div w:id="1779444486">
          <w:marLeft w:val="0"/>
          <w:marRight w:val="0"/>
          <w:marTop w:val="0"/>
          <w:marBottom w:val="0"/>
          <w:divBdr>
            <w:top w:val="none" w:sz="0" w:space="0" w:color="auto"/>
            <w:left w:val="none" w:sz="0" w:space="0" w:color="auto"/>
            <w:bottom w:val="none" w:sz="0" w:space="0" w:color="auto"/>
            <w:right w:val="none" w:sz="0" w:space="0" w:color="auto"/>
          </w:divBdr>
        </w:div>
        <w:div w:id="1779444494">
          <w:marLeft w:val="0"/>
          <w:marRight w:val="0"/>
          <w:marTop w:val="0"/>
          <w:marBottom w:val="0"/>
          <w:divBdr>
            <w:top w:val="none" w:sz="0" w:space="0" w:color="auto"/>
            <w:left w:val="none" w:sz="0" w:space="0" w:color="auto"/>
            <w:bottom w:val="none" w:sz="0" w:space="0" w:color="auto"/>
            <w:right w:val="none" w:sz="0" w:space="0" w:color="auto"/>
          </w:divBdr>
        </w:div>
        <w:div w:id="1779444502">
          <w:marLeft w:val="0"/>
          <w:marRight w:val="0"/>
          <w:marTop w:val="0"/>
          <w:marBottom w:val="0"/>
          <w:divBdr>
            <w:top w:val="none" w:sz="0" w:space="0" w:color="auto"/>
            <w:left w:val="none" w:sz="0" w:space="0" w:color="auto"/>
            <w:bottom w:val="none" w:sz="0" w:space="0" w:color="auto"/>
            <w:right w:val="none" w:sz="0" w:space="0" w:color="auto"/>
          </w:divBdr>
        </w:div>
        <w:div w:id="1779444517">
          <w:marLeft w:val="0"/>
          <w:marRight w:val="0"/>
          <w:marTop w:val="0"/>
          <w:marBottom w:val="0"/>
          <w:divBdr>
            <w:top w:val="none" w:sz="0" w:space="0" w:color="auto"/>
            <w:left w:val="none" w:sz="0" w:space="0" w:color="auto"/>
            <w:bottom w:val="none" w:sz="0" w:space="0" w:color="auto"/>
            <w:right w:val="none" w:sz="0" w:space="0" w:color="auto"/>
          </w:divBdr>
        </w:div>
        <w:div w:id="1779444531">
          <w:marLeft w:val="0"/>
          <w:marRight w:val="0"/>
          <w:marTop w:val="0"/>
          <w:marBottom w:val="0"/>
          <w:divBdr>
            <w:top w:val="none" w:sz="0" w:space="0" w:color="auto"/>
            <w:left w:val="none" w:sz="0" w:space="0" w:color="auto"/>
            <w:bottom w:val="none" w:sz="0" w:space="0" w:color="auto"/>
            <w:right w:val="none" w:sz="0" w:space="0" w:color="auto"/>
          </w:divBdr>
        </w:div>
        <w:div w:id="1779444540">
          <w:marLeft w:val="0"/>
          <w:marRight w:val="0"/>
          <w:marTop w:val="0"/>
          <w:marBottom w:val="0"/>
          <w:divBdr>
            <w:top w:val="none" w:sz="0" w:space="0" w:color="auto"/>
            <w:left w:val="none" w:sz="0" w:space="0" w:color="auto"/>
            <w:bottom w:val="none" w:sz="0" w:space="0" w:color="auto"/>
            <w:right w:val="none" w:sz="0" w:space="0" w:color="auto"/>
          </w:divBdr>
        </w:div>
      </w:divsChild>
    </w:div>
    <w:div w:id="1779444539">
      <w:marLeft w:val="0"/>
      <w:marRight w:val="0"/>
      <w:marTop w:val="0"/>
      <w:marBottom w:val="0"/>
      <w:divBdr>
        <w:top w:val="none" w:sz="0" w:space="0" w:color="auto"/>
        <w:left w:val="none" w:sz="0" w:space="0" w:color="auto"/>
        <w:bottom w:val="none" w:sz="0" w:space="0" w:color="auto"/>
        <w:right w:val="none" w:sz="0" w:space="0" w:color="auto"/>
      </w:divBdr>
      <w:divsChild>
        <w:div w:id="1779444224">
          <w:marLeft w:val="0"/>
          <w:marRight w:val="0"/>
          <w:marTop w:val="0"/>
          <w:marBottom w:val="0"/>
          <w:divBdr>
            <w:top w:val="none" w:sz="0" w:space="0" w:color="auto"/>
            <w:left w:val="none" w:sz="0" w:space="0" w:color="auto"/>
            <w:bottom w:val="none" w:sz="0" w:space="0" w:color="auto"/>
            <w:right w:val="none" w:sz="0" w:space="0" w:color="auto"/>
          </w:divBdr>
        </w:div>
        <w:div w:id="1779444280">
          <w:marLeft w:val="0"/>
          <w:marRight w:val="0"/>
          <w:marTop w:val="0"/>
          <w:marBottom w:val="0"/>
          <w:divBdr>
            <w:top w:val="none" w:sz="0" w:space="0" w:color="auto"/>
            <w:left w:val="none" w:sz="0" w:space="0" w:color="auto"/>
            <w:bottom w:val="none" w:sz="0" w:space="0" w:color="auto"/>
            <w:right w:val="none" w:sz="0" w:space="0" w:color="auto"/>
          </w:divBdr>
        </w:div>
        <w:div w:id="1779444415">
          <w:marLeft w:val="0"/>
          <w:marRight w:val="0"/>
          <w:marTop w:val="0"/>
          <w:marBottom w:val="0"/>
          <w:divBdr>
            <w:top w:val="none" w:sz="0" w:space="0" w:color="auto"/>
            <w:left w:val="none" w:sz="0" w:space="0" w:color="auto"/>
            <w:bottom w:val="none" w:sz="0" w:space="0" w:color="auto"/>
            <w:right w:val="none" w:sz="0" w:space="0" w:color="auto"/>
          </w:divBdr>
        </w:div>
      </w:divsChild>
    </w:div>
    <w:div w:id="1779444542">
      <w:marLeft w:val="0"/>
      <w:marRight w:val="0"/>
      <w:marTop w:val="0"/>
      <w:marBottom w:val="0"/>
      <w:divBdr>
        <w:top w:val="none" w:sz="0" w:space="0" w:color="auto"/>
        <w:left w:val="none" w:sz="0" w:space="0" w:color="auto"/>
        <w:bottom w:val="none" w:sz="0" w:space="0" w:color="auto"/>
        <w:right w:val="none" w:sz="0" w:space="0" w:color="auto"/>
      </w:divBdr>
      <w:divsChild>
        <w:div w:id="1779444203">
          <w:marLeft w:val="0"/>
          <w:marRight w:val="0"/>
          <w:marTop w:val="0"/>
          <w:marBottom w:val="0"/>
          <w:divBdr>
            <w:top w:val="none" w:sz="0" w:space="0" w:color="auto"/>
            <w:left w:val="none" w:sz="0" w:space="0" w:color="auto"/>
            <w:bottom w:val="none" w:sz="0" w:space="0" w:color="auto"/>
            <w:right w:val="none" w:sz="0" w:space="0" w:color="auto"/>
          </w:divBdr>
        </w:div>
        <w:div w:id="1779444439">
          <w:marLeft w:val="0"/>
          <w:marRight w:val="0"/>
          <w:marTop w:val="0"/>
          <w:marBottom w:val="0"/>
          <w:divBdr>
            <w:top w:val="none" w:sz="0" w:space="0" w:color="auto"/>
            <w:left w:val="none" w:sz="0" w:space="0" w:color="auto"/>
            <w:bottom w:val="none" w:sz="0" w:space="0" w:color="auto"/>
            <w:right w:val="none" w:sz="0" w:space="0" w:color="auto"/>
          </w:divBdr>
        </w:div>
      </w:divsChild>
    </w:div>
    <w:div w:id="19461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EB7BA09599854FA04A4427003E19B1" ma:contentTypeVersion="0" ma:contentTypeDescription="Utwórz nowy dokument." ma:contentTypeScope="" ma:versionID="f80d83cf754f65f74c14b7511d4939d7">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2AD2-EA49-4437-AC81-69C4FB3039D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E655B77-5E8D-4BD3-966F-CD4C0D08902A}">
  <ds:schemaRefs>
    <ds:schemaRef ds:uri="http://schemas.microsoft.com/sharepoint/v3/contenttype/forms"/>
  </ds:schemaRefs>
</ds:datastoreItem>
</file>

<file path=customXml/itemProps3.xml><?xml version="1.0" encoding="utf-8"?>
<ds:datastoreItem xmlns:ds="http://schemas.openxmlformats.org/officeDocument/2006/customXml" ds:itemID="{AE6F95E1-9329-4E1B-B744-3B1A56F96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E5C41A-08F7-49EA-AD2D-5160C64C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23005</Characters>
  <Application>Microsoft Office Word</Application>
  <DocSecurity>4</DocSecurity>
  <Lines>191</Lines>
  <Paragraphs>52</Paragraphs>
  <ScaleCrop>false</ScaleCrop>
  <HeadingPairs>
    <vt:vector size="2" baseType="variant">
      <vt:variant>
        <vt:lpstr>Tytuł</vt:lpstr>
      </vt:variant>
      <vt:variant>
        <vt:i4>1</vt:i4>
      </vt:variant>
    </vt:vector>
  </HeadingPairs>
  <TitlesOfParts>
    <vt:vector size="1" baseType="lpstr">
      <vt:lpstr>Formularz OSR</vt:lpstr>
    </vt:vector>
  </TitlesOfParts>
  <Company/>
  <LinksUpToDate>false</LinksUpToDate>
  <CharactersWithSpaces>26351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subject/>
  <dc:creator/>
  <cp:keywords>ocena skutków regulacji</cp:keywords>
  <dc:description/>
  <cp:lastModifiedBy/>
  <cp:revision>1</cp:revision>
  <dcterms:created xsi:type="dcterms:W3CDTF">2021-01-05T07:19:00Z</dcterms:created>
  <dcterms:modified xsi:type="dcterms:W3CDTF">2021-01-05T07:19:00Z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0x01010056EB7BA09599854FA04A4427003E19B1</vt:lpwstr>
  </property>
  <property fmtid="{D5CDD505-2E9C-101B-9397-08002B2CF9AE}" pid="3" name="_NewReviewCycle">
    <vt:lpwstr/>
  </property>
</Properties>
</file>