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46D7" w14:textId="77777777" w:rsidR="00EF441C" w:rsidRPr="00026232" w:rsidRDefault="00EF441C" w:rsidP="00EF441C">
      <w:pPr>
        <w:spacing w:line="360" w:lineRule="auto"/>
        <w:jc w:val="center"/>
        <w:rPr>
          <w:rFonts w:ascii="Times New Roman" w:hAnsi="Times New Roman" w:cs="Times New Roman"/>
          <w:b/>
          <w:sz w:val="24"/>
          <w:szCs w:val="24"/>
        </w:rPr>
      </w:pPr>
      <w:bookmarkStart w:id="0" w:name="_GoBack"/>
      <w:bookmarkEnd w:id="0"/>
      <w:r w:rsidRPr="00026232">
        <w:rPr>
          <w:rFonts w:ascii="Times New Roman" w:hAnsi="Times New Roman" w:cs="Times New Roman"/>
          <w:b/>
          <w:sz w:val="24"/>
          <w:szCs w:val="24"/>
        </w:rPr>
        <w:t>UZASADNIENIE</w:t>
      </w:r>
    </w:p>
    <w:p w14:paraId="19805BD5" w14:textId="77777777" w:rsidR="00EF441C" w:rsidRPr="00026232" w:rsidRDefault="00EF441C" w:rsidP="00EF441C">
      <w:pPr>
        <w:spacing w:line="360" w:lineRule="auto"/>
        <w:jc w:val="center"/>
        <w:rPr>
          <w:rFonts w:ascii="Times New Roman" w:hAnsi="Times New Roman" w:cs="Times New Roman"/>
          <w:b/>
          <w:sz w:val="24"/>
          <w:szCs w:val="24"/>
        </w:rPr>
      </w:pPr>
    </w:p>
    <w:p w14:paraId="6C4FB6EB" w14:textId="31F17F53" w:rsidR="00EF441C" w:rsidRPr="00026232" w:rsidRDefault="00EF441C" w:rsidP="00EF441C">
      <w:pPr>
        <w:pStyle w:val="Akapitzlist"/>
        <w:numPr>
          <w:ilvl w:val="0"/>
          <w:numId w:val="4"/>
        </w:numPr>
        <w:spacing w:line="360" w:lineRule="auto"/>
        <w:ind w:left="0" w:firstLine="0"/>
        <w:contextualSpacing w:val="0"/>
        <w:jc w:val="both"/>
        <w:rPr>
          <w:rFonts w:ascii="Times New Roman" w:hAnsi="Times New Roman" w:cs="Times New Roman"/>
          <w:b/>
          <w:sz w:val="24"/>
          <w:szCs w:val="24"/>
        </w:rPr>
      </w:pPr>
      <w:r w:rsidRPr="00026232">
        <w:rPr>
          <w:rFonts w:ascii="Times New Roman" w:hAnsi="Times New Roman" w:cs="Times New Roman"/>
          <w:b/>
          <w:sz w:val="24"/>
          <w:szCs w:val="24"/>
        </w:rPr>
        <w:t>Cel projektowanej regulacji</w:t>
      </w:r>
      <w:r w:rsidR="003B5FD3">
        <w:rPr>
          <w:rFonts w:ascii="Times New Roman" w:hAnsi="Times New Roman" w:cs="Times New Roman"/>
          <w:b/>
          <w:sz w:val="24"/>
          <w:szCs w:val="24"/>
        </w:rPr>
        <w:t xml:space="preserve"> </w:t>
      </w:r>
    </w:p>
    <w:p w14:paraId="49294C95" w14:textId="77777777" w:rsidR="00EF441C" w:rsidRPr="00026232" w:rsidRDefault="00EF441C" w:rsidP="00EF441C">
      <w:pPr>
        <w:autoSpaceDE w:val="0"/>
        <w:autoSpaceDN w:val="0"/>
        <w:adjustRightInd w:val="0"/>
        <w:spacing w:line="360" w:lineRule="auto"/>
        <w:jc w:val="both"/>
        <w:rPr>
          <w:rFonts w:ascii="Times New Roman" w:eastAsia="Calibri" w:hAnsi="Times New Roman" w:cs="Times New Roman"/>
          <w:noProof/>
          <w:sz w:val="24"/>
          <w:szCs w:val="24"/>
        </w:rPr>
      </w:pPr>
      <w:r w:rsidRPr="00026232">
        <w:rPr>
          <w:rFonts w:ascii="Times New Roman" w:hAnsi="Times New Roman" w:cs="Times New Roman"/>
          <w:sz w:val="24"/>
          <w:szCs w:val="24"/>
        </w:rPr>
        <w:t xml:space="preserve">Projekt ustawy dokonuje w zakresie swojej regulacji wdrożenia </w:t>
      </w:r>
      <w:r w:rsidRPr="00026232">
        <w:rPr>
          <w:rFonts w:ascii="Times New Roman" w:eastAsia="Calibri" w:hAnsi="Times New Roman" w:cs="Times New Roman"/>
          <w:sz w:val="24"/>
          <w:szCs w:val="24"/>
        </w:rPr>
        <w:t xml:space="preserve">dyrektywy Parlamentu Europejskiego i Rady (UE) 2019/2162 z dnia 27 listopada 2019 r. w sprawie emisji obligacji zabezpieczonych i nadzoru publicznego nad obligacjami zabezpieczonymi oraz zmieniającej dyrektywy 2009/65/WE i 2014/59/UE (Dz. Urz. UE. L 328 z 18.12.2019, str. 29), </w:t>
      </w:r>
      <w:r>
        <w:rPr>
          <w:rFonts w:ascii="Times New Roman" w:eastAsia="Calibri" w:hAnsi="Times New Roman" w:cs="Times New Roman"/>
          <w:sz w:val="24"/>
          <w:szCs w:val="24"/>
        </w:rPr>
        <w:t xml:space="preserve">zwanej </w:t>
      </w:r>
      <w:r w:rsidRPr="00026232">
        <w:rPr>
          <w:rFonts w:ascii="Times New Roman" w:eastAsia="Calibri" w:hAnsi="Times New Roman" w:cs="Times New Roman"/>
          <w:sz w:val="24"/>
          <w:szCs w:val="24"/>
        </w:rPr>
        <w:t>dalej „</w:t>
      </w:r>
      <w:r w:rsidRPr="00FD1207">
        <w:rPr>
          <w:rFonts w:ascii="Times New Roman" w:eastAsia="Calibri" w:hAnsi="Times New Roman" w:cs="Times New Roman"/>
          <w:b/>
          <w:sz w:val="24"/>
          <w:szCs w:val="24"/>
        </w:rPr>
        <w:t>dyrektyw</w:t>
      </w:r>
      <w:r>
        <w:rPr>
          <w:rFonts w:ascii="Times New Roman" w:eastAsia="Calibri" w:hAnsi="Times New Roman" w:cs="Times New Roman"/>
          <w:b/>
          <w:sz w:val="24"/>
          <w:szCs w:val="24"/>
        </w:rPr>
        <w:t>ą</w:t>
      </w:r>
      <w:r w:rsidRPr="00FD1207">
        <w:rPr>
          <w:rFonts w:ascii="Times New Roman" w:eastAsia="Calibri" w:hAnsi="Times New Roman" w:cs="Times New Roman"/>
          <w:b/>
          <w:sz w:val="24"/>
          <w:szCs w:val="24"/>
        </w:rPr>
        <w:t xml:space="preserve"> 2019/2162</w:t>
      </w:r>
      <w:r w:rsidRPr="00026232">
        <w:rPr>
          <w:rFonts w:ascii="Times New Roman" w:eastAsia="Calibri" w:hAnsi="Times New Roman" w:cs="Times New Roman"/>
          <w:sz w:val="24"/>
          <w:szCs w:val="24"/>
        </w:rPr>
        <w:t>”, stanowiącej wraz z  rozporządzeniem Parlamentu Europejskiego i Rady (UE) 2019/2160 z dnia 27 listopada 2019 r. zmieniającym rozporządzenie (UE) 575/2013 w odniesieniu do ekspozycji w postaci obligacji zabezpieczonych (Dz. Urz. UE. L 328 18.12.2019, str. 1)</w:t>
      </w:r>
      <w:r>
        <w:rPr>
          <w:rFonts w:ascii="Times New Roman" w:eastAsia="Calibri" w:hAnsi="Times New Roman" w:cs="Times New Roman"/>
          <w:sz w:val="24"/>
          <w:szCs w:val="24"/>
        </w:rPr>
        <w:t>, zwanym</w:t>
      </w:r>
      <w:r w:rsidRPr="00026232">
        <w:rPr>
          <w:rFonts w:ascii="Times New Roman" w:eastAsia="Calibri" w:hAnsi="Times New Roman" w:cs="Times New Roman"/>
          <w:sz w:val="24"/>
          <w:szCs w:val="24"/>
        </w:rPr>
        <w:t xml:space="preserve"> dalej </w:t>
      </w:r>
      <w:r w:rsidRPr="00026232">
        <w:rPr>
          <w:rFonts w:ascii="Times New Roman" w:eastAsia="Times New Roman" w:hAnsi="Times New Roman" w:cs="Times New Roman"/>
          <w:sz w:val="24"/>
          <w:szCs w:val="24"/>
          <w:lang w:eastAsia="pl-PL"/>
        </w:rPr>
        <w:t>„</w:t>
      </w:r>
      <w:r w:rsidRPr="00FD1207">
        <w:rPr>
          <w:rFonts w:ascii="Times New Roman" w:eastAsia="Times New Roman" w:hAnsi="Times New Roman" w:cs="Times New Roman"/>
          <w:b/>
          <w:sz w:val="24"/>
          <w:szCs w:val="24"/>
          <w:lang w:eastAsia="pl-PL"/>
        </w:rPr>
        <w:t>rozporządzenie 2019/2160</w:t>
      </w:r>
      <w:r w:rsidRPr="00026232">
        <w:rPr>
          <w:rFonts w:ascii="Times New Roman" w:eastAsia="Times New Roman" w:hAnsi="Times New Roman" w:cs="Times New Roman"/>
          <w:sz w:val="24"/>
          <w:szCs w:val="24"/>
          <w:lang w:eastAsia="pl-PL"/>
        </w:rPr>
        <w:t>”</w:t>
      </w:r>
      <w:r w:rsidRPr="00026232">
        <w:rPr>
          <w:rFonts w:ascii="Times New Roman" w:eastAsia="Calibri" w:hAnsi="Times New Roman" w:cs="Times New Roman"/>
          <w:sz w:val="24"/>
          <w:szCs w:val="24"/>
        </w:rPr>
        <w:t>, część pakietu regulacyjnego dotyczącego obligacji zabezpieczonych.</w:t>
      </w:r>
      <w:r w:rsidRPr="00026232">
        <w:rPr>
          <w:rFonts w:ascii="Times New Roman" w:eastAsia="Calibri" w:hAnsi="Times New Roman" w:cs="Times New Roman"/>
          <w:noProof/>
          <w:sz w:val="24"/>
          <w:szCs w:val="24"/>
        </w:rPr>
        <w:t xml:space="preserve"> Pakiet ten uwzględnia także opinie i rekomendacje Europejskiego Urzędu Nadzoru Bankowego, który przeprowadził kompleksową analizę rozwoju sytuacji regulacyjnej w kontekście ram dotyczących obligacji zabezpieczonych w poszczególnych państwach członkowskich, zalecając ich harmonizację na poziomie UE, zgodnie z  najlepszymi praktykami nadzorczymi</w:t>
      </w:r>
      <w:r w:rsidRPr="00026232">
        <w:rPr>
          <w:rFonts w:ascii="Times New Roman" w:eastAsia="Calibri" w:hAnsi="Times New Roman" w:cs="Times New Roman"/>
          <w:noProof/>
          <w:sz w:val="24"/>
          <w:szCs w:val="24"/>
          <w:vertAlign w:val="superscript"/>
        </w:rPr>
        <w:footnoteReference w:id="1"/>
      </w:r>
      <w:r w:rsidRPr="00026232">
        <w:rPr>
          <w:rFonts w:ascii="Times New Roman" w:eastAsia="Calibri" w:hAnsi="Times New Roman" w:cs="Times New Roman"/>
          <w:noProof/>
          <w:sz w:val="24"/>
          <w:szCs w:val="24"/>
        </w:rPr>
        <w:t>.</w:t>
      </w:r>
    </w:p>
    <w:p w14:paraId="506BC9AB" w14:textId="77777777" w:rsidR="00EF441C" w:rsidRPr="00026232" w:rsidRDefault="00EF441C" w:rsidP="00EF441C">
      <w:pPr>
        <w:spacing w:line="360" w:lineRule="auto"/>
        <w:jc w:val="both"/>
        <w:rPr>
          <w:rFonts w:ascii="Times New Roman" w:eastAsia="Times New Roman" w:hAnsi="Times New Roman" w:cs="Times New Roman"/>
          <w:sz w:val="24"/>
          <w:szCs w:val="24"/>
          <w:lang w:eastAsia="pl-PL"/>
        </w:rPr>
      </w:pPr>
      <w:r w:rsidRPr="00026232">
        <w:rPr>
          <w:rFonts w:ascii="Times New Roman" w:eastAsia="Times New Roman" w:hAnsi="Times New Roman" w:cs="Times New Roman"/>
          <w:sz w:val="24"/>
          <w:szCs w:val="24"/>
          <w:lang w:eastAsia="pl-PL"/>
        </w:rPr>
        <w:t xml:space="preserve">Obligacje zabezpieczone są uregulowane </w:t>
      </w:r>
      <w:r>
        <w:rPr>
          <w:rFonts w:ascii="Times New Roman" w:hAnsi="Times New Roman" w:cs="Times New Roman"/>
          <w:noProof/>
          <w:sz w:val="24"/>
          <w:szCs w:val="24"/>
        </w:rPr>
        <w:t>w</w:t>
      </w:r>
      <w:r w:rsidRPr="00026232">
        <w:rPr>
          <w:rFonts w:ascii="Times New Roman" w:hAnsi="Times New Roman" w:cs="Times New Roman"/>
          <w:noProof/>
          <w:sz w:val="24"/>
          <w:szCs w:val="24"/>
        </w:rPr>
        <w:t xml:space="preserve"> krajach UE niejednolicie, jednocześnie proces rozwoju rynków krajowych przebiega nierównomiernie. </w:t>
      </w:r>
      <w:r w:rsidRPr="00026232">
        <w:rPr>
          <w:rFonts w:ascii="Times New Roman" w:eastAsia="Times New Roman" w:hAnsi="Times New Roman" w:cs="Times New Roman"/>
          <w:sz w:val="24"/>
          <w:szCs w:val="24"/>
          <w:lang w:eastAsia="pl-PL"/>
        </w:rPr>
        <w:t>Warunki inwestowania w obligacje zabezpieczone oraz związane z tym wymogi kapitałowe dla instytucji kredytowych są zawarte w następujących przepisach prawa UE:</w:t>
      </w:r>
    </w:p>
    <w:p w14:paraId="52248148" w14:textId="77777777" w:rsidR="00EF441C" w:rsidRPr="00026232" w:rsidRDefault="00EF441C" w:rsidP="00EF441C">
      <w:pPr>
        <w:pStyle w:val="Akapitzlist"/>
        <w:numPr>
          <w:ilvl w:val="0"/>
          <w:numId w:val="24"/>
        </w:numPr>
        <w:spacing w:line="360" w:lineRule="auto"/>
        <w:ind w:left="360"/>
        <w:jc w:val="both"/>
        <w:rPr>
          <w:rFonts w:ascii="Times New Roman" w:hAnsi="Times New Roman" w:cs="Times New Roman"/>
          <w:sz w:val="24"/>
          <w:szCs w:val="24"/>
        </w:rPr>
      </w:pPr>
      <w:r w:rsidRPr="00026232">
        <w:rPr>
          <w:rFonts w:ascii="Times New Roman" w:eastAsia="Times New Roman" w:hAnsi="Times New Roman" w:cs="Times New Roman"/>
          <w:sz w:val="24"/>
          <w:szCs w:val="24"/>
          <w:lang w:eastAsia="pl-PL"/>
        </w:rPr>
        <w:t>art. 52 dyrektywy Parlamentu Europejskiego i Rady 2009/65/WE z dnia 13 lipca 2009 r. w  sprawie koordynacji przepisów ustawowych, wykonawczych i administracyjnych odnoszących się do przedsiębiorstw zbiorowego inwestowania w zbywalne papiery wartościowe (UCITS) (Dz. Urz. L 302 z 17.11.2009, str. 32</w:t>
      </w:r>
      <w:r>
        <w:rPr>
          <w:rFonts w:ascii="Times New Roman" w:eastAsia="Times New Roman" w:hAnsi="Times New Roman" w:cs="Times New Roman"/>
          <w:sz w:val="24"/>
          <w:szCs w:val="24"/>
          <w:lang w:eastAsia="pl-PL"/>
        </w:rPr>
        <w:t>, z późn. zm.</w:t>
      </w:r>
      <w:r w:rsidRPr="00026232">
        <w:rPr>
          <w:rFonts w:ascii="Times New Roman" w:eastAsia="Times New Roman" w:hAnsi="Times New Roman" w:cs="Times New Roman"/>
          <w:sz w:val="24"/>
          <w:szCs w:val="24"/>
          <w:lang w:eastAsia="pl-PL"/>
        </w:rPr>
        <w:t xml:space="preserve">), </w:t>
      </w:r>
    </w:p>
    <w:p w14:paraId="5D809107" w14:textId="77777777" w:rsidR="00EF441C" w:rsidRPr="00026232" w:rsidRDefault="00EF441C" w:rsidP="00EF441C">
      <w:pPr>
        <w:pStyle w:val="Akapitzlist"/>
        <w:numPr>
          <w:ilvl w:val="0"/>
          <w:numId w:val="24"/>
        </w:numPr>
        <w:spacing w:line="360" w:lineRule="auto"/>
        <w:ind w:left="360"/>
        <w:jc w:val="both"/>
        <w:rPr>
          <w:rFonts w:ascii="Times New Roman" w:hAnsi="Times New Roman" w:cs="Times New Roman"/>
          <w:sz w:val="24"/>
          <w:szCs w:val="24"/>
        </w:rPr>
      </w:pPr>
      <w:r w:rsidRPr="00026232">
        <w:rPr>
          <w:rFonts w:ascii="Times New Roman" w:eastAsia="Times New Roman" w:hAnsi="Times New Roman" w:cs="Times New Roman"/>
          <w:sz w:val="24"/>
          <w:szCs w:val="24"/>
          <w:lang w:eastAsia="pl-PL"/>
        </w:rPr>
        <w:t xml:space="preserve">art. 129 rozporządzenia Parlamentu Europejskiego i Rady (UE) nr 575/2013 z dnia 26 czerwca 2013 r. w sprawie wymogów ostrożnościowych dla instytucji kredytowych i  firm </w:t>
      </w:r>
      <w:r w:rsidRPr="00026232">
        <w:rPr>
          <w:rFonts w:ascii="Times New Roman" w:eastAsia="Times New Roman" w:hAnsi="Times New Roman" w:cs="Times New Roman"/>
          <w:sz w:val="24"/>
          <w:szCs w:val="24"/>
          <w:lang w:eastAsia="pl-PL"/>
        </w:rPr>
        <w:lastRenderedPageBreak/>
        <w:t>inwestycyjnych, zmieniającego rozporządzenie (UE) nr 648/2012 (Dz. Urz. L 176 z</w:t>
      </w:r>
      <w:r>
        <w:rPr>
          <w:rFonts w:ascii="Times New Roman" w:eastAsia="Times New Roman" w:hAnsi="Times New Roman" w:cs="Times New Roman"/>
          <w:sz w:val="24"/>
          <w:szCs w:val="24"/>
          <w:lang w:eastAsia="pl-PL"/>
        </w:rPr>
        <w:t> </w:t>
      </w:r>
      <w:r w:rsidRPr="00026232">
        <w:rPr>
          <w:rFonts w:ascii="Times New Roman" w:eastAsia="Times New Roman" w:hAnsi="Times New Roman" w:cs="Times New Roman"/>
          <w:sz w:val="24"/>
          <w:szCs w:val="24"/>
          <w:lang w:eastAsia="pl-PL"/>
        </w:rPr>
        <w:t>27.06.2013, str. 1</w:t>
      </w:r>
      <w:r>
        <w:rPr>
          <w:rFonts w:ascii="Times New Roman" w:eastAsia="Times New Roman" w:hAnsi="Times New Roman" w:cs="Times New Roman"/>
          <w:sz w:val="24"/>
          <w:szCs w:val="24"/>
          <w:lang w:eastAsia="pl-PL"/>
        </w:rPr>
        <w:t>, z późn. zm.</w:t>
      </w:r>
      <w:r w:rsidRPr="00026232">
        <w:rPr>
          <w:rFonts w:ascii="Times New Roman" w:eastAsia="Times New Roman" w:hAnsi="Times New Roman" w:cs="Times New Roman"/>
          <w:sz w:val="24"/>
          <w:szCs w:val="24"/>
          <w:lang w:eastAsia="pl-PL"/>
        </w:rPr>
        <w:t>), zwane</w:t>
      </w:r>
      <w:r>
        <w:rPr>
          <w:rFonts w:ascii="Times New Roman" w:eastAsia="Times New Roman" w:hAnsi="Times New Roman" w:cs="Times New Roman"/>
          <w:sz w:val="24"/>
          <w:szCs w:val="24"/>
          <w:lang w:eastAsia="pl-PL"/>
        </w:rPr>
        <w:t>go</w:t>
      </w:r>
      <w:r w:rsidRPr="00026232">
        <w:rPr>
          <w:rFonts w:ascii="Times New Roman" w:eastAsia="Times New Roman" w:hAnsi="Times New Roman" w:cs="Times New Roman"/>
          <w:sz w:val="24"/>
          <w:szCs w:val="24"/>
          <w:lang w:eastAsia="pl-PL"/>
        </w:rPr>
        <w:t xml:space="preserve"> dalej „rozporządzeniem (UE</w:t>
      </w:r>
      <w:r w:rsidRPr="00026232">
        <w:rPr>
          <w:rFonts w:ascii="Times New Roman" w:hAnsi="Times New Roman" w:cs="Times New Roman"/>
          <w:sz w:val="24"/>
          <w:szCs w:val="24"/>
        </w:rPr>
        <w:t xml:space="preserve">) nr 575/2013”, </w:t>
      </w:r>
    </w:p>
    <w:p w14:paraId="2848ACA2" w14:textId="77777777" w:rsidR="00EF441C" w:rsidRPr="00026232" w:rsidRDefault="00EF441C" w:rsidP="00EF441C">
      <w:pPr>
        <w:pStyle w:val="Akapitzlist"/>
        <w:numPr>
          <w:ilvl w:val="0"/>
          <w:numId w:val="7"/>
        </w:numPr>
        <w:spacing w:line="360" w:lineRule="auto"/>
        <w:ind w:left="360" w:hanging="357"/>
        <w:jc w:val="both"/>
        <w:rPr>
          <w:rFonts w:ascii="Times New Roman" w:eastAsia="Times New Roman" w:hAnsi="Times New Roman" w:cs="Times New Roman"/>
          <w:sz w:val="24"/>
          <w:szCs w:val="24"/>
          <w:lang w:eastAsia="pl-PL"/>
        </w:rPr>
      </w:pPr>
      <w:r w:rsidRPr="00026232">
        <w:rPr>
          <w:rFonts w:ascii="Times New Roman" w:eastAsia="Times New Roman" w:hAnsi="Times New Roman" w:cs="Times New Roman"/>
          <w:sz w:val="24"/>
          <w:szCs w:val="24"/>
          <w:lang w:eastAsia="pl-PL"/>
        </w:rPr>
        <w:t xml:space="preserve">art. 44 ust. 2 </w:t>
      </w:r>
      <w:r w:rsidRPr="00026232">
        <w:rPr>
          <w:rFonts w:ascii="Times New Roman" w:hAnsi="Times New Roman" w:cs="Times New Roman"/>
          <w:sz w:val="24"/>
          <w:szCs w:val="24"/>
        </w:rPr>
        <w:t xml:space="preserve">dyrektywy Parlamentu Europejskiego i Rady 2014/59/UE z dnia 15 maja 2014 r. ustanawiającej ramy na potrzeby prowadzenia działań naprawczych oraz restrukturyzacji i uporządkowanej likwidacji w odniesieniu do instytucji kredytowych i firm inwestycyjnych oraz zmieniającej dyrektywę Rady 82/891/EWG i dyrektywy Parlamentu Europejskiego i Rady 2001/24/WE, 2002/47/WE, 2004/25/WE, 2005/56/WE, 2007/36/WE, 2011/35/UE, 2012/30/UE i 2013/36/UE oraz rozporządzenie Parlamentu Europejskiego i Rady (UE) nr 1093/2010 i (UE) nr 648/2012 (Dz. Urz. L 173 z 12.06.2014, str. 190), </w:t>
      </w:r>
    </w:p>
    <w:p w14:paraId="07139CB2" w14:textId="77777777" w:rsidR="00EF441C" w:rsidRPr="00026232" w:rsidRDefault="00EF441C" w:rsidP="00EF441C">
      <w:pPr>
        <w:pStyle w:val="Akapitzlist"/>
        <w:numPr>
          <w:ilvl w:val="0"/>
          <w:numId w:val="7"/>
        </w:numPr>
        <w:spacing w:line="360" w:lineRule="auto"/>
        <w:ind w:left="360" w:hanging="357"/>
        <w:jc w:val="both"/>
        <w:rPr>
          <w:rFonts w:ascii="Times New Roman" w:eastAsia="Times New Roman" w:hAnsi="Times New Roman" w:cs="Times New Roman"/>
          <w:sz w:val="24"/>
          <w:szCs w:val="24"/>
          <w:lang w:eastAsia="pl-PL"/>
        </w:rPr>
      </w:pPr>
      <w:r w:rsidRPr="00026232">
        <w:rPr>
          <w:rFonts w:ascii="Times New Roman" w:eastAsia="Times New Roman" w:hAnsi="Times New Roman" w:cs="Times New Roman"/>
          <w:sz w:val="24"/>
          <w:szCs w:val="24"/>
          <w:lang w:eastAsia="pl-PL"/>
        </w:rPr>
        <w:t xml:space="preserve">art. 30 </w:t>
      </w:r>
      <w:r w:rsidRPr="00026232">
        <w:rPr>
          <w:rFonts w:ascii="Times New Roman" w:hAnsi="Times New Roman" w:cs="Times New Roman"/>
          <w:sz w:val="24"/>
          <w:szCs w:val="24"/>
        </w:rPr>
        <w:t>rozporządzenia Parlamentu E</w:t>
      </w:r>
      <w:r>
        <w:rPr>
          <w:rFonts w:ascii="Times New Roman" w:hAnsi="Times New Roman" w:cs="Times New Roman"/>
          <w:sz w:val="24"/>
          <w:szCs w:val="24"/>
        </w:rPr>
        <w:t>uropejskiego i Rady (UE) nr</w:t>
      </w:r>
      <w:r w:rsidRPr="00026232">
        <w:rPr>
          <w:rFonts w:ascii="Times New Roman" w:hAnsi="Times New Roman" w:cs="Times New Roman"/>
          <w:sz w:val="24"/>
          <w:szCs w:val="24"/>
        </w:rPr>
        <w:t xml:space="preserve"> 648/2012 z dnia 4 lipca 2012 r. w sprawie instrumentów pochodnych będących przedmiotem obrotu poza rynkiem regulowanym, kontrahentów centralnych i repozytoriów transakcji (Dz. Urz. L 201 z</w:t>
      </w:r>
      <w:r>
        <w:rPr>
          <w:rFonts w:ascii="Times New Roman" w:hAnsi="Times New Roman" w:cs="Times New Roman"/>
          <w:sz w:val="24"/>
          <w:szCs w:val="24"/>
        </w:rPr>
        <w:t> </w:t>
      </w:r>
      <w:r w:rsidRPr="00026232">
        <w:rPr>
          <w:rFonts w:ascii="Times New Roman" w:hAnsi="Times New Roman" w:cs="Times New Roman"/>
          <w:sz w:val="24"/>
          <w:szCs w:val="24"/>
        </w:rPr>
        <w:t xml:space="preserve">27.07.2012, str. 1, </w:t>
      </w:r>
    </w:p>
    <w:p w14:paraId="166F03FA" w14:textId="77777777" w:rsidR="00EF441C" w:rsidRPr="00026232" w:rsidRDefault="00EF441C" w:rsidP="00EF441C">
      <w:pPr>
        <w:pStyle w:val="Akapitzlist"/>
        <w:numPr>
          <w:ilvl w:val="0"/>
          <w:numId w:val="7"/>
        </w:numPr>
        <w:spacing w:line="360" w:lineRule="auto"/>
        <w:ind w:left="360" w:hanging="357"/>
        <w:jc w:val="both"/>
        <w:rPr>
          <w:rFonts w:ascii="Times New Roman" w:eastAsia="Times New Roman" w:hAnsi="Times New Roman" w:cs="Times New Roman"/>
          <w:sz w:val="24"/>
          <w:szCs w:val="24"/>
          <w:lang w:eastAsia="pl-PL"/>
        </w:rPr>
      </w:pPr>
      <w:r w:rsidRPr="00026232">
        <w:rPr>
          <w:rFonts w:ascii="Times New Roman" w:eastAsia="Times New Roman" w:hAnsi="Times New Roman" w:cs="Times New Roman"/>
          <w:sz w:val="24"/>
          <w:szCs w:val="24"/>
          <w:lang w:eastAsia="pl-PL"/>
        </w:rPr>
        <w:t xml:space="preserve">art. 180 ust. 1 </w:t>
      </w:r>
      <w:r w:rsidRPr="00026232">
        <w:rPr>
          <w:rFonts w:ascii="Times New Roman" w:hAnsi="Times New Roman" w:cs="Times New Roman"/>
          <w:sz w:val="24"/>
          <w:szCs w:val="24"/>
        </w:rPr>
        <w:t>rozporządzenia delegowanego Komisji (UE) 2015/35 z dnia 10 października 2014 r. uzupełniającego dyrektywę Parlamentu Eur</w:t>
      </w:r>
      <w:r>
        <w:rPr>
          <w:rFonts w:ascii="Times New Roman" w:hAnsi="Times New Roman" w:cs="Times New Roman"/>
          <w:sz w:val="24"/>
          <w:szCs w:val="24"/>
        </w:rPr>
        <w:t>opejskiego i Rady 2009/138/WE w </w:t>
      </w:r>
      <w:r w:rsidRPr="00026232">
        <w:rPr>
          <w:rFonts w:ascii="Times New Roman" w:hAnsi="Times New Roman" w:cs="Times New Roman"/>
          <w:sz w:val="24"/>
          <w:szCs w:val="24"/>
        </w:rPr>
        <w:t>sprawie podejmowania i prowadzenia działalności ubezpieczeniowej i reasekuracyjnej (Wypłacalność II) (Dz. Urz. L 12 z 17.01.2015, str. 1), tzw. „rozporządzenie</w:t>
      </w:r>
      <w:r w:rsidRPr="00026232">
        <w:rPr>
          <w:rFonts w:ascii="Times New Roman" w:eastAsia="Times New Roman" w:hAnsi="Times New Roman" w:cs="Times New Roman"/>
          <w:sz w:val="24"/>
          <w:szCs w:val="24"/>
          <w:lang w:eastAsia="pl-PL"/>
        </w:rPr>
        <w:t xml:space="preserve"> Solvency II”,</w:t>
      </w:r>
    </w:p>
    <w:p w14:paraId="3BF840D9" w14:textId="77777777" w:rsidR="00EF441C" w:rsidRPr="00026232" w:rsidRDefault="00EF441C" w:rsidP="00EF441C">
      <w:pPr>
        <w:pStyle w:val="Akapitzlist"/>
        <w:numPr>
          <w:ilvl w:val="0"/>
          <w:numId w:val="7"/>
        </w:numPr>
        <w:spacing w:line="360" w:lineRule="auto"/>
        <w:ind w:left="360" w:hanging="357"/>
        <w:jc w:val="both"/>
        <w:rPr>
          <w:rFonts w:ascii="Times New Roman" w:eastAsia="Times New Roman" w:hAnsi="Times New Roman" w:cs="Times New Roman"/>
          <w:sz w:val="24"/>
          <w:szCs w:val="24"/>
          <w:lang w:eastAsia="pl-PL"/>
        </w:rPr>
      </w:pPr>
      <w:r w:rsidRPr="00026232">
        <w:rPr>
          <w:rFonts w:ascii="Times New Roman" w:eastAsia="Times New Roman" w:hAnsi="Times New Roman" w:cs="Times New Roman"/>
          <w:sz w:val="24"/>
          <w:szCs w:val="24"/>
          <w:lang w:eastAsia="pl-PL"/>
        </w:rPr>
        <w:t>w art. 11</w:t>
      </w:r>
      <w:r w:rsidRPr="00026232">
        <w:rPr>
          <w:rFonts w:ascii="Times New Roman" w:hAnsi="Times New Roman" w:cs="Times New Roman"/>
          <w:sz w:val="24"/>
          <w:szCs w:val="24"/>
        </w:rPr>
        <w:t>–</w:t>
      </w:r>
      <w:r w:rsidRPr="00026232">
        <w:rPr>
          <w:rFonts w:ascii="Times New Roman" w:eastAsia="Times New Roman" w:hAnsi="Times New Roman" w:cs="Times New Roman"/>
          <w:sz w:val="24"/>
          <w:szCs w:val="24"/>
          <w:lang w:eastAsia="pl-PL"/>
        </w:rPr>
        <w:t xml:space="preserve">13 </w:t>
      </w:r>
      <w:r w:rsidRPr="00026232">
        <w:rPr>
          <w:rFonts w:ascii="Times New Roman" w:hAnsi="Times New Roman" w:cs="Times New Roman"/>
          <w:sz w:val="24"/>
          <w:szCs w:val="24"/>
        </w:rPr>
        <w:t>rozporządzenia delegowanego Komisji (UE) 2015/61 z dnia 10 października 2014 r. uzupełniające</w:t>
      </w:r>
      <w:r>
        <w:rPr>
          <w:rFonts w:ascii="Times New Roman" w:hAnsi="Times New Roman" w:cs="Times New Roman"/>
          <w:sz w:val="24"/>
          <w:szCs w:val="24"/>
        </w:rPr>
        <w:t>go</w:t>
      </w:r>
      <w:r w:rsidRPr="00026232">
        <w:rPr>
          <w:rFonts w:ascii="Times New Roman" w:hAnsi="Times New Roman" w:cs="Times New Roman"/>
          <w:sz w:val="24"/>
          <w:szCs w:val="24"/>
        </w:rPr>
        <w:t xml:space="preserve"> rozporządzenie Parlamentu Europejskiego i Rady (UE) nr 575/2013 w</w:t>
      </w:r>
      <w:r>
        <w:rPr>
          <w:rFonts w:ascii="Times New Roman" w:hAnsi="Times New Roman" w:cs="Times New Roman"/>
          <w:sz w:val="24"/>
          <w:szCs w:val="24"/>
        </w:rPr>
        <w:t> </w:t>
      </w:r>
      <w:r w:rsidRPr="00026232">
        <w:rPr>
          <w:rFonts w:ascii="Times New Roman" w:hAnsi="Times New Roman" w:cs="Times New Roman"/>
          <w:sz w:val="24"/>
          <w:szCs w:val="24"/>
        </w:rPr>
        <w:t>odniesieniu do wymogu pokrycia wypływów netto dla instytucji kredytowych (Dz. Urz. L 11 z 17.01.2015, str. 1).</w:t>
      </w:r>
    </w:p>
    <w:p w14:paraId="3DDC930F" w14:textId="77777777" w:rsidR="00EF441C"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Dyrektywa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przewiduje harmonizację przepisów państw członkowskich w szczególności w zakresie obszarów regulacji dotyczących cech konstrukcyjnych obligacji zabezpieczonych, wymogów dotyczących emisji obligacji zabezpieczonych oraz nadzoru publicznego nad obligacjami zabezpieczonymi. </w:t>
      </w:r>
      <w:r w:rsidRPr="00C627B3">
        <w:rPr>
          <w:rFonts w:ascii="Times New Roman" w:hAnsi="Times New Roman" w:cs="Times New Roman"/>
          <w:sz w:val="24"/>
          <w:szCs w:val="24"/>
        </w:rPr>
        <w:t>Rozporządzenie 2019/2160 wprowadza wymogi dotyczące minimalnego nadzabezpieczenia (całego ustawowego, umownego lub dobrowolnego poziomu zabezpieczenia, który wykracza poza wymóg dotyczący pokrycia określony w art. 15 dyrektywy 2019/2162) i aktywów zastępczych w odniesieniu do obligacji zabezpieczonych</w:t>
      </w:r>
      <w:r>
        <w:rPr>
          <w:rFonts w:ascii="Times New Roman" w:hAnsi="Times New Roman" w:cs="Times New Roman"/>
          <w:sz w:val="24"/>
          <w:szCs w:val="24"/>
        </w:rPr>
        <w:t>.</w:t>
      </w:r>
    </w:p>
    <w:p w14:paraId="52027233"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W warunkach polskich odpowiednikiem obligacji zabezpieczonych (</w:t>
      </w:r>
      <w:r w:rsidRPr="00026232">
        <w:rPr>
          <w:rFonts w:ascii="Times New Roman" w:hAnsi="Times New Roman" w:cs="Times New Roman"/>
          <w:i/>
          <w:sz w:val="24"/>
          <w:szCs w:val="24"/>
        </w:rPr>
        <w:t>covered bonds</w:t>
      </w:r>
      <w:r w:rsidRPr="00026232">
        <w:rPr>
          <w:rFonts w:ascii="Times New Roman" w:hAnsi="Times New Roman" w:cs="Times New Roman"/>
          <w:sz w:val="24"/>
          <w:szCs w:val="24"/>
        </w:rPr>
        <w:t xml:space="preserve">) w  rozumieniu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są listy zastawne emitowane przez wyspecjalizowane banki hipoteczne, zgodnie z przepisami ustawy z dnia 29  sierpnia 1997 r. o listach zastawnych i  bankach hipotecznych (Dz. U. z 2020 r. poz. 415). List zastawny spełnia bowiem zasadnicze </w:t>
      </w:r>
      <w:r w:rsidRPr="00026232">
        <w:rPr>
          <w:rFonts w:ascii="Times New Roman" w:hAnsi="Times New Roman" w:cs="Times New Roman"/>
          <w:sz w:val="24"/>
          <w:szCs w:val="24"/>
        </w:rPr>
        <w:lastRenderedPageBreak/>
        <w:t xml:space="preserve">cechy obligacji zabezpieczonej, zdefiniowanej w art. 3 pkt 1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jako zobowiązanie dłużne wyemitowane przez instytucję kredytową zgodnie z wymog</w:t>
      </w:r>
      <w:r>
        <w:rPr>
          <w:rFonts w:ascii="Times New Roman" w:hAnsi="Times New Roman" w:cs="Times New Roman"/>
          <w:sz w:val="24"/>
          <w:szCs w:val="24"/>
        </w:rPr>
        <w:t>am</w:t>
      </w:r>
      <w:r w:rsidRPr="00026232">
        <w:rPr>
          <w:rFonts w:ascii="Times New Roman" w:hAnsi="Times New Roman" w:cs="Times New Roman"/>
          <w:sz w:val="24"/>
          <w:szCs w:val="24"/>
        </w:rPr>
        <w:t xml:space="preserve">i dyrektywy </w:t>
      </w:r>
      <w:r w:rsidRPr="006578A6">
        <w:rPr>
          <w:rFonts w:ascii="Times New Roman" w:hAnsi="Times New Roman" w:cs="Times New Roman"/>
          <w:iCs/>
          <w:sz w:val="24"/>
          <w:szCs w:val="24"/>
        </w:rPr>
        <w:t>i</w:t>
      </w:r>
      <w:r w:rsidRPr="00026232">
        <w:rPr>
          <w:rFonts w:ascii="Times New Roman" w:hAnsi="Times New Roman" w:cs="Times New Roman"/>
          <w:i/>
          <w:iCs/>
          <w:sz w:val="24"/>
          <w:szCs w:val="24"/>
        </w:rPr>
        <w:t xml:space="preserve"> </w:t>
      </w:r>
      <w:r w:rsidRPr="00026232">
        <w:rPr>
          <w:rFonts w:ascii="Times New Roman" w:hAnsi="Times New Roman" w:cs="Times New Roman"/>
          <w:sz w:val="24"/>
          <w:szCs w:val="24"/>
        </w:rPr>
        <w:t>zabezpieczone aktywami stanowiącymi zabezpieczenie, względem których inwestorom nabywającym obligacje zabezpieczone bezpośrednio przysługuje roszczenie jako wierzycielom uprzywilejowanym.</w:t>
      </w:r>
    </w:p>
    <w:p w14:paraId="42E400DE"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List zastawny jest dłużnym papierem wartościowym wyemitowanym przez bank hipoteczny zgodnie z przepisami ustawy o listach zastawnych i bankach hipotecznych, zabezpieczony aktywami stanowiącymi zabezpieczenie listów zastawnych, względem których posiadaczom listów zastawnych przysługuje bezpośrednio roszczenie zarówno do banku hipotecznego, </w:t>
      </w:r>
      <w:r w:rsidRPr="00026232">
        <w:rPr>
          <w:rFonts w:ascii="Times New Roman" w:eastAsia="Times New Roman" w:hAnsi="Times New Roman" w:cs="Times New Roman"/>
          <w:sz w:val="24"/>
          <w:szCs w:val="24"/>
          <w:lang w:eastAsia="pl-PL"/>
        </w:rPr>
        <w:t xml:space="preserve">jak i </w:t>
      </w:r>
      <w:r>
        <w:rPr>
          <w:rFonts w:ascii="Times New Roman" w:eastAsia="Times New Roman" w:hAnsi="Times New Roman" w:cs="Times New Roman"/>
          <w:sz w:val="24"/>
          <w:szCs w:val="24"/>
          <w:lang w:eastAsia="pl-PL"/>
        </w:rPr>
        <w:t> </w:t>
      </w:r>
      <w:r w:rsidRPr="00026232">
        <w:rPr>
          <w:rFonts w:ascii="Times New Roman" w:eastAsia="Times New Roman" w:hAnsi="Times New Roman" w:cs="Times New Roman"/>
          <w:sz w:val="24"/>
          <w:szCs w:val="24"/>
          <w:lang w:eastAsia="pl-PL"/>
        </w:rPr>
        <w:t>osobnej masy upadłości, wyodrębnionej zgodnie z przepisami Prawa upadłościowego</w:t>
      </w:r>
      <w:r>
        <w:rPr>
          <w:rFonts w:ascii="Times New Roman" w:eastAsia="Times New Roman" w:hAnsi="Times New Roman" w:cs="Times New Roman"/>
          <w:sz w:val="24"/>
          <w:szCs w:val="24"/>
          <w:lang w:eastAsia="pl-PL"/>
        </w:rPr>
        <w:t>.</w:t>
      </w:r>
      <w:r w:rsidRPr="00026232">
        <w:rPr>
          <w:rFonts w:ascii="Times New Roman" w:hAnsi="Times New Roman" w:cs="Times New Roman"/>
          <w:sz w:val="24"/>
          <w:szCs w:val="24"/>
        </w:rPr>
        <w:t xml:space="preserve"> Zauważenia wymaga, że szereg istotnych wymogów określonych w</w:t>
      </w:r>
      <w:r>
        <w:rPr>
          <w:rFonts w:ascii="Times New Roman" w:hAnsi="Times New Roman" w:cs="Times New Roman"/>
          <w:sz w:val="24"/>
          <w:szCs w:val="24"/>
        </w:rPr>
        <w:t> </w:t>
      </w:r>
      <w:r w:rsidRPr="00026232">
        <w:rPr>
          <w:rFonts w:ascii="Times New Roman" w:hAnsi="Times New Roman" w:cs="Times New Roman"/>
          <w:sz w:val="24"/>
          <w:szCs w:val="24"/>
        </w:rPr>
        <w:t xml:space="preserve">dyrektywie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w </w:t>
      </w:r>
      <w:r>
        <w:rPr>
          <w:rFonts w:ascii="Times New Roman" w:hAnsi="Times New Roman" w:cs="Times New Roman"/>
          <w:sz w:val="24"/>
          <w:szCs w:val="24"/>
        </w:rPr>
        <w:t> </w:t>
      </w:r>
      <w:r w:rsidRPr="00026232">
        <w:rPr>
          <w:rFonts w:ascii="Times New Roman" w:hAnsi="Times New Roman" w:cs="Times New Roman"/>
          <w:sz w:val="24"/>
          <w:szCs w:val="24"/>
        </w:rPr>
        <w:t>zakresie cech strukturalnych obligacji zabezpieczonych, w tym zapewnienia inwestorom podwójnego regresu (art. 4), czy dotyczących kwalifikujących się aktywów</w:t>
      </w:r>
      <w:r>
        <w:rPr>
          <w:rFonts w:ascii="Times New Roman" w:hAnsi="Times New Roman" w:cs="Times New Roman"/>
          <w:sz w:val="24"/>
          <w:szCs w:val="24"/>
        </w:rPr>
        <w:t xml:space="preserve"> stanowiących zabezpieczenie</w:t>
      </w:r>
      <w:r w:rsidRPr="00026232">
        <w:rPr>
          <w:rFonts w:ascii="Times New Roman" w:hAnsi="Times New Roman" w:cs="Times New Roman"/>
          <w:sz w:val="24"/>
          <w:szCs w:val="24"/>
        </w:rPr>
        <w:t xml:space="preserve"> (art. 6), uwzględniono w obecnym stanie prawnym w</w:t>
      </w:r>
      <w:r>
        <w:rPr>
          <w:rFonts w:ascii="Times New Roman" w:hAnsi="Times New Roman" w:cs="Times New Roman"/>
          <w:sz w:val="24"/>
          <w:szCs w:val="24"/>
        </w:rPr>
        <w:t> </w:t>
      </w:r>
      <w:r w:rsidRPr="00026232">
        <w:rPr>
          <w:rFonts w:ascii="Times New Roman" w:hAnsi="Times New Roman" w:cs="Times New Roman"/>
          <w:sz w:val="24"/>
          <w:szCs w:val="24"/>
        </w:rPr>
        <w:t xml:space="preserve">odniesieniu do listów zastawnych - na gruncie odpowiednio obowiązującego Prawa upadłościowego </w:t>
      </w:r>
      <w:r>
        <w:rPr>
          <w:rFonts w:ascii="Times New Roman" w:hAnsi="Times New Roman" w:cs="Times New Roman"/>
          <w:sz w:val="24"/>
          <w:szCs w:val="24"/>
        </w:rPr>
        <w:t>oraz</w:t>
      </w:r>
      <w:r w:rsidRPr="00026232">
        <w:rPr>
          <w:rFonts w:ascii="Times New Roman" w:hAnsi="Times New Roman" w:cs="Times New Roman"/>
          <w:sz w:val="24"/>
          <w:szCs w:val="24"/>
        </w:rPr>
        <w:t xml:space="preserve"> ustawy o </w:t>
      </w:r>
      <w:r>
        <w:rPr>
          <w:rFonts w:ascii="Times New Roman" w:hAnsi="Times New Roman" w:cs="Times New Roman"/>
          <w:sz w:val="24"/>
          <w:szCs w:val="24"/>
        </w:rPr>
        <w:t> </w:t>
      </w:r>
      <w:r w:rsidRPr="00026232">
        <w:rPr>
          <w:rFonts w:ascii="Times New Roman" w:hAnsi="Times New Roman" w:cs="Times New Roman"/>
          <w:sz w:val="24"/>
          <w:szCs w:val="24"/>
        </w:rPr>
        <w:t>listach zastawnych i bankach hipotecznych.</w:t>
      </w:r>
    </w:p>
    <w:p w14:paraId="40022588" w14:textId="77777777" w:rsidR="00EF441C" w:rsidRPr="002B5E4A"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026232">
        <w:rPr>
          <w:rFonts w:ascii="Times New Roman" w:hAnsi="Times New Roman" w:cs="Times New Roman"/>
          <w:sz w:val="24"/>
          <w:szCs w:val="24"/>
        </w:rPr>
        <w:t xml:space="preserve">ank hipoteczny uprawniony do emisji listów zastawnych jest „wyspecjalizowaną hipoteczną instytucją kredytową” w rozumieniu art. 3 pkt 8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a zakres jego działalności</w:t>
      </w:r>
      <w:r>
        <w:rPr>
          <w:rFonts w:ascii="Times New Roman" w:hAnsi="Times New Roman" w:cs="Times New Roman"/>
          <w:sz w:val="24"/>
          <w:szCs w:val="24"/>
        </w:rPr>
        <w:t>,</w:t>
      </w:r>
      <w:r w:rsidRPr="00026232">
        <w:rPr>
          <w:rFonts w:ascii="Times New Roman" w:hAnsi="Times New Roman" w:cs="Times New Roman"/>
          <w:sz w:val="24"/>
          <w:szCs w:val="24"/>
        </w:rPr>
        <w:t xml:space="preserve"> określony w ustawie o listach zastawnych i bankach hipotecznych</w:t>
      </w:r>
      <w:r>
        <w:rPr>
          <w:rFonts w:ascii="Times New Roman" w:hAnsi="Times New Roman" w:cs="Times New Roman"/>
          <w:sz w:val="24"/>
          <w:szCs w:val="24"/>
        </w:rPr>
        <w:t>,</w:t>
      </w:r>
      <w:r w:rsidRPr="00026232">
        <w:rPr>
          <w:rFonts w:ascii="Times New Roman" w:hAnsi="Times New Roman" w:cs="Times New Roman"/>
          <w:sz w:val="24"/>
          <w:szCs w:val="24"/>
        </w:rPr>
        <w:t xml:space="preserve"> wypełnia niezbędne kryteria wymienione w przywołanych przepisach dyrektywy.</w:t>
      </w:r>
    </w:p>
    <w:p w14:paraId="2D66A6ED" w14:textId="77777777" w:rsidR="00EF441C" w:rsidRPr="00026232" w:rsidRDefault="00EF441C" w:rsidP="00EF441C">
      <w:pPr>
        <w:pStyle w:val="Akapitzlist"/>
        <w:numPr>
          <w:ilvl w:val="0"/>
          <w:numId w:val="4"/>
        </w:numPr>
        <w:spacing w:line="360" w:lineRule="auto"/>
        <w:ind w:left="851" w:hanging="851"/>
        <w:rPr>
          <w:rFonts w:ascii="Times New Roman" w:hAnsi="Times New Roman" w:cs="Times New Roman"/>
          <w:b/>
          <w:sz w:val="24"/>
          <w:szCs w:val="24"/>
        </w:rPr>
      </w:pPr>
      <w:r w:rsidRPr="00026232">
        <w:rPr>
          <w:rFonts w:ascii="Times New Roman" w:hAnsi="Times New Roman" w:cs="Times New Roman"/>
          <w:b/>
          <w:sz w:val="24"/>
          <w:szCs w:val="24"/>
        </w:rPr>
        <w:t>Szczegółowe rozwiązania zawarte w projekcie</w:t>
      </w:r>
    </w:p>
    <w:p w14:paraId="561EA7BD"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1) </w:t>
      </w:r>
      <w:r w:rsidRPr="00026232">
        <w:rPr>
          <w:rFonts w:ascii="Times New Roman" w:hAnsi="Times New Roman" w:cs="Times New Roman"/>
          <w:b/>
          <w:sz w:val="24"/>
          <w:szCs w:val="24"/>
        </w:rPr>
        <w:t xml:space="preserve">Art. 1 projektu </w:t>
      </w:r>
      <w:r w:rsidRPr="00026232">
        <w:rPr>
          <w:rFonts w:ascii="Times New Roman" w:hAnsi="Times New Roman" w:cs="Times New Roman"/>
          <w:sz w:val="24"/>
          <w:szCs w:val="24"/>
        </w:rPr>
        <w:t>wprowadza zmiany do ustawy z dnia 29  sierpnia 1997 r. o listach zastawnych i  bankach hipotecznych</w:t>
      </w:r>
      <w:r>
        <w:rPr>
          <w:rFonts w:ascii="Times New Roman" w:hAnsi="Times New Roman" w:cs="Times New Roman"/>
          <w:sz w:val="24"/>
          <w:szCs w:val="24"/>
        </w:rPr>
        <w:t>, zwanej dalej „</w:t>
      </w:r>
      <w:r w:rsidRPr="009F6666">
        <w:rPr>
          <w:rFonts w:ascii="Times New Roman" w:hAnsi="Times New Roman" w:cs="Times New Roman"/>
          <w:b/>
          <w:sz w:val="24"/>
          <w:szCs w:val="24"/>
        </w:rPr>
        <w:t>Ustawą</w:t>
      </w:r>
      <w:r>
        <w:rPr>
          <w:rFonts w:ascii="Times New Roman" w:hAnsi="Times New Roman" w:cs="Times New Roman"/>
          <w:sz w:val="24"/>
          <w:szCs w:val="24"/>
        </w:rPr>
        <w:t>”</w:t>
      </w:r>
      <w:r w:rsidRPr="00026232">
        <w:rPr>
          <w:rFonts w:ascii="Times New Roman" w:hAnsi="Times New Roman" w:cs="Times New Roman"/>
          <w:sz w:val="24"/>
          <w:szCs w:val="24"/>
        </w:rPr>
        <w:t>.</w:t>
      </w:r>
    </w:p>
    <w:p w14:paraId="7115EF19" w14:textId="77777777" w:rsidR="00EF441C" w:rsidRPr="00026232" w:rsidRDefault="00EF441C" w:rsidP="00EF441C">
      <w:pPr>
        <w:autoSpaceDE w:val="0"/>
        <w:autoSpaceDN w:val="0"/>
        <w:adjustRightInd w:val="0"/>
        <w:spacing w:line="360" w:lineRule="auto"/>
        <w:jc w:val="both"/>
        <w:rPr>
          <w:rFonts w:ascii="Times New Roman" w:eastAsia="Times New Roman" w:hAnsi="Times New Roman" w:cs="Times New Roman"/>
          <w:sz w:val="24"/>
          <w:szCs w:val="24"/>
          <w:lang w:eastAsia="pl-PL"/>
        </w:rPr>
      </w:pPr>
      <w:r w:rsidRPr="009F6666">
        <w:rPr>
          <w:rFonts w:ascii="Times New Roman" w:hAnsi="Times New Roman" w:cs="Times New Roman"/>
          <w:sz w:val="24"/>
          <w:szCs w:val="24"/>
        </w:rPr>
        <w:t>W projektowanym brzmieniu</w:t>
      </w:r>
      <w:r>
        <w:rPr>
          <w:rFonts w:ascii="Times New Roman" w:hAnsi="Times New Roman" w:cs="Times New Roman"/>
          <w:b/>
          <w:sz w:val="24"/>
          <w:szCs w:val="24"/>
        </w:rPr>
        <w:t xml:space="preserve"> a</w:t>
      </w:r>
      <w:r w:rsidRPr="00026232">
        <w:rPr>
          <w:rFonts w:ascii="Times New Roman" w:hAnsi="Times New Roman" w:cs="Times New Roman"/>
          <w:b/>
          <w:sz w:val="24"/>
          <w:szCs w:val="24"/>
        </w:rPr>
        <w:t>rt. 2</w:t>
      </w:r>
      <w:r w:rsidRPr="00026232">
        <w:rPr>
          <w:rFonts w:ascii="Times New Roman" w:hAnsi="Times New Roman" w:cs="Times New Roman"/>
          <w:sz w:val="24"/>
          <w:szCs w:val="24"/>
        </w:rPr>
        <w:t xml:space="preserve"> </w:t>
      </w:r>
      <w:r w:rsidRPr="00026232">
        <w:rPr>
          <w:rFonts w:ascii="Times New Roman" w:hAnsi="Times New Roman" w:cs="Times New Roman"/>
          <w:b/>
          <w:sz w:val="24"/>
          <w:szCs w:val="24"/>
        </w:rPr>
        <w:t xml:space="preserve">pkt 3 – </w:t>
      </w:r>
      <w:r>
        <w:rPr>
          <w:rFonts w:ascii="Times New Roman" w:hAnsi="Times New Roman" w:cs="Times New Roman"/>
          <w:b/>
          <w:sz w:val="24"/>
          <w:szCs w:val="24"/>
        </w:rPr>
        <w:t>7</w:t>
      </w:r>
      <w:r w:rsidRPr="00026232">
        <w:rPr>
          <w:rFonts w:ascii="Times New Roman" w:hAnsi="Times New Roman" w:cs="Times New Roman"/>
          <w:sz w:val="24"/>
          <w:szCs w:val="24"/>
        </w:rPr>
        <w:t xml:space="preserve"> </w:t>
      </w:r>
      <w:r w:rsidRPr="007066EF">
        <w:rPr>
          <w:rFonts w:ascii="Times New Roman" w:hAnsi="Times New Roman" w:cs="Times New Roman"/>
          <w:sz w:val="24"/>
          <w:szCs w:val="24"/>
        </w:rPr>
        <w:t>Ustawy</w:t>
      </w:r>
      <w:r>
        <w:rPr>
          <w:rFonts w:ascii="Times New Roman" w:hAnsi="Times New Roman" w:cs="Times New Roman"/>
          <w:sz w:val="24"/>
          <w:szCs w:val="24"/>
        </w:rPr>
        <w:t xml:space="preserve"> </w:t>
      </w:r>
      <w:r w:rsidRPr="00026232">
        <w:rPr>
          <w:rFonts w:ascii="Times New Roman" w:hAnsi="Times New Roman" w:cs="Times New Roman"/>
          <w:sz w:val="24"/>
          <w:szCs w:val="24"/>
        </w:rPr>
        <w:t xml:space="preserve">wprowadza </w:t>
      </w:r>
      <w:r>
        <w:rPr>
          <w:rFonts w:ascii="Times New Roman" w:hAnsi="Times New Roman" w:cs="Times New Roman"/>
          <w:sz w:val="24"/>
          <w:szCs w:val="24"/>
        </w:rPr>
        <w:t xml:space="preserve">się </w:t>
      </w:r>
      <w:r w:rsidRPr="00026232">
        <w:rPr>
          <w:rFonts w:ascii="Times New Roman" w:hAnsi="Times New Roman" w:cs="Times New Roman"/>
          <w:sz w:val="24"/>
          <w:szCs w:val="24"/>
        </w:rPr>
        <w:t xml:space="preserve">definicje aktywów </w:t>
      </w:r>
      <w:r w:rsidRPr="00026232">
        <w:rPr>
          <w:rFonts w:ascii="Times New Roman" w:eastAsia="Times New Roman" w:hAnsi="Times New Roman" w:cs="Times New Roman"/>
          <w:bCs/>
          <w:sz w:val="24"/>
          <w:szCs w:val="24"/>
          <w:lang w:eastAsia="pl-PL"/>
        </w:rPr>
        <w:t>podstawowych, aktywów zastępczych, aktywów stanowiących zabezpieczenie listów zastawnych</w:t>
      </w:r>
      <w:r>
        <w:rPr>
          <w:rFonts w:ascii="Times New Roman" w:eastAsia="Times New Roman" w:hAnsi="Times New Roman" w:cs="Times New Roman"/>
          <w:bCs/>
          <w:sz w:val="24"/>
          <w:szCs w:val="24"/>
          <w:lang w:eastAsia="pl-PL"/>
        </w:rPr>
        <w:t>,</w:t>
      </w:r>
      <w:r w:rsidRPr="00026232">
        <w:rPr>
          <w:rFonts w:ascii="Times New Roman" w:eastAsia="Times New Roman" w:hAnsi="Times New Roman" w:cs="Times New Roman"/>
          <w:sz w:val="24"/>
          <w:szCs w:val="24"/>
          <w:lang w:eastAsia="pl-PL"/>
        </w:rPr>
        <w:t xml:space="preserve"> puli aktywów stanowiących zabezpieczenie</w:t>
      </w:r>
      <w:r>
        <w:rPr>
          <w:rFonts w:ascii="Times New Roman" w:eastAsia="Times New Roman" w:hAnsi="Times New Roman" w:cs="Times New Roman"/>
          <w:sz w:val="24"/>
          <w:szCs w:val="24"/>
          <w:lang w:eastAsia="pl-PL"/>
        </w:rPr>
        <w:t xml:space="preserve"> oraz instrumentu pochodnego</w:t>
      </w:r>
      <w:r w:rsidRPr="00026232">
        <w:rPr>
          <w:rFonts w:ascii="Times New Roman" w:eastAsia="Times New Roman" w:hAnsi="Times New Roman" w:cs="Times New Roman"/>
          <w:sz w:val="24"/>
          <w:szCs w:val="24"/>
          <w:lang w:eastAsia="pl-PL"/>
        </w:rPr>
        <w:t>.</w:t>
      </w:r>
    </w:p>
    <w:p w14:paraId="7182926E"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Zakres i ujęcie definicji odpowiada definicjom zawartym odpowiednio w art. 3 pkt 12-13, art. 3 pkt 4 i art. 3 pkt 3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Podkreślenia wymaga, że w projektowanych definicjach posłużono się terminologią występującą w </w:t>
      </w:r>
      <w:r>
        <w:rPr>
          <w:rFonts w:ascii="Times New Roman" w:hAnsi="Times New Roman" w:cs="Times New Roman"/>
          <w:sz w:val="24"/>
          <w:szCs w:val="24"/>
        </w:rPr>
        <w:t>U</w:t>
      </w:r>
      <w:r w:rsidRPr="00026232">
        <w:rPr>
          <w:rFonts w:ascii="Times New Roman" w:hAnsi="Times New Roman" w:cs="Times New Roman"/>
          <w:sz w:val="24"/>
          <w:szCs w:val="24"/>
        </w:rPr>
        <w:t xml:space="preserve">stawie, uwzględniając jej systematykę i rozwiązania oraz ustawowe wymogi związane z emisją listów zastawnych (np. aktywa będące podstawą emisji listów zastawnych stanowiące zabezpieczenie listów zastawnych, wymogi i </w:t>
      </w:r>
      <w:r w:rsidRPr="00026232">
        <w:rPr>
          <w:rFonts w:ascii="Times New Roman" w:hAnsi="Times New Roman" w:cs="Times New Roman"/>
          <w:sz w:val="24"/>
          <w:szCs w:val="24"/>
        </w:rPr>
        <w:lastRenderedPageBreak/>
        <w:t>limity określone w art. 18</w:t>
      </w:r>
      <w:r>
        <w:rPr>
          <w:rFonts w:ascii="Times New Roman" w:hAnsi="Times New Roman" w:cs="Times New Roman"/>
          <w:sz w:val="24"/>
          <w:szCs w:val="24"/>
        </w:rPr>
        <w:t xml:space="preserve"> Ustawy</w:t>
      </w:r>
      <w:r w:rsidRPr="00026232">
        <w:rPr>
          <w:rFonts w:ascii="Times New Roman" w:hAnsi="Times New Roman" w:cs="Times New Roman"/>
          <w:sz w:val="24"/>
          <w:szCs w:val="24"/>
        </w:rPr>
        <w:t>, zasady prowadzenia rejestru zabezpieczeni</w:t>
      </w:r>
      <w:r>
        <w:rPr>
          <w:rFonts w:ascii="Times New Roman" w:hAnsi="Times New Roman" w:cs="Times New Roman"/>
          <w:sz w:val="24"/>
          <w:szCs w:val="24"/>
        </w:rPr>
        <w:t>a listów zastawnych – art. 24 Ustawy).</w:t>
      </w:r>
    </w:p>
    <w:p w14:paraId="39388C02"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Proponowane brzmienie tych definicji jest różne od analogicznych pojęć dyrektywy, jednakże odpowiadają one ujęciu tych pojęć na gruncie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w:t>
      </w:r>
    </w:p>
    <w:p w14:paraId="496000EB" w14:textId="77777777" w:rsidR="00EF441C" w:rsidRPr="002705B8" w:rsidRDefault="00EF441C" w:rsidP="00EF441C">
      <w:pPr>
        <w:autoSpaceDE w:val="0"/>
        <w:autoSpaceDN w:val="0"/>
        <w:adjustRightInd w:val="0"/>
        <w:spacing w:line="360" w:lineRule="auto"/>
        <w:jc w:val="both"/>
      </w:pPr>
      <w:r>
        <w:rPr>
          <w:rFonts w:ascii="Times New Roman" w:hAnsi="Times New Roman" w:cs="Times New Roman"/>
          <w:sz w:val="24"/>
          <w:szCs w:val="24"/>
        </w:rPr>
        <w:t xml:space="preserve">Należy zauważyć, iż wprowadzana w słowniczku definicja instrumentu pochodnego odwołująca się do </w:t>
      </w:r>
      <w:r w:rsidRPr="002705B8">
        <w:rPr>
          <w:rFonts w:ascii="Times New Roman" w:hAnsi="Times New Roman" w:cs="Times New Roman"/>
          <w:sz w:val="24"/>
          <w:szCs w:val="24"/>
        </w:rPr>
        <w:t>ustawy z dnia 29 lipca 2005 r. o obrocie instrumentami finansowymi (Dz. U. z 2020 r. poz. 89, 284, 288 i 568) wynika</w:t>
      </w:r>
      <w:r w:rsidRPr="009F6666">
        <w:rPr>
          <w:rFonts w:ascii="Times New Roman" w:hAnsi="Times New Roman" w:cs="Times New Roman"/>
          <w:sz w:val="24"/>
          <w:szCs w:val="24"/>
        </w:rPr>
        <w:t xml:space="preserve"> </w:t>
      </w:r>
      <w:r>
        <w:rPr>
          <w:rFonts w:ascii="Times New Roman" w:hAnsi="Times New Roman" w:cs="Times New Roman"/>
          <w:sz w:val="24"/>
          <w:szCs w:val="24"/>
        </w:rPr>
        <w:t>z projektowanej zmiany w art. 15a pkt 2 Ustawy i ma na celu usystematyzowania posługiwania się tym pojęciem na gruncie Ustawy, dostosowanie do siatki pojęciowej dyrektywy 2019/2162. Wskazana definicja zastępuje  jednocześnie niezdefiniowane dotychczas pojęcie „instrumentu finansowego zabezpieczającego”.</w:t>
      </w:r>
    </w:p>
    <w:p w14:paraId="03100932"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W </w:t>
      </w:r>
      <w:r w:rsidRPr="009F6666">
        <w:rPr>
          <w:rFonts w:ascii="Times New Roman" w:hAnsi="Times New Roman" w:cs="Times New Roman"/>
          <w:sz w:val="24"/>
          <w:szCs w:val="24"/>
        </w:rPr>
        <w:t>projektowanym brzmieniu</w:t>
      </w:r>
      <w:r>
        <w:rPr>
          <w:rFonts w:ascii="Times New Roman" w:hAnsi="Times New Roman" w:cs="Times New Roman"/>
          <w:b/>
          <w:sz w:val="24"/>
          <w:szCs w:val="24"/>
        </w:rPr>
        <w:t xml:space="preserve"> </w:t>
      </w:r>
      <w:r w:rsidRPr="006F75B9">
        <w:rPr>
          <w:rFonts w:ascii="Times New Roman" w:hAnsi="Times New Roman" w:cs="Times New Roman"/>
          <w:b/>
          <w:sz w:val="24"/>
          <w:szCs w:val="24"/>
        </w:rPr>
        <w:t>art. 2a</w:t>
      </w:r>
      <w:r w:rsidRPr="00026232">
        <w:rPr>
          <w:rFonts w:ascii="Times New Roman" w:hAnsi="Times New Roman" w:cs="Times New Roman"/>
          <w:sz w:val="24"/>
          <w:szCs w:val="24"/>
        </w:rPr>
        <w:t xml:space="preserve"> </w:t>
      </w:r>
      <w:r w:rsidRPr="007066EF">
        <w:rPr>
          <w:rFonts w:ascii="Times New Roman" w:hAnsi="Times New Roman" w:cs="Times New Roman"/>
          <w:sz w:val="24"/>
          <w:szCs w:val="24"/>
        </w:rPr>
        <w:t>Ustawy</w:t>
      </w:r>
      <w:r>
        <w:rPr>
          <w:rFonts w:ascii="Times New Roman" w:hAnsi="Times New Roman" w:cs="Times New Roman"/>
          <w:sz w:val="24"/>
          <w:szCs w:val="24"/>
        </w:rPr>
        <w:t xml:space="preserve"> </w:t>
      </w:r>
      <w:r w:rsidRPr="00026232">
        <w:rPr>
          <w:rFonts w:ascii="Times New Roman" w:hAnsi="Times New Roman" w:cs="Times New Roman"/>
          <w:sz w:val="24"/>
          <w:szCs w:val="24"/>
        </w:rPr>
        <w:t xml:space="preserve">wprowadzono definicję listu zastawnego, która odzwierciedla cechy obligacji zabezpieczonej zdefiniowanej w art. 3 pkt 1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W konsekwencji, zaproponowano także nowy przepis </w:t>
      </w:r>
      <w:r>
        <w:rPr>
          <w:rFonts w:ascii="Times New Roman" w:hAnsi="Times New Roman" w:cs="Times New Roman"/>
          <w:sz w:val="24"/>
          <w:szCs w:val="24"/>
        </w:rPr>
        <w:t xml:space="preserve">- </w:t>
      </w:r>
      <w:r w:rsidRPr="00026232">
        <w:rPr>
          <w:rFonts w:ascii="Times New Roman" w:hAnsi="Times New Roman" w:cs="Times New Roman"/>
          <w:sz w:val="24"/>
          <w:szCs w:val="24"/>
        </w:rPr>
        <w:t xml:space="preserve">art. 2b </w:t>
      </w:r>
      <w:r>
        <w:rPr>
          <w:rFonts w:ascii="Times New Roman" w:hAnsi="Times New Roman" w:cs="Times New Roman"/>
          <w:sz w:val="24"/>
          <w:szCs w:val="24"/>
        </w:rPr>
        <w:t xml:space="preserve">Ustawy - </w:t>
      </w:r>
      <w:r w:rsidRPr="00026232">
        <w:rPr>
          <w:rFonts w:ascii="Times New Roman" w:hAnsi="Times New Roman" w:cs="Times New Roman"/>
          <w:sz w:val="24"/>
          <w:szCs w:val="24"/>
        </w:rPr>
        <w:t>mający przede wszystkim charakter porządkowy.</w:t>
      </w:r>
    </w:p>
    <w:p w14:paraId="193D8421"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W </w:t>
      </w:r>
      <w:r w:rsidRPr="009F6666">
        <w:rPr>
          <w:rFonts w:ascii="Times New Roman" w:hAnsi="Times New Roman" w:cs="Times New Roman"/>
          <w:sz w:val="24"/>
          <w:szCs w:val="24"/>
        </w:rPr>
        <w:t>projektowanym brzmieniu</w:t>
      </w:r>
      <w:r>
        <w:rPr>
          <w:rFonts w:ascii="Times New Roman" w:hAnsi="Times New Roman" w:cs="Times New Roman"/>
          <w:b/>
          <w:sz w:val="24"/>
          <w:szCs w:val="24"/>
        </w:rPr>
        <w:t xml:space="preserve"> </w:t>
      </w:r>
      <w:r w:rsidRPr="00026232">
        <w:rPr>
          <w:rFonts w:ascii="Times New Roman" w:hAnsi="Times New Roman" w:cs="Times New Roman"/>
          <w:b/>
          <w:sz w:val="24"/>
          <w:szCs w:val="24"/>
        </w:rPr>
        <w:t>art. 3 ust. 2 pkt 4</w:t>
      </w:r>
      <w:r w:rsidRPr="00026232">
        <w:rPr>
          <w:rFonts w:ascii="Times New Roman" w:hAnsi="Times New Roman" w:cs="Times New Roman"/>
          <w:sz w:val="24"/>
          <w:szCs w:val="24"/>
        </w:rPr>
        <w:t xml:space="preserve"> </w:t>
      </w:r>
      <w:r w:rsidRPr="007066EF">
        <w:rPr>
          <w:rFonts w:ascii="Times New Roman" w:hAnsi="Times New Roman" w:cs="Times New Roman"/>
          <w:sz w:val="24"/>
          <w:szCs w:val="24"/>
        </w:rPr>
        <w:t>Ustawy</w:t>
      </w:r>
      <w:r>
        <w:rPr>
          <w:rFonts w:ascii="Times New Roman" w:hAnsi="Times New Roman" w:cs="Times New Roman"/>
          <w:sz w:val="24"/>
          <w:szCs w:val="24"/>
        </w:rPr>
        <w:t xml:space="preserve"> </w:t>
      </w:r>
      <w:r w:rsidRPr="00026232">
        <w:rPr>
          <w:rFonts w:ascii="Times New Roman" w:hAnsi="Times New Roman" w:cs="Times New Roman"/>
          <w:sz w:val="24"/>
          <w:szCs w:val="24"/>
        </w:rPr>
        <w:t xml:space="preserve">proponuje się rozszerzenie zakresu podstaw emisji publicznego listu zastawnego o wierzytelności banku hipotecznego z tytułu nabytych przez bank </w:t>
      </w:r>
      <w:r>
        <w:rPr>
          <w:rFonts w:ascii="Times New Roman" w:hAnsi="Times New Roman" w:cs="Times New Roman"/>
          <w:sz w:val="24"/>
          <w:szCs w:val="24"/>
        </w:rPr>
        <w:t xml:space="preserve">hipoteczny </w:t>
      </w:r>
      <w:r w:rsidRPr="00026232">
        <w:rPr>
          <w:rFonts w:ascii="Times New Roman" w:hAnsi="Times New Roman" w:cs="Times New Roman"/>
          <w:sz w:val="24"/>
          <w:szCs w:val="24"/>
        </w:rPr>
        <w:t xml:space="preserve">papierów wartościowych emitowanych przez Skarb Państwa lub jednostki samorządu terytorialnego. </w:t>
      </w:r>
    </w:p>
    <w:p w14:paraId="6802ABF9"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Zabezpieczenie obligacji zabezpieczonych tego rodzaju aktywami, dla celów ich preferencyjnego traktowania, przewidzian</w:t>
      </w:r>
      <w:r>
        <w:rPr>
          <w:rFonts w:ascii="Times New Roman" w:hAnsi="Times New Roman" w:cs="Times New Roman"/>
          <w:sz w:val="24"/>
          <w:szCs w:val="24"/>
        </w:rPr>
        <w:t>e</w:t>
      </w:r>
      <w:r w:rsidRPr="00026232">
        <w:rPr>
          <w:rFonts w:ascii="Times New Roman" w:hAnsi="Times New Roman" w:cs="Times New Roman"/>
          <w:sz w:val="24"/>
          <w:szCs w:val="24"/>
        </w:rPr>
        <w:t xml:space="preserve"> jest w art. 129 ust. 1 lit</w:t>
      </w:r>
      <w:r>
        <w:rPr>
          <w:rFonts w:ascii="Times New Roman" w:hAnsi="Times New Roman" w:cs="Times New Roman"/>
          <w:sz w:val="24"/>
          <w:szCs w:val="24"/>
        </w:rPr>
        <w:t>.</w:t>
      </w:r>
      <w:r w:rsidRPr="00026232">
        <w:rPr>
          <w:rFonts w:ascii="Times New Roman" w:hAnsi="Times New Roman" w:cs="Times New Roman"/>
          <w:sz w:val="24"/>
          <w:szCs w:val="24"/>
        </w:rPr>
        <w:t xml:space="preserve"> a</w:t>
      </w:r>
      <w:r w:rsidRPr="00026232">
        <w:rPr>
          <w:rFonts w:ascii="Times New Roman" w:eastAsia="Times New Roman" w:hAnsi="Times New Roman" w:cs="Times New Roman"/>
          <w:sz w:val="24"/>
          <w:szCs w:val="24"/>
          <w:lang w:eastAsia="pl-PL"/>
        </w:rPr>
        <w:t xml:space="preserve"> rozporządzenia (UE</w:t>
      </w:r>
      <w:r w:rsidRPr="00026232">
        <w:rPr>
          <w:rFonts w:ascii="Times New Roman" w:hAnsi="Times New Roman" w:cs="Times New Roman"/>
          <w:sz w:val="24"/>
          <w:szCs w:val="24"/>
        </w:rPr>
        <w:t>) nr 575/2013.</w:t>
      </w:r>
    </w:p>
    <w:p w14:paraId="498C52F6"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026232">
        <w:rPr>
          <w:rFonts w:ascii="Times New Roman" w:hAnsi="Times New Roman" w:cs="Times New Roman"/>
          <w:sz w:val="24"/>
          <w:szCs w:val="24"/>
        </w:rPr>
        <w:t xml:space="preserve"> świetle przepisów obecnej </w:t>
      </w:r>
      <w:r>
        <w:rPr>
          <w:rFonts w:ascii="Times New Roman" w:hAnsi="Times New Roman" w:cs="Times New Roman"/>
          <w:sz w:val="24"/>
          <w:szCs w:val="24"/>
        </w:rPr>
        <w:t>Ustawy</w:t>
      </w:r>
      <w:r w:rsidRPr="00026232">
        <w:rPr>
          <w:rFonts w:ascii="Times New Roman" w:hAnsi="Times New Roman" w:cs="Times New Roman"/>
          <w:sz w:val="24"/>
          <w:szCs w:val="24"/>
        </w:rPr>
        <w:t xml:space="preserve"> obligacje s</w:t>
      </w:r>
      <w:r>
        <w:rPr>
          <w:rFonts w:ascii="Times New Roman" w:hAnsi="Times New Roman" w:cs="Times New Roman"/>
          <w:sz w:val="24"/>
          <w:szCs w:val="24"/>
        </w:rPr>
        <w:t>amorządu terytorialnego tylko w </w:t>
      </w:r>
      <w:r w:rsidRPr="00026232">
        <w:rPr>
          <w:rFonts w:ascii="Times New Roman" w:hAnsi="Times New Roman" w:cs="Times New Roman"/>
          <w:sz w:val="24"/>
          <w:szCs w:val="24"/>
        </w:rPr>
        <w:t>ograniczonym zakresie mogą być wykorzystane jako podstawa emisji i zabezpieczenie publicznych listów zastawnych (aktywa zastępcze). Aktywa podstawowe obejmują kredyty udzielone jednostkom samorządu terytorialnego lub kredyty zabezpieczone poręczeniem lub gwarancją tych jednostek (w</w:t>
      </w:r>
      <w:r>
        <w:rPr>
          <w:rFonts w:ascii="Times New Roman" w:hAnsi="Times New Roman" w:cs="Times New Roman"/>
          <w:sz w:val="24"/>
          <w:szCs w:val="24"/>
        </w:rPr>
        <w:t> </w:t>
      </w:r>
      <w:r w:rsidRPr="00026232">
        <w:rPr>
          <w:rFonts w:ascii="Times New Roman" w:hAnsi="Times New Roman" w:cs="Times New Roman"/>
          <w:sz w:val="24"/>
          <w:szCs w:val="24"/>
        </w:rPr>
        <w:t xml:space="preserve">przypadku publicznych listów zastawnych wymagany udział aktywów podstawowych określa art. 18 ust. 1a </w:t>
      </w:r>
      <w:r>
        <w:rPr>
          <w:rFonts w:ascii="Times New Roman" w:hAnsi="Times New Roman" w:cs="Times New Roman"/>
          <w:sz w:val="24"/>
          <w:szCs w:val="24"/>
        </w:rPr>
        <w:t>U</w:t>
      </w:r>
      <w:r w:rsidRPr="00026232">
        <w:rPr>
          <w:rFonts w:ascii="Times New Roman" w:hAnsi="Times New Roman" w:cs="Times New Roman"/>
          <w:sz w:val="24"/>
          <w:szCs w:val="24"/>
        </w:rPr>
        <w:t xml:space="preserve">stawy). W </w:t>
      </w:r>
      <w:r>
        <w:rPr>
          <w:rFonts w:ascii="Times New Roman" w:hAnsi="Times New Roman" w:cs="Times New Roman"/>
          <w:sz w:val="24"/>
          <w:szCs w:val="24"/>
        </w:rPr>
        <w:t> </w:t>
      </w:r>
      <w:r w:rsidRPr="00026232">
        <w:rPr>
          <w:rFonts w:ascii="Times New Roman" w:hAnsi="Times New Roman" w:cs="Times New Roman"/>
          <w:sz w:val="24"/>
          <w:szCs w:val="24"/>
        </w:rPr>
        <w:t>związku z powyższym w obecnym stanie prawnym nie jest możliwe emitowanie listów zastawnych zabezpieczonych wyłącznie obligacjami jednostek samorządu terytorialnego. Przedmiotowe zmiany powinn</w:t>
      </w:r>
      <w:r>
        <w:rPr>
          <w:rFonts w:ascii="Times New Roman" w:hAnsi="Times New Roman" w:cs="Times New Roman"/>
          <w:sz w:val="24"/>
          <w:szCs w:val="24"/>
        </w:rPr>
        <w:t>y</w:t>
      </w:r>
      <w:r w:rsidRPr="00026232">
        <w:rPr>
          <w:rFonts w:ascii="Times New Roman" w:hAnsi="Times New Roman" w:cs="Times New Roman"/>
          <w:sz w:val="24"/>
          <w:szCs w:val="24"/>
        </w:rPr>
        <w:t xml:space="preserve"> zwiększyć skalę emisji publicznych listów zastawnych w </w:t>
      </w:r>
      <w:r>
        <w:rPr>
          <w:rFonts w:ascii="Times New Roman" w:hAnsi="Times New Roman" w:cs="Times New Roman"/>
          <w:sz w:val="24"/>
          <w:szCs w:val="24"/>
        </w:rPr>
        <w:t> </w:t>
      </w:r>
      <w:r w:rsidRPr="00026232">
        <w:rPr>
          <w:rFonts w:ascii="Times New Roman" w:hAnsi="Times New Roman" w:cs="Times New Roman"/>
          <w:sz w:val="24"/>
          <w:szCs w:val="24"/>
        </w:rPr>
        <w:t xml:space="preserve">Polsce, jak również wpłynąć pozytywnie na rozwój możliwości finansowania przedsięwzięć inwestycyjnych na szczeblu samorządowym. </w:t>
      </w:r>
      <w:r w:rsidRPr="00026232">
        <w:rPr>
          <w:rFonts w:ascii="Times New Roman" w:hAnsi="Times New Roman" w:cs="Times New Roman"/>
          <w:sz w:val="24"/>
          <w:szCs w:val="24"/>
        </w:rPr>
        <w:lastRenderedPageBreak/>
        <w:t>Jednocześnie rozwiązanie to wychodzi naprzeciw postulatom zgłaszanym przez środowisko bankowości hipotecznej. Projektowan</w:t>
      </w:r>
      <w:r>
        <w:rPr>
          <w:rFonts w:ascii="Times New Roman" w:hAnsi="Times New Roman" w:cs="Times New Roman"/>
          <w:sz w:val="24"/>
          <w:szCs w:val="24"/>
        </w:rPr>
        <w:t>e</w:t>
      </w:r>
      <w:r w:rsidRPr="00026232">
        <w:rPr>
          <w:rFonts w:ascii="Times New Roman" w:hAnsi="Times New Roman" w:cs="Times New Roman"/>
          <w:sz w:val="24"/>
          <w:szCs w:val="24"/>
        </w:rPr>
        <w:t xml:space="preserve"> </w:t>
      </w:r>
      <w:r>
        <w:rPr>
          <w:rFonts w:ascii="Times New Roman" w:hAnsi="Times New Roman" w:cs="Times New Roman"/>
          <w:sz w:val="24"/>
          <w:szCs w:val="24"/>
        </w:rPr>
        <w:t>brzmienie</w:t>
      </w:r>
      <w:r w:rsidRPr="00026232">
        <w:rPr>
          <w:rFonts w:ascii="Times New Roman" w:hAnsi="Times New Roman" w:cs="Times New Roman"/>
          <w:sz w:val="24"/>
          <w:szCs w:val="24"/>
        </w:rPr>
        <w:t xml:space="preserve"> art. 3 ust. </w:t>
      </w:r>
      <w:r>
        <w:rPr>
          <w:rFonts w:ascii="Times New Roman" w:hAnsi="Times New Roman" w:cs="Times New Roman"/>
          <w:sz w:val="24"/>
          <w:szCs w:val="24"/>
        </w:rPr>
        <w:t xml:space="preserve">2 </w:t>
      </w:r>
      <w:r w:rsidRPr="00026232">
        <w:rPr>
          <w:rFonts w:ascii="Times New Roman" w:hAnsi="Times New Roman" w:cs="Times New Roman"/>
          <w:sz w:val="24"/>
          <w:szCs w:val="24"/>
        </w:rPr>
        <w:t xml:space="preserve">pkt 4 </w:t>
      </w:r>
      <w:r>
        <w:rPr>
          <w:rFonts w:ascii="Times New Roman" w:hAnsi="Times New Roman" w:cs="Times New Roman"/>
          <w:sz w:val="24"/>
          <w:szCs w:val="24"/>
        </w:rPr>
        <w:t xml:space="preserve">Ustawy </w:t>
      </w:r>
      <w:r w:rsidRPr="00026232">
        <w:rPr>
          <w:rFonts w:ascii="Times New Roman" w:hAnsi="Times New Roman" w:cs="Times New Roman"/>
          <w:sz w:val="24"/>
          <w:szCs w:val="24"/>
        </w:rPr>
        <w:t>dotyczy również papierów wartościowych emitowanych przez Skarb Państwa.</w:t>
      </w:r>
    </w:p>
    <w:p w14:paraId="2757899A"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Zmiana zaproponowana w</w:t>
      </w:r>
      <w:r w:rsidRPr="00026232">
        <w:rPr>
          <w:rFonts w:ascii="Times New Roman" w:hAnsi="Times New Roman" w:cs="Times New Roman"/>
          <w:sz w:val="24"/>
          <w:szCs w:val="24"/>
        </w:rPr>
        <w:t xml:space="preserve"> </w:t>
      </w:r>
      <w:r w:rsidRPr="009F6666">
        <w:rPr>
          <w:rFonts w:ascii="Times New Roman" w:hAnsi="Times New Roman" w:cs="Times New Roman"/>
          <w:sz w:val="24"/>
          <w:szCs w:val="24"/>
        </w:rPr>
        <w:t xml:space="preserve">projektowanym brzmieniu </w:t>
      </w:r>
      <w:r w:rsidRPr="00026232">
        <w:rPr>
          <w:rFonts w:ascii="Times New Roman" w:hAnsi="Times New Roman" w:cs="Times New Roman"/>
          <w:b/>
          <w:sz w:val="24"/>
          <w:szCs w:val="24"/>
        </w:rPr>
        <w:t>art. 5a ust. 2</w:t>
      </w:r>
      <w:r w:rsidRPr="00026232">
        <w:rPr>
          <w:rFonts w:ascii="Times New Roman" w:hAnsi="Times New Roman" w:cs="Times New Roman"/>
          <w:sz w:val="24"/>
          <w:szCs w:val="24"/>
        </w:rPr>
        <w:t xml:space="preserve"> </w:t>
      </w:r>
      <w:r w:rsidRPr="007066EF">
        <w:rPr>
          <w:rFonts w:ascii="Times New Roman" w:hAnsi="Times New Roman" w:cs="Times New Roman"/>
          <w:sz w:val="24"/>
          <w:szCs w:val="24"/>
        </w:rPr>
        <w:t>Ustawy</w:t>
      </w:r>
      <w:r>
        <w:rPr>
          <w:rFonts w:ascii="Times New Roman" w:hAnsi="Times New Roman" w:cs="Times New Roman"/>
          <w:sz w:val="24"/>
          <w:szCs w:val="24"/>
        </w:rPr>
        <w:t xml:space="preserve"> </w:t>
      </w:r>
      <w:r w:rsidRPr="00026232">
        <w:rPr>
          <w:rFonts w:ascii="Times New Roman" w:hAnsi="Times New Roman" w:cs="Times New Roman"/>
          <w:sz w:val="24"/>
          <w:szCs w:val="24"/>
        </w:rPr>
        <w:t xml:space="preserve">pozwoli na emisję listów zastawnych w formie dokumentu </w:t>
      </w:r>
      <w:r>
        <w:rPr>
          <w:rFonts w:ascii="Times New Roman" w:hAnsi="Times New Roman" w:cs="Times New Roman"/>
          <w:sz w:val="24"/>
          <w:szCs w:val="24"/>
        </w:rPr>
        <w:t xml:space="preserve">w przypadku listów zastawnych </w:t>
      </w:r>
      <w:r w:rsidRPr="00026232">
        <w:rPr>
          <w:rFonts w:ascii="Times New Roman" w:hAnsi="Times New Roman" w:cs="Times New Roman"/>
          <w:sz w:val="24"/>
          <w:szCs w:val="24"/>
        </w:rPr>
        <w:t>o  jednostkowej wartości nominalnej</w:t>
      </w:r>
      <w:r>
        <w:rPr>
          <w:rFonts w:ascii="Times New Roman" w:hAnsi="Times New Roman" w:cs="Times New Roman"/>
          <w:sz w:val="24"/>
          <w:szCs w:val="24"/>
        </w:rPr>
        <w:t xml:space="preserve"> </w:t>
      </w:r>
      <w:r w:rsidRPr="000C6EF3">
        <w:rPr>
          <w:rFonts w:ascii="Times New Roman" w:hAnsi="Times New Roman" w:cs="Times New Roman"/>
          <w:sz w:val="24"/>
          <w:szCs w:val="24"/>
        </w:rPr>
        <w:t>równej kwocie stanowiącej równowartość 100 000 euro lub przekraczającej tę kwotę</w:t>
      </w:r>
      <w:r w:rsidRPr="00026232">
        <w:rPr>
          <w:rFonts w:ascii="Times New Roman" w:hAnsi="Times New Roman" w:cs="Times New Roman"/>
          <w:sz w:val="24"/>
          <w:szCs w:val="24"/>
        </w:rPr>
        <w:t xml:space="preserve">. </w:t>
      </w:r>
      <w:r>
        <w:rPr>
          <w:rFonts w:ascii="Times New Roman" w:hAnsi="Times New Roman" w:cs="Times New Roman"/>
          <w:sz w:val="24"/>
          <w:szCs w:val="24"/>
        </w:rPr>
        <w:t>P</w:t>
      </w:r>
      <w:r w:rsidRPr="00026232">
        <w:rPr>
          <w:rFonts w:ascii="Times New Roman" w:hAnsi="Times New Roman" w:cs="Times New Roman"/>
          <w:sz w:val="24"/>
          <w:szCs w:val="24"/>
        </w:rPr>
        <w:t xml:space="preserve">rzepis </w:t>
      </w:r>
      <w:r>
        <w:rPr>
          <w:rFonts w:ascii="Times New Roman" w:hAnsi="Times New Roman" w:cs="Times New Roman"/>
          <w:sz w:val="24"/>
          <w:szCs w:val="24"/>
        </w:rPr>
        <w:t xml:space="preserve">ten w obecnym brzmieniu </w:t>
      </w:r>
      <w:r w:rsidRPr="00026232">
        <w:rPr>
          <w:rFonts w:ascii="Times New Roman" w:hAnsi="Times New Roman" w:cs="Times New Roman"/>
          <w:sz w:val="24"/>
          <w:szCs w:val="24"/>
        </w:rPr>
        <w:t xml:space="preserve">umożliwia emisję listu zastawnego w formie dokumentu, o ile jego wartość nominalna </w:t>
      </w:r>
      <w:r w:rsidRPr="00774322">
        <w:rPr>
          <w:rFonts w:ascii="Times New Roman" w:hAnsi="Times New Roman" w:cs="Times New Roman"/>
          <w:sz w:val="24"/>
          <w:szCs w:val="24"/>
        </w:rPr>
        <w:t xml:space="preserve">przekracza </w:t>
      </w:r>
      <w:r w:rsidRPr="00026232">
        <w:rPr>
          <w:rFonts w:ascii="Times New Roman" w:hAnsi="Times New Roman" w:cs="Times New Roman"/>
          <w:sz w:val="24"/>
          <w:szCs w:val="24"/>
        </w:rPr>
        <w:t>równowartość 100 000 euro. Projektowana zmiana ma znaczenie w przypadku oferowania listów zastawnych na międzynarodowych rynkach i ich rejestrowania w zagranicznym systemie rejestracji, o którym mowa w art. 5 ust. 1a ustawy z</w:t>
      </w:r>
      <w:r>
        <w:rPr>
          <w:rFonts w:ascii="Times New Roman" w:hAnsi="Times New Roman" w:cs="Times New Roman"/>
          <w:sz w:val="24"/>
          <w:szCs w:val="24"/>
        </w:rPr>
        <w:t> </w:t>
      </w:r>
      <w:r w:rsidRPr="00026232">
        <w:rPr>
          <w:rFonts w:ascii="Times New Roman" w:hAnsi="Times New Roman" w:cs="Times New Roman"/>
          <w:sz w:val="24"/>
          <w:szCs w:val="24"/>
        </w:rPr>
        <w:t xml:space="preserve">dnia 29 lipca 2005 r. o obrocie instrumentami finansowymi. </w:t>
      </w:r>
      <w:r>
        <w:rPr>
          <w:rFonts w:ascii="Times New Roman" w:hAnsi="Times New Roman" w:cs="Times New Roman"/>
          <w:sz w:val="24"/>
          <w:szCs w:val="24"/>
        </w:rPr>
        <w:t>W </w:t>
      </w:r>
      <w:r w:rsidRPr="00026232">
        <w:rPr>
          <w:rFonts w:ascii="Times New Roman" w:hAnsi="Times New Roman" w:cs="Times New Roman"/>
          <w:sz w:val="24"/>
          <w:szCs w:val="24"/>
        </w:rPr>
        <w:t>tym kontekście zauważenia wymaga, że listy zastawne o  jednostkowej wartości nominalnej nie niższej niż równowartość 100 000 euro stanowią nominał występujący często w praktyce obrotu zagranicznego.</w:t>
      </w:r>
    </w:p>
    <w:p w14:paraId="64469170" w14:textId="77777777" w:rsidR="00EF441C" w:rsidRPr="00026232" w:rsidRDefault="00EF441C" w:rsidP="00EF441C">
      <w:pPr>
        <w:pStyle w:val="ZARTzmartartykuempunktem"/>
        <w:spacing w:after="200"/>
        <w:ind w:left="0" w:firstLine="0"/>
        <w:rPr>
          <w:rFonts w:ascii="Times New Roman" w:eastAsia="Times New Roman" w:hAnsi="Times New Roman" w:cs="Times New Roman"/>
          <w:szCs w:val="24"/>
        </w:rPr>
      </w:pPr>
      <w:r w:rsidRPr="00026232">
        <w:rPr>
          <w:rFonts w:ascii="Times New Roman" w:hAnsi="Times New Roman" w:cs="Times New Roman"/>
          <w:szCs w:val="24"/>
        </w:rPr>
        <w:t xml:space="preserve">W </w:t>
      </w:r>
      <w:r w:rsidRPr="009F6666">
        <w:rPr>
          <w:rFonts w:ascii="Times New Roman" w:hAnsi="Times New Roman" w:cs="Times New Roman"/>
          <w:szCs w:val="24"/>
        </w:rPr>
        <w:t>projektowanym brzmieniu</w:t>
      </w:r>
      <w:r>
        <w:rPr>
          <w:rFonts w:ascii="Times New Roman" w:hAnsi="Times New Roman" w:cs="Times New Roman"/>
          <w:b/>
          <w:szCs w:val="24"/>
        </w:rPr>
        <w:t xml:space="preserve"> </w:t>
      </w:r>
      <w:r w:rsidRPr="00026232">
        <w:rPr>
          <w:rFonts w:ascii="Times New Roman" w:eastAsia="Calibri" w:hAnsi="Times New Roman" w:cs="Times New Roman"/>
          <w:b/>
          <w:szCs w:val="24"/>
        </w:rPr>
        <w:t>art. 7a</w:t>
      </w:r>
      <w:r w:rsidRPr="00026232">
        <w:rPr>
          <w:rFonts w:ascii="Times New Roman" w:eastAsia="Calibri" w:hAnsi="Times New Roman" w:cs="Times New Roman"/>
          <w:szCs w:val="24"/>
        </w:rPr>
        <w:t xml:space="preserve"> </w:t>
      </w:r>
      <w:r w:rsidRPr="007066EF">
        <w:rPr>
          <w:rFonts w:ascii="Times New Roman" w:eastAsia="Calibri" w:hAnsi="Times New Roman" w:cs="Times New Roman"/>
          <w:szCs w:val="24"/>
        </w:rPr>
        <w:t>Ustawy</w:t>
      </w:r>
      <w:r>
        <w:rPr>
          <w:rFonts w:ascii="Times New Roman" w:eastAsia="Calibri" w:hAnsi="Times New Roman" w:cs="Times New Roman"/>
          <w:szCs w:val="24"/>
        </w:rPr>
        <w:t xml:space="preserve"> dodano do obligatoryjnych elementów warunków emisji listów zastawnych</w:t>
      </w:r>
      <w:r w:rsidRPr="00026232">
        <w:rPr>
          <w:rFonts w:ascii="Times New Roman" w:eastAsia="Calibri" w:hAnsi="Times New Roman" w:cs="Times New Roman"/>
          <w:szCs w:val="24"/>
        </w:rPr>
        <w:t xml:space="preserve"> </w:t>
      </w:r>
      <w:r>
        <w:rPr>
          <w:rFonts w:ascii="Times New Roman" w:eastAsia="Calibri" w:hAnsi="Times New Roman" w:cs="Times New Roman"/>
          <w:szCs w:val="24"/>
        </w:rPr>
        <w:t>informacje</w:t>
      </w:r>
      <w:r w:rsidRPr="00026232">
        <w:rPr>
          <w:rFonts w:ascii="Times New Roman" w:eastAsia="Calibri" w:hAnsi="Times New Roman" w:cs="Times New Roman"/>
          <w:szCs w:val="24"/>
        </w:rPr>
        <w:t xml:space="preserve"> dotyczące </w:t>
      </w:r>
      <w:r w:rsidRPr="00026232">
        <w:rPr>
          <w:rFonts w:ascii="Times New Roman" w:eastAsia="Times New Roman" w:hAnsi="Times New Roman" w:cs="Times New Roman"/>
          <w:szCs w:val="24"/>
        </w:rPr>
        <w:t xml:space="preserve">zobowiązań z tytułu listów zastawnych w </w:t>
      </w:r>
      <w:r>
        <w:rPr>
          <w:rFonts w:ascii="Times New Roman" w:eastAsia="Times New Roman" w:hAnsi="Times New Roman" w:cs="Times New Roman"/>
          <w:szCs w:val="24"/>
        </w:rPr>
        <w:t> </w:t>
      </w:r>
      <w:r w:rsidRPr="00026232">
        <w:rPr>
          <w:rFonts w:ascii="Times New Roman" w:eastAsia="Times New Roman" w:hAnsi="Times New Roman" w:cs="Times New Roman"/>
          <w:szCs w:val="24"/>
        </w:rPr>
        <w:t xml:space="preserve">przypadku wszczęcia procedury przymusowej restrukturyzacji banku hipotecznego, co uwzględnia wymogi art. 17 dyrektywy </w:t>
      </w:r>
      <w:r>
        <w:rPr>
          <w:rFonts w:ascii="Times New Roman" w:eastAsia="Calibri" w:hAnsi="Times New Roman" w:cs="Times New Roman"/>
          <w:szCs w:val="24"/>
        </w:rPr>
        <w:t>2019/2162</w:t>
      </w:r>
      <w:r w:rsidRPr="00026232">
        <w:rPr>
          <w:rFonts w:ascii="Times New Roman" w:eastAsia="Times New Roman" w:hAnsi="Times New Roman" w:cs="Times New Roman"/>
          <w:szCs w:val="24"/>
        </w:rPr>
        <w:t>.</w:t>
      </w:r>
    </w:p>
    <w:p w14:paraId="0246743F" w14:textId="77777777" w:rsidR="00EF441C" w:rsidRPr="00026232" w:rsidRDefault="00EF441C" w:rsidP="00EF441C">
      <w:pPr>
        <w:autoSpaceDE w:val="0"/>
        <w:autoSpaceDN w:val="0"/>
        <w:adjustRightInd w:val="0"/>
        <w:spacing w:line="360" w:lineRule="auto"/>
        <w:jc w:val="both"/>
        <w:rPr>
          <w:rFonts w:ascii="Times New Roman" w:eastAsia="Calibri" w:hAnsi="Times New Roman" w:cs="Times New Roman"/>
          <w:sz w:val="24"/>
          <w:szCs w:val="24"/>
        </w:rPr>
      </w:pPr>
      <w:r w:rsidRPr="00026232">
        <w:rPr>
          <w:rFonts w:ascii="Times New Roman" w:hAnsi="Times New Roman" w:cs="Times New Roman"/>
          <w:sz w:val="24"/>
          <w:szCs w:val="24"/>
        </w:rPr>
        <w:t xml:space="preserve">W </w:t>
      </w:r>
      <w:r w:rsidRPr="009F6666">
        <w:rPr>
          <w:rFonts w:ascii="Times New Roman" w:hAnsi="Times New Roman" w:cs="Times New Roman"/>
          <w:sz w:val="24"/>
          <w:szCs w:val="24"/>
        </w:rPr>
        <w:t>projektowanym brzmieniu</w:t>
      </w:r>
      <w:r>
        <w:rPr>
          <w:rFonts w:ascii="Times New Roman" w:hAnsi="Times New Roman" w:cs="Times New Roman"/>
          <w:b/>
          <w:sz w:val="24"/>
          <w:szCs w:val="24"/>
        </w:rPr>
        <w:t xml:space="preserve"> </w:t>
      </w:r>
      <w:r w:rsidRPr="00026232">
        <w:rPr>
          <w:rFonts w:ascii="Times New Roman" w:hAnsi="Times New Roman" w:cs="Times New Roman"/>
          <w:b/>
          <w:sz w:val="24"/>
          <w:szCs w:val="24"/>
        </w:rPr>
        <w:t xml:space="preserve">art. </w:t>
      </w:r>
      <w:r>
        <w:rPr>
          <w:rFonts w:ascii="Times New Roman" w:hAnsi="Times New Roman" w:cs="Times New Roman"/>
          <w:b/>
          <w:sz w:val="24"/>
          <w:szCs w:val="24"/>
        </w:rPr>
        <w:t>7b</w:t>
      </w:r>
      <w:r w:rsidRPr="00026232">
        <w:rPr>
          <w:rFonts w:ascii="Times New Roman" w:hAnsi="Times New Roman" w:cs="Times New Roman"/>
          <w:sz w:val="24"/>
          <w:szCs w:val="24"/>
        </w:rPr>
        <w:t xml:space="preserve"> </w:t>
      </w:r>
      <w:r w:rsidRPr="007066EF">
        <w:rPr>
          <w:rFonts w:ascii="Times New Roman" w:hAnsi="Times New Roman" w:cs="Times New Roman"/>
          <w:sz w:val="24"/>
          <w:szCs w:val="24"/>
        </w:rPr>
        <w:t>Ustawy</w:t>
      </w:r>
      <w:r>
        <w:rPr>
          <w:rFonts w:ascii="Times New Roman" w:hAnsi="Times New Roman" w:cs="Times New Roman"/>
          <w:sz w:val="24"/>
          <w:szCs w:val="24"/>
        </w:rPr>
        <w:t xml:space="preserve"> </w:t>
      </w:r>
      <w:r w:rsidRPr="00026232">
        <w:rPr>
          <w:rFonts w:ascii="Times New Roman" w:hAnsi="Times New Roman" w:cs="Times New Roman"/>
          <w:sz w:val="24"/>
          <w:szCs w:val="24"/>
        </w:rPr>
        <w:t>sformułowano generalną zasadę</w:t>
      </w:r>
      <w:r>
        <w:rPr>
          <w:rFonts w:ascii="Times New Roman" w:hAnsi="Times New Roman" w:cs="Times New Roman"/>
          <w:sz w:val="24"/>
          <w:szCs w:val="24"/>
        </w:rPr>
        <w:t>,</w:t>
      </w:r>
      <w:r w:rsidRPr="00026232">
        <w:rPr>
          <w:rFonts w:ascii="Times New Roman" w:hAnsi="Times New Roman" w:cs="Times New Roman"/>
          <w:sz w:val="24"/>
          <w:szCs w:val="24"/>
        </w:rPr>
        <w:t xml:space="preserve"> kiedy jest możliwe przedłużenie terminu wykupu listu zastawnego określonego w umowie – tj. wyłącznie </w:t>
      </w:r>
      <w:r>
        <w:rPr>
          <w:rFonts w:ascii="Times New Roman" w:hAnsi="Times New Roman" w:cs="Times New Roman"/>
          <w:sz w:val="24"/>
          <w:szCs w:val="24"/>
        </w:rPr>
        <w:t>w</w:t>
      </w:r>
      <w:r w:rsidRPr="00026232">
        <w:rPr>
          <w:rFonts w:ascii="Times New Roman" w:hAnsi="Times New Roman" w:cs="Times New Roman"/>
          <w:sz w:val="24"/>
          <w:szCs w:val="24"/>
        </w:rPr>
        <w:t> przypadku ogłoszenia upadłości banku hipotecznego.</w:t>
      </w:r>
      <w:r w:rsidRPr="00026232">
        <w:rPr>
          <w:rFonts w:ascii="Times New Roman" w:eastAsia="Calibri" w:hAnsi="Times New Roman" w:cs="Times New Roman"/>
          <w:sz w:val="24"/>
          <w:szCs w:val="24"/>
        </w:rPr>
        <w:t xml:space="preserve"> Art. 446 ustawy – Prawo upadłościowe stanowi o przedłużeniu terminów wymagalności zobowiązań upadłego banku hipotecznego o </w:t>
      </w:r>
      <w:r>
        <w:rPr>
          <w:rFonts w:ascii="Times New Roman" w:eastAsia="Calibri" w:hAnsi="Times New Roman" w:cs="Times New Roman"/>
          <w:sz w:val="24"/>
          <w:szCs w:val="24"/>
        </w:rPr>
        <w:t> </w:t>
      </w:r>
      <w:r w:rsidRPr="00026232">
        <w:rPr>
          <w:rFonts w:ascii="Times New Roman" w:eastAsia="Calibri" w:hAnsi="Times New Roman" w:cs="Times New Roman"/>
          <w:sz w:val="24"/>
          <w:szCs w:val="24"/>
        </w:rPr>
        <w:t xml:space="preserve">12 miesięcy. </w:t>
      </w:r>
      <w:r>
        <w:rPr>
          <w:rFonts w:ascii="Times New Roman" w:eastAsia="Calibri" w:hAnsi="Times New Roman" w:cs="Times New Roman"/>
          <w:sz w:val="24"/>
          <w:szCs w:val="24"/>
        </w:rPr>
        <w:t xml:space="preserve">Art. 17 </w:t>
      </w:r>
      <w:r>
        <w:rPr>
          <w:rFonts w:ascii="Times New Roman" w:hAnsi="Times New Roman" w:cs="Times New Roman"/>
          <w:sz w:val="24"/>
          <w:szCs w:val="24"/>
        </w:rPr>
        <w:t>d</w:t>
      </w:r>
      <w:r w:rsidRPr="00026232">
        <w:rPr>
          <w:rFonts w:ascii="Times New Roman" w:hAnsi="Times New Roman" w:cs="Times New Roman"/>
          <w:sz w:val="24"/>
          <w:szCs w:val="24"/>
        </w:rPr>
        <w:t>yrektyw</w:t>
      </w:r>
      <w:r>
        <w:rPr>
          <w:rFonts w:ascii="Times New Roman" w:hAnsi="Times New Roman" w:cs="Times New Roman"/>
          <w:sz w:val="24"/>
          <w:szCs w:val="24"/>
        </w:rPr>
        <w:t>y</w:t>
      </w:r>
      <w:r w:rsidRPr="00026232">
        <w:rPr>
          <w:rFonts w:ascii="Times New Roman" w:hAnsi="Times New Roman" w:cs="Times New Roman"/>
          <w:sz w:val="24"/>
          <w:szCs w:val="24"/>
        </w:rPr>
        <w:t xml:space="preserve">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wyłącza uznaniowość instytucji </w:t>
      </w:r>
      <w:r w:rsidRPr="00026232">
        <w:rPr>
          <w:rFonts w:ascii="Times New Roman" w:eastAsia="Calibri" w:hAnsi="Times New Roman" w:cs="Times New Roman"/>
          <w:sz w:val="24"/>
          <w:szCs w:val="24"/>
        </w:rPr>
        <w:t>kredytowej emitującej obligacje zabezpieczone w zakresie przedłużenia terminu ich zapadalności. Proponowan</w:t>
      </w:r>
      <w:r>
        <w:rPr>
          <w:rFonts w:ascii="Times New Roman" w:eastAsia="Calibri" w:hAnsi="Times New Roman" w:cs="Times New Roman"/>
          <w:sz w:val="24"/>
          <w:szCs w:val="24"/>
        </w:rPr>
        <w:t>e brzmienie</w:t>
      </w:r>
      <w:r w:rsidRPr="00026232">
        <w:rPr>
          <w:rFonts w:ascii="Times New Roman" w:eastAsia="Calibri" w:hAnsi="Times New Roman" w:cs="Times New Roman"/>
          <w:sz w:val="24"/>
          <w:szCs w:val="24"/>
        </w:rPr>
        <w:t xml:space="preserve"> art. </w:t>
      </w:r>
      <w:r>
        <w:rPr>
          <w:rFonts w:ascii="Times New Roman" w:eastAsia="Calibri" w:hAnsi="Times New Roman" w:cs="Times New Roman"/>
          <w:sz w:val="24"/>
          <w:szCs w:val="24"/>
        </w:rPr>
        <w:t>7b</w:t>
      </w:r>
      <w:r w:rsidRPr="000262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Ustawy </w:t>
      </w:r>
      <w:r w:rsidRPr="00026232">
        <w:rPr>
          <w:rFonts w:ascii="Times New Roman" w:eastAsia="Calibri" w:hAnsi="Times New Roman" w:cs="Times New Roman"/>
          <w:sz w:val="24"/>
          <w:szCs w:val="24"/>
        </w:rPr>
        <w:t xml:space="preserve">przesądza </w:t>
      </w:r>
      <w:r>
        <w:rPr>
          <w:rFonts w:ascii="Times New Roman" w:eastAsia="Calibri" w:hAnsi="Times New Roman" w:cs="Times New Roman"/>
          <w:sz w:val="24"/>
          <w:szCs w:val="24"/>
        </w:rPr>
        <w:t>o</w:t>
      </w:r>
      <w:r w:rsidRPr="00026232">
        <w:rPr>
          <w:rFonts w:ascii="Times New Roman" w:eastAsia="Calibri" w:hAnsi="Times New Roman" w:cs="Times New Roman"/>
          <w:sz w:val="24"/>
          <w:szCs w:val="24"/>
        </w:rPr>
        <w:t xml:space="preserve"> możliwości przedłużenia terminu wykupu listów zastawnych</w:t>
      </w:r>
      <w:r>
        <w:rPr>
          <w:rFonts w:ascii="Times New Roman" w:eastAsia="Calibri" w:hAnsi="Times New Roman" w:cs="Times New Roman"/>
          <w:sz w:val="24"/>
          <w:szCs w:val="24"/>
        </w:rPr>
        <w:t xml:space="preserve"> w określonym przypadku</w:t>
      </w:r>
      <w:r w:rsidRPr="00026232">
        <w:rPr>
          <w:rFonts w:ascii="Times New Roman" w:eastAsia="Calibri" w:hAnsi="Times New Roman" w:cs="Times New Roman"/>
          <w:sz w:val="24"/>
          <w:szCs w:val="24"/>
        </w:rPr>
        <w:t xml:space="preserve">, potwierdzając tym samym przywołane </w:t>
      </w:r>
      <w:r>
        <w:rPr>
          <w:rFonts w:ascii="Times New Roman" w:eastAsia="Calibri" w:hAnsi="Times New Roman" w:cs="Times New Roman"/>
          <w:sz w:val="24"/>
          <w:szCs w:val="24"/>
        </w:rPr>
        <w:t>przepisy</w:t>
      </w:r>
      <w:r w:rsidRPr="00026232">
        <w:rPr>
          <w:rFonts w:ascii="Times New Roman" w:eastAsia="Calibri" w:hAnsi="Times New Roman" w:cs="Times New Roman"/>
          <w:sz w:val="24"/>
          <w:szCs w:val="24"/>
        </w:rPr>
        <w:t xml:space="preserve"> dyrektywy.</w:t>
      </w:r>
    </w:p>
    <w:p w14:paraId="63E64058"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9F6666">
        <w:rPr>
          <w:rFonts w:ascii="Times New Roman" w:hAnsi="Times New Roman" w:cs="Times New Roman"/>
          <w:sz w:val="24"/>
          <w:szCs w:val="24"/>
        </w:rPr>
        <w:t xml:space="preserve">Projektowane brzmienie </w:t>
      </w:r>
      <w:r w:rsidRPr="007066EF">
        <w:rPr>
          <w:rFonts w:ascii="Times New Roman" w:hAnsi="Times New Roman" w:cs="Times New Roman"/>
          <w:b/>
          <w:sz w:val="24"/>
          <w:szCs w:val="24"/>
        </w:rPr>
        <w:t>art.</w:t>
      </w:r>
      <w:r w:rsidRPr="00026232">
        <w:rPr>
          <w:rFonts w:ascii="Times New Roman" w:hAnsi="Times New Roman" w:cs="Times New Roman"/>
          <w:b/>
          <w:sz w:val="24"/>
          <w:szCs w:val="24"/>
        </w:rPr>
        <w:t xml:space="preserve"> 7</w:t>
      </w:r>
      <w:r>
        <w:rPr>
          <w:rFonts w:ascii="Times New Roman" w:hAnsi="Times New Roman" w:cs="Times New Roman"/>
          <w:b/>
          <w:sz w:val="24"/>
          <w:szCs w:val="24"/>
        </w:rPr>
        <w:t>c</w:t>
      </w:r>
      <w:r w:rsidRPr="00026232">
        <w:rPr>
          <w:rFonts w:ascii="Times New Roman" w:hAnsi="Times New Roman" w:cs="Times New Roman"/>
          <w:sz w:val="24"/>
          <w:szCs w:val="24"/>
        </w:rPr>
        <w:t xml:space="preserve"> </w:t>
      </w:r>
      <w:r w:rsidRPr="007066EF">
        <w:rPr>
          <w:rFonts w:ascii="Times New Roman" w:hAnsi="Times New Roman" w:cs="Times New Roman"/>
          <w:sz w:val="24"/>
          <w:szCs w:val="24"/>
        </w:rPr>
        <w:t>Ustawy</w:t>
      </w:r>
      <w:r>
        <w:rPr>
          <w:rFonts w:ascii="Times New Roman" w:hAnsi="Times New Roman" w:cs="Times New Roman"/>
          <w:sz w:val="24"/>
          <w:szCs w:val="24"/>
        </w:rPr>
        <w:t xml:space="preserve"> </w:t>
      </w:r>
      <w:r w:rsidRPr="00026232">
        <w:rPr>
          <w:rFonts w:ascii="Times New Roman" w:hAnsi="Times New Roman" w:cs="Times New Roman"/>
          <w:sz w:val="24"/>
          <w:szCs w:val="24"/>
        </w:rPr>
        <w:t xml:space="preserve">stanowi implementację art. 27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zgodnie z którym państwa członkowskie mogą wprowadzić przepisy zezwalające na stosowanie przez emitentów oznaczeń europejskich w połączeniu z krajowymi nazwami i oznaczeniami obligacji zabezpieczonych. Projektowany przepis umożliwia krajowym bankom hipotecznym stosowanie oznaczeń „</w:t>
      </w:r>
      <w:r w:rsidRPr="00026232">
        <w:rPr>
          <w:rFonts w:ascii="Times New Roman" w:hAnsi="Times New Roman" w:cs="Times New Roman"/>
          <w:i/>
          <w:sz w:val="24"/>
          <w:szCs w:val="24"/>
        </w:rPr>
        <w:t>europejska obligacja zabezpieczona</w:t>
      </w:r>
      <w:r w:rsidRPr="00026232">
        <w:rPr>
          <w:rFonts w:ascii="Times New Roman" w:hAnsi="Times New Roman" w:cs="Times New Roman"/>
          <w:sz w:val="24"/>
          <w:szCs w:val="24"/>
        </w:rPr>
        <w:t>” i „</w:t>
      </w:r>
      <w:r w:rsidRPr="00026232">
        <w:rPr>
          <w:rFonts w:ascii="Times New Roman" w:hAnsi="Times New Roman" w:cs="Times New Roman"/>
          <w:i/>
          <w:sz w:val="24"/>
          <w:szCs w:val="24"/>
        </w:rPr>
        <w:t xml:space="preserve">europejska </w:t>
      </w:r>
      <w:r w:rsidRPr="00026232">
        <w:rPr>
          <w:rFonts w:ascii="Times New Roman" w:hAnsi="Times New Roman" w:cs="Times New Roman"/>
          <w:i/>
          <w:sz w:val="24"/>
          <w:szCs w:val="24"/>
        </w:rPr>
        <w:lastRenderedPageBreak/>
        <w:t>obligacja zabezpieczona (premium)</w:t>
      </w:r>
      <w:r w:rsidRPr="00026232">
        <w:rPr>
          <w:rFonts w:ascii="Times New Roman" w:hAnsi="Times New Roman" w:cs="Times New Roman"/>
          <w:sz w:val="24"/>
          <w:szCs w:val="24"/>
        </w:rPr>
        <w:t xml:space="preserve">” na warunkach określonych w projektowanej ustawie. Jak wskazuje się w motywie nr 17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oznaczenia te mają na celu ułatwienie inwestorom oceny jakości obligacji zabezpieczonych i tym samym zwiększenie ich atrakcyjności jako instrumentu inwestycyjnego zarówno w Unii</w:t>
      </w:r>
      <w:r>
        <w:rPr>
          <w:rFonts w:ascii="Times New Roman" w:hAnsi="Times New Roman" w:cs="Times New Roman"/>
          <w:sz w:val="24"/>
          <w:szCs w:val="24"/>
        </w:rPr>
        <w:t xml:space="preserve"> Europejskiej</w:t>
      </w:r>
      <w:r w:rsidRPr="00026232">
        <w:rPr>
          <w:rFonts w:ascii="Times New Roman" w:hAnsi="Times New Roman" w:cs="Times New Roman"/>
          <w:sz w:val="24"/>
          <w:szCs w:val="24"/>
        </w:rPr>
        <w:t xml:space="preserve">, jak i poza nią. </w:t>
      </w:r>
    </w:p>
    <w:p w14:paraId="133F574D" w14:textId="77777777" w:rsidR="00EF441C"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Zmian</w:t>
      </w:r>
      <w:r>
        <w:rPr>
          <w:rFonts w:ascii="Times New Roman" w:hAnsi="Times New Roman" w:cs="Times New Roman"/>
          <w:sz w:val="24"/>
          <w:szCs w:val="24"/>
        </w:rPr>
        <w:t>y</w:t>
      </w:r>
      <w:r w:rsidRPr="00026232">
        <w:rPr>
          <w:rFonts w:ascii="Times New Roman" w:hAnsi="Times New Roman" w:cs="Times New Roman"/>
          <w:sz w:val="24"/>
          <w:szCs w:val="24"/>
        </w:rPr>
        <w:t xml:space="preserve"> w </w:t>
      </w:r>
      <w:r w:rsidRPr="00026232">
        <w:rPr>
          <w:rFonts w:ascii="Times New Roman" w:hAnsi="Times New Roman" w:cs="Times New Roman"/>
          <w:b/>
          <w:sz w:val="24"/>
          <w:szCs w:val="24"/>
        </w:rPr>
        <w:t xml:space="preserve">art. 12 </w:t>
      </w:r>
      <w:r w:rsidRPr="009F6666">
        <w:rPr>
          <w:rFonts w:ascii="Times New Roman" w:hAnsi="Times New Roman" w:cs="Times New Roman"/>
          <w:sz w:val="24"/>
          <w:szCs w:val="24"/>
        </w:rPr>
        <w:t>Ustawy (w zakresie pkt 2 i 5</w:t>
      </w:r>
      <w:r>
        <w:rPr>
          <w:rFonts w:ascii="Times New Roman" w:hAnsi="Times New Roman" w:cs="Times New Roman"/>
          <w:b/>
          <w:sz w:val="24"/>
          <w:szCs w:val="24"/>
        </w:rPr>
        <w:t xml:space="preserve">) </w:t>
      </w:r>
      <w:r w:rsidRPr="00026232">
        <w:rPr>
          <w:rFonts w:ascii="Times New Roman" w:hAnsi="Times New Roman" w:cs="Times New Roman"/>
          <w:sz w:val="24"/>
          <w:szCs w:val="24"/>
        </w:rPr>
        <w:t>ma</w:t>
      </w:r>
      <w:r>
        <w:rPr>
          <w:rFonts w:ascii="Times New Roman" w:hAnsi="Times New Roman" w:cs="Times New Roman"/>
          <w:sz w:val="24"/>
          <w:szCs w:val="24"/>
        </w:rPr>
        <w:t>ją</w:t>
      </w:r>
      <w:r w:rsidRPr="00026232">
        <w:rPr>
          <w:rFonts w:ascii="Times New Roman" w:hAnsi="Times New Roman" w:cs="Times New Roman"/>
          <w:sz w:val="24"/>
          <w:szCs w:val="24"/>
        </w:rPr>
        <w:t xml:space="preserve"> charakter </w:t>
      </w:r>
      <w:r>
        <w:rPr>
          <w:rFonts w:ascii="Times New Roman" w:hAnsi="Times New Roman" w:cs="Times New Roman"/>
          <w:sz w:val="24"/>
          <w:szCs w:val="24"/>
        </w:rPr>
        <w:t xml:space="preserve">dostosowujący do projektowanej zmiany art. 3 ust. 2 Ustawy (dodanie punktu 4). </w:t>
      </w:r>
    </w:p>
    <w:p w14:paraId="0004DB9A" w14:textId="77777777" w:rsidR="00EF441C" w:rsidRPr="00026232" w:rsidRDefault="00EF441C" w:rsidP="00EF441C">
      <w:pPr>
        <w:pStyle w:val="ZARTzmartartykuempunktem"/>
        <w:spacing w:after="200"/>
        <w:ind w:left="0" w:firstLine="0"/>
        <w:rPr>
          <w:rFonts w:ascii="Times New Roman" w:hAnsi="Times New Roman" w:cs="Times New Roman"/>
          <w:szCs w:val="24"/>
        </w:rPr>
      </w:pPr>
      <w:r w:rsidRPr="00026232">
        <w:rPr>
          <w:rFonts w:ascii="Times New Roman" w:hAnsi="Times New Roman" w:cs="Times New Roman"/>
          <w:szCs w:val="24"/>
        </w:rPr>
        <w:t xml:space="preserve">Dodawany </w:t>
      </w:r>
      <w:r>
        <w:rPr>
          <w:rFonts w:ascii="Times New Roman" w:hAnsi="Times New Roman" w:cs="Times New Roman"/>
          <w:szCs w:val="24"/>
        </w:rPr>
        <w:t xml:space="preserve">do Ustawy </w:t>
      </w:r>
      <w:r w:rsidRPr="0045095B">
        <w:rPr>
          <w:rFonts w:ascii="Times New Roman" w:hAnsi="Times New Roman" w:cs="Times New Roman"/>
          <w:b/>
          <w:szCs w:val="24"/>
        </w:rPr>
        <w:t>art. 12a ust. 1</w:t>
      </w:r>
      <w:r w:rsidRPr="00026232">
        <w:rPr>
          <w:rFonts w:ascii="Times New Roman" w:hAnsi="Times New Roman" w:cs="Times New Roman"/>
          <w:szCs w:val="24"/>
        </w:rPr>
        <w:t xml:space="preserve"> konstytuuje zasadę, </w:t>
      </w:r>
      <w:r>
        <w:rPr>
          <w:rFonts w:ascii="Times New Roman" w:hAnsi="Times New Roman" w:cs="Times New Roman"/>
          <w:szCs w:val="24"/>
        </w:rPr>
        <w:t xml:space="preserve">zgodnie z którą </w:t>
      </w:r>
      <w:r w:rsidRPr="00026232">
        <w:rPr>
          <w:rFonts w:ascii="Times New Roman" w:hAnsi="Times New Roman" w:cs="Times New Roman"/>
          <w:szCs w:val="24"/>
        </w:rPr>
        <w:t xml:space="preserve">emitowanie listów zastawnych przez bank hipoteczny dokonywane jest w ramach programu emisji listów zastawnych. Program emisji listów zastawnych, na podstawie </w:t>
      </w:r>
      <w:r>
        <w:rPr>
          <w:rFonts w:ascii="Times New Roman" w:hAnsi="Times New Roman" w:cs="Times New Roman"/>
          <w:szCs w:val="24"/>
        </w:rPr>
        <w:t xml:space="preserve">projektowanego brzmienia </w:t>
      </w:r>
      <w:r w:rsidRPr="0045095B">
        <w:rPr>
          <w:rFonts w:ascii="Times New Roman" w:hAnsi="Times New Roman" w:cs="Times New Roman"/>
          <w:b/>
          <w:szCs w:val="24"/>
        </w:rPr>
        <w:t>art. 12a ust. 2</w:t>
      </w:r>
      <w:r>
        <w:rPr>
          <w:rFonts w:ascii="Times New Roman" w:hAnsi="Times New Roman" w:cs="Times New Roman"/>
          <w:b/>
          <w:szCs w:val="24"/>
        </w:rPr>
        <w:t xml:space="preserve"> </w:t>
      </w:r>
      <w:r w:rsidRPr="009F6666">
        <w:rPr>
          <w:rFonts w:ascii="Times New Roman" w:hAnsi="Times New Roman" w:cs="Times New Roman"/>
          <w:szCs w:val="24"/>
        </w:rPr>
        <w:t>Ustawy</w:t>
      </w:r>
      <w:r w:rsidRPr="000C6EF3">
        <w:rPr>
          <w:rFonts w:ascii="Times New Roman" w:hAnsi="Times New Roman" w:cs="Times New Roman"/>
          <w:szCs w:val="24"/>
        </w:rPr>
        <w:t>,</w:t>
      </w:r>
      <w:r w:rsidRPr="00026232">
        <w:rPr>
          <w:rFonts w:ascii="Times New Roman" w:hAnsi="Times New Roman" w:cs="Times New Roman"/>
          <w:szCs w:val="24"/>
        </w:rPr>
        <w:t xml:space="preserve"> obejmuje jedną lub więcej emisji hipotecznych lub publicznych listów zastawnych, dla których prowadzony jest odrębnie rejestr zabezpieczenia listów zastawnych</w:t>
      </w:r>
      <w:r>
        <w:rPr>
          <w:rFonts w:ascii="Times New Roman" w:hAnsi="Times New Roman" w:cs="Times New Roman"/>
          <w:szCs w:val="24"/>
        </w:rPr>
        <w:t>. Jednocześnie zgodnie z projektowanym brzmieniem art. 12a ust. 3 Ustawy wskazuje się, że w</w:t>
      </w:r>
      <w:r>
        <w:t xml:space="preserve">arunki programów emisji listów zastawnych są określane w zezwoleniu </w:t>
      </w:r>
      <w:r w:rsidRPr="006C2A02">
        <w:t>Komisji Nadzoru Finansowego</w:t>
      </w:r>
      <w:r>
        <w:t xml:space="preserve">. Powyższe cechy programu emisji pozostają w zgodzie z definicją </w:t>
      </w:r>
      <w:r w:rsidRPr="00026232">
        <w:rPr>
          <w:rFonts w:ascii="Times New Roman" w:hAnsi="Times New Roman" w:cs="Times New Roman"/>
          <w:szCs w:val="24"/>
        </w:rPr>
        <w:t xml:space="preserve">programu emisji obligacji zabezpieczonych </w:t>
      </w:r>
      <w:r>
        <w:rPr>
          <w:rFonts w:ascii="Times New Roman" w:hAnsi="Times New Roman" w:cs="Times New Roman"/>
          <w:szCs w:val="24"/>
        </w:rPr>
        <w:t xml:space="preserve">sformułowaną </w:t>
      </w:r>
      <w:r w:rsidRPr="00026232">
        <w:rPr>
          <w:rFonts w:ascii="Times New Roman" w:hAnsi="Times New Roman" w:cs="Times New Roman"/>
          <w:szCs w:val="24"/>
        </w:rPr>
        <w:t>w art. 3 pkt 2 dyrektywy</w:t>
      </w:r>
      <w:r>
        <w:rPr>
          <w:rFonts w:ascii="Times New Roman" w:hAnsi="Times New Roman" w:cs="Times New Roman"/>
          <w:szCs w:val="24"/>
        </w:rPr>
        <w:t xml:space="preserve"> 2019/2162</w:t>
      </w:r>
      <w:r w:rsidRPr="00026232">
        <w:rPr>
          <w:rFonts w:ascii="Times New Roman" w:hAnsi="Times New Roman" w:cs="Times New Roman"/>
          <w:szCs w:val="24"/>
        </w:rPr>
        <w:t>.</w:t>
      </w:r>
    </w:p>
    <w:p w14:paraId="55694004" w14:textId="77777777" w:rsidR="00EF441C" w:rsidRPr="00026232"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t>Projektowana z</w:t>
      </w:r>
      <w:r w:rsidRPr="00026232">
        <w:rPr>
          <w:rFonts w:ascii="Times New Roman" w:hAnsi="Times New Roman" w:cs="Times New Roman"/>
          <w:sz w:val="24"/>
          <w:szCs w:val="24"/>
        </w:rPr>
        <w:t xml:space="preserve">miana </w:t>
      </w:r>
      <w:r w:rsidRPr="00026232">
        <w:rPr>
          <w:rFonts w:ascii="Times New Roman" w:hAnsi="Times New Roman" w:cs="Times New Roman"/>
          <w:b/>
          <w:sz w:val="24"/>
          <w:szCs w:val="24"/>
        </w:rPr>
        <w:t>art. 14</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ma charakter </w:t>
      </w:r>
      <w:r w:rsidRPr="00026232">
        <w:rPr>
          <w:rFonts w:ascii="Times New Roman" w:hAnsi="Times New Roman" w:cs="Times New Roman"/>
          <w:sz w:val="24"/>
          <w:szCs w:val="24"/>
        </w:rPr>
        <w:t>porządkow</w:t>
      </w:r>
      <w:r>
        <w:rPr>
          <w:rFonts w:ascii="Times New Roman" w:hAnsi="Times New Roman" w:cs="Times New Roman"/>
          <w:sz w:val="24"/>
          <w:szCs w:val="24"/>
        </w:rPr>
        <w:t>y</w:t>
      </w:r>
      <w:r w:rsidRPr="00026232">
        <w:rPr>
          <w:rFonts w:ascii="Times New Roman" w:hAnsi="Times New Roman" w:cs="Times New Roman"/>
          <w:sz w:val="24"/>
          <w:szCs w:val="24"/>
        </w:rPr>
        <w:t xml:space="preserve"> i wynika z wprowadzenia </w:t>
      </w:r>
      <w:r>
        <w:rPr>
          <w:rFonts w:ascii="Times New Roman" w:hAnsi="Times New Roman" w:cs="Times New Roman"/>
          <w:sz w:val="24"/>
          <w:szCs w:val="24"/>
        </w:rPr>
        <w:t>do Ustawy</w:t>
      </w:r>
      <w:r w:rsidRPr="00026232">
        <w:rPr>
          <w:rFonts w:ascii="Times New Roman" w:hAnsi="Times New Roman" w:cs="Times New Roman"/>
          <w:sz w:val="24"/>
          <w:szCs w:val="24"/>
        </w:rPr>
        <w:t xml:space="preserve"> skrótu dla </w:t>
      </w:r>
      <w:r w:rsidRPr="00026232">
        <w:rPr>
          <w:rFonts w:ascii="Times New Roman" w:eastAsia="Times New Roman" w:hAnsi="Times New Roman" w:cs="Times New Roman"/>
          <w:sz w:val="24"/>
          <w:szCs w:val="24"/>
        </w:rPr>
        <w:t>rozporządzenia Parlamentu Europejskiego i Rady (UE) nr 575/2013 z dnia 26 czerwca 2013 r. w sprawie wymogów ostrożnościowych dla instytucji kredytowych i firm inwestycyjnych, zmieniającego rozporządzenie (UE) n</w:t>
      </w:r>
      <w:r>
        <w:rPr>
          <w:rFonts w:ascii="Times New Roman" w:eastAsia="Times New Roman" w:hAnsi="Times New Roman" w:cs="Times New Roman"/>
          <w:sz w:val="24"/>
          <w:szCs w:val="24"/>
        </w:rPr>
        <w:t>r 648/2012 (Dz. Urz. UE L 176 z </w:t>
      </w:r>
      <w:r w:rsidRPr="00026232">
        <w:rPr>
          <w:rFonts w:ascii="Times New Roman" w:eastAsia="Times New Roman" w:hAnsi="Times New Roman" w:cs="Times New Roman"/>
          <w:sz w:val="24"/>
          <w:szCs w:val="24"/>
        </w:rPr>
        <w:t>27.06.2013, str. 1, z</w:t>
      </w:r>
      <w:r>
        <w:rPr>
          <w:rFonts w:ascii="Times New Roman" w:eastAsia="Times New Roman" w:hAnsi="Times New Roman" w:cs="Times New Roman"/>
          <w:sz w:val="24"/>
          <w:szCs w:val="24"/>
        </w:rPr>
        <w:t> </w:t>
      </w:r>
      <w:r w:rsidRPr="00026232">
        <w:rPr>
          <w:rFonts w:ascii="Times New Roman" w:eastAsia="Times New Roman" w:hAnsi="Times New Roman" w:cs="Times New Roman"/>
          <w:sz w:val="24"/>
          <w:szCs w:val="24"/>
        </w:rPr>
        <w:t>późn. zm.</w:t>
      </w:r>
      <w:r>
        <w:rPr>
          <w:rFonts w:ascii="Times New Roman" w:hAnsi="Times New Roman" w:cs="Times New Roman"/>
          <w:sz w:val="24"/>
          <w:szCs w:val="24"/>
        </w:rPr>
        <w:t>).</w:t>
      </w:r>
    </w:p>
    <w:p w14:paraId="41C9C594" w14:textId="77777777" w:rsidR="00EF441C"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W </w:t>
      </w:r>
      <w:r>
        <w:rPr>
          <w:rFonts w:ascii="Times New Roman" w:hAnsi="Times New Roman" w:cs="Times New Roman"/>
          <w:sz w:val="24"/>
          <w:szCs w:val="24"/>
        </w:rPr>
        <w:t xml:space="preserve">projektowanym brzmieniu </w:t>
      </w:r>
      <w:r w:rsidRPr="00026232">
        <w:rPr>
          <w:rFonts w:ascii="Times New Roman" w:hAnsi="Times New Roman" w:cs="Times New Roman"/>
          <w:b/>
          <w:sz w:val="24"/>
          <w:szCs w:val="24"/>
        </w:rPr>
        <w:t xml:space="preserve">art. 15a pkt 2 </w:t>
      </w:r>
      <w:r w:rsidRPr="009F6666">
        <w:rPr>
          <w:rFonts w:ascii="Times New Roman" w:hAnsi="Times New Roman" w:cs="Times New Roman"/>
          <w:sz w:val="24"/>
          <w:szCs w:val="24"/>
        </w:rPr>
        <w:t>Ustawy</w:t>
      </w:r>
      <w:r>
        <w:rPr>
          <w:rFonts w:ascii="Times New Roman" w:hAnsi="Times New Roman" w:cs="Times New Roman"/>
          <w:b/>
          <w:sz w:val="24"/>
          <w:szCs w:val="24"/>
        </w:rPr>
        <w:t xml:space="preserve"> </w:t>
      </w:r>
      <w:r w:rsidRPr="00026232">
        <w:rPr>
          <w:rFonts w:ascii="Times New Roman" w:hAnsi="Times New Roman" w:cs="Times New Roman"/>
          <w:sz w:val="24"/>
          <w:szCs w:val="24"/>
        </w:rPr>
        <w:t xml:space="preserve">doprecyzowano, że bank hipoteczny, w </w:t>
      </w:r>
      <w:r>
        <w:rPr>
          <w:rFonts w:ascii="Times New Roman" w:hAnsi="Times New Roman" w:cs="Times New Roman"/>
          <w:sz w:val="24"/>
          <w:szCs w:val="24"/>
        </w:rPr>
        <w:t> </w:t>
      </w:r>
      <w:r w:rsidRPr="00026232">
        <w:rPr>
          <w:rFonts w:ascii="Times New Roman" w:hAnsi="Times New Roman" w:cs="Times New Roman"/>
          <w:sz w:val="24"/>
          <w:szCs w:val="24"/>
        </w:rPr>
        <w:t>ramach wykonywania czynności ograniczających ryzyko walutowe i ryzyko stopy procentowej</w:t>
      </w:r>
      <w:r>
        <w:rPr>
          <w:rFonts w:ascii="Times New Roman" w:hAnsi="Times New Roman" w:cs="Times New Roman"/>
          <w:sz w:val="24"/>
          <w:szCs w:val="24"/>
        </w:rPr>
        <w:t>,</w:t>
      </w:r>
      <w:r w:rsidRPr="00026232">
        <w:rPr>
          <w:rFonts w:ascii="Times New Roman" w:hAnsi="Times New Roman" w:cs="Times New Roman"/>
          <w:sz w:val="24"/>
          <w:szCs w:val="24"/>
        </w:rPr>
        <w:t xml:space="preserve"> może m. in. zawrzeć umowę o instrument pochodny, o którym mowa w art. 3 pkt 28a ustawy z dnia 29 lipca 2005 r. o obrocie instrumentami finansowymi (Dz.</w:t>
      </w:r>
      <w:r>
        <w:rPr>
          <w:rFonts w:ascii="Times New Roman" w:hAnsi="Times New Roman" w:cs="Times New Roman"/>
          <w:sz w:val="24"/>
          <w:szCs w:val="24"/>
        </w:rPr>
        <w:t xml:space="preserve"> </w:t>
      </w:r>
      <w:r w:rsidRPr="00026232">
        <w:rPr>
          <w:rFonts w:ascii="Times New Roman" w:hAnsi="Times New Roman" w:cs="Times New Roman"/>
          <w:sz w:val="24"/>
          <w:szCs w:val="24"/>
        </w:rPr>
        <w:t>U. z 2020 r. poz. 89</w:t>
      </w:r>
      <w:r>
        <w:rPr>
          <w:rFonts w:ascii="Times New Roman" w:hAnsi="Times New Roman" w:cs="Times New Roman"/>
          <w:sz w:val="24"/>
          <w:szCs w:val="24"/>
        </w:rPr>
        <w:t>, z późn. zm.</w:t>
      </w:r>
      <w:r w:rsidRPr="00026232">
        <w:rPr>
          <w:rFonts w:ascii="Times New Roman" w:hAnsi="Times New Roman" w:cs="Times New Roman"/>
          <w:sz w:val="24"/>
          <w:szCs w:val="24"/>
        </w:rPr>
        <w:t>).</w:t>
      </w:r>
      <w:r>
        <w:rPr>
          <w:rFonts w:ascii="Times New Roman" w:hAnsi="Times New Roman" w:cs="Times New Roman"/>
          <w:sz w:val="24"/>
          <w:szCs w:val="24"/>
        </w:rPr>
        <w:t xml:space="preserve"> Zmiana wskazuje jedynie na uprawnienie banków do zawierania umów o instrument pochodny na potrzeby wykonywanych czynności, tym samym sankcjonuje funkcjonującą w obrocie praktykę. </w:t>
      </w:r>
    </w:p>
    <w:p w14:paraId="74AD8439" w14:textId="77777777" w:rsidR="00EF441C" w:rsidRPr="00026232"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t>Projektowane brzmienie</w:t>
      </w:r>
      <w:r w:rsidRPr="002A3329">
        <w:rPr>
          <w:rFonts w:ascii="Times New Roman" w:hAnsi="Times New Roman" w:cs="Times New Roman"/>
          <w:b/>
          <w:sz w:val="24"/>
          <w:szCs w:val="24"/>
        </w:rPr>
        <w:t xml:space="preserve"> art. 18</w:t>
      </w:r>
      <w:r>
        <w:rPr>
          <w:rFonts w:ascii="Times New Roman" w:hAnsi="Times New Roman" w:cs="Times New Roman"/>
          <w:sz w:val="24"/>
          <w:szCs w:val="24"/>
        </w:rPr>
        <w:t xml:space="preserve"> </w:t>
      </w:r>
      <w:r w:rsidRPr="002A3329">
        <w:rPr>
          <w:rFonts w:ascii="Times New Roman" w:hAnsi="Times New Roman" w:cs="Times New Roman"/>
          <w:b/>
          <w:sz w:val="24"/>
          <w:szCs w:val="24"/>
        </w:rPr>
        <w:t xml:space="preserve">ust. </w:t>
      </w:r>
      <w:r>
        <w:rPr>
          <w:rFonts w:ascii="Times New Roman" w:hAnsi="Times New Roman" w:cs="Times New Roman"/>
          <w:b/>
          <w:sz w:val="24"/>
          <w:szCs w:val="24"/>
        </w:rPr>
        <w:t xml:space="preserve">2a </w:t>
      </w:r>
      <w:r w:rsidRPr="004C3DA4">
        <w:rPr>
          <w:rFonts w:ascii="Times New Roman" w:hAnsi="Times New Roman" w:cs="Times New Roman"/>
          <w:sz w:val="24"/>
          <w:szCs w:val="24"/>
        </w:rPr>
        <w:t>Ustawy</w:t>
      </w:r>
      <w:r>
        <w:rPr>
          <w:rFonts w:ascii="Times New Roman" w:hAnsi="Times New Roman" w:cs="Times New Roman"/>
          <w:b/>
          <w:sz w:val="24"/>
          <w:szCs w:val="24"/>
        </w:rPr>
        <w:t xml:space="preserve"> </w:t>
      </w:r>
      <w:r>
        <w:rPr>
          <w:rFonts w:ascii="Times New Roman" w:hAnsi="Times New Roman" w:cs="Times New Roman"/>
          <w:sz w:val="24"/>
          <w:szCs w:val="24"/>
        </w:rPr>
        <w:t>wskazuje, iż p</w:t>
      </w:r>
      <w:r w:rsidRPr="000C6EF3">
        <w:rPr>
          <w:rFonts w:ascii="Times New Roman" w:hAnsi="Times New Roman" w:cs="Times New Roman"/>
          <w:sz w:val="24"/>
          <w:szCs w:val="24"/>
        </w:rPr>
        <w:t>rzy spełnianiu wymogów, o których mowa w art. 18</w:t>
      </w:r>
      <w:r>
        <w:rPr>
          <w:rFonts w:ascii="Times New Roman" w:hAnsi="Times New Roman" w:cs="Times New Roman"/>
          <w:sz w:val="24"/>
          <w:szCs w:val="24"/>
        </w:rPr>
        <w:t xml:space="preserve"> ust. 1-2 Ustawy,</w:t>
      </w:r>
      <w:r w:rsidRPr="000C6EF3">
        <w:rPr>
          <w:rFonts w:ascii="Times New Roman" w:hAnsi="Times New Roman" w:cs="Times New Roman"/>
          <w:sz w:val="24"/>
          <w:szCs w:val="24"/>
        </w:rPr>
        <w:t xml:space="preserve"> nie uwzględnia się aktywów, w przypadku których nastąpiło niewykonanie zobowiązania w  rozumieniu art. 178 rozporządzenia (UE) nr </w:t>
      </w:r>
      <w:r w:rsidRPr="000C6EF3">
        <w:rPr>
          <w:rFonts w:ascii="Times New Roman" w:hAnsi="Times New Roman" w:cs="Times New Roman"/>
          <w:sz w:val="24"/>
          <w:szCs w:val="24"/>
        </w:rPr>
        <w:lastRenderedPageBreak/>
        <w:t xml:space="preserve">575/2013. </w:t>
      </w:r>
      <w:r>
        <w:rPr>
          <w:rFonts w:ascii="Times New Roman" w:hAnsi="Times New Roman" w:cs="Times New Roman"/>
          <w:sz w:val="24"/>
          <w:szCs w:val="24"/>
        </w:rPr>
        <w:t>Projektowany przepis ma na celu implementację regulacji zawartej w art. 15 ust. 4 zdanie ostanie (po wyliczeniu) dyrektywy 2019/2062.</w:t>
      </w:r>
    </w:p>
    <w:p w14:paraId="3FB66728"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W </w:t>
      </w:r>
      <w:r>
        <w:rPr>
          <w:rFonts w:ascii="Times New Roman" w:hAnsi="Times New Roman" w:cs="Times New Roman"/>
          <w:sz w:val="24"/>
          <w:szCs w:val="24"/>
        </w:rPr>
        <w:t xml:space="preserve">projektowanym brzmieniu </w:t>
      </w:r>
      <w:r w:rsidRPr="00026232">
        <w:rPr>
          <w:rFonts w:ascii="Times New Roman" w:hAnsi="Times New Roman" w:cs="Times New Roman"/>
          <w:b/>
          <w:sz w:val="24"/>
          <w:szCs w:val="24"/>
        </w:rPr>
        <w:t>art. 18 ust. 3 pkt 3</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doprecyzowaniu</w:t>
      </w:r>
      <w:r>
        <w:rPr>
          <w:rFonts w:ascii="Times New Roman" w:hAnsi="Times New Roman" w:cs="Times New Roman"/>
          <w:sz w:val="24"/>
          <w:szCs w:val="24"/>
        </w:rPr>
        <w:t xml:space="preserve"> ulega</w:t>
      </w:r>
      <w:r w:rsidRPr="00026232">
        <w:rPr>
          <w:rFonts w:ascii="Times New Roman" w:hAnsi="Times New Roman" w:cs="Times New Roman"/>
          <w:sz w:val="24"/>
          <w:szCs w:val="24"/>
        </w:rPr>
        <w:t xml:space="preserve"> rodzaj aktywów zastępczych, które mogą stanowić środki ul</w:t>
      </w:r>
      <w:r>
        <w:rPr>
          <w:rFonts w:ascii="Times New Roman" w:hAnsi="Times New Roman" w:cs="Times New Roman"/>
          <w:sz w:val="24"/>
          <w:szCs w:val="24"/>
        </w:rPr>
        <w:t>okowane przez bank hipoteczny w </w:t>
      </w:r>
      <w:r w:rsidRPr="00026232">
        <w:rPr>
          <w:rFonts w:ascii="Times New Roman" w:hAnsi="Times New Roman" w:cs="Times New Roman"/>
          <w:sz w:val="24"/>
          <w:szCs w:val="24"/>
        </w:rPr>
        <w:t xml:space="preserve">bankach krajowych lub instytucjach kredytowych. Chodzi o aktywa spełniające wymogi </w:t>
      </w:r>
      <w:r>
        <w:rPr>
          <w:rFonts w:ascii="Times New Roman" w:hAnsi="Times New Roman" w:cs="Times New Roman"/>
          <w:sz w:val="24"/>
          <w:szCs w:val="24"/>
        </w:rPr>
        <w:t xml:space="preserve">określone </w:t>
      </w:r>
      <w:r w:rsidRPr="00026232">
        <w:rPr>
          <w:rFonts w:ascii="Times New Roman" w:hAnsi="Times New Roman" w:cs="Times New Roman"/>
          <w:sz w:val="24"/>
          <w:szCs w:val="24"/>
        </w:rPr>
        <w:t>w</w:t>
      </w:r>
      <w:r>
        <w:rPr>
          <w:rFonts w:ascii="Times New Roman" w:hAnsi="Times New Roman" w:cs="Times New Roman"/>
          <w:sz w:val="24"/>
          <w:szCs w:val="24"/>
        </w:rPr>
        <w:t> </w:t>
      </w:r>
      <w:r w:rsidRPr="00026232">
        <w:rPr>
          <w:rFonts w:ascii="Times New Roman" w:hAnsi="Times New Roman" w:cs="Times New Roman"/>
          <w:sz w:val="24"/>
          <w:szCs w:val="24"/>
        </w:rPr>
        <w:t>art. 129 ust. 1 lit. c rozporządzenia (UE) nr 575/2013. Obecne brzmienie odnosi się do środków posiadanych przez bank hipoteczny „w gotówce”, jako podstawy emisji, co budziło wątpliwości interpretacyjne wynikające z braku odniesienia do warunków zawartych w</w:t>
      </w:r>
      <w:r>
        <w:rPr>
          <w:rFonts w:ascii="Times New Roman" w:hAnsi="Times New Roman" w:cs="Times New Roman"/>
          <w:sz w:val="24"/>
          <w:szCs w:val="24"/>
        </w:rPr>
        <w:t xml:space="preserve"> ww. </w:t>
      </w:r>
      <w:r w:rsidRPr="00026232">
        <w:rPr>
          <w:rFonts w:ascii="Times New Roman" w:hAnsi="Times New Roman" w:cs="Times New Roman"/>
          <w:sz w:val="24"/>
          <w:szCs w:val="24"/>
        </w:rPr>
        <w:t>rozporządzeniu.</w:t>
      </w:r>
    </w:p>
    <w:p w14:paraId="53A04B76" w14:textId="77777777" w:rsidR="00EF441C" w:rsidRPr="00026232"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t>Projektowane brzmienie</w:t>
      </w:r>
      <w:r w:rsidRPr="00026232">
        <w:rPr>
          <w:rFonts w:ascii="Times New Roman" w:hAnsi="Times New Roman" w:cs="Times New Roman"/>
          <w:sz w:val="24"/>
          <w:szCs w:val="24"/>
        </w:rPr>
        <w:t xml:space="preserve"> </w:t>
      </w:r>
      <w:r w:rsidRPr="00026232">
        <w:rPr>
          <w:rFonts w:ascii="Times New Roman" w:hAnsi="Times New Roman" w:cs="Times New Roman"/>
          <w:b/>
          <w:sz w:val="24"/>
          <w:szCs w:val="24"/>
        </w:rPr>
        <w:t>art. 18 ust. 3a</w:t>
      </w:r>
      <w:r>
        <w:rPr>
          <w:rFonts w:ascii="Times New Roman" w:hAnsi="Times New Roman" w:cs="Times New Roman"/>
          <w:b/>
          <w:sz w:val="24"/>
          <w:szCs w:val="24"/>
        </w:rPr>
        <w:t xml:space="preserve"> </w:t>
      </w:r>
      <w:r w:rsidRPr="00B4154B">
        <w:rPr>
          <w:rFonts w:ascii="Times New Roman" w:hAnsi="Times New Roman" w:cs="Times New Roman"/>
          <w:sz w:val="24"/>
          <w:szCs w:val="24"/>
        </w:rPr>
        <w:t>Ustawy</w:t>
      </w:r>
      <w:r w:rsidRPr="00026232">
        <w:rPr>
          <w:rFonts w:ascii="Times New Roman" w:hAnsi="Times New Roman" w:cs="Times New Roman"/>
          <w:sz w:val="24"/>
          <w:szCs w:val="24"/>
        </w:rPr>
        <w:t xml:space="preserve"> stanowi wdrożenie art. 16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dotyczącego tzw. </w:t>
      </w:r>
      <w:r w:rsidRPr="00026232">
        <w:rPr>
          <w:rFonts w:ascii="Times New Roman" w:hAnsi="Times New Roman" w:cs="Times New Roman"/>
          <w:i/>
          <w:sz w:val="24"/>
          <w:szCs w:val="24"/>
        </w:rPr>
        <w:t>bufora płynności</w:t>
      </w:r>
      <w:r w:rsidRPr="00026232">
        <w:rPr>
          <w:rFonts w:ascii="Times New Roman" w:hAnsi="Times New Roman" w:cs="Times New Roman"/>
          <w:sz w:val="24"/>
          <w:szCs w:val="24"/>
        </w:rPr>
        <w:t xml:space="preserve">. Obecnie banki hipoteczne zobowiązane są do utrzymywania nadwyżki płynnościowej w wysokości odpowiadającej co najmniej sześciomiesięcznym nominalnym wpływom z odsetek od listów zastawnych znajdujących się w obrocie. Nadwyżka ta </w:t>
      </w:r>
      <w:r w:rsidRPr="00026232">
        <w:rPr>
          <w:rStyle w:val="highlight"/>
          <w:rFonts w:ascii="Times New Roman" w:hAnsi="Times New Roman" w:cs="Times New Roman"/>
          <w:sz w:val="24"/>
          <w:szCs w:val="24"/>
        </w:rPr>
        <w:t>służy</w:t>
      </w:r>
      <w:r w:rsidRPr="00026232">
        <w:rPr>
          <w:rFonts w:ascii="Times New Roman" w:hAnsi="Times New Roman" w:cs="Times New Roman"/>
          <w:sz w:val="24"/>
          <w:szCs w:val="24"/>
        </w:rPr>
        <w:t xml:space="preserve"> zabezpieczeniu wyemitowanych listów zastawnych, których zapadalność nastąpi w okresie kolejnych sześciu miesięcy od dnia emisji, co ma skutkować zwiększeniem bezpieczeństwa wypłat dla posiadaczy danych papierów wartościowych jeszcze przed ich zapadalnością. Środki przeznaczone na nadwyżkę płynności podlegają wpisowi do rejestru zabezpieczenia listów zastawnych i nie mogą stanowić podstawy emisji listów zastawnych. </w:t>
      </w:r>
    </w:p>
    <w:p w14:paraId="477BD737" w14:textId="77777777" w:rsidR="00EF441C" w:rsidRPr="00026232" w:rsidRDefault="00EF441C" w:rsidP="00EF441C">
      <w:pPr>
        <w:pStyle w:val="USTustnpkodeksu"/>
        <w:spacing w:after="200"/>
        <w:ind w:firstLine="0"/>
        <w:rPr>
          <w:rFonts w:ascii="Times New Roman" w:hAnsi="Times New Roman" w:cs="Times New Roman"/>
          <w:szCs w:val="24"/>
        </w:rPr>
      </w:pPr>
      <w:r w:rsidRPr="00026232">
        <w:rPr>
          <w:rFonts w:ascii="Times New Roman" w:hAnsi="Times New Roman" w:cs="Times New Roman"/>
          <w:szCs w:val="24"/>
        </w:rPr>
        <w:t xml:space="preserve">Zgodnie z wymogami dyrektywy </w:t>
      </w:r>
      <w:r>
        <w:rPr>
          <w:rFonts w:ascii="Times New Roman" w:eastAsia="Calibri" w:hAnsi="Times New Roman" w:cs="Times New Roman"/>
          <w:szCs w:val="24"/>
        </w:rPr>
        <w:t>2019/2162,</w:t>
      </w:r>
      <w:r w:rsidRPr="00026232">
        <w:rPr>
          <w:rFonts w:ascii="Times New Roman" w:hAnsi="Times New Roman" w:cs="Times New Roman"/>
          <w:szCs w:val="24"/>
        </w:rPr>
        <w:t xml:space="preserve"> projekt przewiduje zmianę polegającą na zobowiązaniu banku hipotecznego do utrzymywania odrębnie dla hipotecznych listów zastawnych oraz publicznych listów zastawnych, nadwyżki utworzonej ze środków, o których mowa w art. 18 ust. 3</w:t>
      </w:r>
      <w:r>
        <w:rPr>
          <w:rFonts w:ascii="Times New Roman" w:hAnsi="Times New Roman" w:cs="Times New Roman"/>
          <w:szCs w:val="24"/>
        </w:rPr>
        <w:t xml:space="preserve"> Ustawy</w:t>
      </w:r>
      <w:r w:rsidRPr="00026232">
        <w:rPr>
          <w:rFonts w:ascii="Times New Roman" w:hAnsi="Times New Roman" w:cs="Times New Roman"/>
          <w:szCs w:val="24"/>
        </w:rPr>
        <w:t>, w wysokości nie niższej niż łączna kwota skumulowanych wypływów płynności netto w okresie kolejnych 180 dni. Wypływy płynności netto stanowią wypływy płatności wymagalne w danym dniu, w tym płatności kwoty głównej i odsetek z tytułu listów zastawnych oraz płatności z tytułu instrumentów pochodnych w ramach programu emisji listów zastawnych, po odliczeniu w</w:t>
      </w:r>
      <w:r>
        <w:rPr>
          <w:rFonts w:ascii="Times New Roman" w:hAnsi="Times New Roman" w:cs="Times New Roman"/>
          <w:szCs w:val="24"/>
        </w:rPr>
        <w:t>y</w:t>
      </w:r>
      <w:r w:rsidRPr="00026232">
        <w:rPr>
          <w:rFonts w:ascii="Times New Roman" w:hAnsi="Times New Roman" w:cs="Times New Roman"/>
          <w:szCs w:val="24"/>
        </w:rPr>
        <w:t>pływów płatności wymagalnych w tym samym dniu w</w:t>
      </w:r>
      <w:r>
        <w:rPr>
          <w:rFonts w:ascii="Times New Roman" w:hAnsi="Times New Roman" w:cs="Times New Roman"/>
          <w:szCs w:val="24"/>
        </w:rPr>
        <w:t> </w:t>
      </w:r>
      <w:r w:rsidRPr="00026232">
        <w:rPr>
          <w:rFonts w:ascii="Times New Roman" w:hAnsi="Times New Roman" w:cs="Times New Roman"/>
          <w:szCs w:val="24"/>
        </w:rPr>
        <w:t xml:space="preserve">odniesieniu do roszczeń dotyczących aktywów stanowiących zabezpieczenie. W ten sposób określone wypływy płynności netto zgodne są z ich definicją zawartą w art. 3 pkt 16 dyrektywy </w:t>
      </w:r>
      <w:r>
        <w:rPr>
          <w:rFonts w:ascii="Times New Roman" w:eastAsia="Calibri" w:hAnsi="Times New Roman" w:cs="Times New Roman"/>
          <w:szCs w:val="24"/>
        </w:rPr>
        <w:t>2019/2162</w:t>
      </w:r>
      <w:r w:rsidRPr="00026232">
        <w:rPr>
          <w:rFonts w:ascii="Times New Roman" w:hAnsi="Times New Roman" w:cs="Times New Roman"/>
          <w:szCs w:val="24"/>
        </w:rPr>
        <w:t xml:space="preserve">. </w:t>
      </w:r>
    </w:p>
    <w:p w14:paraId="74FC41A7" w14:textId="77777777" w:rsidR="00EF441C" w:rsidRPr="00026232" w:rsidRDefault="00EF441C" w:rsidP="00EF441C">
      <w:pPr>
        <w:pStyle w:val="USTustnpkodeksu"/>
        <w:spacing w:after="200"/>
        <w:ind w:firstLine="0"/>
        <w:rPr>
          <w:rFonts w:ascii="Times New Roman" w:eastAsia="Times New Roman" w:hAnsi="Times New Roman" w:cs="Times New Roman"/>
          <w:bCs w:val="0"/>
          <w:i/>
          <w:szCs w:val="24"/>
        </w:rPr>
      </w:pPr>
      <w:r w:rsidRPr="00026232">
        <w:rPr>
          <w:rFonts w:ascii="Times New Roman" w:hAnsi="Times New Roman" w:cs="Times New Roman"/>
          <w:szCs w:val="24"/>
        </w:rPr>
        <w:t xml:space="preserve">W </w:t>
      </w:r>
      <w:r>
        <w:rPr>
          <w:rFonts w:ascii="Times New Roman" w:hAnsi="Times New Roman" w:cs="Times New Roman"/>
          <w:szCs w:val="24"/>
        </w:rPr>
        <w:t xml:space="preserve">projektowanym brzmieniu </w:t>
      </w:r>
      <w:r w:rsidRPr="00026232">
        <w:rPr>
          <w:rFonts w:ascii="Times New Roman" w:hAnsi="Times New Roman" w:cs="Times New Roman"/>
          <w:szCs w:val="24"/>
        </w:rPr>
        <w:t xml:space="preserve">art. </w:t>
      </w:r>
      <w:r w:rsidRPr="00026232">
        <w:rPr>
          <w:rFonts w:ascii="Times New Roman" w:hAnsi="Times New Roman" w:cs="Times New Roman"/>
          <w:b/>
          <w:szCs w:val="24"/>
        </w:rPr>
        <w:t>18 ust. 3c</w:t>
      </w:r>
      <w:r w:rsidRPr="00026232">
        <w:rPr>
          <w:rFonts w:ascii="Times New Roman" w:hAnsi="Times New Roman" w:cs="Times New Roman"/>
          <w:szCs w:val="24"/>
        </w:rPr>
        <w:t xml:space="preserve"> </w:t>
      </w:r>
      <w:r>
        <w:rPr>
          <w:rFonts w:ascii="Times New Roman" w:hAnsi="Times New Roman" w:cs="Times New Roman"/>
          <w:szCs w:val="24"/>
        </w:rPr>
        <w:t xml:space="preserve">Ustawy </w:t>
      </w:r>
      <w:r w:rsidRPr="00026232">
        <w:rPr>
          <w:rFonts w:ascii="Times New Roman" w:hAnsi="Times New Roman" w:cs="Times New Roman"/>
          <w:szCs w:val="24"/>
        </w:rPr>
        <w:t xml:space="preserve">określono kategorie środków (aktywów), które mogą zostać uwzględnione dla wymogu kalkulacji nadwyżki, o której mowa w art. 18 </w:t>
      </w:r>
      <w:r w:rsidRPr="00026232">
        <w:rPr>
          <w:rFonts w:ascii="Times New Roman" w:hAnsi="Times New Roman" w:cs="Times New Roman"/>
          <w:szCs w:val="24"/>
        </w:rPr>
        <w:lastRenderedPageBreak/>
        <w:t>ust. 3a</w:t>
      </w:r>
      <w:r>
        <w:rPr>
          <w:rFonts w:ascii="Times New Roman" w:hAnsi="Times New Roman" w:cs="Times New Roman"/>
          <w:szCs w:val="24"/>
        </w:rPr>
        <w:t xml:space="preserve"> Ustawy</w:t>
      </w:r>
      <w:r w:rsidRPr="00026232">
        <w:rPr>
          <w:rFonts w:ascii="Times New Roman" w:hAnsi="Times New Roman" w:cs="Times New Roman"/>
          <w:szCs w:val="24"/>
        </w:rPr>
        <w:t xml:space="preserve">. Są to </w:t>
      </w:r>
      <w:r w:rsidRPr="00026232">
        <w:rPr>
          <w:rFonts w:ascii="Times New Roman" w:eastAsia="Times New Roman" w:hAnsi="Times New Roman" w:cs="Times New Roman"/>
          <w:bCs w:val="0"/>
          <w:szCs w:val="24"/>
        </w:rPr>
        <w:t>aktyw</w:t>
      </w:r>
      <w:r>
        <w:rPr>
          <w:rFonts w:ascii="Times New Roman" w:eastAsia="Times New Roman" w:hAnsi="Times New Roman" w:cs="Times New Roman"/>
          <w:bCs w:val="0"/>
          <w:szCs w:val="24"/>
        </w:rPr>
        <w:t xml:space="preserve">a poziomu 1, poziomu 2A lub 2B </w:t>
      </w:r>
      <w:r w:rsidRPr="00026232">
        <w:rPr>
          <w:rFonts w:ascii="Times New Roman" w:eastAsia="Times New Roman" w:hAnsi="Times New Roman" w:cs="Times New Roman"/>
          <w:bCs w:val="0"/>
          <w:szCs w:val="24"/>
        </w:rPr>
        <w:t>w rozumieniu art. 3 pkt</w:t>
      </w:r>
      <w:r>
        <w:rPr>
          <w:rFonts w:ascii="Times New Roman" w:eastAsia="Times New Roman" w:hAnsi="Times New Roman" w:cs="Times New Roman"/>
          <w:bCs w:val="0"/>
          <w:szCs w:val="24"/>
        </w:rPr>
        <w:t xml:space="preserve"> </w:t>
      </w:r>
      <w:r w:rsidRPr="00026232">
        <w:rPr>
          <w:rFonts w:ascii="Times New Roman" w:eastAsia="Times New Roman" w:hAnsi="Times New Roman" w:cs="Times New Roman"/>
          <w:bCs w:val="0"/>
          <w:szCs w:val="24"/>
        </w:rPr>
        <w:t xml:space="preserve">1-2 </w:t>
      </w:r>
      <w:r>
        <w:rPr>
          <w:rFonts w:ascii="Times New Roman" w:eastAsia="Times New Roman" w:hAnsi="Times New Roman" w:cs="Times New Roman"/>
          <w:bCs w:val="0"/>
          <w:szCs w:val="24"/>
        </w:rPr>
        <w:t>r</w:t>
      </w:r>
      <w:r w:rsidRPr="00026232">
        <w:rPr>
          <w:rFonts w:ascii="Times New Roman" w:eastAsia="Times New Roman" w:hAnsi="Times New Roman" w:cs="Times New Roman"/>
          <w:bCs w:val="0"/>
          <w:szCs w:val="24"/>
        </w:rPr>
        <w:t xml:space="preserve">ozporządzenia </w:t>
      </w:r>
      <w:r>
        <w:rPr>
          <w:rFonts w:ascii="Times New Roman" w:eastAsia="Times New Roman" w:hAnsi="Times New Roman" w:cs="Times New Roman"/>
          <w:bCs w:val="0"/>
          <w:szCs w:val="24"/>
        </w:rPr>
        <w:t>d</w:t>
      </w:r>
      <w:r w:rsidRPr="00026232">
        <w:rPr>
          <w:rFonts w:ascii="Times New Roman" w:eastAsia="Times New Roman" w:hAnsi="Times New Roman" w:cs="Times New Roman"/>
          <w:bCs w:val="0"/>
          <w:szCs w:val="24"/>
        </w:rPr>
        <w:t>elegowanego Komisji (UE) 2015/61 z dnia 10 października 2014 r. uzupełniające</w:t>
      </w:r>
      <w:r>
        <w:rPr>
          <w:rFonts w:ascii="Times New Roman" w:eastAsia="Times New Roman" w:hAnsi="Times New Roman" w:cs="Times New Roman"/>
          <w:bCs w:val="0"/>
          <w:szCs w:val="24"/>
        </w:rPr>
        <w:t>go</w:t>
      </w:r>
      <w:r w:rsidRPr="00026232">
        <w:rPr>
          <w:rFonts w:ascii="Times New Roman" w:eastAsia="Times New Roman" w:hAnsi="Times New Roman" w:cs="Times New Roman"/>
          <w:bCs w:val="0"/>
          <w:szCs w:val="24"/>
        </w:rPr>
        <w:t xml:space="preserve"> rozporządzenie Parlamentu Europejskiego i Rady (UE) nr 575/2013 w odniesieniu do wymogu pokrycia wypływów netto dla instytucji kredytowych (Dz. Urz. UE L 11/1 z 17.1.2015, s. 1), które zostały wycenione zgodnie z tym rozporządzeniem, i nie zostały wyemitowane przez ten bank hipoteczny, jego jednostkę dominującą, inną niż podmiot sektora publicznego, który nie jest instytucją kredytową ani jej jednostkę zależną ani inną jednostkę zależną jednostki dominującej tego banku hipotecznego ani przez jednostkę specjalnego przeznac</w:t>
      </w:r>
      <w:r>
        <w:rPr>
          <w:rFonts w:ascii="Times New Roman" w:eastAsia="Times New Roman" w:hAnsi="Times New Roman" w:cs="Times New Roman"/>
          <w:bCs w:val="0"/>
          <w:szCs w:val="24"/>
        </w:rPr>
        <w:t>zenia do celów sekurytyzacji, z </w:t>
      </w:r>
      <w:r w:rsidRPr="00026232">
        <w:rPr>
          <w:rFonts w:ascii="Times New Roman" w:eastAsia="Times New Roman" w:hAnsi="Times New Roman" w:cs="Times New Roman"/>
          <w:bCs w:val="0"/>
          <w:szCs w:val="24"/>
        </w:rPr>
        <w:t>którą dany bank hipoteczny jest blisko powiązany. Wprowadzenie powyższych regulacji dotyczących rodzaju aktywów na potrzeby kalkulowania nadwyżki utrzymywanej przez banki hipoteczne wynika z</w:t>
      </w:r>
      <w:r>
        <w:rPr>
          <w:rFonts w:ascii="Times New Roman" w:eastAsia="Times New Roman" w:hAnsi="Times New Roman" w:cs="Times New Roman"/>
          <w:bCs w:val="0"/>
          <w:szCs w:val="24"/>
        </w:rPr>
        <w:t> </w:t>
      </w:r>
      <w:r w:rsidRPr="00026232">
        <w:rPr>
          <w:rFonts w:ascii="Times New Roman" w:eastAsia="Times New Roman" w:hAnsi="Times New Roman" w:cs="Times New Roman"/>
          <w:bCs w:val="0"/>
          <w:szCs w:val="24"/>
        </w:rPr>
        <w:t>konieczności wdrożenia art. 16 ust. 3 lit</w:t>
      </w:r>
      <w:r>
        <w:rPr>
          <w:rFonts w:ascii="Times New Roman" w:eastAsia="Times New Roman" w:hAnsi="Times New Roman" w:cs="Times New Roman"/>
          <w:bCs w:val="0"/>
          <w:szCs w:val="24"/>
        </w:rPr>
        <w:t>.</w:t>
      </w:r>
      <w:r w:rsidRPr="00026232">
        <w:rPr>
          <w:rFonts w:ascii="Times New Roman" w:eastAsia="Times New Roman" w:hAnsi="Times New Roman" w:cs="Times New Roman"/>
          <w:bCs w:val="0"/>
          <w:szCs w:val="24"/>
        </w:rPr>
        <w:t xml:space="preserve"> a dyrektywy </w:t>
      </w:r>
      <w:r>
        <w:rPr>
          <w:rFonts w:ascii="Times New Roman" w:eastAsia="Calibri" w:hAnsi="Times New Roman" w:cs="Times New Roman"/>
          <w:szCs w:val="24"/>
        </w:rPr>
        <w:t>2019/2162</w:t>
      </w:r>
      <w:r w:rsidRPr="00026232">
        <w:rPr>
          <w:rFonts w:ascii="Times New Roman" w:eastAsia="Times New Roman" w:hAnsi="Times New Roman" w:cs="Times New Roman"/>
          <w:bCs w:val="0"/>
          <w:szCs w:val="24"/>
        </w:rPr>
        <w:t xml:space="preserve"> </w:t>
      </w:r>
      <w:r w:rsidRPr="00026232">
        <w:rPr>
          <w:rFonts w:ascii="Times New Roman" w:eastAsia="Times New Roman" w:hAnsi="Times New Roman" w:cs="Times New Roman"/>
          <w:bCs w:val="0"/>
          <w:i/>
          <w:szCs w:val="24"/>
        </w:rPr>
        <w:t>(Wymogi dotyczące bufora płynnościowego dla puli aktywów stanowiących zabezpieczenie).</w:t>
      </w:r>
    </w:p>
    <w:p w14:paraId="0C6F9A5C" w14:textId="77777777" w:rsidR="00EF441C" w:rsidRPr="00026232" w:rsidRDefault="00EF441C" w:rsidP="00EF441C">
      <w:pPr>
        <w:pStyle w:val="ZUSTzmustartykuempunktem"/>
        <w:spacing w:after="200"/>
        <w:ind w:left="0" w:firstLine="0"/>
        <w:rPr>
          <w:rFonts w:ascii="Times New Roman" w:eastAsia="Times New Roman" w:hAnsi="Times New Roman" w:cs="Times New Roman"/>
          <w:szCs w:val="24"/>
        </w:rPr>
      </w:pPr>
      <w:r w:rsidRPr="00026232">
        <w:rPr>
          <w:rFonts w:ascii="Times New Roman" w:hAnsi="Times New Roman" w:cs="Times New Roman"/>
          <w:szCs w:val="24"/>
        </w:rPr>
        <w:t>Zgodnie z</w:t>
      </w:r>
      <w:r>
        <w:rPr>
          <w:rFonts w:ascii="Times New Roman" w:hAnsi="Times New Roman" w:cs="Times New Roman"/>
          <w:szCs w:val="24"/>
        </w:rPr>
        <w:t xml:space="preserve"> projektowanym brzmieniem</w:t>
      </w:r>
      <w:r w:rsidRPr="00026232">
        <w:rPr>
          <w:rFonts w:ascii="Times New Roman" w:hAnsi="Times New Roman" w:cs="Times New Roman"/>
          <w:szCs w:val="24"/>
        </w:rPr>
        <w:t xml:space="preserve"> </w:t>
      </w:r>
      <w:r w:rsidRPr="00026232">
        <w:rPr>
          <w:rFonts w:ascii="Times New Roman" w:hAnsi="Times New Roman" w:cs="Times New Roman"/>
          <w:b/>
          <w:szCs w:val="24"/>
        </w:rPr>
        <w:t>art. 18 ust. 3d</w:t>
      </w:r>
      <w:r w:rsidRPr="00026232">
        <w:rPr>
          <w:rFonts w:ascii="Times New Roman" w:hAnsi="Times New Roman" w:cs="Times New Roman"/>
          <w:szCs w:val="24"/>
        </w:rPr>
        <w:t xml:space="preserve"> </w:t>
      </w:r>
      <w:r>
        <w:rPr>
          <w:rFonts w:ascii="Times New Roman" w:hAnsi="Times New Roman" w:cs="Times New Roman"/>
          <w:szCs w:val="24"/>
        </w:rPr>
        <w:t xml:space="preserve">Ustawy </w:t>
      </w:r>
      <w:r w:rsidRPr="00026232">
        <w:rPr>
          <w:rFonts w:ascii="Times New Roman" w:hAnsi="Times New Roman" w:cs="Times New Roman"/>
          <w:szCs w:val="24"/>
        </w:rPr>
        <w:t>w</w:t>
      </w:r>
      <w:r w:rsidRPr="00026232">
        <w:rPr>
          <w:rFonts w:ascii="Times New Roman" w:eastAsia="Times New Roman" w:hAnsi="Times New Roman" w:cs="Times New Roman"/>
          <w:szCs w:val="24"/>
        </w:rPr>
        <w:t xml:space="preserve"> nadwyżce, o której mowa w </w:t>
      </w:r>
      <w:r>
        <w:rPr>
          <w:rFonts w:ascii="Times New Roman" w:eastAsia="Times New Roman" w:hAnsi="Times New Roman" w:cs="Times New Roman"/>
          <w:szCs w:val="24"/>
        </w:rPr>
        <w:t xml:space="preserve">art. 18 </w:t>
      </w:r>
      <w:r w:rsidRPr="00026232">
        <w:rPr>
          <w:rFonts w:ascii="Times New Roman" w:eastAsia="Times New Roman" w:hAnsi="Times New Roman" w:cs="Times New Roman"/>
          <w:szCs w:val="24"/>
        </w:rPr>
        <w:t>ust. 3a</w:t>
      </w:r>
      <w:r>
        <w:rPr>
          <w:rFonts w:ascii="Times New Roman" w:eastAsia="Times New Roman" w:hAnsi="Times New Roman" w:cs="Times New Roman"/>
          <w:szCs w:val="24"/>
        </w:rPr>
        <w:t xml:space="preserve"> Ustawy</w:t>
      </w:r>
      <w:r w:rsidRPr="00026232">
        <w:rPr>
          <w:rFonts w:ascii="Times New Roman" w:eastAsia="Times New Roman" w:hAnsi="Times New Roman" w:cs="Times New Roman"/>
          <w:szCs w:val="24"/>
        </w:rPr>
        <w:t xml:space="preserve">, nie uwzględnia się aktywów, w przypadku których doszło do niewykonania zobowiązania w rozumieniu art. 178 rozporządzenia (UE) nr 575/2013. Projektowane rozwiązanie wdraża art. 16 ust. 3 dyrektywy </w:t>
      </w:r>
      <w:r>
        <w:rPr>
          <w:rFonts w:ascii="Times New Roman" w:eastAsia="Calibri" w:hAnsi="Times New Roman" w:cs="Times New Roman"/>
          <w:szCs w:val="24"/>
        </w:rPr>
        <w:t>2019/2162</w:t>
      </w:r>
      <w:r w:rsidRPr="0002623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zdanie drugie (po wyliczeniu). </w:t>
      </w:r>
    </w:p>
    <w:p w14:paraId="3081641C" w14:textId="4DC3C1C4" w:rsidR="00EF441C"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t>Projektowane brzmienie</w:t>
      </w:r>
      <w:r w:rsidRPr="00026232">
        <w:rPr>
          <w:rFonts w:ascii="Times New Roman" w:hAnsi="Times New Roman" w:cs="Times New Roman"/>
          <w:sz w:val="24"/>
          <w:szCs w:val="24"/>
        </w:rPr>
        <w:t xml:space="preserve"> </w:t>
      </w:r>
      <w:r w:rsidRPr="00026232">
        <w:rPr>
          <w:rFonts w:ascii="Times New Roman" w:hAnsi="Times New Roman" w:cs="Times New Roman"/>
          <w:b/>
          <w:sz w:val="24"/>
          <w:szCs w:val="24"/>
        </w:rPr>
        <w:t>art. 18 ust. 4</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 xml:space="preserve">wynika z art. 15 ust. 3 lit. d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Należy wskazać, że art. 15 dyrektywy </w:t>
      </w:r>
      <w:r>
        <w:rPr>
          <w:rFonts w:ascii="Times New Roman" w:eastAsia="Calibri" w:hAnsi="Times New Roman" w:cs="Times New Roman"/>
          <w:sz w:val="24"/>
          <w:szCs w:val="24"/>
        </w:rPr>
        <w:t xml:space="preserve">2019/2162 </w:t>
      </w:r>
      <w:r w:rsidRPr="00026232">
        <w:rPr>
          <w:rFonts w:ascii="Times New Roman" w:hAnsi="Times New Roman" w:cs="Times New Roman"/>
          <w:sz w:val="24"/>
          <w:szCs w:val="24"/>
        </w:rPr>
        <w:t>dotyczy spełniania wymogów pokrycia, określonych w tym artykule, w</w:t>
      </w:r>
      <w:r>
        <w:rPr>
          <w:rFonts w:ascii="Times New Roman" w:hAnsi="Times New Roman" w:cs="Times New Roman"/>
          <w:sz w:val="24"/>
          <w:szCs w:val="24"/>
        </w:rPr>
        <w:t> </w:t>
      </w:r>
      <w:r w:rsidRPr="00026232">
        <w:rPr>
          <w:rFonts w:ascii="Times New Roman" w:hAnsi="Times New Roman" w:cs="Times New Roman"/>
          <w:sz w:val="24"/>
          <w:szCs w:val="24"/>
        </w:rPr>
        <w:t xml:space="preserve">odniesieniu do programów emisji obligacji zabezpieczonych. Na podstawie art. 15 ust. 2 dyrektywy </w:t>
      </w:r>
      <w:r>
        <w:rPr>
          <w:rFonts w:ascii="Times New Roman" w:eastAsia="Calibri" w:hAnsi="Times New Roman" w:cs="Times New Roman"/>
          <w:sz w:val="24"/>
          <w:szCs w:val="24"/>
        </w:rPr>
        <w:t xml:space="preserve">2019/2162 </w:t>
      </w:r>
      <w:r w:rsidRPr="00026232">
        <w:rPr>
          <w:rFonts w:ascii="Times New Roman" w:hAnsi="Times New Roman" w:cs="Times New Roman"/>
          <w:sz w:val="24"/>
          <w:szCs w:val="24"/>
        </w:rPr>
        <w:t xml:space="preserve">wszystkie zobowiązania z </w:t>
      </w:r>
      <w:r>
        <w:rPr>
          <w:rFonts w:ascii="Times New Roman" w:hAnsi="Times New Roman" w:cs="Times New Roman"/>
          <w:sz w:val="24"/>
          <w:szCs w:val="24"/>
        </w:rPr>
        <w:t> </w:t>
      </w:r>
      <w:r w:rsidRPr="00026232">
        <w:rPr>
          <w:rFonts w:ascii="Times New Roman" w:hAnsi="Times New Roman" w:cs="Times New Roman"/>
          <w:sz w:val="24"/>
          <w:szCs w:val="24"/>
        </w:rPr>
        <w:t>tytułu obligacji zabezpieczonych muszą znajdować pokrycie w roszczeniach o zapłatę z tytułu aktywów stanowiących zabezpieczenie. Art. 15 ust. 3 lit. d</w:t>
      </w:r>
      <w:r>
        <w:rPr>
          <w:rFonts w:ascii="Times New Roman" w:hAnsi="Times New Roman" w:cs="Times New Roman"/>
          <w:sz w:val="24"/>
          <w:szCs w:val="24"/>
        </w:rPr>
        <w:t xml:space="preserve">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stanowi, iż zobowiązania z tytułu obligacji zabezpieczonych obejmują również spodziewane koszty związane z utrzymaniem programu emi</w:t>
      </w:r>
      <w:r w:rsidR="00BE301F">
        <w:rPr>
          <w:rFonts w:ascii="Times New Roman" w:hAnsi="Times New Roman" w:cs="Times New Roman"/>
          <w:sz w:val="24"/>
          <w:szCs w:val="24"/>
        </w:rPr>
        <w:t>sji obligacji zabezpieczonych i </w:t>
      </w:r>
      <w:r w:rsidRPr="00026232">
        <w:rPr>
          <w:rFonts w:ascii="Times New Roman" w:hAnsi="Times New Roman" w:cs="Times New Roman"/>
          <w:sz w:val="24"/>
          <w:szCs w:val="24"/>
        </w:rPr>
        <w:t xml:space="preserve">administrowaniem nim na potrzeby jego likwidacji. W związku z tym w świetle proponowanej nowelizacji przy określaniu kwot wynikających z art. 18 ust. 1-3a </w:t>
      </w:r>
      <w:r>
        <w:rPr>
          <w:rFonts w:ascii="Times New Roman" w:hAnsi="Times New Roman" w:cs="Times New Roman"/>
          <w:sz w:val="24"/>
          <w:szCs w:val="24"/>
        </w:rPr>
        <w:t xml:space="preserve">Ustawy </w:t>
      </w:r>
      <w:r w:rsidRPr="00026232">
        <w:rPr>
          <w:rFonts w:ascii="Times New Roman" w:hAnsi="Times New Roman" w:cs="Times New Roman"/>
          <w:sz w:val="24"/>
          <w:szCs w:val="24"/>
        </w:rPr>
        <w:t>będą także uwzględniane szacowane koszty związane z utrzymaniem programu emisji listów zastawnych i administrowania nim w przypadku jego likwidacji. Ponadto w nowym brzmieniu ust. 4</w:t>
      </w:r>
      <w:r>
        <w:rPr>
          <w:rFonts w:ascii="Times New Roman" w:hAnsi="Times New Roman" w:cs="Times New Roman"/>
          <w:sz w:val="24"/>
          <w:szCs w:val="24"/>
        </w:rPr>
        <w:t xml:space="preserve"> ww. artykułu Ustawy</w:t>
      </w:r>
      <w:r w:rsidRPr="00026232">
        <w:rPr>
          <w:rFonts w:ascii="Times New Roman" w:hAnsi="Times New Roman" w:cs="Times New Roman"/>
          <w:sz w:val="24"/>
          <w:szCs w:val="24"/>
        </w:rPr>
        <w:t xml:space="preserve"> uwzględniono zmiany terminologii w zakresie instrumentów pochodnych, określanych wcześniej jako </w:t>
      </w:r>
      <w:r>
        <w:rPr>
          <w:rFonts w:ascii="Times New Roman" w:hAnsi="Times New Roman" w:cs="Times New Roman"/>
          <w:sz w:val="24"/>
          <w:szCs w:val="24"/>
        </w:rPr>
        <w:t>„</w:t>
      </w:r>
      <w:r w:rsidRPr="00026232">
        <w:rPr>
          <w:rFonts w:ascii="Times New Roman" w:hAnsi="Times New Roman" w:cs="Times New Roman"/>
          <w:sz w:val="24"/>
          <w:szCs w:val="24"/>
        </w:rPr>
        <w:t>instrumenty finansowe zabezpieczające</w:t>
      </w:r>
      <w:r>
        <w:rPr>
          <w:rFonts w:ascii="Times New Roman" w:hAnsi="Times New Roman" w:cs="Times New Roman"/>
          <w:sz w:val="24"/>
          <w:szCs w:val="24"/>
        </w:rPr>
        <w:t>”</w:t>
      </w:r>
      <w:r w:rsidRPr="00026232">
        <w:rPr>
          <w:rFonts w:ascii="Times New Roman" w:hAnsi="Times New Roman" w:cs="Times New Roman"/>
          <w:sz w:val="24"/>
          <w:szCs w:val="24"/>
        </w:rPr>
        <w:t>.</w:t>
      </w:r>
    </w:p>
    <w:p w14:paraId="6EEA51D9" w14:textId="77777777" w:rsidR="00EF441C" w:rsidRPr="00026232"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Projektowane brzmienie</w:t>
      </w:r>
      <w:r w:rsidRPr="00026232">
        <w:rPr>
          <w:rFonts w:ascii="Times New Roman" w:hAnsi="Times New Roman" w:cs="Times New Roman"/>
          <w:sz w:val="24"/>
          <w:szCs w:val="24"/>
        </w:rPr>
        <w:t xml:space="preserve"> dodawanego </w:t>
      </w:r>
      <w:r w:rsidRPr="002A3329">
        <w:rPr>
          <w:rFonts w:ascii="Times New Roman" w:hAnsi="Times New Roman" w:cs="Times New Roman"/>
          <w:b/>
          <w:sz w:val="24"/>
          <w:szCs w:val="24"/>
        </w:rPr>
        <w:t>art. 18a</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transponuj</w:t>
      </w:r>
      <w:r>
        <w:rPr>
          <w:rFonts w:ascii="Times New Roman" w:hAnsi="Times New Roman" w:cs="Times New Roman"/>
          <w:sz w:val="24"/>
          <w:szCs w:val="24"/>
        </w:rPr>
        <w:t>e</w:t>
      </w:r>
      <w:r w:rsidRPr="00026232">
        <w:rPr>
          <w:rFonts w:ascii="Times New Roman" w:hAnsi="Times New Roman" w:cs="Times New Roman"/>
          <w:sz w:val="24"/>
          <w:szCs w:val="24"/>
        </w:rPr>
        <w:t xml:space="preserve"> art. 11 dyrektywy </w:t>
      </w:r>
      <w:r w:rsidRPr="000C6EF3">
        <w:rPr>
          <w:rFonts w:ascii="Times New Roman" w:hAnsi="Times New Roman" w:cs="Times New Roman"/>
          <w:sz w:val="24"/>
          <w:szCs w:val="24"/>
        </w:rPr>
        <w:t>2019/2162</w:t>
      </w:r>
      <w:r w:rsidRPr="00026232">
        <w:rPr>
          <w:rFonts w:ascii="Times New Roman" w:hAnsi="Times New Roman" w:cs="Times New Roman"/>
          <w:sz w:val="24"/>
          <w:szCs w:val="24"/>
        </w:rPr>
        <w:t>, w którym szczegółowo uregulowana została kwestia wymogów dla instrumentów pochodnych włączonych do puli akty</w:t>
      </w:r>
      <w:r>
        <w:rPr>
          <w:rFonts w:ascii="Times New Roman" w:hAnsi="Times New Roman" w:cs="Times New Roman"/>
          <w:sz w:val="24"/>
          <w:szCs w:val="24"/>
        </w:rPr>
        <w:t>wów stanowiących zabezpieczenie, określonych w art. 18 ust. 4 Ustawy.</w:t>
      </w:r>
    </w:p>
    <w:p w14:paraId="2E52DD35"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Projektowan</w:t>
      </w:r>
      <w:r>
        <w:rPr>
          <w:rFonts w:ascii="Times New Roman" w:hAnsi="Times New Roman" w:cs="Times New Roman"/>
          <w:sz w:val="24"/>
          <w:szCs w:val="24"/>
        </w:rPr>
        <w:t>e brzmienie</w:t>
      </w:r>
      <w:r w:rsidRPr="00026232">
        <w:rPr>
          <w:rFonts w:ascii="Times New Roman" w:hAnsi="Times New Roman" w:cs="Times New Roman"/>
          <w:sz w:val="24"/>
          <w:szCs w:val="24"/>
        </w:rPr>
        <w:t xml:space="preserve"> art. 18a </w:t>
      </w:r>
      <w:r>
        <w:rPr>
          <w:rFonts w:ascii="Times New Roman" w:hAnsi="Times New Roman" w:cs="Times New Roman"/>
          <w:sz w:val="24"/>
          <w:szCs w:val="24"/>
        </w:rPr>
        <w:t xml:space="preserve">Ustawy </w:t>
      </w:r>
      <w:r w:rsidRPr="00026232">
        <w:rPr>
          <w:rFonts w:ascii="Times New Roman" w:hAnsi="Times New Roman" w:cs="Times New Roman"/>
          <w:sz w:val="24"/>
          <w:szCs w:val="24"/>
        </w:rPr>
        <w:t>precyzuje wymogi dla instrumentów pochodnych, które podlegają wpisaniu do rejestru zabezpieczenia listów zastawnych, z jednoczesnym określeniem warunków umowy, której przedmiotem jest instrument pochodny.</w:t>
      </w:r>
    </w:p>
    <w:p w14:paraId="3BFCF8F8"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Podstawowym warunkiem </w:t>
      </w:r>
      <w:r>
        <w:rPr>
          <w:rFonts w:ascii="Times New Roman" w:hAnsi="Times New Roman" w:cs="Times New Roman"/>
          <w:sz w:val="24"/>
          <w:szCs w:val="24"/>
        </w:rPr>
        <w:t xml:space="preserve">umowy o instrument pochodny </w:t>
      </w:r>
      <w:r w:rsidRPr="00026232">
        <w:rPr>
          <w:rFonts w:ascii="Times New Roman" w:hAnsi="Times New Roman" w:cs="Times New Roman"/>
          <w:sz w:val="24"/>
          <w:szCs w:val="24"/>
        </w:rPr>
        <w:t>jest</w:t>
      </w:r>
      <w:r>
        <w:rPr>
          <w:rFonts w:ascii="Times New Roman" w:hAnsi="Times New Roman" w:cs="Times New Roman"/>
          <w:sz w:val="24"/>
          <w:szCs w:val="24"/>
        </w:rPr>
        <w:t xml:space="preserve"> to</w:t>
      </w:r>
      <w:r w:rsidRPr="00026232">
        <w:rPr>
          <w:rFonts w:ascii="Times New Roman" w:hAnsi="Times New Roman" w:cs="Times New Roman"/>
          <w:sz w:val="24"/>
          <w:szCs w:val="24"/>
        </w:rPr>
        <w:t>, aby umowa została zawarta w celu ograniczenia ryzyka walutowego lub ryzyka stopy procentowej związanego z wye</w:t>
      </w:r>
      <w:r>
        <w:rPr>
          <w:rFonts w:ascii="Times New Roman" w:hAnsi="Times New Roman" w:cs="Times New Roman"/>
          <w:sz w:val="24"/>
          <w:szCs w:val="24"/>
        </w:rPr>
        <w:t xml:space="preserve">mitowanymi listami zastawnymi. </w:t>
      </w:r>
      <w:r w:rsidRPr="00026232">
        <w:rPr>
          <w:rFonts w:ascii="Times New Roman" w:hAnsi="Times New Roman" w:cs="Times New Roman"/>
          <w:sz w:val="24"/>
          <w:szCs w:val="24"/>
        </w:rPr>
        <w:t>Ponadto</w:t>
      </w:r>
      <w:r>
        <w:rPr>
          <w:rFonts w:ascii="Times New Roman" w:hAnsi="Times New Roman" w:cs="Times New Roman"/>
          <w:sz w:val="24"/>
          <w:szCs w:val="24"/>
        </w:rPr>
        <w:t xml:space="preserve"> ww.</w:t>
      </w:r>
      <w:r w:rsidRPr="00026232">
        <w:rPr>
          <w:rFonts w:ascii="Times New Roman" w:hAnsi="Times New Roman" w:cs="Times New Roman"/>
          <w:sz w:val="24"/>
          <w:szCs w:val="24"/>
        </w:rPr>
        <w:t xml:space="preserve"> umowa nie może przewidywać jej rozwiązania z chwilą wszczęcia postępowania przymusowej restrukturyzacji lub postępowania upadłościowego wobec banku hipotecznego. Wycena instrumentów pochodnych powinna być dokonana z zastosowaniem rachunkowości zabezpieczeń</w:t>
      </w:r>
      <w:r>
        <w:rPr>
          <w:rFonts w:ascii="Times New Roman" w:hAnsi="Times New Roman" w:cs="Times New Roman"/>
          <w:sz w:val="24"/>
          <w:szCs w:val="24"/>
        </w:rPr>
        <w:t>,</w:t>
      </w:r>
      <w:r w:rsidRPr="00026232">
        <w:rPr>
          <w:rFonts w:ascii="Times New Roman" w:hAnsi="Times New Roman" w:cs="Times New Roman"/>
          <w:sz w:val="24"/>
          <w:szCs w:val="24"/>
        </w:rPr>
        <w:t xml:space="preserve"> zgodnie z przyjętymi przez bank hipoteczny zasadami (polityką) rachunkowości. Jednocześnie zmiana wyceny instrumentu pochodnego powinna być odpowiednio uwzględniana w rejestrze zabezpieczenia listów zastawnych. Ponadto wymagana jest zgoda na wpisanie instrumentu pochodnego w rejestrze zabezpieczenia listów zastawnych, kontrahenta banku hipotecznego będącego stroną umowy, której przedmiotem jest instrument pochodny. </w:t>
      </w:r>
      <w:r>
        <w:rPr>
          <w:rFonts w:ascii="Times New Roman" w:hAnsi="Times New Roman" w:cs="Times New Roman"/>
          <w:sz w:val="24"/>
          <w:szCs w:val="24"/>
        </w:rPr>
        <w:t xml:space="preserve">Projektowane brzmienie </w:t>
      </w:r>
      <w:r w:rsidRPr="00026232">
        <w:rPr>
          <w:rFonts w:ascii="Times New Roman" w:hAnsi="Times New Roman" w:cs="Times New Roman"/>
          <w:sz w:val="24"/>
          <w:szCs w:val="24"/>
        </w:rPr>
        <w:t xml:space="preserve">art. 18a </w:t>
      </w:r>
      <w:r>
        <w:rPr>
          <w:rFonts w:ascii="Times New Roman" w:hAnsi="Times New Roman" w:cs="Times New Roman"/>
          <w:sz w:val="24"/>
          <w:szCs w:val="24"/>
        </w:rPr>
        <w:t xml:space="preserve">Ustawy </w:t>
      </w:r>
      <w:r w:rsidRPr="00026232">
        <w:rPr>
          <w:rFonts w:ascii="Times New Roman" w:hAnsi="Times New Roman" w:cs="Times New Roman"/>
          <w:sz w:val="24"/>
          <w:szCs w:val="24"/>
        </w:rPr>
        <w:t>określa również katalog podmiotów, które mogą być stroną umowy o instrument pochodny. Katalog kontrahentów, którzy mogą być stroną zawieranej przez bank hipoteczny umowy o instrument pochodny, podlegającej wpisaniu do rejestru zabezpieczenia listów zastawnych, został ograniczony do instytucji finansowych, tj. banku krajowego (w</w:t>
      </w:r>
      <w:r>
        <w:rPr>
          <w:rFonts w:ascii="Times New Roman" w:hAnsi="Times New Roman" w:cs="Times New Roman"/>
          <w:sz w:val="24"/>
          <w:szCs w:val="24"/>
        </w:rPr>
        <w:t> </w:t>
      </w:r>
      <w:r w:rsidRPr="00026232">
        <w:rPr>
          <w:rFonts w:ascii="Times New Roman" w:hAnsi="Times New Roman" w:cs="Times New Roman"/>
          <w:sz w:val="24"/>
          <w:szCs w:val="24"/>
        </w:rPr>
        <w:t>rozumieniu art. 4 ust. 1 pkt 1 ustawy z dnia 29 sierpnia 1997 r. – Prawo bankowe), instytucji kredytowej (w rozumieniu art. 4 ust. 1 pkt 1 rozporządzenia nr 575/2013) oraz firmy inwestycyjnej (w rozumieniu art. 3 pkt 33 ustawy z dnia 29 lipca 2005 r. o obrocie instrumentami finansowymi), które muszą posiada</w:t>
      </w:r>
      <w:r>
        <w:rPr>
          <w:rFonts w:ascii="Times New Roman" w:hAnsi="Times New Roman" w:cs="Times New Roman"/>
          <w:sz w:val="24"/>
          <w:szCs w:val="24"/>
        </w:rPr>
        <w:t>ć odpowiedni rating kredytowy.</w:t>
      </w:r>
    </w:p>
    <w:p w14:paraId="72E81D34" w14:textId="77777777" w:rsidR="00EF441C" w:rsidRPr="00026232"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Wraz z instrumentem pochodnym wpisowi do rejestru zabezpieczenia listów zastawnych podlega dodatkowe zabezpieczenie instrumentu pochodnego (</w:t>
      </w:r>
      <w:r w:rsidRPr="00026232">
        <w:rPr>
          <w:rFonts w:ascii="Times New Roman" w:hAnsi="Times New Roman" w:cs="Times New Roman"/>
          <w:i/>
          <w:sz w:val="24"/>
          <w:szCs w:val="24"/>
        </w:rPr>
        <w:t>collateral</w:t>
      </w:r>
      <w:r w:rsidRPr="00026232">
        <w:rPr>
          <w:rFonts w:ascii="Times New Roman" w:hAnsi="Times New Roman" w:cs="Times New Roman"/>
          <w:sz w:val="24"/>
          <w:szCs w:val="24"/>
        </w:rPr>
        <w:t>), spełniające wymogi określone w art. 129 ust. 1 akapit pierwszy lit. a - f rozporządzenia (UE) nr 575/2013</w:t>
      </w:r>
      <w:r>
        <w:rPr>
          <w:rFonts w:ascii="Times New Roman" w:hAnsi="Times New Roman" w:cs="Times New Roman"/>
          <w:sz w:val="24"/>
          <w:szCs w:val="24"/>
        </w:rPr>
        <w:t>.</w:t>
      </w:r>
    </w:p>
    <w:p w14:paraId="4DB54F4C" w14:textId="77777777" w:rsidR="00EF441C" w:rsidRDefault="00EF441C" w:rsidP="00EF441C">
      <w:pPr>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Z katalogu podmiotów, z którymi bank hipoteczny może zawrzeć umowę o instrument pochodny zostały wyłączone podmioty, wobec których toczy się postępowanie restrukturyzacyjne na podstawie przepisów ustawy z dnia 15 maja 2015 r. - Prawo </w:t>
      </w:r>
      <w:r w:rsidRPr="00026232">
        <w:rPr>
          <w:rFonts w:ascii="Times New Roman" w:hAnsi="Times New Roman" w:cs="Times New Roman"/>
          <w:sz w:val="24"/>
          <w:szCs w:val="24"/>
        </w:rPr>
        <w:lastRenderedPageBreak/>
        <w:t>restrukturyzacyjne</w:t>
      </w:r>
      <w:r>
        <w:rPr>
          <w:rFonts w:ascii="Times New Roman" w:hAnsi="Times New Roman" w:cs="Times New Roman"/>
          <w:sz w:val="24"/>
          <w:szCs w:val="24"/>
        </w:rPr>
        <w:t>,</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podmioty </w:t>
      </w:r>
      <w:r w:rsidRPr="00026232">
        <w:rPr>
          <w:rFonts w:ascii="Times New Roman" w:hAnsi="Times New Roman" w:cs="Times New Roman"/>
          <w:sz w:val="24"/>
          <w:szCs w:val="24"/>
        </w:rPr>
        <w:t>znajdujące się w likwidacji lub w upadłości oraz podmiot w</w:t>
      </w:r>
      <w:r>
        <w:rPr>
          <w:rFonts w:ascii="Times New Roman" w:hAnsi="Times New Roman" w:cs="Times New Roman"/>
          <w:sz w:val="24"/>
          <w:szCs w:val="24"/>
        </w:rPr>
        <w:t> </w:t>
      </w:r>
      <w:r w:rsidRPr="00026232">
        <w:rPr>
          <w:rFonts w:ascii="Times New Roman" w:hAnsi="Times New Roman" w:cs="Times New Roman"/>
          <w:sz w:val="24"/>
          <w:szCs w:val="24"/>
        </w:rPr>
        <w:t>przymusowej restrukturyzacji, o którym mowa w art. 2 pkt 44 ustawy z dnia 10 czerwca 2016 r. o Bankowym Funduszu Gwarancyjnym, systemie gwarantowania depozytów oraz przymusowej restrukturyzacji.</w:t>
      </w:r>
    </w:p>
    <w:p w14:paraId="3FAFF6BE" w14:textId="77777777" w:rsidR="00EF441C" w:rsidRPr="00026232" w:rsidRDefault="00EF441C" w:rsidP="00EF44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transponowanym art. 11 ust. 1 lit. b oraz ust. 2 lit. b dyrektywy 2019/2162 niezbędnym wymogiem jest odpowiednie udokumentowanie instrumentów pochodnych zaliczonych do puli aktywów, co ma na celu przede wszystkim </w:t>
      </w:r>
      <w:r w:rsidRPr="00BE2CD2">
        <w:rPr>
          <w:rFonts w:ascii="Times New Roman" w:hAnsi="Times New Roman" w:cs="Times New Roman"/>
          <w:sz w:val="24"/>
          <w:szCs w:val="24"/>
        </w:rPr>
        <w:t>identyfikację rodzaju zabezpieczanego ryzyka</w:t>
      </w:r>
      <w:r>
        <w:rPr>
          <w:rFonts w:ascii="Times New Roman" w:hAnsi="Times New Roman" w:cs="Times New Roman"/>
          <w:sz w:val="24"/>
          <w:szCs w:val="24"/>
        </w:rPr>
        <w:t xml:space="preserve"> oraz spełnienia pozostałych wymogów dla instrumentów pochodnych określonych przepisami prawa.</w:t>
      </w:r>
    </w:p>
    <w:p w14:paraId="5C99B296" w14:textId="77777777" w:rsidR="00EF441C" w:rsidRPr="00026232" w:rsidRDefault="00EF441C" w:rsidP="00EF441C">
      <w:pPr>
        <w:pStyle w:val="ZARTzmartartykuempunktem"/>
        <w:spacing w:after="200"/>
        <w:ind w:left="0" w:firstLine="0"/>
        <w:rPr>
          <w:rFonts w:ascii="Times New Roman" w:hAnsi="Times New Roman" w:cs="Times New Roman"/>
          <w:szCs w:val="24"/>
        </w:rPr>
      </w:pPr>
      <w:r w:rsidRPr="00026232">
        <w:rPr>
          <w:rFonts w:ascii="Times New Roman" w:hAnsi="Times New Roman" w:cs="Times New Roman"/>
          <w:szCs w:val="24"/>
        </w:rPr>
        <w:t>Zgodnie z</w:t>
      </w:r>
      <w:r>
        <w:rPr>
          <w:rFonts w:ascii="Times New Roman" w:hAnsi="Times New Roman" w:cs="Times New Roman"/>
          <w:szCs w:val="24"/>
        </w:rPr>
        <w:t xml:space="preserve"> projektowanym brzmieniem</w:t>
      </w:r>
      <w:r w:rsidRPr="00026232">
        <w:rPr>
          <w:rFonts w:ascii="Times New Roman" w:hAnsi="Times New Roman" w:cs="Times New Roman"/>
          <w:szCs w:val="24"/>
        </w:rPr>
        <w:t xml:space="preserve"> </w:t>
      </w:r>
      <w:r w:rsidRPr="00026232">
        <w:rPr>
          <w:rFonts w:ascii="Times New Roman" w:hAnsi="Times New Roman" w:cs="Times New Roman"/>
          <w:b/>
          <w:szCs w:val="24"/>
        </w:rPr>
        <w:t xml:space="preserve">art. 20a </w:t>
      </w:r>
      <w:r w:rsidRPr="00022A97">
        <w:rPr>
          <w:rFonts w:ascii="Times New Roman" w:hAnsi="Times New Roman" w:cs="Times New Roman"/>
          <w:szCs w:val="24"/>
        </w:rPr>
        <w:t>Ustawy</w:t>
      </w:r>
      <w:r>
        <w:rPr>
          <w:rFonts w:ascii="Times New Roman" w:hAnsi="Times New Roman" w:cs="Times New Roman"/>
          <w:b/>
          <w:szCs w:val="24"/>
        </w:rPr>
        <w:t xml:space="preserve"> </w:t>
      </w:r>
      <w:r w:rsidRPr="00026232">
        <w:rPr>
          <w:rFonts w:ascii="Times New Roman" w:hAnsi="Times New Roman" w:cs="Times New Roman"/>
          <w:szCs w:val="24"/>
        </w:rPr>
        <w:t xml:space="preserve">bank hipoteczny obowiązany jest opracować i wdrożyć procedury w celu </w:t>
      </w:r>
      <w:r>
        <w:rPr>
          <w:rFonts w:ascii="Times New Roman" w:hAnsi="Times New Roman" w:cs="Times New Roman"/>
          <w:szCs w:val="24"/>
        </w:rPr>
        <w:t xml:space="preserve">ustalenia zasad </w:t>
      </w:r>
      <w:r w:rsidRPr="00026232">
        <w:rPr>
          <w:rFonts w:ascii="Times New Roman" w:hAnsi="Times New Roman" w:cs="Times New Roman"/>
          <w:szCs w:val="24"/>
        </w:rPr>
        <w:t xml:space="preserve">monitorowania </w:t>
      </w:r>
      <w:r>
        <w:rPr>
          <w:rFonts w:ascii="Times New Roman" w:hAnsi="Times New Roman" w:cs="Times New Roman"/>
          <w:szCs w:val="24"/>
        </w:rPr>
        <w:t xml:space="preserve">utrzymywania ciągłości </w:t>
      </w:r>
      <w:r w:rsidRPr="00026232">
        <w:rPr>
          <w:rFonts w:ascii="Times New Roman" w:hAnsi="Times New Roman" w:cs="Times New Roman"/>
          <w:szCs w:val="24"/>
        </w:rPr>
        <w:t xml:space="preserve">ubezpieczenia od zdarzeń losowych nieruchomości stanowiących zabezpieczenie wierzytelności banku </w:t>
      </w:r>
      <w:r>
        <w:rPr>
          <w:rFonts w:ascii="Times New Roman" w:hAnsi="Times New Roman" w:cs="Times New Roman"/>
          <w:szCs w:val="24"/>
        </w:rPr>
        <w:t xml:space="preserve">hipotecznego </w:t>
      </w:r>
      <w:r w:rsidRPr="00026232">
        <w:rPr>
          <w:rFonts w:ascii="Times New Roman" w:hAnsi="Times New Roman" w:cs="Times New Roman"/>
          <w:szCs w:val="24"/>
        </w:rPr>
        <w:t>emitującego listy zastawne, przez cały okres w którym wierzytelności te wp</w:t>
      </w:r>
      <w:r>
        <w:rPr>
          <w:rFonts w:ascii="Times New Roman" w:hAnsi="Times New Roman" w:cs="Times New Roman"/>
          <w:szCs w:val="24"/>
        </w:rPr>
        <w:t>isane są do rejestru zabezpiecze</w:t>
      </w:r>
      <w:r w:rsidRPr="00026232">
        <w:rPr>
          <w:rFonts w:ascii="Times New Roman" w:hAnsi="Times New Roman" w:cs="Times New Roman"/>
          <w:szCs w:val="24"/>
        </w:rPr>
        <w:t>nia</w:t>
      </w:r>
      <w:r>
        <w:rPr>
          <w:rFonts w:ascii="Times New Roman" w:hAnsi="Times New Roman" w:cs="Times New Roman"/>
          <w:szCs w:val="24"/>
        </w:rPr>
        <w:t xml:space="preserve"> listów zastawnych. Przedmiotowa regulacja wynika z transpozycji art. 6 ust. 6 dyrektywy 2019/2162 (na gruncie Ustawy „nieruchomości” są rzeczowymi aktywami zabezpieczającymi w rozumieniu dyrektywy 2019/2162).</w:t>
      </w:r>
    </w:p>
    <w:p w14:paraId="0F64FCFC" w14:textId="77777777" w:rsidR="00EF441C" w:rsidRPr="00026232" w:rsidRDefault="00EF441C" w:rsidP="00EF441C">
      <w:pPr>
        <w:pStyle w:val="ZARTzmartartykuempunktem"/>
        <w:spacing w:after="200"/>
        <w:ind w:left="0" w:firstLine="0"/>
        <w:rPr>
          <w:rFonts w:ascii="Times New Roman" w:hAnsi="Times New Roman" w:cs="Times New Roman"/>
          <w:szCs w:val="24"/>
        </w:rPr>
      </w:pPr>
      <w:r w:rsidRPr="00D60338">
        <w:rPr>
          <w:rFonts w:ascii="Times New Roman" w:hAnsi="Times New Roman" w:cs="Times New Roman"/>
          <w:szCs w:val="24"/>
        </w:rPr>
        <w:t>Projektowane brzmienie</w:t>
      </w:r>
      <w:r>
        <w:rPr>
          <w:rFonts w:ascii="Times New Roman" w:hAnsi="Times New Roman" w:cs="Times New Roman"/>
          <w:b/>
          <w:szCs w:val="24"/>
        </w:rPr>
        <w:t xml:space="preserve"> a</w:t>
      </w:r>
      <w:r w:rsidRPr="00026232">
        <w:rPr>
          <w:rFonts w:ascii="Times New Roman" w:hAnsi="Times New Roman" w:cs="Times New Roman"/>
          <w:b/>
          <w:szCs w:val="24"/>
        </w:rPr>
        <w:t>rt. 21a</w:t>
      </w:r>
      <w:r w:rsidRPr="00026232">
        <w:rPr>
          <w:rFonts w:ascii="Times New Roman" w:hAnsi="Times New Roman" w:cs="Times New Roman"/>
          <w:szCs w:val="24"/>
        </w:rPr>
        <w:t xml:space="preserve"> </w:t>
      </w:r>
      <w:r>
        <w:rPr>
          <w:rFonts w:ascii="Times New Roman" w:hAnsi="Times New Roman" w:cs="Times New Roman"/>
          <w:szCs w:val="24"/>
        </w:rPr>
        <w:t>Ustawy przewiduje nałożenie</w:t>
      </w:r>
      <w:r w:rsidRPr="00026232">
        <w:rPr>
          <w:rFonts w:ascii="Times New Roman" w:hAnsi="Times New Roman" w:cs="Times New Roman"/>
          <w:szCs w:val="24"/>
        </w:rPr>
        <w:t xml:space="preserve"> na bank hipoteczny obowiąz</w:t>
      </w:r>
      <w:r>
        <w:rPr>
          <w:rFonts w:ascii="Times New Roman" w:hAnsi="Times New Roman" w:cs="Times New Roman"/>
          <w:szCs w:val="24"/>
        </w:rPr>
        <w:t xml:space="preserve">ku </w:t>
      </w:r>
      <w:r w:rsidRPr="00026232">
        <w:rPr>
          <w:rFonts w:ascii="Times New Roman" w:hAnsi="Times New Roman" w:cs="Times New Roman"/>
          <w:szCs w:val="24"/>
        </w:rPr>
        <w:t>zapewnienia, aby ostateczny terminu wykupu wyemitowanych listów był możliwy do zidentyfikowania p</w:t>
      </w:r>
      <w:r>
        <w:rPr>
          <w:rFonts w:ascii="Times New Roman" w:hAnsi="Times New Roman" w:cs="Times New Roman"/>
          <w:szCs w:val="24"/>
        </w:rPr>
        <w:t xml:space="preserve">rzez bank każdego dnia, w tym w szczególności w </w:t>
      </w:r>
      <w:r w:rsidRPr="00026232">
        <w:rPr>
          <w:rFonts w:ascii="Times New Roman" w:hAnsi="Times New Roman" w:cs="Times New Roman"/>
          <w:szCs w:val="24"/>
        </w:rPr>
        <w:t>ramach funkcjonującego w banku systemu informatycznego.</w:t>
      </w:r>
      <w:r>
        <w:rPr>
          <w:rFonts w:ascii="Times New Roman" w:hAnsi="Times New Roman" w:cs="Times New Roman"/>
          <w:szCs w:val="24"/>
        </w:rPr>
        <w:t xml:space="preserve"> Proponowane rozwiązanie ma charakter proceduralny w  odniesieniu do rozwiązań dyrektywy 2019/2162, ponieważ właściwe monitorowanie terminu wykupu listów zastawnych ma znaczenie w kontekście wypełniania wymogów określonych w Ustawie, w szczególności określonych w art. 18 Ustawy.</w:t>
      </w:r>
    </w:p>
    <w:p w14:paraId="304A16E1" w14:textId="77777777" w:rsidR="00EF441C" w:rsidRPr="00026232" w:rsidRDefault="00EF441C" w:rsidP="00EF441C">
      <w:pPr>
        <w:pStyle w:val="ZARTzmartartykuempunktem"/>
        <w:spacing w:after="200"/>
        <w:ind w:left="0" w:firstLine="0"/>
        <w:rPr>
          <w:rFonts w:ascii="Times New Roman" w:hAnsi="Times New Roman" w:cs="Times New Roman"/>
          <w:szCs w:val="24"/>
        </w:rPr>
      </w:pPr>
      <w:r w:rsidRPr="00026232">
        <w:rPr>
          <w:rFonts w:ascii="Times New Roman" w:hAnsi="Times New Roman" w:cs="Times New Roman"/>
          <w:szCs w:val="24"/>
        </w:rPr>
        <w:t xml:space="preserve">Nowelizacja </w:t>
      </w:r>
      <w:r w:rsidRPr="00026232">
        <w:rPr>
          <w:rFonts w:ascii="Times New Roman" w:hAnsi="Times New Roman" w:cs="Times New Roman"/>
          <w:b/>
          <w:szCs w:val="24"/>
        </w:rPr>
        <w:t>art. 24 ust. 2a pkt 1</w:t>
      </w:r>
      <w:r w:rsidRPr="00026232">
        <w:rPr>
          <w:rFonts w:ascii="Times New Roman" w:hAnsi="Times New Roman" w:cs="Times New Roman"/>
          <w:szCs w:val="24"/>
        </w:rPr>
        <w:t xml:space="preserve"> </w:t>
      </w:r>
      <w:r>
        <w:rPr>
          <w:rFonts w:ascii="Times New Roman" w:hAnsi="Times New Roman" w:cs="Times New Roman"/>
          <w:szCs w:val="24"/>
        </w:rPr>
        <w:t xml:space="preserve">Ustawy </w:t>
      </w:r>
      <w:r w:rsidRPr="00026232">
        <w:rPr>
          <w:rFonts w:ascii="Times New Roman" w:hAnsi="Times New Roman" w:cs="Times New Roman"/>
          <w:szCs w:val="24"/>
        </w:rPr>
        <w:t>ma charakter porządk</w:t>
      </w:r>
      <w:r>
        <w:rPr>
          <w:rFonts w:ascii="Times New Roman" w:hAnsi="Times New Roman" w:cs="Times New Roman"/>
          <w:szCs w:val="24"/>
        </w:rPr>
        <w:t>ujący</w:t>
      </w:r>
      <w:r w:rsidRPr="00026232">
        <w:rPr>
          <w:rFonts w:ascii="Times New Roman" w:hAnsi="Times New Roman" w:cs="Times New Roman"/>
          <w:szCs w:val="24"/>
        </w:rPr>
        <w:t xml:space="preserve"> </w:t>
      </w:r>
      <w:r>
        <w:rPr>
          <w:rFonts w:ascii="Times New Roman" w:hAnsi="Times New Roman" w:cs="Times New Roman"/>
          <w:szCs w:val="24"/>
        </w:rPr>
        <w:t xml:space="preserve">i jest </w:t>
      </w:r>
      <w:r w:rsidRPr="00026232">
        <w:rPr>
          <w:rFonts w:ascii="Times New Roman" w:hAnsi="Times New Roman" w:cs="Times New Roman"/>
          <w:szCs w:val="24"/>
        </w:rPr>
        <w:t xml:space="preserve">związana ze zmianą terminologii dotyczącej instrumentów pochodnych. </w:t>
      </w:r>
    </w:p>
    <w:p w14:paraId="255C8C95" w14:textId="77777777" w:rsidR="00EF441C" w:rsidRDefault="00EF441C" w:rsidP="00EF441C">
      <w:pPr>
        <w:pStyle w:val="ZARTzmartartykuempunktem"/>
        <w:spacing w:after="200"/>
        <w:ind w:left="0" w:firstLine="0"/>
        <w:rPr>
          <w:rFonts w:ascii="Times New Roman" w:eastAsia="Times New Roman" w:hAnsi="Times New Roman" w:cs="Times New Roman"/>
          <w:szCs w:val="24"/>
        </w:rPr>
      </w:pPr>
      <w:r w:rsidRPr="00026232">
        <w:rPr>
          <w:rFonts w:ascii="Times New Roman" w:eastAsia="Times New Roman" w:hAnsi="Times New Roman" w:cs="Times New Roman"/>
          <w:szCs w:val="24"/>
        </w:rPr>
        <w:t xml:space="preserve">Projekt wprowadza zmianę polegającą na zmianie nazwy </w:t>
      </w:r>
      <w:r w:rsidRPr="00026232">
        <w:rPr>
          <w:rFonts w:ascii="Times New Roman" w:eastAsia="Times New Roman" w:hAnsi="Times New Roman" w:cs="Times New Roman"/>
          <w:b/>
          <w:szCs w:val="24"/>
        </w:rPr>
        <w:t xml:space="preserve">Działu IV </w:t>
      </w:r>
      <w:r>
        <w:rPr>
          <w:rFonts w:ascii="Times New Roman" w:eastAsia="Times New Roman" w:hAnsi="Times New Roman" w:cs="Times New Roman"/>
          <w:szCs w:val="24"/>
        </w:rPr>
        <w:t>U</w:t>
      </w:r>
      <w:r w:rsidRPr="00026232">
        <w:rPr>
          <w:rFonts w:ascii="Times New Roman" w:eastAsia="Times New Roman" w:hAnsi="Times New Roman" w:cs="Times New Roman"/>
          <w:szCs w:val="24"/>
        </w:rPr>
        <w:t>stawy, w brzmieniu „Kontrola i nadzór nad bankami hipotecznymi oraz nadzór nad programem emisji listów zastawnych”</w:t>
      </w:r>
      <w:r>
        <w:rPr>
          <w:rFonts w:ascii="Times New Roman" w:eastAsia="Times New Roman" w:hAnsi="Times New Roman" w:cs="Times New Roman"/>
          <w:szCs w:val="24"/>
        </w:rPr>
        <w:t>. Zmiana ta wynika z konieczności wprowadzenia do działu IV Ustawy przepisów dotyczących programu emisji listów zastawnych.</w:t>
      </w:r>
    </w:p>
    <w:p w14:paraId="6A89F79C" w14:textId="77777777" w:rsidR="00EF441C" w:rsidRPr="00026232" w:rsidRDefault="00EF441C" w:rsidP="00EF441C">
      <w:pPr>
        <w:pStyle w:val="ZARTzmartartykuempunktem"/>
        <w:spacing w:after="200"/>
        <w:ind w:left="0" w:firstLine="0"/>
        <w:rPr>
          <w:rFonts w:ascii="Times New Roman" w:eastAsia="Times New Roman" w:hAnsi="Times New Roman" w:cs="Times New Roman"/>
          <w:szCs w:val="24"/>
        </w:rPr>
      </w:pPr>
      <w:r>
        <w:rPr>
          <w:rFonts w:ascii="Times New Roman" w:hAnsi="Times New Roman" w:cs="Times New Roman"/>
          <w:szCs w:val="24"/>
        </w:rPr>
        <w:lastRenderedPageBreak/>
        <w:t>Projektowane z</w:t>
      </w:r>
      <w:r w:rsidRPr="00026232">
        <w:rPr>
          <w:rFonts w:ascii="Times New Roman" w:hAnsi="Times New Roman" w:cs="Times New Roman"/>
          <w:szCs w:val="24"/>
        </w:rPr>
        <w:t xml:space="preserve">miany w </w:t>
      </w:r>
      <w:r w:rsidRPr="00026232">
        <w:rPr>
          <w:rFonts w:ascii="Times New Roman" w:hAnsi="Times New Roman" w:cs="Times New Roman"/>
          <w:b/>
          <w:szCs w:val="24"/>
        </w:rPr>
        <w:t>art. 29 i art. 30</w:t>
      </w:r>
      <w:r w:rsidRPr="00026232">
        <w:rPr>
          <w:rFonts w:ascii="Times New Roman" w:hAnsi="Times New Roman" w:cs="Times New Roman"/>
          <w:szCs w:val="24"/>
        </w:rPr>
        <w:t xml:space="preserve"> </w:t>
      </w:r>
      <w:r>
        <w:rPr>
          <w:rFonts w:ascii="Times New Roman" w:hAnsi="Times New Roman" w:cs="Times New Roman"/>
          <w:szCs w:val="24"/>
        </w:rPr>
        <w:t xml:space="preserve">Ustawy </w:t>
      </w:r>
      <w:r w:rsidRPr="00026232">
        <w:rPr>
          <w:rFonts w:ascii="Times New Roman" w:hAnsi="Times New Roman" w:cs="Times New Roman"/>
          <w:szCs w:val="24"/>
        </w:rPr>
        <w:t>dotyczą powiernika, powoływanego zgodnie z dotychczasowym art. 27 ust. 1</w:t>
      </w:r>
      <w:r>
        <w:rPr>
          <w:rFonts w:ascii="Times New Roman" w:hAnsi="Times New Roman" w:cs="Times New Roman"/>
          <w:szCs w:val="24"/>
        </w:rPr>
        <w:t xml:space="preserve"> Ustawy</w:t>
      </w:r>
      <w:r w:rsidRPr="00026232">
        <w:rPr>
          <w:rFonts w:ascii="Times New Roman" w:hAnsi="Times New Roman" w:cs="Times New Roman"/>
          <w:szCs w:val="24"/>
        </w:rPr>
        <w:t xml:space="preserve">, przy każdym banku hipotecznym. Zaproponowano modyfikację statusu niezależności gwarantowanej obecnym art. 29 ust. 1 </w:t>
      </w:r>
      <w:r>
        <w:rPr>
          <w:rFonts w:ascii="Times New Roman" w:hAnsi="Times New Roman" w:cs="Times New Roman"/>
          <w:szCs w:val="24"/>
        </w:rPr>
        <w:t xml:space="preserve">Ustawy </w:t>
      </w:r>
      <w:r w:rsidRPr="00026232">
        <w:rPr>
          <w:rFonts w:ascii="Times New Roman" w:hAnsi="Times New Roman" w:cs="Times New Roman"/>
          <w:szCs w:val="24"/>
        </w:rPr>
        <w:t xml:space="preserve">poprzez wyraźne wskazanie, w dodawanym ust. 3 ww. artykułu, że powiernik i jego zastępca wykonują czynności niezależnie od biegłych rewidentów i firm audytorskich. Wprowadzenie ww. regulacji wynika z art. 13 ust. 3 dyrektywy </w:t>
      </w:r>
      <w:r>
        <w:rPr>
          <w:rFonts w:ascii="Times New Roman" w:eastAsia="Calibri" w:hAnsi="Times New Roman" w:cs="Times New Roman"/>
          <w:szCs w:val="24"/>
        </w:rPr>
        <w:t>2019/2162</w:t>
      </w:r>
      <w:r w:rsidRPr="00026232">
        <w:rPr>
          <w:rFonts w:ascii="Times New Roman" w:hAnsi="Times New Roman" w:cs="Times New Roman"/>
          <w:szCs w:val="24"/>
        </w:rPr>
        <w:t xml:space="preserve">. W świetle projektowanego </w:t>
      </w:r>
      <w:r>
        <w:rPr>
          <w:rFonts w:ascii="Times New Roman" w:hAnsi="Times New Roman" w:cs="Times New Roman"/>
          <w:szCs w:val="24"/>
        </w:rPr>
        <w:t xml:space="preserve">brzmienia </w:t>
      </w:r>
      <w:r w:rsidRPr="00026232">
        <w:rPr>
          <w:rFonts w:ascii="Times New Roman" w:hAnsi="Times New Roman" w:cs="Times New Roman"/>
          <w:szCs w:val="24"/>
        </w:rPr>
        <w:t xml:space="preserve">art. 30 </w:t>
      </w:r>
      <w:r>
        <w:rPr>
          <w:rFonts w:ascii="Times New Roman" w:hAnsi="Times New Roman" w:cs="Times New Roman"/>
          <w:szCs w:val="24"/>
        </w:rPr>
        <w:t xml:space="preserve">ust. 2 Ustawy </w:t>
      </w:r>
      <w:r w:rsidRPr="00026232">
        <w:rPr>
          <w:rFonts w:ascii="Times New Roman" w:hAnsi="Times New Roman" w:cs="Times New Roman"/>
          <w:szCs w:val="24"/>
        </w:rPr>
        <w:t>powiernik</w:t>
      </w:r>
      <w:r>
        <w:rPr>
          <w:rFonts w:ascii="Times New Roman" w:hAnsi="Times New Roman" w:cs="Times New Roman"/>
          <w:szCs w:val="24"/>
        </w:rPr>
        <w:t xml:space="preserve"> corocznie</w:t>
      </w:r>
      <w:r w:rsidRPr="00026232">
        <w:rPr>
          <w:rFonts w:ascii="Times New Roman" w:hAnsi="Times New Roman" w:cs="Times New Roman"/>
          <w:szCs w:val="24"/>
        </w:rPr>
        <w:t>, w terminie do dnia 31 marca, przedstawia Komisji Nadzoru Finansowego sprawozdanie za rok poprzedni</w:t>
      </w:r>
      <w:r>
        <w:rPr>
          <w:rFonts w:ascii="Times New Roman" w:hAnsi="Times New Roman" w:cs="Times New Roman"/>
          <w:szCs w:val="24"/>
        </w:rPr>
        <w:t xml:space="preserve">, który to obowiązek wynika z art. 13 ust. 2 lit. d dyrektywy 2019/2162. Jednocześnie w </w:t>
      </w:r>
      <w:r w:rsidRPr="00D60338">
        <w:rPr>
          <w:rFonts w:ascii="Times New Roman" w:hAnsi="Times New Roman" w:cs="Times New Roman"/>
          <w:b/>
          <w:szCs w:val="24"/>
        </w:rPr>
        <w:t xml:space="preserve">art. </w:t>
      </w:r>
      <w:r>
        <w:rPr>
          <w:rFonts w:ascii="Times New Roman" w:hAnsi="Times New Roman" w:cs="Times New Roman"/>
          <w:b/>
          <w:szCs w:val="24"/>
        </w:rPr>
        <w:t>5</w:t>
      </w:r>
      <w:r w:rsidRPr="00D60338">
        <w:rPr>
          <w:rFonts w:ascii="Times New Roman" w:hAnsi="Times New Roman" w:cs="Times New Roman"/>
          <w:b/>
          <w:szCs w:val="24"/>
        </w:rPr>
        <w:t xml:space="preserve"> projektu</w:t>
      </w:r>
      <w:r>
        <w:rPr>
          <w:rFonts w:ascii="Times New Roman" w:hAnsi="Times New Roman" w:cs="Times New Roman"/>
          <w:szCs w:val="24"/>
        </w:rPr>
        <w:t xml:space="preserve"> wprowadzono przepis dotyczący terminu złożenia pierwszego sprawozdania przez powiernika, a także zakresu tego sprawozdania.</w:t>
      </w:r>
    </w:p>
    <w:p w14:paraId="49ED0073" w14:textId="77777777" w:rsidR="00EF441C" w:rsidRPr="00026232" w:rsidRDefault="00EF441C" w:rsidP="00EF441C">
      <w:pPr>
        <w:pStyle w:val="ZARTzmartartykuempunktem"/>
        <w:spacing w:after="200"/>
        <w:ind w:left="0" w:firstLine="0"/>
        <w:rPr>
          <w:rFonts w:ascii="Times New Roman" w:eastAsia="Times New Roman" w:hAnsi="Times New Roman" w:cs="Times New Roman"/>
          <w:szCs w:val="24"/>
        </w:rPr>
      </w:pPr>
      <w:r>
        <w:rPr>
          <w:rFonts w:ascii="Times New Roman" w:eastAsia="Times New Roman" w:hAnsi="Times New Roman" w:cs="Times New Roman"/>
          <w:szCs w:val="24"/>
        </w:rPr>
        <w:t>Projektowane brzmienie</w:t>
      </w:r>
      <w:r w:rsidRPr="00026232">
        <w:rPr>
          <w:rFonts w:ascii="Times New Roman" w:eastAsia="Times New Roman" w:hAnsi="Times New Roman" w:cs="Times New Roman"/>
          <w:szCs w:val="24"/>
        </w:rPr>
        <w:t xml:space="preserve"> </w:t>
      </w:r>
      <w:r w:rsidRPr="00026232">
        <w:rPr>
          <w:rFonts w:ascii="Times New Roman" w:eastAsia="Times New Roman" w:hAnsi="Times New Roman" w:cs="Times New Roman"/>
          <w:b/>
          <w:szCs w:val="24"/>
        </w:rPr>
        <w:t>art. 33a-</w:t>
      </w:r>
      <w:r>
        <w:rPr>
          <w:rFonts w:ascii="Times New Roman" w:eastAsia="Times New Roman" w:hAnsi="Times New Roman" w:cs="Times New Roman"/>
          <w:b/>
          <w:szCs w:val="24"/>
        </w:rPr>
        <w:t xml:space="preserve">art. </w:t>
      </w:r>
      <w:r w:rsidRPr="00026232">
        <w:rPr>
          <w:rFonts w:ascii="Times New Roman" w:eastAsia="Times New Roman" w:hAnsi="Times New Roman" w:cs="Times New Roman"/>
          <w:b/>
          <w:szCs w:val="24"/>
        </w:rPr>
        <w:t>33c</w:t>
      </w:r>
      <w:r w:rsidRPr="0002623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Ustawy </w:t>
      </w:r>
      <w:r w:rsidRPr="00026232">
        <w:rPr>
          <w:rFonts w:ascii="Times New Roman" w:eastAsia="Times New Roman" w:hAnsi="Times New Roman" w:cs="Times New Roman"/>
          <w:szCs w:val="24"/>
        </w:rPr>
        <w:t>dotyczą nadzoru sprawowanego przez Komisję Nadzoru Finansowego nad wykonywaniem działalności w zakresie emisji listów zastawnych.</w:t>
      </w:r>
    </w:p>
    <w:p w14:paraId="24372162" w14:textId="77777777" w:rsidR="00EF441C" w:rsidRDefault="00EF441C" w:rsidP="00EF441C">
      <w:pPr>
        <w:pStyle w:val="PKTpunkt"/>
        <w:tabs>
          <w:tab w:val="left" w:pos="1364"/>
          <w:tab w:val="left" w:pos="3731"/>
        </w:tabs>
        <w:spacing w:after="200"/>
        <w:ind w:left="0" w:firstLine="0"/>
        <w:rPr>
          <w:rFonts w:ascii="Times New Roman" w:hAnsi="Times New Roman"/>
        </w:rPr>
      </w:pPr>
      <w:r>
        <w:rPr>
          <w:rFonts w:ascii="Times New Roman" w:hAnsi="Times New Roman"/>
        </w:rPr>
        <w:t>Dyrektywa 2019/2162 wymaga w art. 19 ust. 1, aby państwa członkowskie wprowadziły wymóg uzyskania zezwolenia dotyczącego programu emisji obligacji zabezpieczonych. Jednocześnie należy wskazać, iż art. 19 ust. 2 dyrektywy 2019/2162 wskazuje na podstawowy katalog wymogów warunkujących uzyskania ww. zezwolenia. W związku z powyższym p</w:t>
      </w:r>
      <w:r w:rsidRPr="00D60338">
        <w:rPr>
          <w:rFonts w:ascii="Times New Roman" w:hAnsi="Times New Roman"/>
        </w:rPr>
        <w:t>rojektowane brzmienie</w:t>
      </w:r>
      <w:r>
        <w:rPr>
          <w:rFonts w:ascii="Times New Roman" w:hAnsi="Times New Roman"/>
          <w:b/>
        </w:rPr>
        <w:t xml:space="preserve"> a</w:t>
      </w:r>
      <w:r w:rsidRPr="00026232">
        <w:rPr>
          <w:rFonts w:ascii="Times New Roman" w:hAnsi="Times New Roman"/>
          <w:b/>
        </w:rPr>
        <w:t>rt. 33a</w:t>
      </w:r>
      <w:r w:rsidRPr="00026232">
        <w:rPr>
          <w:rFonts w:ascii="Times New Roman" w:hAnsi="Times New Roman"/>
        </w:rPr>
        <w:t xml:space="preserve"> </w:t>
      </w:r>
      <w:r>
        <w:rPr>
          <w:rFonts w:ascii="Times New Roman" w:hAnsi="Times New Roman"/>
        </w:rPr>
        <w:t xml:space="preserve">Ustawy </w:t>
      </w:r>
      <w:r w:rsidRPr="00026232">
        <w:rPr>
          <w:rFonts w:ascii="Times New Roman" w:hAnsi="Times New Roman"/>
        </w:rPr>
        <w:t>określa wymóg uzyskania przez bank hipoteczny zezwolenia Komisji Nadzoru Finansowego na program emisji listów zastawnych oraz zasady wydawania tego zezwolenia. W projektowanych przepisach wskazano, iż zezwolenie na program emisji listów zastawnych</w:t>
      </w:r>
      <w:r>
        <w:rPr>
          <w:rFonts w:ascii="Times New Roman" w:hAnsi="Times New Roman"/>
        </w:rPr>
        <w:t xml:space="preserve"> </w:t>
      </w:r>
      <w:r w:rsidRPr="006C2A02">
        <w:t>jest wydawane odrębnie na program emisji hipotecznych</w:t>
      </w:r>
      <w:r w:rsidRPr="007B0459">
        <w:t xml:space="preserve"> </w:t>
      </w:r>
      <w:r w:rsidRPr="006C2A02">
        <w:t>listów zastawnych</w:t>
      </w:r>
      <w:r>
        <w:t xml:space="preserve"> oraz program emisji </w:t>
      </w:r>
      <w:r w:rsidRPr="006C2A02">
        <w:t>publicznych listów zastawnych</w:t>
      </w:r>
      <w:r>
        <w:rPr>
          <w:rFonts w:ascii="Times New Roman" w:hAnsi="Times New Roman"/>
        </w:rPr>
        <w:t xml:space="preserve">, </w:t>
      </w:r>
      <w:r w:rsidRPr="00026232">
        <w:rPr>
          <w:rFonts w:ascii="Times New Roman" w:hAnsi="Times New Roman"/>
        </w:rPr>
        <w:t xml:space="preserve">na wniosek banku hipotecznego, przy czym </w:t>
      </w:r>
      <w:r>
        <w:rPr>
          <w:rFonts w:ascii="Times New Roman" w:hAnsi="Times New Roman"/>
        </w:rPr>
        <w:t xml:space="preserve">wniosek o udzielenie tego zezwolenia </w:t>
      </w:r>
      <w:r w:rsidRPr="00026232">
        <w:rPr>
          <w:rFonts w:ascii="Times New Roman" w:hAnsi="Times New Roman"/>
        </w:rPr>
        <w:t xml:space="preserve">może </w:t>
      </w:r>
      <w:r>
        <w:rPr>
          <w:rFonts w:ascii="Times New Roman" w:hAnsi="Times New Roman"/>
        </w:rPr>
        <w:t xml:space="preserve">zostać złożony </w:t>
      </w:r>
      <w:r w:rsidRPr="00026232">
        <w:rPr>
          <w:rFonts w:ascii="Times New Roman" w:hAnsi="Times New Roman"/>
        </w:rPr>
        <w:t>równocześnie z</w:t>
      </w:r>
      <w:r>
        <w:rPr>
          <w:rFonts w:ascii="Times New Roman" w:hAnsi="Times New Roman"/>
        </w:rPr>
        <w:t>e złożeniem wniosku o</w:t>
      </w:r>
      <w:r w:rsidRPr="00026232">
        <w:rPr>
          <w:rFonts w:ascii="Times New Roman" w:hAnsi="Times New Roman"/>
        </w:rPr>
        <w:t xml:space="preserve"> udzieleniem zezwolenia na rozpoczęcie działalności przez bank hipoteczny. </w:t>
      </w:r>
    </w:p>
    <w:p w14:paraId="72086BC3" w14:textId="77777777" w:rsidR="00EF441C" w:rsidRDefault="00EF441C" w:rsidP="00EF441C">
      <w:pPr>
        <w:pStyle w:val="PKTpunkt"/>
        <w:tabs>
          <w:tab w:val="left" w:pos="1364"/>
          <w:tab w:val="left" w:pos="3731"/>
        </w:tabs>
        <w:spacing w:after="200"/>
        <w:ind w:left="0" w:firstLine="0"/>
        <w:rPr>
          <w:rFonts w:ascii="Times New Roman" w:hAnsi="Times New Roman"/>
        </w:rPr>
      </w:pPr>
      <w:r w:rsidRPr="006C2A02">
        <w:t>Wniosek</w:t>
      </w:r>
      <w:r>
        <w:t xml:space="preserve"> o udzielenie zezwolenia na </w:t>
      </w:r>
      <w:r w:rsidRPr="0059106A">
        <w:t xml:space="preserve">program emisji </w:t>
      </w:r>
      <w:r w:rsidRPr="006C2A02">
        <w:t>hipotecznych</w:t>
      </w:r>
      <w:r w:rsidRPr="007B0459">
        <w:t xml:space="preserve"> </w:t>
      </w:r>
      <w:r w:rsidRPr="0059106A">
        <w:t>listów zastawnych</w:t>
      </w:r>
      <w:r>
        <w:t xml:space="preserve"> lub program emisji </w:t>
      </w:r>
      <w:r w:rsidRPr="006C2A02">
        <w:t>publicznych listów zastawnych</w:t>
      </w:r>
      <w:r>
        <w:t xml:space="preserve">, o którym mowa w projektowanym brzmieniu </w:t>
      </w:r>
      <w:r w:rsidRPr="00384A30">
        <w:rPr>
          <w:rFonts w:ascii="Times New Roman" w:hAnsi="Times New Roman"/>
          <w:b/>
        </w:rPr>
        <w:t>art. 33b</w:t>
      </w:r>
      <w:r>
        <w:rPr>
          <w:rFonts w:ascii="Times New Roman" w:hAnsi="Times New Roman"/>
          <w:b/>
        </w:rPr>
        <w:t xml:space="preserve"> </w:t>
      </w:r>
      <w:r w:rsidRPr="00D60338">
        <w:rPr>
          <w:rFonts w:ascii="Times New Roman" w:hAnsi="Times New Roman"/>
        </w:rPr>
        <w:t>Ustawy</w:t>
      </w:r>
      <w:r w:rsidRPr="00026232">
        <w:rPr>
          <w:rFonts w:ascii="Times New Roman" w:hAnsi="Times New Roman"/>
        </w:rPr>
        <w:t xml:space="preserve">, powinien zawierać określone kategorie informacji, których zakres odpowiada wymogom </w:t>
      </w:r>
      <w:r>
        <w:rPr>
          <w:rFonts w:ascii="Times New Roman" w:hAnsi="Times New Roman"/>
        </w:rPr>
        <w:t xml:space="preserve">sformułowanym </w:t>
      </w:r>
      <w:r w:rsidRPr="00026232">
        <w:rPr>
          <w:rFonts w:ascii="Times New Roman" w:hAnsi="Times New Roman"/>
        </w:rPr>
        <w:t xml:space="preserve">w art. 19 ust. 2 dyrektywy </w:t>
      </w:r>
      <w:r>
        <w:rPr>
          <w:rFonts w:ascii="Times New Roman" w:eastAsia="Calibri" w:hAnsi="Times New Roman"/>
        </w:rPr>
        <w:t>2019/2162</w:t>
      </w:r>
      <w:r w:rsidRPr="00026232">
        <w:rPr>
          <w:rFonts w:ascii="Times New Roman" w:hAnsi="Times New Roman"/>
        </w:rPr>
        <w:t xml:space="preserve">. </w:t>
      </w:r>
    </w:p>
    <w:p w14:paraId="481B1CC3" w14:textId="77777777" w:rsidR="00EF441C" w:rsidRDefault="00EF441C" w:rsidP="00EF441C">
      <w:pPr>
        <w:pStyle w:val="PKTpunkt"/>
        <w:tabs>
          <w:tab w:val="left" w:pos="1364"/>
          <w:tab w:val="left" w:pos="3731"/>
        </w:tabs>
        <w:spacing w:after="200"/>
        <w:ind w:left="0" w:firstLine="0"/>
        <w:rPr>
          <w:rFonts w:ascii="Times New Roman" w:hAnsi="Times New Roman"/>
        </w:rPr>
      </w:pPr>
      <w:r>
        <w:rPr>
          <w:rFonts w:ascii="Times New Roman" w:hAnsi="Times New Roman"/>
        </w:rPr>
        <w:t xml:space="preserve">Przesłanki wydania zezwolenia na program emisji listów zastawnych oraz przesłanki odmowy wydania takiego zezwolenia zostały określone w projektowanym brzmieniu </w:t>
      </w:r>
      <w:r w:rsidRPr="00574F35">
        <w:rPr>
          <w:rFonts w:ascii="Times New Roman" w:hAnsi="Times New Roman"/>
          <w:b/>
        </w:rPr>
        <w:t>art. 33c</w:t>
      </w:r>
      <w:r>
        <w:rPr>
          <w:rFonts w:ascii="Times New Roman" w:hAnsi="Times New Roman"/>
          <w:b/>
        </w:rPr>
        <w:t xml:space="preserve"> </w:t>
      </w:r>
      <w:r w:rsidRPr="00D60338">
        <w:rPr>
          <w:rFonts w:ascii="Times New Roman" w:hAnsi="Times New Roman"/>
        </w:rPr>
        <w:t>Ustawy</w:t>
      </w:r>
      <w:r>
        <w:rPr>
          <w:rFonts w:ascii="Times New Roman" w:hAnsi="Times New Roman"/>
        </w:rPr>
        <w:t xml:space="preserve">. </w:t>
      </w:r>
      <w:r>
        <w:rPr>
          <w:rFonts w:ascii="Times New Roman" w:hAnsi="Times New Roman"/>
        </w:rPr>
        <w:lastRenderedPageBreak/>
        <w:t xml:space="preserve">Dodatkowo w projektowanym brzmieniu </w:t>
      </w:r>
      <w:r w:rsidRPr="00574F35">
        <w:rPr>
          <w:rFonts w:ascii="Times New Roman" w:hAnsi="Times New Roman"/>
          <w:b/>
        </w:rPr>
        <w:t>art. 33d</w:t>
      </w:r>
      <w:r>
        <w:rPr>
          <w:rFonts w:ascii="Times New Roman" w:hAnsi="Times New Roman"/>
        </w:rPr>
        <w:t xml:space="preserve"> Ustawy określono zakres informacji, które będą wskazywane w zezwoleniu, w tym terminy rozpoczęcia realizacji programu emisji listów zastawnych. </w:t>
      </w:r>
      <w:r w:rsidRPr="00026232">
        <w:rPr>
          <w:rFonts w:ascii="Times New Roman" w:hAnsi="Times New Roman"/>
        </w:rPr>
        <w:t xml:space="preserve">Komisja Nadzoru Finansowego </w:t>
      </w:r>
      <w:r>
        <w:rPr>
          <w:rFonts w:ascii="Times New Roman" w:hAnsi="Times New Roman"/>
        </w:rPr>
        <w:t xml:space="preserve">będzie wydawała </w:t>
      </w:r>
      <w:r w:rsidRPr="00026232">
        <w:rPr>
          <w:rFonts w:ascii="Times New Roman" w:hAnsi="Times New Roman"/>
        </w:rPr>
        <w:t xml:space="preserve">zezwolenie </w:t>
      </w:r>
      <w:r>
        <w:rPr>
          <w:rFonts w:ascii="Times New Roman" w:hAnsi="Times New Roman"/>
        </w:rPr>
        <w:t xml:space="preserve">na program emisji listów zastawnych </w:t>
      </w:r>
      <w:r w:rsidRPr="00026232">
        <w:rPr>
          <w:rFonts w:ascii="Times New Roman" w:hAnsi="Times New Roman"/>
        </w:rPr>
        <w:t>w  drodze decyzji administracyjnej</w:t>
      </w:r>
      <w:r>
        <w:rPr>
          <w:rFonts w:ascii="Times New Roman" w:hAnsi="Times New Roman"/>
        </w:rPr>
        <w:t>. Dodatkowo</w:t>
      </w:r>
      <w:r w:rsidRPr="00026232">
        <w:rPr>
          <w:rFonts w:ascii="Times New Roman" w:hAnsi="Times New Roman"/>
        </w:rPr>
        <w:t xml:space="preserve"> Komisja Nadzoru Finansowego </w:t>
      </w:r>
      <w:r>
        <w:rPr>
          <w:rFonts w:ascii="Times New Roman" w:hAnsi="Times New Roman"/>
        </w:rPr>
        <w:t xml:space="preserve">będzie </w:t>
      </w:r>
      <w:r w:rsidRPr="00026232">
        <w:rPr>
          <w:rFonts w:ascii="Times New Roman" w:hAnsi="Times New Roman"/>
        </w:rPr>
        <w:t>przekaz</w:t>
      </w:r>
      <w:r>
        <w:rPr>
          <w:rFonts w:ascii="Times New Roman" w:hAnsi="Times New Roman"/>
        </w:rPr>
        <w:t>ywała</w:t>
      </w:r>
      <w:r w:rsidRPr="00026232">
        <w:rPr>
          <w:rFonts w:ascii="Times New Roman" w:hAnsi="Times New Roman"/>
        </w:rPr>
        <w:t xml:space="preserve"> informacj</w:t>
      </w:r>
      <w:r>
        <w:rPr>
          <w:rFonts w:ascii="Times New Roman" w:hAnsi="Times New Roman"/>
        </w:rPr>
        <w:t>e</w:t>
      </w:r>
      <w:r w:rsidRPr="00026232">
        <w:rPr>
          <w:rFonts w:ascii="Times New Roman" w:hAnsi="Times New Roman"/>
        </w:rPr>
        <w:t xml:space="preserve"> o  udzielonym zezwoleniu Europejskiemu Urzędowi Nadzoru Bankowego i Europejskiemu Urzędowi Nadzoru Giełd i Papierów Wartościowych.</w:t>
      </w:r>
    </w:p>
    <w:p w14:paraId="532B47AB" w14:textId="77777777" w:rsidR="00EF441C" w:rsidRPr="00026232" w:rsidRDefault="00EF441C" w:rsidP="00EF441C">
      <w:pPr>
        <w:pStyle w:val="ARTartustawynprozporzdzenia"/>
        <w:spacing w:before="0" w:after="200"/>
        <w:ind w:firstLine="0"/>
        <w:rPr>
          <w:rFonts w:ascii="Times New Roman" w:hAnsi="Times New Roman" w:cs="Times New Roman"/>
          <w:szCs w:val="24"/>
        </w:rPr>
      </w:pPr>
      <w:r w:rsidRPr="00026232">
        <w:rPr>
          <w:rFonts w:ascii="Times New Roman" w:hAnsi="Times New Roman" w:cs="Times New Roman"/>
          <w:szCs w:val="24"/>
        </w:rPr>
        <w:t xml:space="preserve">Zgodnie z projektowanym </w:t>
      </w:r>
      <w:r>
        <w:rPr>
          <w:rFonts w:ascii="Times New Roman" w:hAnsi="Times New Roman" w:cs="Times New Roman"/>
          <w:szCs w:val="24"/>
        </w:rPr>
        <w:t xml:space="preserve">brzmieniem </w:t>
      </w:r>
      <w:r w:rsidRPr="00026232">
        <w:rPr>
          <w:rFonts w:ascii="Times New Roman" w:hAnsi="Times New Roman" w:cs="Times New Roman"/>
          <w:b/>
          <w:szCs w:val="24"/>
        </w:rPr>
        <w:t>art. 33</w:t>
      </w:r>
      <w:r>
        <w:rPr>
          <w:rFonts w:ascii="Times New Roman" w:hAnsi="Times New Roman" w:cs="Times New Roman"/>
          <w:b/>
          <w:szCs w:val="24"/>
        </w:rPr>
        <w:t>e</w:t>
      </w:r>
      <w:r w:rsidRPr="00026232">
        <w:rPr>
          <w:rFonts w:ascii="Times New Roman" w:hAnsi="Times New Roman" w:cs="Times New Roman"/>
          <w:b/>
          <w:szCs w:val="24"/>
        </w:rPr>
        <w:t xml:space="preserve"> ust. 1 </w:t>
      </w:r>
      <w:r w:rsidRPr="00D60338">
        <w:rPr>
          <w:rFonts w:ascii="Times New Roman" w:hAnsi="Times New Roman" w:cs="Times New Roman"/>
          <w:szCs w:val="24"/>
        </w:rPr>
        <w:t>Ustawy</w:t>
      </w:r>
      <w:r>
        <w:rPr>
          <w:rFonts w:ascii="Times New Roman" w:hAnsi="Times New Roman" w:cs="Times New Roman"/>
          <w:b/>
          <w:szCs w:val="24"/>
        </w:rPr>
        <w:t xml:space="preserve"> </w:t>
      </w:r>
      <w:r w:rsidRPr="00026232">
        <w:rPr>
          <w:rFonts w:ascii="Times New Roman" w:hAnsi="Times New Roman" w:cs="Times New Roman"/>
          <w:szCs w:val="24"/>
        </w:rPr>
        <w:t xml:space="preserve">Komisja Nadzoru Finansowego zostaje zobowiązana do monitorowania </w:t>
      </w:r>
      <w:r>
        <w:rPr>
          <w:rFonts w:ascii="Times New Roman" w:hAnsi="Times New Roman" w:cs="Times New Roman"/>
          <w:szCs w:val="24"/>
        </w:rPr>
        <w:t>realizacji</w:t>
      </w:r>
      <w:r w:rsidRPr="00026232">
        <w:rPr>
          <w:rFonts w:ascii="Times New Roman" w:hAnsi="Times New Roman" w:cs="Times New Roman"/>
          <w:szCs w:val="24"/>
        </w:rPr>
        <w:t xml:space="preserve"> programów emisji listów zastawnych </w:t>
      </w:r>
      <w:r>
        <w:rPr>
          <w:rFonts w:ascii="Times New Roman" w:hAnsi="Times New Roman" w:cs="Times New Roman"/>
          <w:szCs w:val="24"/>
        </w:rPr>
        <w:t>oraz do dokonania</w:t>
      </w:r>
      <w:r w:rsidRPr="00026232">
        <w:rPr>
          <w:rFonts w:ascii="Times New Roman" w:hAnsi="Times New Roman" w:cs="Times New Roman"/>
          <w:szCs w:val="24"/>
        </w:rPr>
        <w:t xml:space="preserve"> oceny</w:t>
      </w:r>
      <w:r>
        <w:rPr>
          <w:rFonts w:ascii="Times New Roman" w:hAnsi="Times New Roman" w:cs="Times New Roman"/>
          <w:szCs w:val="24"/>
        </w:rPr>
        <w:t>, nie rzadziej niż raz na 6 miesięcy,</w:t>
      </w:r>
      <w:r w:rsidRPr="00026232">
        <w:rPr>
          <w:rFonts w:ascii="Times New Roman" w:hAnsi="Times New Roman" w:cs="Times New Roman"/>
          <w:szCs w:val="24"/>
        </w:rPr>
        <w:t xml:space="preserve"> spełnienia warunków na jakich zostało udzielone zezwolenie na pr</w:t>
      </w:r>
      <w:r>
        <w:rPr>
          <w:rFonts w:ascii="Times New Roman" w:hAnsi="Times New Roman" w:cs="Times New Roman"/>
          <w:szCs w:val="24"/>
        </w:rPr>
        <w:t>ogram emisji listów zastawnych. Powyższa regulacja determinowana jest wdrożeniem art. 18 ust. 3 dyrektywy 2019/2162.</w:t>
      </w:r>
    </w:p>
    <w:p w14:paraId="3E695B5D" w14:textId="77777777" w:rsidR="00EF441C" w:rsidRPr="00A45627"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Projektowane brzmienie</w:t>
      </w:r>
      <w:r w:rsidRPr="00026232">
        <w:rPr>
          <w:rFonts w:ascii="Times New Roman" w:hAnsi="Times New Roman" w:cs="Times New Roman"/>
          <w:sz w:val="24"/>
          <w:szCs w:val="24"/>
        </w:rPr>
        <w:t xml:space="preserve"> </w:t>
      </w:r>
      <w:r w:rsidRPr="00026232">
        <w:rPr>
          <w:rFonts w:ascii="Times New Roman" w:hAnsi="Times New Roman" w:cs="Times New Roman"/>
          <w:b/>
          <w:sz w:val="24"/>
          <w:szCs w:val="24"/>
        </w:rPr>
        <w:t>art. 33</w:t>
      </w:r>
      <w:r>
        <w:rPr>
          <w:rFonts w:ascii="Times New Roman" w:hAnsi="Times New Roman" w:cs="Times New Roman"/>
          <w:b/>
          <w:sz w:val="24"/>
          <w:szCs w:val="24"/>
        </w:rPr>
        <w:t>f</w:t>
      </w:r>
      <w:r w:rsidRPr="00026232">
        <w:rPr>
          <w:rFonts w:ascii="Times New Roman" w:hAnsi="Times New Roman" w:cs="Times New Roman"/>
          <w:sz w:val="24"/>
          <w:szCs w:val="24"/>
        </w:rPr>
        <w:t xml:space="preserve"> </w:t>
      </w:r>
      <w:r w:rsidRPr="00D60338">
        <w:rPr>
          <w:rFonts w:ascii="Times New Roman" w:hAnsi="Times New Roman" w:cs="Times New Roman"/>
          <w:b/>
          <w:sz w:val="24"/>
          <w:szCs w:val="24"/>
        </w:rPr>
        <w:t>ust. 1</w:t>
      </w:r>
      <w:r>
        <w:rPr>
          <w:rFonts w:ascii="Times New Roman" w:hAnsi="Times New Roman" w:cs="Times New Roman"/>
          <w:sz w:val="24"/>
          <w:szCs w:val="24"/>
        </w:rPr>
        <w:t xml:space="preserve"> Ustawy </w:t>
      </w:r>
      <w:r w:rsidRPr="00026232">
        <w:rPr>
          <w:rFonts w:ascii="Times New Roman" w:hAnsi="Times New Roman" w:cs="Times New Roman"/>
          <w:sz w:val="24"/>
          <w:szCs w:val="24"/>
        </w:rPr>
        <w:t xml:space="preserve">nakłada wymóg prowadzenia przez Komisję Nadzoru Finansowego </w:t>
      </w:r>
      <w:r>
        <w:rPr>
          <w:rFonts w:ascii="Times New Roman" w:hAnsi="Times New Roman" w:cs="Times New Roman"/>
          <w:sz w:val="24"/>
          <w:szCs w:val="24"/>
        </w:rPr>
        <w:t>wykazu</w:t>
      </w:r>
      <w:r w:rsidRPr="00026232">
        <w:rPr>
          <w:rFonts w:ascii="Times New Roman" w:hAnsi="Times New Roman" w:cs="Times New Roman"/>
          <w:sz w:val="24"/>
          <w:szCs w:val="24"/>
        </w:rPr>
        <w:t xml:space="preserve"> banków hipotecznych, posiadających zezwolenie na program emisji listów zastawnych. Komisja </w:t>
      </w:r>
      <w:r>
        <w:rPr>
          <w:rFonts w:ascii="Times New Roman" w:hAnsi="Times New Roman" w:cs="Times New Roman"/>
          <w:sz w:val="24"/>
          <w:szCs w:val="24"/>
        </w:rPr>
        <w:t>będzie również prowadziła</w:t>
      </w:r>
      <w:r w:rsidRPr="00026232">
        <w:rPr>
          <w:rFonts w:ascii="Times New Roman" w:hAnsi="Times New Roman" w:cs="Times New Roman"/>
          <w:sz w:val="24"/>
          <w:szCs w:val="24"/>
        </w:rPr>
        <w:t xml:space="preserve"> rejestr listów zastawnych oznaczonych jako „</w:t>
      </w:r>
      <w:r>
        <w:rPr>
          <w:rFonts w:ascii="Times New Roman" w:hAnsi="Times New Roman" w:cs="Times New Roman"/>
          <w:sz w:val="24"/>
          <w:szCs w:val="24"/>
        </w:rPr>
        <w:t>e</w:t>
      </w:r>
      <w:r w:rsidRPr="00026232">
        <w:rPr>
          <w:rFonts w:ascii="Times New Roman" w:hAnsi="Times New Roman" w:cs="Times New Roman"/>
          <w:sz w:val="24"/>
          <w:szCs w:val="24"/>
        </w:rPr>
        <w:t xml:space="preserve">uropejski </w:t>
      </w:r>
      <w:r>
        <w:rPr>
          <w:rFonts w:ascii="Times New Roman" w:hAnsi="Times New Roman" w:cs="Times New Roman"/>
          <w:sz w:val="24"/>
          <w:szCs w:val="24"/>
        </w:rPr>
        <w:t>l</w:t>
      </w:r>
      <w:r w:rsidRPr="00026232">
        <w:rPr>
          <w:rFonts w:ascii="Times New Roman" w:hAnsi="Times New Roman" w:cs="Times New Roman"/>
          <w:sz w:val="24"/>
          <w:szCs w:val="24"/>
        </w:rPr>
        <w:t xml:space="preserve">ist </w:t>
      </w:r>
      <w:r>
        <w:rPr>
          <w:rFonts w:ascii="Times New Roman" w:hAnsi="Times New Roman" w:cs="Times New Roman"/>
          <w:sz w:val="24"/>
          <w:szCs w:val="24"/>
        </w:rPr>
        <w:t>z</w:t>
      </w:r>
      <w:r w:rsidRPr="00026232">
        <w:rPr>
          <w:rFonts w:ascii="Times New Roman" w:hAnsi="Times New Roman" w:cs="Times New Roman"/>
          <w:sz w:val="24"/>
          <w:szCs w:val="24"/>
        </w:rPr>
        <w:t>astawny”</w:t>
      </w:r>
      <w:r>
        <w:rPr>
          <w:rFonts w:ascii="Times New Roman" w:hAnsi="Times New Roman" w:cs="Times New Roman"/>
          <w:sz w:val="24"/>
          <w:szCs w:val="24"/>
        </w:rPr>
        <w:t xml:space="preserve"> lub „e</w:t>
      </w:r>
      <w:r w:rsidRPr="00026232">
        <w:rPr>
          <w:rFonts w:ascii="Times New Roman" w:hAnsi="Times New Roman" w:cs="Times New Roman"/>
          <w:sz w:val="24"/>
          <w:szCs w:val="24"/>
        </w:rPr>
        <w:t xml:space="preserve">uropejska </w:t>
      </w:r>
      <w:r>
        <w:rPr>
          <w:rFonts w:ascii="Times New Roman" w:hAnsi="Times New Roman" w:cs="Times New Roman"/>
          <w:sz w:val="24"/>
          <w:szCs w:val="24"/>
        </w:rPr>
        <w:t>o</w:t>
      </w:r>
      <w:r w:rsidRPr="00026232">
        <w:rPr>
          <w:rFonts w:ascii="Times New Roman" w:hAnsi="Times New Roman" w:cs="Times New Roman"/>
          <w:sz w:val="24"/>
          <w:szCs w:val="24"/>
        </w:rPr>
        <w:t xml:space="preserve">bligacja </w:t>
      </w:r>
      <w:r>
        <w:rPr>
          <w:rFonts w:ascii="Times New Roman" w:hAnsi="Times New Roman" w:cs="Times New Roman"/>
          <w:sz w:val="24"/>
          <w:szCs w:val="24"/>
        </w:rPr>
        <w:t>z</w:t>
      </w:r>
      <w:r w:rsidRPr="00026232">
        <w:rPr>
          <w:rFonts w:ascii="Times New Roman" w:hAnsi="Times New Roman" w:cs="Times New Roman"/>
          <w:sz w:val="24"/>
          <w:szCs w:val="24"/>
        </w:rPr>
        <w:t>abezpieczona</w:t>
      </w:r>
      <w:r>
        <w:rPr>
          <w:rFonts w:ascii="Times New Roman" w:hAnsi="Times New Roman" w:cs="Times New Roman"/>
          <w:sz w:val="24"/>
          <w:szCs w:val="24"/>
        </w:rPr>
        <w:t xml:space="preserve">” (projektowane brzmienie </w:t>
      </w:r>
      <w:r w:rsidRPr="00D60338">
        <w:rPr>
          <w:rFonts w:ascii="Times New Roman" w:hAnsi="Times New Roman" w:cs="Times New Roman"/>
          <w:b/>
          <w:sz w:val="24"/>
          <w:szCs w:val="24"/>
        </w:rPr>
        <w:t>art. 33f ust. 4</w:t>
      </w:r>
      <w:r>
        <w:rPr>
          <w:rFonts w:ascii="Times New Roman" w:hAnsi="Times New Roman" w:cs="Times New Roman"/>
          <w:sz w:val="24"/>
          <w:szCs w:val="24"/>
        </w:rPr>
        <w:t xml:space="preserve"> Ustawy)</w:t>
      </w:r>
      <w:r w:rsidRPr="00026232">
        <w:rPr>
          <w:rFonts w:ascii="Times New Roman" w:hAnsi="Times New Roman" w:cs="Times New Roman"/>
          <w:sz w:val="24"/>
          <w:szCs w:val="24"/>
        </w:rPr>
        <w:t xml:space="preserve">. </w:t>
      </w:r>
      <w:r>
        <w:rPr>
          <w:rFonts w:ascii="Times New Roman" w:hAnsi="Times New Roman" w:cs="Times New Roman"/>
          <w:sz w:val="24"/>
          <w:szCs w:val="24"/>
        </w:rPr>
        <w:t>Oba ww. wykazy</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będą udostępniane </w:t>
      </w:r>
      <w:r w:rsidRPr="00026232">
        <w:rPr>
          <w:rFonts w:ascii="Times New Roman" w:hAnsi="Times New Roman" w:cs="Times New Roman"/>
          <w:sz w:val="24"/>
          <w:szCs w:val="24"/>
        </w:rPr>
        <w:t>na stronie internetowej Komisji Nadzoru Finansowego, która co roku</w:t>
      </w:r>
      <w:r>
        <w:rPr>
          <w:rFonts w:ascii="Times New Roman" w:hAnsi="Times New Roman" w:cs="Times New Roman"/>
          <w:sz w:val="24"/>
          <w:szCs w:val="24"/>
        </w:rPr>
        <w:t>, do dnia 31 stycznia,</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026232">
        <w:rPr>
          <w:rFonts w:ascii="Times New Roman" w:hAnsi="Times New Roman" w:cs="Times New Roman"/>
          <w:sz w:val="24"/>
          <w:szCs w:val="24"/>
        </w:rPr>
        <w:t>przekaz</w:t>
      </w:r>
      <w:r>
        <w:rPr>
          <w:rFonts w:ascii="Times New Roman" w:hAnsi="Times New Roman" w:cs="Times New Roman"/>
          <w:sz w:val="24"/>
          <w:szCs w:val="24"/>
        </w:rPr>
        <w:t>ywała</w:t>
      </w:r>
      <w:r w:rsidRPr="00026232">
        <w:rPr>
          <w:rFonts w:ascii="Times New Roman" w:hAnsi="Times New Roman" w:cs="Times New Roman"/>
          <w:sz w:val="24"/>
          <w:szCs w:val="24"/>
        </w:rPr>
        <w:t xml:space="preserve"> zawarte w nich informacje Europejskiemu Urzędowi Nadzoru Bankowego. Ponadto Komisja Nadzoru Finansowego zobowiązana została do udostępniania na swojej stronie internetowej obowiązując</w:t>
      </w:r>
      <w:r>
        <w:rPr>
          <w:rFonts w:ascii="Times New Roman" w:hAnsi="Times New Roman" w:cs="Times New Roman"/>
          <w:sz w:val="24"/>
          <w:szCs w:val="24"/>
        </w:rPr>
        <w:t>ych</w:t>
      </w:r>
      <w:r w:rsidRPr="00026232">
        <w:rPr>
          <w:rFonts w:ascii="Times New Roman" w:hAnsi="Times New Roman" w:cs="Times New Roman"/>
          <w:sz w:val="24"/>
          <w:szCs w:val="24"/>
        </w:rPr>
        <w:t xml:space="preserve"> oraz </w:t>
      </w:r>
      <w:r w:rsidRPr="00A45627">
        <w:rPr>
          <w:rFonts w:ascii="Times New Roman" w:hAnsi="Times New Roman" w:cs="Times New Roman"/>
          <w:sz w:val="24"/>
          <w:szCs w:val="24"/>
        </w:rPr>
        <w:t xml:space="preserve">projektowanych przepisów prawa powszechnie obowiązującego w zakresie listów zastawnych, wytycznych i stanowisk Komisji Nadzoru Finansowego oraz wytycznych europejskich urzędów nadzoru. </w:t>
      </w:r>
    </w:p>
    <w:p w14:paraId="6AE2DC5E"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Projektowane brzmienie</w:t>
      </w:r>
      <w:r w:rsidRPr="00026232">
        <w:rPr>
          <w:rFonts w:ascii="Times New Roman" w:hAnsi="Times New Roman" w:cs="Times New Roman"/>
          <w:b/>
          <w:sz w:val="24"/>
          <w:szCs w:val="24"/>
        </w:rPr>
        <w:t xml:space="preserve"> art. 33</w:t>
      </w:r>
      <w:r>
        <w:rPr>
          <w:rFonts w:ascii="Times New Roman" w:hAnsi="Times New Roman" w:cs="Times New Roman"/>
          <w:b/>
          <w:sz w:val="24"/>
          <w:szCs w:val="24"/>
        </w:rPr>
        <w:t>g</w:t>
      </w:r>
      <w:r w:rsidRPr="00026232">
        <w:rPr>
          <w:rFonts w:ascii="Times New Roman" w:hAnsi="Times New Roman" w:cs="Times New Roman"/>
          <w:b/>
          <w:sz w:val="24"/>
          <w:szCs w:val="24"/>
        </w:rPr>
        <w:t xml:space="preserve"> </w:t>
      </w:r>
      <w:r>
        <w:rPr>
          <w:rFonts w:ascii="Times New Roman" w:hAnsi="Times New Roman" w:cs="Times New Roman"/>
          <w:b/>
          <w:sz w:val="24"/>
          <w:szCs w:val="24"/>
        </w:rPr>
        <w:t xml:space="preserve">ust. 1 </w:t>
      </w:r>
      <w:r w:rsidRPr="00D60338">
        <w:rPr>
          <w:rFonts w:ascii="Times New Roman" w:hAnsi="Times New Roman" w:cs="Times New Roman"/>
          <w:sz w:val="24"/>
          <w:szCs w:val="24"/>
        </w:rPr>
        <w:t>Ustawy</w:t>
      </w:r>
      <w:r>
        <w:rPr>
          <w:rFonts w:ascii="Times New Roman" w:hAnsi="Times New Roman" w:cs="Times New Roman"/>
          <w:b/>
          <w:sz w:val="24"/>
          <w:szCs w:val="24"/>
        </w:rPr>
        <w:t xml:space="preserve"> </w:t>
      </w:r>
      <w:r w:rsidRPr="00D60338">
        <w:rPr>
          <w:rFonts w:ascii="Times New Roman" w:hAnsi="Times New Roman" w:cs="Times New Roman"/>
          <w:sz w:val="24"/>
          <w:szCs w:val="24"/>
        </w:rPr>
        <w:t>przewiduje</w:t>
      </w:r>
      <w:r>
        <w:rPr>
          <w:rFonts w:ascii="Times New Roman" w:hAnsi="Times New Roman" w:cs="Times New Roman"/>
          <w:b/>
          <w:sz w:val="24"/>
          <w:szCs w:val="24"/>
        </w:rPr>
        <w:t xml:space="preserve"> </w:t>
      </w:r>
      <w:r w:rsidRPr="00026232">
        <w:rPr>
          <w:rFonts w:ascii="Times New Roman" w:hAnsi="Times New Roman" w:cs="Times New Roman"/>
          <w:sz w:val="24"/>
          <w:szCs w:val="24"/>
        </w:rPr>
        <w:t>wprowadz</w:t>
      </w:r>
      <w:r>
        <w:rPr>
          <w:rFonts w:ascii="Times New Roman" w:hAnsi="Times New Roman" w:cs="Times New Roman"/>
          <w:sz w:val="24"/>
          <w:szCs w:val="24"/>
        </w:rPr>
        <w:t>enie</w:t>
      </w:r>
      <w:r w:rsidRPr="00026232">
        <w:rPr>
          <w:rFonts w:ascii="Times New Roman" w:hAnsi="Times New Roman" w:cs="Times New Roman"/>
          <w:sz w:val="24"/>
          <w:szCs w:val="24"/>
        </w:rPr>
        <w:t xml:space="preserve"> obowiąz</w:t>
      </w:r>
      <w:r>
        <w:rPr>
          <w:rFonts w:ascii="Times New Roman" w:hAnsi="Times New Roman" w:cs="Times New Roman"/>
          <w:sz w:val="24"/>
          <w:szCs w:val="24"/>
        </w:rPr>
        <w:t>ku</w:t>
      </w:r>
      <w:r w:rsidRPr="00026232">
        <w:rPr>
          <w:rFonts w:ascii="Times New Roman" w:hAnsi="Times New Roman" w:cs="Times New Roman"/>
          <w:sz w:val="24"/>
          <w:szCs w:val="24"/>
        </w:rPr>
        <w:t xml:space="preserve"> banku hipotecznego </w:t>
      </w:r>
      <w:r>
        <w:rPr>
          <w:rFonts w:ascii="Times New Roman" w:hAnsi="Times New Roman" w:cs="Times New Roman"/>
          <w:sz w:val="24"/>
          <w:szCs w:val="24"/>
        </w:rPr>
        <w:t xml:space="preserve">polegający na </w:t>
      </w:r>
      <w:r w:rsidRPr="00026232">
        <w:rPr>
          <w:rFonts w:ascii="Times New Roman" w:hAnsi="Times New Roman" w:cs="Times New Roman"/>
          <w:sz w:val="24"/>
          <w:szCs w:val="24"/>
        </w:rPr>
        <w:t>przekazywani</w:t>
      </w:r>
      <w:r>
        <w:rPr>
          <w:rFonts w:ascii="Times New Roman" w:hAnsi="Times New Roman" w:cs="Times New Roman"/>
          <w:sz w:val="24"/>
          <w:szCs w:val="24"/>
        </w:rPr>
        <w:t>u</w:t>
      </w:r>
      <w:r w:rsidRPr="00026232">
        <w:rPr>
          <w:rFonts w:ascii="Times New Roman" w:hAnsi="Times New Roman" w:cs="Times New Roman"/>
          <w:sz w:val="24"/>
          <w:szCs w:val="24"/>
        </w:rPr>
        <w:t xml:space="preserve"> do Komisji Nadzoru Finansowego bieżących i </w:t>
      </w:r>
      <w:r>
        <w:rPr>
          <w:rFonts w:ascii="Times New Roman" w:hAnsi="Times New Roman" w:cs="Times New Roman"/>
          <w:sz w:val="24"/>
          <w:szCs w:val="24"/>
        </w:rPr>
        <w:t> </w:t>
      </w:r>
      <w:r w:rsidRPr="00026232">
        <w:rPr>
          <w:rFonts w:ascii="Times New Roman" w:hAnsi="Times New Roman" w:cs="Times New Roman"/>
          <w:sz w:val="24"/>
          <w:szCs w:val="24"/>
        </w:rPr>
        <w:t>okresowych informacji dotyczących funkcjonowania programów emisji listów zastawnych oraz określa zakres tych informacji</w:t>
      </w:r>
      <w:r>
        <w:rPr>
          <w:rFonts w:ascii="Times New Roman" w:hAnsi="Times New Roman" w:cs="Times New Roman"/>
          <w:sz w:val="24"/>
          <w:szCs w:val="24"/>
        </w:rPr>
        <w:t xml:space="preserve">. Jednocześnie </w:t>
      </w:r>
      <w:r w:rsidRPr="00026232">
        <w:rPr>
          <w:rFonts w:ascii="Times New Roman" w:hAnsi="Times New Roman" w:cs="Times New Roman"/>
          <w:sz w:val="24"/>
          <w:szCs w:val="24"/>
        </w:rPr>
        <w:t xml:space="preserve">kwestie szczegółowe </w:t>
      </w:r>
      <w:r>
        <w:rPr>
          <w:rFonts w:ascii="Times New Roman" w:hAnsi="Times New Roman" w:cs="Times New Roman"/>
          <w:sz w:val="24"/>
          <w:szCs w:val="24"/>
        </w:rPr>
        <w:t xml:space="preserve">dotyczące terminu przekazywania tych informacji oraz ich zakresu </w:t>
      </w:r>
      <w:r w:rsidRPr="00026232">
        <w:rPr>
          <w:rFonts w:ascii="Times New Roman" w:hAnsi="Times New Roman" w:cs="Times New Roman"/>
          <w:sz w:val="24"/>
          <w:szCs w:val="24"/>
        </w:rPr>
        <w:t>zostaną doprecyzowane w akcie wykonawczym</w:t>
      </w:r>
      <w:r>
        <w:rPr>
          <w:rFonts w:ascii="Times New Roman" w:hAnsi="Times New Roman" w:cs="Times New Roman"/>
          <w:sz w:val="24"/>
          <w:szCs w:val="24"/>
        </w:rPr>
        <w:t xml:space="preserve"> wydawanym na podstawie projektowanego brzmienia </w:t>
      </w:r>
      <w:r w:rsidRPr="00D60338">
        <w:rPr>
          <w:rFonts w:ascii="Times New Roman" w:hAnsi="Times New Roman" w:cs="Times New Roman"/>
          <w:b/>
          <w:sz w:val="24"/>
          <w:szCs w:val="24"/>
        </w:rPr>
        <w:t>art. 33g ust. 2</w:t>
      </w:r>
      <w:r>
        <w:rPr>
          <w:rFonts w:ascii="Times New Roman" w:hAnsi="Times New Roman" w:cs="Times New Roman"/>
          <w:sz w:val="24"/>
          <w:szCs w:val="24"/>
        </w:rPr>
        <w:t xml:space="preserve"> Ustawy.</w:t>
      </w:r>
    </w:p>
    <w:p w14:paraId="1C2CFD55"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Wymaga podkreślenia, że i</w:t>
      </w:r>
      <w:r w:rsidRPr="00026232">
        <w:rPr>
          <w:rFonts w:ascii="Times New Roman" w:hAnsi="Times New Roman" w:cs="Times New Roman"/>
          <w:sz w:val="24"/>
          <w:szCs w:val="24"/>
        </w:rPr>
        <w:t>stotnym aspektem związanym z emisją listów zastawnych jest przejrzystość puli aktywów stanowiących zabezpieczenie tych papierów wartościowych, co umożliwia inwestorom przeprowadzenie niezbędnej oceny ryzyka. W prawie Unii</w:t>
      </w:r>
      <w:r>
        <w:rPr>
          <w:rFonts w:ascii="Times New Roman" w:hAnsi="Times New Roman" w:cs="Times New Roman"/>
          <w:sz w:val="24"/>
          <w:szCs w:val="24"/>
        </w:rPr>
        <w:t xml:space="preserve"> Europejskiej</w:t>
      </w:r>
      <w:r w:rsidRPr="0002623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funkcjonują </w:t>
      </w:r>
      <w:r w:rsidRPr="00026232">
        <w:rPr>
          <w:rFonts w:ascii="Times New Roman" w:hAnsi="Times New Roman" w:cs="Times New Roman"/>
          <w:sz w:val="24"/>
          <w:szCs w:val="24"/>
        </w:rPr>
        <w:t>przepisy dotyczące sporządzania, zatwierdzania i rozpowszechniania prospektów emisyjnych, które mają być publikowane w związku z publiczną ofertą sprzedaży papierów wartościowych lub dopuszczeniem ich do obrotu na regulowanym rynku mającym siedzibę lub działającym w</w:t>
      </w:r>
      <w:r>
        <w:rPr>
          <w:rFonts w:ascii="Times New Roman" w:hAnsi="Times New Roman" w:cs="Times New Roman"/>
          <w:sz w:val="24"/>
          <w:szCs w:val="24"/>
        </w:rPr>
        <w:t> </w:t>
      </w:r>
      <w:r w:rsidRPr="00026232">
        <w:rPr>
          <w:rFonts w:ascii="Times New Roman" w:hAnsi="Times New Roman" w:cs="Times New Roman"/>
          <w:sz w:val="24"/>
          <w:szCs w:val="24"/>
        </w:rPr>
        <w:t xml:space="preserve">państwie członkowskim. Niezależnie od tych wymogów niezbędne jest </w:t>
      </w:r>
      <w:r>
        <w:rPr>
          <w:rFonts w:ascii="Times New Roman" w:hAnsi="Times New Roman" w:cs="Times New Roman"/>
          <w:sz w:val="24"/>
          <w:szCs w:val="24"/>
        </w:rPr>
        <w:t xml:space="preserve">dodatkowe </w:t>
      </w:r>
      <w:r w:rsidRPr="00026232">
        <w:rPr>
          <w:rFonts w:ascii="Times New Roman" w:hAnsi="Times New Roman" w:cs="Times New Roman"/>
          <w:sz w:val="24"/>
          <w:szCs w:val="24"/>
        </w:rPr>
        <w:t>określenie w</w:t>
      </w:r>
      <w:r>
        <w:rPr>
          <w:rFonts w:ascii="Times New Roman" w:hAnsi="Times New Roman" w:cs="Times New Roman"/>
          <w:sz w:val="24"/>
          <w:szCs w:val="24"/>
        </w:rPr>
        <w:t> Ustawie</w:t>
      </w:r>
      <w:r w:rsidRPr="00026232">
        <w:rPr>
          <w:rFonts w:ascii="Times New Roman" w:hAnsi="Times New Roman" w:cs="Times New Roman"/>
          <w:sz w:val="24"/>
          <w:szCs w:val="24"/>
        </w:rPr>
        <w:t xml:space="preserve"> szczególnych wymogów w zakresie ujawniania </w:t>
      </w:r>
      <w:r>
        <w:rPr>
          <w:rFonts w:ascii="Times New Roman" w:hAnsi="Times New Roman" w:cs="Times New Roman"/>
          <w:sz w:val="24"/>
          <w:szCs w:val="24"/>
        </w:rPr>
        <w:t xml:space="preserve">szczególnych kategorii </w:t>
      </w:r>
      <w:r w:rsidRPr="00026232">
        <w:rPr>
          <w:rFonts w:ascii="Times New Roman" w:hAnsi="Times New Roman" w:cs="Times New Roman"/>
          <w:sz w:val="24"/>
          <w:szCs w:val="24"/>
        </w:rPr>
        <w:t xml:space="preserve">informacji dotyczących listów zastawnych, co  stanowi transpozycję art. 14 dyrektywy </w:t>
      </w:r>
      <w:r>
        <w:rPr>
          <w:rFonts w:ascii="Times New Roman" w:eastAsia="Calibri" w:hAnsi="Times New Roman" w:cs="Times New Roman"/>
          <w:sz w:val="24"/>
          <w:szCs w:val="24"/>
        </w:rPr>
        <w:t>2019/2162</w:t>
      </w:r>
      <w:r w:rsidRPr="00026232">
        <w:rPr>
          <w:rFonts w:ascii="Times New Roman" w:hAnsi="Times New Roman" w:cs="Times New Roman"/>
          <w:sz w:val="24"/>
          <w:szCs w:val="24"/>
        </w:rPr>
        <w:t xml:space="preserve">. </w:t>
      </w:r>
    </w:p>
    <w:p w14:paraId="04FF7109"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Projektowane brzmienie</w:t>
      </w:r>
      <w:r w:rsidRPr="00026232">
        <w:rPr>
          <w:rFonts w:ascii="Times New Roman" w:hAnsi="Times New Roman" w:cs="Times New Roman"/>
          <w:sz w:val="24"/>
          <w:szCs w:val="24"/>
        </w:rPr>
        <w:t xml:space="preserve"> </w:t>
      </w:r>
      <w:r w:rsidRPr="00026232">
        <w:rPr>
          <w:rFonts w:ascii="Times New Roman" w:hAnsi="Times New Roman" w:cs="Times New Roman"/>
          <w:b/>
          <w:sz w:val="24"/>
          <w:szCs w:val="24"/>
        </w:rPr>
        <w:t>art. 33</w:t>
      </w:r>
      <w:r>
        <w:rPr>
          <w:rFonts w:ascii="Times New Roman" w:hAnsi="Times New Roman" w:cs="Times New Roman"/>
          <w:b/>
          <w:sz w:val="24"/>
          <w:szCs w:val="24"/>
        </w:rPr>
        <w:t>h</w:t>
      </w:r>
      <w:r w:rsidRPr="00026232">
        <w:rPr>
          <w:rFonts w:ascii="Times New Roman" w:hAnsi="Times New Roman" w:cs="Times New Roman"/>
          <w:b/>
          <w:sz w:val="24"/>
          <w:szCs w:val="24"/>
        </w:rPr>
        <w:t xml:space="preserve"> </w:t>
      </w:r>
      <w:r>
        <w:rPr>
          <w:rFonts w:ascii="Times New Roman" w:hAnsi="Times New Roman" w:cs="Times New Roman"/>
          <w:b/>
          <w:sz w:val="24"/>
          <w:szCs w:val="24"/>
        </w:rPr>
        <w:t xml:space="preserve">ust. 1 </w:t>
      </w:r>
      <w:r w:rsidRPr="00D60338">
        <w:rPr>
          <w:rFonts w:ascii="Times New Roman" w:hAnsi="Times New Roman" w:cs="Times New Roman"/>
          <w:sz w:val="24"/>
          <w:szCs w:val="24"/>
        </w:rPr>
        <w:t>Ustawy</w:t>
      </w:r>
      <w:r>
        <w:rPr>
          <w:rFonts w:ascii="Times New Roman" w:hAnsi="Times New Roman" w:cs="Times New Roman"/>
          <w:b/>
          <w:sz w:val="24"/>
          <w:szCs w:val="24"/>
        </w:rPr>
        <w:t xml:space="preserve"> </w:t>
      </w:r>
      <w:r w:rsidRPr="00026232">
        <w:rPr>
          <w:rFonts w:ascii="Times New Roman" w:hAnsi="Times New Roman" w:cs="Times New Roman"/>
          <w:sz w:val="24"/>
          <w:szCs w:val="24"/>
        </w:rPr>
        <w:t xml:space="preserve">określa katalog informacji, które bank hipoteczny zamieszcza na swojej </w:t>
      </w:r>
      <w:r w:rsidRPr="00026232">
        <w:rPr>
          <w:rFonts w:ascii="Times New Roman" w:eastAsia="Calibri" w:hAnsi="Times New Roman" w:cs="Times New Roman"/>
          <w:sz w:val="24"/>
          <w:szCs w:val="24"/>
        </w:rPr>
        <w:t>internetowej w zakresie dotyczących programów emisji listów zastawnych.</w:t>
      </w:r>
      <w:r>
        <w:rPr>
          <w:rFonts w:ascii="Times New Roman" w:eastAsia="Calibri" w:hAnsi="Times New Roman" w:cs="Times New Roman"/>
          <w:sz w:val="24"/>
          <w:szCs w:val="24"/>
        </w:rPr>
        <w:t xml:space="preserve"> Dane te bank hipoteczny będzie zamieszczał nie rzadziej niż co trzy miesiące </w:t>
      </w:r>
      <w:r w:rsidRPr="00A45627">
        <w:rPr>
          <w:rFonts w:ascii="Times New Roman" w:eastAsia="Calibri" w:hAnsi="Times New Roman" w:cs="Times New Roman"/>
          <w:sz w:val="24"/>
          <w:szCs w:val="24"/>
        </w:rPr>
        <w:t>(nie później niż do końca każdego kwartału, według stanu na ostatni dzień kwartału poprzedniego).</w:t>
      </w:r>
      <w:r w:rsidRPr="000262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Powyższe </w:t>
      </w:r>
      <w:r>
        <w:rPr>
          <w:rFonts w:ascii="Times New Roman" w:hAnsi="Times New Roman" w:cs="Times New Roman"/>
          <w:sz w:val="24"/>
          <w:szCs w:val="24"/>
        </w:rPr>
        <w:t>z</w:t>
      </w:r>
      <w:r w:rsidRPr="00026232">
        <w:rPr>
          <w:rFonts w:ascii="Times New Roman" w:hAnsi="Times New Roman" w:cs="Times New Roman"/>
          <w:sz w:val="24"/>
          <w:szCs w:val="24"/>
        </w:rPr>
        <w:t>apewni inwestorom nabywającym listy zastawne dostęp do odpowiednich informacji o  realizowanych programach emisji i dokonanie odpowiedniej oceny ryzyka związanego z</w:t>
      </w:r>
      <w:r>
        <w:rPr>
          <w:rFonts w:ascii="Times New Roman" w:hAnsi="Times New Roman" w:cs="Times New Roman"/>
          <w:sz w:val="24"/>
          <w:szCs w:val="24"/>
        </w:rPr>
        <w:t> </w:t>
      </w:r>
      <w:r w:rsidRPr="00026232">
        <w:rPr>
          <w:rFonts w:ascii="Times New Roman" w:hAnsi="Times New Roman" w:cs="Times New Roman"/>
          <w:sz w:val="24"/>
          <w:szCs w:val="24"/>
        </w:rPr>
        <w:t>inwestycją w t</w:t>
      </w:r>
      <w:r>
        <w:rPr>
          <w:rFonts w:ascii="Times New Roman" w:hAnsi="Times New Roman" w:cs="Times New Roman"/>
          <w:sz w:val="24"/>
          <w:szCs w:val="24"/>
        </w:rPr>
        <w:t>ę</w:t>
      </w:r>
      <w:r w:rsidRPr="00026232">
        <w:rPr>
          <w:rFonts w:ascii="Times New Roman" w:hAnsi="Times New Roman" w:cs="Times New Roman"/>
          <w:sz w:val="24"/>
          <w:szCs w:val="24"/>
        </w:rPr>
        <w:t xml:space="preserve"> kategorię instrumentów finansowych. Szczegółowy zakres tych informacji</w:t>
      </w:r>
      <w:r>
        <w:rPr>
          <w:rFonts w:ascii="Times New Roman" w:hAnsi="Times New Roman" w:cs="Times New Roman"/>
          <w:sz w:val="24"/>
          <w:szCs w:val="24"/>
        </w:rPr>
        <w:t xml:space="preserve"> </w:t>
      </w:r>
      <w:r w:rsidRPr="00026232">
        <w:rPr>
          <w:rFonts w:ascii="Times New Roman" w:hAnsi="Times New Roman" w:cs="Times New Roman"/>
          <w:sz w:val="24"/>
          <w:szCs w:val="24"/>
        </w:rPr>
        <w:t>oraz</w:t>
      </w:r>
      <w:r>
        <w:rPr>
          <w:rFonts w:ascii="Times New Roman" w:hAnsi="Times New Roman" w:cs="Times New Roman"/>
          <w:sz w:val="24"/>
          <w:szCs w:val="24"/>
        </w:rPr>
        <w:t xml:space="preserve"> sposób ich</w:t>
      </w:r>
      <w:r w:rsidRPr="00026232">
        <w:rPr>
          <w:rFonts w:ascii="Times New Roman" w:hAnsi="Times New Roman" w:cs="Times New Roman"/>
          <w:sz w:val="24"/>
          <w:szCs w:val="24"/>
        </w:rPr>
        <w:t xml:space="preserve"> </w:t>
      </w:r>
      <w:r>
        <w:rPr>
          <w:rFonts w:ascii="Times New Roman" w:hAnsi="Times New Roman" w:cs="Times New Roman"/>
          <w:sz w:val="24"/>
          <w:szCs w:val="24"/>
        </w:rPr>
        <w:t>prezentacji</w:t>
      </w:r>
      <w:r w:rsidRPr="00026232">
        <w:rPr>
          <w:rFonts w:ascii="Times New Roman" w:hAnsi="Times New Roman" w:cs="Times New Roman"/>
          <w:sz w:val="24"/>
          <w:szCs w:val="24"/>
        </w:rPr>
        <w:t xml:space="preserve"> </w:t>
      </w:r>
      <w:r>
        <w:rPr>
          <w:rFonts w:ascii="Times New Roman" w:hAnsi="Times New Roman" w:cs="Times New Roman"/>
          <w:sz w:val="24"/>
          <w:szCs w:val="24"/>
        </w:rPr>
        <w:t>(w celu m.in. ujednolicenia sposobu ich prezentacji) może zostać określony</w:t>
      </w:r>
      <w:r w:rsidRPr="00026232">
        <w:rPr>
          <w:rFonts w:ascii="Times New Roman" w:hAnsi="Times New Roman" w:cs="Times New Roman"/>
          <w:sz w:val="24"/>
          <w:szCs w:val="24"/>
        </w:rPr>
        <w:t xml:space="preserve"> w drodze aktu wykonawczego</w:t>
      </w:r>
      <w:r>
        <w:rPr>
          <w:rFonts w:ascii="Times New Roman" w:hAnsi="Times New Roman" w:cs="Times New Roman"/>
          <w:sz w:val="24"/>
          <w:szCs w:val="24"/>
        </w:rPr>
        <w:t xml:space="preserve"> wydawanego na podstawie projektowanego brzmienia </w:t>
      </w:r>
      <w:r w:rsidRPr="005C3C92">
        <w:rPr>
          <w:rFonts w:ascii="Times New Roman" w:hAnsi="Times New Roman" w:cs="Times New Roman"/>
          <w:b/>
          <w:sz w:val="24"/>
          <w:szCs w:val="24"/>
        </w:rPr>
        <w:t>art. 33</w:t>
      </w:r>
      <w:r>
        <w:rPr>
          <w:rFonts w:ascii="Times New Roman" w:hAnsi="Times New Roman" w:cs="Times New Roman"/>
          <w:b/>
          <w:sz w:val="24"/>
          <w:szCs w:val="24"/>
        </w:rPr>
        <w:t>h</w:t>
      </w:r>
      <w:r w:rsidRPr="005C3C92">
        <w:rPr>
          <w:rFonts w:ascii="Times New Roman" w:hAnsi="Times New Roman" w:cs="Times New Roman"/>
          <w:b/>
          <w:sz w:val="24"/>
          <w:szCs w:val="24"/>
        </w:rPr>
        <w:t xml:space="preserve"> ust. 2</w:t>
      </w:r>
      <w:r>
        <w:rPr>
          <w:rFonts w:ascii="Times New Roman" w:hAnsi="Times New Roman" w:cs="Times New Roman"/>
          <w:sz w:val="24"/>
          <w:szCs w:val="24"/>
        </w:rPr>
        <w:t xml:space="preserve"> Ustawy.</w:t>
      </w:r>
    </w:p>
    <w:p w14:paraId="56A020DD" w14:textId="77777777" w:rsidR="00EF441C" w:rsidRPr="00026232" w:rsidRDefault="00EF441C" w:rsidP="00EF441C">
      <w:pPr>
        <w:autoSpaceDE w:val="0"/>
        <w:autoSpaceDN w:val="0"/>
        <w:adjustRightInd w:val="0"/>
        <w:spacing w:line="360" w:lineRule="auto"/>
        <w:jc w:val="both"/>
        <w:rPr>
          <w:rFonts w:ascii="Times New Roman" w:eastAsia="Calibri" w:hAnsi="Times New Roman" w:cs="Times New Roman"/>
          <w:sz w:val="24"/>
          <w:szCs w:val="24"/>
        </w:rPr>
      </w:pPr>
      <w:r w:rsidRPr="00026232">
        <w:rPr>
          <w:rFonts w:ascii="Times New Roman" w:eastAsia="Times New Roman" w:hAnsi="Times New Roman" w:cs="Times New Roman"/>
          <w:bCs/>
          <w:sz w:val="24"/>
          <w:szCs w:val="24"/>
          <w:lang w:eastAsia="pl-PL"/>
        </w:rPr>
        <w:t xml:space="preserve">W projektowanych </w:t>
      </w:r>
      <w:r>
        <w:rPr>
          <w:rFonts w:ascii="Times New Roman" w:eastAsia="Times New Roman" w:hAnsi="Times New Roman" w:cs="Times New Roman"/>
          <w:bCs/>
          <w:sz w:val="24"/>
          <w:szCs w:val="24"/>
          <w:lang w:eastAsia="pl-PL"/>
        </w:rPr>
        <w:t>brzmieniu</w:t>
      </w:r>
      <w:r w:rsidRPr="00026232">
        <w:rPr>
          <w:rFonts w:ascii="Times New Roman" w:eastAsia="Times New Roman" w:hAnsi="Times New Roman" w:cs="Times New Roman"/>
          <w:bCs/>
          <w:sz w:val="24"/>
          <w:szCs w:val="24"/>
          <w:lang w:eastAsia="pl-PL"/>
        </w:rPr>
        <w:t xml:space="preserve"> </w:t>
      </w:r>
      <w:r w:rsidRPr="00026232">
        <w:rPr>
          <w:rFonts w:ascii="Times New Roman" w:eastAsia="Times New Roman" w:hAnsi="Times New Roman" w:cs="Times New Roman"/>
          <w:b/>
          <w:bCs/>
          <w:sz w:val="24"/>
          <w:szCs w:val="24"/>
          <w:lang w:eastAsia="pl-PL"/>
        </w:rPr>
        <w:t>art. 33</w:t>
      </w:r>
      <w:r>
        <w:rPr>
          <w:rFonts w:ascii="Times New Roman" w:eastAsia="Times New Roman" w:hAnsi="Times New Roman" w:cs="Times New Roman"/>
          <w:b/>
          <w:bCs/>
          <w:sz w:val="24"/>
          <w:szCs w:val="24"/>
          <w:lang w:eastAsia="pl-PL"/>
        </w:rPr>
        <w:t>i-art. 33m</w:t>
      </w:r>
      <w:r w:rsidRPr="0002623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Ustawy </w:t>
      </w:r>
      <w:r w:rsidRPr="00026232">
        <w:rPr>
          <w:rFonts w:ascii="Times New Roman" w:eastAsia="Times New Roman" w:hAnsi="Times New Roman" w:cs="Times New Roman"/>
          <w:bCs/>
          <w:sz w:val="24"/>
          <w:szCs w:val="24"/>
          <w:lang w:eastAsia="pl-PL"/>
        </w:rPr>
        <w:t>przewidziano uprawnienia Komisji Nadzoru Finansowego do nakładania sankcji administracyjnych</w:t>
      </w:r>
      <w:r>
        <w:rPr>
          <w:rFonts w:ascii="Times New Roman" w:eastAsia="Times New Roman" w:hAnsi="Times New Roman" w:cs="Times New Roman"/>
          <w:bCs/>
          <w:sz w:val="24"/>
          <w:szCs w:val="24"/>
          <w:lang w:eastAsia="pl-PL"/>
        </w:rPr>
        <w:t xml:space="preserve"> (cofnięcia zezwolenia na program emisji listów zastawnych lub nałożenia kar pieniężnych) oraz </w:t>
      </w:r>
      <w:r w:rsidRPr="00026232">
        <w:rPr>
          <w:rFonts w:ascii="Times New Roman" w:eastAsia="Times New Roman" w:hAnsi="Times New Roman" w:cs="Times New Roman"/>
          <w:bCs/>
          <w:sz w:val="24"/>
          <w:szCs w:val="24"/>
          <w:lang w:eastAsia="pl-PL"/>
        </w:rPr>
        <w:t>publikowania info</w:t>
      </w:r>
      <w:r>
        <w:rPr>
          <w:rFonts w:ascii="Times New Roman" w:eastAsia="Times New Roman" w:hAnsi="Times New Roman" w:cs="Times New Roman"/>
          <w:bCs/>
          <w:sz w:val="24"/>
          <w:szCs w:val="24"/>
          <w:lang w:eastAsia="pl-PL"/>
        </w:rPr>
        <w:t>rmacji o nałożonych sankcjach w </w:t>
      </w:r>
      <w:r w:rsidRPr="00026232">
        <w:rPr>
          <w:rFonts w:ascii="Times New Roman" w:eastAsia="Times New Roman" w:hAnsi="Times New Roman" w:cs="Times New Roman"/>
          <w:bCs/>
          <w:sz w:val="24"/>
          <w:szCs w:val="24"/>
          <w:lang w:eastAsia="pl-PL"/>
        </w:rPr>
        <w:t>przypadkach określonych w projekcie ustawy.</w:t>
      </w:r>
      <w:r w:rsidRPr="00026232">
        <w:rPr>
          <w:rFonts w:ascii="Times New Roman" w:eastAsia="Calibri" w:hAnsi="Times New Roman" w:cs="Times New Roman"/>
          <w:sz w:val="24"/>
          <w:szCs w:val="24"/>
        </w:rPr>
        <w:t xml:space="preserve"> Powyższe regulacje stanowią transpozycję art. 23</w:t>
      </w:r>
      <w:r>
        <w:rPr>
          <w:rFonts w:ascii="Times New Roman" w:eastAsia="Calibri" w:hAnsi="Times New Roman" w:cs="Times New Roman"/>
          <w:sz w:val="24"/>
          <w:szCs w:val="24"/>
        </w:rPr>
        <w:t xml:space="preserve"> i art. </w:t>
      </w:r>
      <w:r w:rsidRPr="00026232">
        <w:rPr>
          <w:rFonts w:ascii="Times New Roman" w:eastAsia="Calibri" w:hAnsi="Times New Roman" w:cs="Times New Roman"/>
          <w:sz w:val="24"/>
          <w:szCs w:val="24"/>
        </w:rPr>
        <w:t xml:space="preserve">24 dyrektywy </w:t>
      </w:r>
      <w:r>
        <w:rPr>
          <w:rFonts w:ascii="Times New Roman" w:eastAsia="Calibri" w:hAnsi="Times New Roman" w:cs="Times New Roman"/>
          <w:sz w:val="24"/>
          <w:szCs w:val="24"/>
        </w:rPr>
        <w:t>2019/2162</w:t>
      </w:r>
      <w:r w:rsidRPr="00026232">
        <w:rPr>
          <w:rFonts w:ascii="Times New Roman" w:eastAsia="Calibri" w:hAnsi="Times New Roman" w:cs="Times New Roman"/>
          <w:sz w:val="24"/>
          <w:szCs w:val="24"/>
        </w:rPr>
        <w:t>.</w:t>
      </w:r>
    </w:p>
    <w:p w14:paraId="581999C5"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Sankcje administracyjne będą nakładane przez Komisję Nadzoru Finansowego w drodze decyzji administracyjnej. Należy zauważyć, iż sankcje te obejmują: cofnięcie zezwolenia dotyczącego programu emisji listów zastawnych, </w:t>
      </w:r>
      <w:r>
        <w:rPr>
          <w:rFonts w:ascii="Times New Roman" w:hAnsi="Times New Roman" w:cs="Times New Roman"/>
          <w:sz w:val="24"/>
          <w:szCs w:val="24"/>
        </w:rPr>
        <w:t xml:space="preserve">nałożenie kary pieniężnej, nakazanie bankowi hipotecznemu lub członkowi zarządu odpowiedzialnemu za naruszenie </w:t>
      </w:r>
      <w:r w:rsidRPr="00026232">
        <w:rPr>
          <w:rFonts w:ascii="Times New Roman" w:hAnsi="Times New Roman" w:cs="Times New Roman"/>
          <w:sz w:val="24"/>
          <w:szCs w:val="24"/>
        </w:rPr>
        <w:t>do zaprzestani</w:t>
      </w:r>
      <w:r>
        <w:rPr>
          <w:rFonts w:ascii="Times New Roman" w:hAnsi="Times New Roman" w:cs="Times New Roman"/>
          <w:sz w:val="24"/>
          <w:szCs w:val="24"/>
        </w:rPr>
        <w:t>a działań skutkujących powstaniem</w:t>
      </w:r>
      <w:r w:rsidRPr="00026232">
        <w:rPr>
          <w:rFonts w:ascii="Times New Roman" w:hAnsi="Times New Roman" w:cs="Times New Roman"/>
          <w:sz w:val="24"/>
          <w:szCs w:val="24"/>
        </w:rPr>
        <w:t xml:space="preserve"> naruszeń </w:t>
      </w:r>
      <w:r>
        <w:rPr>
          <w:rFonts w:ascii="Times New Roman" w:hAnsi="Times New Roman" w:cs="Times New Roman"/>
          <w:sz w:val="24"/>
          <w:szCs w:val="24"/>
        </w:rPr>
        <w:t>i nie podejmowaniem ich w przyszłości.</w:t>
      </w:r>
    </w:p>
    <w:p w14:paraId="692D1273" w14:textId="77777777" w:rsidR="00EF441C" w:rsidRPr="00526659"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projektowanym brzmieniu </w:t>
      </w:r>
      <w:r w:rsidRPr="002A4823">
        <w:rPr>
          <w:rFonts w:ascii="Times New Roman" w:hAnsi="Times New Roman" w:cs="Times New Roman"/>
          <w:b/>
          <w:sz w:val="24"/>
          <w:szCs w:val="24"/>
        </w:rPr>
        <w:t>art. 33i</w:t>
      </w:r>
      <w:r>
        <w:rPr>
          <w:rFonts w:ascii="Times New Roman" w:hAnsi="Times New Roman" w:cs="Times New Roman"/>
          <w:sz w:val="24"/>
          <w:szCs w:val="24"/>
        </w:rPr>
        <w:t xml:space="preserve"> Ustawy określono katalog przypadków, w odniesieniu do których może być zastosowana sankcja w postaci cofnięcia zezwolenia, o którym mowa w art. 33a Ustawy. Zauważyć należy, iż cofnięcie zezwolenia dotyczącego programu emisji obligacji zabezpieczonych jest przewidziane w art. 23 ust. 2 lit. a dyrektywy 2019/2162. Mając na uwadze charakter tej sankcji, w projekcie Ustawy określono katalog przesłanek, których </w:t>
      </w:r>
      <w:r>
        <w:rPr>
          <w:rFonts w:ascii="Times New Roman" w:hAnsi="Times New Roman" w:cs="Times New Roman"/>
          <w:sz w:val="24"/>
          <w:szCs w:val="24"/>
        </w:rPr>
        <w:lastRenderedPageBreak/>
        <w:t>zaistnienie będzie obligowało Komisję Nadzoru Finansowego do cofnięcia zezwolenia: bank hipoteczny</w:t>
      </w:r>
      <w:r w:rsidRPr="001E3AB4">
        <w:rPr>
          <w:rFonts w:ascii="Times New Roman" w:hAnsi="Times New Roman" w:cs="Times New Roman"/>
          <w:sz w:val="24"/>
          <w:szCs w:val="24"/>
        </w:rPr>
        <w:t> uzyskał zezwolenie na program emisji listów zastawnych na podstawie nieprawdziwych informacji lub dokumentów poświadczających nieprawdę</w:t>
      </w:r>
      <w:r>
        <w:rPr>
          <w:rFonts w:ascii="Times New Roman" w:hAnsi="Times New Roman" w:cs="Times New Roman"/>
          <w:sz w:val="24"/>
          <w:szCs w:val="24"/>
        </w:rPr>
        <w:t xml:space="preserve">, </w:t>
      </w:r>
      <w:r w:rsidRPr="00526659">
        <w:rPr>
          <w:rFonts w:ascii="Times New Roman" w:hAnsi="Times New Roman" w:cs="Times New Roman"/>
          <w:sz w:val="24"/>
          <w:szCs w:val="24"/>
        </w:rPr>
        <w:t>realizuje program emisji listów zastawnych z rażącym naruszeniem przepisów prawa</w:t>
      </w:r>
      <w:r>
        <w:rPr>
          <w:rFonts w:ascii="Times New Roman" w:hAnsi="Times New Roman" w:cs="Times New Roman"/>
          <w:sz w:val="24"/>
          <w:szCs w:val="24"/>
        </w:rPr>
        <w:t xml:space="preserve"> </w:t>
      </w:r>
      <w:r w:rsidRPr="00526659">
        <w:rPr>
          <w:rFonts w:ascii="Times New Roman" w:hAnsi="Times New Roman" w:cs="Times New Roman"/>
          <w:sz w:val="24"/>
          <w:szCs w:val="24"/>
        </w:rPr>
        <w:t>lub</w:t>
      </w:r>
      <w:r>
        <w:rPr>
          <w:rFonts w:ascii="Times New Roman" w:hAnsi="Times New Roman" w:cs="Times New Roman"/>
          <w:sz w:val="24"/>
          <w:szCs w:val="24"/>
        </w:rPr>
        <w:t xml:space="preserve"> w </w:t>
      </w:r>
      <w:r w:rsidRPr="00526659">
        <w:rPr>
          <w:rFonts w:ascii="Times New Roman" w:hAnsi="Times New Roman" w:cs="Times New Roman"/>
          <w:sz w:val="24"/>
          <w:szCs w:val="24"/>
        </w:rPr>
        <w:t>sposób rażący narusza przepisy dotyczące prowadzenia rejestru zabezpieczania listów zastawnych lub utrzymywania nadwyżki, o której mowa w art. 18 ust. 3a</w:t>
      </w:r>
      <w:r>
        <w:rPr>
          <w:rFonts w:ascii="Times New Roman" w:hAnsi="Times New Roman" w:cs="Times New Roman"/>
          <w:sz w:val="24"/>
          <w:szCs w:val="24"/>
        </w:rPr>
        <w:t xml:space="preserve"> Ustawy</w:t>
      </w:r>
      <w:r w:rsidRPr="00526659">
        <w:rPr>
          <w:rFonts w:ascii="Times New Roman" w:hAnsi="Times New Roman" w:cs="Times New Roman"/>
          <w:sz w:val="24"/>
          <w:szCs w:val="24"/>
        </w:rPr>
        <w:t>.</w:t>
      </w:r>
      <w:r w:rsidRPr="001C0D09">
        <w:rPr>
          <w:rFonts w:ascii="Times New Roman" w:hAnsi="Times New Roman" w:cs="Times New Roman"/>
          <w:sz w:val="24"/>
          <w:szCs w:val="24"/>
        </w:rPr>
        <w:t xml:space="preserve"> </w:t>
      </w:r>
      <w:r>
        <w:rPr>
          <w:rFonts w:ascii="Times New Roman" w:hAnsi="Times New Roman" w:cs="Times New Roman"/>
          <w:sz w:val="24"/>
          <w:szCs w:val="24"/>
        </w:rPr>
        <w:t>Powyższy katalog przypadków obligatoryjnego cofnięcia zezwolenia dotyczy szczególnie istotnych, rażących naruszeń prawa mających wpływ na bezpieczeństwo emitowanych listów zastawnych oraz na poziom ochrony inwestorów.</w:t>
      </w:r>
    </w:p>
    <w:p w14:paraId="0129B799"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przypadkach wymienionych natomiast w art. 33i ust. 2 Ustawy Komisja Nadzoru Finansowego będzie uprawniona do nałożenia sankcji polegającej na cofnięciu zezwolenia lub nałożeniu kary pieniężnej. </w:t>
      </w:r>
    </w:p>
    <w:p w14:paraId="387518B0"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Projektowan</w:t>
      </w:r>
      <w:r>
        <w:rPr>
          <w:rFonts w:ascii="Times New Roman" w:hAnsi="Times New Roman" w:cs="Times New Roman"/>
          <w:sz w:val="24"/>
          <w:szCs w:val="24"/>
        </w:rPr>
        <w:t>e brzmienie</w:t>
      </w:r>
      <w:r w:rsidRPr="00026232">
        <w:rPr>
          <w:rFonts w:ascii="Times New Roman" w:hAnsi="Times New Roman" w:cs="Times New Roman"/>
          <w:sz w:val="24"/>
          <w:szCs w:val="24"/>
        </w:rPr>
        <w:t xml:space="preserve"> </w:t>
      </w:r>
      <w:r w:rsidRPr="00026232">
        <w:rPr>
          <w:rFonts w:ascii="Times New Roman" w:hAnsi="Times New Roman" w:cs="Times New Roman"/>
          <w:b/>
          <w:sz w:val="24"/>
          <w:szCs w:val="24"/>
        </w:rPr>
        <w:t>art. 33</w:t>
      </w:r>
      <w:r>
        <w:rPr>
          <w:rFonts w:ascii="Times New Roman" w:hAnsi="Times New Roman" w:cs="Times New Roman"/>
          <w:b/>
          <w:sz w:val="24"/>
          <w:szCs w:val="24"/>
        </w:rPr>
        <w:t>j</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dotyczy nakładania kar pieniężnych</w:t>
      </w:r>
      <w:r>
        <w:rPr>
          <w:rFonts w:ascii="Times New Roman" w:hAnsi="Times New Roman" w:cs="Times New Roman"/>
          <w:sz w:val="24"/>
          <w:szCs w:val="24"/>
        </w:rPr>
        <w:t xml:space="preserve"> przez Komisję Nadzoru Finansowego</w:t>
      </w:r>
      <w:r w:rsidRPr="00026232">
        <w:rPr>
          <w:rFonts w:ascii="Times New Roman" w:hAnsi="Times New Roman" w:cs="Times New Roman"/>
          <w:sz w:val="24"/>
          <w:szCs w:val="24"/>
        </w:rPr>
        <w:t>, określając ich maksymalną wysokość</w:t>
      </w:r>
      <w:r>
        <w:rPr>
          <w:rFonts w:ascii="Times New Roman" w:hAnsi="Times New Roman" w:cs="Times New Roman"/>
          <w:sz w:val="24"/>
          <w:szCs w:val="24"/>
        </w:rPr>
        <w:t>.</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Kary pieniężne mogą być nakładane zarówno na bank hipoteczny, jak i na </w:t>
      </w:r>
      <w:r w:rsidRPr="00B03049">
        <w:rPr>
          <w:rFonts w:ascii="Times New Roman" w:hAnsi="Times New Roman" w:cs="Times New Roman"/>
          <w:sz w:val="24"/>
          <w:szCs w:val="24"/>
        </w:rPr>
        <w:t xml:space="preserve">członka zarządu banku hipotecznego odpowiedzialnego </w:t>
      </w:r>
      <w:r>
        <w:rPr>
          <w:rFonts w:ascii="Times New Roman" w:hAnsi="Times New Roman" w:cs="Times New Roman"/>
          <w:sz w:val="24"/>
          <w:szCs w:val="24"/>
        </w:rPr>
        <w:t xml:space="preserve">za zaistniałe naruszenia. Projektowane brzmienie </w:t>
      </w:r>
      <w:r>
        <w:rPr>
          <w:rFonts w:ascii="Times New Roman" w:hAnsi="Times New Roman" w:cs="Times New Roman"/>
          <w:b/>
          <w:sz w:val="24"/>
          <w:szCs w:val="24"/>
        </w:rPr>
        <w:t>a</w:t>
      </w:r>
      <w:r w:rsidRPr="00026232">
        <w:rPr>
          <w:rFonts w:ascii="Times New Roman" w:hAnsi="Times New Roman" w:cs="Times New Roman"/>
          <w:b/>
          <w:sz w:val="24"/>
          <w:szCs w:val="24"/>
        </w:rPr>
        <w:t>rt. 33</w:t>
      </w:r>
      <w:r>
        <w:rPr>
          <w:rFonts w:ascii="Times New Roman" w:hAnsi="Times New Roman" w:cs="Times New Roman"/>
          <w:b/>
          <w:sz w:val="24"/>
          <w:szCs w:val="24"/>
        </w:rPr>
        <w:t>k</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wskazuje na czynniki, które powinna wziąć pod uwagę Komisja Nadzoru Finansowego</w:t>
      </w:r>
      <w:r>
        <w:rPr>
          <w:rFonts w:ascii="Times New Roman" w:hAnsi="Times New Roman" w:cs="Times New Roman"/>
          <w:sz w:val="24"/>
          <w:szCs w:val="24"/>
        </w:rPr>
        <w:t>,</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ustalając </w:t>
      </w:r>
      <w:r w:rsidRPr="00026232">
        <w:rPr>
          <w:rFonts w:ascii="Times New Roman" w:hAnsi="Times New Roman" w:cs="Times New Roman"/>
          <w:sz w:val="24"/>
          <w:szCs w:val="24"/>
        </w:rPr>
        <w:t xml:space="preserve">wysokość kary pieniężnej. </w:t>
      </w:r>
      <w:r>
        <w:rPr>
          <w:rFonts w:ascii="Times New Roman" w:hAnsi="Times New Roman" w:cs="Times New Roman"/>
          <w:sz w:val="24"/>
          <w:szCs w:val="24"/>
        </w:rPr>
        <w:t xml:space="preserve">Projektowane brzmienie </w:t>
      </w:r>
      <w:r>
        <w:rPr>
          <w:rFonts w:ascii="Times New Roman" w:hAnsi="Times New Roman" w:cs="Times New Roman"/>
          <w:b/>
          <w:sz w:val="24"/>
          <w:szCs w:val="24"/>
        </w:rPr>
        <w:t>a</w:t>
      </w:r>
      <w:r w:rsidRPr="00026232">
        <w:rPr>
          <w:rFonts w:ascii="Times New Roman" w:hAnsi="Times New Roman" w:cs="Times New Roman"/>
          <w:b/>
          <w:sz w:val="24"/>
          <w:szCs w:val="24"/>
        </w:rPr>
        <w:t>rt. 33</w:t>
      </w:r>
      <w:r>
        <w:rPr>
          <w:rFonts w:ascii="Times New Roman" w:hAnsi="Times New Roman" w:cs="Times New Roman"/>
          <w:b/>
          <w:sz w:val="24"/>
          <w:szCs w:val="24"/>
        </w:rPr>
        <w:t>l</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 xml:space="preserve">określa </w:t>
      </w:r>
      <w:r>
        <w:rPr>
          <w:rFonts w:ascii="Times New Roman" w:hAnsi="Times New Roman" w:cs="Times New Roman"/>
          <w:sz w:val="24"/>
          <w:szCs w:val="24"/>
        </w:rPr>
        <w:t>warunki</w:t>
      </w:r>
      <w:r w:rsidRPr="00026232">
        <w:rPr>
          <w:rFonts w:ascii="Times New Roman" w:hAnsi="Times New Roman" w:cs="Times New Roman"/>
          <w:sz w:val="24"/>
          <w:szCs w:val="24"/>
        </w:rPr>
        <w:t xml:space="preserve"> przekazania do publicznej wiadomości informacji o wydaniu prawomocnej decyzji o </w:t>
      </w:r>
      <w:r>
        <w:rPr>
          <w:rFonts w:ascii="Times New Roman" w:hAnsi="Times New Roman" w:cs="Times New Roman"/>
          <w:sz w:val="24"/>
          <w:szCs w:val="24"/>
        </w:rPr>
        <w:t>cofnięciu zezwolenia na program emisji lub decyzji o nałożeniu kary pieniężnej</w:t>
      </w:r>
      <w:r w:rsidRPr="00026232">
        <w:rPr>
          <w:rFonts w:ascii="Times New Roman" w:hAnsi="Times New Roman" w:cs="Times New Roman"/>
          <w:sz w:val="24"/>
          <w:szCs w:val="24"/>
        </w:rPr>
        <w:t xml:space="preserve">. </w:t>
      </w:r>
    </w:p>
    <w:p w14:paraId="7F40E2F0"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 xml:space="preserve">Na podstawie </w:t>
      </w:r>
      <w:r>
        <w:rPr>
          <w:rFonts w:ascii="Times New Roman" w:hAnsi="Times New Roman" w:cs="Times New Roman"/>
          <w:sz w:val="24"/>
          <w:szCs w:val="24"/>
        </w:rPr>
        <w:t xml:space="preserve">projektowanego brzmienia </w:t>
      </w:r>
      <w:r w:rsidRPr="00026232">
        <w:rPr>
          <w:rFonts w:ascii="Times New Roman" w:hAnsi="Times New Roman" w:cs="Times New Roman"/>
          <w:b/>
          <w:sz w:val="24"/>
          <w:szCs w:val="24"/>
        </w:rPr>
        <w:t>art. 33</w:t>
      </w:r>
      <w:r>
        <w:rPr>
          <w:rFonts w:ascii="Times New Roman" w:hAnsi="Times New Roman" w:cs="Times New Roman"/>
          <w:b/>
          <w:sz w:val="24"/>
          <w:szCs w:val="24"/>
        </w:rPr>
        <w:t>m</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026232">
        <w:rPr>
          <w:rFonts w:ascii="Times New Roman" w:hAnsi="Times New Roman" w:cs="Times New Roman"/>
          <w:sz w:val="24"/>
          <w:szCs w:val="24"/>
        </w:rPr>
        <w:t xml:space="preserve">Komisja Nadzoru Finansowego </w:t>
      </w:r>
      <w:r>
        <w:rPr>
          <w:rFonts w:ascii="Times New Roman" w:hAnsi="Times New Roman" w:cs="Times New Roman"/>
          <w:sz w:val="24"/>
          <w:szCs w:val="24"/>
        </w:rPr>
        <w:t xml:space="preserve">będzie </w:t>
      </w:r>
      <w:r w:rsidRPr="00026232">
        <w:rPr>
          <w:rFonts w:ascii="Times New Roman" w:hAnsi="Times New Roman" w:cs="Times New Roman"/>
          <w:sz w:val="24"/>
          <w:szCs w:val="24"/>
        </w:rPr>
        <w:t>inform</w:t>
      </w:r>
      <w:r>
        <w:rPr>
          <w:rFonts w:ascii="Times New Roman" w:hAnsi="Times New Roman" w:cs="Times New Roman"/>
          <w:sz w:val="24"/>
          <w:szCs w:val="24"/>
        </w:rPr>
        <w:t>owała</w:t>
      </w:r>
      <w:r w:rsidRPr="00026232">
        <w:rPr>
          <w:rFonts w:ascii="Times New Roman" w:hAnsi="Times New Roman" w:cs="Times New Roman"/>
          <w:sz w:val="24"/>
          <w:szCs w:val="24"/>
        </w:rPr>
        <w:t xml:space="preserve"> Europejski Urząd Nadzoru Bankowego </w:t>
      </w:r>
      <w:r w:rsidRPr="008D1949">
        <w:rPr>
          <w:rFonts w:ascii="Times New Roman" w:hAnsi="Times New Roman" w:cs="Times New Roman"/>
          <w:sz w:val="24"/>
          <w:szCs w:val="24"/>
        </w:rPr>
        <w:t xml:space="preserve">o cofnięciu zezwolenia lub nałożeniu kary pieniężnej  na mocy </w:t>
      </w:r>
      <w:r>
        <w:rPr>
          <w:rFonts w:ascii="Times New Roman" w:hAnsi="Times New Roman" w:cs="Times New Roman"/>
          <w:sz w:val="24"/>
          <w:szCs w:val="24"/>
        </w:rPr>
        <w:t>Ustawy</w:t>
      </w:r>
      <w:r w:rsidRPr="008D1949">
        <w:rPr>
          <w:rFonts w:ascii="Times New Roman" w:hAnsi="Times New Roman" w:cs="Times New Roman"/>
          <w:sz w:val="24"/>
          <w:szCs w:val="24"/>
        </w:rPr>
        <w:t>, w tym o każdym odwołaniu od decyzji lub wyroku, a także wyniku tego odwołania.</w:t>
      </w:r>
    </w:p>
    <w:p w14:paraId="774F1608"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026232">
        <w:rPr>
          <w:rFonts w:ascii="Times New Roman" w:hAnsi="Times New Roman" w:cs="Times New Roman"/>
          <w:sz w:val="24"/>
          <w:szCs w:val="24"/>
        </w:rPr>
        <w:t>W projekcie, w celu zapewnienia bezpieczeństwa rynku finansowego i skuteczności nadzoru prowadzonego przez Komisję Nadzoru Finansowego, wprowadzono odpowiednie zmiany w</w:t>
      </w:r>
      <w:r>
        <w:rPr>
          <w:rFonts w:ascii="Times New Roman" w:hAnsi="Times New Roman" w:cs="Times New Roman"/>
          <w:sz w:val="24"/>
          <w:szCs w:val="24"/>
        </w:rPr>
        <w:t> </w:t>
      </w:r>
      <w:r w:rsidRPr="00026232">
        <w:rPr>
          <w:rFonts w:ascii="Times New Roman" w:hAnsi="Times New Roman" w:cs="Times New Roman"/>
          <w:sz w:val="24"/>
          <w:szCs w:val="24"/>
        </w:rPr>
        <w:t>zakresie przepisów karnych (</w:t>
      </w:r>
      <w:r w:rsidRPr="00026232">
        <w:rPr>
          <w:rFonts w:ascii="Times New Roman" w:hAnsi="Times New Roman" w:cs="Times New Roman"/>
          <w:b/>
          <w:sz w:val="24"/>
          <w:szCs w:val="24"/>
        </w:rPr>
        <w:t>art. 37 ust</w:t>
      </w:r>
      <w:r>
        <w:rPr>
          <w:rFonts w:ascii="Times New Roman" w:hAnsi="Times New Roman" w:cs="Times New Roman"/>
          <w:b/>
          <w:sz w:val="24"/>
          <w:szCs w:val="24"/>
        </w:rPr>
        <w:t xml:space="preserve">. </w:t>
      </w:r>
      <w:r w:rsidRPr="00026232">
        <w:rPr>
          <w:rFonts w:ascii="Times New Roman" w:hAnsi="Times New Roman" w:cs="Times New Roman"/>
          <w:b/>
          <w:sz w:val="24"/>
          <w:szCs w:val="24"/>
        </w:rPr>
        <w:t>1</w:t>
      </w:r>
      <w:r>
        <w:rPr>
          <w:rFonts w:ascii="Times New Roman" w:hAnsi="Times New Roman" w:cs="Times New Roman"/>
          <w:b/>
          <w:sz w:val="24"/>
          <w:szCs w:val="24"/>
        </w:rPr>
        <w:t xml:space="preserve"> Ustawy</w:t>
      </w:r>
      <w:r w:rsidRPr="00026232">
        <w:rPr>
          <w:rFonts w:ascii="Times New Roman" w:hAnsi="Times New Roman" w:cs="Times New Roman"/>
          <w:sz w:val="24"/>
          <w:szCs w:val="24"/>
        </w:rPr>
        <w:t>).</w:t>
      </w:r>
      <w:r>
        <w:rPr>
          <w:rFonts w:ascii="Times New Roman" w:hAnsi="Times New Roman" w:cs="Times New Roman"/>
          <w:sz w:val="24"/>
          <w:szCs w:val="24"/>
        </w:rPr>
        <w:t xml:space="preserve"> Uzupełniono dotychczasowy katalog naruszeń penalizowanych na mocy art. 37 ust. 1 Ustawy, o naruszenie obowiązku wynikającego z art. 33a zmienianej Ustawy. Wprowadzona zmiana uwzględnia nowe regulacje dotyczące programu emisji w zakresie listów zastawnych i związany z tym wymóg uzyskania stosownego zezwolenia Komisji Nadzoru Finansowego na ww. program. </w:t>
      </w:r>
    </w:p>
    <w:p w14:paraId="300D330F" w14:textId="77777777" w:rsidR="00EF441C" w:rsidRDefault="00EF441C" w:rsidP="00EF441C">
      <w:pPr>
        <w:pStyle w:val="Akapitzlist"/>
        <w:autoSpaceDE w:val="0"/>
        <w:autoSpaceDN w:val="0"/>
        <w:adjustRightInd w:val="0"/>
        <w:spacing w:line="360" w:lineRule="auto"/>
        <w:ind w:left="0"/>
        <w:jc w:val="both"/>
      </w:pPr>
      <w:r w:rsidRPr="00026232">
        <w:rPr>
          <w:rFonts w:ascii="Times New Roman" w:hAnsi="Times New Roman" w:cs="Times New Roman"/>
          <w:sz w:val="24"/>
          <w:szCs w:val="24"/>
        </w:rPr>
        <w:lastRenderedPageBreak/>
        <w:t xml:space="preserve">2) </w:t>
      </w:r>
      <w:r w:rsidRPr="00026232">
        <w:rPr>
          <w:rFonts w:ascii="Times New Roman" w:eastAsia="Times New Roman" w:hAnsi="Times New Roman" w:cs="Times New Roman"/>
          <w:b/>
          <w:sz w:val="24"/>
          <w:szCs w:val="24"/>
        </w:rPr>
        <w:t xml:space="preserve">Art. 2 projektu </w:t>
      </w:r>
      <w:r w:rsidRPr="00026232">
        <w:rPr>
          <w:rFonts w:ascii="Times New Roman" w:eastAsia="Times New Roman" w:hAnsi="Times New Roman" w:cs="Times New Roman"/>
          <w:sz w:val="24"/>
          <w:szCs w:val="24"/>
        </w:rPr>
        <w:t>wprowadza zmiany do</w:t>
      </w:r>
      <w:r w:rsidRPr="00026232">
        <w:rPr>
          <w:rFonts w:ascii="Times New Roman" w:eastAsia="Times New Roman" w:hAnsi="Times New Roman" w:cs="Times New Roman"/>
          <w:b/>
          <w:sz w:val="24"/>
          <w:szCs w:val="24"/>
        </w:rPr>
        <w:t xml:space="preserve"> </w:t>
      </w:r>
      <w:r w:rsidRPr="00026232">
        <w:rPr>
          <w:rFonts w:ascii="Times New Roman" w:hAnsi="Times New Roman" w:cs="Times New Roman"/>
          <w:sz w:val="24"/>
          <w:szCs w:val="24"/>
        </w:rPr>
        <w:t>ustawy z dnia 28 lute</w:t>
      </w:r>
      <w:r>
        <w:rPr>
          <w:rFonts w:ascii="Times New Roman" w:hAnsi="Times New Roman" w:cs="Times New Roman"/>
          <w:sz w:val="24"/>
          <w:szCs w:val="24"/>
        </w:rPr>
        <w:t>go 2003 r. – Prawo upadłościowe</w:t>
      </w:r>
      <w:r w:rsidRPr="00026232">
        <w:rPr>
          <w:rFonts w:ascii="Times New Roman" w:hAnsi="Times New Roman" w:cs="Times New Roman"/>
          <w:sz w:val="24"/>
          <w:szCs w:val="24"/>
        </w:rPr>
        <w:t xml:space="preserve">, w zakresie nadania nowego brzmienia </w:t>
      </w:r>
      <w:r>
        <w:rPr>
          <w:rFonts w:ascii="Times New Roman" w:hAnsi="Times New Roman" w:cs="Times New Roman"/>
          <w:sz w:val="24"/>
          <w:szCs w:val="24"/>
        </w:rPr>
        <w:t xml:space="preserve">wprowadzeniu do wyliczenia w </w:t>
      </w:r>
      <w:r w:rsidRPr="00026232">
        <w:rPr>
          <w:rFonts w:ascii="Times New Roman" w:hAnsi="Times New Roman" w:cs="Times New Roman"/>
          <w:b/>
          <w:sz w:val="24"/>
          <w:szCs w:val="24"/>
        </w:rPr>
        <w:t>art. 442</w:t>
      </w:r>
      <w:r w:rsidRPr="00026232">
        <w:rPr>
          <w:rFonts w:ascii="Times New Roman" w:hAnsi="Times New Roman" w:cs="Times New Roman"/>
          <w:sz w:val="24"/>
          <w:szCs w:val="24"/>
        </w:rPr>
        <w:t xml:space="preserve"> w ust. 1</w:t>
      </w:r>
      <w:r>
        <w:rPr>
          <w:rFonts w:ascii="Times New Roman" w:hAnsi="Times New Roman"/>
        </w:rPr>
        <w:t xml:space="preserve">. </w:t>
      </w:r>
      <w:r w:rsidRPr="00904886">
        <w:rPr>
          <w:rFonts w:ascii="Times New Roman" w:hAnsi="Times New Roman" w:cs="Times New Roman"/>
          <w:sz w:val="24"/>
          <w:szCs w:val="24"/>
        </w:rPr>
        <w:t xml:space="preserve">Projektowana zmiana wynika z uwzględnienia przepisu art. 4 ust. 1 dyrektywy 2019/2162. Zmiana w art. 442a w ust. 2 </w:t>
      </w:r>
      <w:r>
        <w:rPr>
          <w:rFonts w:ascii="Times New Roman" w:hAnsi="Times New Roman" w:cs="Times New Roman"/>
          <w:sz w:val="24"/>
          <w:szCs w:val="24"/>
        </w:rPr>
        <w:t xml:space="preserve">w zdaniu pierwszym oraz w art. 446b w ust. 1 w pkt 2 </w:t>
      </w:r>
      <w:r w:rsidRPr="00904886">
        <w:rPr>
          <w:rFonts w:ascii="Times New Roman" w:hAnsi="Times New Roman" w:cs="Times New Roman"/>
          <w:sz w:val="24"/>
          <w:szCs w:val="24"/>
        </w:rPr>
        <w:t xml:space="preserve">ma charakter </w:t>
      </w:r>
      <w:r>
        <w:rPr>
          <w:rFonts w:ascii="Times New Roman" w:hAnsi="Times New Roman" w:cs="Times New Roman"/>
          <w:sz w:val="24"/>
          <w:szCs w:val="24"/>
        </w:rPr>
        <w:t>dostosowujący do nowej terminologii odnoszącej się do instrumentu pochodnego na gruncie Ustawy.</w:t>
      </w:r>
      <w:r>
        <w:t xml:space="preserve"> </w:t>
      </w:r>
    </w:p>
    <w:p w14:paraId="056C8D8F" w14:textId="77777777" w:rsidR="00EF441C" w:rsidRDefault="00EF441C" w:rsidP="00EF441C">
      <w:pPr>
        <w:pStyle w:val="Akapitzlist"/>
        <w:autoSpaceDE w:val="0"/>
        <w:autoSpaceDN w:val="0"/>
        <w:adjustRightInd w:val="0"/>
        <w:spacing w:line="360" w:lineRule="auto"/>
        <w:ind w:left="0"/>
        <w:jc w:val="both"/>
      </w:pPr>
    </w:p>
    <w:p w14:paraId="307F68E3" w14:textId="77777777" w:rsidR="00EF441C" w:rsidRDefault="00EF441C" w:rsidP="00EF441C">
      <w:pPr>
        <w:pStyle w:val="Akapitzlist"/>
        <w:autoSpaceDE w:val="0"/>
        <w:autoSpaceDN w:val="0"/>
        <w:adjustRightInd w:val="0"/>
        <w:spacing w:line="360" w:lineRule="auto"/>
        <w:ind w:left="0"/>
        <w:jc w:val="both"/>
      </w:pPr>
      <w:r w:rsidRPr="00026232">
        <w:rPr>
          <w:rFonts w:ascii="Times New Roman" w:hAnsi="Times New Roman" w:cs="Times New Roman"/>
          <w:sz w:val="24"/>
          <w:szCs w:val="24"/>
        </w:rPr>
        <w:t xml:space="preserve">3) </w:t>
      </w:r>
      <w:r w:rsidRPr="00026232">
        <w:rPr>
          <w:rFonts w:ascii="Times New Roman" w:hAnsi="Times New Roman" w:cs="Times New Roman"/>
          <w:b/>
          <w:sz w:val="24"/>
          <w:szCs w:val="24"/>
        </w:rPr>
        <w:t>Art. 3 projektu</w:t>
      </w:r>
      <w:r w:rsidRPr="00026232">
        <w:rPr>
          <w:rFonts w:ascii="Times New Roman" w:hAnsi="Times New Roman" w:cs="Times New Roman"/>
          <w:sz w:val="24"/>
          <w:szCs w:val="24"/>
        </w:rPr>
        <w:t xml:space="preserve"> </w:t>
      </w:r>
      <w:r w:rsidRPr="008B217E">
        <w:rPr>
          <w:rFonts w:ascii="Times New Roman" w:hAnsi="Times New Roman" w:cs="Times New Roman"/>
          <w:sz w:val="24"/>
          <w:szCs w:val="24"/>
        </w:rPr>
        <w:t xml:space="preserve">wprowadza zmianę do ustawy z </w:t>
      </w:r>
      <w:r w:rsidRPr="00102723">
        <w:rPr>
          <w:rFonts w:ascii="Times New Roman" w:eastAsia="Times New Roman" w:hAnsi="Times New Roman" w:cs="Times New Roman"/>
          <w:sz w:val="24"/>
          <w:szCs w:val="24"/>
        </w:rPr>
        <w:t>dnia</w:t>
      </w:r>
      <w:r w:rsidRPr="008B217E">
        <w:rPr>
          <w:rFonts w:ascii="Times New Roman" w:hAnsi="Times New Roman" w:cs="Times New Roman"/>
          <w:sz w:val="24"/>
          <w:szCs w:val="24"/>
        </w:rPr>
        <w:t xml:space="preserve"> 14 marca 2003 r. o Banku Gospodarstwa Krajowego w zakresie korekty odesłań do nowego brzmienia Ustawy.</w:t>
      </w:r>
    </w:p>
    <w:p w14:paraId="22E7A050" w14:textId="77777777" w:rsidR="00EF441C" w:rsidRDefault="00EF441C" w:rsidP="00EF441C">
      <w:pPr>
        <w:pStyle w:val="Akapitzlist"/>
        <w:autoSpaceDE w:val="0"/>
        <w:autoSpaceDN w:val="0"/>
        <w:adjustRightInd w:val="0"/>
        <w:spacing w:line="360" w:lineRule="auto"/>
        <w:ind w:left="0"/>
        <w:jc w:val="both"/>
        <w:rPr>
          <w:rFonts w:ascii="Times New Roman" w:hAnsi="Times New Roman" w:cs="Times New Roman"/>
          <w:sz w:val="24"/>
          <w:szCs w:val="24"/>
        </w:rPr>
      </w:pPr>
    </w:p>
    <w:p w14:paraId="2AFDDA5B" w14:textId="77777777" w:rsidR="00EF441C" w:rsidRPr="00026232" w:rsidRDefault="00EF441C" w:rsidP="00EF441C">
      <w:pPr>
        <w:pStyle w:val="Akapitzlist"/>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B217E">
        <w:rPr>
          <w:rFonts w:ascii="Times New Roman" w:hAnsi="Times New Roman" w:cs="Times New Roman"/>
          <w:b/>
          <w:sz w:val="24"/>
          <w:szCs w:val="24"/>
        </w:rPr>
        <w:t>Art. 4 projektu</w:t>
      </w:r>
      <w:r>
        <w:rPr>
          <w:rFonts w:ascii="Times New Roman" w:hAnsi="Times New Roman" w:cs="Times New Roman"/>
          <w:sz w:val="24"/>
          <w:szCs w:val="24"/>
        </w:rPr>
        <w:t xml:space="preserve"> </w:t>
      </w:r>
      <w:r w:rsidRPr="00026232">
        <w:rPr>
          <w:rFonts w:ascii="Times New Roman" w:hAnsi="Times New Roman" w:cs="Times New Roman"/>
          <w:sz w:val="24"/>
          <w:szCs w:val="24"/>
        </w:rPr>
        <w:t>wprowadza zmiany do ustawy</w:t>
      </w:r>
      <w:r w:rsidRPr="00026232">
        <w:rPr>
          <w:rFonts w:ascii="Times New Roman" w:eastAsia="Times New Roman" w:hAnsi="Times New Roman" w:cs="Times New Roman"/>
          <w:sz w:val="24"/>
          <w:szCs w:val="24"/>
          <w:lang w:eastAsia="pl-PL"/>
        </w:rPr>
        <w:t xml:space="preserve"> z dnia 21 lipca 2006 r. o nadzorze nad rynkiem finansowym</w:t>
      </w:r>
      <w:r>
        <w:rPr>
          <w:rFonts w:ascii="Times New Roman" w:eastAsia="Times New Roman" w:hAnsi="Times New Roman" w:cs="Times New Roman"/>
          <w:sz w:val="24"/>
          <w:szCs w:val="24"/>
          <w:lang w:eastAsia="pl-PL"/>
        </w:rPr>
        <w:t xml:space="preserve">. </w:t>
      </w:r>
      <w:r w:rsidRPr="00026232">
        <w:rPr>
          <w:rFonts w:ascii="Times New Roman" w:hAnsi="Times New Roman" w:cs="Times New Roman"/>
          <w:sz w:val="24"/>
          <w:szCs w:val="24"/>
        </w:rPr>
        <w:t xml:space="preserve">Nowelizowany </w:t>
      </w:r>
      <w:r w:rsidRPr="00026232">
        <w:rPr>
          <w:rFonts w:ascii="Times New Roman" w:hAnsi="Times New Roman" w:cs="Times New Roman"/>
          <w:b/>
          <w:sz w:val="24"/>
          <w:szCs w:val="24"/>
        </w:rPr>
        <w:t>art. 1 ust. 2 pkt 1</w:t>
      </w:r>
      <w:r w:rsidRPr="00026232">
        <w:rPr>
          <w:rFonts w:ascii="Times New Roman" w:hAnsi="Times New Roman" w:cs="Times New Roman"/>
          <w:sz w:val="24"/>
          <w:szCs w:val="24"/>
        </w:rPr>
        <w:t xml:space="preserve"> </w:t>
      </w:r>
      <w:r>
        <w:rPr>
          <w:rFonts w:ascii="Times New Roman" w:hAnsi="Times New Roman" w:cs="Times New Roman"/>
          <w:sz w:val="24"/>
          <w:szCs w:val="24"/>
        </w:rPr>
        <w:t xml:space="preserve">ww. ustawy </w:t>
      </w:r>
      <w:r w:rsidRPr="00026232">
        <w:rPr>
          <w:rFonts w:ascii="Times New Roman" w:hAnsi="Times New Roman" w:cs="Times New Roman"/>
          <w:sz w:val="24"/>
          <w:szCs w:val="24"/>
        </w:rPr>
        <w:t>wskazuje na uprawnienia nadzorcze Komisji Nadzoru Finansowego określone w zmienianej ustawie o listach zastawnych i bankach hipotecznych</w:t>
      </w:r>
      <w:r>
        <w:rPr>
          <w:rFonts w:ascii="Times New Roman" w:hAnsi="Times New Roman" w:cs="Times New Roman"/>
          <w:sz w:val="24"/>
          <w:szCs w:val="24"/>
        </w:rPr>
        <w:t>.</w:t>
      </w:r>
    </w:p>
    <w:p w14:paraId="67AE9EDC" w14:textId="77777777" w:rsidR="00EF441C" w:rsidRPr="00D60338" w:rsidRDefault="00EF441C" w:rsidP="00EF441C">
      <w:pPr>
        <w:pStyle w:val="PKTpunkt"/>
        <w:spacing w:after="200"/>
        <w:ind w:left="0" w:firstLine="0"/>
        <w:rPr>
          <w:rFonts w:ascii="Times New Roman" w:hAnsi="Times New Roman"/>
        </w:rPr>
      </w:pPr>
      <w:r>
        <w:rPr>
          <w:rFonts w:ascii="Times New Roman" w:hAnsi="Times New Roman"/>
        </w:rPr>
        <w:t>5</w:t>
      </w:r>
      <w:r w:rsidRPr="00026232">
        <w:rPr>
          <w:rFonts w:ascii="Times New Roman" w:hAnsi="Times New Roman"/>
        </w:rPr>
        <w:t>)</w:t>
      </w:r>
      <w:r w:rsidRPr="00026232">
        <w:rPr>
          <w:rFonts w:ascii="Times New Roman" w:hAnsi="Times New Roman"/>
          <w:b/>
        </w:rPr>
        <w:t xml:space="preserve"> Art. </w:t>
      </w:r>
      <w:r>
        <w:rPr>
          <w:rFonts w:ascii="Times New Roman" w:hAnsi="Times New Roman"/>
          <w:b/>
        </w:rPr>
        <w:t xml:space="preserve">5 projektu – </w:t>
      </w:r>
      <w:r w:rsidRPr="00D60338">
        <w:rPr>
          <w:rFonts w:ascii="Times New Roman" w:hAnsi="Times New Roman"/>
        </w:rPr>
        <w:t>stanowi przepis regulujący kwestie składania po raz pierwszy przez powiernika sprawozdania, o którym mowa w projektowanym brzmieniu art. 30 ust. 2 Ustawy.</w:t>
      </w:r>
    </w:p>
    <w:p w14:paraId="31115AE7" w14:textId="77777777" w:rsidR="00EF441C" w:rsidRPr="00026232" w:rsidRDefault="00EF441C" w:rsidP="00EF441C">
      <w:pPr>
        <w:pStyle w:val="PKTpunkt"/>
        <w:spacing w:after="200"/>
        <w:ind w:left="0" w:firstLine="0"/>
        <w:rPr>
          <w:rFonts w:ascii="Times New Roman" w:hAnsi="Times New Roman"/>
        </w:rPr>
      </w:pPr>
      <w:r>
        <w:rPr>
          <w:rFonts w:ascii="Times New Roman" w:hAnsi="Times New Roman"/>
        </w:rPr>
        <w:t>6</w:t>
      </w:r>
      <w:r w:rsidRPr="00D60338">
        <w:rPr>
          <w:rFonts w:ascii="Times New Roman" w:hAnsi="Times New Roman"/>
        </w:rPr>
        <w:t>)</w:t>
      </w:r>
      <w:r>
        <w:rPr>
          <w:rFonts w:ascii="Times New Roman" w:hAnsi="Times New Roman"/>
          <w:b/>
        </w:rPr>
        <w:t xml:space="preserve"> Art. 6</w:t>
      </w:r>
      <w:r w:rsidRPr="00026232">
        <w:rPr>
          <w:rFonts w:ascii="Times New Roman" w:hAnsi="Times New Roman"/>
          <w:b/>
        </w:rPr>
        <w:t xml:space="preserve">– </w:t>
      </w:r>
      <w:r>
        <w:rPr>
          <w:rFonts w:ascii="Times New Roman" w:hAnsi="Times New Roman"/>
          <w:b/>
        </w:rPr>
        <w:t>8</w:t>
      </w:r>
      <w:r w:rsidRPr="00026232">
        <w:rPr>
          <w:rFonts w:ascii="Times New Roman" w:hAnsi="Times New Roman"/>
          <w:b/>
        </w:rPr>
        <w:t xml:space="preserve"> projektu</w:t>
      </w:r>
      <w:r w:rsidRPr="00026232">
        <w:rPr>
          <w:rFonts w:ascii="Times New Roman" w:hAnsi="Times New Roman"/>
        </w:rPr>
        <w:t xml:space="preserve"> obejmują przepisy o charakterze przejściowym, stanowiąc transpozycję art. 30 dyrektywy </w:t>
      </w:r>
      <w:r>
        <w:rPr>
          <w:rFonts w:ascii="Times New Roman" w:eastAsia="Calibri" w:hAnsi="Times New Roman"/>
        </w:rPr>
        <w:t>2019/2162</w:t>
      </w:r>
      <w:r>
        <w:rPr>
          <w:rFonts w:ascii="Times New Roman" w:hAnsi="Times New Roman"/>
        </w:rPr>
        <w:t>. Przedmiotowy art. 30 dyrektywy 2019/2162 - jako przepis przejściowy – określa zasady i zakres stosowania przepisów dyrektywy 2019/2162 do obligacji zabezpieczonych wyemitowanych przed dniem 8 lipca 2022 r. Wprowadza też określone obowiązki dla organu nadzoru w zakresie monitorowania spełniania wymogów dla obligacji zabezpieczonych wyemitowanych przed dniem 8 lipca 2022 r. Odrębne zasady przewidziano dla emisji ciągłych obligacji zabezpieczonych, dla których otwarto ten sam kod ISIN przed dniem 8 lipca 2022 r. (stosowane przez okres nie dłuższy niż 24 miesiące). W art. 5-7 projektu Ustawy odzwierciedlono powyższe regulacje dyrektywy 2019/2162.</w:t>
      </w:r>
    </w:p>
    <w:p w14:paraId="01D928DD" w14:textId="77777777" w:rsidR="00EF441C" w:rsidRDefault="00EF441C" w:rsidP="00EF441C">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sz w:val="24"/>
          <w:szCs w:val="24"/>
        </w:rPr>
        <w:t>7</w:t>
      </w:r>
      <w:r w:rsidRPr="00026232">
        <w:rPr>
          <w:rFonts w:ascii="Times New Roman" w:hAnsi="Times New Roman" w:cs="Times New Roman"/>
          <w:sz w:val="24"/>
          <w:szCs w:val="24"/>
        </w:rPr>
        <w:t xml:space="preserve">) </w:t>
      </w:r>
      <w:r w:rsidRPr="00026232">
        <w:rPr>
          <w:rFonts w:ascii="Times New Roman" w:hAnsi="Times New Roman" w:cs="Times New Roman"/>
          <w:b/>
          <w:bCs/>
          <w:sz w:val="24"/>
          <w:szCs w:val="24"/>
        </w:rPr>
        <w:t xml:space="preserve">Art. </w:t>
      </w:r>
      <w:r>
        <w:rPr>
          <w:rFonts w:ascii="Times New Roman" w:hAnsi="Times New Roman" w:cs="Times New Roman"/>
          <w:b/>
          <w:bCs/>
          <w:sz w:val="24"/>
          <w:szCs w:val="24"/>
        </w:rPr>
        <w:t>9</w:t>
      </w:r>
      <w:r w:rsidRPr="00026232">
        <w:rPr>
          <w:rFonts w:ascii="Times New Roman" w:hAnsi="Times New Roman" w:cs="Times New Roman"/>
          <w:b/>
          <w:bCs/>
          <w:sz w:val="24"/>
          <w:szCs w:val="24"/>
        </w:rPr>
        <w:t xml:space="preserve"> projektu </w:t>
      </w:r>
      <w:r w:rsidRPr="00026232">
        <w:rPr>
          <w:rFonts w:ascii="Times New Roman" w:hAnsi="Times New Roman" w:cs="Times New Roman"/>
          <w:bCs/>
          <w:sz w:val="24"/>
          <w:szCs w:val="24"/>
        </w:rPr>
        <w:t>określa generalny termin wejścia</w:t>
      </w:r>
      <w:r w:rsidRPr="00026232">
        <w:rPr>
          <w:rFonts w:ascii="Times New Roman" w:hAnsi="Times New Roman" w:cs="Times New Roman"/>
          <w:b/>
          <w:bCs/>
          <w:sz w:val="24"/>
          <w:szCs w:val="24"/>
        </w:rPr>
        <w:t xml:space="preserve"> </w:t>
      </w:r>
      <w:r w:rsidRPr="00026232">
        <w:rPr>
          <w:rFonts w:ascii="Times New Roman" w:hAnsi="Times New Roman" w:cs="Times New Roman"/>
          <w:bCs/>
          <w:sz w:val="24"/>
          <w:szCs w:val="24"/>
        </w:rPr>
        <w:t>w życie ustawy - po up</w:t>
      </w:r>
      <w:r>
        <w:rPr>
          <w:rFonts w:ascii="Times New Roman" w:hAnsi="Times New Roman" w:cs="Times New Roman"/>
          <w:bCs/>
          <w:sz w:val="24"/>
          <w:szCs w:val="24"/>
        </w:rPr>
        <w:t>ływie 14 dni od dnia ogłoszenia, przy czym proponuje się, aby zmiany w zakresie art. 18 ust. 3-3d Ustawy weszły w życie po upływie 3 miesięcy od dnia ogłoszenia. Przewidziany termin późniejszego stosowania zmienianego art. 18 ustawy dopuszczony został w art. 16 dyrektywy 2019/2162.</w:t>
      </w:r>
    </w:p>
    <w:p w14:paraId="03014AB4"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A50981">
        <w:rPr>
          <w:rFonts w:ascii="Times New Roman" w:hAnsi="Times New Roman" w:cs="Times New Roman"/>
          <w:sz w:val="24"/>
          <w:szCs w:val="24"/>
        </w:rPr>
        <w:t xml:space="preserve">awarte w projekcie regulacje nie stanowią przepisów technicznych w rozumieniu rozporządzenia Rady Ministrów z dnia 23 grudnia 2002 r. w sprawie sposobu funkcjonowania </w:t>
      </w:r>
      <w:r w:rsidRPr="00A50981">
        <w:rPr>
          <w:rFonts w:ascii="Times New Roman" w:hAnsi="Times New Roman" w:cs="Times New Roman"/>
          <w:sz w:val="24"/>
          <w:szCs w:val="24"/>
        </w:rPr>
        <w:lastRenderedPageBreak/>
        <w:t>krajowego systemu notyfikacji norm i aktów prawnych (Dz. U. poz. 2039, z późn. zm.), dlatego też projekt ustawy nie podlega procedurze notyfikacji.</w:t>
      </w:r>
    </w:p>
    <w:p w14:paraId="639B9982"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sidRPr="00A50981">
        <w:rPr>
          <w:rFonts w:ascii="Times New Roman" w:hAnsi="Times New Roman" w:cs="Times New Roman"/>
          <w:sz w:val="24"/>
          <w:szCs w:val="24"/>
        </w:rPr>
        <w:t>Projekt nie wymaga przedstawiania organom i instytucjom Unii Europejskiej w celu uzyskania opinii, dokonania powiadomienia, konsultacji albo uzgodnie</w:t>
      </w:r>
      <w:r>
        <w:rPr>
          <w:rFonts w:ascii="Times New Roman" w:hAnsi="Times New Roman" w:cs="Times New Roman"/>
          <w:sz w:val="24"/>
          <w:szCs w:val="24"/>
        </w:rPr>
        <w:t>nia. W szczególności, zgodnie z </w:t>
      </w:r>
      <w:r w:rsidRPr="00A50981">
        <w:rPr>
          <w:rFonts w:ascii="Times New Roman" w:hAnsi="Times New Roman" w:cs="Times New Roman"/>
          <w:sz w:val="24"/>
          <w:szCs w:val="24"/>
        </w:rPr>
        <w:t xml:space="preserve">art. 2 ust. 1 decyzji Rady 98/415/WE z dnia 29 czerwca 1998 r. w sprawie konsultacji Europejskiego Banku Centralnego udzielanych władzom krajowym w sprawie projektów przepisów prawnych (Dz. Urz. WE L 189 z 03.07.1998, str. 42), projekt ustawy nie podlega konsultacji z Europejskim Bankiem Centralnym. </w:t>
      </w:r>
    </w:p>
    <w:p w14:paraId="635CF0F4"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sidRPr="00A50981">
        <w:rPr>
          <w:rFonts w:ascii="Times New Roman" w:hAnsi="Times New Roman" w:cs="Times New Roman"/>
          <w:sz w:val="24"/>
          <w:szCs w:val="24"/>
        </w:rPr>
        <w:t xml:space="preserve">Zgodnie z art. 5 ustawy z dnia 7 lipca 2005 r. o działalności lobbingowej w procesie stanowienia prawa oraz § 52 uchwały nr 190 Rady Ministrów z dnia 29 października 2013 r. – Regulamin pracy Rady Ministrów (M.P. z 2016 r. poz. 1006, z późn. zm.) projekt ustawy zostanie udostępniony w Biuletynie Informacji Publicznej na stronie podmiotowej Rządowego Centrum Legislacji, w serwisie Rządowy Proces Legislacyjny. </w:t>
      </w:r>
    </w:p>
    <w:p w14:paraId="7F94A5F1" w14:textId="77777777" w:rsidR="00EF441C" w:rsidRDefault="00EF441C" w:rsidP="00EF441C">
      <w:pPr>
        <w:autoSpaceDE w:val="0"/>
        <w:autoSpaceDN w:val="0"/>
        <w:adjustRightInd w:val="0"/>
        <w:spacing w:line="360" w:lineRule="auto"/>
        <w:jc w:val="both"/>
        <w:rPr>
          <w:rFonts w:ascii="Times New Roman" w:hAnsi="Times New Roman" w:cs="Times New Roman"/>
          <w:sz w:val="24"/>
          <w:szCs w:val="24"/>
        </w:rPr>
      </w:pPr>
      <w:r w:rsidRPr="00A50981">
        <w:rPr>
          <w:rFonts w:ascii="Times New Roman" w:hAnsi="Times New Roman" w:cs="Times New Roman"/>
          <w:sz w:val="24"/>
          <w:szCs w:val="24"/>
        </w:rPr>
        <w:t>Zawarte w projekcie regulacje nie będą miały wpływu na działalność mikroprzedsiębiorców, małych i średnich przedsiębiorców, o których mowa w ustawie z dnia 6 marca 2018 r. – Prawo przedsiębiorców (Dz. U. z 2019 r. poz. 1292, z późn.</w:t>
      </w:r>
      <w:r>
        <w:rPr>
          <w:rFonts w:ascii="Times New Roman" w:hAnsi="Times New Roman" w:cs="Times New Roman"/>
          <w:sz w:val="24"/>
          <w:szCs w:val="24"/>
        </w:rPr>
        <w:t xml:space="preserve"> </w:t>
      </w:r>
      <w:r w:rsidRPr="00A50981">
        <w:rPr>
          <w:rFonts w:ascii="Times New Roman" w:hAnsi="Times New Roman" w:cs="Times New Roman"/>
          <w:sz w:val="24"/>
          <w:szCs w:val="24"/>
        </w:rPr>
        <w:t>zm)</w:t>
      </w:r>
      <w:r>
        <w:rPr>
          <w:rFonts w:ascii="Times New Roman" w:hAnsi="Times New Roman" w:cs="Times New Roman"/>
          <w:sz w:val="24"/>
          <w:szCs w:val="24"/>
        </w:rPr>
        <w:t>, z wyjątkiem wpływu wskazanego w punkcie 7 Oceny Skutków Regulacji</w:t>
      </w:r>
      <w:r w:rsidRPr="00A50981">
        <w:rPr>
          <w:rFonts w:ascii="Times New Roman" w:hAnsi="Times New Roman" w:cs="Times New Roman"/>
          <w:sz w:val="24"/>
          <w:szCs w:val="24"/>
        </w:rPr>
        <w:t xml:space="preserve">. </w:t>
      </w:r>
    </w:p>
    <w:p w14:paraId="04AEFE93"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r w:rsidRPr="00A50981">
        <w:rPr>
          <w:rFonts w:ascii="Times New Roman" w:hAnsi="Times New Roman" w:cs="Times New Roman"/>
          <w:sz w:val="24"/>
          <w:szCs w:val="24"/>
        </w:rPr>
        <w:t>Projekt ustawy jest zgodny z prawem Unii Europejskiej.</w:t>
      </w:r>
    </w:p>
    <w:p w14:paraId="4868EFCB" w14:textId="77777777" w:rsidR="00EF441C" w:rsidRPr="00026232" w:rsidRDefault="00EF441C" w:rsidP="00EF441C">
      <w:pPr>
        <w:autoSpaceDE w:val="0"/>
        <w:autoSpaceDN w:val="0"/>
        <w:adjustRightInd w:val="0"/>
        <w:spacing w:line="360" w:lineRule="auto"/>
        <w:jc w:val="both"/>
        <w:rPr>
          <w:rFonts w:ascii="Times New Roman" w:hAnsi="Times New Roman" w:cs="Times New Roman"/>
          <w:sz w:val="24"/>
          <w:szCs w:val="24"/>
        </w:rPr>
      </w:pPr>
    </w:p>
    <w:p w14:paraId="7CC426E5" w14:textId="77777777" w:rsidR="00EF441C" w:rsidRPr="002A73BB" w:rsidRDefault="00EF441C" w:rsidP="00EF441C"/>
    <w:p w14:paraId="37A97743" w14:textId="77777777" w:rsidR="003E3F2F" w:rsidRPr="00EF441C" w:rsidRDefault="003E3F2F" w:rsidP="00EF441C"/>
    <w:sectPr w:rsidR="003E3F2F" w:rsidRPr="00EF44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7499" w14:textId="77777777" w:rsidR="00CC6EF7" w:rsidRDefault="00CC6EF7" w:rsidP="001B7AB8">
      <w:pPr>
        <w:spacing w:after="0" w:line="240" w:lineRule="auto"/>
      </w:pPr>
      <w:r>
        <w:separator/>
      </w:r>
    </w:p>
  </w:endnote>
  <w:endnote w:type="continuationSeparator" w:id="0">
    <w:p w14:paraId="746728D8" w14:textId="77777777" w:rsidR="00CC6EF7" w:rsidRDefault="00CC6EF7" w:rsidP="001B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charset w:val="00"/>
    <w:family w:val="auto"/>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02975"/>
      <w:docPartObj>
        <w:docPartGallery w:val="Page Numbers (Bottom of Page)"/>
        <w:docPartUnique/>
      </w:docPartObj>
    </w:sdtPr>
    <w:sdtEndPr>
      <w:rPr>
        <w:rFonts w:ascii="Times New Roman" w:hAnsi="Times New Roman" w:cs="Times New Roman"/>
      </w:rPr>
    </w:sdtEndPr>
    <w:sdtContent>
      <w:p w14:paraId="652C042F" w14:textId="77777777" w:rsidR="00297993" w:rsidRPr="00D0043B" w:rsidRDefault="00297993">
        <w:pPr>
          <w:pStyle w:val="Stopka"/>
          <w:jc w:val="right"/>
          <w:rPr>
            <w:rFonts w:ascii="Times New Roman" w:hAnsi="Times New Roman" w:cs="Times New Roman"/>
          </w:rPr>
        </w:pPr>
        <w:r w:rsidRPr="00D0043B">
          <w:rPr>
            <w:rFonts w:ascii="Times New Roman" w:hAnsi="Times New Roman" w:cs="Times New Roman"/>
          </w:rPr>
          <w:fldChar w:fldCharType="begin"/>
        </w:r>
        <w:r w:rsidRPr="00D0043B">
          <w:rPr>
            <w:rFonts w:ascii="Times New Roman" w:hAnsi="Times New Roman" w:cs="Times New Roman"/>
          </w:rPr>
          <w:instrText>PAGE   \* MERGEFORMAT</w:instrText>
        </w:r>
        <w:r w:rsidRPr="00D0043B">
          <w:rPr>
            <w:rFonts w:ascii="Times New Roman" w:hAnsi="Times New Roman" w:cs="Times New Roman"/>
          </w:rPr>
          <w:fldChar w:fldCharType="separate"/>
        </w:r>
        <w:r w:rsidR="001C0AB1">
          <w:rPr>
            <w:rFonts w:ascii="Times New Roman" w:hAnsi="Times New Roman" w:cs="Times New Roman"/>
            <w:noProof/>
          </w:rPr>
          <w:t>1</w:t>
        </w:r>
        <w:r w:rsidRPr="00D0043B">
          <w:rPr>
            <w:rFonts w:ascii="Times New Roman" w:hAnsi="Times New Roman" w:cs="Times New Roman"/>
          </w:rPr>
          <w:fldChar w:fldCharType="end"/>
        </w:r>
      </w:p>
    </w:sdtContent>
  </w:sdt>
  <w:p w14:paraId="64A95A09" w14:textId="77777777" w:rsidR="00297993" w:rsidRDefault="002979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2126C" w14:textId="77777777" w:rsidR="00CC6EF7" w:rsidRDefault="00CC6EF7" w:rsidP="001B7AB8">
      <w:pPr>
        <w:spacing w:after="0" w:line="240" w:lineRule="auto"/>
      </w:pPr>
      <w:r>
        <w:separator/>
      </w:r>
    </w:p>
  </w:footnote>
  <w:footnote w:type="continuationSeparator" w:id="0">
    <w:p w14:paraId="4683108A" w14:textId="77777777" w:rsidR="00CC6EF7" w:rsidRDefault="00CC6EF7" w:rsidP="001B7AB8">
      <w:pPr>
        <w:spacing w:after="0" w:line="240" w:lineRule="auto"/>
      </w:pPr>
      <w:r>
        <w:continuationSeparator/>
      </w:r>
    </w:p>
  </w:footnote>
  <w:footnote w:id="1">
    <w:p w14:paraId="0C150B77" w14:textId="77777777" w:rsidR="00EF441C" w:rsidRPr="00205778" w:rsidRDefault="00EF441C" w:rsidP="00EF441C">
      <w:pPr>
        <w:jc w:val="both"/>
        <w:rPr>
          <w:rStyle w:val="tlid-translation"/>
          <w:rFonts w:ascii="Times New Roman" w:hAnsi="Times New Roman" w:cs="Times New Roman"/>
          <w:bCs/>
          <w:lang w:val="en-GB"/>
        </w:rPr>
      </w:pPr>
      <w:r w:rsidRPr="00205778">
        <w:rPr>
          <w:rStyle w:val="Odwoanieprzypisudolnego"/>
          <w:rFonts w:ascii="Times New Roman" w:hAnsi="Times New Roman" w:cs="Times New Roman"/>
        </w:rPr>
        <w:footnoteRef/>
      </w:r>
      <w:r w:rsidRPr="00205778">
        <w:rPr>
          <w:rFonts w:ascii="Times New Roman" w:hAnsi="Times New Roman" w:cs="Times New Roman"/>
          <w:lang w:val="en-GB"/>
        </w:rPr>
        <w:t xml:space="preserve"> </w:t>
      </w:r>
      <w:r w:rsidRPr="00205778">
        <w:rPr>
          <w:rStyle w:val="tlid-translation"/>
          <w:rFonts w:ascii="Times New Roman" w:hAnsi="Times New Roman" w:cs="Times New Roman"/>
          <w:lang w:val="en-GB"/>
        </w:rPr>
        <w:t xml:space="preserve">European Banking Authority, </w:t>
      </w:r>
      <w:r w:rsidRPr="00205778">
        <w:rPr>
          <w:rStyle w:val="tlid-translation"/>
          <w:rFonts w:ascii="Times New Roman" w:hAnsi="Times New Roman" w:cs="Times New Roman"/>
          <w:i/>
          <w:lang w:val="en-GB"/>
        </w:rPr>
        <w:t>Report on covered bonds recommendations on harmonisation of covered bond framework in the EU</w:t>
      </w:r>
      <w:r w:rsidRPr="00205778">
        <w:rPr>
          <w:rStyle w:val="tlid-translation"/>
          <w:rFonts w:ascii="Times New Roman" w:hAnsi="Times New Roman" w:cs="Times New Roman"/>
          <w:lang w:val="en-GB"/>
        </w:rPr>
        <w:t xml:space="preserve">, 2016. </w:t>
      </w:r>
    </w:p>
    <w:p w14:paraId="1E6599D7" w14:textId="77777777" w:rsidR="00EF441C" w:rsidRDefault="00EF441C" w:rsidP="00EF441C">
      <w:pPr>
        <w:pStyle w:val="Tekstprzypisudolnego"/>
        <w:rPr>
          <w:lang w:val="en-GB"/>
        </w:rPr>
      </w:pPr>
    </w:p>
    <w:p w14:paraId="3ACB9D21" w14:textId="77777777" w:rsidR="00EF441C" w:rsidRPr="00593F7D" w:rsidRDefault="00EF441C" w:rsidP="00EF441C">
      <w:pPr>
        <w:pStyle w:val="Tekstprzypisudolnego"/>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221"/>
    <w:multiLevelType w:val="hybridMultilevel"/>
    <w:tmpl w:val="522827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8648F"/>
    <w:multiLevelType w:val="hybridMultilevel"/>
    <w:tmpl w:val="82EE477C"/>
    <w:lvl w:ilvl="0" w:tplc="589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EB6D2F"/>
    <w:multiLevelType w:val="hybridMultilevel"/>
    <w:tmpl w:val="E5AA60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F139B6"/>
    <w:multiLevelType w:val="hybridMultilevel"/>
    <w:tmpl w:val="AC0A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7F2141"/>
    <w:multiLevelType w:val="hybridMultilevel"/>
    <w:tmpl w:val="D7A6B8E6"/>
    <w:lvl w:ilvl="0" w:tplc="A4FE1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244093"/>
    <w:multiLevelType w:val="hybridMultilevel"/>
    <w:tmpl w:val="F4F05B34"/>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0B3EC4"/>
    <w:multiLevelType w:val="hybridMultilevel"/>
    <w:tmpl w:val="E3548E7A"/>
    <w:lvl w:ilvl="0" w:tplc="0E0638DC">
      <w:start w:val="1"/>
      <w:numFmt w:val="decimal"/>
      <w:lvlText w:val="%1)"/>
      <w:lvlJc w:val="left"/>
      <w:pPr>
        <w:ind w:left="720" w:hanging="360"/>
      </w:pPr>
      <w:rPr>
        <w:rFonts w:ascii="Times New Roman" w:hAnsi="Times New Roman" w:cs="Times New Roman"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8E3ACB"/>
    <w:multiLevelType w:val="hybridMultilevel"/>
    <w:tmpl w:val="F0DE23CE"/>
    <w:lvl w:ilvl="0" w:tplc="589833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B33778B"/>
    <w:multiLevelType w:val="hybridMultilevel"/>
    <w:tmpl w:val="619CFF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D513C35"/>
    <w:multiLevelType w:val="hybridMultilevel"/>
    <w:tmpl w:val="A7E0E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FE2804"/>
    <w:multiLevelType w:val="hybridMultilevel"/>
    <w:tmpl w:val="CC44E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6817FF"/>
    <w:multiLevelType w:val="hybridMultilevel"/>
    <w:tmpl w:val="A356CA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314717"/>
    <w:multiLevelType w:val="hybridMultilevel"/>
    <w:tmpl w:val="E2EC3B78"/>
    <w:lvl w:ilvl="0" w:tplc="A4FE1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7F35C0"/>
    <w:multiLevelType w:val="hybridMultilevel"/>
    <w:tmpl w:val="0DE456B2"/>
    <w:lvl w:ilvl="0" w:tplc="9D18396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3850B3"/>
    <w:multiLevelType w:val="hybridMultilevel"/>
    <w:tmpl w:val="47C84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8009B3"/>
    <w:multiLevelType w:val="hybridMultilevel"/>
    <w:tmpl w:val="B860D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6CF021B"/>
    <w:multiLevelType w:val="hybridMultilevel"/>
    <w:tmpl w:val="CF00B226"/>
    <w:lvl w:ilvl="0" w:tplc="ADB20180">
      <w:start w:val="1"/>
      <w:numFmt w:val="lowerLetter"/>
      <w:lvlText w:val="%1)"/>
      <w:lvlJc w:val="left"/>
      <w:pPr>
        <w:ind w:left="2046" w:hanging="516"/>
      </w:pPr>
      <w:rPr>
        <w:rFonts w:hint="default"/>
      </w:r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7">
    <w:nsid w:val="58FC0AE7"/>
    <w:multiLevelType w:val="hybridMultilevel"/>
    <w:tmpl w:val="C394BF7A"/>
    <w:lvl w:ilvl="0" w:tplc="58983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59F4CBE"/>
    <w:multiLevelType w:val="hybridMultilevel"/>
    <w:tmpl w:val="947A886C"/>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521CB"/>
    <w:multiLevelType w:val="hybridMultilevel"/>
    <w:tmpl w:val="5B3EDD5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6C862698"/>
    <w:multiLevelType w:val="hybridMultilevel"/>
    <w:tmpl w:val="8EC0CF3A"/>
    <w:lvl w:ilvl="0" w:tplc="DA9E71FE">
      <w:start w:val="1"/>
      <w:numFmt w:val="bullet"/>
      <w:lvlText w:val="-"/>
      <w:lvlJc w:val="left"/>
      <w:pPr>
        <w:ind w:left="1080" w:hanging="72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F674B0"/>
    <w:multiLevelType w:val="hybridMultilevel"/>
    <w:tmpl w:val="A39ACAF4"/>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E070A6"/>
    <w:multiLevelType w:val="hybridMultilevel"/>
    <w:tmpl w:val="9CE47A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C411718"/>
    <w:multiLevelType w:val="hybridMultilevel"/>
    <w:tmpl w:val="5D7E3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8"/>
  </w:num>
  <w:num w:numId="5">
    <w:abstractNumId w:val="14"/>
  </w:num>
  <w:num w:numId="6">
    <w:abstractNumId w:val="23"/>
  </w:num>
  <w:num w:numId="7">
    <w:abstractNumId w:val="5"/>
  </w:num>
  <w:num w:numId="8">
    <w:abstractNumId w:val="22"/>
  </w:num>
  <w:num w:numId="9">
    <w:abstractNumId w:val="0"/>
  </w:num>
  <w:num w:numId="10">
    <w:abstractNumId w:val="13"/>
  </w:num>
  <w:num w:numId="11">
    <w:abstractNumId w:val="21"/>
  </w:num>
  <w:num w:numId="12">
    <w:abstractNumId w:val="2"/>
  </w:num>
  <w:num w:numId="13">
    <w:abstractNumId w:val="3"/>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4"/>
  </w:num>
  <w:num w:numId="19">
    <w:abstractNumId w:val="10"/>
  </w:num>
  <w:num w:numId="20">
    <w:abstractNumId w:val="20"/>
  </w:num>
  <w:num w:numId="21">
    <w:abstractNumId w:val="16"/>
  </w:num>
  <w:num w:numId="22">
    <w:abstractNumId w:val="11"/>
  </w:num>
  <w:num w:numId="23">
    <w:abstractNumId w:val="24"/>
  </w:num>
  <w:num w:numId="24">
    <w:abstractNumId w:val="12"/>
  </w:num>
  <w:num w:numId="25">
    <w:abstractNumId w:val="19"/>
  </w:num>
  <w:num w:numId="26">
    <w:abstractNumId w:val="18"/>
    <w:lvlOverride w:ilvl="0">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7F"/>
    <w:rsid w:val="00000A69"/>
    <w:rsid w:val="00002793"/>
    <w:rsid w:val="00004438"/>
    <w:rsid w:val="00005C96"/>
    <w:rsid w:val="00017158"/>
    <w:rsid w:val="00022116"/>
    <w:rsid w:val="00022A97"/>
    <w:rsid w:val="0002454C"/>
    <w:rsid w:val="00025ED6"/>
    <w:rsid w:val="00026232"/>
    <w:rsid w:val="000334E6"/>
    <w:rsid w:val="00040803"/>
    <w:rsid w:val="00042E96"/>
    <w:rsid w:val="00042EE6"/>
    <w:rsid w:val="000503C5"/>
    <w:rsid w:val="00050D79"/>
    <w:rsid w:val="000534BE"/>
    <w:rsid w:val="00066C3B"/>
    <w:rsid w:val="00080696"/>
    <w:rsid w:val="0008485C"/>
    <w:rsid w:val="00090999"/>
    <w:rsid w:val="00095A02"/>
    <w:rsid w:val="00097878"/>
    <w:rsid w:val="000A1F0B"/>
    <w:rsid w:val="000A2725"/>
    <w:rsid w:val="000A3251"/>
    <w:rsid w:val="000A7CC4"/>
    <w:rsid w:val="000B7DCD"/>
    <w:rsid w:val="000C0608"/>
    <w:rsid w:val="000C258C"/>
    <w:rsid w:val="000C3F31"/>
    <w:rsid w:val="000C6EF3"/>
    <w:rsid w:val="000C7BE8"/>
    <w:rsid w:val="000D3498"/>
    <w:rsid w:val="000D4A7E"/>
    <w:rsid w:val="000E1D1E"/>
    <w:rsid w:val="000E43A0"/>
    <w:rsid w:val="000F0D29"/>
    <w:rsid w:val="000F4173"/>
    <w:rsid w:val="000F55F2"/>
    <w:rsid w:val="000F5DD6"/>
    <w:rsid w:val="000F7489"/>
    <w:rsid w:val="000F766E"/>
    <w:rsid w:val="000F7952"/>
    <w:rsid w:val="001049BE"/>
    <w:rsid w:val="0010535E"/>
    <w:rsid w:val="00112A88"/>
    <w:rsid w:val="00115551"/>
    <w:rsid w:val="00121CE2"/>
    <w:rsid w:val="00123BE2"/>
    <w:rsid w:val="001255B0"/>
    <w:rsid w:val="00127306"/>
    <w:rsid w:val="001319F0"/>
    <w:rsid w:val="00133211"/>
    <w:rsid w:val="00135249"/>
    <w:rsid w:val="001372F9"/>
    <w:rsid w:val="0013735B"/>
    <w:rsid w:val="00150CFB"/>
    <w:rsid w:val="001545F1"/>
    <w:rsid w:val="00156185"/>
    <w:rsid w:val="00160434"/>
    <w:rsid w:val="001669DD"/>
    <w:rsid w:val="001752FC"/>
    <w:rsid w:val="001806B7"/>
    <w:rsid w:val="001819CD"/>
    <w:rsid w:val="001819DE"/>
    <w:rsid w:val="00181BE7"/>
    <w:rsid w:val="00190514"/>
    <w:rsid w:val="00192A24"/>
    <w:rsid w:val="00192C38"/>
    <w:rsid w:val="001A2238"/>
    <w:rsid w:val="001A2F5E"/>
    <w:rsid w:val="001B27B3"/>
    <w:rsid w:val="001B386A"/>
    <w:rsid w:val="001B4D98"/>
    <w:rsid w:val="001B537B"/>
    <w:rsid w:val="001B7AB8"/>
    <w:rsid w:val="001C0AB1"/>
    <w:rsid w:val="001C6C21"/>
    <w:rsid w:val="001C70F6"/>
    <w:rsid w:val="001D311A"/>
    <w:rsid w:val="001D3B42"/>
    <w:rsid w:val="001D5C4A"/>
    <w:rsid w:val="001D7F47"/>
    <w:rsid w:val="001E26BD"/>
    <w:rsid w:val="001E3AB4"/>
    <w:rsid w:val="001E3B56"/>
    <w:rsid w:val="001E3C9B"/>
    <w:rsid w:val="001E4013"/>
    <w:rsid w:val="001E428C"/>
    <w:rsid w:val="001E4B68"/>
    <w:rsid w:val="001E5205"/>
    <w:rsid w:val="001E7E22"/>
    <w:rsid w:val="001F1269"/>
    <w:rsid w:val="001F3DC0"/>
    <w:rsid w:val="001F4416"/>
    <w:rsid w:val="00202A71"/>
    <w:rsid w:val="0020506D"/>
    <w:rsid w:val="002055EA"/>
    <w:rsid w:val="00205778"/>
    <w:rsid w:val="00212505"/>
    <w:rsid w:val="00214D1D"/>
    <w:rsid w:val="0021512B"/>
    <w:rsid w:val="0021682D"/>
    <w:rsid w:val="00220666"/>
    <w:rsid w:val="002258A2"/>
    <w:rsid w:val="00226563"/>
    <w:rsid w:val="00230B93"/>
    <w:rsid w:val="00232CB8"/>
    <w:rsid w:val="00242268"/>
    <w:rsid w:val="0024275D"/>
    <w:rsid w:val="00244B99"/>
    <w:rsid w:val="00250583"/>
    <w:rsid w:val="00251AD6"/>
    <w:rsid w:val="00255B93"/>
    <w:rsid w:val="00257259"/>
    <w:rsid w:val="00260B78"/>
    <w:rsid w:val="002633AE"/>
    <w:rsid w:val="00265399"/>
    <w:rsid w:val="00266D90"/>
    <w:rsid w:val="00267D8D"/>
    <w:rsid w:val="002705B8"/>
    <w:rsid w:val="00290A64"/>
    <w:rsid w:val="00293046"/>
    <w:rsid w:val="00294324"/>
    <w:rsid w:val="00294F8E"/>
    <w:rsid w:val="00297993"/>
    <w:rsid w:val="002A013A"/>
    <w:rsid w:val="002A0FED"/>
    <w:rsid w:val="002A1ADD"/>
    <w:rsid w:val="002A3329"/>
    <w:rsid w:val="002A4823"/>
    <w:rsid w:val="002A6CA5"/>
    <w:rsid w:val="002A73BB"/>
    <w:rsid w:val="002B3FBF"/>
    <w:rsid w:val="002B5E4A"/>
    <w:rsid w:val="002C046B"/>
    <w:rsid w:val="002C3850"/>
    <w:rsid w:val="002C385C"/>
    <w:rsid w:val="002C4534"/>
    <w:rsid w:val="002E0424"/>
    <w:rsid w:val="002E0DB0"/>
    <w:rsid w:val="002F4E93"/>
    <w:rsid w:val="00300A53"/>
    <w:rsid w:val="00303338"/>
    <w:rsid w:val="00304238"/>
    <w:rsid w:val="00310ED3"/>
    <w:rsid w:val="00313B1E"/>
    <w:rsid w:val="00316A33"/>
    <w:rsid w:val="00323622"/>
    <w:rsid w:val="00325CEA"/>
    <w:rsid w:val="003263F8"/>
    <w:rsid w:val="003335BE"/>
    <w:rsid w:val="0033421B"/>
    <w:rsid w:val="0033675D"/>
    <w:rsid w:val="00345AEE"/>
    <w:rsid w:val="00345EB1"/>
    <w:rsid w:val="0035094A"/>
    <w:rsid w:val="00353A1C"/>
    <w:rsid w:val="00355809"/>
    <w:rsid w:val="00360D34"/>
    <w:rsid w:val="00360D5E"/>
    <w:rsid w:val="00362C08"/>
    <w:rsid w:val="003632D0"/>
    <w:rsid w:val="00364E01"/>
    <w:rsid w:val="00367408"/>
    <w:rsid w:val="003707E2"/>
    <w:rsid w:val="003715D7"/>
    <w:rsid w:val="003727D9"/>
    <w:rsid w:val="00374071"/>
    <w:rsid w:val="0037417E"/>
    <w:rsid w:val="003825CD"/>
    <w:rsid w:val="00382E67"/>
    <w:rsid w:val="00384A30"/>
    <w:rsid w:val="003853E0"/>
    <w:rsid w:val="003928AA"/>
    <w:rsid w:val="003A0D8A"/>
    <w:rsid w:val="003A1B94"/>
    <w:rsid w:val="003A4C76"/>
    <w:rsid w:val="003B59B8"/>
    <w:rsid w:val="003B5FD3"/>
    <w:rsid w:val="003B776A"/>
    <w:rsid w:val="003D33A6"/>
    <w:rsid w:val="003E1C08"/>
    <w:rsid w:val="003E2CEC"/>
    <w:rsid w:val="003E3F2F"/>
    <w:rsid w:val="003E5263"/>
    <w:rsid w:val="003E760F"/>
    <w:rsid w:val="003F122E"/>
    <w:rsid w:val="003F633E"/>
    <w:rsid w:val="003F77F3"/>
    <w:rsid w:val="00403D41"/>
    <w:rsid w:val="00406525"/>
    <w:rsid w:val="00410177"/>
    <w:rsid w:val="0041089C"/>
    <w:rsid w:val="00414291"/>
    <w:rsid w:val="00414BE1"/>
    <w:rsid w:val="004225C8"/>
    <w:rsid w:val="00426428"/>
    <w:rsid w:val="00431FA2"/>
    <w:rsid w:val="00446AFA"/>
    <w:rsid w:val="00447F82"/>
    <w:rsid w:val="00447FC8"/>
    <w:rsid w:val="0045095B"/>
    <w:rsid w:val="00453C1D"/>
    <w:rsid w:val="00455574"/>
    <w:rsid w:val="00464672"/>
    <w:rsid w:val="004653AD"/>
    <w:rsid w:val="00465FC4"/>
    <w:rsid w:val="00475237"/>
    <w:rsid w:val="00475F95"/>
    <w:rsid w:val="00482E1A"/>
    <w:rsid w:val="00484547"/>
    <w:rsid w:val="00484AC8"/>
    <w:rsid w:val="00485E86"/>
    <w:rsid w:val="00492660"/>
    <w:rsid w:val="00492C10"/>
    <w:rsid w:val="00497A64"/>
    <w:rsid w:val="004A4524"/>
    <w:rsid w:val="004A7DB3"/>
    <w:rsid w:val="004B0979"/>
    <w:rsid w:val="004B14CD"/>
    <w:rsid w:val="004B78D3"/>
    <w:rsid w:val="004C0E15"/>
    <w:rsid w:val="004C70D8"/>
    <w:rsid w:val="004C7D1D"/>
    <w:rsid w:val="004D4935"/>
    <w:rsid w:val="004D4CF5"/>
    <w:rsid w:val="004E16E0"/>
    <w:rsid w:val="004E2365"/>
    <w:rsid w:val="004E3091"/>
    <w:rsid w:val="004E349F"/>
    <w:rsid w:val="004E7412"/>
    <w:rsid w:val="004F679E"/>
    <w:rsid w:val="004F79C2"/>
    <w:rsid w:val="00500199"/>
    <w:rsid w:val="00500263"/>
    <w:rsid w:val="0050729F"/>
    <w:rsid w:val="005172EC"/>
    <w:rsid w:val="00520BEE"/>
    <w:rsid w:val="00521595"/>
    <w:rsid w:val="00525EF1"/>
    <w:rsid w:val="00526659"/>
    <w:rsid w:val="00532025"/>
    <w:rsid w:val="00541178"/>
    <w:rsid w:val="00541A27"/>
    <w:rsid w:val="0054284E"/>
    <w:rsid w:val="0054334E"/>
    <w:rsid w:val="0055650B"/>
    <w:rsid w:val="00560A25"/>
    <w:rsid w:val="0056192C"/>
    <w:rsid w:val="00562567"/>
    <w:rsid w:val="0057020A"/>
    <w:rsid w:val="00572033"/>
    <w:rsid w:val="00574F35"/>
    <w:rsid w:val="00577211"/>
    <w:rsid w:val="005901F3"/>
    <w:rsid w:val="00593CDD"/>
    <w:rsid w:val="00597ADA"/>
    <w:rsid w:val="005A3ABC"/>
    <w:rsid w:val="005A469A"/>
    <w:rsid w:val="005A48F6"/>
    <w:rsid w:val="005A5AF9"/>
    <w:rsid w:val="005A710F"/>
    <w:rsid w:val="005A7CA2"/>
    <w:rsid w:val="005B25A8"/>
    <w:rsid w:val="005B353A"/>
    <w:rsid w:val="005B407D"/>
    <w:rsid w:val="005B44E9"/>
    <w:rsid w:val="005B5387"/>
    <w:rsid w:val="005C4E46"/>
    <w:rsid w:val="005C6806"/>
    <w:rsid w:val="005D0C6B"/>
    <w:rsid w:val="005D4F8B"/>
    <w:rsid w:val="005D66CE"/>
    <w:rsid w:val="005D7002"/>
    <w:rsid w:val="005E0A48"/>
    <w:rsid w:val="005F2464"/>
    <w:rsid w:val="005F2EAC"/>
    <w:rsid w:val="005F5E7F"/>
    <w:rsid w:val="005F65BE"/>
    <w:rsid w:val="005F6B37"/>
    <w:rsid w:val="0060065A"/>
    <w:rsid w:val="0060257A"/>
    <w:rsid w:val="00603DE0"/>
    <w:rsid w:val="00604A41"/>
    <w:rsid w:val="00605AEE"/>
    <w:rsid w:val="00612ADF"/>
    <w:rsid w:val="006130BC"/>
    <w:rsid w:val="0061409C"/>
    <w:rsid w:val="0061514C"/>
    <w:rsid w:val="00615EF9"/>
    <w:rsid w:val="006161D5"/>
    <w:rsid w:val="0061655B"/>
    <w:rsid w:val="00622CAB"/>
    <w:rsid w:val="00625774"/>
    <w:rsid w:val="00630879"/>
    <w:rsid w:val="00643885"/>
    <w:rsid w:val="00646687"/>
    <w:rsid w:val="006466F9"/>
    <w:rsid w:val="00650891"/>
    <w:rsid w:val="006548F2"/>
    <w:rsid w:val="006578A6"/>
    <w:rsid w:val="00660DCA"/>
    <w:rsid w:val="0066298A"/>
    <w:rsid w:val="0066447A"/>
    <w:rsid w:val="0067004D"/>
    <w:rsid w:val="006700EA"/>
    <w:rsid w:val="00671986"/>
    <w:rsid w:val="0067391A"/>
    <w:rsid w:val="00677253"/>
    <w:rsid w:val="00680597"/>
    <w:rsid w:val="00681394"/>
    <w:rsid w:val="00684B57"/>
    <w:rsid w:val="006868C5"/>
    <w:rsid w:val="00692C79"/>
    <w:rsid w:val="00694647"/>
    <w:rsid w:val="00696D4D"/>
    <w:rsid w:val="006A1035"/>
    <w:rsid w:val="006A47E7"/>
    <w:rsid w:val="006A7181"/>
    <w:rsid w:val="006B3954"/>
    <w:rsid w:val="006C113E"/>
    <w:rsid w:val="006C1273"/>
    <w:rsid w:val="006C2995"/>
    <w:rsid w:val="006C4AD8"/>
    <w:rsid w:val="006C7E8B"/>
    <w:rsid w:val="006D1E3C"/>
    <w:rsid w:val="006D4269"/>
    <w:rsid w:val="006D632E"/>
    <w:rsid w:val="006E34AF"/>
    <w:rsid w:val="006E3786"/>
    <w:rsid w:val="006E43D3"/>
    <w:rsid w:val="006E7AF3"/>
    <w:rsid w:val="006F0249"/>
    <w:rsid w:val="006F75B9"/>
    <w:rsid w:val="00706120"/>
    <w:rsid w:val="007066EF"/>
    <w:rsid w:val="00713CF8"/>
    <w:rsid w:val="0071462B"/>
    <w:rsid w:val="00717AF6"/>
    <w:rsid w:val="007203B6"/>
    <w:rsid w:val="00720FD9"/>
    <w:rsid w:val="007327F0"/>
    <w:rsid w:val="0073577D"/>
    <w:rsid w:val="00735DDD"/>
    <w:rsid w:val="00736616"/>
    <w:rsid w:val="00743EB7"/>
    <w:rsid w:val="00744960"/>
    <w:rsid w:val="00751082"/>
    <w:rsid w:val="00751D47"/>
    <w:rsid w:val="0075568E"/>
    <w:rsid w:val="007605F3"/>
    <w:rsid w:val="0076267E"/>
    <w:rsid w:val="00765A2A"/>
    <w:rsid w:val="00767CB7"/>
    <w:rsid w:val="00774322"/>
    <w:rsid w:val="00774946"/>
    <w:rsid w:val="00775BC6"/>
    <w:rsid w:val="00775BF9"/>
    <w:rsid w:val="0078344B"/>
    <w:rsid w:val="007843E9"/>
    <w:rsid w:val="007850DB"/>
    <w:rsid w:val="00785CBE"/>
    <w:rsid w:val="007911F1"/>
    <w:rsid w:val="00795F00"/>
    <w:rsid w:val="007A00E2"/>
    <w:rsid w:val="007A154F"/>
    <w:rsid w:val="007A2C03"/>
    <w:rsid w:val="007A5726"/>
    <w:rsid w:val="007A71E0"/>
    <w:rsid w:val="007B142E"/>
    <w:rsid w:val="007B2248"/>
    <w:rsid w:val="007B46CB"/>
    <w:rsid w:val="007C1079"/>
    <w:rsid w:val="007C610A"/>
    <w:rsid w:val="007D0C4B"/>
    <w:rsid w:val="007E5142"/>
    <w:rsid w:val="007F19E7"/>
    <w:rsid w:val="007F2D10"/>
    <w:rsid w:val="007F4782"/>
    <w:rsid w:val="007F7EF1"/>
    <w:rsid w:val="008017E9"/>
    <w:rsid w:val="008031A3"/>
    <w:rsid w:val="008070E6"/>
    <w:rsid w:val="00827B37"/>
    <w:rsid w:val="008374FD"/>
    <w:rsid w:val="00840B43"/>
    <w:rsid w:val="00841C0A"/>
    <w:rsid w:val="0084208A"/>
    <w:rsid w:val="00845EF4"/>
    <w:rsid w:val="008575FF"/>
    <w:rsid w:val="008611AA"/>
    <w:rsid w:val="00863F0B"/>
    <w:rsid w:val="00864F97"/>
    <w:rsid w:val="00866F45"/>
    <w:rsid w:val="0086774B"/>
    <w:rsid w:val="00877E24"/>
    <w:rsid w:val="00880212"/>
    <w:rsid w:val="008822B0"/>
    <w:rsid w:val="00884C87"/>
    <w:rsid w:val="0088730A"/>
    <w:rsid w:val="008911E5"/>
    <w:rsid w:val="008A55A1"/>
    <w:rsid w:val="008B1D56"/>
    <w:rsid w:val="008B1EAF"/>
    <w:rsid w:val="008B6B25"/>
    <w:rsid w:val="008C55BE"/>
    <w:rsid w:val="008C7F2C"/>
    <w:rsid w:val="008D1949"/>
    <w:rsid w:val="008D1E51"/>
    <w:rsid w:val="008D6971"/>
    <w:rsid w:val="008D7680"/>
    <w:rsid w:val="008E21FD"/>
    <w:rsid w:val="008F23BD"/>
    <w:rsid w:val="008F3BD0"/>
    <w:rsid w:val="008F4895"/>
    <w:rsid w:val="008F680D"/>
    <w:rsid w:val="00904886"/>
    <w:rsid w:val="00913DC8"/>
    <w:rsid w:val="009171BB"/>
    <w:rsid w:val="00927837"/>
    <w:rsid w:val="00932543"/>
    <w:rsid w:val="00934113"/>
    <w:rsid w:val="00935CC3"/>
    <w:rsid w:val="00947200"/>
    <w:rsid w:val="00953661"/>
    <w:rsid w:val="00967CCC"/>
    <w:rsid w:val="0097026B"/>
    <w:rsid w:val="00973040"/>
    <w:rsid w:val="0097618D"/>
    <w:rsid w:val="009800AB"/>
    <w:rsid w:val="00980564"/>
    <w:rsid w:val="009838E1"/>
    <w:rsid w:val="009861B2"/>
    <w:rsid w:val="00995B69"/>
    <w:rsid w:val="009A02B9"/>
    <w:rsid w:val="009A3D0A"/>
    <w:rsid w:val="009B220B"/>
    <w:rsid w:val="009B2E17"/>
    <w:rsid w:val="009B7065"/>
    <w:rsid w:val="009B7D3B"/>
    <w:rsid w:val="009C2364"/>
    <w:rsid w:val="009C2ACF"/>
    <w:rsid w:val="009C337F"/>
    <w:rsid w:val="009C5BD7"/>
    <w:rsid w:val="009D2F93"/>
    <w:rsid w:val="009E3432"/>
    <w:rsid w:val="009E4AD8"/>
    <w:rsid w:val="009F5CB6"/>
    <w:rsid w:val="009F6666"/>
    <w:rsid w:val="00A01ADB"/>
    <w:rsid w:val="00A03529"/>
    <w:rsid w:val="00A12403"/>
    <w:rsid w:val="00A13C6C"/>
    <w:rsid w:val="00A23939"/>
    <w:rsid w:val="00A26ECF"/>
    <w:rsid w:val="00A3097E"/>
    <w:rsid w:val="00A34A4B"/>
    <w:rsid w:val="00A37CE9"/>
    <w:rsid w:val="00A4036D"/>
    <w:rsid w:val="00A50414"/>
    <w:rsid w:val="00A50981"/>
    <w:rsid w:val="00A563C7"/>
    <w:rsid w:val="00A67975"/>
    <w:rsid w:val="00A726A9"/>
    <w:rsid w:val="00A72EBD"/>
    <w:rsid w:val="00A77AE0"/>
    <w:rsid w:val="00A77D20"/>
    <w:rsid w:val="00A81B29"/>
    <w:rsid w:val="00A8338C"/>
    <w:rsid w:val="00A84ADB"/>
    <w:rsid w:val="00A851BF"/>
    <w:rsid w:val="00A861E2"/>
    <w:rsid w:val="00A8755F"/>
    <w:rsid w:val="00A9237B"/>
    <w:rsid w:val="00A95559"/>
    <w:rsid w:val="00AA41E8"/>
    <w:rsid w:val="00AB0294"/>
    <w:rsid w:val="00AC0860"/>
    <w:rsid w:val="00AC0B33"/>
    <w:rsid w:val="00AC630B"/>
    <w:rsid w:val="00AC76D4"/>
    <w:rsid w:val="00AD055E"/>
    <w:rsid w:val="00AD0BA8"/>
    <w:rsid w:val="00AD1A73"/>
    <w:rsid w:val="00AD68AA"/>
    <w:rsid w:val="00AE0500"/>
    <w:rsid w:val="00AE1AEE"/>
    <w:rsid w:val="00AE3C7B"/>
    <w:rsid w:val="00AE40C2"/>
    <w:rsid w:val="00AE5709"/>
    <w:rsid w:val="00AF4110"/>
    <w:rsid w:val="00B03049"/>
    <w:rsid w:val="00B07EDE"/>
    <w:rsid w:val="00B21BAF"/>
    <w:rsid w:val="00B251CF"/>
    <w:rsid w:val="00B32E95"/>
    <w:rsid w:val="00B378C7"/>
    <w:rsid w:val="00B37CDE"/>
    <w:rsid w:val="00B4154B"/>
    <w:rsid w:val="00B52A64"/>
    <w:rsid w:val="00B5641C"/>
    <w:rsid w:val="00B62E64"/>
    <w:rsid w:val="00B63E31"/>
    <w:rsid w:val="00B679E4"/>
    <w:rsid w:val="00B71175"/>
    <w:rsid w:val="00B71346"/>
    <w:rsid w:val="00B71F9B"/>
    <w:rsid w:val="00B9154F"/>
    <w:rsid w:val="00BA5491"/>
    <w:rsid w:val="00BB16D5"/>
    <w:rsid w:val="00BB1EE1"/>
    <w:rsid w:val="00BB71D1"/>
    <w:rsid w:val="00BC68DD"/>
    <w:rsid w:val="00BD1788"/>
    <w:rsid w:val="00BD43E7"/>
    <w:rsid w:val="00BD4BA6"/>
    <w:rsid w:val="00BE2CD2"/>
    <w:rsid w:val="00BE301F"/>
    <w:rsid w:val="00BE6AEE"/>
    <w:rsid w:val="00BF449A"/>
    <w:rsid w:val="00C03C22"/>
    <w:rsid w:val="00C04B72"/>
    <w:rsid w:val="00C15DE2"/>
    <w:rsid w:val="00C165B6"/>
    <w:rsid w:val="00C35D7D"/>
    <w:rsid w:val="00C40488"/>
    <w:rsid w:val="00C409C3"/>
    <w:rsid w:val="00C420A3"/>
    <w:rsid w:val="00C55F8D"/>
    <w:rsid w:val="00C567A0"/>
    <w:rsid w:val="00C627B3"/>
    <w:rsid w:val="00C62C93"/>
    <w:rsid w:val="00C67A90"/>
    <w:rsid w:val="00C729A2"/>
    <w:rsid w:val="00C72F76"/>
    <w:rsid w:val="00C76C58"/>
    <w:rsid w:val="00C80410"/>
    <w:rsid w:val="00C82604"/>
    <w:rsid w:val="00C8447E"/>
    <w:rsid w:val="00C85104"/>
    <w:rsid w:val="00C868CD"/>
    <w:rsid w:val="00C903D1"/>
    <w:rsid w:val="00C922C2"/>
    <w:rsid w:val="00C9348C"/>
    <w:rsid w:val="00C95C07"/>
    <w:rsid w:val="00C96C0F"/>
    <w:rsid w:val="00C96FE3"/>
    <w:rsid w:val="00CA22A6"/>
    <w:rsid w:val="00CA5CE6"/>
    <w:rsid w:val="00CA6959"/>
    <w:rsid w:val="00CB187E"/>
    <w:rsid w:val="00CB490E"/>
    <w:rsid w:val="00CB52A7"/>
    <w:rsid w:val="00CB7799"/>
    <w:rsid w:val="00CC0BBE"/>
    <w:rsid w:val="00CC11B4"/>
    <w:rsid w:val="00CC159A"/>
    <w:rsid w:val="00CC3391"/>
    <w:rsid w:val="00CC436F"/>
    <w:rsid w:val="00CC6EF7"/>
    <w:rsid w:val="00CD15DD"/>
    <w:rsid w:val="00CD35C9"/>
    <w:rsid w:val="00CD6AA6"/>
    <w:rsid w:val="00CE1B16"/>
    <w:rsid w:val="00CE3404"/>
    <w:rsid w:val="00CE4B9B"/>
    <w:rsid w:val="00CF2D46"/>
    <w:rsid w:val="00D0043B"/>
    <w:rsid w:val="00D01E57"/>
    <w:rsid w:val="00D06378"/>
    <w:rsid w:val="00D0663B"/>
    <w:rsid w:val="00D10EE6"/>
    <w:rsid w:val="00D135F2"/>
    <w:rsid w:val="00D17B72"/>
    <w:rsid w:val="00D2628D"/>
    <w:rsid w:val="00D27C82"/>
    <w:rsid w:val="00D33CAB"/>
    <w:rsid w:val="00D33CD2"/>
    <w:rsid w:val="00D33F58"/>
    <w:rsid w:val="00D36C5D"/>
    <w:rsid w:val="00D36D19"/>
    <w:rsid w:val="00D454EE"/>
    <w:rsid w:val="00D47931"/>
    <w:rsid w:val="00D55E82"/>
    <w:rsid w:val="00D56731"/>
    <w:rsid w:val="00D60338"/>
    <w:rsid w:val="00D70CAB"/>
    <w:rsid w:val="00D754AF"/>
    <w:rsid w:val="00D76696"/>
    <w:rsid w:val="00D848A7"/>
    <w:rsid w:val="00D9619B"/>
    <w:rsid w:val="00D97F18"/>
    <w:rsid w:val="00DA12EB"/>
    <w:rsid w:val="00DA5D19"/>
    <w:rsid w:val="00DA630F"/>
    <w:rsid w:val="00DB4603"/>
    <w:rsid w:val="00DB56EE"/>
    <w:rsid w:val="00DB5C41"/>
    <w:rsid w:val="00DC3538"/>
    <w:rsid w:val="00DC70C6"/>
    <w:rsid w:val="00DD0E23"/>
    <w:rsid w:val="00DD16F4"/>
    <w:rsid w:val="00DD48D3"/>
    <w:rsid w:val="00DD5C7C"/>
    <w:rsid w:val="00DD5E19"/>
    <w:rsid w:val="00DD70EF"/>
    <w:rsid w:val="00DE3558"/>
    <w:rsid w:val="00DF44EF"/>
    <w:rsid w:val="00DF5D5E"/>
    <w:rsid w:val="00E02AFC"/>
    <w:rsid w:val="00E05823"/>
    <w:rsid w:val="00E203E3"/>
    <w:rsid w:val="00E20662"/>
    <w:rsid w:val="00E2281D"/>
    <w:rsid w:val="00E27FBA"/>
    <w:rsid w:val="00E36858"/>
    <w:rsid w:val="00E36AA3"/>
    <w:rsid w:val="00E53376"/>
    <w:rsid w:val="00E53485"/>
    <w:rsid w:val="00E547B6"/>
    <w:rsid w:val="00E6152B"/>
    <w:rsid w:val="00E6456C"/>
    <w:rsid w:val="00E704C4"/>
    <w:rsid w:val="00E74E0A"/>
    <w:rsid w:val="00E85060"/>
    <w:rsid w:val="00E86BED"/>
    <w:rsid w:val="00EA24C5"/>
    <w:rsid w:val="00EA28D0"/>
    <w:rsid w:val="00EB58C4"/>
    <w:rsid w:val="00EB6FAA"/>
    <w:rsid w:val="00EB7550"/>
    <w:rsid w:val="00EC2306"/>
    <w:rsid w:val="00EC30DB"/>
    <w:rsid w:val="00EC3C8B"/>
    <w:rsid w:val="00ED03BA"/>
    <w:rsid w:val="00ED3364"/>
    <w:rsid w:val="00EE3328"/>
    <w:rsid w:val="00EE4096"/>
    <w:rsid w:val="00EE520B"/>
    <w:rsid w:val="00EE5AD9"/>
    <w:rsid w:val="00EF23C6"/>
    <w:rsid w:val="00EF441C"/>
    <w:rsid w:val="00F020E9"/>
    <w:rsid w:val="00F032AE"/>
    <w:rsid w:val="00F056C8"/>
    <w:rsid w:val="00F05A78"/>
    <w:rsid w:val="00F11066"/>
    <w:rsid w:val="00F1240F"/>
    <w:rsid w:val="00F14D05"/>
    <w:rsid w:val="00F23135"/>
    <w:rsid w:val="00F2681C"/>
    <w:rsid w:val="00F305C3"/>
    <w:rsid w:val="00F318BE"/>
    <w:rsid w:val="00F42084"/>
    <w:rsid w:val="00F42089"/>
    <w:rsid w:val="00F517BF"/>
    <w:rsid w:val="00F54EEC"/>
    <w:rsid w:val="00F552B3"/>
    <w:rsid w:val="00F57D60"/>
    <w:rsid w:val="00F6285E"/>
    <w:rsid w:val="00F63987"/>
    <w:rsid w:val="00F65980"/>
    <w:rsid w:val="00F67CBA"/>
    <w:rsid w:val="00F73E45"/>
    <w:rsid w:val="00F7655E"/>
    <w:rsid w:val="00F80251"/>
    <w:rsid w:val="00F81FA6"/>
    <w:rsid w:val="00F84288"/>
    <w:rsid w:val="00F8542C"/>
    <w:rsid w:val="00F91F21"/>
    <w:rsid w:val="00F95087"/>
    <w:rsid w:val="00F97361"/>
    <w:rsid w:val="00FA7BE5"/>
    <w:rsid w:val="00FB289F"/>
    <w:rsid w:val="00FB2BEB"/>
    <w:rsid w:val="00FB3AB4"/>
    <w:rsid w:val="00FB594D"/>
    <w:rsid w:val="00FC2AD8"/>
    <w:rsid w:val="00FC2BD8"/>
    <w:rsid w:val="00FC6C0D"/>
    <w:rsid w:val="00FD1207"/>
    <w:rsid w:val="00FE4B3B"/>
    <w:rsid w:val="00FE78D3"/>
    <w:rsid w:val="00FE7C8C"/>
    <w:rsid w:val="00FF3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1969"/>
  <w15:chartTrackingRefBased/>
  <w15:docId w15:val="{6C8B1BD4-7B66-43DA-B9F3-0A3C7C18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2EAC"/>
    <w:pPr>
      <w:spacing w:after="200" w:line="276" w:lineRule="auto"/>
    </w:pPr>
  </w:style>
  <w:style w:type="paragraph" w:styleId="Nagwek1">
    <w:name w:val="heading 1"/>
    <w:basedOn w:val="Normalny"/>
    <w:next w:val="Normalny"/>
    <w:link w:val="Nagwek1Znak"/>
    <w:uiPriority w:val="9"/>
    <w:qFormat/>
    <w:rsid w:val="003E7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E615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6152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szerű bekezdés1,List Paragraph à moi,Recommendation,List Paragraph11,Kolorowa lista — akcent 11,Numerowanie,Dot pt,F5 List Paragraph,Numbered Para 1,No Spacing1,Indicator Text,Bullet 1,List Paragraph Char Char Char,2,Akapit z list?,3"/>
    <w:basedOn w:val="Normalny"/>
    <w:link w:val="AkapitzlistZnak"/>
    <w:uiPriority w:val="34"/>
    <w:qFormat/>
    <w:rsid w:val="001B7AB8"/>
    <w:pPr>
      <w:ind w:left="720"/>
      <w:contextualSpacing/>
    </w:pPr>
  </w:style>
  <w:style w:type="character" w:customStyle="1" w:styleId="Footnote">
    <w:name w:val="Footnote_"/>
    <w:basedOn w:val="Domylnaczcionkaakapitu"/>
    <w:link w:val="Footnote0"/>
    <w:rsid w:val="001B7AB8"/>
    <w:rPr>
      <w:rFonts w:ascii="Calibri" w:eastAsia="Calibri" w:hAnsi="Calibri" w:cs="Calibri"/>
      <w:sz w:val="19"/>
      <w:szCs w:val="19"/>
      <w:shd w:val="clear" w:color="auto" w:fill="FFFFFF"/>
    </w:rPr>
  </w:style>
  <w:style w:type="paragraph" w:customStyle="1" w:styleId="Footnote0">
    <w:name w:val="Footnote"/>
    <w:basedOn w:val="Normalny"/>
    <w:link w:val="Footnote"/>
    <w:rsid w:val="001B7AB8"/>
    <w:pPr>
      <w:shd w:val="clear" w:color="auto" w:fill="FFFFFF"/>
      <w:spacing w:after="0" w:line="241" w:lineRule="exact"/>
    </w:pPr>
    <w:rPr>
      <w:rFonts w:ascii="Calibri" w:eastAsia="Calibri" w:hAnsi="Calibri" w:cs="Calibri"/>
      <w:sz w:val="19"/>
      <w:szCs w:val="19"/>
    </w:rPr>
  </w:style>
  <w:style w:type="paragraph" w:customStyle="1" w:styleId="Default">
    <w:name w:val="Default"/>
    <w:rsid w:val="00382E67"/>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CE4B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4B9B"/>
    <w:rPr>
      <w:sz w:val="20"/>
      <w:szCs w:val="20"/>
    </w:rPr>
  </w:style>
  <w:style w:type="character" w:styleId="Odwoanieprzypisudolnego">
    <w:name w:val="footnote reference"/>
    <w:basedOn w:val="Domylnaczcionkaakapitu"/>
    <w:uiPriority w:val="99"/>
    <w:semiHidden/>
    <w:unhideWhenUsed/>
    <w:rsid w:val="00CE4B9B"/>
    <w:rPr>
      <w:vertAlign w:val="superscript"/>
    </w:rPr>
  </w:style>
  <w:style w:type="character" w:customStyle="1" w:styleId="Nagwek2Znak">
    <w:name w:val="Nagłówek 2 Znak"/>
    <w:basedOn w:val="Domylnaczcionkaakapitu"/>
    <w:link w:val="Nagwek2"/>
    <w:uiPriority w:val="9"/>
    <w:rsid w:val="00E6152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6152B"/>
    <w:rPr>
      <w:rFonts w:ascii="Times New Roman" w:eastAsia="Times New Roman" w:hAnsi="Times New Roman" w:cs="Times New Roman"/>
      <w:b/>
      <w:bCs/>
      <w:sz w:val="27"/>
      <w:szCs w:val="27"/>
      <w:lang w:eastAsia="pl-PL"/>
    </w:rPr>
  </w:style>
  <w:style w:type="character" w:customStyle="1" w:styleId="validity">
    <w:name w:val="validity"/>
    <w:basedOn w:val="Domylnaczcionkaakapitu"/>
    <w:rsid w:val="00E6152B"/>
  </w:style>
  <w:style w:type="character" w:customStyle="1" w:styleId="blue">
    <w:name w:val="blue"/>
    <w:basedOn w:val="Domylnaczcionkaakapitu"/>
    <w:rsid w:val="00E6152B"/>
  </w:style>
  <w:style w:type="character" w:customStyle="1" w:styleId="Nagwek1Znak">
    <w:name w:val="Nagłówek 1 Znak"/>
    <w:basedOn w:val="Domylnaczcionkaakapitu"/>
    <w:link w:val="Nagwek1"/>
    <w:uiPriority w:val="9"/>
    <w:rsid w:val="003E760F"/>
    <w:rPr>
      <w:rFonts w:asciiTheme="majorHAnsi" w:eastAsiaTheme="majorEastAsia" w:hAnsiTheme="majorHAnsi" w:cstheme="majorBidi"/>
      <w:color w:val="2E74B5" w:themeColor="accent1" w:themeShade="BF"/>
      <w:sz w:val="32"/>
      <w:szCs w:val="32"/>
    </w:rPr>
  </w:style>
  <w:style w:type="character" w:customStyle="1" w:styleId="tlid-translation">
    <w:name w:val="tlid-translation"/>
    <w:basedOn w:val="Domylnaczcionkaakapitu"/>
    <w:rsid w:val="00310ED3"/>
  </w:style>
  <w:style w:type="character" w:styleId="Hipercze">
    <w:name w:val="Hyperlink"/>
    <w:basedOn w:val="Domylnaczcionkaakapitu"/>
    <w:uiPriority w:val="99"/>
    <w:unhideWhenUsed/>
    <w:rsid w:val="00345EB1"/>
    <w:rPr>
      <w:color w:val="0000FF"/>
      <w:u w:val="single"/>
    </w:rPr>
  </w:style>
  <w:style w:type="character" w:customStyle="1" w:styleId="AkapitzlistZnak">
    <w:name w:val="Akapit z listą Znak"/>
    <w:aliases w:val="Listaszerű bekezdés1 Znak,List Paragraph à moi Znak,Recommendation Znak,List Paragraph11 Znak,Kolorowa lista — akcent 11 Znak,Numerowanie Znak,Dot pt Znak,F5 List Paragraph Znak,Numbered Para 1 Znak,No Spacing1 Znak,Bullet 1 Znak"/>
    <w:link w:val="Akapitzlist"/>
    <w:uiPriority w:val="34"/>
    <w:qFormat/>
    <w:locked/>
    <w:rsid w:val="00345EB1"/>
  </w:style>
  <w:style w:type="character" w:customStyle="1" w:styleId="highlight">
    <w:name w:val="highlight"/>
    <w:basedOn w:val="Domylnaczcionkaakapitu"/>
    <w:rsid w:val="00D55E82"/>
  </w:style>
  <w:style w:type="paragraph" w:customStyle="1" w:styleId="DATAAKTUdatauchwalenialubwydaniaaktu">
    <w:name w:val="DATA_AKTU – data uchwalenia lub wydania aktu"/>
    <w:next w:val="Normalny"/>
    <w:uiPriority w:val="6"/>
    <w:qFormat/>
    <w:rsid w:val="006E7AF3"/>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ARTartustawynprozporzdzenia">
    <w:name w:val="ART(§) – art. ustawy (§ np. rozporządzenia)"/>
    <w:uiPriority w:val="11"/>
    <w:qFormat/>
    <w:rsid w:val="006E7AF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6E7AF3"/>
    <w:pPr>
      <w:spacing w:before="0"/>
    </w:pPr>
    <w:rPr>
      <w:bCs/>
    </w:rPr>
  </w:style>
  <w:style w:type="paragraph" w:styleId="Nagwek">
    <w:name w:val="header"/>
    <w:basedOn w:val="Normalny"/>
    <w:link w:val="NagwekZnak"/>
    <w:uiPriority w:val="99"/>
    <w:unhideWhenUsed/>
    <w:rsid w:val="00D00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43B"/>
  </w:style>
  <w:style w:type="paragraph" w:styleId="Stopka">
    <w:name w:val="footer"/>
    <w:basedOn w:val="Normalny"/>
    <w:link w:val="StopkaZnak"/>
    <w:uiPriority w:val="99"/>
    <w:unhideWhenUsed/>
    <w:rsid w:val="00D00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43B"/>
  </w:style>
  <w:style w:type="paragraph" w:customStyle="1" w:styleId="PKTpunkt">
    <w:name w:val="PKT – punkt"/>
    <w:basedOn w:val="Normalny"/>
    <w:uiPriority w:val="13"/>
    <w:qFormat/>
    <w:rsid w:val="0021512B"/>
    <w:pPr>
      <w:spacing w:after="0" w:line="360" w:lineRule="auto"/>
      <w:ind w:left="510" w:hanging="510"/>
      <w:jc w:val="both"/>
    </w:pPr>
    <w:rPr>
      <w:rFonts w:ascii="Times" w:hAnsi="Times" w:cs="Times New Roman"/>
      <w:sz w:val="24"/>
      <w:szCs w:val="24"/>
      <w:lang w:eastAsia="pl-PL"/>
    </w:rPr>
  </w:style>
  <w:style w:type="character" w:customStyle="1" w:styleId="Ppogrubienie">
    <w:name w:val="_P_ – pogrubienie"/>
    <w:basedOn w:val="Domylnaczcionkaakapitu"/>
    <w:uiPriority w:val="1"/>
    <w:qFormat/>
    <w:rsid w:val="00123BE2"/>
    <w:rPr>
      <w:b/>
    </w:rPr>
  </w:style>
  <w:style w:type="paragraph" w:styleId="Tekstkomentarza">
    <w:name w:val="annotation text"/>
    <w:basedOn w:val="Normalny"/>
    <w:link w:val="TekstkomentarzaZnak"/>
    <w:uiPriority w:val="99"/>
    <w:unhideWhenUsed/>
    <w:rsid w:val="00A34A4B"/>
    <w:pPr>
      <w:spacing w:line="240" w:lineRule="auto"/>
    </w:pPr>
    <w:rPr>
      <w:sz w:val="20"/>
      <w:szCs w:val="20"/>
    </w:rPr>
  </w:style>
  <w:style w:type="character" w:customStyle="1" w:styleId="TekstkomentarzaZnak">
    <w:name w:val="Tekst komentarza Znak"/>
    <w:basedOn w:val="Domylnaczcionkaakapitu"/>
    <w:link w:val="Tekstkomentarza"/>
    <w:uiPriority w:val="99"/>
    <w:rsid w:val="00A34A4B"/>
    <w:rPr>
      <w:sz w:val="20"/>
      <w:szCs w:val="20"/>
    </w:rPr>
  </w:style>
  <w:style w:type="paragraph" w:styleId="Tematkomentarza">
    <w:name w:val="annotation subject"/>
    <w:basedOn w:val="Tekstkomentarza"/>
    <w:next w:val="Tekstkomentarza"/>
    <w:link w:val="TematkomentarzaZnak"/>
    <w:uiPriority w:val="99"/>
    <w:semiHidden/>
    <w:unhideWhenUsed/>
    <w:rsid w:val="00A34A4B"/>
    <w:pPr>
      <w:widowControl w:val="0"/>
      <w:autoSpaceDE w:val="0"/>
      <w:autoSpaceDN w:val="0"/>
      <w:adjustRightInd w:val="0"/>
      <w:spacing w:after="0"/>
    </w:pPr>
    <w:rPr>
      <w:rFonts w:ascii="Times New Roman" w:eastAsiaTheme="minorEastAsia" w:hAnsi="Times New Roman" w:cs="Arial"/>
      <w:b/>
      <w:bCs/>
      <w:lang w:eastAsia="pl-PL"/>
    </w:rPr>
  </w:style>
  <w:style w:type="character" w:customStyle="1" w:styleId="TematkomentarzaZnak">
    <w:name w:val="Temat komentarza Znak"/>
    <w:basedOn w:val="TekstkomentarzaZnak"/>
    <w:link w:val="Tematkomentarza"/>
    <w:uiPriority w:val="99"/>
    <w:semiHidden/>
    <w:rsid w:val="00A34A4B"/>
    <w:rPr>
      <w:rFonts w:ascii="Times New Roman" w:eastAsiaTheme="minorEastAsia" w:hAnsi="Times New Roman" w:cs="Arial"/>
      <w:b/>
      <w:bCs/>
      <w:sz w:val="20"/>
      <w:szCs w:val="20"/>
      <w:lang w:eastAsia="pl-PL"/>
    </w:rPr>
  </w:style>
  <w:style w:type="paragraph" w:customStyle="1" w:styleId="LITlitera">
    <w:name w:val="LIT – litera"/>
    <w:basedOn w:val="PKTpunkt"/>
    <w:uiPriority w:val="14"/>
    <w:qFormat/>
    <w:rsid w:val="008911E5"/>
    <w:pPr>
      <w:ind w:left="986" w:hanging="476"/>
    </w:pPr>
    <w:rPr>
      <w:rFonts w:eastAsiaTheme="minorEastAsia" w:cs="Arial"/>
      <w:bCs/>
      <w:szCs w:val="20"/>
    </w:rPr>
  </w:style>
  <w:style w:type="paragraph" w:customStyle="1" w:styleId="Tiret0">
    <w:name w:val="Tiret 0"/>
    <w:basedOn w:val="Normalny"/>
    <w:rsid w:val="00266D90"/>
    <w:pPr>
      <w:numPr>
        <w:numId w:val="26"/>
      </w:numPr>
      <w:spacing w:before="120" w:after="120" w:line="240" w:lineRule="auto"/>
      <w:jc w:val="both"/>
    </w:pPr>
    <w:rPr>
      <w:rFonts w:ascii="Times New Roman" w:hAnsi="Times New Roman" w:cs="Times New Roman"/>
      <w:sz w:val="24"/>
      <w:lang w:eastAsia="pl-PL" w:bidi="pl-PL"/>
    </w:rPr>
  </w:style>
  <w:style w:type="paragraph" w:customStyle="1" w:styleId="Normalny1">
    <w:name w:val="Normalny1"/>
    <w:basedOn w:val="Normalny"/>
    <w:rsid w:val="001C70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52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237"/>
    <w:rPr>
      <w:rFonts w:ascii="Segoe UI" w:hAnsi="Segoe UI" w:cs="Segoe UI"/>
      <w:sz w:val="18"/>
      <w:szCs w:val="18"/>
    </w:rPr>
  </w:style>
  <w:style w:type="paragraph" w:customStyle="1" w:styleId="ppkt">
    <w:name w:val="p.pkt"/>
    <w:uiPriority w:val="99"/>
    <w:rsid w:val="007850DB"/>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styleId="Odwoaniedokomentarza">
    <w:name w:val="annotation reference"/>
    <w:basedOn w:val="Domylnaczcionkaakapitu"/>
    <w:uiPriority w:val="99"/>
    <w:semiHidden/>
    <w:unhideWhenUsed/>
    <w:rsid w:val="00230B93"/>
    <w:rPr>
      <w:sz w:val="16"/>
      <w:szCs w:val="16"/>
    </w:rPr>
  </w:style>
  <w:style w:type="paragraph" w:styleId="Poprawka">
    <w:name w:val="Revision"/>
    <w:hidden/>
    <w:uiPriority w:val="99"/>
    <w:semiHidden/>
    <w:rsid w:val="0056192C"/>
    <w:pPr>
      <w:spacing w:after="0" w:line="240" w:lineRule="auto"/>
    </w:pPr>
  </w:style>
  <w:style w:type="paragraph" w:customStyle="1" w:styleId="ZARTzmartartykuempunktem">
    <w:name w:val="Z/ART(§) – zm. art. (§) artykułem (punktem)"/>
    <w:basedOn w:val="ARTartustawynprozporzdzenia"/>
    <w:uiPriority w:val="30"/>
    <w:qFormat/>
    <w:rsid w:val="00521595"/>
    <w:pPr>
      <w:spacing w:before="0"/>
      <w:ind w:left="510"/>
    </w:pPr>
  </w:style>
  <w:style w:type="paragraph" w:customStyle="1" w:styleId="ZUSTzmustartykuempunktem">
    <w:name w:val="Z/UST(§) – zm. ust. (§) artykułem (punktem)"/>
    <w:basedOn w:val="ZARTzmartartykuempunktem"/>
    <w:uiPriority w:val="30"/>
    <w:qFormat/>
    <w:rsid w:val="00066C3B"/>
  </w:style>
  <w:style w:type="paragraph" w:customStyle="1" w:styleId="ZLITzmlitartykuempunktem">
    <w:name w:val="Z/LIT – zm. lit. artykułem (punktem)"/>
    <w:basedOn w:val="LITlitera"/>
    <w:uiPriority w:val="32"/>
    <w:qFormat/>
    <w:rsid w:val="001752FC"/>
  </w:style>
  <w:style w:type="paragraph" w:customStyle="1" w:styleId="ZPKTzmpktartykuempunktem">
    <w:name w:val="Z/PKT – zm. pkt artykułem (punktem)"/>
    <w:basedOn w:val="Normalny"/>
    <w:uiPriority w:val="31"/>
    <w:qFormat/>
    <w:rsid w:val="009F6666"/>
    <w:pPr>
      <w:spacing w:after="0" w:line="360" w:lineRule="auto"/>
      <w:ind w:left="102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5817">
      <w:bodyDiv w:val="1"/>
      <w:marLeft w:val="0"/>
      <w:marRight w:val="0"/>
      <w:marTop w:val="0"/>
      <w:marBottom w:val="0"/>
      <w:divBdr>
        <w:top w:val="none" w:sz="0" w:space="0" w:color="auto"/>
        <w:left w:val="none" w:sz="0" w:space="0" w:color="auto"/>
        <w:bottom w:val="none" w:sz="0" w:space="0" w:color="auto"/>
        <w:right w:val="none" w:sz="0" w:space="0" w:color="auto"/>
      </w:divBdr>
    </w:div>
    <w:div w:id="400064176">
      <w:bodyDiv w:val="1"/>
      <w:marLeft w:val="0"/>
      <w:marRight w:val="0"/>
      <w:marTop w:val="0"/>
      <w:marBottom w:val="0"/>
      <w:divBdr>
        <w:top w:val="none" w:sz="0" w:space="0" w:color="auto"/>
        <w:left w:val="none" w:sz="0" w:space="0" w:color="auto"/>
        <w:bottom w:val="none" w:sz="0" w:space="0" w:color="auto"/>
        <w:right w:val="none" w:sz="0" w:space="0" w:color="auto"/>
      </w:divBdr>
    </w:div>
    <w:div w:id="1033385274">
      <w:bodyDiv w:val="1"/>
      <w:marLeft w:val="0"/>
      <w:marRight w:val="0"/>
      <w:marTop w:val="0"/>
      <w:marBottom w:val="0"/>
      <w:divBdr>
        <w:top w:val="none" w:sz="0" w:space="0" w:color="auto"/>
        <w:left w:val="none" w:sz="0" w:space="0" w:color="auto"/>
        <w:bottom w:val="none" w:sz="0" w:space="0" w:color="auto"/>
        <w:right w:val="none" w:sz="0" w:space="0" w:color="auto"/>
      </w:divBdr>
    </w:div>
    <w:div w:id="1045789006">
      <w:bodyDiv w:val="1"/>
      <w:marLeft w:val="0"/>
      <w:marRight w:val="0"/>
      <w:marTop w:val="0"/>
      <w:marBottom w:val="0"/>
      <w:divBdr>
        <w:top w:val="none" w:sz="0" w:space="0" w:color="auto"/>
        <w:left w:val="none" w:sz="0" w:space="0" w:color="auto"/>
        <w:bottom w:val="none" w:sz="0" w:space="0" w:color="auto"/>
        <w:right w:val="none" w:sz="0" w:space="0" w:color="auto"/>
      </w:divBdr>
    </w:div>
    <w:div w:id="1282763400">
      <w:bodyDiv w:val="1"/>
      <w:marLeft w:val="0"/>
      <w:marRight w:val="0"/>
      <w:marTop w:val="0"/>
      <w:marBottom w:val="0"/>
      <w:divBdr>
        <w:top w:val="none" w:sz="0" w:space="0" w:color="auto"/>
        <w:left w:val="none" w:sz="0" w:space="0" w:color="auto"/>
        <w:bottom w:val="none" w:sz="0" w:space="0" w:color="auto"/>
        <w:right w:val="none" w:sz="0" w:space="0" w:color="auto"/>
      </w:divBdr>
      <w:divsChild>
        <w:div w:id="1901282531">
          <w:marLeft w:val="0"/>
          <w:marRight w:val="0"/>
          <w:marTop w:val="0"/>
          <w:marBottom w:val="0"/>
          <w:divBdr>
            <w:top w:val="none" w:sz="0" w:space="0" w:color="auto"/>
            <w:left w:val="none" w:sz="0" w:space="0" w:color="auto"/>
            <w:bottom w:val="none" w:sz="0" w:space="0" w:color="auto"/>
            <w:right w:val="none" w:sz="0" w:space="0" w:color="auto"/>
          </w:divBdr>
          <w:divsChild>
            <w:div w:id="1914120018">
              <w:marLeft w:val="0"/>
              <w:marRight w:val="0"/>
              <w:marTop w:val="0"/>
              <w:marBottom w:val="0"/>
              <w:divBdr>
                <w:top w:val="none" w:sz="0" w:space="0" w:color="auto"/>
                <w:left w:val="none" w:sz="0" w:space="0" w:color="auto"/>
                <w:bottom w:val="none" w:sz="0" w:space="0" w:color="auto"/>
                <w:right w:val="none" w:sz="0" w:space="0" w:color="auto"/>
              </w:divBdr>
            </w:div>
            <w:div w:id="201669312">
              <w:marLeft w:val="0"/>
              <w:marRight w:val="0"/>
              <w:marTop w:val="0"/>
              <w:marBottom w:val="0"/>
              <w:divBdr>
                <w:top w:val="none" w:sz="0" w:space="0" w:color="auto"/>
                <w:left w:val="none" w:sz="0" w:space="0" w:color="auto"/>
                <w:bottom w:val="none" w:sz="0" w:space="0" w:color="auto"/>
                <w:right w:val="none" w:sz="0" w:space="0" w:color="auto"/>
              </w:divBdr>
            </w:div>
          </w:divsChild>
        </w:div>
        <w:div w:id="2115468342">
          <w:marLeft w:val="0"/>
          <w:marRight w:val="0"/>
          <w:marTop w:val="0"/>
          <w:marBottom w:val="0"/>
          <w:divBdr>
            <w:top w:val="none" w:sz="0" w:space="0" w:color="auto"/>
            <w:left w:val="none" w:sz="0" w:space="0" w:color="auto"/>
            <w:bottom w:val="none" w:sz="0" w:space="0" w:color="auto"/>
            <w:right w:val="none" w:sz="0" w:space="0" w:color="auto"/>
          </w:divBdr>
          <w:divsChild>
            <w:div w:id="1580482456">
              <w:marLeft w:val="0"/>
              <w:marRight w:val="0"/>
              <w:marTop w:val="0"/>
              <w:marBottom w:val="0"/>
              <w:divBdr>
                <w:top w:val="none" w:sz="0" w:space="0" w:color="auto"/>
                <w:left w:val="none" w:sz="0" w:space="0" w:color="auto"/>
                <w:bottom w:val="none" w:sz="0" w:space="0" w:color="auto"/>
                <w:right w:val="none" w:sz="0" w:space="0" w:color="auto"/>
              </w:divBdr>
            </w:div>
            <w:div w:id="1140079292">
              <w:marLeft w:val="0"/>
              <w:marRight w:val="0"/>
              <w:marTop w:val="0"/>
              <w:marBottom w:val="0"/>
              <w:divBdr>
                <w:top w:val="none" w:sz="0" w:space="0" w:color="auto"/>
                <w:left w:val="none" w:sz="0" w:space="0" w:color="auto"/>
                <w:bottom w:val="none" w:sz="0" w:space="0" w:color="auto"/>
                <w:right w:val="none" w:sz="0" w:space="0" w:color="auto"/>
              </w:divBdr>
            </w:div>
            <w:div w:id="11784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8804">
      <w:bodyDiv w:val="1"/>
      <w:marLeft w:val="0"/>
      <w:marRight w:val="0"/>
      <w:marTop w:val="0"/>
      <w:marBottom w:val="0"/>
      <w:divBdr>
        <w:top w:val="none" w:sz="0" w:space="0" w:color="auto"/>
        <w:left w:val="none" w:sz="0" w:space="0" w:color="auto"/>
        <w:bottom w:val="none" w:sz="0" w:space="0" w:color="auto"/>
        <w:right w:val="none" w:sz="0" w:space="0" w:color="auto"/>
      </w:divBdr>
    </w:div>
    <w:div w:id="2016226794">
      <w:bodyDiv w:val="1"/>
      <w:marLeft w:val="0"/>
      <w:marRight w:val="0"/>
      <w:marTop w:val="0"/>
      <w:marBottom w:val="0"/>
      <w:divBdr>
        <w:top w:val="none" w:sz="0" w:space="0" w:color="auto"/>
        <w:left w:val="none" w:sz="0" w:space="0" w:color="auto"/>
        <w:bottom w:val="none" w:sz="0" w:space="0" w:color="auto"/>
        <w:right w:val="none" w:sz="0" w:space="0" w:color="auto"/>
      </w:divBdr>
    </w:div>
    <w:div w:id="21347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520E-448A-4DAE-BF54-F94C96DD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5480</Words>
  <Characters>32882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Brzozowska-Poniedzielska Iwona</dc:creator>
  <cp:keywords/>
  <dc:description/>
  <cp:lastModifiedBy>KGHM</cp:lastModifiedBy>
  <cp:revision>2</cp:revision>
  <dcterms:created xsi:type="dcterms:W3CDTF">2021-01-12T10:43:00Z</dcterms:created>
  <dcterms:modified xsi:type="dcterms:W3CDTF">2021-01-12T10:43:00Z</dcterms:modified>
</cp:coreProperties>
</file>