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3156" w14:textId="0B2DB5CB" w:rsidR="002307AB" w:rsidRPr="002165DC" w:rsidRDefault="008F2650" w:rsidP="00AD1839">
      <w:pPr>
        <w:keepNext/>
        <w:suppressAutoHyphens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1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  <w:r w:rsidR="00721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7312AF" w14:textId="48B68A1A" w:rsidR="0017071A" w:rsidRDefault="00235191" w:rsidP="00AD1839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F965FE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8F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</w:t>
      </w:r>
      <w:r w:rsidR="00E5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i </w:t>
      </w:r>
      <w:r w:rsidR="008F63E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 z dni</w:t>
      </w:r>
      <w:r w:rsidR="00AC3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14 grudnia 2016 r. </w:t>
      </w:r>
      <w:r w:rsidR="00F965FE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statystycznych dotyczących koasekuracji </w:t>
      </w:r>
      <w:r w:rsidR="00921B05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17126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2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r w:rsidR="00917126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7D0E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7AB" w:rsidRPr="0021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na celu </w:t>
      </w:r>
      <w:r w:rsidR="007F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uproszczenia w zakresie 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przekazywania </w:t>
      </w:r>
      <w:r w:rsidR="00023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rocznych 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statystycznych dotyczących </w:t>
      </w:r>
      <w:r w:rsidR="001707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operacji koasekuracyjnych, zwanych dalej „rocznymi danymi statystycznymi”</w:t>
      </w:r>
      <w:r w:rsidR="00B0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zakłady ubezpieczeń oraz ich 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opatrywania </w:t>
      </w:r>
      <w:r w:rsidR="002A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podpisem </w:t>
      </w:r>
      <w:r w:rsidR="00685C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do tego uprawnione.</w:t>
      </w:r>
    </w:p>
    <w:p w14:paraId="4F0E00D9" w14:textId="2033C383" w:rsidR="006936E3" w:rsidRPr="00FD1092" w:rsidRDefault="00685C30" w:rsidP="006936E3">
      <w:pPr>
        <w:spacing w:before="240"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19BF">
        <w:rPr>
          <w:rStyle w:val="st"/>
          <w:rFonts w:ascii="Times New Roman" w:hAnsi="Times New Roman" w:cs="Times New Roman"/>
          <w:sz w:val="24"/>
          <w:szCs w:val="24"/>
        </w:rPr>
        <w:t>§ 1 pkt 1</w:t>
      </w:r>
      <w:r w:rsidR="000112F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>rozporządzenia nowelizującego proponuje się zmianę brzmienia</w:t>
      </w:r>
      <w:r w:rsidR="002D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F6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0112F6" w:rsidRPr="005A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5D8">
        <w:rPr>
          <w:rFonts w:ascii="Times New Roman" w:eastAsia="Times New Roman" w:hAnsi="Times New Roman" w:cs="Times New Roman"/>
          <w:sz w:val="24"/>
          <w:szCs w:val="24"/>
        </w:rPr>
        <w:t xml:space="preserve">3 ust. </w:t>
      </w:r>
      <w:r w:rsidR="003719BF">
        <w:rPr>
          <w:rFonts w:ascii="Times New Roman" w:eastAsia="Times New Roman" w:hAnsi="Times New Roman" w:cs="Times New Roman"/>
          <w:sz w:val="24"/>
          <w:szCs w:val="24"/>
        </w:rPr>
        <w:br/>
      </w:r>
      <w:r w:rsidR="007845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A70" w:rsidRPr="00F775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845D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AC3D69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B06F9F">
        <w:rPr>
          <w:rFonts w:ascii="Times New Roman" w:eastAsia="Times New Roman" w:hAnsi="Times New Roman" w:cs="Times New Roman"/>
          <w:sz w:val="24"/>
          <w:szCs w:val="24"/>
        </w:rPr>
        <w:t>, zgodnie</w:t>
      </w:r>
      <w:r w:rsidR="0073244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E62CF5">
        <w:rPr>
          <w:rFonts w:ascii="Times New Roman" w:eastAsia="Times New Roman" w:hAnsi="Times New Roman" w:cs="Times New Roman"/>
          <w:sz w:val="24"/>
          <w:szCs w:val="24"/>
        </w:rPr>
        <w:t>ym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1A">
        <w:rPr>
          <w:rFonts w:ascii="Times New Roman" w:eastAsia="Times New Roman" w:hAnsi="Times New Roman" w:cs="Times New Roman"/>
          <w:sz w:val="24"/>
          <w:szCs w:val="24"/>
        </w:rPr>
        <w:t xml:space="preserve">roczne </w:t>
      </w:r>
      <w:r w:rsidR="008E514C">
        <w:rPr>
          <w:rFonts w:ascii="Times New Roman" w:eastAsia="Times New Roman" w:hAnsi="Times New Roman" w:cs="Times New Roman"/>
          <w:sz w:val="24"/>
          <w:szCs w:val="24"/>
        </w:rPr>
        <w:t xml:space="preserve">dane statystyczne </w:t>
      </w:r>
      <w:r w:rsidR="000112F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8E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A45">
        <w:rPr>
          <w:rFonts w:ascii="Times New Roman" w:eastAsia="Times New Roman" w:hAnsi="Times New Roman" w:cs="Times New Roman"/>
          <w:sz w:val="24"/>
          <w:szCs w:val="24"/>
        </w:rPr>
        <w:t xml:space="preserve">opatrywane kwalifikowanym podpisem elektronicznym, podpisem zaufanym </w:t>
      </w:r>
      <w:r w:rsidR="00471042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C75A45">
        <w:rPr>
          <w:rFonts w:ascii="Times New Roman" w:eastAsia="Times New Roman" w:hAnsi="Times New Roman" w:cs="Times New Roman"/>
          <w:sz w:val="24"/>
          <w:szCs w:val="24"/>
        </w:rPr>
        <w:t xml:space="preserve"> podpisem osobisty</w:t>
      </w:r>
      <w:r w:rsidR="008E514C">
        <w:rPr>
          <w:rFonts w:ascii="Times New Roman" w:eastAsia="Times New Roman" w:hAnsi="Times New Roman" w:cs="Times New Roman"/>
          <w:sz w:val="24"/>
          <w:szCs w:val="24"/>
        </w:rPr>
        <w:t>m przez osoby do tego uprawnione.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Kwalifikowany podpis elektroniczny, podpis zaufany oraz podpis osobisty 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już stosowan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>sprawozda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>niach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finansowych </w:t>
      </w:r>
      <w:r w:rsidR="008A37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A37BD" w:rsidRPr="00A71906">
        <w:rPr>
          <w:rFonts w:ascii="Times New Roman" w:eastAsia="Times New Roman" w:hAnsi="Times New Roman" w:cs="Times New Roman"/>
          <w:sz w:val="24"/>
          <w:szCs w:val="24"/>
        </w:rPr>
        <w:t>art. 45 ust. 1f</w:t>
      </w:r>
      <w:r w:rsidR="00236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6D1F" w:rsidRPr="00236D1F">
        <w:rPr>
          <w:rFonts w:ascii="Times New Roman" w:eastAsia="Times New Roman" w:hAnsi="Times New Roman" w:cs="Times New Roman"/>
          <w:sz w:val="24"/>
          <w:szCs w:val="24"/>
        </w:rPr>
        <w:t>ustawy z </w:t>
      </w:r>
      <w:r w:rsidR="008A37BD" w:rsidRPr="00236D1F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 xml:space="preserve"> 29 września 1994 r.</w:t>
      </w:r>
      <w:r w:rsidR="008A37BD" w:rsidRPr="0017071A">
        <w:rPr>
          <w:rFonts w:ascii="Times New Roman" w:eastAsia="Times New Roman" w:hAnsi="Times New Roman" w:cs="Times New Roman"/>
          <w:i/>
          <w:sz w:val="24"/>
          <w:szCs w:val="24"/>
        </w:rPr>
        <w:t xml:space="preserve"> o rachunkowości (Dz. U. z 2019 r. poz. 351</w:t>
      </w:r>
      <w:r w:rsidR="00AC3D69" w:rsidRPr="0017071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A37BD" w:rsidRPr="0017071A"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r w:rsidR="00395F65" w:rsidRPr="0017071A"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r w:rsidR="008A37BD" w:rsidRPr="0017071A">
        <w:rPr>
          <w:rFonts w:ascii="Times New Roman" w:eastAsia="Times New Roman" w:hAnsi="Times New Roman" w:cs="Times New Roman"/>
          <w:i/>
          <w:sz w:val="24"/>
          <w:szCs w:val="24"/>
        </w:rPr>
        <w:t>. zm.)</w:t>
      </w:r>
      <w:r w:rsidR="008A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>oraz do opatrywania</w:t>
      </w:r>
      <w:r w:rsidR="000633E6">
        <w:rPr>
          <w:rFonts w:ascii="Times New Roman" w:eastAsia="Times New Roman" w:hAnsi="Times New Roman" w:cs="Times New Roman"/>
          <w:sz w:val="24"/>
          <w:szCs w:val="24"/>
        </w:rPr>
        <w:t xml:space="preserve"> części A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dodatkowego sprawozdania finansowego i statycznego zakładu ubezpieczeń i zakładu reasekuracji </w:t>
      </w:r>
      <w:r w:rsidR="008A37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3D69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AC3D69" w:rsidRPr="005A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69">
        <w:rPr>
          <w:rFonts w:ascii="Times New Roman" w:eastAsia="Times New Roman" w:hAnsi="Times New Roman" w:cs="Times New Roman"/>
          <w:sz w:val="24"/>
          <w:szCs w:val="24"/>
        </w:rPr>
        <w:t>1 pkt 5 lit. a</w:t>
      </w:r>
      <w:r w:rsidR="008A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69">
        <w:rPr>
          <w:rFonts w:ascii="Times New Roman" w:eastAsia="Times New Roman" w:hAnsi="Times New Roman" w:cs="Times New Roman"/>
          <w:sz w:val="24"/>
          <w:szCs w:val="24"/>
        </w:rPr>
        <w:t xml:space="preserve"> i b </w:t>
      </w:r>
      <w:r w:rsidR="00AC3D69" w:rsidRPr="00236D1F">
        <w:rPr>
          <w:rFonts w:ascii="Times New Roman" w:eastAsia="Times New Roman" w:hAnsi="Times New Roman" w:cs="Times New Roman"/>
          <w:sz w:val="24"/>
          <w:szCs w:val="24"/>
        </w:rPr>
        <w:t>rozporządzenia Ministra Finansów z dnia 18 czerwca 2019 r. zmieniającego rozporządzenie w sprawie</w:t>
      </w:r>
      <w:r w:rsidR="00AC3D69" w:rsidRPr="0017071A">
        <w:rPr>
          <w:rFonts w:ascii="Times New Roman" w:eastAsia="Times New Roman" w:hAnsi="Times New Roman" w:cs="Times New Roman"/>
          <w:i/>
          <w:sz w:val="24"/>
          <w:szCs w:val="24"/>
        </w:rPr>
        <w:t xml:space="preserve"> dodatkowych sprawozdań finansowych i</w:t>
      </w:r>
      <w:r w:rsidR="002A545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AC3D69" w:rsidRPr="0017071A">
        <w:rPr>
          <w:rFonts w:ascii="Times New Roman" w:eastAsia="Times New Roman" w:hAnsi="Times New Roman" w:cs="Times New Roman"/>
          <w:i/>
          <w:sz w:val="24"/>
          <w:szCs w:val="24"/>
        </w:rPr>
        <w:t xml:space="preserve">statystycznych zakładów ubezpieczeń i zakładów reasekuracji (Dz. U. poz. 1187) </w:t>
      </w:r>
      <w:r w:rsidR="00AC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A44">
        <w:rPr>
          <w:rFonts w:ascii="Times New Roman" w:eastAsia="Times New Roman" w:hAnsi="Times New Roman" w:cs="Times New Roman"/>
          <w:sz w:val="24"/>
          <w:szCs w:val="24"/>
        </w:rPr>
        <w:t>przez osoby do tego uprawnione</w:t>
      </w:r>
      <w:r w:rsidR="00B964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936" w:rsidRPr="00B0755A">
        <w:rPr>
          <w:rFonts w:ascii="Times New Roman" w:hAnsi="Times New Roman" w:cs="Times New Roman"/>
          <w:sz w:val="24"/>
          <w:szCs w:val="24"/>
        </w:rPr>
        <w:t>Użycie kwalifikowanego podpisu elektronicznego</w:t>
      </w:r>
      <w:r w:rsidR="00990383">
        <w:rPr>
          <w:rFonts w:ascii="Times New Roman" w:hAnsi="Times New Roman" w:cs="Times New Roman"/>
          <w:sz w:val="24"/>
          <w:szCs w:val="24"/>
        </w:rPr>
        <w:t>,</w:t>
      </w:r>
      <w:r w:rsidR="00725936" w:rsidRPr="00B0755A">
        <w:rPr>
          <w:rFonts w:ascii="Times New Roman" w:hAnsi="Times New Roman" w:cs="Times New Roman"/>
          <w:sz w:val="24"/>
          <w:szCs w:val="24"/>
        </w:rPr>
        <w:t xml:space="preserve"> podpisu zaufanego </w:t>
      </w:r>
      <w:r w:rsidR="00990383">
        <w:rPr>
          <w:rFonts w:ascii="Times New Roman" w:hAnsi="Times New Roman" w:cs="Times New Roman"/>
          <w:sz w:val="24"/>
          <w:szCs w:val="24"/>
        </w:rPr>
        <w:t xml:space="preserve">albo podpisu osobistego </w:t>
      </w:r>
      <w:r w:rsidR="00725936" w:rsidRPr="00B0755A">
        <w:rPr>
          <w:rFonts w:ascii="Times New Roman" w:hAnsi="Times New Roman" w:cs="Times New Roman"/>
          <w:sz w:val="24"/>
          <w:szCs w:val="24"/>
        </w:rPr>
        <w:t>nie będzie więc nakładało na te osoby dodatkowych wymogów związanych z uzyskaniem takiego podpisu.</w:t>
      </w:r>
      <w:r w:rsidR="0066665C">
        <w:rPr>
          <w:rFonts w:ascii="Times New Roman" w:hAnsi="Times New Roman" w:cs="Times New Roman"/>
          <w:sz w:val="24"/>
          <w:szCs w:val="24"/>
        </w:rPr>
        <w:t xml:space="preserve"> Dodatkowo należy wskazać, że wszelkie dane i informacje dotyczące działalność zakładów ubezpiecze</w:t>
      </w:r>
      <w:r w:rsidR="00E309EC">
        <w:rPr>
          <w:rFonts w:ascii="Times New Roman" w:hAnsi="Times New Roman" w:cs="Times New Roman"/>
          <w:sz w:val="24"/>
          <w:szCs w:val="24"/>
        </w:rPr>
        <w:t>ń</w:t>
      </w:r>
      <w:r w:rsidR="0066665C">
        <w:rPr>
          <w:rFonts w:ascii="Times New Roman" w:hAnsi="Times New Roman" w:cs="Times New Roman"/>
          <w:sz w:val="24"/>
          <w:szCs w:val="24"/>
        </w:rPr>
        <w:t xml:space="preserve">, w tym roczne dane </w:t>
      </w:r>
      <w:r w:rsidR="001330F7">
        <w:rPr>
          <w:rFonts w:ascii="Times New Roman" w:hAnsi="Times New Roman" w:cs="Times New Roman"/>
          <w:sz w:val="24"/>
          <w:szCs w:val="24"/>
        </w:rPr>
        <w:t>statystyczne</w:t>
      </w:r>
      <w:r w:rsidR="0066665C">
        <w:rPr>
          <w:rFonts w:ascii="Times New Roman" w:hAnsi="Times New Roman" w:cs="Times New Roman"/>
          <w:sz w:val="24"/>
          <w:szCs w:val="24"/>
        </w:rPr>
        <w:t xml:space="preserve">, </w:t>
      </w:r>
      <w:r w:rsidR="00FD1092">
        <w:rPr>
          <w:rFonts w:ascii="Times New Roman" w:hAnsi="Times New Roman" w:cs="Times New Roman"/>
          <w:sz w:val="24"/>
          <w:szCs w:val="24"/>
        </w:rPr>
        <w:t>przekazywane są do Komisj</w:t>
      </w:r>
      <w:r w:rsidR="00B72A42">
        <w:rPr>
          <w:rFonts w:ascii="Times New Roman" w:hAnsi="Times New Roman" w:cs="Times New Roman"/>
          <w:sz w:val="24"/>
          <w:szCs w:val="24"/>
        </w:rPr>
        <w:t>i</w:t>
      </w:r>
      <w:r w:rsidR="00FD1092">
        <w:rPr>
          <w:rFonts w:ascii="Times New Roman" w:hAnsi="Times New Roman" w:cs="Times New Roman"/>
          <w:sz w:val="24"/>
          <w:szCs w:val="24"/>
        </w:rPr>
        <w:t xml:space="preserve"> Nadzoru Finansowego za pomocą Systemu Nadzoru Finansowego (SNU). SNU </w:t>
      </w:r>
      <w:r w:rsidR="0066665C" w:rsidRPr="00FD1092">
        <w:rPr>
          <w:rFonts w:ascii="Times New Roman" w:hAnsi="Times New Roman" w:cs="Times New Roman"/>
          <w:color w:val="000000" w:themeColor="text1"/>
          <w:sz w:val="24"/>
          <w:szCs w:val="24"/>
        </w:rPr>
        <w:t>jest dostosowany do przyjmowania formularz</w:t>
      </w:r>
      <w:r w:rsidR="00FD109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6665C" w:rsidRPr="00FD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092">
        <w:rPr>
          <w:rFonts w:ascii="Times New Roman" w:hAnsi="Times New Roman" w:cs="Times New Roman"/>
          <w:color w:val="000000" w:themeColor="text1"/>
          <w:sz w:val="24"/>
          <w:szCs w:val="24"/>
        </w:rPr>
        <w:t>opatr</w:t>
      </w:r>
      <w:r w:rsidR="008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zonych kwalifikowanym podpisem elektronicznym, podpisem zaufanym albo podpisem osobistym. </w:t>
      </w:r>
    </w:p>
    <w:p w14:paraId="5E9BE65E" w14:textId="420001BD" w:rsidR="00F7753C" w:rsidRDefault="002D25BD" w:rsidP="0093762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56ED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BE56ED" w:rsidRPr="005A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 xml:space="preserve">pkt 2 lit. a rozporządzenia nowelizującego </w:t>
      </w:r>
      <w:r w:rsidR="00BE56ED">
        <w:rPr>
          <w:rFonts w:ascii="Times New Roman" w:eastAsia="Times New Roman" w:hAnsi="Times New Roman" w:cs="Times New Roman"/>
          <w:sz w:val="24"/>
          <w:szCs w:val="24"/>
        </w:rPr>
        <w:t xml:space="preserve">proponuje się rezygnację z przekazywania rocznych danych statystycznych </w:t>
      </w:r>
      <w:r w:rsidR="00B72A42">
        <w:rPr>
          <w:rFonts w:ascii="Times New Roman" w:eastAsia="Times New Roman" w:hAnsi="Times New Roman" w:cs="Times New Roman"/>
          <w:sz w:val="24"/>
          <w:szCs w:val="24"/>
        </w:rPr>
        <w:t xml:space="preserve">w formie papierowej </w:t>
      </w:r>
      <w:r w:rsidR="00BE56ED">
        <w:rPr>
          <w:rFonts w:ascii="Times New Roman" w:eastAsia="Times New Roman" w:hAnsi="Times New Roman" w:cs="Times New Roman"/>
          <w:sz w:val="24"/>
          <w:szCs w:val="24"/>
        </w:rPr>
        <w:t xml:space="preserve">na rzecz </w:t>
      </w:r>
      <w:r w:rsidR="009F2B39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B72A42">
        <w:rPr>
          <w:rFonts w:ascii="Times New Roman" w:eastAsia="Times New Roman" w:hAnsi="Times New Roman" w:cs="Times New Roman"/>
          <w:sz w:val="24"/>
          <w:szCs w:val="24"/>
        </w:rPr>
        <w:t xml:space="preserve">przekazywania wyłącznie </w:t>
      </w:r>
      <w:r w:rsidR="004C0A24">
        <w:rPr>
          <w:rFonts w:ascii="Times New Roman" w:eastAsia="Times New Roman" w:hAnsi="Times New Roman" w:cs="Times New Roman"/>
          <w:sz w:val="24"/>
          <w:szCs w:val="24"/>
        </w:rPr>
        <w:br/>
      </w:r>
      <w:r w:rsidR="00B72A4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24AF1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B72A4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92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6ED">
        <w:rPr>
          <w:rFonts w:ascii="Times New Roman" w:eastAsia="Times New Roman" w:hAnsi="Times New Roman" w:cs="Times New Roman"/>
          <w:sz w:val="24"/>
          <w:szCs w:val="24"/>
        </w:rPr>
        <w:t xml:space="preserve">elektronicznej. 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>Proponowan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regulacj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>tożsam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515A">
        <w:rPr>
          <w:rFonts w:ascii="Times New Roman" w:eastAsia="Times New Roman" w:hAnsi="Times New Roman" w:cs="Times New Roman"/>
          <w:sz w:val="24"/>
          <w:szCs w:val="24"/>
        </w:rPr>
        <w:t xml:space="preserve"> z rozwiązanymi przyjętymi </w:t>
      </w:r>
      <w:r w:rsidR="004C0A24">
        <w:rPr>
          <w:rFonts w:ascii="Times New Roman" w:eastAsia="Times New Roman" w:hAnsi="Times New Roman" w:cs="Times New Roman"/>
          <w:sz w:val="24"/>
          <w:szCs w:val="24"/>
        </w:rPr>
        <w:br/>
      </w:r>
      <w:r w:rsidR="00526845">
        <w:rPr>
          <w:rFonts w:ascii="Times New Roman" w:eastAsia="Times New Roman" w:hAnsi="Times New Roman" w:cs="Times New Roman"/>
          <w:sz w:val="24"/>
          <w:szCs w:val="24"/>
        </w:rPr>
        <w:t xml:space="preserve">w zakresie sporządzania i przekazywania części A dodatkowego sprawozdania finansowego </w:t>
      </w:r>
      <w:r w:rsidR="004C0A24">
        <w:rPr>
          <w:rFonts w:ascii="Times New Roman" w:eastAsia="Times New Roman" w:hAnsi="Times New Roman" w:cs="Times New Roman"/>
          <w:sz w:val="24"/>
          <w:szCs w:val="24"/>
        </w:rPr>
        <w:br/>
      </w:r>
      <w:r w:rsidR="00526845">
        <w:rPr>
          <w:rFonts w:ascii="Times New Roman" w:eastAsia="Times New Roman" w:hAnsi="Times New Roman" w:cs="Times New Roman"/>
          <w:sz w:val="24"/>
          <w:szCs w:val="24"/>
        </w:rPr>
        <w:t>i statycznego zakładu ubezpieczeń i zakładu reasekuracji do Komisji Nadzoru Finansowego</w:t>
      </w:r>
      <w:r w:rsidR="000112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 xml:space="preserve"> Dodatkowo, za powyższym przemawia fak</w:t>
      </w:r>
      <w:r w:rsidR="00A23119">
        <w:rPr>
          <w:rFonts w:ascii="Times New Roman" w:eastAsia="Times New Roman" w:hAnsi="Times New Roman" w:cs="Times New Roman"/>
          <w:sz w:val="24"/>
          <w:szCs w:val="24"/>
        </w:rPr>
        <w:t xml:space="preserve">t, że roczne dane statystyczne </w:t>
      </w:r>
      <w:r w:rsidR="00526845">
        <w:rPr>
          <w:rFonts w:ascii="Times New Roman" w:eastAsia="Times New Roman" w:hAnsi="Times New Roman" w:cs="Times New Roman"/>
          <w:sz w:val="24"/>
          <w:szCs w:val="24"/>
        </w:rPr>
        <w:t xml:space="preserve">przedstawiane są Komisji Nadzoru Finansowego wraz z częścią A dodatkowego sprawozdania finansowego </w:t>
      </w:r>
      <w:r w:rsidR="004C0A24">
        <w:rPr>
          <w:rFonts w:ascii="Times New Roman" w:eastAsia="Times New Roman" w:hAnsi="Times New Roman" w:cs="Times New Roman"/>
          <w:sz w:val="24"/>
          <w:szCs w:val="24"/>
        </w:rPr>
        <w:br/>
      </w:r>
      <w:r w:rsidR="00526845">
        <w:rPr>
          <w:rFonts w:ascii="Times New Roman" w:eastAsia="Times New Roman" w:hAnsi="Times New Roman" w:cs="Times New Roman"/>
          <w:sz w:val="24"/>
          <w:szCs w:val="24"/>
        </w:rPr>
        <w:t>i statycznego zakładu ubezpieczeń i zakładu reasekuracj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>i, a zatem przekazywanie ich tak jak dotychczas w dwóch różnych forma</w:t>
      </w:r>
      <w:r w:rsidR="00E3500F">
        <w:rPr>
          <w:rFonts w:ascii="Times New Roman" w:eastAsia="Times New Roman" w:hAnsi="Times New Roman" w:cs="Times New Roman"/>
          <w:sz w:val="24"/>
          <w:szCs w:val="24"/>
        </w:rPr>
        <w:t>ch (papierowej</w:t>
      </w:r>
      <w:r w:rsidR="00F7753C">
        <w:rPr>
          <w:rFonts w:ascii="Times New Roman" w:eastAsia="Times New Roman" w:hAnsi="Times New Roman" w:cs="Times New Roman"/>
          <w:sz w:val="24"/>
          <w:szCs w:val="24"/>
        </w:rPr>
        <w:t xml:space="preserve"> i elektronicznej)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>, w tym samym terminie nie wydaje się być zasadne. W konsekwencj</w:t>
      </w:r>
      <w:r w:rsidR="002D3F88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 xml:space="preserve"> przyjęcia ww. przepisu proponuje się </w:t>
      </w:r>
      <w:r w:rsidR="002D3F8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D3F88">
        <w:rPr>
          <w:rStyle w:val="st"/>
          <w:rFonts w:ascii="Times New Roman" w:hAnsi="Times New Roman" w:cs="Times New Roman"/>
          <w:sz w:val="24"/>
          <w:szCs w:val="24"/>
        </w:rPr>
        <w:t>§ 1 pkt 2 lit. b rozporządzenia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448">
        <w:rPr>
          <w:rStyle w:val="st"/>
          <w:rFonts w:ascii="Times New Roman" w:hAnsi="Times New Roman" w:cs="Times New Roman"/>
          <w:sz w:val="24"/>
          <w:szCs w:val="24"/>
        </w:rPr>
        <w:t>nowelizującego</w:t>
      </w:r>
      <w:r w:rsidR="0073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 xml:space="preserve">uchylenie </w:t>
      </w:r>
      <w:r w:rsidR="00FE3A21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FE3A21" w:rsidRPr="005A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A21">
        <w:rPr>
          <w:rFonts w:ascii="Times New Roman" w:eastAsia="Times New Roman" w:hAnsi="Times New Roman" w:cs="Times New Roman"/>
          <w:sz w:val="24"/>
          <w:szCs w:val="24"/>
        </w:rPr>
        <w:t xml:space="preserve">4 ust. 3 rozporządzenia, zgodnie z którym </w:t>
      </w:r>
      <w:r w:rsidR="00513838" w:rsidRPr="0017071A">
        <w:rPr>
          <w:rFonts w:ascii="Times New Roman" w:eastAsia="Times New Roman" w:hAnsi="Times New Roman" w:cs="Times New Roman"/>
          <w:i/>
          <w:sz w:val="24"/>
          <w:szCs w:val="24"/>
        </w:rPr>
        <w:t>roczne dane statystyczne w formie papierowej powinny być przesłane do Komisji Nadzoru Finansowego w formie zwartej (zszyte, w oprawie termicznej lub innej),  a formularze powinny być ponumerowane zgodnie ze spisem formularzy, każda zaś strona w stopce powinna posiadać  kolejny numer</w:t>
      </w:r>
      <w:r w:rsidR="00513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987EF" w14:textId="5BE7614A" w:rsidR="00953D73" w:rsidRPr="00AD1839" w:rsidRDefault="00953D73" w:rsidP="00937621">
      <w:pPr>
        <w:spacing w:before="120"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Style w:val="st"/>
          <w:rFonts w:ascii="Times New Roman" w:hAnsi="Times New Roman" w:cs="Times New Roman"/>
          <w:sz w:val="24"/>
          <w:szCs w:val="24"/>
        </w:rPr>
        <w:t>§</w:t>
      </w:r>
      <w:r w:rsidRPr="005A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pkt 3 projektowanego rozporządzenia proponuje się 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>zmianę w załączniku polegając</w:t>
      </w:r>
      <w:r w:rsidR="00FB1E1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nadani</w:t>
      </w:r>
      <w:r w:rsidR="00236D1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nowego brzmienia notom objaśniającym  do </w:t>
      </w:r>
      <w:r w:rsidR="00B72A4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ormularza III – „</w:t>
      </w:r>
      <w:r w:rsidR="00AC1D35">
        <w:rPr>
          <w:rFonts w:ascii="Times New Roman" w:hAnsi="Times New Roman" w:cs="Times New Roman"/>
          <w:color w:val="000000"/>
          <w:sz w:val="24"/>
          <w:szCs w:val="24"/>
        </w:rPr>
        <w:t xml:space="preserve">Pola „podpis” opatruje </w:t>
      </w:r>
      <w:r w:rsidR="00AC1D35">
        <w:rPr>
          <w:rFonts w:ascii="Times New Roman" w:hAnsi="Times New Roman" w:cs="Times New Roman"/>
          <w:color w:val="000000"/>
          <w:sz w:val="24"/>
          <w:szCs w:val="24"/>
        </w:rPr>
        <w:lastRenderedPageBreak/>
        <w:t>się kwalifikowanym podpisem elektronicznym, podpisem zauf</w:t>
      </w:r>
      <w:r w:rsidR="00AD1839">
        <w:rPr>
          <w:rFonts w:ascii="Times New Roman" w:hAnsi="Times New Roman" w:cs="Times New Roman"/>
          <w:color w:val="000000"/>
          <w:sz w:val="24"/>
          <w:szCs w:val="24"/>
        </w:rPr>
        <w:t>anym albo  podpisem osobistym”.</w:t>
      </w:r>
      <w:r w:rsidR="00D07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656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Proces </w:t>
      </w:r>
      <w:r w:rsidR="005A6A17" w:rsidRPr="00AD1839">
        <w:rPr>
          <w:rFonts w:ascii="Times New Roman" w:hAnsi="Times New Roman" w:cs="Times New Roman"/>
          <w:color w:val="000000"/>
          <w:sz w:val="24"/>
          <w:szCs w:val="24"/>
        </w:rPr>
        <w:t>przekaz</w:t>
      </w:r>
      <w:r w:rsidR="005A6A17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="005A6A17" w:rsidRPr="00AD1839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971656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 formularzy, w tym formularza dotyczącego </w:t>
      </w:r>
      <w:r w:rsidR="00AD1839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podpisów, </w:t>
      </w:r>
      <w:r w:rsidR="00971656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będzie analogiczny, jak w przypadku przekazywania formularzy dotyczących </w:t>
      </w:r>
      <w:r w:rsidR="00D07388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dodatkowych kwartalnych i rocznych sprawozdań finansowych i statystycznych zakładów </w:t>
      </w:r>
      <w:r w:rsidR="00AD1839" w:rsidRPr="00AD1839">
        <w:rPr>
          <w:rFonts w:ascii="Times New Roman" w:hAnsi="Times New Roman" w:cs="Times New Roman"/>
          <w:sz w:val="24"/>
          <w:szCs w:val="24"/>
        </w:rPr>
        <w:t xml:space="preserve">ubezpieczeń/zakładów reasekuracji. </w:t>
      </w:r>
      <w:r w:rsidR="00994706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Dodatkowo, powyższa </w:t>
      </w:r>
      <w:r w:rsidR="00B72A42">
        <w:rPr>
          <w:rFonts w:ascii="Times New Roman" w:hAnsi="Times New Roman" w:cs="Times New Roman"/>
          <w:color w:val="000000"/>
          <w:sz w:val="24"/>
          <w:szCs w:val="24"/>
        </w:rPr>
        <w:t>zmiana</w:t>
      </w:r>
      <w:r w:rsidR="00BF4023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 zapewni spójność </w:t>
      </w:r>
      <w:r w:rsidR="005A6A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023" w:rsidRPr="00AD1839">
        <w:rPr>
          <w:rFonts w:ascii="Times New Roman" w:hAnsi="Times New Roman" w:cs="Times New Roman"/>
          <w:color w:val="000000"/>
          <w:sz w:val="24"/>
          <w:szCs w:val="24"/>
        </w:rPr>
        <w:t xml:space="preserve">z proponowanym brzmieniem </w:t>
      </w:r>
      <w:r w:rsidR="00BF4023" w:rsidRPr="00AD1839">
        <w:rPr>
          <w:rStyle w:val="st"/>
          <w:rFonts w:ascii="Times New Roman" w:hAnsi="Times New Roman" w:cs="Times New Roman"/>
          <w:sz w:val="24"/>
          <w:szCs w:val="24"/>
        </w:rPr>
        <w:t>§ 1 pkt 1 projektowanego rozporządzenia.</w:t>
      </w:r>
    </w:p>
    <w:p w14:paraId="7C903ADC" w14:textId="25ED959C" w:rsidR="00F7753C" w:rsidRPr="00F7753C" w:rsidRDefault="00F7753C" w:rsidP="00945A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3C">
        <w:rPr>
          <w:rFonts w:ascii="Times New Roman" w:eastAsia="Times New Roman" w:hAnsi="Times New Roman" w:cs="Times New Roman"/>
          <w:sz w:val="24"/>
          <w:szCs w:val="24"/>
        </w:rPr>
        <w:t xml:space="preserve">Zaproponowane </w:t>
      </w:r>
      <w:r w:rsidR="00953D73">
        <w:rPr>
          <w:rFonts w:ascii="Times New Roman" w:eastAsia="Times New Roman" w:hAnsi="Times New Roman" w:cs="Times New Roman"/>
          <w:sz w:val="24"/>
          <w:szCs w:val="24"/>
        </w:rPr>
        <w:t xml:space="preserve">w projekcie rozporządzenia </w:t>
      </w:r>
      <w:r>
        <w:rPr>
          <w:rFonts w:ascii="Times New Roman" w:eastAsia="Times New Roman" w:hAnsi="Times New Roman" w:cs="Times New Roman"/>
          <w:sz w:val="24"/>
          <w:szCs w:val="24"/>
        </w:rPr>
        <w:t>zmiany</w:t>
      </w:r>
      <w:r w:rsidRPr="00F7753C">
        <w:rPr>
          <w:rFonts w:ascii="Times New Roman" w:eastAsia="Times New Roman" w:hAnsi="Times New Roman" w:cs="Times New Roman"/>
          <w:sz w:val="24"/>
          <w:szCs w:val="24"/>
        </w:rPr>
        <w:t xml:space="preserve"> są  korzystne dla zakładów ubezpieczeń – wyeliminują obowiązek tzw. podwójnego raportowania danych – zarówno w formie papierowej, jak i elektronicznej na rzecz wyłącznie </w:t>
      </w:r>
      <w:r w:rsidR="00924AF1">
        <w:rPr>
          <w:rFonts w:ascii="Times New Roman" w:eastAsia="Times New Roman" w:hAnsi="Times New Roman" w:cs="Times New Roman"/>
          <w:sz w:val="24"/>
          <w:szCs w:val="24"/>
        </w:rPr>
        <w:t xml:space="preserve">formy </w:t>
      </w:r>
      <w:r w:rsidRPr="00F7753C">
        <w:rPr>
          <w:rFonts w:ascii="Times New Roman" w:eastAsia="Times New Roman" w:hAnsi="Times New Roman" w:cs="Times New Roman"/>
          <w:sz w:val="24"/>
          <w:szCs w:val="24"/>
        </w:rPr>
        <w:t xml:space="preserve">elektronicznej. Przyjęcie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powyższych </w:t>
      </w:r>
      <w:r w:rsidRPr="00F7753C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związań ograniczy również </w:t>
      </w:r>
      <w:r w:rsidRPr="00F7753C">
        <w:rPr>
          <w:rFonts w:ascii="Times New Roman" w:eastAsia="Times New Roman" w:hAnsi="Times New Roman" w:cs="Times New Roman"/>
          <w:sz w:val="24"/>
          <w:szCs w:val="24"/>
        </w:rPr>
        <w:t>czasochłonny sposób sporządzania i przekazywania rocznych danych statystycznych</w:t>
      </w:r>
      <w:r w:rsidR="003453AE">
        <w:rPr>
          <w:rFonts w:ascii="Times New Roman" w:eastAsia="Times New Roman" w:hAnsi="Times New Roman" w:cs="Times New Roman"/>
          <w:sz w:val="24"/>
          <w:szCs w:val="24"/>
        </w:rPr>
        <w:t xml:space="preserve"> Komisji Nadzoru Finansowego</w:t>
      </w:r>
      <w:r w:rsidRPr="00F77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E1199" w14:textId="678B04C0" w:rsidR="00BD2285" w:rsidRPr="002A545A" w:rsidRDefault="003B5F2D" w:rsidP="00F7753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5F2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Pr="003B5F2D">
        <w:rPr>
          <w:rStyle w:val="st"/>
          <w:rFonts w:ascii="Times New Roman" w:hAnsi="Times New Roman" w:cs="Times New Roman"/>
          <w:sz w:val="24"/>
          <w:szCs w:val="24"/>
        </w:rPr>
        <w:t>§</w:t>
      </w:r>
      <w:r w:rsidRPr="003B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5F2D">
        <w:rPr>
          <w:rFonts w:ascii="Times New Roman" w:eastAsia="Times New Roman" w:hAnsi="Times New Roman" w:cs="Times New Roman"/>
          <w:sz w:val="24"/>
          <w:szCs w:val="24"/>
        </w:rPr>
        <w:t xml:space="preserve"> projektowanego rozporządzenia proponuje się, aby rozporządzenie weszło w</w:t>
      </w:r>
      <w:r w:rsidR="002A54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0975">
        <w:rPr>
          <w:rFonts w:ascii="Times New Roman" w:eastAsia="Times New Roman" w:hAnsi="Times New Roman" w:cs="Times New Roman"/>
          <w:sz w:val="24"/>
          <w:szCs w:val="24"/>
        </w:rPr>
        <w:t xml:space="preserve">życie </w:t>
      </w:r>
      <w:r w:rsidR="003719BF">
        <w:rPr>
          <w:rFonts w:ascii="Times New Roman" w:eastAsia="Times New Roman" w:hAnsi="Times New Roman" w:cs="Times New Roman"/>
          <w:sz w:val="24"/>
          <w:szCs w:val="24"/>
        </w:rPr>
        <w:t>po upływie 14 dni od dnia ogłoszenia</w:t>
      </w:r>
      <w:r w:rsidR="008A37BD">
        <w:rPr>
          <w:rFonts w:ascii="Times New Roman" w:hAnsi="Times New Roman" w:cs="Times New Roman"/>
          <w:sz w:val="24"/>
          <w:szCs w:val="24"/>
        </w:rPr>
        <w:t xml:space="preserve">. </w:t>
      </w:r>
      <w:r w:rsidR="00E26A2A" w:rsidRPr="00D02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Powyższe wynika z obowiązku przekazywania przez zakłady ubezpieczeń </w:t>
      </w:r>
      <w:r w:rsidR="00E26A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rocznych </w:t>
      </w:r>
      <w:r w:rsidR="00E26A2A" w:rsidRPr="0021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danych </w:t>
      </w:r>
      <w:r w:rsidR="00E26A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statystycznych </w:t>
      </w:r>
      <w:r w:rsidR="00E26A2A" w:rsidRPr="0021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E26A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Komisji Nadzoru 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Finansowego</w:t>
      </w:r>
      <w:r w:rsidR="00E26A2A" w:rsidRPr="0021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ściśle określonych terminach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70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godnie z </w:t>
      </w:r>
      <w:r w:rsidR="00FD717D" w:rsidRPr="003B5F2D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FD717D">
        <w:rPr>
          <w:rStyle w:val="st"/>
          <w:rFonts w:ascii="Times New Roman" w:hAnsi="Times New Roman" w:cs="Times New Roman"/>
          <w:sz w:val="24"/>
          <w:szCs w:val="24"/>
        </w:rPr>
        <w:t xml:space="preserve"> 4 ust. 1 obowiązującego rozporządzenia 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roczne dane statystyczne sporządza się na koniec roku obrotowego na podstawie danych ujętych w</w:t>
      </w:r>
      <w:r w:rsidR="002A545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części A dodatkowego rocznego sprawozdania finansowego i statystycznego zakładu ubezpieczeń, o której mowa w</w:t>
      </w:r>
      <w:r w:rsidR="007324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§</w:t>
      </w:r>
      <w:r w:rsidR="003453A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4 ust.1 rozporządzenia Ministra Finansów z dnia 29 kwietnia 2016</w:t>
      </w:r>
      <w:r w:rsidR="007324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 w sprawie dodatkowych sprawozdań finansowych i statystycznych zakładów ubezpieczeń i zakładów reasekuracji (Dz. U. poz.</w:t>
      </w:r>
      <w:r w:rsidR="007324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7071A" w:rsidRPr="0017071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634), i przedstawia Komisji Nadzoru Finansowego łącznie z tą częścią sprawozdania, w terminie przewidzianym dla przekazania tej części sprawozdania</w:t>
      </w:r>
      <w:r w:rsidR="00170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konsekwencji, zakład ubezpieczeń obowiązany jest przekazać Komisji Nadzoru Finansowego</w:t>
      </w:r>
      <w:r w:rsidR="00FD717D" w:rsidRPr="0021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roczne dane statystyczne </w:t>
      </w:r>
      <w:r w:rsidR="003453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AF7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obrotowy rozpoczynający się </w:t>
      </w:r>
      <w:r w:rsidR="001E5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3453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 w:rsidR="001E5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453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do dnia 15 lipca 202</w:t>
      </w:r>
      <w:r w:rsidR="00E35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D7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170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6A2A" w:rsidRPr="002165DC">
        <w:rPr>
          <w:rFonts w:ascii="Times New Roman" w:hAnsi="Times New Roman" w:cs="Times New Roman"/>
          <w:sz w:val="24"/>
          <w:szCs w:val="24"/>
        </w:rPr>
        <w:t>Przemawia to za odstąpieniem od wynikającej z</w:t>
      </w:r>
      <w:r w:rsidR="002A545A">
        <w:rPr>
          <w:rFonts w:ascii="Times New Roman" w:hAnsi="Times New Roman" w:cs="Times New Roman"/>
          <w:sz w:val="24"/>
          <w:szCs w:val="24"/>
        </w:rPr>
        <w:t> </w:t>
      </w:r>
      <w:r w:rsidR="00E26A2A" w:rsidRPr="002165DC">
        <w:rPr>
          <w:rFonts w:ascii="Times New Roman" w:hAnsi="Times New Roman" w:cs="Times New Roman"/>
          <w:sz w:val="24"/>
          <w:szCs w:val="24"/>
        </w:rPr>
        <w:t>postanowień uchwały Rady Ministrów z dnia 18 lutego 2014 r. w sprawie zaleceń ujednolicenia terminów wejścia w życie niektórych aktów normatywnych (M.P. poz. 205) zasady ustalania na dzień 1 stycznia albo 1 czerwca daty wejścia w życie przepisów określających warunki prowadzenia działalności gospodarczej.</w:t>
      </w:r>
    </w:p>
    <w:p w14:paraId="3D4FCA6C" w14:textId="26FDF94D" w:rsidR="00526D45" w:rsidRDefault="00BA7A94" w:rsidP="00F7753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mając na względzie powyższe oraz fakt, </w:t>
      </w:r>
      <w:r w:rsidR="00526D45">
        <w:rPr>
          <w:rFonts w:ascii="Times New Roman" w:hAnsi="Times New Roman" w:cs="Times New Roman"/>
          <w:sz w:val="24"/>
          <w:szCs w:val="24"/>
        </w:rPr>
        <w:t xml:space="preserve">że przedmiotowe rozporządzenie </w:t>
      </w:r>
      <w:r w:rsidR="00BD2285">
        <w:rPr>
          <w:rFonts w:ascii="Times New Roman" w:hAnsi="Times New Roman" w:cs="Times New Roman"/>
          <w:sz w:val="24"/>
          <w:szCs w:val="24"/>
        </w:rPr>
        <w:t xml:space="preserve">wejdzie w życie w trakcie roku, w którym zakłady ubezpieczeń obowiązane są sporządzić </w:t>
      </w:r>
      <w:r w:rsidR="00DD7105">
        <w:rPr>
          <w:rFonts w:ascii="Times New Roman" w:hAnsi="Times New Roman" w:cs="Times New Roman"/>
          <w:sz w:val="24"/>
          <w:szCs w:val="24"/>
        </w:rPr>
        <w:br/>
      </w:r>
      <w:r w:rsidR="00BD2285">
        <w:rPr>
          <w:rFonts w:ascii="Times New Roman" w:hAnsi="Times New Roman" w:cs="Times New Roman"/>
          <w:sz w:val="24"/>
          <w:szCs w:val="24"/>
        </w:rPr>
        <w:t xml:space="preserve">i przekazać roczne dane statystyczne za rok ubiegły do Komisji Nadzoru Finansowego, proponuje się </w:t>
      </w:r>
      <w:r w:rsidR="00B72A42">
        <w:rPr>
          <w:rFonts w:ascii="Times New Roman" w:hAnsi="Times New Roman" w:cs="Times New Roman"/>
          <w:sz w:val="24"/>
          <w:szCs w:val="24"/>
        </w:rPr>
        <w:t xml:space="preserve">w § 2 </w:t>
      </w:r>
      <w:r w:rsidR="00BD2285">
        <w:rPr>
          <w:rFonts w:ascii="Times New Roman" w:hAnsi="Times New Roman" w:cs="Times New Roman"/>
          <w:sz w:val="24"/>
          <w:szCs w:val="24"/>
        </w:rPr>
        <w:t>wprowadzenie regulacji przejściowej</w:t>
      </w:r>
      <w:r w:rsidR="00DD7105">
        <w:rPr>
          <w:rFonts w:ascii="Times New Roman" w:hAnsi="Times New Roman" w:cs="Times New Roman"/>
          <w:sz w:val="24"/>
          <w:szCs w:val="24"/>
        </w:rPr>
        <w:t>,</w:t>
      </w:r>
      <w:r w:rsidR="00BD2285">
        <w:rPr>
          <w:rFonts w:ascii="Times New Roman" w:hAnsi="Times New Roman" w:cs="Times New Roman"/>
          <w:sz w:val="24"/>
          <w:szCs w:val="24"/>
        </w:rPr>
        <w:t xml:space="preserve"> zgodnie z którą przepisy zmienianego rozporządzen</w:t>
      </w:r>
      <w:r w:rsidR="00BD2285" w:rsidRPr="00526D45">
        <w:rPr>
          <w:rFonts w:ascii="Times New Roman" w:hAnsi="Times New Roman" w:cs="Times New Roman"/>
          <w:sz w:val="24"/>
          <w:szCs w:val="24"/>
        </w:rPr>
        <w:t>ia będą miały zastosowanie po raz pierwszy do rocznych danych statystycznych sporządzanych za rok obrotowy rozpoczynający się w 2020 r.</w:t>
      </w:r>
      <w:r w:rsidR="00BD2285">
        <w:rPr>
          <w:rFonts w:ascii="Times New Roman" w:hAnsi="Times New Roman" w:cs="Times New Roman"/>
          <w:sz w:val="24"/>
          <w:szCs w:val="24"/>
        </w:rPr>
        <w:t xml:space="preserve"> Powyższe rozwiązanie umożliwi skorzystanie ze wskazanych w zmienianym rozporządzaniu usprawnień przez zakłady ubezpieczeń w zakresie przekazywania rocznych danych statystycznych za </w:t>
      </w:r>
      <w:r w:rsidR="00B72A42">
        <w:rPr>
          <w:rFonts w:ascii="Times New Roman" w:hAnsi="Times New Roman" w:cs="Times New Roman"/>
          <w:sz w:val="24"/>
          <w:szCs w:val="24"/>
        </w:rPr>
        <w:br/>
      </w:r>
      <w:r w:rsidR="00BD2285">
        <w:rPr>
          <w:rFonts w:ascii="Times New Roman" w:hAnsi="Times New Roman" w:cs="Times New Roman"/>
          <w:sz w:val="24"/>
          <w:szCs w:val="24"/>
        </w:rPr>
        <w:t xml:space="preserve">2020 r. do Komisji Nadzoru Finansowego. </w:t>
      </w:r>
    </w:p>
    <w:p w14:paraId="35C0B441" w14:textId="725A8249" w:rsidR="0017071A" w:rsidRDefault="003719BF" w:rsidP="00F7753C">
      <w:pPr>
        <w:autoSpaceDE w:val="0"/>
        <w:autoSpaceDN w:val="0"/>
        <w:spacing w:before="120"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>Zawarte w projekcie regulacje nie stanowią przepisów technicznych w rozumieniu rozporządzenia Rady Ministrów z dnia 23 grudnia 2002 r. w sprawie sposobu funkcjonowania krajowego systemu notyfikacji norm i aktów prawnych (Dz. U. poz. 2039, z późn. zm.), dlatego też projekt rozporządzenia nie podlega procedurze notyfikacji.</w:t>
      </w:r>
    </w:p>
    <w:p w14:paraId="3B1AFA52" w14:textId="5F9C0E0C" w:rsidR="0017071A" w:rsidRPr="00B1121D" w:rsidRDefault="003719BF" w:rsidP="00F7753C">
      <w:pPr>
        <w:autoSpaceDE w:val="0"/>
        <w:autoSpaceDN w:val="0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1D">
        <w:rPr>
          <w:rFonts w:ascii="Times New Roman" w:hAnsi="Times New Roman" w:cs="Times New Roman"/>
          <w:sz w:val="24"/>
          <w:szCs w:val="24"/>
        </w:rPr>
        <w:lastRenderedPageBreak/>
        <w:t>Projektowane rozporządzenie nie mieści się w zakresie przedmiotowym zagadnień podlegających konsultacjom z Europejskim Bankiem Centralnym, zgodnie z art. 2 ust. 1 decyzji Rady nr 98/415/WE z dnia 29 czerwca 1998 r. w sprawie konsultacji Europejskiego Banku Centralnego udzielanych władzom krajowym w sprawie projektów przepisów prawnych (Dz.</w:t>
      </w:r>
      <w:r w:rsidR="002A545A">
        <w:rPr>
          <w:rFonts w:ascii="Times New Roman" w:hAnsi="Times New Roman" w:cs="Times New Roman"/>
          <w:sz w:val="24"/>
          <w:szCs w:val="24"/>
        </w:rPr>
        <w:t> </w:t>
      </w:r>
      <w:r w:rsidRPr="00B1121D">
        <w:rPr>
          <w:rFonts w:ascii="Times New Roman" w:hAnsi="Times New Roman" w:cs="Times New Roman"/>
          <w:sz w:val="24"/>
          <w:szCs w:val="24"/>
        </w:rPr>
        <w:t>Urz. UE L 189 z 03.07.1998, str. 42).</w:t>
      </w:r>
    </w:p>
    <w:p w14:paraId="47E4FB9D" w14:textId="4DD30628" w:rsidR="0017071A" w:rsidRDefault="003719BF" w:rsidP="00F7753C">
      <w:pPr>
        <w:autoSpaceDE w:val="0"/>
        <w:autoSpaceDN w:val="0"/>
        <w:spacing w:before="120"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Stosownie do art. 4 ustawy z dnia 7 lipca 2005 r. o działalności lobbingowej w procesie stanowienia prawa (Dz. U. z 2017 r. poz. 248) projekt </w:t>
      </w:r>
      <w:r w:rsidR="00E06902"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>zosta</w:t>
      </w:r>
      <w:r w:rsidR="00E06902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 w:rsidR="00E06902"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>zamieszczony w wykazie prac legislacyjnych Ministra Finansów</w:t>
      </w:r>
      <w:r w:rsidR="00732448">
        <w:rPr>
          <w:rFonts w:ascii="Times New Roman" w:eastAsia="Calibri" w:hAnsi="Times New Roman" w:cs="Times New Roman"/>
          <w:sz w:val="24"/>
          <w:szCs w:val="24"/>
          <w:lang w:eastAsia="pl-PL"/>
        </w:rPr>
        <w:t>, Funduszy i Polityki Regionalnej</w:t>
      </w:r>
      <w:r w:rsidRPr="00B1121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45D8274" w14:textId="00D3BCF4" w:rsidR="003719BF" w:rsidRPr="00876D88" w:rsidRDefault="003719BF" w:rsidP="003719BF">
      <w:pPr>
        <w:autoSpaceDE w:val="0"/>
        <w:autoSpaceDN w:val="0"/>
        <w:spacing w:before="120"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5A5D">
        <w:rPr>
          <w:rFonts w:ascii="Times New Roman" w:eastAsia="Calibri" w:hAnsi="Times New Roman" w:cs="Times New Roman"/>
          <w:sz w:val="24"/>
          <w:szCs w:val="24"/>
        </w:rPr>
        <w:t>Zgodnie z art. 5 ustawy z dnia 7 lipca 2005 r. o działalności lobbingowej w procesie stanowienia p</w:t>
      </w:r>
      <w:r w:rsidRPr="00876D88">
        <w:rPr>
          <w:rFonts w:ascii="Times New Roman" w:eastAsia="Calibri" w:hAnsi="Times New Roman" w:cs="Times New Roman"/>
          <w:sz w:val="24"/>
          <w:szCs w:val="24"/>
        </w:rPr>
        <w:t>rawa</w:t>
      </w:r>
      <w:r w:rsidRPr="00DF5A5D">
        <w:rPr>
          <w:rFonts w:ascii="Times New Roman" w:eastAsia="Calibri" w:hAnsi="Times New Roman" w:cs="Times New Roman"/>
          <w:sz w:val="24"/>
          <w:szCs w:val="24"/>
        </w:rPr>
        <w:t xml:space="preserve"> w związku z § 52 ust. 1 uchwały nr 190 Rady Ministrów z dnia 29 października 2013 r.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5A5D">
        <w:rPr>
          <w:rFonts w:ascii="Times New Roman" w:eastAsia="Calibri" w:hAnsi="Times New Roman" w:cs="Times New Roman"/>
          <w:sz w:val="24"/>
          <w:szCs w:val="24"/>
        </w:rPr>
        <w:t xml:space="preserve">  Regulamin pracy Rady Ministrów (M.P. z 2016 r. poz. 1006, z późn. zm.) </w:t>
      </w:r>
      <w:r w:rsidRPr="00876D88">
        <w:rPr>
          <w:rFonts w:ascii="Times New Roman" w:eastAsia="Calibri" w:hAnsi="Times New Roman" w:cs="Times New Roman"/>
          <w:sz w:val="24"/>
          <w:szCs w:val="24"/>
        </w:rPr>
        <w:t>projekt zostanie</w:t>
      </w:r>
      <w:r w:rsidRPr="00DF5A5D">
        <w:rPr>
          <w:rFonts w:ascii="Times New Roman" w:eastAsia="Calibri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Legislacji, z chwilą przekazania go do uzgodnień z</w:t>
      </w:r>
      <w:r w:rsidR="002A545A">
        <w:rPr>
          <w:rFonts w:ascii="Times New Roman" w:eastAsia="Calibri" w:hAnsi="Times New Roman" w:cs="Times New Roman"/>
          <w:sz w:val="24"/>
          <w:szCs w:val="24"/>
        </w:rPr>
        <w:t> </w:t>
      </w:r>
      <w:r w:rsidRPr="00DF5A5D">
        <w:rPr>
          <w:rFonts w:ascii="Times New Roman" w:eastAsia="Calibri" w:hAnsi="Times New Roman" w:cs="Times New Roman"/>
          <w:sz w:val="24"/>
          <w:szCs w:val="24"/>
        </w:rPr>
        <w:t>członkami Rady Ministrów.</w:t>
      </w:r>
    </w:p>
    <w:p w14:paraId="72627A06" w14:textId="77777777" w:rsidR="003719BF" w:rsidRPr="00B1121D" w:rsidRDefault="003719BF" w:rsidP="003719BF">
      <w:pPr>
        <w:spacing w:before="120"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Zawarte w projekcie regulacje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będą mieć </w:t>
      </w:r>
      <w:r w:rsidRPr="00B1121D">
        <w:rPr>
          <w:rFonts w:ascii="Times New Roman" w:eastAsia="Calibri" w:hAnsi="Times New Roman" w:cs="Times New Roman"/>
          <w:sz w:val="24"/>
          <w:szCs w:val="24"/>
        </w:rPr>
        <w:t>wpływ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 na działalność mikroprzedsiębiorców, małych i średnich przedsiębiorców zgodnie z </w:t>
      </w:r>
      <w:r>
        <w:rPr>
          <w:rFonts w:ascii="Times New Roman" w:eastAsia="Calibri" w:hAnsi="Times New Roman" w:cs="Times New Roman"/>
          <w:sz w:val="24"/>
          <w:szCs w:val="24"/>
        </w:rPr>
        <w:t>ustawą</w:t>
      </w: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 dnia 6 marca 2018 r. – Prawo przedsiębiorców (</w:t>
      </w:r>
      <w:r w:rsidRPr="00B1121D">
        <w:rPr>
          <w:rFonts w:ascii="Times New Roman" w:eastAsia="Calibri" w:hAnsi="Times New Roman" w:cs="Times New Roman"/>
          <w:sz w:val="24"/>
          <w:szCs w:val="24"/>
        </w:rPr>
        <w:t>Dz. U.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r. poz. 1292, z późn. zm.). </w:t>
      </w:r>
    </w:p>
    <w:p w14:paraId="46F028DF" w14:textId="77777777" w:rsidR="003719BF" w:rsidRPr="00B1121D" w:rsidRDefault="003719BF" w:rsidP="003719BF">
      <w:pPr>
        <w:spacing w:before="120"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F51">
        <w:rPr>
          <w:rFonts w:ascii="Times New Roman" w:eastAsia="Calibri" w:hAnsi="Times New Roman" w:cs="Times New Roman"/>
          <w:sz w:val="24"/>
          <w:szCs w:val="24"/>
        </w:rPr>
        <w:t xml:space="preserve">Wejście w życie rozporządzenia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będzie </w:t>
      </w:r>
      <w:r w:rsidRPr="00DE1F51">
        <w:rPr>
          <w:rFonts w:ascii="Times New Roman" w:eastAsia="Calibri" w:hAnsi="Times New Roman" w:cs="Times New Roman"/>
          <w:sz w:val="24"/>
          <w:szCs w:val="24"/>
        </w:rPr>
        <w:t>mieć wpływ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E1F51">
        <w:rPr>
          <w:rFonts w:ascii="Times New Roman" w:eastAsia="Calibri" w:hAnsi="Times New Roman" w:cs="Times New Roman"/>
          <w:sz w:val="24"/>
          <w:szCs w:val="24"/>
        </w:rPr>
        <w:t xml:space="preserve"> na sektor dużych przedsiębiorstw.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6F6B1E" w14:textId="75B6ACEF" w:rsidR="001F00D4" w:rsidRPr="0017071A" w:rsidRDefault="003719BF" w:rsidP="0017071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D62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Projekt rozporządzenia jest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zgodny </w:t>
      </w:r>
      <w:r w:rsidR="001707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 prawem Unii Europejskiej.</w:t>
      </w:r>
    </w:p>
    <w:sectPr w:rsidR="001F00D4" w:rsidRPr="001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9A99" w14:textId="77777777" w:rsidR="002A300D" w:rsidRDefault="002A300D" w:rsidP="008F2650">
      <w:pPr>
        <w:spacing w:after="0" w:line="240" w:lineRule="auto"/>
      </w:pPr>
      <w:r>
        <w:separator/>
      </w:r>
    </w:p>
  </w:endnote>
  <w:endnote w:type="continuationSeparator" w:id="0">
    <w:p w14:paraId="3C7A2F96" w14:textId="77777777" w:rsidR="002A300D" w:rsidRDefault="002A300D" w:rsidP="008F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1C23" w14:textId="77777777" w:rsidR="002A300D" w:rsidRDefault="002A300D" w:rsidP="008F2650">
      <w:pPr>
        <w:spacing w:after="0" w:line="240" w:lineRule="auto"/>
      </w:pPr>
      <w:r>
        <w:separator/>
      </w:r>
    </w:p>
  </w:footnote>
  <w:footnote w:type="continuationSeparator" w:id="0">
    <w:p w14:paraId="43D43B0A" w14:textId="77777777" w:rsidR="002A300D" w:rsidRDefault="002A300D" w:rsidP="008F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258"/>
    <w:multiLevelType w:val="hybridMultilevel"/>
    <w:tmpl w:val="A562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A7C"/>
    <w:multiLevelType w:val="hybridMultilevel"/>
    <w:tmpl w:val="6908C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451"/>
    <w:multiLevelType w:val="hybridMultilevel"/>
    <w:tmpl w:val="E2462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4B20"/>
    <w:multiLevelType w:val="hybridMultilevel"/>
    <w:tmpl w:val="8B0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13"/>
    <w:rsid w:val="000074EF"/>
    <w:rsid w:val="000112F6"/>
    <w:rsid w:val="00014F02"/>
    <w:rsid w:val="00015886"/>
    <w:rsid w:val="00020E48"/>
    <w:rsid w:val="000239C8"/>
    <w:rsid w:val="00055A70"/>
    <w:rsid w:val="000633E6"/>
    <w:rsid w:val="000A0E9F"/>
    <w:rsid w:val="000A207C"/>
    <w:rsid w:val="000C1DE4"/>
    <w:rsid w:val="000C3AB0"/>
    <w:rsid w:val="000C4025"/>
    <w:rsid w:val="000C564E"/>
    <w:rsid w:val="000D30B6"/>
    <w:rsid w:val="000E2E00"/>
    <w:rsid w:val="000F6E3D"/>
    <w:rsid w:val="00101BF0"/>
    <w:rsid w:val="00110695"/>
    <w:rsid w:val="00112FCA"/>
    <w:rsid w:val="00116363"/>
    <w:rsid w:val="001227E2"/>
    <w:rsid w:val="00124E07"/>
    <w:rsid w:val="001330F7"/>
    <w:rsid w:val="0013554E"/>
    <w:rsid w:val="001551D7"/>
    <w:rsid w:val="0016598B"/>
    <w:rsid w:val="0017071A"/>
    <w:rsid w:val="00172939"/>
    <w:rsid w:val="001751F7"/>
    <w:rsid w:val="00192413"/>
    <w:rsid w:val="001C54DB"/>
    <w:rsid w:val="001D078E"/>
    <w:rsid w:val="001D3CAE"/>
    <w:rsid w:val="001D5996"/>
    <w:rsid w:val="001E524D"/>
    <w:rsid w:val="001F00D4"/>
    <w:rsid w:val="001F1349"/>
    <w:rsid w:val="001F7D7E"/>
    <w:rsid w:val="0020529E"/>
    <w:rsid w:val="002068A8"/>
    <w:rsid w:val="00213654"/>
    <w:rsid w:val="002165DC"/>
    <w:rsid w:val="002222CA"/>
    <w:rsid w:val="002307AB"/>
    <w:rsid w:val="002335DF"/>
    <w:rsid w:val="002345E6"/>
    <w:rsid w:val="00235191"/>
    <w:rsid w:val="00236D1F"/>
    <w:rsid w:val="0024228E"/>
    <w:rsid w:val="0025257F"/>
    <w:rsid w:val="00260975"/>
    <w:rsid w:val="00265CC8"/>
    <w:rsid w:val="00270C8B"/>
    <w:rsid w:val="002A0D0F"/>
    <w:rsid w:val="002A300D"/>
    <w:rsid w:val="002A545A"/>
    <w:rsid w:val="002D25BD"/>
    <w:rsid w:val="002D3F88"/>
    <w:rsid w:val="002D716F"/>
    <w:rsid w:val="002E0A1A"/>
    <w:rsid w:val="003022BC"/>
    <w:rsid w:val="003243C1"/>
    <w:rsid w:val="003453AE"/>
    <w:rsid w:val="003719BF"/>
    <w:rsid w:val="003777BB"/>
    <w:rsid w:val="00381BE3"/>
    <w:rsid w:val="00381E34"/>
    <w:rsid w:val="00395F65"/>
    <w:rsid w:val="003A12D0"/>
    <w:rsid w:val="003A1CEF"/>
    <w:rsid w:val="003B5F2D"/>
    <w:rsid w:val="003C0E13"/>
    <w:rsid w:val="004069A3"/>
    <w:rsid w:val="0043184A"/>
    <w:rsid w:val="0043326C"/>
    <w:rsid w:val="00451528"/>
    <w:rsid w:val="004645EC"/>
    <w:rsid w:val="00471042"/>
    <w:rsid w:val="00475BE0"/>
    <w:rsid w:val="00487606"/>
    <w:rsid w:val="00491395"/>
    <w:rsid w:val="004B37BC"/>
    <w:rsid w:val="004C0A24"/>
    <w:rsid w:val="004C5F9C"/>
    <w:rsid w:val="004C6566"/>
    <w:rsid w:val="004C6F08"/>
    <w:rsid w:val="004D3243"/>
    <w:rsid w:val="004D4FC6"/>
    <w:rsid w:val="00501D18"/>
    <w:rsid w:val="005120CC"/>
    <w:rsid w:val="00513838"/>
    <w:rsid w:val="005143D7"/>
    <w:rsid w:val="00516577"/>
    <w:rsid w:val="00523036"/>
    <w:rsid w:val="0052414E"/>
    <w:rsid w:val="00526845"/>
    <w:rsid w:val="00526D45"/>
    <w:rsid w:val="0054472A"/>
    <w:rsid w:val="005732B0"/>
    <w:rsid w:val="00573A07"/>
    <w:rsid w:val="005775C8"/>
    <w:rsid w:val="00596037"/>
    <w:rsid w:val="005A2BE7"/>
    <w:rsid w:val="005A2DF0"/>
    <w:rsid w:val="005A6A17"/>
    <w:rsid w:val="005C39B4"/>
    <w:rsid w:val="006115D0"/>
    <w:rsid w:val="00611967"/>
    <w:rsid w:val="00633BB1"/>
    <w:rsid w:val="00635D71"/>
    <w:rsid w:val="00650086"/>
    <w:rsid w:val="00654AC4"/>
    <w:rsid w:val="00654C62"/>
    <w:rsid w:val="00656D52"/>
    <w:rsid w:val="0066665C"/>
    <w:rsid w:val="00671767"/>
    <w:rsid w:val="00685C30"/>
    <w:rsid w:val="006936E3"/>
    <w:rsid w:val="006A6C7B"/>
    <w:rsid w:val="006B7922"/>
    <w:rsid w:val="006E668E"/>
    <w:rsid w:val="007013D4"/>
    <w:rsid w:val="00716847"/>
    <w:rsid w:val="007216DC"/>
    <w:rsid w:val="00723D76"/>
    <w:rsid w:val="00725936"/>
    <w:rsid w:val="00732448"/>
    <w:rsid w:val="00732B51"/>
    <w:rsid w:val="00734935"/>
    <w:rsid w:val="00735BD3"/>
    <w:rsid w:val="00742066"/>
    <w:rsid w:val="00746A5E"/>
    <w:rsid w:val="007527EB"/>
    <w:rsid w:val="00762C34"/>
    <w:rsid w:val="007845D8"/>
    <w:rsid w:val="007902ED"/>
    <w:rsid w:val="0079423C"/>
    <w:rsid w:val="007A2D1C"/>
    <w:rsid w:val="007A6EA1"/>
    <w:rsid w:val="007D1922"/>
    <w:rsid w:val="007E731E"/>
    <w:rsid w:val="007F470F"/>
    <w:rsid w:val="0083444C"/>
    <w:rsid w:val="0085186D"/>
    <w:rsid w:val="0085195B"/>
    <w:rsid w:val="008523D9"/>
    <w:rsid w:val="00877D0E"/>
    <w:rsid w:val="0088313E"/>
    <w:rsid w:val="008934A7"/>
    <w:rsid w:val="00896184"/>
    <w:rsid w:val="008A37BD"/>
    <w:rsid w:val="008A4F6F"/>
    <w:rsid w:val="008A5425"/>
    <w:rsid w:val="008A767B"/>
    <w:rsid w:val="008B6C22"/>
    <w:rsid w:val="008C6878"/>
    <w:rsid w:val="008E22FD"/>
    <w:rsid w:val="008E514C"/>
    <w:rsid w:val="008F16A0"/>
    <w:rsid w:val="008F2650"/>
    <w:rsid w:val="008F63E1"/>
    <w:rsid w:val="00917126"/>
    <w:rsid w:val="00921B05"/>
    <w:rsid w:val="00924AF1"/>
    <w:rsid w:val="00924DF5"/>
    <w:rsid w:val="00937621"/>
    <w:rsid w:val="00941DFB"/>
    <w:rsid w:val="00945A18"/>
    <w:rsid w:val="00951B6C"/>
    <w:rsid w:val="009528B0"/>
    <w:rsid w:val="00952AF8"/>
    <w:rsid w:val="00953D73"/>
    <w:rsid w:val="00971656"/>
    <w:rsid w:val="00990383"/>
    <w:rsid w:val="00994706"/>
    <w:rsid w:val="009A43D5"/>
    <w:rsid w:val="009B0021"/>
    <w:rsid w:val="009E2CA3"/>
    <w:rsid w:val="009E3703"/>
    <w:rsid w:val="009F2B39"/>
    <w:rsid w:val="00A01692"/>
    <w:rsid w:val="00A214C4"/>
    <w:rsid w:val="00A23119"/>
    <w:rsid w:val="00A253F5"/>
    <w:rsid w:val="00A33A1C"/>
    <w:rsid w:val="00A572B4"/>
    <w:rsid w:val="00A67384"/>
    <w:rsid w:val="00A67915"/>
    <w:rsid w:val="00A71906"/>
    <w:rsid w:val="00A739F0"/>
    <w:rsid w:val="00A90665"/>
    <w:rsid w:val="00A97504"/>
    <w:rsid w:val="00AA6AF9"/>
    <w:rsid w:val="00AC1D35"/>
    <w:rsid w:val="00AC3D69"/>
    <w:rsid w:val="00AD1839"/>
    <w:rsid w:val="00AF382E"/>
    <w:rsid w:val="00AF78F1"/>
    <w:rsid w:val="00B017A1"/>
    <w:rsid w:val="00B06F9F"/>
    <w:rsid w:val="00B24073"/>
    <w:rsid w:val="00B3134D"/>
    <w:rsid w:val="00B451DF"/>
    <w:rsid w:val="00B471CC"/>
    <w:rsid w:val="00B72A42"/>
    <w:rsid w:val="00B756A0"/>
    <w:rsid w:val="00B817C8"/>
    <w:rsid w:val="00B95320"/>
    <w:rsid w:val="00B964B6"/>
    <w:rsid w:val="00BA5F8C"/>
    <w:rsid w:val="00BA7A94"/>
    <w:rsid w:val="00BB0CAC"/>
    <w:rsid w:val="00BB2996"/>
    <w:rsid w:val="00BC45AD"/>
    <w:rsid w:val="00BD2285"/>
    <w:rsid w:val="00BE1E8B"/>
    <w:rsid w:val="00BE56ED"/>
    <w:rsid w:val="00BF4023"/>
    <w:rsid w:val="00C03F00"/>
    <w:rsid w:val="00C25787"/>
    <w:rsid w:val="00C34A6D"/>
    <w:rsid w:val="00C35A44"/>
    <w:rsid w:val="00C75A45"/>
    <w:rsid w:val="00C76A8E"/>
    <w:rsid w:val="00C83B31"/>
    <w:rsid w:val="00C85538"/>
    <w:rsid w:val="00C93E1A"/>
    <w:rsid w:val="00CB5D42"/>
    <w:rsid w:val="00CB7C40"/>
    <w:rsid w:val="00CD2392"/>
    <w:rsid w:val="00CE0C6B"/>
    <w:rsid w:val="00CF2FF6"/>
    <w:rsid w:val="00D02583"/>
    <w:rsid w:val="00D033E7"/>
    <w:rsid w:val="00D04019"/>
    <w:rsid w:val="00D07388"/>
    <w:rsid w:val="00D271B6"/>
    <w:rsid w:val="00D44DF5"/>
    <w:rsid w:val="00D50C33"/>
    <w:rsid w:val="00D65369"/>
    <w:rsid w:val="00D7506A"/>
    <w:rsid w:val="00DA0916"/>
    <w:rsid w:val="00DB43DD"/>
    <w:rsid w:val="00DC515A"/>
    <w:rsid w:val="00DC55D7"/>
    <w:rsid w:val="00DD6AE6"/>
    <w:rsid w:val="00DD7105"/>
    <w:rsid w:val="00DE05A1"/>
    <w:rsid w:val="00DF1625"/>
    <w:rsid w:val="00DF2F96"/>
    <w:rsid w:val="00DF4C48"/>
    <w:rsid w:val="00E06902"/>
    <w:rsid w:val="00E26A2A"/>
    <w:rsid w:val="00E309EC"/>
    <w:rsid w:val="00E3389E"/>
    <w:rsid w:val="00E33AF4"/>
    <w:rsid w:val="00E3500F"/>
    <w:rsid w:val="00E46B40"/>
    <w:rsid w:val="00E53643"/>
    <w:rsid w:val="00E5799A"/>
    <w:rsid w:val="00E62CF5"/>
    <w:rsid w:val="00E70321"/>
    <w:rsid w:val="00E73978"/>
    <w:rsid w:val="00EA5090"/>
    <w:rsid w:val="00EA50DF"/>
    <w:rsid w:val="00EC6AB8"/>
    <w:rsid w:val="00EC7DC2"/>
    <w:rsid w:val="00ED77ED"/>
    <w:rsid w:val="00F079B5"/>
    <w:rsid w:val="00F21607"/>
    <w:rsid w:val="00F33381"/>
    <w:rsid w:val="00F358D9"/>
    <w:rsid w:val="00F411DE"/>
    <w:rsid w:val="00F4233F"/>
    <w:rsid w:val="00F52031"/>
    <w:rsid w:val="00F738FE"/>
    <w:rsid w:val="00F7753C"/>
    <w:rsid w:val="00F965FE"/>
    <w:rsid w:val="00FB1E17"/>
    <w:rsid w:val="00FD1092"/>
    <w:rsid w:val="00FD5588"/>
    <w:rsid w:val="00FD717D"/>
    <w:rsid w:val="00FE3A21"/>
    <w:rsid w:val="00FE5126"/>
    <w:rsid w:val="00FE5431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595"/>
  <w15:chartTrackingRefBased/>
  <w15:docId w15:val="{B1EFED74-E4EA-4456-91A8-AB04CFA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8F2650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qFormat/>
    <w:rsid w:val="008F26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650"/>
  </w:style>
  <w:style w:type="paragraph" w:styleId="Stopka">
    <w:name w:val="footer"/>
    <w:basedOn w:val="Normalny"/>
    <w:link w:val="StopkaZnak"/>
    <w:uiPriority w:val="99"/>
    <w:unhideWhenUsed/>
    <w:rsid w:val="008F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650"/>
  </w:style>
  <w:style w:type="paragraph" w:styleId="Tekstpodstawowy">
    <w:name w:val="Body Text"/>
    <w:basedOn w:val="Normalny"/>
    <w:link w:val="TekstpodstawowyZnak"/>
    <w:unhideWhenUsed/>
    <w:rsid w:val="00C25787"/>
    <w:pPr>
      <w:spacing w:after="0" w:line="28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578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67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3243C1"/>
  </w:style>
  <w:style w:type="character" w:styleId="Odwoaniedokomentarza">
    <w:name w:val="annotation reference"/>
    <w:basedOn w:val="Domylnaczcionkaakapitu"/>
    <w:uiPriority w:val="99"/>
    <w:semiHidden/>
    <w:unhideWhenUsed/>
    <w:rsid w:val="00464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5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392"/>
    <w:rPr>
      <w:vertAlign w:val="superscript"/>
    </w:rPr>
  </w:style>
  <w:style w:type="paragraph" w:customStyle="1" w:styleId="PKTpunkt">
    <w:name w:val="PKT – punkt"/>
    <w:uiPriority w:val="13"/>
    <w:qFormat/>
    <w:rsid w:val="00953D7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A7F4-3BDB-4FD7-A2AF-C86854C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Borowińska Paulina</dc:creator>
  <cp:keywords/>
  <dc:description/>
  <cp:lastModifiedBy>KGHM</cp:lastModifiedBy>
  <cp:revision>2</cp:revision>
  <cp:lastPrinted>2019-06-25T13:30:00Z</cp:lastPrinted>
  <dcterms:created xsi:type="dcterms:W3CDTF">2021-01-14T08:49:00Z</dcterms:created>
  <dcterms:modified xsi:type="dcterms:W3CDTF">2021-01-14T08:49:00Z</dcterms:modified>
</cp:coreProperties>
</file>