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639"/>
        <w:gridCol w:w="420"/>
        <w:gridCol w:w="472"/>
        <w:gridCol w:w="419"/>
        <w:gridCol w:w="182"/>
        <w:gridCol w:w="217"/>
        <w:gridCol w:w="383"/>
        <w:gridCol w:w="552"/>
        <w:gridCol w:w="19"/>
        <w:gridCol w:w="138"/>
        <w:gridCol w:w="151"/>
        <w:gridCol w:w="295"/>
        <w:gridCol w:w="346"/>
        <w:gridCol w:w="214"/>
        <w:gridCol w:w="570"/>
        <w:gridCol w:w="80"/>
        <w:gridCol w:w="71"/>
        <w:gridCol w:w="406"/>
        <w:gridCol w:w="112"/>
        <w:gridCol w:w="393"/>
        <w:gridCol w:w="51"/>
        <w:gridCol w:w="261"/>
        <w:gridCol w:w="296"/>
        <w:gridCol w:w="310"/>
        <w:gridCol w:w="247"/>
        <w:gridCol w:w="570"/>
        <w:gridCol w:w="113"/>
        <w:gridCol w:w="1424"/>
      </w:tblGrid>
      <w:tr w:rsidR="000D4A2E" w:rsidRPr="008B4FE6" w14:paraId="361AA09D" w14:textId="77777777" w:rsidTr="003F7C4A">
        <w:trPr>
          <w:trHeight w:val="1611"/>
        </w:trPr>
        <w:tc>
          <w:tcPr>
            <w:tcW w:w="6693" w:type="dxa"/>
            <w:gridSpan w:val="17"/>
          </w:tcPr>
          <w:p w14:paraId="3B81A38C" w14:textId="77777777" w:rsidR="000D4A2E" w:rsidRPr="008B4FE6" w:rsidRDefault="000D4A2E" w:rsidP="00FD73E6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76BF96A" w14:textId="2E876C99" w:rsidR="000D4A2E" w:rsidRPr="00CC0515" w:rsidRDefault="000D4A2E" w:rsidP="003F7C4A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pl-PL"/>
              </w:rPr>
            </w:pPr>
            <w:bookmarkStart w:id="1" w:name="_Hlk63862486"/>
            <w:r w:rsidRPr="00CC0515">
              <w:rPr>
                <w:rFonts w:ascii="Times New Roman" w:hAnsi="Times New Roman"/>
                <w:kern w:val="24"/>
                <w:sz w:val="24"/>
                <w:szCs w:val="24"/>
                <w:lang w:eastAsia="pl-PL"/>
              </w:rPr>
              <w:t>Rozporządzenie Ministra Klimatu i Środowiska w sprawie ceny maksymalnej za energię elektryczną wytworzoną w morskiej farmie wiatrowej i wprowadzoną do sieci w złotych za 1 MWh, będąc</w:t>
            </w:r>
            <w:r w:rsidR="00057EF5">
              <w:rPr>
                <w:rFonts w:ascii="Times New Roman" w:hAnsi="Times New Roman"/>
                <w:kern w:val="24"/>
                <w:sz w:val="24"/>
                <w:szCs w:val="24"/>
                <w:lang w:eastAsia="pl-PL"/>
              </w:rPr>
              <w:t>ej</w:t>
            </w:r>
            <w:r w:rsidRPr="00CC0515">
              <w:rPr>
                <w:rFonts w:ascii="Times New Roman" w:hAnsi="Times New Roman"/>
                <w:kern w:val="24"/>
                <w:sz w:val="24"/>
                <w:szCs w:val="24"/>
                <w:lang w:eastAsia="pl-PL"/>
              </w:rPr>
              <w:t xml:space="preserve"> podstawą rozliczenia prawa do pokrycia ujemnego salda </w:t>
            </w:r>
          </w:p>
          <w:bookmarkEnd w:id="1"/>
          <w:p w14:paraId="044C4342" w14:textId="77777777" w:rsidR="000D4A2E" w:rsidRPr="008B4FE6" w:rsidRDefault="000D4A2E" w:rsidP="003F7C4A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CBCF63E" w14:textId="77777777" w:rsidR="000D4A2E" w:rsidRDefault="000D4A2E" w:rsidP="003F7C4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783F9C5C" w14:textId="77777777" w:rsidR="000D4A2E" w:rsidRDefault="000D4A2E" w:rsidP="003F7C4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Aktywów Państwowych</w:t>
            </w:r>
          </w:p>
          <w:p w14:paraId="3B5E6EBB" w14:textId="77777777" w:rsidR="000D4A2E" w:rsidRDefault="000D4A2E" w:rsidP="003F7C4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30CAD8C5" w14:textId="77777777" w:rsidR="000D4A2E" w:rsidRPr="00642825" w:rsidRDefault="000D4A2E" w:rsidP="003F7C4A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70EAD96D" w14:textId="77777777" w:rsidR="000D4A2E" w:rsidRPr="0063060B" w:rsidRDefault="000D4A2E" w:rsidP="003F7C4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Ireneusz Zyska, Sekretarz Stanu, Pełnomocnik Rządu ds. OZE</w:t>
            </w:r>
          </w:p>
          <w:p w14:paraId="7CA41EF5" w14:textId="77777777" w:rsidR="000D4A2E" w:rsidRPr="008B4FE6" w:rsidRDefault="000D4A2E" w:rsidP="003F7C4A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F44A0A7" w14:textId="77777777" w:rsidR="000D4A2E" w:rsidRDefault="000D4A2E" w:rsidP="003F7C4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Katarzyna Krzywda, Z-ca dyrektora, Departament Odnawialnych Źródeł Energii w Ministerstwie Klimatu i Środowiska</w:t>
            </w:r>
          </w:p>
          <w:p w14:paraId="46D4060D" w14:textId="77777777" w:rsidR="000D4A2E" w:rsidRPr="00235647" w:rsidRDefault="000D4A2E" w:rsidP="003F7C4A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235647">
              <w:rPr>
                <w:rFonts w:ascii="Times New Roman" w:hAnsi="Times New Roman"/>
                <w:color w:val="000000"/>
                <w:lang w:val="en-US"/>
              </w:rPr>
              <w:t xml:space="preserve">tel. </w:t>
            </w:r>
            <w:r w:rsidRPr="00980630">
              <w:rPr>
                <w:rFonts w:ascii="Times New Roman" w:hAnsi="Times New Roman"/>
                <w:color w:val="000000"/>
                <w:lang w:val="en-US"/>
              </w:rPr>
              <w:t>+48 22 369-10-35</w:t>
            </w:r>
          </w:p>
          <w:p w14:paraId="4EF90354" w14:textId="77777777" w:rsidR="000D4A2E" w:rsidRPr="00602D2D" w:rsidRDefault="000D4A2E" w:rsidP="003F7C4A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235647">
              <w:rPr>
                <w:rFonts w:ascii="Times New Roman" w:hAnsi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235647">
              <w:rPr>
                <w:rFonts w:ascii="Times New Roman" w:hAnsi="Times New Roman"/>
                <w:color w:val="000000"/>
                <w:lang w:val="en-US"/>
              </w:rPr>
              <w:t xml:space="preserve">mail: </w:t>
            </w:r>
            <w:r>
              <w:rPr>
                <w:rFonts w:ascii="Times New Roman" w:hAnsi="Times New Roman"/>
                <w:color w:val="000000"/>
                <w:lang w:val="en-US"/>
              </w:rPr>
              <w:t>katarzyna.krzywda@klimat.gov.pl</w:t>
            </w:r>
          </w:p>
          <w:p w14:paraId="420188DA" w14:textId="77777777" w:rsidR="000D4A2E" w:rsidRPr="00602D2D" w:rsidRDefault="000D4A2E" w:rsidP="003F7C4A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602D2D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4254" w:type="dxa"/>
            <w:gridSpan w:val="12"/>
            <w:shd w:val="clear" w:color="auto" w:fill="FFFFFF"/>
          </w:tcPr>
          <w:p w14:paraId="4FEBFD25" w14:textId="4CD1E09A" w:rsidR="000D4A2E" w:rsidRPr="00642825" w:rsidRDefault="000D4A2E" w:rsidP="003F7C4A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E2D26FD9527948FDB3308A0D693C1016"/>
                </w:placeholder>
                <w:date w:fullDate="2021-02-12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02D2D">
                  <w:rPr>
                    <w:rFonts w:ascii="Times New Roman" w:hAnsi="Times New Roman"/>
                    <w:b/>
                    <w:sz w:val="21"/>
                    <w:szCs w:val="21"/>
                  </w:rPr>
                  <w:t>1</w:t>
                </w:r>
                <w:r w:rsidR="00B22DD2">
                  <w:rPr>
                    <w:rFonts w:ascii="Times New Roman" w:hAnsi="Times New Roman"/>
                    <w:b/>
                    <w:sz w:val="21"/>
                    <w:szCs w:val="21"/>
                  </w:rPr>
                  <w:t>2</w:t>
                </w:r>
                <w:r>
                  <w:rPr>
                    <w:rFonts w:ascii="Times New Roman" w:hAnsi="Times New Roman"/>
                    <w:b/>
                    <w:sz w:val="21"/>
                    <w:szCs w:val="21"/>
                  </w:rPr>
                  <w:t>.02.2021</w:t>
                </w:r>
              </w:sdtContent>
            </w:sdt>
          </w:p>
          <w:p w14:paraId="2B5B4823" w14:textId="77777777" w:rsidR="000D4A2E" w:rsidRDefault="000D4A2E" w:rsidP="003F7C4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7EB3C6E" w14:textId="77777777" w:rsidR="000D4A2E" w:rsidRPr="0065019F" w:rsidRDefault="000D4A2E" w:rsidP="003F7C4A">
            <w:pPr>
              <w:tabs>
                <w:tab w:val="center" w:pos="204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  <w:r>
              <w:rPr>
                <w:rFonts w:ascii="Times New Roman" w:hAnsi="Times New Roman"/>
                <w:b/>
              </w:rPr>
              <w:tab/>
            </w:r>
          </w:p>
          <w:bookmarkEnd w:id="2"/>
          <w:p w14:paraId="467A405F" w14:textId="42F67928" w:rsidR="000D4A2E" w:rsidRPr="0065019F" w:rsidRDefault="000F7A0F" w:rsidP="003F7C4A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51614635"/>
                <w:placeholder>
                  <w:docPart w:val="CFFCF77BB2C34786A552E875C3BFFF80"/>
                </w:placeholder>
                <w:dropDownList>
                  <w:listItem w:value="Wybierz element."/>
                  <w:listItem w:displayText="Exposé PRM" w:value="Exposé PRM"/>
                  <w:listItem w:displayText="Decyzja PRM/RM" w:value="Decyzja PRM/RM"/>
                  <w:listItem w:displayText="Prawo UE" w:value="Prawo UE"/>
                  <w:listItem w:displayText="Orzeczenie TK" w:value="Orzeczenie TK"/>
                  <w:listItem w:displayText="Upoważnienie ustawowe" w:value="Upoważnienie ustawowe"/>
                  <w:listItem w:displayText="Strategia" w:value="Strategia"/>
                  <w:listItem w:displayText="Inne" w:value="Inne"/>
                </w:dropDownList>
              </w:sdtPr>
              <w:sdtEndPr/>
              <w:sdtContent>
                <w:r w:rsidR="000D4A2E">
                  <w:rPr>
                    <w:rFonts w:ascii="Times New Roman" w:hAnsi="Times New Roman"/>
                  </w:rPr>
                  <w:t>Upoważnienie ustawowe</w:t>
                </w:r>
              </w:sdtContent>
            </w:sdt>
            <w:r w:rsidR="000D4A2E">
              <w:rPr>
                <w:rFonts w:ascii="Times New Roman" w:hAnsi="Times New Roman"/>
              </w:rPr>
              <w:t xml:space="preserve"> - </w:t>
            </w:r>
            <w:r w:rsidR="000D4A2E" w:rsidRPr="00CC0515">
              <w:rPr>
                <w:rFonts w:ascii="Times New Roman" w:hAnsi="Times New Roman"/>
              </w:rPr>
              <w:t>art. 25 ust. 2 ustawy z dnia 17 grudnia 2020 r. o promowaniu wytwarzania energii elektrycznej w morskich farmach wiatrowych</w:t>
            </w:r>
            <w:r w:rsidR="000D4A2E">
              <w:rPr>
                <w:rFonts w:ascii="Times New Roman" w:hAnsi="Times New Roman"/>
              </w:rPr>
              <w:t xml:space="preserve"> (</w:t>
            </w:r>
            <w:bookmarkStart w:id="3" w:name="_Hlk63763942"/>
            <w:r w:rsidR="000D4A2E" w:rsidRPr="00CC0515">
              <w:rPr>
                <w:rFonts w:ascii="Times New Roman" w:hAnsi="Times New Roman"/>
              </w:rPr>
              <w:t>Dz. U. z 202</w:t>
            </w:r>
            <w:r w:rsidR="00602D2D">
              <w:rPr>
                <w:rFonts w:ascii="Times New Roman" w:hAnsi="Times New Roman"/>
              </w:rPr>
              <w:t>1</w:t>
            </w:r>
            <w:r w:rsidR="000D4A2E" w:rsidRPr="00CC0515">
              <w:rPr>
                <w:rFonts w:ascii="Times New Roman" w:hAnsi="Times New Roman"/>
              </w:rPr>
              <w:t xml:space="preserve"> r. poz. </w:t>
            </w:r>
            <w:bookmarkEnd w:id="3"/>
            <w:r w:rsidR="00602D2D" w:rsidRPr="00CC0515">
              <w:rPr>
                <w:rFonts w:ascii="Times New Roman" w:hAnsi="Times New Roman"/>
              </w:rPr>
              <w:t>2</w:t>
            </w:r>
            <w:r w:rsidR="00602D2D">
              <w:rPr>
                <w:rFonts w:ascii="Times New Roman" w:hAnsi="Times New Roman"/>
              </w:rPr>
              <w:t>34</w:t>
            </w:r>
            <w:r w:rsidR="000D4A2E">
              <w:rPr>
                <w:rFonts w:ascii="Times New Roman" w:hAnsi="Times New Roman"/>
              </w:rPr>
              <w:t>)</w:t>
            </w:r>
          </w:p>
          <w:p w14:paraId="5B045261" w14:textId="77777777" w:rsidR="000D4A2E" w:rsidRPr="0065019F" w:rsidRDefault="000D4A2E" w:rsidP="003F7C4A">
            <w:pPr>
              <w:spacing w:line="240" w:lineRule="auto"/>
              <w:rPr>
                <w:rFonts w:ascii="Times New Roman" w:hAnsi="Times New Roman"/>
              </w:rPr>
            </w:pPr>
          </w:p>
          <w:p w14:paraId="4FD93339" w14:textId="77777777" w:rsidR="000D4A2E" w:rsidRPr="008B4FE6" w:rsidRDefault="000D4A2E" w:rsidP="003F7C4A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5A8EDF55" w14:textId="77777777" w:rsidR="000D4A2E" w:rsidRPr="008B4FE6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1FE">
              <w:rPr>
                <w:rFonts w:ascii="Times New Roman" w:hAnsi="Times New Roman"/>
                <w:bCs/>
                <w:color w:val="000000"/>
              </w:rPr>
              <w:t>Projekt na obecnym etapie nie został wpisany do wykazu prac</w:t>
            </w:r>
          </w:p>
        </w:tc>
      </w:tr>
      <w:tr w:rsidR="000D4A2E" w:rsidRPr="0022687A" w14:paraId="5DCA2448" w14:textId="77777777" w:rsidTr="003F7C4A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36906D9E" w14:textId="77777777" w:rsidR="000D4A2E" w:rsidRPr="00627221" w:rsidRDefault="000D4A2E" w:rsidP="003F7C4A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0D4A2E" w:rsidRPr="008B4FE6" w14:paraId="34B23BDD" w14:textId="77777777" w:rsidTr="003F7C4A">
        <w:trPr>
          <w:trHeight w:val="333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2EDECEDA" w14:textId="77777777" w:rsidR="000D4A2E" w:rsidRPr="008B4FE6" w:rsidRDefault="000D4A2E" w:rsidP="00E32CA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0D4A2E" w:rsidRPr="008B4FE6" w14:paraId="3B38DA4D" w14:textId="77777777" w:rsidTr="003F7C4A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495E996D" w14:textId="5E2ED279" w:rsidR="000D4A2E" w:rsidRPr="00AB2827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Ustawa z</w:t>
            </w:r>
            <w:r w:rsidRPr="0055451A">
              <w:rPr>
                <w:rFonts w:ascii="Times New Roman" w:hAnsi="Times New Roman"/>
                <w:color w:val="000000"/>
              </w:rPr>
              <w:t xml:space="preserve"> dnia 17 grudnia 2020 r. o promowaniu wytwarzania energii elektrycznej w morskich farmach wiatrowych (Dz. U. z </w:t>
            </w:r>
            <w:r w:rsidR="003F7C4A" w:rsidRPr="0055451A">
              <w:rPr>
                <w:rFonts w:ascii="Times New Roman" w:hAnsi="Times New Roman"/>
                <w:color w:val="000000"/>
              </w:rPr>
              <w:t>202</w:t>
            </w:r>
            <w:r w:rsidR="003F7C4A">
              <w:rPr>
                <w:rFonts w:ascii="Times New Roman" w:hAnsi="Times New Roman"/>
                <w:color w:val="000000"/>
              </w:rPr>
              <w:t>1</w:t>
            </w:r>
            <w:r w:rsidR="003F7C4A" w:rsidRPr="0055451A">
              <w:rPr>
                <w:rFonts w:ascii="Times New Roman" w:hAnsi="Times New Roman"/>
                <w:color w:val="000000"/>
              </w:rPr>
              <w:t xml:space="preserve"> </w:t>
            </w:r>
            <w:r w:rsidRPr="0055451A">
              <w:rPr>
                <w:rFonts w:ascii="Times New Roman" w:hAnsi="Times New Roman"/>
                <w:color w:val="000000"/>
              </w:rPr>
              <w:t xml:space="preserve">r. poz. </w:t>
            </w:r>
            <w:r w:rsidR="003F7C4A" w:rsidRPr="0055451A">
              <w:rPr>
                <w:rFonts w:ascii="Times New Roman" w:hAnsi="Times New Roman"/>
                <w:color w:val="000000"/>
              </w:rPr>
              <w:t>2</w:t>
            </w:r>
            <w:r w:rsidR="003F7C4A">
              <w:rPr>
                <w:rFonts w:ascii="Times New Roman" w:hAnsi="Times New Roman"/>
                <w:color w:val="000000"/>
              </w:rPr>
              <w:t>34</w:t>
            </w:r>
            <w:r w:rsidRPr="0055451A">
              <w:rPr>
                <w:rFonts w:ascii="Times New Roman" w:hAnsi="Times New Roman"/>
                <w:color w:val="000000"/>
              </w:rPr>
              <w:t>)</w:t>
            </w:r>
            <w:r w:rsidR="003F7C4A">
              <w:rPr>
                <w:rFonts w:ascii="Times New Roman" w:hAnsi="Times New Roman"/>
                <w:color w:val="000000"/>
              </w:rPr>
              <w:t>, dalej: „ustawa”,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5451A">
              <w:rPr>
                <w:rFonts w:ascii="Times New Roman" w:hAnsi="Times New Roman"/>
                <w:color w:val="000000"/>
              </w:rPr>
              <w:t>zawiera</w:t>
            </w:r>
            <w:r>
              <w:rPr>
                <w:rFonts w:ascii="Times New Roman" w:hAnsi="Times New Roman"/>
                <w:color w:val="000000"/>
              </w:rPr>
              <w:t xml:space="preserve"> w art. </w:t>
            </w:r>
            <w:r w:rsidRPr="0055451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25 ust</w:t>
            </w:r>
            <w:r w:rsidR="00057EF5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2 </w:t>
            </w:r>
            <w:r w:rsidR="003F7C4A">
              <w:rPr>
                <w:rFonts w:ascii="Times New Roman" w:hAnsi="Times New Roman"/>
                <w:color w:val="000000"/>
              </w:rPr>
              <w:t>upoważnienie ustawowe</w:t>
            </w:r>
            <w:r w:rsidR="003F7C4A" w:rsidRPr="0055451A">
              <w:rPr>
                <w:rFonts w:ascii="Times New Roman" w:hAnsi="Times New Roman"/>
                <w:color w:val="000000"/>
              </w:rPr>
              <w:t xml:space="preserve"> </w:t>
            </w:r>
            <w:r w:rsidRPr="0055451A">
              <w:rPr>
                <w:rFonts w:ascii="Times New Roman" w:hAnsi="Times New Roman"/>
                <w:color w:val="000000"/>
              </w:rPr>
              <w:t>do wydania rozporządzenia określającego</w:t>
            </w:r>
            <w:r w:rsidR="003F7C4A">
              <w:rPr>
                <w:rFonts w:ascii="Times New Roman" w:hAnsi="Times New Roman"/>
                <w:color w:val="000000"/>
              </w:rPr>
              <w:t xml:space="preserve"> </w:t>
            </w:r>
            <w:r w:rsidR="003F7C4A" w:rsidRPr="00AB2827">
              <w:rPr>
                <w:rFonts w:ascii="Times New Roman" w:hAnsi="Times New Roman"/>
                <w:color w:val="000000"/>
              </w:rPr>
              <w:t>cenę</w:t>
            </w:r>
            <w:r w:rsidR="003F7C4A">
              <w:rPr>
                <w:rFonts w:ascii="Times New Roman" w:hAnsi="Times New Roman"/>
                <w:color w:val="000000"/>
              </w:rPr>
              <w:t xml:space="preserve"> </w:t>
            </w:r>
            <w:r w:rsidRPr="00AB2827">
              <w:rPr>
                <w:rFonts w:ascii="Times New Roman" w:hAnsi="Times New Roman"/>
                <w:color w:val="000000"/>
              </w:rPr>
              <w:t>maksymalną za energię elektryczną wytworzoną w morskiej farmie wiatrowej i wprowadzoną do sieci w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AB2827">
              <w:rPr>
                <w:rFonts w:ascii="Times New Roman" w:hAnsi="Times New Roman"/>
                <w:color w:val="000000"/>
              </w:rPr>
              <w:t>złotych za 1 MWh, będącą podstawą rozliczenia prawa do pokrycia ujemnego salda.</w:t>
            </w:r>
            <w:r w:rsidRPr="0055451A">
              <w:t xml:space="preserve"> </w:t>
            </w:r>
          </w:p>
          <w:p w14:paraId="4D30B66D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D3468B" w14:textId="5B3FEF60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B2827">
              <w:rPr>
                <w:rFonts w:ascii="Times New Roman" w:hAnsi="Times New Roman"/>
                <w:color w:val="000000"/>
              </w:rPr>
              <w:t xml:space="preserve">Rozporządzenie to umożliwi wytwórcom realizującym projekty morskich farm wiatrowych </w:t>
            </w:r>
            <w:r>
              <w:rPr>
                <w:rFonts w:ascii="Times New Roman" w:hAnsi="Times New Roman"/>
                <w:color w:val="000000"/>
              </w:rPr>
              <w:t xml:space="preserve">(MFW) </w:t>
            </w:r>
            <w:r w:rsidRPr="00AB2827">
              <w:rPr>
                <w:rFonts w:ascii="Times New Roman" w:hAnsi="Times New Roman"/>
                <w:color w:val="000000"/>
              </w:rPr>
              <w:t>o łącznej mocy zainstalowanej do 5,9 GW ubiega</w:t>
            </w:r>
            <w:r w:rsidR="00EA6256">
              <w:rPr>
                <w:rFonts w:ascii="Times New Roman" w:hAnsi="Times New Roman"/>
                <w:color w:val="000000"/>
              </w:rPr>
              <w:t>nie</w:t>
            </w:r>
            <w:r w:rsidRPr="00AB2827">
              <w:rPr>
                <w:rFonts w:ascii="Times New Roman" w:hAnsi="Times New Roman"/>
                <w:color w:val="000000"/>
              </w:rPr>
              <w:t xml:space="preserve"> się o tzw. prawo do pokrycia ujemnego salda w I fazie systemu wsparcia dla morskich farm wiatrowyc</w:t>
            </w:r>
            <w:r w:rsidR="00EA6256">
              <w:rPr>
                <w:rFonts w:ascii="Times New Roman" w:hAnsi="Times New Roman"/>
                <w:color w:val="000000"/>
              </w:rPr>
              <w:t>h.</w:t>
            </w:r>
            <w:r w:rsidRPr="00AB2827">
              <w:rPr>
                <w:rFonts w:ascii="Times New Roman" w:hAnsi="Times New Roman"/>
                <w:color w:val="000000"/>
              </w:rPr>
              <w:t xml:space="preserve"> </w:t>
            </w:r>
            <w:r w:rsidRPr="007A2B23">
              <w:rPr>
                <w:rFonts w:ascii="Times New Roman" w:hAnsi="Times New Roman"/>
                <w:color w:val="000000"/>
              </w:rPr>
              <w:t>Prezes URE w pierwszej części procedury na podstawie art. 16</w:t>
            </w:r>
            <w:r>
              <w:rPr>
                <w:rFonts w:ascii="Times New Roman" w:hAnsi="Times New Roman"/>
                <w:color w:val="000000"/>
              </w:rPr>
              <w:t xml:space="preserve"> ustawy</w:t>
            </w:r>
            <w:r w:rsidRPr="007A2B23">
              <w:rPr>
                <w:rFonts w:ascii="Times New Roman" w:hAnsi="Times New Roman"/>
                <w:color w:val="000000"/>
              </w:rPr>
              <w:t xml:space="preserve"> wydaje decyzję o dopuszczeniu podmiotu do systemu wsparcia w ramach I fazy. Nie zmienia jednak ustalonej </w:t>
            </w:r>
            <w:r w:rsidR="00B51931">
              <w:rPr>
                <w:rFonts w:ascii="Times New Roman" w:hAnsi="Times New Roman"/>
                <w:color w:val="000000"/>
              </w:rPr>
              <w:t xml:space="preserve">w rozporządzeniu </w:t>
            </w:r>
            <w:r w:rsidRPr="007A2B23">
              <w:rPr>
                <w:rFonts w:ascii="Times New Roman" w:hAnsi="Times New Roman"/>
                <w:color w:val="000000"/>
              </w:rPr>
              <w:t xml:space="preserve">ceny maksymalnej. </w:t>
            </w:r>
            <w:r w:rsidR="00A226C6" w:rsidRPr="00A226C6">
              <w:rPr>
                <w:rFonts w:ascii="Times New Roman" w:hAnsi="Times New Roman"/>
                <w:color w:val="000000"/>
              </w:rPr>
              <w:t>Nie wcześniej niż po wydaniu dla danej morskiej farmy wiatrowej decyzji o środowiskowych uwarunkowaniach, wytwórca przedkłada Prezesowi URE informacje, o których mowa w przepisach wydanych na podstawie art. 13 ust. 4 ustawy z dnia 30 kwietnia 2004 r. o postępowaniu w sprawach dotyczących pomocy publicznej, dotyczące projektowanej inwestycji w</w:t>
            </w:r>
            <w:r w:rsidR="003516CB">
              <w:rPr>
                <w:rFonts w:ascii="Times New Roman" w:hAnsi="Times New Roman"/>
                <w:color w:val="000000"/>
              </w:rPr>
              <w:t> </w:t>
            </w:r>
            <w:r w:rsidR="00A226C6" w:rsidRPr="00A226C6">
              <w:rPr>
                <w:rFonts w:ascii="Times New Roman" w:hAnsi="Times New Roman"/>
                <w:color w:val="000000"/>
              </w:rPr>
              <w:t>zakresie morskiej farmy wiatrowej oraz działalności prowadzonej przez wytwórcę oraz grupę kapitałową, w skład której wchodzi wytwórca.</w:t>
            </w:r>
            <w:r w:rsidR="00A226C6">
              <w:rPr>
                <w:rFonts w:ascii="Times New Roman" w:hAnsi="Times New Roman"/>
                <w:color w:val="000000"/>
              </w:rPr>
              <w:t xml:space="preserve"> Na tej podstawie Prezes URE występuje do Prezesa UOKiK z wnioskiem o wydanie opinii o projekcie pomocy indywidualnej co inicjuje notyfikację indywidualną pomocy publicznej dla danego projektu w Komisji Europejskiej. Po </w:t>
            </w:r>
            <w:r w:rsidR="00791B12">
              <w:rPr>
                <w:rFonts w:ascii="Times New Roman" w:hAnsi="Times New Roman"/>
                <w:color w:val="000000"/>
              </w:rPr>
              <w:t xml:space="preserve">wydaniu przez KE </w:t>
            </w:r>
            <w:r w:rsidR="00791B12" w:rsidRPr="00791B12">
              <w:rPr>
                <w:rFonts w:ascii="Times New Roman" w:hAnsi="Times New Roman"/>
                <w:color w:val="000000"/>
              </w:rPr>
              <w:t>decyzji o zgodności z rynkiem wewnętrznym pomocy publicznej, udzielanej wytwórcy w drodze decyzji, o której mowa w art. 16 ust. 1</w:t>
            </w:r>
            <w:r w:rsidR="00791B12">
              <w:rPr>
                <w:rFonts w:ascii="Times New Roman" w:hAnsi="Times New Roman"/>
                <w:color w:val="000000"/>
              </w:rPr>
              <w:t>,</w:t>
            </w:r>
            <w:r w:rsidR="00A226C6" w:rsidRPr="007A2B23">
              <w:rPr>
                <w:rFonts w:ascii="Times New Roman" w:hAnsi="Times New Roman"/>
                <w:color w:val="000000"/>
              </w:rPr>
              <w:t xml:space="preserve"> </w:t>
            </w:r>
            <w:r w:rsidR="00A226C6">
              <w:rPr>
                <w:rFonts w:ascii="Times New Roman" w:hAnsi="Times New Roman"/>
                <w:color w:val="000000"/>
              </w:rPr>
              <w:t>P</w:t>
            </w:r>
            <w:r w:rsidRPr="007A2B23">
              <w:rPr>
                <w:rFonts w:ascii="Times New Roman" w:hAnsi="Times New Roman"/>
                <w:color w:val="000000"/>
              </w:rPr>
              <w:t>rezes URE ma 90 dni na wydanie drugiej decyzji w trybie art. 18 na podstawie, której może zmienić cenę</w:t>
            </w:r>
            <w:r w:rsidR="00B51931">
              <w:rPr>
                <w:rFonts w:ascii="Times New Roman" w:hAnsi="Times New Roman"/>
                <w:color w:val="000000"/>
              </w:rPr>
              <w:t>, p</w:t>
            </w:r>
            <w:r w:rsidRPr="007A2B23">
              <w:rPr>
                <w:rFonts w:ascii="Times New Roman" w:hAnsi="Times New Roman"/>
                <w:color w:val="000000"/>
              </w:rPr>
              <w:t xml:space="preserve">rzy czym może ją tylko </w:t>
            </w:r>
            <w:r w:rsidR="00B51931">
              <w:rPr>
                <w:rFonts w:ascii="Times New Roman" w:hAnsi="Times New Roman"/>
                <w:color w:val="000000"/>
              </w:rPr>
              <w:t>obniżyć</w:t>
            </w:r>
            <w:r w:rsidRPr="007A2B23">
              <w:rPr>
                <w:rFonts w:ascii="Times New Roman" w:hAnsi="Times New Roman"/>
                <w:color w:val="000000"/>
              </w:rPr>
              <w:t>.</w:t>
            </w:r>
          </w:p>
          <w:p w14:paraId="24461F42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129FBDF" w14:textId="447B12BF" w:rsidR="000D4A2E" w:rsidRDefault="000D4A2E" w:rsidP="003F7C4A">
            <w:pPr>
              <w:spacing w:line="240" w:lineRule="auto"/>
              <w:jc w:val="both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55451A">
              <w:rPr>
                <w:rFonts w:ascii="Times New Roman" w:hAnsi="Times New Roman"/>
                <w:color w:val="000000"/>
              </w:rPr>
              <w:t xml:space="preserve">Określanie </w:t>
            </w:r>
            <w:r w:rsidR="00267917" w:rsidRPr="0055451A">
              <w:rPr>
                <w:rFonts w:ascii="Times New Roman" w:hAnsi="Times New Roman"/>
                <w:color w:val="000000"/>
              </w:rPr>
              <w:t xml:space="preserve">ceny </w:t>
            </w:r>
            <w:r w:rsidRPr="0055451A">
              <w:rPr>
                <w:rFonts w:ascii="Times New Roman" w:hAnsi="Times New Roman"/>
                <w:color w:val="000000"/>
              </w:rPr>
              <w:t xml:space="preserve">maksymalnej jest niezbędne dla </w:t>
            </w:r>
            <w:r w:rsidR="00267917" w:rsidRPr="00267917">
              <w:rPr>
                <w:rFonts w:ascii="Times New Roman" w:hAnsi="Times New Roman"/>
                <w:color w:val="000000"/>
              </w:rPr>
              <w:t xml:space="preserve">uruchomienia I fazy systemu wsparcia, a co za tym idzie dla terminowego </w:t>
            </w:r>
            <w:r w:rsidR="00267917">
              <w:rPr>
                <w:rFonts w:ascii="Times New Roman" w:hAnsi="Times New Roman"/>
                <w:color w:val="000000"/>
              </w:rPr>
              <w:t xml:space="preserve">i </w:t>
            </w:r>
            <w:r w:rsidRPr="0055451A">
              <w:rPr>
                <w:rFonts w:ascii="Times New Roman" w:hAnsi="Times New Roman"/>
                <w:color w:val="000000"/>
              </w:rPr>
              <w:t>zrównoważonego rozwoju morskich farm wiatrowych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5451A">
              <w:rPr>
                <w:rFonts w:ascii="Times New Roman" w:hAnsi="Times New Roman"/>
                <w:color w:val="000000"/>
              </w:rPr>
              <w:t xml:space="preserve">w Polsce. Informacje dotyczące </w:t>
            </w:r>
            <w:r w:rsidR="00267917" w:rsidRPr="0055451A">
              <w:rPr>
                <w:rFonts w:ascii="Times New Roman" w:hAnsi="Times New Roman"/>
                <w:color w:val="000000"/>
              </w:rPr>
              <w:t xml:space="preserve">ceny </w:t>
            </w:r>
            <w:r w:rsidRPr="0055451A">
              <w:rPr>
                <w:rFonts w:ascii="Times New Roman" w:hAnsi="Times New Roman"/>
                <w:color w:val="000000"/>
              </w:rPr>
              <w:t>maksymalnej są ważnym sygnałem dla inwestorów pozwalającym na określenie, czy dany projekt inwestycyjny ma szansę na partycypację w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5451A">
              <w:rPr>
                <w:rFonts w:ascii="Times New Roman" w:hAnsi="Times New Roman"/>
                <w:color w:val="000000"/>
              </w:rPr>
              <w:t xml:space="preserve">systemie wsparcia, a tym samym na realizację. </w:t>
            </w:r>
            <w:r w:rsidR="00267917" w:rsidRPr="00267917">
              <w:rPr>
                <w:rFonts w:ascii="Times New Roman" w:hAnsi="Times New Roman"/>
                <w:color w:val="000000"/>
              </w:rPr>
              <w:t xml:space="preserve">Zakładana w ustawie moc zainstalowana na poziomie 5,9 GW odpowiada mocy z morskich farm wiatrowych na 2030 r., </w:t>
            </w:r>
            <w:r w:rsidR="00B64564">
              <w:rPr>
                <w:rFonts w:ascii="Times New Roman" w:hAnsi="Times New Roman"/>
                <w:color w:val="000000"/>
              </w:rPr>
              <w:t>określo</w:t>
            </w:r>
            <w:r w:rsidR="003516CB">
              <w:rPr>
                <w:rFonts w:ascii="Times New Roman" w:hAnsi="Times New Roman"/>
                <w:color w:val="000000"/>
              </w:rPr>
              <w:t>n</w:t>
            </w:r>
            <w:r w:rsidR="00B64564">
              <w:rPr>
                <w:rFonts w:ascii="Times New Roman" w:hAnsi="Times New Roman"/>
                <w:color w:val="000000"/>
              </w:rPr>
              <w:t>ej</w:t>
            </w:r>
            <w:r w:rsidR="00267917" w:rsidRPr="00267917">
              <w:rPr>
                <w:rFonts w:ascii="Times New Roman" w:hAnsi="Times New Roman"/>
                <w:color w:val="000000"/>
              </w:rPr>
              <w:t xml:space="preserve"> w Polityce energetycznej Polski do 2040 r.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86149C">
              <w:rPr>
                <w:rFonts w:ascii="Times New Roman" w:hAnsi="Times New Roman"/>
                <w:color w:val="000000"/>
              </w:rPr>
              <w:t xml:space="preserve">erminowa realizacja inwestycji </w:t>
            </w:r>
            <w:r w:rsidR="00267917">
              <w:rPr>
                <w:rFonts w:ascii="Times New Roman" w:hAnsi="Times New Roman"/>
                <w:color w:val="000000"/>
              </w:rPr>
              <w:t>w morskie farmy wiatrowe</w:t>
            </w:r>
            <w:r w:rsidRPr="0086149C">
              <w:rPr>
                <w:rFonts w:ascii="Times New Roman" w:hAnsi="Times New Roman"/>
                <w:color w:val="000000"/>
              </w:rPr>
              <w:t xml:space="preserve"> jest kluczowa dla spełniania zobowiązań Polski wynikających z unijnej polityki energetyczno-klimatycznej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2B06C22" w14:textId="77777777" w:rsidR="000D4A2E" w:rsidRDefault="000D4A2E" w:rsidP="003F7C4A">
            <w:pPr>
              <w:spacing w:line="240" w:lineRule="auto"/>
              <w:jc w:val="both"/>
              <w:rPr>
                <w:rFonts w:ascii="Times New Roman" w:eastAsia="Times New Roman" w:hAnsi="Times New Roman"/>
                <w:kern w:val="24"/>
                <w:lang w:eastAsia="pl-PL"/>
              </w:rPr>
            </w:pPr>
          </w:p>
          <w:p w14:paraId="35313130" w14:textId="2ACFF4E1" w:rsidR="000D4A2E" w:rsidRPr="00AB2827" w:rsidRDefault="000D4A2E" w:rsidP="003F7C4A">
            <w:pPr>
              <w:spacing w:line="240" w:lineRule="auto"/>
              <w:jc w:val="both"/>
              <w:rPr>
                <w:rFonts w:ascii="Times New Roman" w:eastAsia="Times New Roman" w:hAnsi="Times New Roman"/>
                <w:kern w:val="24"/>
                <w:lang w:eastAsia="pl-PL"/>
              </w:rPr>
            </w:pPr>
            <w:r w:rsidRPr="0055451A">
              <w:rPr>
                <w:rFonts w:ascii="Times New Roman" w:eastAsia="Times New Roman" w:hAnsi="Times New Roman"/>
                <w:kern w:val="24"/>
                <w:lang w:eastAsia="pl-PL"/>
              </w:rPr>
              <w:t>Z uwagi na regulacje dotyczące systemu wsparcia dla morskich farm wiatrowych</w:t>
            </w:r>
            <w:r>
              <w:rPr>
                <w:rFonts w:ascii="Times New Roman" w:eastAsia="Times New Roman" w:hAnsi="Times New Roman"/>
                <w:kern w:val="24"/>
                <w:lang w:eastAsia="pl-PL"/>
              </w:rPr>
              <w:t xml:space="preserve">, </w:t>
            </w:r>
            <w:r w:rsidRPr="0055451A">
              <w:rPr>
                <w:rFonts w:ascii="Times New Roman" w:eastAsia="Times New Roman" w:hAnsi="Times New Roman"/>
                <w:kern w:val="24"/>
                <w:lang w:eastAsia="pl-PL"/>
              </w:rPr>
              <w:t>niezbędne jest</w:t>
            </w:r>
            <w:r>
              <w:rPr>
                <w:rFonts w:ascii="Times New Roman" w:eastAsia="Times New Roman" w:hAnsi="Times New Roman"/>
                <w:kern w:val="24"/>
                <w:lang w:eastAsia="pl-PL"/>
              </w:rPr>
              <w:t>,</w:t>
            </w:r>
            <w:r w:rsidRPr="0055451A">
              <w:rPr>
                <w:rFonts w:ascii="Times New Roman" w:eastAsia="Times New Roman" w:hAnsi="Times New Roman"/>
                <w:kern w:val="24"/>
                <w:lang w:eastAsia="pl-PL"/>
              </w:rPr>
              <w:t xml:space="preserve"> aby rozporządzenie weszło w życie niezwłocznie, nie później niż do 31 marca 2021 r., aby</w:t>
            </w:r>
            <w:r w:rsidR="00EA6256">
              <w:rPr>
                <w:rFonts w:ascii="Times New Roman" w:eastAsia="Times New Roman" w:hAnsi="Times New Roman"/>
                <w:kern w:val="24"/>
                <w:lang w:eastAsia="pl-PL"/>
              </w:rPr>
              <w:t xml:space="preserve"> umożliwić</w:t>
            </w:r>
            <w:r w:rsidRPr="0055451A">
              <w:rPr>
                <w:rFonts w:ascii="Times New Roman" w:eastAsia="Times New Roman" w:hAnsi="Times New Roman"/>
                <w:kern w:val="24"/>
                <w:lang w:eastAsia="pl-PL"/>
              </w:rPr>
              <w:t xml:space="preserve">  przygotowanie i złożenie przez wytwórców do Prezesa URE wniosków o wsparcie w ramach I fazy</w:t>
            </w:r>
            <w:r>
              <w:rPr>
                <w:rFonts w:ascii="Times New Roman" w:eastAsia="Times New Roman" w:hAnsi="Times New Roman"/>
                <w:kern w:val="24"/>
                <w:lang w:eastAsia="pl-PL"/>
              </w:rPr>
              <w:t>.</w:t>
            </w:r>
          </w:p>
        </w:tc>
      </w:tr>
      <w:tr w:rsidR="000D4A2E" w:rsidRPr="008B4FE6" w14:paraId="2E88F2AB" w14:textId="77777777" w:rsidTr="003F7C4A">
        <w:trPr>
          <w:trHeight w:val="142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0F1B89FA" w14:textId="77777777" w:rsidR="000D4A2E" w:rsidRPr="008B4FE6" w:rsidRDefault="000D4A2E" w:rsidP="00E32CA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0D4A2E" w:rsidRPr="008B4FE6" w14:paraId="6423A76C" w14:textId="77777777" w:rsidTr="003F7C4A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56D26276" w14:textId="1CE1B22E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A3F49">
              <w:rPr>
                <w:rFonts w:ascii="Times New Roman" w:hAnsi="Times New Roman"/>
                <w:color w:val="000000"/>
                <w:spacing w:val="-2"/>
              </w:rPr>
              <w:t>Rekomenduje się wydanie przedmiotowego rozporządzenia, które określ</w:t>
            </w:r>
            <w:r w:rsidR="00EA6256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A3F4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20278">
              <w:rPr>
                <w:rFonts w:ascii="Times New Roman" w:hAnsi="Times New Roman"/>
                <w:color w:val="000000"/>
                <w:spacing w:val="-2"/>
              </w:rPr>
              <w:t>cenę maksymalną za energię elektryczną wytworzoną w morskiej farmie wiatrowej i wprowadzoną do sieci w złotych za 1 MWh, będącą podstawą rozliczenia prawa do pokrycia ujemnego salda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B2827">
              <w:rPr>
                <w:rFonts w:ascii="Times New Roman" w:hAnsi="Times New Roman"/>
                <w:color w:val="000000"/>
              </w:rPr>
              <w:t xml:space="preserve">w I fazie systemu wsparcia jaka może zostać przyznana w drodze decyzji Prezesa </w:t>
            </w:r>
            <w:r>
              <w:rPr>
                <w:rFonts w:ascii="Times New Roman" w:hAnsi="Times New Roman"/>
                <w:color w:val="000000"/>
              </w:rPr>
              <w:t>URE.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01828A0" w14:textId="77777777" w:rsidR="000D4A2E" w:rsidRPr="00B37C80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9DB6136" w14:textId="7658E35D" w:rsidR="000D4A2E" w:rsidRDefault="000D4A2E" w:rsidP="003F7C4A">
            <w:pPr>
              <w:shd w:val="clear" w:color="auto" w:fill="FFFFFF" w:themeFill="background1"/>
              <w:spacing w:line="240" w:lineRule="auto"/>
              <w:jc w:val="both"/>
              <w:rPr>
                <w:rFonts w:ascii="TimesNewRomanPSMT" w:hAnsi="TimesNewRomanPSMT" w:cs="TimesNewRomanPSMT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Niezbędne było zastosowanie transparentnego podejścia do ustalania ceny, dlatego </w:t>
            </w:r>
            <w:r w:rsidR="00E11458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667AE0">
              <w:rPr>
                <w:rFonts w:ascii="Times New Roman" w:hAnsi="Times New Roman"/>
                <w:color w:val="000000"/>
                <w:spacing w:val="-2"/>
              </w:rPr>
              <w:t>arządzeniem Ministra Klimatu i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667AE0">
              <w:rPr>
                <w:rFonts w:ascii="Times New Roman" w:hAnsi="Times New Roman"/>
                <w:color w:val="000000"/>
                <w:spacing w:val="-2"/>
              </w:rPr>
              <w:t>Środowiska z dnia 23 grudnia 2020 r. (</w:t>
            </w:r>
            <w:r w:rsidR="00E11458" w:rsidRPr="00667AE0">
              <w:rPr>
                <w:rFonts w:ascii="Times New Roman" w:hAnsi="Times New Roman"/>
                <w:color w:val="000000"/>
                <w:spacing w:val="-2"/>
              </w:rPr>
              <w:t xml:space="preserve">Dz. Urz. Min. Klim. i </w:t>
            </w:r>
            <w:proofErr w:type="spellStart"/>
            <w:r w:rsidR="00E11458" w:rsidRPr="00667AE0">
              <w:rPr>
                <w:rFonts w:ascii="Times New Roman" w:hAnsi="Times New Roman"/>
                <w:color w:val="000000"/>
                <w:spacing w:val="-2"/>
              </w:rPr>
              <w:t>Środ</w:t>
            </w:r>
            <w:proofErr w:type="spellEnd"/>
            <w:r w:rsidR="00E11458" w:rsidRPr="00667AE0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E1145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67AE0">
              <w:rPr>
                <w:rFonts w:ascii="Times New Roman" w:hAnsi="Times New Roman"/>
                <w:color w:val="000000"/>
                <w:spacing w:val="-2"/>
              </w:rPr>
              <w:t>poz. 28</w:t>
            </w:r>
            <w:r w:rsidR="00E11458">
              <w:rPr>
                <w:rFonts w:ascii="Times New Roman" w:hAnsi="Times New Roman"/>
                <w:color w:val="000000"/>
                <w:spacing w:val="-2"/>
              </w:rPr>
              <w:t>, z późn. zm.</w:t>
            </w:r>
            <w:r w:rsidRPr="00667AE0">
              <w:rPr>
                <w:rFonts w:ascii="Times New Roman" w:hAnsi="Times New Roman"/>
                <w:color w:val="000000"/>
                <w:spacing w:val="-2"/>
              </w:rPr>
              <w:t xml:space="preserve">) powołany został </w:t>
            </w:r>
            <w:r w:rsidRPr="00154652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Zespół do spraw przygotowania metodyki wyliczenia ceny maksymalnej za energię elektryczną wytworzoną w morskich farmach </w:t>
            </w:r>
            <w:r w:rsidRPr="00154652">
              <w:rPr>
                <w:rFonts w:ascii="Times New Roman" w:hAnsi="Times New Roman"/>
                <w:b/>
                <w:bCs/>
                <w:color w:val="000000"/>
                <w:spacing w:val="-2"/>
              </w:rPr>
              <w:lastRenderedPageBreak/>
              <w:t>wiatrowych i wprowadzoną do sieci w złotych za 1 MWh, będąc</w:t>
            </w:r>
            <w:r w:rsidR="00057EF5">
              <w:rPr>
                <w:rFonts w:ascii="Times New Roman" w:hAnsi="Times New Roman"/>
                <w:b/>
                <w:bCs/>
                <w:color w:val="000000"/>
                <w:spacing w:val="-2"/>
              </w:rPr>
              <w:t>ej</w:t>
            </w:r>
            <w:r w:rsidRPr="00154652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podstawą rozliczenia prawa do pokrycia ujemnego salda.</w:t>
            </w:r>
            <w:r w:rsidRPr="00667AE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A3F49">
              <w:rPr>
                <w:rFonts w:ascii="TimesNewRomanPSMT" w:hAnsi="TimesNewRomanPSMT" w:cs="TimesNewRomanPSMT"/>
                <w:lang w:eastAsia="pl-PL"/>
              </w:rPr>
              <w:t>Zespół miał za zadanie zebranie informacji niezbędnych do ustalenia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 w:rsidRPr="009A3F49">
              <w:rPr>
                <w:rFonts w:ascii="TimesNewRomanPSMT" w:hAnsi="TimesNewRomanPSMT" w:cs="TimesNewRomanPSMT"/>
                <w:lang w:eastAsia="pl-PL"/>
              </w:rPr>
              <w:t>przedmiotowej ceny</w:t>
            </w:r>
            <w:r w:rsidR="00BC5A78">
              <w:rPr>
                <w:rFonts w:ascii="TimesNewRomanPSMT" w:hAnsi="TimesNewRomanPSMT" w:cs="TimesNewRomanPSMT"/>
                <w:lang w:eastAsia="pl-PL"/>
              </w:rPr>
              <w:t>.</w:t>
            </w:r>
            <w:r w:rsidRPr="009A3F49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 w:rsidR="00BC5A78">
              <w:rPr>
                <w:rFonts w:ascii="TimesNewRomanPSMT" w:hAnsi="TimesNewRomanPSMT" w:cs="TimesNewRomanPSMT"/>
                <w:lang w:eastAsia="pl-PL"/>
              </w:rPr>
              <w:t>W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 oparciu o analizę tych danych Zespół miał </w:t>
            </w:r>
            <w:r w:rsidR="00BC5A78">
              <w:rPr>
                <w:rFonts w:ascii="TimesNewRomanPSMT" w:hAnsi="TimesNewRomanPSMT" w:cs="TimesNewRomanPSMT"/>
                <w:lang w:eastAsia="pl-PL"/>
              </w:rPr>
              <w:t>opracować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 w:rsidR="00831172">
              <w:rPr>
                <w:rFonts w:ascii="TimesNewRomanPSMT" w:hAnsi="TimesNewRomanPSMT" w:cs="TimesNewRomanPSMT"/>
                <w:lang w:eastAsia="pl-PL"/>
              </w:rPr>
              <w:t>metodykę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 wyznaczenia ceny maksymalnej, a następnie przedstawi</w:t>
            </w:r>
            <w:r w:rsidR="00BC5A78">
              <w:rPr>
                <w:rFonts w:ascii="TimesNewRomanPSMT" w:hAnsi="TimesNewRomanPSMT" w:cs="TimesNewRomanPSMT"/>
                <w:lang w:eastAsia="pl-PL"/>
              </w:rPr>
              <w:t>ć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 j</w:t>
            </w:r>
            <w:r w:rsidR="00BC5A78">
              <w:rPr>
                <w:rFonts w:ascii="TimesNewRomanPSMT" w:hAnsi="TimesNewRomanPSMT" w:cs="TimesNewRomanPSMT"/>
                <w:lang w:eastAsia="pl-PL"/>
              </w:rPr>
              <w:t>ą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 Ministrowi Klimatu </w:t>
            </w:r>
            <w:r w:rsidR="00BC5A78">
              <w:rPr>
                <w:rFonts w:ascii="TimesNewRomanPSMT" w:hAnsi="TimesNewRomanPSMT" w:cs="TimesNewRomanPSMT"/>
                <w:lang w:eastAsia="pl-PL"/>
              </w:rPr>
              <w:t>i</w:t>
            </w:r>
            <w:r>
              <w:rPr>
                <w:rFonts w:ascii="TimesNewRomanPSMT" w:hAnsi="TimesNewRomanPSMT" w:cs="TimesNewRomanPSMT"/>
                <w:lang w:eastAsia="pl-PL"/>
              </w:rPr>
              <w:t> Środowiska</w:t>
            </w:r>
            <w:r w:rsidRPr="009A3F49">
              <w:rPr>
                <w:rFonts w:ascii="TimesNewRomanPSMT" w:hAnsi="TimesNewRomanPSMT" w:cs="TimesNewRomanPSMT"/>
                <w:lang w:eastAsia="pl-PL"/>
              </w:rPr>
              <w:t xml:space="preserve">. </w:t>
            </w:r>
          </w:p>
          <w:p w14:paraId="102D1B5A" w14:textId="77777777" w:rsidR="000D4A2E" w:rsidRDefault="000D4A2E" w:rsidP="003F7C4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lang w:eastAsia="pl-PL"/>
              </w:rPr>
            </w:pPr>
          </w:p>
          <w:p w14:paraId="2D7F1128" w14:textId="5E35914F" w:rsidR="000D4A2E" w:rsidRPr="00BF265D" w:rsidRDefault="000D4A2E" w:rsidP="003F7C4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lang w:eastAsia="pl-PL"/>
              </w:rPr>
            </w:pPr>
            <w:r w:rsidRPr="00BF265D">
              <w:rPr>
                <w:rFonts w:ascii="TimesNewRomanPSMT" w:hAnsi="TimesNewRomanPSMT" w:cs="TimesNewRomanPSMT"/>
                <w:lang w:eastAsia="pl-PL"/>
              </w:rPr>
              <w:t xml:space="preserve">W skład Zespołu </w:t>
            </w:r>
            <w:r w:rsidRPr="00BF265D">
              <w:rPr>
                <w:rFonts w:ascii="Times New Roman" w:hAnsi="Times New Roman"/>
                <w:color w:val="000000"/>
                <w:spacing w:val="-2"/>
              </w:rPr>
              <w:t>do spraw przygotowania metodyki wyliczenia ceny maksymalnej za energię elektryczną wytworzoną w</w:t>
            </w:r>
            <w:r w:rsidR="00E1145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BF265D">
              <w:rPr>
                <w:rFonts w:ascii="Times New Roman" w:hAnsi="Times New Roman"/>
                <w:color w:val="000000"/>
                <w:spacing w:val="-2"/>
              </w:rPr>
              <w:t xml:space="preserve">morskich farmach wiatrowych i wprowadzoną do sieci w złotych za 1 MWh, będącą podstawą rozliczenia prawa do pokrycia ujemnego salda </w:t>
            </w:r>
            <w:r w:rsidRPr="00BF265D">
              <w:rPr>
                <w:rFonts w:ascii="TimesNewRomanPSMT" w:hAnsi="TimesNewRomanPSMT" w:cs="TimesNewRomanPSMT"/>
                <w:lang w:eastAsia="pl-PL"/>
              </w:rPr>
              <w:t>weszli przedstawiciele:</w:t>
            </w:r>
          </w:p>
          <w:p w14:paraId="7EC1ED9D" w14:textId="77777777" w:rsidR="000D4A2E" w:rsidRPr="00BF265D" w:rsidRDefault="000D4A2E" w:rsidP="003F7C4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lang w:eastAsia="pl-PL"/>
              </w:rPr>
            </w:pPr>
            <w:r w:rsidRPr="00BF265D">
              <w:rPr>
                <w:rFonts w:ascii="TimesNewRomanPSMT" w:hAnsi="TimesNewRomanPSMT" w:cs="TimesNewRomanPSMT"/>
                <w:lang w:eastAsia="pl-PL"/>
              </w:rPr>
              <w:t>1) Ministra Klimatu i Środowiska,</w:t>
            </w:r>
          </w:p>
          <w:p w14:paraId="70C5A82D" w14:textId="77777777" w:rsidR="000D4A2E" w:rsidRPr="00BF265D" w:rsidRDefault="000D4A2E" w:rsidP="003F7C4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lang w:eastAsia="pl-PL"/>
              </w:rPr>
            </w:pPr>
            <w:r w:rsidRPr="00BF265D">
              <w:rPr>
                <w:rFonts w:ascii="TimesNewRomanPSMT" w:hAnsi="TimesNewRomanPSMT" w:cs="TimesNewRomanPSMT"/>
                <w:lang w:eastAsia="pl-PL"/>
              </w:rPr>
              <w:t>2) Ministra Aktywów Państwowych,</w:t>
            </w:r>
          </w:p>
          <w:p w14:paraId="69D1C832" w14:textId="29B57ED9" w:rsidR="000D4A2E" w:rsidRPr="00BF265D" w:rsidRDefault="000D4A2E" w:rsidP="003F7C4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lang w:eastAsia="pl-PL"/>
              </w:rPr>
            </w:pPr>
            <w:r w:rsidRPr="00BF265D">
              <w:rPr>
                <w:rFonts w:ascii="TimesNewRomanPSMT" w:hAnsi="TimesNewRomanPSMT" w:cs="TimesNewRomanPSMT"/>
                <w:lang w:eastAsia="pl-PL"/>
              </w:rPr>
              <w:t>3) Ministra Finansów,</w:t>
            </w:r>
            <w:r w:rsidR="00E11458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 w:rsidR="00E11458" w:rsidRPr="00E11458">
              <w:rPr>
                <w:rFonts w:ascii="TimesNewRomanPSMT" w:hAnsi="TimesNewRomanPSMT" w:cs="TimesNewRomanPSMT"/>
                <w:lang w:eastAsia="pl-PL"/>
              </w:rPr>
              <w:t>Funduszy i Polityki Regionalnej,</w:t>
            </w:r>
          </w:p>
          <w:p w14:paraId="2FFA1E20" w14:textId="77777777" w:rsidR="000D4A2E" w:rsidRPr="00BF265D" w:rsidRDefault="000D4A2E" w:rsidP="003F7C4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lang w:eastAsia="pl-PL"/>
              </w:rPr>
            </w:pPr>
            <w:r w:rsidRPr="00BF265D">
              <w:rPr>
                <w:rFonts w:ascii="TimesNewRomanPSMT" w:hAnsi="TimesNewRomanPSMT" w:cs="TimesNewRomanPSMT"/>
                <w:lang w:eastAsia="pl-PL"/>
              </w:rPr>
              <w:t>4) Ministra Rozwoju, Pracy i Technologii,</w:t>
            </w:r>
          </w:p>
          <w:p w14:paraId="2962840C" w14:textId="77777777" w:rsidR="000D4A2E" w:rsidRPr="00BF265D" w:rsidRDefault="000D4A2E" w:rsidP="003F7C4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lang w:eastAsia="pl-PL"/>
              </w:rPr>
            </w:pPr>
            <w:r w:rsidRPr="00BF265D">
              <w:rPr>
                <w:rFonts w:ascii="TimesNewRomanPSMT" w:hAnsi="TimesNewRomanPSMT" w:cs="TimesNewRomanPSMT"/>
                <w:lang w:eastAsia="pl-PL"/>
              </w:rPr>
              <w:t>5) Pełnomocnika Rządu do spraw Strategicznej Infrastruktury Energetycznej,</w:t>
            </w:r>
          </w:p>
          <w:p w14:paraId="437092B5" w14:textId="77777777" w:rsidR="000D4A2E" w:rsidRPr="00BF265D" w:rsidRDefault="000D4A2E" w:rsidP="003F7C4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lang w:eastAsia="pl-PL"/>
              </w:rPr>
            </w:pPr>
            <w:r w:rsidRPr="00BF265D">
              <w:rPr>
                <w:rFonts w:ascii="TimesNewRomanPSMT" w:hAnsi="TimesNewRomanPSMT" w:cs="TimesNewRomanPSMT"/>
                <w:lang w:eastAsia="pl-PL"/>
              </w:rPr>
              <w:t>6) Koordynatora Służb Specjalnych,</w:t>
            </w:r>
          </w:p>
          <w:p w14:paraId="50B8F522" w14:textId="77777777" w:rsidR="000D4A2E" w:rsidRPr="00BF265D" w:rsidRDefault="000D4A2E" w:rsidP="003F7C4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lang w:eastAsia="pl-PL"/>
              </w:rPr>
            </w:pPr>
            <w:r w:rsidRPr="00BF265D">
              <w:rPr>
                <w:rFonts w:ascii="TimesNewRomanPSMT" w:hAnsi="TimesNewRomanPSMT" w:cs="TimesNewRomanPSMT"/>
                <w:lang w:eastAsia="pl-PL"/>
              </w:rPr>
              <w:t>7) Szefa Centrum Analiz Strategicznych w KPRM,</w:t>
            </w:r>
          </w:p>
          <w:p w14:paraId="62A0E8D9" w14:textId="77777777" w:rsidR="000D4A2E" w:rsidRPr="00BF265D" w:rsidRDefault="000D4A2E" w:rsidP="003F7C4A">
            <w:pPr>
              <w:shd w:val="clear" w:color="auto" w:fill="FFFFFF" w:themeFill="background1"/>
              <w:spacing w:line="240" w:lineRule="auto"/>
              <w:jc w:val="both"/>
              <w:rPr>
                <w:rFonts w:ascii="TimesNewRomanPSMT" w:hAnsi="TimesNewRomanPSMT" w:cs="TimesNewRomanPSMT"/>
                <w:lang w:eastAsia="pl-PL"/>
              </w:rPr>
            </w:pPr>
            <w:r w:rsidRPr="00BF265D">
              <w:rPr>
                <w:rFonts w:ascii="TimesNewRomanPSMT" w:hAnsi="TimesNewRomanPSMT" w:cs="TimesNewRomanPSMT"/>
                <w:lang w:eastAsia="pl-PL"/>
              </w:rPr>
              <w:t>8) Prezesa Urzędu Regulacji Energetyki.</w:t>
            </w:r>
          </w:p>
          <w:p w14:paraId="5211C252" w14:textId="77777777" w:rsidR="000D4A2E" w:rsidRPr="00BF265D" w:rsidRDefault="000D4A2E" w:rsidP="003F7C4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E589670" w14:textId="48147BA9" w:rsidR="000D4A2E" w:rsidRPr="00BF265D" w:rsidRDefault="000D4A2E" w:rsidP="003F7C4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F265D">
              <w:rPr>
                <w:rFonts w:ascii="Times New Roman" w:hAnsi="Times New Roman"/>
                <w:color w:val="000000"/>
                <w:spacing w:val="-2"/>
              </w:rPr>
              <w:t>Wysokość ceny maksymalnej jest to maksymalny poziom ceny, ustalony według metodyki przyjętej przez Zespół</w:t>
            </w:r>
            <w:r w:rsidR="00292FA9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F265D">
              <w:rPr>
                <w:rFonts w:ascii="Times New Roman" w:hAnsi="Times New Roman"/>
                <w:color w:val="000000"/>
                <w:spacing w:val="-2"/>
              </w:rPr>
              <w:t xml:space="preserve"> uwzględniający kryteria określone w art. 25 ustawy, zgodny z przewidywanymi kosztami budowy i eksploatacji morskich farm wiatrowych. Powyższe ma na celu uniemożliwienie złożenia przez inwestorów wniosków, które są istotnie zawyżone, co skutkowałoby z jednej strony nadzwyczajnie wysokimi zyskami tych podmiotów, z drugiej zaś nadmiernym obciążeniem odbiorców końcowych.</w:t>
            </w:r>
            <w:r w:rsidRPr="00BF265D">
              <w:t xml:space="preserve"> </w:t>
            </w:r>
          </w:p>
          <w:p w14:paraId="6B7F77C7" w14:textId="6920D203" w:rsidR="000D4A2E" w:rsidRPr="00BF265D" w:rsidRDefault="00B64564" w:rsidP="003F7C4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Niniejszy projekt Rozporządzenia, w którym określona została </w:t>
            </w:r>
            <w:r w:rsidR="000D4A2E" w:rsidRPr="00BF265D">
              <w:rPr>
                <w:rFonts w:ascii="Times New Roman" w:hAnsi="Times New Roman"/>
                <w:color w:val="000000"/>
                <w:spacing w:val="-2"/>
              </w:rPr>
              <w:t>cen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0D4A2E" w:rsidRPr="00BF265D">
              <w:rPr>
                <w:rFonts w:ascii="Times New Roman" w:hAnsi="Times New Roman"/>
                <w:color w:val="000000"/>
                <w:spacing w:val="-2"/>
              </w:rPr>
              <w:t xml:space="preserve"> maksymaln</w:t>
            </w:r>
            <w:r>
              <w:rPr>
                <w:rFonts w:ascii="Times New Roman" w:hAnsi="Times New Roman"/>
                <w:color w:val="000000"/>
                <w:spacing w:val="-2"/>
              </w:rPr>
              <w:t>a,</w:t>
            </w:r>
            <w:r w:rsidR="000D4A2E" w:rsidRPr="00BF265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został opracowany zgodnie z metodyką opracowaną i przyjętą przez </w:t>
            </w:r>
            <w:r w:rsidR="000D4A2E" w:rsidRPr="00BF265D">
              <w:rPr>
                <w:rFonts w:ascii="Times New Roman" w:hAnsi="Times New Roman"/>
                <w:color w:val="000000"/>
                <w:spacing w:val="-2"/>
              </w:rPr>
              <w:t>Zespół.</w:t>
            </w:r>
          </w:p>
          <w:p w14:paraId="1423045B" w14:textId="77777777" w:rsidR="000D4A2E" w:rsidRPr="00BF265D" w:rsidRDefault="000D4A2E" w:rsidP="003F7C4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58651CD" w14:textId="663AD0CE" w:rsidR="000D4A2E" w:rsidRPr="00BF265D" w:rsidRDefault="00784FC9" w:rsidP="003F7C4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Zgodnie z upoważnienie</w:t>
            </w:r>
            <w:r w:rsidR="00EA6256">
              <w:rPr>
                <w:rFonts w:ascii="Times New Roman" w:hAnsi="Times New Roman"/>
                <w:color w:val="000000"/>
                <w:spacing w:val="-2"/>
              </w:rPr>
              <w:t>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ustawowym, c</w:t>
            </w:r>
            <w:r w:rsidR="000D4A2E" w:rsidRPr="00BF265D">
              <w:rPr>
                <w:rFonts w:ascii="Times New Roman" w:hAnsi="Times New Roman"/>
                <w:color w:val="000000"/>
                <w:spacing w:val="-2"/>
              </w:rPr>
              <w:t>enę maksymalną ustala się na poziomie umożliwiającym realizację inwestycji w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D4A2E" w:rsidRPr="00BF265D">
              <w:rPr>
                <w:rFonts w:ascii="Times New Roman" w:hAnsi="Times New Roman"/>
                <w:color w:val="000000"/>
                <w:spacing w:val="-2"/>
              </w:rPr>
              <w:t xml:space="preserve">zakresie budowy morskich farm wiatrowych o łącznej mocy zainstalowanej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5,9 GW, </w:t>
            </w:r>
            <w:r w:rsidR="000D4A2E" w:rsidRPr="00BF265D">
              <w:rPr>
                <w:rFonts w:ascii="Times New Roman" w:hAnsi="Times New Roman"/>
                <w:color w:val="000000"/>
                <w:spacing w:val="-2"/>
              </w:rPr>
              <w:t>uwzględniając istotne parametry techniczne i ekonomiczne funkcjonowania morskich farm wiatrowych oraz mając na uwadze konieczność uniknięcia nadmiernego obciążenia odbiorców końcowych.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D4A2E" w:rsidRPr="00BF265D">
              <w:rPr>
                <w:rFonts w:ascii="Times New Roman" w:hAnsi="Times New Roman"/>
                <w:color w:val="000000"/>
                <w:spacing w:val="-2"/>
              </w:rPr>
              <w:t>Określając cenę maksymalną uwzględnia się:</w:t>
            </w:r>
          </w:p>
          <w:p w14:paraId="0CFCE83D" w14:textId="316929D6" w:rsidR="000D4A2E" w:rsidRPr="003516CB" w:rsidRDefault="000D4A2E" w:rsidP="003516CB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16CB">
              <w:rPr>
                <w:rFonts w:ascii="Times New Roman" w:hAnsi="Times New Roman"/>
                <w:color w:val="000000"/>
                <w:spacing w:val="-2"/>
              </w:rPr>
              <w:t>koszty operacyjne oraz dodatkowe koszty inwestycyjne ponoszone w okresie eksploatacji, w którym wytwórcy będą korzystać z prawa do pokrycia ujemnego salda;</w:t>
            </w:r>
          </w:p>
          <w:p w14:paraId="5D661991" w14:textId="32550ED4" w:rsidR="000D4A2E" w:rsidRPr="003516CB" w:rsidRDefault="000D4A2E" w:rsidP="003516CB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16CB">
              <w:rPr>
                <w:rFonts w:ascii="Times New Roman" w:hAnsi="Times New Roman"/>
                <w:color w:val="000000"/>
                <w:spacing w:val="-2"/>
              </w:rPr>
              <w:t>koszty inwestycyjne ponoszone w okresie przygotowania projektu i budowy morskiej farmy wiatrowej wraz z</w:t>
            </w:r>
            <w:r w:rsidR="003516C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3516CB">
              <w:rPr>
                <w:rFonts w:ascii="Times New Roman" w:hAnsi="Times New Roman"/>
                <w:color w:val="000000"/>
                <w:spacing w:val="-2"/>
              </w:rPr>
              <w:t>niezbędną infrastrukturą techniczną oraz zespołem urządzeń służących do wyprowadzenia mocy, a także koszty całkowitej likwidacji morskiej farmy wiatrowej wraz z zespołem urządzeń służących do wyprowadzenia mocy, po zakończeniu jej eksploatacji;</w:t>
            </w:r>
          </w:p>
          <w:p w14:paraId="30EFAC5D" w14:textId="144ACB1F" w:rsidR="000D4A2E" w:rsidRPr="003516CB" w:rsidRDefault="000D4A2E" w:rsidP="003516CB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16CB">
              <w:rPr>
                <w:rFonts w:ascii="Times New Roman" w:hAnsi="Times New Roman"/>
                <w:color w:val="000000"/>
                <w:spacing w:val="-2"/>
              </w:rPr>
              <w:t>uzasadniony zwrot z kapitału zaangażowanego w wykonywaną działalność gospodarczą w zakresie przygotowania, budowy i eksploatacji morskiej farmy wiatrowej.</w:t>
            </w:r>
          </w:p>
          <w:p w14:paraId="75B439B5" w14:textId="77777777" w:rsidR="000D4A2E" w:rsidRDefault="000D4A2E" w:rsidP="003F7C4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E16D15D" w14:textId="5E7D5EB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50F5B">
              <w:rPr>
                <w:rFonts w:ascii="Times New Roman" w:hAnsi="Times New Roman"/>
                <w:color w:val="000000"/>
                <w:spacing w:val="-2"/>
              </w:rPr>
              <w:t xml:space="preserve">Metodyka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przyjęta przez Zespół i zatwierdzona przez Ministra Klimatu i Środowiska </w:t>
            </w:r>
            <w:r w:rsidRPr="00150F5B">
              <w:rPr>
                <w:rFonts w:ascii="Times New Roman" w:hAnsi="Times New Roman"/>
                <w:color w:val="000000"/>
                <w:spacing w:val="-2"/>
              </w:rPr>
              <w:t>została oparta na analizie dostępnych danych</w:t>
            </w:r>
            <w:r w:rsidR="00B64564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150F5B">
              <w:rPr>
                <w:rFonts w:ascii="Times New Roman" w:hAnsi="Times New Roman"/>
                <w:color w:val="000000"/>
                <w:spacing w:val="-2"/>
              </w:rPr>
              <w:t xml:space="preserve"> dotyczących kosztów wytwarzania energii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50F5B">
              <w:rPr>
                <w:rFonts w:ascii="Times New Roman" w:hAnsi="Times New Roman"/>
                <w:color w:val="000000"/>
                <w:spacing w:val="-2"/>
              </w:rPr>
              <w:t>elektrycznej w morskich farmach wiatrowych i cen energii</w:t>
            </w:r>
            <w:r w:rsidR="00B64564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150F5B">
              <w:rPr>
                <w:rFonts w:ascii="Times New Roman" w:hAnsi="Times New Roman"/>
                <w:color w:val="000000"/>
                <w:spacing w:val="-2"/>
              </w:rPr>
              <w:t xml:space="preserve"> oraz na parametrach technicznych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5C660E" w:rsidRPr="005C660E">
              <w:rPr>
                <w:rFonts w:ascii="Times New Roman" w:hAnsi="Times New Roman"/>
                <w:color w:val="000000"/>
                <w:spacing w:val="-2"/>
              </w:rPr>
              <w:t xml:space="preserve"> Szczegółowe założenia zostały uwzględnione w uzasadnieniu</w:t>
            </w:r>
            <w:r w:rsidR="009140BB">
              <w:rPr>
                <w:rFonts w:ascii="Times New Roman" w:hAnsi="Times New Roman"/>
                <w:color w:val="000000"/>
                <w:spacing w:val="-2"/>
              </w:rPr>
              <w:t xml:space="preserve"> do projektu</w:t>
            </w:r>
            <w:r w:rsidR="005C660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D006B5E" w14:textId="77777777" w:rsidR="000D4A2E" w:rsidRPr="00B37C80" w:rsidRDefault="000D4A2E" w:rsidP="005C66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D4A2E" w:rsidRPr="008B4FE6" w14:paraId="544B743F" w14:textId="77777777" w:rsidTr="003F7C4A">
        <w:trPr>
          <w:trHeight w:val="307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46DAD5DE" w14:textId="77777777" w:rsidR="000D4A2E" w:rsidRPr="008B4FE6" w:rsidRDefault="000D4A2E" w:rsidP="00E32CA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D4A2E" w:rsidRPr="008B4FE6" w14:paraId="78783B72" w14:textId="77777777" w:rsidTr="003F7C4A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6DB7837A" w14:textId="4F708211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40F4C">
              <w:rPr>
                <w:rFonts w:ascii="Times New Roman" w:hAnsi="Times New Roman"/>
                <w:color w:val="000000"/>
                <w:spacing w:val="-2"/>
              </w:rPr>
              <w:t>Konstrukcja systemów wsparcia dla energii z odnawialnych źródeł energii</w:t>
            </w:r>
            <w:r>
              <w:rPr>
                <w:rFonts w:ascii="Times New Roman" w:hAnsi="Times New Roman"/>
                <w:color w:val="000000"/>
                <w:spacing w:val="-2"/>
              </w:rPr>
              <w:t>, w szczególności morskiej energetyki wiatrowej</w:t>
            </w:r>
            <w:r w:rsidR="00B64564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140F4C">
              <w:rPr>
                <w:rFonts w:ascii="Times New Roman" w:hAnsi="Times New Roman"/>
                <w:color w:val="000000"/>
                <w:spacing w:val="-2"/>
              </w:rPr>
              <w:t xml:space="preserve"> należy do właściwości poszczególnych państw członkowskich UE. Biorąc pod uwagę specyfikę zaprojektowanego w Polsce mechanizmu wsparcia oraz jego indywidualne cechy, proste porównanie z rozwiązaniami wprowadzonymi w innych krajach nie zawsze jest możliwe.</w:t>
            </w:r>
            <w:r w:rsidRPr="00351D28">
              <w:t xml:space="preserve"> </w:t>
            </w:r>
            <w:r w:rsidRPr="00351D28">
              <w:rPr>
                <w:rFonts w:ascii="Times New Roman" w:hAnsi="Times New Roman"/>
                <w:color w:val="000000"/>
                <w:spacing w:val="-2"/>
              </w:rPr>
              <w:t>Pierwsze projekty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we wschodzących rynkach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offshore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51D28">
              <w:rPr>
                <w:rFonts w:ascii="Times New Roman" w:hAnsi="Times New Roman"/>
                <w:color w:val="000000"/>
                <w:spacing w:val="-2"/>
              </w:rPr>
              <w:t>ze względu na skomplikowany łańcuch dostaw</w:t>
            </w:r>
            <w:r>
              <w:rPr>
                <w:rFonts w:ascii="Times New Roman" w:hAnsi="Times New Roman"/>
                <w:color w:val="000000"/>
                <w:spacing w:val="-2"/>
              </w:rPr>
              <w:t>, ryzyko rynkowe oraz kwestie logistyczne generują</w:t>
            </w:r>
            <w:r w:rsidR="004B0E95">
              <w:rPr>
                <w:rFonts w:ascii="Times New Roman" w:hAnsi="Times New Roman"/>
                <w:color w:val="000000"/>
                <w:spacing w:val="-2"/>
              </w:rPr>
              <w:t xml:space="preserve"> istotnie wyższe koszty w porównaniu z rynkami rozwiniętymi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przez co </w:t>
            </w:r>
            <w:r w:rsidR="004B0E95">
              <w:rPr>
                <w:rFonts w:ascii="Times New Roman" w:hAnsi="Times New Roman"/>
                <w:color w:val="000000"/>
                <w:spacing w:val="-2"/>
              </w:rPr>
              <w:t xml:space="preserve">dla uzasadnienia opłacalności </w:t>
            </w:r>
            <w:r w:rsidRPr="00351D28">
              <w:rPr>
                <w:rFonts w:ascii="Times New Roman" w:hAnsi="Times New Roman"/>
                <w:color w:val="000000"/>
                <w:spacing w:val="-2"/>
              </w:rPr>
              <w:t>wymagają systemu wsparcia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(np. kontraktu różnicowego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Contract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Difference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CfD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351D2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6275D45" w14:textId="77777777" w:rsidR="000D4A2E" w:rsidRPr="00140F4C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F31FDCD" w14:textId="67614079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40F4C">
              <w:rPr>
                <w:rFonts w:ascii="Times New Roman" w:hAnsi="Times New Roman"/>
                <w:color w:val="000000"/>
                <w:spacing w:val="-2"/>
              </w:rPr>
              <w:t>Niemniej jednak należy zauważyć, iż konstrukcja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kontraktów różnicowych</w:t>
            </w:r>
            <w:r w:rsidRPr="00140F4C">
              <w:rPr>
                <w:rFonts w:ascii="Times New Roman" w:hAnsi="Times New Roman"/>
                <w:color w:val="000000"/>
                <w:spacing w:val="-2"/>
              </w:rPr>
              <w:t xml:space="preserve"> w innych państwach w wielu wypadkach przewiduje określenie maksymalnej ceny aukcyjnej (dodatkowo, w niektórych przypadkach wskazuje się również cenę minimalną).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Cena ta ustalana jest na podstawie średniego kosztu wytwarzania energii elektrycznej (LCOE) danej technologii.</w:t>
            </w:r>
            <w:r w:rsidR="00831172">
              <w:rPr>
                <w:rFonts w:ascii="Times New Roman" w:hAnsi="Times New Roman"/>
                <w:color w:val="000000"/>
                <w:spacing w:val="-2"/>
              </w:rPr>
              <w:t xml:space="preserve"> Ostatecznie system wsparcia w Niemczech, Holandii czy Wielkiej Brytanii oparty jest na systemie aukcyjnym, w którym każdy inwestor składa ofertę a wygrywa inwestor o najniższym koszcie wytwarzania energii dla danego wolumenu mocy.</w:t>
            </w:r>
          </w:p>
          <w:p w14:paraId="231CA7C1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02F0CBD" w14:textId="43C272F0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4DE">
              <w:rPr>
                <w:rFonts w:ascii="Times New Roman" w:hAnsi="Times New Roman"/>
                <w:color w:val="000000"/>
                <w:spacing w:val="-2"/>
              </w:rPr>
              <w:t xml:space="preserve">W ciągu najbliższej dekady energia z </w:t>
            </w:r>
            <w:r>
              <w:rPr>
                <w:rFonts w:ascii="Times New Roman" w:hAnsi="Times New Roman"/>
                <w:color w:val="000000"/>
                <w:spacing w:val="-2"/>
              </w:rPr>
              <w:t>morskich farm wiatrowych</w:t>
            </w:r>
            <w:r w:rsidRPr="00DF34DE">
              <w:rPr>
                <w:rFonts w:ascii="Times New Roman" w:hAnsi="Times New Roman"/>
                <w:color w:val="000000"/>
                <w:spacing w:val="-2"/>
              </w:rPr>
              <w:t xml:space="preserve"> będzie konkurencyjna cenowo z energią pochodzącą z paliw kopalnych na całym świecie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32246D">
              <w:rPr>
                <w:rFonts w:ascii="Times New Roman" w:hAnsi="Times New Roman"/>
              </w:rPr>
              <w:t>). Według IEA, koszty MW w ciągu 20 lat spadnie nawet o ponad 55 proc., w tym do 2030 r. o 40 proc. (w 2018 r. po uwzględnieniu wydatków na podłączenie farmy do sieci energetycznej na lądzie – średnio było to ponad 4,3 tys. dolarów za kW).</w:t>
            </w:r>
          </w:p>
          <w:p w14:paraId="15C03D34" w14:textId="77777777" w:rsidR="00A669F7" w:rsidRDefault="00A669F7" w:rsidP="003F7C4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D971F0F" w14:textId="77777777" w:rsidR="00FD73E6" w:rsidRDefault="00FD73E6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6F83CF5" w14:textId="0B357A0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Wykres 1. LCOE dla morskich farm wiatrowych 2018 (EUR/MWh)</w:t>
            </w:r>
          </w:p>
          <w:p w14:paraId="0C475F78" w14:textId="77777777" w:rsidR="000D4A2E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791D463" wp14:editId="508D8F17">
                  <wp:simplePos x="0" y="0"/>
                  <wp:positionH relativeFrom="column">
                    <wp:posOffset>3869690</wp:posOffset>
                  </wp:positionH>
                  <wp:positionV relativeFrom="paragraph">
                    <wp:posOffset>45720</wp:posOffset>
                  </wp:positionV>
                  <wp:extent cx="1261213" cy="471999"/>
                  <wp:effectExtent l="0" t="0" r="0" b="4445"/>
                  <wp:wrapNone/>
                  <wp:docPr id="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213" cy="4719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1B736E0" wp14:editId="4CC12131">
                  <wp:extent cx="5220000" cy="2901600"/>
                  <wp:effectExtent l="0" t="0" r="0" b="13335"/>
                  <wp:docPr id="1" name="Wykres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2926379E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A3064A4" w14:textId="039A45F6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8362A">
              <w:rPr>
                <w:rFonts w:ascii="Times New Roman" w:hAnsi="Times New Roman"/>
                <w:color w:val="000000"/>
                <w:spacing w:val="-2"/>
              </w:rPr>
              <w:t xml:space="preserve">W latach 2014-2018 średnie dla danego roku LCOE z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morskich farm wiatrowych </w:t>
            </w:r>
            <w:r w:rsidRPr="00E8362A">
              <w:rPr>
                <w:rFonts w:ascii="Times New Roman" w:hAnsi="Times New Roman"/>
                <w:color w:val="000000"/>
                <w:spacing w:val="-2"/>
              </w:rPr>
              <w:t xml:space="preserve">na świecie spadło o ponad 31% ze 156,7 do 106,7 EUR/MWh. Według twórców raportu </w:t>
            </w:r>
            <w:r w:rsidRPr="00E8362A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w 2030 roku cena energii z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morskich farm wiatrowych</w:t>
            </w:r>
            <w:r w:rsidRPr="00E8362A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znajdzie się w</w:t>
            </w:r>
            <w:r w:rsidR="00D40D0D">
              <w:rPr>
                <w:rFonts w:ascii="Times New Roman" w:hAnsi="Times New Roman"/>
                <w:b/>
                <w:bCs/>
                <w:color w:val="000000"/>
                <w:spacing w:val="-2"/>
              </w:rPr>
              <w:t> </w:t>
            </w:r>
            <w:r w:rsidRPr="00E8362A">
              <w:rPr>
                <w:rFonts w:ascii="Times New Roman" w:hAnsi="Times New Roman"/>
                <w:b/>
                <w:bCs/>
                <w:color w:val="000000"/>
                <w:spacing w:val="-2"/>
              </w:rPr>
              <w:t>przedziale od 42 do 76 EUR/MWh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(dane IRENA).</w:t>
            </w:r>
          </w:p>
          <w:p w14:paraId="6D91C2EA" w14:textId="507AA55D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8362A">
              <w:rPr>
                <w:rFonts w:ascii="Times New Roman" w:hAnsi="Times New Roman"/>
                <w:color w:val="000000"/>
                <w:spacing w:val="-2"/>
              </w:rPr>
              <w:t>LCOE dla morskiej energetyki wiatrowej osiąga już poziom konkurencyjny, w stosunku do elektrowni konwencjonalnych, w</w:t>
            </w:r>
            <w:r w:rsidR="00CF3FA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E8362A">
              <w:rPr>
                <w:rFonts w:ascii="Times New Roman" w:hAnsi="Times New Roman"/>
                <w:color w:val="000000"/>
                <w:spacing w:val="-2"/>
              </w:rPr>
              <w:t>krajach europejskich takich jak Niemcy i Holandia, gdzie niektórzy inwestorzy nie ubiegają się o dotacj</w:t>
            </w:r>
            <w:r>
              <w:rPr>
                <w:rFonts w:ascii="Times New Roman" w:hAnsi="Times New Roman"/>
                <w:color w:val="000000"/>
                <w:spacing w:val="-2"/>
              </w:rPr>
              <w:t>e.</w:t>
            </w:r>
          </w:p>
          <w:p w14:paraId="0BEF74F6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C66AED8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357D">
              <w:rPr>
                <w:rFonts w:ascii="Times New Roman" w:hAnsi="Times New Roman"/>
                <w:color w:val="000000"/>
                <w:spacing w:val="-2"/>
              </w:rPr>
              <w:t>Poziom LCOE dla morskich farm wiatrowych jest w dużym stopniu uzależniony od przyjętego WACC i polityki w zakresie ponoszenia kosztów przyłącza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A4E9E7E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522EB5E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Wykres 2: Wpływ kosztów przyłącza na LCOE morskich farm wiatrowych wg IEA</w:t>
            </w:r>
          </w:p>
          <w:p w14:paraId="27AC3357" w14:textId="77777777" w:rsidR="000D4A2E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F34DE">
              <w:rPr>
                <w:rFonts w:ascii="Times New Roman" w:hAnsi="Times New Roman"/>
                <w:noProof/>
                <w:color w:val="000000"/>
                <w:spacing w:val="-2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8232B45" wp14:editId="683FC111">
                  <wp:simplePos x="0" y="0"/>
                  <wp:positionH relativeFrom="column">
                    <wp:posOffset>4718685</wp:posOffset>
                  </wp:positionH>
                  <wp:positionV relativeFrom="paragraph">
                    <wp:posOffset>73660</wp:posOffset>
                  </wp:positionV>
                  <wp:extent cx="372390" cy="160125"/>
                  <wp:effectExtent l="0" t="0" r="8890" b="0"/>
                  <wp:wrapNone/>
                  <wp:docPr id="28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az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407" b="28594"/>
                          <a:stretch/>
                        </pic:blipFill>
                        <pic:spPr>
                          <a:xfrm>
                            <a:off x="0" y="0"/>
                            <a:ext cx="380464" cy="163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34DE">
              <w:rPr>
                <w:rFonts w:ascii="Times New Roman" w:hAnsi="Times New Roman"/>
                <w:noProof/>
                <w:color w:val="000000"/>
                <w:spacing w:val="-2"/>
                <w:lang w:eastAsia="pl-PL"/>
              </w:rPr>
              <w:drawing>
                <wp:inline distT="0" distB="0" distL="0" distR="0" wp14:anchorId="70DEA28F" wp14:editId="280F2BAE">
                  <wp:extent cx="5219700" cy="2902186"/>
                  <wp:effectExtent l="0" t="0" r="0" b="12700"/>
                  <wp:docPr id="2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143A614E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EB3B8DE" w14:textId="10CF82DE" w:rsidR="000D4A2E" w:rsidRPr="0084357D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357D">
              <w:rPr>
                <w:rFonts w:ascii="Times New Roman" w:hAnsi="Times New Roman"/>
                <w:color w:val="000000"/>
                <w:spacing w:val="-2"/>
              </w:rPr>
              <w:t>Autorzy raportu przedstawili analizę wrażliwości LCOE w zależności od tego, czy inwestor ponosi koszty przyłączenia MFW do sieci elektroenergetycznej. Koszty przyłącza nie leżą po stronie inwestora np. w Niemczech i Holandii</w:t>
            </w:r>
            <w:r w:rsidR="00CF3FA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FC7D3B8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0122716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84357D">
              <w:rPr>
                <w:rFonts w:ascii="Times New Roman" w:hAnsi="Times New Roman"/>
                <w:color w:val="000000"/>
                <w:spacing w:val="-2"/>
              </w:rPr>
              <w:t xml:space="preserve">Koszt kapitału jest jednym z ważniejszych czynników wpływających na wysokość LCOE. Jego obniżenie o 4 </w:t>
            </w:r>
            <w:proofErr w:type="spellStart"/>
            <w:r w:rsidRPr="0084357D">
              <w:rPr>
                <w:rFonts w:ascii="Times New Roman" w:hAnsi="Times New Roman"/>
                <w:color w:val="000000"/>
                <w:spacing w:val="-2"/>
              </w:rPr>
              <w:t>p.p</w:t>
            </w:r>
            <w:proofErr w:type="spellEnd"/>
            <w:r w:rsidRPr="0084357D">
              <w:rPr>
                <w:rFonts w:ascii="Times New Roman" w:hAnsi="Times New Roman"/>
                <w:color w:val="000000"/>
                <w:spacing w:val="-2"/>
              </w:rPr>
              <w:t xml:space="preserve">. powoduje </w:t>
            </w:r>
            <w:r w:rsidRPr="0084357D">
              <w:rPr>
                <w:rFonts w:ascii="Times New Roman" w:hAnsi="Times New Roman"/>
                <w:b/>
                <w:bCs/>
                <w:color w:val="000000"/>
                <w:spacing w:val="-2"/>
              </w:rPr>
              <w:t>spadek kosztu wytwarzania energii o ok. 30%</w:t>
            </w:r>
          </w:p>
          <w:p w14:paraId="337270E7" w14:textId="77777777" w:rsidR="000D4A2E" w:rsidRPr="0084357D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86215B3" w14:textId="22CAE0F3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4A22">
              <w:rPr>
                <w:rFonts w:ascii="Times New Roman" w:hAnsi="Times New Roman"/>
                <w:color w:val="000000"/>
                <w:spacing w:val="-2"/>
              </w:rPr>
              <w:t>Analizy przygotowane przez NREL oraz brytyjski BEIS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(„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2018 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Cost</w:t>
            </w:r>
            <w:proofErr w:type="spellEnd"/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of Wind Energy 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Review</w:t>
            </w:r>
            <w:proofErr w:type="spellEnd"/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”, 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National</w:t>
            </w:r>
            <w:proofErr w:type="spellEnd"/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Renewable</w:t>
            </w:r>
            <w:proofErr w:type="spellEnd"/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Energy 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Laboratory</w:t>
            </w:r>
            <w:proofErr w:type="spellEnd"/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(NREL), grudzień 2019; „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Electricity</w:t>
            </w:r>
            <w:proofErr w:type="spellEnd"/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generation</w:t>
            </w:r>
            <w:proofErr w:type="spellEnd"/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cost</w:t>
            </w:r>
            <w:proofErr w:type="spellEnd"/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2020”, 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Department</w:t>
            </w:r>
            <w:proofErr w:type="spellEnd"/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for Business, Energy and 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Industrial</w:t>
            </w:r>
            <w:proofErr w:type="spellEnd"/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Strategy</w:t>
            </w:r>
            <w:proofErr w:type="spellEnd"/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(BEIS), sierpień 2020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wskazują, że w wyniku szybkiego rozwoju technologii, LCOE z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morskich farm wiatrowych 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>w najbliższej dekadzie będzie dynamicznie spadać</w:t>
            </w:r>
            <w:r w:rsidR="00CF3FA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5E74E50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W raporcie przygotowanym na zlecenie U.S. 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Department</w:t>
            </w:r>
            <w:proofErr w:type="spellEnd"/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of Energy przedstawiono spadek LCOE o 43% w latach 2018-2030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5B44E8B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1361186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24B1228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Wykres 3. LCOE dla morskich farm wiatrowych wg NREL</w:t>
            </w:r>
          </w:p>
          <w:p w14:paraId="15043F28" w14:textId="77777777" w:rsidR="000D4A2E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noProof/>
                <w:color w:val="000000"/>
                <w:spacing w:val="-2"/>
                <w:lang w:eastAsia="pl-PL"/>
              </w:rPr>
              <w:drawing>
                <wp:inline distT="0" distB="0" distL="0" distR="0" wp14:anchorId="690B830E" wp14:editId="79AFAFE9">
                  <wp:extent cx="5218430" cy="3042285"/>
                  <wp:effectExtent l="0" t="0" r="127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430" cy="304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F7A4F8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D809ADA" w14:textId="77777777" w:rsidR="000D4A2E" w:rsidRPr="00A54A22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Na redukcję 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CAPEXu</w:t>
            </w:r>
            <w:proofErr w:type="spellEnd"/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wpływa przede wszystkim korzyść skali, wyższa produkcja energii elektrycznej (AEP) wynika ze zwiększenia dostępności i zmniejszenia strat, a wydatki na OPEX obniża poprawa strategii w zakresie O&amp;M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9C19874" w14:textId="0C26C711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4A22">
              <w:rPr>
                <w:rFonts w:ascii="Times New Roman" w:hAnsi="Times New Roman"/>
                <w:color w:val="000000"/>
                <w:spacing w:val="-2"/>
              </w:rPr>
              <w:t>Przyjęta jako projekt referencyjny morska elektrownia wiatrowa składa się ze 109 turbin o mocy 5,5 MW (razem 600 MW) i</w:t>
            </w:r>
            <w:r w:rsidR="00F10AA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>będzie działać przez 25 lat. Turbiny znajdują się 50 km od brzegu na wodach o głębokości 34 metrów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663E6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B0E95">
              <w:rPr>
                <w:rFonts w:ascii="Times New Roman" w:hAnsi="Times New Roman"/>
                <w:color w:val="000000"/>
                <w:spacing w:val="-2"/>
              </w:rPr>
              <w:t xml:space="preserve">Koszty </w:t>
            </w:r>
            <w:r w:rsidR="004B0E95" w:rsidRPr="004B0E95">
              <w:rPr>
                <w:rFonts w:ascii="Times New Roman" w:hAnsi="Times New Roman"/>
                <w:color w:val="000000"/>
                <w:spacing w:val="-2"/>
              </w:rPr>
              <w:t xml:space="preserve">są modelowane w narzędziu NREL </w:t>
            </w:r>
            <w:proofErr w:type="spellStart"/>
            <w:r w:rsidR="004B0E95" w:rsidRPr="004B0E95">
              <w:rPr>
                <w:rFonts w:ascii="Times New Roman" w:hAnsi="Times New Roman"/>
                <w:color w:val="000000"/>
                <w:spacing w:val="-2"/>
              </w:rPr>
              <w:t>Offshore</w:t>
            </w:r>
            <w:proofErr w:type="spellEnd"/>
            <w:r w:rsidR="004B0E95" w:rsidRPr="004B0E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="004B0E95" w:rsidRPr="004B0E95">
              <w:rPr>
                <w:rFonts w:ascii="Times New Roman" w:hAnsi="Times New Roman"/>
                <w:color w:val="000000"/>
                <w:spacing w:val="-2"/>
              </w:rPr>
              <w:t>Regional</w:t>
            </w:r>
            <w:proofErr w:type="spellEnd"/>
            <w:r w:rsidR="004B0E95" w:rsidRPr="004B0E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="004B0E95" w:rsidRPr="004B0E95">
              <w:rPr>
                <w:rFonts w:ascii="Times New Roman" w:hAnsi="Times New Roman"/>
                <w:color w:val="000000"/>
                <w:spacing w:val="-2"/>
              </w:rPr>
              <w:t>Cost</w:t>
            </w:r>
            <w:proofErr w:type="spellEnd"/>
            <w:r w:rsidR="004B0E95" w:rsidRPr="004B0E95">
              <w:rPr>
                <w:rFonts w:ascii="Times New Roman" w:hAnsi="Times New Roman"/>
                <w:color w:val="000000"/>
                <w:spacing w:val="-2"/>
              </w:rPr>
              <w:t xml:space="preserve"> Analyzer (ORCA) dla tysięcy potencjalnych przybrzeżnych lokalizacji wiatrowych na głównych obszarach przybrzeżnych USA. Charakterystyka pracy oraz koszty projektu referencyjnego (klasa turbin o największej liczbie zgromadzonych doświadczeń eksploatacyjnych) wykorzystywane w ORCA są bazą do prognozowania wzrostu efektywności oraz spadku kosztów przyszłych projektów z uwzględnieniem spodziewanego rozwoju technologii w zakresie urządzeń oraz systemów zarządzania eksploatacją MFW, jak również rozwoju łańcuchów dostaw. Opracowane na podstawie tego modelu prognozy uwzględniają wzrost mocy jednostkowej turbin do 12 MW w okolicach roku 2027 i 15 MW w okolicach roku 2030.  </w:t>
            </w:r>
          </w:p>
          <w:p w14:paraId="03026C44" w14:textId="77777777" w:rsidR="000D4A2E" w:rsidRPr="00A54A22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4A22">
              <w:rPr>
                <w:rFonts w:ascii="Times New Roman" w:hAnsi="Times New Roman"/>
                <w:color w:val="000000"/>
                <w:spacing w:val="-2"/>
              </w:rPr>
              <w:t>Brytyjski BEIS po czterech latach zredukował swoją prognozę LCOE przedstawioną w 2016 r. na lata 2025 i 2030 o 50%</w:t>
            </w:r>
          </w:p>
          <w:p w14:paraId="0F00232E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3525137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Wykres 4. LCOE dla morskich farm wiatrowych wg BEIS</w:t>
            </w:r>
          </w:p>
          <w:p w14:paraId="5802699F" w14:textId="77777777" w:rsidR="000D4A2E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noProof/>
                <w:color w:val="000000"/>
                <w:spacing w:val="-2"/>
                <w:lang w:eastAsia="pl-PL"/>
              </w:rPr>
              <w:drawing>
                <wp:inline distT="0" distB="0" distL="0" distR="0" wp14:anchorId="63FC7933" wp14:editId="67C28798">
                  <wp:extent cx="4411980" cy="2572133"/>
                  <wp:effectExtent l="0" t="0" r="762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553" cy="25829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9ACCE7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0B3B973" w14:textId="2D8C5A29" w:rsidR="000D4A2E" w:rsidRPr="00A54A22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4A22">
              <w:rPr>
                <w:rFonts w:ascii="Times New Roman" w:hAnsi="Times New Roman"/>
                <w:color w:val="000000"/>
                <w:spacing w:val="-2"/>
              </w:rPr>
              <w:t>W przypadku morskiej energetyki wiatrowej obniżenie LCOE wynika w dużym stopniu z szybkiego i znaczącego rozwoju technologii m.in. w zakresie wzrostu mocy pojedynczej turbiny</w:t>
            </w:r>
            <w:r w:rsidR="00F10AA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9DE2A40" w14:textId="476B505F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Na spadek kosztów wytwarzania energii wpłynęło także obniżenie wymaganej stopy zwrotu dla technologii 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offshore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wind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>, którą w raporcie z 2020 r. przyjęto na poziomie 6,3%, natomiast w 2016 r. 8,9% (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pre-tax</w:t>
            </w:r>
            <w:proofErr w:type="spellEnd"/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real)</w:t>
            </w:r>
            <w:r w:rsidR="00F10AA8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4B0798F0" w14:textId="5DBE0706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Wyniki ostatnich aukcji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morskich farm wiatrowych 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>przeprowadzonych w czterech europejskich krajach wskazują na duże zróżnicowanie w zakresie cen wykonania zwycięskich projektów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E204B04" w14:textId="17EAD07E" w:rsidR="001833BB" w:rsidRDefault="001833BB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64D24CD" w14:textId="77777777" w:rsidR="001833BB" w:rsidRDefault="001833BB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AA69DAA" w14:textId="44FB7001" w:rsidR="00231A46" w:rsidRDefault="00231A46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4BF5694" w14:textId="0E719F1F" w:rsidR="000D4A2E" w:rsidRDefault="000D4A2E" w:rsidP="003F7C4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Niemcy: </w:t>
            </w:r>
          </w:p>
          <w:p w14:paraId="600D5D16" w14:textId="77777777" w:rsidR="00FD73E6" w:rsidRDefault="00FD73E6" w:rsidP="00FD73E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Na przeprowadzonych w Niemczech w 2017 r. i 2018 r. aukcjach 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offshore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wind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pojawiły się oferty na realizację projektów bez ceny gwarantowanej.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>Inwestorzy, którzy zdecydowali się na złożenie takich ofert liczą, że ich inwestycje będą opłacalne w oparciu o przyszłe ceny rynkowe dzięki wykorzystaniu efektu synergii z pobliskimi farmami wiatrowymi oraz postępowi technologicznemu, który pozwoli obniżyć koszty.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 Niemczech koszty przyłącza ponosi operator systemu przesyłowego. </w:t>
            </w:r>
          </w:p>
          <w:p w14:paraId="37F228A0" w14:textId="77777777" w:rsidR="00FD73E6" w:rsidRPr="005818E4" w:rsidRDefault="00FD73E6" w:rsidP="003F7C4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</w:p>
          <w:p w14:paraId="4B69556A" w14:textId="58C0424C" w:rsidR="000D4A2E" w:rsidRPr="005818E4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color w:val="000000"/>
                <w:spacing w:val="-2"/>
              </w:rPr>
              <w:t>Inwestorzy w Niemczech nie ponoszą kosztu przyłączenia farmy wiatrowej do sieci elektroenergetycznej</w:t>
            </w:r>
            <w:r w:rsidR="00F10AA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2FEA1B2" w14:textId="77777777" w:rsidR="000D4A2E" w:rsidRPr="005818E4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Podsumowanie pierwszej aukcji </w:t>
            </w:r>
            <w:proofErr w:type="spellStart"/>
            <w:r w:rsidRPr="005818E4">
              <w:rPr>
                <w:rFonts w:ascii="Times New Roman" w:hAnsi="Times New Roman"/>
                <w:color w:val="000000"/>
                <w:spacing w:val="-2"/>
              </w:rPr>
              <w:t>offshore</w:t>
            </w:r>
            <w:proofErr w:type="spellEnd"/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wind </w:t>
            </w:r>
            <w:r w:rsidRPr="005818E4">
              <w:rPr>
                <w:rFonts w:ascii="Times New Roman" w:hAnsi="Times New Roman"/>
                <w:color w:val="000000"/>
                <w:spacing w:val="-2"/>
              </w:rPr>
              <w:t>z 2017 roku:</w:t>
            </w:r>
          </w:p>
          <w:p w14:paraId="1D8DE981" w14:textId="77777777" w:rsidR="000D4A2E" w:rsidRPr="005818E4" w:rsidRDefault="000D4A2E" w:rsidP="00E32CA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Spośród czterech zwycięskich projektów o łącznej mocy 1,49 GW </w:t>
            </w:r>
            <w:r w:rsidRPr="00FD73E6">
              <w:rPr>
                <w:rFonts w:ascii="Times New Roman" w:hAnsi="Times New Roman"/>
                <w:bCs/>
                <w:color w:val="000000"/>
                <w:spacing w:val="-2"/>
              </w:rPr>
              <w:t>trzy będą realizowane bez subsydiów</w:t>
            </w:r>
          </w:p>
          <w:p w14:paraId="6843CA69" w14:textId="77777777" w:rsidR="000D4A2E" w:rsidRPr="005818E4" w:rsidRDefault="000D4A2E" w:rsidP="00E32CA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color w:val="000000"/>
                <w:spacing w:val="-2"/>
              </w:rPr>
              <w:t>Wykonawca czwartego projektu o mocy 110 MW zaproponował cenę wykonania w wysokości 60 EUR/MWh (inwestor przez 20 lat otrzyma wsparcie w wysokości różnicy pomiędzy ceną rynkową, a swoją ceną wykonania)</w:t>
            </w:r>
          </w:p>
          <w:p w14:paraId="0BB9021A" w14:textId="77777777" w:rsidR="000D4A2E" w:rsidRPr="005818E4" w:rsidRDefault="000D4A2E" w:rsidP="00E32CA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color w:val="000000"/>
                <w:spacing w:val="-2"/>
              </w:rPr>
              <w:t>Dopuszczalna cena maksymalna wynosiła 120 EUR/MWh</w:t>
            </w:r>
          </w:p>
          <w:p w14:paraId="53925EC2" w14:textId="77777777" w:rsidR="000D4A2E" w:rsidRPr="005818E4" w:rsidRDefault="000D4A2E" w:rsidP="00E32CA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color w:val="000000"/>
                <w:spacing w:val="-2"/>
              </w:rPr>
              <w:t>Projekty zostaną zrealizowane w latach 2023-2025</w:t>
            </w:r>
          </w:p>
          <w:p w14:paraId="314A24F9" w14:textId="77777777" w:rsidR="000D4A2E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04793EE6" w14:textId="77777777" w:rsidR="000D4A2E" w:rsidRPr="005818E4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Podsumowanie drugiej aukcji </w:t>
            </w:r>
            <w:proofErr w:type="spellStart"/>
            <w:r w:rsidRPr="005818E4">
              <w:rPr>
                <w:rFonts w:ascii="Times New Roman" w:hAnsi="Times New Roman"/>
                <w:color w:val="000000"/>
                <w:spacing w:val="-2"/>
              </w:rPr>
              <w:t>offshore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wind</w:t>
            </w:r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 z 2018 roku:</w:t>
            </w:r>
          </w:p>
          <w:p w14:paraId="3A6EBA3F" w14:textId="77777777" w:rsidR="000D4A2E" w:rsidRPr="00F10AA8" w:rsidRDefault="000D4A2E" w:rsidP="00E32CA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10AA8">
              <w:rPr>
                <w:rFonts w:ascii="Times New Roman" w:hAnsi="Times New Roman"/>
                <w:color w:val="000000"/>
                <w:spacing w:val="-2"/>
              </w:rPr>
              <w:t>Spośród sześciu zwycięskich projektów o łącznej mocy 1,61 GW dwa będą realizowane bez subsydiów</w:t>
            </w:r>
          </w:p>
          <w:p w14:paraId="44EBE1AC" w14:textId="77777777" w:rsidR="000D4A2E" w:rsidRPr="00F10AA8" w:rsidRDefault="000D4A2E" w:rsidP="00E32CA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10AA8">
              <w:rPr>
                <w:rFonts w:ascii="Times New Roman" w:hAnsi="Times New Roman"/>
                <w:color w:val="000000"/>
                <w:spacing w:val="-2"/>
              </w:rPr>
              <w:t>Z najwyższą cenę wykonania w wysokości 98,3 EUR/MWh zrealizowany zostanie projekt o mocy 131,75 MW</w:t>
            </w:r>
          </w:p>
          <w:p w14:paraId="283D54B5" w14:textId="77777777" w:rsidR="000D4A2E" w:rsidRPr="00F10AA8" w:rsidRDefault="000D4A2E" w:rsidP="00E32CA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10AA8">
              <w:rPr>
                <w:rFonts w:ascii="Times New Roman" w:hAnsi="Times New Roman"/>
                <w:color w:val="000000"/>
                <w:spacing w:val="-2"/>
              </w:rPr>
              <w:t>Dopuszczalna cena maksymalna wynosiła 100 EUR/MWh</w:t>
            </w:r>
          </w:p>
          <w:p w14:paraId="53E779B2" w14:textId="77777777" w:rsidR="000D4A2E" w:rsidRPr="00F10AA8" w:rsidRDefault="000D4A2E" w:rsidP="00E32CA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10AA8">
              <w:rPr>
                <w:rFonts w:ascii="Times New Roman" w:hAnsi="Times New Roman"/>
                <w:color w:val="000000"/>
                <w:spacing w:val="-2"/>
              </w:rPr>
              <w:t>Projekty zostaną zrealizowane w latach 2021-2025</w:t>
            </w:r>
          </w:p>
          <w:p w14:paraId="7234889D" w14:textId="744050DC" w:rsidR="000D4A2E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6469DEE7" w14:textId="77777777" w:rsidR="000D4A2E" w:rsidRPr="005818E4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b/>
                <w:bCs/>
                <w:color w:val="000000"/>
                <w:spacing w:val="-2"/>
              </w:rPr>
              <w:t>Holandia</w:t>
            </w:r>
          </w:p>
          <w:p w14:paraId="4C992519" w14:textId="77777777" w:rsidR="000D4A2E" w:rsidRDefault="000D4A2E" w:rsidP="003F7C4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color w:val="000000"/>
                <w:spacing w:val="-2"/>
              </w:rPr>
              <w:t>Inwestorzy w Holandii nie ponoszą kosztu przyłączenia farmy wiatrowej do sieci elektroenergetycznej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A31207A" w14:textId="46AF8854" w:rsidR="000D4A2E" w:rsidRPr="005818E4" w:rsidRDefault="000D4A2E" w:rsidP="00E32CA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Trzy ostatnie aukcje na wybór wykonawców projektów </w:t>
            </w:r>
            <w:proofErr w:type="spellStart"/>
            <w:r w:rsidRPr="00602D2D">
              <w:rPr>
                <w:rFonts w:ascii="Times New Roman" w:hAnsi="Times New Roman"/>
                <w:color w:val="000000"/>
                <w:spacing w:val="-2"/>
              </w:rPr>
              <w:t>Hollandse</w:t>
            </w:r>
            <w:proofErr w:type="spellEnd"/>
            <w:r w:rsidRPr="00602D2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602D2D">
              <w:rPr>
                <w:rFonts w:ascii="Times New Roman" w:hAnsi="Times New Roman"/>
                <w:color w:val="000000"/>
                <w:spacing w:val="-2"/>
              </w:rPr>
              <w:t>Kust</w:t>
            </w:r>
            <w:proofErr w:type="spellEnd"/>
            <w:r w:rsidRPr="00602D2D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proofErr w:type="spellStart"/>
            <w:r w:rsidRPr="00602D2D">
              <w:rPr>
                <w:rFonts w:ascii="Times New Roman" w:hAnsi="Times New Roman"/>
                <w:color w:val="000000"/>
                <w:spacing w:val="-2"/>
              </w:rPr>
              <w:t>zuid</w:t>
            </w:r>
            <w:proofErr w:type="spellEnd"/>
            <w:r w:rsidRPr="00602D2D">
              <w:rPr>
                <w:rFonts w:ascii="Times New Roman" w:hAnsi="Times New Roman"/>
                <w:color w:val="000000"/>
                <w:spacing w:val="-2"/>
              </w:rPr>
              <w:t xml:space="preserve">) Wind Farm Zone, </w:t>
            </w:r>
            <w:proofErr w:type="spellStart"/>
            <w:r w:rsidRPr="00602D2D">
              <w:rPr>
                <w:rFonts w:ascii="Times New Roman" w:hAnsi="Times New Roman"/>
                <w:color w:val="000000"/>
                <w:spacing w:val="-2"/>
              </w:rPr>
              <w:t>Sites</w:t>
            </w:r>
            <w:proofErr w:type="spellEnd"/>
            <w:r w:rsidRPr="00602D2D">
              <w:rPr>
                <w:rFonts w:ascii="Times New Roman" w:hAnsi="Times New Roman"/>
                <w:color w:val="000000"/>
                <w:spacing w:val="-2"/>
              </w:rPr>
              <w:t xml:space="preserve"> I and II</w:t>
            </w:r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proofErr w:type="spellStart"/>
            <w:r w:rsidRPr="00602D2D">
              <w:rPr>
                <w:rFonts w:ascii="Times New Roman" w:hAnsi="Times New Roman"/>
                <w:color w:val="000000"/>
                <w:spacing w:val="-2"/>
              </w:rPr>
              <w:t>Hollandse</w:t>
            </w:r>
            <w:proofErr w:type="spellEnd"/>
            <w:r w:rsidRPr="00602D2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602D2D">
              <w:rPr>
                <w:rFonts w:ascii="Times New Roman" w:hAnsi="Times New Roman"/>
                <w:color w:val="000000"/>
                <w:spacing w:val="-2"/>
              </w:rPr>
              <w:t>Kust</w:t>
            </w:r>
            <w:proofErr w:type="spellEnd"/>
            <w:r w:rsidRPr="00602D2D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proofErr w:type="spellStart"/>
            <w:r w:rsidRPr="00602D2D">
              <w:rPr>
                <w:rFonts w:ascii="Times New Roman" w:hAnsi="Times New Roman"/>
                <w:color w:val="000000"/>
                <w:spacing w:val="-2"/>
              </w:rPr>
              <w:t>zuid</w:t>
            </w:r>
            <w:proofErr w:type="spellEnd"/>
            <w:r w:rsidRPr="00602D2D">
              <w:rPr>
                <w:rFonts w:ascii="Times New Roman" w:hAnsi="Times New Roman"/>
                <w:color w:val="000000"/>
                <w:spacing w:val="-2"/>
              </w:rPr>
              <w:t xml:space="preserve">) Wind Farm Zone, </w:t>
            </w:r>
            <w:proofErr w:type="spellStart"/>
            <w:r w:rsidRPr="00602D2D">
              <w:rPr>
                <w:rFonts w:ascii="Times New Roman" w:hAnsi="Times New Roman"/>
                <w:color w:val="000000"/>
                <w:spacing w:val="-2"/>
              </w:rPr>
              <w:t>Sites</w:t>
            </w:r>
            <w:proofErr w:type="spellEnd"/>
            <w:r w:rsidRPr="00602D2D">
              <w:rPr>
                <w:rFonts w:ascii="Times New Roman" w:hAnsi="Times New Roman"/>
                <w:color w:val="000000"/>
                <w:spacing w:val="-2"/>
              </w:rPr>
              <w:t xml:space="preserve"> III and IV </w:t>
            </w:r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oraz </w:t>
            </w:r>
            <w:proofErr w:type="spellStart"/>
            <w:r w:rsidRPr="005818E4">
              <w:rPr>
                <w:rFonts w:ascii="Times New Roman" w:hAnsi="Times New Roman"/>
                <w:color w:val="000000"/>
                <w:spacing w:val="-2"/>
              </w:rPr>
              <w:t>Hollandse</w:t>
            </w:r>
            <w:proofErr w:type="spellEnd"/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5818E4">
              <w:rPr>
                <w:rFonts w:ascii="Times New Roman" w:hAnsi="Times New Roman"/>
                <w:color w:val="000000"/>
                <w:spacing w:val="-2"/>
              </w:rPr>
              <w:t>Kust</w:t>
            </w:r>
            <w:proofErr w:type="spellEnd"/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proofErr w:type="spellStart"/>
            <w:r w:rsidRPr="005818E4">
              <w:rPr>
                <w:rFonts w:ascii="Times New Roman" w:hAnsi="Times New Roman"/>
                <w:color w:val="000000"/>
                <w:spacing w:val="-2"/>
              </w:rPr>
              <w:t>noord</w:t>
            </w:r>
            <w:proofErr w:type="spellEnd"/>
            <w:r w:rsidRPr="005818E4">
              <w:rPr>
                <w:rFonts w:ascii="Times New Roman" w:hAnsi="Times New Roman"/>
                <w:color w:val="000000"/>
                <w:spacing w:val="-2"/>
              </w:rPr>
              <w:t>) Wind Farm Zone, Site V o</w:t>
            </w:r>
            <w:r w:rsidR="00F10AA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5818E4">
              <w:rPr>
                <w:rFonts w:ascii="Times New Roman" w:hAnsi="Times New Roman"/>
                <w:color w:val="000000"/>
                <w:spacing w:val="-2"/>
              </w:rPr>
              <w:t>łącznej mocy 2,2 GW odbyły się w formule bez subsydiów. Z sukcesem znaleziono zainteresowanych inwestorów</w:t>
            </w:r>
          </w:p>
          <w:p w14:paraId="39B7AD7B" w14:textId="77777777" w:rsidR="000D4A2E" w:rsidRDefault="000D4A2E" w:rsidP="00E32CA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color w:val="000000"/>
                <w:spacing w:val="-2"/>
              </w:rPr>
              <w:t>Projekty będą zrealizowane w latach 2022-2024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6871442" w14:textId="5B219DBF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3AD9974" w14:textId="56BED884" w:rsidR="00231A46" w:rsidRDefault="00231A46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Na bazie wyników pierwszej aukcji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morskich farm wiatrowych 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w Niemczech, rząd Holandii zdecydował się zmienić zasady swoich aukcji </w:t>
            </w:r>
            <w:r>
              <w:rPr>
                <w:rFonts w:ascii="Times New Roman" w:hAnsi="Times New Roman"/>
                <w:color w:val="000000"/>
                <w:spacing w:val="-2"/>
              </w:rPr>
              <w:t>morskich farm wiatrowych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i wprowadził możliwość zgłaszania w pierwszej kolejności ofert bez wsparcia.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>Pierwsza farma wiatrowa bez wsparcia w Holandii ma powstać wcześniej niż w Niemczech.</w:t>
            </w:r>
          </w:p>
          <w:p w14:paraId="72853596" w14:textId="77777777" w:rsidR="00231A46" w:rsidRDefault="00231A46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7211A3F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b/>
                <w:bCs/>
                <w:color w:val="000000"/>
                <w:spacing w:val="-2"/>
              </w:rPr>
              <w:t>Dania</w:t>
            </w:r>
          </w:p>
          <w:p w14:paraId="7577037D" w14:textId="2CF31F1B" w:rsidR="000D4A2E" w:rsidRPr="00A669F7" w:rsidRDefault="000D4A2E" w:rsidP="00E32CAD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W przypadku projektu </w:t>
            </w:r>
            <w:proofErr w:type="spellStart"/>
            <w:r w:rsidRPr="005818E4">
              <w:rPr>
                <w:rFonts w:ascii="Times New Roman" w:hAnsi="Times New Roman"/>
                <w:color w:val="000000"/>
                <w:spacing w:val="-2"/>
              </w:rPr>
              <w:t>Kriegers</w:t>
            </w:r>
            <w:proofErr w:type="spellEnd"/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 Flak przyłączenie farmy wiatrowej do sieci leży po stronie OSP. Koszt przyłączy w</w:t>
            </w:r>
            <w:r w:rsidR="003516C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projekcie </w:t>
            </w:r>
            <w:proofErr w:type="spellStart"/>
            <w:r w:rsidRPr="005818E4">
              <w:rPr>
                <w:rFonts w:ascii="Times New Roman" w:hAnsi="Times New Roman"/>
                <w:color w:val="000000"/>
                <w:spacing w:val="-2"/>
              </w:rPr>
              <w:t>Nearshore</w:t>
            </w:r>
            <w:proofErr w:type="spellEnd"/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 wind farm ponosi inwestor</w:t>
            </w:r>
            <w:r w:rsidR="00BD7968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Ostatnie aukcje na wybór wykonawców dwóch projektów morskich farm wiatrowych - </w:t>
            </w:r>
            <w:proofErr w:type="spellStart"/>
            <w:r w:rsidRPr="005818E4">
              <w:rPr>
                <w:rFonts w:ascii="Times New Roman" w:hAnsi="Times New Roman"/>
                <w:color w:val="000000"/>
                <w:spacing w:val="-2"/>
              </w:rPr>
              <w:t>Kriegers</w:t>
            </w:r>
            <w:proofErr w:type="spellEnd"/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 Flak i </w:t>
            </w:r>
            <w:proofErr w:type="spellStart"/>
            <w:r w:rsidRPr="005818E4">
              <w:rPr>
                <w:rFonts w:ascii="Times New Roman" w:hAnsi="Times New Roman"/>
                <w:color w:val="000000"/>
                <w:spacing w:val="-2"/>
              </w:rPr>
              <w:t>Nearshore</w:t>
            </w:r>
            <w:proofErr w:type="spellEnd"/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 wind </w:t>
            </w:r>
            <w:proofErr w:type="spellStart"/>
            <w:r w:rsidRPr="005818E4">
              <w:rPr>
                <w:rFonts w:ascii="Times New Roman" w:hAnsi="Times New Roman"/>
                <w:color w:val="000000"/>
                <w:spacing w:val="-2"/>
              </w:rPr>
              <w:t>farms</w:t>
            </w:r>
            <w:proofErr w:type="spellEnd"/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 odbyły się w 2016 roku</w:t>
            </w:r>
            <w:r w:rsidR="00BD7968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Pr="00A669F7">
              <w:rPr>
                <w:rFonts w:ascii="Times New Roman" w:hAnsi="Times New Roman"/>
                <w:color w:val="000000"/>
                <w:spacing w:val="-2"/>
              </w:rPr>
              <w:t xml:space="preserve">Wykonawca projektu </w:t>
            </w:r>
            <w:proofErr w:type="spellStart"/>
            <w:r w:rsidRPr="00A669F7">
              <w:rPr>
                <w:rFonts w:ascii="Times New Roman" w:hAnsi="Times New Roman"/>
                <w:color w:val="000000"/>
                <w:spacing w:val="-2"/>
              </w:rPr>
              <w:t>Kriegers</w:t>
            </w:r>
            <w:proofErr w:type="spellEnd"/>
            <w:r w:rsidRPr="00A669F7">
              <w:rPr>
                <w:rFonts w:ascii="Times New Roman" w:hAnsi="Times New Roman"/>
                <w:color w:val="000000"/>
                <w:spacing w:val="-2"/>
              </w:rPr>
              <w:t xml:space="preserve"> Flak o mocy ok. 600 MW zaoferował cenę wykonania w wysokości 37,2 </w:t>
            </w:r>
            <w:proofErr w:type="spellStart"/>
            <w:r w:rsidRPr="00A669F7">
              <w:rPr>
                <w:rFonts w:ascii="Times New Roman" w:hAnsi="Times New Roman"/>
                <w:color w:val="000000"/>
                <w:spacing w:val="-2"/>
              </w:rPr>
              <w:t>øre</w:t>
            </w:r>
            <w:proofErr w:type="spellEnd"/>
            <w:r w:rsidRPr="00A669F7">
              <w:rPr>
                <w:rFonts w:ascii="Times New Roman" w:hAnsi="Times New Roman"/>
                <w:color w:val="000000"/>
                <w:spacing w:val="-2"/>
              </w:rPr>
              <w:t>/kWh (ok. 50 EUR/MWh). Projekt będzie zakończony 2021 roku</w:t>
            </w:r>
            <w:r w:rsidR="00BD7968" w:rsidRPr="00A669F7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Pr="00A669F7">
              <w:rPr>
                <w:rFonts w:ascii="Times New Roman" w:hAnsi="Times New Roman"/>
                <w:color w:val="000000"/>
                <w:spacing w:val="-2"/>
              </w:rPr>
              <w:t xml:space="preserve">W ramach projektu </w:t>
            </w:r>
            <w:proofErr w:type="spellStart"/>
            <w:r w:rsidRPr="00A669F7">
              <w:rPr>
                <w:rFonts w:ascii="Times New Roman" w:hAnsi="Times New Roman"/>
                <w:color w:val="000000"/>
                <w:spacing w:val="-2"/>
              </w:rPr>
              <w:t>Nearshore</w:t>
            </w:r>
            <w:proofErr w:type="spellEnd"/>
            <w:r w:rsidRPr="00A669F7">
              <w:rPr>
                <w:rFonts w:ascii="Times New Roman" w:hAnsi="Times New Roman"/>
                <w:color w:val="000000"/>
                <w:spacing w:val="-2"/>
              </w:rPr>
              <w:t xml:space="preserve"> wind farm zwycięzca przetargu zbuduje dwie farmy wiatrowe o łącznej mocy ok. 350 MW. Zaoferowana przez niego cena wykonania to 47,5 </w:t>
            </w:r>
            <w:proofErr w:type="spellStart"/>
            <w:r w:rsidRPr="00A669F7">
              <w:rPr>
                <w:rFonts w:ascii="Times New Roman" w:hAnsi="Times New Roman"/>
                <w:color w:val="000000"/>
                <w:spacing w:val="-2"/>
              </w:rPr>
              <w:t>øre</w:t>
            </w:r>
            <w:proofErr w:type="spellEnd"/>
            <w:r w:rsidRPr="00A669F7">
              <w:rPr>
                <w:rFonts w:ascii="Times New Roman" w:hAnsi="Times New Roman"/>
                <w:color w:val="000000"/>
                <w:spacing w:val="-2"/>
              </w:rPr>
              <w:t xml:space="preserve">/kWh (ok. 64 EUR/MWh). Dopuszczalna cena maksymalna wynosiła 70 </w:t>
            </w:r>
            <w:proofErr w:type="spellStart"/>
            <w:r w:rsidRPr="00A669F7">
              <w:rPr>
                <w:rFonts w:ascii="Times New Roman" w:hAnsi="Times New Roman"/>
                <w:color w:val="000000"/>
                <w:spacing w:val="-2"/>
              </w:rPr>
              <w:t>øre</w:t>
            </w:r>
            <w:proofErr w:type="spellEnd"/>
            <w:r w:rsidRPr="00A669F7">
              <w:rPr>
                <w:rFonts w:ascii="Times New Roman" w:hAnsi="Times New Roman"/>
                <w:color w:val="000000"/>
                <w:spacing w:val="-2"/>
              </w:rPr>
              <w:t xml:space="preserve">/kWh (ok. 90 EUR/MWh). Obecnie zakończenie projektu planowane jest na 2023 r. </w:t>
            </w:r>
          </w:p>
          <w:p w14:paraId="71CDBCE1" w14:textId="77777777" w:rsidR="000D4A2E" w:rsidRPr="00A669F7" w:rsidRDefault="000D4A2E" w:rsidP="00E32CAD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69F7">
              <w:rPr>
                <w:rFonts w:ascii="Times New Roman" w:hAnsi="Times New Roman"/>
                <w:color w:val="000000"/>
                <w:spacing w:val="-2"/>
              </w:rPr>
              <w:t>Zwycięzcy aukcji otrzymają wsparcie dla 50 000 godzin pracy instalacji z pełnym obciążeniem.</w:t>
            </w:r>
          </w:p>
          <w:p w14:paraId="7CD40848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D4EBECB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b/>
                <w:bCs/>
                <w:color w:val="000000"/>
                <w:spacing w:val="-2"/>
              </w:rPr>
              <w:t>Wielka Brytania</w:t>
            </w:r>
          </w:p>
          <w:p w14:paraId="00FA6FB4" w14:textId="77777777" w:rsidR="000D4A2E" w:rsidRPr="005818E4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color w:val="000000"/>
                <w:spacing w:val="-2"/>
              </w:rPr>
              <w:t>W Wielkiej Brytanii koszt przyłączenia farmy wiatrowej do sieci elektroenergetycznej leży po stronie inwestora, który następnie odsprzedaje gotowe przyłącze do tzw. OFTO (</w:t>
            </w:r>
            <w:proofErr w:type="spellStart"/>
            <w:r w:rsidRPr="005818E4">
              <w:rPr>
                <w:rFonts w:ascii="Times New Roman" w:hAnsi="Times New Roman"/>
                <w:color w:val="000000"/>
                <w:spacing w:val="-2"/>
              </w:rPr>
              <w:t>Offshore</w:t>
            </w:r>
            <w:proofErr w:type="spellEnd"/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5818E4">
              <w:rPr>
                <w:rFonts w:ascii="Times New Roman" w:hAnsi="Times New Roman"/>
                <w:color w:val="000000"/>
                <w:spacing w:val="-2"/>
              </w:rPr>
              <w:t>Transmission</w:t>
            </w:r>
            <w:proofErr w:type="spellEnd"/>
            <w:r w:rsidRPr="005818E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5818E4">
              <w:rPr>
                <w:rFonts w:ascii="Times New Roman" w:hAnsi="Times New Roman"/>
                <w:color w:val="000000"/>
                <w:spacing w:val="-2"/>
              </w:rPr>
              <w:t>Owner</w:t>
            </w:r>
            <w:proofErr w:type="spellEnd"/>
            <w:r w:rsidRPr="005818E4">
              <w:rPr>
                <w:rFonts w:ascii="Times New Roman" w:hAnsi="Times New Roman"/>
                <w:color w:val="000000"/>
                <w:spacing w:val="-2"/>
              </w:rPr>
              <w:t>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29C0CE8" w14:textId="77777777" w:rsidR="000D4A2E" w:rsidRPr="005818E4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</w:p>
          <w:p w14:paraId="5EB55CA7" w14:textId="58B1C0A5" w:rsidR="000D4A2E" w:rsidRPr="005C660E" w:rsidRDefault="000D4A2E" w:rsidP="00E32CAD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18E4">
              <w:rPr>
                <w:rFonts w:ascii="Times New Roman" w:hAnsi="Times New Roman"/>
                <w:color w:val="000000"/>
                <w:spacing w:val="-2"/>
              </w:rPr>
              <w:t>W ramach ostatniej aukcji, która odbyła się w 2019 roku wybrano wykonawców, którzy w latach 2023/2024 i</w:t>
            </w:r>
            <w:r w:rsidR="003516C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5818E4">
              <w:rPr>
                <w:rFonts w:ascii="Times New Roman" w:hAnsi="Times New Roman"/>
                <w:color w:val="000000"/>
                <w:spacing w:val="-2"/>
              </w:rPr>
              <w:t>2024/2025 zrealizują projekty o łącznej mocy 5466 MW</w:t>
            </w:r>
            <w:r w:rsidR="001D0AAC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Pr="005C660E">
              <w:rPr>
                <w:rFonts w:ascii="Times New Roman" w:hAnsi="Times New Roman"/>
                <w:color w:val="000000"/>
                <w:spacing w:val="-2"/>
              </w:rPr>
              <w:t>Cena wykonania dla projektów, których ukończenie planowane jest na lata 2023/2024 wyniosła 39,65 GBP/MWh w cenach na 2012 rok (44,95 GBP/MWh w cenach na 2019 r., tj. ok. 51,3 EUR/MWh). Dopuszczalna cena maksymalna wynosiła 56 GBP/MWh w cenach na 2012 rok</w:t>
            </w:r>
            <w:r w:rsidR="001D0AAC" w:rsidRPr="005C660E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6EB06A67" w14:textId="17D1DB83" w:rsidR="000D4A2E" w:rsidRPr="005C660E" w:rsidRDefault="000D4A2E" w:rsidP="00E32CAD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C660E">
              <w:rPr>
                <w:rFonts w:ascii="Times New Roman" w:hAnsi="Times New Roman"/>
                <w:color w:val="000000"/>
                <w:spacing w:val="-2"/>
              </w:rPr>
              <w:t>Cena wykonania dla projektów, których ukończenie planowane jest na lata 2024/2025 wyniosła 41,611 GBP/MWh w cenach na 2012 rok (47,18 GBP/MWh w cenach na 2019 r., tj. ok. 53,8 EUR/MWh). Dopuszczalna cena maksymalna wynosiła 53 GBP/MWh w cenach na 2012 rok</w:t>
            </w:r>
            <w:r w:rsidR="001D0AAC" w:rsidRPr="005C660E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00EED54D" w14:textId="60324F25" w:rsidR="000D4A2E" w:rsidRPr="005C660E" w:rsidRDefault="000D4A2E" w:rsidP="00E32CAD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C660E">
              <w:rPr>
                <w:rFonts w:ascii="Times New Roman" w:hAnsi="Times New Roman"/>
                <w:color w:val="000000"/>
                <w:spacing w:val="-2"/>
              </w:rPr>
              <w:t>System wsparcia obowiązuje zwycięzców aukcji przez 15 lat</w:t>
            </w:r>
          </w:p>
          <w:p w14:paraId="05133641" w14:textId="4D152019" w:rsidR="00231A46" w:rsidRDefault="00231A46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E7D39AC" w14:textId="651A461C" w:rsidR="00231A46" w:rsidRPr="005818E4" w:rsidRDefault="00231A46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4A22">
              <w:rPr>
                <w:rFonts w:ascii="Times New Roman" w:hAnsi="Times New Roman"/>
                <w:color w:val="000000"/>
                <w:spacing w:val="-2"/>
              </w:rPr>
              <w:t>W Wielkiej Brytanii wszyscy zwycięzcy aukcji na realizację projektów, które zakończą się w tym samym roku, otrzymują wsparcie w postaci kontraktu różnicowego w takiej samej wysokości, którą wyznacza najwyższa wygrana oferta.</w:t>
            </w:r>
          </w:p>
          <w:p w14:paraId="6579A364" w14:textId="77777777" w:rsidR="000D4A2E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067E2AEB" w14:textId="1314532F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54A22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Na przeprowadzonych w Niemczech w 2017 r. i 2018 r. aukcjach </w:t>
            </w:r>
            <w:proofErr w:type="spellStart"/>
            <w:r w:rsidRPr="00A54A22">
              <w:rPr>
                <w:rFonts w:ascii="Times New Roman" w:hAnsi="Times New Roman"/>
                <w:color w:val="000000"/>
                <w:spacing w:val="-2"/>
              </w:rPr>
              <w:t>offshore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wind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pojawiły się oferty na realizację projektów bez ceny gwarantowanej.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>Inwestorzy, którzy zdecydowali się na złożenie takich ofert liczą, że ich inwestycje będą opłacalne w oparciu o przyszłe ceny rynkowe dzięki wykorzystaniu efektu synergii z pobliskimi farmami wiatrowymi oraz postępowi technologicznemu, który pozwoli obniżyć koszty.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 Niemczech koszty przyłącza ponosi operator systemu przesyłowego. 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Na bazie wyników pierwszej aukcji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morskich farm wiatrowych 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w Niemczech, rząd Holandii zdecydował się zmienić zasady swoich aukcji </w:t>
            </w:r>
            <w:r>
              <w:rPr>
                <w:rFonts w:ascii="Times New Roman" w:hAnsi="Times New Roman"/>
                <w:color w:val="000000"/>
                <w:spacing w:val="-2"/>
              </w:rPr>
              <w:t>morskich farm wiatrowych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 xml:space="preserve"> i wprowadził możliwość zgłaszania w pierwszej kolejności ofert bez wsparcia.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54A22">
              <w:rPr>
                <w:rFonts w:ascii="Times New Roman" w:hAnsi="Times New Roman"/>
                <w:color w:val="000000"/>
                <w:spacing w:val="-2"/>
              </w:rPr>
              <w:t>Pierwsza farma wiatrowa bez wsparcia w Holandii ma powstać wcześniej niż w Niemczech.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31A46" w:rsidRPr="00A54A22" w:rsidDel="00231A4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141346A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4CBBF35" w14:textId="2A910A38" w:rsidR="000D4A2E" w:rsidRPr="00E412E1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Komisja Europejska w swoim raporcie „</w:t>
            </w:r>
            <w:proofErr w:type="spellStart"/>
            <w:r w:rsidRPr="005E5EDD">
              <w:rPr>
                <w:rFonts w:ascii="Times New Roman" w:hAnsi="Times New Roman"/>
                <w:color w:val="000000"/>
                <w:spacing w:val="-2"/>
              </w:rPr>
              <w:t>Study</w:t>
            </w:r>
            <w:proofErr w:type="spellEnd"/>
            <w:r w:rsidRPr="005E5EDD">
              <w:rPr>
                <w:rFonts w:ascii="Times New Roman" w:hAnsi="Times New Roman"/>
                <w:color w:val="000000"/>
                <w:spacing w:val="-2"/>
              </w:rPr>
              <w:t xml:space="preserve"> on </w:t>
            </w:r>
            <w:proofErr w:type="spellStart"/>
            <w:r w:rsidRPr="005E5EDD">
              <w:rPr>
                <w:rFonts w:ascii="Times New Roman" w:hAnsi="Times New Roman"/>
                <w:color w:val="000000"/>
                <w:spacing w:val="-2"/>
              </w:rPr>
              <w:t>Baltic</w:t>
            </w:r>
            <w:proofErr w:type="spellEnd"/>
            <w:r w:rsidRPr="005E5ED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5E5EDD">
              <w:rPr>
                <w:rFonts w:ascii="Times New Roman" w:hAnsi="Times New Roman"/>
                <w:color w:val="000000"/>
                <w:spacing w:val="-2"/>
              </w:rPr>
              <w:t>Offshore</w:t>
            </w:r>
            <w:proofErr w:type="spellEnd"/>
            <w:r w:rsidRPr="005E5EDD">
              <w:rPr>
                <w:rFonts w:ascii="Times New Roman" w:hAnsi="Times New Roman"/>
                <w:color w:val="000000"/>
                <w:spacing w:val="-2"/>
              </w:rPr>
              <w:t xml:space="preserve"> Wind Energy </w:t>
            </w:r>
            <w:proofErr w:type="spellStart"/>
            <w:r w:rsidRPr="005E5EDD">
              <w:rPr>
                <w:rFonts w:ascii="Times New Roman" w:hAnsi="Times New Roman"/>
                <w:color w:val="000000"/>
                <w:spacing w:val="-2"/>
              </w:rPr>
              <w:t>Cooperation</w:t>
            </w:r>
            <w:proofErr w:type="spellEnd"/>
            <w:r w:rsidRPr="005E5EDD">
              <w:rPr>
                <w:rFonts w:ascii="Times New Roman" w:hAnsi="Times New Roman"/>
                <w:color w:val="000000"/>
                <w:spacing w:val="-2"/>
              </w:rPr>
              <w:t xml:space="preserve"> Under BEMIP – </w:t>
            </w:r>
            <w:proofErr w:type="spellStart"/>
            <w:r w:rsidRPr="005E5EDD">
              <w:rPr>
                <w:rFonts w:ascii="Times New Roman" w:hAnsi="Times New Roman"/>
                <w:color w:val="000000"/>
                <w:spacing w:val="-2"/>
              </w:rPr>
              <w:t>European</w:t>
            </w:r>
            <w:proofErr w:type="spellEnd"/>
            <w:r w:rsidRPr="005E5ED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5E5EDD">
              <w:rPr>
                <w:rFonts w:ascii="Times New Roman" w:hAnsi="Times New Roman"/>
                <w:color w:val="000000"/>
                <w:spacing w:val="-2"/>
              </w:rPr>
              <w:t>Commission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” (2019) przewiduje </w:t>
            </w:r>
            <w:r w:rsidRPr="005E5EDD">
              <w:rPr>
                <w:rFonts w:ascii="Times New Roman" w:hAnsi="Times New Roman"/>
                <w:color w:val="000000"/>
                <w:spacing w:val="-2"/>
              </w:rPr>
              <w:t xml:space="preserve">ceny rzędu 53-55 </w:t>
            </w:r>
            <w:r>
              <w:rPr>
                <w:rFonts w:ascii="Times New Roman" w:hAnsi="Times New Roman"/>
                <w:color w:val="000000"/>
                <w:spacing w:val="-2"/>
              </w:rPr>
              <w:t>EUR</w:t>
            </w:r>
            <w:r w:rsidR="00A6793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E5EDD">
              <w:rPr>
                <w:rFonts w:ascii="Times New Roman" w:hAnsi="Times New Roman"/>
                <w:color w:val="000000"/>
                <w:spacing w:val="-2"/>
              </w:rPr>
              <w:t xml:space="preserve">MWh dla </w:t>
            </w:r>
            <w:r>
              <w:rPr>
                <w:rFonts w:ascii="Times New Roman" w:hAnsi="Times New Roman"/>
                <w:color w:val="000000"/>
                <w:spacing w:val="-2"/>
              </w:rPr>
              <w:t>polskiego rynku morskiej energetyki wiatrowej w 2030 roku.</w:t>
            </w:r>
            <w:r w:rsidRPr="005E5EDD">
              <w:t xml:space="preserve"> </w:t>
            </w:r>
            <w:r w:rsidRPr="005E5EDD">
              <w:rPr>
                <w:rFonts w:ascii="Times New Roman" w:hAnsi="Times New Roman"/>
                <w:color w:val="000000"/>
                <w:spacing w:val="-2"/>
              </w:rPr>
              <w:t>W 2019 r. Komisja Europejska (DG ENER), przedstawiła kompleksową analizę morskich farm wiatrowych na Bałtyku w ramach grupy BEMIP</w:t>
            </w:r>
            <w:r w:rsidR="00A6793C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Pr="00E412E1">
              <w:rPr>
                <w:rFonts w:ascii="Times New Roman" w:hAnsi="Times New Roman"/>
                <w:color w:val="000000"/>
                <w:spacing w:val="-2"/>
              </w:rPr>
              <w:t>Rezultaty analizy wskazują na możliwość osiągnięcia w 2030 roku kosztu wytworzenia energii z</w:t>
            </w:r>
            <w:r w:rsidR="003516C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E412E1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polskich MFW między 53 a 55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EUR/</w:t>
            </w:r>
            <w:r w:rsidRPr="00E412E1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MWh, </w:t>
            </w:r>
            <w:r w:rsidRPr="00E412E1">
              <w:rPr>
                <w:rFonts w:ascii="Times New Roman" w:hAnsi="Times New Roman"/>
                <w:color w:val="000000"/>
                <w:spacing w:val="-2"/>
              </w:rPr>
              <w:t>uwzględniając koszt przyłącza</w:t>
            </w:r>
            <w:r w:rsidRPr="00E412E1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</w:t>
            </w:r>
            <w:r w:rsidRPr="00E412E1">
              <w:rPr>
                <w:rFonts w:ascii="Times New Roman" w:hAnsi="Times New Roman"/>
                <w:color w:val="000000"/>
                <w:spacing w:val="-2"/>
              </w:rPr>
              <w:t xml:space="preserve">(według autorów analiz wynoszący około 1,6 </w:t>
            </w:r>
            <w:r>
              <w:rPr>
                <w:rFonts w:ascii="Times New Roman" w:hAnsi="Times New Roman"/>
                <w:color w:val="000000"/>
                <w:spacing w:val="-2"/>
              </w:rPr>
              <w:t>EUR</w:t>
            </w:r>
            <w:r w:rsidR="00A6793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412E1">
              <w:rPr>
                <w:rFonts w:ascii="Times New Roman" w:hAnsi="Times New Roman"/>
                <w:color w:val="000000"/>
                <w:spacing w:val="-2"/>
              </w:rPr>
              <w:t>MWh) oraz 5% real WACC</w:t>
            </w:r>
            <w:r w:rsidR="00A6793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7734852" w14:textId="77777777" w:rsidR="000D4A2E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21BDE7C" w14:textId="05F02850" w:rsidR="000D4A2E" w:rsidRDefault="000D4A2E" w:rsidP="005024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Ceny dla morskiej energetyki wiatrowej są bardzo zróżnicowane, zależą od wielu czynników i różnią się względem różnych rynków. Dodatkowo opracowania branżowe wskazują, że projekty na nowych rynkach będą wymagały nieznacznie </w:t>
            </w:r>
            <w:r w:rsidR="00502444">
              <w:rPr>
                <w:rFonts w:ascii="Times New Roman" w:hAnsi="Times New Roman"/>
                <w:color w:val="000000"/>
                <w:spacing w:val="-2"/>
              </w:rPr>
              <w:t xml:space="preserve">wyższego poziomu wsparcia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względem rynków rozwijających morskie farmy wiatrowe, ze względu na specyfikę danego kraju oraz czynniki takie jak dostęp do infrastruktury portowej czy wyższy poziom ryzyka. </w:t>
            </w:r>
            <w:r w:rsidR="00C831F7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502444" w:rsidRPr="00502444">
              <w:rPr>
                <w:rFonts w:ascii="Times New Roman" w:hAnsi="Times New Roman"/>
                <w:color w:val="000000"/>
                <w:spacing w:val="-2"/>
              </w:rPr>
              <w:t>rzedstawiane powyżej ceny maksymalne funkcjonowały w systemach aukcyjnych mających na celu zachowanie konkurencji oraz optymalizację kosztową portfolio realizowanych projektów. Mając na uwadze, że I faza wsparcia morskich farm wiatrowych w</w:t>
            </w:r>
            <w:r w:rsidR="00C831F7">
              <w:rPr>
                <w:rFonts w:ascii="Times New Roman" w:hAnsi="Times New Roman"/>
                <w:color w:val="000000"/>
                <w:spacing w:val="-2"/>
              </w:rPr>
              <w:t xml:space="preserve"> Polsce</w:t>
            </w:r>
            <w:r w:rsidR="00502444" w:rsidRPr="00502444">
              <w:rPr>
                <w:rFonts w:ascii="Times New Roman" w:hAnsi="Times New Roman"/>
                <w:color w:val="000000"/>
                <w:spacing w:val="-2"/>
              </w:rPr>
              <w:t xml:space="preserve"> bazuje na indywidualnych decyzjach administracyjnych, pomijając mechanizmy konkurencyjne  mające na celu optymalizację kosztu rozwoju sektora, cena maksymalna wyznaczona została na podstawie uśrednionych warunków inwestycyjnych projektów realizowanych w tej fazie.</w:t>
            </w:r>
          </w:p>
          <w:p w14:paraId="0CAA3321" w14:textId="6E4D2F48" w:rsidR="007B4497" w:rsidRPr="00B37C80" w:rsidRDefault="007B4497" w:rsidP="005024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D4A2E" w:rsidRPr="008B4FE6" w14:paraId="4BCF0B97" w14:textId="77777777" w:rsidTr="003F7C4A">
        <w:trPr>
          <w:trHeight w:val="359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378D890A" w14:textId="77777777" w:rsidR="000D4A2E" w:rsidRPr="008B4FE6" w:rsidRDefault="000D4A2E" w:rsidP="00E32CA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0D4A2E" w:rsidRPr="008B4FE6" w14:paraId="51102A9A" w14:textId="77777777" w:rsidTr="003F7C4A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60FC7A38" w14:textId="77777777" w:rsidR="000D4A2E" w:rsidRPr="008B4FE6" w:rsidRDefault="000D4A2E" w:rsidP="003F7C4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382" w:type="dxa"/>
            <w:gridSpan w:val="8"/>
            <w:shd w:val="clear" w:color="auto" w:fill="auto"/>
          </w:tcPr>
          <w:p w14:paraId="50E9926E" w14:textId="77777777" w:rsidR="000D4A2E" w:rsidRPr="008B4FE6" w:rsidRDefault="000D4A2E" w:rsidP="003F7C4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50" w:type="dxa"/>
            <w:gridSpan w:val="12"/>
            <w:shd w:val="clear" w:color="auto" w:fill="auto"/>
          </w:tcPr>
          <w:p w14:paraId="2BA368DE" w14:textId="77777777" w:rsidR="000D4A2E" w:rsidRPr="008B4FE6" w:rsidRDefault="000D4A2E" w:rsidP="003F7C4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36FADD7F" w14:textId="77777777" w:rsidR="000D4A2E" w:rsidRPr="008B4FE6" w:rsidRDefault="000D4A2E" w:rsidP="003F7C4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D4A2E" w:rsidRPr="008B4FE6" w14:paraId="0ED007EC" w14:textId="77777777" w:rsidTr="003F7C4A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743F2B23" w14:textId="77777777" w:rsidR="000D4A2E" w:rsidRPr="00140F4C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40F4C">
              <w:rPr>
                <w:rFonts w:ascii="Times New Roman" w:hAnsi="Times New Roman"/>
              </w:rPr>
              <w:t>Przedsiębiorcy (potencjalni wytwórcy energii elektrycznej z morskich elektrowni wiatrowych)</w:t>
            </w:r>
          </w:p>
        </w:tc>
        <w:tc>
          <w:tcPr>
            <w:tcW w:w="2382" w:type="dxa"/>
            <w:gridSpan w:val="8"/>
            <w:shd w:val="clear" w:color="auto" w:fill="auto"/>
          </w:tcPr>
          <w:p w14:paraId="3666CBB6" w14:textId="77777777" w:rsidR="000D4A2E" w:rsidRPr="00140F4C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40F4C">
              <w:rPr>
                <w:rFonts w:ascii="Times New Roman" w:hAnsi="Times New Roman"/>
              </w:rPr>
              <w:t>Kilk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950" w:type="dxa"/>
            <w:gridSpan w:val="12"/>
            <w:shd w:val="clear" w:color="auto" w:fill="auto"/>
          </w:tcPr>
          <w:p w14:paraId="20A1D179" w14:textId="19EC3A36" w:rsidR="000D4A2E" w:rsidRPr="00140F4C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40F4C">
              <w:rPr>
                <w:rFonts w:ascii="Times New Roman" w:hAnsi="Times New Roman"/>
              </w:rPr>
              <w:t>Szacunki własne, ocena skutków regulacji ustawy o promowaniu wytwarzania energii w morskich elektrowniach wiatrowych.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7AEDC5F3" w14:textId="77777777" w:rsidR="000D4A2E" w:rsidRPr="00140F4C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40F4C">
              <w:rPr>
                <w:rFonts w:ascii="Times New Roman" w:hAnsi="Times New Roman"/>
              </w:rPr>
              <w:t>Przedsiębiorcy</w:t>
            </w:r>
            <w:r>
              <w:rPr>
                <w:rFonts w:ascii="Times New Roman" w:hAnsi="Times New Roman"/>
              </w:rPr>
              <w:t xml:space="preserve"> (wytwórcy)</w:t>
            </w:r>
            <w:r w:rsidRPr="00140F4C">
              <w:rPr>
                <w:rFonts w:ascii="Times New Roman" w:hAnsi="Times New Roman"/>
              </w:rPr>
              <w:t xml:space="preserve"> zainteresowani przystąpieniem do</w:t>
            </w:r>
            <w:r>
              <w:rPr>
                <w:rFonts w:ascii="Times New Roman" w:hAnsi="Times New Roman"/>
              </w:rPr>
              <w:t xml:space="preserve"> I fazy systemu wsparcia i uzyskaniem prawa do pokrycia ujemnego salda w drodze decyzji prezesa URE</w:t>
            </w:r>
          </w:p>
        </w:tc>
      </w:tr>
      <w:tr w:rsidR="000D4A2E" w:rsidRPr="008B4FE6" w14:paraId="5D3863E1" w14:textId="77777777" w:rsidTr="003F7C4A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5DCC99F6" w14:textId="77777777" w:rsidR="000D4A2E" w:rsidRPr="00DF1831" w:rsidRDefault="000D4A2E" w:rsidP="003F7C4A">
            <w:pPr>
              <w:spacing w:line="240" w:lineRule="auto"/>
              <w:rPr>
                <w:rFonts w:ascii="Times New Roman" w:hAnsi="Times New Roman"/>
              </w:rPr>
            </w:pPr>
            <w:r w:rsidRPr="00DF1831">
              <w:rPr>
                <w:rFonts w:ascii="Times New Roman" w:eastAsia="Times New Roman" w:hAnsi="Times New Roman"/>
                <w:lang w:eastAsia="pl-PL"/>
              </w:rPr>
              <w:t>Odbiorcy końcowi energii elektrycznej</w:t>
            </w:r>
          </w:p>
        </w:tc>
        <w:tc>
          <w:tcPr>
            <w:tcW w:w="2382" w:type="dxa"/>
            <w:gridSpan w:val="8"/>
            <w:shd w:val="clear" w:color="auto" w:fill="auto"/>
          </w:tcPr>
          <w:p w14:paraId="0D3B592C" w14:textId="77777777" w:rsidR="000D4A2E" w:rsidRPr="00DF1831" w:rsidRDefault="000D4A2E" w:rsidP="003F7C4A">
            <w:pPr>
              <w:spacing w:line="240" w:lineRule="auto"/>
              <w:rPr>
                <w:rFonts w:ascii="Times New Roman" w:hAnsi="Times New Roman"/>
              </w:rPr>
            </w:pPr>
            <w:r w:rsidRPr="00DF1831">
              <w:rPr>
                <w:rFonts w:ascii="Times New Roman" w:eastAsia="Times New Roman" w:hAnsi="Times New Roman"/>
                <w:lang w:eastAsia="pl-PL"/>
              </w:rPr>
              <w:t>17,6 mln</w:t>
            </w:r>
          </w:p>
        </w:tc>
        <w:tc>
          <w:tcPr>
            <w:tcW w:w="2950" w:type="dxa"/>
            <w:gridSpan w:val="12"/>
            <w:shd w:val="clear" w:color="auto" w:fill="auto"/>
          </w:tcPr>
          <w:p w14:paraId="38D8A88E" w14:textId="77777777" w:rsidR="000D4A2E" w:rsidRPr="00DF1831" w:rsidRDefault="000D4A2E" w:rsidP="003F7C4A">
            <w:pPr>
              <w:spacing w:line="240" w:lineRule="auto"/>
              <w:rPr>
                <w:rFonts w:ascii="Times New Roman" w:hAnsi="Times New Roman"/>
              </w:rPr>
            </w:pPr>
            <w:r w:rsidRPr="00DF1831">
              <w:rPr>
                <w:rFonts w:ascii="Times New Roman" w:eastAsia="Times New Roman" w:hAnsi="Times New Roman"/>
                <w:lang w:eastAsia="pl-PL"/>
              </w:rPr>
              <w:t>URE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6AC71292" w14:textId="77777777" w:rsidR="000D4A2E" w:rsidRPr="00DF1831" w:rsidRDefault="000D4A2E" w:rsidP="003F7C4A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1831">
              <w:rPr>
                <w:rFonts w:ascii="Times New Roman" w:eastAsia="Times New Roman" w:hAnsi="Times New Roman"/>
                <w:lang w:eastAsia="pl-PL"/>
              </w:rPr>
              <w:t>System wsparcia będzie powodował przepływy finansowe w kierunku inwestorów budujących morskie farmy wiatrowe, które pokrywane będą w ramach opłaty OZE popieranej na rzecz finansowania rozwoju odnawialnych źródeł energii. Wysokość opłaty uzależniona będzie m.in. od cen energii elektrycznej oraz wysokości jednostkowego wsparcia dla poszczególnych projektów.</w:t>
            </w:r>
          </w:p>
          <w:p w14:paraId="722053B6" w14:textId="77777777" w:rsidR="000D4A2E" w:rsidRPr="00DF1831" w:rsidRDefault="000D4A2E" w:rsidP="003F7C4A">
            <w:pPr>
              <w:spacing w:line="240" w:lineRule="auto"/>
              <w:rPr>
                <w:rFonts w:ascii="Times New Roman" w:hAnsi="Times New Roman"/>
              </w:rPr>
            </w:pPr>
            <w:r w:rsidRPr="00DF1831">
              <w:rPr>
                <w:rFonts w:ascii="Times New Roman" w:eastAsia="Times New Roman" w:hAnsi="Times New Roman"/>
                <w:lang w:eastAsia="pl-PL"/>
              </w:rPr>
              <w:t>Zwiększenie bezpieczeństwa dostaw energii elektrycznej.</w:t>
            </w:r>
          </w:p>
        </w:tc>
      </w:tr>
      <w:tr w:rsidR="000D4A2E" w:rsidRPr="008B4FE6" w14:paraId="06E5E4E1" w14:textId="77777777" w:rsidTr="003F7C4A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575C84D4" w14:textId="4DBD055C" w:rsidR="000D4A2E" w:rsidRPr="00DF1831" w:rsidRDefault="000D4A2E" w:rsidP="003F7C4A">
            <w:pPr>
              <w:spacing w:line="240" w:lineRule="auto"/>
              <w:rPr>
                <w:rFonts w:ascii="Times New Roman" w:hAnsi="Times New Roman"/>
              </w:rPr>
            </w:pPr>
            <w:r w:rsidRPr="00DF1831">
              <w:rPr>
                <w:rFonts w:ascii="Times New Roman" w:eastAsia="Times New Roman" w:hAnsi="Times New Roman"/>
              </w:rPr>
              <w:t xml:space="preserve">mikro, małe i średnie przedsiębiorstwa </w:t>
            </w:r>
          </w:p>
        </w:tc>
        <w:tc>
          <w:tcPr>
            <w:tcW w:w="2382" w:type="dxa"/>
            <w:gridSpan w:val="8"/>
            <w:shd w:val="clear" w:color="auto" w:fill="auto"/>
          </w:tcPr>
          <w:p w14:paraId="1360ADE8" w14:textId="77777777" w:rsidR="000D4A2E" w:rsidRPr="00DF1831" w:rsidRDefault="000D4A2E" w:rsidP="00E32CAD">
            <w:pPr>
              <w:pStyle w:val="Default"/>
              <w:numPr>
                <w:ilvl w:val="0"/>
                <w:numId w:val="5"/>
              </w:numPr>
              <w:ind w:left="205" w:hanging="205"/>
              <w:rPr>
                <w:rFonts w:eastAsia="Times New Roman"/>
                <w:color w:val="auto"/>
                <w:sz w:val="22"/>
                <w:szCs w:val="22"/>
              </w:rPr>
            </w:pPr>
            <w:r w:rsidRPr="00DF1831">
              <w:rPr>
                <w:rFonts w:eastAsia="Times New Roman"/>
                <w:color w:val="auto"/>
                <w:sz w:val="22"/>
                <w:szCs w:val="22"/>
              </w:rPr>
              <w:t>Liczba mikroprzedsiębiorstw – 2 mln</w:t>
            </w:r>
          </w:p>
          <w:p w14:paraId="7EFC5E8A" w14:textId="77777777" w:rsidR="000D4A2E" w:rsidRPr="00DF1831" w:rsidRDefault="000D4A2E" w:rsidP="00E32CAD">
            <w:pPr>
              <w:pStyle w:val="Default"/>
              <w:numPr>
                <w:ilvl w:val="0"/>
                <w:numId w:val="5"/>
              </w:numPr>
              <w:ind w:left="205" w:hanging="205"/>
              <w:rPr>
                <w:rFonts w:eastAsia="Times New Roman"/>
                <w:color w:val="auto"/>
                <w:sz w:val="22"/>
                <w:szCs w:val="22"/>
              </w:rPr>
            </w:pPr>
            <w:r w:rsidRPr="00DF1831">
              <w:rPr>
                <w:rFonts w:eastAsia="Times New Roman"/>
                <w:color w:val="auto"/>
                <w:sz w:val="22"/>
                <w:szCs w:val="22"/>
              </w:rPr>
              <w:t>Liczba małych przedsiębiorstw – 54 tys.</w:t>
            </w:r>
          </w:p>
          <w:p w14:paraId="32C3DC5B" w14:textId="77777777" w:rsidR="000D4A2E" w:rsidRPr="00DF1831" w:rsidRDefault="000D4A2E" w:rsidP="00E32CAD">
            <w:pPr>
              <w:pStyle w:val="Default"/>
              <w:numPr>
                <w:ilvl w:val="0"/>
                <w:numId w:val="5"/>
              </w:numPr>
              <w:ind w:left="205" w:hanging="205"/>
              <w:rPr>
                <w:rFonts w:eastAsia="Times New Roman"/>
                <w:color w:val="auto"/>
                <w:sz w:val="22"/>
                <w:szCs w:val="22"/>
              </w:rPr>
            </w:pPr>
            <w:r w:rsidRPr="00DF1831">
              <w:rPr>
                <w:rFonts w:eastAsia="Times New Roman"/>
                <w:color w:val="auto"/>
                <w:sz w:val="22"/>
                <w:szCs w:val="22"/>
              </w:rPr>
              <w:t>Liczba średnich przedsiębiorstw – 15 tys.</w:t>
            </w:r>
          </w:p>
          <w:p w14:paraId="1EE94B3A" w14:textId="77777777" w:rsidR="000D4A2E" w:rsidRPr="00DF1831" w:rsidRDefault="000D4A2E" w:rsidP="003F7C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50" w:type="dxa"/>
            <w:gridSpan w:val="12"/>
            <w:shd w:val="clear" w:color="auto" w:fill="auto"/>
          </w:tcPr>
          <w:p w14:paraId="76F7C470" w14:textId="77777777" w:rsidR="000D4A2E" w:rsidRPr="00DF1831" w:rsidRDefault="000D4A2E" w:rsidP="003F7C4A">
            <w:pPr>
              <w:spacing w:line="240" w:lineRule="auto"/>
              <w:rPr>
                <w:rFonts w:ascii="Times New Roman" w:hAnsi="Times New Roman"/>
              </w:rPr>
            </w:pPr>
            <w:r w:rsidRPr="00DF1831">
              <w:rPr>
                <w:rFonts w:ascii="Times New Roman" w:eastAsia="Times New Roman" w:hAnsi="Times New Roman"/>
              </w:rPr>
              <w:t>Polska Agencja Rozwoju Przedsiębiorczości – „</w:t>
            </w:r>
            <w:r w:rsidRPr="00DF1831">
              <w:rPr>
                <w:rFonts w:ascii="Times New Roman" w:eastAsia="Times New Roman" w:hAnsi="Times New Roman"/>
                <w:i/>
              </w:rPr>
              <w:t>Raport o stanie sektora małych i średnich przedsiębiorstw w Polsce</w:t>
            </w:r>
            <w:r w:rsidRPr="00DF1831"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1A37EAC3" w14:textId="77777777" w:rsidR="000D4A2E" w:rsidRPr="00DF1831" w:rsidRDefault="000D4A2E" w:rsidP="003F7C4A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1831">
              <w:rPr>
                <w:rFonts w:ascii="Times New Roman" w:eastAsia="Times New Roman" w:hAnsi="Times New Roman"/>
                <w:lang w:eastAsia="pl-PL"/>
              </w:rPr>
              <w:t xml:space="preserve">Zwiększenie bezpieczeństwa dostaw energii elektrycznej, </w:t>
            </w:r>
          </w:p>
          <w:p w14:paraId="6E35E7DF" w14:textId="77777777" w:rsidR="000D4A2E" w:rsidRPr="00DF1831" w:rsidRDefault="000D4A2E" w:rsidP="003F7C4A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1831">
              <w:rPr>
                <w:rFonts w:ascii="Times New Roman" w:eastAsia="Times New Roman" w:hAnsi="Times New Roman"/>
                <w:lang w:eastAsia="pl-PL"/>
              </w:rPr>
              <w:t>możliwość rozwoju sektora przemysłu związanego z budową i eksploatacją morskich farm wiatrowych.</w:t>
            </w:r>
          </w:p>
          <w:p w14:paraId="250D3639" w14:textId="77777777" w:rsidR="000D4A2E" w:rsidRPr="00DF1831" w:rsidRDefault="000D4A2E" w:rsidP="003F7C4A">
            <w:pPr>
              <w:spacing w:line="240" w:lineRule="auto"/>
              <w:rPr>
                <w:rFonts w:ascii="Times New Roman" w:hAnsi="Times New Roman"/>
              </w:rPr>
            </w:pPr>
            <w:r w:rsidRPr="00DF1831">
              <w:rPr>
                <w:rFonts w:ascii="Times New Roman" w:eastAsia="Times New Roman" w:hAnsi="Times New Roman"/>
                <w:lang w:eastAsia="pl-PL"/>
              </w:rPr>
              <w:t>Dostęp do dużych ilości energii ze źródeł odnawialnych na potrzeby prowadzonej działalności gospodarczej.</w:t>
            </w:r>
          </w:p>
        </w:tc>
      </w:tr>
      <w:tr w:rsidR="000D4A2E" w:rsidRPr="008B4FE6" w14:paraId="38FDCAC1" w14:textId="77777777" w:rsidTr="003F7C4A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3C8A39BF" w14:textId="6783759C" w:rsidR="000D4A2E" w:rsidRPr="00DF1831" w:rsidRDefault="000D4A2E" w:rsidP="003F7C4A">
            <w:pPr>
              <w:spacing w:line="240" w:lineRule="auto"/>
              <w:rPr>
                <w:rFonts w:ascii="Times New Roman" w:hAnsi="Times New Roman"/>
              </w:rPr>
            </w:pPr>
            <w:r w:rsidRPr="00DF1831">
              <w:rPr>
                <w:rFonts w:ascii="Times New Roman" w:eastAsia="Times New Roman" w:hAnsi="Times New Roman"/>
              </w:rPr>
              <w:lastRenderedPageBreak/>
              <w:t>duże przedsiębiorstwa</w:t>
            </w:r>
          </w:p>
        </w:tc>
        <w:tc>
          <w:tcPr>
            <w:tcW w:w="2382" w:type="dxa"/>
            <w:gridSpan w:val="8"/>
            <w:shd w:val="clear" w:color="auto" w:fill="auto"/>
          </w:tcPr>
          <w:p w14:paraId="1DD61C18" w14:textId="77777777" w:rsidR="000D4A2E" w:rsidRPr="00DF1831" w:rsidRDefault="000D4A2E" w:rsidP="003F7C4A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DF1831">
              <w:rPr>
                <w:rFonts w:eastAsia="Times New Roman"/>
                <w:color w:val="auto"/>
                <w:sz w:val="22"/>
                <w:szCs w:val="22"/>
              </w:rPr>
              <w:t>3,6 tys.</w:t>
            </w:r>
          </w:p>
          <w:p w14:paraId="3A00980A" w14:textId="77777777" w:rsidR="000D4A2E" w:rsidRPr="00DF1831" w:rsidRDefault="000D4A2E" w:rsidP="003F7C4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50" w:type="dxa"/>
            <w:gridSpan w:val="12"/>
            <w:shd w:val="clear" w:color="auto" w:fill="auto"/>
          </w:tcPr>
          <w:p w14:paraId="43D590DF" w14:textId="77777777" w:rsidR="000D4A2E" w:rsidRPr="00DF1831" w:rsidRDefault="000D4A2E" w:rsidP="003F7C4A">
            <w:pPr>
              <w:spacing w:line="240" w:lineRule="auto"/>
              <w:rPr>
                <w:rFonts w:ascii="Times New Roman" w:hAnsi="Times New Roman"/>
              </w:rPr>
            </w:pPr>
            <w:r w:rsidRPr="00DF1831">
              <w:rPr>
                <w:rFonts w:ascii="Times New Roman" w:eastAsia="Times New Roman" w:hAnsi="Times New Roman"/>
              </w:rPr>
              <w:t>Polska Agencja Rozwoju Przedsiębiorczości – „</w:t>
            </w:r>
            <w:r w:rsidRPr="00DF1831">
              <w:rPr>
                <w:rFonts w:ascii="Times New Roman" w:eastAsia="Times New Roman" w:hAnsi="Times New Roman"/>
                <w:i/>
              </w:rPr>
              <w:t>Raport o stanie sektora małych i średnich przedsiębiorstw w Polsce</w:t>
            </w:r>
            <w:r w:rsidRPr="00DF1831"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7323A1A9" w14:textId="77777777" w:rsidR="000D4A2E" w:rsidRPr="00DF1831" w:rsidRDefault="000D4A2E" w:rsidP="003F7C4A">
            <w:pPr>
              <w:spacing w:line="240" w:lineRule="auto"/>
              <w:rPr>
                <w:rFonts w:ascii="Times New Roman" w:hAnsi="Times New Roman"/>
              </w:rPr>
            </w:pPr>
            <w:r w:rsidRPr="00DF1831">
              <w:rPr>
                <w:rFonts w:ascii="Times New Roman" w:eastAsia="Times New Roman" w:hAnsi="Times New Roman"/>
                <w:lang w:eastAsia="pl-PL"/>
              </w:rPr>
              <w:t>Zwiększenie bezpieczeństwa dostaw energii elektrycznej, możliwość rozwoju sektora przemysłu związanego z budową i eksploatacją morskich farm wiatrowych. Dostęp do dużych ilości energii ze źródeł odnawialnych na potrzeby prowadzonej działalności gospodarczej.</w:t>
            </w:r>
          </w:p>
        </w:tc>
      </w:tr>
      <w:tr w:rsidR="000D4A2E" w:rsidRPr="008B4FE6" w14:paraId="1DFFC330" w14:textId="77777777" w:rsidTr="003F7C4A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7B58196A" w14:textId="77777777" w:rsidR="000D4A2E" w:rsidRPr="00DF1831" w:rsidRDefault="000D4A2E" w:rsidP="003F7C4A">
            <w:pPr>
              <w:spacing w:line="240" w:lineRule="auto"/>
              <w:rPr>
                <w:rFonts w:ascii="Times New Roman" w:hAnsi="Times New Roman"/>
              </w:rPr>
            </w:pPr>
            <w:r w:rsidRPr="00DF1831">
              <w:rPr>
                <w:rFonts w:ascii="Times New Roman" w:eastAsia="Times New Roman" w:hAnsi="Times New Roman"/>
              </w:rPr>
              <w:t>PSE S.A.</w:t>
            </w:r>
          </w:p>
        </w:tc>
        <w:tc>
          <w:tcPr>
            <w:tcW w:w="2382" w:type="dxa"/>
            <w:gridSpan w:val="8"/>
            <w:shd w:val="clear" w:color="auto" w:fill="auto"/>
          </w:tcPr>
          <w:p w14:paraId="7DD3E666" w14:textId="77777777" w:rsidR="000D4A2E" w:rsidRPr="00DF1831" w:rsidRDefault="000D4A2E" w:rsidP="003F7C4A">
            <w:pPr>
              <w:spacing w:line="240" w:lineRule="auto"/>
              <w:rPr>
                <w:rFonts w:ascii="Times New Roman" w:hAnsi="Times New Roman"/>
              </w:rPr>
            </w:pPr>
            <w:r w:rsidRPr="00DF183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50" w:type="dxa"/>
            <w:gridSpan w:val="12"/>
            <w:shd w:val="clear" w:color="auto" w:fill="auto"/>
          </w:tcPr>
          <w:p w14:paraId="453AD0AA" w14:textId="5FF88B1A" w:rsidR="000D4A2E" w:rsidRPr="00DF1831" w:rsidRDefault="00A6793C" w:rsidP="003F7C4A">
            <w:pPr>
              <w:spacing w:line="240" w:lineRule="auto"/>
              <w:rPr>
                <w:rFonts w:ascii="Times New Roman" w:hAnsi="Times New Roman"/>
              </w:rPr>
            </w:pPr>
            <w:r>
              <w:t xml:space="preserve"> </w:t>
            </w:r>
            <w:r w:rsidRPr="00A6793C">
              <w:rPr>
                <w:rFonts w:ascii="Times New Roman" w:eastAsia="Times New Roman" w:hAnsi="Times New Roman"/>
              </w:rPr>
              <w:t>ocena skutków regulacji ustawy o promowaniu wytwarzania energii w morskich farmach wiatrowych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7C63DC1A" w14:textId="77777777" w:rsidR="000D4A2E" w:rsidRPr="00DF1831" w:rsidRDefault="000D4A2E" w:rsidP="003F7C4A">
            <w:pPr>
              <w:spacing w:line="240" w:lineRule="auto"/>
              <w:rPr>
                <w:rFonts w:ascii="Times New Roman" w:hAnsi="Times New Roman"/>
              </w:rPr>
            </w:pPr>
            <w:r w:rsidRPr="00DF1831">
              <w:rPr>
                <w:rFonts w:ascii="Times New Roman" w:eastAsia="Times New Roman" w:hAnsi="Times New Roman"/>
              </w:rPr>
              <w:t>Nałożenie nowych obowiązków związanych z funkcjonowaniem nowego mechanizmu wsparcia morskich farm wiatrowych, a także konieczność zintensyfikowania prac związanych z rozbudową sieci elektroenergetycznej niezbędną na potrzeby przyłączenia morskich farm  wiatrowych.</w:t>
            </w:r>
          </w:p>
        </w:tc>
      </w:tr>
      <w:tr w:rsidR="000D4A2E" w:rsidRPr="00BF265D" w14:paraId="7AB10542" w14:textId="77777777" w:rsidTr="003F7C4A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77EFD815" w14:textId="0130EB34" w:rsidR="000D4A2E" w:rsidRPr="00BF265D" w:rsidRDefault="00A6793C" w:rsidP="003F7C4A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Zarządca</w:t>
            </w:r>
            <w:r w:rsidRPr="00BF265D">
              <w:rPr>
                <w:rFonts w:ascii="Times New Roman" w:eastAsia="Times New Roman" w:hAnsi="Times New Roman"/>
              </w:rPr>
              <w:t xml:space="preserve"> </w:t>
            </w:r>
            <w:r w:rsidR="000D4A2E" w:rsidRPr="00BF265D">
              <w:rPr>
                <w:rFonts w:ascii="Times New Roman" w:eastAsia="Times New Roman" w:hAnsi="Times New Roman"/>
              </w:rPr>
              <w:t xml:space="preserve">rozliczeń </w:t>
            </w:r>
          </w:p>
        </w:tc>
        <w:tc>
          <w:tcPr>
            <w:tcW w:w="2382" w:type="dxa"/>
            <w:gridSpan w:val="8"/>
            <w:shd w:val="clear" w:color="auto" w:fill="auto"/>
          </w:tcPr>
          <w:p w14:paraId="4741A10E" w14:textId="77777777" w:rsidR="000D4A2E" w:rsidRPr="00BF265D" w:rsidRDefault="000D4A2E" w:rsidP="003F7C4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BF265D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2950" w:type="dxa"/>
            <w:gridSpan w:val="12"/>
            <w:shd w:val="clear" w:color="auto" w:fill="auto"/>
          </w:tcPr>
          <w:p w14:paraId="3BCC60A4" w14:textId="5CFD3F2F" w:rsidR="000D4A2E" w:rsidRPr="00DF1831" w:rsidRDefault="00A6793C" w:rsidP="003F7C4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6793C">
              <w:rPr>
                <w:rFonts w:ascii="Times New Roman" w:eastAsia="Times New Roman" w:hAnsi="Times New Roman"/>
              </w:rPr>
              <w:t>ocena skutków regulacji ustawy o promowaniu wytwarzania energii w morskich farmach wiatrowych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2AA44327" w14:textId="77777777" w:rsidR="000D4A2E" w:rsidRPr="00BF265D" w:rsidRDefault="000D4A2E" w:rsidP="003F7C4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BF265D">
              <w:rPr>
                <w:rFonts w:ascii="Times New Roman" w:eastAsia="Times New Roman" w:hAnsi="Times New Roman"/>
              </w:rPr>
              <w:t>Nałożenie nowych obowiązków związanych z funkcjonowaniem nowego mechanizmu wsparcia morskich farm wiatrowych, w tym w zakresie rozliczania ujemnego salda wobec nowych podmiotów (w związku z niewielką liczbą podmiotów, które będą obsługiwane w ramach nowego mechanizmu wsparcia, obciążenie to nie powinno być istotne – w odniesieniu do funkcjonującego mechanizmu wsparcia dla odnawialnych źródeł energii)</w:t>
            </w:r>
          </w:p>
        </w:tc>
      </w:tr>
      <w:tr w:rsidR="000D4A2E" w:rsidRPr="008B4FE6" w14:paraId="17386AEA" w14:textId="77777777" w:rsidTr="003F7C4A">
        <w:trPr>
          <w:trHeight w:val="302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7423A9DD" w14:textId="77777777" w:rsidR="000D4A2E" w:rsidRPr="008B4FE6" w:rsidRDefault="000D4A2E" w:rsidP="00E32CA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0D4A2E" w:rsidRPr="008B4FE6" w14:paraId="6860C3F3" w14:textId="77777777" w:rsidTr="003F7C4A">
        <w:trPr>
          <w:trHeight w:val="342"/>
        </w:trPr>
        <w:tc>
          <w:tcPr>
            <w:tcW w:w="10947" w:type="dxa"/>
            <w:gridSpan w:val="29"/>
            <w:shd w:val="clear" w:color="auto" w:fill="FFFFFF"/>
          </w:tcPr>
          <w:p w14:paraId="08C02E5D" w14:textId="0347280A" w:rsidR="00A2471E" w:rsidRDefault="00A2471E" w:rsidP="00A247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9080C">
              <w:rPr>
                <w:rFonts w:ascii="Times New Roman" w:hAnsi="Times New Roman"/>
                <w:color w:val="000000"/>
                <w:spacing w:val="-2"/>
              </w:rPr>
              <w:t>Metodyka wyliczenia ceny maksymalnej była przedmiotem prac Zespołu do spraw przygotowania metodyki wyliczenia ceny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9080C">
              <w:rPr>
                <w:rFonts w:ascii="Times New Roman" w:hAnsi="Times New Roman"/>
                <w:color w:val="000000"/>
                <w:spacing w:val="-2"/>
              </w:rPr>
              <w:t>maksymalnej za energię elektryczną wytworzoną w morskich farmach wiatrowych i wprowadzoną do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9080C">
              <w:rPr>
                <w:rFonts w:ascii="Times New Roman" w:hAnsi="Times New Roman"/>
                <w:color w:val="000000"/>
                <w:spacing w:val="-2"/>
              </w:rPr>
              <w:t>sieci w złotych za 1</w:t>
            </w:r>
            <w:r w:rsidR="003516C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9080C">
              <w:rPr>
                <w:rFonts w:ascii="Times New Roman" w:hAnsi="Times New Roman"/>
                <w:color w:val="000000"/>
                <w:spacing w:val="-2"/>
              </w:rPr>
              <w:t>MWh, będąc</w:t>
            </w:r>
            <w:r w:rsidR="00057EF5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C9080C">
              <w:rPr>
                <w:rFonts w:ascii="Times New Roman" w:hAnsi="Times New Roman"/>
                <w:color w:val="000000"/>
                <w:spacing w:val="-2"/>
              </w:rPr>
              <w:t xml:space="preserve"> podstawą rozliczenia prawa do pokrycia salda ujemnego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C9195B2" w14:textId="77777777" w:rsidR="00A669F7" w:rsidRPr="00A2471E" w:rsidRDefault="00A669F7" w:rsidP="00A247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934980A" w14:textId="499FC2D9" w:rsidR="00A2471E" w:rsidRDefault="00A2471E" w:rsidP="00A2471E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2471E">
              <w:rPr>
                <w:color w:val="000000"/>
                <w:sz w:val="22"/>
                <w:szCs w:val="22"/>
              </w:rPr>
              <w:t>Zgodnie z ustawą projekt rozporządzenia wymaga również zasięgnięcia opinii ministra właściwego do spraw aktywów państwowych.</w:t>
            </w:r>
          </w:p>
          <w:p w14:paraId="1102DB99" w14:textId="77777777" w:rsidR="00DB460B" w:rsidRDefault="00DB460B" w:rsidP="00A2471E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26B91EE4" w14:textId="6FC0ADDF" w:rsidR="00A2471E" w:rsidRDefault="00A2471E" w:rsidP="00A2471E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Projekt nie był przedmiotem </w:t>
            </w:r>
            <w:proofErr w:type="spellStart"/>
            <w:r>
              <w:rPr>
                <w:color w:val="000000"/>
                <w:sz w:val="22"/>
                <w:szCs w:val="22"/>
              </w:rPr>
              <w:t>pre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-konsultacji. </w:t>
            </w:r>
          </w:p>
          <w:p w14:paraId="4DDB2EB6" w14:textId="77777777" w:rsidR="00A669F7" w:rsidRDefault="00A669F7" w:rsidP="00A2471E">
            <w:pPr>
              <w:pStyle w:val="NormalnyWeb"/>
              <w:spacing w:before="0" w:beforeAutospacing="0" w:after="0" w:afterAutospacing="0"/>
              <w:jc w:val="both"/>
            </w:pPr>
          </w:p>
          <w:p w14:paraId="26E2E533" w14:textId="6C9BC8C4" w:rsidR="00A2471E" w:rsidRDefault="00A2471E" w:rsidP="00A2471E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Projekt, zgodnie z art. 5 ustawy z dnia 7 lipca 2005 r. o działalności lobbingowej w procesie stanowienia prawa i § 52 uchwały nr 190 Rady Ministrów z dnia 29 października 2013 r. – Regulamin pracy Rady Ministrów, zostanie udostępniony w Biuletynie Informacji Publicznej, na stronie podmiotowej Rządowego Centrum Legislacji, w serwisie Rządowy Proces Legislacyjny. </w:t>
            </w:r>
          </w:p>
          <w:p w14:paraId="2F720070" w14:textId="77777777" w:rsidR="00A669F7" w:rsidRDefault="00A669F7" w:rsidP="00A2471E">
            <w:pPr>
              <w:pStyle w:val="NormalnyWeb"/>
              <w:spacing w:before="0" w:beforeAutospacing="0" w:after="0" w:afterAutospacing="0"/>
              <w:jc w:val="both"/>
            </w:pPr>
          </w:p>
          <w:p w14:paraId="73822DBA" w14:textId="3943BDAF" w:rsidR="00A2471E" w:rsidRDefault="00A2471E" w:rsidP="00A2471E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 xml:space="preserve">Projekt zostanie przekazany do konsultacji do następujących podmiotów: </w:t>
            </w:r>
          </w:p>
          <w:p w14:paraId="64212690" w14:textId="637F430A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Agencja Rozwoju Przemysłu</w:t>
            </w:r>
            <w:r w:rsidR="00C831F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6D15507" w14:textId="243BB92B" w:rsidR="00A2471E" w:rsidRPr="00602D2D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602D2D">
              <w:rPr>
                <w:rFonts w:ascii="Times New Roman" w:hAnsi="Times New Roman"/>
                <w:color w:val="000000"/>
                <w:spacing w:val="-2"/>
                <w:lang w:val="en-GB"/>
              </w:rPr>
              <w:t>Baltic Power</w:t>
            </w:r>
            <w:r w:rsidR="00C831F7">
              <w:rPr>
                <w:rFonts w:ascii="Times New Roman" w:hAnsi="Times New Roman"/>
                <w:color w:val="000000"/>
                <w:spacing w:val="-2"/>
                <w:lang w:val="en-GB"/>
              </w:rPr>
              <w:t>;</w:t>
            </w:r>
          </w:p>
          <w:p w14:paraId="07B7CAE8" w14:textId="223B6018" w:rsidR="00A2471E" w:rsidRPr="00602D2D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en-GB"/>
              </w:rPr>
            </w:pPr>
            <w:r w:rsidRPr="00602D2D">
              <w:rPr>
                <w:rFonts w:ascii="Times New Roman" w:hAnsi="Times New Roman"/>
                <w:color w:val="000000"/>
                <w:spacing w:val="-2"/>
                <w:lang w:val="en-GB"/>
              </w:rPr>
              <w:t>Baltic Trade and Invest</w:t>
            </w:r>
            <w:r w:rsidR="00C831F7">
              <w:rPr>
                <w:rFonts w:ascii="Times New Roman" w:hAnsi="Times New Roman"/>
                <w:color w:val="000000"/>
                <w:spacing w:val="-2"/>
                <w:lang w:val="en-GB"/>
              </w:rPr>
              <w:t>;</w:t>
            </w:r>
          </w:p>
          <w:p w14:paraId="30EFE632" w14:textId="5AE23868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Bank Gospodarstwa Krajowego</w:t>
            </w:r>
            <w:r w:rsidR="00C831F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E5EE3AD" w14:textId="339AD6C2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lastRenderedPageBreak/>
              <w:t>Enea</w:t>
            </w:r>
            <w:r w:rsidR="00C831F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9516A0C" w14:textId="562D964F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DF1831">
              <w:rPr>
                <w:rFonts w:ascii="Times New Roman" w:hAnsi="Times New Roman"/>
                <w:color w:val="000000"/>
                <w:spacing w:val="-2"/>
              </w:rPr>
              <w:t>Equinor</w:t>
            </w:r>
            <w:proofErr w:type="spellEnd"/>
            <w:r w:rsidR="00C831F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35E0E1F" w14:textId="77777777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Izba Energetyki Przemysłowej i Odbiorców Energii;</w:t>
            </w:r>
          </w:p>
          <w:p w14:paraId="2A50AB35" w14:textId="77777777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Izba Gospodarcza Energetyki i Ochrony Środowiska;</w:t>
            </w:r>
          </w:p>
          <w:p w14:paraId="60B7D608" w14:textId="77777777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Krajowa Izba Gospodarcza;</w:t>
            </w:r>
          </w:p>
          <w:p w14:paraId="079AE0EE" w14:textId="77777777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Krajowa Izba Gospodarki Morskiej;</w:t>
            </w:r>
          </w:p>
          <w:p w14:paraId="5BB3ACC7" w14:textId="77777777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DF1831">
              <w:rPr>
                <w:rFonts w:ascii="Times New Roman" w:hAnsi="Times New Roman"/>
                <w:color w:val="000000"/>
                <w:spacing w:val="-2"/>
              </w:rPr>
              <w:t>Northland</w:t>
            </w:r>
            <w:proofErr w:type="spellEnd"/>
            <w:r w:rsidRPr="00DF1831">
              <w:rPr>
                <w:rFonts w:ascii="Times New Roman" w:hAnsi="Times New Roman"/>
                <w:color w:val="000000"/>
                <w:spacing w:val="-2"/>
              </w:rPr>
              <w:t xml:space="preserve"> Power;</w:t>
            </w:r>
          </w:p>
          <w:p w14:paraId="16F82F7A" w14:textId="2DEC39A1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 xml:space="preserve">Ocean </w:t>
            </w:r>
            <w:proofErr w:type="spellStart"/>
            <w:r w:rsidRPr="00DF1831">
              <w:rPr>
                <w:rFonts w:ascii="Times New Roman" w:hAnsi="Times New Roman"/>
                <w:color w:val="000000"/>
                <w:spacing w:val="-2"/>
              </w:rPr>
              <w:t>Winds</w:t>
            </w:r>
            <w:proofErr w:type="spellEnd"/>
            <w:r w:rsidR="00C831F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A422559" w14:textId="7C02524D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DF1831">
              <w:rPr>
                <w:rFonts w:ascii="Times New Roman" w:hAnsi="Times New Roman"/>
                <w:color w:val="000000"/>
                <w:spacing w:val="-2"/>
              </w:rPr>
              <w:t>Ørsted</w:t>
            </w:r>
            <w:proofErr w:type="spellEnd"/>
            <w:r w:rsidR="00C831F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69FB2DA" w14:textId="5B67AA74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 xml:space="preserve">PGE </w:t>
            </w:r>
            <w:proofErr w:type="spellStart"/>
            <w:r w:rsidRPr="00DF1831">
              <w:rPr>
                <w:rFonts w:ascii="Times New Roman" w:hAnsi="Times New Roman"/>
                <w:color w:val="000000"/>
                <w:spacing w:val="-2"/>
              </w:rPr>
              <w:t>Baltic</w:t>
            </w:r>
            <w:proofErr w:type="spellEnd"/>
            <w:r w:rsidR="00C831F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79D4823" w14:textId="602C68D0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PGE</w:t>
            </w:r>
            <w:r w:rsidR="00C831F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7E5329F" w14:textId="6980176E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PKN ORLEN</w:t>
            </w:r>
            <w:r w:rsidR="00C831F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ED3B14F" w14:textId="6023ACF4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DF1831">
              <w:rPr>
                <w:rFonts w:ascii="Times New Roman" w:hAnsi="Times New Roman"/>
                <w:color w:val="000000"/>
                <w:spacing w:val="-2"/>
              </w:rPr>
              <w:t>Polenergia</w:t>
            </w:r>
            <w:proofErr w:type="spellEnd"/>
            <w:r w:rsidR="00C831F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A4622B5" w14:textId="77777777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Polska Izba Gospodarcza Energii Odnawialnej i Rozproszonej;</w:t>
            </w:r>
          </w:p>
          <w:p w14:paraId="0FAE28BD" w14:textId="6B7BF0B2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Polski Fundusz Rozwoj</w:t>
            </w:r>
            <w:r w:rsidR="00C831F7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DF1831">
              <w:rPr>
                <w:rFonts w:ascii="Times New Roman" w:hAnsi="Times New Roman"/>
                <w:color w:val="000000"/>
                <w:spacing w:val="-2"/>
              </w:rPr>
              <w:t>.;</w:t>
            </w:r>
          </w:p>
          <w:p w14:paraId="275D89DE" w14:textId="77777777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Polski Komitet Energii Elektrycznej;</w:t>
            </w:r>
          </w:p>
          <w:p w14:paraId="4A7ECDC2" w14:textId="5BD100D6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Polskie Sieci Elektroenergetyczne;</w:t>
            </w:r>
          </w:p>
          <w:p w14:paraId="7DA86995" w14:textId="77777777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Polskie Stowarzyszenie Energetyki Wiatrowej;</w:t>
            </w:r>
          </w:p>
          <w:p w14:paraId="40E77EBA" w14:textId="77777777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Polskie Towarzystwo Morskiej Energetyki Wiatrowej;</w:t>
            </w:r>
          </w:p>
          <w:p w14:paraId="4A48FAC0" w14:textId="7C19F6D1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RWE</w:t>
            </w:r>
            <w:r w:rsidR="00C831F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CC872DC" w14:textId="7C9B0C73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Sea Wind;</w:t>
            </w:r>
          </w:p>
          <w:p w14:paraId="60EB5D54" w14:textId="77777777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Stowarzyszenie Branży Elektroenergetycznej;</w:t>
            </w:r>
          </w:p>
          <w:p w14:paraId="40683FA6" w14:textId="77777777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Stowarzyszenie Energii Odnawialnej;</w:t>
            </w:r>
          </w:p>
          <w:p w14:paraId="7A5E9EDD" w14:textId="05CE5EF8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Synthos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Green Energy</w:t>
            </w:r>
            <w:r w:rsidR="00C831F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B018324" w14:textId="40974211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Tauron;</w:t>
            </w:r>
          </w:p>
          <w:p w14:paraId="2410C37D" w14:textId="77777777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Towarzystwo Gospodarcze Polskie Elektrownie;</w:t>
            </w:r>
          </w:p>
          <w:p w14:paraId="322849DC" w14:textId="77777777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Towarzystwo Obrotu Energią;</w:t>
            </w:r>
          </w:p>
          <w:p w14:paraId="4EA64048" w14:textId="2F04AD26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Vattenfall Poland;</w:t>
            </w:r>
          </w:p>
          <w:p w14:paraId="5AFCEF4F" w14:textId="379C6004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Zarządca Rozliczeń</w:t>
            </w:r>
          </w:p>
          <w:p w14:paraId="34758BC8" w14:textId="79936C6C" w:rsidR="00A2471E" w:rsidRPr="00DF1831" w:rsidRDefault="00A2471E" w:rsidP="00C831F7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1831">
              <w:rPr>
                <w:rFonts w:ascii="Times New Roman" w:hAnsi="Times New Roman"/>
                <w:color w:val="000000"/>
                <w:spacing w:val="-2"/>
              </w:rPr>
              <w:t>Związek Banków Polskich</w:t>
            </w:r>
            <w:r w:rsidR="00C831F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2B6F9F7" w14:textId="69472A3A" w:rsidR="00A2471E" w:rsidRDefault="00A2471E" w:rsidP="00A2471E">
            <w:pPr>
              <w:pStyle w:val="Akapitzlist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DEAD21C" w14:textId="612BB4D0" w:rsidR="00C831F7" w:rsidRPr="00CB6F96" w:rsidRDefault="00C831F7" w:rsidP="00C831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>rojekt zostanie przekazany do zaopiniowania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>następującym podmiotom:</w:t>
            </w:r>
          </w:p>
          <w:p w14:paraId="095BEE55" w14:textId="2256B62F" w:rsidR="00C831F7" w:rsidRDefault="00C831F7" w:rsidP="00C831F7">
            <w:pPr>
              <w:pStyle w:val="Akapitzlist"/>
              <w:numPr>
                <w:ilvl w:val="0"/>
                <w:numId w:val="9"/>
              </w:numPr>
              <w:spacing w:line="240" w:lineRule="auto"/>
              <w:ind w:left="202" w:hanging="20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Pełnomocnik Rządu ds. Strategicznej Infrastruktury Energetycznej;</w:t>
            </w:r>
          </w:p>
          <w:p w14:paraId="26D2DB91" w14:textId="1294D8F1" w:rsidR="00C831F7" w:rsidRPr="00CB6F96" w:rsidRDefault="00C831F7" w:rsidP="00C831F7">
            <w:pPr>
              <w:pStyle w:val="Akapitzlist"/>
              <w:numPr>
                <w:ilvl w:val="0"/>
                <w:numId w:val="9"/>
              </w:numPr>
              <w:spacing w:line="240" w:lineRule="auto"/>
              <w:ind w:left="202" w:hanging="20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Prokuratoria Generalna;</w:t>
            </w:r>
          </w:p>
          <w:p w14:paraId="023E155C" w14:textId="73535F21" w:rsidR="00C831F7" w:rsidRDefault="00C831F7" w:rsidP="00C831F7">
            <w:pPr>
              <w:pStyle w:val="Akapitzlist"/>
              <w:numPr>
                <w:ilvl w:val="0"/>
                <w:numId w:val="9"/>
              </w:numPr>
              <w:spacing w:line="240" w:lineRule="auto"/>
              <w:ind w:left="202" w:hanging="20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831F7">
              <w:rPr>
                <w:rFonts w:ascii="Times New Roman" w:hAnsi="Times New Roman"/>
                <w:color w:val="000000"/>
                <w:spacing w:val="-2"/>
              </w:rPr>
              <w:t>Urząd Ochrony Konkurencji i Konsumentów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2C60912" w14:textId="60755D10" w:rsidR="00C831F7" w:rsidRDefault="00C831F7" w:rsidP="00C831F7">
            <w:pPr>
              <w:pStyle w:val="Akapitzlist"/>
              <w:numPr>
                <w:ilvl w:val="0"/>
                <w:numId w:val="9"/>
              </w:numPr>
              <w:spacing w:line="240" w:lineRule="auto"/>
              <w:ind w:left="202" w:hanging="20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Urząd Regulacji Energetyki.</w:t>
            </w:r>
          </w:p>
          <w:p w14:paraId="6A2BD081" w14:textId="77777777" w:rsidR="00C831F7" w:rsidRPr="00B37C80" w:rsidRDefault="00C831F7" w:rsidP="00A2471E">
            <w:pPr>
              <w:pStyle w:val="Akapitzlist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B8A65AA" w14:textId="35AF2B1D" w:rsidR="00A2471E" w:rsidRDefault="00A2471E" w:rsidP="00A669F7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uwagi na zakres projektu, który nie dotyczy zadań związków zawodowych, nie podlega opiniowaniu przez reprezentatywne związki zawodowe. Z uwagi na zakres projektu, który nie dotyczy praw i interesów związków pracodawców, projekt nie podlega opiniowaniu przez reprezentatywne organizacje pracodawców. </w:t>
            </w:r>
          </w:p>
          <w:p w14:paraId="1C15C9A9" w14:textId="77777777" w:rsidR="00DB460B" w:rsidRDefault="00DB460B" w:rsidP="00A669F7">
            <w:pPr>
              <w:pStyle w:val="NormalnyWeb"/>
              <w:spacing w:before="0" w:beforeAutospacing="0" w:after="0" w:afterAutospacing="0"/>
              <w:jc w:val="both"/>
            </w:pPr>
          </w:p>
          <w:p w14:paraId="076B3441" w14:textId="546F71F9" w:rsidR="00A2471E" w:rsidRDefault="00A2471E" w:rsidP="00A2471E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Projekt nie podlega opiniowaniu przez Komisję Wspólną Rządu i Samorządu Terytorialnego, gdyż nie dotyczy spraw związanych z samorządem terytorialnym, o których mowa w ustawie z dnia 6 maja 2005 r. o Komisji Wspólnej Rządu i</w:t>
            </w:r>
            <w:r w:rsidR="00B22DD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Samorządu Terytorialnego oraz o przedstawicielach Rzeczypospolitej Polskiej w Komitecie Regionów Unii Europejskiej. </w:t>
            </w:r>
          </w:p>
          <w:p w14:paraId="36D53683" w14:textId="77777777" w:rsidR="00DB460B" w:rsidRDefault="00DB460B" w:rsidP="00A2471E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36C06114" w14:textId="0AE60EDF" w:rsidR="00A2471E" w:rsidRDefault="00A2471E" w:rsidP="00A2471E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Projekt nie dotyczy spraw, o których mowa w art. 1 ustawy z dnia 24 lipca 2015 r. o Radzie Dialogu Społecznego i innych instytucji dialogu społecznego, wobec czego nie wymaga zaopiniowania przez RDS.</w:t>
            </w:r>
            <w:r>
              <w:t xml:space="preserve"> </w:t>
            </w:r>
          </w:p>
          <w:p w14:paraId="4AEEFC0B" w14:textId="77777777" w:rsidR="00A669F7" w:rsidRDefault="00A669F7" w:rsidP="00A2471E">
            <w:pPr>
              <w:pStyle w:val="NormalnyWeb"/>
              <w:spacing w:before="0" w:beforeAutospacing="0" w:after="0" w:afterAutospacing="0"/>
              <w:jc w:val="both"/>
            </w:pPr>
          </w:p>
          <w:p w14:paraId="0D591057" w14:textId="405D7B82" w:rsidR="00A2471E" w:rsidRDefault="00A2471E" w:rsidP="00A2471E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Projekt</w:t>
            </w:r>
            <w:r w:rsidR="00A669F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rozporządzenia nie wymaga przedstawienia właściwym instytucjom i organom Unii Europejskiej, w tym Europejskiemu Bankowi Centralnemu, celem uzyskania opinii, dokonania powiadomienia, konsultacji albo uzgodnienia projektu.</w:t>
            </w:r>
            <w:r>
              <w:t xml:space="preserve"> </w:t>
            </w:r>
          </w:p>
          <w:p w14:paraId="5D5813F3" w14:textId="77777777" w:rsidR="00A669F7" w:rsidRDefault="00A669F7" w:rsidP="00A2471E">
            <w:pPr>
              <w:pStyle w:val="NormalnyWeb"/>
              <w:spacing w:before="0" w:beforeAutospacing="0" w:after="0" w:afterAutospacing="0"/>
              <w:jc w:val="both"/>
            </w:pPr>
          </w:p>
          <w:p w14:paraId="7127B28D" w14:textId="77777777" w:rsidR="000D4A2E" w:rsidRDefault="00A2471E" w:rsidP="00A2471E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Wyniki opiniowania i konsultacji publicznych zostaną omówione w raporcie z opiniowania i konsultacji publicznych udostępnionym na stronie Rządowego Centrum Legislacji, w zakładce Rządowy Proces Legislacyjny.</w:t>
            </w:r>
            <w:r>
              <w:t xml:space="preserve"> </w:t>
            </w:r>
          </w:p>
          <w:p w14:paraId="61DFF903" w14:textId="7B61601E" w:rsidR="00C831F7" w:rsidRPr="00A2471E" w:rsidRDefault="00C831F7" w:rsidP="00A2471E">
            <w:pPr>
              <w:pStyle w:val="NormalnyWeb"/>
              <w:spacing w:before="0" w:beforeAutospacing="0" w:after="0" w:afterAutospacing="0"/>
              <w:jc w:val="both"/>
            </w:pPr>
          </w:p>
        </w:tc>
      </w:tr>
      <w:tr w:rsidR="000D4A2E" w:rsidRPr="008B4FE6" w14:paraId="30F8B1CA" w14:textId="77777777" w:rsidTr="003F7C4A">
        <w:trPr>
          <w:trHeight w:val="363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634A35A4" w14:textId="77777777" w:rsidR="000D4A2E" w:rsidRPr="008B4FE6" w:rsidRDefault="000D4A2E" w:rsidP="00E32CA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0D4A2E" w:rsidRPr="008B4FE6" w14:paraId="6DE754D0" w14:textId="77777777" w:rsidTr="003F7C4A">
        <w:trPr>
          <w:trHeight w:val="142"/>
        </w:trPr>
        <w:tc>
          <w:tcPr>
            <w:tcW w:w="3127" w:type="dxa"/>
            <w:gridSpan w:val="4"/>
            <w:vMerge w:val="restart"/>
            <w:shd w:val="clear" w:color="auto" w:fill="FFFFFF"/>
          </w:tcPr>
          <w:p w14:paraId="4FC96AB9" w14:textId="77777777" w:rsidR="000D4A2E" w:rsidRPr="00C53F26" w:rsidRDefault="000D4A2E" w:rsidP="003F7C4A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20" w:type="dxa"/>
            <w:gridSpan w:val="25"/>
            <w:shd w:val="clear" w:color="auto" w:fill="FFFFFF"/>
          </w:tcPr>
          <w:p w14:paraId="7D101AF6" w14:textId="77777777" w:rsidR="000D4A2E" w:rsidRPr="00C53F26" w:rsidRDefault="000D4A2E" w:rsidP="003F7C4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0D4A2E" w:rsidRPr="008B4FE6" w14:paraId="538B0232" w14:textId="77777777" w:rsidTr="003F7C4A">
        <w:trPr>
          <w:trHeight w:val="142"/>
        </w:trPr>
        <w:tc>
          <w:tcPr>
            <w:tcW w:w="3127" w:type="dxa"/>
            <w:gridSpan w:val="4"/>
            <w:vMerge/>
            <w:shd w:val="clear" w:color="auto" w:fill="FFFFFF"/>
          </w:tcPr>
          <w:p w14:paraId="5EAD9CBB" w14:textId="77777777" w:rsidR="000D4A2E" w:rsidRPr="00C53F26" w:rsidRDefault="000D4A2E" w:rsidP="003F7C4A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shd w:val="clear" w:color="auto" w:fill="FFFFFF"/>
          </w:tcPr>
          <w:p w14:paraId="4562A4CC" w14:textId="77777777" w:rsidR="000D4A2E" w:rsidRPr="00C53F26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0" w:type="dxa"/>
            <w:gridSpan w:val="2"/>
            <w:shd w:val="clear" w:color="auto" w:fill="FFFFFF"/>
          </w:tcPr>
          <w:p w14:paraId="74591167" w14:textId="77777777" w:rsidR="000D4A2E" w:rsidRPr="00C53F26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17FDA0D2" w14:textId="77777777" w:rsidR="000D4A2E" w:rsidRPr="00C53F26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4" w:type="dxa"/>
            <w:gridSpan w:val="3"/>
            <w:shd w:val="clear" w:color="auto" w:fill="FFFFFF"/>
          </w:tcPr>
          <w:p w14:paraId="780F4A43" w14:textId="77777777" w:rsidR="000D4A2E" w:rsidRPr="00C53F26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7DA0F275" w14:textId="77777777" w:rsidR="000D4A2E" w:rsidRPr="00C53F26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282781A" w14:textId="77777777" w:rsidR="000D4A2E" w:rsidRPr="00C53F26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57" w:type="dxa"/>
            <w:gridSpan w:val="3"/>
            <w:shd w:val="clear" w:color="auto" w:fill="FFFFFF"/>
          </w:tcPr>
          <w:p w14:paraId="02465231" w14:textId="77777777" w:rsidR="000D4A2E" w:rsidRPr="00C53F26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56" w:type="dxa"/>
            <w:gridSpan w:val="3"/>
            <w:shd w:val="clear" w:color="auto" w:fill="FFFFFF"/>
          </w:tcPr>
          <w:p w14:paraId="5ECBE5FC" w14:textId="77777777" w:rsidR="000D4A2E" w:rsidRPr="00C53F26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4F42D9A0" w14:textId="77777777" w:rsidR="000D4A2E" w:rsidRPr="00C53F26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52A3C13D" w14:textId="77777777" w:rsidR="000D4A2E" w:rsidRPr="00C53F26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F393380" w14:textId="77777777" w:rsidR="000D4A2E" w:rsidRPr="00C53F26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0799663" w14:textId="77777777" w:rsidR="000D4A2E" w:rsidRPr="00C53F26" w:rsidRDefault="000D4A2E" w:rsidP="003F7C4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D4A2E" w:rsidRPr="008B4FE6" w14:paraId="30E8D3C1" w14:textId="77777777" w:rsidTr="003F7C4A">
        <w:trPr>
          <w:trHeight w:val="321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16E014C8" w14:textId="77777777" w:rsidR="000D4A2E" w:rsidRPr="00C53F26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2D89E8B7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600" w:type="dxa"/>
            <w:gridSpan w:val="2"/>
            <w:shd w:val="clear" w:color="auto" w:fill="FFFFFF"/>
          </w:tcPr>
          <w:p w14:paraId="1EB186D4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1B8E3E65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84" w:type="dxa"/>
            <w:gridSpan w:val="3"/>
            <w:shd w:val="clear" w:color="auto" w:fill="FFFFFF"/>
          </w:tcPr>
          <w:p w14:paraId="3AFC7831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29BBEEE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2BF85CBF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3"/>
            <w:shd w:val="clear" w:color="auto" w:fill="FFFFFF"/>
          </w:tcPr>
          <w:p w14:paraId="720ACC46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6" w:type="dxa"/>
            <w:gridSpan w:val="3"/>
            <w:shd w:val="clear" w:color="auto" w:fill="FFFFFF"/>
          </w:tcPr>
          <w:p w14:paraId="234B95D0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25BF141F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2E73AEA6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26FFD16D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F120223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571DB">
              <w:t>-</w:t>
            </w:r>
          </w:p>
        </w:tc>
      </w:tr>
      <w:tr w:rsidR="000D4A2E" w:rsidRPr="008B4FE6" w14:paraId="5BDB46B0" w14:textId="77777777" w:rsidTr="003F7C4A">
        <w:trPr>
          <w:trHeight w:val="321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6F106130" w14:textId="77777777" w:rsidR="000D4A2E" w:rsidRPr="00C53F26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budżet państwa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626D529D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600" w:type="dxa"/>
            <w:gridSpan w:val="2"/>
            <w:shd w:val="clear" w:color="auto" w:fill="FFFFFF"/>
          </w:tcPr>
          <w:p w14:paraId="17074BB2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0DEFAC68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84" w:type="dxa"/>
            <w:gridSpan w:val="3"/>
            <w:shd w:val="clear" w:color="auto" w:fill="FFFFFF"/>
          </w:tcPr>
          <w:p w14:paraId="3EB5C2DC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5E014AC9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729EEB31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3"/>
            <w:shd w:val="clear" w:color="auto" w:fill="FFFFFF"/>
          </w:tcPr>
          <w:p w14:paraId="55B19F66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6" w:type="dxa"/>
            <w:gridSpan w:val="3"/>
            <w:shd w:val="clear" w:color="auto" w:fill="FFFFFF"/>
          </w:tcPr>
          <w:p w14:paraId="1A3CFBC7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3093AE1A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2C8AE6C0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67C31C47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320C967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571DB">
              <w:t>-</w:t>
            </w:r>
          </w:p>
        </w:tc>
      </w:tr>
      <w:tr w:rsidR="000D4A2E" w:rsidRPr="008B4FE6" w14:paraId="7B791FF7" w14:textId="77777777" w:rsidTr="003F7C4A">
        <w:trPr>
          <w:trHeight w:val="344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0633B8B7" w14:textId="77777777" w:rsidR="000D4A2E" w:rsidRPr="00C53F26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0941F1BE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600" w:type="dxa"/>
            <w:gridSpan w:val="2"/>
            <w:shd w:val="clear" w:color="auto" w:fill="FFFFFF"/>
          </w:tcPr>
          <w:p w14:paraId="41E3AE69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56A6C850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84" w:type="dxa"/>
            <w:gridSpan w:val="3"/>
            <w:shd w:val="clear" w:color="auto" w:fill="FFFFFF"/>
          </w:tcPr>
          <w:p w14:paraId="575F7A8E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4ED7D18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25E4BD97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3"/>
            <w:shd w:val="clear" w:color="auto" w:fill="FFFFFF"/>
          </w:tcPr>
          <w:p w14:paraId="534A025A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6" w:type="dxa"/>
            <w:gridSpan w:val="3"/>
            <w:shd w:val="clear" w:color="auto" w:fill="FFFFFF"/>
          </w:tcPr>
          <w:p w14:paraId="59490EE2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62CCEC49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6A9193D8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6DE1B1D0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66F6B6E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</w:tr>
      <w:tr w:rsidR="000D4A2E" w:rsidRPr="008B4FE6" w14:paraId="6C0A9D19" w14:textId="77777777" w:rsidTr="003F7C4A">
        <w:trPr>
          <w:trHeight w:val="344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70CC5218" w14:textId="77777777" w:rsidR="000D4A2E" w:rsidRPr="00C53F26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69765D39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600" w:type="dxa"/>
            <w:gridSpan w:val="2"/>
            <w:shd w:val="clear" w:color="auto" w:fill="FFFFFF"/>
          </w:tcPr>
          <w:p w14:paraId="7CE3534E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37FFE45A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84" w:type="dxa"/>
            <w:gridSpan w:val="3"/>
            <w:shd w:val="clear" w:color="auto" w:fill="FFFFFF"/>
          </w:tcPr>
          <w:p w14:paraId="6EE824D6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5ADA2545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7DD4A7E5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3"/>
            <w:shd w:val="clear" w:color="auto" w:fill="FFFFFF"/>
          </w:tcPr>
          <w:p w14:paraId="623A089B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6" w:type="dxa"/>
            <w:gridSpan w:val="3"/>
            <w:shd w:val="clear" w:color="auto" w:fill="FFFFFF"/>
          </w:tcPr>
          <w:p w14:paraId="67690B6E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43E87518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47E0F668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1C59C1B6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A6912FF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</w:tr>
      <w:tr w:rsidR="000D4A2E" w:rsidRPr="008B4FE6" w14:paraId="09DC1478" w14:textId="77777777" w:rsidTr="003F7C4A">
        <w:trPr>
          <w:trHeight w:val="330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6E39A777" w14:textId="77777777" w:rsidR="000D4A2E" w:rsidRPr="00C53F26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34DA62E9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600" w:type="dxa"/>
            <w:gridSpan w:val="2"/>
            <w:shd w:val="clear" w:color="auto" w:fill="FFFFFF"/>
          </w:tcPr>
          <w:p w14:paraId="39116707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6BAA3DF9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84" w:type="dxa"/>
            <w:gridSpan w:val="3"/>
            <w:shd w:val="clear" w:color="auto" w:fill="FFFFFF"/>
          </w:tcPr>
          <w:p w14:paraId="7D186FC4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2D84AB37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55A91DF1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3"/>
            <w:shd w:val="clear" w:color="auto" w:fill="FFFFFF"/>
          </w:tcPr>
          <w:p w14:paraId="53EE92E5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6" w:type="dxa"/>
            <w:gridSpan w:val="3"/>
            <w:shd w:val="clear" w:color="auto" w:fill="FFFFFF"/>
          </w:tcPr>
          <w:p w14:paraId="02864E10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756D5A61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7F313FA3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1F633F7C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D8747D9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</w:tr>
      <w:tr w:rsidR="000D4A2E" w:rsidRPr="008B4FE6" w14:paraId="2A316BED" w14:textId="77777777" w:rsidTr="003F7C4A">
        <w:trPr>
          <w:trHeight w:val="330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5B0A01C1" w14:textId="77777777" w:rsidR="000D4A2E" w:rsidRPr="00C53F26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29F231DD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600" w:type="dxa"/>
            <w:gridSpan w:val="2"/>
            <w:shd w:val="clear" w:color="auto" w:fill="FFFFFF"/>
          </w:tcPr>
          <w:p w14:paraId="4B6FC294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198872B2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84" w:type="dxa"/>
            <w:gridSpan w:val="3"/>
            <w:shd w:val="clear" w:color="auto" w:fill="FFFFFF"/>
          </w:tcPr>
          <w:p w14:paraId="22A4E2B8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2A9A6E55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01878348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3"/>
            <w:shd w:val="clear" w:color="auto" w:fill="FFFFFF"/>
          </w:tcPr>
          <w:p w14:paraId="46C410D0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6" w:type="dxa"/>
            <w:gridSpan w:val="3"/>
            <w:shd w:val="clear" w:color="auto" w:fill="FFFFFF"/>
          </w:tcPr>
          <w:p w14:paraId="6AC5C31E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3FDB4D1C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5B2A04B6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76039647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2A90BAC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</w:tr>
      <w:tr w:rsidR="000D4A2E" w:rsidRPr="008B4FE6" w14:paraId="342E95DD" w14:textId="77777777" w:rsidTr="003F7C4A">
        <w:trPr>
          <w:trHeight w:val="351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45061D8B" w14:textId="77777777" w:rsidR="000D4A2E" w:rsidRPr="00C53F26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16A8420D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600" w:type="dxa"/>
            <w:gridSpan w:val="2"/>
            <w:shd w:val="clear" w:color="auto" w:fill="FFFFFF"/>
          </w:tcPr>
          <w:p w14:paraId="4FFABD6B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6141A3C3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84" w:type="dxa"/>
            <w:gridSpan w:val="3"/>
            <w:shd w:val="clear" w:color="auto" w:fill="FFFFFF"/>
          </w:tcPr>
          <w:p w14:paraId="2E344D47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278563AD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434DB73E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3"/>
            <w:shd w:val="clear" w:color="auto" w:fill="FFFFFF"/>
          </w:tcPr>
          <w:p w14:paraId="177BA5BC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6" w:type="dxa"/>
            <w:gridSpan w:val="3"/>
            <w:shd w:val="clear" w:color="auto" w:fill="FFFFFF"/>
          </w:tcPr>
          <w:p w14:paraId="7D91D976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5F507E99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2E15A1CE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0EED16BC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88DD4EF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</w:tr>
      <w:tr w:rsidR="000D4A2E" w:rsidRPr="008B4FE6" w14:paraId="16C70270" w14:textId="77777777" w:rsidTr="003F7C4A">
        <w:trPr>
          <w:trHeight w:val="351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7A380C3C" w14:textId="77777777" w:rsidR="000D4A2E" w:rsidRPr="00C53F26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533A488A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600" w:type="dxa"/>
            <w:gridSpan w:val="2"/>
            <w:shd w:val="clear" w:color="auto" w:fill="FFFFFF"/>
          </w:tcPr>
          <w:p w14:paraId="7DFDC1F3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0B069618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84" w:type="dxa"/>
            <w:gridSpan w:val="3"/>
            <w:shd w:val="clear" w:color="auto" w:fill="FFFFFF"/>
          </w:tcPr>
          <w:p w14:paraId="16B8D24A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4B6823DE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7534E452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3"/>
            <w:shd w:val="clear" w:color="auto" w:fill="FFFFFF"/>
          </w:tcPr>
          <w:p w14:paraId="0928147B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6" w:type="dxa"/>
            <w:gridSpan w:val="3"/>
            <w:shd w:val="clear" w:color="auto" w:fill="FFFFFF"/>
          </w:tcPr>
          <w:p w14:paraId="61A65B5E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460C1730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58E277CF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031B2535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36F1009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</w:tr>
      <w:tr w:rsidR="000D4A2E" w:rsidRPr="008B4FE6" w14:paraId="20884DAC" w14:textId="77777777" w:rsidTr="003F7C4A">
        <w:trPr>
          <w:trHeight w:val="360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6BB55302" w14:textId="77777777" w:rsidR="000D4A2E" w:rsidRPr="00C53F26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263E6924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600" w:type="dxa"/>
            <w:gridSpan w:val="2"/>
            <w:shd w:val="clear" w:color="auto" w:fill="FFFFFF"/>
          </w:tcPr>
          <w:p w14:paraId="435455D5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156D985C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84" w:type="dxa"/>
            <w:gridSpan w:val="3"/>
            <w:shd w:val="clear" w:color="auto" w:fill="FFFFFF"/>
          </w:tcPr>
          <w:p w14:paraId="287ABBF1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788E113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292F452F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3"/>
            <w:shd w:val="clear" w:color="auto" w:fill="FFFFFF"/>
          </w:tcPr>
          <w:p w14:paraId="157DE728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6" w:type="dxa"/>
            <w:gridSpan w:val="3"/>
            <w:shd w:val="clear" w:color="auto" w:fill="FFFFFF"/>
          </w:tcPr>
          <w:p w14:paraId="1A199D29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63AEE723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47E6213A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62957D0B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BEAFA12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</w:tr>
      <w:tr w:rsidR="000D4A2E" w:rsidRPr="008B4FE6" w14:paraId="080DBB9C" w14:textId="77777777" w:rsidTr="003F7C4A">
        <w:trPr>
          <w:trHeight w:val="360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28187DC0" w14:textId="77777777" w:rsidR="000D4A2E" w:rsidRPr="00C53F26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4E9D066A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600" w:type="dxa"/>
            <w:gridSpan w:val="2"/>
            <w:shd w:val="clear" w:color="auto" w:fill="FFFFFF"/>
          </w:tcPr>
          <w:p w14:paraId="790BFE46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5C26C79A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84" w:type="dxa"/>
            <w:gridSpan w:val="3"/>
            <w:shd w:val="clear" w:color="auto" w:fill="FFFFFF"/>
          </w:tcPr>
          <w:p w14:paraId="56C448AB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4324AD46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71183882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3"/>
            <w:shd w:val="clear" w:color="auto" w:fill="FFFFFF"/>
          </w:tcPr>
          <w:p w14:paraId="493CCA83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6" w:type="dxa"/>
            <w:gridSpan w:val="3"/>
            <w:shd w:val="clear" w:color="auto" w:fill="FFFFFF"/>
          </w:tcPr>
          <w:p w14:paraId="3C31E406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61058B40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2CBC049F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440A1098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12B5FF9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</w:tr>
      <w:tr w:rsidR="000D4A2E" w:rsidRPr="008B4FE6" w14:paraId="69EC668C" w14:textId="77777777" w:rsidTr="003F7C4A">
        <w:trPr>
          <w:trHeight w:val="357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11E31595" w14:textId="77777777" w:rsidR="000D4A2E" w:rsidRPr="00C53F26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4FBFBAA9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600" w:type="dxa"/>
            <w:gridSpan w:val="2"/>
            <w:shd w:val="clear" w:color="auto" w:fill="FFFFFF"/>
          </w:tcPr>
          <w:p w14:paraId="0968D4D1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15B90D3A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84" w:type="dxa"/>
            <w:gridSpan w:val="3"/>
            <w:shd w:val="clear" w:color="auto" w:fill="FFFFFF"/>
          </w:tcPr>
          <w:p w14:paraId="773D1F7E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7EEE122A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0E3BDCF5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3"/>
            <w:shd w:val="clear" w:color="auto" w:fill="FFFFFF"/>
          </w:tcPr>
          <w:p w14:paraId="299854AF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6" w:type="dxa"/>
            <w:gridSpan w:val="3"/>
            <w:shd w:val="clear" w:color="auto" w:fill="FFFFFF"/>
          </w:tcPr>
          <w:p w14:paraId="53F58175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0C745513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65F07F22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564A3542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7EA131E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</w:tr>
      <w:tr w:rsidR="000D4A2E" w:rsidRPr="008B4FE6" w14:paraId="1C712D7E" w14:textId="77777777" w:rsidTr="003F7C4A">
        <w:trPr>
          <w:trHeight w:val="357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2D27046B" w14:textId="77777777" w:rsidR="000D4A2E" w:rsidRPr="00C53F26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01" w:type="dxa"/>
            <w:gridSpan w:val="2"/>
            <w:shd w:val="clear" w:color="auto" w:fill="FFFFFF"/>
          </w:tcPr>
          <w:p w14:paraId="4CE14481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600" w:type="dxa"/>
            <w:gridSpan w:val="2"/>
            <w:shd w:val="clear" w:color="auto" w:fill="FFFFFF"/>
          </w:tcPr>
          <w:p w14:paraId="790DD536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22B97C58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84" w:type="dxa"/>
            <w:gridSpan w:val="3"/>
            <w:shd w:val="clear" w:color="auto" w:fill="FFFFFF"/>
          </w:tcPr>
          <w:p w14:paraId="40E3FC08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548A45D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4ED63503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3"/>
            <w:shd w:val="clear" w:color="auto" w:fill="FFFFFF"/>
          </w:tcPr>
          <w:p w14:paraId="0ABC9AE5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6" w:type="dxa"/>
            <w:gridSpan w:val="3"/>
            <w:shd w:val="clear" w:color="auto" w:fill="FFFFFF"/>
          </w:tcPr>
          <w:p w14:paraId="008EFEC3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08D041D4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387A2454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570" w:type="dxa"/>
            <w:shd w:val="clear" w:color="auto" w:fill="FFFFFF"/>
          </w:tcPr>
          <w:p w14:paraId="40D08657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ABE9545" w14:textId="77777777" w:rsidR="000D4A2E" w:rsidRPr="00B37C80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71DB">
              <w:t>-</w:t>
            </w:r>
          </w:p>
        </w:tc>
      </w:tr>
      <w:tr w:rsidR="000D4A2E" w:rsidRPr="008B4FE6" w14:paraId="0BB8D297" w14:textId="77777777" w:rsidTr="003F7C4A">
        <w:trPr>
          <w:trHeight w:val="348"/>
        </w:trPr>
        <w:tc>
          <w:tcPr>
            <w:tcW w:w="2235" w:type="dxa"/>
            <w:gridSpan w:val="2"/>
            <w:shd w:val="clear" w:color="auto" w:fill="FFFFFF"/>
            <w:vAlign w:val="center"/>
          </w:tcPr>
          <w:p w14:paraId="3CEB01CE" w14:textId="77777777" w:rsidR="000D4A2E" w:rsidRPr="00C53F26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12" w:type="dxa"/>
            <w:gridSpan w:val="27"/>
            <w:shd w:val="clear" w:color="auto" w:fill="FFFFFF"/>
          </w:tcPr>
          <w:p w14:paraId="1EB11D2C" w14:textId="77777777" w:rsidR="000D4A2E" w:rsidRPr="00C9080C" w:rsidRDefault="000D4A2E" w:rsidP="003F7C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80C">
              <w:rPr>
                <w:rFonts w:ascii="Times New Roman" w:hAnsi="Times New Roman"/>
              </w:rPr>
              <w:t>Nie dotyczy - z uwagi na konstrukcję systemu wsparcia oraz jego finansowanie, które nie obciąża sektora finansów publicznych.</w:t>
            </w:r>
          </w:p>
        </w:tc>
      </w:tr>
      <w:tr w:rsidR="000D4A2E" w:rsidRPr="008B4FE6" w14:paraId="4993BCD6" w14:textId="77777777" w:rsidTr="0077523F">
        <w:trPr>
          <w:trHeight w:val="1376"/>
        </w:trPr>
        <w:tc>
          <w:tcPr>
            <w:tcW w:w="2235" w:type="dxa"/>
            <w:gridSpan w:val="2"/>
            <w:shd w:val="clear" w:color="auto" w:fill="FFFFFF"/>
          </w:tcPr>
          <w:p w14:paraId="4C73A7C6" w14:textId="77777777" w:rsidR="000D4A2E" w:rsidRPr="00C53F26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12" w:type="dxa"/>
            <w:gridSpan w:val="27"/>
            <w:shd w:val="clear" w:color="auto" w:fill="FFFFFF"/>
          </w:tcPr>
          <w:p w14:paraId="0BF82442" w14:textId="30407E77" w:rsidR="00D22BA9" w:rsidRPr="00C9080C" w:rsidRDefault="000D4A2E" w:rsidP="007752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80C">
              <w:rPr>
                <w:rFonts w:ascii="Times New Roman" w:hAnsi="Times New Roman"/>
              </w:rPr>
              <w:t xml:space="preserve">Regulacja ma charakter wtórny wobec rozwiązań przyjętych w ustawie o promowaniu wytwarzania </w:t>
            </w:r>
            <w:r w:rsidR="009E41A3">
              <w:rPr>
                <w:rFonts w:ascii="Times New Roman" w:hAnsi="Times New Roman"/>
              </w:rPr>
              <w:t xml:space="preserve">energii elektrycznej </w:t>
            </w:r>
            <w:r w:rsidRPr="00C9080C">
              <w:rPr>
                <w:rFonts w:ascii="Times New Roman" w:hAnsi="Times New Roman"/>
              </w:rPr>
              <w:t xml:space="preserve">w morskich farmach wiatrowych. Rozporządzenie wskazuje wysokość ceny, która jest kluczowym elementem systemu wsparcia oraz istotnym sygnałem dla inwestorów. </w:t>
            </w:r>
          </w:p>
        </w:tc>
      </w:tr>
      <w:tr w:rsidR="000D4A2E" w:rsidRPr="008B4FE6" w14:paraId="3FB6C596" w14:textId="77777777" w:rsidTr="003F7C4A">
        <w:trPr>
          <w:trHeight w:val="345"/>
        </w:trPr>
        <w:tc>
          <w:tcPr>
            <w:tcW w:w="10947" w:type="dxa"/>
            <w:gridSpan w:val="29"/>
            <w:shd w:val="clear" w:color="auto" w:fill="99CCFF"/>
          </w:tcPr>
          <w:p w14:paraId="43C034CF" w14:textId="77777777" w:rsidR="000D4A2E" w:rsidRPr="008B4FE6" w:rsidRDefault="000D4A2E" w:rsidP="00E32CA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D4A2E" w:rsidRPr="008B4FE6" w14:paraId="26222203" w14:textId="77777777" w:rsidTr="003F7C4A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61C6E3E8" w14:textId="77777777" w:rsidR="000D4A2E" w:rsidRPr="00301959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D4A2E" w:rsidRPr="008B4FE6" w14:paraId="478F6EA8" w14:textId="77777777" w:rsidTr="003F7C4A">
        <w:trPr>
          <w:trHeight w:val="142"/>
        </w:trPr>
        <w:tc>
          <w:tcPr>
            <w:tcW w:w="3945" w:type="dxa"/>
            <w:gridSpan w:val="7"/>
            <w:shd w:val="clear" w:color="auto" w:fill="FFFFFF"/>
          </w:tcPr>
          <w:p w14:paraId="067F81B1" w14:textId="77777777" w:rsidR="000D4A2E" w:rsidRPr="00301959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5" w:type="dxa"/>
            <w:gridSpan w:val="2"/>
            <w:shd w:val="clear" w:color="auto" w:fill="FFFFFF"/>
          </w:tcPr>
          <w:p w14:paraId="649F2A68" w14:textId="77777777" w:rsidR="000D4A2E" w:rsidRPr="00301959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49" w:type="dxa"/>
            <w:gridSpan w:val="5"/>
            <w:shd w:val="clear" w:color="auto" w:fill="FFFFFF"/>
          </w:tcPr>
          <w:p w14:paraId="492AC015" w14:textId="77777777" w:rsidR="000D4A2E" w:rsidRPr="00301959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0817B97A" w14:textId="77777777" w:rsidR="000D4A2E" w:rsidRPr="00301959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11" w:type="dxa"/>
            <w:gridSpan w:val="3"/>
            <w:shd w:val="clear" w:color="auto" w:fill="FFFFFF"/>
          </w:tcPr>
          <w:p w14:paraId="11333A9D" w14:textId="77777777" w:rsidR="000D4A2E" w:rsidRPr="00301959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18" w:type="dxa"/>
            <w:gridSpan w:val="4"/>
            <w:shd w:val="clear" w:color="auto" w:fill="FFFFFF"/>
          </w:tcPr>
          <w:p w14:paraId="755C62D6" w14:textId="77777777" w:rsidR="000D4A2E" w:rsidRPr="00301959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0" w:type="dxa"/>
            <w:gridSpan w:val="3"/>
            <w:shd w:val="clear" w:color="auto" w:fill="FFFFFF"/>
          </w:tcPr>
          <w:p w14:paraId="7448A8B8" w14:textId="77777777" w:rsidR="000D4A2E" w:rsidRPr="00301959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4" w:type="dxa"/>
            <w:shd w:val="clear" w:color="auto" w:fill="FFFFFF"/>
          </w:tcPr>
          <w:p w14:paraId="227D9A26" w14:textId="77777777" w:rsidR="000D4A2E" w:rsidRPr="001B346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D4A2E" w:rsidRPr="008B4FE6" w14:paraId="346C6224" w14:textId="77777777" w:rsidTr="003F7C4A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4950E7A" w14:textId="77777777" w:rsidR="000D4A2E" w:rsidRDefault="000D4A2E" w:rsidP="003F7C4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45594A4B" w14:textId="77777777" w:rsidR="000D4A2E" w:rsidRDefault="000D4A2E" w:rsidP="003F7C4A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D83EF46" w14:textId="77777777" w:rsidR="000D4A2E" w:rsidRPr="00301959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349" w:type="dxa"/>
            <w:gridSpan w:val="6"/>
            <w:shd w:val="clear" w:color="auto" w:fill="FFFFFF"/>
          </w:tcPr>
          <w:p w14:paraId="197F039C" w14:textId="77777777" w:rsidR="000D4A2E" w:rsidRPr="00301959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5" w:type="dxa"/>
            <w:gridSpan w:val="2"/>
            <w:shd w:val="clear" w:color="auto" w:fill="FFFFFF"/>
          </w:tcPr>
          <w:p w14:paraId="38BA2D79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5"/>
            <w:shd w:val="clear" w:color="auto" w:fill="FFFFFF"/>
          </w:tcPr>
          <w:p w14:paraId="596F3E77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1BBC4E53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11" w:type="dxa"/>
            <w:gridSpan w:val="3"/>
            <w:shd w:val="clear" w:color="auto" w:fill="FFFFFF"/>
          </w:tcPr>
          <w:p w14:paraId="221579A1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4"/>
            <w:shd w:val="clear" w:color="auto" w:fill="FFFFFF"/>
          </w:tcPr>
          <w:p w14:paraId="2CE7E729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0" w:type="dxa"/>
            <w:gridSpan w:val="3"/>
            <w:shd w:val="clear" w:color="auto" w:fill="FFFFFF"/>
          </w:tcPr>
          <w:p w14:paraId="579BE948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4" w:type="dxa"/>
            <w:shd w:val="clear" w:color="auto" w:fill="FFFFFF"/>
          </w:tcPr>
          <w:p w14:paraId="135163BF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0D4A2E" w:rsidRPr="008B4FE6" w14:paraId="1A5F0379" w14:textId="77777777" w:rsidTr="003F7C4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3CFDCB0E" w14:textId="77777777" w:rsidR="000D4A2E" w:rsidRPr="00301959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49" w:type="dxa"/>
            <w:gridSpan w:val="6"/>
            <w:shd w:val="clear" w:color="auto" w:fill="FFFFFF"/>
          </w:tcPr>
          <w:p w14:paraId="6F63B8F7" w14:textId="77777777" w:rsidR="000D4A2E" w:rsidRPr="00301959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5" w:type="dxa"/>
            <w:gridSpan w:val="2"/>
            <w:shd w:val="clear" w:color="auto" w:fill="FFFFFF"/>
          </w:tcPr>
          <w:p w14:paraId="5FBBD69C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5"/>
            <w:shd w:val="clear" w:color="auto" w:fill="FFFFFF"/>
          </w:tcPr>
          <w:p w14:paraId="44251AAE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5E7D504A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11" w:type="dxa"/>
            <w:gridSpan w:val="3"/>
            <w:shd w:val="clear" w:color="auto" w:fill="FFFFFF"/>
          </w:tcPr>
          <w:p w14:paraId="087E00E0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4"/>
            <w:shd w:val="clear" w:color="auto" w:fill="FFFFFF"/>
          </w:tcPr>
          <w:p w14:paraId="64F44A9E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0" w:type="dxa"/>
            <w:gridSpan w:val="3"/>
            <w:shd w:val="clear" w:color="auto" w:fill="FFFFFF"/>
          </w:tcPr>
          <w:p w14:paraId="0ADF86EA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4" w:type="dxa"/>
            <w:shd w:val="clear" w:color="auto" w:fill="FFFFFF"/>
          </w:tcPr>
          <w:p w14:paraId="3C47679F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0D4A2E" w:rsidRPr="008B4FE6" w14:paraId="4AEE75B3" w14:textId="77777777" w:rsidTr="003F7C4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A150216" w14:textId="77777777" w:rsidR="000D4A2E" w:rsidRPr="00301959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49" w:type="dxa"/>
            <w:gridSpan w:val="6"/>
            <w:shd w:val="clear" w:color="auto" w:fill="FFFFFF"/>
          </w:tcPr>
          <w:p w14:paraId="22FDEA9F" w14:textId="77777777" w:rsidR="000D4A2E" w:rsidRPr="00301959" w:rsidRDefault="000D4A2E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5" w:type="dxa"/>
            <w:gridSpan w:val="2"/>
            <w:shd w:val="clear" w:color="auto" w:fill="FFFFFF"/>
          </w:tcPr>
          <w:p w14:paraId="021EAD6F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5"/>
            <w:shd w:val="clear" w:color="auto" w:fill="FFFFFF"/>
          </w:tcPr>
          <w:p w14:paraId="6DF01C5D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2F7D1FF6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11" w:type="dxa"/>
            <w:gridSpan w:val="3"/>
            <w:shd w:val="clear" w:color="auto" w:fill="FFFFFF"/>
          </w:tcPr>
          <w:p w14:paraId="6E3FFACE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4"/>
            <w:shd w:val="clear" w:color="auto" w:fill="FFFFFF"/>
          </w:tcPr>
          <w:p w14:paraId="278593E5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0" w:type="dxa"/>
            <w:gridSpan w:val="3"/>
            <w:shd w:val="clear" w:color="auto" w:fill="FFFFFF"/>
          </w:tcPr>
          <w:p w14:paraId="4A8770C3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4" w:type="dxa"/>
            <w:shd w:val="clear" w:color="auto" w:fill="FFFFFF"/>
          </w:tcPr>
          <w:p w14:paraId="48FDC800" w14:textId="77777777" w:rsidR="000D4A2E" w:rsidRPr="00B37C80" w:rsidRDefault="000D4A2E" w:rsidP="003F7C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5108F" w:rsidRPr="008B4FE6" w14:paraId="5FE18672" w14:textId="77777777" w:rsidTr="003F7C4A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9263BBB" w14:textId="77777777" w:rsidR="0025108F" w:rsidRPr="00301959" w:rsidRDefault="0025108F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349" w:type="dxa"/>
            <w:gridSpan w:val="6"/>
            <w:shd w:val="clear" w:color="auto" w:fill="FFFFFF"/>
          </w:tcPr>
          <w:p w14:paraId="0ACE3766" w14:textId="77777777" w:rsidR="0025108F" w:rsidRPr="00301959" w:rsidRDefault="0025108F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02" w:type="dxa"/>
            <w:gridSpan w:val="22"/>
            <w:shd w:val="clear" w:color="auto" w:fill="FFFFFF"/>
          </w:tcPr>
          <w:p w14:paraId="242FFBF4" w14:textId="027CFB42" w:rsidR="0025108F" w:rsidRPr="0055451A" w:rsidRDefault="0025108F" w:rsidP="003F7C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5451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rozporządzenia nie wprowadza dodatkowych obciążeń ani obowiązków, </w:t>
            </w:r>
            <w:r w:rsidRPr="0055451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br/>
              <w:t xml:space="preserve">a jedynie określa wysokość ceny maksymalnej w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I fazie </w:t>
            </w:r>
            <w:r w:rsidRPr="0055451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system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</w:t>
            </w:r>
            <w:r w:rsidRPr="0055451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wsparcia.</w:t>
            </w:r>
          </w:p>
        </w:tc>
      </w:tr>
      <w:tr w:rsidR="0025108F" w:rsidRPr="008B4FE6" w14:paraId="0510FDB8" w14:textId="77777777" w:rsidTr="003F7C4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9EFB634" w14:textId="77777777" w:rsidR="0025108F" w:rsidRPr="00301959" w:rsidRDefault="0025108F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49" w:type="dxa"/>
            <w:gridSpan w:val="6"/>
            <w:shd w:val="clear" w:color="auto" w:fill="FFFFFF"/>
          </w:tcPr>
          <w:p w14:paraId="2C2DCD39" w14:textId="77777777" w:rsidR="0025108F" w:rsidRPr="00301959" w:rsidRDefault="0025108F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02" w:type="dxa"/>
            <w:gridSpan w:val="22"/>
            <w:shd w:val="clear" w:color="auto" w:fill="FFFFFF"/>
          </w:tcPr>
          <w:p w14:paraId="7426BF7F" w14:textId="77777777" w:rsidR="0025108F" w:rsidRPr="0055451A" w:rsidRDefault="0025108F" w:rsidP="003F7C4A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5451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rozporządzenia nie wprowadza dodatkowych obciążeń ani obowiązków, </w:t>
            </w:r>
          </w:p>
          <w:p w14:paraId="0D8D6965" w14:textId="0FBFC302" w:rsidR="0025108F" w:rsidRPr="0055451A" w:rsidRDefault="0025108F" w:rsidP="003F7C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5451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a jedynie określa  wysokość ceny maksymalnej w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I fazie </w:t>
            </w:r>
            <w:r w:rsidRPr="0055451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system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</w:t>
            </w:r>
            <w:r w:rsidRPr="0055451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wsparcia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25108F" w:rsidRPr="008B4FE6" w14:paraId="349D5C86" w14:textId="77777777" w:rsidTr="003F7C4A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77E22DE5" w14:textId="77777777" w:rsidR="0025108F" w:rsidRPr="00301959" w:rsidRDefault="0025108F" w:rsidP="003F7C4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49" w:type="dxa"/>
            <w:gridSpan w:val="6"/>
            <w:shd w:val="clear" w:color="auto" w:fill="FFFFFF"/>
          </w:tcPr>
          <w:p w14:paraId="3B0790EB" w14:textId="77777777" w:rsidR="0025108F" w:rsidRPr="00301959" w:rsidRDefault="0025108F" w:rsidP="003F7C4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02" w:type="dxa"/>
            <w:gridSpan w:val="22"/>
            <w:shd w:val="clear" w:color="auto" w:fill="FFFFFF"/>
          </w:tcPr>
          <w:p w14:paraId="2C4F6269" w14:textId="77777777" w:rsidR="0025108F" w:rsidRPr="0055451A" w:rsidRDefault="0025108F" w:rsidP="003F7C4A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5451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rozporządzenia nie wprowadza dodatkowych obciążeń ani obowiązków, </w:t>
            </w:r>
          </w:p>
          <w:p w14:paraId="7C7F2437" w14:textId="4AA8E7C3" w:rsidR="0025108F" w:rsidRPr="0055451A" w:rsidRDefault="0025108F" w:rsidP="003F7C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5451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a jedynie określa  wysokość ceny maksymalnej w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I fazie </w:t>
            </w:r>
            <w:r w:rsidRPr="0055451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system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</w:t>
            </w:r>
            <w:r w:rsidRPr="0055451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wsparcia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25108F" w:rsidRPr="008B4FE6" w14:paraId="4DB6811C" w14:textId="77777777" w:rsidTr="003F7C4A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785D5114" w14:textId="77777777" w:rsidR="0025108F" w:rsidRPr="00301959" w:rsidRDefault="0025108F" w:rsidP="0025108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49" w:type="dxa"/>
            <w:gridSpan w:val="6"/>
            <w:shd w:val="clear" w:color="auto" w:fill="FFFFFF"/>
          </w:tcPr>
          <w:p w14:paraId="2EFC71F0" w14:textId="526A014E" w:rsidR="0025108F" w:rsidRDefault="0025108F" w:rsidP="0025108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osoby niepełnosprawne</w:t>
            </w:r>
            <w:r w:rsidR="00B22DD2">
              <w:rPr>
                <w:rFonts w:ascii="Times New Roman" w:hAnsi="Times New Roman"/>
                <w:sz w:val="21"/>
                <w:szCs w:val="21"/>
              </w:rPr>
              <w:t xml:space="preserve"> oraz osoby starsze</w:t>
            </w:r>
          </w:p>
        </w:tc>
        <w:tc>
          <w:tcPr>
            <w:tcW w:w="7002" w:type="dxa"/>
            <w:gridSpan w:val="22"/>
            <w:shd w:val="clear" w:color="auto" w:fill="FFFFFF"/>
          </w:tcPr>
          <w:p w14:paraId="7B764FC6" w14:textId="77777777" w:rsidR="0025108F" w:rsidRPr="0055451A" w:rsidRDefault="0025108F" w:rsidP="0025108F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5451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rozporządzenia nie wprowadza dodatkowych obciążeń ani obowiązków, </w:t>
            </w:r>
          </w:p>
          <w:p w14:paraId="25ABDFD4" w14:textId="47C0F33D" w:rsidR="0025108F" w:rsidRPr="0055451A" w:rsidRDefault="0025108F" w:rsidP="0025108F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5451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a jedynie określa wysokość ceny maksymalnej w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I fazie </w:t>
            </w:r>
            <w:r w:rsidRPr="0055451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system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</w:t>
            </w:r>
            <w:r w:rsidRPr="0055451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wsparcia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25108F" w:rsidRPr="008B4FE6" w14:paraId="6B9B3463" w14:textId="77777777" w:rsidTr="003F7C4A">
        <w:trPr>
          <w:trHeight w:val="1643"/>
        </w:trPr>
        <w:tc>
          <w:tcPr>
            <w:tcW w:w="2235" w:type="dxa"/>
            <w:gridSpan w:val="2"/>
            <w:shd w:val="clear" w:color="auto" w:fill="FFFFFF"/>
          </w:tcPr>
          <w:p w14:paraId="13F354FA" w14:textId="77777777" w:rsidR="0025108F" w:rsidRPr="00301959" w:rsidRDefault="0025108F" w:rsidP="0025108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12" w:type="dxa"/>
            <w:gridSpan w:val="27"/>
            <w:shd w:val="clear" w:color="auto" w:fill="FFFFFF"/>
            <w:vAlign w:val="center"/>
          </w:tcPr>
          <w:p w14:paraId="3EEFAC63" w14:textId="1A79084F" w:rsidR="0025108F" w:rsidRDefault="0025108F" w:rsidP="002510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 </w:t>
            </w:r>
            <w:r w:rsidRPr="0055451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rozporządzenia nie wprowadza dodatkowych obciążeń ani obowiązków, a jedynie określa  wysokość ceny maksymalnej 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 fazie </w:t>
            </w:r>
            <w:r w:rsidRPr="0055451A">
              <w:rPr>
                <w:rFonts w:ascii="Times New Roman" w:hAnsi="Times New Roman"/>
                <w:color w:val="000000"/>
                <w:sz w:val="21"/>
                <w:szCs w:val="21"/>
              </w:rPr>
              <w:t>system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</w:t>
            </w:r>
            <w:r w:rsidRPr="0055451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wsparcia.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55451A">
              <w:rPr>
                <w:rFonts w:ascii="Times New Roman" w:hAnsi="Times New Roman"/>
                <w:color w:val="000000"/>
                <w:sz w:val="21"/>
                <w:szCs w:val="21"/>
              </w:rPr>
              <w:t>W kontekście działalności przedsiębiorstw zajmujących się wytwarzaniem energii elektrycznej z morskich farm wiatrowych, które będą chciały przystąpić do systemu wsparcia przedmiotowy projekt rozporządzenia będzie miał kluczowe znaczenie.</w:t>
            </w:r>
          </w:p>
          <w:p w14:paraId="790FBB8E" w14:textId="6B97F06E" w:rsidR="0025108F" w:rsidRPr="00301959" w:rsidRDefault="0025108F" w:rsidP="002510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5108F" w:rsidRPr="008B4FE6" w14:paraId="741156EB" w14:textId="77777777" w:rsidTr="003F7C4A">
        <w:trPr>
          <w:trHeight w:val="342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3C35B945" w14:textId="77777777" w:rsidR="0025108F" w:rsidRPr="008B4FE6" w:rsidRDefault="0025108F" w:rsidP="0025108F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25108F" w:rsidRPr="008B4FE6" w14:paraId="38CF1E0C" w14:textId="77777777" w:rsidTr="003F7C4A">
        <w:trPr>
          <w:trHeight w:val="151"/>
        </w:trPr>
        <w:tc>
          <w:tcPr>
            <w:tcW w:w="10947" w:type="dxa"/>
            <w:gridSpan w:val="29"/>
            <w:shd w:val="clear" w:color="auto" w:fill="FFFFFF"/>
          </w:tcPr>
          <w:p w14:paraId="584060D1" w14:textId="77777777" w:rsidR="0025108F" w:rsidRPr="008B4FE6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25108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5108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5108F" w:rsidRPr="008B4FE6" w14:paraId="34A40F86" w14:textId="77777777" w:rsidTr="003F7C4A">
        <w:trPr>
          <w:trHeight w:val="946"/>
        </w:trPr>
        <w:tc>
          <w:tcPr>
            <w:tcW w:w="5188" w:type="dxa"/>
            <w:gridSpan w:val="12"/>
            <w:shd w:val="clear" w:color="auto" w:fill="FFFFFF"/>
          </w:tcPr>
          <w:p w14:paraId="7CC09051" w14:textId="77777777" w:rsidR="0025108F" w:rsidRDefault="0025108F" w:rsidP="0025108F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759" w:type="dxa"/>
            <w:gridSpan w:val="17"/>
            <w:shd w:val="clear" w:color="auto" w:fill="FFFFFF"/>
          </w:tcPr>
          <w:p w14:paraId="026D6B17" w14:textId="77777777" w:rsidR="0025108F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AB207FB" w14:textId="77777777" w:rsidR="0025108F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AE8EB9F" w14:textId="67BAC134" w:rsidR="0025108F" w:rsidRDefault="000F7A0F" w:rsidP="0025108F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25108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5108F" w:rsidRPr="008B4FE6" w14:paraId="3E7BA222" w14:textId="77777777" w:rsidTr="003F7C4A">
        <w:trPr>
          <w:trHeight w:val="1245"/>
        </w:trPr>
        <w:tc>
          <w:tcPr>
            <w:tcW w:w="5188" w:type="dxa"/>
            <w:gridSpan w:val="12"/>
            <w:shd w:val="clear" w:color="auto" w:fill="FFFFFF"/>
          </w:tcPr>
          <w:p w14:paraId="14F45C94" w14:textId="77777777" w:rsidR="0025108F" w:rsidRPr="008B4FE6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5108F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25108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D904585" w14:textId="77777777" w:rsidR="0025108F" w:rsidRPr="008B4FE6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5108F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2C80285" w14:textId="77777777" w:rsidR="0025108F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5108F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25108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E155DE3" w14:textId="77777777" w:rsidR="0025108F" w:rsidRPr="008B4FE6" w:rsidRDefault="000F7A0F" w:rsidP="0025108F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5108F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25108F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25108F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759" w:type="dxa"/>
            <w:gridSpan w:val="17"/>
            <w:shd w:val="clear" w:color="auto" w:fill="FFFFFF"/>
          </w:tcPr>
          <w:p w14:paraId="44BFC8CC" w14:textId="77777777" w:rsidR="0025108F" w:rsidRPr="008B4FE6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5108F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C87135A" w14:textId="77777777" w:rsidR="0025108F" w:rsidRPr="008B4FE6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</w:rPr>
              <w:t xml:space="preserve"> </w:t>
            </w:r>
            <w:r w:rsidR="0025108F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4FE23FC" w14:textId="77777777" w:rsidR="0025108F" w:rsidRPr="008B4FE6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5108F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25108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4B74E8B" w14:textId="77777777" w:rsidR="0025108F" w:rsidRPr="008B4FE6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5108F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25108F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25108F">
              <w:rPr>
                <w:rFonts w:ascii="Times New Roman" w:hAnsi="Times New Roman"/>
                <w:color w:val="000000"/>
              </w:rPr>
              <w:t>…</w:t>
            </w:r>
          </w:p>
          <w:p w14:paraId="574CF5B9" w14:textId="77777777" w:rsidR="0025108F" w:rsidRPr="008B4FE6" w:rsidRDefault="0025108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5108F" w:rsidRPr="008B4FE6" w14:paraId="0BA75A75" w14:textId="77777777" w:rsidTr="003F7C4A">
        <w:trPr>
          <w:trHeight w:val="870"/>
        </w:trPr>
        <w:tc>
          <w:tcPr>
            <w:tcW w:w="5188" w:type="dxa"/>
            <w:gridSpan w:val="12"/>
            <w:shd w:val="clear" w:color="auto" w:fill="FFFFFF"/>
          </w:tcPr>
          <w:p w14:paraId="2807C9B8" w14:textId="77777777" w:rsidR="0025108F" w:rsidRPr="008B4FE6" w:rsidRDefault="0025108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759" w:type="dxa"/>
            <w:gridSpan w:val="17"/>
            <w:shd w:val="clear" w:color="auto" w:fill="FFFFFF"/>
          </w:tcPr>
          <w:p w14:paraId="4DD269BD" w14:textId="77777777" w:rsidR="0025108F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C2F65F5" w14:textId="77777777" w:rsidR="0025108F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16729DD" w14:textId="77777777" w:rsidR="0025108F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25108F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DBDF686" w14:textId="77777777" w:rsidR="0025108F" w:rsidRPr="008B4FE6" w:rsidRDefault="0025108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5108F" w:rsidRPr="008B4FE6" w14:paraId="4F11C1F6" w14:textId="77777777" w:rsidTr="003F7C4A">
        <w:trPr>
          <w:trHeight w:val="630"/>
        </w:trPr>
        <w:tc>
          <w:tcPr>
            <w:tcW w:w="10947" w:type="dxa"/>
            <w:gridSpan w:val="29"/>
            <w:shd w:val="clear" w:color="auto" w:fill="FFFFFF"/>
          </w:tcPr>
          <w:p w14:paraId="2E4603EF" w14:textId="225EEE20" w:rsidR="0025108F" w:rsidRPr="008B4FE6" w:rsidRDefault="0025108F" w:rsidP="002510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25108F" w:rsidRPr="008B4FE6" w14:paraId="0FAFC4EB" w14:textId="77777777" w:rsidTr="003F7C4A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774AE7E9" w14:textId="77777777" w:rsidR="0025108F" w:rsidRPr="008B4FE6" w:rsidRDefault="0025108F" w:rsidP="0025108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5108F" w:rsidRPr="008B4FE6" w14:paraId="76708CE7" w14:textId="77777777" w:rsidTr="003F7C4A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652214CE" w14:textId="77777777" w:rsidR="0025108F" w:rsidRDefault="0025108F" w:rsidP="002510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F78F1">
              <w:rPr>
                <w:rFonts w:ascii="Times New Roman" w:hAnsi="Times New Roman"/>
                <w:color w:val="000000"/>
              </w:rPr>
              <w:t>Regulacja ma charakter wtórny wobec ustawy o morskich farmach wiatrowych. Wpływ wprowadzenia proponowanych rozwiązań na rynek pracy został opisany w ocenie skutków regulacji do przedmiotowej ustawy.</w:t>
            </w:r>
          </w:p>
          <w:p w14:paraId="67850DD5" w14:textId="77777777" w:rsidR="0025108F" w:rsidRPr="008B4FE6" w:rsidRDefault="0025108F" w:rsidP="002510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5108F" w:rsidRPr="008B4FE6" w14:paraId="13081191" w14:textId="77777777" w:rsidTr="003F7C4A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56DA62AB" w14:textId="77777777" w:rsidR="0025108F" w:rsidRPr="008B4FE6" w:rsidRDefault="0025108F" w:rsidP="0025108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5108F" w:rsidRPr="008B4FE6" w14:paraId="213B6DC1" w14:textId="77777777" w:rsidTr="003F7C4A">
        <w:trPr>
          <w:trHeight w:val="1031"/>
        </w:trPr>
        <w:tc>
          <w:tcPr>
            <w:tcW w:w="3546" w:type="dxa"/>
            <w:gridSpan w:val="5"/>
            <w:shd w:val="clear" w:color="auto" w:fill="FFFFFF"/>
          </w:tcPr>
          <w:p w14:paraId="37969A2E" w14:textId="77777777" w:rsidR="0025108F" w:rsidRPr="008B4FE6" w:rsidRDefault="0025108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7A59A86" w14:textId="77777777" w:rsidR="0025108F" w:rsidRPr="008B4FE6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</w:rPr>
              <w:t xml:space="preserve"> </w:t>
            </w:r>
            <w:r w:rsidR="0025108F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725C8EB" w14:textId="77777777" w:rsidR="0025108F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</w:rPr>
              <w:t xml:space="preserve"> </w:t>
            </w:r>
            <w:r w:rsidR="0025108F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F99A8BA" w14:textId="77777777" w:rsidR="0025108F" w:rsidRPr="008B4FE6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5108F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25108F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736" w:type="dxa"/>
            <w:gridSpan w:val="15"/>
            <w:shd w:val="clear" w:color="auto" w:fill="FFFFFF"/>
          </w:tcPr>
          <w:p w14:paraId="64EABABD" w14:textId="77777777" w:rsidR="0025108F" w:rsidRPr="008B4FE6" w:rsidRDefault="0025108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C0AD654" w14:textId="77777777" w:rsidR="0025108F" w:rsidRPr="008B4FE6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5108F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6CD1D0B" w14:textId="77777777" w:rsidR="0025108F" w:rsidRPr="008B4FE6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665" w:type="dxa"/>
            <w:gridSpan w:val="9"/>
            <w:shd w:val="clear" w:color="auto" w:fill="FFFFFF"/>
          </w:tcPr>
          <w:p w14:paraId="65E0289A" w14:textId="77777777" w:rsidR="0025108F" w:rsidRPr="008B4FE6" w:rsidRDefault="0025108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3829494" w14:textId="77777777" w:rsidR="0025108F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5108F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38ADC8A" w14:textId="77777777" w:rsidR="0025108F" w:rsidRPr="008B4FE6" w:rsidRDefault="000F7A0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8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5108F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25108F" w:rsidRPr="008B4FE6" w14:paraId="1F6E06C9" w14:textId="77777777" w:rsidTr="003F7C4A">
        <w:trPr>
          <w:trHeight w:val="712"/>
        </w:trPr>
        <w:tc>
          <w:tcPr>
            <w:tcW w:w="2235" w:type="dxa"/>
            <w:gridSpan w:val="2"/>
            <w:shd w:val="clear" w:color="auto" w:fill="FFFFFF"/>
            <w:vAlign w:val="center"/>
          </w:tcPr>
          <w:p w14:paraId="7FEE53DC" w14:textId="77777777" w:rsidR="0025108F" w:rsidRPr="008B4FE6" w:rsidRDefault="0025108F" w:rsidP="002510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12" w:type="dxa"/>
            <w:gridSpan w:val="27"/>
            <w:shd w:val="clear" w:color="auto" w:fill="FFFFFF"/>
            <w:vAlign w:val="center"/>
          </w:tcPr>
          <w:p w14:paraId="75141B73" w14:textId="77777777" w:rsidR="0025108F" w:rsidRPr="008B4FE6" w:rsidRDefault="0025108F" w:rsidP="002510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5108F" w:rsidRPr="008B4FE6" w14:paraId="3A3730F1" w14:textId="77777777" w:rsidTr="003F7C4A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5B07182C" w14:textId="77777777" w:rsidR="0025108F" w:rsidRPr="00627221" w:rsidRDefault="0025108F" w:rsidP="0025108F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25108F" w:rsidRPr="008B4FE6" w14:paraId="04937629" w14:textId="77777777" w:rsidTr="003F7C4A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33FD1ADE" w14:textId="075FC7D3" w:rsidR="0025108F" w:rsidRDefault="0025108F" w:rsidP="0025108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Projektowana regulacja będzie obowiązywała od 2021 roku, wejdzie w życie w dniu ogłoszenia.</w:t>
            </w:r>
          </w:p>
          <w:p w14:paraId="725D6909" w14:textId="050C5F62" w:rsidR="0025108F" w:rsidRPr="00B37C80" w:rsidRDefault="0025108F" w:rsidP="0025108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25108F" w:rsidRPr="008B4FE6" w14:paraId="3AC14504" w14:textId="77777777" w:rsidTr="003F7C4A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2828A7FC" w14:textId="77777777" w:rsidR="0025108F" w:rsidRPr="008B4FE6" w:rsidRDefault="0025108F" w:rsidP="0025108F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25108F" w:rsidRPr="008B4FE6" w14:paraId="49614F2A" w14:textId="77777777" w:rsidTr="003F7C4A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3883DC86" w14:textId="663768C0" w:rsidR="0025108F" w:rsidRDefault="0025108F" w:rsidP="002510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wpłynie na podaż projektów oraz osiągnięcie celów zakładanych w przyjętej Polityce energetycznej Polski do 2040 r. (cel 5,9 GW do 2030 roku i 11 GW do 2040 roku). </w:t>
            </w:r>
          </w:p>
          <w:p w14:paraId="35AFE469" w14:textId="77777777" w:rsidR="0025108F" w:rsidRDefault="0025108F" w:rsidP="002510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7DA60EB" w14:textId="146C2CD0" w:rsidR="0025108F" w:rsidRDefault="0025108F" w:rsidP="00251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 kontekście wysokości wsparcia, jakie może zostać udzielone wytwórcom energii z morskich farm wiatrowych, należy zauważyć, że zasady ustalania ceny kontraktu różnicowego dla pierwszej fazy systemu wsparcia określone w ustawie oznaczają, że na czterech poziomach będzie dochodziło do weryfikacji ceny kontraktu (czyli ceny energii dla odbiorcy końcowego):</w:t>
            </w:r>
          </w:p>
          <w:p w14:paraId="14FFE981" w14:textId="77777777" w:rsidR="0025108F" w:rsidRDefault="0025108F" w:rsidP="00251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</w:p>
          <w:p w14:paraId="504CC2F6" w14:textId="38ADA758" w:rsidR="0025108F" w:rsidRDefault="0025108F" w:rsidP="00251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P</w:t>
            </w:r>
            <w:r w:rsidRPr="00E30924">
              <w:rPr>
                <w:rFonts w:ascii="TimesNewRomanPS-BoldMT" w:hAnsi="TimesNewRomanPS-BoldMT" w:cs="TimesNewRomanPS-BoldMT"/>
                <w:b/>
                <w:bCs/>
              </w:rPr>
              <w:t>oziom pierwszy</w:t>
            </w:r>
            <w:r w:rsidRPr="00E30924">
              <w:rPr>
                <w:rFonts w:ascii="TimesNewRomanPSMT" w:hAnsi="TimesNewRomanPSMT" w:cs="TimesNewRomanPSMT"/>
              </w:rPr>
              <w:t>: cena ustalona w rozporządzeniu Ministra Klimatu i Środowiska – będzie to cena maksymalna, której żaden z projektów nie będzie mógł przekroczyć. Wsparcie z tą ceną musi zostać formalnie przyznane do 30 czerwca 2020 r. – po tej dacie nie będzie można już przydzielać wsparcia w procedurze administracyjnej, będą musiały być przeprowadzone aukcje</w:t>
            </w:r>
            <w:r>
              <w:rPr>
                <w:rFonts w:ascii="TimesNewRomanPSMT" w:hAnsi="TimesNewRomanPSMT" w:cs="TimesNewRomanPSMT"/>
              </w:rPr>
              <w:t>.</w:t>
            </w:r>
          </w:p>
          <w:p w14:paraId="78F9BE9F" w14:textId="77777777" w:rsidR="0025108F" w:rsidRDefault="0025108F" w:rsidP="00251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</w:p>
          <w:p w14:paraId="2BE044FD" w14:textId="40A2E997" w:rsidR="0025108F" w:rsidRDefault="0025108F" w:rsidP="00251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  <w:r w:rsidRPr="00E30924">
              <w:rPr>
                <w:rFonts w:ascii="TimesNewRomanPS-BoldMT" w:hAnsi="TimesNewRomanPS-BoldMT" w:cs="TimesNewRomanPS-BoldMT"/>
                <w:b/>
                <w:bCs/>
              </w:rPr>
              <w:t>Poziom drugi</w:t>
            </w:r>
            <w:r w:rsidRPr="00E30924">
              <w:rPr>
                <w:rFonts w:ascii="TimesNewRomanPSMT" w:hAnsi="TimesNewRomanPSMT" w:cs="TimesNewRomanPSMT"/>
              </w:rPr>
              <w:t>: cena ustalona w trakcie indywidualnej notyfikacji projektów w Komisji</w:t>
            </w:r>
            <w:r>
              <w:rPr>
                <w:rFonts w:ascii="TimesNewRomanPSMT" w:hAnsi="TimesNewRomanPSMT" w:cs="TimesNewRomanPSMT"/>
              </w:rPr>
              <w:t xml:space="preserve"> Europejskiej. </w:t>
            </w:r>
            <w:r w:rsidRPr="00E30924">
              <w:rPr>
                <w:rFonts w:ascii="TimesNewRomanPSMT" w:hAnsi="TimesNewRomanPSMT" w:cs="TimesNewRomanPSMT"/>
              </w:rPr>
              <w:t>Każdy projekt będzie podlegał notyfikacji w Komisji Europejskiej w zakresie</w:t>
            </w:r>
            <w:r>
              <w:rPr>
                <w:rFonts w:ascii="TimesNewRomanPSMT" w:hAnsi="TimesNewRomanPSMT" w:cs="TimesNewRomanPSMT"/>
              </w:rPr>
              <w:t xml:space="preserve"> zatwierdzenia poziomu wsparcia – inwestor będzie musiał obligatoryjnie wystąpić w tej sprawie z wnioskiem do KE. </w:t>
            </w:r>
            <w:r w:rsidRPr="004758FC">
              <w:rPr>
                <w:rFonts w:ascii="TimesNewRomanPSMT" w:hAnsi="TimesNewRomanPSMT" w:cs="TimesNewRomanPSMT"/>
              </w:rPr>
              <w:t>Spodziewane jest bardzo szczegółowe sprawdzanie przez Komisję Europejską założeń</w:t>
            </w:r>
            <w:r>
              <w:rPr>
                <w:rFonts w:ascii="TimesNewRomanPSMT" w:hAnsi="TimesNewRomanPSMT" w:cs="TimesNewRomanPSMT"/>
              </w:rPr>
              <w:t xml:space="preserve"> projektowych, tak aby nie doszło do zawyżenia ceny i uzyskania </w:t>
            </w:r>
            <w:proofErr w:type="spellStart"/>
            <w:r>
              <w:rPr>
                <w:rFonts w:ascii="TimesNewRomanPSMT" w:hAnsi="TimesNewRomanPSMT" w:cs="TimesNewRomanPSMT"/>
              </w:rPr>
              <w:t>nadwsparcia</w:t>
            </w:r>
            <w:proofErr w:type="spellEnd"/>
            <w:r>
              <w:rPr>
                <w:rFonts w:ascii="TimesNewRomanPSMT" w:hAnsi="TimesNewRomanPSMT" w:cs="TimesNewRomanPSMT"/>
              </w:rPr>
              <w:t>.</w:t>
            </w:r>
          </w:p>
          <w:p w14:paraId="44E80C10" w14:textId="77777777" w:rsidR="0025108F" w:rsidRDefault="0025108F" w:rsidP="00251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</w:p>
          <w:p w14:paraId="55C36DC8" w14:textId="1523A339" w:rsidR="0025108F" w:rsidRDefault="0025108F" w:rsidP="00251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  <w:r w:rsidRPr="00E30924">
              <w:rPr>
                <w:rFonts w:ascii="TimesNewRomanPS-BoldMT" w:hAnsi="TimesNewRomanPS-BoldMT" w:cs="TimesNewRomanPS-BoldMT"/>
                <w:b/>
                <w:bCs/>
              </w:rPr>
              <w:t>Poziom trzeci</w:t>
            </w:r>
            <w:r w:rsidRPr="00E30924">
              <w:rPr>
                <w:rFonts w:ascii="TimesNewRomanPSMT" w:hAnsi="TimesNewRomanPSMT" w:cs="TimesNewRomanPSMT"/>
              </w:rPr>
              <w:t xml:space="preserve">: weryfikacja ceny przez Prezesa URE - ustawa wprowadza mechanizm, zgodnie z którym cena </w:t>
            </w:r>
            <w:r>
              <w:rPr>
                <w:rFonts w:ascii="TimesNewRomanPSMT" w:hAnsi="TimesNewRomanPSMT" w:cs="TimesNewRomanPSMT"/>
              </w:rPr>
              <w:t>z</w:t>
            </w:r>
            <w:r w:rsidRPr="00E30924">
              <w:rPr>
                <w:rFonts w:ascii="TimesNewRomanPSMT" w:hAnsi="TimesNewRomanPSMT" w:cs="TimesNewRomanPSMT"/>
              </w:rPr>
              <w:t>weryfikowana i zaakceptowana przez Komisję Europejską może ulec obniżeniu przez Prezesa URE (wyłącznie obniżeniu, bez możliwości jej podwyższenia).</w:t>
            </w:r>
          </w:p>
          <w:p w14:paraId="13397A48" w14:textId="77777777" w:rsidR="0025108F" w:rsidRPr="00E30924" w:rsidRDefault="0025108F" w:rsidP="002510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</w:p>
          <w:p w14:paraId="4557839F" w14:textId="77777777" w:rsidR="0025108F" w:rsidRPr="00B37C80" w:rsidRDefault="0025108F" w:rsidP="002510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30924">
              <w:rPr>
                <w:rFonts w:ascii="TimesNewRomanPS-BoldMT" w:hAnsi="TimesNewRomanPS-BoldMT" w:cs="TimesNewRomanPS-BoldMT"/>
                <w:b/>
                <w:bCs/>
              </w:rPr>
              <w:t>Poziom czwarty</w:t>
            </w:r>
            <w:r w:rsidRPr="00E30924">
              <w:rPr>
                <w:rFonts w:ascii="TimesNewRomanPSMT" w:hAnsi="TimesNewRomanPSMT" w:cs="TimesNewRomanPSMT"/>
              </w:rPr>
              <w:t>: mechanizm weryfikacji przed finalną decyzją inwestycyjną.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30924">
              <w:rPr>
                <w:rFonts w:ascii="TimesNewRomanPSMT" w:hAnsi="TimesNewRomanPSMT" w:cs="TimesNewRomanPSMT"/>
              </w:rPr>
              <w:t>Pomiędzy indywidualną notyfikacją projektu wraz z zatwierdzeniem przez Prezesa URE,</w:t>
            </w:r>
            <w:r>
              <w:rPr>
                <w:rFonts w:ascii="TimesNewRomanPSMT" w:hAnsi="TimesNewRomanPSMT" w:cs="TimesNewRomanPSMT"/>
              </w:rPr>
              <w:t xml:space="preserve"> a podjęciem finalnej decyzji inwestycyjnej może minąć nawet dwa-trzy lata (czas potrzebny na skompletowanie dokumentacji projektowej, uzyskanie pozwolenia na budowę, przeprowadzenia przetargów na wykonawstwo), a sektor morskiej energetyki wiatrowej dynamicznie się rozwija (przez co spadają koszty tych inwestycji). Z t</w:t>
            </w:r>
            <w:r w:rsidRPr="00E30924">
              <w:rPr>
                <w:rFonts w:ascii="TimesNewRomanPSMT" w:hAnsi="TimesNewRomanPSMT" w:cs="TimesNewRomanPSMT"/>
              </w:rPr>
              <w:t xml:space="preserve">ego względu Komisja Europejska w procesie </w:t>
            </w:r>
            <w:proofErr w:type="spellStart"/>
            <w:r w:rsidRPr="00E30924">
              <w:rPr>
                <w:rFonts w:ascii="TimesNewRomanPSMT" w:hAnsi="TimesNewRomanPSMT" w:cs="TimesNewRomanPSMT"/>
              </w:rPr>
              <w:t>pre</w:t>
            </w:r>
            <w:proofErr w:type="spellEnd"/>
            <w:r w:rsidRPr="00E30924">
              <w:rPr>
                <w:rFonts w:ascii="TimesNewRomanPSMT" w:hAnsi="TimesNewRomanPSMT" w:cs="TimesNewRomanPSMT"/>
              </w:rPr>
              <w:t>-notyfikacji ustawy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30924">
              <w:rPr>
                <w:rFonts w:ascii="TimesNewRomanPSMT" w:hAnsi="TimesNewRomanPSMT" w:cs="TimesNewRomanPSMT"/>
              </w:rPr>
              <w:t>wprowadz</w:t>
            </w:r>
            <w:r>
              <w:rPr>
                <w:rFonts w:ascii="TimesNewRomanPSMT" w:hAnsi="TimesNewRomanPSMT" w:cs="TimesNewRomanPSMT"/>
              </w:rPr>
              <w:t>iła</w:t>
            </w:r>
            <w:r w:rsidRPr="00E30924">
              <w:rPr>
                <w:rFonts w:ascii="TimesNewRomanPSMT" w:hAnsi="TimesNewRomanPSMT" w:cs="TimesNewRomanPSMT"/>
              </w:rPr>
              <w:t xml:space="preserve"> mechanizm, w którym każdy </w:t>
            </w:r>
            <w:r>
              <w:rPr>
                <w:rFonts w:ascii="TimesNewRomanPSMT" w:hAnsi="TimesNewRomanPSMT" w:cs="TimesNewRomanPSMT"/>
              </w:rPr>
              <w:t>pr</w:t>
            </w:r>
            <w:r w:rsidRPr="00E30924">
              <w:rPr>
                <w:rFonts w:ascii="TimesNewRomanPSMT" w:hAnsi="TimesNewRomanPSMT" w:cs="TimesNewRomanPSMT"/>
              </w:rPr>
              <w:t>ojekt przed podjęciem finalnej decyzji inwestycyjnej i rozpoczęciem budowy będzie musiał jeszcze raz zwrócić się do Prezesa URE o ostateczne zatwierdzenie ceny, a Prezes URE będzie weryfikował, czy założenia projektowe nie zmieniły się na tyle, by cenę można było obniżyć (</w:t>
            </w:r>
            <w:r>
              <w:rPr>
                <w:rFonts w:ascii="TimesNewRomanPSMT" w:hAnsi="TimesNewRomanPSMT" w:cs="TimesNewRomanPSMT"/>
              </w:rPr>
              <w:t xml:space="preserve">zmiana ceny </w:t>
            </w:r>
            <w:r w:rsidRPr="00E30924">
              <w:rPr>
                <w:rFonts w:ascii="TimesNewRomanPSMT" w:hAnsi="TimesNewRomanPSMT" w:cs="TimesNewRomanPSMT"/>
              </w:rPr>
              <w:t xml:space="preserve">wyłącznie </w:t>
            </w:r>
            <w:r>
              <w:rPr>
                <w:rFonts w:ascii="TimesNewRomanPSMT" w:hAnsi="TimesNewRomanPSMT" w:cs="TimesNewRomanPSMT"/>
              </w:rPr>
              <w:t>w dół</w:t>
            </w:r>
            <w:r w:rsidRPr="00E30924">
              <w:rPr>
                <w:rFonts w:ascii="TimesNewRomanPSMT" w:hAnsi="TimesNewRomanPSMT" w:cs="TimesNewRomanPSMT"/>
              </w:rPr>
              <w:t>).</w:t>
            </w:r>
          </w:p>
        </w:tc>
      </w:tr>
      <w:tr w:rsidR="0025108F" w:rsidRPr="008B4FE6" w14:paraId="30876E5F" w14:textId="77777777" w:rsidTr="003F7C4A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3526E762" w14:textId="77777777" w:rsidR="0025108F" w:rsidRPr="008B4FE6" w:rsidRDefault="0025108F" w:rsidP="0025108F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5108F" w:rsidRPr="008B4FE6" w14:paraId="222DE574" w14:textId="77777777" w:rsidTr="003F7C4A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56A20F32" w14:textId="77777777" w:rsidR="0025108F" w:rsidRPr="00B37C80" w:rsidRDefault="0025108F" w:rsidP="0025108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18CEEFAB" w14:textId="715D6254" w:rsidR="006176ED" w:rsidRPr="000D4A2E" w:rsidRDefault="006176ED" w:rsidP="00FD73E6">
      <w:pPr>
        <w:pStyle w:val="Nagwek1"/>
        <w:jc w:val="center"/>
      </w:pPr>
    </w:p>
    <w:sectPr w:rsidR="006176ED" w:rsidRPr="000D4A2E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32A4B" w14:textId="77777777" w:rsidR="000F7A0F" w:rsidRDefault="000F7A0F" w:rsidP="00044739">
      <w:pPr>
        <w:spacing w:line="240" w:lineRule="auto"/>
      </w:pPr>
      <w:r>
        <w:separator/>
      </w:r>
    </w:p>
  </w:endnote>
  <w:endnote w:type="continuationSeparator" w:id="0">
    <w:p w14:paraId="0D6B05EC" w14:textId="77777777" w:rsidR="000F7A0F" w:rsidRDefault="000F7A0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A9266" w14:textId="77777777" w:rsidR="000F7A0F" w:rsidRDefault="000F7A0F" w:rsidP="00044739">
      <w:pPr>
        <w:spacing w:line="240" w:lineRule="auto"/>
      </w:pPr>
      <w:r>
        <w:separator/>
      </w:r>
    </w:p>
  </w:footnote>
  <w:footnote w:type="continuationSeparator" w:id="0">
    <w:p w14:paraId="59A8E3F7" w14:textId="77777777" w:rsidR="000F7A0F" w:rsidRDefault="000F7A0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3882"/>
    <w:multiLevelType w:val="hybridMultilevel"/>
    <w:tmpl w:val="09544D08"/>
    <w:lvl w:ilvl="0" w:tplc="B62A1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A3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02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C3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6A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CB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64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C2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AB4D8D"/>
    <w:multiLevelType w:val="hybridMultilevel"/>
    <w:tmpl w:val="BB982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0BCA"/>
    <w:multiLevelType w:val="hybridMultilevel"/>
    <w:tmpl w:val="037E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78AD"/>
    <w:multiLevelType w:val="hybridMultilevel"/>
    <w:tmpl w:val="C1E06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3AF7"/>
    <w:multiLevelType w:val="hybridMultilevel"/>
    <w:tmpl w:val="28BE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1619"/>
    <w:multiLevelType w:val="hybridMultilevel"/>
    <w:tmpl w:val="05D4D538"/>
    <w:lvl w:ilvl="0" w:tplc="4C90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C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27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27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44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86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8B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C1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ED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0A2BC9"/>
    <w:multiLevelType w:val="hybridMultilevel"/>
    <w:tmpl w:val="E7BA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6343E"/>
    <w:multiLevelType w:val="hybridMultilevel"/>
    <w:tmpl w:val="E728A8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A52A4C"/>
    <w:multiLevelType w:val="hybridMultilevel"/>
    <w:tmpl w:val="BB66D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1724"/>
    <w:rsid w:val="00042465"/>
    <w:rsid w:val="00044138"/>
    <w:rsid w:val="00044739"/>
    <w:rsid w:val="00051637"/>
    <w:rsid w:val="00056681"/>
    <w:rsid w:val="00056C39"/>
    <w:rsid w:val="00057EF5"/>
    <w:rsid w:val="0006296C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A2E"/>
    <w:rsid w:val="000D4D90"/>
    <w:rsid w:val="000E2D10"/>
    <w:rsid w:val="000F2B32"/>
    <w:rsid w:val="000F3204"/>
    <w:rsid w:val="000F7A0F"/>
    <w:rsid w:val="0010548B"/>
    <w:rsid w:val="001072D1"/>
    <w:rsid w:val="00117017"/>
    <w:rsid w:val="00124B27"/>
    <w:rsid w:val="00130E8E"/>
    <w:rsid w:val="0013216E"/>
    <w:rsid w:val="001401B5"/>
    <w:rsid w:val="00140F4C"/>
    <w:rsid w:val="001422B9"/>
    <w:rsid w:val="0014665F"/>
    <w:rsid w:val="00150F5B"/>
    <w:rsid w:val="001518CF"/>
    <w:rsid w:val="00153464"/>
    <w:rsid w:val="001541B3"/>
    <w:rsid w:val="00154652"/>
    <w:rsid w:val="00155B15"/>
    <w:rsid w:val="0016212A"/>
    <w:rsid w:val="001625BE"/>
    <w:rsid w:val="001643A4"/>
    <w:rsid w:val="001673ED"/>
    <w:rsid w:val="001727BB"/>
    <w:rsid w:val="00180D25"/>
    <w:rsid w:val="0018318D"/>
    <w:rsid w:val="001833BB"/>
    <w:rsid w:val="00184B58"/>
    <w:rsid w:val="0018572C"/>
    <w:rsid w:val="00187E79"/>
    <w:rsid w:val="00187F0D"/>
    <w:rsid w:val="00192CC5"/>
    <w:rsid w:val="001956A7"/>
    <w:rsid w:val="001A118A"/>
    <w:rsid w:val="001A27F4"/>
    <w:rsid w:val="001A2D95"/>
    <w:rsid w:val="001A31F9"/>
    <w:rsid w:val="001B3460"/>
    <w:rsid w:val="001B42A0"/>
    <w:rsid w:val="001B4CA1"/>
    <w:rsid w:val="001B75D8"/>
    <w:rsid w:val="001B7F68"/>
    <w:rsid w:val="001C1060"/>
    <w:rsid w:val="001C3C63"/>
    <w:rsid w:val="001D0AAC"/>
    <w:rsid w:val="001D4732"/>
    <w:rsid w:val="001D554C"/>
    <w:rsid w:val="001D6A3C"/>
    <w:rsid w:val="001D6D51"/>
    <w:rsid w:val="001F2D01"/>
    <w:rsid w:val="001F653A"/>
    <w:rsid w:val="001F6979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1A46"/>
    <w:rsid w:val="00233F25"/>
    <w:rsid w:val="00234040"/>
    <w:rsid w:val="00235CD2"/>
    <w:rsid w:val="00244785"/>
    <w:rsid w:val="002469A5"/>
    <w:rsid w:val="0025108F"/>
    <w:rsid w:val="00254DED"/>
    <w:rsid w:val="00255619"/>
    <w:rsid w:val="00255DAD"/>
    <w:rsid w:val="00256108"/>
    <w:rsid w:val="00257EF9"/>
    <w:rsid w:val="00260F33"/>
    <w:rsid w:val="002613BD"/>
    <w:rsid w:val="00261457"/>
    <w:rsid w:val="002624F1"/>
    <w:rsid w:val="00266C22"/>
    <w:rsid w:val="00267917"/>
    <w:rsid w:val="00270C81"/>
    <w:rsid w:val="00271558"/>
    <w:rsid w:val="00274862"/>
    <w:rsid w:val="00282D72"/>
    <w:rsid w:val="00283402"/>
    <w:rsid w:val="00290FD6"/>
    <w:rsid w:val="00291A88"/>
    <w:rsid w:val="00292FA9"/>
    <w:rsid w:val="00294259"/>
    <w:rsid w:val="002A19FC"/>
    <w:rsid w:val="002A2C81"/>
    <w:rsid w:val="002B3D1A"/>
    <w:rsid w:val="002C27D0"/>
    <w:rsid w:val="002C2C9B"/>
    <w:rsid w:val="002C72F8"/>
    <w:rsid w:val="002D17D6"/>
    <w:rsid w:val="002D18D7"/>
    <w:rsid w:val="002D21CE"/>
    <w:rsid w:val="002D22CC"/>
    <w:rsid w:val="002D543C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597C"/>
    <w:rsid w:val="003168C0"/>
    <w:rsid w:val="0032246D"/>
    <w:rsid w:val="00331BF9"/>
    <w:rsid w:val="003341C8"/>
    <w:rsid w:val="0033495E"/>
    <w:rsid w:val="00334A79"/>
    <w:rsid w:val="00334D8D"/>
    <w:rsid w:val="00337345"/>
    <w:rsid w:val="003373DF"/>
    <w:rsid w:val="00337DD2"/>
    <w:rsid w:val="003404D1"/>
    <w:rsid w:val="003443FF"/>
    <w:rsid w:val="003516CB"/>
    <w:rsid w:val="00351D28"/>
    <w:rsid w:val="00355808"/>
    <w:rsid w:val="00362C7E"/>
    <w:rsid w:val="00363309"/>
    <w:rsid w:val="00363601"/>
    <w:rsid w:val="00371857"/>
    <w:rsid w:val="00376AC9"/>
    <w:rsid w:val="00393032"/>
    <w:rsid w:val="00394B69"/>
    <w:rsid w:val="00397078"/>
    <w:rsid w:val="003A6953"/>
    <w:rsid w:val="003B6083"/>
    <w:rsid w:val="003C26CA"/>
    <w:rsid w:val="003C3838"/>
    <w:rsid w:val="003C5847"/>
    <w:rsid w:val="003D0681"/>
    <w:rsid w:val="003D12F6"/>
    <w:rsid w:val="003D1426"/>
    <w:rsid w:val="003E2F4E"/>
    <w:rsid w:val="003E720A"/>
    <w:rsid w:val="003F55C0"/>
    <w:rsid w:val="003F7C4A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037E"/>
    <w:rsid w:val="00452034"/>
    <w:rsid w:val="00453C98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B0E95"/>
    <w:rsid w:val="004B5929"/>
    <w:rsid w:val="004C15C2"/>
    <w:rsid w:val="004C36D8"/>
    <w:rsid w:val="004D1248"/>
    <w:rsid w:val="004D1E3C"/>
    <w:rsid w:val="004D4169"/>
    <w:rsid w:val="004D6E14"/>
    <w:rsid w:val="004F0575"/>
    <w:rsid w:val="004F3CA5"/>
    <w:rsid w:val="004F4924"/>
    <w:rsid w:val="004F4B74"/>
    <w:rsid w:val="004F4E17"/>
    <w:rsid w:val="004F4EE2"/>
    <w:rsid w:val="0050082F"/>
    <w:rsid w:val="00500C56"/>
    <w:rsid w:val="00501713"/>
    <w:rsid w:val="00502444"/>
    <w:rsid w:val="00504E2F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5451A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18E4"/>
    <w:rsid w:val="00581A9C"/>
    <w:rsid w:val="00595E83"/>
    <w:rsid w:val="00596530"/>
    <w:rsid w:val="005967F3"/>
    <w:rsid w:val="005A06DF"/>
    <w:rsid w:val="005A5527"/>
    <w:rsid w:val="005A5AE6"/>
    <w:rsid w:val="005B0168"/>
    <w:rsid w:val="005B0BFE"/>
    <w:rsid w:val="005B1206"/>
    <w:rsid w:val="005B37E8"/>
    <w:rsid w:val="005C0056"/>
    <w:rsid w:val="005C1F11"/>
    <w:rsid w:val="005C3EEE"/>
    <w:rsid w:val="005C660E"/>
    <w:rsid w:val="005D61D6"/>
    <w:rsid w:val="005E0D13"/>
    <w:rsid w:val="005E5047"/>
    <w:rsid w:val="005E5EDD"/>
    <w:rsid w:val="005E7205"/>
    <w:rsid w:val="005E7371"/>
    <w:rsid w:val="005E77BD"/>
    <w:rsid w:val="005F116C"/>
    <w:rsid w:val="005F2131"/>
    <w:rsid w:val="0060018A"/>
    <w:rsid w:val="00602D2D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6091B"/>
    <w:rsid w:val="00663E67"/>
    <w:rsid w:val="006660E9"/>
    <w:rsid w:val="00667249"/>
    <w:rsid w:val="00667558"/>
    <w:rsid w:val="00667AE0"/>
    <w:rsid w:val="00671523"/>
    <w:rsid w:val="006754EF"/>
    <w:rsid w:val="00676C8D"/>
    <w:rsid w:val="00676F1F"/>
    <w:rsid w:val="00677381"/>
    <w:rsid w:val="00677414"/>
    <w:rsid w:val="0068265A"/>
    <w:rsid w:val="006832CF"/>
    <w:rsid w:val="0068601E"/>
    <w:rsid w:val="0069486B"/>
    <w:rsid w:val="006A4904"/>
    <w:rsid w:val="006A548F"/>
    <w:rsid w:val="006A701A"/>
    <w:rsid w:val="006A75E5"/>
    <w:rsid w:val="006B64DC"/>
    <w:rsid w:val="006B7A91"/>
    <w:rsid w:val="006D4704"/>
    <w:rsid w:val="006D6A2D"/>
    <w:rsid w:val="006E1E18"/>
    <w:rsid w:val="006E31CE"/>
    <w:rsid w:val="006E34D3"/>
    <w:rsid w:val="006F1435"/>
    <w:rsid w:val="006F78C4"/>
    <w:rsid w:val="00702296"/>
    <w:rsid w:val="007031A0"/>
    <w:rsid w:val="00705A29"/>
    <w:rsid w:val="00707498"/>
    <w:rsid w:val="00710B84"/>
    <w:rsid w:val="007111FA"/>
    <w:rsid w:val="00711A65"/>
    <w:rsid w:val="00714133"/>
    <w:rsid w:val="00714DA4"/>
    <w:rsid w:val="007158B2"/>
    <w:rsid w:val="00716081"/>
    <w:rsid w:val="00722B48"/>
    <w:rsid w:val="00723ED0"/>
    <w:rsid w:val="00724164"/>
    <w:rsid w:val="007250E5"/>
    <w:rsid w:val="00725DE7"/>
    <w:rsid w:val="0072636A"/>
    <w:rsid w:val="00726B44"/>
    <w:rsid w:val="007318DD"/>
    <w:rsid w:val="00733167"/>
    <w:rsid w:val="00740D2C"/>
    <w:rsid w:val="007415D0"/>
    <w:rsid w:val="00744BF9"/>
    <w:rsid w:val="00752623"/>
    <w:rsid w:val="00760F1F"/>
    <w:rsid w:val="0076423E"/>
    <w:rsid w:val="007646CB"/>
    <w:rsid w:val="0076658F"/>
    <w:rsid w:val="0077040A"/>
    <w:rsid w:val="00772D64"/>
    <w:rsid w:val="0077523F"/>
    <w:rsid w:val="007754EF"/>
    <w:rsid w:val="00784FC9"/>
    <w:rsid w:val="00791B12"/>
    <w:rsid w:val="00792609"/>
    <w:rsid w:val="00792887"/>
    <w:rsid w:val="007943E2"/>
    <w:rsid w:val="00794F2C"/>
    <w:rsid w:val="007A27DE"/>
    <w:rsid w:val="007A2B23"/>
    <w:rsid w:val="007A3BC7"/>
    <w:rsid w:val="007A5AC4"/>
    <w:rsid w:val="007A6B9E"/>
    <w:rsid w:val="007B0FDD"/>
    <w:rsid w:val="007B4497"/>
    <w:rsid w:val="007B4802"/>
    <w:rsid w:val="007B6668"/>
    <w:rsid w:val="007B6B33"/>
    <w:rsid w:val="007C2701"/>
    <w:rsid w:val="007D2192"/>
    <w:rsid w:val="007D780E"/>
    <w:rsid w:val="007F0021"/>
    <w:rsid w:val="007F18E8"/>
    <w:rsid w:val="007F2F52"/>
    <w:rsid w:val="00801F71"/>
    <w:rsid w:val="00805F28"/>
    <w:rsid w:val="0080688B"/>
    <w:rsid w:val="0080749F"/>
    <w:rsid w:val="00811D46"/>
    <w:rsid w:val="008125B0"/>
    <w:rsid w:val="008144CB"/>
    <w:rsid w:val="00821717"/>
    <w:rsid w:val="00824210"/>
    <w:rsid w:val="008263C0"/>
    <w:rsid w:val="00831172"/>
    <w:rsid w:val="00841422"/>
    <w:rsid w:val="00841D3B"/>
    <w:rsid w:val="0084314C"/>
    <w:rsid w:val="00843171"/>
    <w:rsid w:val="0084357D"/>
    <w:rsid w:val="00856799"/>
    <w:rsid w:val="008575C3"/>
    <w:rsid w:val="0086149C"/>
    <w:rsid w:val="00863D28"/>
    <w:rsid w:val="008648C3"/>
    <w:rsid w:val="00874299"/>
    <w:rsid w:val="00880F26"/>
    <w:rsid w:val="00896C2E"/>
    <w:rsid w:val="008A5095"/>
    <w:rsid w:val="008A608F"/>
    <w:rsid w:val="008B0246"/>
    <w:rsid w:val="008B1A9A"/>
    <w:rsid w:val="008B4FE6"/>
    <w:rsid w:val="008B6C37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3EBC"/>
    <w:rsid w:val="009140BB"/>
    <w:rsid w:val="00917AAE"/>
    <w:rsid w:val="009251A9"/>
    <w:rsid w:val="00930699"/>
    <w:rsid w:val="00931F69"/>
    <w:rsid w:val="00934123"/>
    <w:rsid w:val="00955774"/>
    <w:rsid w:val="009560B5"/>
    <w:rsid w:val="00967053"/>
    <w:rsid w:val="009703D6"/>
    <w:rsid w:val="0097181B"/>
    <w:rsid w:val="00976DC5"/>
    <w:rsid w:val="009771E1"/>
    <w:rsid w:val="00980630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A6B"/>
    <w:rsid w:val="00996F0A"/>
    <w:rsid w:val="009A0658"/>
    <w:rsid w:val="009A1D86"/>
    <w:rsid w:val="009A3F49"/>
    <w:rsid w:val="009A64F0"/>
    <w:rsid w:val="009B049C"/>
    <w:rsid w:val="009B11C8"/>
    <w:rsid w:val="009B2BCF"/>
    <w:rsid w:val="009B2FF8"/>
    <w:rsid w:val="009B5BA3"/>
    <w:rsid w:val="009C1CFB"/>
    <w:rsid w:val="009D0027"/>
    <w:rsid w:val="009D0655"/>
    <w:rsid w:val="009D362E"/>
    <w:rsid w:val="009E1E98"/>
    <w:rsid w:val="009E3ABE"/>
    <w:rsid w:val="009E3C4B"/>
    <w:rsid w:val="009E41A3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26C6"/>
    <w:rsid w:val="00A23191"/>
    <w:rsid w:val="00A2471E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4A22"/>
    <w:rsid w:val="00A56E64"/>
    <w:rsid w:val="00A624C3"/>
    <w:rsid w:val="00A6610C"/>
    <w:rsid w:val="00A6641C"/>
    <w:rsid w:val="00A669F7"/>
    <w:rsid w:val="00A6793C"/>
    <w:rsid w:val="00A767D2"/>
    <w:rsid w:val="00A77616"/>
    <w:rsid w:val="00A805DA"/>
    <w:rsid w:val="00A811B4"/>
    <w:rsid w:val="00A81A12"/>
    <w:rsid w:val="00A87CDE"/>
    <w:rsid w:val="00A92BAF"/>
    <w:rsid w:val="00A94737"/>
    <w:rsid w:val="00A94BA3"/>
    <w:rsid w:val="00A96CBA"/>
    <w:rsid w:val="00AB1ACD"/>
    <w:rsid w:val="00AB277F"/>
    <w:rsid w:val="00AB2827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25DF"/>
    <w:rsid w:val="00B03E0D"/>
    <w:rsid w:val="00B054F8"/>
    <w:rsid w:val="00B202F0"/>
    <w:rsid w:val="00B2219A"/>
    <w:rsid w:val="00B22DD2"/>
    <w:rsid w:val="00B3581B"/>
    <w:rsid w:val="00B36B81"/>
    <w:rsid w:val="00B36C62"/>
    <w:rsid w:val="00B36FEE"/>
    <w:rsid w:val="00B37C80"/>
    <w:rsid w:val="00B43C87"/>
    <w:rsid w:val="00B453E8"/>
    <w:rsid w:val="00B5092B"/>
    <w:rsid w:val="00B51931"/>
    <w:rsid w:val="00B5194E"/>
    <w:rsid w:val="00B51AF5"/>
    <w:rsid w:val="00B52244"/>
    <w:rsid w:val="00B531FC"/>
    <w:rsid w:val="00B55347"/>
    <w:rsid w:val="00B57E5E"/>
    <w:rsid w:val="00B61F37"/>
    <w:rsid w:val="00B64564"/>
    <w:rsid w:val="00B7473D"/>
    <w:rsid w:val="00B7770F"/>
    <w:rsid w:val="00B77A89"/>
    <w:rsid w:val="00B77B27"/>
    <w:rsid w:val="00B8134E"/>
    <w:rsid w:val="00B81B55"/>
    <w:rsid w:val="00B8302A"/>
    <w:rsid w:val="00B84613"/>
    <w:rsid w:val="00B87AF0"/>
    <w:rsid w:val="00B9037B"/>
    <w:rsid w:val="00B905CF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B0DCA"/>
    <w:rsid w:val="00BB2666"/>
    <w:rsid w:val="00BB45FE"/>
    <w:rsid w:val="00BB6B80"/>
    <w:rsid w:val="00BB774C"/>
    <w:rsid w:val="00BC3773"/>
    <w:rsid w:val="00BC381A"/>
    <w:rsid w:val="00BC5A78"/>
    <w:rsid w:val="00BD0962"/>
    <w:rsid w:val="00BD1EED"/>
    <w:rsid w:val="00BD7968"/>
    <w:rsid w:val="00BF0DA2"/>
    <w:rsid w:val="00BF109C"/>
    <w:rsid w:val="00BF34FA"/>
    <w:rsid w:val="00C004B6"/>
    <w:rsid w:val="00C047A7"/>
    <w:rsid w:val="00C05DE5"/>
    <w:rsid w:val="00C237B9"/>
    <w:rsid w:val="00C33027"/>
    <w:rsid w:val="00C33B39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721A1"/>
    <w:rsid w:val="00C7614E"/>
    <w:rsid w:val="00C77BF1"/>
    <w:rsid w:val="00C80D60"/>
    <w:rsid w:val="00C82FBD"/>
    <w:rsid w:val="00C831F7"/>
    <w:rsid w:val="00C85267"/>
    <w:rsid w:val="00C8721B"/>
    <w:rsid w:val="00C9080C"/>
    <w:rsid w:val="00C9372C"/>
    <w:rsid w:val="00C9470E"/>
    <w:rsid w:val="00C95CEB"/>
    <w:rsid w:val="00CA1054"/>
    <w:rsid w:val="00CA55AC"/>
    <w:rsid w:val="00CA63EB"/>
    <w:rsid w:val="00CA69F1"/>
    <w:rsid w:val="00CB6991"/>
    <w:rsid w:val="00CC0515"/>
    <w:rsid w:val="00CC6194"/>
    <w:rsid w:val="00CC6305"/>
    <w:rsid w:val="00CC78A5"/>
    <w:rsid w:val="00CD0516"/>
    <w:rsid w:val="00CD756B"/>
    <w:rsid w:val="00CE734F"/>
    <w:rsid w:val="00CF112E"/>
    <w:rsid w:val="00CF3FA3"/>
    <w:rsid w:val="00CF5F4F"/>
    <w:rsid w:val="00D218DC"/>
    <w:rsid w:val="00D22BA9"/>
    <w:rsid w:val="00D24E56"/>
    <w:rsid w:val="00D31643"/>
    <w:rsid w:val="00D31AEB"/>
    <w:rsid w:val="00D32ECD"/>
    <w:rsid w:val="00D361E4"/>
    <w:rsid w:val="00D40D0D"/>
    <w:rsid w:val="00D426D2"/>
    <w:rsid w:val="00D42A8F"/>
    <w:rsid w:val="00D439F6"/>
    <w:rsid w:val="00D459C6"/>
    <w:rsid w:val="00D47326"/>
    <w:rsid w:val="00D50729"/>
    <w:rsid w:val="00D50C19"/>
    <w:rsid w:val="00D5379E"/>
    <w:rsid w:val="00D62643"/>
    <w:rsid w:val="00D64C0F"/>
    <w:rsid w:val="00D72EFE"/>
    <w:rsid w:val="00D76227"/>
    <w:rsid w:val="00D77DF1"/>
    <w:rsid w:val="00D812C2"/>
    <w:rsid w:val="00D83C6D"/>
    <w:rsid w:val="00D86AFF"/>
    <w:rsid w:val="00D95A44"/>
    <w:rsid w:val="00D95D16"/>
    <w:rsid w:val="00D97C76"/>
    <w:rsid w:val="00DB02B4"/>
    <w:rsid w:val="00DB460B"/>
    <w:rsid w:val="00DB538D"/>
    <w:rsid w:val="00DC275C"/>
    <w:rsid w:val="00DC4B0D"/>
    <w:rsid w:val="00DC7FE1"/>
    <w:rsid w:val="00DD3F3F"/>
    <w:rsid w:val="00DD5572"/>
    <w:rsid w:val="00DE5D80"/>
    <w:rsid w:val="00DF34DE"/>
    <w:rsid w:val="00DF58CD"/>
    <w:rsid w:val="00DF65DE"/>
    <w:rsid w:val="00E019A5"/>
    <w:rsid w:val="00E02EC8"/>
    <w:rsid w:val="00E037F5"/>
    <w:rsid w:val="00E04ECB"/>
    <w:rsid w:val="00E05A09"/>
    <w:rsid w:val="00E05DBB"/>
    <w:rsid w:val="00E06CA1"/>
    <w:rsid w:val="00E11458"/>
    <w:rsid w:val="00E172B8"/>
    <w:rsid w:val="00E17FB4"/>
    <w:rsid w:val="00E20B75"/>
    <w:rsid w:val="00E214F2"/>
    <w:rsid w:val="00E2371E"/>
    <w:rsid w:val="00E247C0"/>
    <w:rsid w:val="00E24BD7"/>
    <w:rsid w:val="00E26523"/>
    <w:rsid w:val="00E26809"/>
    <w:rsid w:val="00E30924"/>
    <w:rsid w:val="00E3181C"/>
    <w:rsid w:val="00E32CAD"/>
    <w:rsid w:val="00E3412D"/>
    <w:rsid w:val="00E412E1"/>
    <w:rsid w:val="00E57322"/>
    <w:rsid w:val="00E628CB"/>
    <w:rsid w:val="00E62AD9"/>
    <w:rsid w:val="00E631EF"/>
    <w:rsid w:val="00E638C8"/>
    <w:rsid w:val="00E70EF1"/>
    <w:rsid w:val="00E7509B"/>
    <w:rsid w:val="00E7527E"/>
    <w:rsid w:val="00E8362A"/>
    <w:rsid w:val="00E86590"/>
    <w:rsid w:val="00E907FF"/>
    <w:rsid w:val="00EA054A"/>
    <w:rsid w:val="00EA42D1"/>
    <w:rsid w:val="00EA42EF"/>
    <w:rsid w:val="00EA6256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E462A"/>
    <w:rsid w:val="00EF290C"/>
    <w:rsid w:val="00EF2E73"/>
    <w:rsid w:val="00EF4C58"/>
    <w:rsid w:val="00EF7683"/>
    <w:rsid w:val="00EF78F1"/>
    <w:rsid w:val="00EF7A2D"/>
    <w:rsid w:val="00F04F8D"/>
    <w:rsid w:val="00F10AA8"/>
    <w:rsid w:val="00F10AD0"/>
    <w:rsid w:val="00F116CC"/>
    <w:rsid w:val="00F12BD1"/>
    <w:rsid w:val="00F15327"/>
    <w:rsid w:val="00F168CF"/>
    <w:rsid w:val="00F20278"/>
    <w:rsid w:val="00F2555C"/>
    <w:rsid w:val="00F31DF3"/>
    <w:rsid w:val="00F33AE5"/>
    <w:rsid w:val="00F351FE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9102B"/>
    <w:rsid w:val="00F91506"/>
    <w:rsid w:val="00FA117A"/>
    <w:rsid w:val="00FA44B0"/>
    <w:rsid w:val="00FA52B0"/>
    <w:rsid w:val="00FB386A"/>
    <w:rsid w:val="00FC0786"/>
    <w:rsid w:val="00FC49EF"/>
    <w:rsid w:val="00FD73E6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27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customStyle="1" w:styleId="Default">
    <w:name w:val="Default"/>
    <w:rsid w:val="000D4A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D4A2E"/>
    <w:rPr>
      <w:sz w:val="22"/>
      <w:szCs w:val="22"/>
      <w:lang w:eastAsia="en-US"/>
    </w:rPr>
  </w:style>
  <w:style w:type="character" w:customStyle="1" w:styleId="labeldekratacja">
    <w:name w:val="labeldekratacja"/>
    <w:basedOn w:val="Domylnaczcionkaakapitu"/>
    <w:rsid w:val="000D4A2E"/>
  </w:style>
  <w:style w:type="paragraph" w:styleId="NormalnyWeb">
    <w:name w:val="Normal (Web)"/>
    <w:basedOn w:val="Normalny"/>
    <w:uiPriority w:val="99"/>
    <w:unhideWhenUsed/>
    <w:rsid w:val="00A247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0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8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6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7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652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97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6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82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8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0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lgorzata_Oleszczuk\Desktop\offshore%20strike%20price\prezentacja\wykres%20offsho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1"/>
          <c:order val="0"/>
          <c:spPr>
            <a:noFill/>
            <a:ln>
              <a:noFill/>
            </a:ln>
            <a:effectLst/>
          </c:spPr>
          <c:invertIfNegative val="0"/>
          <c:cat>
            <c:strRef>
              <c:f>Arkusz1!$B$55:$B$62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 . . . </c:v>
                </c:pt>
                <c:pt idx="6">
                  <c:v>2030</c:v>
                </c:pt>
                <c:pt idx="7">
                  <c:v>2050</c:v>
                </c:pt>
              </c:strCache>
            </c:strRef>
          </c:cat>
          <c:val>
            <c:numRef>
              <c:f>Arkusz1!$C$55:$C$62</c:f>
              <c:numCache>
                <c:formatCode>General</c:formatCode>
                <c:ptCount val="8"/>
                <c:pt idx="0">
                  <c:v>114.31431005959303</c:v>
                </c:pt>
                <c:pt idx="1">
                  <c:v>104.15303805429586</c:v>
                </c:pt>
                <c:pt idx="2">
                  <c:v>83.830494043701549</c:v>
                </c:pt>
                <c:pt idx="3">
                  <c:v>88.064357379242026</c:v>
                </c:pt>
                <c:pt idx="4">
                  <c:v>86.370812045025843</c:v>
                </c:pt>
                <c:pt idx="6">
                  <c:v>42.338633355404824</c:v>
                </c:pt>
                <c:pt idx="7">
                  <c:v>25.403180013242892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9E-4AE6-B241-8CE86EB2559F}"/>
            </c:ext>
          </c:extLst>
        </c:ser>
        <c:ser>
          <c:idx val="2"/>
          <c:order val="1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Arkusz1!$B$55:$B$62</c:f>
              <c:strCach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 . . . </c:v>
                </c:pt>
                <c:pt idx="6">
                  <c:v>2030</c:v>
                </c:pt>
                <c:pt idx="7">
                  <c:v>2050</c:v>
                </c:pt>
              </c:strCache>
            </c:strRef>
          </c:cat>
          <c:val>
            <c:numRef>
              <c:f>Arkusz1!$D$55:$D$62</c:f>
              <c:numCache>
                <c:formatCode>General</c:formatCode>
                <c:ptCount val="8"/>
                <c:pt idx="0">
                  <c:v>76.209540039728594</c:v>
                </c:pt>
                <c:pt idx="1">
                  <c:v>85.524039377917646</c:v>
                </c:pt>
                <c:pt idx="2">
                  <c:v>84.677266710809533</c:v>
                </c:pt>
                <c:pt idx="3">
                  <c:v>66.048268034431445</c:v>
                </c:pt>
                <c:pt idx="4">
                  <c:v>80.443403375269042</c:v>
                </c:pt>
                <c:pt idx="6">
                  <c:v>33.870906684323813</c:v>
                </c:pt>
                <c:pt idx="7">
                  <c:v>33.870906684323813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9E-4AE6-B241-8CE86EB255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7532744"/>
        <c:axId val="497531432"/>
      </c:barChart>
      <c:lineChart>
        <c:grouping val="standard"/>
        <c:varyColors val="0"/>
        <c:ser>
          <c:idx val="0"/>
          <c:order val="2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Arkusz1!$E$55:$E$61</c:f>
              <c:numCache>
                <c:formatCode>General</c:formatCode>
                <c:ptCount val="7"/>
                <c:pt idx="0">
                  <c:v>156.65294341499785</c:v>
                </c:pt>
                <c:pt idx="1">
                  <c:v>143.10458074126831</c:v>
                </c:pt>
                <c:pt idx="2">
                  <c:v>111.77399205826873</c:v>
                </c:pt>
                <c:pt idx="3">
                  <c:v>107.54012872272826</c:v>
                </c:pt>
                <c:pt idx="4">
                  <c:v>106.69335605562016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69E-4AE6-B241-8CE86EB255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7532744"/>
        <c:axId val="497531432"/>
      </c:lineChart>
      <c:catAx>
        <c:axId val="497532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7531432"/>
        <c:crosses val="autoZero"/>
        <c:auto val="1"/>
        <c:lblAlgn val="ctr"/>
        <c:lblOffset val="100"/>
        <c:noMultiLvlLbl val="0"/>
      </c:catAx>
      <c:valAx>
        <c:axId val="497531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dirty="0"/>
                  <a:t>LCOE (2018EUR/MWh)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7532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43188305841333"/>
          <c:y val="7.5727055398930335E-2"/>
          <c:w val="0.74402015441500469"/>
          <c:h val="0.756597957539592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Z kosztami przyłącza WACC 8%</c:v>
                </c:pt>
                <c:pt idx="1">
                  <c:v>Z kosztami przyłącza WACC 4%</c:v>
                </c:pt>
                <c:pt idx="2">
                  <c:v>Bez kosztów przyłącza WACC 4%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122.78203673067398</c:v>
                </c:pt>
                <c:pt idx="1">
                  <c:v>88.064357379242026</c:v>
                </c:pt>
                <c:pt idx="2">
                  <c:v>59.274086697566752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15-492F-A2B8-D11184C0F25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2030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Z kosztami przyłącza WACC 8%</c:v>
                </c:pt>
                <c:pt idx="1">
                  <c:v>Z kosztami przyłącza WACC 4%</c:v>
                </c:pt>
                <c:pt idx="2">
                  <c:v>Bez kosztów przyłącza WACC 4%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76.20954003972868</c:v>
                </c:pt>
                <c:pt idx="1">
                  <c:v>50.806360026485784</c:v>
                </c:pt>
                <c:pt idx="2">
                  <c:v>37.257997352756242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15-492F-A2B8-D11184C0F2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1521816"/>
        <c:axId val="451525752"/>
      </c:barChart>
      <c:catAx>
        <c:axId val="451521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1525752"/>
        <c:crosses val="autoZero"/>
        <c:auto val="1"/>
        <c:lblAlgn val="ctr"/>
        <c:lblOffset val="100"/>
        <c:noMultiLvlLbl val="0"/>
      </c:catAx>
      <c:valAx>
        <c:axId val="4515257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1000" dirty="0"/>
                  <a:t>LCOE (2018EUR/MWh)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1521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D26FD9527948FDB3308A0D693C1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D5EBC-DB3D-4C5B-8B9C-BE8487473ADA}"/>
      </w:docPartPr>
      <w:docPartBody>
        <w:p w:rsidR="006B7115" w:rsidRDefault="00312608" w:rsidP="00312608">
          <w:pPr>
            <w:pStyle w:val="E2D26FD9527948FDB3308A0D693C1016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FFCF77BB2C34786A552E875C3BFF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BDFC9-5A3E-4593-A1C6-7FFDCBBE6894}"/>
      </w:docPartPr>
      <w:docPartBody>
        <w:p w:rsidR="006B7115" w:rsidRDefault="00312608" w:rsidP="00312608">
          <w:pPr>
            <w:pStyle w:val="CFFCF77BB2C34786A552E875C3BFFF80"/>
          </w:pPr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110CE1"/>
    <w:rsid w:val="001616B9"/>
    <w:rsid w:val="001C0B48"/>
    <w:rsid w:val="001C3BFD"/>
    <w:rsid w:val="00257589"/>
    <w:rsid w:val="002E7834"/>
    <w:rsid w:val="00307CEB"/>
    <w:rsid w:val="00312608"/>
    <w:rsid w:val="003D3BF7"/>
    <w:rsid w:val="003E41B1"/>
    <w:rsid w:val="003F6332"/>
    <w:rsid w:val="005E3092"/>
    <w:rsid w:val="0063080B"/>
    <w:rsid w:val="006657DC"/>
    <w:rsid w:val="006B7115"/>
    <w:rsid w:val="006C2AC8"/>
    <w:rsid w:val="00726BF4"/>
    <w:rsid w:val="007A6574"/>
    <w:rsid w:val="008C7CA2"/>
    <w:rsid w:val="00901F7A"/>
    <w:rsid w:val="00AD66A9"/>
    <w:rsid w:val="00B60620"/>
    <w:rsid w:val="00BC3629"/>
    <w:rsid w:val="00C171D4"/>
    <w:rsid w:val="00CE63BF"/>
    <w:rsid w:val="00DC4D34"/>
    <w:rsid w:val="00DE2FF2"/>
    <w:rsid w:val="00F34782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2608"/>
    <w:rPr>
      <w:color w:val="808080"/>
    </w:rPr>
  </w:style>
  <w:style w:type="paragraph" w:customStyle="1" w:styleId="E2D26FD9527948FDB3308A0D693C1016">
    <w:name w:val="E2D26FD9527948FDB3308A0D693C1016"/>
    <w:rsid w:val="00312608"/>
    <w:pPr>
      <w:spacing w:after="160" w:line="259" w:lineRule="auto"/>
    </w:pPr>
  </w:style>
  <w:style w:type="paragraph" w:customStyle="1" w:styleId="CFFCF77BB2C34786A552E875C3BFFF80">
    <w:name w:val="CFFCF77BB2C34786A552E875C3BFFF80"/>
    <w:rsid w:val="003126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E1DD5-5FFF-49F6-A976-BB890F3A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4649</Words>
  <Characters>27898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32483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subject/>
  <dc:creator/>
  <cp:keywords>ocena skutków regulacji</cp:keywords>
  <dc:description/>
  <cp:lastModifiedBy/>
  <cp:revision>1</cp:revision>
  <dcterms:created xsi:type="dcterms:W3CDTF">2021-02-16T09:01:00Z</dcterms:created>
  <dcterms:modified xsi:type="dcterms:W3CDTF">2021-02-16T09:01:00Z</dcterms:modified>
</cp:coreProperties>
</file>