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8BC6" w14:textId="43D3DF49" w:rsidR="001463C4" w:rsidRDefault="001463C4" w:rsidP="001463C4">
      <w:pPr>
        <w:widowControl w:val="0"/>
        <w:autoSpaceDE w:val="0"/>
        <w:autoSpaceDN w:val="0"/>
        <w:adjustRightInd w:val="0"/>
        <w:spacing w:line="360" w:lineRule="auto"/>
        <w:jc w:val="right"/>
        <w:rPr>
          <w:rFonts w:eastAsiaTheme="minorEastAsia" w:cs="Arial"/>
          <w:szCs w:val="20"/>
        </w:rPr>
      </w:pPr>
      <w:r>
        <w:rPr>
          <w:rFonts w:eastAsiaTheme="minorEastAsia" w:cs="Arial"/>
          <w:szCs w:val="20"/>
        </w:rPr>
        <w:t>2021.02.1</w:t>
      </w:r>
      <w:r w:rsidR="00EB3341">
        <w:rPr>
          <w:rFonts w:eastAsiaTheme="minorEastAsia" w:cs="Arial"/>
          <w:szCs w:val="20"/>
        </w:rPr>
        <w:t>2</w:t>
      </w:r>
    </w:p>
    <w:p w14:paraId="12C47B23" w14:textId="41FB927A" w:rsidR="003330DA" w:rsidRDefault="003330DA" w:rsidP="001463C4">
      <w:pPr>
        <w:widowControl w:val="0"/>
        <w:autoSpaceDE w:val="0"/>
        <w:autoSpaceDN w:val="0"/>
        <w:adjustRightInd w:val="0"/>
        <w:spacing w:line="360" w:lineRule="auto"/>
        <w:jc w:val="center"/>
        <w:rPr>
          <w:rFonts w:eastAsiaTheme="minorEastAsia" w:cs="Arial"/>
          <w:b/>
          <w:bCs/>
          <w:szCs w:val="20"/>
        </w:rPr>
      </w:pPr>
      <w:r w:rsidRPr="001463C4">
        <w:rPr>
          <w:rFonts w:eastAsiaTheme="minorEastAsia" w:cs="Arial"/>
          <w:b/>
          <w:bCs/>
          <w:szCs w:val="20"/>
        </w:rPr>
        <w:t>UZASADNIENIE</w:t>
      </w:r>
    </w:p>
    <w:p w14:paraId="6B2F1AA0" w14:textId="77777777" w:rsidR="001463C4" w:rsidRPr="00C15934" w:rsidRDefault="001463C4" w:rsidP="001463C4">
      <w:pPr>
        <w:widowControl w:val="0"/>
        <w:autoSpaceDE w:val="0"/>
        <w:autoSpaceDN w:val="0"/>
        <w:adjustRightInd w:val="0"/>
        <w:spacing w:line="360" w:lineRule="auto"/>
        <w:jc w:val="center"/>
        <w:rPr>
          <w:rFonts w:eastAsiaTheme="minorEastAsia" w:cs="Arial"/>
          <w:szCs w:val="20"/>
        </w:rPr>
      </w:pPr>
    </w:p>
    <w:p w14:paraId="2B845BDF" w14:textId="2C3160FF" w:rsidR="00311493" w:rsidRDefault="003330DA" w:rsidP="00DB4FD4">
      <w:pPr>
        <w:widowControl w:val="0"/>
        <w:autoSpaceDE w:val="0"/>
        <w:autoSpaceDN w:val="0"/>
        <w:adjustRightInd w:val="0"/>
        <w:spacing w:line="360" w:lineRule="auto"/>
        <w:ind w:firstLine="709"/>
        <w:jc w:val="both"/>
      </w:pPr>
      <w:r w:rsidRPr="00C15934">
        <w:rPr>
          <w:rFonts w:eastAsiaTheme="minorEastAsia" w:cs="Arial"/>
          <w:szCs w:val="20"/>
        </w:rPr>
        <w:t xml:space="preserve">Projekt rozporządzenia </w:t>
      </w:r>
      <w:r w:rsidR="00340EB8">
        <w:rPr>
          <w:rFonts w:eastAsiaTheme="minorEastAsia" w:cs="Arial"/>
          <w:szCs w:val="20"/>
        </w:rPr>
        <w:t xml:space="preserve">stanowi </w:t>
      </w:r>
      <w:r>
        <w:rPr>
          <w:rFonts w:eastAsiaTheme="minorEastAsia" w:cs="Arial"/>
          <w:szCs w:val="20"/>
        </w:rPr>
        <w:t>realizacj</w:t>
      </w:r>
      <w:r w:rsidR="00340EB8">
        <w:rPr>
          <w:rFonts w:eastAsiaTheme="minorEastAsia" w:cs="Arial"/>
          <w:szCs w:val="20"/>
        </w:rPr>
        <w:t>ę</w:t>
      </w:r>
      <w:r>
        <w:rPr>
          <w:rFonts w:eastAsiaTheme="minorEastAsia" w:cs="Arial"/>
          <w:szCs w:val="20"/>
        </w:rPr>
        <w:t xml:space="preserve"> </w:t>
      </w:r>
      <w:r w:rsidR="0037136B" w:rsidRPr="00C15934">
        <w:rPr>
          <w:rFonts w:eastAsiaTheme="minorEastAsia" w:cs="Arial"/>
          <w:szCs w:val="20"/>
        </w:rPr>
        <w:t>delegacji ustawowej</w:t>
      </w:r>
      <w:r w:rsidR="0037136B">
        <w:rPr>
          <w:rFonts w:eastAsiaTheme="minorEastAsia" w:cs="Arial"/>
          <w:szCs w:val="20"/>
        </w:rPr>
        <w:t xml:space="preserve"> </w:t>
      </w:r>
      <w:r>
        <w:rPr>
          <w:rFonts w:eastAsiaTheme="minorEastAsia" w:cs="Arial"/>
          <w:szCs w:val="20"/>
        </w:rPr>
        <w:t xml:space="preserve">zawartej w art. </w:t>
      </w:r>
      <w:r w:rsidR="003F1317">
        <w:rPr>
          <w:rFonts w:eastAsiaTheme="minorEastAsia" w:cs="Arial"/>
          <w:szCs w:val="20"/>
        </w:rPr>
        <w:t>25</w:t>
      </w:r>
      <w:r w:rsidR="00306B0E">
        <w:rPr>
          <w:rFonts w:eastAsiaTheme="minorEastAsia" w:cs="Arial"/>
          <w:szCs w:val="20"/>
        </w:rPr>
        <w:t xml:space="preserve"> ust</w:t>
      </w:r>
      <w:r w:rsidR="00544DA3">
        <w:rPr>
          <w:rFonts w:eastAsiaTheme="minorEastAsia" w:cs="Arial"/>
          <w:szCs w:val="20"/>
        </w:rPr>
        <w:t>.</w:t>
      </w:r>
      <w:r w:rsidR="00306B0E">
        <w:rPr>
          <w:rFonts w:eastAsiaTheme="minorEastAsia" w:cs="Arial"/>
          <w:szCs w:val="20"/>
        </w:rPr>
        <w:t xml:space="preserve"> </w:t>
      </w:r>
      <w:r w:rsidR="003F1317">
        <w:rPr>
          <w:rFonts w:eastAsiaTheme="minorEastAsia" w:cs="Arial"/>
          <w:szCs w:val="20"/>
        </w:rPr>
        <w:t xml:space="preserve">2 </w:t>
      </w:r>
      <w:r w:rsidR="003F2D82">
        <w:t xml:space="preserve">ustawy z dnia </w:t>
      </w:r>
      <w:r w:rsidR="00F559FE">
        <w:t>17 grudnia</w:t>
      </w:r>
      <w:r w:rsidR="003F2D82">
        <w:t xml:space="preserve"> 2020 r. o  promowaniu wytwarzania energii elektrycznej w morskich farmach wiatrowych (</w:t>
      </w:r>
      <w:bookmarkStart w:id="0" w:name="_Hlk63763942"/>
      <w:r w:rsidR="00F559FE" w:rsidRPr="00CC0515">
        <w:t>Dz. U. z 202</w:t>
      </w:r>
      <w:r w:rsidR="001A2003">
        <w:t>1</w:t>
      </w:r>
      <w:r w:rsidR="00F559FE" w:rsidRPr="00CC0515">
        <w:t xml:space="preserve"> r. poz. 2</w:t>
      </w:r>
      <w:bookmarkEnd w:id="0"/>
      <w:r w:rsidR="001A2003">
        <w:t>34</w:t>
      </w:r>
      <w:r w:rsidR="00F559FE">
        <w:t>)</w:t>
      </w:r>
      <w:r w:rsidR="001A2003">
        <w:t>,</w:t>
      </w:r>
      <w:r w:rsidR="00F559FE">
        <w:t xml:space="preserve"> </w:t>
      </w:r>
      <w:r w:rsidR="00C4685F">
        <w:rPr>
          <w:rFonts w:eastAsiaTheme="minorEastAsia" w:cs="Arial"/>
          <w:szCs w:val="20"/>
        </w:rPr>
        <w:t>zwanej dalej „ustawą”,</w:t>
      </w:r>
      <w:r w:rsidRPr="00C15934">
        <w:rPr>
          <w:rFonts w:eastAsiaTheme="minorEastAsia" w:cs="Arial"/>
          <w:szCs w:val="20"/>
        </w:rPr>
        <w:t xml:space="preserve"> która nakłada </w:t>
      </w:r>
      <w:r w:rsidR="00E8571D">
        <w:rPr>
          <w:rFonts w:eastAsiaTheme="minorEastAsia" w:cs="Arial"/>
          <w:szCs w:val="20"/>
        </w:rPr>
        <w:t xml:space="preserve">na </w:t>
      </w:r>
      <w:r w:rsidR="00032BDC">
        <w:rPr>
          <w:rFonts w:eastAsiaTheme="minorEastAsia" w:cs="Arial"/>
          <w:szCs w:val="20"/>
        </w:rPr>
        <w:t xml:space="preserve">ministra </w:t>
      </w:r>
      <w:r w:rsidR="00737298">
        <w:rPr>
          <w:rFonts w:eastAsiaTheme="minorEastAsia" w:cs="Arial"/>
          <w:szCs w:val="20"/>
        </w:rPr>
        <w:t>właściwego</w:t>
      </w:r>
      <w:r w:rsidR="00737298" w:rsidRPr="00737298">
        <w:rPr>
          <w:rFonts w:eastAsiaTheme="minorEastAsia" w:cs="Arial"/>
          <w:szCs w:val="20"/>
        </w:rPr>
        <w:t xml:space="preserve"> do spraw klimatu</w:t>
      </w:r>
      <w:r w:rsidR="001A2003">
        <w:rPr>
          <w:rFonts w:eastAsiaTheme="minorEastAsia" w:cs="Arial"/>
          <w:szCs w:val="20"/>
        </w:rPr>
        <w:t xml:space="preserve"> obowiązek określenia, </w:t>
      </w:r>
      <w:r w:rsidR="00737298" w:rsidRPr="00737298">
        <w:rPr>
          <w:rFonts w:eastAsiaTheme="minorEastAsia" w:cs="Arial"/>
          <w:szCs w:val="20"/>
        </w:rPr>
        <w:t>po zasięgnięciu opinii ministra właściwego do spraw aktywów państwowych</w:t>
      </w:r>
      <w:r w:rsidR="001A2003">
        <w:rPr>
          <w:rFonts w:eastAsiaTheme="minorEastAsia" w:cs="Arial"/>
          <w:szCs w:val="20"/>
        </w:rPr>
        <w:t>,</w:t>
      </w:r>
      <w:r w:rsidR="00DB4FD4">
        <w:rPr>
          <w:rFonts w:eastAsiaTheme="minorEastAsia" w:cs="Arial"/>
          <w:szCs w:val="20"/>
        </w:rPr>
        <w:t xml:space="preserve"> </w:t>
      </w:r>
      <w:r w:rsidR="001A2003">
        <w:t xml:space="preserve">ceny </w:t>
      </w:r>
      <w:r w:rsidR="003F2D82">
        <w:t xml:space="preserve">maksymalnej </w:t>
      </w:r>
      <w:r w:rsidR="00AC4014">
        <w:t>za energię elektryczną wytworzoną w morskiej farmie wiatrowej i wprowadzoną do sieci w złotych za 1 MWh, będącą podstawą rozliczenia prawa do pokrycia ujemnego salda</w:t>
      </w:r>
      <w:r w:rsidR="001A2003">
        <w:t xml:space="preserve"> (dalej: „cena maksymalna”).</w:t>
      </w:r>
    </w:p>
    <w:p w14:paraId="7BE7D125" w14:textId="583A43C9" w:rsidR="008A5612" w:rsidRDefault="008A5612" w:rsidP="00DB4FD4">
      <w:pPr>
        <w:widowControl w:val="0"/>
        <w:autoSpaceDE w:val="0"/>
        <w:autoSpaceDN w:val="0"/>
        <w:adjustRightInd w:val="0"/>
        <w:spacing w:line="360" w:lineRule="auto"/>
        <w:ind w:firstLine="709"/>
        <w:jc w:val="both"/>
        <w:rPr>
          <w:rFonts w:eastAsiaTheme="minorEastAsia" w:cs="Arial"/>
          <w:szCs w:val="20"/>
        </w:rPr>
      </w:pPr>
      <w:r w:rsidRPr="008A5612">
        <w:rPr>
          <w:rFonts w:eastAsiaTheme="minorEastAsia" w:cs="Arial"/>
          <w:szCs w:val="20"/>
        </w:rPr>
        <w:t>Przedmiotowe rozporządzenie określa cenę maksymalną za energię elektryczną wytworzoną w morskiej farmie wiatrowej i wprowadzoną do sieci w złotych za 1 MWh, będącą podstawą rozliczenia prawa do pokrycia ujemnego salda w I fazie systemu wsparcia, tj. cenę jaka może zostać przyznana w drodze decyzji Prezesa U</w:t>
      </w:r>
      <w:r w:rsidR="00340EB8">
        <w:rPr>
          <w:rFonts w:eastAsiaTheme="minorEastAsia" w:cs="Arial"/>
          <w:szCs w:val="20"/>
        </w:rPr>
        <w:t xml:space="preserve">rzędu </w:t>
      </w:r>
      <w:r w:rsidRPr="008A5612">
        <w:rPr>
          <w:rFonts w:eastAsiaTheme="minorEastAsia" w:cs="Arial"/>
          <w:szCs w:val="20"/>
        </w:rPr>
        <w:t>R</w:t>
      </w:r>
      <w:r w:rsidR="00340EB8">
        <w:rPr>
          <w:rFonts w:eastAsiaTheme="minorEastAsia" w:cs="Arial"/>
          <w:szCs w:val="20"/>
        </w:rPr>
        <w:t xml:space="preserve">egulacji </w:t>
      </w:r>
      <w:r w:rsidRPr="008A5612">
        <w:rPr>
          <w:rFonts w:eastAsiaTheme="minorEastAsia" w:cs="Arial"/>
          <w:szCs w:val="20"/>
        </w:rPr>
        <w:t>E</w:t>
      </w:r>
      <w:r w:rsidR="00340EB8">
        <w:rPr>
          <w:rFonts w:eastAsiaTheme="minorEastAsia" w:cs="Arial"/>
          <w:szCs w:val="20"/>
        </w:rPr>
        <w:t>nergetyki, zwanego dalej „Prezesem URE”</w:t>
      </w:r>
      <w:r w:rsidRPr="008A5612">
        <w:rPr>
          <w:rFonts w:eastAsiaTheme="minorEastAsia" w:cs="Arial"/>
          <w:szCs w:val="20"/>
        </w:rPr>
        <w:t>.</w:t>
      </w:r>
    </w:p>
    <w:p w14:paraId="423B0AD4" w14:textId="726C529A" w:rsidR="006D5517" w:rsidRDefault="006D5517" w:rsidP="006D5517">
      <w:pPr>
        <w:pStyle w:val="PKTpunkt"/>
        <w:ind w:left="0" w:firstLine="567"/>
      </w:pPr>
      <w:r>
        <w:t xml:space="preserve">Biorąc pod uwagę znaczenie ww. rozporządzenia, jak również mając na celu przeprowadzenie transparentnego procesu ustalania ceny maksymalnej, </w:t>
      </w:r>
      <w:r w:rsidR="002A2D06">
        <w:t>Zarządzeniem Ministra Klimatu i Środowiska z dnia 23 grudnia 2020r. (Dz.</w:t>
      </w:r>
      <w:r w:rsidR="00324C86">
        <w:t xml:space="preserve"> </w:t>
      </w:r>
      <w:r w:rsidR="002A2D06">
        <w:t>Urz.</w:t>
      </w:r>
      <w:r w:rsidR="00324C86">
        <w:t xml:space="preserve"> </w:t>
      </w:r>
      <w:r w:rsidR="002A2D06">
        <w:t>Min.</w:t>
      </w:r>
      <w:r w:rsidR="00324C86">
        <w:t xml:space="preserve"> </w:t>
      </w:r>
      <w:r w:rsidR="002A2D06">
        <w:t>Klim.</w:t>
      </w:r>
      <w:r w:rsidR="00324C86">
        <w:t xml:space="preserve"> I </w:t>
      </w:r>
      <w:proofErr w:type="spellStart"/>
      <w:r w:rsidR="002A2D06">
        <w:t>Środ</w:t>
      </w:r>
      <w:proofErr w:type="spellEnd"/>
      <w:r w:rsidR="002A2D06">
        <w:t>. poz.</w:t>
      </w:r>
      <w:r w:rsidR="00324C86">
        <w:t xml:space="preserve"> </w:t>
      </w:r>
      <w:r w:rsidR="002A2D06">
        <w:t>28</w:t>
      </w:r>
      <w:r w:rsidR="00324C86">
        <w:t>,</w:t>
      </w:r>
      <w:r w:rsidR="002A2D06">
        <w:t xml:space="preserve"> z późn. </w:t>
      </w:r>
      <w:r w:rsidR="00324C86">
        <w:t>z</w:t>
      </w:r>
      <w:r w:rsidR="002A2D06">
        <w:t xml:space="preserve">m.) </w:t>
      </w:r>
      <w:r>
        <w:t>powołan</w:t>
      </w:r>
      <w:r w:rsidR="002A2D06">
        <w:t xml:space="preserve">y został </w:t>
      </w:r>
      <w:r>
        <w:t xml:space="preserve"> Zespół </w:t>
      </w:r>
      <w:r w:rsidRPr="00FF2D07">
        <w:t>do spraw przygotowania metodyki wyliczenia ceny maksymalnej za energię elektryczną wytworzoną w morskich farmach wiatrowych i</w:t>
      </w:r>
      <w:r>
        <w:t> </w:t>
      </w:r>
      <w:r w:rsidRPr="00FF2D07">
        <w:t>wprowadzoną do sieci w złotych za 1 MWh, będąc</w:t>
      </w:r>
      <w:r w:rsidR="005E444C">
        <w:t>ej</w:t>
      </w:r>
      <w:r w:rsidRPr="00FF2D07">
        <w:t xml:space="preserve"> podstawą rozliczenia prawa do pokrycia ujemnego salda</w:t>
      </w:r>
      <w:r w:rsidR="00324C86">
        <w:t>, zwany dalej „Zespołem”</w:t>
      </w:r>
      <w:r w:rsidR="001F2979">
        <w:t>.</w:t>
      </w:r>
      <w:r w:rsidR="002A2D06">
        <w:t xml:space="preserve"> Zadaniem Zespołu było opracowanie metodyki określenia ceny maksymalnej.  </w:t>
      </w:r>
      <w:r>
        <w:t>Zespół składał się z przedstawicieli: Ministra Klimatu i Środowiska, Ministra Aktywów Państwowych, Ministra Finansów, Funduszy i Polityki Regionalnej, Ministra Rozwoju, Pracy i Technologii, Pełnomocnika Rządu do spraw Strategicznej Infrastruktury Energetycznej, Koordynatora Służb Specjalnych, Szefa Centrum Analiz Strategicznych w</w:t>
      </w:r>
      <w:r w:rsidR="00AB63F8">
        <w:t> </w:t>
      </w:r>
      <w:r>
        <w:t xml:space="preserve">Kancelarii Prezesa Rady Ministrów oraz Prezesa </w:t>
      </w:r>
      <w:r w:rsidR="00324C86">
        <w:t>URE</w:t>
      </w:r>
      <w:r>
        <w:t>. Wielkość ceny maksymalnej została wyznaczona w oparciu o metod</w:t>
      </w:r>
      <w:r w:rsidR="003216AB">
        <w:t>ykę</w:t>
      </w:r>
      <w:r>
        <w:t xml:space="preserve"> przedstawioną </w:t>
      </w:r>
      <w:r w:rsidR="007D0A2F">
        <w:t xml:space="preserve">przez Zespół i zatwierdzoną przez </w:t>
      </w:r>
      <w:r>
        <w:t>Ministr</w:t>
      </w:r>
      <w:r w:rsidR="007D0A2F">
        <w:t>a</w:t>
      </w:r>
      <w:r>
        <w:t xml:space="preserve"> Klimatu i Środowiska.</w:t>
      </w:r>
    </w:p>
    <w:p w14:paraId="1B775A30" w14:textId="02991624" w:rsidR="00434BB3" w:rsidRPr="007C6B2A" w:rsidRDefault="00A4294B" w:rsidP="003330DA">
      <w:pPr>
        <w:widowControl w:val="0"/>
        <w:autoSpaceDE w:val="0"/>
        <w:autoSpaceDN w:val="0"/>
        <w:adjustRightInd w:val="0"/>
        <w:spacing w:line="360" w:lineRule="auto"/>
        <w:ind w:firstLine="709"/>
        <w:jc w:val="both"/>
        <w:rPr>
          <w:rFonts w:eastAsiaTheme="minorEastAsia" w:cs="Arial"/>
          <w:sz w:val="28"/>
          <w:szCs w:val="22"/>
        </w:rPr>
      </w:pPr>
      <w:r w:rsidRPr="00A4294B">
        <w:rPr>
          <w:rFonts w:eastAsiaTheme="minorEastAsia" w:cs="Arial"/>
          <w:szCs w:val="20"/>
        </w:rPr>
        <w:t xml:space="preserve">Przy ustalaniu </w:t>
      </w:r>
      <w:r w:rsidR="001A2003">
        <w:rPr>
          <w:rFonts w:eastAsiaTheme="minorEastAsia" w:cs="Arial"/>
          <w:szCs w:val="20"/>
        </w:rPr>
        <w:t xml:space="preserve">ceny </w:t>
      </w:r>
      <w:r w:rsidR="00DB4FD4">
        <w:rPr>
          <w:rFonts w:eastAsiaTheme="minorEastAsia" w:cs="Arial"/>
          <w:szCs w:val="20"/>
        </w:rPr>
        <w:t>maksymalnej</w:t>
      </w:r>
      <w:r w:rsidRPr="00A4294B">
        <w:rPr>
          <w:rFonts w:eastAsiaTheme="minorEastAsia" w:cs="Arial"/>
          <w:szCs w:val="20"/>
        </w:rPr>
        <w:t>,</w:t>
      </w:r>
      <w:r w:rsidR="003F2D82">
        <w:rPr>
          <w:rFonts w:eastAsiaTheme="minorEastAsia" w:cs="Arial"/>
          <w:szCs w:val="20"/>
        </w:rPr>
        <w:t xml:space="preserve"> wzi</w:t>
      </w:r>
      <w:r w:rsidR="006D5517">
        <w:rPr>
          <w:rFonts w:eastAsiaTheme="minorEastAsia" w:cs="Arial"/>
          <w:szCs w:val="20"/>
        </w:rPr>
        <w:t>ęto</w:t>
      </w:r>
      <w:r w:rsidR="003F2D82">
        <w:rPr>
          <w:rFonts w:eastAsiaTheme="minorEastAsia" w:cs="Arial"/>
          <w:szCs w:val="20"/>
        </w:rPr>
        <w:t xml:space="preserve"> pod uwagę</w:t>
      </w:r>
      <w:r w:rsidR="00743F68">
        <w:rPr>
          <w:rFonts w:eastAsiaTheme="minorEastAsia" w:cs="Arial"/>
          <w:szCs w:val="20"/>
        </w:rPr>
        <w:t xml:space="preserve"> zakres </w:t>
      </w:r>
      <w:r w:rsidR="006D5517">
        <w:rPr>
          <w:rFonts w:eastAsiaTheme="minorEastAsia" w:cs="Arial"/>
          <w:szCs w:val="20"/>
        </w:rPr>
        <w:t xml:space="preserve">upoważnienia ustawowego, </w:t>
      </w:r>
      <w:r w:rsidR="007D0A2F">
        <w:rPr>
          <w:rFonts w:eastAsiaTheme="minorEastAsia" w:cs="Arial"/>
          <w:szCs w:val="20"/>
        </w:rPr>
        <w:t>zgodnie z którym</w:t>
      </w:r>
      <w:r w:rsidR="00324C86">
        <w:rPr>
          <w:rFonts w:eastAsiaTheme="minorEastAsia" w:cs="Arial"/>
          <w:szCs w:val="20"/>
        </w:rPr>
        <w:t xml:space="preserve"> ustalając cenę</w:t>
      </w:r>
      <w:r w:rsidR="007D0A2F">
        <w:rPr>
          <w:rFonts w:eastAsiaTheme="minorEastAsia" w:cs="Arial"/>
          <w:szCs w:val="20"/>
        </w:rPr>
        <w:t xml:space="preserve"> należy </w:t>
      </w:r>
      <w:r w:rsidR="006D5517">
        <w:rPr>
          <w:rFonts w:eastAsiaTheme="minorEastAsia" w:cs="Arial"/>
          <w:szCs w:val="20"/>
        </w:rPr>
        <w:t xml:space="preserve"> uwzględnić</w:t>
      </w:r>
      <w:r w:rsidR="003F2D82">
        <w:rPr>
          <w:rFonts w:eastAsiaTheme="minorEastAsia" w:cs="Arial"/>
          <w:szCs w:val="20"/>
        </w:rPr>
        <w:t>:</w:t>
      </w:r>
    </w:p>
    <w:p w14:paraId="66CE221D" w14:textId="77777777" w:rsidR="00DB4FD4" w:rsidRPr="007C6B2A" w:rsidRDefault="00DB4FD4" w:rsidP="00DB4FD4">
      <w:pPr>
        <w:pStyle w:val="PKTpunkt"/>
        <w:numPr>
          <w:ilvl w:val="0"/>
          <w:numId w:val="22"/>
        </w:numPr>
        <w:rPr>
          <w:szCs w:val="24"/>
        </w:rPr>
      </w:pPr>
      <w:r w:rsidRPr="007C6B2A">
        <w:rPr>
          <w:szCs w:val="24"/>
        </w:rPr>
        <w:t>koszty operacyjne oraz dodatkowe koszty inwestycyjne ponoszone w okresie eksploatacji, w którym wytwórca korzysta z prawa do pokrycia ujemnego salda;</w:t>
      </w:r>
    </w:p>
    <w:p w14:paraId="0CFFA69A" w14:textId="20FDE85D" w:rsidR="00DB4FD4" w:rsidRPr="007C6B2A" w:rsidRDefault="00DB4FD4" w:rsidP="00DB4FD4">
      <w:pPr>
        <w:pStyle w:val="PKTpunkt"/>
        <w:numPr>
          <w:ilvl w:val="0"/>
          <w:numId w:val="22"/>
        </w:numPr>
        <w:rPr>
          <w:szCs w:val="24"/>
        </w:rPr>
      </w:pPr>
      <w:r w:rsidRPr="007C6B2A">
        <w:rPr>
          <w:szCs w:val="24"/>
        </w:rPr>
        <w:lastRenderedPageBreak/>
        <w:t>koszty inwestycyjne ponoszone w okresie przygotowania projektu i budowy morskiej farmy wiatrowej wraz z niezbędną infrastrukturą techniczną oraz zespołem urządzeń służących do wyprowadzenia mocy, a także koszty całkowitej likwidacji morskiej farmy wiatrowej wraz z zespołem urządzeń służących do wyprowadzenia mocy, po zakończeniu jej eksploatacji;</w:t>
      </w:r>
    </w:p>
    <w:p w14:paraId="40491F93" w14:textId="77777777" w:rsidR="00DB4FD4" w:rsidRPr="007C6B2A" w:rsidRDefault="00DB4FD4" w:rsidP="00DB4FD4">
      <w:pPr>
        <w:pStyle w:val="PKTpunkt"/>
        <w:numPr>
          <w:ilvl w:val="0"/>
          <w:numId w:val="22"/>
        </w:numPr>
        <w:rPr>
          <w:i/>
          <w:sz w:val="22"/>
          <w:szCs w:val="18"/>
        </w:rPr>
      </w:pPr>
      <w:r w:rsidRPr="007C6B2A">
        <w:rPr>
          <w:szCs w:val="24"/>
        </w:rPr>
        <w:t>uzasadniony zwrot z kapitału zaangażowanego w wykonywaną działalność gospodarczą w zakresie przygotowania, budowy i eksploatacji morskiej farmy wiatrowej.</w:t>
      </w:r>
    </w:p>
    <w:p w14:paraId="508A1FC0" w14:textId="1E1341F8" w:rsidR="008050EE" w:rsidRDefault="00A839A0" w:rsidP="00342C25">
      <w:pPr>
        <w:pStyle w:val="PKTpunkt"/>
        <w:ind w:left="0" w:firstLine="567"/>
      </w:pPr>
      <w:r w:rsidRPr="00A839A0">
        <w:t>Określ</w:t>
      </w:r>
      <w:r w:rsidR="00195FFB">
        <w:t>e</w:t>
      </w:r>
      <w:r w:rsidRPr="00A839A0">
        <w:t>nie</w:t>
      </w:r>
      <w:r w:rsidR="00195FFB">
        <w:t xml:space="preserve"> wysokości</w:t>
      </w:r>
      <w:r w:rsidRPr="00A839A0">
        <w:t xml:space="preserve"> </w:t>
      </w:r>
      <w:r w:rsidR="00D401AA" w:rsidRPr="00A839A0">
        <w:t xml:space="preserve">ceny </w:t>
      </w:r>
      <w:r w:rsidRPr="00A839A0">
        <w:t xml:space="preserve">maksymalnej jest niezbędne dla </w:t>
      </w:r>
      <w:r w:rsidR="00D401AA">
        <w:t xml:space="preserve">uruchomienia I fazy systemu wsparcia, a </w:t>
      </w:r>
      <w:r w:rsidR="00324C86">
        <w:t>w związku z tym,</w:t>
      </w:r>
      <w:r w:rsidR="00D401AA">
        <w:t xml:space="preserve"> dla </w:t>
      </w:r>
      <w:r w:rsidR="008050EE">
        <w:t>terminowego i </w:t>
      </w:r>
      <w:r w:rsidRPr="00A839A0">
        <w:t xml:space="preserve">zrównoważonego rozwoju morskich farm wiatrowych w Polsce. Informacje dotyczące </w:t>
      </w:r>
      <w:r w:rsidR="008050EE" w:rsidRPr="00A839A0">
        <w:t xml:space="preserve">ceny </w:t>
      </w:r>
      <w:r w:rsidRPr="00A839A0">
        <w:t xml:space="preserve">maksymalnej są </w:t>
      </w:r>
      <w:r w:rsidR="005D4A49">
        <w:t xml:space="preserve">bowiem </w:t>
      </w:r>
      <w:r w:rsidRPr="00A839A0">
        <w:t xml:space="preserve">ważnym sygnałem dla inwestorów pozwalającym na określenie, czy dany projekt inwestycyjny ma szansę na partycypację w systemie wsparcia, a tym samym na realizację. </w:t>
      </w:r>
    </w:p>
    <w:p w14:paraId="356082BC" w14:textId="222CD4EB" w:rsidR="003E4FCB" w:rsidRDefault="008050EE" w:rsidP="001F16EB">
      <w:pPr>
        <w:pStyle w:val="PKTpunkt"/>
        <w:ind w:left="0" w:firstLine="567"/>
        <w:rPr>
          <w:rFonts w:ascii="Times New Roman" w:hAnsi="Times New Roman"/>
          <w:color w:val="000000"/>
          <w:spacing w:val="-2"/>
        </w:rPr>
      </w:pPr>
      <w:r>
        <w:t>Zakładana w ustawie moc zainstalowana na poziomie</w:t>
      </w:r>
      <w:r w:rsidR="00A839A0" w:rsidRPr="00A839A0">
        <w:t xml:space="preserve"> 5,9 GW odpowiada mocy </w:t>
      </w:r>
      <w:r w:rsidRPr="00A839A0">
        <w:t>z</w:t>
      </w:r>
      <w:r>
        <w:t> </w:t>
      </w:r>
      <w:r w:rsidRPr="00A839A0">
        <w:t xml:space="preserve">morskich farm wiatrowych </w:t>
      </w:r>
      <w:r w:rsidR="00A839A0" w:rsidRPr="00A839A0">
        <w:t xml:space="preserve">na 2030 </w:t>
      </w:r>
      <w:r>
        <w:t xml:space="preserve">r., </w:t>
      </w:r>
      <w:r w:rsidR="00EE2132">
        <w:t xml:space="preserve"> </w:t>
      </w:r>
      <w:r w:rsidR="005C5829">
        <w:t xml:space="preserve">wskazanej </w:t>
      </w:r>
      <w:r w:rsidR="00A839A0" w:rsidRPr="00A839A0">
        <w:t>w</w:t>
      </w:r>
      <w:r w:rsidR="00456D4B">
        <w:t xml:space="preserve"> </w:t>
      </w:r>
      <w:r w:rsidR="005C5829">
        <w:t xml:space="preserve">przyjętej przez Radę Ministrów </w:t>
      </w:r>
      <w:r w:rsidR="00A839A0" w:rsidRPr="00A839A0">
        <w:t xml:space="preserve"> </w:t>
      </w:r>
      <w:r w:rsidR="00456D4B" w:rsidRPr="00A839A0">
        <w:t>Polity</w:t>
      </w:r>
      <w:r w:rsidR="005C5829">
        <w:t>ce</w:t>
      </w:r>
      <w:r w:rsidR="00456D4B">
        <w:t xml:space="preserve"> E</w:t>
      </w:r>
      <w:r w:rsidR="00A839A0" w:rsidRPr="00A839A0">
        <w:t xml:space="preserve">nergetycznej Polski do 2040 r. Terminowa realizacja inwestycji </w:t>
      </w:r>
      <w:r w:rsidR="00A839A0">
        <w:t>w morskie farmy wiatrowe</w:t>
      </w:r>
      <w:r w:rsidR="00A839A0" w:rsidRPr="00A839A0">
        <w:t xml:space="preserve"> </w:t>
      </w:r>
      <w:r w:rsidR="00893BC4">
        <w:t xml:space="preserve">(MFW) </w:t>
      </w:r>
      <w:r w:rsidR="00A839A0" w:rsidRPr="00A839A0">
        <w:t xml:space="preserve">jest </w:t>
      </w:r>
      <w:r w:rsidR="005C5829">
        <w:t>również niezwykle istotna</w:t>
      </w:r>
      <w:r w:rsidR="005C5829" w:rsidRPr="00A839A0">
        <w:t xml:space="preserve"> </w:t>
      </w:r>
      <w:r w:rsidR="00A839A0" w:rsidRPr="00A839A0">
        <w:t>dla spełniania zobowiązań Polski wynikających z</w:t>
      </w:r>
      <w:r w:rsidR="00893BC4">
        <w:t> </w:t>
      </w:r>
      <w:r w:rsidR="00A839A0" w:rsidRPr="00A839A0">
        <w:t xml:space="preserve">unijnej polityki energetyczno-klimatycznej. </w:t>
      </w:r>
      <w:r w:rsidR="00A839A0" w:rsidRPr="005A0284">
        <w:t>Opracowana przez Zespół metodyka do wyznaczenia ceny maksymalnej ma kluczowe</w:t>
      </w:r>
      <w:r w:rsidR="00A839A0">
        <w:t xml:space="preserve"> z</w:t>
      </w:r>
      <w:r w:rsidR="00A839A0" w:rsidRPr="005A0284">
        <w:t xml:space="preserve">naczenie dla realizacji inwestycji w </w:t>
      </w:r>
      <w:r w:rsidR="00893BC4">
        <w:t xml:space="preserve">MFW </w:t>
      </w:r>
      <w:r w:rsidR="00A839A0">
        <w:t>w</w:t>
      </w:r>
      <w:r w:rsidR="00893BC4">
        <w:t> </w:t>
      </w:r>
      <w:r w:rsidR="00A839A0">
        <w:t xml:space="preserve">polskiej </w:t>
      </w:r>
      <w:r w:rsidR="00993C40">
        <w:t>w</w:t>
      </w:r>
      <w:r w:rsidR="00A839A0">
        <w:t xml:space="preserve">yłącznej </w:t>
      </w:r>
      <w:r w:rsidR="00993C40">
        <w:t>s</w:t>
      </w:r>
      <w:r w:rsidR="00E60C8B">
        <w:t>t</w:t>
      </w:r>
      <w:r w:rsidR="00A839A0">
        <w:t xml:space="preserve">refie </w:t>
      </w:r>
      <w:r w:rsidR="00993C40">
        <w:t>e</w:t>
      </w:r>
      <w:r w:rsidR="00A839A0">
        <w:t>konomicznej Morza Bał</w:t>
      </w:r>
      <w:r w:rsidR="00E60C8B">
        <w:t>t</w:t>
      </w:r>
      <w:r w:rsidR="00A839A0">
        <w:t>yckiego</w:t>
      </w:r>
      <w:r w:rsidR="00A839A0" w:rsidRPr="005A0284">
        <w:t xml:space="preserve">. Nieprawidłowo wyliczona cena maksymalna </w:t>
      </w:r>
      <w:r w:rsidR="00195FFB">
        <w:t xml:space="preserve"> może</w:t>
      </w:r>
      <w:r w:rsidR="00A839A0" w:rsidRPr="005A0284">
        <w:t xml:space="preserve"> uniemożli</w:t>
      </w:r>
      <w:r w:rsidR="00195FFB">
        <w:t>wić</w:t>
      </w:r>
      <w:r w:rsidR="00A839A0" w:rsidRPr="005A0284">
        <w:t xml:space="preserve"> </w:t>
      </w:r>
      <w:r w:rsidR="00993C40">
        <w:t>lub znacząco opóźni</w:t>
      </w:r>
      <w:r w:rsidR="00195FFB">
        <w:t>ć</w:t>
      </w:r>
      <w:r w:rsidR="00993C40">
        <w:t xml:space="preserve"> </w:t>
      </w:r>
      <w:r w:rsidR="00A839A0" w:rsidRPr="005A0284">
        <w:t>rozwój sektora morskiej energetyki wiatrowej.</w:t>
      </w:r>
      <w:r w:rsidR="00A839A0">
        <w:t xml:space="preserve"> </w:t>
      </w:r>
    </w:p>
    <w:p w14:paraId="6F40E70C" w14:textId="11975D15" w:rsidR="00C938B9" w:rsidRDefault="007007E0" w:rsidP="00A03858">
      <w:pPr>
        <w:pStyle w:val="PKTpunkt"/>
        <w:ind w:left="0" w:firstLine="567"/>
      </w:pPr>
      <w:r>
        <w:rPr>
          <w:rFonts w:ascii="Times New Roman" w:hAnsi="Times New Roman"/>
          <w:bCs w:val="0"/>
          <w:color w:val="000000"/>
          <w:spacing w:val="-2"/>
        </w:rPr>
        <w:t xml:space="preserve"> Zgodnie z metodyką opracowaną przez Zespół</w:t>
      </w:r>
      <w:r w:rsidR="005C5829">
        <w:rPr>
          <w:rFonts w:ascii="Times New Roman" w:hAnsi="Times New Roman"/>
          <w:bCs w:val="0"/>
          <w:color w:val="000000"/>
          <w:spacing w:val="-2"/>
        </w:rPr>
        <w:t>,</w:t>
      </w:r>
      <w:r w:rsidR="00C938B9" w:rsidRPr="009A3F49">
        <w:rPr>
          <w:rFonts w:ascii="TimesNewRomanPSMT" w:hAnsi="TimesNewRomanPSMT" w:cs="TimesNewRomanPSMT"/>
        </w:rPr>
        <w:t xml:space="preserve"> </w:t>
      </w:r>
      <w:r>
        <w:rPr>
          <w:color w:val="000000"/>
          <w:spacing w:val="-2"/>
        </w:rPr>
        <w:t>na</w:t>
      </w:r>
      <w:r w:rsidR="00C938B9" w:rsidRPr="00184B58">
        <w:t xml:space="preserve"> </w:t>
      </w:r>
      <w:r w:rsidR="00226867">
        <w:t>koszt</w:t>
      </w:r>
      <w:r w:rsidR="00226867" w:rsidRPr="00184B58">
        <w:t xml:space="preserve"> </w:t>
      </w:r>
      <w:r w:rsidR="00C938B9" w:rsidRPr="00184B58">
        <w:t xml:space="preserve">energii elektrycznej </w:t>
      </w:r>
      <w:r w:rsidR="00C938B9">
        <w:t xml:space="preserve">(LCOE) </w:t>
      </w:r>
      <w:r w:rsidR="00226867">
        <w:t xml:space="preserve">wytwarzanej w </w:t>
      </w:r>
      <w:r w:rsidR="00C938B9">
        <w:t>morskich farm</w:t>
      </w:r>
      <w:r w:rsidR="00226867">
        <w:t>ach</w:t>
      </w:r>
      <w:r w:rsidR="00C938B9">
        <w:t xml:space="preserve"> wiatrowych ma wpływ pięć</w:t>
      </w:r>
      <w:r w:rsidR="00C938B9" w:rsidRPr="00184B58">
        <w:t xml:space="preserve"> czynników</w:t>
      </w:r>
      <w:r w:rsidR="00C938B9">
        <w:t>:</w:t>
      </w:r>
    </w:p>
    <w:p w14:paraId="27ECB876" w14:textId="76DAA938" w:rsidR="00C938B9" w:rsidRDefault="005C5829" w:rsidP="006474D1">
      <w:pPr>
        <w:pStyle w:val="Akapitzlist"/>
        <w:numPr>
          <w:ilvl w:val="0"/>
          <w:numId w:val="35"/>
        </w:numPr>
        <w:spacing w:line="360" w:lineRule="auto"/>
        <w:jc w:val="both"/>
        <w:rPr>
          <w:color w:val="000000"/>
          <w:spacing w:val="-2"/>
        </w:rPr>
      </w:pPr>
      <w:r>
        <w:rPr>
          <w:color w:val="000000"/>
          <w:spacing w:val="-2"/>
        </w:rPr>
        <w:t>p</w:t>
      </w:r>
      <w:r w:rsidR="00C938B9">
        <w:rPr>
          <w:color w:val="000000"/>
          <w:spacing w:val="-2"/>
        </w:rPr>
        <w:t xml:space="preserve">rędkość wiatru – wpływa </w:t>
      </w:r>
      <w:r w:rsidR="00C938B9" w:rsidRPr="00184B58">
        <w:rPr>
          <w:color w:val="000000"/>
          <w:spacing w:val="-2"/>
        </w:rPr>
        <w:t>na ilość godzin pracy z pełną mocą w ciągu roku (</w:t>
      </w:r>
      <w:r w:rsidR="00C938B9">
        <w:rPr>
          <w:color w:val="000000"/>
          <w:spacing w:val="-2"/>
        </w:rPr>
        <w:t xml:space="preserve">współczynnik wykorzystania mocy, ang. </w:t>
      </w:r>
      <w:proofErr w:type="spellStart"/>
      <w:r w:rsidR="00C938B9" w:rsidRPr="000664BC">
        <w:rPr>
          <w:rStyle w:val="Kkursywa"/>
        </w:rPr>
        <w:t>capacity</w:t>
      </w:r>
      <w:proofErr w:type="spellEnd"/>
      <w:r w:rsidR="00C938B9" w:rsidRPr="000664BC">
        <w:rPr>
          <w:rStyle w:val="Kkursywa"/>
        </w:rPr>
        <w:t xml:space="preserve"> </w:t>
      </w:r>
      <w:proofErr w:type="spellStart"/>
      <w:r w:rsidR="00C938B9" w:rsidRPr="000664BC">
        <w:rPr>
          <w:rStyle w:val="Kkursywa"/>
        </w:rPr>
        <w:t>factor</w:t>
      </w:r>
      <w:proofErr w:type="spellEnd"/>
      <w:r w:rsidR="000664BC">
        <w:rPr>
          <w:rStyle w:val="Kkursywa"/>
        </w:rPr>
        <w:t>,</w:t>
      </w:r>
      <w:r w:rsidR="00C938B9" w:rsidRPr="000664BC">
        <w:rPr>
          <w:rStyle w:val="Kkursywa"/>
        </w:rPr>
        <w:t xml:space="preserve"> CF</w:t>
      </w:r>
      <w:r w:rsidR="00C938B9" w:rsidRPr="00184B58">
        <w:rPr>
          <w:color w:val="000000"/>
          <w:spacing w:val="-2"/>
        </w:rPr>
        <w:t>)</w:t>
      </w:r>
      <w:r w:rsidR="00C938B9">
        <w:rPr>
          <w:color w:val="000000"/>
          <w:spacing w:val="-2"/>
        </w:rPr>
        <w:t>;</w:t>
      </w:r>
    </w:p>
    <w:p w14:paraId="3F6D5F82" w14:textId="3C9DC006" w:rsidR="00C938B9" w:rsidRDefault="005C5829" w:rsidP="006474D1">
      <w:pPr>
        <w:pStyle w:val="Akapitzlist"/>
        <w:numPr>
          <w:ilvl w:val="0"/>
          <w:numId w:val="35"/>
        </w:numPr>
        <w:spacing w:line="360" w:lineRule="auto"/>
        <w:jc w:val="both"/>
        <w:rPr>
          <w:color w:val="000000"/>
          <w:spacing w:val="-2"/>
        </w:rPr>
      </w:pPr>
      <w:r>
        <w:rPr>
          <w:color w:val="000000"/>
          <w:spacing w:val="-2"/>
        </w:rPr>
        <w:t>o</w:t>
      </w:r>
      <w:r w:rsidR="00C938B9">
        <w:rPr>
          <w:color w:val="000000"/>
          <w:spacing w:val="-2"/>
        </w:rPr>
        <w:t>dległość od brzegu – wpływa</w:t>
      </w:r>
      <w:r w:rsidR="00C938B9" w:rsidRPr="00184B58">
        <w:rPr>
          <w:color w:val="000000"/>
          <w:spacing w:val="-2"/>
        </w:rPr>
        <w:t xml:space="preserve"> na długość kabla eksportowego oraz koszty instalacji i</w:t>
      </w:r>
      <w:r w:rsidR="000664BC">
        <w:rPr>
          <w:color w:val="000000"/>
          <w:spacing w:val="-2"/>
        </w:rPr>
        <w:t> </w:t>
      </w:r>
      <w:r w:rsidR="00C938B9" w:rsidRPr="00184B58">
        <w:rPr>
          <w:color w:val="000000"/>
          <w:spacing w:val="-2"/>
        </w:rPr>
        <w:t xml:space="preserve">eksploatacji urządzeń </w:t>
      </w:r>
      <w:r w:rsidR="00A94723">
        <w:rPr>
          <w:color w:val="000000"/>
          <w:spacing w:val="-2"/>
        </w:rPr>
        <w:t xml:space="preserve">uzależnione od długości transportu z portu instalacyjnego na teren </w:t>
      </w:r>
      <w:r>
        <w:rPr>
          <w:color w:val="000000"/>
          <w:spacing w:val="-2"/>
        </w:rPr>
        <w:t>morskiej farmy wiatrowej</w:t>
      </w:r>
      <w:r w:rsidR="00A94723">
        <w:rPr>
          <w:color w:val="000000"/>
          <w:spacing w:val="-2"/>
        </w:rPr>
        <w:t xml:space="preserve"> oraz ilości roboczogodzin spędzanych na morzu przez brygady eksploatacyjne i serwisowe.</w:t>
      </w:r>
      <w:r w:rsidR="00C938B9">
        <w:rPr>
          <w:color w:val="000000"/>
          <w:spacing w:val="-2"/>
        </w:rPr>
        <w:t xml:space="preserve"> </w:t>
      </w:r>
      <w:r w:rsidR="00C938B9" w:rsidRPr="0031597C">
        <w:rPr>
          <w:color w:val="000000"/>
          <w:spacing w:val="-2"/>
        </w:rPr>
        <w:t xml:space="preserve">Im mniejsza odległość tym </w:t>
      </w:r>
      <w:r w:rsidR="00C938B9">
        <w:rPr>
          <w:color w:val="000000"/>
          <w:spacing w:val="-2"/>
        </w:rPr>
        <w:t xml:space="preserve">niższe koszty kapitałowe budowy, ang. </w:t>
      </w:r>
      <w:proofErr w:type="spellStart"/>
      <w:r w:rsidR="00C938B9" w:rsidRPr="000664BC">
        <w:rPr>
          <w:rStyle w:val="Kkursywa"/>
        </w:rPr>
        <w:t>Overnight</w:t>
      </w:r>
      <w:proofErr w:type="spellEnd"/>
      <w:r w:rsidR="00C938B9" w:rsidRPr="000664BC">
        <w:rPr>
          <w:rStyle w:val="Kkursywa"/>
        </w:rPr>
        <w:t xml:space="preserve"> </w:t>
      </w:r>
      <w:proofErr w:type="spellStart"/>
      <w:r w:rsidR="00C938B9" w:rsidRPr="000664BC">
        <w:rPr>
          <w:rStyle w:val="Kkursywa"/>
        </w:rPr>
        <w:t>Cost</w:t>
      </w:r>
      <w:proofErr w:type="spellEnd"/>
      <w:r w:rsidR="00C938B9" w:rsidRPr="0031597C">
        <w:rPr>
          <w:color w:val="000000"/>
          <w:spacing w:val="-2"/>
        </w:rPr>
        <w:t xml:space="preserve"> </w:t>
      </w:r>
      <w:r w:rsidR="00C938B9">
        <w:rPr>
          <w:color w:val="000000"/>
          <w:spacing w:val="-2"/>
        </w:rPr>
        <w:t>(OVN)</w:t>
      </w:r>
      <w:r>
        <w:rPr>
          <w:color w:val="000000"/>
          <w:spacing w:val="-2"/>
        </w:rPr>
        <w:t>,</w:t>
      </w:r>
      <w:r w:rsidR="001F2979">
        <w:rPr>
          <w:color w:val="000000"/>
          <w:spacing w:val="-2"/>
        </w:rPr>
        <w:t xml:space="preserve"> </w:t>
      </w:r>
      <w:r w:rsidR="00C938B9" w:rsidRPr="0031597C">
        <w:rPr>
          <w:color w:val="000000"/>
          <w:spacing w:val="-2"/>
        </w:rPr>
        <w:t>przyłącza i samej farmy, oraz</w:t>
      </w:r>
      <w:r w:rsidR="00C938B9">
        <w:rPr>
          <w:color w:val="000000"/>
          <w:spacing w:val="-2"/>
        </w:rPr>
        <w:t xml:space="preserve"> koszty eksploatacji, ang. </w:t>
      </w:r>
      <w:proofErr w:type="spellStart"/>
      <w:r w:rsidR="00C938B9" w:rsidRPr="000664BC">
        <w:rPr>
          <w:rStyle w:val="Kkursywa"/>
        </w:rPr>
        <w:t>Operational</w:t>
      </w:r>
      <w:proofErr w:type="spellEnd"/>
      <w:r w:rsidR="00C938B9" w:rsidRPr="000664BC">
        <w:rPr>
          <w:rStyle w:val="Kkursywa"/>
        </w:rPr>
        <w:t xml:space="preserve"> </w:t>
      </w:r>
      <w:proofErr w:type="spellStart"/>
      <w:r w:rsidR="00C938B9" w:rsidRPr="000664BC">
        <w:rPr>
          <w:rStyle w:val="Kkursywa"/>
        </w:rPr>
        <w:t>Expenditures</w:t>
      </w:r>
      <w:proofErr w:type="spellEnd"/>
      <w:r w:rsidR="00C938B9">
        <w:rPr>
          <w:color w:val="000000"/>
          <w:spacing w:val="-2"/>
        </w:rPr>
        <w:t>,</w:t>
      </w:r>
      <w:r w:rsidR="00C938B9" w:rsidRPr="0031597C">
        <w:rPr>
          <w:color w:val="000000"/>
          <w:spacing w:val="-2"/>
        </w:rPr>
        <w:t xml:space="preserve"> OPEX</w:t>
      </w:r>
      <w:r w:rsidR="00C938B9">
        <w:rPr>
          <w:color w:val="000000"/>
          <w:spacing w:val="-2"/>
        </w:rPr>
        <w:t>;</w:t>
      </w:r>
    </w:p>
    <w:p w14:paraId="61F5D37E" w14:textId="5A3DF2EC" w:rsidR="00C938B9" w:rsidRDefault="005C5829" w:rsidP="006474D1">
      <w:pPr>
        <w:pStyle w:val="Akapitzlist"/>
        <w:numPr>
          <w:ilvl w:val="0"/>
          <w:numId w:val="35"/>
        </w:numPr>
        <w:spacing w:line="360" w:lineRule="auto"/>
        <w:jc w:val="both"/>
        <w:rPr>
          <w:color w:val="000000"/>
          <w:spacing w:val="-2"/>
        </w:rPr>
      </w:pPr>
      <w:r>
        <w:rPr>
          <w:color w:val="000000"/>
          <w:spacing w:val="-2"/>
        </w:rPr>
        <w:lastRenderedPageBreak/>
        <w:t>g</w:t>
      </w:r>
      <w:r w:rsidR="00C938B9">
        <w:rPr>
          <w:color w:val="000000"/>
          <w:spacing w:val="-2"/>
        </w:rPr>
        <w:t xml:space="preserve">łębokość akwenu – wpływa </w:t>
      </w:r>
      <w:r w:rsidR="00C938B9" w:rsidRPr="0031597C">
        <w:rPr>
          <w:color w:val="000000"/>
          <w:spacing w:val="-2"/>
        </w:rPr>
        <w:t>na typ i rodzaj konstrukcji fundamentów</w:t>
      </w:r>
      <w:r w:rsidR="00C938B9">
        <w:rPr>
          <w:color w:val="000000"/>
          <w:spacing w:val="-2"/>
        </w:rPr>
        <w:t xml:space="preserve">. </w:t>
      </w:r>
      <w:r w:rsidR="00C938B9" w:rsidRPr="0031597C">
        <w:rPr>
          <w:color w:val="000000"/>
          <w:spacing w:val="-2"/>
        </w:rPr>
        <w:t>Im mniejsza głębokość tym niższy koszt fundamentów oraz OVN</w:t>
      </w:r>
      <w:r w:rsidR="00C938B9">
        <w:rPr>
          <w:color w:val="000000"/>
          <w:spacing w:val="-2"/>
        </w:rPr>
        <w:t xml:space="preserve"> </w:t>
      </w:r>
      <w:r w:rsidR="00C938B9" w:rsidRPr="0031597C">
        <w:rPr>
          <w:color w:val="000000"/>
          <w:spacing w:val="-2"/>
        </w:rPr>
        <w:t>samej farmy</w:t>
      </w:r>
      <w:r w:rsidR="00C938B9">
        <w:rPr>
          <w:color w:val="000000"/>
          <w:spacing w:val="-2"/>
        </w:rPr>
        <w:t>;</w:t>
      </w:r>
    </w:p>
    <w:p w14:paraId="2EBF7DBD" w14:textId="159D3D3A" w:rsidR="00C938B9" w:rsidRPr="00184B58" w:rsidRDefault="005C5829" w:rsidP="006474D1">
      <w:pPr>
        <w:pStyle w:val="Akapitzlist"/>
        <w:numPr>
          <w:ilvl w:val="0"/>
          <w:numId w:val="35"/>
        </w:numPr>
        <w:spacing w:line="360" w:lineRule="auto"/>
        <w:jc w:val="both"/>
        <w:rPr>
          <w:color w:val="000000"/>
          <w:spacing w:val="-2"/>
        </w:rPr>
      </w:pPr>
      <w:r>
        <w:rPr>
          <w:color w:val="000000"/>
          <w:spacing w:val="-2"/>
        </w:rPr>
        <w:t>r</w:t>
      </w:r>
      <w:r w:rsidR="00C938B9">
        <w:rPr>
          <w:color w:val="000000"/>
          <w:spacing w:val="-2"/>
        </w:rPr>
        <w:t xml:space="preserve">ozwój technologii – wpływa </w:t>
      </w:r>
      <w:r w:rsidR="00C938B9" w:rsidRPr="00184B58">
        <w:rPr>
          <w:color w:val="000000"/>
          <w:spacing w:val="-2"/>
        </w:rPr>
        <w:t xml:space="preserve">na wzrost mocy jednostkowych ograniczający zużycie materiałów </w:t>
      </w:r>
      <w:r w:rsidR="00E7121F">
        <w:rPr>
          <w:color w:val="000000"/>
          <w:spacing w:val="-2"/>
        </w:rPr>
        <w:t xml:space="preserve">przy tej samej mocy zainstalowanej MFW i </w:t>
      </w:r>
      <w:r w:rsidR="00C938B9" w:rsidRPr="00184B58">
        <w:rPr>
          <w:color w:val="000000"/>
          <w:spacing w:val="-2"/>
        </w:rPr>
        <w:t>straty zacienienia wiatrowego</w:t>
      </w:r>
      <w:r w:rsidR="00E7121F">
        <w:rPr>
          <w:color w:val="000000"/>
          <w:spacing w:val="-2"/>
        </w:rPr>
        <w:t xml:space="preserve"> wynikające z rozmieszczenia pojedynczych turbin.</w:t>
      </w:r>
      <w:r w:rsidR="00F40AE8">
        <w:rPr>
          <w:color w:val="000000"/>
          <w:spacing w:val="-2"/>
        </w:rPr>
        <w:t xml:space="preserve"> </w:t>
      </w:r>
      <w:r w:rsidR="00E7121F">
        <w:rPr>
          <w:color w:val="000000"/>
          <w:spacing w:val="-2"/>
        </w:rPr>
        <w:t xml:space="preserve">Rozwój technologii wpływa również na </w:t>
      </w:r>
      <w:r w:rsidR="00F40AE8">
        <w:rPr>
          <w:color w:val="000000"/>
          <w:spacing w:val="-2"/>
        </w:rPr>
        <w:t>zwiększenie efektywności globalnych łańcuchów dostaw.</w:t>
      </w:r>
      <w:r w:rsidR="00E7121F">
        <w:rPr>
          <w:color w:val="000000"/>
          <w:spacing w:val="-2"/>
        </w:rPr>
        <w:t xml:space="preserve"> </w:t>
      </w:r>
      <w:r w:rsidR="00C938B9" w:rsidRPr="0031597C">
        <w:rPr>
          <w:color w:val="000000"/>
          <w:spacing w:val="-2"/>
        </w:rPr>
        <w:t>Im dojrzalsza technologia tym niższy koszt OVN farmy</w:t>
      </w:r>
      <w:r w:rsidR="00A94723">
        <w:rPr>
          <w:color w:val="000000"/>
          <w:spacing w:val="-2"/>
        </w:rPr>
        <w:t xml:space="preserve">, OVN </w:t>
      </w:r>
      <w:r w:rsidR="00C938B9" w:rsidRPr="0031597C">
        <w:rPr>
          <w:color w:val="000000"/>
          <w:spacing w:val="-2"/>
        </w:rPr>
        <w:t xml:space="preserve">przyłącza oraz OPEX. Wzrasta również </w:t>
      </w:r>
      <w:r w:rsidR="00F40AE8">
        <w:rPr>
          <w:color w:val="000000"/>
          <w:spacing w:val="-2"/>
        </w:rPr>
        <w:t>współczynnik wykorzystania mocy, a wraz z nim,</w:t>
      </w:r>
      <w:r w:rsidR="00C938B9" w:rsidRPr="0031597C">
        <w:rPr>
          <w:color w:val="000000"/>
          <w:spacing w:val="-2"/>
        </w:rPr>
        <w:t xml:space="preserve"> ilość produkowanej energii</w:t>
      </w:r>
      <w:r w:rsidR="00C938B9">
        <w:rPr>
          <w:color w:val="000000"/>
          <w:spacing w:val="-2"/>
        </w:rPr>
        <w:t>;</w:t>
      </w:r>
    </w:p>
    <w:p w14:paraId="034783E5" w14:textId="2F2911F3" w:rsidR="00C938B9" w:rsidRPr="00184B58" w:rsidRDefault="005C5829" w:rsidP="006474D1">
      <w:pPr>
        <w:pStyle w:val="Akapitzlist"/>
        <w:numPr>
          <w:ilvl w:val="0"/>
          <w:numId w:val="35"/>
        </w:numPr>
        <w:spacing w:line="360" w:lineRule="auto"/>
        <w:jc w:val="both"/>
        <w:rPr>
          <w:color w:val="000000"/>
          <w:spacing w:val="-2"/>
        </w:rPr>
      </w:pPr>
      <w:r>
        <w:rPr>
          <w:color w:val="000000"/>
          <w:spacing w:val="-2"/>
        </w:rPr>
        <w:t>k</w:t>
      </w:r>
      <w:r w:rsidR="00C938B9">
        <w:rPr>
          <w:color w:val="000000"/>
          <w:spacing w:val="-2"/>
        </w:rPr>
        <w:t>oszty pracy – wpływa</w:t>
      </w:r>
      <w:r>
        <w:rPr>
          <w:color w:val="000000"/>
          <w:spacing w:val="-2"/>
        </w:rPr>
        <w:t>ją</w:t>
      </w:r>
      <w:r w:rsidR="00C938B9">
        <w:rPr>
          <w:color w:val="000000"/>
          <w:spacing w:val="-2"/>
        </w:rPr>
        <w:t xml:space="preserve"> na </w:t>
      </w:r>
      <w:r w:rsidR="00C938B9" w:rsidRPr="00184B58">
        <w:rPr>
          <w:color w:val="000000"/>
          <w:spacing w:val="-2"/>
        </w:rPr>
        <w:t>koszt projektowania, instalacji urządzeń oraz ich eksploatacji</w:t>
      </w:r>
      <w:r w:rsidR="00C938B9">
        <w:rPr>
          <w:color w:val="000000"/>
          <w:spacing w:val="-2"/>
        </w:rPr>
        <w:t xml:space="preserve">. </w:t>
      </w:r>
      <w:r w:rsidR="00C938B9" w:rsidRPr="0031597C">
        <w:rPr>
          <w:color w:val="000000"/>
          <w:spacing w:val="-2"/>
        </w:rPr>
        <w:t xml:space="preserve">Im niższy </w:t>
      </w:r>
      <w:r w:rsidR="00A94723">
        <w:rPr>
          <w:color w:val="000000"/>
          <w:spacing w:val="-2"/>
        </w:rPr>
        <w:t xml:space="preserve">średni </w:t>
      </w:r>
      <w:r w:rsidR="00C938B9" w:rsidRPr="0031597C">
        <w:rPr>
          <w:color w:val="000000"/>
          <w:spacing w:val="-2"/>
        </w:rPr>
        <w:t xml:space="preserve">koszt roboczogodziny tym niższy </w:t>
      </w:r>
      <w:r w:rsidR="00A94723">
        <w:rPr>
          <w:color w:val="000000"/>
          <w:spacing w:val="-2"/>
        </w:rPr>
        <w:t xml:space="preserve">spodziewany </w:t>
      </w:r>
      <w:r w:rsidR="00C938B9" w:rsidRPr="0031597C">
        <w:rPr>
          <w:color w:val="000000"/>
          <w:spacing w:val="-2"/>
        </w:rPr>
        <w:t xml:space="preserve">OVN farmy i </w:t>
      </w:r>
      <w:r w:rsidR="00A94723">
        <w:rPr>
          <w:color w:val="000000"/>
          <w:spacing w:val="-2"/>
        </w:rPr>
        <w:t xml:space="preserve">OVN </w:t>
      </w:r>
      <w:r w:rsidR="00C938B9" w:rsidRPr="0031597C">
        <w:rPr>
          <w:color w:val="000000"/>
          <w:spacing w:val="-2"/>
        </w:rPr>
        <w:t>przyłącza oraz OPEX</w:t>
      </w:r>
      <w:r w:rsidR="00C938B9">
        <w:rPr>
          <w:color w:val="000000"/>
          <w:spacing w:val="-2"/>
        </w:rPr>
        <w:t>.</w:t>
      </w:r>
    </w:p>
    <w:p w14:paraId="699B9F90" w14:textId="77777777" w:rsidR="00C938B9" w:rsidRDefault="00C938B9" w:rsidP="006701D0">
      <w:pPr>
        <w:spacing w:line="360" w:lineRule="auto"/>
        <w:jc w:val="both"/>
        <w:rPr>
          <w:color w:val="000000"/>
          <w:spacing w:val="-2"/>
        </w:rPr>
      </w:pPr>
    </w:p>
    <w:p w14:paraId="12453A13" w14:textId="7FAB3B4E" w:rsidR="00C938B9" w:rsidRPr="00554C1C" w:rsidRDefault="007007E0" w:rsidP="006474D1">
      <w:pPr>
        <w:spacing w:line="360" w:lineRule="auto"/>
        <w:ind w:firstLine="567"/>
        <w:jc w:val="both"/>
        <w:rPr>
          <w:b/>
          <w:bCs/>
          <w:color w:val="000000"/>
          <w:spacing w:val="-2"/>
        </w:rPr>
      </w:pPr>
      <w:r>
        <w:rPr>
          <w:b/>
          <w:bCs/>
          <w:color w:val="000000"/>
          <w:spacing w:val="-2"/>
        </w:rPr>
        <w:t xml:space="preserve">Do obliczenia ceny maksymalnej, na podstawie dostępnych dany przyjęto następujące </w:t>
      </w:r>
      <w:r w:rsidR="00C938B9" w:rsidRPr="00554C1C">
        <w:rPr>
          <w:b/>
          <w:bCs/>
          <w:color w:val="000000"/>
          <w:spacing w:val="-2"/>
        </w:rPr>
        <w:t xml:space="preserve"> parametry techniczne </w:t>
      </w:r>
      <w:r>
        <w:rPr>
          <w:b/>
          <w:bCs/>
          <w:color w:val="000000"/>
          <w:spacing w:val="-2"/>
        </w:rPr>
        <w:t>oraz wskaźniki</w:t>
      </w:r>
      <w:r w:rsidR="00E7121F">
        <w:rPr>
          <w:b/>
          <w:bCs/>
          <w:color w:val="000000"/>
          <w:spacing w:val="-2"/>
        </w:rPr>
        <w:t xml:space="preserve"> dla referencyjnej morskiej farmy wiatrowej</w:t>
      </w:r>
      <w:r>
        <w:rPr>
          <w:b/>
          <w:bCs/>
          <w:color w:val="000000"/>
          <w:spacing w:val="-2"/>
        </w:rPr>
        <w:t>:</w:t>
      </w:r>
    </w:p>
    <w:p w14:paraId="04D19E75" w14:textId="7B2C9A71" w:rsidR="00C938B9" w:rsidRPr="006559F4" w:rsidRDefault="00C938B9" w:rsidP="006701D0">
      <w:pPr>
        <w:spacing w:line="360" w:lineRule="auto"/>
        <w:jc w:val="both"/>
        <w:rPr>
          <w:color w:val="000000"/>
          <w:spacing w:val="-2"/>
        </w:rPr>
      </w:pPr>
      <w:r w:rsidRPr="006559F4">
        <w:rPr>
          <w:color w:val="000000"/>
          <w:spacing w:val="-2"/>
        </w:rPr>
        <w:t>– odległość od brzegu</w:t>
      </w:r>
      <w:r w:rsidRPr="006559F4">
        <w:t xml:space="preserve"> </w:t>
      </w:r>
      <w:r w:rsidR="000664BC" w:rsidRPr="00554C1C">
        <w:rPr>
          <w:b/>
          <w:bCs/>
          <w:color w:val="000000"/>
          <w:spacing w:val="-2"/>
        </w:rPr>
        <w:t>–</w:t>
      </w:r>
      <w:r w:rsidRPr="00026FC3">
        <w:rPr>
          <w:b/>
          <w:bCs/>
          <w:color w:val="000000"/>
          <w:spacing w:val="-2"/>
        </w:rPr>
        <w:t>45 km</w:t>
      </w:r>
      <w:r w:rsidRPr="006559F4">
        <w:rPr>
          <w:color w:val="000000"/>
          <w:spacing w:val="-2"/>
        </w:rPr>
        <w:t xml:space="preserve">, </w:t>
      </w:r>
    </w:p>
    <w:p w14:paraId="78B8A0C7" w14:textId="77777777" w:rsidR="00C938B9" w:rsidRPr="006559F4" w:rsidRDefault="00C938B9" w:rsidP="006701D0">
      <w:pPr>
        <w:spacing w:line="360" w:lineRule="auto"/>
        <w:jc w:val="both"/>
        <w:rPr>
          <w:color w:val="000000"/>
          <w:spacing w:val="-2"/>
        </w:rPr>
      </w:pPr>
      <w:r w:rsidRPr="006559F4">
        <w:rPr>
          <w:color w:val="000000"/>
          <w:spacing w:val="-2"/>
        </w:rPr>
        <w:t xml:space="preserve">– głębokość </w:t>
      </w:r>
      <w:r w:rsidRPr="00554C1C">
        <w:rPr>
          <w:b/>
          <w:bCs/>
          <w:color w:val="000000"/>
          <w:spacing w:val="-2"/>
        </w:rPr>
        <w:t>– 40 m</w:t>
      </w:r>
    </w:p>
    <w:p w14:paraId="5DFCEDEC" w14:textId="2F5589BD" w:rsidR="00C938B9" w:rsidRPr="006559F4" w:rsidRDefault="00C938B9" w:rsidP="006701D0">
      <w:pPr>
        <w:spacing w:line="360" w:lineRule="auto"/>
        <w:jc w:val="both"/>
        <w:rPr>
          <w:color w:val="000000"/>
          <w:spacing w:val="-2"/>
        </w:rPr>
      </w:pPr>
      <w:r w:rsidRPr="006559F4">
        <w:rPr>
          <w:color w:val="000000"/>
          <w:spacing w:val="-2"/>
        </w:rPr>
        <w:t xml:space="preserve">– współczynnik wykorzystania mocy </w:t>
      </w:r>
      <w:r w:rsidR="000664BC" w:rsidRPr="00554C1C">
        <w:rPr>
          <w:b/>
          <w:bCs/>
          <w:color w:val="000000"/>
          <w:spacing w:val="-2"/>
        </w:rPr>
        <w:t>–</w:t>
      </w:r>
      <w:r w:rsidR="000664BC">
        <w:rPr>
          <w:b/>
          <w:bCs/>
          <w:color w:val="000000"/>
          <w:spacing w:val="-2"/>
        </w:rPr>
        <w:t xml:space="preserve"> </w:t>
      </w:r>
      <w:r w:rsidRPr="00554C1C">
        <w:rPr>
          <w:b/>
          <w:bCs/>
          <w:color w:val="000000"/>
          <w:spacing w:val="-2"/>
        </w:rPr>
        <w:t>45,7%</w:t>
      </w:r>
      <w:r w:rsidRPr="006559F4">
        <w:rPr>
          <w:color w:val="000000"/>
          <w:spacing w:val="-2"/>
        </w:rPr>
        <w:t xml:space="preserve"> </w:t>
      </w:r>
    </w:p>
    <w:p w14:paraId="4B406BD9" w14:textId="77777777" w:rsidR="00C938B9" w:rsidRPr="006559F4" w:rsidRDefault="00C938B9" w:rsidP="006701D0">
      <w:pPr>
        <w:spacing w:line="360" w:lineRule="auto"/>
        <w:jc w:val="both"/>
        <w:rPr>
          <w:color w:val="000000"/>
          <w:spacing w:val="-2"/>
        </w:rPr>
      </w:pPr>
      <w:r w:rsidRPr="006559F4">
        <w:rPr>
          <w:color w:val="000000"/>
          <w:spacing w:val="-2"/>
        </w:rPr>
        <w:t xml:space="preserve">– średnia moc morskiej farmy wiatrowej – </w:t>
      </w:r>
      <w:r w:rsidRPr="00554C1C">
        <w:rPr>
          <w:b/>
          <w:bCs/>
          <w:color w:val="000000"/>
          <w:spacing w:val="-2"/>
        </w:rPr>
        <w:t>1000 MW</w:t>
      </w:r>
    </w:p>
    <w:p w14:paraId="01763A01" w14:textId="66CF6F2A" w:rsidR="00C938B9" w:rsidRPr="00554C1C" w:rsidRDefault="00C938B9" w:rsidP="006701D0">
      <w:pPr>
        <w:spacing w:line="360" w:lineRule="auto"/>
        <w:jc w:val="both"/>
        <w:rPr>
          <w:rFonts w:asciiTheme="majorHAnsi" w:hAnsiTheme="majorHAnsi" w:cstheme="majorHAnsi"/>
          <w:b/>
          <w:bCs/>
          <w:color w:val="000000" w:themeColor="text1"/>
        </w:rPr>
      </w:pPr>
      <w:r w:rsidRPr="006559F4">
        <w:rPr>
          <w:color w:val="000000"/>
          <w:spacing w:val="-2"/>
        </w:rPr>
        <w:t>– prędkość wiatru (</w:t>
      </w:r>
      <w:r w:rsidR="00AA1262">
        <w:rPr>
          <w:color w:val="000000"/>
          <w:spacing w:val="-2"/>
        </w:rPr>
        <w:t xml:space="preserve">wpływa na </w:t>
      </w:r>
      <w:r w:rsidRPr="006559F4">
        <w:rPr>
          <w:color w:val="000000"/>
          <w:spacing w:val="-2"/>
        </w:rPr>
        <w:t xml:space="preserve">produktywność projektu) – </w:t>
      </w:r>
      <w:r w:rsidRPr="00554C1C">
        <w:rPr>
          <w:b/>
          <w:bCs/>
          <w:color w:val="000000"/>
          <w:spacing w:val="-2"/>
        </w:rPr>
        <w:t>9,46 m/s na wysokości 100 m</w:t>
      </w:r>
    </w:p>
    <w:p w14:paraId="0B0CB048" w14:textId="77777777" w:rsidR="00C938B9" w:rsidRPr="006559F4" w:rsidRDefault="00C938B9" w:rsidP="006701D0">
      <w:pPr>
        <w:spacing w:line="360" w:lineRule="auto"/>
        <w:jc w:val="both"/>
        <w:rPr>
          <w:color w:val="000000"/>
          <w:spacing w:val="-2"/>
        </w:rPr>
      </w:pPr>
      <w:r w:rsidRPr="006559F4">
        <w:rPr>
          <w:color w:val="000000"/>
          <w:spacing w:val="-2"/>
        </w:rPr>
        <w:t>– rok uruchomienia morskiej farmy wiatrowej –</w:t>
      </w:r>
      <w:r w:rsidRPr="00554C1C">
        <w:rPr>
          <w:b/>
          <w:bCs/>
          <w:color w:val="000000"/>
          <w:spacing w:val="-2"/>
        </w:rPr>
        <w:t xml:space="preserve"> 2026</w:t>
      </w:r>
    </w:p>
    <w:p w14:paraId="00D38188" w14:textId="6E6CA046" w:rsidR="00C938B9" w:rsidRPr="006559F4" w:rsidRDefault="00C938B9" w:rsidP="006701D0">
      <w:pPr>
        <w:spacing w:line="360" w:lineRule="auto"/>
        <w:jc w:val="both"/>
        <w:rPr>
          <w:color w:val="000000"/>
          <w:spacing w:val="-2"/>
        </w:rPr>
      </w:pPr>
      <w:r w:rsidRPr="006559F4">
        <w:rPr>
          <w:color w:val="000000"/>
          <w:spacing w:val="-2"/>
        </w:rPr>
        <w:t xml:space="preserve">– </w:t>
      </w:r>
      <w:r w:rsidR="00E7121F">
        <w:rPr>
          <w:color w:val="000000"/>
          <w:spacing w:val="-2"/>
        </w:rPr>
        <w:t xml:space="preserve">techniczny czas życia i okres amortyzacji </w:t>
      </w:r>
      <w:r w:rsidR="00245B30">
        <w:rPr>
          <w:color w:val="000000"/>
          <w:spacing w:val="-2"/>
        </w:rPr>
        <w:t xml:space="preserve"> </w:t>
      </w:r>
      <w:r w:rsidRPr="006559F4">
        <w:rPr>
          <w:color w:val="000000"/>
          <w:spacing w:val="-2"/>
        </w:rPr>
        <w:t xml:space="preserve">– </w:t>
      </w:r>
      <w:r w:rsidRPr="00554C1C">
        <w:rPr>
          <w:b/>
          <w:bCs/>
          <w:color w:val="000000"/>
          <w:spacing w:val="-2"/>
        </w:rPr>
        <w:t>25 lat</w:t>
      </w:r>
    </w:p>
    <w:p w14:paraId="4D1CDF30" w14:textId="584D92B1" w:rsidR="00C938B9" w:rsidRPr="006559F4" w:rsidRDefault="00C938B9" w:rsidP="006701D0">
      <w:pPr>
        <w:spacing w:line="360" w:lineRule="auto"/>
        <w:jc w:val="both"/>
        <w:rPr>
          <w:color w:val="000000"/>
          <w:spacing w:val="-2"/>
        </w:rPr>
      </w:pPr>
      <w:r w:rsidRPr="006559F4">
        <w:rPr>
          <w:color w:val="000000"/>
          <w:spacing w:val="-2"/>
        </w:rPr>
        <w:t xml:space="preserve">– kurs euro NBP średnia </w:t>
      </w:r>
      <w:r w:rsidR="007C5C34">
        <w:rPr>
          <w:color w:val="000000"/>
          <w:spacing w:val="-2"/>
        </w:rPr>
        <w:t xml:space="preserve">z ostatnich 5 lat </w:t>
      </w:r>
      <w:r w:rsidRPr="006559F4">
        <w:rPr>
          <w:color w:val="000000"/>
          <w:spacing w:val="-2"/>
        </w:rPr>
        <w:t xml:space="preserve">od 2021 (zniwelowanie efektu COVID-19) – </w:t>
      </w:r>
      <w:r w:rsidRPr="00554C1C">
        <w:rPr>
          <w:b/>
          <w:bCs/>
          <w:color w:val="000000"/>
          <w:spacing w:val="-2"/>
        </w:rPr>
        <w:t>4,31 EUR/PLN</w:t>
      </w:r>
    </w:p>
    <w:p w14:paraId="7F5303C9" w14:textId="3302467F" w:rsidR="00C938B9" w:rsidRPr="006474D1" w:rsidRDefault="00E7121F" w:rsidP="006701D0">
      <w:pPr>
        <w:autoSpaceDE w:val="0"/>
        <w:autoSpaceDN w:val="0"/>
        <w:adjustRightInd w:val="0"/>
        <w:spacing w:line="360" w:lineRule="auto"/>
        <w:rPr>
          <w:rFonts w:ascii="TimesNewRomanPSMT" w:hAnsi="TimesNewRomanPSMT"/>
        </w:rPr>
      </w:pPr>
      <w:r w:rsidRPr="006559F4">
        <w:rPr>
          <w:color w:val="000000"/>
          <w:spacing w:val="-2"/>
        </w:rPr>
        <w:t>–</w:t>
      </w:r>
      <w:r>
        <w:rPr>
          <w:color w:val="000000"/>
          <w:spacing w:val="-2"/>
        </w:rPr>
        <w:t xml:space="preserve"> kurs dolara NBP ś</w:t>
      </w:r>
      <w:r w:rsidRPr="00244785">
        <w:rPr>
          <w:color w:val="000000"/>
          <w:spacing w:val="-2"/>
        </w:rPr>
        <w:t xml:space="preserve">rednia </w:t>
      </w:r>
      <w:r w:rsidR="007C5C34">
        <w:rPr>
          <w:color w:val="000000"/>
          <w:spacing w:val="-2"/>
        </w:rPr>
        <w:t xml:space="preserve"> z ostatnich 5 lat</w:t>
      </w:r>
      <w:r w:rsidR="001F2979">
        <w:rPr>
          <w:color w:val="000000"/>
          <w:spacing w:val="-2"/>
        </w:rPr>
        <w:t xml:space="preserve"> </w:t>
      </w:r>
      <w:r w:rsidRPr="00244785">
        <w:rPr>
          <w:color w:val="000000"/>
          <w:spacing w:val="-2"/>
        </w:rPr>
        <w:t>od 2021 (zniwelowanie efektu COVID</w:t>
      </w:r>
      <w:r>
        <w:rPr>
          <w:color w:val="000000"/>
          <w:spacing w:val="-2"/>
        </w:rPr>
        <w:t>-19</w:t>
      </w:r>
      <w:r w:rsidRPr="00244785">
        <w:rPr>
          <w:color w:val="000000"/>
          <w:spacing w:val="-2"/>
        </w:rPr>
        <w:t>)</w:t>
      </w:r>
      <w:r>
        <w:rPr>
          <w:color w:val="000000"/>
          <w:spacing w:val="-2"/>
        </w:rPr>
        <w:t xml:space="preserve"> - </w:t>
      </w:r>
      <w:r w:rsidRPr="00026FC3">
        <w:rPr>
          <w:b/>
          <w:color w:val="000000"/>
          <w:spacing w:val="-2"/>
        </w:rPr>
        <w:t>3,81 USD/PLN</w:t>
      </w:r>
      <w:r>
        <w:rPr>
          <w:color w:val="000000"/>
          <w:spacing w:val="-2"/>
        </w:rPr>
        <w:t>.</w:t>
      </w:r>
      <w:r w:rsidR="00C938B9" w:rsidRPr="00244785">
        <w:rPr>
          <w:color w:val="000000"/>
          <w:spacing w:val="-2"/>
        </w:rPr>
        <w:t xml:space="preserve">– </w:t>
      </w:r>
      <w:r w:rsidR="00C938B9" w:rsidRPr="00244785">
        <w:rPr>
          <w:rFonts w:ascii="TimesNewRomanPSMT" w:hAnsi="TimesNewRomanPSMT" w:cs="TimesNewRomanPSMT"/>
        </w:rPr>
        <w:t>inflacj</w:t>
      </w:r>
      <w:r w:rsidR="007007E0">
        <w:rPr>
          <w:rFonts w:ascii="TimesNewRomanPSMT" w:hAnsi="TimesNewRomanPSMT" w:cs="TimesNewRomanPSMT"/>
        </w:rPr>
        <w:t>a</w:t>
      </w:r>
      <w:r w:rsidR="00C938B9" w:rsidRPr="00244785">
        <w:rPr>
          <w:rFonts w:ascii="TimesNewRomanPSMT" w:hAnsi="TimesNewRomanPSMT" w:cs="TimesNewRomanPSMT"/>
        </w:rPr>
        <w:t>;</w:t>
      </w:r>
      <w:r w:rsidR="00C938B9">
        <w:t xml:space="preserve"> </w:t>
      </w:r>
      <w:r w:rsidR="00C938B9" w:rsidRPr="00244785">
        <w:rPr>
          <w:rFonts w:ascii="TimesNewRomanPSMT" w:hAnsi="TimesNewRomanPSMT" w:cs="TimesNewRomanPSMT"/>
        </w:rPr>
        <w:t>2,7% r/r CPI  - Cel inflacyjny NBP 2022</w:t>
      </w:r>
      <w:r w:rsidR="008A5612">
        <w:rPr>
          <w:rFonts w:ascii="TimesNewRomanPSMT" w:hAnsi="TimesNewRomanPSMT" w:cs="TimesNewRomanPSMT"/>
        </w:rPr>
        <w:t xml:space="preserve"> </w:t>
      </w:r>
    </w:p>
    <w:p w14:paraId="2EC542D0" w14:textId="56F8FA19" w:rsidR="00C938B9" w:rsidRDefault="00C938B9" w:rsidP="006701D0">
      <w:pPr>
        <w:spacing w:line="360" w:lineRule="auto"/>
        <w:jc w:val="both"/>
        <w:rPr>
          <w:rFonts w:ascii="TimesNewRomanPSMT" w:hAnsi="TimesNewRomanPSMT" w:cs="TimesNewRomanPSMT"/>
        </w:rPr>
      </w:pPr>
      <w:r w:rsidRPr="00244785">
        <w:rPr>
          <w:color w:val="000000"/>
          <w:spacing w:val="-2"/>
        </w:rPr>
        <w:t xml:space="preserve">– </w:t>
      </w:r>
      <w:r w:rsidRPr="00244785">
        <w:rPr>
          <w:rFonts w:ascii="TimesNewRomanPSMT" w:hAnsi="TimesNewRomanPSMT" w:cs="TimesNewRomanPSMT"/>
        </w:rPr>
        <w:t>koszty bilansowania</w:t>
      </w:r>
      <w:r>
        <w:rPr>
          <w:rFonts w:ascii="TimesNewRomanPSMT" w:hAnsi="TimesNewRomanPSMT" w:cs="TimesNewRomanPSMT"/>
        </w:rPr>
        <w:t xml:space="preserve"> – </w:t>
      </w:r>
      <w:r w:rsidRPr="006474D1">
        <w:rPr>
          <w:rFonts w:ascii="TimesNewRomanPSMT" w:hAnsi="TimesNewRomanPSMT"/>
        </w:rPr>
        <w:t>o wartości zero</w:t>
      </w:r>
      <w:r w:rsidR="001F16EB">
        <w:rPr>
          <w:rFonts w:ascii="TimesNewRomanPSMT" w:hAnsi="TimesNewRomanPSMT" w:cs="TimesNewRomanPSMT"/>
        </w:rPr>
        <w:t>.</w:t>
      </w:r>
    </w:p>
    <w:p w14:paraId="6F637E80" w14:textId="77777777" w:rsidR="001F16EB" w:rsidRDefault="001F16EB" w:rsidP="006701D0">
      <w:pPr>
        <w:spacing w:line="360" w:lineRule="auto"/>
        <w:jc w:val="both"/>
        <w:rPr>
          <w:rFonts w:ascii="TimesNewRomanPSMT" w:hAnsi="TimesNewRomanPSMT" w:cs="TimesNewRomanPSMT"/>
        </w:rPr>
      </w:pPr>
    </w:p>
    <w:p w14:paraId="47B9DEAB" w14:textId="10DFC136" w:rsidR="00C938B9" w:rsidRDefault="00C938B9" w:rsidP="006559F4">
      <w:pPr>
        <w:spacing w:line="360" w:lineRule="auto"/>
        <w:ind w:firstLine="567"/>
        <w:jc w:val="both"/>
        <w:rPr>
          <w:color w:val="000000"/>
          <w:spacing w:val="-2"/>
        </w:rPr>
      </w:pPr>
      <w:r w:rsidRPr="00E3181C">
        <w:rPr>
          <w:color w:val="000000"/>
          <w:spacing w:val="-2"/>
        </w:rPr>
        <w:t xml:space="preserve">Aby odzwierciedlić polskie warunki rozwoju </w:t>
      </w:r>
      <w:r>
        <w:rPr>
          <w:color w:val="000000"/>
          <w:spacing w:val="-2"/>
        </w:rPr>
        <w:t>morskich farm wiatrowych</w:t>
      </w:r>
      <w:r w:rsidRPr="00E3181C">
        <w:rPr>
          <w:color w:val="000000"/>
          <w:spacing w:val="-2"/>
        </w:rPr>
        <w:t xml:space="preserve"> wszystkie wskaźniki techniczne i ekonomiczne ustandaryzowano</w:t>
      </w:r>
      <w:r w:rsidR="003216AB">
        <w:rPr>
          <w:color w:val="000000"/>
          <w:spacing w:val="-2"/>
        </w:rPr>
        <w:t>,</w:t>
      </w:r>
      <w:r w:rsidRPr="00E3181C">
        <w:rPr>
          <w:color w:val="000000"/>
          <w:spacing w:val="-2"/>
        </w:rPr>
        <w:t xml:space="preserve"> stosując parametry techniczne lokalizacji referencyjnej</w:t>
      </w:r>
      <w:r>
        <w:rPr>
          <w:color w:val="000000"/>
          <w:spacing w:val="-2"/>
        </w:rPr>
        <w:t>.</w:t>
      </w:r>
    </w:p>
    <w:p w14:paraId="1EC500AB" w14:textId="0D2974C1" w:rsidR="00C938B9" w:rsidRDefault="00C938B9" w:rsidP="006701D0">
      <w:pPr>
        <w:spacing w:line="360" w:lineRule="auto"/>
        <w:ind w:firstLine="567"/>
        <w:jc w:val="both"/>
        <w:rPr>
          <w:color w:val="000000"/>
          <w:spacing w:val="-2"/>
        </w:rPr>
      </w:pPr>
      <w:r w:rsidRPr="00E3181C">
        <w:rPr>
          <w:color w:val="000000"/>
          <w:spacing w:val="-2"/>
        </w:rPr>
        <w:t xml:space="preserve">Na potrzeby zachowania porównywalności wyników jako referencyjne wykorzystano uśrednione parametry techniczne </w:t>
      </w:r>
      <w:r w:rsidR="003064FA">
        <w:rPr>
          <w:color w:val="000000"/>
          <w:spacing w:val="-2"/>
        </w:rPr>
        <w:t>z</w:t>
      </w:r>
      <w:r>
        <w:rPr>
          <w:color w:val="000000"/>
          <w:spacing w:val="-2"/>
        </w:rPr>
        <w:t xml:space="preserve"> rapor</w:t>
      </w:r>
      <w:r w:rsidR="003064FA">
        <w:rPr>
          <w:color w:val="000000"/>
          <w:spacing w:val="-2"/>
        </w:rPr>
        <w:t>tu</w:t>
      </w:r>
      <w:r>
        <w:rPr>
          <w:color w:val="000000"/>
          <w:spacing w:val="-2"/>
        </w:rPr>
        <w:t xml:space="preserve"> z</w:t>
      </w:r>
      <w:r w:rsidRPr="00E3181C">
        <w:rPr>
          <w:color w:val="000000"/>
          <w:spacing w:val="-2"/>
        </w:rPr>
        <w:t xml:space="preserve"> </w:t>
      </w:r>
      <w:r w:rsidRPr="000F2B32">
        <w:rPr>
          <w:color w:val="000000"/>
          <w:spacing w:val="-2"/>
        </w:rPr>
        <w:t>listopada 2019 roku (,,</w:t>
      </w:r>
      <w:proofErr w:type="spellStart"/>
      <w:r w:rsidRPr="003064FA">
        <w:rPr>
          <w:rStyle w:val="Kkursywa"/>
        </w:rPr>
        <w:t>Economic</w:t>
      </w:r>
      <w:proofErr w:type="spellEnd"/>
      <w:r w:rsidRPr="003064FA">
        <w:rPr>
          <w:rStyle w:val="Kkursywa"/>
        </w:rPr>
        <w:t xml:space="preserve"> </w:t>
      </w:r>
      <w:proofErr w:type="spellStart"/>
      <w:r w:rsidRPr="003064FA">
        <w:rPr>
          <w:rStyle w:val="Kkursywa"/>
        </w:rPr>
        <w:t>analysis</w:t>
      </w:r>
      <w:proofErr w:type="spellEnd"/>
      <w:r w:rsidRPr="003064FA">
        <w:rPr>
          <w:rStyle w:val="Kkursywa"/>
        </w:rPr>
        <w:t xml:space="preserve"> in the field of </w:t>
      </w:r>
      <w:proofErr w:type="spellStart"/>
      <w:r w:rsidRPr="003064FA">
        <w:rPr>
          <w:rStyle w:val="Kkursywa"/>
        </w:rPr>
        <w:t>offshore</w:t>
      </w:r>
      <w:proofErr w:type="spellEnd"/>
      <w:r w:rsidRPr="003064FA">
        <w:rPr>
          <w:rStyle w:val="Kkursywa"/>
        </w:rPr>
        <w:t xml:space="preserve"> wind </w:t>
      </w:r>
      <w:proofErr w:type="spellStart"/>
      <w:r w:rsidRPr="003064FA">
        <w:rPr>
          <w:rStyle w:val="Kkursywa"/>
        </w:rPr>
        <w:t>energy</w:t>
      </w:r>
      <w:proofErr w:type="spellEnd"/>
      <w:r w:rsidRPr="003064FA">
        <w:rPr>
          <w:rStyle w:val="Kkursywa"/>
        </w:rPr>
        <w:t xml:space="preserve">- LCOE and </w:t>
      </w:r>
      <w:proofErr w:type="spellStart"/>
      <w:r w:rsidRPr="003064FA">
        <w:rPr>
          <w:rStyle w:val="Kkursywa"/>
        </w:rPr>
        <w:t>CfD</w:t>
      </w:r>
      <w:proofErr w:type="spellEnd"/>
      <w:r w:rsidRPr="003064FA">
        <w:rPr>
          <w:rStyle w:val="Kkursywa"/>
        </w:rPr>
        <w:t xml:space="preserve"> </w:t>
      </w:r>
      <w:proofErr w:type="spellStart"/>
      <w:r w:rsidRPr="003064FA">
        <w:rPr>
          <w:rStyle w:val="Kkursywa"/>
        </w:rPr>
        <w:t>analysis</w:t>
      </w:r>
      <w:proofErr w:type="spellEnd"/>
      <w:r w:rsidRPr="003064FA">
        <w:rPr>
          <w:rStyle w:val="Kkursywa"/>
        </w:rPr>
        <w:t xml:space="preserve"> &amp; </w:t>
      </w:r>
      <w:proofErr w:type="spellStart"/>
      <w:r w:rsidRPr="003064FA">
        <w:rPr>
          <w:rStyle w:val="Kkursywa"/>
        </w:rPr>
        <w:t>results</w:t>
      </w:r>
      <w:proofErr w:type="spellEnd"/>
      <w:r w:rsidRPr="003064FA">
        <w:rPr>
          <w:rStyle w:val="Kkursywa"/>
        </w:rPr>
        <w:t xml:space="preserve">. </w:t>
      </w:r>
      <w:proofErr w:type="spellStart"/>
      <w:r w:rsidRPr="003064FA">
        <w:rPr>
          <w:rStyle w:val="Kkursywa"/>
        </w:rPr>
        <w:t>Analitics</w:t>
      </w:r>
      <w:proofErr w:type="spellEnd"/>
      <w:r w:rsidRPr="003064FA">
        <w:rPr>
          <w:rStyle w:val="Kkursywa"/>
        </w:rPr>
        <w:t xml:space="preserve"> report</w:t>
      </w:r>
      <w:r w:rsidRPr="000F2B32">
        <w:rPr>
          <w:color w:val="000000"/>
          <w:spacing w:val="-2"/>
        </w:rPr>
        <w:t>”)</w:t>
      </w:r>
      <w:r>
        <w:rPr>
          <w:color w:val="000000"/>
          <w:spacing w:val="-2"/>
        </w:rPr>
        <w:t xml:space="preserve"> </w:t>
      </w:r>
      <w:r w:rsidR="003064FA">
        <w:rPr>
          <w:color w:val="000000"/>
          <w:spacing w:val="-2"/>
        </w:rPr>
        <w:lastRenderedPageBreak/>
        <w:t xml:space="preserve">opracowanego </w:t>
      </w:r>
      <w:r w:rsidRPr="00E3181C">
        <w:rPr>
          <w:color w:val="000000"/>
          <w:spacing w:val="-2"/>
        </w:rPr>
        <w:t>przez</w:t>
      </w:r>
      <w:r>
        <w:rPr>
          <w:color w:val="000000"/>
          <w:spacing w:val="-2"/>
        </w:rPr>
        <w:t xml:space="preserve"> Ernst &amp; Young (</w:t>
      </w:r>
      <w:r w:rsidRPr="00E3181C">
        <w:rPr>
          <w:color w:val="000000"/>
          <w:spacing w:val="-2"/>
        </w:rPr>
        <w:t>EY</w:t>
      </w:r>
      <w:r>
        <w:rPr>
          <w:color w:val="000000"/>
          <w:spacing w:val="-2"/>
        </w:rPr>
        <w:t>)</w:t>
      </w:r>
      <w:r w:rsidRPr="00E3181C">
        <w:rPr>
          <w:color w:val="000000"/>
          <w:spacing w:val="-2"/>
        </w:rPr>
        <w:t xml:space="preserve"> dla projektów będących beneficjentami I fazy systemu wsparcia (zlokalizowanych w</w:t>
      </w:r>
      <w:r w:rsidR="003064FA">
        <w:rPr>
          <w:color w:val="000000"/>
          <w:spacing w:val="-2"/>
        </w:rPr>
        <w:t>okół</w:t>
      </w:r>
      <w:r w:rsidRPr="00E3181C">
        <w:rPr>
          <w:color w:val="000000"/>
          <w:spacing w:val="-2"/>
        </w:rPr>
        <w:t xml:space="preserve"> Ławicy Słupskiej). Danymi źródłowymi EY są dane dotyczące poszczególnych projektów przekazane przez inwestorów do P</w:t>
      </w:r>
      <w:r>
        <w:rPr>
          <w:color w:val="000000"/>
          <w:spacing w:val="-2"/>
        </w:rPr>
        <w:t>olskiego Stowarzyszeni</w:t>
      </w:r>
      <w:r w:rsidR="00E7121F">
        <w:rPr>
          <w:color w:val="000000"/>
          <w:spacing w:val="-2"/>
        </w:rPr>
        <w:t>a</w:t>
      </w:r>
      <w:r>
        <w:rPr>
          <w:color w:val="000000"/>
          <w:spacing w:val="-2"/>
        </w:rPr>
        <w:t xml:space="preserve"> Energetyki Wiatrowej.</w:t>
      </w:r>
      <w:r w:rsidR="006559F4">
        <w:rPr>
          <w:color w:val="000000"/>
          <w:spacing w:val="-2"/>
        </w:rPr>
        <w:t xml:space="preserve"> </w:t>
      </w:r>
      <w:r>
        <w:rPr>
          <w:color w:val="000000"/>
          <w:spacing w:val="-2"/>
        </w:rPr>
        <w:t>W pracach nad ceną maksymalną analizowano także inne r</w:t>
      </w:r>
      <w:r w:rsidRPr="001D554C">
        <w:rPr>
          <w:color w:val="000000"/>
          <w:spacing w:val="-2"/>
        </w:rPr>
        <w:t>aport</w:t>
      </w:r>
      <w:r>
        <w:rPr>
          <w:color w:val="000000"/>
          <w:spacing w:val="-2"/>
        </w:rPr>
        <w:t xml:space="preserve">y branżowe </w:t>
      </w:r>
      <w:r w:rsidR="003064FA">
        <w:rPr>
          <w:color w:val="000000"/>
          <w:spacing w:val="-2"/>
        </w:rPr>
        <w:t xml:space="preserve">i opracowania, </w:t>
      </w:r>
      <w:r>
        <w:rPr>
          <w:color w:val="000000"/>
          <w:spacing w:val="-2"/>
        </w:rPr>
        <w:t>m.in.:</w:t>
      </w:r>
      <w:r w:rsidRPr="001D554C">
        <w:rPr>
          <w:color w:val="000000"/>
          <w:spacing w:val="-2"/>
        </w:rPr>
        <w:t xml:space="preserve"> </w:t>
      </w:r>
      <w:proofErr w:type="spellStart"/>
      <w:r w:rsidRPr="001D554C">
        <w:rPr>
          <w:color w:val="000000"/>
          <w:spacing w:val="-2"/>
        </w:rPr>
        <w:t>McKinsey</w:t>
      </w:r>
      <w:proofErr w:type="spellEnd"/>
      <w:r w:rsidRPr="001D554C">
        <w:rPr>
          <w:color w:val="000000"/>
          <w:spacing w:val="-2"/>
        </w:rPr>
        <w:t xml:space="preserve"> &amp; Company „</w:t>
      </w:r>
      <w:r w:rsidRPr="003064FA">
        <w:rPr>
          <w:rStyle w:val="Kkursywa"/>
        </w:rPr>
        <w:t>Rozwój morskiej energetyki wiatrowej w</w:t>
      </w:r>
      <w:r w:rsidR="003064FA">
        <w:rPr>
          <w:rStyle w:val="Kkursywa"/>
        </w:rPr>
        <w:t> </w:t>
      </w:r>
      <w:r w:rsidRPr="003064FA">
        <w:rPr>
          <w:rStyle w:val="Kkursywa"/>
        </w:rPr>
        <w:t>Polsce. Perspektywy i ocena wpływu na lokalną gospodarkę</w:t>
      </w:r>
      <w:r w:rsidRPr="001D554C">
        <w:rPr>
          <w:color w:val="000000"/>
          <w:spacing w:val="-2"/>
        </w:rPr>
        <w:t xml:space="preserve">”, Raport </w:t>
      </w:r>
      <w:proofErr w:type="spellStart"/>
      <w:r w:rsidRPr="001D554C">
        <w:rPr>
          <w:color w:val="000000"/>
          <w:spacing w:val="-2"/>
        </w:rPr>
        <w:t>McKinsey</w:t>
      </w:r>
      <w:proofErr w:type="spellEnd"/>
      <w:r w:rsidRPr="001D554C">
        <w:rPr>
          <w:color w:val="000000"/>
          <w:spacing w:val="-2"/>
        </w:rPr>
        <w:t xml:space="preserve"> &amp; Company z 2020 </w:t>
      </w:r>
      <w:r w:rsidR="003064FA">
        <w:rPr>
          <w:color w:val="000000"/>
          <w:spacing w:val="-2"/>
        </w:rPr>
        <w:t xml:space="preserve">r. </w:t>
      </w:r>
      <w:r w:rsidRPr="001D554C">
        <w:rPr>
          <w:color w:val="000000"/>
          <w:spacing w:val="-2"/>
        </w:rPr>
        <w:t>„</w:t>
      </w:r>
      <w:r w:rsidRPr="003064FA">
        <w:rPr>
          <w:rStyle w:val="Kkursywa"/>
        </w:rPr>
        <w:t>Neutralna emisyjnie Polska 2050</w:t>
      </w:r>
      <w:r w:rsidR="003064FA">
        <w:rPr>
          <w:color w:val="000000"/>
          <w:spacing w:val="-2"/>
        </w:rPr>
        <w:t>”</w:t>
      </w:r>
      <w:r w:rsidRPr="001D554C">
        <w:rPr>
          <w:color w:val="000000"/>
          <w:spacing w:val="-2"/>
        </w:rPr>
        <w:t xml:space="preserve">, Raport </w:t>
      </w:r>
      <w:proofErr w:type="spellStart"/>
      <w:r w:rsidR="00893BC4" w:rsidRPr="00893BC4">
        <w:rPr>
          <w:rStyle w:val="Uwydatnienie"/>
          <w:i w:val="0"/>
          <w:iCs w:val="0"/>
        </w:rPr>
        <w:t>Baltic</w:t>
      </w:r>
      <w:proofErr w:type="spellEnd"/>
      <w:r w:rsidR="00893BC4" w:rsidRPr="00893BC4">
        <w:rPr>
          <w:rStyle w:val="Uwydatnienie"/>
          <w:i w:val="0"/>
          <w:iCs w:val="0"/>
        </w:rPr>
        <w:t xml:space="preserve"> </w:t>
      </w:r>
      <w:proofErr w:type="spellStart"/>
      <w:r w:rsidR="00893BC4" w:rsidRPr="00893BC4">
        <w:rPr>
          <w:rStyle w:val="Uwydatnienie"/>
          <w:i w:val="0"/>
          <w:iCs w:val="0"/>
        </w:rPr>
        <w:t>energy</w:t>
      </w:r>
      <w:proofErr w:type="spellEnd"/>
      <w:r w:rsidR="00893BC4" w:rsidRPr="00893BC4">
        <w:rPr>
          <w:rStyle w:val="Uwydatnienie"/>
          <w:i w:val="0"/>
          <w:iCs w:val="0"/>
        </w:rPr>
        <w:t xml:space="preserve"> market </w:t>
      </w:r>
      <w:proofErr w:type="spellStart"/>
      <w:r w:rsidR="00893BC4" w:rsidRPr="00893BC4">
        <w:rPr>
          <w:rStyle w:val="Uwydatnienie"/>
          <w:i w:val="0"/>
          <w:iCs w:val="0"/>
        </w:rPr>
        <w:t>interconnection</w:t>
      </w:r>
      <w:proofErr w:type="spellEnd"/>
      <w:r w:rsidR="00893BC4" w:rsidRPr="00893BC4">
        <w:rPr>
          <w:rStyle w:val="Uwydatnienie"/>
          <w:i w:val="0"/>
          <w:iCs w:val="0"/>
        </w:rPr>
        <w:t xml:space="preserve"> plan</w:t>
      </w:r>
      <w:r w:rsidR="00893BC4">
        <w:rPr>
          <w:rStyle w:val="acopre"/>
        </w:rPr>
        <w:t xml:space="preserve"> (</w:t>
      </w:r>
      <w:r w:rsidRPr="001D554C">
        <w:rPr>
          <w:color w:val="000000"/>
          <w:spacing w:val="-2"/>
        </w:rPr>
        <w:t>BEMIP</w:t>
      </w:r>
      <w:r w:rsidR="00893BC4">
        <w:rPr>
          <w:color w:val="000000"/>
          <w:spacing w:val="-2"/>
        </w:rPr>
        <w:t>)</w:t>
      </w:r>
      <w:r w:rsidRPr="001D554C">
        <w:rPr>
          <w:color w:val="000000"/>
          <w:spacing w:val="-2"/>
        </w:rPr>
        <w:t xml:space="preserve"> „</w:t>
      </w:r>
      <w:proofErr w:type="spellStart"/>
      <w:r w:rsidRPr="003064FA">
        <w:rPr>
          <w:rStyle w:val="Kkursywa"/>
        </w:rPr>
        <w:t>Study</w:t>
      </w:r>
      <w:proofErr w:type="spellEnd"/>
      <w:r w:rsidRPr="003064FA">
        <w:rPr>
          <w:rStyle w:val="Kkursywa"/>
        </w:rPr>
        <w:t xml:space="preserve"> on </w:t>
      </w:r>
      <w:proofErr w:type="spellStart"/>
      <w:r w:rsidRPr="003064FA">
        <w:rPr>
          <w:rStyle w:val="Kkursywa"/>
        </w:rPr>
        <w:t>Baltic</w:t>
      </w:r>
      <w:proofErr w:type="spellEnd"/>
      <w:r w:rsidRPr="003064FA">
        <w:rPr>
          <w:rStyle w:val="Kkursywa"/>
        </w:rPr>
        <w:t xml:space="preserve"> </w:t>
      </w:r>
      <w:proofErr w:type="spellStart"/>
      <w:r w:rsidRPr="003064FA">
        <w:rPr>
          <w:rStyle w:val="Kkursywa"/>
        </w:rPr>
        <w:t>offshore</w:t>
      </w:r>
      <w:proofErr w:type="spellEnd"/>
      <w:r w:rsidRPr="003064FA">
        <w:rPr>
          <w:rStyle w:val="Kkursywa"/>
        </w:rPr>
        <w:t xml:space="preserve"> wind </w:t>
      </w:r>
      <w:proofErr w:type="spellStart"/>
      <w:r w:rsidRPr="003064FA">
        <w:rPr>
          <w:rStyle w:val="Kkursywa"/>
        </w:rPr>
        <w:t>energy</w:t>
      </w:r>
      <w:proofErr w:type="spellEnd"/>
      <w:r w:rsidRPr="003064FA">
        <w:rPr>
          <w:rStyle w:val="Kkursywa"/>
        </w:rPr>
        <w:t xml:space="preserve"> </w:t>
      </w:r>
      <w:proofErr w:type="spellStart"/>
      <w:r w:rsidRPr="003064FA">
        <w:rPr>
          <w:rStyle w:val="Kkursywa"/>
        </w:rPr>
        <w:t>cooperation</w:t>
      </w:r>
      <w:proofErr w:type="spellEnd"/>
      <w:r w:rsidRPr="003064FA">
        <w:rPr>
          <w:rStyle w:val="Kkursywa"/>
        </w:rPr>
        <w:t xml:space="preserve"> </w:t>
      </w:r>
      <w:proofErr w:type="spellStart"/>
      <w:r w:rsidRPr="003064FA">
        <w:rPr>
          <w:rStyle w:val="Kkursywa"/>
        </w:rPr>
        <w:t>under</w:t>
      </w:r>
      <w:proofErr w:type="spellEnd"/>
      <w:r w:rsidRPr="003064FA">
        <w:rPr>
          <w:rStyle w:val="Kkursywa"/>
        </w:rPr>
        <w:t xml:space="preserve"> BEMI</w:t>
      </w:r>
      <w:r w:rsidR="00893BC4">
        <w:rPr>
          <w:rStyle w:val="Kkursywa"/>
        </w:rPr>
        <w:t>P 2019</w:t>
      </w:r>
      <w:r w:rsidRPr="001D554C">
        <w:rPr>
          <w:color w:val="000000"/>
          <w:spacing w:val="-2"/>
        </w:rPr>
        <w:t>”, Raport Komisji Europejskiej</w:t>
      </w:r>
      <w:r w:rsidR="00893BC4">
        <w:rPr>
          <w:color w:val="000000"/>
          <w:spacing w:val="-2"/>
        </w:rPr>
        <w:t xml:space="preserve"> (KE)</w:t>
      </w:r>
      <w:r w:rsidRPr="001D554C">
        <w:rPr>
          <w:color w:val="000000"/>
          <w:spacing w:val="-2"/>
        </w:rPr>
        <w:t xml:space="preserve"> „</w:t>
      </w:r>
      <w:r w:rsidRPr="003064FA">
        <w:rPr>
          <w:rStyle w:val="Kkursywa"/>
        </w:rPr>
        <w:t>Technology Market Report Wind Energy</w:t>
      </w:r>
      <w:r w:rsidRPr="001D554C">
        <w:rPr>
          <w:color w:val="000000"/>
          <w:spacing w:val="-2"/>
        </w:rPr>
        <w:t xml:space="preserve">”, </w:t>
      </w:r>
      <w:r>
        <w:rPr>
          <w:color w:val="000000"/>
          <w:spacing w:val="-2"/>
        </w:rPr>
        <w:t>z</w:t>
      </w:r>
      <w:r w:rsidRPr="001D554C">
        <w:rPr>
          <w:color w:val="000000"/>
          <w:spacing w:val="-2"/>
        </w:rPr>
        <w:t>ałącznik analityczny do</w:t>
      </w:r>
      <w:r>
        <w:rPr>
          <w:color w:val="000000"/>
          <w:spacing w:val="-2"/>
        </w:rPr>
        <w:t xml:space="preserve"> </w:t>
      </w:r>
      <w:r w:rsidRPr="001D554C">
        <w:rPr>
          <w:color w:val="000000"/>
          <w:spacing w:val="-2"/>
        </w:rPr>
        <w:t xml:space="preserve">projektu Polityki </w:t>
      </w:r>
      <w:r w:rsidR="00F649D2">
        <w:rPr>
          <w:color w:val="000000"/>
          <w:spacing w:val="-2"/>
        </w:rPr>
        <w:t>e</w:t>
      </w:r>
      <w:r w:rsidRPr="001D554C">
        <w:rPr>
          <w:color w:val="000000"/>
          <w:spacing w:val="-2"/>
        </w:rPr>
        <w:t xml:space="preserve">nergetycznej Polski do 2040 r. (PEP2040), </w:t>
      </w:r>
      <w:r>
        <w:rPr>
          <w:color w:val="000000"/>
          <w:spacing w:val="-2"/>
        </w:rPr>
        <w:t>z</w:t>
      </w:r>
      <w:r w:rsidRPr="001D554C">
        <w:rPr>
          <w:color w:val="000000"/>
          <w:spacing w:val="-2"/>
        </w:rPr>
        <w:t xml:space="preserve">ałącznik analityczny do Programu </w:t>
      </w:r>
      <w:r w:rsidR="00F649D2">
        <w:rPr>
          <w:color w:val="000000"/>
          <w:spacing w:val="-2"/>
        </w:rPr>
        <w:t>p</w:t>
      </w:r>
      <w:r w:rsidRPr="001D554C">
        <w:rPr>
          <w:color w:val="000000"/>
          <w:spacing w:val="-2"/>
        </w:rPr>
        <w:t xml:space="preserve">olskiej </w:t>
      </w:r>
      <w:r w:rsidR="00F649D2">
        <w:rPr>
          <w:color w:val="000000"/>
          <w:spacing w:val="-2"/>
        </w:rPr>
        <w:t>e</w:t>
      </w:r>
      <w:r w:rsidRPr="001D554C">
        <w:rPr>
          <w:color w:val="000000"/>
          <w:spacing w:val="-2"/>
        </w:rPr>
        <w:t xml:space="preserve">nergetyki </w:t>
      </w:r>
      <w:r w:rsidR="00F649D2">
        <w:rPr>
          <w:color w:val="000000"/>
          <w:spacing w:val="-2"/>
        </w:rPr>
        <w:t>j</w:t>
      </w:r>
      <w:r w:rsidRPr="001D554C">
        <w:rPr>
          <w:color w:val="000000"/>
          <w:spacing w:val="-2"/>
        </w:rPr>
        <w:t>ądrowej (w</w:t>
      </w:r>
      <w:r>
        <w:rPr>
          <w:color w:val="000000"/>
          <w:spacing w:val="-2"/>
        </w:rPr>
        <w:t xml:space="preserve"> </w:t>
      </w:r>
      <w:r w:rsidRPr="001D554C">
        <w:rPr>
          <w:color w:val="000000"/>
          <w:spacing w:val="-2"/>
        </w:rPr>
        <w:t xml:space="preserve">części dotyczącej morskiej energetyki wiatrowej), Raport </w:t>
      </w:r>
      <w:r w:rsidR="00B97405" w:rsidRPr="006B3947">
        <w:rPr>
          <w:color w:val="000000"/>
          <w:spacing w:val="-2"/>
        </w:rPr>
        <w:t xml:space="preserve">Międzynarodowej Agencji Energii Odnawialnej </w:t>
      </w:r>
      <w:r w:rsidR="00B97405">
        <w:rPr>
          <w:color w:val="000000"/>
          <w:spacing w:val="-2"/>
        </w:rPr>
        <w:t>(</w:t>
      </w:r>
      <w:r w:rsidRPr="001D554C">
        <w:rPr>
          <w:color w:val="000000"/>
          <w:spacing w:val="-2"/>
        </w:rPr>
        <w:t>IRENA</w:t>
      </w:r>
      <w:r w:rsidR="00B97405">
        <w:rPr>
          <w:color w:val="000000"/>
          <w:spacing w:val="-2"/>
        </w:rPr>
        <w:t>)</w:t>
      </w:r>
      <w:r w:rsidRPr="001D554C">
        <w:rPr>
          <w:color w:val="000000"/>
          <w:spacing w:val="-2"/>
        </w:rPr>
        <w:t xml:space="preserve"> ,,</w:t>
      </w:r>
      <w:proofErr w:type="spellStart"/>
      <w:r w:rsidRPr="00F649D2">
        <w:rPr>
          <w:rStyle w:val="Kkursywa"/>
        </w:rPr>
        <w:t>Renewable</w:t>
      </w:r>
      <w:proofErr w:type="spellEnd"/>
      <w:r w:rsidRPr="00F649D2">
        <w:rPr>
          <w:rStyle w:val="Kkursywa"/>
        </w:rPr>
        <w:t xml:space="preserve"> Power </w:t>
      </w:r>
      <w:proofErr w:type="spellStart"/>
      <w:r w:rsidRPr="00F649D2">
        <w:rPr>
          <w:rStyle w:val="Kkursywa"/>
        </w:rPr>
        <w:t>Generation</w:t>
      </w:r>
      <w:proofErr w:type="spellEnd"/>
      <w:r w:rsidRPr="00F649D2">
        <w:rPr>
          <w:rStyle w:val="Kkursywa"/>
        </w:rPr>
        <w:t xml:space="preserve"> </w:t>
      </w:r>
      <w:proofErr w:type="spellStart"/>
      <w:r w:rsidRPr="00F649D2">
        <w:rPr>
          <w:rStyle w:val="Kkursywa"/>
        </w:rPr>
        <w:t>Costs</w:t>
      </w:r>
      <w:proofErr w:type="spellEnd"/>
      <w:r w:rsidRPr="00F649D2">
        <w:rPr>
          <w:rStyle w:val="Kkursywa"/>
        </w:rPr>
        <w:t xml:space="preserve"> in 2019</w:t>
      </w:r>
      <w:r w:rsidRPr="001D554C">
        <w:rPr>
          <w:color w:val="000000"/>
          <w:spacing w:val="-2"/>
        </w:rPr>
        <w:t>”.</w:t>
      </w:r>
    </w:p>
    <w:p w14:paraId="46A9713B" w14:textId="77777777" w:rsidR="00C938B9" w:rsidRDefault="00C938B9" w:rsidP="006701D0">
      <w:pPr>
        <w:spacing w:line="360" w:lineRule="auto"/>
        <w:ind w:firstLine="567"/>
        <w:jc w:val="both"/>
        <w:rPr>
          <w:color w:val="000000"/>
          <w:spacing w:val="-2"/>
        </w:rPr>
      </w:pPr>
      <w:r w:rsidRPr="0031597C">
        <w:rPr>
          <w:color w:val="000000"/>
          <w:spacing w:val="-2"/>
        </w:rPr>
        <w:t xml:space="preserve">Proces modelowania wymagał opracowania kluczowych założeń na bazie uznanych benchmarków oraz dostosowanie ich do polskich warunków rynku </w:t>
      </w:r>
      <w:r>
        <w:rPr>
          <w:color w:val="000000"/>
          <w:spacing w:val="-2"/>
        </w:rPr>
        <w:t>morskich farm wiatrowych:</w:t>
      </w:r>
    </w:p>
    <w:p w14:paraId="6D69BC2C" w14:textId="77777777" w:rsidR="00C938B9" w:rsidRDefault="00C938B9" w:rsidP="006701D0">
      <w:pPr>
        <w:spacing w:line="360" w:lineRule="auto"/>
        <w:jc w:val="both"/>
        <w:rPr>
          <w:color w:val="000000"/>
          <w:spacing w:val="-2"/>
        </w:rPr>
      </w:pPr>
    </w:p>
    <w:p w14:paraId="0C64D8BA" w14:textId="77777777" w:rsidR="00C938B9" w:rsidRPr="0031597C" w:rsidRDefault="00C938B9" w:rsidP="006701D0">
      <w:pPr>
        <w:pStyle w:val="Akapitzlist"/>
        <w:numPr>
          <w:ilvl w:val="0"/>
          <w:numId w:val="27"/>
        </w:numPr>
        <w:spacing w:line="360" w:lineRule="auto"/>
        <w:jc w:val="both"/>
        <w:rPr>
          <w:color w:val="000000"/>
          <w:spacing w:val="-2"/>
        </w:rPr>
      </w:pPr>
      <w:r w:rsidRPr="0031597C">
        <w:rPr>
          <w:b/>
          <w:bCs/>
          <w:color w:val="000000"/>
          <w:spacing w:val="-2"/>
        </w:rPr>
        <w:t>Wskaźniki referencyjne</w:t>
      </w:r>
    </w:p>
    <w:p w14:paraId="13DB0B0D" w14:textId="7580F0E7" w:rsidR="00C938B9" w:rsidRPr="00026FC3" w:rsidRDefault="005C5829" w:rsidP="00026FC3">
      <w:pPr>
        <w:pStyle w:val="Akapitzlist"/>
        <w:numPr>
          <w:ilvl w:val="0"/>
          <w:numId w:val="33"/>
        </w:numPr>
        <w:spacing w:line="360" w:lineRule="auto"/>
        <w:jc w:val="both"/>
        <w:rPr>
          <w:color w:val="000000"/>
          <w:spacing w:val="-2"/>
        </w:rPr>
      </w:pPr>
      <w:r>
        <w:rPr>
          <w:color w:val="000000"/>
          <w:spacing w:val="-2"/>
        </w:rPr>
        <w:t>w</w:t>
      </w:r>
      <w:r w:rsidR="00A736B4" w:rsidRPr="00026FC3">
        <w:rPr>
          <w:color w:val="000000"/>
          <w:spacing w:val="-2"/>
        </w:rPr>
        <w:t>skaźniki</w:t>
      </w:r>
      <w:r w:rsidR="00C13D50" w:rsidRPr="00026FC3">
        <w:rPr>
          <w:color w:val="000000"/>
          <w:spacing w:val="-2"/>
        </w:rPr>
        <w:t xml:space="preserve"> </w:t>
      </w:r>
      <w:r w:rsidR="00A736B4" w:rsidRPr="00026FC3">
        <w:rPr>
          <w:color w:val="000000"/>
          <w:spacing w:val="-2"/>
        </w:rPr>
        <w:t>techniczno-ekonomiczne</w:t>
      </w:r>
      <w:r w:rsidR="00C938B9" w:rsidRPr="00026FC3">
        <w:rPr>
          <w:color w:val="000000"/>
          <w:spacing w:val="-2"/>
        </w:rPr>
        <w:t xml:space="preserve"> NREL </w:t>
      </w:r>
      <w:proofErr w:type="spellStart"/>
      <w:r w:rsidR="00A736B4" w:rsidRPr="00026FC3">
        <w:rPr>
          <w:color w:val="000000"/>
          <w:spacing w:val="-2"/>
        </w:rPr>
        <w:t>Annual</w:t>
      </w:r>
      <w:proofErr w:type="spellEnd"/>
      <w:r w:rsidR="00A736B4" w:rsidRPr="00026FC3">
        <w:rPr>
          <w:color w:val="000000"/>
          <w:spacing w:val="-2"/>
        </w:rPr>
        <w:t xml:space="preserve"> Technology </w:t>
      </w:r>
      <w:proofErr w:type="spellStart"/>
      <w:r w:rsidR="00A736B4" w:rsidRPr="00026FC3">
        <w:rPr>
          <w:color w:val="000000"/>
          <w:spacing w:val="-2"/>
        </w:rPr>
        <w:t>Baseline</w:t>
      </w:r>
      <w:proofErr w:type="spellEnd"/>
      <w:r w:rsidR="00A736B4" w:rsidRPr="00026FC3">
        <w:rPr>
          <w:color w:val="000000"/>
          <w:spacing w:val="-2"/>
        </w:rPr>
        <w:t xml:space="preserve"> 2020 (</w:t>
      </w:r>
      <w:r w:rsidR="00C938B9" w:rsidRPr="00026FC3">
        <w:rPr>
          <w:color w:val="000000"/>
          <w:spacing w:val="-2"/>
        </w:rPr>
        <w:t>ATB’20</w:t>
      </w:r>
      <w:r w:rsidR="00A736B4" w:rsidRPr="00026FC3">
        <w:rPr>
          <w:color w:val="000000"/>
          <w:spacing w:val="-2"/>
        </w:rPr>
        <w:t xml:space="preserve">), klasa </w:t>
      </w:r>
      <w:r w:rsidR="003262F9" w:rsidRPr="003262F9">
        <w:rPr>
          <w:color w:val="000000"/>
          <w:spacing w:val="-2"/>
        </w:rPr>
        <w:t>lokalizacji</w:t>
      </w:r>
      <w:r w:rsidR="00A736B4" w:rsidRPr="00026FC3">
        <w:rPr>
          <w:color w:val="000000"/>
          <w:spacing w:val="-2"/>
        </w:rPr>
        <w:t xml:space="preserve"> - </w:t>
      </w:r>
      <w:r w:rsidR="00E7121F" w:rsidRPr="00026FC3">
        <w:rPr>
          <w:color w:val="000000"/>
          <w:spacing w:val="-2"/>
        </w:rPr>
        <w:t xml:space="preserve">Wind </w:t>
      </w:r>
      <w:proofErr w:type="spellStart"/>
      <w:r w:rsidR="00E7121F" w:rsidRPr="00026FC3">
        <w:rPr>
          <w:color w:val="000000"/>
          <w:spacing w:val="-2"/>
        </w:rPr>
        <w:t>Speed</w:t>
      </w:r>
      <w:proofErr w:type="spellEnd"/>
      <w:r w:rsidR="00E7121F" w:rsidRPr="00026FC3">
        <w:rPr>
          <w:color w:val="000000"/>
          <w:spacing w:val="-2"/>
        </w:rPr>
        <w:t xml:space="preserve"> </w:t>
      </w:r>
      <w:r w:rsidR="00C938B9" w:rsidRPr="00026FC3">
        <w:rPr>
          <w:color w:val="000000"/>
          <w:spacing w:val="-2"/>
        </w:rPr>
        <w:t xml:space="preserve">Class 3 i </w:t>
      </w:r>
      <w:r w:rsidR="00A736B4" w:rsidRPr="00026FC3">
        <w:rPr>
          <w:color w:val="000000"/>
          <w:spacing w:val="-2"/>
        </w:rPr>
        <w:t xml:space="preserve">NREL </w:t>
      </w:r>
      <w:proofErr w:type="spellStart"/>
      <w:r w:rsidR="00A736B4" w:rsidRPr="00026FC3">
        <w:rPr>
          <w:color w:val="000000"/>
          <w:spacing w:val="-2"/>
        </w:rPr>
        <w:t>Annual</w:t>
      </w:r>
      <w:proofErr w:type="spellEnd"/>
      <w:r w:rsidR="00A736B4" w:rsidRPr="00026FC3">
        <w:rPr>
          <w:color w:val="000000"/>
          <w:spacing w:val="-2"/>
        </w:rPr>
        <w:t xml:space="preserve"> Technology </w:t>
      </w:r>
      <w:proofErr w:type="spellStart"/>
      <w:r w:rsidR="00A736B4" w:rsidRPr="00026FC3">
        <w:rPr>
          <w:color w:val="000000"/>
          <w:spacing w:val="-2"/>
        </w:rPr>
        <w:t>Baseline</w:t>
      </w:r>
      <w:proofErr w:type="spellEnd"/>
      <w:r w:rsidR="00A736B4" w:rsidRPr="00026FC3">
        <w:rPr>
          <w:color w:val="000000"/>
          <w:spacing w:val="-2"/>
        </w:rPr>
        <w:t xml:space="preserve"> 2019 (ATB’19), klasa lokalizacji  </w:t>
      </w:r>
      <w:r w:rsidR="00C938B9" w:rsidRPr="00026FC3">
        <w:rPr>
          <w:color w:val="000000"/>
          <w:spacing w:val="-2"/>
        </w:rPr>
        <w:t>TRG</w:t>
      </w:r>
      <w:r w:rsidR="00E7121F" w:rsidRPr="00026FC3">
        <w:rPr>
          <w:color w:val="000000"/>
          <w:spacing w:val="-2"/>
        </w:rPr>
        <w:t>-</w:t>
      </w:r>
      <w:r w:rsidR="00C938B9" w:rsidRPr="00026FC3">
        <w:rPr>
          <w:color w:val="000000"/>
          <w:spacing w:val="-2"/>
        </w:rPr>
        <w:t>3</w:t>
      </w:r>
      <w:r w:rsidR="00C13D50" w:rsidRPr="00026FC3">
        <w:rPr>
          <w:color w:val="000000"/>
          <w:spacing w:val="-2"/>
        </w:rPr>
        <w:t>,</w:t>
      </w:r>
      <w:r w:rsidR="00A736B4" w:rsidRPr="00026FC3">
        <w:rPr>
          <w:color w:val="000000"/>
          <w:spacing w:val="-2"/>
        </w:rPr>
        <w:t xml:space="preserve"> </w:t>
      </w:r>
      <w:r w:rsidR="00C13D50" w:rsidRPr="00026FC3">
        <w:rPr>
          <w:color w:val="000000"/>
          <w:spacing w:val="-2"/>
        </w:rPr>
        <w:t>określonych jako warunki referencyjne</w:t>
      </w:r>
      <w:r w:rsidR="00A736B4" w:rsidRPr="00026FC3">
        <w:rPr>
          <w:color w:val="000000"/>
          <w:spacing w:val="-2"/>
        </w:rPr>
        <w:t xml:space="preserve"> </w:t>
      </w:r>
      <w:r w:rsidR="00C13D50" w:rsidRPr="00026FC3">
        <w:rPr>
          <w:color w:val="000000"/>
          <w:spacing w:val="-2"/>
        </w:rPr>
        <w:t>w</w:t>
      </w:r>
      <w:r w:rsidR="00AB63F8">
        <w:rPr>
          <w:color w:val="000000"/>
          <w:spacing w:val="-2"/>
        </w:rPr>
        <w:t> </w:t>
      </w:r>
      <w:r w:rsidR="00C13D50" w:rsidRPr="00026FC3">
        <w:rPr>
          <w:color w:val="000000"/>
          <w:spacing w:val="-2"/>
        </w:rPr>
        <w:t>zakresie kosztów morskich farm wiatrowych</w:t>
      </w:r>
      <w:r w:rsidR="00A736B4" w:rsidRPr="00026FC3">
        <w:rPr>
          <w:color w:val="000000"/>
          <w:spacing w:val="-2"/>
        </w:rPr>
        <w:t xml:space="preserve"> o stałych fundamentach (</w:t>
      </w:r>
      <w:proofErr w:type="spellStart"/>
      <w:r w:rsidR="00A736B4" w:rsidRPr="00026FC3">
        <w:rPr>
          <w:color w:val="000000"/>
          <w:spacing w:val="-2"/>
        </w:rPr>
        <w:t>fixed</w:t>
      </w:r>
      <w:proofErr w:type="spellEnd"/>
      <w:r w:rsidR="00A736B4" w:rsidRPr="00026FC3">
        <w:rPr>
          <w:color w:val="000000"/>
          <w:spacing w:val="-2"/>
        </w:rPr>
        <w:t xml:space="preserve"> </w:t>
      </w:r>
      <w:proofErr w:type="spellStart"/>
      <w:r w:rsidR="00A736B4" w:rsidRPr="00026FC3">
        <w:rPr>
          <w:color w:val="000000"/>
          <w:spacing w:val="-2"/>
        </w:rPr>
        <w:t>bottom</w:t>
      </w:r>
      <w:proofErr w:type="spellEnd"/>
      <w:r w:rsidR="00A736B4" w:rsidRPr="00026FC3">
        <w:rPr>
          <w:color w:val="000000"/>
          <w:spacing w:val="-2"/>
        </w:rPr>
        <w:t xml:space="preserve">) przekazywanych do eksploatacji </w:t>
      </w:r>
      <w:r w:rsidR="00C13D50" w:rsidRPr="00026FC3">
        <w:rPr>
          <w:color w:val="000000"/>
          <w:spacing w:val="-2"/>
        </w:rPr>
        <w:t>do 2030 roku</w:t>
      </w:r>
      <w:r>
        <w:rPr>
          <w:color w:val="000000"/>
          <w:spacing w:val="-2"/>
        </w:rPr>
        <w:t>,</w:t>
      </w:r>
    </w:p>
    <w:p w14:paraId="1DEC154C" w14:textId="15F06E29" w:rsidR="00C938B9" w:rsidRPr="00026FC3" w:rsidRDefault="006474D1" w:rsidP="00026FC3">
      <w:pPr>
        <w:pStyle w:val="Akapitzlist"/>
        <w:numPr>
          <w:ilvl w:val="0"/>
          <w:numId w:val="33"/>
        </w:numPr>
        <w:spacing w:line="360" w:lineRule="auto"/>
        <w:jc w:val="both"/>
        <w:rPr>
          <w:color w:val="000000"/>
          <w:spacing w:val="-2"/>
        </w:rPr>
      </w:pPr>
      <w:r>
        <w:rPr>
          <w:color w:val="000000"/>
          <w:spacing w:val="-2"/>
        </w:rPr>
        <w:t xml:space="preserve">wskaźniki technologiczne - </w:t>
      </w:r>
      <w:r w:rsidR="00E7121F" w:rsidRPr="00026FC3">
        <w:rPr>
          <w:color w:val="000000"/>
          <w:spacing w:val="-2"/>
        </w:rPr>
        <w:t>prognozy rozwoju technologii</w:t>
      </w:r>
      <w:r w:rsidR="00A736B4">
        <w:rPr>
          <w:color w:val="000000"/>
          <w:spacing w:val="-2"/>
        </w:rPr>
        <w:t>, łańcucha dostaw</w:t>
      </w:r>
      <w:r w:rsidR="00E7121F" w:rsidRPr="00026FC3">
        <w:rPr>
          <w:color w:val="000000"/>
          <w:spacing w:val="-2"/>
        </w:rPr>
        <w:t xml:space="preserve"> i rynku </w:t>
      </w:r>
      <w:proofErr w:type="spellStart"/>
      <w:r w:rsidR="00E7121F" w:rsidRPr="00026FC3">
        <w:rPr>
          <w:color w:val="000000"/>
          <w:spacing w:val="-2"/>
        </w:rPr>
        <w:t>offshore</w:t>
      </w:r>
      <w:proofErr w:type="spellEnd"/>
      <w:r w:rsidR="00E7121F" w:rsidRPr="00026FC3">
        <w:rPr>
          <w:color w:val="000000"/>
          <w:spacing w:val="-2"/>
        </w:rPr>
        <w:t xml:space="preserve"> – </w:t>
      </w:r>
      <w:r w:rsidR="00A736B4" w:rsidRPr="009045C7">
        <w:rPr>
          <w:color w:val="000000"/>
          <w:spacing w:val="-2"/>
        </w:rPr>
        <w:t>„</w:t>
      </w:r>
      <w:proofErr w:type="spellStart"/>
      <w:r w:rsidR="00A736B4" w:rsidRPr="00026FC3">
        <w:t>Moderate</w:t>
      </w:r>
      <w:proofErr w:type="spellEnd"/>
      <w:r w:rsidR="00A736B4" w:rsidRPr="00026FC3">
        <w:t xml:space="preserve"> Technology </w:t>
      </w:r>
      <w:proofErr w:type="spellStart"/>
      <w:r w:rsidR="00A736B4" w:rsidRPr="00026FC3">
        <w:t>Innovation</w:t>
      </w:r>
      <w:proofErr w:type="spellEnd"/>
      <w:r w:rsidR="00A736B4" w:rsidRPr="00026FC3">
        <w:t xml:space="preserve"> </w:t>
      </w:r>
      <w:proofErr w:type="spellStart"/>
      <w:r w:rsidR="00A736B4" w:rsidRPr="00026FC3">
        <w:t>Scenario</w:t>
      </w:r>
      <w:proofErr w:type="spellEnd"/>
      <w:r w:rsidR="00A736B4" w:rsidRPr="009045C7">
        <w:rPr>
          <w:color w:val="000000"/>
          <w:spacing w:val="-2"/>
        </w:rPr>
        <w:t>”</w:t>
      </w:r>
      <w:r w:rsidR="00E7121F" w:rsidRPr="00026FC3">
        <w:rPr>
          <w:color w:val="000000"/>
          <w:spacing w:val="-2"/>
        </w:rPr>
        <w:t>, zakładające wykorzystanie t</w:t>
      </w:r>
      <w:r w:rsidR="00C938B9" w:rsidRPr="00026FC3">
        <w:rPr>
          <w:color w:val="000000"/>
          <w:spacing w:val="-2"/>
        </w:rPr>
        <w:t>urbin o mocy 12 MW w</w:t>
      </w:r>
      <w:r w:rsidR="00E7121F" w:rsidRPr="00026FC3">
        <w:rPr>
          <w:color w:val="000000"/>
          <w:spacing w:val="-2"/>
        </w:rPr>
        <w:t xml:space="preserve"> okolicach</w:t>
      </w:r>
      <w:r w:rsidR="00C938B9" w:rsidRPr="00026FC3">
        <w:rPr>
          <w:color w:val="000000"/>
          <w:spacing w:val="-2"/>
        </w:rPr>
        <w:t xml:space="preserve"> 2027 roku, 15 MW w </w:t>
      </w:r>
      <w:r w:rsidR="00E7121F" w:rsidRPr="00026FC3">
        <w:rPr>
          <w:color w:val="000000"/>
          <w:spacing w:val="-2"/>
        </w:rPr>
        <w:t xml:space="preserve">okolicach </w:t>
      </w:r>
      <w:r w:rsidR="00C938B9" w:rsidRPr="00026FC3">
        <w:rPr>
          <w:color w:val="000000"/>
          <w:spacing w:val="-2"/>
        </w:rPr>
        <w:t>2030 roku</w:t>
      </w:r>
      <w:r w:rsidR="00A736B4" w:rsidRPr="00026FC3">
        <w:rPr>
          <w:color w:val="000000"/>
          <w:spacing w:val="-2"/>
        </w:rPr>
        <w:t xml:space="preserve">. </w:t>
      </w:r>
    </w:p>
    <w:p w14:paraId="04F9D2D7" w14:textId="297EAE37" w:rsidR="00C938B9" w:rsidRPr="00026FC3" w:rsidRDefault="005C5829" w:rsidP="00026FC3">
      <w:pPr>
        <w:pStyle w:val="Akapitzlist"/>
        <w:numPr>
          <w:ilvl w:val="0"/>
          <w:numId w:val="33"/>
        </w:numPr>
        <w:spacing w:line="360" w:lineRule="auto"/>
        <w:jc w:val="both"/>
        <w:rPr>
          <w:color w:val="000000"/>
          <w:spacing w:val="-2"/>
        </w:rPr>
      </w:pPr>
      <w:r>
        <w:rPr>
          <w:color w:val="000000"/>
          <w:spacing w:val="-2"/>
        </w:rPr>
        <w:t>w</w:t>
      </w:r>
      <w:r w:rsidR="009045C7">
        <w:rPr>
          <w:color w:val="000000"/>
          <w:spacing w:val="-2"/>
        </w:rPr>
        <w:t xml:space="preserve">skaźniki referencyjne wyrażone w cenach stałych </w:t>
      </w:r>
      <w:r w:rsidR="00C938B9" w:rsidRPr="00026FC3">
        <w:rPr>
          <w:color w:val="000000"/>
          <w:spacing w:val="-2"/>
        </w:rPr>
        <w:t>USD2018</w:t>
      </w:r>
      <w:r w:rsidR="00A736B4" w:rsidRPr="00026FC3">
        <w:rPr>
          <w:color w:val="000000"/>
          <w:spacing w:val="-2"/>
        </w:rPr>
        <w:t xml:space="preserve"> (ATB’20) i USD2017 (ATB’19)</w:t>
      </w:r>
      <w:r>
        <w:rPr>
          <w:color w:val="000000"/>
          <w:spacing w:val="-2"/>
        </w:rPr>
        <w:t>,</w:t>
      </w:r>
    </w:p>
    <w:p w14:paraId="7F1A277E" w14:textId="77777777" w:rsidR="00C938B9" w:rsidRPr="0031597C" w:rsidRDefault="00C938B9" w:rsidP="006701D0">
      <w:pPr>
        <w:spacing w:line="360" w:lineRule="auto"/>
        <w:jc w:val="both"/>
        <w:rPr>
          <w:color w:val="000000"/>
          <w:spacing w:val="-2"/>
        </w:rPr>
      </w:pPr>
    </w:p>
    <w:p w14:paraId="2969FF1E" w14:textId="77777777" w:rsidR="00C938B9" w:rsidRPr="0031597C" w:rsidRDefault="00C938B9" w:rsidP="006701D0">
      <w:pPr>
        <w:pStyle w:val="Akapitzlist"/>
        <w:numPr>
          <w:ilvl w:val="0"/>
          <w:numId w:val="27"/>
        </w:numPr>
        <w:spacing w:line="360" w:lineRule="auto"/>
        <w:jc w:val="both"/>
        <w:rPr>
          <w:b/>
          <w:bCs/>
          <w:color w:val="000000"/>
          <w:spacing w:val="-2"/>
        </w:rPr>
      </w:pPr>
      <w:r w:rsidRPr="0031597C">
        <w:rPr>
          <w:b/>
          <w:bCs/>
          <w:color w:val="000000"/>
          <w:spacing w:val="-2"/>
        </w:rPr>
        <w:t>Waloryzacja i przewalutowanie</w:t>
      </w:r>
    </w:p>
    <w:p w14:paraId="626CDC91" w14:textId="7BEE3AEF" w:rsidR="00C938B9" w:rsidRPr="00026FC3" w:rsidRDefault="0008614F" w:rsidP="00026FC3">
      <w:pPr>
        <w:pStyle w:val="Akapitzlist"/>
        <w:numPr>
          <w:ilvl w:val="0"/>
          <w:numId w:val="34"/>
        </w:numPr>
        <w:spacing w:line="360" w:lineRule="auto"/>
        <w:jc w:val="both"/>
        <w:rPr>
          <w:color w:val="000000"/>
          <w:spacing w:val="-2"/>
        </w:rPr>
      </w:pPr>
      <w:r>
        <w:rPr>
          <w:color w:val="000000"/>
          <w:spacing w:val="-2"/>
        </w:rPr>
        <w:t>i</w:t>
      </w:r>
      <w:r w:rsidR="00C938B9" w:rsidRPr="00026FC3">
        <w:rPr>
          <w:color w:val="000000"/>
          <w:spacing w:val="-2"/>
        </w:rPr>
        <w:t>nflacja</w:t>
      </w:r>
      <w:r>
        <w:rPr>
          <w:color w:val="000000"/>
          <w:spacing w:val="-2"/>
        </w:rPr>
        <w:t xml:space="preserve"> -</w:t>
      </w:r>
      <w:r w:rsidR="00C938B9" w:rsidRPr="00026FC3">
        <w:rPr>
          <w:color w:val="000000"/>
          <w:spacing w:val="-2"/>
        </w:rPr>
        <w:t xml:space="preserve"> Consumer </w:t>
      </w:r>
      <w:proofErr w:type="spellStart"/>
      <w:r w:rsidR="00E7121F" w:rsidRPr="00026FC3">
        <w:rPr>
          <w:color w:val="000000"/>
          <w:spacing w:val="-2"/>
        </w:rPr>
        <w:t>Price</w:t>
      </w:r>
      <w:proofErr w:type="spellEnd"/>
      <w:r w:rsidR="00E7121F" w:rsidRPr="00026FC3">
        <w:rPr>
          <w:color w:val="000000"/>
          <w:spacing w:val="-2"/>
        </w:rPr>
        <w:t xml:space="preserve"> </w:t>
      </w:r>
      <w:r w:rsidR="00C938B9" w:rsidRPr="00026FC3">
        <w:rPr>
          <w:color w:val="000000"/>
          <w:spacing w:val="-2"/>
        </w:rPr>
        <w:t>Index (CPI) World Bank Global</w:t>
      </w:r>
      <w:r w:rsidR="00A736B4" w:rsidRPr="00026FC3">
        <w:rPr>
          <w:color w:val="000000"/>
          <w:spacing w:val="-2"/>
        </w:rPr>
        <w:t xml:space="preserve"> –</w:t>
      </w:r>
      <w:r w:rsidR="00C13D50" w:rsidRPr="00026FC3">
        <w:rPr>
          <w:color w:val="000000"/>
          <w:spacing w:val="-2"/>
        </w:rPr>
        <w:t xml:space="preserve"> </w:t>
      </w:r>
      <w:r w:rsidR="00A736B4" w:rsidRPr="00026FC3">
        <w:rPr>
          <w:color w:val="000000"/>
          <w:spacing w:val="-2"/>
        </w:rPr>
        <w:t>waloryzacj</w:t>
      </w:r>
      <w:r w:rsidR="00C13D50" w:rsidRPr="00026FC3">
        <w:rPr>
          <w:color w:val="000000"/>
          <w:spacing w:val="-2"/>
        </w:rPr>
        <w:t>a</w:t>
      </w:r>
      <w:r w:rsidR="00A736B4" w:rsidRPr="00026FC3">
        <w:rPr>
          <w:color w:val="000000"/>
          <w:spacing w:val="-2"/>
        </w:rPr>
        <w:t xml:space="preserve"> </w:t>
      </w:r>
      <w:r w:rsidR="00C13D50" w:rsidRPr="00026FC3">
        <w:rPr>
          <w:color w:val="000000"/>
          <w:spacing w:val="-2"/>
        </w:rPr>
        <w:t xml:space="preserve">wskaźników referencyjnych </w:t>
      </w:r>
      <w:r w:rsidR="00A736B4" w:rsidRPr="00026FC3">
        <w:rPr>
          <w:color w:val="000000"/>
          <w:spacing w:val="-2"/>
        </w:rPr>
        <w:t>do cen stałych wyrażonych w USD2020</w:t>
      </w:r>
      <w:r>
        <w:rPr>
          <w:color w:val="000000"/>
          <w:spacing w:val="-2"/>
        </w:rPr>
        <w:t>,</w:t>
      </w:r>
    </w:p>
    <w:p w14:paraId="4144415E" w14:textId="7D57E38C" w:rsidR="00C13D50" w:rsidRPr="00026FC3" w:rsidRDefault="0008614F" w:rsidP="00026FC3">
      <w:pPr>
        <w:pStyle w:val="Akapitzlist"/>
        <w:numPr>
          <w:ilvl w:val="0"/>
          <w:numId w:val="34"/>
        </w:numPr>
        <w:spacing w:line="360" w:lineRule="auto"/>
        <w:jc w:val="both"/>
        <w:rPr>
          <w:color w:val="000000"/>
          <w:spacing w:val="-2"/>
        </w:rPr>
      </w:pPr>
      <w:r>
        <w:rPr>
          <w:color w:val="000000"/>
          <w:spacing w:val="-2"/>
        </w:rPr>
        <w:lastRenderedPageBreak/>
        <w:t>ś</w:t>
      </w:r>
      <w:r w:rsidR="00C938B9" w:rsidRPr="00026FC3">
        <w:rPr>
          <w:color w:val="000000"/>
          <w:spacing w:val="-2"/>
        </w:rPr>
        <w:t xml:space="preserve">rednia </w:t>
      </w:r>
      <w:r w:rsidR="003262F9">
        <w:rPr>
          <w:color w:val="000000"/>
          <w:spacing w:val="-2"/>
        </w:rPr>
        <w:t xml:space="preserve">z ostatnich </w:t>
      </w:r>
      <w:r w:rsidR="00C938B9" w:rsidRPr="00026FC3">
        <w:rPr>
          <w:color w:val="000000"/>
          <w:spacing w:val="-2"/>
        </w:rPr>
        <w:t>5</w:t>
      </w:r>
      <w:r w:rsidR="003262F9">
        <w:rPr>
          <w:color w:val="000000"/>
          <w:spacing w:val="-2"/>
        </w:rPr>
        <w:t xml:space="preserve"> lat</w:t>
      </w:r>
      <w:r w:rsidR="00C938B9" w:rsidRPr="00026FC3">
        <w:rPr>
          <w:color w:val="000000"/>
          <w:spacing w:val="-2"/>
        </w:rPr>
        <w:t xml:space="preserve"> kursów NBP</w:t>
      </w:r>
      <w:r w:rsidR="00C13D50" w:rsidRPr="00026FC3">
        <w:rPr>
          <w:color w:val="000000"/>
          <w:spacing w:val="-2"/>
        </w:rPr>
        <w:t xml:space="preserve"> - </w:t>
      </w:r>
      <w:r w:rsidR="00C13D50" w:rsidRPr="009045C7">
        <w:rPr>
          <w:color w:val="000000"/>
          <w:spacing w:val="-2"/>
        </w:rPr>
        <w:t xml:space="preserve">3,81 USD/PLN; 4,31 EUR/PLN; </w:t>
      </w:r>
      <w:r w:rsidR="00C13D50" w:rsidRPr="00026FC3">
        <w:rPr>
          <w:color w:val="000000"/>
          <w:spacing w:val="-2"/>
        </w:rPr>
        <w:t>przewalutowanie zwaloryzowanych wskaźników</w:t>
      </w:r>
      <w:r w:rsidR="00C13D50" w:rsidRPr="009045C7">
        <w:rPr>
          <w:color w:val="000000"/>
          <w:spacing w:val="-2"/>
        </w:rPr>
        <w:t xml:space="preserve"> referencyjnych </w:t>
      </w:r>
      <w:r w:rsidR="00C13D50">
        <w:rPr>
          <w:color w:val="000000"/>
          <w:spacing w:val="-2"/>
        </w:rPr>
        <w:t>do cen stałych PLN2020</w:t>
      </w:r>
      <w:r>
        <w:rPr>
          <w:color w:val="000000"/>
          <w:spacing w:val="-2"/>
        </w:rPr>
        <w:t>,</w:t>
      </w:r>
    </w:p>
    <w:p w14:paraId="3879ED73" w14:textId="77777777" w:rsidR="00C938B9" w:rsidRDefault="00C938B9" w:rsidP="006701D0">
      <w:pPr>
        <w:spacing w:line="360" w:lineRule="auto"/>
        <w:jc w:val="both"/>
        <w:rPr>
          <w:color w:val="000000"/>
          <w:spacing w:val="-2"/>
        </w:rPr>
      </w:pPr>
    </w:p>
    <w:p w14:paraId="389726F9" w14:textId="74259597" w:rsidR="00C938B9" w:rsidRPr="001F2D01" w:rsidRDefault="00C938B9" w:rsidP="006701D0">
      <w:pPr>
        <w:pStyle w:val="Akapitzlist"/>
        <w:numPr>
          <w:ilvl w:val="0"/>
          <w:numId w:val="27"/>
        </w:numPr>
        <w:spacing w:line="360" w:lineRule="auto"/>
        <w:jc w:val="both"/>
        <w:rPr>
          <w:color w:val="000000"/>
          <w:spacing w:val="-2"/>
        </w:rPr>
      </w:pPr>
      <w:r w:rsidRPr="001F2D01">
        <w:rPr>
          <w:b/>
          <w:bCs/>
          <w:color w:val="000000"/>
          <w:spacing w:val="-2"/>
        </w:rPr>
        <w:t>Kluczowe korekty techniczne i rynkowe</w:t>
      </w:r>
      <w:r>
        <w:rPr>
          <w:b/>
          <w:bCs/>
          <w:color w:val="000000"/>
          <w:spacing w:val="-2"/>
        </w:rPr>
        <w:t xml:space="preserve"> </w:t>
      </w:r>
      <w:r w:rsidRPr="001F2D01">
        <w:rPr>
          <w:color w:val="000000"/>
          <w:spacing w:val="-2"/>
        </w:rPr>
        <w:t>(w oparciu o dane z raportów Eurostat, BVG</w:t>
      </w:r>
      <w:r w:rsidR="00893BC4">
        <w:rPr>
          <w:color w:val="000000"/>
          <w:spacing w:val="-2"/>
        </w:rPr>
        <w:t xml:space="preserve"> </w:t>
      </w:r>
      <w:proofErr w:type="spellStart"/>
      <w:r w:rsidR="00893BC4">
        <w:rPr>
          <w:color w:val="000000"/>
          <w:spacing w:val="-2"/>
        </w:rPr>
        <w:t>Associates</w:t>
      </w:r>
      <w:proofErr w:type="spellEnd"/>
      <w:r w:rsidR="00893BC4">
        <w:rPr>
          <w:color w:val="000000"/>
          <w:spacing w:val="-2"/>
        </w:rPr>
        <w:t xml:space="preserve"> (BVG)</w:t>
      </w:r>
      <w:r w:rsidRPr="001F2D01">
        <w:rPr>
          <w:color w:val="000000"/>
          <w:spacing w:val="-2"/>
        </w:rPr>
        <w:t xml:space="preserve">, </w:t>
      </w:r>
      <w:proofErr w:type="spellStart"/>
      <w:r w:rsidR="00893BC4" w:rsidRPr="00893BC4">
        <w:rPr>
          <w:color w:val="000000"/>
          <w:spacing w:val="-2"/>
        </w:rPr>
        <w:t>National</w:t>
      </w:r>
      <w:proofErr w:type="spellEnd"/>
      <w:r w:rsidR="00893BC4" w:rsidRPr="00893BC4">
        <w:rPr>
          <w:color w:val="000000"/>
          <w:spacing w:val="-2"/>
        </w:rPr>
        <w:t xml:space="preserve"> </w:t>
      </w:r>
      <w:proofErr w:type="spellStart"/>
      <w:r w:rsidR="00893BC4" w:rsidRPr="00893BC4">
        <w:rPr>
          <w:color w:val="000000"/>
          <w:spacing w:val="-2"/>
        </w:rPr>
        <w:t>Renewable</w:t>
      </w:r>
      <w:proofErr w:type="spellEnd"/>
      <w:r w:rsidR="00893BC4" w:rsidRPr="00893BC4">
        <w:rPr>
          <w:color w:val="000000"/>
          <w:spacing w:val="-2"/>
        </w:rPr>
        <w:t xml:space="preserve"> Energy </w:t>
      </w:r>
      <w:proofErr w:type="spellStart"/>
      <w:r w:rsidR="00893BC4" w:rsidRPr="00893BC4">
        <w:rPr>
          <w:color w:val="000000"/>
          <w:spacing w:val="-2"/>
        </w:rPr>
        <w:t>Laboratory</w:t>
      </w:r>
      <w:proofErr w:type="spellEnd"/>
      <w:r w:rsidR="00893BC4">
        <w:rPr>
          <w:color w:val="000000"/>
          <w:spacing w:val="-2"/>
        </w:rPr>
        <w:t xml:space="preserve"> (</w:t>
      </w:r>
      <w:r w:rsidRPr="001F2D01">
        <w:rPr>
          <w:color w:val="000000"/>
          <w:spacing w:val="-2"/>
        </w:rPr>
        <w:t>NREL</w:t>
      </w:r>
      <w:r w:rsidR="00893BC4">
        <w:rPr>
          <w:color w:val="000000"/>
          <w:spacing w:val="-2"/>
        </w:rPr>
        <w:t>)</w:t>
      </w:r>
      <w:r w:rsidRPr="001F2D01">
        <w:rPr>
          <w:color w:val="000000"/>
          <w:spacing w:val="-2"/>
        </w:rPr>
        <w:t>,</w:t>
      </w:r>
      <w:r w:rsidR="00893BC4" w:rsidRPr="00893BC4">
        <w:t xml:space="preserve"> </w:t>
      </w:r>
      <w:r w:rsidR="00893BC4" w:rsidRPr="00893BC4">
        <w:rPr>
          <w:color w:val="000000"/>
          <w:spacing w:val="-2"/>
        </w:rPr>
        <w:t>Energy Information Administration</w:t>
      </w:r>
      <w:r w:rsidR="00893BC4">
        <w:rPr>
          <w:color w:val="000000"/>
          <w:spacing w:val="-2"/>
        </w:rPr>
        <w:t xml:space="preserve"> (</w:t>
      </w:r>
      <w:r w:rsidR="00C13D50">
        <w:rPr>
          <w:color w:val="000000"/>
          <w:spacing w:val="-2"/>
        </w:rPr>
        <w:t>EIA</w:t>
      </w:r>
      <w:r w:rsidR="00893BC4">
        <w:rPr>
          <w:color w:val="000000"/>
          <w:spacing w:val="-2"/>
        </w:rPr>
        <w:t>)</w:t>
      </w:r>
      <w:r w:rsidR="00C13D50">
        <w:rPr>
          <w:color w:val="000000"/>
          <w:spacing w:val="-2"/>
        </w:rPr>
        <w:t>,</w:t>
      </w:r>
      <w:r w:rsidR="00893BC4">
        <w:rPr>
          <w:color w:val="000000"/>
          <w:spacing w:val="-2"/>
        </w:rPr>
        <w:t xml:space="preserve"> </w:t>
      </w:r>
      <w:r w:rsidR="00C13D50">
        <w:rPr>
          <w:color w:val="000000"/>
          <w:spacing w:val="-2"/>
        </w:rPr>
        <w:t xml:space="preserve"> </w:t>
      </w:r>
      <w:r w:rsidR="00893BC4" w:rsidRPr="00893BC4">
        <w:rPr>
          <w:color w:val="000000"/>
          <w:spacing w:val="-2"/>
        </w:rPr>
        <w:t xml:space="preserve">Międzynarodowa Agencja Energetyczna </w:t>
      </w:r>
      <w:r w:rsidR="00893BC4">
        <w:rPr>
          <w:color w:val="000000"/>
          <w:spacing w:val="-2"/>
        </w:rPr>
        <w:t>(</w:t>
      </w:r>
      <w:r w:rsidRPr="001F2D01">
        <w:rPr>
          <w:color w:val="000000"/>
          <w:spacing w:val="-2"/>
        </w:rPr>
        <w:t>IEA</w:t>
      </w:r>
      <w:r w:rsidR="00893BC4">
        <w:rPr>
          <w:color w:val="000000"/>
          <w:spacing w:val="-2"/>
        </w:rPr>
        <w:t>)</w:t>
      </w:r>
      <w:r w:rsidRPr="001F2D01">
        <w:rPr>
          <w:color w:val="000000"/>
          <w:spacing w:val="-2"/>
        </w:rPr>
        <w:t>, EY)</w:t>
      </w:r>
    </w:p>
    <w:p w14:paraId="19BF0244" w14:textId="77777777" w:rsidR="00C938B9" w:rsidRPr="0031597C" w:rsidRDefault="00C938B9" w:rsidP="006701D0">
      <w:pPr>
        <w:spacing w:line="360" w:lineRule="auto"/>
        <w:ind w:left="708"/>
        <w:jc w:val="both"/>
        <w:rPr>
          <w:color w:val="000000"/>
          <w:spacing w:val="-2"/>
        </w:rPr>
      </w:pPr>
      <w:r w:rsidRPr="0031597C">
        <w:rPr>
          <w:i/>
          <w:iCs/>
          <w:color w:val="000000"/>
          <w:spacing w:val="-2"/>
        </w:rPr>
        <w:t>Korekty techniczne</w:t>
      </w:r>
    </w:p>
    <w:p w14:paraId="4FC69C15" w14:textId="77777777" w:rsidR="00C938B9" w:rsidRPr="0031597C" w:rsidRDefault="00C938B9" w:rsidP="006701D0">
      <w:pPr>
        <w:pStyle w:val="Akapitzlist"/>
        <w:numPr>
          <w:ilvl w:val="0"/>
          <w:numId w:val="28"/>
        </w:numPr>
        <w:spacing w:line="360" w:lineRule="auto"/>
        <w:ind w:left="1428"/>
        <w:jc w:val="both"/>
        <w:rPr>
          <w:color w:val="000000"/>
          <w:spacing w:val="-2"/>
        </w:rPr>
      </w:pPr>
      <w:r w:rsidRPr="0031597C">
        <w:rPr>
          <w:color w:val="000000"/>
          <w:spacing w:val="-2"/>
        </w:rPr>
        <w:t>Prędkość wiatru</w:t>
      </w:r>
    </w:p>
    <w:p w14:paraId="115EA002" w14:textId="77777777" w:rsidR="00C938B9" w:rsidRPr="0031597C" w:rsidRDefault="00C938B9" w:rsidP="006701D0">
      <w:pPr>
        <w:pStyle w:val="Akapitzlist"/>
        <w:numPr>
          <w:ilvl w:val="0"/>
          <w:numId w:val="28"/>
        </w:numPr>
        <w:spacing w:line="360" w:lineRule="auto"/>
        <w:ind w:left="1428"/>
        <w:jc w:val="both"/>
        <w:rPr>
          <w:color w:val="000000"/>
          <w:spacing w:val="-2"/>
        </w:rPr>
      </w:pPr>
      <w:r w:rsidRPr="0031597C">
        <w:rPr>
          <w:color w:val="000000"/>
          <w:spacing w:val="-2"/>
        </w:rPr>
        <w:t>Odległość od brzegu</w:t>
      </w:r>
    </w:p>
    <w:p w14:paraId="762D200D" w14:textId="77777777" w:rsidR="00C938B9" w:rsidRPr="0031597C" w:rsidRDefault="00C938B9" w:rsidP="006701D0">
      <w:pPr>
        <w:pStyle w:val="Akapitzlist"/>
        <w:numPr>
          <w:ilvl w:val="0"/>
          <w:numId w:val="28"/>
        </w:numPr>
        <w:spacing w:line="360" w:lineRule="auto"/>
        <w:ind w:left="1428"/>
        <w:jc w:val="both"/>
        <w:rPr>
          <w:color w:val="000000"/>
          <w:spacing w:val="-2"/>
        </w:rPr>
      </w:pPr>
      <w:r w:rsidRPr="0031597C">
        <w:rPr>
          <w:color w:val="000000"/>
          <w:spacing w:val="-2"/>
        </w:rPr>
        <w:t>Głębokość akwenu</w:t>
      </w:r>
    </w:p>
    <w:p w14:paraId="3C337CD2" w14:textId="77777777" w:rsidR="00C938B9" w:rsidRPr="0031597C" w:rsidRDefault="00C938B9" w:rsidP="006701D0">
      <w:pPr>
        <w:pStyle w:val="Akapitzlist"/>
        <w:numPr>
          <w:ilvl w:val="0"/>
          <w:numId w:val="28"/>
        </w:numPr>
        <w:spacing w:line="360" w:lineRule="auto"/>
        <w:ind w:left="1428"/>
        <w:jc w:val="both"/>
        <w:rPr>
          <w:color w:val="000000"/>
          <w:spacing w:val="-2"/>
        </w:rPr>
      </w:pPr>
      <w:r w:rsidRPr="0031597C">
        <w:rPr>
          <w:color w:val="000000"/>
          <w:spacing w:val="-2"/>
        </w:rPr>
        <w:t>Rozwój technologii</w:t>
      </w:r>
    </w:p>
    <w:p w14:paraId="1E4865EC" w14:textId="77777777" w:rsidR="00C938B9" w:rsidRPr="0031597C" w:rsidRDefault="00C938B9" w:rsidP="006701D0">
      <w:pPr>
        <w:spacing w:line="360" w:lineRule="auto"/>
        <w:ind w:left="708"/>
        <w:jc w:val="both"/>
        <w:rPr>
          <w:color w:val="000000"/>
          <w:spacing w:val="-2"/>
        </w:rPr>
      </w:pPr>
      <w:r w:rsidRPr="0031597C">
        <w:rPr>
          <w:i/>
          <w:iCs/>
          <w:color w:val="000000"/>
          <w:spacing w:val="-2"/>
        </w:rPr>
        <w:t>Korekty rynkowe</w:t>
      </w:r>
    </w:p>
    <w:p w14:paraId="5A7ADC35" w14:textId="77777777" w:rsidR="00C938B9" w:rsidRPr="0031597C" w:rsidRDefault="00C938B9" w:rsidP="006701D0">
      <w:pPr>
        <w:pStyle w:val="Akapitzlist"/>
        <w:numPr>
          <w:ilvl w:val="0"/>
          <w:numId w:val="28"/>
        </w:numPr>
        <w:spacing w:line="360" w:lineRule="auto"/>
        <w:ind w:left="1428"/>
        <w:jc w:val="both"/>
        <w:rPr>
          <w:color w:val="000000"/>
          <w:spacing w:val="-2"/>
        </w:rPr>
      </w:pPr>
      <w:r w:rsidRPr="0031597C">
        <w:rPr>
          <w:color w:val="000000"/>
          <w:spacing w:val="-2"/>
        </w:rPr>
        <w:t>Koszty pracy</w:t>
      </w:r>
    </w:p>
    <w:p w14:paraId="320C7A11" w14:textId="77777777" w:rsidR="006701D0" w:rsidRPr="006701D0" w:rsidRDefault="006701D0" w:rsidP="006701D0">
      <w:pPr>
        <w:pStyle w:val="Akapitzlist"/>
        <w:spacing w:line="360" w:lineRule="auto"/>
        <w:ind w:left="1428"/>
        <w:jc w:val="both"/>
        <w:rPr>
          <w:color w:val="000000"/>
          <w:spacing w:val="-2"/>
        </w:rPr>
      </w:pPr>
    </w:p>
    <w:p w14:paraId="153FED05" w14:textId="352F53F0" w:rsidR="00C938B9" w:rsidRDefault="00C938B9" w:rsidP="006701D0">
      <w:pPr>
        <w:spacing w:line="360" w:lineRule="auto"/>
        <w:jc w:val="both"/>
        <w:rPr>
          <w:color w:val="000000"/>
          <w:spacing w:val="-2"/>
        </w:rPr>
      </w:pPr>
      <w:r w:rsidRPr="001673ED">
        <w:rPr>
          <w:color w:val="000000"/>
          <w:spacing w:val="-2"/>
        </w:rPr>
        <w:t>Istotnym czynnikiem różnicującym projekty jest wysokość kosztów pracy na rynkach lokalnych, które w Europie średnio mogą stanowić nawet 30% OVN całego projektu</w:t>
      </w:r>
      <w:r w:rsidR="00C13D50">
        <w:rPr>
          <w:color w:val="000000"/>
          <w:spacing w:val="-2"/>
        </w:rPr>
        <w:t xml:space="preserve"> (BVG </w:t>
      </w:r>
      <w:proofErr w:type="spellStart"/>
      <w:r w:rsidR="00C13D50">
        <w:rPr>
          <w:color w:val="000000"/>
          <w:spacing w:val="-2"/>
        </w:rPr>
        <w:t>Associated</w:t>
      </w:r>
      <w:proofErr w:type="spellEnd"/>
      <w:r w:rsidR="00C13D50">
        <w:rPr>
          <w:color w:val="000000"/>
          <w:spacing w:val="-2"/>
        </w:rPr>
        <w:t xml:space="preserve"> 2019 - </w:t>
      </w:r>
      <w:r w:rsidR="00C13D50" w:rsidRPr="00C13D50">
        <w:rPr>
          <w:color w:val="000000"/>
          <w:spacing w:val="-2"/>
        </w:rPr>
        <w:t xml:space="preserve">Guide to </w:t>
      </w:r>
      <w:proofErr w:type="spellStart"/>
      <w:r w:rsidR="00C13D50" w:rsidRPr="00C13D50">
        <w:rPr>
          <w:color w:val="000000"/>
          <w:spacing w:val="-2"/>
        </w:rPr>
        <w:t>an</w:t>
      </w:r>
      <w:proofErr w:type="spellEnd"/>
      <w:r w:rsidR="00C13D50" w:rsidRPr="00C13D50">
        <w:rPr>
          <w:color w:val="000000"/>
          <w:spacing w:val="-2"/>
        </w:rPr>
        <w:t xml:space="preserve"> </w:t>
      </w:r>
      <w:proofErr w:type="spellStart"/>
      <w:r w:rsidR="00C13D50" w:rsidRPr="00C13D50">
        <w:rPr>
          <w:color w:val="000000"/>
          <w:spacing w:val="-2"/>
        </w:rPr>
        <w:t>Offshore</w:t>
      </w:r>
      <w:proofErr w:type="spellEnd"/>
      <w:r w:rsidR="00C13D50" w:rsidRPr="00C13D50">
        <w:rPr>
          <w:color w:val="000000"/>
          <w:spacing w:val="-2"/>
        </w:rPr>
        <w:t xml:space="preserve"> Wind Farm </w:t>
      </w:r>
      <w:proofErr w:type="spellStart"/>
      <w:r w:rsidR="00C13D50" w:rsidRPr="00C13D50">
        <w:rPr>
          <w:color w:val="000000"/>
          <w:spacing w:val="-2"/>
        </w:rPr>
        <w:t>updated</w:t>
      </w:r>
      <w:proofErr w:type="spellEnd"/>
      <w:r w:rsidR="00C13D50" w:rsidRPr="00C13D50">
        <w:rPr>
          <w:color w:val="000000"/>
          <w:spacing w:val="-2"/>
        </w:rPr>
        <w:t xml:space="preserve"> to </w:t>
      </w:r>
      <w:proofErr w:type="spellStart"/>
      <w:r w:rsidR="00C13D50" w:rsidRPr="00C13D50">
        <w:rPr>
          <w:color w:val="000000"/>
          <w:spacing w:val="-2"/>
        </w:rPr>
        <w:t>help</w:t>
      </w:r>
      <w:proofErr w:type="spellEnd"/>
      <w:r w:rsidR="00C13D50" w:rsidRPr="00C13D50">
        <w:rPr>
          <w:color w:val="000000"/>
          <w:spacing w:val="-2"/>
        </w:rPr>
        <w:t xml:space="preserve"> </w:t>
      </w:r>
      <w:proofErr w:type="spellStart"/>
      <w:r w:rsidR="00C13D50" w:rsidRPr="00C13D50">
        <w:rPr>
          <w:color w:val="000000"/>
          <w:spacing w:val="-2"/>
        </w:rPr>
        <w:t>businesses</w:t>
      </w:r>
      <w:proofErr w:type="spellEnd"/>
      <w:r w:rsidR="00C13D50" w:rsidRPr="00C13D50">
        <w:rPr>
          <w:color w:val="000000"/>
          <w:spacing w:val="-2"/>
        </w:rPr>
        <w:t xml:space="preserve"> </w:t>
      </w:r>
      <w:proofErr w:type="spellStart"/>
      <w:r w:rsidR="00C13D50" w:rsidRPr="00C13D50">
        <w:rPr>
          <w:color w:val="000000"/>
          <w:spacing w:val="-2"/>
        </w:rPr>
        <w:t>access</w:t>
      </w:r>
      <w:proofErr w:type="spellEnd"/>
      <w:r w:rsidR="00C13D50" w:rsidRPr="00C13D50">
        <w:rPr>
          <w:color w:val="000000"/>
          <w:spacing w:val="-2"/>
        </w:rPr>
        <w:t xml:space="preserve"> UK </w:t>
      </w:r>
      <w:proofErr w:type="spellStart"/>
      <w:r w:rsidR="00C13D50" w:rsidRPr="00C13D50">
        <w:rPr>
          <w:color w:val="000000"/>
          <w:spacing w:val="-2"/>
        </w:rPr>
        <w:t>offshore</w:t>
      </w:r>
      <w:proofErr w:type="spellEnd"/>
      <w:r w:rsidR="00C13D50" w:rsidRPr="00C13D50">
        <w:rPr>
          <w:color w:val="000000"/>
          <w:spacing w:val="-2"/>
        </w:rPr>
        <w:t xml:space="preserve"> wind market</w:t>
      </w:r>
      <w:r w:rsidR="00C13D50">
        <w:rPr>
          <w:color w:val="000000"/>
          <w:spacing w:val="-2"/>
        </w:rPr>
        <w:t>)</w:t>
      </w:r>
      <w:r>
        <w:rPr>
          <w:color w:val="000000"/>
          <w:spacing w:val="-2"/>
        </w:rPr>
        <w:t xml:space="preserve">. </w:t>
      </w:r>
      <w:r w:rsidRPr="001673ED">
        <w:rPr>
          <w:color w:val="000000"/>
          <w:spacing w:val="-2"/>
        </w:rPr>
        <w:t>Średnie koszty roboczogodziny w PL (10,7 EUR/MWh) są ponad 2,5 razy niższe niż średnia EU (27,7 EUR/MWh), dlatego wymagana jest korekta kosztów pracy</w:t>
      </w:r>
      <w:r w:rsidR="00C13D50">
        <w:rPr>
          <w:color w:val="000000"/>
          <w:spacing w:val="-2"/>
        </w:rPr>
        <w:t xml:space="preserve"> (dane porównawcze Eurostat)</w:t>
      </w:r>
      <w:r>
        <w:rPr>
          <w:color w:val="000000"/>
          <w:spacing w:val="-2"/>
        </w:rPr>
        <w:t>.</w:t>
      </w:r>
      <w:r w:rsidR="003148B7">
        <w:rPr>
          <w:color w:val="000000"/>
          <w:spacing w:val="-2"/>
        </w:rPr>
        <w:t xml:space="preserve"> W ramach prac Zespołu przyjęto wartości 35% udziału polskich kosztów pracy w koszcie pracy w zakresie przyłącza, morskiej farmy wiatrowej oraz prac utrzymaniowo-remontowych.</w:t>
      </w:r>
    </w:p>
    <w:p w14:paraId="4D116CF1" w14:textId="77777777" w:rsidR="008469F9" w:rsidRPr="001673ED" w:rsidRDefault="008469F9" w:rsidP="006701D0">
      <w:pPr>
        <w:spacing w:line="360" w:lineRule="auto"/>
        <w:jc w:val="both"/>
        <w:rPr>
          <w:color w:val="000000"/>
          <w:spacing w:val="-2"/>
        </w:rPr>
      </w:pPr>
    </w:p>
    <w:p w14:paraId="20F4F968" w14:textId="0ADC84E5" w:rsidR="00C938B9" w:rsidRPr="001F2D01" w:rsidRDefault="00C938B9" w:rsidP="006701D0">
      <w:pPr>
        <w:pStyle w:val="Akapitzlist"/>
        <w:numPr>
          <w:ilvl w:val="0"/>
          <w:numId w:val="27"/>
        </w:numPr>
        <w:spacing w:line="360" w:lineRule="auto"/>
        <w:jc w:val="both"/>
        <w:rPr>
          <w:color w:val="000000"/>
          <w:spacing w:val="-2"/>
        </w:rPr>
      </w:pPr>
      <w:r w:rsidRPr="001F2D01">
        <w:rPr>
          <w:b/>
          <w:bCs/>
          <w:color w:val="000000"/>
          <w:spacing w:val="-2"/>
        </w:rPr>
        <w:t xml:space="preserve">Wskaźniki PL - </w:t>
      </w:r>
      <w:r w:rsidR="00893BC4">
        <w:rPr>
          <w:b/>
          <w:bCs/>
          <w:color w:val="000000"/>
          <w:spacing w:val="-2"/>
        </w:rPr>
        <w:t>skorygowane</w:t>
      </w:r>
    </w:p>
    <w:p w14:paraId="2A7C7A5B" w14:textId="2229E7CD" w:rsidR="00C938B9" w:rsidRPr="001F2D01" w:rsidRDefault="009045C7" w:rsidP="006474D1">
      <w:pPr>
        <w:pStyle w:val="Akapitzlist"/>
        <w:numPr>
          <w:ilvl w:val="0"/>
          <w:numId w:val="36"/>
        </w:numPr>
        <w:spacing w:line="360" w:lineRule="auto"/>
        <w:jc w:val="both"/>
        <w:rPr>
          <w:color w:val="000000"/>
          <w:spacing w:val="-2"/>
        </w:rPr>
      </w:pPr>
      <w:r>
        <w:rPr>
          <w:color w:val="000000"/>
          <w:spacing w:val="-2"/>
        </w:rPr>
        <w:t xml:space="preserve">Obliczenia uwzględniały prognozę przepływów pieniężnych referencyjnej farmy wiatrowej wyrażonych w wartościach nominalnych, </w:t>
      </w:r>
      <w:r w:rsidR="001E0404">
        <w:rPr>
          <w:color w:val="000000"/>
          <w:spacing w:val="-2"/>
        </w:rPr>
        <w:t xml:space="preserve">uwzględniając waloryzację inflacją wyznaczanej </w:t>
      </w:r>
      <w:r>
        <w:rPr>
          <w:color w:val="000000"/>
          <w:spacing w:val="-2"/>
        </w:rPr>
        <w:t xml:space="preserve">ceny </w:t>
      </w:r>
      <w:r w:rsidR="001E0404">
        <w:rPr>
          <w:color w:val="000000"/>
          <w:spacing w:val="-2"/>
        </w:rPr>
        <w:t>referencyjnej</w:t>
      </w:r>
      <w:r>
        <w:rPr>
          <w:color w:val="000000"/>
          <w:spacing w:val="-2"/>
        </w:rPr>
        <w:t xml:space="preserve"> (zgodnie z wymogiem ustawowym)</w:t>
      </w:r>
    </w:p>
    <w:p w14:paraId="046ECB9B" w14:textId="3CAE6D21" w:rsidR="00C938B9" w:rsidRPr="001F2D01" w:rsidRDefault="009045C7" w:rsidP="006474D1">
      <w:pPr>
        <w:pStyle w:val="Akapitzlist"/>
        <w:numPr>
          <w:ilvl w:val="0"/>
          <w:numId w:val="36"/>
        </w:numPr>
        <w:spacing w:line="360" w:lineRule="auto"/>
        <w:jc w:val="both"/>
        <w:rPr>
          <w:color w:val="000000"/>
          <w:spacing w:val="-2"/>
        </w:rPr>
      </w:pPr>
      <w:r>
        <w:rPr>
          <w:color w:val="000000"/>
          <w:spacing w:val="-2"/>
        </w:rPr>
        <w:t xml:space="preserve">Wartość ceny </w:t>
      </w:r>
      <w:r w:rsidR="001E0404">
        <w:rPr>
          <w:color w:val="000000"/>
          <w:spacing w:val="-2"/>
        </w:rPr>
        <w:t xml:space="preserve">referencyjnej </w:t>
      </w:r>
      <w:r>
        <w:rPr>
          <w:color w:val="000000"/>
          <w:spacing w:val="-2"/>
        </w:rPr>
        <w:t xml:space="preserve">wyrażona w cenach stałych </w:t>
      </w:r>
      <w:r w:rsidR="00C938B9" w:rsidRPr="001F2D01">
        <w:rPr>
          <w:color w:val="000000"/>
          <w:spacing w:val="-2"/>
        </w:rPr>
        <w:t>PLN2020</w:t>
      </w:r>
    </w:p>
    <w:p w14:paraId="2985A4EB" w14:textId="52CC6C90" w:rsidR="00C938B9" w:rsidRDefault="00C938B9" w:rsidP="00EE362C">
      <w:pPr>
        <w:spacing w:line="360" w:lineRule="auto"/>
        <w:jc w:val="both"/>
        <w:rPr>
          <w:color w:val="000000"/>
          <w:spacing w:val="-2"/>
        </w:rPr>
      </w:pPr>
    </w:p>
    <w:p w14:paraId="143F7630" w14:textId="77777777" w:rsidR="00EE362C" w:rsidRPr="007D0A2F" w:rsidRDefault="00EE362C" w:rsidP="00EE362C">
      <w:pPr>
        <w:spacing w:line="360" w:lineRule="auto"/>
        <w:ind w:firstLine="567"/>
        <w:jc w:val="both"/>
        <w:rPr>
          <w:color w:val="000000"/>
          <w:spacing w:val="-2"/>
        </w:rPr>
      </w:pPr>
      <w:r w:rsidRPr="007D0A2F">
        <w:rPr>
          <w:color w:val="000000"/>
          <w:spacing w:val="-2"/>
        </w:rPr>
        <w:t xml:space="preserve">Zgodnie z zapisami ustawy wielkość wsparcia dla MFW to iloczyn 100 000 godzin i mocy zainstalowanej morskiej farmy wiatrowej przez max. 25 lat. Opierając się na zapisach ustawowych Zespół określił średni okres produkcji energii w morskiej farmie wiatrowej na </w:t>
      </w:r>
      <w:r w:rsidRPr="007D0A2F">
        <w:rPr>
          <w:color w:val="000000"/>
          <w:spacing w:val="-2"/>
        </w:rPr>
        <w:lastRenderedPageBreak/>
        <w:t xml:space="preserve">poziomie 4 000 h pracy rocznie. Po przeliczeniu daje to współczynnik wykorzystania mocy na poziomie 45,7%. </w:t>
      </w:r>
    </w:p>
    <w:p w14:paraId="076DA429" w14:textId="77777777" w:rsidR="00EE362C" w:rsidRPr="00026FC3" w:rsidRDefault="00EE362C" w:rsidP="00026FC3">
      <w:pPr>
        <w:spacing w:line="360" w:lineRule="auto"/>
        <w:jc w:val="both"/>
        <w:rPr>
          <w:color w:val="000000"/>
          <w:spacing w:val="-2"/>
        </w:rPr>
      </w:pPr>
    </w:p>
    <w:p w14:paraId="318A7D4E" w14:textId="15044447" w:rsidR="00C938B9" w:rsidRPr="00DF34DE" w:rsidRDefault="00C938B9" w:rsidP="006701D0">
      <w:pPr>
        <w:spacing w:line="360" w:lineRule="auto"/>
        <w:jc w:val="both"/>
      </w:pPr>
      <w:r w:rsidRPr="00DF34DE">
        <w:rPr>
          <w:b/>
          <w:bCs/>
        </w:rPr>
        <w:t>Art. 25 ust. 2 pkt 1: koszty operacyjne</w:t>
      </w:r>
      <w:r w:rsidRPr="00DF34DE">
        <w:t xml:space="preserve"> oraz dodatkowe koszty inwestycyjne ponoszone w</w:t>
      </w:r>
      <w:r w:rsidR="008B7547">
        <w:t> </w:t>
      </w:r>
      <w:r w:rsidRPr="00DF34DE">
        <w:t>okresie eksploatacji, w którym wytwórcy będą korzystać z prawa do pokrycia ujemnego salda;</w:t>
      </w:r>
    </w:p>
    <w:tbl>
      <w:tblPr>
        <w:tblStyle w:val="Tabela-Siatka"/>
        <w:tblW w:w="0" w:type="auto"/>
        <w:tblLook w:val="04A0" w:firstRow="1" w:lastRow="0" w:firstColumn="1" w:lastColumn="0" w:noHBand="0" w:noVBand="1"/>
      </w:tblPr>
      <w:tblGrid>
        <w:gridCol w:w="2121"/>
        <w:gridCol w:w="1700"/>
        <w:gridCol w:w="1696"/>
        <w:gridCol w:w="1913"/>
        <w:gridCol w:w="1614"/>
      </w:tblGrid>
      <w:tr w:rsidR="00C938B9" w:rsidRPr="00DF34DE" w14:paraId="78589955" w14:textId="77777777" w:rsidTr="00026FC3">
        <w:tc>
          <w:tcPr>
            <w:tcW w:w="2121" w:type="dxa"/>
          </w:tcPr>
          <w:p w14:paraId="1322BFD0" w14:textId="77777777" w:rsidR="00C938B9" w:rsidRPr="00DF34DE" w:rsidRDefault="00C938B9" w:rsidP="006701D0">
            <w:pPr>
              <w:spacing w:line="360" w:lineRule="auto"/>
              <w:jc w:val="both"/>
            </w:pPr>
          </w:p>
        </w:tc>
        <w:tc>
          <w:tcPr>
            <w:tcW w:w="1700" w:type="dxa"/>
          </w:tcPr>
          <w:p w14:paraId="372556A5" w14:textId="77777777" w:rsidR="00C938B9" w:rsidRPr="00DF34DE" w:rsidRDefault="00C938B9" w:rsidP="006701D0">
            <w:pPr>
              <w:spacing w:line="360" w:lineRule="auto"/>
              <w:jc w:val="center"/>
            </w:pPr>
            <w:r w:rsidRPr="00DF34DE">
              <w:t>jednostka</w:t>
            </w:r>
          </w:p>
        </w:tc>
        <w:tc>
          <w:tcPr>
            <w:tcW w:w="1696" w:type="dxa"/>
          </w:tcPr>
          <w:p w14:paraId="2E79C7BE" w14:textId="77777777" w:rsidR="00C938B9" w:rsidRPr="00DF34DE" w:rsidRDefault="00C938B9" w:rsidP="006701D0">
            <w:pPr>
              <w:spacing w:line="360" w:lineRule="auto"/>
              <w:jc w:val="center"/>
            </w:pPr>
            <w:r w:rsidRPr="00DF34DE">
              <w:t>2026</w:t>
            </w:r>
          </w:p>
        </w:tc>
        <w:tc>
          <w:tcPr>
            <w:tcW w:w="1913" w:type="dxa"/>
          </w:tcPr>
          <w:p w14:paraId="10F088A9" w14:textId="77777777" w:rsidR="00C938B9" w:rsidRPr="00DF34DE" w:rsidRDefault="00C938B9" w:rsidP="006701D0">
            <w:pPr>
              <w:spacing w:line="360" w:lineRule="auto"/>
              <w:jc w:val="center"/>
            </w:pPr>
            <w:r w:rsidRPr="00DF34DE">
              <w:t>2027</w:t>
            </w:r>
          </w:p>
        </w:tc>
        <w:tc>
          <w:tcPr>
            <w:tcW w:w="1614" w:type="dxa"/>
          </w:tcPr>
          <w:p w14:paraId="76B77D8E" w14:textId="77777777" w:rsidR="00C938B9" w:rsidRPr="00DF34DE" w:rsidRDefault="00C938B9" w:rsidP="006701D0">
            <w:pPr>
              <w:spacing w:line="360" w:lineRule="auto"/>
              <w:jc w:val="center"/>
            </w:pPr>
            <w:r w:rsidRPr="00DF34DE">
              <w:t>2028</w:t>
            </w:r>
          </w:p>
        </w:tc>
      </w:tr>
      <w:tr w:rsidR="00C938B9" w:rsidRPr="00DF34DE" w14:paraId="6B72E8C0" w14:textId="77777777" w:rsidTr="00026FC3">
        <w:tc>
          <w:tcPr>
            <w:tcW w:w="2121" w:type="dxa"/>
            <w:vAlign w:val="center"/>
          </w:tcPr>
          <w:p w14:paraId="79FF4FAE" w14:textId="490B4A84" w:rsidR="00C938B9" w:rsidRPr="00DF34DE" w:rsidRDefault="00C938B9" w:rsidP="006701D0">
            <w:pPr>
              <w:spacing w:line="360" w:lineRule="auto"/>
            </w:pPr>
            <w:r w:rsidRPr="00DF34DE">
              <w:t xml:space="preserve">FOM – </w:t>
            </w:r>
            <w:r w:rsidR="006B2CA9">
              <w:t>koszty operacyjne stałe</w:t>
            </w:r>
          </w:p>
        </w:tc>
        <w:tc>
          <w:tcPr>
            <w:tcW w:w="1700" w:type="dxa"/>
            <w:vAlign w:val="center"/>
          </w:tcPr>
          <w:p w14:paraId="52A0C583" w14:textId="77777777" w:rsidR="00C938B9" w:rsidRPr="00DF34DE" w:rsidRDefault="00C938B9" w:rsidP="006701D0">
            <w:pPr>
              <w:spacing w:line="360" w:lineRule="auto"/>
              <w:jc w:val="center"/>
            </w:pPr>
            <w:r w:rsidRPr="00DF34DE">
              <w:t>mln PLN/MW/rok</w:t>
            </w:r>
          </w:p>
        </w:tc>
        <w:tc>
          <w:tcPr>
            <w:tcW w:w="1696" w:type="dxa"/>
            <w:vAlign w:val="center"/>
          </w:tcPr>
          <w:p w14:paraId="7CC623CE" w14:textId="51369600" w:rsidR="00C938B9" w:rsidRPr="00DF34DE" w:rsidRDefault="00C938B9" w:rsidP="006701D0">
            <w:pPr>
              <w:spacing w:line="360" w:lineRule="auto"/>
              <w:jc w:val="center"/>
            </w:pPr>
            <w:r w:rsidRPr="00DF34DE">
              <w:t>0,30</w:t>
            </w:r>
            <w:r w:rsidR="006B2CA9">
              <w:t>2</w:t>
            </w:r>
          </w:p>
        </w:tc>
        <w:tc>
          <w:tcPr>
            <w:tcW w:w="1913" w:type="dxa"/>
            <w:vAlign w:val="center"/>
          </w:tcPr>
          <w:p w14:paraId="58588148" w14:textId="362554FE" w:rsidR="00C938B9" w:rsidRPr="00DF34DE" w:rsidRDefault="00C938B9" w:rsidP="006701D0">
            <w:pPr>
              <w:spacing w:line="360" w:lineRule="auto"/>
              <w:jc w:val="center"/>
            </w:pPr>
            <w:r w:rsidRPr="00DF34DE">
              <w:t>0,29</w:t>
            </w:r>
            <w:r w:rsidR="006B2CA9">
              <w:t>0</w:t>
            </w:r>
          </w:p>
        </w:tc>
        <w:tc>
          <w:tcPr>
            <w:tcW w:w="1614" w:type="dxa"/>
            <w:vAlign w:val="center"/>
          </w:tcPr>
          <w:p w14:paraId="56649347" w14:textId="513A69B1" w:rsidR="00C938B9" w:rsidRPr="00DF34DE" w:rsidRDefault="00C938B9" w:rsidP="006701D0">
            <w:pPr>
              <w:spacing w:line="360" w:lineRule="auto"/>
              <w:jc w:val="center"/>
            </w:pPr>
            <w:r w:rsidRPr="00DF34DE">
              <w:t>0,2</w:t>
            </w:r>
            <w:r w:rsidR="006B2CA9">
              <w:t>79</w:t>
            </w:r>
          </w:p>
        </w:tc>
      </w:tr>
    </w:tbl>
    <w:p w14:paraId="38F5D744" w14:textId="77777777" w:rsidR="00C938B9" w:rsidRDefault="00C938B9" w:rsidP="006701D0">
      <w:pPr>
        <w:spacing w:line="360" w:lineRule="auto"/>
        <w:jc w:val="both"/>
      </w:pPr>
    </w:p>
    <w:p w14:paraId="4A5025D7" w14:textId="77777777" w:rsidR="00C938B9" w:rsidRPr="00DF34DE" w:rsidRDefault="00C938B9" w:rsidP="006701D0">
      <w:pPr>
        <w:spacing w:line="360" w:lineRule="auto"/>
        <w:jc w:val="both"/>
      </w:pPr>
      <w:r w:rsidRPr="00DF34DE">
        <w:t>Składowe poniżej nie zawierają się w przedstawionych parametrach FOM. Doliczane są dodatkowo do OPEX jako koszty dodatkowe poza kosztami eksploatacji, serwisów i remontów.</w:t>
      </w:r>
      <w:r w:rsidRPr="001673ED">
        <w:t xml:space="preserve"> Wielkość FOM (OPEX) MFW jest silnie uzależniona od odległości MFW od brzegu, wpływającej na koszty transportu i pracy (dłuższy czas załogi na wodzie)</w:t>
      </w:r>
      <w:r>
        <w:t>.</w:t>
      </w:r>
    </w:p>
    <w:p w14:paraId="4D484D93" w14:textId="7302678F" w:rsidR="00C938B9" w:rsidRDefault="008B7547" w:rsidP="00310A6B">
      <w:pPr>
        <w:pStyle w:val="Akapitzlist"/>
        <w:numPr>
          <w:ilvl w:val="0"/>
          <w:numId w:val="37"/>
        </w:numPr>
        <w:spacing w:line="360" w:lineRule="auto"/>
        <w:jc w:val="both"/>
      </w:pPr>
      <w:r w:rsidRPr="00310A6B">
        <w:rPr>
          <w:b/>
          <w:bCs/>
        </w:rPr>
        <w:t>Dodatkowa opłata od wytwarzania energii elektrycznej w morskich farmach wiatrowych (składnik opłaty koncesyjnej)</w:t>
      </w:r>
      <w:r w:rsidR="00C938B9" w:rsidRPr="00DF34DE">
        <w:t xml:space="preserve"> – 0,023 mln PLN/MW/rok</w:t>
      </w:r>
    </w:p>
    <w:p w14:paraId="24441F87" w14:textId="372E1C8C" w:rsidR="00C938B9" w:rsidRPr="00DF34DE" w:rsidRDefault="00C938B9" w:rsidP="00310A6B">
      <w:pPr>
        <w:pStyle w:val="Akapitzlist"/>
        <w:numPr>
          <w:ilvl w:val="0"/>
          <w:numId w:val="37"/>
        </w:numPr>
        <w:spacing w:line="360" w:lineRule="auto"/>
        <w:jc w:val="both"/>
      </w:pPr>
      <w:r w:rsidRPr="001F2979">
        <w:rPr>
          <w:b/>
          <w:bCs/>
        </w:rPr>
        <w:t xml:space="preserve">Opłaty za </w:t>
      </w:r>
      <w:r w:rsidR="006474D1" w:rsidRPr="001F2979">
        <w:rPr>
          <w:b/>
          <w:bCs/>
        </w:rPr>
        <w:t>pozwolenie na wznoszenie sztucznych wysp (PSZW)</w:t>
      </w:r>
      <w:r w:rsidRPr="00DF34DE">
        <w:t xml:space="preserve"> - </w:t>
      </w:r>
      <w:r w:rsidR="008B7547">
        <w:t>c</w:t>
      </w:r>
      <w:r w:rsidRPr="00DF34DE">
        <w:t>ałkowita opłata za</w:t>
      </w:r>
      <w:r>
        <w:t xml:space="preserve"> </w:t>
      </w:r>
      <w:r w:rsidRPr="00DF34DE">
        <w:t>PS</w:t>
      </w:r>
      <w:r>
        <w:t>Z</w:t>
      </w:r>
      <w:r w:rsidRPr="00DF34DE">
        <w:t>W liczona jako 1% prognozowanej wielkości nakładów inwestycyjnych. W zakres OPEX wchodzą III i IV rata opłaty za PS</w:t>
      </w:r>
      <w:r>
        <w:t>Z</w:t>
      </w:r>
      <w:r w:rsidRPr="00DF34DE">
        <w:t>W ponoszone po rozpoczęciu eksploatacji MFW, obejmujące razem 60% całkowitej opłaty.</w:t>
      </w:r>
    </w:p>
    <w:p w14:paraId="40FDF3A4" w14:textId="5096E2CE" w:rsidR="00C938B9" w:rsidRDefault="00C938B9" w:rsidP="00310A6B">
      <w:pPr>
        <w:pStyle w:val="Akapitzlist"/>
        <w:numPr>
          <w:ilvl w:val="0"/>
          <w:numId w:val="37"/>
        </w:numPr>
        <w:spacing w:line="360" w:lineRule="auto"/>
      </w:pPr>
      <w:r w:rsidRPr="00EE2132">
        <w:rPr>
          <w:rStyle w:val="Ppogrubienie"/>
        </w:rPr>
        <w:t>Koszty bilansowania</w:t>
      </w:r>
      <w:r w:rsidRPr="00DF34DE">
        <w:t xml:space="preserve"> – 0 PLN/MWh</w:t>
      </w:r>
    </w:p>
    <w:p w14:paraId="6978B1DE" w14:textId="0E690319" w:rsidR="00C938B9" w:rsidRPr="00DF34DE" w:rsidRDefault="00C938B9" w:rsidP="00310A6B">
      <w:pPr>
        <w:pStyle w:val="Akapitzlist"/>
        <w:numPr>
          <w:ilvl w:val="0"/>
          <w:numId w:val="37"/>
        </w:numPr>
        <w:spacing w:line="360" w:lineRule="auto"/>
        <w:jc w:val="both"/>
      </w:pPr>
      <w:r w:rsidRPr="00EE2132">
        <w:rPr>
          <w:rStyle w:val="Ppogrubienie"/>
        </w:rPr>
        <w:t>Koszty amortyzacji</w:t>
      </w:r>
      <w:r w:rsidRPr="00DF34DE">
        <w:t xml:space="preserve"> </w:t>
      </w:r>
      <w:r w:rsidRPr="001F2979">
        <w:rPr>
          <w:i/>
          <w:iCs/>
        </w:rPr>
        <w:t xml:space="preserve">– </w:t>
      </w:r>
      <w:r w:rsidRPr="00DF34DE">
        <w:t>przyjęto metodę amortyzacji liniowej; stała wartość roczn</w:t>
      </w:r>
      <w:r w:rsidR="006B2CA9">
        <w:t>ej</w:t>
      </w:r>
      <w:r w:rsidRPr="00DF34DE">
        <w:t xml:space="preserve"> stawki </w:t>
      </w:r>
      <w:r w:rsidR="006B2CA9">
        <w:t>amortyzacyjnej</w:t>
      </w:r>
      <w:r w:rsidRPr="00DF34DE">
        <w:t xml:space="preserve"> = skumulowane nakłady inwestycyjne projektu/okres amortyzacji podatkowej wyrażony w latach</w:t>
      </w:r>
    </w:p>
    <w:p w14:paraId="564C82F0" w14:textId="77777777" w:rsidR="00C938B9" w:rsidRPr="00DF34DE" w:rsidRDefault="00C938B9" w:rsidP="006701D0">
      <w:pPr>
        <w:pStyle w:val="Akapitzlist"/>
        <w:spacing w:line="360" w:lineRule="auto"/>
        <w:jc w:val="both"/>
      </w:pPr>
    </w:p>
    <w:p w14:paraId="7A8AB2CB" w14:textId="631C4A32" w:rsidR="00C938B9" w:rsidRDefault="00C938B9" w:rsidP="006701D0">
      <w:pPr>
        <w:spacing w:line="360" w:lineRule="auto"/>
        <w:jc w:val="both"/>
      </w:pPr>
      <w:r w:rsidRPr="00DF34DE">
        <w:rPr>
          <w:b/>
          <w:bCs/>
        </w:rPr>
        <w:t>Art. 25 ust. 2 pkt 2: koszty inwestycyjne</w:t>
      </w:r>
      <w:r w:rsidRPr="00DF34DE">
        <w:t xml:space="preserve"> ponoszone w okresie przygotowania projektu i</w:t>
      </w:r>
      <w:r w:rsidR="006B3947">
        <w:t> </w:t>
      </w:r>
      <w:r w:rsidRPr="00DF34DE">
        <w:t>budowy morskiej farmy wiatrowej wraz z niezbędną infrastrukturą techniczną oraz zespołem urządzeń służących do wyprowadzenia mocy, a także koszty całkowitej likwidacji morskiej farmy wiatrowej wraz z zespołem urządzeń służących do wyprowadzenia mocy, po zakończeniu jej eksploatacji;</w:t>
      </w:r>
    </w:p>
    <w:p w14:paraId="4F5759EC" w14:textId="77777777" w:rsidR="006474D1" w:rsidRPr="00DF34DE" w:rsidRDefault="006474D1" w:rsidP="006701D0">
      <w:pPr>
        <w:spacing w:line="360" w:lineRule="auto"/>
        <w:jc w:val="both"/>
      </w:pPr>
    </w:p>
    <w:tbl>
      <w:tblPr>
        <w:tblStyle w:val="Tabela-Siatka"/>
        <w:tblW w:w="0" w:type="auto"/>
        <w:tblLook w:val="04A0" w:firstRow="1" w:lastRow="0" w:firstColumn="1" w:lastColumn="0" w:noHBand="0" w:noVBand="1"/>
      </w:tblPr>
      <w:tblGrid>
        <w:gridCol w:w="2262"/>
        <w:gridCol w:w="1417"/>
        <w:gridCol w:w="1837"/>
        <w:gridCol w:w="1913"/>
        <w:gridCol w:w="1615"/>
      </w:tblGrid>
      <w:tr w:rsidR="00C938B9" w:rsidRPr="00DF34DE" w14:paraId="0076A422" w14:textId="77777777" w:rsidTr="00026FC3">
        <w:tc>
          <w:tcPr>
            <w:tcW w:w="2262" w:type="dxa"/>
          </w:tcPr>
          <w:p w14:paraId="35FA0C82" w14:textId="77777777" w:rsidR="00C938B9" w:rsidRPr="00DF34DE" w:rsidRDefault="00C938B9" w:rsidP="006701D0">
            <w:pPr>
              <w:spacing w:line="360" w:lineRule="auto"/>
              <w:jc w:val="both"/>
            </w:pPr>
          </w:p>
        </w:tc>
        <w:tc>
          <w:tcPr>
            <w:tcW w:w="1417" w:type="dxa"/>
          </w:tcPr>
          <w:p w14:paraId="54BEAD51" w14:textId="77777777" w:rsidR="00C938B9" w:rsidRPr="00DF34DE" w:rsidRDefault="00C938B9" w:rsidP="006701D0">
            <w:pPr>
              <w:spacing w:line="360" w:lineRule="auto"/>
              <w:jc w:val="center"/>
            </w:pPr>
            <w:r w:rsidRPr="00DF34DE">
              <w:t>jednostka</w:t>
            </w:r>
          </w:p>
        </w:tc>
        <w:tc>
          <w:tcPr>
            <w:tcW w:w="1837" w:type="dxa"/>
          </w:tcPr>
          <w:p w14:paraId="320BF151" w14:textId="77777777" w:rsidR="00C938B9" w:rsidRPr="00DF34DE" w:rsidRDefault="00C938B9" w:rsidP="006701D0">
            <w:pPr>
              <w:spacing w:line="360" w:lineRule="auto"/>
              <w:jc w:val="center"/>
            </w:pPr>
            <w:r w:rsidRPr="00DF34DE">
              <w:t>2026</w:t>
            </w:r>
          </w:p>
        </w:tc>
        <w:tc>
          <w:tcPr>
            <w:tcW w:w="1913" w:type="dxa"/>
          </w:tcPr>
          <w:p w14:paraId="0F3571B1" w14:textId="77777777" w:rsidR="00C938B9" w:rsidRPr="00DF34DE" w:rsidRDefault="00C938B9" w:rsidP="006701D0">
            <w:pPr>
              <w:spacing w:line="360" w:lineRule="auto"/>
              <w:jc w:val="center"/>
            </w:pPr>
            <w:r w:rsidRPr="00DF34DE">
              <w:t>2027</w:t>
            </w:r>
          </w:p>
        </w:tc>
        <w:tc>
          <w:tcPr>
            <w:tcW w:w="1615" w:type="dxa"/>
          </w:tcPr>
          <w:p w14:paraId="10574ECC" w14:textId="77777777" w:rsidR="00C938B9" w:rsidRPr="00DF34DE" w:rsidRDefault="00C938B9" w:rsidP="006701D0">
            <w:pPr>
              <w:spacing w:line="360" w:lineRule="auto"/>
              <w:jc w:val="center"/>
            </w:pPr>
            <w:r w:rsidRPr="00DF34DE">
              <w:t>2028</w:t>
            </w:r>
          </w:p>
        </w:tc>
      </w:tr>
      <w:tr w:rsidR="00C938B9" w:rsidRPr="00DF34DE" w14:paraId="62179B2F" w14:textId="77777777" w:rsidTr="00026FC3">
        <w:tc>
          <w:tcPr>
            <w:tcW w:w="9044" w:type="dxa"/>
            <w:gridSpan w:val="5"/>
          </w:tcPr>
          <w:p w14:paraId="62834C6B" w14:textId="77777777" w:rsidR="00C938B9" w:rsidRPr="00DF34DE" w:rsidRDefault="00C938B9" w:rsidP="006701D0">
            <w:pPr>
              <w:spacing w:line="360" w:lineRule="auto"/>
              <w:jc w:val="center"/>
            </w:pPr>
            <w:r w:rsidRPr="00DF34DE">
              <w:lastRenderedPageBreak/>
              <w:t>Wartości średnie przyjęte przez zespół</w:t>
            </w:r>
          </w:p>
        </w:tc>
      </w:tr>
      <w:tr w:rsidR="00C938B9" w:rsidRPr="00DF34DE" w14:paraId="19D1E94B" w14:textId="77777777" w:rsidTr="00026FC3">
        <w:tc>
          <w:tcPr>
            <w:tcW w:w="2262" w:type="dxa"/>
          </w:tcPr>
          <w:p w14:paraId="3EA9381C" w14:textId="77777777" w:rsidR="00C938B9" w:rsidRPr="00DF34DE" w:rsidRDefault="00C938B9" w:rsidP="006701D0">
            <w:pPr>
              <w:spacing w:line="360" w:lineRule="auto"/>
              <w:jc w:val="both"/>
            </w:pPr>
            <w:r w:rsidRPr="00DF34DE">
              <w:t xml:space="preserve">CAPEX łącznie </w:t>
            </w:r>
          </w:p>
        </w:tc>
        <w:tc>
          <w:tcPr>
            <w:tcW w:w="1417" w:type="dxa"/>
          </w:tcPr>
          <w:p w14:paraId="7CDA626F" w14:textId="77777777" w:rsidR="00C938B9" w:rsidRPr="00DF34DE" w:rsidRDefault="00C938B9" w:rsidP="006701D0">
            <w:pPr>
              <w:spacing w:line="360" w:lineRule="auto"/>
              <w:jc w:val="center"/>
            </w:pPr>
            <w:r w:rsidRPr="00DF34DE">
              <w:t>mln PLN/MW</w:t>
            </w:r>
          </w:p>
        </w:tc>
        <w:tc>
          <w:tcPr>
            <w:tcW w:w="1837" w:type="dxa"/>
          </w:tcPr>
          <w:p w14:paraId="60FF3B7A" w14:textId="77777777" w:rsidR="00C938B9" w:rsidRPr="00DF34DE" w:rsidRDefault="00C938B9" w:rsidP="006701D0">
            <w:pPr>
              <w:spacing w:line="360" w:lineRule="auto"/>
              <w:jc w:val="center"/>
            </w:pPr>
            <w:r w:rsidRPr="00DF34DE">
              <w:t>11,37</w:t>
            </w:r>
          </w:p>
        </w:tc>
        <w:tc>
          <w:tcPr>
            <w:tcW w:w="1913" w:type="dxa"/>
          </w:tcPr>
          <w:p w14:paraId="3A999A9A" w14:textId="77777777" w:rsidR="00C938B9" w:rsidRPr="00DF34DE" w:rsidRDefault="00C938B9" w:rsidP="006701D0">
            <w:pPr>
              <w:spacing w:line="360" w:lineRule="auto"/>
              <w:jc w:val="center"/>
            </w:pPr>
            <w:r w:rsidRPr="00DF34DE">
              <w:t>11,01</w:t>
            </w:r>
          </w:p>
        </w:tc>
        <w:tc>
          <w:tcPr>
            <w:tcW w:w="1615" w:type="dxa"/>
          </w:tcPr>
          <w:p w14:paraId="31CCD346" w14:textId="77777777" w:rsidR="00C938B9" w:rsidRPr="00DF34DE" w:rsidRDefault="00C938B9" w:rsidP="006701D0">
            <w:pPr>
              <w:spacing w:line="360" w:lineRule="auto"/>
              <w:jc w:val="center"/>
            </w:pPr>
            <w:r w:rsidRPr="00DF34DE">
              <w:t>10,68</w:t>
            </w:r>
          </w:p>
        </w:tc>
      </w:tr>
      <w:tr w:rsidR="00C938B9" w:rsidRPr="00DF34DE" w14:paraId="4713C1BC" w14:textId="77777777" w:rsidTr="00026FC3">
        <w:tc>
          <w:tcPr>
            <w:tcW w:w="2262" w:type="dxa"/>
          </w:tcPr>
          <w:p w14:paraId="24EF92F4" w14:textId="77777777" w:rsidR="00C938B9" w:rsidRPr="00DF34DE" w:rsidRDefault="00C938B9" w:rsidP="006701D0">
            <w:pPr>
              <w:spacing w:line="360" w:lineRule="auto"/>
              <w:jc w:val="both"/>
            </w:pPr>
            <w:r w:rsidRPr="00DF34DE">
              <w:t>Koszt likwidacji</w:t>
            </w:r>
          </w:p>
        </w:tc>
        <w:tc>
          <w:tcPr>
            <w:tcW w:w="1417" w:type="dxa"/>
          </w:tcPr>
          <w:p w14:paraId="15E550AB" w14:textId="77777777" w:rsidR="00C938B9" w:rsidRPr="00DF34DE" w:rsidRDefault="00C938B9" w:rsidP="006701D0">
            <w:pPr>
              <w:spacing w:line="360" w:lineRule="auto"/>
              <w:jc w:val="center"/>
            </w:pPr>
            <w:r w:rsidRPr="00DF34DE">
              <w:t>mln PLN/MW</w:t>
            </w:r>
          </w:p>
        </w:tc>
        <w:tc>
          <w:tcPr>
            <w:tcW w:w="1837" w:type="dxa"/>
          </w:tcPr>
          <w:p w14:paraId="1954622D" w14:textId="77777777" w:rsidR="00C938B9" w:rsidRPr="00DF34DE" w:rsidRDefault="00C938B9" w:rsidP="006701D0">
            <w:pPr>
              <w:spacing w:line="360" w:lineRule="auto"/>
              <w:jc w:val="center"/>
            </w:pPr>
            <w:r w:rsidRPr="00DF34DE">
              <w:t>0,220</w:t>
            </w:r>
          </w:p>
        </w:tc>
        <w:tc>
          <w:tcPr>
            <w:tcW w:w="1913" w:type="dxa"/>
          </w:tcPr>
          <w:p w14:paraId="554718B6" w14:textId="6DA88E33" w:rsidR="00C938B9" w:rsidRPr="00DF34DE" w:rsidRDefault="00C938B9" w:rsidP="006701D0">
            <w:pPr>
              <w:spacing w:line="360" w:lineRule="auto"/>
              <w:jc w:val="center"/>
            </w:pPr>
            <w:r w:rsidRPr="00DF34DE">
              <w:t>0,21</w:t>
            </w:r>
            <w:r w:rsidR="006B2CA9">
              <w:t>2</w:t>
            </w:r>
          </w:p>
        </w:tc>
        <w:tc>
          <w:tcPr>
            <w:tcW w:w="1615" w:type="dxa"/>
          </w:tcPr>
          <w:p w14:paraId="238BD915" w14:textId="76643C9A" w:rsidR="00C938B9" w:rsidRPr="00DF34DE" w:rsidRDefault="00C938B9" w:rsidP="006701D0">
            <w:pPr>
              <w:spacing w:line="360" w:lineRule="auto"/>
              <w:jc w:val="center"/>
            </w:pPr>
            <w:r w:rsidRPr="00DF34DE">
              <w:t>0,20</w:t>
            </w:r>
            <w:r w:rsidR="006B2CA9">
              <w:t>4</w:t>
            </w:r>
          </w:p>
        </w:tc>
      </w:tr>
    </w:tbl>
    <w:p w14:paraId="60EA2B36" w14:textId="77777777" w:rsidR="00C938B9" w:rsidRPr="00DF34DE" w:rsidRDefault="00C938B9" w:rsidP="006701D0">
      <w:pPr>
        <w:spacing w:line="360" w:lineRule="auto"/>
        <w:jc w:val="both"/>
      </w:pPr>
    </w:p>
    <w:p w14:paraId="1288A118" w14:textId="51BF6DE1" w:rsidR="00C938B9" w:rsidRDefault="00C938B9" w:rsidP="006701D0">
      <w:pPr>
        <w:spacing w:line="360" w:lineRule="auto"/>
        <w:jc w:val="both"/>
      </w:pPr>
      <w:r w:rsidRPr="00DF34DE">
        <w:rPr>
          <w:b/>
          <w:bCs/>
        </w:rPr>
        <w:t>Op</w:t>
      </w:r>
      <w:r>
        <w:rPr>
          <w:b/>
          <w:bCs/>
        </w:rPr>
        <w:t>ł</w:t>
      </w:r>
      <w:r w:rsidRPr="00DF34DE">
        <w:rPr>
          <w:b/>
          <w:bCs/>
        </w:rPr>
        <w:t>aty za PS</w:t>
      </w:r>
      <w:r>
        <w:rPr>
          <w:b/>
          <w:bCs/>
        </w:rPr>
        <w:t>Z</w:t>
      </w:r>
      <w:r w:rsidRPr="00DF34DE">
        <w:rPr>
          <w:b/>
          <w:bCs/>
        </w:rPr>
        <w:t>W</w:t>
      </w:r>
      <w:r w:rsidRPr="00DF34DE">
        <w:t xml:space="preserve"> - Całkowita opłata za PS</w:t>
      </w:r>
      <w:r>
        <w:t>Z</w:t>
      </w:r>
      <w:r w:rsidRPr="00DF34DE">
        <w:t xml:space="preserve">W liczona jako 1% prognozowanej wielkości nakładów inwestycyjnych. W zakres </w:t>
      </w:r>
      <w:r w:rsidR="006B2CA9">
        <w:t>CAPEX</w:t>
      </w:r>
      <w:r>
        <w:t xml:space="preserve"> </w:t>
      </w:r>
      <w:r w:rsidRPr="00DF34DE">
        <w:t xml:space="preserve">wchodzą I </w:t>
      </w:r>
      <w:proofErr w:type="spellStart"/>
      <w:r w:rsidRPr="00DF34DE">
        <w:t>i</w:t>
      </w:r>
      <w:proofErr w:type="spellEnd"/>
      <w:r w:rsidRPr="00DF34DE">
        <w:t xml:space="preserve"> II rata opłaty za PS</w:t>
      </w:r>
      <w:r>
        <w:t>Z</w:t>
      </w:r>
      <w:r w:rsidRPr="00DF34DE">
        <w:t>W ponoszone przed rozpoczęciem eksploatacji MFW, obejmujące razem 40% całkowitej opłaty.</w:t>
      </w:r>
    </w:p>
    <w:p w14:paraId="37E72D6D" w14:textId="77777777" w:rsidR="001F2979" w:rsidRDefault="001F2979" w:rsidP="006701D0">
      <w:pPr>
        <w:spacing w:line="360" w:lineRule="auto"/>
        <w:jc w:val="both"/>
      </w:pPr>
    </w:p>
    <w:p w14:paraId="1E98CD78" w14:textId="15600EAA" w:rsidR="00C938B9" w:rsidRDefault="00817A73" w:rsidP="006701D0">
      <w:pPr>
        <w:spacing w:line="360" w:lineRule="auto"/>
        <w:jc w:val="both"/>
      </w:pPr>
      <w:r w:rsidRPr="00817A73">
        <w:t>Istotnym elementem wpływającym na ostateczny koszt inwestycji, które mają być realizowane w polskiej wyłącznej stref</w:t>
      </w:r>
      <w:r w:rsidR="0008614F">
        <w:t>ie</w:t>
      </w:r>
      <w:r w:rsidRPr="00817A73">
        <w:t xml:space="preserve"> ekonomicznej Morza Bałtyckiego, wyróżniającym polskie projekty od tych realizowanych w Europie Zachodniej</w:t>
      </w:r>
      <w:r w:rsidR="0008614F">
        <w:t>,</w:t>
      </w:r>
      <w:r w:rsidRPr="00817A73">
        <w:t xml:space="preserve"> jest m.in. odpowiedzialność za budowę przyłącza i wyprowadzenia mocy z morskich farm wiatrowych. Według raportów IEA koszt ten stanowi średnio 20-30% orientacyjnego kosztu budowy morskich farm wiatrowych, ze względu na finansowanie stacji transformatorowych na prąd zmienny </w:t>
      </w:r>
      <w:r w:rsidR="001F16EB">
        <w:t>(</w:t>
      </w:r>
      <w:r w:rsidRPr="00817A73">
        <w:t>HVAC</w:t>
      </w:r>
      <w:r w:rsidR="001F16EB">
        <w:t>)</w:t>
      </w:r>
      <w:r w:rsidRPr="00817A73">
        <w:t xml:space="preserve"> lub prąd stały </w:t>
      </w:r>
      <w:r w:rsidR="001F16EB">
        <w:t>(</w:t>
      </w:r>
      <w:r w:rsidRPr="00817A73">
        <w:t>HVDC</w:t>
      </w:r>
      <w:r w:rsidR="001F16EB">
        <w:t>)</w:t>
      </w:r>
      <w:r w:rsidRPr="00817A73">
        <w:t>, kabli wewnętrznych i eksportowych. Istnieje także duże zróżnicowanie pomiędzy poszczególnymi rozwijanymi obecnie projektami morskich farm wiatrowych w Polsce. Morska energetyka wiatrowa charakteryzuje się dużą zależnością od zmienności głębokości oraz odległości poszczególnych projektów od brzegu. Wpływa to bezpośrednio na długość kabla eksportowego oraz rodzaje fundamentów wykorzystywanych zarówno dla turbin wiatrowych jak i dla stacji elektroenergetycznych.</w:t>
      </w:r>
    </w:p>
    <w:p w14:paraId="08669985" w14:textId="77777777" w:rsidR="006474D1" w:rsidRDefault="006474D1" w:rsidP="006701D0">
      <w:pPr>
        <w:spacing w:line="360" w:lineRule="auto"/>
        <w:jc w:val="both"/>
      </w:pPr>
    </w:p>
    <w:p w14:paraId="670F2D76" w14:textId="7A020CDB" w:rsidR="00C938B9" w:rsidRDefault="00C938B9" w:rsidP="006701D0">
      <w:pPr>
        <w:spacing w:line="360" w:lineRule="auto"/>
        <w:jc w:val="both"/>
      </w:pPr>
      <w:r w:rsidRPr="00DF34DE">
        <w:rPr>
          <w:b/>
          <w:bCs/>
        </w:rPr>
        <w:t>Art. 25 ust. 2 pkt 3: uzasadniony zwrot z kapitału</w:t>
      </w:r>
      <w:r w:rsidRPr="00DF34DE">
        <w:t xml:space="preserve"> zaangażowanego w wykonywaną działalność gospodarczą w zakresie przygotowania, budowy i eksploatacji morskiej farmy wiatrowej.</w:t>
      </w:r>
    </w:p>
    <w:p w14:paraId="4C5002E6" w14:textId="77777777" w:rsidR="00C938B9" w:rsidRPr="00DF34DE" w:rsidRDefault="00C938B9" w:rsidP="006701D0">
      <w:pPr>
        <w:spacing w:line="360" w:lineRule="auto"/>
        <w:jc w:val="both"/>
      </w:pPr>
    </w:p>
    <w:p w14:paraId="348C1523" w14:textId="77777777" w:rsidR="00C938B9" w:rsidRPr="00DF34DE" w:rsidRDefault="00C938B9" w:rsidP="006701D0">
      <w:pPr>
        <w:pStyle w:val="Akapitzlist"/>
        <w:numPr>
          <w:ilvl w:val="0"/>
          <w:numId w:val="25"/>
        </w:numPr>
        <w:spacing w:line="360" w:lineRule="auto"/>
        <w:jc w:val="both"/>
      </w:pPr>
      <w:r w:rsidRPr="00DF34DE">
        <w:t>WACC – wartości nominalne wyznaczone z wykorzystaniem inflacji</w:t>
      </w:r>
      <w:r>
        <w:t xml:space="preserve"> NBP</w:t>
      </w:r>
    </w:p>
    <w:p w14:paraId="7D13A28C" w14:textId="77777777" w:rsidR="00C938B9" w:rsidRPr="00DF34DE" w:rsidRDefault="00C938B9" w:rsidP="006701D0">
      <w:pPr>
        <w:pStyle w:val="Akapitzlist"/>
        <w:spacing w:line="360" w:lineRule="auto"/>
        <w:jc w:val="both"/>
      </w:pPr>
    </w:p>
    <w:tbl>
      <w:tblPr>
        <w:tblStyle w:val="Tabela-Siatka"/>
        <w:tblW w:w="0" w:type="auto"/>
        <w:tblLook w:val="04A0" w:firstRow="1" w:lastRow="0" w:firstColumn="1" w:lastColumn="0" w:noHBand="0" w:noVBand="1"/>
      </w:tblPr>
      <w:tblGrid>
        <w:gridCol w:w="1979"/>
        <w:gridCol w:w="1698"/>
        <w:gridCol w:w="1554"/>
        <w:gridCol w:w="1839"/>
        <w:gridCol w:w="1974"/>
      </w:tblGrid>
      <w:tr w:rsidR="00C938B9" w:rsidRPr="00DF34DE" w14:paraId="68543F57" w14:textId="77777777" w:rsidTr="00026FC3">
        <w:tc>
          <w:tcPr>
            <w:tcW w:w="1979" w:type="dxa"/>
          </w:tcPr>
          <w:p w14:paraId="754FD5F5" w14:textId="77777777" w:rsidR="00C938B9" w:rsidRPr="00DF34DE" w:rsidRDefault="00C938B9" w:rsidP="006701D0">
            <w:pPr>
              <w:spacing w:line="360" w:lineRule="auto"/>
              <w:jc w:val="both"/>
            </w:pPr>
          </w:p>
        </w:tc>
        <w:tc>
          <w:tcPr>
            <w:tcW w:w="1698" w:type="dxa"/>
          </w:tcPr>
          <w:p w14:paraId="12D01703" w14:textId="77777777" w:rsidR="00C938B9" w:rsidRPr="00DF34DE" w:rsidRDefault="00C938B9" w:rsidP="006701D0">
            <w:pPr>
              <w:spacing w:line="360" w:lineRule="auto"/>
              <w:jc w:val="center"/>
            </w:pPr>
            <w:r w:rsidRPr="00DF34DE">
              <w:t>jednostka</w:t>
            </w:r>
          </w:p>
        </w:tc>
        <w:tc>
          <w:tcPr>
            <w:tcW w:w="1554" w:type="dxa"/>
          </w:tcPr>
          <w:p w14:paraId="540F7D12" w14:textId="77777777" w:rsidR="00C938B9" w:rsidRPr="00DF34DE" w:rsidRDefault="00C938B9" w:rsidP="006701D0">
            <w:pPr>
              <w:spacing w:line="360" w:lineRule="auto"/>
              <w:jc w:val="center"/>
            </w:pPr>
            <w:r w:rsidRPr="00DF34DE">
              <w:t xml:space="preserve">real </w:t>
            </w:r>
            <w:proofErr w:type="spellStart"/>
            <w:r w:rsidRPr="00DF34DE">
              <w:t>pre-tax</w:t>
            </w:r>
            <w:proofErr w:type="spellEnd"/>
          </w:p>
        </w:tc>
        <w:tc>
          <w:tcPr>
            <w:tcW w:w="1839" w:type="dxa"/>
          </w:tcPr>
          <w:p w14:paraId="713DF11B" w14:textId="77777777" w:rsidR="00C938B9" w:rsidRPr="00DF34DE" w:rsidRDefault="00C938B9" w:rsidP="006701D0">
            <w:pPr>
              <w:spacing w:line="360" w:lineRule="auto"/>
              <w:jc w:val="center"/>
            </w:pPr>
            <w:proofErr w:type="spellStart"/>
            <w:r w:rsidRPr="00DF34DE">
              <w:t>nominal</w:t>
            </w:r>
            <w:proofErr w:type="spellEnd"/>
            <w:r w:rsidRPr="00DF34DE">
              <w:t xml:space="preserve"> </w:t>
            </w:r>
            <w:proofErr w:type="spellStart"/>
            <w:r w:rsidRPr="00DF34DE">
              <w:t>pre-tax</w:t>
            </w:r>
            <w:proofErr w:type="spellEnd"/>
          </w:p>
        </w:tc>
        <w:tc>
          <w:tcPr>
            <w:tcW w:w="1974" w:type="dxa"/>
          </w:tcPr>
          <w:p w14:paraId="70578347" w14:textId="77777777" w:rsidR="00C938B9" w:rsidRPr="00DF34DE" w:rsidRDefault="00C938B9" w:rsidP="006701D0">
            <w:pPr>
              <w:spacing w:line="360" w:lineRule="auto"/>
              <w:jc w:val="center"/>
            </w:pPr>
            <w:proofErr w:type="spellStart"/>
            <w:r w:rsidRPr="00DF34DE">
              <w:t>nominal</w:t>
            </w:r>
            <w:proofErr w:type="spellEnd"/>
            <w:r w:rsidRPr="00DF34DE">
              <w:t xml:space="preserve"> post-</w:t>
            </w:r>
            <w:proofErr w:type="spellStart"/>
            <w:r w:rsidRPr="00DF34DE">
              <w:t>tax</w:t>
            </w:r>
            <w:proofErr w:type="spellEnd"/>
          </w:p>
        </w:tc>
      </w:tr>
      <w:tr w:rsidR="00C938B9" w:rsidRPr="00DF34DE" w14:paraId="1004A365" w14:textId="77777777" w:rsidTr="00026FC3">
        <w:tc>
          <w:tcPr>
            <w:tcW w:w="1979" w:type="dxa"/>
          </w:tcPr>
          <w:p w14:paraId="030ED2E3" w14:textId="4EE764D3" w:rsidR="00C938B9" w:rsidRPr="00DF34DE" w:rsidRDefault="00C938B9" w:rsidP="006701D0">
            <w:pPr>
              <w:spacing w:line="360" w:lineRule="auto"/>
              <w:jc w:val="both"/>
            </w:pPr>
            <w:r w:rsidRPr="00DF34DE">
              <w:t>WACC</w:t>
            </w:r>
          </w:p>
        </w:tc>
        <w:tc>
          <w:tcPr>
            <w:tcW w:w="1698" w:type="dxa"/>
          </w:tcPr>
          <w:p w14:paraId="6ABCFF9E" w14:textId="77777777" w:rsidR="00C938B9" w:rsidRPr="00DF34DE" w:rsidRDefault="00C938B9" w:rsidP="006701D0">
            <w:pPr>
              <w:spacing w:line="360" w:lineRule="auto"/>
              <w:jc w:val="center"/>
            </w:pPr>
            <w:r w:rsidRPr="00DF34DE">
              <w:t>%</w:t>
            </w:r>
          </w:p>
        </w:tc>
        <w:tc>
          <w:tcPr>
            <w:tcW w:w="1554" w:type="dxa"/>
          </w:tcPr>
          <w:p w14:paraId="6FA7303B" w14:textId="706087D7" w:rsidR="00C938B9" w:rsidRPr="00DF34DE" w:rsidRDefault="00C938B9" w:rsidP="006701D0">
            <w:pPr>
              <w:spacing w:line="360" w:lineRule="auto"/>
              <w:jc w:val="center"/>
            </w:pPr>
            <w:r w:rsidRPr="00DF34DE">
              <w:t>6,0</w:t>
            </w:r>
            <w:r w:rsidR="00726513">
              <w:t>3</w:t>
            </w:r>
          </w:p>
        </w:tc>
        <w:tc>
          <w:tcPr>
            <w:tcW w:w="1839" w:type="dxa"/>
          </w:tcPr>
          <w:p w14:paraId="7BF2447C" w14:textId="77777777" w:rsidR="00C938B9" w:rsidRPr="00DF34DE" w:rsidRDefault="00C938B9" w:rsidP="006701D0">
            <w:pPr>
              <w:spacing w:line="360" w:lineRule="auto"/>
              <w:jc w:val="center"/>
            </w:pPr>
            <w:r w:rsidRPr="00DF34DE">
              <w:t>8,9</w:t>
            </w:r>
          </w:p>
        </w:tc>
        <w:tc>
          <w:tcPr>
            <w:tcW w:w="1974" w:type="dxa"/>
          </w:tcPr>
          <w:p w14:paraId="183A4F65" w14:textId="77777777" w:rsidR="00C938B9" w:rsidRPr="00DF34DE" w:rsidRDefault="00C938B9" w:rsidP="006701D0">
            <w:pPr>
              <w:spacing w:line="360" w:lineRule="auto"/>
              <w:jc w:val="center"/>
            </w:pPr>
            <w:r w:rsidRPr="00DF34DE">
              <w:t>7,2</w:t>
            </w:r>
          </w:p>
        </w:tc>
      </w:tr>
    </w:tbl>
    <w:p w14:paraId="28921E05" w14:textId="77777777" w:rsidR="00C938B9" w:rsidRDefault="00C938B9" w:rsidP="006701D0">
      <w:pPr>
        <w:spacing w:line="360" w:lineRule="auto"/>
        <w:jc w:val="both"/>
      </w:pPr>
    </w:p>
    <w:p w14:paraId="29C96448" w14:textId="472F68CC" w:rsidR="00A360FD" w:rsidRDefault="00A360FD" w:rsidP="00826334">
      <w:pPr>
        <w:spacing w:line="360" w:lineRule="auto"/>
        <w:ind w:firstLine="567"/>
        <w:jc w:val="both"/>
      </w:pPr>
      <w:r w:rsidRPr="00A360FD">
        <w:lastRenderedPageBreak/>
        <w:t>Przy wyznaczeniu WACC (średnio ważony koszt kapitału) wzięto pod uwagę standardowe parametry pozwalające na wyznaczenie tego wskaźnika takie jak beta aktywów, struktura finansowania, stopa wolna od ryzyka, premia za ryzyko rynkowe, marża kapitału obcego oraz średni poziom inflacji itp. Przy ustalaniu wartości tych parametrów korzystano z</w:t>
      </w:r>
      <w:r w:rsidR="009576B7">
        <w:t> </w:t>
      </w:r>
      <w:r w:rsidRPr="00A360FD">
        <w:t xml:space="preserve">uznanych źródeł w sektorze energetycznym, głównie energetyki odnawialnej, w tym m.in. raporty Wind Europe (m.in. publikacje </w:t>
      </w:r>
      <w:proofErr w:type="spellStart"/>
      <w:r w:rsidRPr="00A360FD">
        <w:t>Financing</w:t>
      </w:r>
      <w:proofErr w:type="spellEnd"/>
      <w:r w:rsidRPr="00A360FD">
        <w:t xml:space="preserve"> and </w:t>
      </w:r>
      <w:proofErr w:type="spellStart"/>
      <w:r w:rsidRPr="00A360FD">
        <w:t>investments</w:t>
      </w:r>
      <w:proofErr w:type="spellEnd"/>
      <w:r w:rsidRPr="00A360FD">
        <w:t xml:space="preserve"> </w:t>
      </w:r>
      <w:proofErr w:type="spellStart"/>
      <w:r w:rsidRPr="00A360FD">
        <w:t>trends</w:t>
      </w:r>
      <w:proofErr w:type="spellEnd"/>
      <w:r w:rsidRPr="00A360FD">
        <w:t>), prognozy URE, A.</w:t>
      </w:r>
      <w:r w:rsidR="001F16EB">
        <w:t> </w:t>
      </w:r>
      <w:proofErr w:type="spellStart"/>
      <w:r w:rsidRPr="00A360FD">
        <w:t>Damodaran</w:t>
      </w:r>
      <w:proofErr w:type="spellEnd"/>
      <w:r w:rsidRPr="00A360FD">
        <w:t xml:space="preserve"> (Stern School of Business, New York University), raport firmy EY dot. morskich farm wiatrowych, dane NBP oraz dane pozyskane z Ministerstwa Finansów.</w:t>
      </w:r>
    </w:p>
    <w:p w14:paraId="2F1D4C66" w14:textId="00D430F5" w:rsidR="00EE2132" w:rsidRDefault="00A531C7" w:rsidP="009576B7">
      <w:pPr>
        <w:spacing w:line="360" w:lineRule="auto"/>
        <w:ind w:firstLine="567"/>
        <w:jc w:val="both"/>
      </w:pPr>
      <w:r w:rsidRPr="00A531C7">
        <w:t>Przy ocenie parametru WACC bazowano na porównaniu oczekiwanego kosztu kapitału z innych systemów wsparcia stosowanych w krajach UE oraz rekomendacji Międzynarodowej Agencji Energii</w:t>
      </w:r>
      <w:r w:rsidR="0008614F">
        <w:t>, zwanej dalej „MAE”</w:t>
      </w:r>
      <w:r w:rsidRPr="00A531C7">
        <w:t>. Przyjęta wartość 6</w:t>
      </w:r>
      <w:r>
        <w:t>,03</w:t>
      </w:r>
      <w:r w:rsidRPr="00A531C7">
        <w:t xml:space="preserve">% real </w:t>
      </w:r>
      <w:proofErr w:type="spellStart"/>
      <w:r w:rsidRPr="00A531C7">
        <w:t>pre-tax</w:t>
      </w:r>
      <w:proofErr w:type="spellEnd"/>
      <w:r w:rsidRPr="00A531C7">
        <w:t xml:space="preserve"> ta odpowiada środkowej wartości przedziału WACC stosowanego przez MAE do oceny kosztów wytwarzania energii z różnych technologii energetycznych. Górna wartość przedziału (8% real </w:t>
      </w:r>
      <w:proofErr w:type="spellStart"/>
      <w:r w:rsidRPr="00A531C7">
        <w:t>pre-tax</w:t>
      </w:r>
      <w:proofErr w:type="spellEnd"/>
      <w:r w:rsidRPr="00A531C7">
        <w:t xml:space="preserve">) przyjmowana jest dla zaawansowanych gospodarek, w tym Unii Europejskiej, przy inwestycjach nie korzystających z mechanizmów wsparcia. Dolna wartość przedziału (4 % real </w:t>
      </w:r>
      <w:proofErr w:type="spellStart"/>
      <w:r w:rsidRPr="00A531C7">
        <w:t>pre-tax</w:t>
      </w:r>
      <w:proofErr w:type="spellEnd"/>
      <w:r w:rsidRPr="00A531C7">
        <w:t>) stosowana jest przy inwestycjach mogących liczyć na preferencyjne warunki finansowe i ograniczone ryzyko rynkowe związane z wykorzystaniem mechanizmów wsparcia oraz sprzyjających regulacji. Uzasadnieniem dla przyjęciem wartości wyższej niż 4% jest percepcja wyższego ryzyka polskiego systemu wsparcia ze strony inwestorów, wzgl</w:t>
      </w:r>
      <w:r>
        <w:t>ędem systemów wsparcia państw z </w:t>
      </w:r>
      <w:r w:rsidRPr="00A531C7">
        <w:t>rozwiniętym sektorem offshore takich jak, Wielka Bryta</w:t>
      </w:r>
      <w:r>
        <w:t xml:space="preserve">nia (WACC 4,7% real </w:t>
      </w:r>
      <w:proofErr w:type="spellStart"/>
      <w:r>
        <w:t>pre-tax</w:t>
      </w:r>
      <w:proofErr w:type="spellEnd"/>
      <w:r>
        <w:t>) i  </w:t>
      </w:r>
      <w:r w:rsidRPr="00A531C7">
        <w:t xml:space="preserve">Niemcy (WACC 4,2% real </w:t>
      </w:r>
      <w:proofErr w:type="spellStart"/>
      <w:r w:rsidRPr="00A531C7">
        <w:t>pre-tax</w:t>
      </w:r>
      <w:proofErr w:type="spellEnd"/>
      <w:r w:rsidRPr="00A531C7">
        <w:t>). Punktem wspólnym wyceny ryzyka zawartego w WACC polskiego systemu wsparcia i pozostałych systemów wsp</w:t>
      </w:r>
      <w:r>
        <w:t>arcia w UE są ryzyka związane z </w:t>
      </w:r>
      <w:r w:rsidRPr="00A531C7">
        <w:t xml:space="preserve">wielkością nakładów inwestycyjnych, ryzyko długiego okresu konstrukcji oraz ryzyko opóźnień w realizacji projektu. Jednakże, z uwagi na początek rozwoju nowego sektora gospodarki związanego z morską energetyką wiatrową (w tym łańcuchów dostaw), niepewność regulacyjną związaną z wdrożeniem nowego rozwiązania prawnego, konieczność ponoszenia ryzyka budowy przyłącza przez inwestorów oraz ryzyko </w:t>
      </w:r>
      <w:r w:rsidR="006474D1">
        <w:t>nie</w:t>
      </w:r>
      <w:r w:rsidRPr="00A531C7">
        <w:t>stabilności waluty, ogólna wycena ryzyka wzrasta. Z drugiej strony, gwarancja stałego przychodu w całym okresie eksploatacji MFW (25 lat) całkowicie niwelująca ryzyko cenowe (jedyne takie rozwiązanie w UE), brak ryzyka związanego z nieotrzymaniem wsparcia przy przegranej aukcji konkurencyjnej, gwarancja zwrotu kosztów przy nierynkowym ograniczaniu produkcji energii, sprzyjające warunki rynkowe do rozwoju MFW na terenie całej UE związane z licznymi, międzynarodowymi inicjatywami strategicznymi (dekla</w:t>
      </w:r>
      <w:r w:rsidR="003262F9">
        <w:t xml:space="preserve">rowana kluczowa rola </w:t>
      </w:r>
      <w:r w:rsidR="003262F9">
        <w:lastRenderedPageBreak/>
        <w:t>offshore w </w:t>
      </w:r>
      <w:r w:rsidRPr="00A531C7">
        <w:t xml:space="preserve">Europejskim Zielonym Ładzie, opracowywana przez KE strategia offshore), a także rosnące możliwości otrzymania preferencyjnych warunków finansowania dłużnego (Krajowe Plany Odbudowy, ukierunkowanie międzynarodowych instytucji finansowych na finansowanie projektów z sektora zielonej energii), skłaniają do przyjęcia wartości WACC poniżej 8%. Powyższe czynniki wpłynęły na określenie poziomu WACC </w:t>
      </w:r>
      <w:r w:rsidR="003262F9">
        <w:t xml:space="preserve">w ramach Zespołu </w:t>
      </w:r>
      <w:r w:rsidRPr="00A531C7">
        <w:t xml:space="preserve">na </w:t>
      </w:r>
      <w:r w:rsidR="003262F9">
        <w:t xml:space="preserve">poziomie </w:t>
      </w:r>
      <w:r w:rsidRPr="00A531C7">
        <w:t>6</w:t>
      </w:r>
      <w:r w:rsidR="001F16EB">
        <w:t>,03</w:t>
      </w:r>
      <w:r w:rsidRPr="00A531C7">
        <w:t xml:space="preserve">% real </w:t>
      </w:r>
      <w:proofErr w:type="spellStart"/>
      <w:r w:rsidRPr="00A531C7">
        <w:t>pre-tax</w:t>
      </w:r>
      <w:proofErr w:type="spellEnd"/>
      <w:r w:rsidRPr="00A531C7">
        <w:t xml:space="preserve">, premiując podwyższone ryzyko inwestycji w Polsce względem rynków zachodnich oraz uwzględniając sprzyjające warunki w polskim i unijnym otoczeniu regulacyjnym i finansowym.  </w:t>
      </w:r>
    </w:p>
    <w:p w14:paraId="4880AF05" w14:textId="1A165041" w:rsidR="00EE2132" w:rsidRPr="006474D1" w:rsidRDefault="00EE2132" w:rsidP="001F16EB">
      <w:pPr>
        <w:spacing w:line="360" w:lineRule="auto"/>
        <w:ind w:firstLine="567"/>
        <w:jc w:val="both"/>
        <w:rPr>
          <w:color w:val="000000"/>
          <w:spacing w:val="-2"/>
        </w:rPr>
      </w:pPr>
      <w:r w:rsidRPr="007B12A2">
        <w:rPr>
          <w:b/>
          <w:bCs/>
          <w:color w:val="000000"/>
          <w:spacing w:val="-2"/>
        </w:rPr>
        <w:t>WACC jest kluczowym wskaźnikiem determinującym wysokość wsparcia</w:t>
      </w:r>
      <w:r w:rsidRPr="007B12A2">
        <w:rPr>
          <w:color w:val="000000"/>
          <w:spacing w:val="-2"/>
        </w:rPr>
        <w:t xml:space="preserve">. Wzrost WACC o 1 </w:t>
      </w:r>
      <w:r w:rsidR="006474D1">
        <w:rPr>
          <w:color w:val="000000"/>
          <w:spacing w:val="-2"/>
        </w:rPr>
        <w:t>punkt procentowy (</w:t>
      </w:r>
      <w:proofErr w:type="spellStart"/>
      <w:r w:rsidRPr="007B12A2">
        <w:rPr>
          <w:color w:val="000000"/>
          <w:spacing w:val="-2"/>
        </w:rPr>
        <w:t>p.p</w:t>
      </w:r>
      <w:proofErr w:type="spellEnd"/>
      <w:r w:rsidRPr="007B12A2">
        <w:rPr>
          <w:color w:val="000000"/>
          <w:spacing w:val="-2"/>
        </w:rPr>
        <w:t>.</w:t>
      </w:r>
      <w:r w:rsidR="006474D1">
        <w:rPr>
          <w:color w:val="000000"/>
          <w:spacing w:val="-2"/>
        </w:rPr>
        <w:t>)</w:t>
      </w:r>
      <w:r w:rsidRPr="007B12A2">
        <w:rPr>
          <w:color w:val="000000"/>
          <w:spacing w:val="-2"/>
        </w:rPr>
        <w:t xml:space="preserve"> przekłada się na ok. 5 EUR/MWh wyższą cenę referencyjną oraz ok. 500 mln PLN kosztów systemu wsparcia rocznie.</w:t>
      </w:r>
    </w:p>
    <w:p w14:paraId="10616512" w14:textId="77777777" w:rsidR="00C938B9" w:rsidRDefault="00C938B9" w:rsidP="006701D0">
      <w:pPr>
        <w:spacing w:line="360" w:lineRule="auto"/>
        <w:jc w:val="both"/>
      </w:pPr>
    </w:p>
    <w:p w14:paraId="036F0EA0" w14:textId="4E1D7930" w:rsidR="00C938B9" w:rsidRPr="00DF34DE" w:rsidRDefault="003D1F3C" w:rsidP="006701D0">
      <w:pPr>
        <w:pStyle w:val="Akapitzlist"/>
        <w:numPr>
          <w:ilvl w:val="0"/>
          <w:numId w:val="25"/>
        </w:numPr>
        <w:spacing w:line="360" w:lineRule="auto"/>
        <w:jc w:val="both"/>
      </w:pPr>
      <w:r>
        <w:t>k</w:t>
      </w:r>
      <w:r w:rsidR="00C938B9" w:rsidRPr="00DF34DE">
        <w:t>urs Euro – 4,31 PLN/EUR w całej prognozie kosztów (średnia</w:t>
      </w:r>
      <w:r w:rsidR="003262F9">
        <w:t xml:space="preserve"> kursów NBP z ostatnich 5 lat</w:t>
      </w:r>
      <w:r w:rsidR="00C938B9" w:rsidRPr="00DF34DE">
        <w:t>)</w:t>
      </w:r>
      <w:r>
        <w:t>,</w:t>
      </w:r>
      <w:r w:rsidR="00C938B9" w:rsidRPr="00DF34DE">
        <w:t xml:space="preserve"> </w:t>
      </w:r>
    </w:p>
    <w:p w14:paraId="5690D49C" w14:textId="5BBF01EC" w:rsidR="00C938B9" w:rsidRPr="00DF34DE" w:rsidRDefault="003D1F3C" w:rsidP="006701D0">
      <w:pPr>
        <w:pStyle w:val="Akapitzlist"/>
        <w:numPr>
          <w:ilvl w:val="0"/>
          <w:numId w:val="25"/>
        </w:numPr>
        <w:spacing w:line="360" w:lineRule="auto"/>
        <w:jc w:val="both"/>
      </w:pPr>
      <w:r>
        <w:t>p</w:t>
      </w:r>
      <w:r w:rsidR="00C938B9" w:rsidRPr="00DF34DE">
        <w:t>oziom inflacji – bieżąca projekcja inflacji NBP z 10 listopada 2020 r.</w:t>
      </w:r>
    </w:p>
    <w:p w14:paraId="0D393F43" w14:textId="77777777" w:rsidR="00C938B9" w:rsidRPr="00DF34DE" w:rsidRDefault="00C938B9" w:rsidP="006701D0">
      <w:pPr>
        <w:pStyle w:val="Akapitzlist"/>
        <w:spacing w:line="360" w:lineRule="auto"/>
        <w:jc w:val="both"/>
      </w:pPr>
    </w:p>
    <w:tbl>
      <w:tblPr>
        <w:tblStyle w:val="Tabela-Siatka"/>
        <w:tblW w:w="0" w:type="auto"/>
        <w:tblLook w:val="04A0" w:firstRow="1" w:lastRow="0" w:firstColumn="1" w:lastColumn="0" w:noHBand="0" w:noVBand="1"/>
      </w:tblPr>
      <w:tblGrid>
        <w:gridCol w:w="1981"/>
        <w:gridCol w:w="1698"/>
        <w:gridCol w:w="1837"/>
        <w:gridCol w:w="1913"/>
        <w:gridCol w:w="1615"/>
      </w:tblGrid>
      <w:tr w:rsidR="00C938B9" w:rsidRPr="00DF34DE" w14:paraId="029FE85E" w14:textId="77777777" w:rsidTr="006866F4">
        <w:tc>
          <w:tcPr>
            <w:tcW w:w="1985" w:type="dxa"/>
          </w:tcPr>
          <w:p w14:paraId="683CB7F7" w14:textId="77777777" w:rsidR="00C938B9" w:rsidRPr="00DF34DE" w:rsidRDefault="00C938B9" w:rsidP="006701D0">
            <w:pPr>
              <w:spacing w:line="360" w:lineRule="auto"/>
              <w:jc w:val="both"/>
            </w:pPr>
          </w:p>
        </w:tc>
        <w:tc>
          <w:tcPr>
            <w:tcW w:w="1701" w:type="dxa"/>
          </w:tcPr>
          <w:p w14:paraId="7C6A7BA2" w14:textId="77777777" w:rsidR="00C938B9" w:rsidRPr="00DF34DE" w:rsidRDefault="00C938B9" w:rsidP="006701D0">
            <w:pPr>
              <w:spacing w:line="360" w:lineRule="auto"/>
              <w:jc w:val="center"/>
            </w:pPr>
            <w:r w:rsidRPr="00DF34DE">
              <w:t>jednostka</w:t>
            </w:r>
          </w:p>
        </w:tc>
        <w:tc>
          <w:tcPr>
            <w:tcW w:w="1843" w:type="dxa"/>
          </w:tcPr>
          <w:p w14:paraId="1C15EE30" w14:textId="77777777" w:rsidR="00C938B9" w:rsidRPr="00DF34DE" w:rsidRDefault="00C938B9" w:rsidP="006701D0">
            <w:pPr>
              <w:spacing w:line="360" w:lineRule="auto"/>
              <w:jc w:val="center"/>
            </w:pPr>
            <w:r w:rsidRPr="00DF34DE">
              <w:t>2020</w:t>
            </w:r>
          </w:p>
        </w:tc>
        <w:tc>
          <w:tcPr>
            <w:tcW w:w="1919" w:type="dxa"/>
          </w:tcPr>
          <w:p w14:paraId="105F767D" w14:textId="77777777" w:rsidR="00C938B9" w:rsidRPr="00DF34DE" w:rsidRDefault="00C938B9" w:rsidP="006701D0">
            <w:pPr>
              <w:spacing w:line="360" w:lineRule="auto"/>
              <w:jc w:val="center"/>
            </w:pPr>
            <w:r w:rsidRPr="00DF34DE">
              <w:t>2021</w:t>
            </w:r>
          </w:p>
        </w:tc>
        <w:tc>
          <w:tcPr>
            <w:tcW w:w="1619" w:type="dxa"/>
          </w:tcPr>
          <w:p w14:paraId="39516517" w14:textId="77777777" w:rsidR="00C938B9" w:rsidRPr="00DF34DE" w:rsidRDefault="00C938B9" w:rsidP="006701D0">
            <w:pPr>
              <w:spacing w:line="360" w:lineRule="auto"/>
              <w:jc w:val="center"/>
            </w:pPr>
            <w:r w:rsidRPr="00DF34DE">
              <w:t>2022+</w:t>
            </w:r>
          </w:p>
        </w:tc>
      </w:tr>
      <w:tr w:rsidR="00C938B9" w:rsidRPr="00DF34DE" w14:paraId="1A20E571" w14:textId="77777777" w:rsidTr="006866F4">
        <w:tc>
          <w:tcPr>
            <w:tcW w:w="1985" w:type="dxa"/>
          </w:tcPr>
          <w:p w14:paraId="4BA21CCA" w14:textId="77777777" w:rsidR="00C938B9" w:rsidRPr="00DF34DE" w:rsidRDefault="00C938B9" w:rsidP="006701D0">
            <w:pPr>
              <w:spacing w:line="360" w:lineRule="auto"/>
              <w:jc w:val="both"/>
            </w:pPr>
            <w:r w:rsidRPr="00DF34DE">
              <w:t>Poziom inflacji</w:t>
            </w:r>
          </w:p>
        </w:tc>
        <w:tc>
          <w:tcPr>
            <w:tcW w:w="1701" w:type="dxa"/>
          </w:tcPr>
          <w:p w14:paraId="25374588" w14:textId="77777777" w:rsidR="00C938B9" w:rsidRPr="00DF34DE" w:rsidRDefault="00C938B9" w:rsidP="006701D0">
            <w:pPr>
              <w:spacing w:line="360" w:lineRule="auto"/>
              <w:jc w:val="center"/>
            </w:pPr>
            <w:r w:rsidRPr="00DF34DE">
              <w:t>% r/r</w:t>
            </w:r>
          </w:p>
        </w:tc>
        <w:tc>
          <w:tcPr>
            <w:tcW w:w="1843" w:type="dxa"/>
          </w:tcPr>
          <w:p w14:paraId="54733C36" w14:textId="77777777" w:rsidR="00C938B9" w:rsidRPr="00DF34DE" w:rsidRDefault="00C938B9" w:rsidP="006701D0">
            <w:pPr>
              <w:spacing w:line="360" w:lineRule="auto"/>
              <w:jc w:val="center"/>
            </w:pPr>
            <w:r w:rsidRPr="00DF34DE">
              <w:t>3,4</w:t>
            </w:r>
          </w:p>
        </w:tc>
        <w:tc>
          <w:tcPr>
            <w:tcW w:w="1919" w:type="dxa"/>
          </w:tcPr>
          <w:p w14:paraId="63D9BA3C" w14:textId="77777777" w:rsidR="00C938B9" w:rsidRPr="00DF34DE" w:rsidRDefault="00C938B9" w:rsidP="006701D0">
            <w:pPr>
              <w:spacing w:line="360" w:lineRule="auto"/>
              <w:jc w:val="center"/>
            </w:pPr>
            <w:r w:rsidRPr="00DF34DE">
              <w:t>2,6</w:t>
            </w:r>
          </w:p>
        </w:tc>
        <w:tc>
          <w:tcPr>
            <w:tcW w:w="1619" w:type="dxa"/>
          </w:tcPr>
          <w:p w14:paraId="32CA68BD" w14:textId="77777777" w:rsidR="00C938B9" w:rsidRPr="00DF34DE" w:rsidRDefault="00C938B9" w:rsidP="006701D0">
            <w:pPr>
              <w:spacing w:line="360" w:lineRule="auto"/>
              <w:jc w:val="center"/>
            </w:pPr>
            <w:r w:rsidRPr="00DF34DE">
              <w:t>2,7</w:t>
            </w:r>
          </w:p>
        </w:tc>
      </w:tr>
    </w:tbl>
    <w:p w14:paraId="7B0EDE2A" w14:textId="77777777" w:rsidR="00C938B9" w:rsidRPr="00DF34DE" w:rsidRDefault="00C938B9" w:rsidP="006701D0">
      <w:pPr>
        <w:spacing w:line="360" w:lineRule="auto"/>
        <w:jc w:val="both"/>
        <w:rPr>
          <w:i/>
          <w:iCs/>
        </w:rPr>
      </w:pPr>
    </w:p>
    <w:p w14:paraId="046DE15B" w14:textId="0D85ED11" w:rsidR="00C938B9" w:rsidRPr="00DF34DE" w:rsidRDefault="00C938B9" w:rsidP="009576B7">
      <w:pPr>
        <w:spacing w:line="360" w:lineRule="auto"/>
        <w:jc w:val="both"/>
      </w:pPr>
      <w:r w:rsidRPr="00DF34DE">
        <w:t>Okres amortyzacji – okres amortyzacji podatkowej i księgowej równy zakładanemu okresowi eksploatacji majątku trwałego</w:t>
      </w:r>
      <w:r w:rsidR="003D1F3C">
        <w:t>,</w:t>
      </w:r>
      <w:r w:rsidRPr="00DF34DE">
        <w:t xml:space="preserve"> tj. 25 lat oraz zgodny z okresem wsparcia określonego w</w:t>
      </w:r>
      <w:r w:rsidR="006B3947">
        <w:t> </w:t>
      </w:r>
      <w:r w:rsidRPr="00DF34DE">
        <w:t>ustawie</w:t>
      </w:r>
      <w:r w:rsidR="006500A6">
        <w:t>.</w:t>
      </w:r>
    </w:p>
    <w:p w14:paraId="290C8066" w14:textId="77777777" w:rsidR="006B3947" w:rsidRDefault="006B3947" w:rsidP="006701D0">
      <w:pPr>
        <w:spacing w:line="360" w:lineRule="auto"/>
        <w:jc w:val="both"/>
        <w:rPr>
          <w:color w:val="000000"/>
          <w:spacing w:val="-2"/>
        </w:rPr>
      </w:pPr>
    </w:p>
    <w:p w14:paraId="62E809B3" w14:textId="791E95D8" w:rsidR="00C938B9" w:rsidRPr="006B3947" w:rsidRDefault="006B3947" w:rsidP="006B3947">
      <w:pPr>
        <w:spacing w:line="360" w:lineRule="auto"/>
        <w:jc w:val="both"/>
        <w:rPr>
          <w:color w:val="000000"/>
          <w:spacing w:val="-2"/>
        </w:rPr>
      </w:pPr>
      <w:r>
        <w:rPr>
          <w:color w:val="000000"/>
          <w:spacing w:val="-2"/>
        </w:rPr>
        <w:tab/>
      </w:r>
      <w:r>
        <w:rPr>
          <w:color w:val="000000"/>
          <w:spacing w:val="-2"/>
        </w:rPr>
        <w:tab/>
      </w:r>
      <w:r w:rsidR="00C938B9" w:rsidRPr="006B3947">
        <w:rPr>
          <w:color w:val="000000"/>
          <w:spacing w:val="-2"/>
        </w:rPr>
        <w:t>Analizy uznanych instytucji jak IEA, (IRENA), U.S. NREL zgodnie wskazują, że w wyniku szybkiego rozwoju technologii LCOE z</w:t>
      </w:r>
      <w:r>
        <w:rPr>
          <w:color w:val="000000"/>
          <w:spacing w:val="-2"/>
        </w:rPr>
        <w:t> </w:t>
      </w:r>
      <w:r w:rsidR="00C938B9" w:rsidRPr="006B3947">
        <w:rPr>
          <w:color w:val="000000"/>
          <w:spacing w:val="-2"/>
        </w:rPr>
        <w:t xml:space="preserve">MFW </w:t>
      </w:r>
      <w:r w:rsidR="00EE362C">
        <w:rPr>
          <w:color w:val="000000"/>
          <w:spacing w:val="-2"/>
        </w:rPr>
        <w:t>kontynuowane będą</w:t>
      </w:r>
      <w:r w:rsidR="00C938B9" w:rsidRPr="006B3947">
        <w:rPr>
          <w:color w:val="000000"/>
          <w:spacing w:val="-2"/>
        </w:rPr>
        <w:t xml:space="preserve"> dynamiczne spadki </w:t>
      </w:r>
      <w:r w:rsidR="00EE362C">
        <w:rPr>
          <w:color w:val="000000"/>
          <w:spacing w:val="-2"/>
        </w:rPr>
        <w:t xml:space="preserve">kosztów tej technologii </w:t>
      </w:r>
      <w:r w:rsidR="00C938B9" w:rsidRPr="006B3947">
        <w:rPr>
          <w:color w:val="000000"/>
          <w:spacing w:val="-2"/>
        </w:rPr>
        <w:t>w najbliższej dekadzie oraz dalszej perspektywie.</w:t>
      </w:r>
      <w:r>
        <w:rPr>
          <w:color w:val="000000"/>
          <w:spacing w:val="-2"/>
        </w:rPr>
        <w:t xml:space="preserve"> </w:t>
      </w:r>
      <w:r w:rsidR="00C938B9" w:rsidRPr="006B3947">
        <w:rPr>
          <w:color w:val="000000"/>
          <w:spacing w:val="-2"/>
        </w:rPr>
        <w:t>Z modelu przygotowanego przez Biur</w:t>
      </w:r>
      <w:r w:rsidR="003D1F3C">
        <w:rPr>
          <w:color w:val="000000"/>
          <w:spacing w:val="-2"/>
        </w:rPr>
        <w:t>o</w:t>
      </w:r>
      <w:r w:rsidR="00C938B9" w:rsidRPr="006B3947">
        <w:rPr>
          <w:color w:val="000000"/>
          <w:spacing w:val="-2"/>
        </w:rPr>
        <w:t xml:space="preserve">  Pełnomocnika Rządu ds. Strategicznej Infrastruktury Energetycznej i </w:t>
      </w:r>
      <w:r w:rsidR="00EE362C" w:rsidRPr="006B3947">
        <w:rPr>
          <w:color w:val="000000"/>
          <w:spacing w:val="-2"/>
        </w:rPr>
        <w:t>P</w:t>
      </w:r>
      <w:r w:rsidR="00EE362C">
        <w:rPr>
          <w:color w:val="000000"/>
          <w:spacing w:val="-2"/>
        </w:rPr>
        <w:t>olskie Sieci Elektroenergetyczne</w:t>
      </w:r>
      <w:r w:rsidR="003262F9">
        <w:rPr>
          <w:color w:val="000000"/>
          <w:spacing w:val="-2"/>
        </w:rPr>
        <w:t xml:space="preserve"> S.A.</w:t>
      </w:r>
      <w:r w:rsidR="00EE362C" w:rsidRPr="006B3947">
        <w:rPr>
          <w:color w:val="000000"/>
          <w:spacing w:val="-2"/>
        </w:rPr>
        <w:t xml:space="preserve"> </w:t>
      </w:r>
      <w:r w:rsidR="00C938B9" w:rsidRPr="006B3947">
        <w:rPr>
          <w:color w:val="000000"/>
          <w:spacing w:val="-2"/>
        </w:rPr>
        <w:t>wynika, że przyjmując uzgodnione założenia cena referencyjna dla morskich farm wiatro</w:t>
      </w:r>
      <w:r>
        <w:rPr>
          <w:color w:val="000000"/>
          <w:spacing w:val="-2"/>
        </w:rPr>
        <w:t>w</w:t>
      </w:r>
      <w:r w:rsidR="00C938B9" w:rsidRPr="006B3947">
        <w:rPr>
          <w:color w:val="000000"/>
          <w:spacing w:val="-2"/>
        </w:rPr>
        <w:t>ych powinna wynosić 30</w:t>
      </w:r>
      <w:r w:rsidR="006500A6">
        <w:rPr>
          <w:color w:val="000000"/>
          <w:spacing w:val="-2"/>
        </w:rPr>
        <w:t>1,5</w:t>
      </w:r>
      <w:r w:rsidR="00C938B9" w:rsidRPr="006B3947">
        <w:rPr>
          <w:color w:val="000000"/>
          <w:spacing w:val="-2"/>
        </w:rPr>
        <w:t xml:space="preserve"> PLN/MWh (~70 EUR/MWh)</w:t>
      </w:r>
      <w:r w:rsidR="003D1F3C">
        <w:rPr>
          <w:color w:val="000000"/>
          <w:spacing w:val="-2"/>
        </w:rPr>
        <w:t>.</w:t>
      </w:r>
    </w:p>
    <w:p w14:paraId="66A3BB48" w14:textId="6772A45B" w:rsidR="00AA1262" w:rsidRDefault="00C938B9" w:rsidP="002220B7">
      <w:pPr>
        <w:spacing w:line="360" w:lineRule="auto"/>
        <w:ind w:firstLine="567"/>
        <w:jc w:val="both"/>
        <w:rPr>
          <w:b/>
          <w:bCs/>
          <w:color w:val="000000"/>
          <w:spacing w:val="-2"/>
        </w:rPr>
      </w:pPr>
      <w:r>
        <w:rPr>
          <w:color w:val="000000"/>
          <w:spacing w:val="-2"/>
        </w:rPr>
        <w:t>Mając na uwadze powyższe</w:t>
      </w:r>
      <w:r w:rsidR="003D1F3C">
        <w:rPr>
          <w:color w:val="000000"/>
          <w:spacing w:val="-2"/>
        </w:rPr>
        <w:t>,</w:t>
      </w:r>
      <w:r>
        <w:rPr>
          <w:color w:val="000000"/>
          <w:spacing w:val="-2"/>
        </w:rPr>
        <w:t xml:space="preserve"> w projekcie rozporządzenia proponuje się, aby</w:t>
      </w:r>
      <w:r w:rsidR="002220B7">
        <w:rPr>
          <w:color w:val="000000"/>
          <w:spacing w:val="-2"/>
        </w:rPr>
        <w:t xml:space="preserve"> </w:t>
      </w:r>
      <w:r>
        <w:rPr>
          <w:color w:val="000000"/>
          <w:spacing w:val="-2"/>
        </w:rPr>
        <w:t>c</w:t>
      </w:r>
      <w:r w:rsidRPr="003373DF">
        <w:rPr>
          <w:color w:val="000000"/>
          <w:spacing w:val="-2"/>
        </w:rPr>
        <w:t>ena maksymalna za energię elektryczną wytworzoną w morskiej farmie wiatrowej i</w:t>
      </w:r>
      <w:r w:rsidR="006559F4">
        <w:rPr>
          <w:color w:val="000000"/>
          <w:spacing w:val="-2"/>
        </w:rPr>
        <w:t> </w:t>
      </w:r>
      <w:r w:rsidRPr="003373DF">
        <w:rPr>
          <w:color w:val="000000"/>
          <w:spacing w:val="-2"/>
        </w:rPr>
        <w:t>wprowadzoną do sieci w</w:t>
      </w:r>
      <w:r>
        <w:rPr>
          <w:color w:val="000000"/>
          <w:spacing w:val="-2"/>
        </w:rPr>
        <w:t> </w:t>
      </w:r>
      <w:r w:rsidRPr="003373DF">
        <w:rPr>
          <w:color w:val="000000"/>
          <w:spacing w:val="-2"/>
        </w:rPr>
        <w:t>złotych za 1</w:t>
      </w:r>
      <w:r w:rsidR="002220B7">
        <w:rPr>
          <w:color w:val="000000"/>
          <w:spacing w:val="-2"/>
        </w:rPr>
        <w:t> </w:t>
      </w:r>
      <w:r w:rsidRPr="003373DF">
        <w:rPr>
          <w:color w:val="000000"/>
          <w:spacing w:val="-2"/>
        </w:rPr>
        <w:t>MWh, będąca podstawą rozliczenia prawa do pokrycia ujemnego salda wyn</w:t>
      </w:r>
      <w:r>
        <w:rPr>
          <w:color w:val="000000"/>
          <w:spacing w:val="-2"/>
        </w:rPr>
        <w:t>osiła</w:t>
      </w:r>
      <w:r w:rsidRPr="003373DF">
        <w:rPr>
          <w:color w:val="000000"/>
          <w:spacing w:val="-2"/>
        </w:rPr>
        <w:t xml:space="preserve"> </w:t>
      </w:r>
      <w:r w:rsidR="006500A6" w:rsidRPr="006500A6">
        <w:rPr>
          <w:b/>
          <w:bCs/>
          <w:color w:val="000000"/>
          <w:spacing w:val="-2"/>
        </w:rPr>
        <w:t xml:space="preserve">301,5 PLN/MWh  </w:t>
      </w:r>
      <w:r w:rsidR="006500A6">
        <w:rPr>
          <w:b/>
          <w:bCs/>
          <w:color w:val="000000"/>
          <w:spacing w:val="-2"/>
        </w:rPr>
        <w:t>tj</w:t>
      </w:r>
      <w:r w:rsidR="003D1F3C">
        <w:rPr>
          <w:b/>
          <w:bCs/>
          <w:color w:val="000000"/>
          <w:spacing w:val="-2"/>
        </w:rPr>
        <w:t>.</w:t>
      </w:r>
      <w:r w:rsidR="006500A6" w:rsidRPr="006500A6">
        <w:rPr>
          <w:b/>
          <w:bCs/>
          <w:color w:val="000000"/>
          <w:spacing w:val="-2"/>
        </w:rPr>
        <w:t xml:space="preserve"> ~70 EUR/MWh</w:t>
      </w:r>
      <w:r w:rsidR="00EE362C">
        <w:rPr>
          <w:b/>
          <w:bCs/>
          <w:color w:val="000000"/>
          <w:spacing w:val="-2"/>
        </w:rPr>
        <w:t>.</w:t>
      </w:r>
    </w:p>
    <w:p w14:paraId="07615D3F" w14:textId="26BA0481" w:rsidR="00D86B48" w:rsidRDefault="00D86B48" w:rsidP="00D86B48">
      <w:pPr>
        <w:spacing w:line="360" w:lineRule="auto"/>
        <w:ind w:firstLine="567"/>
        <w:jc w:val="both"/>
        <w:rPr>
          <w:b/>
          <w:bCs/>
          <w:color w:val="000000"/>
          <w:spacing w:val="-2"/>
        </w:rPr>
      </w:pPr>
    </w:p>
    <w:p w14:paraId="4C22D440" w14:textId="77777777" w:rsidR="007D0A2F" w:rsidRPr="007D0A2F" w:rsidRDefault="007D0A2F" w:rsidP="007D0A2F">
      <w:pPr>
        <w:spacing w:line="360" w:lineRule="auto"/>
        <w:ind w:firstLine="567"/>
        <w:jc w:val="both"/>
        <w:rPr>
          <w:color w:val="000000"/>
          <w:spacing w:val="-2"/>
        </w:rPr>
      </w:pPr>
      <w:r w:rsidRPr="007D0A2F">
        <w:rPr>
          <w:color w:val="000000"/>
          <w:spacing w:val="-2"/>
        </w:rPr>
        <w:t>Tabela. Wynikowe wartości ceny maksymalnej wyznaczone przez model</w:t>
      </w:r>
    </w:p>
    <w:tbl>
      <w:tblPr>
        <w:tblStyle w:val="Tabela-Siatka"/>
        <w:tblW w:w="0" w:type="auto"/>
        <w:jc w:val="center"/>
        <w:tblLook w:val="04A0" w:firstRow="1" w:lastRow="0" w:firstColumn="1" w:lastColumn="0" w:noHBand="0" w:noVBand="1"/>
      </w:tblPr>
      <w:tblGrid>
        <w:gridCol w:w="1977"/>
        <w:gridCol w:w="1379"/>
        <w:gridCol w:w="1522"/>
        <w:gridCol w:w="1576"/>
        <w:gridCol w:w="1360"/>
        <w:gridCol w:w="1230"/>
      </w:tblGrid>
      <w:tr w:rsidR="00EE362C" w:rsidRPr="00B4433C" w14:paraId="3996D5EA" w14:textId="77777777" w:rsidTr="00026FC3">
        <w:trPr>
          <w:jc w:val="center"/>
        </w:trPr>
        <w:tc>
          <w:tcPr>
            <w:tcW w:w="1985" w:type="dxa"/>
          </w:tcPr>
          <w:p w14:paraId="3E363FC5" w14:textId="6FE29026" w:rsidR="00EE362C" w:rsidRPr="00B4433C" w:rsidRDefault="00D86B48" w:rsidP="00EE362C">
            <w:pPr>
              <w:jc w:val="both"/>
              <w:rPr>
                <w:rFonts w:asciiTheme="majorHAnsi" w:hAnsiTheme="majorHAnsi" w:cstheme="majorHAnsi"/>
              </w:rPr>
            </w:pPr>
            <w:r w:rsidRPr="007D0A2F">
              <w:rPr>
                <w:color w:val="000000"/>
                <w:spacing w:val="-2"/>
              </w:rPr>
              <w:tab/>
            </w:r>
          </w:p>
        </w:tc>
        <w:tc>
          <w:tcPr>
            <w:tcW w:w="1379" w:type="dxa"/>
          </w:tcPr>
          <w:p w14:paraId="42392B7A" w14:textId="77777777" w:rsidR="00EE362C" w:rsidRPr="00B4433C" w:rsidRDefault="00EE362C" w:rsidP="00EE362C">
            <w:pPr>
              <w:jc w:val="center"/>
              <w:rPr>
                <w:rFonts w:asciiTheme="majorHAnsi" w:hAnsiTheme="majorHAnsi" w:cstheme="majorHAnsi"/>
              </w:rPr>
            </w:pPr>
            <w:r w:rsidRPr="00B4433C">
              <w:rPr>
                <w:rFonts w:asciiTheme="majorHAnsi" w:hAnsiTheme="majorHAnsi" w:cstheme="majorHAnsi"/>
              </w:rPr>
              <w:t>jednostka</w:t>
            </w:r>
          </w:p>
        </w:tc>
        <w:tc>
          <w:tcPr>
            <w:tcW w:w="1526" w:type="dxa"/>
          </w:tcPr>
          <w:p w14:paraId="2645C907" w14:textId="77777777" w:rsidR="00EE362C" w:rsidRPr="00026FC3" w:rsidRDefault="00EE362C" w:rsidP="00EE362C">
            <w:pPr>
              <w:jc w:val="center"/>
              <w:rPr>
                <w:rFonts w:asciiTheme="majorHAnsi" w:hAnsiTheme="majorHAnsi" w:cstheme="majorHAnsi"/>
                <w:b/>
                <w:bCs/>
              </w:rPr>
            </w:pPr>
            <w:r w:rsidRPr="00026FC3">
              <w:rPr>
                <w:rFonts w:asciiTheme="majorHAnsi" w:hAnsiTheme="majorHAnsi" w:cstheme="majorHAnsi"/>
                <w:b/>
                <w:bCs/>
              </w:rPr>
              <w:t>2026</w:t>
            </w:r>
          </w:p>
        </w:tc>
        <w:tc>
          <w:tcPr>
            <w:tcW w:w="1581" w:type="dxa"/>
          </w:tcPr>
          <w:p w14:paraId="5E3DE5FC" w14:textId="77777777" w:rsidR="00EE362C" w:rsidRPr="00B4433C" w:rsidRDefault="00EE362C" w:rsidP="00EE362C">
            <w:pPr>
              <w:jc w:val="center"/>
              <w:rPr>
                <w:rFonts w:asciiTheme="majorHAnsi" w:hAnsiTheme="majorHAnsi" w:cstheme="majorHAnsi"/>
              </w:rPr>
            </w:pPr>
            <w:r w:rsidRPr="00B4433C">
              <w:rPr>
                <w:rFonts w:asciiTheme="majorHAnsi" w:hAnsiTheme="majorHAnsi" w:cstheme="majorHAnsi"/>
              </w:rPr>
              <w:t>2027</w:t>
            </w:r>
          </w:p>
        </w:tc>
        <w:tc>
          <w:tcPr>
            <w:tcW w:w="1364" w:type="dxa"/>
          </w:tcPr>
          <w:p w14:paraId="07ACE997" w14:textId="77777777" w:rsidR="00EE362C" w:rsidRPr="00B4433C" w:rsidRDefault="00EE362C" w:rsidP="00EE362C">
            <w:pPr>
              <w:jc w:val="center"/>
              <w:rPr>
                <w:rFonts w:asciiTheme="majorHAnsi" w:hAnsiTheme="majorHAnsi" w:cstheme="majorHAnsi"/>
              </w:rPr>
            </w:pPr>
            <w:r w:rsidRPr="00B4433C">
              <w:rPr>
                <w:rFonts w:asciiTheme="majorHAnsi" w:hAnsiTheme="majorHAnsi" w:cstheme="majorHAnsi"/>
              </w:rPr>
              <w:t>2028</w:t>
            </w:r>
          </w:p>
        </w:tc>
        <w:tc>
          <w:tcPr>
            <w:tcW w:w="1232" w:type="dxa"/>
          </w:tcPr>
          <w:p w14:paraId="0F89EEB2" w14:textId="77777777" w:rsidR="00EE362C" w:rsidRPr="00B4433C" w:rsidRDefault="00EE362C" w:rsidP="00EE362C">
            <w:pPr>
              <w:jc w:val="center"/>
              <w:rPr>
                <w:rFonts w:asciiTheme="majorHAnsi" w:hAnsiTheme="majorHAnsi" w:cstheme="majorHAnsi"/>
              </w:rPr>
            </w:pPr>
            <w:r w:rsidRPr="00B4433C">
              <w:rPr>
                <w:rFonts w:asciiTheme="majorHAnsi" w:hAnsiTheme="majorHAnsi" w:cstheme="majorHAnsi"/>
              </w:rPr>
              <w:t>średnia</w:t>
            </w:r>
          </w:p>
        </w:tc>
      </w:tr>
      <w:tr w:rsidR="00EE362C" w:rsidRPr="00B4433C" w14:paraId="1438B377" w14:textId="77777777" w:rsidTr="00026FC3">
        <w:trPr>
          <w:jc w:val="center"/>
        </w:trPr>
        <w:tc>
          <w:tcPr>
            <w:tcW w:w="1985" w:type="dxa"/>
          </w:tcPr>
          <w:p w14:paraId="6A995523" w14:textId="77777777" w:rsidR="00EE362C" w:rsidRPr="00B4433C" w:rsidRDefault="00EE362C" w:rsidP="00EE362C">
            <w:pPr>
              <w:jc w:val="both"/>
              <w:rPr>
                <w:rFonts w:asciiTheme="majorHAnsi" w:hAnsiTheme="majorHAnsi" w:cstheme="majorHAnsi"/>
              </w:rPr>
            </w:pPr>
            <w:r>
              <w:rPr>
                <w:rFonts w:asciiTheme="majorHAnsi" w:hAnsiTheme="majorHAnsi" w:cstheme="majorHAnsi"/>
              </w:rPr>
              <w:t>LCOE MFW</w:t>
            </w:r>
          </w:p>
        </w:tc>
        <w:tc>
          <w:tcPr>
            <w:tcW w:w="1379" w:type="dxa"/>
            <w:vAlign w:val="center"/>
          </w:tcPr>
          <w:p w14:paraId="17640578" w14:textId="77777777" w:rsidR="00EE362C" w:rsidRPr="00B4433C" w:rsidRDefault="00EE362C" w:rsidP="00EE362C">
            <w:pPr>
              <w:jc w:val="center"/>
              <w:rPr>
                <w:rFonts w:asciiTheme="majorHAnsi" w:hAnsiTheme="majorHAnsi" w:cstheme="majorHAnsi"/>
              </w:rPr>
            </w:pPr>
            <w:r w:rsidRPr="00B4433C">
              <w:rPr>
                <w:rFonts w:asciiTheme="majorHAnsi" w:hAnsiTheme="majorHAnsi" w:cstheme="majorHAnsi"/>
              </w:rPr>
              <w:t>PLN/MWh</w:t>
            </w:r>
          </w:p>
        </w:tc>
        <w:tc>
          <w:tcPr>
            <w:tcW w:w="1526" w:type="dxa"/>
            <w:vAlign w:val="center"/>
          </w:tcPr>
          <w:p w14:paraId="733299B1" w14:textId="77777777" w:rsidR="00EE362C" w:rsidRPr="00026FC3" w:rsidRDefault="00EE362C" w:rsidP="00EE362C">
            <w:pPr>
              <w:jc w:val="center"/>
              <w:rPr>
                <w:rFonts w:asciiTheme="majorHAnsi" w:hAnsiTheme="majorHAnsi" w:cstheme="majorHAnsi"/>
                <w:b/>
                <w:bCs/>
              </w:rPr>
            </w:pPr>
            <w:r w:rsidRPr="00026FC3">
              <w:rPr>
                <w:rFonts w:asciiTheme="majorHAnsi" w:hAnsiTheme="majorHAnsi" w:cstheme="majorHAnsi"/>
                <w:b/>
                <w:bCs/>
              </w:rPr>
              <w:t>301,5</w:t>
            </w:r>
          </w:p>
        </w:tc>
        <w:tc>
          <w:tcPr>
            <w:tcW w:w="1581" w:type="dxa"/>
            <w:vAlign w:val="center"/>
          </w:tcPr>
          <w:p w14:paraId="773F17FA" w14:textId="77777777" w:rsidR="00EE362C" w:rsidRPr="00B4433C" w:rsidRDefault="00EE362C" w:rsidP="00EE362C">
            <w:pPr>
              <w:jc w:val="center"/>
              <w:rPr>
                <w:rFonts w:asciiTheme="majorHAnsi" w:hAnsiTheme="majorHAnsi" w:cstheme="majorHAnsi"/>
              </w:rPr>
            </w:pPr>
            <w:r>
              <w:rPr>
                <w:rFonts w:asciiTheme="majorHAnsi" w:hAnsiTheme="majorHAnsi" w:cstheme="majorHAnsi"/>
              </w:rPr>
              <w:t>291,3</w:t>
            </w:r>
          </w:p>
        </w:tc>
        <w:tc>
          <w:tcPr>
            <w:tcW w:w="1364" w:type="dxa"/>
            <w:vAlign w:val="center"/>
          </w:tcPr>
          <w:p w14:paraId="4A87DB9D" w14:textId="77777777" w:rsidR="00EE362C" w:rsidRPr="00B4433C" w:rsidRDefault="00EE362C" w:rsidP="00EE362C">
            <w:pPr>
              <w:jc w:val="center"/>
              <w:rPr>
                <w:rFonts w:asciiTheme="majorHAnsi" w:hAnsiTheme="majorHAnsi" w:cstheme="majorHAnsi"/>
              </w:rPr>
            </w:pPr>
            <w:r>
              <w:rPr>
                <w:rFonts w:asciiTheme="majorHAnsi" w:hAnsiTheme="majorHAnsi" w:cstheme="majorHAnsi"/>
              </w:rPr>
              <w:t>282,1</w:t>
            </w:r>
          </w:p>
        </w:tc>
        <w:tc>
          <w:tcPr>
            <w:tcW w:w="1232" w:type="dxa"/>
          </w:tcPr>
          <w:p w14:paraId="5900F15F" w14:textId="77777777" w:rsidR="00EE362C" w:rsidRPr="00B4433C" w:rsidRDefault="00EE362C" w:rsidP="00EE362C">
            <w:pPr>
              <w:jc w:val="center"/>
              <w:rPr>
                <w:rFonts w:asciiTheme="majorHAnsi" w:hAnsiTheme="majorHAnsi" w:cstheme="majorHAnsi"/>
              </w:rPr>
            </w:pPr>
            <w:r>
              <w:rPr>
                <w:rFonts w:asciiTheme="majorHAnsi" w:hAnsiTheme="majorHAnsi" w:cstheme="majorHAnsi"/>
              </w:rPr>
              <w:t>291,7</w:t>
            </w:r>
          </w:p>
        </w:tc>
      </w:tr>
    </w:tbl>
    <w:p w14:paraId="5E498990" w14:textId="77777777" w:rsidR="00EE362C" w:rsidRPr="009C2CF4" w:rsidRDefault="00EE362C" w:rsidP="00B97405">
      <w:pPr>
        <w:spacing w:line="360" w:lineRule="auto"/>
        <w:ind w:firstLine="567"/>
        <w:jc w:val="both"/>
        <w:rPr>
          <w:color w:val="000000"/>
          <w:spacing w:val="-2"/>
        </w:rPr>
      </w:pPr>
    </w:p>
    <w:p w14:paraId="24BED116" w14:textId="186B4100" w:rsidR="006701D0" w:rsidRDefault="00C938B9" w:rsidP="00AA1262">
      <w:pPr>
        <w:spacing w:line="360" w:lineRule="auto"/>
        <w:ind w:firstLine="567"/>
        <w:jc w:val="both"/>
        <w:rPr>
          <w:rFonts w:ascii="TimesNewRomanPSMT" w:hAnsi="TimesNewRomanPSMT" w:cs="TimesNewRomanPSMT"/>
        </w:rPr>
      </w:pPr>
      <w:r>
        <w:rPr>
          <w:color w:val="000000"/>
          <w:spacing w:val="-2"/>
        </w:rPr>
        <w:t>Wyliczenie przyjętej ceny maksymalnej oparte zostało na zatwierdzonych przez Zespół i</w:t>
      </w:r>
      <w:r w:rsidR="006559F4">
        <w:rPr>
          <w:color w:val="000000"/>
          <w:spacing w:val="-2"/>
        </w:rPr>
        <w:t> </w:t>
      </w:r>
      <w:r>
        <w:rPr>
          <w:color w:val="000000"/>
          <w:spacing w:val="-2"/>
        </w:rPr>
        <w:t xml:space="preserve">Ministra Klimatu i Środowiska </w:t>
      </w:r>
      <w:r w:rsidRPr="00B7473D">
        <w:rPr>
          <w:color w:val="000000"/>
          <w:spacing w:val="-2"/>
        </w:rPr>
        <w:t>parametrach technicznych przedstawionych przez Biuro Pełnomocnika Rządu ds. Strategicznej Infrastruktury Energetycznej oraz P</w:t>
      </w:r>
      <w:r>
        <w:rPr>
          <w:color w:val="000000"/>
          <w:spacing w:val="-2"/>
        </w:rPr>
        <w:t>olski</w:t>
      </w:r>
      <w:r w:rsidR="00A87D74">
        <w:rPr>
          <w:color w:val="000000"/>
          <w:spacing w:val="-2"/>
        </w:rPr>
        <w:t>e</w:t>
      </w:r>
      <w:r>
        <w:rPr>
          <w:color w:val="000000"/>
          <w:spacing w:val="-2"/>
        </w:rPr>
        <w:t xml:space="preserve"> Sieci Elektroenergetyczn</w:t>
      </w:r>
      <w:r w:rsidR="00A87D74">
        <w:rPr>
          <w:color w:val="000000"/>
          <w:spacing w:val="-2"/>
        </w:rPr>
        <w:t>e</w:t>
      </w:r>
      <w:r w:rsidR="00F751F2">
        <w:rPr>
          <w:color w:val="000000"/>
          <w:spacing w:val="-2"/>
        </w:rPr>
        <w:t xml:space="preserve"> S.A.</w:t>
      </w:r>
      <w:r w:rsidRPr="00B7473D">
        <w:rPr>
          <w:color w:val="000000"/>
          <w:spacing w:val="-2"/>
        </w:rPr>
        <w:t>, w oparciu o założenia dla</w:t>
      </w:r>
      <w:r>
        <w:rPr>
          <w:color w:val="000000"/>
          <w:spacing w:val="-2"/>
        </w:rPr>
        <w:t xml:space="preserve"> </w:t>
      </w:r>
      <w:r w:rsidR="003E2D14">
        <w:rPr>
          <w:color w:val="000000"/>
          <w:spacing w:val="-2"/>
        </w:rPr>
        <w:t xml:space="preserve">referencyjnej morskiej farmy wiatrowej przekazanej do eksploatacji w </w:t>
      </w:r>
      <w:r w:rsidRPr="00B7473D">
        <w:rPr>
          <w:color w:val="000000"/>
          <w:spacing w:val="-2"/>
        </w:rPr>
        <w:t>roku 2026</w:t>
      </w:r>
      <w:r>
        <w:rPr>
          <w:color w:val="000000"/>
          <w:spacing w:val="-2"/>
        </w:rPr>
        <w:t>.</w:t>
      </w:r>
      <w:r w:rsidR="00AA1262" w:rsidRPr="00AA1262">
        <w:t xml:space="preserve"> </w:t>
      </w:r>
      <w:r w:rsidR="00AA1262" w:rsidRPr="00AA1262">
        <w:rPr>
          <w:color w:val="000000"/>
          <w:spacing w:val="-2"/>
        </w:rPr>
        <w:t>Aby odzwierciedlić polskie warunki rozwoju morskich farm wiatrowych</w:t>
      </w:r>
      <w:r w:rsidR="00F751F2">
        <w:rPr>
          <w:color w:val="000000"/>
          <w:spacing w:val="-2"/>
        </w:rPr>
        <w:t>,</w:t>
      </w:r>
      <w:r w:rsidR="00AA1262" w:rsidRPr="00AA1262">
        <w:rPr>
          <w:color w:val="000000"/>
          <w:spacing w:val="-2"/>
        </w:rPr>
        <w:t xml:space="preserve"> wszystkie wskaźniki techniczne i ekonomiczne ustandaryzowano stosując parametry techniczne lokalizacji referencyjnej.</w:t>
      </w:r>
      <w:r w:rsidR="00AA1262">
        <w:rPr>
          <w:color w:val="000000"/>
          <w:spacing w:val="-2"/>
        </w:rPr>
        <w:t xml:space="preserve"> </w:t>
      </w:r>
      <w:r w:rsidR="006701D0" w:rsidRPr="00A34CE4">
        <w:rPr>
          <w:rFonts w:ascii="TimesNewRomanPSMT" w:hAnsi="TimesNewRomanPSMT" w:cs="TimesNewRomanPSMT"/>
        </w:rPr>
        <w:t>Metod</w:t>
      </w:r>
      <w:r w:rsidR="00817A73">
        <w:rPr>
          <w:rFonts w:ascii="TimesNewRomanPSMT" w:hAnsi="TimesNewRomanPSMT" w:cs="TimesNewRomanPSMT"/>
        </w:rPr>
        <w:t>yka</w:t>
      </w:r>
      <w:r w:rsidR="006701D0" w:rsidRPr="00A34CE4">
        <w:rPr>
          <w:rFonts w:ascii="TimesNewRomanPSMT" w:hAnsi="TimesNewRomanPSMT" w:cs="TimesNewRomanPSMT"/>
        </w:rPr>
        <w:t xml:space="preserve"> opracowana przez Zespół opierała się na</w:t>
      </w:r>
      <w:r w:rsidR="006701D0">
        <w:rPr>
          <w:rFonts w:ascii="TimesNewRomanPSMT" w:hAnsi="TimesNewRomanPSMT" w:cs="TimesNewRomanPSMT"/>
        </w:rPr>
        <w:t xml:space="preserve"> uśrednionych</w:t>
      </w:r>
      <w:r w:rsidR="006701D0" w:rsidRPr="00A34CE4">
        <w:rPr>
          <w:rFonts w:ascii="TimesNewRomanPSMT" w:hAnsi="TimesNewRomanPSMT" w:cs="TimesNewRomanPSMT"/>
        </w:rPr>
        <w:t xml:space="preserve"> danych </w:t>
      </w:r>
      <w:r w:rsidR="003E2D14">
        <w:rPr>
          <w:rFonts w:ascii="TimesNewRomanPSMT" w:hAnsi="TimesNewRomanPSMT" w:cs="TimesNewRomanPSMT"/>
        </w:rPr>
        <w:t xml:space="preserve">technicznych </w:t>
      </w:r>
      <w:r w:rsidR="006701D0" w:rsidRPr="00A34CE4">
        <w:rPr>
          <w:rFonts w:ascii="TimesNewRomanPSMT" w:hAnsi="TimesNewRomanPSMT" w:cs="TimesNewRomanPSMT"/>
        </w:rPr>
        <w:t xml:space="preserve">pozyskanych </w:t>
      </w:r>
      <w:r w:rsidR="001F2979">
        <w:rPr>
          <w:rFonts w:ascii="TimesNewRomanPSMT" w:hAnsi="TimesNewRomanPSMT" w:cs="TimesNewRomanPSMT"/>
        </w:rPr>
        <w:t xml:space="preserve">m.in. </w:t>
      </w:r>
      <w:r w:rsidR="006701D0" w:rsidRPr="00A34CE4">
        <w:rPr>
          <w:rFonts w:ascii="TimesNewRomanPSMT" w:hAnsi="TimesNewRomanPSMT" w:cs="TimesNewRomanPSMT"/>
        </w:rPr>
        <w:t xml:space="preserve">od </w:t>
      </w:r>
      <w:r w:rsidR="006701D0">
        <w:rPr>
          <w:rFonts w:ascii="TimesNewRomanPSMT" w:hAnsi="TimesNewRomanPSMT" w:cs="TimesNewRomanPSMT"/>
        </w:rPr>
        <w:t>i</w:t>
      </w:r>
      <w:r w:rsidR="006701D0" w:rsidRPr="00A34CE4">
        <w:rPr>
          <w:rFonts w:ascii="TimesNewRomanPSMT" w:hAnsi="TimesNewRomanPSMT" w:cs="TimesNewRomanPSMT"/>
        </w:rPr>
        <w:t>nwestorów realizujących pierwsze projekty morskich farm wiatrowych w</w:t>
      </w:r>
      <w:r w:rsidR="00A87D74">
        <w:rPr>
          <w:rFonts w:ascii="TimesNewRomanPSMT" w:hAnsi="TimesNewRomanPSMT" w:cs="TimesNewRomanPSMT"/>
        </w:rPr>
        <w:t> </w:t>
      </w:r>
      <w:r w:rsidR="006701D0" w:rsidRPr="00A34CE4">
        <w:rPr>
          <w:rFonts w:ascii="TimesNewRomanPSMT" w:hAnsi="TimesNewRomanPSMT" w:cs="TimesNewRomanPSMT"/>
        </w:rPr>
        <w:t xml:space="preserve">Polsce. Ze względu na fakt, że dane mają ściśle poufny charakter i stanowią </w:t>
      </w:r>
      <w:r w:rsidR="007B12A2">
        <w:rPr>
          <w:rFonts w:ascii="TimesNewRomanPSMT" w:hAnsi="TimesNewRomanPSMT" w:cs="TimesNewRomanPSMT"/>
        </w:rPr>
        <w:t>t</w:t>
      </w:r>
      <w:r w:rsidR="006701D0" w:rsidRPr="00A34CE4">
        <w:rPr>
          <w:rFonts w:ascii="TimesNewRomanPSMT" w:hAnsi="TimesNewRomanPSMT" w:cs="TimesNewRomanPSMT"/>
        </w:rPr>
        <w:t xml:space="preserve">ajemnicę </w:t>
      </w:r>
      <w:r w:rsidR="007B12A2">
        <w:rPr>
          <w:rFonts w:ascii="TimesNewRomanPSMT" w:hAnsi="TimesNewRomanPSMT" w:cs="TimesNewRomanPSMT"/>
        </w:rPr>
        <w:t>przedsiębiorstwa</w:t>
      </w:r>
      <w:r w:rsidR="006701D0" w:rsidRPr="00A34CE4">
        <w:rPr>
          <w:rFonts w:ascii="TimesNewRomanPSMT" w:hAnsi="TimesNewRomanPSMT" w:cs="TimesNewRomanPSMT"/>
        </w:rPr>
        <w:t xml:space="preserve"> w</w:t>
      </w:r>
      <w:r w:rsidR="006559F4">
        <w:rPr>
          <w:rFonts w:ascii="TimesNewRomanPSMT" w:hAnsi="TimesNewRomanPSMT" w:cs="TimesNewRomanPSMT"/>
        </w:rPr>
        <w:t> </w:t>
      </w:r>
      <w:r w:rsidR="006701D0" w:rsidRPr="00A34CE4">
        <w:rPr>
          <w:rFonts w:ascii="TimesNewRomanPSMT" w:hAnsi="TimesNewRomanPSMT" w:cs="TimesNewRomanPSMT"/>
        </w:rPr>
        <w:t>rozumieniu ustawy</w:t>
      </w:r>
      <w:r w:rsidR="00A87D74">
        <w:rPr>
          <w:rFonts w:ascii="TimesNewRomanPSMT" w:hAnsi="TimesNewRomanPSMT" w:cs="TimesNewRomanPSMT"/>
        </w:rPr>
        <w:t xml:space="preserve"> </w:t>
      </w:r>
      <w:r w:rsidR="006701D0" w:rsidRPr="00A34CE4">
        <w:rPr>
          <w:rFonts w:ascii="TimesNewRomanPSMT" w:hAnsi="TimesNewRomanPSMT" w:cs="TimesNewRomanPSMT"/>
        </w:rPr>
        <w:t xml:space="preserve"> z dnia 16 kwietnia 1993 r. o zwalczaniu nieuczciwej konkurencji</w:t>
      </w:r>
      <w:r w:rsidR="00A87D74">
        <w:rPr>
          <w:rFonts w:ascii="TimesNewRomanPSMT" w:hAnsi="TimesNewRomanPSMT" w:cs="TimesNewRomanPSMT"/>
        </w:rPr>
        <w:t>,</w:t>
      </w:r>
      <w:r w:rsidR="006701D0" w:rsidRPr="00A34CE4">
        <w:rPr>
          <w:rFonts w:ascii="TimesNewRomanPSMT" w:hAnsi="TimesNewRomanPSMT" w:cs="TimesNewRomanPSMT"/>
        </w:rPr>
        <w:t xml:space="preserve"> nie mogły być przedstawione w szczegółowy sposób jako materiał źródłowy projektowanego rozporządzenia. Przekazane przez </w:t>
      </w:r>
      <w:r w:rsidR="00A87D74">
        <w:rPr>
          <w:rFonts w:ascii="TimesNewRomanPSMT" w:hAnsi="TimesNewRomanPSMT" w:cs="TimesNewRomanPSMT"/>
        </w:rPr>
        <w:t>i</w:t>
      </w:r>
      <w:r w:rsidR="006701D0" w:rsidRPr="00A34CE4">
        <w:rPr>
          <w:rFonts w:ascii="TimesNewRomanPSMT" w:hAnsi="TimesNewRomanPSMT" w:cs="TimesNewRomanPSMT"/>
        </w:rPr>
        <w:t>nwestorów dane oraz założenia zostały przekazane wyłącznie na potrzeby określenia ceny maksymalnej za energię elektryczną wytworzoną w</w:t>
      </w:r>
      <w:r w:rsidR="006559F4">
        <w:rPr>
          <w:rFonts w:ascii="TimesNewRomanPSMT" w:hAnsi="TimesNewRomanPSMT" w:cs="TimesNewRomanPSMT"/>
        </w:rPr>
        <w:t> </w:t>
      </w:r>
      <w:r w:rsidR="006701D0" w:rsidRPr="00A34CE4">
        <w:rPr>
          <w:rFonts w:ascii="TimesNewRomanPSMT" w:hAnsi="TimesNewRomanPSMT" w:cs="TimesNewRomanPSMT"/>
        </w:rPr>
        <w:t>morskich farmach wiatrowych i wprowadzoną do sieci, będącą podstawą rozliczenia prawa do pokrycia ujemnego salda i nie powinny być wykorzystywane w innym celu</w:t>
      </w:r>
      <w:r w:rsidR="006701D0">
        <w:rPr>
          <w:rFonts w:ascii="TimesNewRomanPSMT" w:hAnsi="TimesNewRomanPSMT" w:cs="TimesNewRomanPSMT"/>
        </w:rPr>
        <w:t>, a ich udostępnienie członkom Zespołu wymagało zastosowania procedury poufności wymaganej przez Zarządzenie Ministra Klimatu i</w:t>
      </w:r>
      <w:r w:rsidR="00D86B48">
        <w:rPr>
          <w:rFonts w:ascii="TimesNewRomanPSMT" w:hAnsi="TimesNewRomanPSMT" w:cs="TimesNewRomanPSMT"/>
        </w:rPr>
        <w:t> </w:t>
      </w:r>
      <w:r w:rsidR="006701D0">
        <w:rPr>
          <w:rFonts w:ascii="TimesNewRomanPSMT" w:hAnsi="TimesNewRomanPSMT" w:cs="TimesNewRomanPSMT"/>
        </w:rPr>
        <w:t>Środowiska.</w:t>
      </w:r>
    </w:p>
    <w:p w14:paraId="7CC88A98" w14:textId="5C434DB7" w:rsidR="006701D0" w:rsidRPr="00B97405" w:rsidRDefault="006701D0" w:rsidP="006701D0">
      <w:pPr>
        <w:pStyle w:val="PKTpunkt"/>
        <w:ind w:left="0" w:firstLine="567"/>
        <w:rPr>
          <w:rFonts w:ascii="Times New Roman" w:hAnsi="Times New Roman"/>
          <w:color w:val="000000"/>
          <w:spacing w:val="-2"/>
        </w:rPr>
      </w:pPr>
      <w:r>
        <w:rPr>
          <w:rFonts w:ascii="TimesNewRomanPSMT" w:hAnsi="TimesNewRomanPSMT" w:cs="TimesNewRomanPSMT"/>
          <w:szCs w:val="24"/>
        </w:rPr>
        <w:t>Na e</w:t>
      </w:r>
      <w:r>
        <w:rPr>
          <w:rFonts w:ascii="Times New Roman" w:hAnsi="Times New Roman"/>
          <w:color w:val="000000"/>
          <w:spacing w:val="-2"/>
        </w:rPr>
        <w:t xml:space="preserve">tapie </w:t>
      </w:r>
      <w:r w:rsidR="00A87D74">
        <w:rPr>
          <w:rFonts w:ascii="Times New Roman" w:hAnsi="Times New Roman"/>
          <w:color w:val="000000"/>
          <w:spacing w:val="-2"/>
        </w:rPr>
        <w:t xml:space="preserve">notyfikacji indywidulanej pomocy publicznej dla każdego projektu jak również </w:t>
      </w:r>
      <w:r>
        <w:rPr>
          <w:rFonts w:ascii="Times New Roman" w:hAnsi="Times New Roman"/>
          <w:color w:val="000000"/>
          <w:spacing w:val="-2"/>
        </w:rPr>
        <w:t xml:space="preserve">podczas </w:t>
      </w:r>
      <w:r w:rsidR="00A87D74">
        <w:rPr>
          <w:rFonts w:ascii="Times New Roman" w:hAnsi="Times New Roman"/>
          <w:color w:val="000000"/>
          <w:spacing w:val="-2"/>
        </w:rPr>
        <w:t>weryfikacji przez Prezesa URE każdej ceny na podstawie art. 18 ust. 1 ustawy, cena określona w projekcie rozporządzenia będzie mogła być tylko obniżona</w:t>
      </w:r>
      <w:r>
        <w:rPr>
          <w:rFonts w:ascii="Times New Roman" w:hAnsi="Times New Roman"/>
          <w:color w:val="000000"/>
          <w:spacing w:val="-2"/>
        </w:rPr>
        <w:t xml:space="preserve">. </w:t>
      </w:r>
    </w:p>
    <w:p w14:paraId="3479F5A3" w14:textId="4414A4B1" w:rsidR="006701D0" w:rsidRDefault="00F751F2" w:rsidP="006701D0">
      <w:pPr>
        <w:pStyle w:val="PKTpunkt"/>
        <w:ind w:left="0" w:firstLine="567"/>
      </w:pPr>
      <w:r>
        <w:t>Określ</w:t>
      </w:r>
      <w:r w:rsidR="00B97405">
        <w:t>o</w:t>
      </w:r>
      <w:r>
        <w:t xml:space="preserve">ny </w:t>
      </w:r>
      <w:r w:rsidR="006701D0">
        <w:t>w §</w:t>
      </w:r>
      <w:r>
        <w:t xml:space="preserve"> </w:t>
      </w:r>
      <w:r w:rsidR="006701D0">
        <w:t xml:space="preserve">3 projektu termin wejścia w życie przedmiotowego rozporządzenia </w:t>
      </w:r>
      <w:r>
        <w:t xml:space="preserve">wynika z potrzeby </w:t>
      </w:r>
      <w:r w:rsidR="006701D0">
        <w:t xml:space="preserve"> </w:t>
      </w:r>
      <w:r>
        <w:t xml:space="preserve">pilnego </w:t>
      </w:r>
      <w:r w:rsidR="006701D0">
        <w:t>wejści</w:t>
      </w:r>
      <w:r>
        <w:t>a</w:t>
      </w:r>
      <w:r w:rsidR="006701D0">
        <w:t xml:space="preserve"> w życie regulacji. Z uwagi na regulacje dotyczące systemu wsparcia dla morskich farm wiatrowych</w:t>
      </w:r>
      <w:r>
        <w:t xml:space="preserve"> i regulacje unijne</w:t>
      </w:r>
      <w:r w:rsidR="006701D0">
        <w:t>, niezbędne jest, aby rozporządzenie weszło w życie niezwłocznie, nie później niż</w:t>
      </w:r>
      <w:r>
        <w:t xml:space="preserve"> w marcu 2021 r., w terminie pozwalającym inwestorom na przeanalizowanie określonej w nim ceny maksymalnej oraz </w:t>
      </w:r>
      <w:r w:rsidRPr="00F751F2">
        <w:t>przygotowanie i</w:t>
      </w:r>
      <w:r w:rsidR="00B97405">
        <w:t> </w:t>
      </w:r>
      <w:r w:rsidRPr="00F751F2">
        <w:t>złożenie przez wytwórców do Prezesa URE wniosków o wsparcie w ramach I fazy</w:t>
      </w:r>
      <w:r>
        <w:t xml:space="preserve">, co mogą zrobić </w:t>
      </w:r>
      <w:r w:rsidR="006701D0">
        <w:t xml:space="preserve"> do 31 marca 2021 r. </w:t>
      </w:r>
      <w:r w:rsidR="00893BC4">
        <w:t xml:space="preserve"> </w:t>
      </w:r>
    </w:p>
    <w:p w14:paraId="1AA6DC29" w14:textId="54940B10" w:rsidR="00F751F2" w:rsidRDefault="00F751F2" w:rsidP="006701D0">
      <w:pPr>
        <w:pStyle w:val="PKTpunkt"/>
        <w:ind w:left="0" w:firstLine="567"/>
      </w:pPr>
      <w:r>
        <w:t>Projektowana regulacja nie wywiera wpływu na mikro i małych przedsiębiorców.</w:t>
      </w:r>
    </w:p>
    <w:p w14:paraId="36E3802C" w14:textId="6DF2E778" w:rsidR="00FF2D07" w:rsidRPr="00F8785C" w:rsidRDefault="00FF2D07" w:rsidP="006701D0">
      <w:pPr>
        <w:pStyle w:val="PKTpunkt"/>
        <w:ind w:left="0" w:firstLine="567"/>
        <w:rPr>
          <w:rFonts w:ascii="Times New Roman" w:hAnsi="Times New Roman"/>
          <w:color w:val="000000"/>
          <w:spacing w:val="-2"/>
        </w:rPr>
      </w:pPr>
      <w:r w:rsidRPr="00743F68">
        <w:lastRenderedPageBreak/>
        <w:t xml:space="preserve">Projekt </w:t>
      </w:r>
      <w:r w:rsidRPr="00743F68">
        <w:rPr>
          <w:shd w:val="clear" w:color="auto" w:fill="FFFFFF" w:themeFill="background1"/>
        </w:rPr>
        <w:t>przedmiotowej regulacji z chwilą przekazania do uzgodnień międzyresortowych zosta</w:t>
      </w:r>
      <w:r w:rsidR="00743F68" w:rsidRPr="00743F68">
        <w:rPr>
          <w:shd w:val="clear" w:color="auto" w:fill="FFFFFF" w:themeFill="background1"/>
        </w:rPr>
        <w:t>nie</w:t>
      </w:r>
      <w:r w:rsidRPr="00743F68">
        <w:rPr>
          <w:shd w:val="clear" w:color="auto" w:fill="FFFFFF" w:themeFill="background1"/>
        </w:rPr>
        <w:t xml:space="preserve"> udostępniony</w:t>
      </w:r>
      <w:r w:rsidRPr="00A4294B">
        <w:t xml:space="preserve"> w Biuletynie Informacji Publicznej na stronie podmiotowej Rządowego Centrum Legislacji, w serwisie Rządowy Proces Legislacyjny, zgodnie z ustawą z dnia 7 lipca 2005 o działalności lobbingowej w procesie stosowania prawa (Dz. U. </w:t>
      </w:r>
      <w:r>
        <w:t xml:space="preserve">z 2017 r. </w:t>
      </w:r>
      <w:r w:rsidRPr="00A4294B">
        <w:t xml:space="preserve">poz. </w:t>
      </w:r>
      <w:r>
        <w:t>248</w:t>
      </w:r>
      <w:r w:rsidRPr="00A4294B">
        <w:t>) oraz § 52</w:t>
      </w:r>
      <w:r>
        <w:t xml:space="preserve"> ust. 1</w:t>
      </w:r>
      <w:r w:rsidRPr="00A4294B">
        <w:t xml:space="preserve"> uchwały </w:t>
      </w:r>
      <w:r>
        <w:t>n</w:t>
      </w:r>
      <w:r w:rsidRPr="00A4294B">
        <w:t xml:space="preserve">r </w:t>
      </w:r>
      <w:r>
        <w:t xml:space="preserve">190 Rady Ministrów z dnia </w:t>
      </w:r>
      <w:r w:rsidRPr="00A4294B">
        <w:t>29 października 2013 r. –</w:t>
      </w:r>
      <w:r>
        <w:t xml:space="preserve"> Regulamin pracy Rady Ministrów </w:t>
      </w:r>
      <w:r w:rsidRPr="00A4294B">
        <w:t>(M.</w:t>
      </w:r>
      <w:r>
        <w:t xml:space="preserve"> </w:t>
      </w:r>
      <w:r w:rsidRPr="00A4294B">
        <w:t xml:space="preserve">P. </w:t>
      </w:r>
      <w:r>
        <w:t>z 2016 r. poz. 1006, z późn. zm.</w:t>
      </w:r>
      <w:r w:rsidRPr="00A4294B">
        <w:t>).</w:t>
      </w:r>
    </w:p>
    <w:p w14:paraId="50B8FA84" w14:textId="77777777" w:rsidR="00FF2D07" w:rsidRPr="00A4294B" w:rsidRDefault="00FF2D07" w:rsidP="006701D0">
      <w:pPr>
        <w:widowControl w:val="0"/>
        <w:autoSpaceDE w:val="0"/>
        <w:autoSpaceDN w:val="0"/>
        <w:adjustRightInd w:val="0"/>
        <w:spacing w:line="360" w:lineRule="auto"/>
        <w:ind w:firstLine="567"/>
        <w:jc w:val="both"/>
        <w:rPr>
          <w:rFonts w:eastAsiaTheme="minorEastAsia" w:cs="Arial"/>
          <w:szCs w:val="20"/>
        </w:rPr>
      </w:pPr>
      <w:r w:rsidRPr="00A4294B">
        <w:rPr>
          <w:rFonts w:eastAsiaTheme="minorEastAsia" w:cs="Arial"/>
          <w:szCs w:val="20"/>
        </w:rPr>
        <w:t>Projekt rozporządzenia jest zgodny z przepisami Unii Europejskiej.</w:t>
      </w:r>
    </w:p>
    <w:p w14:paraId="636F6E52" w14:textId="77777777" w:rsidR="00FF2D07" w:rsidRDefault="00FF2D07" w:rsidP="006701D0">
      <w:pPr>
        <w:widowControl w:val="0"/>
        <w:autoSpaceDE w:val="0"/>
        <w:autoSpaceDN w:val="0"/>
        <w:adjustRightInd w:val="0"/>
        <w:spacing w:line="360" w:lineRule="auto"/>
        <w:ind w:firstLine="567"/>
        <w:jc w:val="both"/>
        <w:rPr>
          <w:rFonts w:eastAsiaTheme="minorEastAsia" w:cs="Arial"/>
          <w:szCs w:val="20"/>
        </w:rPr>
      </w:pPr>
      <w:r w:rsidRPr="00A4294B">
        <w:rPr>
          <w:rFonts w:eastAsiaTheme="minorEastAsia" w:cs="Arial"/>
          <w:szCs w:val="20"/>
        </w:rPr>
        <w:t>Projekt rozporządzenia nie podlega procedurze notyfikacji w rozumieniu przepisów rozporządzenia Rady Ministrów z dnia 23 grudnia 2002 r. w sprawie sposobu funkcjonowania krajowego systemu notyfikacji norm i aktów prawnych (</w:t>
      </w:r>
      <w:r>
        <w:rPr>
          <w:rFonts w:eastAsiaTheme="minorEastAsia" w:cs="Arial"/>
          <w:szCs w:val="20"/>
        </w:rPr>
        <w:t xml:space="preserve">Dz. U. z 2002 r. poz. 2039 oraz z 2004 r. </w:t>
      </w:r>
      <w:r w:rsidRPr="00A4294B">
        <w:rPr>
          <w:rFonts w:eastAsiaTheme="minorEastAsia" w:cs="Arial"/>
          <w:szCs w:val="20"/>
        </w:rPr>
        <w:t>poz. 597).</w:t>
      </w:r>
    </w:p>
    <w:p w14:paraId="6E7B0FF7" w14:textId="7EEA1BC9" w:rsidR="000C0D98" w:rsidRPr="0014567D" w:rsidRDefault="00FF2D07" w:rsidP="00AA1262">
      <w:pPr>
        <w:widowControl w:val="0"/>
        <w:autoSpaceDE w:val="0"/>
        <w:autoSpaceDN w:val="0"/>
        <w:adjustRightInd w:val="0"/>
        <w:spacing w:line="360" w:lineRule="auto"/>
        <w:ind w:firstLine="567"/>
        <w:jc w:val="both"/>
        <w:rPr>
          <w:rFonts w:eastAsiaTheme="minorEastAsia" w:cs="Arial"/>
          <w:szCs w:val="20"/>
        </w:rPr>
      </w:pPr>
      <w:r>
        <w:rPr>
          <w:rFonts w:eastAsiaTheme="minorEastAsia" w:cs="Arial"/>
          <w:szCs w:val="20"/>
        </w:rPr>
        <w:t xml:space="preserve">Projekt nie wymaga </w:t>
      </w:r>
      <w:r w:rsidRPr="00DA14D7">
        <w:rPr>
          <w:rFonts w:eastAsiaTheme="minorEastAsia" w:cs="Arial"/>
          <w:szCs w:val="20"/>
        </w:rPr>
        <w:t>przedstawienia organom i instytucjom Unii Europejskiej, w tym Europejskiemu Bankowi Centralnemu,</w:t>
      </w:r>
      <w:r>
        <w:rPr>
          <w:rFonts w:eastAsiaTheme="minorEastAsia" w:cs="Arial"/>
          <w:szCs w:val="20"/>
        </w:rPr>
        <w:t xml:space="preserve"> </w:t>
      </w:r>
      <w:r w:rsidRPr="00DA14D7">
        <w:rPr>
          <w:rFonts w:eastAsiaTheme="minorEastAsia" w:cs="Arial"/>
          <w:szCs w:val="20"/>
        </w:rPr>
        <w:t>w celu uzyskania opinii, dokonania powiadomienia</w:t>
      </w:r>
      <w:r>
        <w:rPr>
          <w:rFonts w:eastAsiaTheme="minorEastAsia" w:cs="Arial"/>
          <w:szCs w:val="20"/>
        </w:rPr>
        <w:t>, konsultacji albo uzgodnienia.</w:t>
      </w:r>
    </w:p>
    <w:sectPr w:rsidR="000C0D98" w:rsidRPr="0014567D"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0EDD" w14:textId="77777777" w:rsidR="0098663A" w:rsidRDefault="0098663A">
      <w:r>
        <w:separator/>
      </w:r>
    </w:p>
  </w:endnote>
  <w:endnote w:type="continuationSeparator" w:id="0">
    <w:p w14:paraId="28A5ACEC" w14:textId="77777777" w:rsidR="0098663A" w:rsidRDefault="0098663A">
      <w:r>
        <w:continuationSeparator/>
      </w:r>
    </w:p>
  </w:endnote>
  <w:endnote w:type="continuationNotice" w:id="1">
    <w:p w14:paraId="2E9C65B6" w14:textId="77777777" w:rsidR="0098663A" w:rsidRDefault="00986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0B11" w14:textId="77777777" w:rsidR="00192DA8" w:rsidRDefault="00192D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D9DA" w14:textId="77777777" w:rsidR="00192DA8" w:rsidRDefault="00192D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ABEA" w14:textId="77777777" w:rsidR="00192DA8" w:rsidRDefault="00192D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CFC08" w14:textId="77777777" w:rsidR="0098663A" w:rsidRDefault="0098663A">
      <w:r>
        <w:separator/>
      </w:r>
    </w:p>
  </w:footnote>
  <w:footnote w:type="continuationSeparator" w:id="0">
    <w:p w14:paraId="508585B6" w14:textId="77777777" w:rsidR="0098663A" w:rsidRDefault="0098663A">
      <w:r>
        <w:continuationSeparator/>
      </w:r>
    </w:p>
  </w:footnote>
  <w:footnote w:type="continuationNotice" w:id="1">
    <w:p w14:paraId="7684803B" w14:textId="77777777" w:rsidR="0098663A" w:rsidRDefault="00986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E724" w14:textId="77777777" w:rsidR="00192DA8" w:rsidRDefault="00192D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AC64" w14:textId="440782E7" w:rsidR="00EE362C" w:rsidRPr="00B371CC" w:rsidRDefault="00EE362C" w:rsidP="00B371CC">
    <w:pPr>
      <w:pStyle w:val="Nagwek"/>
      <w:jc w:val="center"/>
    </w:pPr>
    <w:r>
      <w:t xml:space="preserve">– </w:t>
    </w:r>
    <w:r>
      <w:fldChar w:fldCharType="begin"/>
    </w:r>
    <w:r>
      <w:instrText xml:space="preserve"> PAGE  \* MERGEFORMAT </w:instrText>
    </w:r>
    <w:r>
      <w:fldChar w:fldCharType="separate"/>
    </w:r>
    <w:r w:rsidR="00D8541C">
      <w:rPr>
        <w:noProof/>
      </w:rPr>
      <w:t>14</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5A69" w14:textId="77777777" w:rsidR="00192DA8" w:rsidRDefault="00192D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19C"/>
    <w:multiLevelType w:val="hybridMultilevel"/>
    <w:tmpl w:val="ED461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A6DB4"/>
    <w:multiLevelType w:val="multilevel"/>
    <w:tmpl w:val="C2AE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C42F02"/>
    <w:multiLevelType w:val="hybridMultilevel"/>
    <w:tmpl w:val="F184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213DF"/>
    <w:multiLevelType w:val="hybridMultilevel"/>
    <w:tmpl w:val="10A296D0"/>
    <w:lvl w:ilvl="0" w:tplc="4A202966">
      <w:start w:val="1"/>
      <w:numFmt w:val="lowerLetter"/>
      <w:lvlText w:val="%1."/>
      <w:lvlJc w:val="left"/>
      <w:pPr>
        <w:tabs>
          <w:tab w:val="num" w:pos="720"/>
        </w:tabs>
        <w:ind w:left="720" w:hanging="360"/>
      </w:pPr>
    </w:lvl>
    <w:lvl w:ilvl="1" w:tplc="A02C2E42">
      <w:numFmt w:val="none"/>
      <w:lvlText w:val=""/>
      <w:lvlJc w:val="left"/>
      <w:pPr>
        <w:tabs>
          <w:tab w:val="num" w:pos="360"/>
        </w:tabs>
      </w:pPr>
    </w:lvl>
    <w:lvl w:ilvl="2" w:tplc="05A4DA88" w:tentative="1">
      <w:start w:val="1"/>
      <w:numFmt w:val="bullet"/>
      <w:lvlText w:val="•"/>
      <w:lvlJc w:val="left"/>
      <w:pPr>
        <w:tabs>
          <w:tab w:val="num" w:pos="2160"/>
        </w:tabs>
        <w:ind w:left="2160" w:hanging="360"/>
      </w:pPr>
      <w:rPr>
        <w:rFonts w:ascii="Times New Roman" w:hAnsi="Times New Roman" w:hint="default"/>
      </w:rPr>
    </w:lvl>
    <w:lvl w:ilvl="3" w:tplc="2002516A" w:tentative="1">
      <w:start w:val="1"/>
      <w:numFmt w:val="bullet"/>
      <w:lvlText w:val="•"/>
      <w:lvlJc w:val="left"/>
      <w:pPr>
        <w:tabs>
          <w:tab w:val="num" w:pos="2880"/>
        </w:tabs>
        <w:ind w:left="2880" w:hanging="360"/>
      </w:pPr>
      <w:rPr>
        <w:rFonts w:ascii="Times New Roman" w:hAnsi="Times New Roman" w:hint="default"/>
      </w:rPr>
    </w:lvl>
    <w:lvl w:ilvl="4" w:tplc="B08ED064" w:tentative="1">
      <w:start w:val="1"/>
      <w:numFmt w:val="bullet"/>
      <w:lvlText w:val="•"/>
      <w:lvlJc w:val="left"/>
      <w:pPr>
        <w:tabs>
          <w:tab w:val="num" w:pos="3600"/>
        </w:tabs>
        <w:ind w:left="3600" w:hanging="360"/>
      </w:pPr>
      <w:rPr>
        <w:rFonts w:ascii="Times New Roman" w:hAnsi="Times New Roman" w:hint="default"/>
      </w:rPr>
    </w:lvl>
    <w:lvl w:ilvl="5" w:tplc="0CF0998A" w:tentative="1">
      <w:start w:val="1"/>
      <w:numFmt w:val="bullet"/>
      <w:lvlText w:val="•"/>
      <w:lvlJc w:val="left"/>
      <w:pPr>
        <w:tabs>
          <w:tab w:val="num" w:pos="4320"/>
        </w:tabs>
        <w:ind w:left="4320" w:hanging="360"/>
      </w:pPr>
      <w:rPr>
        <w:rFonts w:ascii="Times New Roman" w:hAnsi="Times New Roman" w:hint="default"/>
      </w:rPr>
    </w:lvl>
    <w:lvl w:ilvl="6" w:tplc="F0848326" w:tentative="1">
      <w:start w:val="1"/>
      <w:numFmt w:val="bullet"/>
      <w:lvlText w:val="•"/>
      <w:lvlJc w:val="left"/>
      <w:pPr>
        <w:tabs>
          <w:tab w:val="num" w:pos="5040"/>
        </w:tabs>
        <w:ind w:left="5040" w:hanging="360"/>
      </w:pPr>
      <w:rPr>
        <w:rFonts w:ascii="Times New Roman" w:hAnsi="Times New Roman" w:hint="default"/>
      </w:rPr>
    </w:lvl>
    <w:lvl w:ilvl="7" w:tplc="D188E198" w:tentative="1">
      <w:start w:val="1"/>
      <w:numFmt w:val="bullet"/>
      <w:lvlText w:val="•"/>
      <w:lvlJc w:val="left"/>
      <w:pPr>
        <w:tabs>
          <w:tab w:val="num" w:pos="5760"/>
        </w:tabs>
        <w:ind w:left="5760" w:hanging="360"/>
      </w:pPr>
      <w:rPr>
        <w:rFonts w:ascii="Times New Roman" w:hAnsi="Times New Roman" w:hint="default"/>
      </w:rPr>
    </w:lvl>
    <w:lvl w:ilvl="8" w:tplc="FEC471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0B2A48"/>
    <w:multiLevelType w:val="hybridMultilevel"/>
    <w:tmpl w:val="6D70CF6C"/>
    <w:lvl w:ilvl="0" w:tplc="04150011">
      <w:start w:val="1"/>
      <w:numFmt w:val="decimal"/>
      <w:lvlText w:val="%1)"/>
      <w:lvlJc w:val="left"/>
      <w:pPr>
        <w:tabs>
          <w:tab w:val="num" w:pos="720"/>
        </w:tabs>
        <w:ind w:left="720" w:hanging="360"/>
      </w:pPr>
    </w:lvl>
    <w:lvl w:ilvl="1" w:tplc="84CE589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F0276C"/>
    <w:multiLevelType w:val="hybridMultilevel"/>
    <w:tmpl w:val="E368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F760D9"/>
    <w:multiLevelType w:val="hybridMultilevel"/>
    <w:tmpl w:val="445CCA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B4F6443"/>
    <w:multiLevelType w:val="hybridMultilevel"/>
    <w:tmpl w:val="6E726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48355E"/>
    <w:multiLevelType w:val="hybridMultilevel"/>
    <w:tmpl w:val="4F34F118"/>
    <w:lvl w:ilvl="0" w:tplc="EB4ECD7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5B6C6E"/>
    <w:multiLevelType w:val="hybridMultilevel"/>
    <w:tmpl w:val="E9FC0EAA"/>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30DF"/>
    <w:multiLevelType w:val="hybridMultilevel"/>
    <w:tmpl w:val="359646F0"/>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3064F"/>
    <w:multiLevelType w:val="hybridMultilevel"/>
    <w:tmpl w:val="8794D9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4CE7244"/>
    <w:multiLevelType w:val="hybridMultilevel"/>
    <w:tmpl w:val="E3CA7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1D580F"/>
    <w:multiLevelType w:val="hybridMultilevel"/>
    <w:tmpl w:val="FD38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D6CED"/>
    <w:multiLevelType w:val="hybridMultilevel"/>
    <w:tmpl w:val="203AC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030C89"/>
    <w:multiLevelType w:val="hybridMultilevel"/>
    <w:tmpl w:val="1E82C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AF116C"/>
    <w:multiLevelType w:val="hybridMultilevel"/>
    <w:tmpl w:val="F0521CA0"/>
    <w:lvl w:ilvl="0" w:tplc="00A411D8">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8" w15:restartNumberingAfterBreak="0">
    <w:nsid w:val="4AD1750B"/>
    <w:multiLevelType w:val="hybridMultilevel"/>
    <w:tmpl w:val="1382B04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EF3B05"/>
    <w:multiLevelType w:val="hybridMultilevel"/>
    <w:tmpl w:val="13642E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D144190"/>
    <w:multiLevelType w:val="hybridMultilevel"/>
    <w:tmpl w:val="B8FC3666"/>
    <w:lvl w:ilvl="0" w:tplc="3224E818">
      <w:start w:val="1"/>
      <w:numFmt w:val="lowerLetter"/>
      <w:lvlText w:val="%1)"/>
      <w:lvlJc w:val="left"/>
      <w:pPr>
        <w:tabs>
          <w:tab w:val="num" w:pos="720"/>
        </w:tabs>
        <w:ind w:left="720" w:hanging="360"/>
      </w:pPr>
      <w:rPr>
        <w:rFonts w:ascii="Times New Roman" w:eastAsia="Calibri" w:hAnsi="Times New Roman" w:cs="Times New Roman"/>
        <w:b/>
        <w:bCs/>
      </w:rPr>
    </w:lvl>
    <w:lvl w:ilvl="1" w:tplc="7144A23A">
      <w:numFmt w:val="none"/>
      <w:lvlText w:val=""/>
      <w:lvlJc w:val="left"/>
      <w:pPr>
        <w:tabs>
          <w:tab w:val="num" w:pos="360"/>
        </w:tabs>
      </w:pPr>
    </w:lvl>
    <w:lvl w:ilvl="2" w:tplc="021AEBA4">
      <w:start w:val="1"/>
      <w:numFmt w:val="bullet"/>
      <w:lvlText w:val="•"/>
      <w:lvlJc w:val="left"/>
      <w:pPr>
        <w:tabs>
          <w:tab w:val="num" w:pos="2160"/>
        </w:tabs>
        <w:ind w:left="2160" w:hanging="360"/>
      </w:pPr>
      <w:rPr>
        <w:rFonts w:ascii="Times New Roman" w:hAnsi="Times New Roman" w:hint="default"/>
      </w:rPr>
    </w:lvl>
    <w:lvl w:ilvl="3" w:tplc="74EA9402" w:tentative="1">
      <w:start w:val="1"/>
      <w:numFmt w:val="bullet"/>
      <w:lvlText w:val="•"/>
      <w:lvlJc w:val="left"/>
      <w:pPr>
        <w:tabs>
          <w:tab w:val="num" w:pos="2880"/>
        </w:tabs>
        <w:ind w:left="2880" w:hanging="360"/>
      </w:pPr>
      <w:rPr>
        <w:rFonts w:ascii="Times New Roman" w:hAnsi="Times New Roman" w:hint="default"/>
      </w:rPr>
    </w:lvl>
    <w:lvl w:ilvl="4" w:tplc="8814DB76" w:tentative="1">
      <w:start w:val="1"/>
      <w:numFmt w:val="bullet"/>
      <w:lvlText w:val="•"/>
      <w:lvlJc w:val="left"/>
      <w:pPr>
        <w:tabs>
          <w:tab w:val="num" w:pos="3600"/>
        </w:tabs>
        <w:ind w:left="3600" w:hanging="360"/>
      </w:pPr>
      <w:rPr>
        <w:rFonts w:ascii="Times New Roman" w:hAnsi="Times New Roman" w:hint="default"/>
      </w:rPr>
    </w:lvl>
    <w:lvl w:ilvl="5" w:tplc="ED06B612" w:tentative="1">
      <w:start w:val="1"/>
      <w:numFmt w:val="bullet"/>
      <w:lvlText w:val="•"/>
      <w:lvlJc w:val="left"/>
      <w:pPr>
        <w:tabs>
          <w:tab w:val="num" w:pos="4320"/>
        </w:tabs>
        <w:ind w:left="4320" w:hanging="360"/>
      </w:pPr>
      <w:rPr>
        <w:rFonts w:ascii="Times New Roman" w:hAnsi="Times New Roman" w:hint="default"/>
      </w:rPr>
    </w:lvl>
    <w:lvl w:ilvl="6" w:tplc="56B61C58" w:tentative="1">
      <w:start w:val="1"/>
      <w:numFmt w:val="bullet"/>
      <w:lvlText w:val="•"/>
      <w:lvlJc w:val="left"/>
      <w:pPr>
        <w:tabs>
          <w:tab w:val="num" w:pos="5040"/>
        </w:tabs>
        <w:ind w:left="5040" w:hanging="360"/>
      </w:pPr>
      <w:rPr>
        <w:rFonts w:ascii="Times New Roman" w:hAnsi="Times New Roman" w:hint="default"/>
      </w:rPr>
    </w:lvl>
    <w:lvl w:ilvl="7" w:tplc="C630CD88" w:tentative="1">
      <w:start w:val="1"/>
      <w:numFmt w:val="bullet"/>
      <w:lvlText w:val="•"/>
      <w:lvlJc w:val="left"/>
      <w:pPr>
        <w:tabs>
          <w:tab w:val="num" w:pos="5760"/>
        </w:tabs>
        <w:ind w:left="5760" w:hanging="360"/>
      </w:pPr>
      <w:rPr>
        <w:rFonts w:ascii="Times New Roman" w:hAnsi="Times New Roman" w:hint="default"/>
      </w:rPr>
    </w:lvl>
    <w:lvl w:ilvl="8" w:tplc="8752C4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007557"/>
    <w:multiLevelType w:val="multilevel"/>
    <w:tmpl w:val="C7C21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8E6499"/>
    <w:multiLevelType w:val="hybridMultilevel"/>
    <w:tmpl w:val="1FC08A54"/>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15:restartNumberingAfterBreak="0">
    <w:nsid w:val="56204C5B"/>
    <w:multiLevelType w:val="hybridMultilevel"/>
    <w:tmpl w:val="1AB84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DA35EB"/>
    <w:multiLevelType w:val="hybridMultilevel"/>
    <w:tmpl w:val="65C0D7B4"/>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5B7326D8"/>
    <w:multiLevelType w:val="hybridMultilevel"/>
    <w:tmpl w:val="DB2C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312364"/>
    <w:multiLevelType w:val="hybridMultilevel"/>
    <w:tmpl w:val="F56A95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67894775"/>
    <w:multiLevelType w:val="hybridMultilevel"/>
    <w:tmpl w:val="3AA08A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1E708D4"/>
    <w:multiLevelType w:val="hybridMultilevel"/>
    <w:tmpl w:val="A06E3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8001A6"/>
    <w:multiLevelType w:val="hybridMultilevel"/>
    <w:tmpl w:val="F216FA4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1" w15:restartNumberingAfterBreak="0">
    <w:nsid w:val="79725328"/>
    <w:multiLevelType w:val="hybridMultilevel"/>
    <w:tmpl w:val="CA4EB1F0"/>
    <w:lvl w:ilvl="0" w:tplc="EB4ECD7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F3150F"/>
    <w:multiLevelType w:val="hybridMultilevel"/>
    <w:tmpl w:val="503ED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32"/>
  </w:num>
  <w:num w:numId="4">
    <w:abstractNumId w:val="28"/>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0"/>
  </w:num>
  <w:num w:numId="13">
    <w:abstractNumId w:val="11"/>
  </w:num>
  <w:num w:numId="14">
    <w:abstractNumId w:val="18"/>
  </w:num>
  <w:num w:numId="15">
    <w:abstractNumId w:val="2"/>
  </w:num>
  <w:num w:numId="16">
    <w:abstractNumId w:val="22"/>
  </w:num>
  <w:num w:numId="17">
    <w:abstractNumId w:val="13"/>
  </w:num>
  <w:num w:numId="18">
    <w:abstractNumId w:val="27"/>
  </w:num>
  <w:num w:numId="19">
    <w:abstractNumId w:val="9"/>
  </w:num>
  <w:num w:numId="20">
    <w:abstractNumId w:val="10"/>
  </w:num>
  <w:num w:numId="21">
    <w:abstractNumId w:val="17"/>
  </w:num>
  <w:num w:numId="22">
    <w:abstractNumId w:val="5"/>
  </w:num>
  <w:num w:numId="23">
    <w:abstractNumId w:val="19"/>
  </w:num>
  <w:num w:numId="24">
    <w:abstractNumId w:val="25"/>
  </w:num>
  <w:num w:numId="25">
    <w:abstractNumId w:val="23"/>
  </w:num>
  <w:num w:numId="26">
    <w:abstractNumId w:val="16"/>
  </w:num>
  <w:num w:numId="27">
    <w:abstractNumId w:val="20"/>
  </w:num>
  <w:num w:numId="28">
    <w:abstractNumId w:val="3"/>
  </w:num>
  <w:num w:numId="29">
    <w:abstractNumId w:val="24"/>
  </w:num>
  <w:num w:numId="30">
    <w:abstractNumId w:val="8"/>
  </w:num>
  <w:num w:numId="31">
    <w:abstractNumId w:val="21"/>
  </w:num>
  <w:num w:numId="32">
    <w:abstractNumId w:val="31"/>
  </w:num>
  <w:num w:numId="33">
    <w:abstractNumId w:val="7"/>
  </w:num>
  <w:num w:numId="34">
    <w:abstractNumId w:val="26"/>
  </w:num>
  <w:num w:numId="35">
    <w:abstractNumId w:val="12"/>
  </w:num>
  <w:num w:numId="36">
    <w:abstractNumId w:val="6"/>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D9"/>
    <w:rsid w:val="000012DA"/>
    <w:rsid w:val="0000246E"/>
    <w:rsid w:val="00003862"/>
    <w:rsid w:val="00003BC0"/>
    <w:rsid w:val="00005C5C"/>
    <w:rsid w:val="000124C7"/>
    <w:rsid w:val="00012A35"/>
    <w:rsid w:val="00016099"/>
    <w:rsid w:val="0001750C"/>
    <w:rsid w:val="00017DC2"/>
    <w:rsid w:val="00021522"/>
    <w:rsid w:val="00023471"/>
    <w:rsid w:val="00023F13"/>
    <w:rsid w:val="00025BFA"/>
    <w:rsid w:val="00025D9C"/>
    <w:rsid w:val="00026C53"/>
    <w:rsid w:val="00026FC3"/>
    <w:rsid w:val="00030634"/>
    <w:rsid w:val="000319C1"/>
    <w:rsid w:val="00031A8B"/>
    <w:rsid w:val="00031BCA"/>
    <w:rsid w:val="00032BDC"/>
    <w:rsid w:val="000330FA"/>
    <w:rsid w:val="0003362F"/>
    <w:rsid w:val="00033980"/>
    <w:rsid w:val="000354E5"/>
    <w:rsid w:val="00036B63"/>
    <w:rsid w:val="00037E1A"/>
    <w:rsid w:val="00041866"/>
    <w:rsid w:val="00043495"/>
    <w:rsid w:val="00043C73"/>
    <w:rsid w:val="00046A75"/>
    <w:rsid w:val="00047312"/>
    <w:rsid w:val="000508BD"/>
    <w:rsid w:val="000510F4"/>
    <w:rsid w:val="000517AB"/>
    <w:rsid w:val="0005339C"/>
    <w:rsid w:val="0005571B"/>
    <w:rsid w:val="00057AB3"/>
    <w:rsid w:val="00060076"/>
    <w:rsid w:val="00060432"/>
    <w:rsid w:val="00060D87"/>
    <w:rsid w:val="000615A5"/>
    <w:rsid w:val="00064E4C"/>
    <w:rsid w:val="0006519E"/>
    <w:rsid w:val="00065985"/>
    <w:rsid w:val="000664BC"/>
    <w:rsid w:val="00066901"/>
    <w:rsid w:val="00071BEE"/>
    <w:rsid w:val="000736CD"/>
    <w:rsid w:val="0007533B"/>
    <w:rsid w:val="0007545D"/>
    <w:rsid w:val="000760BF"/>
    <w:rsid w:val="000760E6"/>
    <w:rsid w:val="0007613E"/>
    <w:rsid w:val="00076BFC"/>
    <w:rsid w:val="00080C14"/>
    <w:rsid w:val="000814A7"/>
    <w:rsid w:val="00082AD5"/>
    <w:rsid w:val="000840BE"/>
    <w:rsid w:val="000841A0"/>
    <w:rsid w:val="0008557B"/>
    <w:rsid w:val="00085CE7"/>
    <w:rsid w:val="00085D0E"/>
    <w:rsid w:val="0008614F"/>
    <w:rsid w:val="000906EE"/>
    <w:rsid w:val="00090909"/>
    <w:rsid w:val="00091BA2"/>
    <w:rsid w:val="000944EF"/>
    <w:rsid w:val="000971C7"/>
    <w:rsid w:val="0009732D"/>
    <w:rsid w:val="000973F0"/>
    <w:rsid w:val="000A1296"/>
    <w:rsid w:val="000A1C27"/>
    <w:rsid w:val="000A1DAD"/>
    <w:rsid w:val="000A2649"/>
    <w:rsid w:val="000A323B"/>
    <w:rsid w:val="000A4965"/>
    <w:rsid w:val="000B2909"/>
    <w:rsid w:val="000B298D"/>
    <w:rsid w:val="000B3C8D"/>
    <w:rsid w:val="000B5B2D"/>
    <w:rsid w:val="000B5DCE"/>
    <w:rsid w:val="000B7C57"/>
    <w:rsid w:val="000C05BA"/>
    <w:rsid w:val="000C0D98"/>
    <w:rsid w:val="000C0E8F"/>
    <w:rsid w:val="000C148F"/>
    <w:rsid w:val="000C1D64"/>
    <w:rsid w:val="000C4BC4"/>
    <w:rsid w:val="000C5A02"/>
    <w:rsid w:val="000D0110"/>
    <w:rsid w:val="000D2468"/>
    <w:rsid w:val="000D318A"/>
    <w:rsid w:val="000D56F0"/>
    <w:rsid w:val="000D6173"/>
    <w:rsid w:val="000D61B8"/>
    <w:rsid w:val="000D6EB2"/>
    <w:rsid w:val="000D6F83"/>
    <w:rsid w:val="000D77C6"/>
    <w:rsid w:val="000E0768"/>
    <w:rsid w:val="000E09ED"/>
    <w:rsid w:val="000E1452"/>
    <w:rsid w:val="000E240F"/>
    <w:rsid w:val="000E25CC"/>
    <w:rsid w:val="000E3694"/>
    <w:rsid w:val="000E490F"/>
    <w:rsid w:val="000E6241"/>
    <w:rsid w:val="000F089B"/>
    <w:rsid w:val="000F1899"/>
    <w:rsid w:val="000F2BE3"/>
    <w:rsid w:val="000F3C72"/>
    <w:rsid w:val="000F3D0D"/>
    <w:rsid w:val="000F6A02"/>
    <w:rsid w:val="000F6ED4"/>
    <w:rsid w:val="000F7A6E"/>
    <w:rsid w:val="001005D0"/>
    <w:rsid w:val="001013B8"/>
    <w:rsid w:val="00101805"/>
    <w:rsid w:val="001042BA"/>
    <w:rsid w:val="00105D8E"/>
    <w:rsid w:val="00106D03"/>
    <w:rsid w:val="0010733D"/>
    <w:rsid w:val="00110465"/>
    <w:rsid w:val="00110628"/>
    <w:rsid w:val="001111AD"/>
    <w:rsid w:val="0011245A"/>
    <w:rsid w:val="0011493E"/>
    <w:rsid w:val="00115B72"/>
    <w:rsid w:val="00116527"/>
    <w:rsid w:val="001209EC"/>
    <w:rsid w:val="00120A9E"/>
    <w:rsid w:val="0012485A"/>
    <w:rsid w:val="00125A9C"/>
    <w:rsid w:val="001270A2"/>
    <w:rsid w:val="00131237"/>
    <w:rsid w:val="0013203C"/>
    <w:rsid w:val="001329AC"/>
    <w:rsid w:val="00134CA0"/>
    <w:rsid w:val="00135130"/>
    <w:rsid w:val="00135C23"/>
    <w:rsid w:val="0014026F"/>
    <w:rsid w:val="00140435"/>
    <w:rsid w:val="0014567D"/>
    <w:rsid w:val="0014582C"/>
    <w:rsid w:val="001462D3"/>
    <w:rsid w:val="001463C4"/>
    <w:rsid w:val="00147A47"/>
    <w:rsid w:val="00147AA1"/>
    <w:rsid w:val="0015171F"/>
    <w:rsid w:val="001520CF"/>
    <w:rsid w:val="00152C53"/>
    <w:rsid w:val="00155A9C"/>
    <w:rsid w:val="0015667C"/>
    <w:rsid w:val="00157110"/>
    <w:rsid w:val="0015742A"/>
    <w:rsid w:val="00157DA1"/>
    <w:rsid w:val="00161B14"/>
    <w:rsid w:val="00162739"/>
    <w:rsid w:val="00163147"/>
    <w:rsid w:val="00163B37"/>
    <w:rsid w:val="00164781"/>
    <w:rsid w:val="00164C57"/>
    <w:rsid w:val="00164C9D"/>
    <w:rsid w:val="0016569A"/>
    <w:rsid w:val="00172A05"/>
    <w:rsid w:val="00172F7A"/>
    <w:rsid w:val="00173150"/>
    <w:rsid w:val="00173390"/>
    <w:rsid w:val="001736F0"/>
    <w:rsid w:val="00173BB3"/>
    <w:rsid w:val="00173E71"/>
    <w:rsid w:val="001740D0"/>
    <w:rsid w:val="0017491F"/>
    <w:rsid w:val="00174F2C"/>
    <w:rsid w:val="00180F2A"/>
    <w:rsid w:val="00182086"/>
    <w:rsid w:val="00183180"/>
    <w:rsid w:val="00183383"/>
    <w:rsid w:val="00184B91"/>
    <w:rsid w:val="00184D4A"/>
    <w:rsid w:val="00186EC1"/>
    <w:rsid w:val="00191A09"/>
    <w:rsid w:val="00191E1F"/>
    <w:rsid w:val="00192DA8"/>
    <w:rsid w:val="0019473B"/>
    <w:rsid w:val="001952B1"/>
    <w:rsid w:val="00195CED"/>
    <w:rsid w:val="00195FFB"/>
    <w:rsid w:val="00196E39"/>
    <w:rsid w:val="00197649"/>
    <w:rsid w:val="001A01FB"/>
    <w:rsid w:val="001A10E9"/>
    <w:rsid w:val="001A1575"/>
    <w:rsid w:val="001A183D"/>
    <w:rsid w:val="001A1E5C"/>
    <w:rsid w:val="001A2003"/>
    <w:rsid w:val="001A2B65"/>
    <w:rsid w:val="001A3CD3"/>
    <w:rsid w:val="001A5BEF"/>
    <w:rsid w:val="001A7F15"/>
    <w:rsid w:val="001B0AFA"/>
    <w:rsid w:val="001B0C90"/>
    <w:rsid w:val="001B1827"/>
    <w:rsid w:val="001B342E"/>
    <w:rsid w:val="001B3782"/>
    <w:rsid w:val="001C02AF"/>
    <w:rsid w:val="001C1832"/>
    <w:rsid w:val="001C188C"/>
    <w:rsid w:val="001C1FCE"/>
    <w:rsid w:val="001C3EE4"/>
    <w:rsid w:val="001C4301"/>
    <w:rsid w:val="001C4517"/>
    <w:rsid w:val="001D1783"/>
    <w:rsid w:val="001D304F"/>
    <w:rsid w:val="001D53CD"/>
    <w:rsid w:val="001D55A3"/>
    <w:rsid w:val="001D5AF5"/>
    <w:rsid w:val="001D705A"/>
    <w:rsid w:val="001E0148"/>
    <w:rsid w:val="001E0404"/>
    <w:rsid w:val="001E05D9"/>
    <w:rsid w:val="001E1E73"/>
    <w:rsid w:val="001E4E0C"/>
    <w:rsid w:val="001E526D"/>
    <w:rsid w:val="001E5655"/>
    <w:rsid w:val="001E5773"/>
    <w:rsid w:val="001E62E2"/>
    <w:rsid w:val="001E683A"/>
    <w:rsid w:val="001E6C33"/>
    <w:rsid w:val="001E7E74"/>
    <w:rsid w:val="001F1544"/>
    <w:rsid w:val="001F16EB"/>
    <w:rsid w:val="001F1832"/>
    <w:rsid w:val="001F220F"/>
    <w:rsid w:val="001F25B3"/>
    <w:rsid w:val="001F2979"/>
    <w:rsid w:val="001F308A"/>
    <w:rsid w:val="001F311C"/>
    <w:rsid w:val="001F4877"/>
    <w:rsid w:val="001F50E5"/>
    <w:rsid w:val="001F6616"/>
    <w:rsid w:val="001F6BC2"/>
    <w:rsid w:val="001F773A"/>
    <w:rsid w:val="00202529"/>
    <w:rsid w:val="00202BD4"/>
    <w:rsid w:val="00203F2B"/>
    <w:rsid w:val="00204256"/>
    <w:rsid w:val="00204A97"/>
    <w:rsid w:val="00207970"/>
    <w:rsid w:val="002114EF"/>
    <w:rsid w:val="002143D8"/>
    <w:rsid w:val="002166AD"/>
    <w:rsid w:val="00216DFB"/>
    <w:rsid w:val="002171DD"/>
    <w:rsid w:val="00217871"/>
    <w:rsid w:val="002204B5"/>
    <w:rsid w:val="002215CC"/>
    <w:rsid w:val="00221EC4"/>
    <w:rsid w:val="00221ED8"/>
    <w:rsid w:val="002220B7"/>
    <w:rsid w:val="00222D5F"/>
    <w:rsid w:val="002231EA"/>
    <w:rsid w:val="00223FDF"/>
    <w:rsid w:val="002259FB"/>
    <w:rsid w:val="00226867"/>
    <w:rsid w:val="002279C0"/>
    <w:rsid w:val="00230CC5"/>
    <w:rsid w:val="00232563"/>
    <w:rsid w:val="0023727E"/>
    <w:rsid w:val="00242081"/>
    <w:rsid w:val="002429E2"/>
    <w:rsid w:val="00243777"/>
    <w:rsid w:val="00243D60"/>
    <w:rsid w:val="002441CD"/>
    <w:rsid w:val="002443A4"/>
    <w:rsid w:val="00245B30"/>
    <w:rsid w:val="00246C26"/>
    <w:rsid w:val="002501A3"/>
    <w:rsid w:val="002510F1"/>
    <w:rsid w:val="0025166C"/>
    <w:rsid w:val="002553BB"/>
    <w:rsid w:val="002555D4"/>
    <w:rsid w:val="00257224"/>
    <w:rsid w:val="00260870"/>
    <w:rsid w:val="00261116"/>
    <w:rsid w:val="002614CF"/>
    <w:rsid w:val="00261A16"/>
    <w:rsid w:val="00262A8E"/>
    <w:rsid w:val="00262F5A"/>
    <w:rsid w:val="00263522"/>
    <w:rsid w:val="0026388B"/>
    <w:rsid w:val="002640C1"/>
    <w:rsid w:val="00264EC6"/>
    <w:rsid w:val="0027050F"/>
    <w:rsid w:val="00271013"/>
    <w:rsid w:val="002735CD"/>
    <w:rsid w:val="00273FE4"/>
    <w:rsid w:val="002756D6"/>
    <w:rsid w:val="002765B4"/>
    <w:rsid w:val="00276A94"/>
    <w:rsid w:val="00281587"/>
    <w:rsid w:val="00287CDD"/>
    <w:rsid w:val="0029405D"/>
    <w:rsid w:val="00294FA6"/>
    <w:rsid w:val="00295A6F"/>
    <w:rsid w:val="0029755C"/>
    <w:rsid w:val="002A0212"/>
    <w:rsid w:val="002A20C4"/>
    <w:rsid w:val="002A2D06"/>
    <w:rsid w:val="002A570F"/>
    <w:rsid w:val="002A7292"/>
    <w:rsid w:val="002A7358"/>
    <w:rsid w:val="002A7902"/>
    <w:rsid w:val="002B0F6B"/>
    <w:rsid w:val="002B23B8"/>
    <w:rsid w:val="002B2625"/>
    <w:rsid w:val="002B4429"/>
    <w:rsid w:val="002B46BF"/>
    <w:rsid w:val="002B4F71"/>
    <w:rsid w:val="002B68A6"/>
    <w:rsid w:val="002B6EB8"/>
    <w:rsid w:val="002B7FAF"/>
    <w:rsid w:val="002C05CF"/>
    <w:rsid w:val="002C0606"/>
    <w:rsid w:val="002C4EFD"/>
    <w:rsid w:val="002C5FA4"/>
    <w:rsid w:val="002D0C4F"/>
    <w:rsid w:val="002D1364"/>
    <w:rsid w:val="002D42A5"/>
    <w:rsid w:val="002D4D30"/>
    <w:rsid w:val="002D5000"/>
    <w:rsid w:val="002D5945"/>
    <w:rsid w:val="002D598D"/>
    <w:rsid w:val="002D7188"/>
    <w:rsid w:val="002D7BC5"/>
    <w:rsid w:val="002E1DE3"/>
    <w:rsid w:val="002E2AB6"/>
    <w:rsid w:val="002E2B0A"/>
    <w:rsid w:val="002E3F34"/>
    <w:rsid w:val="002E4DAC"/>
    <w:rsid w:val="002E591F"/>
    <w:rsid w:val="002E5F79"/>
    <w:rsid w:val="002E64FA"/>
    <w:rsid w:val="002F0A00"/>
    <w:rsid w:val="002F0CFA"/>
    <w:rsid w:val="002F3463"/>
    <w:rsid w:val="002F3BCB"/>
    <w:rsid w:val="002F4801"/>
    <w:rsid w:val="002F669F"/>
    <w:rsid w:val="00301C97"/>
    <w:rsid w:val="003027D6"/>
    <w:rsid w:val="003064FA"/>
    <w:rsid w:val="00306B0E"/>
    <w:rsid w:val="00306CCD"/>
    <w:rsid w:val="0031004C"/>
    <w:rsid w:val="003105F6"/>
    <w:rsid w:val="00310872"/>
    <w:rsid w:val="00310A6B"/>
    <w:rsid w:val="00311297"/>
    <w:rsid w:val="003113BE"/>
    <w:rsid w:val="00311493"/>
    <w:rsid w:val="003122CA"/>
    <w:rsid w:val="0031409D"/>
    <w:rsid w:val="003148B7"/>
    <w:rsid w:val="003148FD"/>
    <w:rsid w:val="003172A3"/>
    <w:rsid w:val="0032016F"/>
    <w:rsid w:val="00321080"/>
    <w:rsid w:val="003216AB"/>
    <w:rsid w:val="00322D45"/>
    <w:rsid w:val="00323A42"/>
    <w:rsid w:val="00324C86"/>
    <w:rsid w:val="0032569A"/>
    <w:rsid w:val="00325935"/>
    <w:rsid w:val="00325A1F"/>
    <w:rsid w:val="00325DCC"/>
    <w:rsid w:val="003262F9"/>
    <w:rsid w:val="003268F9"/>
    <w:rsid w:val="00327C8E"/>
    <w:rsid w:val="00330BAF"/>
    <w:rsid w:val="003330DA"/>
    <w:rsid w:val="00334E3A"/>
    <w:rsid w:val="00335D65"/>
    <w:rsid w:val="003361DD"/>
    <w:rsid w:val="00340EB8"/>
    <w:rsid w:val="00341A6A"/>
    <w:rsid w:val="00342C25"/>
    <w:rsid w:val="003438CF"/>
    <w:rsid w:val="00345B9C"/>
    <w:rsid w:val="00352DAE"/>
    <w:rsid w:val="00354D79"/>
    <w:rsid w:val="00354EB9"/>
    <w:rsid w:val="003602AE"/>
    <w:rsid w:val="00360929"/>
    <w:rsid w:val="00363D1F"/>
    <w:rsid w:val="003647D5"/>
    <w:rsid w:val="003674B0"/>
    <w:rsid w:val="0037136B"/>
    <w:rsid w:val="00371799"/>
    <w:rsid w:val="003728FC"/>
    <w:rsid w:val="00375C3F"/>
    <w:rsid w:val="0037727C"/>
    <w:rsid w:val="00377E70"/>
    <w:rsid w:val="0038086A"/>
    <w:rsid w:val="00380904"/>
    <w:rsid w:val="003823EE"/>
    <w:rsid w:val="00382960"/>
    <w:rsid w:val="003846F7"/>
    <w:rsid w:val="003847E1"/>
    <w:rsid w:val="003851ED"/>
    <w:rsid w:val="00385B39"/>
    <w:rsid w:val="00385CD8"/>
    <w:rsid w:val="00386785"/>
    <w:rsid w:val="00390E89"/>
    <w:rsid w:val="00391B1A"/>
    <w:rsid w:val="003939EC"/>
    <w:rsid w:val="00394423"/>
    <w:rsid w:val="00396942"/>
    <w:rsid w:val="00396B49"/>
    <w:rsid w:val="00396E3E"/>
    <w:rsid w:val="003A21AE"/>
    <w:rsid w:val="003A244C"/>
    <w:rsid w:val="003A29AF"/>
    <w:rsid w:val="003A306E"/>
    <w:rsid w:val="003A60DC"/>
    <w:rsid w:val="003A6A46"/>
    <w:rsid w:val="003A7443"/>
    <w:rsid w:val="003A7A63"/>
    <w:rsid w:val="003B000C"/>
    <w:rsid w:val="003B0F1D"/>
    <w:rsid w:val="003B4A57"/>
    <w:rsid w:val="003B7001"/>
    <w:rsid w:val="003C0AD9"/>
    <w:rsid w:val="003C0ED0"/>
    <w:rsid w:val="003C1D49"/>
    <w:rsid w:val="003C35C4"/>
    <w:rsid w:val="003C6C57"/>
    <w:rsid w:val="003C6F58"/>
    <w:rsid w:val="003C7F5B"/>
    <w:rsid w:val="003D12C2"/>
    <w:rsid w:val="003D1CAC"/>
    <w:rsid w:val="003D1F3C"/>
    <w:rsid w:val="003D240B"/>
    <w:rsid w:val="003D31B9"/>
    <w:rsid w:val="003D3867"/>
    <w:rsid w:val="003E0D1A"/>
    <w:rsid w:val="003E2D14"/>
    <w:rsid w:val="003E2DA3"/>
    <w:rsid w:val="003E4FCB"/>
    <w:rsid w:val="003E7E79"/>
    <w:rsid w:val="003F020D"/>
    <w:rsid w:val="003F03D9"/>
    <w:rsid w:val="003F0668"/>
    <w:rsid w:val="003F1317"/>
    <w:rsid w:val="003F23BA"/>
    <w:rsid w:val="003F2D82"/>
    <w:rsid w:val="003F2FBE"/>
    <w:rsid w:val="003F318D"/>
    <w:rsid w:val="003F46BC"/>
    <w:rsid w:val="003F5BAE"/>
    <w:rsid w:val="003F6513"/>
    <w:rsid w:val="003F6ED7"/>
    <w:rsid w:val="00401C84"/>
    <w:rsid w:val="00403210"/>
    <w:rsid w:val="004035BB"/>
    <w:rsid w:val="004035EB"/>
    <w:rsid w:val="004038CF"/>
    <w:rsid w:val="00407332"/>
    <w:rsid w:val="00407828"/>
    <w:rsid w:val="00411B0B"/>
    <w:rsid w:val="00413D8E"/>
    <w:rsid w:val="004140F2"/>
    <w:rsid w:val="00416A29"/>
    <w:rsid w:val="00417B22"/>
    <w:rsid w:val="00421085"/>
    <w:rsid w:val="0042465E"/>
    <w:rsid w:val="00424DF7"/>
    <w:rsid w:val="00432B76"/>
    <w:rsid w:val="004334FC"/>
    <w:rsid w:val="004336BD"/>
    <w:rsid w:val="00433E40"/>
    <w:rsid w:val="00434BB3"/>
    <w:rsid w:val="00434D01"/>
    <w:rsid w:val="00435D26"/>
    <w:rsid w:val="00436C85"/>
    <w:rsid w:val="00440300"/>
    <w:rsid w:val="00440C99"/>
    <w:rsid w:val="0044175C"/>
    <w:rsid w:val="00445F4D"/>
    <w:rsid w:val="004465F8"/>
    <w:rsid w:val="004504C0"/>
    <w:rsid w:val="00450608"/>
    <w:rsid w:val="004550FB"/>
    <w:rsid w:val="00456375"/>
    <w:rsid w:val="00456D4B"/>
    <w:rsid w:val="00460E62"/>
    <w:rsid w:val="0046111A"/>
    <w:rsid w:val="00462946"/>
    <w:rsid w:val="00463F43"/>
    <w:rsid w:val="00464B94"/>
    <w:rsid w:val="00465261"/>
    <w:rsid w:val="004653A8"/>
    <w:rsid w:val="00465A0B"/>
    <w:rsid w:val="004668EB"/>
    <w:rsid w:val="00467F39"/>
    <w:rsid w:val="0047077C"/>
    <w:rsid w:val="00470B05"/>
    <w:rsid w:val="00470E75"/>
    <w:rsid w:val="0047207C"/>
    <w:rsid w:val="00472CD6"/>
    <w:rsid w:val="00474E3C"/>
    <w:rsid w:val="00476EE5"/>
    <w:rsid w:val="00480A58"/>
    <w:rsid w:val="00482151"/>
    <w:rsid w:val="00484D1D"/>
    <w:rsid w:val="00485DC1"/>
    <w:rsid w:val="00485FAD"/>
    <w:rsid w:val="00487AED"/>
    <w:rsid w:val="004914D7"/>
    <w:rsid w:val="00491EDF"/>
    <w:rsid w:val="004924EC"/>
    <w:rsid w:val="00492A3F"/>
    <w:rsid w:val="0049372B"/>
    <w:rsid w:val="00494F62"/>
    <w:rsid w:val="00495E5A"/>
    <w:rsid w:val="00495EF2"/>
    <w:rsid w:val="004A1245"/>
    <w:rsid w:val="004A2001"/>
    <w:rsid w:val="004A21B2"/>
    <w:rsid w:val="004A3590"/>
    <w:rsid w:val="004A4D3E"/>
    <w:rsid w:val="004A78E0"/>
    <w:rsid w:val="004A7A5F"/>
    <w:rsid w:val="004B00A7"/>
    <w:rsid w:val="004B19FA"/>
    <w:rsid w:val="004B25E2"/>
    <w:rsid w:val="004B34D7"/>
    <w:rsid w:val="004B4441"/>
    <w:rsid w:val="004B5037"/>
    <w:rsid w:val="004B5B2F"/>
    <w:rsid w:val="004B626A"/>
    <w:rsid w:val="004B65B9"/>
    <w:rsid w:val="004B660E"/>
    <w:rsid w:val="004C05BD"/>
    <w:rsid w:val="004C35AB"/>
    <w:rsid w:val="004C3B06"/>
    <w:rsid w:val="004C3F97"/>
    <w:rsid w:val="004C5E2A"/>
    <w:rsid w:val="004C7EE7"/>
    <w:rsid w:val="004D04D6"/>
    <w:rsid w:val="004D2DEE"/>
    <w:rsid w:val="004D2E1F"/>
    <w:rsid w:val="004D354E"/>
    <w:rsid w:val="004D7FD9"/>
    <w:rsid w:val="004E1324"/>
    <w:rsid w:val="004E19A5"/>
    <w:rsid w:val="004E37E5"/>
    <w:rsid w:val="004E3FDB"/>
    <w:rsid w:val="004E4450"/>
    <w:rsid w:val="004F1F4A"/>
    <w:rsid w:val="004F296D"/>
    <w:rsid w:val="004F508B"/>
    <w:rsid w:val="004F695F"/>
    <w:rsid w:val="004F6CA4"/>
    <w:rsid w:val="00500752"/>
    <w:rsid w:val="00501036"/>
    <w:rsid w:val="00501A50"/>
    <w:rsid w:val="0050222D"/>
    <w:rsid w:val="00503AF3"/>
    <w:rsid w:val="0050696D"/>
    <w:rsid w:val="0051094B"/>
    <w:rsid w:val="005110D7"/>
    <w:rsid w:val="00511D99"/>
    <w:rsid w:val="0051247B"/>
    <w:rsid w:val="005128D3"/>
    <w:rsid w:val="00513F5E"/>
    <w:rsid w:val="005147E8"/>
    <w:rsid w:val="005158F2"/>
    <w:rsid w:val="00515C54"/>
    <w:rsid w:val="00515CDF"/>
    <w:rsid w:val="00516FE9"/>
    <w:rsid w:val="00517BB0"/>
    <w:rsid w:val="00520427"/>
    <w:rsid w:val="005252A4"/>
    <w:rsid w:val="00526DFC"/>
    <w:rsid w:val="00526F43"/>
    <w:rsid w:val="00527651"/>
    <w:rsid w:val="0053042D"/>
    <w:rsid w:val="0053243D"/>
    <w:rsid w:val="005333B9"/>
    <w:rsid w:val="005363AB"/>
    <w:rsid w:val="00536F4C"/>
    <w:rsid w:val="0054072A"/>
    <w:rsid w:val="00544DA3"/>
    <w:rsid w:val="00544EF4"/>
    <w:rsid w:val="005459BB"/>
    <w:rsid w:val="00545E53"/>
    <w:rsid w:val="005479D9"/>
    <w:rsid w:val="00553B89"/>
    <w:rsid w:val="00554C1C"/>
    <w:rsid w:val="005572BD"/>
    <w:rsid w:val="00557A12"/>
    <w:rsid w:val="00560AC7"/>
    <w:rsid w:val="00561AFB"/>
    <w:rsid w:val="00561FA8"/>
    <w:rsid w:val="00562E7F"/>
    <w:rsid w:val="005635ED"/>
    <w:rsid w:val="00565253"/>
    <w:rsid w:val="00566364"/>
    <w:rsid w:val="00567A11"/>
    <w:rsid w:val="00570191"/>
    <w:rsid w:val="00570570"/>
    <w:rsid w:val="00572512"/>
    <w:rsid w:val="00573EE6"/>
    <w:rsid w:val="0057547F"/>
    <w:rsid w:val="005754EE"/>
    <w:rsid w:val="0057617E"/>
    <w:rsid w:val="00576497"/>
    <w:rsid w:val="005835E7"/>
    <w:rsid w:val="0058397F"/>
    <w:rsid w:val="00583BF8"/>
    <w:rsid w:val="00585F33"/>
    <w:rsid w:val="00591124"/>
    <w:rsid w:val="0059449C"/>
    <w:rsid w:val="00597024"/>
    <w:rsid w:val="005A0274"/>
    <w:rsid w:val="005A0284"/>
    <w:rsid w:val="005A095C"/>
    <w:rsid w:val="005A20F7"/>
    <w:rsid w:val="005A2829"/>
    <w:rsid w:val="005A5CE8"/>
    <w:rsid w:val="005A5E0E"/>
    <w:rsid w:val="005A669D"/>
    <w:rsid w:val="005A75D8"/>
    <w:rsid w:val="005B1403"/>
    <w:rsid w:val="005B25E8"/>
    <w:rsid w:val="005B2B39"/>
    <w:rsid w:val="005B3B67"/>
    <w:rsid w:val="005B522D"/>
    <w:rsid w:val="005B713E"/>
    <w:rsid w:val="005B7DB3"/>
    <w:rsid w:val="005C03B6"/>
    <w:rsid w:val="005C2180"/>
    <w:rsid w:val="005C348E"/>
    <w:rsid w:val="005C5829"/>
    <w:rsid w:val="005C5AF7"/>
    <w:rsid w:val="005C67E3"/>
    <w:rsid w:val="005C68E1"/>
    <w:rsid w:val="005C72B3"/>
    <w:rsid w:val="005D1CFD"/>
    <w:rsid w:val="005D3763"/>
    <w:rsid w:val="005D4A49"/>
    <w:rsid w:val="005D55E1"/>
    <w:rsid w:val="005D5663"/>
    <w:rsid w:val="005D6482"/>
    <w:rsid w:val="005D6D9D"/>
    <w:rsid w:val="005E19F7"/>
    <w:rsid w:val="005E1A9F"/>
    <w:rsid w:val="005E444C"/>
    <w:rsid w:val="005E4E54"/>
    <w:rsid w:val="005E4F04"/>
    <w:rsid w:val="005E62C2"/>
    <w:rsid w:val="005E6C71"/>
    <w:rsid w:val="005F022E"/>
    <w:rsid w:val="005F06A8"/>
    <w:rsid w:val="005F0963"/>
    <w:rsid w:val="005F2824"/>
    <w:rsid w:val="005F2EBA"/>
    <w:rsid w:val="005F35ED"/>
    <w:rsid w:val="005F7812"/>
    <w:rsid w:val="005F7A88"/>
    <w:rsid w:val="00603A1A"/>
    <w:rsid w:val="006046D5"/>
    <w:rsid w:val="0060655C"/>
    <w:rsid w:val="00607A93"/>
    <w:rsid w:val="00610C08"/>
    <w:rsid w:val="00611F74"/>
    <w:rsid w:val="00615772"/>
    <w:rsid w:val="00616308"/>
    <w:rsid w:val="0061789C"/>
    <w:rsid w:val="006178F1"/>
    <w:rsid w:val="00617B22"/>
    <w:rsid w:val="00620981"/>
    <w:rsid w:val="00621256"/>
    <w:rsid w:val="00621DD0"/>
    <w:rsid w:val="00621FCC"/>
    <w:rsid w:val="00622E4B"/>
    <w:rsid w:val="006308EA"/>
    <w:rsid w:val="00630A16"/>
    <w:rsid w:val="006333DA"/>
    <w:rsid w:val="00635134"/>
    <w:rsid w:val="006356E2"/>
    <w:rsid w:val="00635814"/>
    <w:rsid w:val="00637ABB"/>
    <w:rsid w:val="00637E4C"/>
    <w:rsid w:val="00637F58"/>
    <w:rsid w:val="00642A65"/>
    <w:rsid w:val="00644A04"/>
    <w:rsid w:val="00645DCE"/>
    <w:rsid w:val="006465AC"/>
    <w:rsid w:val="006465BF"/>
    <w:rsid w:val="006474D1"/>
    <w:rsid w:val="0064785B"/>
    <w:rsid w:val="006500A6"/>
    <w:rsid w:val="006523AB"/>
    <w:rsid w:val="00653B22"/>
    <w:rsid w:val="00654C31"/>
    <w:rsid w:val="00655438"/>
    <w:rsid w:val="006559F4"/>
    <w:rsid w:val="00657BF4"/>
    <w:rsid w:val="00657D82"/>
    <w:rsid w:val="006603FB"/>
    <w:rsid w:val="006608DF"/>
    <w:rsid w:val="006623AC"/>
    <w:rsid w:val="0066302B"/>
    <w:rsid w:val="006678AF"/>
    <w:rsid w:val="006701D0"/>
    <w:rsid w:val="006701EF"/>
    <w:rsid w:val="006717F7"/>
    <w:rsid w:val="006722AC"/>
    <w:rsid w:val="00673BA5"/>
    <w:rsid w:val="00673C75"/>
    <w:rsid w:val="00673F76"/>
    <w:rsid w:val="006777FA"/>
    <w:rsid w:val="00680058"/>
    <w:rsid w:val="00680BA2"/>
    <w:rsid w:val="00681F9F"/>
    <w:rsid w:val="00683BFF"/>
    <w:rsid w:val="006840EA"/>
    <w:rsid w:val="006844E2"/>
    <w:rsid w:val="00685267"/>
    <w:rsid w:val="006866F4"/>
    <w:rsid w:val="006872AE"/>
    <w:rsid w:val="006879C8"/>
    <w:rsid w:val="00690082"/>
    <w:rsid w:val="00690252"/>
    <w:rsid w:val="006927F9"/>
    <w:rsid w:val="006946BB"/>
    <w:rsid w:val="00694D3F"/>
    <w:rsid w:val="006954C2"/>
    <w:rsid w:val="006969FA"/>
    <w:rsid w:val="006A2567"/>
    <w:rsid w:val="006A35D5"/>
    <w:rsid w:val="006A4C33"/>
    <w:rsid w:val="006A748A"/>
    <w:rsid w:val="006B1FBE"/>
    <w:rsid w:val="006B2CA9"/>
    <w:rsid w:val="006B3947"/>
    <w:rsid w:val="006B5A58"/>
    <w:rsid w:val="006B6A6B"/>
    <w:rsid w:val="006C183C"/>
    <w:rsid w:val="006C419E"/>
    <w:rsid w:val="006C4A31"/>
    <w:rsid w:val="006C54C2"/>
    <w:rsid w:val="006C5AC2"/>
    <w:rsid w:val="006C6AFB"/>
    <w:rsid w:val="006C7FB6"/>
    <w:rsid w:val="006D1470"/>
    <w:rsid w:val="006D2735"/>
    <w:rsid w:val="006D45B2"/>
    <w:rsid w:val="006D5517"/>
    <w:rsid w:val="006D6377"/>
    <w:rsid w:val="006E0FCC"/>
    <w:rsid w:val="006E1E96"/>
    <w:rsid w:val="006E584B"/>
    <w:rsid w:val="006E5E21"/>
    <w:rsid w:val="006E79AD"/>
    <w:rsid w:val="006F0669"/>
    <w:rsid w:val="006F0DAE"/>
    <w:rsid w:val="006F212E"/>
    <w:rsid w:val="006F2648"/>
    <w:rsid w:val="006F2F10"/>
    <w:rsid w:val="006F34D7"/>
    <w:rsid w:val="006F3B87"/>
    <w:rsid w:val="006F3E91"/>
    <w:rsid w:val="006F482B"/>
    <w:rsid w:val="006F6311"/>
    <w:rsid w:val="007007E0"/>
    <w:rsid w:val="00701952"/>
    <w:rsid w:val="00702556"/>
    <w:rsid w:val="0070277E"/>
    <w:rsid w:val="00704156"/>
    <w:rsid w:val="007069FC"/>
    <w:rsid w:val="00707005"/>
    <w:rsid w:val="007070DA"/>
    <w:rsid w:val="00711024"/>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26513"/>
    <w:rsid w:val="00727409"/>
    <w:rsid w:val="00730555"/>
    <w:rsid w:val="007312CC"/>
    <w:rsid w:val="0073146B"/>
    <w:rsid w:val="007321FA"/>
    <w:rsid w:val="00733532"/>
    <w:rsid w:val="007344FD"/>
    <w:rsid w:val="00735D24"/>
    <w:rsid w:val="00736A64"/>
    <w:rsid w:val="00737298"/>
    <w:rsid w:val="00737F6A"/>
    <w:rsid w:val="007410B6"/>
    <w:rsid w:val="00743F68"/>
    <w:rsid w:val="00744C6F"/>
    <w:rsid w:val="007457F6"/>
    <w:rsid w:val="00745ABB"/>
    <w:rsid w:val="0074673B"/>
    <w:rsid w:val="00746B4D"/>
    <w:rsid w:val="00746E38"/>
    <w:rsid w:val="0074776B"/>
    <w:rsid w:val="00747CD5"/>
    <w:rsid w:val="007513F5"/>
    <w:rsid w:val="00753B51"/>
    <w:rsid w:val="00756629"/>
    <w:rsid w:val="007575D2"/>
    <w:rsid w:val="00757B4F"/>
    <w:rsid w:val="00757B6A"/>
    <w:rsid w:val="007610E0"/>
    <w:rsid w:val="007621AA"/>
    <w:rsid w:val="0076260A"/>
    <w:rsid w:val="0076345F"/>
    <w:rsid w:val="00764300"/>
    <w:rsid w:val="00764A67"/>
    <w:rsid w:val="00765433"/>
    <w:rsid w:val="00770F6B"/>
    <w:rsid w:val="00771883"/>
    <w:rsid w:val="0077388B"/>
    <w:rsid w:val="007739C7"/>
    <w:rsid w:val="0077560B"/>
    <w:rsid w:val="00776DC2"/>
    <w:rsid w:val="00780122"/>
    <w:rsid w:val="00780E54"/>
    <w:rsid w:val="007811DB"/>
    <w:rsid w:val="00781C5C"/>
    <w:rsid w:val="0078214B"/>
    <w:rsid w:val="0078498A"/>
    <w:rsid w:val="00792207"/>
    <w:rsid w:val="00792B64"/>
    <w:rsid w:val="00792E29"/>
    <w:rsid w:val="007934F4"/>
    <w:rsid w:val="0079379A"/>
    <w:rsid w:val="00794953"/>
    <w:rsid w:val="00797A97"/>
    <w:rsid w:val="007A005A"/>
    <w:rsid w:val="007A1F2F"/>
    <w:rsid w:val="007A2A5C"/>
    <w:rsid w:val="007A5150"/>
    <w:rsid w:val="007A5373"/>
    <w:rsid w:val="007A789F"/>
    <w:rsid w:val="007B09DA"/>
    <w:rsid w:val="007B12A2"/>
    <w:rsid w:val="007B1CCA"/>
    <w:rsid w:val="007B21BC"/>
    <w:rsid w:val="007B422E"/>
    <w:rsid w:val="007B544F"/>
    <w:rsid w:val="007B75BC"/>
    <w:rsid w:val="007C0BD6"/>
    <w:rsid w:val="007C3238"/>
    <w:rsid w:val="007C3806"/>
    <w:rsid w:val="007C5BB7"/>
    <w:rsid w:val="007C5C34"/>
    <w:rsid w:val="007C6B2A"/>
    <w:rsid w:val="007D012F"/>
    <w:rsid w:val="007D07D5"/>
    <w:rsid w:val="007D0A2F"/>
    <w:rsid w:val="007D19AA"/>
    <w:rsid w:val="007D1C64"/>
    <w:rsid w:val="007D2BE7"/>
    <w:rsid w:val="007D32DD"/>
    <w:rsid w:val="007D36D6"/>
    <w:rsid w:val="007D5699"/>
    <w:rsid w:val="007D6DCE"/>
    <w:rsid w:val="007D72C4"/>
    <w:rsid w:val="007E1235"/>
    <w:rsid w:val="007E1F2D"/>
    <w:rsid w:val="007E2CFE"/>
    <w:rsid w:val="007E59C9"/>
    <w:rsid w:val="007F0072"/>
    <w:rsid w:val="007F2EB6"/>
    <w:rsid w:val="007F4C20"/>
    <w:rsid w:val="007F54C3"/>
    <w:rsid w:val="007F68D6"/>
    <w:rsid w:val="00802949"/>
    <w:rsid w:val="0080301E"/>
    <w:rsid w:val="0080365F"/>
    <w:rsid w:val="00803AF9"/>
    <w:rsid w:val="008050EE"/>
    <w:rsid w:val="00806491"/>
    <w:rsid w:val="008125F4"/>
    <w:rsid w:val="00812BE5"/>
    <w:rsid w:val="00812D0E"/>
    <w:rsid w:val="008143A2"/>
    <w:rsid w:val="008152A3"/>
    <w:rsid w:val="00817429"/>
    <w:rsid w:val="00817A73"/>
    <w:rsid w:val="00821514"/>
    <w:rsid w:val="00821E35"/>
    <w:rsid w:val="00824539"/>
    <w:rsid w:val="00824591"/>
    <w:rsid w:val="00824AED"/>
    <w:rsid w:val="00826334"/>
    <w:rsid w:val="00827820"/>
    <w:rsid w:val="0083016C"/>
    <w:rsid w:val="00831B8B"/>
    <w:rsid w:val="0083405D"/>
    <w:rsid w:val="00834FC1"/>
    <w:rsid w:val="008352D4"/>
    <w:rsid w:val="00836DB9"/>
    <w:rsid w:val="00837626"/>
    <w:rsid w:val="00837C67"/>
    <w:rsid w:val="00837ED2"/>
    <w:rsid w:val="008415B0"/>
    <w:rsid w:val="00841A8D"/>
    <w:rsid w:val="00842028"/>
    <w:rsid w:val="008436B8"/>
    <w:rsid w:val="00844EE8"/>
    <w:rsid w:val="008460B6"/>
    <w:rsid w:val="008469F9"/>
    <w:rsid w:val="00847160"/>
    <w:rsid w:val="00850C9D"/>
    <w:rsid w:val="00852B59"/>
    <w:rsid w:val="00856272"/>
    <w:rsid w:val="008563FF"/>
    <w:rsid w:val="008565CB"/>
    <w:rsid w:val="0086018B"/>
    <w:rsid w:val="008611DD"/>
    <w:rsid w:val="008620DE"/>
    <w:rsid w:val="00866867"/>
    <w:rsid w:val="008671AB"/>
    <w:rsid w:val="00872257"/>
    <w:rsid w:val="00873AC6"/>
    <w:rsid w:val="0087419F"/>
    <w:rsid w:val="00875116"/>
    <w:rsid w:val="008753E6"/>
    <w:rsid w:val="0087738C"/>
    <w:rsid w:val="008802AF"/>
    <w:rsid w:val="00881926"/>
    <w:rsid w:val="00881D8F"/>
    <w:rsid w:val="0088318F"/>
    <w:rsid w:val="0088331D"/>
    <w:rsid w:val="008852B0"/>
    <w:rsid w:val="008857E9"/>
    <w:rsid w:val="00885AE7"/>
    <w:rsid w:val="00886B60"/>
    <w:rsid w:val="00887889"/>
    <w:rsid w:val="00887C9B"/>
    <w:rsid w:val="008917CE"/>
    <w:rsid w:val="008920FF"/>
    <w:rsid w:val="008926E8"/>
    <w:rsid w:val="00893BC4"/>
    <w:rsid w:val="008949F4"/>
    <w:rsid w:val="00894F19"/>
    <w:rsid w:val="00896A10"/>
    <w:rsid w:val="008971B5"/>
    <w:rsid w:val="00897808"/>
    <w:rsid w:val="00897F76"/>
    <w:rsid w:val="008A2E3F"/>
    <w:rsid w:val="008A4EF2"/>
    <w:rsid w:val="008A53EC"/>
    <w:rsid w:val="008A5612"/>
    <w:rsid w:val="008A5D26"/>
    <w:rsid w:val="008A65AA"/>
    <w:rsid w:val="008A6B13"/>
    <w:rsid w:val="008A6ECB"/>
    <w:rsid w:val="008A7E9F"/>
    <w:rsid w:val="008B0BF9"/>
    <w:rsid w:val="008B2866"/>
    <w:rsid w:val="008B354A"/>
    <w:rsid w:val="008B3621"/>
    <w:rsid w:val="008B3859"/>
    <w:rsid w:val="008B3B25"/>
    <w:rsid w:val="008B3B30"/>
    <w:rsid w:val="008B436D"/>
    <w:rsid w:val="008B48A8"/>
    <w:rsid w:val="008B4E49"/>
    <w:rsid w:val="008B7547"/>
    <w:rsid w:val="008B7712"/>
    <w:rsid w:val="008B7B26"/>
    <w:rsid w:val="008B7CF3"/>
    <w:rsid w:val="008C049C"/>
    <w:rsid w:val="008C09C9"/>
    <w:rsid w:val="008C1D2B"/>
    <w:rsid w:val="008C3524"/>
    <w:rsid w:val="008C4061"/>
    <w:rsid w:val="008C41C8"/>
    <w:rsid w:val="008C4229"/>
    <w:rsid w:val="008C470A"/>
    <w:rsid w:val="008C5BE0"/>
    <w:rsid w:val="008C6155"/>
    <w:rsid w:val="008C7233"/>
    <w:rsid w:val="008C7966"/>
    <w:rsid w:val="008C7CA5"/>
    <w:rsid w:val="008D0149"/>
    <w:rsid w:val="008D2434"/>
    <w:rsid w:val="008E171D"/>
    <w:rsid w:val="008E2785"/>
    <w:rsid w:val="008E36F4"/>
    <w:rsid w:val="008E47BE"/>
    <w:rsid w:val="008E6AD7"/>
    <w:rsid w:val="008E78A3"/>
    <w:rsid w:val="008F0654"/>
    <w:rsid w:val="008F06CB"/>
    <w:rsid w:val="008F0956"/>
    <w:rsid w:val="008F2E83"/>
    <w:rsid w:val="008F478C"/>
    <w:rsid w:val="008F612A"/>
    <w:rsid w:val="0090293D"/>
    <w:rsid w:val="0090335D"/>
    <w:rsid w:val="009034DE"/>
    <w:rsid w:val="009045C7"/>
    <w:rsid w:val="00905396"/>
    <w:rsid w:val="0090605D"/>
    <w:rsid w:val="00906419"/>
    <w:rsid w:val="00907FE0"/>
    <w:rsid w:val="00912889"/>
    <w:rsid w:val="0091310F"/>
    <w:rsid w:val="00913A42"/>
    <w:rsid w:val="00914167"/>
    <w:rsid w:val="009143DB"/>
    <w:rsid w:val="00915065"/>
    <w:rsid w:val="00917CE5"/>
    <w:rsid w:val="009217C0"/>
    <w:rsid w:val="00924921"/>
    <w:rsid w:val="00925241"/>
    <w:rsid w:val="00925CEC"/>
    <w:rsid w:val="00926A3F"/>
    <w:rsid w:val="0092794E"/>
    <w:rsid w:val="00930D30"/>
    <w:rsid w:val="009332A2"/>
    <w:rsid w:val="00935950"/>
    <w:rsid w:val="00937598"/>
    <w:rsid w:val="0093790B"/>
    <w:rsid w:val="009379E9"/>
    <w:rsid w:val="00941453"/>
    <w:rsid w:val="00942F93"/>
    <w:rsid w:val="00943751"/>
    <w:rsid w:val="009451C7"/>
    <w:rsid w:val="0094680D"/>
    <w:rsid w:val="00946DD0"/>
    <w:rsid w:val="009509E6"/>
    <w:rsid w:val="00950C86"/>
    <w:rsid w:val="00952018"/>
    <w:rsid w:val="00952800"/>
    <w:rsid w:val="0095300D"/>
    <w:rsid w:val="009530D9"/>
    <w:rsid w:val="00955A5E"/>
    <w:rsid w:val="00956812"/>
    <w:rsid w:val="00956E82"/>
    <w:rsid w:val="0095719A"/>
    <w:rsid w:val="009576B7"/>
    <w:rsid w:val="009623E9"/>
    <w:rsid w:val="00963EEB"/>
    <w:rsid w:val="009648BC"/>
    <w:rsid w:val="00964C2F"/>
    <w:rsid w:val="00965AB4"/>
    <w:rsid w:val="00965F88"/>
    <w:rsid w:val="00966DD8"/>
    <w:rsid w:val="00970801"/>
    <w:rsid w:val="009728FE"/>
    <w:rsid w:val="009733AF"/>
    <w:rsid w:val="00976C23"/>
    <w:rsid w:val="0098157B"/>
    <w:rsid w:val="009818DF"/>
    <w:rsid w:val="009843ED"/>
    <w:rsid w:val="00984E03"/>
    <w:rsid w:val="0098663A"/>
    <w:rsid w:val="009868DB"/>
    <w:rsid w:val="00986C5C"/>
    <w:rsid w:val="00987E85"/>
    <w:rsid w:val="00993C40"/>
    <w:rsid w:val="009A0D12"/>
    <w:rsid w:val="009A0FD5"/>
    <w:rsid w:val="009A1301"/>
    <w:rsid w:val="009A1987"/>
    <w:rsid w:val="009A2943"/>
    <w:rsid w:val="009A2BEE"/>
    <w:rsid w:val="009A379F"/>
    <w:rsid w:val="009A3AFE"/>
    <w:rsid w:val="009A5289"/>
    <w:rsid w:val="009A7A53"/>
    <w:rsid w:val="009B0402"/>
    <w:rsid w:val="009B0B75"/>
    <w:rsid w:val="009B16DF"/>
    <w:rsid w:val="009B27EE"/>
    <w:rsid w:val="009B36FB"/>
    <w:rsid w:val="009B4CB2"/>
    <w:rsid w:val="009B5853"/>
    <w:rsid w:val="009B6701"/>
    <w:rsid w:val="009B6EF7"/>
    <w:rsid w:val="009B7000"/>
    <w:rsid w:val="009B739C"/>
    <w:rsid w:val="009C04EC"/>
    <w:rsid w:val="009C1AE8"/>
    <w:rsid w:val="009C328C"/>
    <w:rsid w:val="009C4444"/>
    <w:rsid w:val="009C4502"/>
    <w:rsid w:val="009C4C82"/>
    <w:rsid w:val="009C7247"/>
    <w:rsid w:val="009C79AD"/>
    <w:rsid w:val="009C79F2"/>
    <w:rsid w:val="009C7CA6"/>
    <w:rsid w:val="009D2022"/>
    <w:rsid w:val="009D3316"/>
    <w:rsid w:val="009D55AA"/>
    <w:rsid w:val="009E34EC"/>
    <w:rsid w:val="009E3E77"/>
    <w:rsid w:val="009E3FAB"/>
    <w:rsid w:val="009E5929"/>
    <w:rsid w:val="009E5B3F"/>
    <w:rsid w:val="009E76CA"/>
    <w:rsid w:val="009E7D90"/>
    <w:rsid w:val="009F14C9"/>
    <w:rsid w:val="009F1AB0"/>
    <w:rsid w:val="009F3F72"/>
    <w:rsid w:val="009F501D"/>
    <w:rsid w:val="009F6850"/>
    <w:rsid w:val="00A03858"/>
    <w:rsid w:val="00A039D5"/>
    <w:rsid w:val="00A04051"/>
    <w:rsid w:val="00A046AD"/>
    <w:rsid w:val="00A06107"/>
    <w:rsid w:val="00A06B88"/>
    <w:rsid w:val="00A079C1"/>
    <w:rsid w:val="00A07B38"/>
    <w:rsid w:val="00A10126"/>
    <w:rsid w:val="00A12424"/>
    <w:rsid w:val="00A12520"/>
    <w:rsid w:val="00A130FD"/>
    <w:rsid w:val="00A13D6D"/>
    <w:rsid w:val="00A14769"/>
    <w:rsid w:val="00A16151"/>
    <w:rsid w:val="00A16559"/>
    <w:rsid w:val="00A16EC6"/>
    <w:rsid w:val="00A17298"/>
    <w:rsid w:val="00A17C06"/>
    <w:rsid w:val="00A2126E"/>
    <w:rsid w:val="00A21706"/>
    <w:rsid w:val="00A22E43"/>
    <w:rsid w:val="00A24D17"/>
    <w:rsid w:val="00A24FCC"/>
    <w:rsid w:val="00A26A90"/>
    <w:rsid w:val="00A26B27"/>
    <w:rsid w:val="00A30E4F"/>
    <w:rsid w:val="00A32253"/>
    <w:rsid w:val="00A3310E"/>
    <w:rsid w:val="00A333A0"/>
    <w:rsid w:val="00A360FD"/>
    <w:rsid w:val="00A37E70"/>
    <w:rsid w:val="00A40159"/>
    <w:rsid w:val="00A4294B"/>
    <w:rsid w:val="00A4368F"/>
    <w:rsid w:val="00A437E1"/>
    <w:rsid w:val="00A4685E"/>
    <w:rsid w:val="00A4686F"/>
    <w:rsid w:val="00A50CD4"/>
    <w:rsid w:val="00A51191"/>
    <w:rsid w:val="00A531C7"/>
    <w:rsid w:val="00A542F1"/>
    <w:rsid w:val="00A54417"/>
    <w:rsid w:val="00A55D69"/>
    <w:rsid w:val="00A560CB"/>
    <w:rsid w:val="00A56D62"/>
    <w:rsid w:val="00A56F07"/>
    <w:rsid w:val="00A5762C"/>
    <w:rsid w:val="00A600FC"/>
    <w:rsid w:val="00A606F4"/>
    <w:rsid w:val="00A60BCA"/>
    <w:rsid w:val="00A638DA"/>
    <w:rsid w:val="00A63D3F"/>
    <w:rsid w:val="00A65B41"/>
    <w:rsid w:val="00A65E00"/>
    <w:rsid w:val="00A66A78"/>
    <w:rsid w:val="00A72C57"/>
    <w:rsid w:val="00A736B4"/>
    <w:rsid w:val="00A7436E"/>
    <w:rsid w:val="00A74E96"/>
    <w:rsid w:val="00A75A8E"/>
    <w:rsid w:val="00A77EDE"/>
    <w:rsid w:val="00A8086F"/>
    <w:rsid w:val="00A81F33"/>
    <w:rsid w:val="00A8205F"/>
    <w:rsid w:val="00A8249F"/>
    <w:rsid w:val="00A824DD"/>
    <w:rsid w:val="00A83676"/>
    <w:rsid w:val="00A839A0"/>
    <w:rsid w:val="00A83B7B"/>
    <w:rsid w:val="00A84274"/>
    <w:rsid w:val="00A850F3"/>
    <w:rsid w:val="00A864E3"/>
    <w:rsid w:val="00A87D74"/>
    <w:rsid w:val="00A90EA3"/>
    <w:rsid w:val="00A910F7"/>
    <w:rsid w:val="00A93F20"/>
    <w:rsid w:val="00A94574"/>
    <w:rsid w:val="00A94723"/>
    <w:rsid w:val="00A95936"/>
    <w:rsid w:val="00A96265"/>
    <w:rsid w:val="00A96C4E"/>
    <w:rsid w:val="00A97084"/>
    <w:rsid w:val="00AA1262"/>
    <w:rsid w:val="00AA1C2C"/>
    <w:rsid w:val="00AA35F6"/>
    <w:rsid w:val="00AA50D3"/>
    <w:rsid w:val="00AA5926"/>
    <w:rsid w:val="00AA5B97"/>
    <w:rsid w:val="00AA667C"/>
    <w:rsid w:val="00AA6E91"/>
    <w:rsid w:val="00AA7439"/>
    <w:rsid w:val="00AB047E"/>
    <w:rsid w:val="00AB0B0A"/>
    <w:rsid w:val="00AB0BB7"/>
    <w:rsid w:val="00AB214A"/>
    <w:rsid w:val="00AB22C6"/>
    <w:rsid w:val="00AB2AD0"/>
    <w:rsid w:val="00AB4DE1"/>
    <w:rsid w:val="00AB530B"/>
    <w:rsid w:val="00AB63F8"/>
    <w:rsid w:val="00AB67FC"/>
    <w:rsid w:val="00AB6EF4"/>
    <w:rsid w:val="00AB6F68"/>
    <w:rsid w:val="00AC0035"/>
    <w:rsid w:val="00AC00F2"/>
    <w:rsid w:val="00AC1A9A"/>
    <w:rsid w:val="00AC31B5"/>
    <w:rsid w:val="00AC3E0E"/>
    <w:rsid w:val="00AC4014"/>
    <w:rsid w:val="00AC4EA1"/>
    <w:rsid w:val="00AC5381"/>
    <w:rsid w:val="00AC5920"/>
    <w:rsid w:val="00AD0E65"/>
    <w:rsid w:val="00AD24F7"/>
    <w:rsid w:val="00AD2BF2"/>
    <w:rsid w:val="00AD4E90"/>
    <w:rsid w:val="00AD5422"/>
    <w:rsid w:val="00AD6DC3"/>
    <w:rsid w:val="00AE26BC"/>
    <w:rsid w:val="00AE3D97"/>
    <w:rsid w:val="00AE4081"/>
    <w:rsid w:val="00AE4179"/>
    <w:rsid w:val="00AE4425"/>
    <w:rsid w:val="00AE4FBE"/>
    <w:rsid w:val="00AE650F"/>
    <w:rsid w:val="00AE6555"/>
    <w:rsid w:val="00AE7A7B"/>
    <w:rsid w:val="00AE7D16"/>
    <w:rsid w:val="00AF2EBB"/>
    <w:rsid w:val="00AF3BA1"/>
    <w:rsid w:val="00AF4BFE"/>
    <w:rsid w:val="00AF4CAA"/>
    <w:rsid w:val="00AF571A"/>
    <w:rsid w:val="00AF60A0"/>
    <w:rsid w:val="00AF669D"/>
    <w:rsid w:val="00AF67FC"/>
    <w:rsid w:val="00AF7030"/>
    <w:rsid w:val="00AF7DF5"/>
    <w:rsid w:val="00B006E5"/>
    <w:rsid w:val="00B01216"/>
    <w:rsid w:val="00B024C2"/>
    <w:rsid w:val="00B0452F"/>
    <w:rsid w:val="00B04563"/>
    <w:rsid w:val="00B05447"/>
    <w:rsid w:val="00B07700"/>
    <w:rsid w:val="00B12990"/>
    <w:rsid w:val="00B12BE4"/>
    <w:rsid w:val="00B13921"/>
    <w:rsid w:val="00B1528C"/>
    <w:rsid w:val="00B15315"/>
    <w:rsid w:val="00B16ACD"/>
    <w:rsid w:val="00B205F6"/>
    <w:rsid w:val="00B21487"/>
    <w:rsid w:val="00B21B4D"/>
    <w:rsid w:val="00B232D1"/>
    <w:rsid w:val="00B24753"/>
    <w:rsid w:val="00B24AB7"/>
    <w:rsid w:val="00B24DB5"/>
    <w:rsid w:val="00B271F3"/>
    <w:rsid w:val="00B30D79"/>
    <w:rsid w:val="00B3124E"/>
    <w:rsid w:val="00B313BF"/>
    <w:rsid w:val="00B31F9E"/>
    <w:rsid w:val="00B3268F"/>
    <w:rsid w:val="00B32C2C"/>
    <w:rsid w:val="00B338F4"/>
    <w:rsid w:val="00B339FA"/>
    <w:rsid w:val="00B33A1A"/>
    <w:rsid w:val="00B33E6C"/>
    <w:rsid w:val="00B371CC"/>
    <w:rsid w:val="00B40FC6"/>
    <w:rsid w:val="00B4131B"/>
    <w:rsid w:val="00B41CD9"/>
    <w:rsid w:val="00B427E6"/>
    <w:rsid w:val="00B428A6"/>
    <w:rsid w:val="00B43E1F"/>
    <w:rsid w:val="00B44F51"/>
    <w:rsid w:val="00B45FBC"/>
    <w:rsid w:val="00B51A7D"/>
    <w:rsid w:val="00B535C2"/>
    <w:rsid w:val="00B55544"/>
    <w:rsid w:val="00B632FB"/>
    <w:rsid w:val="00B642FC"/>
    <w:rsid w:val="00B64D26"/>
    <w:rsid w:val="00B64FBB"/>
    <w:rsid w:val="00B6757F"/>
    <w:rsid w:val="00B70B64"/>
    <w:rsid w:val="00B70E22"/>
    <w:rsid w:val="00B73D21"/>
    <w:rsid w:val="00B76045"/>
    <w:rsid w:val="00B774CB"/>
    <w:rsid w:val="00B80402"/>
    <w:rsid w:val="00B80B9A"/>
    <w:rsid w:val="00B82129"/>
    <w:rsid w:val="00B82F04"/>
    <w:rsid w:val="00B830B7"/>
    <w:rsid w:val="00B848EA"/>
    <w:rsid w:val="00B84B2B"/>
    <w:rsid w:val="00B85569"/>
    <w:rsid w:val="00B90500"/>
    <w:rsid w:val="00B9176C"/>
    <w:rsid w:val="00B935A4"/>
    <w:rsid w:val="00B96ACD"/>
    <w:rsid w:val="00B96EAB"/>
    <w:rsid w:val="00B96EDA"/>
    <w:rsid w:val="00B9710B"/>
    <w:rsid w:val="00B97405"/>
    <w:rsid w:val="00BA3576"/>
    <w:rsid w:val="00BA4458"/>
    <w:rsid w:val="00BA561A"/>
    <w:rsid w:val="00BB0DC6"/>
    <w:rsid w:val="00BB15E4"/>
    <w:rsid w:val="00BB1E19"/>
    <w:rsid w:val="00BB1E44"/>
    <w:rsid w:val="00BB21D1"/>
    <w:rsid w:val="00BB32F2"/>
    <w:rsid w:val="00BB4338"/>
    <w:rsid w:val="00BB6C0E"/>
    <w:rsid w:val="00BB741E"/>
    <w:rsid w:val="00BB7B38"/>
    <w:rsid w:val="00BB7E6C"/>
    <w:rsid w:val="00BC0B8F"/>
    <w:rsid w:val="00BC0CFA"/>
    <w:rsid w:val="00BC11E5"/>
    <w:rsid w:val="00BC4BC6"/>
    <w:rsid w:val="00BC52FD"/>
    <w:rsid w:val="00BC57D2"/>
    <w:rsid w:val="00BC6E62"/>
    <w:rsid w:val="00BC7443"/>
    <w:rsid w:val="00BD0648"/>
    <w:rsid w:val="00BD1040"/>
    <w:rsid w:val="00BD34AA"/>
    <w:rsid w:val="00BD36BB"/>
    <w:rsid w:val="00BD76EA"/>
    <w:rsid w:val="00BE0C44"/>
    <w:rsid w:val="00BE1B8B"/>
    <w:rsid w:val="00BE2A18"/>
    <w:rsid w:val="00BE2C01"/>
    <w:rsid w:val="00BE41EC"/>
    <w:rsid w:val="00BE56FB"/>
    <w:rsid w:val="00BF1F50"/>
    <w:rsid w:val="00BF2B58"/>
    <w:rsid w:val="00BF3ADA"/>
    <w:rsid w:val="00BF3DDE"/>
    <w:rsid w:val="00BF6589"/>
    <w:rsid w:val="00BF6F7F"/>
    <w:rsid w:val="00C00647"/>
    <w:rsid w:val="00C02764"/>
    <w:rsid w:val="00C04CEF"/>
    <w:rsid w:val="00C0662F"/>
    <w:rsid w:val="00C06E7B"/>
    <w:rsid w:val="00C07EA1"/>
    <w:rsid w:val="00C11943"/>
    <w:rsid w:val="00C121B2"/>
    <w:rsid w:val="00C12D62"/>
    <w:rsid w:val="00C12E96"/>
    <w:rsid w:val="00C13D50"/>
    <w:rsid w:val="00C14763"/>
    <w:rsid w:val="00C14986"/>
    <w:rsid w:val="00C16141"/>
    <w:rsid w:val="00C2363F"/>
    <w:rsid w:val="00C236C8"/>
    <w:rsid w:val="00C260B1"/>
    <w:rsid w:val="00C2619C"/>
    <w:rsid w:val="00C26E56"/>
    <w:rsid w:val="00C30EF2"/>
    <w:rsid w:val="00C31406"/>
    <w:rsid w:val="00C334B3"/>
    <w:rsid w:val="00C336BF"/>
    <w:rsid w:val="00C33DC3"/>
    <w:rsid w:val="00C36A87"/>
    <w:rsid w:val="00C37194"/>
    <w:rsid w:val="00C40637"/>
    <w:rsid w:val="00C406F1"/>
    <w:rsid w:val="00C40F6C"/>
    <w:rsid w:val="00C411BC"/>
    <w:rsid w:val="00C426F3"/>
    <w:rsid w:val="00C44426"/>
    <w:rsid w:val="00C445F3"/>
    <w:rsid w:val="00C451F4"/>
    <w:rsid w:val="00C45EB1"/>
    <w:rsid w:val="00C4620C"/>
    <w:rsid w:val="00C4685F"/>
    <w:rsid w:val="00C4700B"/>
    <w:rsid w:val="00C501F2"/>
    <w:rsid w:val="00C53082"/>
    <w:rsid w:val="00C53284"/>
    <w:rsid w:val="00C54A3A"/>
    <w:rsid w:val="00C55566"/>
    <w:rsid w:val="00C56448"/>
    <w:rsid w:val="00C6306C"/>
    <w:rsid w:val="00C63D34"/>
    <w:rsid w:val="00C667BE"/>
    <w:rsid w:val="00C670F2"/>
    <w:rsid w:val="00C6766B"/>
    <w:rsid w:val="00C702CF"/>
    <w:rsid w:val="00C72223"/>
    <w:rsid w:val="00C746EB"/>
    <w:rsid w:val="00C75BBD"/>
    <w:rsid w:val="00C76417"/>
    <w:rsid w:val="00C7726F"/>
    <w:rsid w:val="00C821D3"/>
    <w:rsid w:val="00C823DA"/>
    <w:rsid w:val="00C8259F"/>
    <w:rsid w:val="00C82746"/>
    <w:rsid w:val="00C8312F"/>
    <w:rsid w:val="00C84C47"/>
    <w:rsid w:val="00C858A4"/>
    <w:rsid w:val="00C86AFA"/>
    <w:rsid w:val="00C87F3A"/>
    <w:rsid w:val="00C90095"/>
    <w:rsid w:val="00C938B9"/>
    <w:rsid w:val="00C93E2F"/>
    <w:rsid w:val="00C94615"/>
    <w:rsid w:val="00CA04C9"/>
    <w:rsid w:val="00CA3EF6"/>
    <w:rsid w:val="00CA5332"/>
    <w:rsid w:val="00CA655C"/>
    <w:rsid w:val="00CB18D0"/>
    <w:rsid w:val="00CB1C8A"/>
    <w:rsid w:val="00CB24F5"/>
    <w:rsid w:val="00CB2663"/>
    <w:rsid w:val="00CB3BBE"/>
    <w:rsid w:val="00CB59E9"/>
    <w:rsid w:val="00CB67AF"/>
    <w:rsid w:val="00CC01BF"/>
    <w:rsid w:val="00CC0D6A"/>
    <w:rsid w:val="00CC304D"/>
    <w:rsid w:val="00CC3831"/>
    <w:rsid w:val="00CC3E3D"/>
    <w:rsid w:val="00CC519B"/>
    <w:rsid w:val="00CC526C"/>
    <w:rsid w:val="00CD0B0E"/>
    <w:rsid w:val="00CD12C1"/>
    <w:rsid w:val="00CD198F"/>
    <w:rsid w:val="00CD214E"/>
    <w:rsid w:val="00CD2928"/>
    <w:rsid w:val="00CD46FA"/>
    <w:rsid w:val="00CD5973"/>
    <w:rsid w:val="00CD616A"/>
    <w:rsid w:val="00CD6BED"/>
    <w:rsid w:val="00CD7BF8"/>
    <w:rsid w:val="00CE244B"/>
    <w:rsid w:val="00CE31A6"/>
    <w:rsid w:val="00CE5205"/>
    <w:rsid w:val="00CE7939"/>
    <w:rsid w:val="00CF09AA"/>
    <w:rsid w:val="00CF4813"/>
    <w:rsid w:val="00CF5233"/>
    <w:rsid w:val="00D00B03"/>
    <w:rsid w:val="00D00D64"/>
    <w:rsid w:val="00D00E5E"/>
    <w:rsid w:val="00D029B8"/>
    <w:rsid w:val="00D02F60"/>
    <w:rsid w:val="00D0464E"/>
    <w:rsid w:val="00D04A96"/>
    <w:rsid w:val="00D06C03"/>
    <w:rsid w:val="00D07067"/>
    <w:rsid w:val="00D07A7B"/>
    <w:rsid w:val="00D10E06"/>
    <w:rsid w:val="00D12164"/>
    <w:rsid w:val="00D1472E"/>
    <w:rsid w:val="00D147CF"/>
    <w:rsid w:val="00D15197"/>
    <w:rsid w:val="00D154CE"/>
    <w:rsid w:val="00D16820"/>
    <w:rsid w:val="00D169C8"/>
    <w:rsid w:val="00D1793F"/>
    <w:rsid w:val="00D21561"/>
    <w:rsid w:val="00D22AF5"/>
    <w:rsid w:val="00D235EA"/>
    <w:rsid w:val="00D23867"/>
    <w:rsid w:val="00D247A9"/>
    <w:rsid w:val="00D26988"/>
    <w:rsid w:val="00D26AC5"/>
    <w:rsid w:val="00D27D16"/>
    <w:rsid w:val="00D32721"/>
    <w:rsid w:val="00D328DC"/>
    <w:rsid w:val="00D328F0"/>
    <w:rsid w:val="00D33187"/>
    <w:rsid w:val="00D33387"/>
    <w:rsid w:val="00D401AA"/>
    <w:rsid w:val="00D402FB"/>
    <w:rsid w:val="00D413B4"/>
    <w:rsid w:val="00D43E58"/>
    <w:rsid w:val="00D46B83"/>
    <w:rsid w:val="00D47D7A"/>
    <w:rsid w:val="00D50ABD"/>
    <w:rsid w:val="00D51D9E"/>
    <w:rsid w:val="00D55290"/>
    <w:rsid w:val="00D56D9B"/>
    <w:rsid w:val="00D57791"/>
    <w:rsid w:val="00D57CE6"/>
    <w:rsid w:val="00D6046A"/>
    <w:rsid w:val="00D60B68"/>
    <w:rsid w:val="00D62870"/>
    <w:rsid w:val="00D63A82"/>
    <w:rsid w:val="00D655D9"/>
    <w:rsid w:val="00D65872"/>
    <w:rsid w:val="00D676F3"/>
    <w:rsid w:val="00D70EF5"/>
    <w:rsid w:val="00D71024"/>
    <w:rsid w:val="00D7194F"/>
    <w:rsid w:val="00D71A25"/>
    <w:rsid w:val="00D71FCF"/>
    <w:rsid w:val="00D72A54"/>
    <w:rsid w:val="00D72CC1"/>
    <w:rsid w:val="00D74532"/>
    <w:rsid w:val="00D76EC9"/>
    <w:rsid w:val="00D802CE"/>
    <w:rsid w:val="00D80E7D"/>
    <w:rsid w:val="00D81397"/>
    <w:rsid w:val="00D82545"/>
    <w:rsid w:val="00D848B9"/>
    <w:rsid w:val="00D8541C"/>
    <w:rsid w:val="00D86B48"/>
    <w:rsid w:val="00D90217"/>
    <w:rsid w:val="00D90E69"/>
    <w:rsid w:val="00D91368"/>
    <w:rsid w:val="00D93106"/>
    <w:rsid w:val="00D933E9"/>
    <w:rsid w:val="00D93B89"/>
    <w:rsid w:val="00D9505D"/>
    <w:rsid w:val="00D953D0"/>
    <w:rsid w:val="00D955E9"/>
    <w:rsid w:val="00D9564F"/>
    <w:rsid w:val="00D959F5"/>
    <w:rsid w:val="00D96884"/>
    <w:rsid w:val="00DA10B5"/>
    <w:rsid w:val="00DA14D7"/>
    <w:rsid w:val="00DA3FDD"/>
    <w:rsid w:val="00DA404F"/>
    <w:rsid w:val="00DA64D6"/>
    <w:rsid w:val="00DA6B70"/>
    <w:rsid w:val="00DA6E1D"/>
    <w:rsid w:val="00DA7017"/>
    <w:rsid w:val="00DA7028"/>
    <w:rsid w:val="00DA7B69"/>
    <w:rsid w:val="00DA7F0A"/>
    <w:rsid w:val="00DB1AD2"/>
    <w:rsid w:val="00DB2B58"/>
    <w:rsid w:val="00DB42F0"/>
    <w:rsid w:val="00DB4A01"/>
    <w:rsid w:val="00DB4FD4"/>
    <w:rsid w:val="00DB503F"/>
    <w:rsid w:val="00DB5206"/>
    <w:rsid w:val="00DB6276"/>
    <w:rsid w:val="00DB63F5"/>
    <w:rsid w:val="00DC1C6B"/>
    <w:rsid w:val="00DC2C2E"/>
    <w:rsid w:val="00DC2D67"/>
    <w:rsid w:val="00DC4AF0"/>
    <w:rsid w:val="00DC6D0F"/>
    <w:rsid w:val="00DC7886"/>
    <w:rsid w:val="00DD01A6"/>
    <w:rsid w:val="00DD0550"/>
    <w:rsid w:val="00DD0CF2"/>
    <w:rsid w:val="00DD722F"/>
    <w:rsid w:val="00DE1554"/>
    <w:rsid w:val="00DE2901"/>
    <w:rsid w:val="00DE4088"/>
    <w:rsid w:val="00DE590F"/>
    <w:rsid w:val="00DE5C5F"/>
    <w:rsid w:val="00DE7DC1"/>
    <w:rsid w:val="00DF3F7E"/>
    <w:rsid w:val="00DF5921"/>
    <w:rsid w:val="00DF7648"/>
    <w:rsid w:val="00E00E29"/>
    <w:rsid w:val="00E02178"/>
    <w:rsid w:val="00E02BAB"/>
    <w:rsid w:val="00E031E5"/>
    <w:rsid w:val="00E04CEB"/>
    <w:rsid w:val="00E060BC"/>
    <w:rsid w:val="00E10B73"/>
    <w:rsid w:val="00E1114A"/>
    <w:rsid w:val="00E11420"/>
    <w:rsid w:val="00E117A0"/>
    <w:rsid w:val="00E12074"/>
    <w:rsid w:val="00E12F24"/>
    <w:rsid w:val="00E132FB"/>
    <w:rsid w:val="00E15A7A"/>
    <w:rsid w:val="00E170B7"/>
    <w:rsid w:val="00E177DD"/>
    <w:rsid w:val="00E20900"/>
    <w:rsid w:val="00E20C7F"/>
    <w:rsid w:val="00E20EE8"/>
    <w:rsid w:val="00E21B74"/>
    <w:rsid w:val="00E21C72"/>
    <w:rsid w:val="00E21FAC"/>
    <w:rsid w:val="00E23898"/>
    <w:rsid w:val="00E2396E"/>
    <w:rsid w:val="00E24728"/>
    <w:rsid w:val="00E247FE"/>
    <w:rsid w:val="00E276AC"/>
    <w:rsid w:val="00E33DDE"/>
    <w:rsid w:val="00E34A35"/>
    <w:rsid w:val="00E34AAC"/>
    <w:rsid w:val="00E3566C"/>
    <w:rsid w:val="00E363EA"/>
    <w:rsid w:val="00E37C2F"/>
    <w:rsid w:val="00E40866"/>
    <w:rsid w:val="00E41C28"/>
    <w:rsid w:val="00E42DD0"/>
    <w:rsid w:val="00E43029"/>
    <w:rsid w:val="00E46308"/>
    <w:rsid w:val="00E5126B"/>
    <w:rsid w:val="00E51E17"/>
    <w:rsid w:val="00E522C1"/>
    <w:rsid w:val="00E52DAB"/>
    <w:rsid w:val="00E5316D"/>
    <w:rsid w:val="00E539B0"/>
    <w:rsid w:val="00E55994"/>
    <w:rsid w:val="00E57620"/>
    <w:rsid w:val="00E60606"/>
    <w:rsid w:val="00E60C66"/>
    <w:rsid w:val="00E60C8B"/>
    <w:rsid w:val="00E6164D"/>
    <w:rsid w:val="00E618C9"/>
    <w:rsid w:val="00E62774"/>
    <w:rsid w:val="00E6307C"/>
    <w:rsid w:val="00E636FA"/>
    <w:rsid w:val="00E640F9"/>
    <w:rsid w:val="00E66C50"/>
    <w:rsid w:val="00E66EBD"/>
    <w:rsid w:val="00E67744"/>
    <w:rsid w:val="00E679D3"/>
    <w:rsid w:val="00E71208"/>
    <w:rsid w:val="00E7121F"/>
    <w:rsid w:val="00E71444"/>
    <w:rsid w:val="00E71C91"/>
    <w:rsid w:val="00E720A1"/>
    <w:rsid w:val="00E75DDA"/>
    <w:rsid w:val="00E75FF4"/>
    <w:rsid w:val="00E773E8"/>
    <w:rsid w:val="00E77ED2"/>
    <w:rsid w:val="00E814DD"/>
    <w:rsid w:val="00E81D6E"/>
    <w:rsid w:val="00E83ADD"/>
    <w:rsid w:val="00E84A92"/>
    <w:rsid w:val="00E84F38"/>
    <w:rsid w:val="00E85623"/>
    <w:rsid w:val="00E8571D"/>
    <w:rsid w:val="00E85AD3"/>
    <w:rsid w:val="00E8664B"/>
    <w:rsid w:val="00E86DD5"/>
    <w:rsid w:val="00E87441"/>
    <w:rsid w:val="00E874EE"/>
    <w:rsid w:val="00E91FAE"/>
    <w:rsid w:val="00E921FC"/>
    <w:rsid w:val="00E93A81"/>
    <w:rsid w:val="00E96E3F"/>
    <w:rsid w:val="00E9772E"/>
    <w:rsid w:val="00EA270C"/>
    <w:rsid w:val="00EA4974"/>
    <w:rsid w:val="00EA532E"/>
    <w:rsid w:val="00EB06D9"/>
    <w:rsid w:val="00EB192B"/>
    <w:rsid w:val="00EB19ED"/>
    <w:rsid w:val="00EB1CAB"/>
    <w:rsid w:val="00EB3341"/>
    <w:rsid w:val="00EB49F5"/>
    <w:rsid w:val="00EB4EE3"/>
    <w:rsid w:val="00EC0F5A"/>
    <w:rsid w:val="00EC4265"/>
    <w:rsid w:val="00EC4CEB"/>
    <w:rsid w:val="00EC659E"/>
    <w:rsid w:val="00ED2013"/>
    <w:rsid w:val="00ED2029"/>
    <w:rsid w:val="00ED2072"/>
    <w:rsid w:val="00ED2AE0"/>
    <w:rsid w:val="00ED5553"/>
    <w:rsid w:val="00ED5E36"/>
    <w:rsid w:val="00ED6355"/>
    <w:rsid w:val="00ED6961"/>
    <w:rsid w:val="00EE2132"/>
    <w:rsid w:val="00EE362C"/>
    <w:rsid w:val="00EE4088"/>
    <w:rsid w:val="00EE4FA0"/>
    <w:rsid w:val="00EE52F7"/>
    <w:rsid w:val="00EE69B6"/>
    <w:rsid w:val="00EE6AA2"/>
    <w:rsid w:val="00EE7124"/>
    <w:rsid w:val="00EE7F5C"/>
    <w:rsid w:val="00EF0B96"/>
    <w:rsid w:val="00EF2848"/>
    <w:rsid w:val="00EF3486"/>
    <w:rsid w:val="00EF47AF"/>
    <w:rsid w:val="00EF53B6"/>
    <w:rsid w:val="00F00B73"/>
    <w:rsid w:val="00F026CB"/>
    <w:rsid w:val="00F0280E"/>
    <w:rsid w:val="00F03B17"/>
    <w:rsid w:val="00F115CA"/>
    <w:rsid w:val="00F143A8"/>
    <w:rsid w:val="00F14817"/>
    <w:rsid w:val="00F14EBA"/>
    <w:rsid w:val="00F1510F"/>
    <w:rsid w:val="00F1533A"/>
    <w:rsid w:val="00F15E5A"/>
    <w:rsid w:val="00F17F0A"/>
    <w:rsid w:val="00F20BA8"/>
    <w:rsid w:val="00F25E7F"/>
    <w:rsid w:val="00F2668F"/>
    <w:rsid w:val="00F2742F"/>
    <w:rsid w:val="00F2753B"/>
    <w:rsid w:val="00F33F8B"/>
    <w:rsid w:val="00F340B2"/>
    <w:rsid w:val="00F3484C"/>
    <w:rsid w:val="00F34EE7"/>
    <w:rsid w:val="00F40AE8"/>
    <w:rsid w:val="00F43390"/>
    <w:rsid w:val="00F443B2"/>
    <w:rsid w:val="00F458D8"/>
    <w:rsid w:val="00F46102"/>
    <w:rsid w:val="00F47C9B"/>
    <w:rsid w:val="00F50237"/>
    <w:rsid w:val="00F52B39"/>
    <w:rsid w:val="00F53596"/>
    <w:rsid w:val="00F54DE8"/>
    <w:rsid w:val="00F559FE"/>
    <w:rsid w:val="00F55BA8"/>
    <w:rsid w:val="00F55DB1"/>
    <w:rsid w:val="00F56ACA"/>
    <w:rsid w:val="00F57385"/>
    <w:rsid w:val="00F600FE"/>
    <w:rsid w:val="00F62BCB"/>
    <w:rsid w:val="00F62E4D"/>
    <w:rsid w:val="00F63CFD"/>
    <w:rsid w:val="00F649D2"/>
    <w:rsid w:val="00F65EAF"/>
    <w:rsid w:val="00F66B34"/>
    <w:rsid w:val="00F675B9"/>
    <w:rsid w:val="00F711C9"/>
    <w:rsid w:val="00F717D7"/>
    <w:rsid w:val="00F74C59"/>
    <w:rsid w:val="00F751F2"/>
    <w:rsid w:val="00F75C3A"/>
    <w:rsid w:val="00F80153"/>
    <w:rsid w:val="00F82E30"/>
    <w:rsid w:val="00F831CB"/>
    <w:rsid w:val="00F848A3"/>
    <w:rsid w:val="00F84ACF"/>
    <w:rsid w:val="00F85742"/>
    <w:rsid w:val="00F85BF8"/>
    <w:rsid w:val="00F871CE"/>
    <w:rsid w:val="00F87802"/>
    <w:rsid w:val="00F8785C"/>
    <w:rsid w:val="00F901AD"/>
    <w:rsid w:val="00F92C0A"/>
    <w:rsid w:val="00F9415B"/>
    <w:rsid w:val="00F94921"/>
    <w:rsid w:val="00F95477"/>
    <w:rsid w:val="00F96204"/>
    <w:rsid w:val="00FA13C2"/>
    <w:rsid w:val="00FA7F91"/>
    <w:rsid w:val="00FB121C"/>
    <w:rsid w:val="00FB1CDD"/>
    <w:rsid w:val="00FB2C2F"/>
    <w:rsid w:val="00FB305C"/>
    <w:rsid w:val="00FB464B"/>
    <w:rsid w:val="00FB5A60"/>
    <w:rsid w:val="00FC0DB2"/>
    <w:rsid w:val="00FC2E3D"/>
    <w:rsid w:val="00FC3BDE"/>
    <w:rsid w:val="00FC4414"/>
    <w:rsid w:val="00FC4C00"/>
    <w:rsid w:val="00FC57F4"/>
    <w:rsid w:val="00FC6F5B"/>
    <w:rsid w:val="00FC7207"/>
    <w:rsid w:val="00FC75AB"/>
    <w:rsid w:val="00FC75F7"/>
    <w:rsid w:val="00FD0B0E"/>
    <w:rsid w:val="00FD1DBE"/>
    <w:rsid w:val="00FD25A7"/>
    <w:rsid w:val="00FD2609"/>
    <w:rsid w:val="00FD27B6"/>
    <w:rsid w:val="00FD3689"/>
    <w:rsid w:val="00FD42A3"/>
    <w:rsid w:val="00FD6809"/>
    <w:rsid w:val="00FD7468"/>
    <w:rsid w:val="00FD7CE0"/>
    <w:rsid w:val="00FE0B3B"/>
    <w:rsid w:val="00FE1BE2"/>
    <w:rsid w:val="00FE729F"/>
    <w:rsid w:val="00FE730A"/>
    <w:rsid w:val="00FF19A9"/>
    <w:rsid w:val="00FF1AD8"/>
    <w:rsid w:val="00FF1D37"/>
    <w:rsid w:val="00FF1DD7"/>
    <w:rsid w:val="00FF212D"/>
    <w:rsid w:val="00FF2D0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D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669"/>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93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semiHidden/>
    <w:unhideWhenUsed/>
    <w:qFormat/>
    <w:rsid w:val="00893BC4"/>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eastAsiaTheme="minorEastAsia" w:cs="Arial"/>
      <w:b/>
      <w:i/>
      <w:szCs w:val="20"/>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eastAsiaTheme="minorEastAsia" w:cs="Arial"/>
      <w:sz w:val="20"/>
      <w:szCs w:val="20"/>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2C5FA4"/>
    <w:pPr>
      <w:ind w:left="720"/>
      <w:contextualSpacing/>
    </w:pPr>
  </w:style>
  <w:style w:type="character" w:customStyle="1" w:styleId="acopre">
    <w:name w:val="acopre"/>
    <w:basedOn w:val="Domylnaczcionkaakapitu"/>
    <w:rsid w:val="00893BC4"/>
  </w:style>
  <w:style w:type="character" w:styleId="Uwydatnienie">
    <w:name w:val="Emphasis"/>
    <w:basedOn w:val="Domylnaczcionkaakapitu"/>
    <w:uiPriority w:val="20"/>
    <w:qFormat/>
    <w:rsid w:val="00893BC4"/>
    <w:rPr>
      <w:i/>
      <w:iCs/>
    </w:rPr>
  </w:style>
  <w:style w:type="character" w:customStyle="1" w:styleId="Nagwek2Znak">
    <w:name w:val="Nagłówek 2 Znak"/>
    <w:basedOn w:val="Domylnaczcionkaakapitu"/>
    <w:link w:val="Nagwek2"/>
    <w:uiPriority w:val="99"/>
    <w:semiHidden/>
    <w:rsid w:val="00893BC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9"/>
    <w:semiHidden/>
    <w:rsid w:val="00893BC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50076">
      <w:bodyDiv w:val="1"/>
      <w:marLeft w:val="0"/>
      <w:marRight w:val="0"/>
      <w:marTop w:val="0"/>
      <w:marBottom w:val="0"/>
      <w:divBdr>
        <w:top w:val="none" w:sz="0" w:space="0" w:color="auto"/>
        <w:left w:val="none" w:sz="0" w:space="0" w:color="auto"/>
        <w:bottom w:val="none" w:sz="0" w:space="0" w:color="auto"/>
        <w:right w:val="none" w:sz="0" w:space="0" w:color="auto"/>
      </w:divBdr>
      <w:divsChild>
        <w:div w:id="433596569">
          <w:marLeft w:val="0"/>
          <w:marRight w:val="0"/>
          <w:marTop w:val="0"/>
          <w:marBottom w:val="0"/>
          <w:divBdr>
            <w:top w:val="none" w:sz="0" w:space="0" w:color="auto"/>
            <w:left w:val="none" w:sz="0" w:space="0" w:color="auto"/>
            <w:bottom w:val="none" w:sz="0" w:space="0" w:color="auto"/>
            <w:right w:val="none" w:sz="0" w:space="0" w:color="auto"/>
          </w:divBdr>
          <w:divsChild>
            <w:div w:id="1499417622">
              <w:marLeft w:val="0"/>
              <w:marRight w:val="0"/>
              <w:marTop w:val="0"/>
              <w:marBottom w:val="0"/>
              <w:divBdr>
                <w:top w:val="none" w:sz="0" w:space="0" w:color="auto"/>
                <w:left w:val="none" w:sz="0" w:space="0" w:color="auto"/>
                <w:bottom w:val="none" w:sz="0" w:space="0" w:color="auto"/>
                <w:right w:val="none" w:sz="0" w:space="0" w:color="auto"/>
              </w:divBdr>
              <w:divsChild>
                <w:div w:id="19396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400">
          <w:marLeft w:val="0"/>
          <w:marRight w:val="0"/>
          <w:marTop w:val="0"/>
          <w:marBottom w:val="0"/>
          <w:divBdr>
            <w:top w:val="none" w:sz="0" w:space="0" w:color="auto"/>
            <w:left w:val="none" w:sz="0" w:space="0" w:color="auto"/>
            <w:bottom w:val="none" w:sz="0" w:space="0" w:color="auto"/>
            <w:right w:val="none" w:sz="0" w:space="0" w:color="auto"/>
          </w:divBdr>
          <w:divsChild>
            <w:div w:id="52319659">
              <w:marLeft w:val="0"/>
              <w:marRight w:val="0"/>
              <w:marTop w:val="0"/>
              <w:marBottom w:val="0"/>
              <w:divBdr>
                <w:top w:val="none" w:sz="0" w:space="0" w:color="auto"/>
                <w:left w:val="none" w:sz="0" w:space="0" w:color="auto"/>
                <w:bottom w:val="none" w:sz="0" w:space="0" w:color="auto"/>
                <w:right w:val="none" w:sz="0" w:space="0" w:color="auto"/>
              </w:divBdr>
              <w:divsChild>
                <w:div w:id="1609847576">
                  <w:marLeft w:val="0"/>
                  <w:marRight w:val="0"/>
                  <w:marTop w:val="0"/>
                  <w:marBottom w:val="0"/>
                  <w:divBdr>
                    <w:top w:val="none" w:sz="0" w:space="0" w:color="auto"/>
                    <w:left w:val="none" w:sz="0" w:space="0" w:color="auto"/>
                    <w:bottom w:val="none" w:sz="0" w:space="0" w:color="auto"/>
                    <w:right w:val="none" w:sz="0" w:space="0" w:color="auto"/>
                  </w:divBdr>
                  <w:divsChild>
                    <w:div w:id="119567628">
                      <w:marLeft w:val="0"/>
                      <w:marRight w:val="0"/>
                      <w:marTop w:val="0"/>
                      <w:marBottom w:val="0"/>
                      <w:divBdr>
                        <w:top w:val="none" w:sz="0" w:space="0" w:color="auto"/>
                        <w:left w:val="none" w:sz="0" w:space="0" w:color="auto"/>
                        <w:bottom w:val="none" w:sz="0" w:space="0" w:color="auto"/>
                        <w:right w:val="none" w:sz="0" w:space="0" w:color="auto"/>
                      </w:divBdr>
                      <w:divsChild>
                        <w:div w:id="1167670897">
                          <w:marLeft w:val="0"/>
                          <w:marRight w:val="0"/>
                          <w:marTop w:val="0"/>
                          <w:marBottom w:val="0"/>
                          <w:divBdr>
                            <w:top w:val="none" w:sz="0" w:space="0" w:color="auto"/>
                            <w:left w:val="none" w:sz="0" w:space="0" w:color="auto"/>
                            <w:bottom w:val="none" w:sz="0" w:space="0" w:color="auto"/>
                            <w:right w:val="none" w:sz="0" w:space="0" w:color="auto"/>
                          </w:divBdr>
                          <w:divsChild>
                            <w:div w:id="153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7709">
                      <w:marLeft w:val="0"/>
                      <w:marRight w:val="0"/>
                      <w:marTop w:val="0"/>
                      <w:marBottom w:val="0"/>
                      <w:divBdr>
                        <w:top w:val="none" w:sz="0" w:space="0" w:color="auto"/>
                        <w:left w:val="none" w:sz="0" w:space="0" w:color="auto"/>
                        <w:bottom w:val="none" w:sz="0" w:space="0" w:color="auto"/>
                        <w:right w:val="none" w:sz="0" w:space="0" w:color="auto"/>
                      </w:divBdr>
                      <w:divsChild>
                        <w:div w:id="17828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1883">
                  <w:marLeft w:val="0"/>
                  <w:marRight w:val="0"/>
                  <w:marTop w:val="0"/>
                  <w:marBottom w:val="0"/>
                  <w:divBdr>
                    <w:top w:val="none" w:sz="0" w:space="0" w:color="auto"/>
                    <w:left w:val="none" w:sz="0" w:space="0" w:color="auto"/>
                    <w:bottom w:val="none" w:sz="0" w:space="0" w:color="auto"/>
                    <w:right w:val="none" w:sz="0" w:space="0" w:color="auto"/>
                  </w:divBdr>
                  <w:divsChild>
                    <w:div w:id="321204996">
                      <w:marLeft w:val="0"/>
                      <w:marRight w:val="0"/>
                      <w:marTop w:val="0"/>
                      <w:marBottom w:val="0"/>
                      <w:divBdr>
                        <w:top w:val="none" w:sz="0" w:space="0" w:color="auto"/>
                        <w:left w:val="none" w:sz="0" w:space="0" w:color="auto"/>
                        <w:bottom w:val="none" w:sz="0" w:space="0" w:color="auto"/>
                        <w:right w:val="none" w:sz="0" w:space="0" w:color="auto"/>
                      </w:divBdr>
                      <w:divsChild>
                        <w:div w:id="13980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2284">
                  <w:marLeft w:val="0"/>
                  <w:marRight w:val="0"/>
                  <w:marTop w:val="0"/>
                  <w:marBottom w:val="0"/>
                  <w:divBdr>
                    <w:top w:val="none" w:sz="0" w:space="0" w:color="auto"/>
                    <w:left w:val="none" w:sz="0" w:space="0" w:color="auto"/>
                    <w:bottom w:val="none" w:sz="0" w:space="0" w:color="auto"/>
                    <w:right w:val="none" w:sz="0" w:space="0" w:color="auto"/>
                  </w:divBdr>
                  <w:divsChild>
                    <w:div w:id="1952277774">
                      <w:marLeft w:val="0"/>
                      <w:marRight w:val="0"/>
                      <w:marTop w:val="0"/>
                      <w:marBottom w:val="0"/>
                      <w:divBdr>
                        <w:top w:val="none" w:sz="0" w:space="0" w:color="auto"/>
                        <w:left w:val="none" w:sz="0" w:space="0" w:color="auto"/>
                        <w:bottom w:val="none" w:sz="0" w:space="0" w:color="auto"/>
                        <w:right w:val="none" w:sz="0" w:space="0" w:color="auto"/>
                      </w:divBdr>
                      <w:divsChild>
                        <w:div w:id="20771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9538">
                  <w:marLeft w:val="0"/>
                  <w:marRight w:val="0"/>
                  <w:marTop w:val="0"/>
                  <w:marBottom w:val="0"/>
                  <w:divBdr>
                    <w:top w:val="none" w:sz="0" w:space="0" w:color="auto"/>
                    <w:left w:val="none" w:sz="0" w:space="0" w:color="auto"/>
                    <w:bottom w:val="none" w:sz="0" w:space="0" w:color="auto"/>
                    <w:right w:val="none" w:sz="0" w:space="0" w:color="auto"/>
                  </w:divBdr>
                  <w:divsChild>
                    <w:div w:id="964233686">
                      <w:marLeft w:val="0"/>
                      <w:marRight w:val="0"/>
                      <w:marTop w:val="0"/>
                      <w:marBottom w:val="0"/>
                      <w:divBdr>
                        <w:top w:val="none" w:sz="0" w:space="0" w:color="auto"/>
                        <w:left w:val="none" w:sz="0" w:space="0" w:color="auto"/>
                        <w:bottom w:val="none" w:sz="0" w:space="0" w:color="auto"/>
                        <w:right w:val="none" w:sz="0" w:space="0" w:color="auto"/>
                      </w:divBdr>
                      <w:divsChild>
                        <w:div w:id="20046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091">
                  <w:marLeft w:val="0"/>
                  <w:marRight w:val="0"/>
                  <w:marTop w:val="0"/>
                  <w:marBottom w:val="0"/>
                  <w:divBdr>
                    <w:top w:val="none" w:sz="0" w:space="0" w:color="auto"/>
                    <w:left w:val="none" w:sz="0" w:space="0" w:color="auto"/>
                    <w:bottom w:val="none" w:sz="0" w:space="0" w:color="auto"/>
                    <w:right w:val="none" w:sz="0" w:space="0" w:color="auto"/>
                  </w:divBdr>
                  <w:divsChild>
                    <w:div w:id="654188802">
                      <w:marLeft w:val="0"/>
                      <w:marRight w:val="0"/>
                      <w:marTop w:val="0"/>
                      <w:marBottom w:val="0"/>
                      <w:divBdr>
                        <w:top w:val="none" w:sz="0" w:space="0" w:color="auto"/>
                        <w:left w:val="none" w:sz="0" w:space="0" w:color="auto"/>
                        <w:bottom w:val="none" w:sz="0" w:space="0" w:color="auto"/>
                        <w:right w:val="none" w:sz="0" w:space="0" w:color="auto"/>
                      </w:divBdr>
                      <w:divsChild>
                        <w:div w:id="2438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8195">
          <w:marLeft w:val="0"/>
          <w:marRight w:val="0"/>
          <w:marTop w:val="0"/>
          <w:marBottom w:val="0"/>
          <w:divBdr>
            <w:top w:val="none" w:sz="0" w:space="0" w:color="auto"/>
            <w:left w:val="none" w:sz="0" w:space="0" w:color="auto"/>
            <w:bottom w:val="none" w:sz="0" w:space="0" w:color="auto"/>
            <w:right w:val="none" w:sz="0" w:space="0" w:color="auto"/>
          </w:divBdr>
          <w:divsChild>
            <w:div w:id="1106266511">
              <w:marLeft w:val="0"/>
              <w:marRight w:val="0"/>
              <w:marTop w:val="0"/>
              <w:marBottom w:val="0"/>
              <w:divBdr>
                <w:top w:val="none" w:sz="0" w:space="0" w:color="auto"/>
                <w:left w:val="none" w:sz="0" w:space="0" w:color="auto"/>
                <w:bottom w:val="none" w:sz="0" w:space="0" w:color="auto"/>
                <w:right w:val="none" w:sz="0" w:space="0" w:color="auto"/>
              </w:divBdr>
            </w:div>
          </w:divsChild>
        </w:div>
        <w:div w:id="1066300248">
          <w:marLeft w:val="0"/>
          <w:marRight w:val="0"/>
          <w:marTop w:val="0"/>
          <w:marBottom w:val="0"/>
          <w:divBdr>
            <w:top w:val="none" w:sz="0" w:space="0" w:color="auto"/>
            <w:left w:val="none" w:sz="0" w:space="0" w:color="auto"/>
            <w:bottom w:val="none" w:sz="0" w:space="0" w:color="auto"/>
            <w:right w:val="none" w:sz="0" w:space="0" w:color="auto"/>
          </w:divBdr>
          <w:divsChild>
            <w:div w:id="1955675782">
              <w:marLeft w:val="0"/>
              <w:marRight w:val="0"/>
              <w:marTop w:val="0"/>
              <w:marBottom w:val="0"/>
              <w:divBdr>
                <w:top w:val="none" w:sz="0" w:space="0" w:color="auto"/>
                <w:left w:val="none" w:sz="0" w:space="0" w:color="auto"/>
                <w:bottom w:val="none" w:sz="0" w:space="0" w:color="auto"/>
                <w:right w:val="none" w:sz="0" w:space="0" w:color="auto"/>
              </w:divBdr>
              <w:divsChild>
                <w:div w:id="551691893">
                  <w:marLeft w:val="0"/>
                  <w:marRight w:val="0"/>
                  <w:marTop w:val="0"/>
                  <w:marBottom w:val="0"/>
                  <w:divBdr>
                    <w:top w:val="none" w:sz="0" w:space="0" w:color="auto"/>
                    <w:left w:val="none" w:sz="0" w:space="0" w:color="auto"/>
                    <w:bottom w:val="none" w:sz="0" w:space="0" w:color="auto"/>
                    <w:right w:val="none" w:sz="0" w:space="0" w:color="auto"/>
                  </w:divBdr>
                  <w:divsChild>
                    <w:div w:id="1733849357">
                      <w:marLeft w:val="0"/>
                      <w:marRight w:val="0"/>
                      <w:marTop w:val="0"/>
                      <w:marBottom w:val="0"/>
                      <w:divBdr>
                        <w:top w:val="none" w:sz="0" w:space="0" w:color="auto"/>
                        <w:left w:val="none" w:sz="0" w:space="0" w:color="auto"/>
                        <w:bottom w:val="none" w:sz="0" w:space="0" w:color="auto"/>
                        <w:right w:val="none" w:sz="0" w:space="0" w:color="auto"/>
                      </w:divBdr>
                      <w:divsChild>
                        <w:div w:id="16452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1425">
                  <w:marLeft w:val="0"/>
                  <w:marRight w:val="0"/>
                  <w:marTop w:val="0"/>
                  <w:marBottom w:val="0"/>
                  <w:divBdr>
                    <w:top w:val="none" w:sz="0" w:space="0" w:color="auto"/>
                    <w:left w:val="none" w:sz="0" w:space="0" w:color="auto"/>
                    <w:bottom w:val="none" w:sz="0" w:space="0" w:color="auto"/>
                    <w:right w:val="none" w:sz="0" w:space="0" w:color="auto"/>
                  </w:divBdr>
                  <w:divsChild>
                    <w:div w:id="1539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5011">
          <w:marLeft w:val="0"/>
          <w:marRight w:val="0"/>
          <w:marTop w:val="0"/>
          <w:marBottom w:val="0"/>
          <w:divBdr>
            <w:top w:val="none" w:sz="0" w:space="0" w:color="auto"/>
            <w:left w:val="none" w:sz="0" w:space="0" w:color="auto"/>
            <w:bottom w:val="none" w:sz="0" w:space="0" w:color="auto"/>
            <w:right w:val="none" w:sz="0" w:space="0" w:color="auto"/>
          </w:divBdr>
          <w:divsChild>
            <w:div w:id="604921690">
              <w:marLeft w:val="0"/>
              <w:marRight w:val="0"/>
              <w:marTop w:val="0"/>
              <w:marBottom w:val="0"/>
              <w:divBdr>
                <w:top w:val="none" w:sz="0" w:space="0" w:color="auto"/>
                <w:left w:val="none" w:sz="0" w:space="0" w:color="auto"/>
                <w:bottom w:val="none" w:sz="0" w:space="0" w:color="auto"/>
                <w:right w:val="none" w:sz="0" w:space="0" w:color="auto"/>
              </w:divBdr>
              <w:divsChild>
                <w:div w:id="1998218655">
                  <w:marLeft w:val="0"/>
                  <w:marRight w:val="0"/>
                  <w:marTop w:val="0"/>
                  <w:marBottom w:val="0"/>
                  <w:divBdr>
                    <w:top w:val="none" w:sz="0" w:space="0" w:color="auto"/>
                    <w:left w:val="none" w:sz="0" w:space="0" w:color="auto"/>
                    <w:bottom w:val="none" w:sz="0" w:space="0" w:color="auto"/>
                    <w:right w:val="none" w:sz="0" w:space="0" w:color="auto"/>
                  </w:divBdr>
                  <w:divsChild>
                    <w:div w:id="478302265">
                      <w:marLeft w:val="0"/>
                      <w:marRight w:val="0"/>
                      <w:marTop w:val="0"/>
                      <w:marBottom w:val="0"/>
                      <w:divBdr>
                        <w:top w:val="none" w:sz="0" w:space="0" w:color="auto"/>
                        <w:left w:val="none" w:sz="0" w:space="0" w:color="auto"/>
                        <w:bottom w:val="none" w:sz="0" w:space="0" w:color="auto"/>
                        <w:right w:val="none" w:sz="0" w:space="0" w:color="auto"/>
                      </w:divBdr>
                    </w:div>
                    <w:div w:id="1820073565">
                      <w:marLeft w:val="0"/>
                      <w:marRight w:val="0"/>
                      <w:marTop w:val="0"/>
                      <w:marBottom w:val="0"/>
                      <w:divBdr>
                        <w:top w:val="none" w:sz="0" w:space="0" w:color="auto"/>
                        <w:left w:val="none" w:sz="0" w:space="0" w:color="auto"/>
                        <w:bottom w:val="none" w:sz="0" w:space="0" w:color="auto"/>
                        <w:right w:val="none" w:sz="0" w:space="0" w:color="auto"/>
                      </w:divBdr>
                      <w:divsChild>
                        <w:div w:id="8943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408">
                  <w:marLeft w:val="0"/>
                  <w:marRight w:val="0"/>
                  <w:marTop w:val="0"/>
                  <w:marBottom w:val="0"/>
                  <w:divBdr>
                    <w:top w:val="none" w:sz="0" w:space="0" w:color="auto"/>
                    <w:left w:val="none" w:sz="0" w:space="0" w:color="auto"/>
                    <w:bottom w:val="none" w:sz="0" w:space="0" w:color="auto"/>
                    <w:right w:val="none" w:sz="0" w:space="0" w:color="auto"/>
                  </w:divBdr>
                  <w:divsChild>
                    <w:div w:id="6760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0533">
          <w:marLeft w:val="0"/>
          <w:marRight w:val="0"/>
          <w:marTop w:val="0"/>
          <w:marBottom w:val="0"/>
          <w:divBdr>
            <w:top w:val="none" w:sz="0" w:space="0" w:color="auto"/>
            <w:left w:val="none" w:sz="0" w:space="0" w:color="auto"/>
            <w:bottom w:val="none" w:sz="0" w:space="0" w:color="auto"/>
            <w:right w:val="none" w:sz="0" w:space="0" w:color="auto"/>
          </w:divBdr>
          <w:divsChild>
            <w:div w:id="1861889718">
              <w:marLeft w:val="0"/>
              <w:marRight w:val="0"/>
              <w:marTop w:val="0"/>
              <w:marBottom w:val="0"/>
              <w:divBdr>
                <w:top w:val="none" w:sz="0" w:space="0" w:color="auto"/>
                <w:left w:val="none" w:sz="0" w:space="0" w:color="auto"/>
                <w:bottom w:val="none" w:sz="0" w:space="0" w:color="auto"/>
                <w:right w:val="none" w:sz="0" w:space="0" w:color="auto"/>
              </w:divBdr>
              <w:divsChild>
                <w:div w:id="658584853">
                  <w:marLeft w:val="0"/>
                  <w:marRight w:val="0"/>
                  <w:marTop w:val="0"/>
                  <w:marBottom w:val="0"/>
                  <w:divBdr>
                    <w:top w:val="none" w:sz="0" w:space="0" w:color="auto"/>
                    <w:left w:val="none" w:sz="0" w:space="0" w:color="auto"/>
                    <w:bottom w:val="none" w:sz="0" w:space="0" w:color="auto"/>
                    <w:right w:val="none" w:sz="0" w:space="0" w:color="auto"/>
                  </w:divBdr>
                  <w:divsChild>
                    <w:div w:id="2208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6343">
          <w:marLeft w:val="0"/>
          <w:marRight w:val="0"/>
          <w:marTop w:val="0"/>
          <w:marBottom w:val="0"/>
          <w:divBdr>
            <w:top w:val="none" w:sz="0" w:space="0" w:color="auto"/>
            <w:left w:val="none" w:sz="0" w:space="0" w:color="auto"/>
            <w:bottom w:val="none" w:sz="0" w:space="0" w:color="auto"/>
            <w:right w:val="none" w:sz="0" w:space="0" w:color="auto"/>
          </w:divBdr>
          <w:divsChild>
            <w:div w:id="617103614">
              <w:marLeft w:val="0"/>
              <w:marRight w:val="0"/>
              <w:marTop w:val="0"/>
              <w:marBottom w:val="0"/>
              <w:divBdr>
                <w:top w:val="none" w:sz="0" w:space="0" w:color="auto"/>
                <w:left w:val="none" w:sz="0" w:space="0" w:color="auto"/>
                <w:bottom w:val="none" w:sz="0" w:space="0" w:color="auto"/>
                <w:right w:val="none" w:sz="0" w:space="0" w:color="auto"/>
              </w:divBdr>
              <w:divsChild>
                <w:div w:id="449859998">
                  <w:marLeft w:val="0"/>
                  <w:marRight w:val="0"/>
                  <w:marTop w:val="0"/>
                  <w:marBottom w:val="0"/>
                  <w:divBdr>
                    <w:top w:val="none" w:sz="0" w:space="0" w:color="auto"/>
                    <w:left w:val="none" w:sz="0" w:space="0" w:color="auto"/>
                    <w:bottom w:val="none" w:sz="0" w:space="0" w:color="auto"/>
                    <w:right w:val="none" w:sz="0" w:space="0" w:color="auto"/>
                  </w:divBdr>
                  <w:divsChild>
                    <w:div w:id="951517798">
                      <w:marLeft w:val="0"/>
                      <w:marRight w:val="0"/>
                      <w:marTop w:val="0"/>
                      <w:marBottom w:val="0"/>
                      <w:divBdr>
                        <w:top w:val="none" w:sz="0" w:space="0" w:color="auto"/>
                        <w:left w:val="none" w:sz="0" w:space="0" w:color="auto"/>
                        <w:bottom w:val="none" w:sz="0" w:space="0" w:color="auto"/>
                        <w:right w:val="none" w:sz="0" w:space="0" w:color="auto"/>
                      </w:divBdr>
                      <w:divsChild>
                        <w:div w:id="839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051">
                  <w:marLeft w:val="0"/>
                  <w:marRight w:val="0"/>
                  <w:marTop w:val="0"/>
                  <w:marBottom w:val="0"/>
                  <w:divBdr>
                    <w:top w:val="none" w:sz="0" w:space="0" w:color="auto"/>
                    <w:left w:val="none" w:sz="0" w:space="0" w:color="auto"/>
                    <w:bottom w:val="none" w:sz="0" w:space="0" w:color="auto"/>
                    <w:right w:val="none" w:sz="0" w:space="0" w:color="auto"/>
                  </w:divBdr>
                  <w:divsChild>
                    <w:div w:id="7370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44718">
          <w:marLeft w:val="0"/>
          <w:marRight w:val="0"/>
          <w:marTop w:val="0"/>
          <w:marBottom w:val="0"/>
          <w:divBdr>
            <w:top w:val="none" w:sz="0" w:space="0" w:color="auto"/>
            <w:left w:val="none" w:sz="0" w:space="0" w:color="auto"/>
            <w:bottom w:val="none" w:sz="0" w:space="0" w:color="auto"/>
            <w:right w:val="none" w:sz="0" w:space="0" w:color="auto"/>
          </w:divBdr>
          <w:divsChild>
            <w:div w:id="1515224207">
              <w:marLeft w:val="0"/>
              <w:marRight w:val="0"/>
              <w:marTop w:val="0"/>
              <w:marBottom w:val="0"/>
              <w:divBdr>
                <w:top w:val="none" w:sz="0" w:space="0" w:color="auto"/>
                <w:left w:val="none" w:sz="0" w:space="0" w:color="auto"/>
                <w:bottom w:val="none" w:sz="0" w:space="0" w:color="auto"/>
                <w:right w:val="none" w:sz="0" w:space="0" w:color="auto"/>
              </w:divBdr>
              <w:divsChild>
                <w:div w:id="405035887">
                  <w:marLeft w:val="0"/>
                  <w:marRight w:val="0"/>
                  <w:marTop w:val="0"/>
                  <w:marBottom w:val="0"/>
                  <w:divBdr>
                    <w:top w:val="none" w:sz="0" w:space="0" w:color="auto"/>
                    <w:left w:val="none" w:sz="0" w:space="0" w:color="auto"/>
                    <w:bottom w:val="none" w:sz="0" w:space="0" w:color="auto"/>
                    <w:right w:val="none" w:sz="0" w:space="0" w:color="auto"/>
                  </w:divBdr>
                  <w:divsChild>
                    <w:div w:id="3500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586">
          <w:marLeft w:val="0"/>
          <w:marRight w:val="0"/>
          <w:marTop w:val="0"/>
          <w:marBottom w:val="0"/>
          <w:divBdr>
            <w:top w:val="none" w:sz="0" w:space="0" w:color="auto"/>
            <w:left w:val="none" w:sz="0" w:space="0" w:color="auto"/>
            <w:bottom w:val="none" w:sz="0" w:space="0" w:color="auto"/>
            <w:right w:val="none" w:sz="0" w:space="0" w:color="auto"/>
          </w:divBdr>
          <w:divsChild>
            <w:div w:id="450324516">
              <w:marLeft w:val="0"/>
              <w:marRight w:val="0"/>
              <w:marTop w:val="0"/>
              <w:marBottom w:val="0"/>
              <w:divBdr>
                <w:top w:val="none" w:sz="0" w:space="0" w:color="auto"/>
                <w:left w:val="none" w:sz="0" w:space="0" w:color="auto"/>
                <w:bottom w:val="none" w:sz="0" w:space="0" w:color="auto"/>
                <w:right w:val="none" w:sz="0" w:space="0" w:color="auto"/>
              </w:divBdr>
              <w:divsChild>
                <w:div w:id="2039968676">
                  <w:marLeft w:val="0"/>
                  <w:marRight w:val="0"/>
                  <w:marTop w:val="0"/>
                  <w:marBottom w:val="0"/>
                  <w:divBdr>
                    <w:top w:val="none" w:sz="0" w:space="0" w:color="auto"/>
                    <w:left w:val="none" w:sz="0" w:space="0" w:color="auto"/>
                    <w:bottom w:val="none" w:sz="0" w:space="0" w:color="auto"/>
                    <w:right w:val="none" w:sz="0" w:space="0" w:color="auto"/>
                  </w:divBdr>
                  <w:divsChild>
                    <w:div w:id="1809322375">
                      <w:marLeft w:val="0"/>
                      <w:marRight w:val="0"/>
                      <w:marTop w:val="0"/>
                      <w:marBottom w:val="0"/>
                      <w:divBdr>
                        <w:top w:val="none" w:sz="0" w:space="0" w:color="auto"/>
                        <w:left w:val="none" w:sz="0" w:space="0" w:color="auto"/>
                        <w:bottom w:val="none" w:sz="0" w:space="0" w:color="auto"/>
                        <w:right w:val="none" w:sz="0" w:space="0" w:color="auto"/>
                      </w:divBdr>
                      <w:divsChild>
                        <w:div w:id="14779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378">
                  <w:marLeft w:val="0"/>
                  <w:marRight w:val="0"/>
                  <w:marTop w:val="0"/>
                  <w:marBottom w:val="0"/>
                  <w:divBdr>
                    <w:top w:val="none" w:sz="0" w:space="0" w:color="auto"/>
                    <w:left w:val="none" w:sz="0" w:space="0" w:color="auto"/>
                    <w:bottom w:val="none" w:sz="0" w:space="0" w:color="auto"/>
                    <w:right w:val="none" w:sz="0" w:space="0" w:color="auto"/>
                  </w:divBdr>
                  <w:divsChild>
                    <w:div w:id="19457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538">
          <w:marLeft w:val="0"/>
          <w:marRight w:val="0"/>
          <w:marTop w:val="0"/>
          <w:marBottom w:val="0"/>
          <w:divBdr>
            <w:top w:val="none" w:sz="0" w:space="0" w:color="auto"/>
            <w:left w:val="none" w:sz="0" w:space="0" w:color="auto"/>
            <w:bottom w:val="none" w:sz="0" w:space="0" w:color="auto"/>
            <w:right w:val="none" w:sz="0" w:space="0" w:color="auto"/>
          </w:divBdr>
          <w:divsChild>
            <w:div w:id="623073575">
              <w:marLeft w:val="0"/>
              <w:marRight w:val="0"/>
              <w:marTop w:val="0"/>
              <w:marBottom w:val="0"/>
              <w:divBdr>
                <w:top w:val="none" w:sz="0" w:space="0" w:color="auto"/>
                <w:left w:val="none" w:sz="0" w:space="0" w:color="auto"/>
                <w:bottom w:val="none" w:sz="0" w:space="0" w:color="auto"/>
                <w:right w:val="none" w:sz="0" w:space="0" w:color="auto"/>
              </w:divBdr>
              <w:divsChild>
                <w:div w:id="1622614483">
                  <w:marLeft w:val="0"/>
                  <w:marRight w:val="0"/>
                  <w:marTop w:val="0"/>
                  <w:marBottom w:val="0"/>
                  <w:divBdr>
                    <w:top w:val="none" w:sz="0" w:space="0" w:color="auto"/>
                    <w:left w:val="none" w:sz="0" w:space="0" w:color="auto"/>
                    <w:bottom w:val="none" w:sz="0" w:space="0" w:color="auto"/>
                    <w:right w:val="none" w:sz="0" w:space="0" w:color="auto"/>
                  </w:divBdr>
                  <w:divsChild>
                    <w:div w:id="6605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6838">
          <w:marLeft w:val="0"/>
          <w:marRight w:val="0"/>
          <w:marTop w:val="0"/>
          <w:marBottom w:val="0"/>
          <w:divBdr>
            <w:top w:val="none" w:sz="0" w:space="0" w:color="auto"/>
            <w:left w:val="none" w:sz="0" w:space="0" w:color="auto"/>
            <w:bottom w:val="none" w:sz="0" w:space="0" w:color="auto"/>
            <w:right w:val="none" w:sz="0" w:space="0" w:color="auto"/>
          </w:divBdr>
          <w:divsChild>
            <w:div w:id="68162084">
              <w:marLeft w:val="0"/>
              <w:marRight w:val="0"/>
              <w:marTop w:val="0"/>
              <w:marBottom w:val="0"/>
              <w:divBdr>
                <w:top w:val="none" w:sz="0" w:space="0" w:color="auto"/>
                <w:left w:val="none" w:sz="0" w:space="0" w:color="auto"/>
                <w:bottom w:val="none" w:sz="0" w:space="0" w:color="auto"/>
                <w:right w:val="none" w:sz="0" w:space="0" w:color="auto"/>
              </w:divBdr>
              <w:divsChild>
                <w:div w:id="959724067">
                  <w:marLeft w:val="0"/>
                  <w:marRight w:val="0"/>
                  <w:marTop w:val="0"/>
                  <w:marBottom w:val="0"/>
                  <w:divBdr>
                    <w:top w:val="none" w:sz="0" w:space="0" w:color="auto"/>
                    <w:left w:val="none" w:sz="0" w:space="0" w:color="auto"/>
                    <w:bottom w:val="none" w:sz="0" w:space="0" w:color="auto"/>
                    <w:right w:val="none" w:sz="0" w:space="0" w:color="auto"/>
                  </w:divBdr>
                  <w:divsChild>
                    <w:div w:id="1513031328">
                      <w:marLeft w:val="0"/>
                      <w:marRight w:val="0"/>
                      <w:marTop w:val="0"/>
                      <w:marBottom w:val="0"/>
                      <w:divBdr>
                        <w:top w:val="none" w:sz="0" w:space="0" w:color="auto"/>
                        <w:left w:val="none" w:sz="0" w:space="0" w:color="auto"/>
                        <w:bottom w:val="none" w:sz="0" w:space="0" w:color="auto"/>
                        <w:right w:val="none" w:sz="0" w:space="0" w:color="auto"/>
                      </w:divBdr>
                      <w:divsChild>
                        <w:div w:id="16307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947">
                  <w:marLeft w:val="0"/>
                  <w:marRight w:val="0"/>
                  <w:marTop w:val="0"/>
                  <w:marBottom w:val="0"/>
                  <w:divBdr>
                    <w:top w:val="none" w:sz="0" w:space="0" w:color="auto"/>
                    <w:left w:val="none" w:sz="0" w:space="0" w:color="auto"/>
                    <w:bottom w:val="none" w:sz="0" w:space="0" w:color="auto"/>
                    <w:right w:val="none" w:sz="0" w:space="0" w:color="auto"/>
                  </w:divBdr>
                  <w:divsChild>
                    <w:div w:id="20013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3514">
          <w:marLeft w:val="0"/>
          <w:marRight w:val="0"/>
          <w:marTop w:val="0"/>
          <w:marBottom w:val="0"/>
          <w:divBdr>
            <w:top w:val="none" w:sz="0" w:space="0" w:color="auto"/>
            <w:left w:val="none" w:sz="0" w:space="0" w:color="auto"/>
            <w:bottom w:val="none" w:sz="0" w:space="0" w:color="auto"/>
            <w:right w:val="none" w:sz="0" w:space="0" w:color="auto"/>
          </w:divBdr>
          <w:divsChild>
            <w:div w:id="760176571">
              <w:marLeft w:val="0"/>
              <w:marRight w:val="0"/>
              <w:marTop w:val="0"/>
              <w:marBottom w:val="0"/>
              <w:divBdr>
                <w:top w:val="none" w:sz="0" w:space="0" w:color="auto"/>
                <w:left w:val="none" w:sz="0" w:space="0" w:color="auto"/>
                <w:bottom w:val="none" w:sz="0" w:space="0" w:color="auto"/>
                <w:right w:val="none" w:sz="0" w:space="0" w:color="auto"/>
              </w:divBdr>
              <w:divsChild>
                <w:div w:id="1046563429">
                  <w:marLeft w:val="0"/>
                  <w:marRight w:val="0"/>
                  <w:marTop w:val="0"/>
                  <w:marBottom w:val="0"/>
                  <w:divBdr>
                    <w:top w:val="none" w:sz="0" w:space="0" w:color="auto"/>
                    <w:left w:val="none" w:sz="0" w:space="0" w:color="auto"/>
                    <w:bottom w:val="none" w:sz="0" w:space="0" w:color="auto"/>
                    <w:right w:val="none" w:sz="0" w:space="0" w:color="auto"/>
                  </w:divBdr>
                  <w:divsChild>
                    <w:div w:id="3224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368">
          <w:marLeft w:val="0"/>
          <w:marRight w:val="0"/>
          <w:marTop w:val="0"/>
          <w:marBottom w:val="0"/>
          <w:divBdr>
            <w:top w:val="none" w:sz="0" w:space="0" w:color="auto"/>
            <w:left w:val="none" w:sz="0" w:space="0" w:color="auto"/>
            <w:bottom w:val="none" w:sz="0" w:space="0" w:color="auto"/>
            <w:right w:val="none" w:sz="0" w:space="0" w:color="auto"/>
          </w:divBdr>
          <w:divsChild>
            <w:div w:id="855001913">
              <w:marLeft w:val="0"/>
              <w:marRight w:val="0"/>
              <w:marTop w:val="0"/>
              <w:marBottom w:val="0"/>
              <w:divBdr>
                <w:top w:val="none" w:sz="0" w:space="0" w:color="auto"/>
                <w:left w:val="none" w:sz="0" w:space="0" w:color="auto"/>
                <w:bottom w:val="none" w:sz="0" w:space="0" w:color="auto"/>
                <w:right w:val="none" w:sz="0" w:space="0" w:color="auto"/>
              </w:divBdr>
              <w:divsChild>
                <w:div w:id="939140641">
                  <w:marLeft w:val="0"/>
                  <w:marRight w:val="0"/>
                  <w:marTop w:val="0"/>
                  <w:marBottom w:val="0"/>
                  <w:divBdr>
                    <w:top w:val="none" w:sz="0" w:space="0" w:color="auto"/>
                    <w:left w:val="none" w:sz="0" w:space="0" w:color="auto"/>
                    <w:bottom w:val="none" w:sz="0" w:space="0" w:color="auto"/>
                    <w:right w:val="none" w:sz="0" w:space="0" w:color="auto"/>
                  </w:divBdr>
                  <w:divsChild>
                    <w:div w:id="2009559523">
                      <w:marLeft w:val="0"/>
                      <w:marRight w:val="0"/>
                      <w:marTop w:val="0"/>
                      <w:marBottom w:val="0"/>
                      <w:divBdr>
                        <w:top w:val="none" w:sz="0" w:space="0" w:color="auto"/>
                        <w:left w:val="none" w:sz="0" w:space="0" w:color="auto"/>
                        <w:bottom w:val="none" w:sz="0" w:space="0" w:color="auto"/>
                        <w:right w:val="none" w:sz="0" w:space="0" w:color="auto"/>
                      </w:divBdr>
                      <w:divsChild>
                        <w:div w:id="1810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247">
                  <w:marLeft w:val="0"/>
                  <w:marRight w:val="0"/>
                  <w:marTop w:val="0"/>
                  <w:marBottom w:val="0"/>
                  <w:divBdr>
                    <w:top w:val="none" w:sz="0" w:space="0" w:color="auto"/>
                    <w:left w:val="none" w:sz="0" w:space="0" w:color="auto"/>
                    <w:bottom w:val="none" w:sz="0" w:space="0" w:color="auto"/>
                    <w:right w:val="none" w:sz="0" w:space="0" w:color="auto"/>
                  </w:divBdr>
                  <w:divsChild>
                    <w:div w:id="11454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018">
          <w:marLeft w:val="0"/>
          <w:marRight w:val="0"/>
          <w:marTop w:val="0"/>
          <w:marBottom w:val="0"/>
          <w:divBdr>
            <w:top w:val="none" w:sz="0" w:space="0" w:color="auto"/>
            <w:left w:val="none" w:sz="0" w:space="0" w:color="auto"/>
            <w:bottom w:val="none" w:sz="0" w:space="0" w:color="auto"/>
            <w:right w:val="none" w:sz="0" w:space="0" w:color="auto"/>
          </w:divBdr>
          <w:divsChild>
            <w:div w:id="956836354">
              <w:marLeft w:val="0"/>
              <w:marRight w:val="0"/>
              <w:marTop w:val="0"/>
              <w:marBottom w:val="0"/>
              <w:divBdr>
                <w:top w:val="none" w:sz="0" w:space="0" w:color="auto"/>
                <w:left w:val="none" w:sz="0" w:space="0" w:color="auto"/>
                <w:bottom w:val="none" w:sz="0" w:space="0" w:color="auto"/>
                <w:right w:val="none" w:sz="0" w:space="0" w:color="auto"/>
              </w:divBdr>
              <w:divsChild>
                <w:div w:id="540824967">
                  <w:marLeft w:val="0"/>
                  <w:marRight w:val="0"/>
                  <w:marTop w:val="0"/>
                  <w:marBottom w:val="0"/>
                  <w:divBdr>
                    <w:top w:val="none" w:sz="0" w:space="0" w:color="auto"/>
                    <w:left w:val="none" w:sz="0" w:space="0" w:color="auto"/>
                    <w:bottom w:val="none" w:sz="0" w:space="0" w:color="auto"/>
                    <w:right w:val="none" w:sz="0" w:space="0" w:color="auto"/>
                  </w:divBdr>
                  <w:divsChild>
                    <w:div w:id="1017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0215">
          <w:marLeft w:val="0"/>
          <w:marRight w:val="0"/>
          <w:marTop w:val="0"/>
          <w:marBottom w:val="0"/>
          <w:divBdr>
            <w:top w:val="none" w:sz="0" w:space="0" w:color="auto"/>
            <w:left w:val="none" w:sz="0" w:space="0" w:color="auto"/>
            <w:bottom w:val="none" w:sz="0" w:space="0" w:color="auto"/>
            <w:right w:val="none" w:sz="0" w:space="0" w:color="auto"/>
          </w:divBdr>
          <w:divsChild>
            <w:div w:id="1714310068">
              <w:marLeft w:val="0"/>
              <w:marRight w:val="0"/>
              <w:marTop w:val="0"/>
              <w:marBottom w:val="0"/>
              <w:divBdr>
                <w:top w:val="none" w:sz="0" w:space="0" w:color="auto"/>
                <w:left w:val="none" w:sz="0" w:space="0" w:color="auto"/>
                <w:bottom w:val="none" w:sz="0" w:space="0" w:color="auto"/>
                <w:right w:val="none" w:sz="0" w:space="0" w:color="auto"/>
              </w:divBdr>
              <w:divsChild>
                <w:div w:id="1647323492">
                  <w:marLeft w:val="0"/>
                  <w:marRight w:val="0"/>
                  <w:marTop w:val="0"/>
                  <w:marBottom w:val="0"/>
                  <w:divBdr>
                    <w:top w:val="none" w:sz="0" w:space="0" w:color="auto"/>
                    <w:left w:val="none" w:sz="0" w:space="0" w:color="auto"/>
                    <w:bottom w:val="none" w:sz="0" w:space="0" w:color="auto"/>
                    <w:right w:val="none" w:sz="0" w:space="0" w:color="auto"/>
                  </w:divBdr>
                  <w:divsChild>
                    <w:div w:id="1812483697">
                      <w:marLeft w:val="0"/>
                      <w:marRight w:val="0"/>
                      <w:marTop w:val="0"/>
                      <w:marBottom w:val="0"/>
                      <w:divBdr>
                        <w:top w:val="none" w:sz="0" w:space="0" w:color="auto"/>
                        <w:left w:val="none" w:sz="0" w:space="0" w:color="auto"/>
                        <w:bottom w:val="none" w:sz="0" w:space="0" w:color="auto"/>
                        <w:right w:val="none" w:sz="0" w:space="0" w:color="auto"/>
                      </w:divBdr>
                      <w:divsChild>
                        <w:div w:id="1052195193">
                          <w:marLeft w:val="0"/>
                          <w:marRight w:val="0"/>
                          <w:marTop w:val="0"/>
                          <w:marBottom w:val="0"/>
                          <w:divBdr>
                            <w:top w:val="none" w:sz="0" w:space="0" w:color="auto"/>
                            <w:left w:val="none" w:sz="0" w:space="0" w:color="auto"/>
                            <w:bottom w:val="none" w:sz="0" w:space="0" w:color="auto"/>
                            <w:right w:val="none" w:sz="0" w:space="0" w:color="auto"/>
                          </w:divBdr>
                          <w:divsChild>
                            <w:div w:id="636572092">
                              <w:marLeft w:val="0"/>
                              <w:marRight w:val="0"/>
                              <w:marTop w:val="0"/>
                              <w:marBottom w:val="0"/>
                              <w:divBdr>
                                <w:top w:val="none" w:sz="0" w:space="0" w:color="auto"/>
                                <w:left w:val="none" w:sz="0" w:space="0" w:color="auto"/>
                                <w:bottom w:val="none" w:sz="0" w:space="0" w:color="auto"/>
                                <w:right w:val="none" w:sz="0" w:space="0" w:color="auto"/>
                              </w:divBdr>
                              <w:divsChild>
                                <w:div w:id="805124585">
                                  <w:marLeft w:val="0"/>
                                  <w:marRight w:val="0"/>
                                  <w:marTop w:val="0"/>
                                  <w:marBottom w:val="0"/>
                                  <w:divBdr>
                                    <w:top w:val="none" w:sz="0" w:space="0" w:color="auto"/>
                                    <w:left w:val="none" w:sz="0" w:space="0" w:color="auto"/>
                                    <w:bottom w:val="none" w:sz="0" w:space="0" w:color="auto"/>
                                    <w:right w:val="none" w:sz="0" w:space="0" w:color="auto"/>
                                  </w:divBdr>
                                  <w:divsChild>
                                    <w:div w:id="2124227215">
                                      <w:marLeft w:val="0"/>
                                      <w:marRight w:val="0"/>
                                      <w:marTop w:val="0"/>
                                      <w:marBottom w:val="0"/>
                                      <w:divBdr>
                                        <w:top w:val="none" w:sz="0" w:space="0" w:color="auto"/>
                                        <w:left w:val="none" w:sz="0" w:space="0" w:color="auto"/>
                                        <w:bottom w:val="none" w:sz="0" w:space="0" w:color="auto"/>
                                        <w:right w:val="none" w:sz="0" w:space="0" w:color="auto"/>
                                      </w:divBdr>
                                      <w:divsChild>
                                        <w:div w:id="319504171">
                                          <w:marLeft w:val="0"/>
                                          <w:marRight w:val="0"/>
                                          <w:marTop w:val="0"/>
                                          <w:marBottom w:val="0"/>
                                          <w:divBdr>
                                            <w:top w:val="none" w:sz="0" w:space="0" w:color="auto"/>
                                            <w:left w:val="none" w:sz="0" w:space="0" w:color="auto"/>
                                            <w:bottom w:val="none" w:sz="0" w:space="0" w:color="auto"/>
                                            <w:right w:val="none" w:sz="0" w:space="0" w:color="auto"/>
                                          </w:divBdr>
                                          <w:divsChild>
                                            <w:div w:id="11420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4407">
                                      <w:marLeft w:val="0"/>
                                      <w:marRight w:val="0"/>
                                      <w:marTop w:val="0"/>
                                      <w:marBottom w:val="0"/>
                                      <w:divBdr>
                                        <w:top w:val="none" w:sz="0" w:space="0" w:color="auto"/>
                                        <w:left w:val="none" w:sz="0" w:space="0" w:color="auto"/>
                                        <w:bottom w:val="none" w:sz="0" w:space="0" w:color="auto"/>
                                        <w:right w:val="none" w:sz="0" w:space="0" w:color="auto"/>
                                      </w:divBdr>
                                      <w:divsChild>
                                        <w:div w:id="12909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99557">
          <w:marLeft w:val="0"/>
          <w:marRight w:val="0"/>
          <w:marTop w:val="0"/>
          <w:marBottom w:val="0"/>
          <w:divBdr>
            <w:top w:val="none" w:sz="0" w:space="0" w:color="auto"/>
            <w:left w:val="none" w:sz="0" w:space="0" w:color="auto"/>
            <w:bottom w:val="none" w:sz="0" w:space="0" w:color="auto"/>
            <w:right w:val="none" w:sz="0" w:space="0" w:color="auto"/>
          </w:divBdr>
          <w:divsChild>
            <w:div w:id="382754174">
              <w:marLeft w:val="0"/>
              <w:marRight w:val="0"/>
              <w:marTop w:val="0"/>
              <w:marBottom w:val="0"/>
              <w:divBdr>
                <w:top w:val="none" w:sz="0" w:space="0" w:color="auto"/>
                <w:left w:val="none" w:sz="0" w:space="0" w:color="auto"/>
                <w:bottom w:val="none" w:sz="0" w:space="0" w:color="auto"/>
                <w:right w:val="none" w:sz="0" w:space="0" w:color="auto"/>
              </w:divBdr>
              <w:divsChild>
                <w:div w:id="526329229">
                  <w:marLeft w:val="0"/>
                  <w:marRight w:val="0"/>
                  <w:marTop w:val="0"/>
                  <w:marBottom w:val="0"/>
                  <w:divBdr>
                    <w:top w:val="none" w:sz="0" w:space="0" w:color="auto"/>
                    <w:left w:val="none" w:sz="0" w:space="0" w:color="auto"/>
                    <w:bottom w:val="none" w:sz="0" w:space="0" w:color="auto"/>
                    <w:right w:val="none" w:sz="0" w:space="0" w:color="auto"/>
                  </w:divBdr>
                  <w:divsChild>
                    <w:div w:id="2118479947">
                      <w:marLeft w:val="0"/>
                      <w:marRight w:val="0"/>
                      <w:marTop w:val="0"/>
                      <w:marBottom w:val="0"/>
                      <w:divBdr>
                        <w:top w:val="none" w:sz="0" w:space="0" w:color="auto"/>
                        <w:left w:val="none" w:sz="0" w:space="0" w:color="auto"/>
                        <w:bottom w:val="none" w:sz="0" w:space="0" w:color="auto"/>
                        <w:right w:val="none" w:sz="0" w:space="0" w:color="auto"/>
                      </w:divBdr>
                      <w:divsChild>
                        <w:div w:id="15610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1231">
          <w:marLeft w:val="0"/>
          <w:marRight w:val="0"/>
          <w:marTop w:val="0"/>
          <w:marBottom w:val="0"/>
          <w:divBdr>
            <w:top w:val="none" w:sz="0" w:space="0" w:color="auto"/>
            <w:left w:val="none" w:sz="0" w:space="0" w:color="auto"/>
            <w:bottom w:val="none" w:sz="0" w:space="0" w:color="auto"/>
            <w:right w:val="none" w:sz="0" w:space="0" w:color="auto"/>
          </w:divBdr>
          <w:divsChild>
            <w:div w:id="1381173525">
              <w:marLeft w:val="0"/>
              <w:marRight w:val="0"/>
              <w:marTop w:val="0"/>
              <w:marBottom w:val="0"/>
              <w:divBdr>
                <w:top w:val="none" w:sz="0" w:space="0" w:color="auto"/>
                <w:left w:val="none" w:sz="0" w:space="0" w:color="auto"/>
                <w:bottom w:val="none" w:sz="0" w:space="0" w:color="auto"/>
                <w:right w:val="none" w:sz="0" w:space="0" w:color="auto"/>
              </w:divBdr>
              <w:divsChild>
                <w:div w:id="434790345">
                  <w:marLeft w:val="0"/>
                  <w:marRight w:val="0"/>
                  <w:marTop w:val="0"/>
                  <w:marBottom w:val="0"/>
                  <w:divBdr>
                    <w:top w:val="none" w:sz="0" w:space="0" w:color="auto"/>
                    <w:left w:val="none" w:sz="0" w:space="0" w:color="auto"/>
                    <w:bottom w:val="none" w:sz="0" w:space="0" w:color="auto"/>
                    <w:right w:val="none" w:sz="0" w:space="0" w:color="auto"/>
                  </w:divBdr>
                  <w:divsChild>
                    <w:div w:id="1690914762">
                      <w:marLeft w:val="0"/>
                      <w:marRight w:val="0"/>
                      <w:marTop w:val="0"/>
                      <w:marBottom w:val="0"/>
                      <w:divBdr>
                        <w:top w:val="none" w:sz="0" w:space="0" w:color="auto"/>
                        <w:left w:val="none" w:sz="0" w:space="0" w:color="auto"/>
                        <w:bottom w:val="none" w:sz="0" w:space="0" w:color="auto"/>
                        <w:right w:val="none" w:sz="0" w:space="0" w:color="auto"/>
                      </w:divBdr>
                      <w:divsChild>
                        <w:div w:id="2129809886">
                          <w:marLeft w:val="0"/>
                          <w:marRight w:val="0"/>
                          <w:marTop w:val="0"/>
                          <w:marBottom w:val="0"/>
                          <w:divBdr>
                            <w:top w:val="none" w:sz="0" w:space="0" w:color="auto"/>
                            <w:left w:val="none" w:sz="0" w:space="0" w:color="auto"/>
                            <w:bottom w:val="none" w:sz="0" w:space="0" w:color="auto"/>
                            <w:right w:val="none" w:sz="0" w:space="0" w:color="auto"/>
                          </w:divBdr>
                          <w:divsChild>
                            <w:div w:id="1530296098">
                              <w:marLeft w:val="0"/>
                              <w:marRight w:val="0"/>
                              <w:marTop w:val="0"/>
                              <w:marBottom w:val="0"/>
                              <w:divBdr>
                                <w:top w:val="none" w:sz="0" w:space="0" w:color="auto"/>
                                <w:left w:val="none" w:sz="0" w:space="0" w:color="auto"/>
                                <w:bottom w:val="none" w:sz="0" w:space="0" w:color="auto"/>
                                <w:right w:val="none" w:sz="0" w:space="0" w:color="auto"/>
                              </w:divBdr>
                              <w:divsChild>
                                <w:div w:id="703216029">
                                  <w:marLeft w:val="0"/>
                                  <w:marRight w:val="0"/>
                                  <w:marTop w:val="0"/>
                                  <w:marBottom w:val="0"/>
                                  <w:divBdr>
                                    <w:top w:val="none" w:sz="0" w:space="0" w:color="auto"/>
                                    <w:left w:val="none" w:sz="0" w:space="0" w:color="auto"/>
                                    <w:bottom w:val="none" w:sz="0" w:space="0" w:color="auto"/>
                                    <w:right w:val="none" w:sz="0" w:space="0" w:color="auto"/>
                                  </w:divBdr>
                                  <w:divsChild>
                                    <w:div w:id="1217930306">
                                      <w:marLeft w:val="0"/>
                                      <w:marRight w:val="0"/>
                                      <w:marTop w:val="0"/>
                                      <w:marBottom w:val="0"/>
                                      <w:divBdr>
                                        <w:top w:val="none" w:sz="0" w:space="0" w:color="auto"/>
                                        <w:left w:val="none" w:sz="0" w:space="0" w:color="auto"/>
                                        <w:bottom w:val="none" w:sz="0" w:space="0" w:color="auto"/>
                                        <w:right w:val="none" w:sz="0" w:space="0" w:color="auto"/>
                                      </w:divBdr>
                                      <w:divsChild>
                                        <w:div w:id="1219784423">
                                          <w:marLeft w:val="0"/>
                                          <w:marRight w:val="0"/>
                                          <w:marTop w:val="0"/>
                                          <w:marBottom w:val="0"/>
                                          <w:divBdr>
                                            <w:top w:val="none" w:sz="0" w:space="0" w:color="auto"/>
                                            <w:left w:val="none" w:sz="0" w:space="0" w:color="auto"/>
                                            <w:bottom w:val="none" w:sz="0" w:space="0" w:color="auto"/>
                                            <w:right w:val="none" w:sz="0" w:space="0" w:color="auto"/>
                                          </w:divBdr>
                                          <w:divsChild>
                                            <w:div w:id="2048673415">
                                              <w:marLeft w:val="0"/>
                                              <w:marRight w:val="0"/>
                                              <w:marTop w:val="0"/>
                                              <w:marBottom w:val="0"/>
                                              <w:divBdr>
                                                <w:top w:val="none" w:sz="0" w:space="0" w:color="auto"/>
                                                <w:left w:val="none" w:sz="0" w:space="0" w:color="auto"/>
                                                <w:bottom w:val="none" w:sz="0" w:space="0" w:color="auto"/>
                                                <w:right w:val="none" w:sz="0" w:space="0" w:color="auto"/>
                                              </w:divBdr>
                                              <w:divsChild>
                                                <w:div w:id="2284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8168">
                                      <w:marLeft w:val="0"/>
                                      <w:marRight w:val="0"/>
                                      <w:marTop w:val="0"/>
                                      <w:marBottom w:val="0"/>
                                      <w:divBdr>
                                        <w:top w:val="none" w:sz="0" w:space="0" w:color="auto"/>
                                        <w:left w:val="none" w:sz="0" w:space="0" w:color="auto"/>
                                        <w:bottom w:val="none" w:sz="0" w:space="0" w:color="auto"/>
                                        <w:right w:val="none" w:sz="0" w:space="0" w:color="auto"/>
                                      </w:divBdr>
                                      <w:divsChild>
                                        <w:div w:id="15546655">
                                          <w:marLeft w:val="0"/>
                                          <w:marRight w:val="0"/>
                                          <w:marTop w:val="0"/>
                                          <w:marBottom w:val="0"/>
                                          <w:divBdr>
                                            <w:top w:val="none" w:sz="0" w:space="0" w:color="auto"/>
                                            <w:left w:val="none" w:sz="0" w:space="0" w:color="auto"/>
                                            <w:bottom w:val="none" w:sz="0" w:space="0" w:color="auto"/>
                                            <w:right w:val="none" w:sz="0" w:space="0" w:color="auto"/>
                                          </w:divBdr>
                                          <w:divsChild>
                                            <w:div w:id="1380592473">
                                              <w:marLeft w:val="0"/>
                                              <w:marRight w:val="0"/>
                                              <w:marTop w:val="0"/>
                                              <w:marBottom w:val="0"/>
                                              <w:divBdr>
                                                <w:top w:val="none" w:sz="0" w:space="0" w:color="auto"/>
                                                <w:left w:val="none" w:sz="0" w:space="0" w:color="auto"/>
                                                <w:bottom w:val="none" w:sz="0" w:space="0" w:color="auto"/>
                                                <w:right w:val="none" w:sz="0" w:space="0" w:color="auto"/>
                                              </w:divBdr>
                                              <w:divsChild>
                                                <w:div w:id="5597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20621">
          <w:marLeft w:val="0"/>
          <w:marRight w:val="0"/>
          <w:marTop w:val="0"/>
          <w:marBottom w:val="0"/>
          <w:divBdr>
            <w:top w:val="none" w:sz="0" w:space="0" w:color="auto"/>
            <w:left w:val="none" w:sz="0" w:space="0" w:color="auto"/>
            <w:bottom w:val="none" w:sz="0" w:space="0" w:color="auto"/>
            <w:right w:val="none" w:sz="0" w:space="0" w:color="auto"/>
          </w:divBdr>
          <w:divsChild>
            <w:div w:id="12190475">
              <w:marLeft w:val="0"/>
              <w:marRight w:val="0"/>
              <w:marTop w:val="0"/>
              <w:marBottom w:val="0"/>
              <w:divBdr>
                <w:top w:val="none" w:sz="0" w:space="0" w:color="auto"/>
                <w:left w:val="none" w:sz="0" w:space="0" w:color="auto"/>
                <w:bottom w:val="none" w:sz="0" w:space="0" w:color="auto"/>
                <w:right w:val="none" w:sz="0" w:space="0" w:color="auto"/>
              </w:divBdr>
              <w:divsChild>
                <w:div w:id="1500198215">
                  <w:marLeft w:val="0"/>
                  <w:marRight w:val="0"/>
                  <w:marTop w:val="0"/>
                  <w:marBottom w:val="0"/>
                  <w:divBdr>
                    <w:top w:val="none" w:sz="0" w:space="0" w:color="auto"/>
                    <w:left w:val="none" w:sz="0" w:space="0" w:color="auto"/>
                    <w:bottom w:val="none" w:sz="0" w:space="0" w:color="auto"/>
                    <w:right w:val="none" w:sz="0" w:space="0" w:color="auto"/>
                  </w:divBdr>
                  <w:divsChild>
                    <w:div w:id="455174152">
                      <w:marLeft w:val="0"/>
                      <w:marRight w:val="0"/>
                      <w:marTop w:val="0"/>
                      <w:marBottom w:val="0"/>
                      <w:divBdr>
                        <w:top w:val="none" w:sz="0" w:space="0" w:color="auto"/>
                        <w:left w:val="none" w:sz="0" w:space="0" w:color="auto"/>
                        <w:bottom w:val="none" w:sz="0" w:space="0" w:color="auto"/>
                        <w:right w:val="none" w:sz="0" w:space="0" w:color="auto"/>
                      </w:divBdr>
                    </w:div>
                    <w:div w:id="469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7326">
      <w:bodyDiv w:val="1"/>
      <w:marLeft w:val="0"/>
      <w:marRight w:val="0"/>
      <w:marTop w:val="0"/>
      <w:marBottom w:val="0"/>
      <w:divBdr>
        <w:top w:val="none" w:sz="0" w:space="0" w:color="auto"/>
        <w:left w:val="none" w:sz="0" w:space="0" w:color="auto"/>
        <w:bottom w:val="none" w:sz="0" w:space="0" w:color="auto"/>
        <w:right w:val="none" w:sz="0" w:space="0" w:color="auto"/>
      </w:divBdr>
    </w:div>
    <w:div w:id="1170368838">
      <w:bodyDiv w:val="1"/>
      <w:marLeft w:val="0"/>
      <w:marRight w:val="0"/>
      <w:marTop w:val="0"/>
      <w:marBottom w:val="0"/>
      <w:divBdr>
        <w:top w:val="none" w:sz="0" w:space="0" w:color="auto"/>
        <w:left w:val="none" w:sz="0" w:space="0" w:color="auto"/>
        <w:bottom w:val="none" w:sz="0" w:space="0" w:color="auto"/>
        <w:right w:val="none" w:sz="0" w:space="0" w:color="auto"/>
      </w:divBdr>
    </w:div>
    <w:div w:id="1278681598">
      <w:bodyDiv w:val="1"/>
      <w:marLeft w:val="0"/>
      <w:marRight w:val="0"/>
      <w:marTop w:val="0"/>
      <w:marBottom w:val="0"/>
      <w:divBdr>
        <w:top w:val="none" w:sz="0" w:space="0" w:color="auto"/>
        <w:left w:val="none" w:sz="0" w:space="0" w:color="auto"/>
        <w:bottom w:val="none" w:sz="0" w:space="0" w:color="auto"/>
        <w:right w:val="none" w:sz="0" w:space="0" w:color="auto"/>
      </w:divBdr>
    </w:div>
    <w:div w:id="1370498485">
      <w:bodyDiv w:val="1"/>
      <w:marLeft w:val="0"/>
      <w:marRight w:val="0"/>
      <w:marTop w:val="0"/>
      <w:marBottom w:val="0"/>
      <w:divBdr>
        <w:top w:val="none" w:sz="0" w:space="0" w:color="auto"/>
        <w:left w:val="none" w:sz="0" w:space="0" w:color="auto"/>
        <w:bottom w:val="none" w:sz="0" w:space="0" w:color="auto"/>
        <w:right w:val="none" w:sz="0" w:space="0" w:color="auto"/>
      </w:divBdr>
    </w:div>
    <w:div w:id="1555040327">
      <w:bodyDiv w:val="1"/>
      <w:marLeft w:val="0"/>
      <w:marRight w:val="0"/>
      <w:marTop w:val="0"/>
      <w:marBottom w:val="0"/>
      <w:divBdr>
        <w:top w:val="none" w:sz="0" w:space="0" w:color="auto"/>
        <w:left w:val="none" w:sz="0" w:space="0" w:color="auto"/>
        <w:bottom w:val="none" w:sz="0" w:space="0" w:color="auto"/>
        <w:right w:val="none" w:sz="0" w:space="0" w:color="auto"/>
      </w:divBdr>
    </w:div>
    <w:div w:id="1962106283">
      <w:bodyDiv w:val="1"/>
      <w:marLeft w:val="0"/>
      <w:marRight w:val="0"/>
      <w:marTop w:val="0"/>
      <w:marBottom w:val="0"/>
      <w:divBdr>
        <w:top w:val="none" w:sz="0" w:space="0" w:color="auto"/>
        <w:left w:val="none" w:sz="0" w:space="0" w:color="auto"/>
        <w:bottom w:val="none" w:sz="0" w:space="0" w:color="auto"/>
        <w:right w:val="none" w:sz="0" w:space="0" w:color="auto"/>
      </w:divBdr>
    </w:div>
    <w:div w:id="2008827521">
      <w:bodyDiv w:val="1"/>
      <w:marLeft w:val="0"/>
      <w:marRight w:val="0"/>
      <w:marTop w:val="0"/>
      <w:marBottom w:val="0"/>
      <w:divBdr>
        <w:top w:val="none" w:sz="0" w:space="0" w:color="auto"/>
        <w:left w:val="none" w:sz="0" w:space="0" w:color="auto"/>
        <w:bottom w:val="none" w:sz="0" w:space="0" w:color="auto"/>
        <w:right w:val="none" w:sz="0" w:space="0" w:color="auto"/>
      </w:divBdr>
      <w:divsChild>
        <w:div w:id="959457751">
          <w:marLeft w:val="0"/>
          <w:marRight w:val="0"/>
          <w:marTop w:val="0"/>
          <w:marBottom w:val="0"/>
          <w:divBdr>
            <w:top w:val="none" w:sz="0" w:space="0" w:color="auto"/>
            <w:left w:val="none" w:sz="0" w:space="0" w:color="auto"/>
            <w:bottom w:val="none" w:sz="0" w:space="0" w:color="auto"/>
            <w:right w:val="none" w:sz="0" w:space="0" w:color="auto"/>
          </w:divBdr>
        </w:div>
        <w:div w:id="1014457117">
          <w:marLeft w:val="0"/>
          <w:marRight w:val="0"/>
          <w:marTop w:val="0"/>
          <w:marBottom w:val="0"/>
          <w:divBdr>
            <w:top w:val="none" w:sz="0" w:space="0" w:color="auto"/>
            <w:left w:val="none" w:sz="0" w:space="0" w:color="auto"/>
            <w:bottom w:val="none" w:sz="0" w:space="0" w:color="auto"/>
            <w:right w:val="none" w:sz="0" w:space="0" w:color="auto"/>
          </w:divBdr>
        </w:div>
      </w:divsChild>
    </w:div>
    <w:div w:id="21292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382BF-72CF-4B68-8CC9-5AA03F2A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3211</Words>
  <Characters>19271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2021-02-16T09:02:00Z</dcterms:created>
  <dcterms:modified xsi:type="dcterms:W3CDTF">2021-02-16T09:02:00Z</dcterms:modified>
  <cp:category/>
</cp:coreProperties>
</file>