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F9" w:rsidRDefault="005774F9" w:rsidP="005774F9">
      <w:pPr>
        <w:jc w:val="center"/>
        <w:rPr>
          <w:b/>
        </w:rPr>
      </w:pPr>
      <w:r>
        <w:rPr>
          <w:b/>
        </w:rPr>
        <w:t>UZASADNIENIE</w:t>
      </w:r>
    </w:p>
    <w:p w:rsidR="005774F9" w:rsidRDefault="005774F9" w:rsidP="005774F9">
      <w:pPr>
        <w:jc w:val="center"/>
        <w:rPr>
          <w:b/>
        </w:rPr>
      </w:pPr>
    </w:p>
    <w:p w:rsidR="005774F9" w:rsidRDefault="005774F9" w:rsidP="005774F9">
      <w:pPr>
        <w:jc w:val="center"/>
        <w:rPr>
          <w:b/>
        </w:rPr>
      </w:pPr>
    </w:p>
    <w:p w:rsidR="005774F9" w:rsidRDefault="003B5C44" w:rsidP="005774F9">
      <w:pPr>
        <w:spacing w:line="360" w:lineRule="auto"/>
        <w:jc w:val="both"/>
        <w:rPr>
          <w:i/>
        </w:rPr>
      </w:pPr>
      <w:r>
        <w:tab/>
      </w:r>
      <w:r w:rsidR="00832AA7">
        <w:t xml:space="preserve">Projektowane rozporządzenie Ministra </w:t>
      </w:r>
      <w:r w:rsidR="00E13328">
        <w:t>Rodziny</w:t>
      </w:r>
      <w:r w:rsidR="00832AA7">
        <w:t xml:space="preserve"> i Polityki Społecznej </w:t>
      </w:r>
      <w:r>
        <w:t>zmieniające</w:t>
      </w:r>
      <w:r w:rsidR="005774F9">
        <w:t xml:space="preserve"> rozporządzenie w sprawie różnicowania s</w:t>
      </w:r>
      <w:bookmarkStart w:id="0" w:name="_GoBack"/>
      <w:bookmarkEnd w:id="0"/>
      <w:r w:rsidR="005774F9">
        <w:t xml:space="preserve">topy procentowej składki na ubezpieczenie społeczne  </w:t>
      </w:r>
      <w:r w:rsidR="005774F9">
        <w:br/>
        <w:t xml:space="preserve">z tytułu wypadków przy pracy i chorób zawodowych w zależności od zagrożeń zawodowych </w:t>
      </w:r>
      <w:r w:rsidR="005774F9">
        <w:br/>
        <w:t>i ich skutków jest wykonaniem upoważnienia ustawowego zawartego w art. 33 ust. 4 ustawy z</w:t>
      </w:r>
      <w:r w:rsidR="00832AA7">
        <w:t> </w:t>
      </w:r>
      <w:r w:rsidR="005774F9">
        <w:t xml:space="preserve">dnia 30 października 2002 r. o ubezpieczeniu społecznym z tytułu wypadków przy pracy </w:t>
      </w:r>
      <w:r w:rsidR="005774F9">
        <w:br/>
        <w:t>i chorób zawodowych</w:t>
      </w:r>
      <w:r w:rsidR="005774F9">
        <w:rPr>
          <w:i/>
        </w:rPr>
        <w:t xml:space="preserve"> </w:t>
      </w:r>
      <w:r w:rsidR="005774F9">
        <w:t>(Dz. U. z 201</w:t>
      </w:r>
      <w:r w:rsidR="00973379">
        <w:t>9</w:t>
      </w:r>
      <w:r w:rsidR="005774F9">
        <w:t xml:space="preserve"> r. poz. </w:t>
      </w:r>
      <w:r w:rsidR="00973379">
        <w:t>1205</w:t>
      </w:r>
      <w:r w:rsidR="005774F9">
        <w:t>), zwanej dalej „ustawą”.</w:t>
      </w:r>
      <w:r w:rsidR="005774F9">
        <w:rPr>
          <w:i/>
        </w:rPr>
        <w:t xml:space="preserve"> </w:t>
      </w:r>
    </w:p>
    <w:p w:rsidR="005774F9" w:rsidRDefault="005774F9" w:rsidP="005774F9">
      <w:pPr>
        <w:spacing w:line="360" w:lineRule="auto"/>
        <w:jc w:val="both"/>
      </w:pPr>
      <w:r>
        <w:t>Zgodnie z ustawą płatnicy składek podzieleni są na dwie grupy:</w:t>
      </w:r>
    </w:p>
    <w:p w:rsidR="005774F9" w:rsidRDefault="005774F9" w:rsidP="005774F9">
      <w:pPr>
        <w:pStyle w:val="Akapitzlist"/>
        <w:numPr>
          <w:ilvl w:val="0"/>
          <w:numId w:val="1"/>
        </w:numPr>
        <w:spacing w:line="360" w:lineRule="auto"/>
        <w:ind w:left="426"/>
        <w:jc w:val="both"/>
      </w:pPr>
      <w:r>
        <w:t>zgłaszający do ubezpieczenia wypadkowego nie więcej niż 9 ubezpieczonych,</w:t>
      </w:r>
    </w:p>
    <w:p w:rsidR="005774F9" w:rsidRDefault="005774F9" w:rsidP="005774F9">
      <w:pPr>
        <w:pStyle w:val="Akapitzlist"/>
        <w:numPr>
          <w:ilvl w:val="0"/>
          <w:numId w:val="1"/>
        </w:numPr>
        <w:spacing w:line="360" w:lineRule="auto"/>
        <w:ind w:left="426"/>
        <w:jc w:val="both"/>
      </w:pPr>
      <w:r>
        <w:t>zgłaszający do ubezpieczenia wypadkowego co najmniej 10 ubezpieczonych.</w:t>
      </w:r>
    </w:p>
    <w:p w:rsidR="005774F9" w:rsidRDefault="005774F9" w:rsidP="005774F9">
      <w:pPr>
        <w:spacing w:line="360" w:lineRule="auto"/>
        <w:ind w:firstLine="708"/>
        <w:jc w:val="both"/>
      </w:pPr>
      <w:r>
        <w:t xml:space="preserve">Dla wszystkich płatników składek zgłaszających do ubezpieczenia wypadkowego nie więcej niż 9 ubezpieczonych stopa procentowa składki na to ubezpieczenie jest taka sama </w:t>
      </w:r>
      <w:r>
        <w:br/>
        <w:t>i wynosi 50% najwyższej stopy procentowej, ustalonej na dany rok składkowy dla grupy działalności. Taka sama stopa procentowa składki obowiązuje dla płatników składek niepodlegających wpisowi do rejestru REGON.</w:t>
      </w:r>
    </w:p>
    <w:p w:rsidR="005774F9" w:rsidRDefault="005774F9" w:rsidP="005774F9">
      <w:pPr>
        <w:spacing w:line="360" w:lineRule="auto"/>
        <w:ind w:left="-180" w:firstLine="888"/>
        <w:jc w:val="both"/>
      </w:pPr>
      <w:r>
        <w:t>Stopę procentową składki na ubezpieczenie wypadkowe płatnika składek zgłaszającego  do ubezpieczenia wypadkowego co najmniej 10 ubezpieczonych ustala Zakład Ubezpieczeń Społecznych jako iloczyn stopy procentowej składki na ubezpieczenie wypadkowe określonej dla grupy działalności, do której należy dany płatnik, i wskaźnika korygującego ustalonego dla tego płatnika. Stopę procentową składki Zakład Ubezpieczeń Społecznych ustala tym płatnikom składek, którzy za trzy kolejne, ostatnie lata kalendarzowe przesłali</w:t>
      </w:r>
      <w:r w:rsidR="00832AA7">
        <w:t xml:space="preserve"> </w:t>
      </w:r>
      <w:r>
        <w:rPr>
          <w:i/>
        </w:rPr>
        <w:t>Informację</w:t>
      </w:r>
      <w:r w:rsidR="003B5C44">
        <w:rPr>
          <w:i/>
        </w:rPr>
        <w:br/>
      </w:r>
      <w:r>
        <w:rPr>
          <w:i/>
        </w:rPr>
        <w:t>o danych do ustalenia składki na ubezpieczenie wypadkowe</w:t>
      </w:r>
      <w:r>
        <w:t xml:space="preserve"> </w:t>
      </w:r>
      <w:r w:rsidR="00832AA7">
        <w:t xml:space="preserve">– </w:t>
      </w:r>
      <w:r>
        <w:t>ZUS IWA.</w:t>
      </w:r>
    </w:p>
    <w:p w:rsidR="005774F9" w:rsidRDefault="005774F9" w:rsidP="005774F9">
      <w:pPr>
        <w:spacing w:line="360" w:lineRule="auto"/>
        <w:ind w:left="-180" w:firstLine="888"/>
        <w:jc w:val="both"/>
      </w:pPr>
      <w:r>
        <w:t>Informację tę przekazują płatnicy składek, którzy podlegają wpisowi do rejestru REGON, byli zgłoszeni w ZUS jako płatnicy składek na ubezpieczenie wypadkowe nieprzerwanie przez cały rok kalendarzowy, za który składana jest informacja ZUS IWA</w:t>
      </w:r>
      <w:r w:rsidR="00832AA7">
        <w:t>,</w:t>
      </w:r>
      <w:r>
        <w:t xml:space="preserve"> </w:t>
      </w:r>
      <w:r>
        <w:br/>
        <w:t>i przynajmniej jeden dzień w styczniu następnego roku oraz zgłaszali w roku kalendarzowym, za który składana jest informacja, średnio co najmniej 10 ubezpieczonych do ubezpieczenia wypadkowego.</w:t>
      </w:r>
    </w:p>
    <w:p w:rsidR="005774F9" w:rsidRDefault="005774F9" w:rsidP="005774F9">
      <w:pPr>
        <w:spacing w:line="360" w:lineRule="auto"/>
        <w:ind w:left="-180" w:firstLine="888"/>
        <w:jc w:val="both"/>
      </w:pPr>
      <w:r>
        <w:t xml:space="preserve"> Pozostali płatnicy składek samodzielnie ustalają stopę procentową składki </w:t>
      </w:r>
      <w:r>
        <w:br/>
        <w:t xml:space="preserve">na ubezpieczenie wypadkowe. Dla nich stopa procentowa składki na ubezpieczenie wypadkowe wynosi tyle, co stopa procentowa określona dla </w:t>
      </w:r>
      <w:r w:rsidRPr="00973379">
        <w:t>grupy działalności,</w:t>
      </w:r>
      <w:r>
        <w:t xml:space="preserve"> do której płatnik należy.</w:t>
      </w:r>
    </w:p>
    <w:p w:rsidR="005774F9" w:rsidRDefault="005774F9" w:rsidP="005774F9">
      <w:pPr>
        <w:spacing w:line="360" w:lineRule="auto"/>
        <w:ind w:left="-180" w:firstLine="888"/>
        <w:jc w:val="both"/>
      </w:pPr>
      <w:r>
        <w:lastRenderedPageBreak/>
        <w:t>Płatnicy składek zostali przyporządkowani do określonych grup działaln</w:t>
      </w:r>
      <w:r w:rsidR="003B5C44">
        <w:t xml:space="preserve">ości, </w:t>
      </w:r>
      <w:r w:rsidR="003B5C44">
        <w:br/>
        <w:t>w zależności od rodzaju</w:t>
      </w:r>
      <w:r>
        <w:t xml:space="preserve"> działalności Polskiej Klasyfikacji Działalności (PKD), ujętej </w:t>
      </w:r>
      <w:r>
        <w:br/>
        <w:t>w rejestrze REGON podmiotów gospodarki narodowej.</w:t>
      </w:r>
    </w:p>
    <w:p w:rsidR="005774F9" w:rsidRDefault="005774F9" w:rsidP="005774F9">
      <w:pPr>
        <w:spacing w:line="360" w:lineRule="auto"/>
        <w:ind w:left="-180" w:firstLine="888"/>
        <w:jc w:val="both"/>
      </w:pPr>
      <w:r>
        <w:t xml:space="preserve">Kategorie ryzyka wraz z odpowiadającymi im stopami procentowymi składki </w:t>
      </w:r>
      <w:r>
        <w:br/>
        <w:t>na ubezpieczenie wypadkowe dla poszczególnych grup działalności ustala, w drodze rozporządzenia, minister właściwy do spraw zabezpieczenia społecznego, którym jest</w:t>
      </w:r>
      <w:r w:rsidR="00973379">
        <w:t xml:space="preserve"> obecnie Minister Rodziny</w:t>
      </w:r>
      <w:r>
        <w:t xml:space="preserve"> i Polityki Społecznej.</w:t>
      </w:r>
    </w:p>
    <w:p w:rsidR="005774F9" w:rsidRDefault="005774F9" w:rsidP="005774F9">
      <w:pPr>
        <w:spacing w:line="360" w:lineRule="auto"/>
        <w:ind w:firstLine="708"/>
        <w:jc w:val="both"/>
      </w:pPr>
      <w:r>
        <w:t>Kategorię ryzyka dla grupy działalności ustala się w zależności od ryzyka określonego następującymi wskaźnikami częstości:</w:t>
      </w:r>
    </w:p>
    <w:p w:rsidR="005774F9" w:rsidRDefault="005774F9" w:rsidP="005774F9">
      <w:pPr>
        <w:pStyle w:val="Akapitzlist"/>
        <w:numPr>
          <w:ilvl w:val="0"/>
          <w:numId w:val="2"/>
        </w:numPr>
        <w:spacing w:line="360" w:lineRule="auto"/>
        <w:jc w:val="both"/>
      </w:pPr>
      <w:r>
        <w:t>poszkodowanych w wypadkach przy pracy ogółem</w:t>
      </w:r>
      <w:r w:rsidR="00832AA7">
        <w:t>;</w:t>
      </w:r>
    </w:p>
    <w:p w:rsidR="005774F9" w:rsidRDefault="005774F9" w:rsidP="005774F9">
      <w:pPr>
        <w:pStyle w:val="Akapitzlist"/>
        <w:numPr>
          <w:ilvl w:val="0"/>
          <w:numId w:val="2"/>
        </w:numPr>
        <w:spacing w:line="360" w:lineRule="auto"/>
        <w:jc w:val="both"/>
      </w:pPr>
      <w:r>
        <w:t>poszkodowanych w wypadkach przy pracy śmiertelnych i ciężkich</w:t>
      </w:r>
      <w:r w:rsidR="00832AA7">
        <w:t>;</w:t>
      </w:r>
    </w:p>
    <w:p w:rsidR="005774F9" w:rsidRDefault="005774F9" w:rsidP="005774F9">
      <w:pPr>
        <w:pStyle w:val="Akapitzlist"/>
        <w:numPr>
          <w:ilvl w:val="0"/>
          <w:numId w:val="2"/>
        </w:numPr>
        <w:spacing w:line="360" w:lineRule="auto"/>
        <w:jc w:val="both"/>
      </w:pPr>
      <w:r>
        <w:t>stwierdzonych chorób zawodowych</w:t>
      </w:r>
      <w:r w:rsidR="00832AA7">
        <w:t>;</w:t>
      </w:r>
    </w:p>
    <w:p w:rsidR="005774F9" w:rsidRDefault="005774F9" w:rsidP="005774F9">
      <w:pPr>
        <w:pStyle w:val="Akapitzlist"/>
        <w:numPr>
          <w:ilvl w:val="0"/>
          <w:numId w:val="2"/>
        </w:numPr>
        <w:spacing w:line="360" w:lineRule="auto"/>
        <w:jc w:val="both"/>
      </w:pPr>
      <w:r>
        <w:t>zatrudnionych w warunkach zagrożenia w razie przekroczenia najwyższych dopuszczalnych stężeń i natężeń czynników szkodliwych dla zdrowia w środowisku pracy.</w:t>
      </w:r>
    </w:p>
    <w:p w:rsidR="005774F9" w:rsidRDefault="005774F9" w:rsidP="005774F9">
      <w:pPr>
        <w:spacing w:line="360" w:lineRule="auto"/>
        <w:jc w:val="both"/>
      </w:pPr>
      <w:r>
        <w:tab/>
        <w:t>Wpływ każdego z wymienionych wskaźników częstości na ustalenie kategorii ryzyka dla grupy działalności jest równy.</w:t>
      </w:r>
    </w:p>
    <w:p w:rsidR="005774F9" w:rsidRDefault="005774F9" w:rsidP="005774F9">
      <w:pPr>
        <w:spacing w:line="360" w:lineRule="auto"/>
        <w:ind w:firstLine="708"/>
        <w:jc w:val="both"/>
      </w:pPr>
      <w:r>
        <w:t>Natomiast kategorię ryzyka dla płatnika składek, od której zależy indywidualny wskaźnik korygujący, ustala się w zależności od ryzyka określonego następującymi wskaźnikami częstości:</w:t>
      </w:r>
    </w:p>
    <w:p w:rsidR="005774F9" w:rsidRDefault="005774F9" w:rsidP="005774F9">
      <w:pPr>
        <w:pStyle w:val="Akapitzlist"/>
        <w:numPr>
          <w:ilvl w:val="0"/>
          <w:numId w:val="3"/>
        </w:numPr>
        <w:spacing w:line="360" w:lineRule="auto"/>
        <w:jc w:val="both"/>
      </w:pPr>
      <w:r>
        <w:t>poszkodowanych w wypadkach przy pracy ogółem</w:t>
      </w:r>
      <w:r w:rsidR="00832AA7">
        <w:t>;</w:t>
      </w:r>
    </w:p>
    <w:p w:rsidR="005774F9" w:rsidRDefault="005774F9" w:rsidP="005774F9">
      <w:pPr>
        <w:pStyle w:val="Akapitzlist"/>
        <w:numPr>
          <w:ilvl w:val="0"/>
          <w:numId w:val="3"/>
        </w:numPr>
        <w:spacing w:line="360" w:lineRule="auto"/>
        <w:jc w:val="both"/>
      </w:pPr>
      <w:r>
        <w:t>poszkodowanych w wypadkach śmiertelnych i ciężkich</w:t>
      </w:r>
      <w:r w:rsidR="00832AA7">
        <w:t>;</w:t>
      </w:r>
    </w:p>
    <w:p w:rsidR="005774F9" w:rsidRDefault="005774F9" w:rsidP="005774F9">
      <w:pPr>
        <w:pStyle w:val="Akapitzlist"/>
        <w:numPr>
          <w:ilvl w:val="0"/>
          <w:numId w:val="3"/>
        </w:numPr>
        <w:spacing w:line="360" w:lineRule="auto"/>
        <w:jc w:val="both"/>
      </w:pPr>
      <w:r>
        <w:t>zatrudnionych w warunkach zagrożenia w razie przekroczenia najwyższych dopuszczalnych stężeń i natężeń czynników szkodliwych dla zdrowia w środowisku pracy.</w:t>
      </w:r>
    </w:p>
    <w:p w:rsidR="005774F9" w:rsidRDefault="005774F9" w:rsidP="005774F9">
      <w:pPr>
        <w:spacing w:line="360" w:lineRule="auto"/>
        <w:jc w:val="both"/>
      </w:pPr>
      <w:r>
        <w:tab/>
        <w:t xml:space="preserve">Wpływ wskaźników częstości określonych w pkt 1 i 2 na ustalenie kategorii ryzyka dla płatników składek jest równy, a wskaźnika częstości określonego w pkt 3 – dwukrotnie większy niż każdego z tych dwóch wskaźników. </w:t>
      </w:r>
    </w:p>
    <w:p w:rsidR="005774F9" w:rsidRDefault="005774F9" w:rsidP="00973379">
      <w:pPr>
        <w:spacing w:line="360" w:lineRule="auto"/>
        <w:ind w:firstLine="708"/>
        <w:jc w:val="both"/>
      </w:pPr>
      <w:r>
        <w:t xml:space="preserve">O ostatecznej wysokości stopy procentowej składki dla płatników składek, którzy zgłaszają do ubezpieczenia wypadkowego co najmniej 10 ubezpieczonych i byli zobowiązani do składania ZUS IWA za trzy ostatnie lata kalendarzowe decydować będzie zarówno stopa procentowa ustalona dla grupy działalności, jak i indywidualny wskaźnik korygujący ustalany przez Zakład Ubezpieczeń Społecznych. Dopuszczalne wartości wskaźnika korygującego wynoszą od 0,5 do 1,5 (art. 31 ust. 1 pkt 2 ustawy). </w:t>
      </w:r>
    </w:p>
    <w:p w:rsidR="005774F9" w:rsidRDefault="005774F9" w:rsidP="00973379">
      <w:pPr>
        <w:spacing w:line="360" w:lineRule="auto"/>
        <w:ind w:firstLine="708"/>
        <w:jc w:val="both"/>
      </w:pPr>
      <w:r>
        <w:lastRenderedPageBreak/>
        <w:t xml:space="preserve">Zgodnie z art. 30 ust. 4 ustawy </w:t>
      </w:r>
      <w:r w:rsidRPr="00973379">
        <w:t xml:space="preserve">kategorię ryzyka dla grup działalności ustala się </w:t>
      </w:r>
      <w:r w:rsidRPr="00973379">
        <w:br/>
        <w:t>na podstawie danych Głównego Urzędu Statystycznego za trzy ostatnie lata kalendarzowe,</w:t>
      </w:r>
      <w:r>
        <w:t xml:space="preserve"> dostępne w dniu 31 stycznia danego roku. Kategorię ryzyka dla grup działalności ustala </w:t>
      </w:r>
      <w:r>
        <w:br/>
        <w:t xml:space="preserve">się na okres nie dłuższy niż trzy lata składkowe (art. 30 ust. 5 ustawy), co oznacza, </w:t>
      </w:r>
      <w:r>
        <w:br/>
        <w:t>że</w:t>
      </w:r>
      <w:r w:rsidR="003B5C44">
        <w:t xml:space="preserve"> począwszy od roku składkowego </w:t>
      </w:r>
      <w:r>
        <w:t xml:space="preserve">rozpoczynającego się </w:t>
      </w:r>
      <w:r w:rsidR="00950F56">
        <w:t xml:space="preserve">od </w:t>
      </w:r>
      <w:r>
        <w:t>1 kwietnia 20</w:t>
      </w:r>
      <w:r w:rsidR="00973379">
        <w:t>21</w:t>
      </w:r>
      <w:r>
        <w:t xml:space="preserve"> r. dla poszczególnych grup działalności powinny być </w:t>
      </w:r>
      <w:r w:rsidR="00950F56">
        <w:t>ogłoszone nowe kategorie ryzyka, stąd też rozporządzenie powinno wejść w życie z dniem 1 kwietnia 20</w:t>
      </w:r>
      <w:r w:rsidR="00973379">
        <w:t>21</w:t>
      </w:r>
      <w:r w:rsidR="00950F56">
        <w:t xml:space="preserve"> r.</w:t>
      </w:r>
    </w:p>
    <w:p w:rsidR="005774F9" w:rsidRDefault="003B5C44" w:rsidP="005774F9">
      <w:pPr>
        <w:spacing w:line="360" w:lineRule="auto"/>
        <w:ind w:firstLine="708"/>
        <w:jc w:val="both"/>
      </w:pPr>
      <w:r>
        <w:t>R</w:t>
      </w:r>
      <w:r w:rsidR="005774F9">
        <w:t>ozporządzenie określa nowe kategorie ryzyka i odpowiadające im stopy procentowe składki.</w:t>
      </w:r>
    </w:p>
    <w:p w:rsidR="005774F9" w:rsidRPr="00EB3A76" w:rsidRDefault="005774F9" w:rsidP="005774F9">
      <w:pPr>
        <w:spacing w:line="360" w:lineRule="auto"/>
        <w:ind w:firstLine="708"/>
        <w:jc w:val="both"/>
      </w:pPr>
      <w:r w:rsidRPr="00EB3A76">
        <w:t>W stosunku do obowiązującej regulacji tę samą kategorię ryzyka i tę samą st</w:t>
      </w:r>
      <w:r w:rsidR="00750E14" w:rsidRPr="00EB3A76">
        <w:t>opę procentową składki zachowało</w:t>
      </w:r>
      <w:r w:rsidR="00A32118">
        <w:t xml:space="preserve"> 40</w:t>
      </w:r>
      <w:r w:rsidR="00750E14" w:rsidRPr="00EB3A76">
        <w:t xml:space="preserve"> grup</w:t>
      </w:r>
      <w:r w:rsidRPr="00EB3A76">
        <w:t xml:space="preserve"> działalności. Wzrost kategorii ryzyka i tym samym wzrost stopy procentowej składki dotyczy </w:t>
      </w:r>
      <w:r w:rsidR="00A32118">
        <w:t>8</w:t>
      </w:r>
      <w:r w:rsidRPr="00EB3A76">
        <w:t xml:space="preserve"> grup, natomiast w przypadku </w:t>
      </w:r>
      <w:r w:rsidR="00A32118">
        <w:t>16</w:t>
      </w:r>
      <w:r w:rsidRPr="00EB3A76">
        <w:t xml:space="preserve"> grup efektem zmiany kategorii ryzyka jest obniżenie stopy procentowej składki na ubezpieczenie wypadkowe. </w:t>
      </w:r>
    </w:p>
    <w:p w:rsidR="005774F9" w:rsidRPr="00EB3A76" w:rsidRDefault="005774F9" w:rsidP="005774F9">
      <w:pPr>
        <w:spacing w:line="360" w:lineRule="auto"/>
        <w:ind w:firstLine="708"/>
        <w:jc w:val="both"/>
      </w:pPr>
      <w:r w:rsidRPr="00EB3A76">
        <w:t>Najniższa stopa procentowa składki dla grup d</w:t>
      </w:r>
      <w:r w:rsidR="008B452D" w:rsidRPr="00EB3A76">
        <w:t>ziałalności wynosić będzie 0,67</w:t>
      </w:r>
      <w:r w:rsidRPr="00EB3A76">
        <w:t>%, natomiast najwyższa 3,33%.</w:t>
      </w:r>
    </w:p>
    <w:p w:rsidR="005774F9" w:rsidRPr="00EB3A76" w:rsidRDefault="005774F9" w:rsidP="005774F9">
      <w:pPr>
        <w:spacing w:line="360" w:lineRule="auto"/>
        <w:ind w:firstLine="708"/>
        <w:jc w:val="both"/>
      </w:pPr>
      <w:r w:rsidRPr="00EB3A76">
        <w:t>Ponieważ stopa procentowa składki dla płatnika zgłaszającego do ubezpieczenia wypadkowego nie więcej niż 9 ubezpieczonych oraz dla płatników składek niepodlegających wpisowi do rejestru REGON wynosi 50% najwyższej stopy procentowej ustalonej na dany rok składkowy dla grup działalności</w:t>
      </w:r>
      <w:r w:rsidR="00EB3A76">
        <w:t>,</w:t>
      </w:r>
      <w:r w:rsidRPr="00EB3A76">
        <w:t xml:space="preserve"> w </w:t>
      </w:r>
      <w:r w:rsidR="00EB3A76">
        <w:t>proponowanej regulacji stopa procentowa składki</w:t>
      </w:r>
      <w:r w:rsidRPr="00EB3A76">
        <w:t xml:space="preserve"> dla tych płatników składek </w:t>
      </w:r>
      <w:r w:rsidR="00750E14" w:rsidRPr="00EB3A76">
        <w:t xml:space="preserve">pozostanie na niezmienionym poziomie </w:t>
      </w:r>
      <w:r w:rsidRPr="00EB3A76">
        <w:t>i wyniesie 1,67 %</w:t>
      </w:r>
      <w:r w:rsidR="00750E14" w:rsidRPr="00EB3A76">
        <w:t>.</w:t>
      </w:r>
      <w:r w:rsidRPr="00EB3A76">
        <w:t xml:space="preserve"> </w:t>
      </w:r>
    </w:p>
    <w:p w:rsidR="005774F9" w:rsidRDefault="005774F9" w:rsidP="005774F9">
      <w:pPr>
        <w:spacing w:line="360" w:lineRule="auto"/>
        <w:ind w:firstLine="708"/>
        <w:jc w:val="both"/>
      </w:pPr>
      <w:r>
        <w:t xml:space="preserve">Natomiast ci płatnicy składek, którzy nie składali informacji ZUS IWA z uwagi </w:t>
      </w:r>
      <w:r>
        <w:br/>
        <w:t>na brak obowiązku jej składania, składkę na ubezpieczenie wypadkowe opłacają według stopy procentowej właściwej dla ich grupy działalności.</w:t>
      </w:r>
    </w:p>
    <w:p w:rsidR="005774F9" w:rsidRPr="00EB3A76" w:rsidRDefault="003B5C44" w:rsidP="008B452D">
      <w:pPr>
        <w:spacing w:line="360" w:lineRule="auto"/>
        <w:ind w:firstLine="708"/>
        <w:jc w:val="both"/>
      </w:pPr>
      <w:r w:rsidRPr="00EB3A76">
        <w:t>Przedmiotowa</w:t>
      </w:r>
      <w:r w:rsidR="005774F9" w:rsidRPr="00EB3A76">
        <w:t xml:space="preserve"> regulacja </w:t>
      </w:r>
      <w:r w:rsidR="008B452D" w:rsidRPr="00EB3A76">
        <w:t>nie wpłynie negatywnie</w:t>
      </w:r>
      <w:r w:rsidR="005774F9" w:rsidRPr="00EB3A76">
        <w:t xml:space="preserve"> na sektor małych i średnich przedsiębiorstw. </w:t>
      </w:r>
      <w:r w:rsidR="008B452D" w:rsidRPr="00EB3A76">
        <w:t xml:space="preserve">Utrzymanie na niezmienionym poziomie </w:t>
      </w:r>
      <w:r w:rsidR="005774F9" w:rsidRPr="00EB3A76">
        <w:t>stopy</w:t>
      </w:r>
      <w:r w:rsidR="005774F9" w:rsidRPr="00EB3A76">
        <w:rPr>
          <w:color w:val="C00000"/>
        </w:rPr>
        <w:t xml:space="preserve"> </w:t>
      </w:r>
      <w:r w:rsidR="005774F9" w:rsidRPr="00EB3A76">
        <w:t xml:space="preserve">procentowej składki na ubezpieczenie wypadkowe przyczyni się do </w:t>
      </w:r>
      <w:r w:rsidR="008B452D" w:rsidRPr="00EB3A76">
        <w:t>stabilizacji</w:t>
      </w:r>
      <w:r w:rsidR="005774F9" w:rsidRPr="00EB3A76">
        <w:t xml:space="preserve"> ich sytuacji finansowej. </w:t>
      </w:r>
      <w:r w:rsidR="008B452D" w:rsidRPr="00EB3A76">
        <w:t>Ustabilizowanie</w:t>
      </w:r>
      <w:r w:rsidR="005774F9" w:rsidRPr="00EB3A76">
        <w:t xml:space="preserve"> </w:t>
      </w:r>
      <w:r w:rsidR="00EB3A76">
        <w:t xml:space="preserve">w tym zakresie </w:t>
      </w:r>
      <w:r w:rsidR="005774F9" w:rsidRPr="00EB3A76">
        <w:t xml:space="preserve">kosztów funkcjonowania </w:t>
      </w:r>
      <w:r w:rsidR="00EB3A76">
        <w:t>ww</w:t>
      </w:r>
      <w:r w:rsidR="005774F9" w:rsidRPr="00EB3A76">
        <w:t xml:space="preserve"> przedsiębiorstw może też pozytywnie wpłynąć na rynek pracy.</w:t>
      </w:r>
    </w:p>
    <w:p w:rsidR="0010727D" w:rsidRDefault="00832AA7" w:rsidP="005774F9">
      <w:pPr>
        <w:spacing w:line="360" w:lineRule="auto"/>
        <w:ind w:firstLine="708"/>
        <w:jc w:val="both"/>
      </w:pPr>
      <w:r>
        <w:t xml:space="preserve">Projektowane rozporządzenie </w:t>
      </w:r>
      <w:r w:rsidR="0010727D">
        <w:t xml:space="preserve">nie wymaga zamieszczania w nim przepisów przejściowych. </w:t>
      </w:r>
      <w:r w:rsidR="00CB7479">
        <w:t>Od dnia 1 kwietnia 20</w:t>
      </w:r>
      <w:r w:rsidR="00973379">
        <w:t>21</w:t>
      </w:r>
      <w:r w:rsidR="00CB7479">
        <w:t xml:space="preserve"> r. obowiązują nowe kategorie ryzyka i nowe stopy procentowe składki na ubezpieczenie wypadkowe.</w:t>
      </w:r>
    </w:p>
    <w:p w:rsidR="008C3725" w:rsidRDefault="008C3725" w:rsidP="0009233B">
      <w:pPr>
        <w:spacing w:before="120" w:line="360" w:lineRule="auto"/>
        <w:ind w:firstLine="708"/>
        <w:jc w:val="both"/>
      </w:pPr>
      <w:r w:rsidRPr="004133D4">
        <w:lastRenderedPageBreak/>
        <w:t>W ocenie projektodawcy przedmiot</w:t>
      </w:r>
      <w:r>
        <w:t xml:space="preserve">  regulacji nie jest sprzeczny </w:t>
      </w:r>
      <w:r w:rsidRPr="004133D4">
        <w:t>z prawem Unii Europejskiej</w:t>
      </w:r>
      <w:r>
        <w:t xml:space="preserve">, a regulacje zawarte w projekcie nie stanowią przepisów technicznych </w:t>
      </w:r>
      <w:r w:rsidR="00EB3A76">
        <w:br/>
      </w:r>
      <w:r>
        <w:t xml:space="preserve">w rozumieniu rozporządzenia Rady Ministrów z dnia 23 grudnia 2002 r. w sprawie sposobu funkcjonowania krajowego systemu notyfikacji norm i aktów prawnych (Dz. U. poz. 2039, </w:t>
      </w:r>
      <w:r w:rsidR="00EB3A76">
        <w:br/>
      </w:r>
      <w:r w:rsidR="0009233B">
        <w:t>z późn. zm.),</w:t>
      </w:r>
      <w:r w:rsidR="00832AA7">
        <w:t xml:space="preserve"> </w:t>
      </w:r>
      <w:r>
        <w:t>w związku z tym nie podlega notyfikacji.</w:t>
      </w:r>
    </w:p>
    <w:p w:rsidR="008C3725" w:rsidRPr="004133D4" w:rsidRDefault="008C3725" w:rsidP="00E2104D">
      <w:pPr>
        <w:spacing w:line="360" w:lineRule="auto"/>
        <w:ind w:firstLine="709"/>
        <w:jc w:val="both"/>
      </w:pPr>
      <w:r w:rsidRPr="004133D4">
        <w:t>Zgodnie z § 27 ust. 4 uchwały nr 190 Rady Ministrów z dnia 29 października 2013 r. – Regulamin pracy Rady Ministrów (</w:t>
      </w:r>
      <w:r>
        <w:t>M. P. z 2016 r. poz. 1006, z późn. zm.</w:t>
      </w:r>
      <w:r w:rsidRPr="004133D4">
        <w:t xml:space="preserve">) </w:t>
      </w:r>
      <w:r>
        <w:t xml:space="preserve">w ocenie projektodawcy </w:t>
      </w:r>
      <w:r w:rsidRPr="004133D4">
        <w:t>projekt nie podlega opinii właściwych instytucji i organów Unii Europejskiej, w tym Europejskiego Banku Centralnego</w:t>
      </w:r>
      <w:r w:rsidRPr="00465194">
        <w:t xml:space="preserve"> </w:t>
      </w:r>
      <w:r w:rsidRPr="002E4EAE">
        <w:t>w celu uzyskania opinii, dokonania powiadomienia, konsultacji albo uzgodnieni</w:t>
      </w:r>
      <w:r>
        <w:t>a.</w:t>
      </w:r>
    </w:p>
    <w:p w:rsidR="008C3725" w:rsidRPr="00956023" w:rsidRDefault="008C3725" w:rsidP="00E2104D">
      <w:pPr>
        <w:spacing w:line="360" w:lineRule="auto"/>
        <w:ind w:firstLine="709"/>
        <w:jc w:val="both"/>
      </w:pPr>
      <w:r w:rsidRPr="004133D4">
        <w:t xml:space="preserve">Zgodnie z art. 5 ustawy z dnia 7 lipca 2005 r. o działalności lobbingowej w procesie stanowienia prawa (Dz. U. z 2017 r. poz. 248) oraz § 52 uchwały nr 190 Rady Ministrów </w:t>
      </w:r>
      <w:r w:rsidRPr="004133D4">
        <w:br/>
        <w:t xml:space="preserve">z dnia 29 października 2013 r. – Regulamin pracy Rady Ministrów projekt </w:t>
      </w:r>
      <w:r w:rsidR="00D403D6" w:rsidRPr="004133D4">
        <w:t>zosta</w:t>
      </w:r>
      <w:r w:rsidR="00D403D6">
        <w:t>ł</w:t>
      </w:r>
      <w:r w:rsidR="00D403D6" w:rsidRPr="004133D4">
        <w:t xml:space="preserve">  </w:t>
      </w:r>
      <w:r w:rsidRPr="004133D4">
        <w:t>zamieszczony w Biuletynie</w:t>
      </w:r>
      <w:r w:rsidRPr="00956023">
        <w:t xml:space="preserve"> Informacji Public</w:t>
      </w:r>
      <w:r>
        <w:t>znej na stronie podmiotowej Ministra Rodziny</w:t>
      </w:r>
      <w:r w:rsidRPr="00956023">
        <w:t xml:space="preserve"> </w:t>
      </w:r>
      <w:r>
        <w:br/>
      </w:r>
      <w:r w:rsidRPr="00956023">
        <w:t>i Polityki Społecznej oraz na stronie podmiotowej Rządowego Centrum Legislacji, w serwisie Rządowy Proces Legislacyjny z dniem skierowania do uzgodnień i konsultacji publicznych.</w:t>
      </w:r>
    </w:p>
    <w:p w:rsidR="005774F9" w:rsidRDefault="005774F9" w:rsidP="005774F9">
      <w:pPr>
        <w:spacing w:line="360" w:lineRule="auto"/>
        <w:ind w:firstLine="708"/>
        <w:jc w:val="both"/>
      </w:pPr>
    </w:p>
    <w:p w:rsidR="005774F9" w:rsidRDefault="005774F9" w:rsidP="005774F9"/>
    <w:p w:rsidR="00607721" w:rsidRDefault="00607721"/>
    <w:sectPr w:rsidR="00607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23DEF"/>
    <w:multiLevelType w:val="hybridMultilevel"/>
    <w:tmpl w:val="73784EE6"/>
    <w:lvl w:ilvl="0" w:tplc="81EE0B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3A61400"/>
    <w:multiLevelType w:val="hybridMultilevel"/>
    <w:tmpl w:val="E3A85C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6D22203"/>
    <w:multiLevelType w:val="hybridMultilevel"/>
    <w:tmpl w:val="E6E46B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F9"/>
    <w:rsid w:val="0009233B"/>
    <w:rsid w:val="0010727D"/>
    <w:rsid w:val="001427EA"/>
    <w:rsid w:val="0026149E"/>
    <w:rsid w:val="003B5C44"/>
    <w:rsid w:val="00452A57"/>
    <w:rsid w:val="005069DB"/>
    <w:rsid w:val="005774F9"/>
    <w:rsid w:val="00607721"/>
    <w:rsid w:val="00633211"/>
    <w:rsid w:val="00723AA4"/>
    <w:rsid w:val="00750E14"/>
    <w:rsid w:val="007E56D3"/>
    <w:rsid w:val="00805CFC"/>
    <w:rsid w:val="00832AA7"/>
    <w:rsid w:val="008B452D"/>
    <w:rsid w:val="008C3725"/>
    <w:rsid w:val="00932399"/>
    <w:rsid w:val="00943822"/>
    <w:rsid w:val="00950F56"/>
    <w:rsid w:val="00973379"/>
    <w:rsid w:val="00A27879"/>
    <w:rsid w:val="00A32118"/>
    <w:rsid w:val="00C215F1"/>
    <w:rsid w:val="00CB7479"/>
    <w:rsid w:val="00D403D6"/>
    <w:rsid w:val="00E13328"/>
    <w:rsid w:val="00E2104D"/>
    <w:rsid w:val="00E3788D"/>
    <w:rsid w:val="00EB3A76"/>
    <w:rsid w:val="00F307A3"/>
    <w:rsid w:val="00F70D08"/>
    <w:rsid w:val="00F83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14B81-C894-4E6C-B73D-050DB4E4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4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7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20237">
      <w:bodyDiv w:val="1"/>
      <w:marLeft w:val="0"/>
      <w:marRight w:val="0"/>
      <w:marTop w:val="0"/>
      <w:marBottom w:val="0"/>
      <w:divBdr>
        <w:top w:val="none" w:sz="0" w:space="0" w:color="auto"/>
        <w:left w:val="none" w:sz="0" w:space="0" w:color="auto"/>
        <w:bottom w:val="none" w:sz="0" w:space="0" w:color="auto"/>
        <w:right w:val="none" w:sz="0" w:space="0" w:color="auto"/>
      </w:divBdr>
    </w:div>
    <w:div w:id="11164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1169</Words>
  <Characters>7014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Siwek</dc:creator>
  <cp:lastModifiedBy>Joanna Kownacka Kacperska</cp:lastModifiedBy>
  <cp:revision>13</cp:revision>
  <dcterms:created xsi:type="dcterms:W3CDTF">2021-01-14T09:17:00Z</dcterms:created>
  <dcterms:modified xsi:type="dcterms:W3CDTF">2021-02-01T08:48:00Z</dcterms:modified>
</cp:coreProperties>
</file>